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44"/>
          <w:szCs w:val="44"/>
        </w:rPr>
      </w:pPr>
      <w:bookmarkStart w:id="8" w:name="_GoBack"/>
      <w:bookmarkEnd w:id="8"/>
      <w:r>
        <w:rPr>
          <w:rFonts w:hint="eastAsia" w:ascii="宋体" w:hAnsi="宋体" w:cs="宋体"/>
          <w:b/>
          <w:sz w:val="44"/>
          <w:szCs w:val="44"/>
        </w:rPr>
        <w:t>金华市公共资源交易中心东阳分中心关于</w:t>
      </w:r>
    </w:p>
    <w:p>
      <w:pPr>
        <w:spacing w:line="360" w:lineRule="auto"/>
        <w:jc w:val="center"/>
        <w:rPr>
          <w:rFonts w:hint="eastAsia" w:ascii="宋体" w:hAnsi="宋体" w:cs="宋体"/>
          <w:b/>
          <w:sz w:val="44"/>
          <w:szCs w:val="44"/>
        </w:rPr>
      </w:pPr>
      <w:r>
        <w:rPr>
          <w:rFonts w:hint="eastAsia" w:ascii="宋体" w:hAnsi="宋体" w:cs="宋体"/>
          <w:b/>
          <w:sz w:val="44"/>
          <w:szCs w:val="44"/>
        </w:rPr>
        <w:t>东阳市六歌健康生物产业园信息化系统提升项目</w:t>
      </w:r>
    </w:p>
    <w:p>
      <w:pPr>
        <w:spacing w:line="360" w:lineRule="auto"/>
        <w:jc w:val="center"/>
        <w:rPr>
          <w:rFonts w:hint="eastAsia" w:ascii="宋体" w:hAnsi="宋体" w:cs="宋体"/>
          <w:b/>
          <w:sz w:val="44"/>
          <w:szCs w:val="44"/>
        </w:rPr>
      </w:pPr>
    </w:p>
    <w:p>
      <w:pPr>
        <w:spacing w:before="120" w:beforeLines="50" w:line="360" w:lineRule="auto"/>
        <w:rPr>
          <w:rFonts w:hint="eastAsia" w:ascii="宋体" w:hAnsi="宋体" w:cs="宋体"/>
          <w:sz w:val="32"/>
          <w:szCs w:val="32"/>
        </w:rPr>
      </w:pPr>
    </w:p>
    <w:p>
      <w:pPr>
        <w:spacing w:before="120" w:beforeLines="50" w:line="360" w:lineRule="auto"/>
        <w:jc w:val="center"/>
        <w:rPr>
          <w:rFonts w:hint="eastAsia" w:ascii="宋体" w:hAnsi="宋体" w:cs="宋体"/>
          <w:sz w:val="72"/>
          <w:szCs w:val="72"/>
        </w:rPr>
      </w:pPr>
    </w:p>
    <w:p>
      <w:pPr>
        <w:spacing w:before="120" w:beforeLines="50" w:line="360" w:lineRule="auto"/>
        <w:jc w:val="center"/>
        <w:rPr>
          <w:rFonts w:hint="eastAsia" w:ascii="宋体" w:hAnsi="宋体" w:cs="宋体"/>
          <w:sz w:val="52"/>
          <w:szCs w:val="52"/>
        </w:rPr>
      </w:pPr>
      <w:r>
        <w:rPr>
          <w:rFonts w:hint="eastAsia" w:ascii="宋体" w:hAnsi="宋体" w:cs="宋体"/>
          <w:sz w:val="52"/>
          <w:szCs w:val="52"/>
        </w:rPr>
        <w:t>公开招标采购文件</w:t>
      </w:r>
    </w:p>
    <w:p>
      <w:pPr>
        <w:snapToGrid w:val="0"/>
        <w:spacing w:before="120" w:beforeLines="50" w:line="360" w:lineRule="auto"/>
        <w:jc w:val="center"/>
        <w:rPr>
          <w:rFonts w:hint="eastAsia" w:ascii="宋体" w:hAnsi="宋体" w:cs="宋体"/>
          <w:sz w:val="30"/>
          <w:szCs w:val="72"/>
        </w:rPr>
      </w:pPr>
    </w:p>
    <w:p>
      <w:pPr>
        <w:snapToGrid w:val="0"/>
        <w:spacing w:before="120" w:beforeLines="50" w:line="360" w:lineRule="auto"/>
        <w:rPr>
          <w:rFonts w:hint="eastAsia" w:ascii="宋体" w:hAnsi="宋体" w:cs="宋体"/>
          <w:sz w:val="30"/>
          <w:szCs w:val="72"/>
        </w:rPr>
      </w:pPr>
    </w:p>
    <w:p>
      <w:pPr>
        <w:snapToGrid w:val="0"/>
        <w:spacing w:before="120" w:beforeLines="50" w:line="360" w:lineRule="auto"/>
        <w:jc w:val="center"/>
        <w:rPr>
          <w:rFonts w:hint="eastAsia" w:ascii="宋体" w:hAnsi="宋体" w:cs="宋体"/>
          <w:sz w:val="30"/>
          <w:szCs w:val="72"/>
        </w:rPr>
      </w:pPr>
    </w:p>
    <w:p>
      <w:pPr>
        <w:pStyle w:val="27"/>
        <w:snapToGrid w:val="0"/>
        <w:spacing w:before="120" w:after="120" w:line="360" w:lineRule="auto"/>
        <w:rPr>
          <w:rFonts w:hint="eastAsia" w:hAnsi="宋体" w:cs="宋体"/>
          <w:b/>
          <w:bCs/>
          <w:sz w:val="28"/>
          <w:szCs w:val="28"/>
        </w:rPr>
      </w:pPr>
      <w:r>
        <w:rPr>
          <w:rFonts w:hint="eastAsia" w:hAnsi="宋体" w:cs="宋体"/>
          <w:b/>
          <w:bCs/>
          <w:sz w:val="28"/>
          <w:szCs w:val="28"/>
        </w:rPr>
        <w:t>项目编号：DYCG2022-B069</w:t>
      </w:r>
    </w:p>
    <w:p>
      <w:pPr>
        <w:spacing w:line="360" w:lineRule="auto"/>
        <w:ind w:left="1405" w:hanging="1405" w:hangingChars="500"/>
        <w:rPr>
          <w:rFonts w:hint="eastAsia" w:ascii="宋体" w:hAnsi="宋体" w:cs="宋体"/>
          <w:b/>
          <w:bCs/>
          <w:sz w:val="28"/>
          <w:szCs w:val="28"/>
        </w:rPr>
      </w:pPr>
      <w:r>
        <w:rPr>
          <w:rFonts w:hint="eastAsia" w:ascii="宋体" w:hAnsi="宋体" w:cs="宋体"/>
          <w:b/>
          <w:bCs/>
          <w:sz w:val="28"/>
          <w:szCs w:val="28"/>
        </w:rPr>
        <w:t>项目名称：东阳市六歌健康生物产业园信息化系统提升项目</w:t>
      </w:r>
    </w:p>
    <w:p>
      <w:pPr>
        <w:pStyle w:val="27"/>
        <w:snapToGrid w:val="0"/>
        <w:spacing w:before="120" w:after="120" w:line="360" w:lineRule="auto"/>
        <w:rPr>
          <w:rFonts w:hint="eastAsia" w:hAnsi="宋体" w:cs="宋体"/>
          <w:b/>
          <w:bCs/>
          <w:sz w:val="28"/>
          <w:szCs w:val="28"/>
        </w:rPr>
      </w:pPr>
      <w:r>
        <w:rPr>
          <w:rFonts w:hint="eastAsia" w:hAnsi="宋体" w:cs="宋体"/>
          <w:b/>
          <w:bCs/>
          <w:sz w:val="28"/>
          <w:szCs w:val="28"/>
        </w:rPr>
        <w:t>采购单位：东阳经济开发区</w:t>
      </w:r>
    </w:p>
    <w:p>
      <w:pPr>
        <w:pStyle w:val="27"/>
        <w:snapToGrid w:val="0"/>
        <w:spacing w:before="120" w:after="120" w:line="360" w:lineRule="auto"/>
        <w:rPr>
          <w:rFonts w:hint="eastAsia" w:hAnsi="宋体" w:cs="宋体"/>
          <w:b/>
          <w:bCs/>
          <w:sz w:val="28"/>
          <w:szCs w:val="28"/>
        </w:rPr>
      </w:pPr>
      <w:r>
        <w:rPr>
          <w:rFonts w:hint="eastAsia" w:hAnsi="宋体" w:cs="宋体"/>
          <w:b/>
          <w:bCs/>
          <w:sz w:val="28"/>
          <w:szCs w:val="28"/>
        </w:rPr>
        <w:t>招标机构：金华市公共资源交易中心东阳分中心</w:t>
      </w:r>
    </w:p>
    <w:p>
      <w:pPr>
        <w:pStyle w:val="27"/>
        <w:snapToGrid w:val="0"/>
        <w:spacing w:before="120" w:after="120" w:line="360" w:lineRule="auto"/>
        <w:rPr>
          <w:rFonts w:hint="eastAsia" w:hAnsi="宋体" w:cs="宋体"/>
          <w:b/>
          <w:sz w:val="30"/>
          <w:szCs w:val="48"/>
        </w:rPr>
      </w:pPr>
    </w:p>
    <w:p>
      <w:pPr>
        <w:rPr>
          <w:rFonts w:hint="eastAsia"/>
        </w:rPr>
      </w:pPr>
    </w:p>
    <w:p>
      <w:pPr>
        <w:snapToGrid w:val="0"/>
        <w:spacing w:before="120" w:beforeLines="50" w:line="360" w:lineRule="auto"/>
        <w:ind w:left="384" w:leftChars="183" w:firstLine="5352" w:firstLineChars="1904"/>
        <w:rPr>
          <w:rFonts w:hint="eastAsia" w:ascii="宋体" w:hAnsi="宋体" w:cs="宋体"/>
          <w:b/>
          <w:sz w:val="28"/>
          <w:szCs w:val="44"/>
        </w:rPr>
      </w:pPr>
      <w:r>
        <w:rPr>
          <w:rFonts w:hint="eastAsia" w:ascii="宋体" w:hAnsi="宋体" w:cs="宋体"/>
          <w:b/>
          <w:sz w:val="28"/>
          <w:szCs w:val="44"/>
        </w:rPr>
        <w:t>2022年7月26日</w:t>
      </w:r>
    </w:p>
    <w:p>
      <w:pPr>
        <w:pStyle w:val="27"/>
        <w:spacing w:before="120" w:after="120" w:line="360" w:lineRule="auto"/>
        <w:jc w:val="center"/>
        <w:rPr>
          <w:rFonts w:hint="eastAsia" w:hAnsi="宋体" w:cs="宋体"/>
          <w:sz w:val="44"/>
          <w:szCs w:val="44"/>
        </w:rPr>
        <w:sectPr>
          <w:headerReference r:id="rId4" w:type="first"/>
          <w:footerReference r:id="rId6" w:type="first"/>
          <w:headerReference r:id="rId3" w:type="default"/>
          <w:footerReference r:id="rId5" w:type="default"/>
          <w:type w:val="continuous"/>
          <w:pgSz w:w="11910" w:h="16840"/>
          <w:pgMar w:top="1417" w:right="1300" w:bottom="278" w:left="1320" w:header="720" w:footer="720" w:gutter="0"/>
          <w:pgNumType w:start="0"/>
          <w:cols w:space="720" w:num="1"/>
        </w:sectPr>
      </w:pPr>
    </w:p>
    <w:p>
      <w:pPr>
        <w:pStyle w:val="27"/>
        <w:spacing w:before="120" w:after="120" w:line="360" w:lineRule="auto"/>
        <w:jc w:val="center"/>
        <w:rPr>
          <w:rFonts w:hint="eastAsia" w:hAnsi="宋体" w:cs="宋体"/>
          <w:sz w:val="44"/>
          <w:szCs w:val="44"/>
        </w:rPr>
      </w:pPr>
      <w:r>
        <w:rPr>
          <w:rFonts w:hint="eastAsia" w:hAnsi="宋体" w:cs="宋体"/>
          <w:sz w:val="44"/>
          <w:szCs w:val="44"/>
        </w:rPr>
        <w:t>目录</w:t>
      </w:r>
    </w:p>
    <w:p>
      <w:pPr>
        <w:numPr>
          <w:ilvl w:val="0"/>
          <w:numId w:val="2"/>
        </w:numPr>
        <w:spacing w:before="120" w:beforeLines="50" w:line="360" w:lineRule="auto"/>
        <w:rPr>
          <w:rFonts w:hint="eastAsia" w:ascii="宋体" w:hAnsi="宋体" w:cs="宋体"/>
          <w:sz w:val="30"/>
          <w:szCs w:val="20"/>
        </w:rPr>
      </w:pPr>
      <w:r>
        <w:rPr>
          <w:rFonts w:hint="eastAsia" w:ascii="宋体" w:hAnsi="宋体" w:cs="宋体"/>
          <w:sz w:val="30"/>
        </w:rPr>
        <w:t>公开招标采购公告</w:t>
      </w:r>
    </w:p>
    <w:p>
      <w:pPr>
        <w:numPr>
          <w:ilvl w:val="0"/>
          <w:numId w:val="2"/>
        </w:numPr>
        <w:spacing w:before="120" w:beforeLines="50" w:line="360" w:lineRule="auto"/>
        <w:rPr>
          <w:rFonts w:hint="eastAsia" w:ascii="宋体" w:hAnsi="宋体" w:cs="宋体"/>
          <w:sz w:val="30"/>
          <w:szCs w:val="20"/>
        </w:rPr>
      </w:pPr>
      <w:r>
        <w:rPr>
          <w:rFonts w:hint="eastAsia" w:ascii="宋体" w:hAnsi="宋体" w:cs="宋体"/>
          <w:sz w:val="30"/>
        </w:rPr>
        <w:t>招标需求</w:t>
      </w:r>
    </w:p>
    <w:p>
      <w:pPr>
        <w:numPr>
          <w:ilvl w:val="0"/>
          <w:numId w:val="2"/>
        </w:numPr>
        <w:spacing w:before="120" w:beforeLines="50" w:line="360" w:lineRule="auto"/>
        <w:rPr>
          <w:rFonts w:hint="eastAsia" w:ascii="宋体" w:hAnsi="宋体" w:cs="宋体"/>
          <w:sz w:val="30"/>
          <w:szCs w:val="20"/>
        </w:rPr>
      </w:pPr>
      <w:r>
        <w:rPr>
          <w:rFonts w:hint="eastAsia" w:ascii="宋体" w:hAnsi="宋体" w:cs="宋体"/>
          <w:sz w:val="30"/>
        </w:rPr>
        <w:t>投标人须知</w:t>
      </w:r>
    </w:p>
    <w:p>
      <w:pPr>
        <w:numPr>
          <w:ilvl w:val="0"/>
          <w:numId w:val="2"/>
        </w:numPr>
        <w:spacing w:before="120" w:beforeLines="50" w:line="360" w:lineRule="auto"/>
        <w:rPr>
          <w:rFonts w:hint="eastAsia" w:ascii="宋体" w:hAnsi="宋体" w:cs="宋体"/>
          <w:sz w:val="30"/>
          <w:szCs w:val="20"/>
        </w:rPr>
      </w:pPr>
      <w:r>
        <w:rPr>
          <w:rFonts w:hint="eastAsia" w:ascii="宋体" w:hAnsi="宋体" w:cs="宋体"/>
          <w:sz w:val="30"/>
        </w:rPr>
        <w:t>评标办法及评分标准</w:t>
      </w:r>
    </w:p>
    <w:p>
      <w:pPr>
        <w:numPr>
          <w:ilvl w:val="0"/>
          <w:numId w:val="2"/>
        </w:numPr>
        <w:spacing w:before="120" w:beforeLines="50" w:line="360" w:lineRule="auto"/>
        <w:rPr>
          <w:rFonts w:hint="eastAsia" w:ascii="宋体" w:hAnsi="宋体" w:cs="宋体"/>
          <w:sz w:val="30"/>
          <w:szCs w:val="20"/>
        </w:rPr>
      </w:pPr>
      <w:r>
        <w:rPr>
          <w:rFonts w:hint="eastAsia" w:ascii="宋体" w:hAnsi="宋体" w:cs="宋体"/>
          <w:sz w:val="30"/>
        </w:rPr>
        <w:t>政府采购合同主要条款</w:t>
      </w:r>
    </w:p>
    <w:p>
      <w:pPr>
        <w:numPr>
          <w:ilvl w:val="0"/>
          <w:numId w:val="2"/>
        </w:numPr>
        <w:spacing w:before="120" w:beforeLines="50" w:line="360" w:lineRule="auto"/>
        <w:rPr>
          <w:rFonts w:hint="eastAsia" w:ascii="宋体" w:hAnsi="宋体" w:cs="宋体"/>
          <w:sz w:val="30"/>
          <w:szCs w:val="20"/>
        </w:rPr>
      </w:pPr>
      <w:r>
        <w:rPr>
          <w:rFonts w:hint="eastAsia" w:ascii="宋体" w:hAnsi="宋体" w:cs="宋体"/>
          <w:sz w:val="30"/>
        </w:rPr>
        <w:t>投标文件格式</w:t>
      </w:r>
    </w:p>
    <w:p>
      <w:pPr>
        <w:pStyle w:val="27"/>
        <w:snapToGrid w:val="0"/>
        <w:spacing w:before="120" w:after="120" w:line="360" w:lineRule="auto"/>
        <w:outlineLvl w:val="0"/>
        <w:rPr>
          <w:rFonts w:hint="eastAsia" w:hAnsi="宋体" w:cs="宋体"/>
          <w:b/>
          <w:bCs/>
          <w:sz w:val="36"/>
          <w:szCs w:val="36"/>
        </w:rPr>
      </w:pPr>
    </w:p>
    <w:p>
      <w:pPr>
        <w:pStyle w:val="27"/>
        <w:snapToGrid w:val="0"/>
        <w:spacing w:before="120" w:after="120" w:line="360" w:lineRule="auto"/>
        <w:outlineLvl w:val="0"/>
        <w:rPr>
          <w:rFonts w:hint="eastAsia" w:hAnsi="宋体" w:cs="宋体"/>
          <w:b/>
          <w:bCs/>
          <w:sz w:val="36"/>
          <w:szCs w:val="36"/>
        </w:rPr>
      </w:pPr>
    </w:p>
    <w:p>
      <w:pPr>
        <w:pStyle w:val="27"/>
        <w:snapToGrid w:val="0"/>
        <w:spacing w:before="120" w:after="120" w:line="360" w:lineRule="auto"/>
        <w:outlineLvl w:val="0"/>
        <w:rPr>
          <w:rFonts w:hint="eastAsia" w:hAnsi="宋体" w:cs="宋体"/>
          <w:b/>
          <w:bCs/>
          <w:sz w:val="36"/>
          <w:szCs w:val="36"/>
        </w:rPr>
      </w:pPr>
    </w:p>
    <w:p>
      <w:pPr>
        <w:widowControl/>
        <w:jc w:val="left"/>
        <w:rPr>
          <w:rFonts w:hint="eastAsia" w:ascii="宋体" w:hAnsi="宋体" w:cs="宋体"/>
          <w:sz w:val="28"/>
          <w:szCs w:val="28"/>
        </w:rPr>
      </w:pPr>
    </w:p>
    <w:p>
      <w:pPr>
        <w:widowControl/>
        <w:jc w:val="left"/>
        <w:rPr>
          <w:rFonts w:hint="eastAsia" w:ascii="宋体" w:hAnsi="宋体" w:cs="宋体"/>
          <w:sz w:val="28"/>
          <w:szCs w:val="28"/>
        </w:rPr>
      </w:pPr>
    </w:p>
    <w:p>
      <w:pPr>
        <w:widowControl/>
        <w:jc w:val="left"/>
        <w:rPr>
          <w:rFonts w:hint="eastAsia" w:ascii="宋体" w:hAnsi="宋体" w:cs="宋体"/>
          <w:sz w:val="28"/>
          <w:szCs w:val="28"/>
        </w:rPr>
      </w:pPr>
    </w:p>
    <w:p>
      <w:pPr>
        <w:pStyle w:val="27"/>
        <w:snapToGrid w:val="0"/>
        <w:spacing w:before="120" w:after="120" w:line="360" w:lineRule="auto"/>
        <w:jc w:val="center"/>
        <w:outlineLvl w:val="0"/>
        <w:rPr>
          <w:rFonts w:hint="eastAsia" w:hAnsi="宋体" w:cs="宋体"/>
          <w:b/>
          <w:bCs/>
          <w:sz w:val="32"/>
          <w:szCs w:val="32"/>
        </w:rPr>
      </w:pPr>
    </w:p>
    <w:p>
      <w:pPr>
        <w:pStyle w:val="27"/>
        <w:snapToGrid w:val="0"/>
        <w:spacing w:before="120" w:after="120" w:line="360" w:lineRule="auto"/>
        <w:jc w:val="center"/>
        <w:outlineLvl w:val="0"/>
        <w:rPr>
          <w:rFonts w:hint="eastAsia" w:hAnsi="宋体" w:cs="宋体"/>
          <w:b/>
          <w:bCs/>
          <w:sz w:val="32"/>
          <w:szCs w:val="32"/>
        </w:rPr>
      </w:pPr>
    </w:p>
    <w:p>
      <w:pPr>
        <w:pStyle w:val="27"/>
        <w:snapToGrid w:val="0"/>
        <w:spacing w:before="120" w:after="120" w:line="360" w:lineRule="auto"/>
        <w:jc w:val="center"/>
        <w:outlineLvl w:val="0"/>
        <w:rPr>
          <w:rFonts w:hint="eastAsia" w:hAnsi="宋体" w:cs="宋体"/>
          <w:b/>
          <w:bCs/>
          <w:sz w:val="32"/>
          <w:szCs w:val="32"/>
        </w:rPr>
      </w:pPr>
    </w:p>
    <w:p>
      <w:pPr>
        <w:pStyle w:val="27"/>
        <w:snapToGrid w:val="0"/>
        <w:spacing w:before="120" w:after="120" w:line="360" w:lineRule="auto"/>
        <w:jc w:val="center"/>
        <w:outlineLvl w:val="0"/>
        <w:rPr>
          <w:rFonts w:hint="eastAsia" w:hAnsi="宋体" w:cs="宋体"/>
          <w:b/>
          <w:bCs/>
          <w:sz w:val="32"/>
          <w:szCs w:val="32"/>
        </w:rPr>
      </w:pPr>
    </w:p>
    <w:p>
      <w:pPr>
        <w:rPr>
          <w:rFonts w:hint="eastAsia" w:ascii="宋体" w:hAnsi="宋体" w:cs="宋体"/>
          <w:b/>
          <w:bCs/>
          <w:sz w:val="32"/>
          <w:szCs w:val="32"/>
        </w:rPr>
      </w:pPr>
    </w:p>
    <w:p>
      <w:pPr>
        <w:pStyle w:val="6"/>
        <w:rPr>
          <w:rFonts w:hint="eastAsia" w:ascii="宋体" w:hAnsi="宋体" w:cs="宋体"/>
        </w:rPr>
      </w:pPr>
    </w:p>
    <w:p>
      <w:pPr>
        <w:pStyle w:val="2"/>
        <w:ind w:left="0" w:leftChars="0" w:firstLine="0" w:firstLineChars="0"/>
        <w:rPr>
          <w:rFonts w:hint="eastAsia" w:ascii="宋体" w:hAnsi="宋体" w:cs="宋体"/>
        </w:rPr>
      </w:pPr>
    </w:p>
    <w:p>
      <w:pPr>
        <w:pStyle w:val="27"/>
        <w:snapToGrid w:val="0"/>
        <w:spacing w:before="120" w:after="120" w:line="360" w:lineRule="auto"/>
        <w:jc w:val="center"/>
        <w:outlineLvl w:val="0"/>
        <w:rPr>
          <w:rFonts w:hint="eastAsia" w:hAnsi="宋体" w:cs="宋体"/>
          <w:sz w:val="28"/>
          <w:szCs w:val="28"/>
        </w:rPr>
      </w:pPr>
      <w:r>
        <w:rPr>
          <w:rFonts w:hint="eastAsia" w:hAnsi="宋体" w:cs="宋体"/>
          <w:b/>
          <w:bCs/>
          <w:sz w:val="32"/>
          <w:szCs w:val="32"/>
        </w:rPr>
        <w:t>第一章  公开招标采购公告</w:t>
      </w:r>
    </w:p>
    <w:p>
      <w:pPr>
        <w:pBdr>
          <w:top w:val="single" w:color="auto" w:sz="4" w:space="1"/>
          <w:left w:val="single" w:color="auto" w:sz="4" w:space="4"/>
          <w:bottom w:val="single" w:color="auto" w:sz="4" w:space="1"/>
          <w:right w:val="single" w:color="auto" w:sz="4" w:space="4"/>
        </w:pBdr>
        <w:spacing w:line="312" w:lineRule="auto"/>
        <w:ind w:firstLine="480" w:firstLineChars="200"/>
        <w:rPr>
          <w:rFonts w:hint="eastAsia"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12" w:lineRule="auto"/>
        <w:ind w:firstLine="482" w:firstLineChars="200"/>
        <w:rPr>
          <w:rFonts w:hint="eastAsia" w:ascii="宋体" w:hAnsi="宋体" w:cs="宋体"/>
          <w:sz w:val="24"/>
        </w:rPr>
      </w:pPr>
      <w:r>
        <w:rPr>
          <w:rFonts w:hint="eastAsia" w:ascii="宋体" w:hAnsi="宋体" w:cs="宋体"/>
          <w:b/>
          <w:bCs/>
          <w:sz w:val="24"/>
          <w:u w:val="single"/>
        </w:rPr>
        <w:t>东阳市六歌健康生物产业园信息化系统提升项目（经东阳市财政局临[2022]2613号采购计划确认书批准）</w:t>
      </w:r>
      <w:r>
        <w:rPr>
          <w:rFonts w:hint="eastAsia" w:ascii="宋体" w:hAnsi="宋体" w:cs="宋体"/>
          <w:sz w:val="24"/>
        </w:rPr>
        <w:t>的潜在投标人应在</w:t>
      </w:r>
      <w:r>
        <w:rPr>
          <w:rFonts w:hint="eastAsia" w:ascii="宋体" w:hAnsi="宋体" w:cs="宋体"/>
          <w:sz w:val="24"/>
          <w:u w:val="single"/>
        </w:rPr>
        <w:t>（网址：浙江政府采购网:http://zfcg.czt.zj.gov.cn/、东阳市公共资源交易网:http://www.dongyang.gov.cn/ggzyjy/）</w:t>
      </w:r>
      <w:r>
        <w:rPr>
          <w:rFonts w:hint="eastAsia" w:ascii="宋体" w:hAnsi="宋体" w:cs="宋体"/>
          <w:sz w:val="24"/>
        </w:rPr>
        <w:t>获取招标文件，并于</w:t>
      </w:r>
      <w:r>
        <w:rPr>
          <w:rFonts w:hint="eastAsia" w:ascii="宋体" w:hAnsi="宋体" w:cs="宋体"/>
          <w:b/>
          <w:bCs/>
          <w:sz w:val="24"/>
          <w:u w:val="single"/>
        </w:rPr>
        <w:t>2022年8月16日</w:t>
      </w:r>
      <w:r>
        <w:rPr>
          <w:rFonts w:hint="eastAsia" w:ascii="宋体" w:hAnsi="宋体" w:cs="宋体"/>
          <w:bCs/>
          <w:sz w:val="24"/>
          <w:u w:val="single"/>
        </w:rPr>
        <w:t>8点30分（</w:t>
      </w:r>
      <w:r>
        <w:rPr>
          <w:rFonts w:hint="eastAsia" w:ascii="宋体" w:hAnsi="宋体" w:cs="宋体"/>
          <w:bCs/>
          <w:sz w:val="24"/>
        </w:rPr>
        <w:t>北京时间）前递交投标文件</w:t>
      </w:r>
      <w:r>
        <w:rPr>
          <w:rFonts w:hint="eastAsia" w:ascii="宋体" w:hAnsi="宋体" w:cs="宋体"/>
          <w:sz w:val="24"/>
        </w:rPr>
        <w:t>。</w:t>
      </w:r>
    </w:p>
    <w:p>
      <w:pPr>
        <w:snapToGrid w:val="0"/>
        <w:spacing w:line="312" w:lineRule="auto"/>
        <w:ind w:firstLine="480" w:firstLineChars="200"/>
        <w:rPr>
          <w:rFonts w:hint="eastAsia" w:ascii="宋体" w:hAnsi="宋体" w:cs="宋体"/>
          <w:b/>
          <w:bCs/>
          <w:sz w:val="24"/>
        </w:rPr>
      </w:pPr>
      <w:r>
        <w:rPr>
          <w:rFonts w:hint="eastAsia" w:ascii="宋体" w:hAnsi="宋体" w:cs="宋体"/>
          <w:sz w:val="24"/>
        </w:rPr>
        <w:t>一、</w:t>
      </w:r>
      <w:r>
        <w:rPr>
          <w:rFonts w:hint="eastAsia" w:ascii="宋体" w:hAnsi="宋体" w:cs="宋体"/>
          <w:b/>
          <w:bCs/>
          <w:sz w:val="24"/>
        </w:rPr>
        <w:t>基本情况</w:t>
      </w:r>
    </w:p>
    <w:p>
      <w:pPr>
        <w:snapToGrid w:val="0"/>
        <w:spacing w:line="312" w:lineRule="auto"/>
        <w:ind w:firstLine="602" w:firstLineChars="250"/>
        <w:rPr>
          <w:rFonts w:ascii="宋体" w:hAnsi="宋体" w:cs="宋体"/>
          <w:sz w:val="24"/>
        </w:rPr>
      </w:pPr>
      <w:r>
        <w:rPr>
          <w:rFonts w:hint="eastAsia" w:ascii="宋体" w:hAnsi="宋体" w:cs="宋体"/>
          <w:b/>
          <w:sz w:val="24"/>
        </w:rPr>
        <w:t>1、项目编号：</w:t>
      </w:r>
      <w:r>
        <w:rPr>
          <w:rFonts w:hint="eastAsia" w:ascii="宋体" w:hAnsi="宋体" w:cs="宋体"/>
          <w:sz w:val="24"/>
        </w:rPr>
        <w:t>DYCG2022-B069</w:t>
      </w:r>
    </w:p>
    <w:p>
      <w:pPr>
        <w:snapToGrid w:val="0"/>
        <w:spacing w:line="312" w:lineRule="auto"/>
        <w:ind w:firstLine="602" w:firstLineChars="250"/>
        <w:rPr>
          <w:rFonts w:hint="eastAsia" w:ascii="宋体" w:hAnsi="宋体" w:cs="宋体"/>
          <w:sz w:val="24"/>
        </w:rPr>
      </w:pPr>
      <w:r>
        <w:rPr>
          <w:rFonts w:hint="eastAsia" w:ascii="宋体" w:hAnsi="宋体" w:cs="宋体"/>
          <w:b/>
          <w:sz w:val="24"/>
        </w:rPr>
        <w:t>2、采购组织类型：</w:t>
      </w:r>
      <w:r>
        <w:rPr>
          <w:rFonts w:hint="eastAsia" w:ascii="宋体" w:hAnsi="宋体" w:cs="宋体"/>
          <w:sz w:val="24"/>
        </w:rPr>
        <w:t>政府集中采购</w:t>
      </w:r>
    </w:p>
    <w:p>
      <w:pPr>
        <w:snapToGrid w:val="0"/>
        <w:spacing w:line="312" w:lineRule="auto"/>
        <w:ind w:firstLine="602" w:firstLineChars="250"/>
        <w:rPr>
          <w:rFonts w:hint="eastAsia" w:ascii="宋体" w:hAnsi="宋体" w:cs="宋体"/>
          <w:sz w:val="24"/>
        </w:rPr>
      </w:pPr>
      <w:r>
        <w:rPr>
          <w:rFonts w:hint="eastAsia" w:ascii="宋体" w:hAnsi="宋体" w:cs="宋体"/>
          <w:b/>
          <w:sz w:val="24"/>
        </w:rPr>
        <w:t>3、采购方式：</w:t>
      </w:r>
      <w:r>
        <w:rPr>
          <w:rFonts w:hint="eastAsia" w:ascii="宋体" w:hAnsi="宋体" w:cs="宋体"/>
          <w:sz w:val="24"/>
        </w:rPr>
        <w:t>公开招标</w:t>
      </w:r>
    </w:p>
    <w:p>
      <w:pPr>
        <w:wordWrap w:val="0"/>
        <w:spacing w:line="312" w:lineRule="auto"/>
        <w:rPr>
          <w:rFonts w:hint="eastAsia" w:ascii="宋体" w:hAnsi="宋体" w:eastAsia="微软雅黑" w:cs="宋体"/>
          <w:sz w:val="24"/>
        </w:rPr>
      </w:pPr>
      <w:r>
        <w:rPr>
          <w:rFonts w:hint="eastAsia" w:ascii="宋体" w:hAnsi="宋体" w:cs="宋体"/>
          <w:b/>
          <w:bCs/>
          <w:sz w:val="24"/>
        </w:rPr>
        <w:t xml:space="preserve">     4、预算金额：</w:t>
      </w:r>
      <w:r>
        <w:rPr>
          <w:rFonts w:hint="eastAsia" w:ascii="宋体" w:hAnsi="宋体" w:cs="宋体"/>
          <w:sz w:val="24"/>
        </w:rPr>
        <w:t>380万元</w:t>
      </w:r>
    </w:p>
    <w:p>
      <w:pPr>
        <w:snapToGrid w:val="0"/>
        <w:spacing w:line="312"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5、最高限价：</w:t>
      </w:r>
      <w:r>
        <w:rPr>
          <w:rFonts w:hint="eastAsia" w:ascii="宋体" w:hAnsi="宋体" w:cs="宋体"/>
          <w:sz w:val="24"/>
        </w:rPr>
        <w:t>280万元</w:t>
      </w:r>
    </w:p>
    <w:p>
      <w:pPr>
        <w:pStyle w:val="6"/>
        <w:snapToGrid w:val="0"/>
        <w:spacing w:before="0" w:after="0" w:line="312" w:lineRule="auto"/>
        <w:rPr>
          <w:rFonts w:ascii="宋体" w:hAnsi="宋体" w:cs="宋体"/>
          <w:b w:val="0"/>
          <w:bCs w:val="0"/>
          <w:kern w:val="2"/>
          <w:sz w:val="24"/>
          <w:szCs w:val="24"/>
          <w:lang w:val="en-US" w:eastAsia="zh-CN"/>
        </w:rPr>
      </w:pPr>
      <w:r>
        <w:rPr>
          <w:rFonts w:hint="eastAsia" w:ascii="宋体" w:hAnsi="宋体" w:cs="宋体"/>
          <w:b w:val="0"/>
          <w:bCs w:val="0"/>
          <w:sz w:val="24"/>
          <w:szCs w:val="24"/>
        </w:rPr>
        <w:t xml:space="preserve">   </w:t>
      </w:r>
      <w:r>
        <w:rPr>
          <w:rFonts w:hint="eastAsia" w:ascii="宋体" w:hAnsi="宋体" w:cs="宋体"/>
          <w:bCs w:val="0"/>
          <w:sz w:val="24"/>
          <w:szCs w:val="24"/>
        </w:rPr>
        <w:t xml:space="preserve"> </w:t>
      </w:r>
      <w:r>
        <w:rPr>
          <w:rFonts w:hint="eastAsia" w:ascii="宋体" w:hAnsi="宋体" w:cs="宋体"/>
          <w:bCs w:val="0"/>
          <w:kern w:val="2"/>
          <w:sz w:val="24"/>
          <w:szCs w:val="24"/>
          <w:lang w:val="en-US" w:eastAsia="zh-CN"/>
        </w:rPr>
        <w:t xml:space="preserve"> 6、合同履行期限：</w:t>
      </w:r>
      <w:r>
        <w:rPr>
          <w:rFonts w:hint="eastAsia" w:ascii="宋体" w:hAnsi="宋体" w:cs="宋体"/>
          <w:b w:val="0"/>
          <w:bCs w:val="0"/>
          <w:kern w:val="2"/>
          <w:sz w:val="24"/>
          <w:szCs w:val="24"/>
          <w:lang w:val="en-US" w:eastAsia="zh-CN"/>
        </w:rPr>
        <w:t>合同签订后的30日历天完成安装调试工作。</w:t>
      </w:r>
    </w:p>
    <w:p>
      <w:pPr>
        <w:snapToGrid w:val="0"/>
        <w:spacing w:line="312" w:lineRule="auto"/>
        <w:rPr>
          <w:rFonts w:hint="eastAsia"/>
        </w:rPr>
      </w:pPr>
      <w:r>
        <w:rPr>
          <w:rFonts w:hint="eastAsia" w:ascii="宋体" w:hAnsi="宋体" w:cs="宋体"/>
          <w:sz w:val="24"/>
        </w:rPr>
        <w:t xml:space="preserve">     </w:t>
      </w:r>
      <w:r>
        <w:rPr>
          <w:rFonts w:hint="eastAsia" w:ascii="宋体" w:hAnsi="宋体" w:cs="宋体"/>
          <w:b/>
          <w:sz w:val="24"/>
        </w:rPr>
        <w:t>7、联合体投标：</w:t>
      </w:r>
      <w:r>
        <w:rPr>
          <w:rFonts w:hint="eastAsia" w:ascii="宋体" w:hAnsi="宋体" w:cs="宋体"/>
          <w:sz w:val="24"/>
        </w:rPr>
        <w:t>本项目</w:t>
      </w:r>
      <w:r>
        <w:rPr>
          <w:rFonts w:hint="eastAsia" w:ascii="宋体" w:hAnsi="宋体" w:cs="宋体"/>
          <w:sz w:val="24"/>
          <w:u w:val="single"/>
        </w:rPr>
        <w:t xml:space="preserve"> </w:t>
      </w:r>
      <w:r>
        <w:rPr>
          <w:rFonts w:hint="eastAsia" w:ascii="宋体" w:hAnsi="宋体" w:cs="宋体"/>
          <w:b/>
          <w:bCs/>
          <w:sz w:val="24"/>
          <w:u w:val="single"/>
        </w:rPr>
        <w:t xml:space="preserve">接受 </w:t>
      </w:r>
      <w:r>
        <w:rPr>
          <w:rFonts w:hint="eastAsia" w:ascii="宋体" w:hAnsi="宋体" w:cs="宋体"/>
          <w:sz w:val="24"/>
        </w:rPr>
        <w:t>联合体投标。</w:t>
      </w:r>
    </w:p>
    <w:p>
      <w:pPr>
        <w:snapToGrid w:val="0"/>
        <w:spacing w:line="312" w:lineRule="auto"/>
        <w:ind w:firstLine="602" w:firstLineChars="250"/>
        <w:rPr>
          <w:rFonts w:hint="eastAsia" w:ascii="宋体" w:hAnsi="宋体" w:cs="宋体"/>
          <w:b/>
          <w:bCs/>
          <w:sz w:val="24"/>
        </w:rPr>
      </w:pPr>
      <w:r>
        <w:rPr>
          <w:rFonts w:hint="eastAsia" w:ascii="宋体" w:hAnsi="宋体" w:cs="宋体"/>
          <w:b/>
          <w:bCs/>
          <w:sz w:val="24"/>
        </w:rPr>
        <w:t>8、采购需求：</w:t>
      </w:r>
    </w:p>
    <w:tbl>
      <w:tblPr>
        <w:tblStyle w:val="46"/>
        <w:tblpPr w:leftFromText="180" w:rightFromText="180" w:vertAnchor="text" w:horzAnchor="page" w:tblpX="1580" w:tblpY="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247"/>
        <w:gridCol w:w="2113"/>
        <w:gridCol w:w="10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exact"/>
        </w:trPr>
        <w:tc>
          <w:tcPr>
            <w:tcW w:w="780" w:type="dxa"/>
            <w:noWrap w:val="0"/>
            <w:vAlign w:val="center"/>
          </w:tcPr>
          <w:p>
            <w:pPr>
              <w:pStyle w:val="27"/>
              <w:spacing w:before="120" w:after="120" w:line="312" w:lineRule="auto"/>
              <w:jc w:val="center"/>
              <w:rPr>
                <w:rFonts w:hint="eastAsia" w:hAnsi="宋体" w:cs="宋体"/>
                <w:b/>
                <w:sz w:val="16"/>
                <w:szCs w:val="16"/>
              </w:rPr>
            </w:pPr>
            <w:r>
              <w:rPr>
                <w:rFonts w:hint="eastAsia" w:hAnsi="宋体" w:cs="宋体"/>
                <w:b/>
              </w:rPr>
              <w:t>标项</w:t>
            </w:r>
          </w:p>
        </w:tc>
        <w:tc>
          <w:tcPr>
            <w:tcW w:w="3247" w:type="dxa"/>
            <w:noWrap w:val="0"/>
            <w:vAlign w:val="center"/>
          </w:tcPr>
          <w:p>
            <w:pPr>
              <w:pStyle w:val="27"/>
              <w:spacing w:before="120" w:after="120" w:line="312" w:lineRule="auto"/>
              <w:jc w:val="center"/>
              <w:rPr>
                <w:rFonts w:hint="eastAsia" w:hAnsi="宋体" w:cs="宋体"/>
                <w:b/>
                <w:sz w:val="21"/>
                <w:szCs w:val="21"/>
              </w:rPr>
            </w:pPr>
            <w:r>
              <w:rPr>
                <w:rFonts w:hint="eastAsia" w:hAnsi="宋体" w:cs="宋体"/>
                <w:b/>
              </w:rPr>
              <w:t>货物名称</w:t>
            </w:r>
          </w:p>
        </w:tc>
        <w:tc>
          <w:tcPr>
            <w:tcW w:w="2113" w:type="dxa"/>
            <w:noWrap w:val="0"/>
            <w:vAlign w:val="center"/>
          </w:tcPr>
          <w:p>
            <w:pPr>
              <w:pStyle w:val="27"/>
              <w:spacing w:before="120" w:after="120" w:line="312" w:lineRule="auto"/>
              <w:jc w:val="center"/>
              <w:rPr>
                <w:rFonts w:hint="eastAsia" w:hAnsi="宋体" w:cs="宋体"/>
                <w:b/>
                <w:sz w:val="21"/>
                <w:szCs w:val="21"/>
              </w:rPr>
            </w:pPr>
            <w:r>
              <w:rPr>
                <w:rFonts w:hint="eastAsia" w:hAnsi="宋体" w:cs="宋体"/>
                <w:b/>
              </w:rPr>
              <w:t>型号技术规格</w:t>
            </w:r>
          </w:p>
        </w:tc>
        <w:tc>
          <w:tcPr>
            <w:tcW w:w="1020" w:type="dxa"/>
            <w:noWrap w:val="0"/>
            <w:vAlign w:val="center"/>
          </w:tcPr>
          <w:p>
            <w:pPr>
              <w:pStyle w:val="27"/>
              <w:spacing w:before="120" w:after="120" w:line="312" w:lineRule="auto"/>
              <w:jc w:val="center"/>
              <w:rPr>
                <w:rFonts w:hint="eastAsia" w:hAnsi="宋体" w:cs="宋体"/>
                <w:b/>
                <w:sz w:val="21"/>
                <w:szCs w:val="21"/>
              </w:rPr>
            </w:pPr>
            <w:r>
              <w:rPr>
                <w:rFonts w:hint="eastAsia" w:hAnsi="宋体" w:cs="宋体"/>
                <w:b/>
              </w:rPr>
              <w:t>数量</w:t>
            </w:r>
          </w:p>
        </w:tc>
        <w:tc>
          <w:tcPr>
            <w:tcW w:w="1980" w:type="dxa"/>
            <w:noWrap w:val="0"/>
            <w:vAlign w:val="center"/>
          </w:tcPr>
          <w:p>
            <w:pPr>
              <w:pStyle w:val="27"/>
              <w:spacing w:before="120" w:after="120" w:line="312" w:lineRule="auto"/>
              <w:jc w:val="center"/>
              <w:rPr>
                <w:rFonts w:hint="eastAsia" w:hAnsi="宋体" w:cs="宋体"/>
                <w:b/>
                <w:sz w:val="21"/>
                <w:szCs w:val="21"/>
              </w:rPr>
            </w:pPr>
            <w:r>
              <w:rPr>
                <w:rFonts w:hint="eastAsia" w:hAnsi="宋体" w:cs="宋体"/>
                <w:b/>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80" w:type="dxa"/>
            <w:noWrap w:val="0"/>
            <w:vAlign w:val="center"/>
          </w:tcPr>
          <w:p>
            <w:pPr>
              <w:pStyle w:val="27"/>
              <w:spacing w:before="120" w:after="120" w:line="240" w:lineRule="auto"/>
              <w:jc w:val="center"/>
              <w:rPr>
                <w:rFonts w:hint="eastAsia" w:hAnsi="宋体" w:cs="宋体"/>
                <w:bCs/>
              </w:rPr>
            </w:pPr>
            <w:r>
              <w:rPr>
                <w:rFonts w:hint="eastAsia" w:hAnsi="宋体" w:cs="宋体"/>
                <w:bCs/>
              </w:rPr>
              <w:t>1</w:t>
            </w:r>
          </w:p>
        </w:tc>
        <w:tc>
          <w:tcPr>
            <w:tcW w:w="3247" w:type="dxa"/>
            <w:noWrap w:val="0"/>
            <w:vAlign w:val="center"/>
          </w:tcPr>
          <w:p>
            <w:pPr>
              <w:pStyle w:val="27"/>
              <w:spacing w:before="120" w:after="120" w:line="240" w:lineRule="auto"/>
              <w:jc w:val="center"/>
              <w:rPr>
                <w:rFonts w:hint="eastAsia"/>
              </w:rPr>
            </w:pPr>
            <w:r>
              <w:rPr>
                <w:rFonts w:hint="eastAsia" w:hAnsi="宋体"/>
                <w:szCs w:val="21"/>
              </w:rPr>
              <w:t>六歌健康生物产业园信息化系统提升</w:t>
            </w:r>
          </w:p>
        </w:tc>
        <w:tc>
          <w:tcPr>
            <w:tcW w:w="2113" w:type="dxa"/>
            <w:noWrap w:val="0"/>
            <w:vAlign w:val="center"/>
          </w:tcPr>
          <w:p>
            <w:pPr>
              <w:pStyle w:val="27"/>
              <w:spacing w:before="120" w:after="120" w:line="240" w:lineRule="auto"/>
              <w:jc w:val="center"/>
              <w:rPr>
                <w:rFonts w:hint="eastAsia"/>
              </w:rPr>
            </w:pPr>
            <w:r>
              <w:rPr>
                <w:rFonts w:hint="eastAsia"/>
              </w:rPr>
              <w:t>详见第二章“招标需求”</w:t>
            </w:r>
          </w:p>
        </w:tc>
        <w:tc>
          <w:tcPr>
            <w:tcW w:w="1020" w:type="dxa"/>
            <w:noWrap w:val="0"/>
            <w:vAlign w:val="center"/>
          </w:tcPr>
          <w:p>
            <w:pPr>
              <w:pStyle w:val="27"/>
              <w:spacing w:before="120" w:after="120" w:line="240" w:lineRule="auto"/>
              <w:jc w:val="center"/>
            </w:pPr>
            <w:r>
              <w:rPr>
                <w:rFonts w:hint="eastAsia"/>
              </w:rPr>
              <w:t>1项</w:t>
            </w:r>
          </w:p>
        </w:tc>
        <w:tc>
          <w:tcPr>
            <w:tcW w:w="1980" w:type="dxa"/>
            <w:noWrap w:val="0"/>
            <w:vAlign w:val="center"/>
          </w:tcPr>
          <w:p>
            <w:pPr>
              <w:pStyle w:val="27"/>
              <w:spacing w:before="120" w:after="120" w:line="240" w:lineRule="auto"/>
              <w:jc w:val="center"/>
            </w:pPr>
            <w:r>
              <w:rPr>
                <w:rFonts w:hint="eastAsia"/>
              </w:rPr>
              <w:t>280</w:t>
            </w:r>
          </w:p>
        </w:tc>
      </w:tr>
    </w:tbl>
    <w:p>
      <w:pPr>
        <w:numPr>
          <w:ilvl w:val="0"/>
          <w:numId w:val="4"/>
        </w:numPr>
        <w:snapToGrid w:val="0"/>
        <w:spacing w:line="312" w:lineRule="auto"/>
        <w:ind w:firstLine="482" w:firstLineChars="200"/>
        <w:rPr>
          <w:rFonts w:hint="eastAsia" w:ascii="宋体" w:hAnsi="宋体" w:cs="宋体"/>
          <w:b/>
          <w:bCs/>
          <w:sz w:val="24"/>
        </w:rPr>
      </w:pPr>
      <w:r>
        <w:rPr>
          <w:rFonts w:hint="eastAsia" w:ascii="宋体" w:hAnsi="宋体" w:cs="宋体"/>
          <w:b/>
          <w:bCs/>
          <w:sz w:val="24"/>
        </w:rPr>
        <w:t>申请人的资格要求</w:t>
      </w:r>
    </w:p>
    <w:p>
      <w:pPr>
        <w:snapToGrid w:val="0"/>
        <w:spacing w:line="312" w:lineRule="auto"/>
        <w:ind w:firstLine="480" w:firstLineChars="200"/>
        <w:rPr>
          <w:rFonts w:hint="eastAsia" w:ascii="宋体" w:hAnsi="宋体" w:cs="宋体"/>
          <w:sz w:val="24"/>
        </w:rPr>
      </w:pPr>
      <w:r>
        <w:rPr>
          <w:rFonts w:hint="eastAsia" w:ascii="宋体" w:hAnsi="宋体" w:cs="宋体"/>
          <w:sz w:val="24"/>
        </w:rPr>
        <w:t>符合《中华人民共和国政府采购法》第二十二条规定的投标人资格条件和本公告设定的特定条件。</w:t>
      </w:r>
    </w:p>
    <w:p>
      <w:pPr>
        <w:snapToGrid w:val="0"/>
        <w:spacing w:line="312" w:lineRule="auto"/>
        <w:ind w:firstLine="482" w:firstLineChars="200"/>
        <w:rPr>
          <w:rFonts w:hint="eastAsia" w:ascii="宋体" w:hAnsi="宋体" w:cs="宋体"/>
          <w:b/>
          <w:bCs/>
          <w:sz w:val="24"/>
        </w:rPr>
      </w:pPr>
      <w:r>
        <w:rPr>
          <w:rFonts w:hint="eastAsia" w:ascii="宋体" w:hAnsi="宋体" w:cs="宋体"/>
          <w:b/>
          <w:bCs/>
          <w:sz w:val="24"/>
        </w:rPr>
        <w:t>（1）《中华人民共和国政府采购法》第二十二条规定的投标人资格条件：</w:t>
      </w:r>
    </w:p>
    <w:p>
      <w:pPr>
        <w:shd w:val="clear" w:color="auto" w:fill="FFFFFF"/>
        <w:snapToGrid w:val="0"/>
        <w:spacing w:line="312" w:lineRule="auto"/>
        <w:ind w:left="479" w:leftChars="228"/>
        <w:rPr>
          <w:rFonts w:hint="eastAsia" w:ascii="宋体" w:hAnsi="宋体" w:cs="宋体"/>
          <w:sz w:val="24"/>
        </w:rPr>
      </w:pPr>
      <w:r>
        <w:rPr>
          <w:rFonts w:hint="eastAsia" w:ascii="宋体" w:hAnsi="宋体" w:cs="宋体"/>
          <w:sz w:val="24"/>
        </w:rPr>
        <w:t xml:space="preserve">A、具有独立承担民事责任的能力； </w:t>
      </w:r>
    </w:p>
    <w:p>
      <w:pPr>
        <w:shd w:val="clear" w:color="auto" w:fill="FFFFFF"/>
        <w:snapToGrid w:val="0"/>
        <w:spacing w:line="312" w:lineRule="auto"/>
        <w:ind w:left="479" w:leftChars="228"/>
        <w:rPr>
          <w:rFonts w:hint="eastAsia" w:ascii="宋体" w:hAnsi="宋体" w:cs="宋体"/>
          <w:sz w:val="24"/>
        </w:rPr>
      </w:pPr>
      <w:r>
        <w:rPr>
          <w:rFonts w:hint="eastAsia" w:ascii="宋体" w:hAnsi="宋体" w:cs="宋体"/>
          <w:sz w:val="24"/>
        </w:rPr>
        <w:t xml:space="preserve">B、具有良好的商业信誉和健全的财务会计制度； </w:t>
      </w:r>
    </w:p>
    <w:p>
      <w:pPr>
        <w:shd w:val="clear" w:color="auto" w:fill="FFFFFF"/>
        <w:snapToGrid w:val="0"/>
        <w:spacing w:line="312" w:lineRule="auto"/>
        <w:ind w:left="479" w:leftChars="228"/>
        <w:rPr>
          <w:rFonts w:hint="eastAsia" w:ascii="宋体" w:hAnsi="宋体" w:cs="宋体"/>
          <w:sz w:val="24"/>
        </w:rPr>
      </w:pPr>
      <w:r>
        <w:rPr>
          <w:rFonts w:hint="eastAsia" w:ascii="宋体" w:hAnsi="宋体" w:cs="宋体"/>
          <w:sz w:val="24"/>
        </w:rPr>
        <w:t xml:space="preserve">C、具有履行合同所必需的设备和专业技术能力； </w:t>
      </w:r>
    </w:p>
    <w:p>
      <w:pPr>
        <w:shd w:val="clear" w:color="auto" w:fill="FFFFFF"/>
        <w:snapToGrid w:val="0"/>
        <w:spacing w:line="312" w:lineRule="auto"/>
        <w:ind w:left="479" w:leftChars="228"/>
        <w:rPr>
          <w:rFonts w:hint="eastAsia" w:ascii="宋体" w:hAnsi="宋体" w:cs="宋体"/>
          <w:sz w:val="24"/>
        </w:rPr>
      </w:pPr>
      <w:r>
        <w:rPr>
          <w:rFonts w:hint="eastAsia" w:ascii="宋体" w:hAnsi="宋体" w:cs="宋体"/>
          <w:sz w:val="24"/>
        </w:rPr>
        <w:t xml:space="preserve">D、有依法缴纳税收和社会保障资金的良好记录； </w:t>
      </w:r>
    </w:p>
    <w:p>
      <w:pPr>
        <w:shd w:val="clear" w:color="auto" w:fill="FFFFFF"/>
        <w:snapToGrid w:val="0"/>
        <w:spacing w:line="312" w:lineRule="auto"/>
        <w:ind w:left="479" w:leftChars="228"/>
        <w:rPr>
          <w:rFonts w:hint="eastAsia" w:ascii="宋体" w:hAnsi="宋体" w:cs="宋体"/>
          <w:sz w:val="24"/>
        </w:rPr>
      </w:pPr>
      <w:r>
        <w:rPr>
          <w:rFonts w:hint="eastAsia" w:ascii="宋体" w:hAnsi="宋体" w:cs="宋体"/>
          <w:sz w:val="24"/>
        </w:rPr>
        <w:t xml:space="preserve">E、参加政府采购活动前三年内，在经营活动中没有重大违法记录； </w:t>
      </w:r>
    </w:p>
    <w:p>
      <w:pPr>
        <w:shd w:val="clear" w:color="auto" w:fill="FFFFFF"/>
        <w:snapToGrid w:val="0"/>
        <w:spacing w:line="312" w:lineRule="auto"/>
        <w:ind w:left="479" w:leftChars="228"/>
        <w:rPr>
          <w:rFonts w:hint="eastAsia" w:ascii="宋体" w:hAnsi="宋体" w:cs="宋体"/>
          <w:sz w:val="24"/>
        </w:rPr>
      </w:pPr>
      <w:r>
        <w:rPr>
          <w:rFonts w:hint="eastAsia" w:ascii="宋体" w:hAnsi="宋体" w:cs="宋体"/>
          <w:sz w:val="24"/>
        </w:rPr>
        <w:t>F、法律、行政法规规定的其他条件。</w:t>
      </w:r>
    </w:p>
    <w:p>
      <w:pPr>
        <w:spacing w:line="300" w:lineRule="auto"/>
        <w:ind w:firstLine="482" w:firstLineChars="200"/>
        <w:rPr>
          <w:rFonts w:hint="eastAsia" w:ascii="宋体" w:hAnsi="宋体" w:cs="宋体"/>
          <w:b/>
          <w:sz w:val="24"/>
        </w:rPr>
      </w:pPr>
      <w:r>
        <w:rPr>
          <w:rFonts w:hint="eastAsia" w:ascii="宋体" w:hAnsi="宋体" w:cs="宋体"/>
          <w:b/>
          <w:sz w:val="24"/>
        </w:rPr>
        <w:t>（2）落实政府采购政策需满足的资格要求：</w:t>
      </w:r>
    </w:p>
    <w:p>
      <w:pPr>
        <w:spacing w:line="300" w:lineRule="auto"/>
        <w:ind w:firstLine="482" w:firstLineChars="200"/>
        <w:rPr>
          <w:rFonts w:hint="eastAsia" w:ascii="宋体" w:hAnsi="宋体" w:cs="宋体"/>
          <w:b/>
          <w:sz w:val="24"/>
          <w:highlight w:val="none"/>
        </w:rPr>
      </w:pPr>
      <w:r>
        <w:rPr>
          <w:rFonts w:hint="eastAsia" w:ascii="宋体" w:hAnsi="宋体" w:cs="宋体"/>
          <w:b/>
          <w:sz w:val="24"/>
          <w:highlight w:val="none"/>
        </w:rPr>
        <w:t xml:space="preserve">A、本标项不限，所有大中小微型企业均可参加投标。本项目接受中型企业与小微企业组成联合体投标，接受中型企业向一家或者多家小微企业分包。 如果大型企业参加投标，则须采用下列B或C选项规定的方式投标。 </w:t>
      </w:r>
    </w:p>
    <w:p>
      <w:pPr>
        <w:spacing w:line="360" w:lineRule="auto"/>
        <w:ind w:firstLine="482" w:firstLineChars="200"/>
        <w:rPr>
          <w:rFonts w:hint="eastAsia" w:ascii="宋体" w:hAnsi="宋体" w:cs="Arial"/>
          <w:sz w:val="24"/>
          <w:highlight w:val="none"/>
        </w:rPr>
      </w:pPr>
      <w:r>
        <w:rPr>
          <w:rFonts w:hint="eastAsia" w:ascii="宋体" w:hAnsi="宋体" w:cs="宋体"/>
          <w:b/>
          <w:sz w:val="24"/>
          <w:highlight w:val="none"/>
        </w:rPr>
        <w:t>B、</w:t>
      </w:r>
      <w:r>
        <w:rPr>
          <w:rFonts w:ascii="宋体" w:hAnsi="宋体" w:cs="Arial"/>
          <w:b/>
          <w:bCs/>
          <w:sz w:val="24"/>
          <w:highlight w:val="none"/>
        </w:rPr>
        <w:sym w:font="Wingdings" w:char="00FE"/>
      </w:r>
      <w:r>
        <w:rPr>
          <w:rFonts w:hint="eastAsia" w:ascii="宋体" w:hAnsi="宋体" w:cs="Arial"/>
          <w:sz w:val="24"/>
          <w:highlight w:val="none"/>
        </w:rPr>
        <w:t>合同分包，提供分包意向协议和中小企业声明函，分包意向协议中中小微企业合同金额应当达到合同总金额的40% 及以上；如果供应商本身提供所有标的均由中小微企业制造、承建或承接，视同符合了资格条件，无需再向中小微企业分包，无需提供分包意向协议。</w:t>
      </w:r>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C、</w:t>
      </w:r>
      <w:r>
        <w:rPr>
          <w:rFonts w:hint="eastAsia" w:ascii="宋体" w:hAnsi="宋体" w:cs="Arial"/>
          <w:sz w:val="24"/>
          <w:highlight w:val="none"/>
        </w:rPr>
        <w:sym w:font="Wingdings" w:char="00FE"/>
      </w:r>
      <w:r>
        <w:rPr>
          <w:rFonts w:hint="eastAsia" w:ascii="宋体" w:hAnsi="宋体" w:cs="Arial"/>
          <w:sz w:val="24"/>
          <w:highlight w:val="none"/>
        </w:rPr>
        <w:t>以联合体形式参加，提供联合协议和中小企业声明函，联合协议中中小微企业合同金额应当达到40%及以上；如果供应商本身提供所有标的均由中小微企业制造、承建或承接，视同符合了资格条件，无需再与其他中小微企业组成联合体参加政府采购活动，无需提供联合协议；</w:t>
      </w:r>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D、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hint="eastAsia" w:ascii="宋体" w:hAnsi="宋体" w:cs="宋体"/>
          <w:b/>
          <w:sz w:val="24"/>
          <w:highlight w:val="none"/>
        </w:rPr>
      </w:pPr>
      <w:r>
        <w:rPr>
          <w:rFonts w:hint="eastAsia" w:ascii="宋体" w:hAnsi="宋体" w:cs="Arial"/>
          <w:sz w:val="24"/>
          <w:highlight w:val="none"/>
        </w:rPr>
        <w:t>E、中小企业享受扶持政策获得政府采购合同的，小微企业不得将合同分包给大中型企业，中型企业不得将合同分包给大型企业。组成联合体或者接受分包的中小微企业与联合体内其他大中型企业、分包的大中型企业之间存在直接控股、管理关系的，不享受《政府采购促进中小企业发展管理办法》规定的优惠政策。</w:t>
      </w:r>
    </w:p>
    <w:p>
      <w:pPr>
        <w:spacing w:line="300" w:lineRule="auto"/>
        <w:ind w:firstLine="482" w:firstLineChars="200"/>
        <w:rPr>
          <w:rFonts w:hint="eastAsia" w:ascii="宋体" w:hAnsi="宋体" w:cs="宋体"/>
          <w:b/>
          <w:sz w:val="24"/>
          <w:highlight w:val="none"/>
        </w:rPr>
      </w:pPr>
      <w:r>
        <w:rPr>
          <w:rFonts w:hint="eastAsia" w:ascii="宋体" w:hAnsi="宋体" w:cs="宋体"/>
          <w:b/>
          <w:sz w:val="24"/>
          <w:highlight w:val="none"/>
        </w:rPr>
        <w:t>（3）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pPr>
        <w:snapToGrid w:val="0"/>
        <w:spacing w:line="312" w:lineRule="auto"/>
        <w:ind w:firstLine="482" w:firstLineChars="200"/>
        <w:rPr>
          <w:rFonts w:hint="eastAsia" w:ascii="宋体" w:hAnsi="宋体" w:cs="宋体"/>
          <w:sz w:val="24"/>
          <w:highlight w:val="none"/>
        </w:rPr>
      </w:pPr>
      <w:r>
        <w:rPr>
          <w:rFonts w:hint="eastAsia" w:ascii="宋体" w:hAnsi="宋体" w:cs="宋体"/>
          <w:b/>
          <w:kern w:val="0"/>
          <w:sz w:val="24"/>
          <w:highlight w:val="none"/>
        </w:rPr>
        <w:t>（4）▲投标人的特定条件：</w:t>
      </w:r>
    </w:p>
    <w:p>
      <w:pPr>
        <w:shd w:val="clear" w:color="auto" w:fill="FFFFFF"/>
        <w:snapToGrid w:val="0"/>
        <w:spacing w:line="312" w:lineRule="auto"/>
        <w:ind w:firstLine="482" w:firstLineChars="200"/>
        <w:rPr>
          <w:rFonts w:hint="eastAsia" w:ascii="宋体" w:hAnsi="宋体" w:cs="宋体"/>
          <w:b/>
          <w:bCs/>
          <w:sz w:val="24"/>
          <w:highlight w:val="none"/>
        </w:rPr>
      </w:pPr>
      <w:r>
        <w:rPr>
          <w:rFonts w:hint="eastAsia" w:ascii="宋体" w:hAnsi="宋体" w:cs="宋体"/>
          <w:b/>
          <w:bCs/>
          <w:sz w:val="24"/>
          <w:highlight w:val="none"/>
        </w:rPr>
        <w:t>A、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近三年各行政部门处罚的以上两网未记录的其他重大违法记录，经举报查实的，取消中标资格。</w:t>
      </w:r>
    </w:p>
    <w:p>
      <w:pPr>
        <w:shd w:val="clear" w:color="auto" w:fill="FFFFFF"/>
        <w:snapToGrid w:val="0"/>
        <w:spacing w:line="312" w:lineRule="auto"/>
        <w:ind w:firstLine="482" w:firstLineChars="200"/>
        <w:rPr>
          <w:rFonts w:hint="eastAsia"/>
          <w:highlight w:val="none"/>
        </w:rPr>
      </w:pPr>
      <w:r>
        <w:rPr>
          <w:rFonts w:hint="eastAsia" w:ascii="宋体" w:hAnsi="宋体" w:cs="宋体"/>
          <w:b/>
          <w:bCs/>
          <w:sz w:val="24"/>
          <w:highlight w:val="none"/>
        </w:rPr>
        <w:t>B、组成联合体投标的,提供联合协议和中小企业声明函；向小微企业合理分包的,提供分包意向协议和中小企业声明函；中小微企业投标的，提供中小企业声明函。</w:t>
      </w:r>
    </w:p>
    <w:p>
      <w:pPr>
        <w:snapToGrid w:val="0"/>
        <w:spacing w:line="288" w:lineRule="auto"/>
        <w:ind w:left="479" w:leftChars="228"/>
        <w:rPr>
          <w:rStyle w:val="72"/>
          <w:rFonts w:hint="eastAsia" w:ascii="宋体" w:hAnsi="宋体" w:cs="宋体"/>
          <w:sz w:val="24"/>
          <w:highlight w:val="none"/>
        </w:rPr>
      </w:pPr>
      <w:r>
        <w:rPr>
          <w:rStyle w:val="72"/>
          <w:rFonts w:hint="eastAsia" w:ascii="宋体" w:hAnsi="宋体" w:cs="宋体"/>
          <w:sz w:val="24"/>
          <w:highlight w:val="none"/>
        </w:rPr>
        <w:t>三、采购文件的获取：</w:t>
      </w:r>
    </w:p>
    <w:p>
      <w:pPr>
        <w:snapToGrid w:val="0"/>
        <w:spacing w:line="288" w:lineRule="auto"/>
        <w:ind w:left="479" w:leftChars="228"/>
        <w:rPr>
          <w:rFonts w:hint="eastAsia" w:ascii="宋体" w:hAnsi="宋体" w:cs="宋体"/>
          <w:b/>
          <w:bCs/>
          <w:sz w:val="24"/>
          <w:highlight w:val="none"/>
        </w:rPr>
      </w:pPr>
      <w:r>
        <w:rPr>
          <w:rFonts w:hint="eastAsia" w:ascii="宋体" w:hAnsi="宋体" w:cs="宋体"/>
          <w:b/>
          <w:bCs/>
          <w:sz w:val="24"/>
          <w:highlight w:val="none"/>
        </w:rPr>
        <w:t>（1）网上获取：</w:t>
      </w:r>
    </w:p>
    <w:p>
      <w:pPr>
        <w:tabs>
          <w:tab w:val="left" w:pos="3150"/>
        </w:tabs>
        <w:snapToGrid w:val="0"/>
        <w:spacing w:line="288" w:lineRule="auto"/>
        <w:ind w:left="19" w:leftChars="9" w:firstLine="460" w:firstLineChars="191"/>
        <w:rPr>
          <w:rFonts w:hint="eastAsia" w:ascii="宋体" w:hAnsi="宋体" w:cs="宋体"/>
          <w:b/>
          <w:bCs/>
          <w:sz w:val="24"/>
        </w:rPr>
      </w:pPr>
      <w:r>
        <w:rPr>
          <w:rFonts w:hint="eastAsia" w:ascii="宋体" w:hAnsi="宋体" w:cs="宋体"/>
          <w:b/>
          <w:bCs/>
          <w:sz w:val="24"/>
          <w:highlight w:val="none"/>
        </w:rPr>
        <w:t>A、由投标单位通过浙江省政府采购网(</w:t>
      </w:r>
      <w:r>
        <w:rPr>
          <w:rFonts w:hint="eastAsia" w:ascii="宋体" w:hAnsi="宋体" w:cs="宋体"/>
          <w:b/>
          <w:bCs/>
          <w:sz w:val="24"/>
          <w:highlight w:val="none"/>
        </w:rPr>
        <w:drawing>
          <wp:inline distT="0" distB="0" distL="114300" distR="114300">
            <wp:extent cx="191135" cy="142240"/>
            <wp:effectExtent l="0" t="0" r="18415"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8"/>
                    <a:stretch>
                      <a:fillRect/>
                    </a:stretch>
                  </pic:blipFill>
                  <pic:spPr>
                    <a:xfrm>
                      <a:off x="0" y="0"/>
                      <a:ext cx="191135" cy="142240"/>
                    </a:xfrm>
                    <a:prstGeom prst="rect">
                      <a:avLst/>
                    </a:prstGeom>
                    <a:noFill/>
                    <a:ln>
                      <a:noFill/>
                    </a:ln>
                  </pic:spPr>
                </pic:pic>
              </a:graphicData>
            </a:graphic>
          </wp:inline>
        </w:drawing>
      </w:r>
      <w:r>
        <w:rPr>
          <w:rFonts w:hint="eastAsia" w:ascii="宋体" w:hAnsi="宋体" w:cs="宋体"/>
          <w:b/>
          <w:bCs/>
          <w:sz w:val="24"/>
          <w:highlight w:val="none"/>
        </w:rPr>
        <w:t>http://zfcg.czt.zj.gov.cn/)上的登录系统进行获取（首次参加投标的单位应先登录浙江省政</w:t>
      </w:r>
      <w:r>
        <w:rPr>
          <w:rFonts w:hint="eastAsia" w:ascii="宋体" w:hAnsi="宋体" w:cs="宋体"/>
          <w:b/>
          <w:bCs/>
          <w:sz w:val="24"/>
        </w:rPr>
        <w:t>府采购网(</w:t>
      </w:r>
      <w:r>
        <w:rPr>
          <w:rFonts w:hint="eastAsia" w:ascii="宋体" w:hAnsi="宋体" w:cs="宋体"/>
          <w:b/>
          <w:bCs/>
          <w:sz w:val="24"/>
        </w:rPr>
        <w:drawing>
          <wp:inline distT="0" distB="0" distL="114300" distR="114300">
            <wp:extent cx="191135" cy="142240"/>
            <wp:effectExtent l="0" t="0" r="18415" b="10160"/>
            <wp:docPr id="2"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0"/>
                    <pic:cNvPicPr>
                      <a:picLocks noChangeAspect="1"/>
                    </pic:cNvPicPr>
                  </pic:nvPicPr>
                  <pic:blipFill>
                    <a:blip r:embed="rId28"/>
                    <a:stretch>
                      <a:fillRect/>
                    </a:stretch>
                  </pic:blipFill>
                  <pic:spPr>
                    <a:xfrm>
                      <a:off x="0" y="0"/>
                      <a:ext cx="191135" cy="142240"/>
                    </a:xfrm>
                    <a:prstGeom prst="rect">
                      <a:avLst/>
                    </a:prstGeom>
                    <a:noFill/>
                    <a:ln>
                      <a:noFill/>
                    </a:ln>
                  </pic:spPr>
                </pic:pic>
              </a:graphicData>
            </a:graphic>
          </wp:inline>
        </w:drawing>
      </w:r>
      <w:r>
        <w:rPr>
          <w:rFonts w:hint="eastAsia" w:ascii="宋体" w:hAnsi="宋体" w:cs="宋体"/>
          <w:b/>
          <w:bCs/>
          <w:sz w:val="24"/>
        </w:rPr>
        <w:t>http://zfcg.czt.zj.gov.cn/)进行账户注册，注册完毕待审核成功后方可登录获取，注册咨询电话：400-881-7190；注册流程见网址</w:t>
      </w:r>
    </w:p>
    <w:p>
      <w:pPr>
        <w:tabs>
          <w:tab w:val="left" w:pos="3150"/>
        </w:tabs>
        <w:snapToGrid w:val="0"/>
        <w:spacing w:line="288" w:lineRule="auto"/>
        <w:ind w:left="19" w:leftChars="9" w:firstLine="460" w:firstLineChars="191"/>
        <w:rPr>
          <w:rFonts w:hint="eastAsia" w:ascii="宋体" w:hAnsi="宋体" w:cs="宋体"/>
          <w:b/>
          <w:bCs/>
          <w:sz w:val="24"/>
        </w:rPr>
      </w:pPr>
      <w:r>
        <w:rPr>
          <w:rFonts w:hint="eastAsia" w:ascii="宋体" w:hAnsi="宋体" w:cs="宋体"/>
          <w:b/>
          <w:bCs/>
          <w:sz w:val="24"/>
        </w:rPr>
        <w:drawing>
          <wp:inline distT="0" distB="0" distL="114300" distR="114300">
            <wp:extent cx="191135" cy="142240"/>
            <wp:effectExtent l="0" t="0" r="18415" b="1016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28"/>
                    <a:stretch>
                      <a:fillRect/>
                    </a:stretch>
                  </pic:blipFill>
                  <pic:spPr>
                    <a:xfrm>
                      <a:off x="0" y="0"/>
                      <a:ext cx="191135" cy="142240"/>
                    </a:xfrm>
                    <a:prstGeom prst="rect">
                      <a:avLst/>
                    </a:prstGeom>
                    <a:noFill/>
                    <a:ln>
                      <a:noFill/>
                    </a:ln>
                  </pic:spPr>
                </pic:pic>
              </a:graphicData>
            </a:graphic>
          </wp:inline>
        </w:drawing>
      </w:r>
      <w:r>
        <w:rPr>
          <w:rFonts w:hint="eastAsia" w:ascii="宋体" w:hAnsi="宋体" w:cs="宋体"/>
          <w:sz w:val="24"/>
        </w:rPr>
        <w:fldChar w:fldCharType="begin"/>
      </w:r>
      <w:r>
        <w:rPr>
          <w:rFonts w:hint="eastAsia" w:ascii="宋体" w:hAnsi="宋体" w:cs="宋体"/>
          <w:sz w:val="24"/>
        </w:rPr>
        <w:instrText xml:space="preserve"> HYPERLINK "http://zfcg.czt.zj.gov.cn/register/2017-07-24/6728.html?" </w:instrText>
      </w:r>
      <w:r>
        <w:rPr>
          <w:rFonts w:hint="eastAsia" w:ascii="宋体" w:hAnsi="宋体" w:cs="宋体"/>
          <w:sz w:val="24"/>
        </w:rPr>
        <w:fldChar w:fldCharType="separate"/>
      </w:r>
      <w:r>
        <w:rPr>
          <w:rStyle w:val="54"/>
          <w:rFonts w:hint="eastAsia" w:ascii="宋体" w:hAnsi="宋体" w:cs="宋体"/>
          <w:color w:val="auto"/>
          <w:sz w:val="24"/>
        </w:rPr>
        <w:t>http://zfcg.czt.zj.gov.cn/register/2017-07-24/6728.html?</w:t>
      </w:r>
      <w:r>
        <w:rPr>
          <w:rFonts w:hint="eastAsia" w:ascii="宋体" w:hAnsi="宋体" w:cs="宋体"/>
          <w:sz w:val="24"/>
        </w:rPr>
        <w:fldChar w:fldCharType="end"/>
      </w:r>
      <w:r>
        <w:rPr>
          <w:rFonts w:hint="eastAsia" w:ascii="宋体" w:hAnsi="宋体" w:cs="宋体"/>
          <w:b/>
          <w:bCs/>
          <w:sz w:val="24"/>
        </w:rPr>
        <w:t>）</w:t>
      </w:r>
    </w:p>
    <w:p>
      <w:pPr>
        <w:tabs>
          <w:tab w:val="left" w:pos="3150"/>
        </w:tabs>
        <w:snapToGrid w:val="0"/>
        <w:spacing w:line="288" w:lineRule="auto"/>
        <w:ind w:left="19" w:leftChars="9" w:firstLine="458" w:firstLineChars="191"/>
        <w:rPr>
          <w:rFonts w:hint="eastAsia" w:ascii="宋体" w:hAnsi="宋体" w:cs="宋体"/>
          <w:sz w:val="24"/>
        </w:rPr>
      </w:pPr>
      <w:r>
        <w:rPr>
          <w:rFonts w:hint="eastAsia" w:ascii="宋体" w:hAnsi="宋体" w:cs="宋体"/>
          <w:sz w:val="24"/>
        </w:rPr>
        <w:t>B、网上获取截止日期：</w:t>
      </w:r>
      <w:r>
        <w:rPr>
          <w:rFonts w:hint="eastAsia" w:ascii="宋体" w:hAnsi="宋体" w:cs="宋体"/>
          <w:b/>
          <w:bCs/>
          <w:sz w:val="24"/>
          <w:u w:val="single"/>
        </w:rPr>
        <w:t>2022年8月2日17：00时</w:t>
      </w:r>
      <w:r>
        <w:rPr>
          <w:rFonts w:hint="eastAsia" w:ascii="宋体" w:hAnsi="宋体" w:cs="宋体"/>
          <w:sz w:val="24"/>
        </w:rPr>
        <w:t>止；若截止时间后仍欲获取请按以下（2）执行。</w:t>
      </w:r>
    </w:p>
    <w:p>
      <w:pPr>
        <w:adjustRightInd w:val="0"/>
        <w:snapToGrid w:val="0"/>
        <w:spacing w:line="288" w:lineRule="auto"/>
        <w:ind w:firstLine="482" w:firstLineChars="200"/>
        <w:jc w:val="left"/>
        <w:rPr>
          <w:rFonts w:hint="eastAsia" w:ascii="宋体" w:hAnsi="宋体" w:cs="宋体"/>
          <w:b/>
          <w:bCs/>
          <w:sz w:val="24"/>
        </w:rPr>
      </w:pPr>
      <w:r>
        <w:rPr>
          <w:rFonts w:hint="eastAsia" w:ascii="宋体" w:hAnsi="宋体" w:cs="宋体"/>
          <w:b/>
          <w:bCs/>
          <w:sz w:val="24"/>
        </w:rPr>
        <w:t>（2）</w:t>
      </w:r>
      <w:r>
        <w:rPr>
          <w:rFonts w:hint="eastAsia" w:ascii="宋体" w:hAnsi="宋体" w:cs="宋体"/>
          <w:sz w:val="24"/>
        </w:rPr>
        <w:t>在网上获取截止时间之后至</w:t>
      </w:r>
      <w:r>
        <w:rPr>
          <w:rFonts w:hint="eastAsia" w:ascii="宋体" w:hAnsi="宋体" w:cs="宋体"/>
          <w:b/>
          <w:bCs/>
          <w:sz w:val="24"/>
          <w:u w:val="single"/>
        </w:rPr>
        <w:t>2022年8月16日17：00</w:t>
      </w:r>
      <w:r>
        <w:rPr>
          <w:rFonts w:hint="eastAsia" w:ascii="宋体" w:hAnsi="宋体" w:cs="宋体"/>
          <w:sz w:val="24"/>
        </w:rPr>
        <w:t>止，仍允许供应商继续获取采购文件，但在“</w:t>
      </w:r>
      <w:r>
        <w:rPr>
          <w:rFonts w:hint="eastAsia" w:ascii="宋体" w:hAnsi="宋体" w:cs="宋体"/>
          <w:b/>
          <w:bCs/>
          <w:sz w:val="24"/>
          <w:u w:val="single"/>
          <w:shd w:val="clear" w:color="auto" w:fill="FFFFFF"/>
        </w:rPr>
        <w:t>质疑期限届满之日</w:t>
      </w:r>
      <w:r>
        <w:rPr>
          <w:rFonts w:hint="eastAsia" w:ascii="宋体" w:hAnsi="宋体" w:cs="宋体"/>
          <w:sz w:val="24"/>
        </w:rPr>
        <w:t>”后获取采购文件的潜在投标人如对采购文件有异议的，金华市公共资源交易中心东阳分中心可不予受理、答复。</w:t>
      </w:r>
    </w:p>
    <w:p>
      <w:pPr>
        <w:adjustRightInd w:val="0"/>
        <w:snapToGrid w:val="0"/>
        <w:spacing w:line="312" w:lineRule="auto"/>
        <w:ind w:firstLine="482" w:firstLineChars="200"/>
        <w:jc w:val="left"/>
        <w:rPr>
          <w:rFonts w:hint="eastAsia" w:ascii="宋体" w:hAnsi="宋体" w:cs="宋体"/>
          <w:sz w:val="24"/>
        </w:rPr>
      </w:pPr>
      <w:r>
        <w:rPr>
          <w:rFonts w:hint="eastAsia" w:ascii="宋体" w:hAnsi="宋体" w:cs="宋体"/>
          <w:b/>
          <w:bCs/>
          <w:sz w:val="24"/>
        </w:rPr>
        <w:t>（3）招标文件的获取方式：</w:t>
      </w:r>
      <w:r>
        <w:rPr>
          <w:rFonts w:hint="eastAsia" w:ascii="宋体" w:hAnsi="宋体" w:cs="宋体"/>
          <w:sz w:val="24"/>
        </w:rPr>
        <w:t>招标人不再向投标人提供纸质招标文件，请投标人自行在下列网址下载电子版的招标文件，招标文件不收工本费。</w:t>
      </w:r>
    </w:p>
    <w:p>
      <w:pPr>
        <w:adjustRightInd w:val="0"/>
        <w:snapToGrid w:val="0"/>
        <w:spacing w:line="312" w:lineRule="auto"/>
        <w:ind w:firstLine="480" w:firstLineChars="200"/>
        <w:jc w:val="left"/>
        <w:rPr>
          <w:rFonts w:hint="eastAsia" w:ascii="宋体" w:hAnsi="宋体" w:cs="宋体"/>
          <w:b/>
          <w:sz w:val="24"/>
        </w:rPr>
      </w:pPr>
      <w:r>
        <w:rPr>
          <w:rFonts w:hint="eastAsia" w:ascii="宋体" w:hAnsi="宋体" w:cs="宋体"/>
          <w:sz w:val="24"/>
        </w:rPr>
        <w:t>浙江省政府采购网(</w:t>
      </w:r>
      <w:r>
        <w:rPr>
          <w:rFonts w:hint="eastAsia" w:ascii="宋体" w:hAnsi="宋体" w:cs="宋体"/>
          <w:sz w:val="24"/>
        </w:rPr>
        <w:drawing>
          <wp:inline distT="0" distB="0" distL="114300" distR="114300">
            <wp:extent cx="191135" cy="142240"/>
            <wp:effectExtent l="0" t="0" r="18415" b="1016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28"/>
                    <a:stretch>
                      <a:fillRect/>
                    </a:stretch>
                  </pic:blipFill>
                  <pic:spPr>
                    <a:xfrm>
                      <a:off x="0" y="0"/>
                      <a:ext cx="191135" cy="142240"/>
                    </a:xfrm>
                    <a:prstGeom prst="rect">
                      <a:avLst/>
                    </a:prstGeom>
                    <a:noFill/>
                    <a:ln>
                      <a:noFill/>
                    </a:ln>
                  </pic:spPr>
                </pic:pic>
              </a:graphicData>
            </a:graphic>
          </wp:inline>
        </w:drawing>
      </w:r>
      <w:r>
        <w:rPr>
          <w:rFonts w:hint="eastAsia" w:ascii="宋体" w:hAnsi="宋体" w:cs="宋体"/>
          <w:b/>
          <w:bCs/>
          <w:sz w:val="24"/>
        </w:rPr>
        <w:t>http://zfcg.czt.zj.gov.cn/</w:t>
      </w:r>
      <w:r>
        <w:rPr>
          <w:rFonts w:hint="eastAsia" w:ascii="宋体" w:hAnsi="宋体" w:cs="宋体"/>
          <w:sz w:val="24"/>
        </w:rPr>
        <w:t>)；东阳市公共资源交易网(</w:t>
      </w:r>
      <w:r>
        <w:rPr>
          <w:rFonts w:hint="eastAsia" w:ascii="宋体" w:hAnsi="宋体" w:cs="宋体"/>
          <w:sz w:val="24"/>
        </w:rPr>
        <w:drawing>
          <wp:inline distT="0" distB="0" distL="114300" distR="114300">
            <wp:extent cx="191135" cy="142240"/>
            <wp:effectExtent l="0" t="0" r="18415" b="10160"/>
            <wp:docPr id="5" name="图片 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0"/>
                    <pic:cNvPicPr>
                      <a:picLocks noChangeAspect="1"/>
                    </pic:cNvPicPr>
                  </pic:nvPicPr>
                  <pic:blipFill>
                    <a:blip r:embed="rId28"/>
                    <a:stretch>
                      <a:fillRect/>
                    </a:stretch>
                  </pic:blipFill>
                  <pic:spPr>
                    <a:xfrm>
                      <a:off x="0" y="0"/>
                      <a:ext cx="191135" cy="142240"/>
                    </a:xfrm>
                    <a:prstGeom prst="rect">
                      <a:avLst/>
                    </a:prstGeom>
                    <a:noFill/>
                    <a:ln>
                      <a:noFill/>
                    </a:ln>
                  </pic:spPr>
                </pic:pic>
              </a:graphicData>
            </a:graphic>
          </wp:inline>
        </w:drawing>
      </w:r>
      <w:r>
        <w:rPr>
          <w:rFonts w:hint="eastAsia" w:ascii="宋体" w:hAnsi="宋体" w:cs="宋体"/>
          <w:sz w:val="24"/>
          <w:u w:val="single"/>
        </w:rPr>
        <w:t>http://www.dongyang.gov.cn/ggzyjy/</w:t>
      </w:r>
      <w:r>
        <w:rPr>
          <w:rFonts w:hint="eastAsia" w:ascii="宋体" w:hAnsi="宋体" w:cs="宋体"/>
          <w:sz w:val="24"/>
        </w:rPr>
        <w:t>)</w:t>
      </w:r>
    </w:p>
    <w:p>
      <w:pPr>
        <w:snapToGrid w:val="0"/>
        <w:spacing w:line="312" w:lineRule="auto"/>
        <w:ind w:firstLine="482" w:firstLineChars="200"/>
        <w:jc w:val="left"/>
        <w:rPr>
          <w:rFonts w:hint="eastAsia" w:ascii="宋体" w:hAnsi="宋体" w:cs="宋体"/>
          <w:sz w:val="24"/>
        </w:rPr>
      </w:pPr>
      <w:r>
        <w:rPr>
          <w:rFonts w:hint="eastAsia" w:ascii="宋体" w:hAnsi="宋体" w:cs="宋体"/>
          <w:b/>
          <w:bCs/>
          <w:sz w:val="24"/>
        </w:rPr>
        <w:t>四、投标截止时间和地点</w:t>
      </w:r>
      <w:r>
        <w:rPr>
          <w:rFonts w:hint="eastAsia" w:ascii="宋体" w:hAnsi="宋体" w:cs="宋体"/>
          <w:sz w:val="24"/>
        </w:rPr>
        <w:t>：</w:t>
      </w:r>
    </w:p>
    <w:p>
      <w:pPr>
        <w:snapToGrid w:val="0"/>
        <w:spacing w:line="312" w:lineRule="auto"/>
        <w:ind w:firstLine="480" w:firstLineChars="200"/>
        <w:jc w:val="left"/>
        <w:rPr>
          <w:rFonts w:hint="eastAsia" w:ascii="宋体" w:hAnsi="宋体" w:cs="宋体"/>
          <w:sz w:val="24"/>
          <w:highlight w:val="none"/>
        </w:rPr>
      </w:pPr>
      <w:r>
        <w:rPr>
          <w:rFonts w:hint="eastAsia" w:ascii="宋体" w:hAnsi="宋体" w:cs="宋体"/>
          <w:sz w:val="24"/>
        </w:rPr>
        <w:t>投标截止时间</w:t>
      </w:r>
      <w:r>
        <w:rPr>
          <w:rFonts w:hint="eastAsia" w:ascii="宋体" w:hAnsi="宋体" w:cs="宋体"/>
          <w:b/>
          <w:bCs/>
          <w:sz w:val="24"/>
          <w:u w:val="single"/>
        </w:rPr>
        <w:t>2022年8月16日08：30</w:t>
      </w:r>
      <w:r>
        <w:rPr>
          <w:rFonts w:hint="eastAsia" w:ascii="宋体" w:hAnsi="宋体" w:cs="宋体"/>
          <w:sz w:val="24"/>
        </w:rPr>
        <w:t>时。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pPr>
        <w:snapToGrid w:val="0"/>
        <w:spacing w:line="312"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投标人可以在投标截止时间前将电子备份投标文件（经政采云电子交易客户端和CA驱动制作出的后缀名为“bfbs”的加密电子备份投标文件）发送至邮箱：961424781@qq.com，逾期发送或发错后缀名的备份投标文件将被视为无效；电子备份投标文件的提交不作强制要求。</w:t>
      </w:r>
    </w:p>
    <w:p>
      <w:pPr>
        <w:snapToGrid w:val="0"/>
        <w:spacing w:line="312" w:lineRule="auto"/>
        <w:ind w:firstLine="482" w:firstLineChars="200"/>
        <w:jc w:val="left"/>
        <w:rPr>
          <w:rFonts w:hint="eastAsia" w:ascii="宋体" w:hAnsi="宋体" w:cs="宋体"/>
          <w:b/>
          <w:bCs/>
          <w:sz w:val="24"/>
        </w:rPr>
      </w:pPr>
      <w:r>
        <w:rPr>
          <w:rFonts w:hint="eastAsia" w:ascii="宋体" w:hAnsi="宋体" w:cs="宋体"/>
          <w:b/>
          <w:bCs/>
          <w:sz w:val="24"/>
        </w:rPr>
        <w:t>五、开标时间：</w:t>
      </w:r>
    </w:p>
    <w:p>
      <w:pPr>
        <w:snapToGrid w:val="0"/>
        <w:spacing w:line="312" w:lineRule="auto"/>
        <w:ind w:firstLine="480" w:firstLineChars="200"/>
        <w:rPr>
          <w:rFonts w:hint="eastAsia" w:ascii="宋体" w:hAnsi="宋体" w:cs="宋体"/>
          <w:b/>
          <w:bCs/>
          <w:sz w:val="24"/>
        </w:rPr>
      </w:pPr>
      <w:r>
        <w:rPr>
          <w:rFonts w:hint="eastAsia" w:ascii="宋体" w:hAnsi="宋体" w:cs="宋体"/>
          <w:sz w:val="24"/>
        </w:rPr>
        <w:t>本项目开标时间：</w:t>
      </w:r>
      <w:r>
        <w:rPr>
          <w:rFonts w:hint="eastAsia" w:ascii="宋体" w:hAnsi="宋体" w:cs="宋体"/>
          <w:b/>
          <w:bCs/>
          <w:sz w:val="24"/>
          <w:u w:val="single"/>
        </w:rPr>
        <w:t>2022年8月16日08：30时</w:t>
      </w:r>
      <w:r>
        <w:rPr>
          <w:rFonts w:hint="eastAsia" w:ascii="宋体" w:hAnsi="宋体" w:cs="宋体"/>
          <w:b/>
          <w:bCs/>
          <w:sz w:val="24"/>
        </w:rPr>
        <w:t>。本项目不要求投标人到开标现场开标，但投标人应派法定代表人或委托代理人【委托代理人应当是投标人的在职正式职工（以社保网站拉具的含授权代表的投标单位社保清单为准，无社保网站拉具的投标单位社保清单的，可以提供投标人注册所在地社保部门出具的投标人本单位缴纳社保花名册）】准时在线出席电子开标会议，随时关注开标进度，如在开标过程中有电子询标，应在规定的时间内对电子询标函进行澄清、答复。</w:t>
      </w:r>
    </w:p>
    <w:p>
      <w:pPr>
        <w:snapToGrid w:val="0"/>
        <w:spacing w:line="312" w:lineRule="auto"/>
        <w:ind w:firstLine="482" w:firstLineChars="200"/>
        <w:rPr>
          <w:rFonts w:hint="eastAsia" w:ascii="宋体" w:hAnsi="宋体" w:cs="宋体"/>
          <w:b/>
          <w:bCs/>
          <w:sz w:val="24"/>
        </w:rPr>
      </w:pPr>
      <w:r>
        <w:rPr>
          <w:rFonts w:hint="eastAsia" w:ascii="宋体" w:hAnsi="宋体" w:cs="宋体"/>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由采购代理机构开启投标文件。</w:t>
      </w:r>
    </w:p>
    <w:p>
      <w:pPr>
        <w:snapToGrid w:val="0"/>
        <w:spacing w:line="312" w:lineRule="auto"/>
        <w:ind w:firstLine="482" w:firstLineChars="200"/>
        <w:rPr>
          <w:rFonts w:hint="eastAsia" w:ascii="宋体" w:hAnsi="宋体" w:cs="宋体"/>
          <w:strike/>
          <w:sz w:val="24"/>
        </w:rPr>
      </w:pPr>
      <w:r>
        <w:rPr>
          <w:rFonts w:hint="eastAsia" w:ascii="宋体" w:hAnsi="宋体" w:cs="宋体"/>
          <w:b/>
          <w:sz w:val="24"/>
        </w:rPr>
        <w:t>六、开标会议：</w:t>
      </w:r>
    </w:p>
    <w:p>
      <w:pPr>
        <w:snapToGrid w:val="0"/>
        <w:spacing w:line="312" w:lineRule="auto"/>
        <w:ind w:firstLine="482" w:firstLineChars="200"/>
        <w:rPr>
          <w:rFonts w:hint="eastAsia" w:ascii="宋体" w:hAnsi="宋体" w:cs="宋体"/>
        </w:rPr>
      </w:pPr>
      <w:r>
        <w:rPr>
          <w:rFonts w:hint="eastAsia" w:ascii="宋体" w:hAnsi="宋体" w:cs="宋体"/>
          <w:b/>
          <w:bCs/>
          <w:sz w:val="24"/>
        </w:rPr>
        <w:t>本项目不要求投标人到开标现场开标，但投标人应派法定代表人或委托代理人【委托代理人应当是投标人的在职正式职工（以社保网站拉具的含授权代表的投标单位社保清单为准，无社保网站拉具的投标单位社保清单的，可以提供投标人注册所在地社保部门出具的投标人本单位缴纳社保花名册）】准时在线出席电子开标会议，随时关注开标进度，如在开标过程中有电子询标，应在规定的时间内对电子询标函进行澄清、答复。</w:t>
      </w:r>
    </w:p>
    <w:p>
      <w:pPr>
        <w:snapToGrid w:val="0"/>
        <w:spacing w:line="312" w:lineRule="auto"/>
        <w:ind w:firstLine="482" w:firstLineChars="200"/>
        <w:rPr>
          <w:rFonts w:hint="eastAsia" w:ascii="宋体" w:hAnsi="宋体" w:cs="宋体"/>
          <w:b/>
          <w:bCs/>
          <w:sz w:val="24"/>
        </w:rPr>
      </w:pPr>
      <w:r>
        <w:rPr>
          <w:rFonts w:hint="eastAsia" w:ascii="宋体" w:hAnsi="宋体" w:cs="宋体"/>
          <w:b/>
          <w:bCs/>
          <w:sz w:val="24"/>
        </w:rPr>
        <w:t>投标人未按招标文件要求派代表参加电子开标会议的，视同认可开标结果，不得对开标过程及开标结果提出质疑。</w:t>
      </w:r>
    </w:p>
    <w:p>
      <w:pPr>
        <w:widowControl/>
        <w:snapToGrid w:val="0"/>
        <w:spacing w:line="312" w:lineRule="auto"/>
        <w:ind w:firstLine="482" w:firstLineChars="200"/>
        <w:jc w:val="left"/>
        <w:rPr>
          <w:rFonts w:hint="eastAsia" w:ascii="宋体" w:hAnsi="宋体" w:cs="宋体"/>
          <w:sz w:val="24"/>
        </w:rPr>
      </w:pPr>
      <w:r>
        <w:rPr>
          <w:rFonts w:hint="eastAsia" w:ascii="宋体" w:hAnsi="宋体" w:cs="宋体"/>
          <w:b/>
          <w:bCs/>
          <w:sz w:val="24"/>
        </w:rPr>
        <w:t>七、</w:t>
      </w:r>
      <w:r>
        <w:rPr>
          <w:rFonts w:hint="eastAsia" w:ascii="宋体" w:hAnsi="宋体" w:cs="宋体"/>
          <w:b/>
          <w:sz w:val="24"/>
        </w:rPr>
        <w:t>投标说明</w:t>
      </w:r>
    </w:p>
    <w:p>
      <w:pPr>
        <w:snapToGrid w:val="0"/>
        <w:spacing w:line="312" w:lineRule="auto"/>
        <w:ind w:firstLine="482" w:firstLineChars="200"/>
        <w:rPr>
          <w:rFonts w:hint="eastAsia" w:ascii="宋体" w:hAnsi="宋体" w:cs="宋体"/>
          <w:b/>
          <w:bCs/>
          <w:sz w:val="24"/>
        </w:rPr>
      </w:pPr>
      <w:r>
        <w:rPr>
          <w:rFonts w:hint="eastAsia" w:ascii="宋体" w:hAnsi="宋体" w:cs="宋体"/>
          <w:b/>
          <w:bCs/>
          <w:sz w:val="24"/>
        </w:rPr>
        <w:t>1、本项目采用电子投标，各潜在供应商应按照本项目的招标文件和政采云平台的要求编制、加密并递交投标文件。供应商在使用系统进行投标的过程中遇到的涉及平台使用的任何问题，可致电政采云平台技术支持热线，联系方式：400-881-7190。</w:t>
      </w:r>
    </w:p>
    <w:p>
      <w:pPr>
        <w:snapToGrid w:val="0"/>
        <w:spacing w:line="312" w:lineRule="auto"/>
        <w:ind w:firstLine="482" w:firstLineChars="200"/>
        <w:rPr>
          <w:rFonts w:hint="eastAsia" w:ascii="宋体" w:hAnsi="宋体" w:cs="宋体"/>
          <w:b/>
        </w:rPr>
      </w:pPr>
      <w:r>
        <w:rPr>
          <w:rFonts w:hint="eastAsia" w:ascii="宋体" w:hAnsi="宋体" w:cs="宋体"/>
          <w:b/>
          <w:bCs/>
          <w:sz w:val="24"/>
        </w:rPr>
        <w:t>2、各潜在供应商应在开标前完成CA数字证书办理。（办理流程详见</w:t>
      </w:r>
      <w:r>
        <w:rPr>
          <w:rFonts w:hint="eastAsia" w:ascii="宋体" w:hAnsi="宋体" w:cs="宋体"/>
          <w:b/>
          <w:bCs/>
          <w:sz w:val="24"/>
        </w:rPr>
        <w:fldChar w:fldCharType="begin"/>
      </w:r>
      <w:r>
        <w:rPr>
          <w:rFonts w:hint="eastAsia" w:ascii="宋体" w:hAnsi="宋体" w:cs="宋体"/>
          <w:b/>
          <w:bCs/>
          <w:sz w:val="24"/>
        </w:rPr>
        <w:instrText xml:space="preserve"> HYPERLINK "http://zfcg.czt.zj.gov.cn/bidClientTemplate/2019-05-27/12945.html" </w:instrText>
      </w:r>
      <w:r>
        <w:rPr>
          <w:rFonts w:hint="eastAsia" w:ascii="宋体" w:hAnsi="宋体" w:cs="宋体"/>
          <w:b/>
          <w:bCs/>
          <w:sz w:val="24"/>
        </w:rPr>
        <w:fldChar w:fldCharType="separate"/>
      </w:r>
      <w:r>
        <w:rPr>
          <w:rFonts w:hint="eastAsia" w:ascii="宋体" w:hAnsi="宋体" w:cs="宋体"/>
          <w:b/>
          <w:bCs/>
          <w:sz w:val="24"/>
        </w:rPr>
        <w:t>http://zfcg.czt.zj.gov.cn/bidClientTemplate/2019-05-27/12945.html</w:t>
      </w:r>
      <w:r>
        <w:rPr>
          <w:rFonts w:hint="eastAsia" w:ascii="宋体" w:hAnsi="宋体" w:cs="宋体"/>
          <w:b/>
          <w:bCs/>
          <w:sz w:val="24"/>
        </w:rPr>
        <w:fldChar w:fldCharType="end"/>
      </w:r>
      <w:r>
        <w:rPr>
          <w:rFonts w:hint="eastAsia" w:ascii="宋体" w:hAnsi="宋体" w:cs="宋体"/>
          <w:b/>
          <w:bCs/>
          <w:sz w:val="24"/>
        </w:rPr>
        <w:t>）。CA数字证书申请后至办理</w:t>
      </w:r>
      <w:r>
        <w:rPr>
          <w:rFonts w:hint="eastAsia" w:ascii="宋体" w:hAnsi="宋体" w:cs="宋体"/>
          <w:b/>
        </w:rPr>
        <w:t>成功预计需一周左右的时间，请各潜在供应商预留好相应的时间，抓紧办理。</w:t>
      </w:r>
    </w:p>
    <w:p>
      <w:pPr>
        <w:wordWrap w:val="0"/>
        <w:snapToGrid w:val="0"/>
        <w:spacing w:line="312" w:lineRule="auto"/>
        <w:ind w:firstLine="482" w:firstLineChars="200"/>
        <w:rPr>
          <w:rFonts w:hint="eastAsia" w:ascii="宋体" w:hAnsi="宋体" w:cs="宋体"/>
          <w:b/>
          <w:sz w:val="24"/>
        </w:rPr>
      </w:pPr>
      <w:r>
        <w:rPr>
          <w:rFonts w:hint="eastAsia" w:ascii="宋体" w:hAnsi="宋体" w:cs="宋体"/>
          <w:b/>
          <w:sz w:val="24"/>
        </w:rPr>
        <w:t>3、投标人通过政采云平台电子投标工具制作投标文件，电子投标工具请各潜在供应商自行前往浙江省政府采购网下载并安装（下载网址：</w:t>
      </w:r>
      <w:r>
        <w:rPr>
          <w:rFonts w:hint="eastAsia" w:ascii="宋体" w:hAnsi="宋体" w:cs="宋体"/>
          <w:sz w:val="24"/>
        </w:rPr>
        <w:fldChar w:fldCharType="begin"/>
      </w:r>
      <w:r>
        <w:rPr>
          <w:rFonts w:hint="eastAsia" w:ascii="宋体" w:hAnsi="宋体" w:cs="宋体"/>
          <w:sz w:val="24"/>
        </w:rPr>
        <w:instrText xml:space="preserve"> HYPERLINK "http://zfcg.czt.zj.gov.cn/bidClientTemplate/2019-05-27/12946.html" </w:instrText>
      </w:r>
      <w:r>
        <w:rPr>
          <w:rFonts w:hint="eastAsia" w:ascii="宋体" w:hAnsi="宋体" w:cs="宋体"/>
          <w:sz w:val="24"/>
        </w:rPr>
        <w:fldChar w:fldCharType="separate"/>
      </w:r>
      <w:r>
        <w:rPr>
          <w:rStyle w:val="54"/>
          <w:rFonts w:hint="eastAsia" w:ascii="宋体" w:hAnsi="宋体" w:cs="宋体"/>
          <w:color w:val="auto"/>
          <w:sz w:val="24"/>
        </w:rPr>
        <w:t>http://zfcg.czt.zj.gov.cn/bidClientTemplate/2019-05-27/12946.html</w:t>
      </w:r>
      <w:r>
        <w:rPr>
          <w:rFonts w:hint="eastAsia" w:ascii="宋体" w:hAnsi="宋体" w:cs="宋体"/>
          <w:sz w:val="24"/>
        </w:rPr>
        <w:fldChar w:fldCharType="end"/>
      </w:r>
      <w:r>
        <w:rPr>
          <w:rFonts w:hint="eastAsia" w:ascii="宋体" w:hAnsi="宋体" w:cs="宋体"/>
          <w:b/>
          <w:sz w:val="24"/>
        </w:rPr>
        <w:t>），电子投标具体的流程文档详见网址：</w:t>
      </w:r>
      <w:r>
        <w:rPr>
          <w:rFonts w:hint="eastAsia" w:ascii="宋体" w:hAnsi="宋体" w:cs="宋体"/>
          <w:b/>
          <w:sz w:val="24"/>
        </w:rPr>
        <w:fldChar w:fldCharType="begin"/>
      </w:r>
      <w:r>
        <w:rPr>
          <w:rFonts w:hint="eastAsia" w:ascii="宋体" w:hAnsi="宋体" w:cs="宋体"/>
          <w:b/>
          <w:sz w:val="24"/>
        </w:rPr>
        <w:instrText xml:space="preserve"> HYPERLINK "https://help.zcygov.cn/web/site_2/2018/12-28/2573.html" </w:instrText>
      </w:r>
      <w:r>
        <w:rPr>
          <w:rFonts w:hint="eastAsia" w:ascii="宋体" w:hAnsi="宋体" w:cs="宋体"/>
          <w:b/>
          <w:sz w:val="24"/>
        </w:rPr>
        <w:fldChar w:fldCharType="separate"/>
      </w:r>
      <w:r>
        <w:rPr>
          <w:rStyle w:val="54"/>
          <w:rFonts w:hint="eastAsia" w:ascii="宋体" w:hAnsi="宋体" w:cs="宋体"/>
          <w:b/>
          <w:color w:val="auto"/>
          <w:sz w:val="24"/>
        </w:rPr>
        <w:t>https://help.zcygov.cn/web/site_2/2018/12-28/2573.html</w:t>
      </w:r>
      <w:r>
        <w:rPr>
          <w:rFonts w:hint="eastAsia" w:ascii="宋体" w:hAnsi="宋体" w:cs="宋体"/>
          <w:b/>
          <w:sz w:val="24"/>
        </w:rPr>
        <w:fldChar w:fldCharType="end"/>
      </w:r>
      <w:r>
        <w:rPr>
          <w:rFonts w:hint="eastAsia" w:ascii="宋体" w:hAnsi="宋体" w:cs="宋体"/>
          <w:b/>
          <w:sz w:val="24"/>
        </w:rPr>
        <w:t>。</w:t>
      </w:r>
      <w:bookmarkStart w:id="0" w:name="_Toc22943"/>
    </w:p>
    <w:p>
      <w:pPr>
        <w:wordWrap w:val="0"/>
        <w:snapToGrid w:val="0"/>
        <w:spacing w:line="312" w:lineRule="auto"/>
        <w:ind w:firstLine="482" w:firstLineChars="200"/>
        <w:rPr>
          <w:rFonts w:hint="eastAsia" w:ascii="宋体" w:hAnsi="宋体" w:cs="宋体"/>
          <w:b/>
          <w:sz w:val="24"/>
        </w:rPr>
      </w:pPr>
      <w:r>
        <w:rPr>
          <w:rFonts w:hint="eastAsia" w:ascii="宋体" w:hAnsi="宋体" w:cs="宋体"/>
          <w:b/>
          <w:sz w:val="24"/>
        </w:rPr>
        <w:t>八、其他事项：</w:t>
      </w:r>
    </w:p>
    <w:p>
      <w:pPr>
        <w:snapToGrid w:val="0"/>
        <w:spacing w:line="312" w:lineRule="auto"/>
        <w:ind w:firstLine="480" w:firstLineChars="200"/>
        <w:rPr>
          <w:rFonts w:hint="eastAsia" w:ascii="宋体" w:hAnsi="宋体" w:cs="宋体"/>
          <w:sz w:val="24"/>
        </w:rPr>
      </w:pPr>
      <w:r>
        <w:rPr>
          <w:rFonts w:hint="eastAsia" w:ascii="宋体" w:hAnsi="宋体" w:cs="宋体"/>
          <w:sz w:val="24"/>
        </w:rPr>
        <w:t>1、公告期限：自本公告发布之日起5个工作日（以公告发布次日开始计算）。</w:t>
      </w:r>
    </w:p>
    <w:p>
      <w:pPr>
        <w:snapToGrid w:val="0"/>
        <w:spacing w:line="312" w:lineRule="auto"/>
        <w:ind w:firstLine="480" w:firstLineChars="200"/>
        <w:rPr>
          <w:rFonts w:hint="eastAsia" w:ascii="宋体" w:hAnsi="宋体" w:cs="宋体"/>
          <w:sz w:val="24"/>
        </w:rPr>
      </w:pPr>
      <w:r>
        <w:rPr>
          <w:rFonts w:hint="eastAsia" w:ascii="宋体" w:hAnsi="宋体" w:cs="宋体"/>
          <w:sz w:val="24"/>
        </w:rPr>
        <w:t>2、质疑：供应商认为采购文件、采购过程和成交结果使自己的权益受到损害的，可以在知道或者应知其权益受到损害之日起七个工作日内，以书面形式（纸质）一次性向采购代理机构或采购人提出质疑，质疑供应商对采购人、采购代理机构答复不满意或者采购人、采购代理机构未在规定时间内作出答复的，可以在质疑答复期满后十五个工作日内向同级政府采购监督管理部门投诉。质疑投诉模板详见招标文件附件19、20。供应商在线质疑投诉渠道见</w:t>
      </w:r>
    </w:p>
    <w:p>
      <w:pPr>
        <w:snapToGrid w:val="0"/>
        <w:spacing w:line="312" w:lineRule="auto"/>
        <w:ind w:firstLine="480" w:firstLineChars="200"/>
        <w:rPr>
          <w:rFonts w:hint="eastAsia" w:ascii="宋体" w:hAnsi="宋体" w:cs="宋体"/>
          <w:b/>
          <w:bCs/>
          <w:sz w:val="24"/>
        </w:rPr>
      </w:pPr>
      <w:r>
        <w:rPr>
          <w:rFonts w:hint="eastAsia" w:ascii="宋体" w:hAnsi="宋体" w:cs="宋体"/>
          <w:sz w:val="24"/>
        </w:rPr>
        <w:t>http://www.zjzwfw.gov.cn/zjservice/item/detail/index.do?localInnerCode=2ca19a7a-aa2d-4cca-a191-a5edf3bf69f8。</w:t>
      </w:r>
    </w:p>
    <w:p>
      <w:pPr>
        <w:snapToGrid w:val="0"/>
        <w:spacing w:line="312" w:lineRule="auto"/>
        <w:ind w:firstLine="480" w:firstLineChars="200"/>
        <w:rPr>
          <w:rFonts w:hint="eastAsia" w:ascii="宋体" w:hAnsi="宋体" w:cs="宋体"/>
          <w:sz w:val="24"/>
        </w:rPr>
      </w:pPr>
      <w:r>
        <w:rPr>
          <w:rFonts w:hint="eastAsia" w:ascii="宋体" w:hAnsi="宋体" w:cs="宋体"/>
          <w:sz w:val="24"/>
        </w:rPr>
        <w:t>供应商应知其权益受到损害之日，是指：</w:t>
      </w:r>
    </w:p>
    <w:p>
      <w:pPr>
        <w:snapToGrid w:val="0"/>
        <w:spacing w:line="312" w:lineRule="auto"/>
        <w:ind w:firstLine="480" w:firstLineChars="200"/>
        <w:rPr>
          <w:rFonts w:hint="eastAsia" w:ascii="宋体" w:hAnsi="宋体" w:cs="宋体"/>
          <w:sz w:val="24"/>
        </w:rPr>
      </w:pPr>
      <w:r>
        <w:rPr>
          <w:rFonts w:hint="eastAsia" w:ascii="宋体" w:hAnsi="宋体" w:cs="宋体"/>
          <w:sz w:val="24"/>
        </w:rPr>
        <w:t>（1）对可以质疑的采购文件提出质疑的，为获取采购文件之日（采购公告期限届满之日后获取采购文件的为采购公告期限届满之日）。</w:t>
      </w:r>
    </w:p>
    <w:p>
      <w:pPr>
        <w:snapToGrid w:val="0"/>
        <w:spacing w:line="312" w:lineRule="auto"/>
        <w:ind w:firstLine="480" w:firstLineChars="200"/>
        <w:rPr>
          <w:rFonts w:hint="eastAsia" w:ascii="宋体" w:hAnsi="宋体" w:cs="宋体"/>
          <w:sz w:val="24"/>
        </w:rPr>
      </w:pPr>
      <w:r>
        <w:rPr>
          <w:rFonts w:hint="eastAsia" w:ascii="宋体" w:hAnsi="宋体" w:cs="宋体"/>
          <w:sz w:val="24"/>
        </w:rPr>
        <w:t>（2）对采购过程提出质疑的，为各采购程序环节结束之日。</w:t>
      </w:r>
    </w:p>
    <w:p>
      <w:pPr>
        <w:snapToGrid w:val="0"/>
        <w:spacing w:line="312" w:lineRule="auto"/>
        <w:ind w:firstLine="480" w:firstLineChars="200"/>
        <w:rPr>
          <w:rFonts w:hint="eastAsia" w:ascii="宋体" w:hAnsi="宋体" w:cs="宋体"/>
          <w:sz w:val="24"/>
        </w:rPr>
      </w:pPr>
      <w:r>
        <w:rPr>
          <w:rFonts w:hint="eastAsia" w:ascii="宋体" w:hAnsi="宋体" w:cs="宋体"/>
          <w:sz w:val="24"/>
        </w:rPr>
        <w:t>（3）对成交结果提出质疑的，为成交结果公告期限届满之日。</w:t>
      </w:r>
    </w:p>
    <w:p>
      <w:pPr>
        <w:snapToGrid w:val="0"/>
        <w:spacing w:line="312" w:lineRule="auto"/>
        <w:ind w:firstLine="482" w:firstLineChars="200"/>
        <w:rPr>
          <w:rFonts w:hint="eastAsia" w:ascii="宋体" w:hAnsi="宋体" w:cs="宋体"/>
          <w:b/>
          <w:bCs/>
          <w:sz w:val="24"/>
          <w:highlight w:val="none"/>
        </w:rPr>
      </w:pPr>
      <w:r>
        <w:rPr>
          <w:rFonts w:hint="eastAsia" w:ascii="宋体" w:hAnsi="宋体" w:cs="宋体"/>
          <w:b/>
          <w:bCs/>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w:t>
      </w:r>
      <w:r>
        <w:rPr>
          <w:rFonts w:hint="eastAsia" w:ascii="宋体" w:hAnsi="宋体" w:cs="宋体"/>
          <w:b/>
          <w:bCs/>
          <w:sz w:val="24"/>
          <w:highlight w:val="none"/>
        </w:rPr>
        <w:t>线提起投诉，路径为：浙江政府服务网-政府采购投诉处理-在线办理。</w:t>
      </w:r>
    </w:p>
    <w:p>
      <w:pPr>
        <w:snapToGrid w:val="0"/>
        <w:spacing w:line="380" w:lineRule="exact"/>
        <w:ind w:firstLine="482" w:firstLineChars="200"/>
        <w:outlineLvl w:val="0"/>
        <w:rPr>
          <w:rStyle w:val="58"/>
          <w:rFonts w:hint="eastAsia" w:ascii="宋体" w:hAnsi="宋体" w:cs="宋体"/>
          <w:sz w:val="24"/>
          <w:szCs w:val="24"/>
          <w:highlight w:val="none"/>
        </w:rPr>
      </w:pPr>
      <w:r>
        <w:rPr>
          <w:rStyle w:val="58"/>
          <w:rFonts w:hint="eastAsia" w:ascii="宋体" w:hAnsi="宋体" w:cs="宋体"/>
          <w:sz w:val="24"/>
          <w:szCs w:val="24"/>
          <w:highlight w:val="none"/>
        </w:rPr>
        <w:t>4、《浙江省财政厅关于进一步发挥政府采购政策功能全力推动经济稳进提质的通知》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snapToGrid w:val="0"/>
        <w:spacing w:line="380" w:lineRule="exact"/>
        <w:ind w:firstLine="482" w:firstLineChars="200"/>
        <w:outlineLvl w:val="0"/>
        <w:rPr>
          <w:rStyle w:val="58"/>
          <w:rFonts w:hint="eastAsia" w:ascii="宋体" w:hAnsi="宋体" w:cs="宋体"/>
          <w:sz w:val="24"/>
          <w:szCs w:val="24"/>
          <w:highlight w:val="none"/>
        </w:rPr>
      </w:pPr>
      <w:r>
        <w:rPr>
          <w:rStyle w:val="58"/>
          <w:rFonts w:hint="eastAsia" w:ascii="宋体" w:hAnsi="宋体" w:cs="宋体"/>
          <w:sz w:val="24"/>
          <w:szCs w:val="24"/>
          <w:highlight w:val="none"/>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380" w:lineRule="exact"/>
        <w:ind w:firstLine="482" w:firstLineChars="200"/>
        <w:outlineLvl w:val="0"/>
        <w:rPr>
          <w:rStyle w:val="58"/>
          <w:rFonts w:hint="eastAsia" w:ascii="宋体" w:hAnsi="宋体" w:cs="宋体"/>
          <w:sz w:val="24"/>
          <w:szCs w:val="24"/>
          <w:highlight w:val="none"/>
        </w:rPr>
      </w:pPr>
      <w:r>
        <w:rPr>
          <w:rStyle w:val="58"/>
          <w:rFonts w:hint="eastAsia" w:ascii="宋体" w:hAnsi="宋体" w:cs="宋体"/>
          <w:sz w:val="24"/>
          <w:szCs w:val="24"/>
          <w:highlight w:val="none"/>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napToGrid w:val="0"/>
        <w:spacing w:line="380" w:lineRule="exact"/>
        <w:ind w:firstLine="482" w:firstLineChars="200"/>
        <w:outlineLvl w:val="0"/>
        <w:rPr>
          <w:rStyle w:val="58"/>
          <w:rFonts w:hint="eastAsia" w:ascii="宋体" w:hAnsi="宋体" w:cs="宋体"/>
          <w:sz w:val="24"/>
          <w:szCs w:val="24"/>
          <w:highlight w:val="none"/>
        </w:rPr>
      </w:pPr>
      <w:r>
        <w:rPr>
          <w:rStyle w:val="58"/>
          <w:rFonts w:hint="eastAsia" w:ascii="宋体" w:hAnsi="宋体" w:cs="宋体"/>
          <w:sz w:val="24"/>
          <w:szCs w:val="24"/>
          <w:highlight w:val="none"/>
        </w:rPr>
        <w:t xml:space="preserve">7、政府采购金融服务提示：为扩大政府采购金融服务面，除政采云网上金融服务合作银行外，东阳市范围内增加浙商银行金华分行东阳支行作为线下合作银行。   </w:t>
      </w:r>
    </w:p>
    <w:p>
      <w:pPr>
        <w:snapToGrid w:val="0"/>
        <w:spacing w:line="380" w:lineRule="exact"/>
        <w:ind w:firstLine="482" w:firstLineChars="200"/>
        <w:outlineLvl w:val="0"/>
        <w:rPr>
          <w:rStyle w:val="58"/>
          <w:rFonts w:hint="eastAsia" w:ascii="宋体" w:hAnsi="宋体" w:cs="宋体"/>
          <w:sz w:val="24"/>
          <w:szCs w:val="24"/>
          <w:highlight w:val="none"/>
        </w:rPr>
      </w:pPr>
      <w:r>
        <w:rPr>
          <w:rStyle w:val="58"/>
          <w:rFonts w:hint="eastAsia" w:ascii="宋体" w:hAnsi="宋体" w:cs="宋体"/>
          <w:sz w:val="24"/>
          <w:szCs w:val="24"/>
          <w:highlight w:val="none"/>
        </w:rPr>
        <w:t>浙商银行金华东阳支行联系人：许燕</w:t>
      </w:r>
    </w:p>
    <w:p>
      <w:pPr>
        <w:snapToGrid w:val="0"/>
        <w:spacing w:line="380" w:lineRule="exact"/>
        <w:ind w:firstLine="482" w:firstLineChars="200"/>
        <w:outlineLvl w:val="0"/>
        <w:rPr>
          <w:rStyle w:val="58"/>
          <w:rFonts w:hint="eastAsia" w:ascii="宋体" w:hAnsi="宋体" w:cs="宋体"/>
          <w:sz w:val="24"/>
          <w:szCs w:val="24"/>
          <w:highlight w:val="none"/>
        </w:rPr>
      </w:pPr>
      <w:r>
        <w:rPr>
          <w:rStyle w:val="58"/>
          <w:rFonts w:hint="eastAsia" w:ascii="宋体" w:hAnsi="宋体" w:cs="宋体"/>
          <w:sz w:val="24"/>
          <w:szCs w:val="24"/>
          <w:highlight w:val="none"/>
        </w:rPr>
        <w:t>联系电话：13967983441    0579-86222992</w:t>
      </w:r>
    </w:p>
    <w:p>
      <w:pPr>
        <w:wordWrap w:val="0"/>
        <w:snapToGrid w:val="0"/>
        <w:spacing w:line="312" w:lineRule="auto"/>
        <w:ind w:firstLine="482" w:firstLineChars="200"/>
        <w:rPr>
          <w:rFonts w:hint="eastAsia" w:ascii="宋体" w:hAnsi="宋体" w:cs="宋体"/>
          <w:b/>
          <w:sz w:val="24"/>
        </w:rPr>
      </w:pPr>
      <w:r>
        <w:rPr>
          <w:rFonts w:hint="eastAsia" w:ascii="宋体" w:hAnsi="宋体" w:cs="宋体"/>
          <w:b/>
          <w:sz w:val="24"/>
          <w:highlight w:val="none"/>
        </w:rPr>
        <w:t>九、对本次招标提出询问，请按以下方式联系：</w:t>
      </w:r>
      <w:bookmarkEnd w:id="0"/>
    </w:p>
    <w:p>
      <w:pPr>
        <w:tabs>
          <w:tab w:val="right" w:pos="8849"/>
        </w:tabs>
        <w:spacing w:line="312" w:lineRule="auto"/>
        <w:ind w:firstLine="480" w:firstLineChars="200"/>
        <w:rPr>
          <w:rFonts w:hint="eastAsia" w:ascii="宋体" w:hAnsi="宋体" w:cs="宋体"/>
          <w:sz w:val="24"/>
        </w:rPr>
      </w:pPr>
      <w:r>
        <w:rPr>
          <w:rFonts w:hint="eastAsia" w:ascii="宋体" w:hAnsi="宋体" w:cs="宋体"/>
          <w:sz w:val="24"/>
        </w:rPr>
        <w:t>1.采购人信息</w:t>
      </w:r>
    </w:p>
    <w:p>
      <w:pPr>
        <w:tabs>
          <w:tab w:val="right" w:pos="8849"/>
        </w:tabs>
        <w:spacing w:line="312" w:lineRule="auto"/>
        <w:rPr>
          <w:rFonts w:hint="eastAsia" w:ascii="宋体" w:hAnsi="宋体" w:cs="宋体"/>
          <w:sz w:val="24"/>
        </w:rPr>
      </w:pPr>
      <w:r>
        <w:rPr>
          <w:rFonts w:hint="eastAsia" w:ascii="宋体" w:hAnsi="宋体" w:cs="宋体"/>
          <w:sz w:val="24"/>
        </w:rPr>
        <w:t>名称：东阳经济开发区  联系人：丁女士  联系电话：0579-86768858</w:t>
      </w:r>
    </w:p>
    <w:p>
      <w:pPr>
        <w:tabs>
          <w:tab w:val="right" w:pos="8849"/>
        </w:tabs>
        <w:spacing w:line="312" w:lineRule="auto"/>
        <w:rPr>
          <w:rFonts w:hint="eastAsia" w:ascii="宋体" w:hAnsi="宋体" w:cs="宋体"/>
          <w:sz w:val="24"/>
        </w:rPr>
      </w:pPr>
      <w:r>
        <w:rPr>
          <w:rFonts w:hint="eastAsia" w:ascii="宋体" w:hAnsi="宋体" w:cs="宋体"/>
          <w:sz w:val="24"/>
        </w:rPr>
        <w:t>联系地址：东阳市甘溪东街888号    质疑联系人：丁女士      联系电话：0579-86768858</w:t>
      </w:r>
    </w:p>
    <w:p>
      <w:pPr>
        <w:tabs>
          <w:tab w:val="right" w:pos="8849"/>
        </w:tabs>
        <w:spacing w:line="312" w:lineRule="auto"/>
        <w:ind w:firstLine="480" w:firstLineChars="200"/>
        <w:rPr>
          <w:rFonts w:hint="eastAsia" w:ascii="宋体" w:hAnsi="宋体" w:cs="宋体"/>
          <w:sz w:val="24"/>
          <w:highlight w:val="none"/>
        </w:rPr>
      </w:pPr>
      <w:r>
        <w:rPr>
          <w:rFonts w:hint="eastAsia" w:ascii="宋体" w:hAnsi="宋体" w:cs="宋体"/>
          <w:sz w:val="24"/>
        </w:rPr>
        <w:t>2.项</w:t>
      </w:r>
      <w:r>
        <w:rPr>
          <w:rFonts w:hint="eastAsia" w:ascii="宋体" w:hAnsi="宋体" w:cs="宋体"/>
          <w:sz w:val="24"/>
          <w:highlight w:val="none"/>
        </w:rPr>
        <w:t>目联系方式</w:t>
      </w:r>
    </w:p>
    <w:p>
      <w:pPr>
        <w:tabs>
          <w:tab w:val="right" w:pos="8849"/>
        </w:tabs>
        <w:spacing w:line="312" w:lineRule="auto"/>
        <w:rPr>
          <w:rFonts w:ascii="宋体" w:hAnsi="宋体" w:cs="宋体"/>
          <w:sz w:val="24"/>
          <w:highlight w:val="none"/>
        </w:rPr>
      </w:pPr>
      <w:r>
        <w:rPr>
          <w:rFonts w:hint="eastAsia" w:ascii="宋体" w:hAnsi="宋体" w:cs="宋体"/>
          <w:sz w:val="24"/>
          <w:highlight w:val="none"/>
        </w:rPr>
        <w:t>项目联系人：</w:t>
      </w:r>
      <w:r>
        <w:rPr>
          <w:rFonts w:hint="eastAsia" w:ascii="宋体" w:hAnsi="宋体" w:cs="宋体"/>
          <w:sz w:val="24"/>
          <w:highlight w:val="none"/>
          <w:lang w:eastAsia="zh-CN"/>
        </w:rPr>
        <w:t>徐</w:t>
      </w:r>
      <w:r>
        <w:rPr>
          <w:rFonts w:hint="eastAsia" w:ascii="宋体" w:hAnsi="宋体" w:cs="宋体"/>
          <w:sz w:val="24"/>
          <w:highlight w:val="none"/>
        </w:rPr>
        <w:t>女士           联系电话：0579-89302877</w:t>
      </w:r>
    </w:p>
    <w:p>
      <w:pPr>
        <w:tabs>
          <w:tab w:val="right" w:pos="8849"/>
        </w:tabs>
        <w:spacing w:line="312" w:lineRule="auto"/>
        <w:rPr>
          <w:rFonts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eastAsia="zh-CN"/>
        </w:rPr>
        <w:t>贾</w:t>
      </w:r>
      <w:r>
        <w:rPr>
          <w:rFonts w:hint="eastAsia" w:ascii="宋体" w:hAnsi="宋体" w:cs="宋体"/>
          <w:sz w:val="24"/>
          <w:highlight w:val="none"/>
        </w:rPr>
        <w:t>女士           联系电话：0579-86691729</w:t>
      </w:r>
    </w:p>
    <w:p>
      <w:pPr>
        <w:tabs>
          <w:tab w:val="right" w:pos="8849"/>
        </w:tabs>
        <w:spacing w:line="312" w:lineRule="auto"/>
        <w:ind w:firstLine="480" w:firstLineChars="200"/>
        <w:rPr>
          <w:rFonts w:hint="eastAsia" w:ascii="宋体" w:hAnsi="宋体" w:cs="宋体"/>
          <w:sz w:val="24"/>
        </w:rPr>
      </w:pPr>
      <w:r>
        <w:rPr>
          <w:rFonts w:hint="eastAsia" w:ascii="宋体" w:hAnsi="宋体" w:cs="宋体"/>
          <w:sz w:val="24"/>
          <w:highlight w:val="none"/>
        </w:rPr>
        <w:t>3.政府采购行</w:t>
      </w:r>
      <w:r>
        <w:rPr>
          <w:rFonts w:hint="eastAsia" w:ascii="宋体" w:hAnsi="宋体" w:cs="宋体"/>
          <w:sz w:val="24"/>
        </w:rPr>
        <w:t>政监管及投诉受理部门：</w:t>
      </w:r>
    </w:p>
    <w:p>
      <w:pPr>
        <w:tabs>
          <w:tab w:val="right" w:pos="8849"/>
        </w:tabs>
        <w:spacing w:line="312" w:lineRule="auto"/>
        <w:rPr>
          <w:rFonts w:hint="eastAsia" w:ascii="宋体" w:hAnsi="宋体" w:cs="宋体"/>
          <w:sz w:val="24"/>
        </w:rPr>
      </w:pPr>
      <w:r>
        <w:rPr>
          <w:rFonts w:hint="eastAsia" w:ascii="宋体" w:hAnsi="宋体" w:cs="宋体"/>
          <w:sz w:val="24"/>
        </w:rPr>
        <w:t>东阳市财政局采购办                      联系电话：0579-86662677</w:t>
      </w:r>
    </w:p>
    <w:p>
      <w:pPr>
        <w:tabs>
          <w:tab w:val="right" w:pos="8849"/>
        </w:tabs>
        <w:spacing w:line="312" w:lineRule="auto"/>
        <w:rPr>
          <w:rFonts w:hint="eastAsia" w:ascii="宋体" w:hAnsi="宋体" w:cs="宋体"/>
          <w:sz w:val="24"/>
        </w:rPr>
      </w:pPr>
      <w:r>
        <w:rPr>
          <w:rFonts w:hint="eastAsia" w:ascii="宋体" w:hAnsi="宋体" w:cs="宋体"/>
          <w:sz w:val="24"/>
        </w:rPr>
        <w:t xml:space="preserve">联系地址：东阳市人民北路8号            </w:t>
      </w:r>
    </w:p>
    <w:p>
      <w:pPr>
        <w:tabs>
          <w:tab w:val="right" w:pos="8849"/>
        </w:tabs>
        <w:spacing w:line="312" w:lineRule="auto"/>
        <w:rPr>
          <w:rFonts w:hint="eastAsia" w:ascii="宋体" w:hAnsi="宋体" w:cs="宋体"/>
          <w:sz w:val="24"/>
        </w:rPr>
      </w:pPr>
      <w:r>
        <w:rPr>
          <w:rFonts w:hint="eastAsia" w:ascii="宋体" w:hAnsi="宋体" w:cs="宋体"/>
          <w:sz w:val="24"/>
        </w:rPr>
        <w:t>东阳市公共资源交易管理委员会办公室      联系电话：0579-86691835</w:t>
      </w:r>
    </w:p>
    <w:p>
      <w:pPr>
        <w:tabs>
          <w:tab w:val="right" w:pos="8849"/>
        </w:tabs>
        <w:spacing w:line="312" w:lineRule="auto"/>
        <w:rPr>
          <w:rFonts w:hint="eastAsia" w:ascii="宋体" w:hAnsi="宋体" w:cs="宋体"/>
          <w:sz w:val="24"/>
        </w:rPr>
      </w:pPr>
      <w:r>
        <w:rPr>
          <w:rFonts w:hint="eastAsia" w:ascii="宋体" w:hAnsi="宋体" w:cs="宋体"/>
          <w:sz w:val="24"/>
        </w:rPr>
        <w:t>联系地址： 东阳市行政服务中心（艺海北路388号）C幢10楼督查科</w:t>
      </w:r>
    </w:p>
    <w:p>
      <w:pPr>
        <w:tabs>
          <w:tab w:val="right" w:pos="8849"/>
        </w:tabs>
        <w:spacing w:line="312" w:lineRule="auto"/>
        <w:ind w:firstLine="480" w:firstLineChars="200"/>
        <w:rPr>
          <w:rFonts w:hint="eastAsia" w:ascii="宋体" w:hAnsi="宋体" w:cs="宋体"/>
          <w:sz w:val="24"/>
        </w:rPr>
      </w:pPr>
      <w:r>
        <w:rPr>
          <w:rFonts w:hint="eastAsia" w:ascii="宋体" w:hAnsi="宋体" w:cs="宋体"/>
          <w:sz w:val="24"/>
        </w:rPr>
        <w:t>4.系统技术支持：政采云有限公司      联系人：客服   联系电话：4008817190</w:t>
      </w:r>
    </w:p>
    <w:p>
      <w:pPr>
        <w:snapToGrid w:val="0"/>
        <w:spacing w:line="312" w:lineRule="auto"/>
        <w:ind w:firstLine="4096" w:firstLineChars="1700"/>
        <w:rPr>
          <w:rFonts w:hint="eastAsia" w:ascii="宋体" w:hAnsi="宋体" w:cs="宋体"/>
          <w:sz w:val="24"/>
        </w:rPr>
      </w:pPr>
      <w:r>
        <w:rPr>
          <w:rFonts w:hint="eastAsia" w:ascii="宋体" w:hAnsi="宋体" w:cs="宋体"/>
          <w:b/>
          <w:sz w:val="24"/>
        </w:rPr>
        <w:t>金华市公共资源交易中心东阳分中心</w:t>
      </w:r>
    </w:p>
    <w:p>
      <w:pPr>
        <w:snapToGrid w:val="0"/>
        <w:spacing w:line="312" w:lineRule="auto"/>
        <w:rPr>
          <w:rFonts w:hint="eastAsia" w:ascii="黑体" w:hAnsi="黑体" w:eastAsia="黑体" w:cs="黑体"/>
          <w:b/>
          <w:bCs/>
          <w:sz w:val="32"/>
          <w:szCs w:val="32"/>
        </w:rPr>
      </w:pPr>
      <w:r>
        <w:rPr>
          <w:rFonts w:hint="eastAsia" w:ascii="宋体" w:hAnsi="宋体" w:cs="宋体"/>
          <w:sz w:val="24"/>
        </w:rPr>
        <w:t xml:space="preserve">                                          2022年7月26日</w:t>
      </w:r>
    </w:p>
    <w:p>
      <w:pPr>
        <w:spacing w:line="480" w:lineRule="auto"/>
        <w:jc w:val="center"/>
        <w:rPr>
          <w:sz w:val="32"/>
          <w:szCs w:val="32"/>
        </w:rPr>
      </w:pPr>
      <w:r>
        <w:rPr>
          <w:rFonts w:hint="eastAsia" w:ascii="黑体" w:hAnsi="黑体" w:eastAsia="黑体" w:cs="黑体"/>
          <w:b/>
          <w:bCs/>
          <w:sz w:val="32"/>
          <w:szCs w:val="32"/>
        </w:rPr>
        <w:t>政府采购金融服务简介</w:t>
      </w:r>
    </w:p>
    <w:p>
      <w:pPr>
        <w:spacing w:line="360" w:lineRule="auto"/>
        <w:ind w:firstLine="480" w:firstLineChars="200"/>
        <w:rPr>
          <w:rFonts w:ascii="宋体" w:hAnsi="宋体" w:cs="宋体"/>
          <w:sz w:val="24"/>
        </w:rPr>
      </w:pPr>
      <w:r>
        <w:rPr>
          <w:rFonts w:hint="eastAsia" w:ascii="宋体" w:hAnsi="宋体" w:cs="宋体"/>
          <w:sz w:val="24"/>
        </w:rPr>
        <w:t>为优化政府采购营商环境，缓解供应商资金难题，有需要的中标供应商可根据需要申请办理政府采购合同贷款（以下简称“政采贷”）、履约保函等政府采购金融服务。</w:t>
      </w:r>
    </w:p>
    <w:p>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、政采贷</w:t>
      </w:r>
    </w:p>
    <w:p>
      <w:pPr>
        <w:spacing w:line="360" w:lineRule="auto"/>
        <w:ind w:firstLine="480" w:firstLineChars="200"/>
        <w:rPr>
          <w:rFonts w:ascii="宋体" w:hAnsi="宋体" w:cs="宋体"/>
          <w:sz w:val="24"/>
        </w:rPr>
      </w:pPr>
      <w:r>
        <w:rPr>
          <w:rFonts w:hint="eastAsia" w:ascii="宋体" w:hAnsi="宋体" w:cs="宋体"/>
          <w:sz w:val="24"/>
        </w:rPr>
        <w:t>通过发挥政府采购政策功能，依托政采云在互联网、云计算、大数据等方面的优势，由各银行向平台用户提供中短期贷款（主要包括流水贷和合同贷），以解决中小微企业“融资难”、“担保难”问题的信用融资产品。</w:t>
      </w:r>
    </w:p>
    <w:p>
      <w:pPr>
        <w:spacing w:line="360" w:lineRule="auto"/>
        <w:ind w:firstLine="360" w:firstLineChars="150"/>
        <w:rPr>
          <w:rFonts w:ascii="宋体" w:hAnsi="宋体" w:cs="宋体"/>
          <w:sz w:val="24"/>
        </w:rPr>
      </w:pPr>
      <w:r>
        <w:rPr>
          <w:rFonts w:hint="eastAsia" w:ascii="宋体" w:hAnsi="宋体" w:cs="宋体"/>
          <w:sz w:val="24"/>
        </w:rPr>
        <w:t>具体要求、条件和操作教程可通过政采云首页右上角</w:t>
      </w:r>
      <w:r>
        <w:rPr>
          <w:rFonts w:ascii="宋体" w:hAnsi="宋体" w:cs="宋体"/>
          <w:sz w:val="24"/>
        </w:rPr>
        <w:t>——</w:t>
      </w:r>
      <w:r>
        <w:rPr>
          <w:rFonts w:hint="eastAsia" w:ascii="宋体" w:hAnsi="宋体" w:cs="宋体"/>
          <w:sz w:val="24"/>
        </w:rPr>
        <w:t>网站导航</w:t>
      </w:r>
      <w:r>
        <w:rPr>
          <w:rFonts w:ascii="宋体" w:hAnsi="宋体" w:cs="宋体"/>
          <w:sz w:val="24"/>
        </w:rPr>
        <w:t>——</w:t>
      </w:r>
      <w:r>
        <w:rPr>
          <w:rFonts w:hint="eastAsia" w:ascii="宋体" w:hAnsi="宋体" w:cs="宋体"/>
          <w:sz w:val="24"/>
        </w:rPr>
        <w:t>金融服务查看，也可拨打政采云客服热线</w:t>
      </w:r>
      <w:r>
        <w:rPr>
          <w:rFonts w:ascii="宋体" w:hAnsi="宋体" w:cs="宋体"/>
          <w:sz w:val="24"/>
        </w:rPr>
        <w:t>400-881-7190</w:t>
      </w:r>
      <w:r>
        <w:rPr>
          <w:rFonts w:hint="eastAsia" w:ascii="宋体" w:hAnsi="宋体" w:cs="宋体"/>
          <w:sz w:val="24"/>
        </w:rPr>
        <w:t>咨询，也可查看公告附件中的相关宣传资料，或向各地已开通政采贷的银行咨询办理。</w:t>
      </w:r>
    </w:p>
    <w:p>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、履约保函</w:t>
      </w:r>
    </w:p>
    <w:p>
      <w:pPr>
        <w:spacing w:line="360" w:lineRule="auto"/>
        <w:ind w:firstLine="480" w:firstLineChars="200"/>
        <w:rPr>
          <w:rFonts w:ascii="宋体" w:hAnsi="宋体" w:cs="宋体"/>
          <w:sz w:val="24"/>
        </w:rPr>
      </w:pPr>
      <w:r>
        <w:rPr>
          <w:rFonts w:hint="eastAsia" w:ascii="宋体" w:hAnsi="宋体" w:cs="宋体"/>
          <w:sz w:val="24"/>
        </w:rPr>
        <w:t>中标供应商可通过以保函的形式提交履约保证金，减少对中小微企业的资金占用，降低财务成本。</w:t>
      </w:r>
    </w:p>
    <w:p>
      <w:pPr>
        <w:spacing w:line="360" w:lineRule="auto"/>
        <w:rPr>
          <w:rFonts w:ascii="宋体" w:hAnsi="宋体" w:cs="宋体"/>
          <w:sz w:val="24"/>
        </w:rPr>
      </w:pPr>
      <w:r>
        <w:rPr>
          <w:rFonts w:hint="eastAsia" w:ascii="宋体" w:hAnsi="宋体" w:cs="宋体"/>
          <w:sz w:val="24"/>
        </w:rPr>
        <w:t>具体的条件、要求和操作程序由申请贷款的中标供应商向各地保险公司、银行咨询办理。</w:t>
      </w:r>
    </w:p>
    <w:p>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风险提示</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）本宣传简介内容仅为提供给各中标供应商对办理政府采购金融服务的宣传和了解之方便，对金融服务的具体内容和操作流程均以各金融机构的要求为准，也不作强制要求。</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）政府采购金融服务有风险，请详细了解并综合评估后再决定。</w:t>
      </w:r>
    </w:p>
    <w:p>
      <w:pPr>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）政府采购金融服务遵循平等自愿、风险自担的原则。采购人、代理机构、财政部门不为任何政府采购金融服务项目承担任何形式的担保、解释或其他连带责任。</w:t>
      </w:r>
    </w:p>
    <w:p>
      <w:pPr>
        <w:pStyle w:val="22"/>
        <w:rPr>
          <w:rFonts w:hint="eastAsia"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为扩大政府采购金融服务面，除政采云网上金融服务合作银行外，东阳市范围内增加浙商银行金华分行东阳支行作为线下合作银行。浙商银行金华东阳支行联系人：许燕</w:t>
      </w:r>
    </w:p>
    <w:p>
      <w:pPr>
        <w:pStyle w:val="22"/>
        <w:rPr>
          <w:rFonts w:hint="eastAsia"/>
        </w:rPr>
      </w:pPr>
      <w:r>
        <w:rPr>
          <w:rFonts w:hint="eastAsia" w:ascii="宋体" w:hAnsi="宋体" w:cs="宋体"/>
          <w:sz w:val="24"/>
        </w:rPr>
        <w:t>联系电话：13967983441    0579-86222992。</w:t>
      </w:r>
    </w:p>
    <w:p>
      <w:pPr>
        <w:pStyle w:val="27"/>
        <w:numPr>
          <w:ilvl w:val="0"/>
          <w:numId w:val="5"/>
        </w:numPr>
        <w:snapToGrid w:val="0"/>
        <w:spacing w:before="120" w:after="120" w:line="360" w:lineRule="auto"/>
        <w:jc w:val="center"/>
        <w:outlineLvl w:val="0"/>
        <w:rPr>
          <w:rFonts w:hint="eastAsia" w:hAnsi="宋体" w:cs="宋体"/>
          <w:b/>
          <w:bCs/>
          <w:sz w:val="32"/>
          <w:szCs w:val="32"/>
        </w:rPr>
        <w:sectPr>
          <w:footerReference r:id="rId10" w:type="first"/>
          <w:headerReference r:id="rId7" w:type="default"/>
          <w:footerReference r:id="rId8" w:type="default"/>
          <w:footerReference r:id="rId9" w:type="even"/>
          <w:type w:val="continuous"/>
          <w:pgSz w:w="11906" w:h="16838"/>
          <w:pgMar w:top="1587" w:right="907" w:bottom="907" w:left="1588" w:header="851" w:footer="850" w:gutter="0"/>
          <w:pgNumType w:start="1"/>
          <w:cols w:space="720" w:num="1"/>
          <w:titlePg/>
          <w:docGrid w:linePitch="312" w:charSpace="0"/>
        </w:sectPr>
      </w:pPr>
    </w:p>
    <w:p>
      <w:pPr>
        <w:pStyle w:val="27"/>
        <w:numPr>
          <w:ilvl w:val="0"/>
          <w:numId w:val="5"/>
        </w:numPr>
        <w:snapToGrid w:val="0"/>
        <w:spacing w:before="120" w:after="120" w:line="360" w:lineRule="auto"/>
        <w:jc w:val="center"/>
        <w:outlineLvl w:val="0"/>
        <w:rPr>
          <w:rFonts w:hint="eastAsia" w:hAnsi="宋体" w:cs="宋体"/>
          <w:b/>
          <w:bCs/>
          <w:sz w:val="32"/>
          <w:szCs w:val="32"/>
        </w:rPr>
      </w:pPr>
      <w:r>
        <w:rPr>
          <w:rFonts w:hint="eastAsia" w:hAnsi="宋体" w:cs="宋体"/>
          <w:b/>
          <w:bCs/>
          <w:sz w:val="32"/>
          <w:szCs w:val="32"/>
        </w:rPr>
        <w:t>招标需求</w:t>
      </w:r>
    </w:p>
    <w:p>
      <w:pPr>
        <w:numPr>
          <w:ilvl w:val="0"/>
          <w:numId w:val="6"/>
        </w:numPr>
        <w:snapToGrid w:val="0"/>
        <w:spacing w:line="360" w:lineRule="auto"/>
        <w:rPr>
          <w:rStyle w:val="72"/>
          <w:rFonts w:hint="eastAsia" w:ascii="宋体" w:hAnsi="宋体" w:cs="宋体"/>
        </w:rPr>
      </w:pPr>
      <w:r>
        <w:rPr>
          <w:rStyle w:val="72"/>
          <w:rFonts w:hint="eastAsia" w:ascii="宋体" w:hAnsi="宋体" w:cs="宋体"/>
        </w:rPr>
        <w:t>采购内容及数量</w:t>
      </w:r>
    </w:p>
    <w:tbl>
      <w:tblPr>
        <w:tblStyle w:val="46"/>
        <w:tblpPr w:leftFromText="180" w:rightFromText="180" w:vertAnchor="text" w:horzAnchor="page" w:tblpX="1580" w:tblpY="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510"/>
        <w:gridCol w:w="2850"/>
        <w:gridCol w:w="10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780" w:type="dxa"/>
            <w:noWrap w:val="0"/>
            <w:vAlign w:val="center"/>
          </w:tcPr>
          <w:p>
            <w:pPr>
              <w:pStyle w:val="27"/>
              <w:spacing w:before="120" w:after="120" w:line="312" w:lineRule="auto"/>
              <w:jc w:val="center"/>
              <w:rPr>
                <w:rFonts w:hint="eastAsia" w:hAnsi="宋体" w:cs="宋体"/>
                <w:b/>
                <w:sz w:val="16"/>
                <w:szCs w:val="16"/>
              </w:rPr>
            </w:pPr>
            <w:r>
              <w:rPr>
                <w:rFonts w:hint="eastAsia" w:hAnsi="宋体" w:cs="宋体"/>
                <w:b/>
              </w:rPr>
              <w:t>标项</w:t>
            </w:r>
          </w:p>
        </w:tc>
        <w:tc>
          <w:tcPr>
            <w:tcW w:w="2510" w:type="dxa"/>
            <w:noWrap w:val="0"/>
            <w:vAlign w:val="center"/>
          </w:tcPr>
          <w:p>
            <w:pPr>
              <w:pStyle w:val="27"/>
              <w:spacing w:before="120" w:after="120" w:line="312" w:lineRule="auto"/>
              <w:jc w:val="center"/>
              <w:rPr>
                <w:rFonts w:hint="eastAsia" w:hAnsi="宋体" w:cs="宋体"/>
                <w:b/>
                <w:sz w:val="21"/>
                <w:szCs w:val="21"/>
              </w:rPr>
            </w:pPr>
            <w:r>
              <w:rPr>
                <w:rFonts w:hint="eastAsia" w:hAnsi="宋体" w:cs="宋体"/>
                <w:b/>
              </w:rPr>
              <w:t>货物名称</w:t>
            </w:r>
          </w:p>
        </w:tc>
        <w:tc>
          <w:tcPr>
            <w:tcW w:w="2850" w:type="dxa"/>
            <w:noWrap w:val="0"/>
            <w:vAlign w:val="center"/>
          </w:tcPr>
          <w:p>
            <w:pPr>
              <w:pStyle w:val="27"/>
              <w:spacing w:before="120" w:after="120" w:line="312" w:lineRule="auto"/>
              <w:jc w:val="center"/>
              <w:rPr>
                <w:rFonts w:hint="eastAsia" w:hAnsi="宋体" w:cs="宋体"/>
                <w:b/>
                <w:sz w:val="21"/>
                <w:szCs w:val="21"/>
              </w:rPr>
            </w:pPr>
            <w:r>
              <w:rPr>
                <w:rFonts w:hint="eastAsia" w:hAnsi="宋体" w:cs="宋体"/>
                <w:b/>
              </w:rPr>
              <w:t>型号技术规格</w:t>
            </w:r>
          </w:p>
        </w:tc>
        <w:tc>
          <w:tcPr>
            <w:tcW w:w="1020" w:type="dxa"/>
            <w:noWrap w:val="0"/>
            <w:vAlign w:val="center"/>
          </w:tcPr>
          <w:p>
            <w:pPr>
              <w:pStyle w:val="27"/>
              <w:spacing w:before="120" w:after="120" w:line="312" w:lineRule="auto"/>
              <w:jc w:val="center"/>
              <w:rPr>
                <w:rFonts w:hint="eastAsia" w:hAnsi="宋体" w:cs="宋体"/>
                <w:b/>
                <w:sz w:val="21"/>
                <w:szCs w:val="21"/>
              </w:rPr>
            </w:pPr>
            <w:r>
              <w:rPr>
                <w:rFonts w:hint="eastAsia" w:hAnsi="宋体" w:cs="宋体"/>
                <w:b/>
              </w:rPr>
              <w:t>数量</w:t>
            </w:r>
          </w:p>
        </w:tc>
        <w:tc>
          <w:tcPr>
            <w:tcW w:w="1980" w:type="dxa"/>
            <w:noWrap w:val="0"/>
            <w:vAlign w:val="center"/>
          </w:tcPr>
          <w:p>
            <w:pPr>
              <w:pStyle w:val="27"/>
              <w:spacing w:before="120" w:after="120" w:line="312" w:lineRule="auto"/>
              <w:jc w:val="center"/>
              <w:rPr>
                <w:rFonts w:hint="eastAsia" w:hAnsi="宋体" w:cs="宋体"/>
                <w:b/>
                <w:sz w:val="21"/>
                <w:szCs w:val="21"/>
              </w:rPr>
            </w:pPr>
            <w:r>
              <w:rPr>
                <w:rFonts w:hint="eastAsia" w:hAnsi="宋体" w:cs="宋体"/>
                <w:b/>
              </w:rPr>
              <w:t>预算价（万元）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center"/>
          </w:tcPr>
          <w:p>
            <w:pPr>
              <w:pStyle w:val="27"/>
              <w:spacing w:before="120" w:after="120" w:line="240" w:lineRule="auto"/>
              <w:jc w:val="center"/>
              <w:rPr>
                <w:rFonts w:hint="eastAsia" w:hAnsi="宋体" w:cs="宋体"/>
                <w:bCs/>
              </w:rPr>
            </w:pPr>
            <w:r>
              <w:rPr>
                <w:rFonts w:hint="eastAsia" w:hAnsi="宋体" w:cs="宋体"/>
                <w:bCs/>
              </w:rPr>
              <w:t>1</w:t>
            </w:r>
          </w:p>
        </w:tc>
        <w:tc>
          <w:tcPr>
            <w:tcW w:w="2510" w:type="dxa"/>
            <w:noWrap w:val="0"/>
            <w:vAlign w:val="center"/>
          </w:tcPr>
          <w:p>
            <w:pPr>
              <w:pStyle w:val="27"/>
              <w:spacing w:before="120" w:after="120" w:line="240" w:lineRule="auto"/>
              <w:jc w:val="center"/>
              <w:rPr>
                <w:rFonts w:hint="eastAsia"/>
              </w:rPr>
            </w:pPr>
            <w:r>
              <w:rPr>
                <w:rFonts w:hint="eastAsia" w:hAnsi="宋体"/>
                <w:szCs w:val="21"/>
              </w:rPr>
              <w:t>六歌健康生物产业园信息化系统提升</w:t>
            </w:r>
          </w:p>
        </w:tc>
        <w:tc>
          <w:tcPr>
            <w:tcW w:w="2850" w:type="dxa"/>
            <w:noWrap w:val="0"/>
            <w:vAlign w:val="center"/>
          </w:tcPr>
          <w:p>
            <w:pPr>
              <w:jc w:val="left"/>
              <w:rPr>
                <w:rFonts w:hint="eastAsia" w:ascii="宋体" w:hAnsi="宋体"/>
                <w:sz w:val="24"/>
                <w:szCs w:val="21"/>
              </w:rPr>
            </w:pPr>
            <w:r>
              <w:rPr>
                <w:rFonts w:hint="eastAsia" w:ascii="宋体" w:hAnsi="宋体"/>
                <w:sz w:val="24"/>
                <w:szCs w:val="21"/>
              </w:rPr>
              <w:t>详见“1.1六歌健康生物产业园信息化系统提升需求一览表”</w:t>
            </w:r>
          </w:p>
        </w:tc>
        <w:tc>
          <w:tcPr>
            <w:tcW w:w="1020" w:type="dxa"/>
            <w:noWrap w:val="0"/>
            <w:vAlign w:val="center"/>
          </w:tcPr>
          <w:p>
            <w:pPr>
              <w:pStyle w:val="27"/>
              <w:spacing w:before="120" w:after="120" w:line="240" w:lineRule="auto"/>
              <w:jc w:val="center"/>
            </w:pPr>
            <w:r>
              <w:rPr>
                <w:rFonts w:hint="eastAsia"/>
              </w:rPr>
              <w:t>1项</w:t>
            </w:r>
          </w:p>
        </w:tc>
        <w:tc>
          <w:tcPr>
            <w:tcW w:w="1980" w:type="dxa"/>
            <w:noWrap w:val="0"/>
            <w:vAlign w:val="center"/>
          </w:tcPr>
          <w:p>
            <w:pPr>
              <w:pStyle w:val="27"/>
              <w:spacing w:before="120" w:after="120" w:line="240" w:lineRule="auto"/>
              <w:jc w:val="center"/>
            </w:pPr>
            <w:r>
              <w:rPr>
                <w:rFonts w:hint="eastAsia"/>
              </w:rPr>
              <w:t>280</w:t>
            </w:r>
          </w:p>
        </w:tc>
      </w:tr>
    </w:tbl>
    <w:p>
      <w:pPr>
        <w:pStyle w:val="22"/>
        <w:rPr>
          <w:rFonts w:hint="eastAsia" w:ascii="宋体" w:hAnsi="宋体" w:cs="宋体"/>
          <w:b/>
          <w:bCs/>
          <w:sz w:val="24"/>
        </w:rPr>
      </w:pPr>
      <w:r>
        <w:rPr>
          <w:rFonts w:hint="eastAsia" w:ascii="宋体" w:hAnsi="宋体" w:cs="宋体"/>
          <w:b/>
          <w:bCs/>
          <w:sz w:val="24"/>
        </w:rPr>
        <w:t>注：1、标“▲”参数为强制性</w:t>
      </w:r>
      <w:r>
        <w:rPr>
          <w:rFonts w:hint="eastAsia" w:ascii="宋体" w:hAnsi="宋体"/>
          <w:b/>
          <w:sz w:val="24"/>
        </w:rPr>
        <w:t>性能</w:t>
      </w:r>
      <w:r>
        <w:rPr>
          <w:rFonts w:hint="eastAsia" w:ascii="宋体" w:hAnsi="宋体" w:cs="宋体"/>
          <w:b/>
          <w:bCs/>
          <w:sz w:val="24"/>
        </w:rPr>
        <w:t>指标，不允许负偏离，如有负偏离，则作无效标处理。</w:t>
      </w:r>
    </w:p>
    <w:p>
      <w:pPr>
        <w:pStyle w:val="22"/>
        <w:ind w:firstLine="482" w:firstLineChars="200"/>
        <w:rPr>
          <w:rFonts w:hint="eastAsia"/>
        </w:rPr>
      </w:pPr>
      <w:r>
        <w:rPr>
          <w:rFonts w:hint="eastAsia" w:ascii="宋体" w:hAnsi="宋体" w:cs="宋体"/>
          <w:b/>
          <w:bCs/>
          <w:sz w:val="24"/>
        </w:rPr>
        <w:t>2、标“★”参数为重要性能指标，如有负偏离，则作加大扣分处理。</w:t>
      </w:r>
    </w:p>
    <w:p>
      <w:pPr>
        <w:spacing w:line="360" w:lineRule="auto"/>
        <w:jc w:val="left"/>
        <w:outlineLvl w:val="1"/>
        <w:rPr>
          <w:rFonts w:hint="eastAsia" w:ascii="宋体" w:hAnsi="宋体"/>
          <w:b/>
          <w:bCs/>
          <w:sz w:val="28"/>
          <w:szCs w:val="28"/>
        </w:rPr>
      </w:pPr>
      <w:bookmarkStart w:id="1" w:name="_Toc9849"/>
      <w:r>
        <w:rPr>
          <w:rFonts w:hint="eastAsia" w:ascii="宋体" w:hAnsi="宋体"/>
          <w:b/>
          <w:bCs/>
          <w:sz w:val="28"/>
          <w:szCs w:val="28"/>
        </w:rPr>
        <w:t>1</w:t>
      </w:r>
      <w:r>
        <w:rPr>
          <w:rFonts w:ascii="宋体" w:hAnsi="宋体"/>
          <w:b/>
          <w:bCs/>
          <w:sz w:val="28"/>
          <w:szCs w:val="28"/>
        </w:rPr>
        <w:t>.1</w:t>
      </w:r>
      <w:bookmarkEnd w:id="1"/>
      <w:r>
        <w:rPr>
          <w:rStyle w:val="72"/>
          <w:rFonts w:ascii="宋体" w:hAnsi="宋体" w:cs="宋体"/>
          <w:sz w:val="24"/>
          <w:szCs w:val="24"/>
        </w:rPr>
        <w:t>六歌健康生物产业园信息化系统提升</w:t>
      </w:r>
      <w:r>
        <w:rPr>
          <w:rStyle w:val="72"/>
          <w:rFonts w:hint="eastAsia" w:ascii="宋体" w:hAnsi="宋体" w:cs="宋体"/>
          <w:sz w:val="24"/>
          <w:szCs w:val="24"/>
        </w:rPr>
        <w:t>需求一览表</w:t>
      </w:r>
    </w:p>
    <w:tbl>
      <w:tblPr>
        <w:tblStyle w:val="46"/>
        <w:tblW w:w="5316" w:type="pct"/>
        <w:tblInd w:w="-426" w:type="dxa"/>
        <w:tblLayout w:type="fixed"/>
        <w:tblCellMar>
          <w:top w:w="0" w:type="dxa"/>
          <w:left w:w="108" w:type="dxa"/>
          <w:bottom w:w="0" w:type="dxa"/>
          <w:right w:w="108" w:type="dxa"/>
        </w:tblCellMar>
      </w:tblPr>
      <w:tblGrid>
        <w:gridCol w:w="741"/>
        <w:gridCol w:w="1613"/>
        <w:gridCol w:w="6367"/>
        <w:gridCol w:w="765"/>
        <w:gridCol w:w="690"/>
      </w:tblGrid>
      <w:tr>
        <w:tblPrEx>
          <w:tblCellMar>
            <w:top w:w="0" w:type="dxa"/>
            <w:left w:w="108" w:type="dxa"/>
            <w:bottom w:w="0" w:type="dxa"/>
            <w:right w:w="108" w:type="dxa"/>
          </w:tblCellMar>
        </w:tblPrEx>
        <w:trPr>
          <w:trHeight w:val="27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b/>
                <w:bCs/>
                <w:color w:val="000000"/>
              </w:rPr>
            </w:pPr>
            <w:r>
              <w:rPr>
                <w:rFonts w:hint="eastAsia"/>
                <w:b/>
                <w:bCs/>
                <w:color w:val="000000"/>
              </w:rPr>
              <w:t>序号</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b/>
                <w:bCs/>
                <w:color w:val="000000"/>
              </w:rPr>
            </w:pPr>
            <w:r>
              <w:rPr>
                <w:rFonts w:hint="eastAsia"/>
                <w:b/>
                <w:bCs/>
                <w:color w:val="000000"/>
              </w:rPr>
              <w:t>产品名称</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b/>
                <w:bCs/>
                <w:color w:val="000000"/>
              </w:rPr>
            </w:pPr>
            <w:r>
              <w:rPr>
                <w:rFonts w:hint="eastAsia"/>
                <w:b/>
                <w:bCs/>
                <w:color w:val="000000"/>
              </w:rPr>
              <w:t>性能参数</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b/>
                <w:bCs/>
                <w:color w:val="000000"/>
              </w:rPr>
            </w:pPr>
            <w:r>
              <w:rPr>
                <w:rFonts w:hint="eastAsia"/>
                <w:b/>
                <w:bCs/>
                <w:color w:val="000000"/>
              </w:rPr>
              <w:t>单位</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b/>
                <w:bCs/>
                <w:color w:val="000000"/>
              </w:rPr>
            </w:pPr>
            <w:r>
              <w:rPr>
                <w:rFonts w:hint="eastAsia"/>
                <w:b/>
                <w:bCs/>
                <w:color w:val="000000"/>
              </w:rPr>
              <w:t>数量</w:t>
            </w:r>
          </w:p>
        </w:tc>
      </w:tr>
      <w:tr>
        <w:tblPrEx>
          <w:tblCellMar>
            <w:top w:w="0" w:type="dxa"/>
            <w:left w:w="108" w:type="dxa"/>
            <w:bottom w:w="0" w:type="dxa"/>
            <w:right w:w="108" w:type="dxa"/>
          </w:tblCellMar>
        </w:tblPrEx>
        <w:trPr>
          <w:trHeight w:val="9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b/>
                <w:bCs/>
                <w:color w:val="000000"/>
              </w:rPr>
            </w:pPr>
            <w:r>
              <w:rPr>
                <w:rFonts w:hint="eastAsia"/>
                <w:b/>
                <w:bCs/>
                <w:color w:val="000000"/>
              </w:rPr>
              <w:t>封闭化基础设施建设</w:t>
            </w:r>
          </w:p>
        </w:tc>
      </w:tr>
      <w:tr>
        <w:tblPrEx>
          <w:tblCellMar>
            <w:top w:w="0" w:type="dxa"/>
            <w:left w:w="108" w:type="dxa"/>
            <w:bottom w:w="0" w:type="dxa"/>
            <w:right w:w="108" w:type="dxa"/>
          </w:tblCellMar>
        </w:tblPrEx>
        <w:trPr>
          <w:trHeight w:val="7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900万一体化抓拍单元</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olor w:val="000000"/>
                <w:szCs w:val="21"/>
                <w:highlight w:val="none"/>
              </w:rPr>
            </w:pPr>
            <w:r>
              <w:rPr>
                <w:rFonts w:hint="eastAsia" w:ascii="宋体" w:hAnsi="宋体"/>
                <w:color w:val="000000"/>
                <w:szCs w:val="21"/>
                <w:highlight w:val="none"/>
              </w:rPr>
              <w:t>包含摄像机（内置偏振镜）、高清镜头、室外防护罩、风扇、内置补光灯、电源适配器、相机内置防雷模块、安装万向节等</w:t>
            </w:r>
          </w:p>
          <w:p>
            <w:pPr>
              <w:widowControl/>
              <w:textAlignment w:val="center"/>
              <w:rPr>
                <w:rFonts w:hint="eastAsia" w:ascii="宋体" w:hAnsi="宋体"/>
                <w:color w:val="000000"/>
                <w:szCs w:val="21"/>
                <w:highlight w:val="none"/>
              </w:rPr>
            </w:pPr>
            <w:r>
              <w:rPr>
                <w:rFonts w:hint="eastAsia" w:ascii="宋体" w:hAnsi="宋体"/>
                <w:color w:val="000000"/>
                <w:szCs w:val="21"/>
                <w:highlight w:val="none"/>
              </w:rPr>
              <w:t>像素：900W</w:t>
            </w:r>
          </w:p>
          <w:p>
            <w:pPr>
              <w:widowControl/>
              <w:textAlignment w:val="center"/>
              <w:rPr>
                <w:rFonts w:hint="eastAsia" w:ascii="宋体" w:hAnsi="宋体"/>
                <w:color w:val="000000"/>
                <w:szCs w:val="21"/>
                <w:highlight w:val="none"/>
              </w:rPr>
            </w:pPr>
            <w:r>
              <w:rPr>
                <w:rFonts w:hint="eastAsia" w:ascii="宋体" w:hAnsi="宋体"/>
                <w:color w:val="000000"/>
                <w:szCs w:val="21"/>
                <w:highlight w:val="none"/>
              </w:rPr>
              <w:t>分辨率：最大支持4096*2160</w:t>
            </w:r>
          </w:p>
          <w:p>
            <w:pPr>
              <w:widowControl/>
              <w:textAlignment w:val="center"/>
              <w:rPr>
                <w:rFonts w:hint="eastAsia" w:ascii="宋体" w:hAnsi="宋体"/>
                <w:color w:val="000000"/>
                <w:szCs w:val="21"/>
                <w:highlight w:val="none"/>
              </w:rPr>
            </w:pPr>
            <w:r>
              <w:rPr>
                <w:rFonts w:hint="eastAsia" w:ascii="宋体" w:hAnsi="宋体"/>
                <w:color w:val="000000"/>
                <w:szCs w:val="21"/>
                <w:highlight w:val="none"/>
              </w:rPr>
              <w:t>帧率：25fps</w:t>
            </w:r>
          </w:p>
          <w:p>
            <w:pPr>
              <w:widowControl/>
              <w:textAlignment w:val="center"/>
              <w:rPr>
                <w:rFonts w:hint="eastAsia" w:ascii="宋体" w:hAnsi="宋体"/>
                <w:color w:val="000000"/>
                <w:szCs w:val="21"/>
                <w:highlight w:val="none"/>
              </w:rPr>
            </w:pPr>
            <w:r>
              <w:rPr>
                <w:rFonts w:hint="eastAsia" w:ascii="宋体" w:hAnsi="宋体"/>
                <w:color w:val="000000"/>
                <w:szCs w:val="21"/>
                <w:highlight w:val="none"/>
              </w:rPr>
              <w:t>图像传感器：采用1" 英寸全局曝光CMOS（GMOS）传感器</w:t>
            </w:r>
          </w:p>
          <w:p>
            <w:pPr>
              <w:widowControl/>
              <w:textAlignment w:val="center"/>
              <w:rPr>
                <w:rFonts w:hint="eastAsia" w:ascii="宋体" w:hAnsi="宋体"/>
                <w:color w:val="000000"/>
                <w:szCs w:val="21"/>
                <w:highlight w:val="none"/>
              </w:rPr>
            </w:pPr>
            <w:r>
              <w:rPr>
                <w:rFonts w:hint="eastAsia" w:ascii="宋体" w:hAnsi="宋体"/>
                <w:color w:val="000000"/>
                <w:szCs w:val="21"/>
                <w:highlight w:val="none"/>
              </w:rPr>
              <w:t>镜头：25mm镜头</w:t>
            </w:r>
          </w:p>
          <w:p>
            <w:pPr>
              <w:widowControl/>
              <w:textAlignment w:val="center"/>
              <w:rPr>
                <w:rFonts w:hint="eastAsia" w:ascii="宋体" w:hAnsi="宋体"/>
                <w:color w:val="000000"/>
                <w:szCs w:val="21"/>
                <w:highlight w:val="none"/>
              </w:rPr>
            </w:pPr>
            <w:r>
              <w:rPr>
                <w:rFonts w:hint="eastAsia" w:ascii="宋体" w:hAnsi="宋体"/>
                <w:color w:val="000000"/>
                <w:szCs w:val="21"/>
                <w:highlight w:val="none"/>
              </w:rPr>
              <w:t>照度：彩色:0.01Lux</w:t>
            </w:r>
          </w:p>
          <w:p>
            <w:pPr>
              <w:widowControl/>
              <w:textAlignment w:val="center"/>
              <w:rPr>
                <w:rFonts w:hint="eastAsia" w:ascii="宋体" w:hAnsi="宋体"/>
                <w:color w:val="000000"/>
                <w:szCs w:val="21"/>
                <w:highlight w:val="none"/>
              </w:rPr>
            </w:pPr>
            <w:r>
              <w:rPr>
                <w:rFonts w:hint="eastAsia" w:ascii="宋体" w:hAnsi="宋体"/>
                <w:color w:val="000000"/>
                <w:szCs w:val="21"/>
                <w:highlight w:val="none"/>
              </w:rPr>
              <w:t>视频压缩标准：H.265/H.264/MJPEG</w:t>
            </w:r>
          </w:p>
          <w:p>
            <w:pPr>
              <w:widowControl/>
              <w:textAlignment w:val="center"/>
              <w:rPr>
                <w:rFonts w:hint="eastAsia" w:ascii="宋体" w:hAnsi="宋体"/>
                <w:color w:val="000000"/>
                <w:szCs w:val="21"/>
                <w:highlight w:val="none"/>
              </w:rPr>
            </w:pPr>
            <w:r>
              <w:rPr>
                <w:rFonts w:hint="eastAsia" w:ascii="宋体" w:hAnsi="宋体"/>
                <w:color w:val="000000"/>
                <w:szCs w:val="21"/>
                <w:highlight w:val="none"/>
              </w:rPr>
              <w:t>输出：电平量信号</w:t>
            </w:r>
          </w:p>
          <w:p>
            <w:pPr>
              <w:widowControl/>
              <w:textAlignment w:val="center"/>
              <w:rPr>
                <w:rFonts w:hint="eastAsia" w:ascii="宋体" w:hAnsi="宋体"/>
                <w:color w:val="000000"/>
                <w:szCs w:val="21"/>
                <w:highlight w:val="none"/>
              </w:rPr>
            </w:pPr>
            <w:r>
              <w:rPr>
                <w:rFonts w:hint="eastAsia" w:ascii="宋体" w:hAnsi="宋体"/>
                <w:color w:val="000000"/>
                <w:szCs w:val="21"/>
                <w:highlight w:val="none"/>
              </w:rPr>
              <w:t>通讯接口：2个RJ45 100M/1000M自适应网口，3个RS485接口，1个RS232接口</w:t>
            </w:r>
          </w:p>
          <w:p>
            <w:pPr>
              <w:widowControl/>
              <w:textAlignment w:val="center"/>
              <w:rPr>
                <w:rFonts w:hint="eastAsia" w:ascii="宋体" w:hAnsi="宋体"/>
                <w:color w:val="000000"/>
                <w:szCs w:val="21"/>
                <w:highlight w:val="none"/>
              </w:rPr>
            </w:pPr>
            <w:r>
              <w:rPr>
                <w:rFonts w:hint="eastAsia" w:ascii="宋体" w:hAnsi="宋体"/>
                <w:color w:val="000000"/>
                <w:szCs w:val="21"/>
                <w:highlight w:val="none"/>
              </w:rPr>
              <w:t>触发输入：1个触发/报警输入</w:t>
            </w:r>
          </w:p>
          <w:p>
            <w:pPr>
              <w:widowControl/>
              <w:textAlignment w:val="center"/>
              <w:rPr>
                <w:rFonts w:hint="eastAsia" w:ascii="宋体" w:hAnsi="宋体"/>
                <w:color w:val="000000"/>
                <w:szCs w:val="21"/>
                <w:highlight w:val="none"/>
              </w:rPr>
            </w:pPr>
            <w:r>
              <w:rPr>
                <w:rFonts w:hint="eastAsia" w:ascii="宋体" w:hAnsi="宋体"/>
                <w:color w:val="000000"/>
                <w:szCs w:val="21"/>
                <w:highlight w:val="none"/>
              </w:rPr>
              <w:t>触发输出：7路F+F-输出接口,可作为补光灯同步输出控制</w:t>
            </w:r>
          </w:p>
          <w:p>
            <w:pPr>
              <w:widowControl/>
              <w:textAlignment w:val="center"/>
              <w:rPr>
                <w:rFonts w:hint="eastAsia" w:ascii="宋体" w:hAnsi="宋体"/>
                <w:color w:val="000000"/>
                <w:szCs w:val="21"/>
                <w:highlight w:val="none"/>
              </w:rPr>
            </w:pPr>
            <w:r>
              <w:rPr>
                <w:rFonts w:hint="eastAsia" w:ascii="宋体" w:hAnsi="宋体"/>
                <w:color w:val="000000"/>
                <w:szCs w:val="21"/>
                <w:highlight w:val="none"/>
              </w:rPr>
              <w:t>同步输入：SYNC信号灯电源同步输入</w:t>
            </w:r>
          </w:p>
          <w:p>
            <w:pPr>
              <w:widowControl/>
              <w:textAlignment w:val="center"/>
              <w:rPr>
                <w:rFonts w:hint="eastAsia" w:ascii="宋体" w:hAnsi="宋体"/>
                <w:color w:val="000000"/>
                <w:szCs w:val="21"/>
                <w:highlight w:val="none"/>
              </w:rPr>
            </w:pPr>
            <w:r>
              <w:rPr>
                <w:rFonts w:hint="eastAsia" w:ascii="宋体" w:hAnsi="宋体"/>
                <w:color w:val="000000"/>
                <w:szCs w:val="21"/>
                <w:highlight w:val="none"/>
              </w:rPr>
              <w:t>自动光圈镜头：支持</w:t>
            </w:r>
          </w:p>
          <w:p>
            <w:pPr>
              <w:widowControl/>
              <w:textAlignment w:val="center"/>
              <w:rPr>
                <w:rFonts w:hint="eastAsia" w:ascii="宋体" w:hAnsi="宋体"/>
                <w:color w:val="000000"/>
                <w:szCs w:val="21"/>
                <w:highlight w:val="none"/>
              </w:rPr>
            </w:pPr>
            <w:r>
              <w:rPr>
                <w:rFonts w:hint="eastAsia" w:ascii="宋体" w:hAnsi="宋体"/>
                <w:color w:val="000000"/>
                <w:szCs w:val="21"/>
                <w:highlight w:val="none"/>
              </w:rPr>
              <w:t>工作电压：100VAC～240VAC；频率：48Hz～52Hz；</w:t>
            </w:r>
          </w:p>
          <w:p>
            <w:pPr>
              <w:widowControl/>
              <w:textAlignment w:val="center"/>
              <w:rPr>
                <w:rFonts w:hint="eastAsia" w:ascii="宋体" w:hAnsi="宋体"/>
                <w:color w:val="000000"/>
                <w:szCs w:val="21"/>
                <w:highlight w:val="none"/>
              </w:rPr>
            </w:pPr>
            <w:r>
              <w:rPr>
                <w:rFonts w:hint="eastAsia" w:ascii="宋体" w:hAnsi="宋体"/>
                <w:color w:val="000000"/>
                <w:szCs w:val="21"/>
                <w:highlight w:val="none"/>
              </w:rPr>
              <w:t>支持智能识别功能：内置视频识别功能，支持车牌识别、视频触发、车身颜色识别、车型识别，通行车辆信息捕获和违章检测功能；</w:t>
            </w:r>
          </w:p>
          <w:p>
            <w:pPr>
              <w:widowControl/>
              <w:textAlignment w:val="center"/>
              <w:rPr>
                <w:rFonts w:hint="eastAsia" w:ascii="宋体" w:hAnsi="宋体"/>
                <w:color w:val="000000"/>
                <w:szCs w:val="21"/>
                <w:highlight w:val="none"/>
              </w:rPr>
            </w:pPr>
            <w:r>
              <w:rPr>
                <w:rFonts w:hint="eastAsia" w:ascii="宋体" w:hAnsi="宋体"/>
                <w:color w:val="000000"/>
                <w:szCs w:val="21"/>
                <w:highlight w:val="none"/>
              </w:rPr>
              <w:t>★支持对机动车、非机动车、行人等混合目标进行检测。样机能同时检测不少于120个混合的静态目标并对这些目标进行绿框跟踪；可同时对至少120个混合的静态目标进行优选、抓拍及属性分析。（提供国家认可的检测机构出具的检测报告证明）</w:t>
            </w:r>
          </w:p>
          <w:p>
            <w:pPr>
              <w:widowControl/>
              <w:textAlignment w:val="center"/>
              <w:rPr>
                <w:rFonts w:hint="eastAsia" w:ascii="宋体" w:hAnsi="宋体"/>
                <w:color w:val="000000"/>
                <w:szCs w:val="21"/>
                <w:highlight w:val="none"/>
              </w:rPr>
            </w:pPr>
            <w:r>
              <w:rPr>
                <w:rFonts w:hint="eastAsia" w:ascii="宋体" w:hAnsi="宋体"/>
                <w:color w:val="000000"/>
                <w:szCs w:val="21"/>
                <w:highlight w:val="none"/>
              </w:rPr>
              <w:t>★支持对非机动车占用机动车道的违法进行检测和抓拍，白天和晚上的识别准确率均不低于99%（提供国家认可的检测机构出具的检测报告证明）</w:t>
            </w:r>
          </w:p>
          <w:p>
            <w:pPr>
              <w:widowControl/>
              <w:textAlignment w:val="center"/>
              <w:rPr>
                <w:rFonts w:ascii="宋体" w:hAnsi="宋体"/>
                <w:color w:val="000000"/>
                <w:szCs w:val="21"/>
                <w:highlight w:val="none"/>
              </w:rPr>
            </w:pPr>
            <w:r>
              <w:rPr>
                <w:rFonts w:hint="eastAsia" w:ascii="宋体" w:hAnsi="宋体"/>
                <w:color w:val="000000"/>
                <w:szCs w:val="21"/>
                <w:highlight w:val="none"/>
              </w:rPr>
              <w:t>★支持景深扩展模式设置功能（提供国家认可的检测机构出具的检测报告证明）</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台</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13</w:t>
            </w: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2</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25mm定焦镜头</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宋体" w:hAnsi="宋体"/>
                <w:color w:val="000000"/>
                <w:szCs w:val="21"/>
              </w:rPr>
            </w:pPr>
            <w:r>
              <w:rPr>
                <w:rFonts w:hint="eastAsia" w:ascii="宋体" w:hAnsi="宋体"/>
                <w:color w:val="000000"/>
                <w:szCs w:val="21"/>
              </w:rPr>
              <w:t>配套</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个</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13</w:t>
            </w: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3</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万向节</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宋体" w:hAnsi="宋体"/>
                <w:color w:val="000000"/>
                <w:szCs w:val="21"/>
              </w:rPr>
            </w:pPr>
            <w:r>
              <w:rPr>
                <w:rFonts w:hint="eastAsia" w:ascii="宋体" w:hAnsi="宋体"/>
                <w:color w:val="000000"/>
                <w:szCs w:val="21"/>
              </w:rPr>
              <w:t>配套</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个</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31</w:t>
            </w:r>
          </w:p>
        </w:tc>
      </w:tr>
      <w:tr>
        <w:tblPrEx>
          <w:tblCellMar>
            <w:top w:w="0" w:type="dxa"/>
            <w:left w:w="108" w:type="dxa"/>
            <w:bottom w:w="0" w:type="dxa"/>
            <w:right w:w="108" w:type="dxa"/>
          </w:tblCellMar>
        </w:tblPrEx>
        <w:trPr>
          <w:trHeight w:val="3369"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4</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多合一补光灯</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textAlignment w:val="top"/>
              <w:rPr>
                <w:rFonts w:hint="eastAsia" w:ascii="宋体" w:hAnsi="宋体"/>
                <w:color w:val="000000"/>
                <w:szCs w:val="21"/>
              </w:rPr>
            </w:pPr>
            <w:r>
              <w:rPr>
                <w:rFonts w:hint="eastAsia" w:ascii="宋体" w:hAnsi="宋体"/>
                <w:color w:val="000000"/>
                <w:szCs w:val="21"/>
              </w:rPr>
              <w:t>【16颗】【暖光】</w:t>
            </w:r>
          </w:p>
          <w:p>
            <w:pPr>
              <w:widowControl/>
              <w:textAlignment w:val="top"/>
              <w:rPr>
                <w:rFonts w:hint="eastAsia" w:ascii="宋体" w:hAnsi="宋体"/>
                <w:color w:val="000000"/>
                <w:szCs w:val="21"/>
              </w:rPr>
            </w:pPr>
            <w:r>
              <w:rPr>
                <w:rFonts w:hint="eastAsia" w:ascii="宋体" w:hAnsi="宋体"/>
                <w:color w:val="000000"/>
                <w:szCs w:val="21"/>
              </w:rPr>
              <w:t>光源类型：原装进口大功率LED，单车道环境补光</w:t>
            </w:r>
          </w:p>
          <w:p>
            <w:pPr>
              <w:widowControl/>
              <w:textAlignment w:val="top"/>
              <w:rPr>
                <w:rFonts w:hint="eastAsia" w:ascii="宋体" w:hAnsi="宋体"/>
                <w:color w:val="000000"/>
                <w:szCs w:val="21"/>
              </w:rPr>
            </w:pPr>
            <w:r>
              <w:rPr>
                <w:rFonts w:hint="eastAsia" w:ascii="宋体" w:hAnsi="宋体"/>
                <w:color w:val="000000"/>
                <w:szCs w:val="21"/>
              </w:rPr>
              <w:t>LED灯珠数量：16颗</w:t>
            </w:r>
          </w:p>
          <w:p>
            <w:pPr>
              <w:widowControl/>
              <w:textAlignment w:val="top"/>
              <w:rPr>
                <w:rFonts w:hint="eastAsia" w:ascii="宋体" w:hAnsi="宋体"/>
                <w:color w:val="000000"/>
                <w:szCs w:val="21"/>
              </w:rPr>
            </w:pPr>
            <w:r>
              <w:rPr>
                <w:rFonts w:hint="eastAsia" w:ascii="宋体" w:hAnsi="宋体"/>
                <w:color w:val="000000"/>
                <w:szCs w:val="21"/>
              </w:rPr>
              <w:t>发光角度：10°</w:t>
            </w:r>
          </w:p>
          <w:p>
            <w:pPr>
              <w:widowControl/>
              <w:textAlignment w:val="top"/>
              <w:rPr>
                <w:rFonts w:hint="eastAsia" w:ascii="宋体" w:hAnsi="宋体"/>
                <w:color w:val="000000"/>
                <w:szCs w:val="21"/>
              </w:rPr>
            </w:pPr>
            <w:r>
              <w:rPr>
                <w:rFonts w:hint="eastAsia" w:ascii="宋体" w:hAnsi="宋体"/>
                <w:color w:val="000000"/>
                <w:szCs w:val="21"/>
              </w:rPr>
              <w:t>最佳补光距离：16米-25米</w:t>
            </w:r>
          </w:p>
          <w:p>
            <w:pPr>
              <w:widowControl/>
              <w:textAlignment w:val="top"/>
              <w:rPr>
                <w:rFonts w:hint="eastAsia" w:ascii="宋体" w:hAnsi="宋体"/>
                <w:color w:val="000000"/>
                <w:szCs w:val="21"/>
              </w:rPr>
            </w:pPr>
            <w:r>
              <w:rPr>
                <w:rFonts w:hint="eastAsia" w:ascii="宋体" w:hAnsi="宋体"/>
                <w:color w:val="000000"/>
                <w:szCs w:val="21"/>
              </w:rPr>
              <w:t>触发方式：电平量触发(可选配开关量触发)</w:t>
            </w:r>
          </w:p>
          <w:p>
            <w:pPr>
              <w:widowControl/>
              <w:textAlignment w:val="top"/>
              <w:rPr>
                <w:rFonts w:hint="eastAsia" w:ascii="宋体" w:hAnsi="宋体"/>
                <w:color w:val="000000"/>
                <w:szCs w:val="21"/>
              </w:rPr>
            </w:pPr>
            <w:r>
              <w:rPr>
                <w:rFonts w:hint="eastAsia" w:ascii="宋体" w:hAnsi="宋体"/>
                <w:color w:val="000000"/>
                <w:szCs w:val="21"/>
              </w:rPr>
              <w:t>响应时间：小于20us</w:t>
            </w:r>
          </w:p>
          <w:p>
            <w:pPr>
              <w:widowControl/>
              <w:textAlignment w:val="top"/>
              <w:rPr>
                <w:rFonts w:hint="eastAsia" w:ascii="宋体" w:hAnsi="宋体"/>
                <w:color w:val="000000"/>
                <w:szCs w:val="21"/>
              </w:rPr>
            </w:pPr>
            <w:r>
              <w:rPr>
                <w:rFonts w:hint="eastAsia" w:ascii="宋体" w:hAnsi="宋体"/>
                <w:color w:val="000000"/>
                <w:szCs w:val="21"/>
              </w:rPr>
              <w:t>日夜功能：支持环境亮度监测,低照度下自动开启(可选配)</w:t>
            </w:r>
          </w:p>
          <w:p>
            <w:pPr>
              <w:widowControl/>
              <w:textAlignment w:val="top"/>
              <w:rPr>
                <w:rFonts w:hint="eastAsia" w:ascii="宋体" w:hAnsi="宋体"/>
                <w:color w:val="000000"/>
                <w:szCs w:val="21"/>
              </w:rPr>
            </w:pPr>
            <w:r>
              <w:rPr>
                <w:rFonts w:hint="eastAsia" w:ascii="宋体" w:hAnsi="宋体"/>
                <w:color w:val="000000"/>
                <w:szCs w:val="21"/>
              </w:rPr>
              <w:t>触发信号电平：4V-6V</w:t>
            </w:r>
          </w:p>
          <w:p>
            <w:pPr>
              <w:widowControl/>
              <w:textAlignment w:val="top"/>
              <w:rPr>
                <w:rFonts w:hint="eastAsia" w:ascii="宋体" w:hAnsi="宋体"/>
                <w:color w:val="000000"/>
                <w:szCs w:val="21"/>
              </w:rPr>
            </w:pPr>
            <w:r>
              <w:rPr>
                <w:rFonts w:hint="eastAsia" w:ascii="宋体" w:hAnsi="宋体"/>
                <w:color w:val="000000"/>
                <w:szCs w:val="21"/>
              </w:rPr>
              <w:t>防护等级：IP66</w:t>
            </w:r>
          </w:p>
          <w:p>
            <w:pPr>
              <w:widowControl/>
              <w:textAlignment w:val="top"/>
              <w:rPr>
                <w:rFonts w:hint="eastAsia" w:ascii="宋体" w:hAnsi="宋体"/>
                <w:color w:val="000000"/>
                <w:szCs w:val="21"/>
              </w:rPr>
            </w:pPr>
            <w:r>
              <w:rPr>
                <w:rFonts w:hint="eastAsia" w:ascii="宋体" w:hAnsi="宋体"/>
                <w:color w:val="000000"/>
                <w:szCs w:val="21"/>
              </w:rPr>
              <w:t>外形尺寸：128mm(W)×216mm(H)×159mm(D)</w:t>
            </w:r>
          </w:p>
          <w:p>
            <w:pPr>
              <w:widowControl/>
              <w:textAlignment w:val="top"/>
              <w:rPr>
                <w:rFonts w:hint="eastAsia" w:ascii="宋体" w:hAnsi="宋体"/>
                <w:color w:val="000000"/>
                <w:szCs w:val="21"/>
              </w:rPr>
            </w:pPr>
            <w:r>
              <w:rPr>
                <w:rFonts w:hint="eastAsia" w:ascii="宋体" w:hAnsi="宋体"/>
                <w:color w:val="000000"/>
                <w:szCs w:val="21"/>
              </w:rPr>
              <w:t>整体重量：2.72Kg</w:t>
            </w:r>
          </w:p>
          <w:p>
            <w:pPr>
              <w:widowControl/>
              <w:textAlignment w:val="top"/>
              <w:rPr>
                <w:rFonts w:ascii="宋体" w:hAnsi="宋体"/>
                <w:color w:val="000000"/>
                <w:szCs w:val="21"/>
              </w:rPr>
            </w:pPr>
            <w:r>
              <w:rPr>
                <w:rFonts w:hint="eastAsia" w:ascii="宋体" w:hAnsi="宋体"/>
                <w:color w:val="000000"/>
                <w:szCs w:val="21"/>
              </w:rPr>
              <w:t>功率：平均功率36W(实际功率与控制方式有关)</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个</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22</w:t>
            </w:r>
          </w:p>
        </w:tc>
      </w:tr>
      <w:tr>
        <w:tblPrEx>
          <w:tblCellMar>
            <w:top w:w="0" w:type="dxa"/>
            <w:left w:w="108" w:type="dxa"/>
            <w:bottom w:w="0" w:type="dxa"/>
            <w:right w:w="108" w:type="dxa"/>
          </w:tblCellMar>
        </w:tblPrEx>
        <w:trPr>
          <w:trHeight w:val="4583"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5</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400万红外定焦枪型网络摄像机</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olor w:val="000000"/>
                <w:szCs w:val="21"/>
              </w:rPr>
            </w:pPr>
            <w:r>
              <w:rPr>
                <w:rFonts w:hint="eastAsia" w:ascii="宋体" w:hAnsi="宋体"/>
                <w:color w:val="000000"/>
                <w:szCs w:val="21"/>
              </w:rPr>
              <w:t>400万 1/3" CMOS 红外筒型网络摄像机</w:t>
            </w:r>
          </w:p>
          <w:p>
            <w:pPr>
              <w:widowControl/>
              <w:textAlignment w:val="center"/>
              <w:rPr>
                <w:rFonts w:hint="eastAsia" w:ascii="宋体" w:hAnsi="宋体"/>
                <w:color w:val="000000"/>
                <w:szCs w:val="21"/>
              </w:rPr>
            </w:pPr>
            <w:r>
              <w:rPr>
                <w:rFonts w:hint="eastAsia" w:ascii="宋体" w:hAnsi="宋体"/>
                <w:color w:val="000000"/>
                <w:szCs w:val="21"/>
              </w:rPr>
              <w:t>支持Smart侦测：10项事件检测，1项异常检测</w:t>
            </w:r>
          </w:p>
          <w:p>
            <w:pPr>
              <w:widowControl/>
              <w:textAlignment w:val="center"/>
              <w:rPr>
                <w:rFonts w:hint="eastAsia" w:ascii="宋体" w:hAnsi="宋体"/>
                <w:color w:val="000000"/>
                <w:szCs w:val="21"/>
              </w:rPr>
            </w:pPr>
            <w:r>
              <w:rPr>
                <w:rFonts w:hint="eastAsia" w:ascii="宋体" w:hAnsi="宋体"/>
                <w:color w:val="000000"/>
                <w:szCs w:val="21"/>
              </w:rPr>
              <w:t>最低照度: 彩色：0.005 Lux @（F1.2，AGC ON），0 Lux with IR</w:t>
            </w:r>
          </w:p>
          <w:p>
            <w:pPr>
              <w:widowControl/>
              <w:textAlignment w:val="center"/>
              <w:rPr>
                <w:rFonts w:hint="eastAsia" w:ascii="宋体" w:hAnsi="宋体"/>
                <w:color w:val="000000"/>
                <w:szCs w:val="21"/>
              </w:rPr>
            </w:pPr>
            <w:r>
              <w:rPr>
                <w:rFonts w:hint="eastAsia" w:ascii="宋体" w:hAnsi="宋体"/>
                <w:color w:val="000000"/>
                <w:szCs w:val="21"/>
              </w:rPr>
              <w:t>宽动态: 120 dB</w:t>
            </w:r>
          </w:p>
          <w:p>
            <w:pPr>
              <w:widowControl/>
              <w:textAlignment w:val="center"/>
              <w:rPr>
                <w:rFonts w:hint="eastAsia" w:ascii="宋体" w:hAnsi="宋体"/>
                <w:color w:val="000000"/>
                <w:szCs w:val="21"/>
              </w:rPr>
            </w:pPr>
            <w:r>
              <w:rPr>
                <w:rFonts w:hint="eastAsia" w:ascii="宋体" w:hAnsi="宋体"/>
                <w:color w:val="000000"/>
                <w:szCs w:val="21"/>
              </w:rPr>
              <w:t>6 mm，水平视场角：49.1°，垂直视场角：26.3°，对角视场角：57.2°</w:t>
            </w:r>
          </w:p>
          <w:p>
            <w:pPr>
              <w:widowControl/>
              <w:textAlignment w:val="center"/>
              <w:rPr>
                <w:rFonts w:hint="eastAsia" w:ascii="宋体" w:hAnsi="宋体"/>
                <w:color w:val="000000"/>
                <w:szCs w:val="21"/>
              </w:rPr>
            </w:pPr>
            <w:r>
              <w:rPr>
                <w:rFonts w:hint="eastAsia" w:ascii="宋体" w:hAnsi="宋体"/>
                <w:color w:val="000000"/>
                <w:szCs w:val="21"/>
              </w:rPr>
              <w:t>补光距离: 最远可达50 m</w:t>
            </w:r>
          </w:p>
          <w:p>
            <w:pPr>
              <w:widowControl/>
              <w:textAlignment w:val="center"/>
              <w:rPr>
                <w:rFonts w:hint="eastAsia" w:ascii="宋体" w:hAnsi="宋体"/>
                <w:color w:val="000000"/>
                <w:szCs w:val="21"/>
              </w:rPr>
            </w:pPr>
            <w:r>
              <w:rPr>
                <w:rFonts w:hint="eastAsia" w:ascii="宋体" w:hAnsi="宋体"/>
                <w:color w:val="000000"/>
                <w:szCs w:val="21"/>
              </w:rPr>
              <w:t>红外波长范围: 850 nm</w:t>
            </w:r>
          </w:p>
          <w:p>
            <w:pPr>
              <w:widowControl/>
              <w:textAlignment w:val="center"/>
              <w:rPr>
                <w:rFonts w:hint="eastAsia" w:ascii="宋体" w:hAnsi="宋体"/>
                <w:color w:val="000000"/>
                <w:szCs w:val="21"/>
              </w:rPr>
            </w:pPr>
            <w:r>
              <w:rPr>
                <w:rFonts w:hint="eastAsia" w:ascii="宋体" w:hAnsi="宋体"/>
                <w:color w:val="000000"/>
                <w:szCs w:val="21"/>
              </w:rPr>
              <w:t>补光灯类型: 红外灯</w:t>
            </w:r>
          </w:p>
          <w:p>
            <w:pPr>
              <w:widowControl/>
              <w:textAlignment w:val="center"/>
              <w:rPr>
                <w:rFonts w:hint="eastAsia" w:ascii="宋体" w:hAnsi="宋体"/>
                <w:color w:val="000000"/>
                <w:szCs w:val="21"/>
              </w:rPr>
            </w:pPr>
            <w:r>
              <w:rPr>
                <w:rFonts w:hint="eastAsia" w:ascii="宋体" w:hAnsi="宋体"/>
                <w:color w:val="000000"/>
                <w:szCs w:val="21"/>
              </w:rPr>
              <w:t>最大图像尺寸: 2688 × 1520（默认2560 × 1440）</w:t>
            </w:r>
          </w:p>
          <w:p>
            <w:pPr>
              <w:widowControl/>
              <w:textAlignment w:val="center"/>
              <w:rPr>
                <w:rFonts w:hint="eastAsia" w:ascii="宋体" w:hAnsi="宋体"/>
                <w:color w:val="000000"/>
                <w:szCs w:val="21"/>
              </w:rPr>
            </w:pPr>
            <w:r>
              <w:rPr>
                <w:rFonts w:hint="eastAsia" w:ascii="宋体" w:hAnsi="宋体"/>
                <w:color w:val="000000"/>
                <w:szCs w:val="21"/>
              </w:rPr>
              <w:t>视频压缩标准: 主码流：H.265/H.264</w:t>
            </w:r>
          </w:p>
          <w:p>
            <w:pPr>
              <w:widowControl/>
              <w:textAlignment w:val="center"/>
              <w:rPr>
                <w:rFonts w:hint="eastAsia" w:ascii="宋体" w:hAnsi="宋体"/>
                <w:color w:val="000000"/>
                <w:szCs w:val="21"/>
              </w:rPr>
            </w:pPr>
            <w:r>
              <w:rPr>
                <w:rFonts w:hint="eastAsia" w:ascii="宋体" w:hAnsi="宋体"/>
                <w:color w:val="000000"/>
                <w:szCs w:val="21"/>
              </w:rPr>
              <w:t>网络存储: 支持NAS（NFS，SMB/CIFS均支持）</w:t>
            </w:r>
          </w:p>
          <w:p>
            <w:pPr>
              <w:widowControl/>
              <w:textAlignment w:val="center"/>
              <w:rPr>
                <w:rFonts w:hint="eastAsia" w:ascii="宋体" w:hAnsi="宋体"/>
                <w:color w:val="000000"/>
                <w:szCs w:val="21"/>
              </w:rPr>
            </w:pPr>
            <w:r>
              <w:rPr>
                <w:rFonts w:hint="eastAsia" w:ascii="宋体" w:hAnsi="宋体"/>
                <w:color w:val="000000"/>
                <w:szCs w:val="21"/>
              </w:rPr>
              <w:t>音频: 1个内置麦克风</w:t>
            </w:r>
          </w:p>
          <w:p>
            <w:pPr>
              <w:widowControl/>
              <w:textAlignment w:val="center"/>
              <w:rPr>
                <w:rFonts w:hint="eastAsia" w:ascii="宋体" w:hAnsi="宋体"/>
                <w:color w:val="000000"/>
                <w:szCs w:val="21"/>
              </w:rPr>
            </w:pPr>
            <w:r>
              <w:rPr>
                <w:rFonts w:hint="eastAsia" w:ascii="宋体" w:hAnsi="宋体"/>
                <w:color w:val="000000"/>
                <w:szCs w:val="21"/>
              </w:rPr>
              <w:t>网络: 1个RJ45 10 M/100 M自适应以太网口</w:t>
            </w:r>
          </w:p>
          <w:p>
            <w:pPr>
              <w:widowControl/>
              <w:textAlignment w:val="center"/>
              <w:rPr>
                <w:rFonts w:hint="eastAsia" w:ascii="宋体" w:hAnsi="宋体"/>
                <w:color w:val="000000"/>
                <w:szCs w:val="21"/>
              </w:rPr>
            </w:pPr>
            <w:r>
              <w:rPr>
                <w:rFonts w:hint="eastAsia" w:ascii="宋体" w:hAnsi="宋体"/>
                <w:color w:val="000000"/>
                <w:szCs w:val="21"/>
              </w:rPr>
              <w:t>启动和工作温湿度: -30 ℃~60 ℃，湿度小于95%（无凝结）</w:t>
            </w:r>
          </w:p>
          <w:p>
            <w:pPr>
              <w:widowControl/>
              <w:textAlignment w:val="center"/>
              <w:rPr>
                <w:rFonts w:hint="eastAsia" w:ascii="宋体" w:hAnsi="宋体"/>
                <w:color w:val="000000"/>
                <w:szCs w:val="21"/>
              </w:rPr>
            </w:pPr>
            <w:r>
              <w:rPr>
                <w:rFonts w:hint="eastAsia" w:ascii="宋体" w:hAnsi="宋体"/>
                <w:color w:val="000000"/>
                <w:szCs w:val="21"/>
              </w:rPr>
              <w:t>供电方式: DC：12 V ± 25%，支持防反接保护</w:t>
            </w:r>
          </w:p>
          <w:p>
            <w:pPr>
              <w:widowControl/>
              <w:textAlignment w:val="center"/>
              <w:rPr>
                <w:rFonts w:hint="eastAsia" w:ascii="宋体" w:hAnsi="宋体"/>
                <w:color w:val="000000"/>
                <w:szCs w:val="21"/>
              </w:rPr>
            </w:pPr>
            <w:r>
              <w:rPr>
                <w:rFonts w:hint="eastAsia" w:ascii="宋体" w:hAnsi="宋体"/>
                <w:color w:val="000000"/>
                <w:szCs w:val="21"/>
              </w:rPr>
              <w:t>电流及功耗: DC：12 V，0.50 A，最大功耗：6 W</w:t>
            </w:r>
          </w:p>
          <w:p>
            <w:pPr>
              <w:widowControl/>
              <w:textAlignment w:val="center"/>
              <w:rPr>
                <w:rFonts w:ascii="宋体" w:hAnsi="宋体"/>
                <w:color w:val="000000"/>
                <w:szCs w:val="21"/>
              </w:rPr>
            </w:pPr>
            <w:r>
              <w:rPr>
                <w:rFonts w:hint="eastAsia" w:ascii="宋体" w:hAnsi="宋体"/>
                <w:color w:val="000000"/>
                <w:szCs w:val="21"/>
              </w:rPr>
              <w:t>防护: IP66</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个</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5</w:t>
            </w: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6</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壁装枪机支架</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宋体" w:hAnsi="宋体"/>
                <w:color w:val="000000"/>
                <w:szCs w:val="21"/>
              </w:rPr>
            </w:pPr>
            <w:r>
              <w:rPr>
                <w:rFonts w:hint="eastAsia" w:ascii="宋体" w:hAnsi="宋体"/>
                <w:color w:val="000000"/>
                <w:szCs w:val="21"/>
              </w:rPr>
              <w:t>壁装支架，铝合金</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5</w:t>
            </w:r>
          </w:p>
        </w:tc>
      </w:tr>
      <w:tr>
        <w:tblPrEx>
          <w:tblCellMar>
            <w:top w:w="0" w:type="dxa"/>
            <w:left w:w="108" w:type="dxa"/>
            <w:bottom w:w="0" w:type="dxa"/>
            <w:right w:w="108" w:type="dxa"/>
          </w:tblCellMar>
        </w:tblPrEx>
        <w:trPr>
          <w:trHeight w:val="405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7</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网络视频存储</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textAlignment w:val="top"/>
              <w:rPr>
                <w:rFonts w:hint="eastAsia" w:ascii="宋体" w:hAnsi="宋体"/>
                <w:color w:val="000000"/>
                <w:szCs w:val="21"/>
              </w:rPr>
            </w:pPr>
            <w:r>
              <w:rPr>
                <w:rFonts w:hint="eastAsia" w:ascii="宋体" w:hAnsi="宋体"/>
                <w:color w:val="000000"/>
                <w:szCs w:val="21"/>
              </w:rPr>
              <w:t>4U标准机架式IP存储/X86架构/嵌入式软硬件设计</w:t>
            </w:r>
          </w:p>
          <w:p>
            <w:pPr>
              <w:widowControl/>
              <w:textAlignment w:val="top"/>
              <w:rPr>
                <w:rFonts w:hint="eastAsia" w:ascii="宋体" w:hAnsi="宋体"/>
                <w:color w:val="000000"/>
                <w:szCs w:val="21"/>
              </w:rPr>
            </w:pPr>
            <w:r>
              <w:rPr>
                <w:rFonts w:hint="eastAsia" w:ascii="宋体" w:hAnsi="宋体"/>
                <w:color w:val="000000"/>
                <w:szCs w:val="21"/>
              </w:rPr>
              <w:t>全插拔模块化无线缆设计   双电源</w:t>
            </w:r>
          </w:p>
          <w:p>
            <w:pPr>
              <w:widowControl/>
              <w:textAlignment w:val="top"/>
              <w:rPr>
                <w:rFonts w:hint="eastAsia" w:ascii="宋体" w:hAnsi="宋体"/>
                <w:color w:val="000000"/>
                <w:szCs w:val="21"/>
              </w:rPr>
            </w:pPr>
            <w:r>
              <w:rPr>
                <w:rFonts w:hint="eastAsia" w:ascii="宋体" w:hAnsi="宋体"/>
                <w:color w:val="000000"/>
                <w:szCs w:val="21"/>
              </w:rPr>
              <w:t>128路H.265、H.264混合接入</w:t>
            </w:r>
          </w:p>
          <w:p>
            <w:pPr>
              <w:widowControl/>
              <w:textAlignment w:val="top"/>
              <w:rPr>
                <w:rFonts w:hint="eastAsia" w:ascii="宋体" w:hAnsi="宋体"/>
                <w:color w:val="000000"/>
                <w:szCs w:val="21"/>
              </w:rPr>
            </w:pPr>
            <w:r>
              <w:rPr>
                <w:rFonts w:hint="eastAsia" w:ascii="宋体" w:hAnsi="宋体"/>
                <w:color w:val="000000"/>
                <w:szCs w:val="21"/>
              </w:rPr>
              <w:t>512M接入/512M存储/512M转发</w:t>
            </w:r>
          </w:p>
          <w:p>
            <w:pPr>
              <w:widowControl/>
              <w:textAlignment w:val="top"/>
              <w:rPr>
                <w:rFonts w:hint="eastAsia" w:ascii="宋体" w:hAnsi="宋体"/>
                <w:color w:val="000000"/>
                <w:szCs w:val="21"/>
              </w:rPr>
            </w:pPr>
            <w:r>
              <w:rPr>
                <w:rFonts w:hint="eastAsia" w:ascii="宋体" w:hAnsi="宋体"/>
                <w:color w:val="000000"/>
                <w:szCs w:val="21"/>
              </w:rPr>
              <w:t>24盘位，可满配10T硬盘</w:t>
            </w:r>
          </w:p>
          <w:p>
            <w:pPr>
              <w:widowControl/>
              <w:textAlignment w:val="top"/>
              <w:rPr>
                <w:rFonts w:hint="eastAsia" w:ascii="宋体" w:hAnsi="宋体"/>
                <w:color w:val="000000"/>
                <w:szCs w:val="21"/>
              </w:rPr>
            </w:pPr>
            <w:r>
              <w:rPr>
                <w:rFonts w:hint="eastAsia" w:ascii="宋体" w:hAnsi="宋体"/>
                <w:color w:val="000000"/>
                <w:szCs w:val="21"/>
              </w:rPr>
              <w:t>1个eSATA，支持Raid</w:t>
            </w:r>
          </w:p>
          <w:p>
            <w:pPr>
              <w:widowControl/>
              <w:textAlignment w:val="top"/>
              <w:rPr>
                <w:rFonts w:hint="eastAsia" w:ascii="宋体" w:hAnsi="宋体"/>
                <w:color w:val="000000"/>
                <w:szCs w:val="21"/>
              </w:rPr>
            </w:pPr>
            <w:r>
              <w:rPr>
                <w:rFonts w:hint="eastAsia" w:ascii="宋体" w:hAnsi="宋体"/>
                <w:color w:val="000000"/>
                <w:szCs w:val="21"/>
              </w:rPr>
              <w:t>2个HDMI、1个VGA，HDMI双4K异源输出（可选配液晶屏）</w:t>
            </w:r>
          </w:p>
          <w:p>
            <w:pPr>
              <w:widowControl/>
              <w:textAlignment w:val="top"/>
              <w:rPr>
                <w:rFonts w:hint="eastAsia" w:ascii="宋体" w:hAnsi="宋体"/>
                <w:color w:val="000000"/>
                <w:szCs w:val="21"/>
              </w:rPr>
            </w:pPr>
            <w:r>
              <w:rPr>
                <w:rFonts w:hint="eastAsia" w:ascii="宋体" w:hAnsi="宋体"/>
                <w:color w:val="000000"/>
                <w:szCs w:val="21"/>
              </w:rPr>
              <w:t>20路1080P或5路4K H.265、H.264混合解码</w:t>
            </w:r>
          </w:p>
          <w:p>
            <w:pPr>
              <w:widowControl/>
              <w:textAlignment w:val="top"/>
              <w:rPr>
                <w:rFonts w:hint="eastAsia" w:ascii="宋体" w:hAnsi="宋体"/>
                <w:color w:val="000000"/>
                <w:szCs w:val="21"/>
              </w:rPr>
            </w:pPr>
            <w:r>
              <w:rPr>
                <w:rFonts w:hint="eastAsia" w:ascii="宋体" w:hAnsi="宋体"/>
                <w:color w:val="000000"/>
                <w:szCs w:val="21"/>
              </w:rPr>
              <w:t>报警16进8出</w:t>
            </w:r>
          </w:p>
          <w:p>
            <w:pPr>
              <w:widowControl/>
              <w:textAlignment w:val="top"/>
              <w:rPr>
                <w:rFonts w:hint="eastAsia" w:ascii="宋体" w:hAnsi="宋体"/>
                <w:color w:val="000000"/>
                <w:szCs w:val="21"/>
              </w:rPr>
            </w:pPr>
            <w:r>
              <w:rPr>
                <w:rFonts w:hint="eastAsia" w:ascii="宋体" w:hAnsi="宋体"/>
                <w:color w:val="000000"/>
                <w:szCs w:val="21"/>
              </w:rPr>
              <w:t>4个千兆网口</w:t>
            </w:r>
          </w:p>
          <w:p>
            <w:pPr>
              <w:widowControl/>
              <w:textAlignment w:val="top"/>
              <w:rPr>
                <w:rFonts w:hint="eastAsia" w:ascii="宋体" w:hAnsi="宋体"/>
                <w:color w:val="000000"/>
                <w:szCs w:val="21"/>
              </w:rPr>
            </w:pPr>
            <w:r>
              <w:rPr>
                <w:rFonts w:hint="eastAsia" w:ascii="宋体" w:hAnsi="宋体"/>
                <w:color w:val="000000"/>
                <w:szCs w:val="21"/>
              </w:rPr>
              <w:t>1个USB2.0，2个USB3.0</w:t>
            </w:r>
          </w:p>
          <w:p>
            <w:pPr>
              <w:widowControl/>
              <w:textAlignment w:val="top"/>
              <w:rPr>
                <w:rFonts w:hint="eastAsia" w:ascii="宋体" w:hAnsi="宋体"/>
                <w:color w:val="000000"/>
                <w:szCs w:val="21"/>
              </w:rPr>
            </w:pPr>
            <w:r>
              <w:rPr>
                <w:rFonts w:hint="eastAsia" w:ascii="宋体" w:hAnsi="宋体"/>
                <w:color w:val="000000"/>
                <w:szCs w:val="21"/>
              </w:rPr>
              <w:t>Smart 2.0/整机热备/VQD视频质量诊断/SMD（普通IPC区域入侵、越界侦测检测）</w:t>
            </w:r>
          </w:p>
          <w:p>
            <w:pPr>
              <w:widowControl/>
              <w:textAlignment w:val="top"/>
              <w:rPr>
                <w:rFonts w:hint="eastAsia"/>
              </w:rPr>
            </w:pPr>
            <w:r>
              <w:rPr>
                <w:rFonts w:hint="eastAsia" w:ascii="宋体" w:hAnsi="宋体"/>
                <w:color w:val="000000"/>
                <w:szCs w:val="21"/>
              </w:rPr>
              <w:t>选配扩展板可增加的接口：报警32进16出/4个千兆光口/8个RS-485串行接口</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台</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8</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6TB硬盘</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textAlignment w:val="top"/>
              <w:rPr>
                <w:rFonts w:ascii="宋体" w:hAnsi="宋体"/>
                <w:color w:val="000000"/>
                <w:szCs w:val="21"/>
              </w:rPr>
            </w:pPr>
            <w:r>
              <w:rPr>
                <w:rFonts w:hint="eastAsia" w:ascii="宋体" w:hAnsi="宋体"/>
                <w:color w:val="000000"/>
                <w:szCs w:val="21"/>
              </w:rPr>
              <w:t>6T,3.5寸,SATA</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块</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24</w:t>
            </w: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9</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热成像观测型摄像机</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textAlignment w:val="top"/>
              <w:rPr>
                <w:rFonts w:hint="eastAsia" w:ascii="宋体" w:hAnsi="宋体"/>
                <w:color w:val="000000"/>
                <w:szCs w:val="21"/>
              </w:rPr>
            </w:pPr>
            <w:r>
              <w:rPr>
                <w:rFonts w:hint="eastAsia" w:ascii="宋体" w:hAnsi="宋体"/>
                <w:color w:val="000000"/>
                <w:szCs w:val="21"/>
              </w:rPr>
              <w:t>双光谱中载云台</w:t>
            </w:r>
          </w:p>
          <w:p>
            <w:pPr>
              <w:widowControl/>
              <w:textAlignment w:val="top"/>
              <w:rPr>
                <w:rFonts w:hint="eastAsia" w:ascii="宋体" w:hAnsi="宋体"/>
                <w:color w:val="000000"/>
                <w:szCs w:val="21"/>
              </w:rPr>
            </w:pPr>
            <w:r>
              <w:rPr>
                <w:rFonts w:hint="eastAsia" w:ascii="宋体" w:hAnsi="宋体"/>
                <w:color w:val="000000"/>
                <w:szCs w:val="21"/>
              </w:rPr>
              <w:t>热成像：分辨率：384×288；焦距：75mm；视场角：4.98°× 3.74°</w:t>
            </w:r>
          </w:p>
          <w:p>
            <w:pPr>
              <w:widowControl/>
              <w:textAlignment w:val="top"/>
              <w:rPr>
                <w:rFonts w:hint="eastAsia" w:ascii="宋体" w:hAnsi="宋体"/>
                <w:color w:val="000000"/>
                <w:szCs w:val="21"/>
              </w:rPr>
            </w:pPr>
            <w:r>
              <w:rPr>
                <w:rFonts w:hint="eastAsia" w:ascii="宋体" w:hAnsi="宋体"/>
                <w:color w:val="000000"/>
                <w:szCs w:val="21"/>
              </w:rPr>
              <w:t>可见光：分辨率：2688×1520，400万；焦距：6-336mm；视场角：48.26°x28.43° ~ 0.92°x0.52°</w:t>
            </w:r>
          </w:p>
          <w:p>
            <w:pPr>
              <w:widowControl/>
              <w:textAlignment w:val="top"/>
              <w:rPr>
                <w:rFonts w:hint="eastAsia" w:ascii="宋体" w:hAnsi="宋体"/>
                <w:color w:val="000000"/>
                <w:szCs w:val="21"/>
              </w:rPr>
            </w:pPr>
            <w:r>
              <w:rPr>
                <w:rFonts w:hint="eastAsia" w:ascii="宋体" w:hAnsi="宋体"/>
                <w:color w:val="000000"/>
                <w:szCs w:val="21"/>
              </w:rPr>
              <w:t>人员最远报警距离（以1.8米*0.5米为准）：750m</w:t>
            </w:r>
          </w:p>
          <w:p>
            <w:pPr>
              <w:widowControl/>
              <w:textAlignment w:val="top"/>
              <w:rPr>
                <w:rFonts w:hint="eastAsia" w:ascii="宋体" w:hAnsi="宋体"/>
                <w:color w:val="000000"/>
                <w:szCs w:val="21"/>
              </w:rPr>
            </w:pPr>
            <w:r>
              <w:rPr>
                <w:rFonts w:hint="eastAsia" w:ascii="宋体" w:hAnsi="宋体"/>
                <w:color w:val="000000"/>
                <w:szCs w:val="21"/>
              </w:rPr>
              <w:t>车辆最远报警距离（以4米*1.4米为准）：2250m</w:t>
            </w:r>
          </w:p>
          <w:p>
            <w:pPr>
              <w:widowControl/>
              <w:textAlignment w:val="top"/>
              <w:rPr>
                <w:rFonts w:hint="eastAsia" w:ascii="宋体" w:hAnsi="宋体"/>
                <w:color w:val="000000"/>
                <w:szCs w:val="21"/>
              </w:rPr>
            </w:pPr>
            <w:r>
              <w:rPr>
                <w:rFonts w:hint="eastAsia" w:ascii="宋体" w:hAnsi="宋体"/>
                <w:color w:val="000000"/>
                <w:szCs w:val="21"/>
              </w:rPr>
              <w:t>船只最远报警距离（以10米*5米为准）：2250m</w:t>
            </w:r>
          </w:p>
          <w:p>
            <w:pPr>
              <w:widowControl/>
              <w:textAlignment w:val="top"/>
              <w:rPr>
                <w:rFonts w:hint="eastAsia" w:ascii="宋体" w:hAnsi="宋体"/>
                <w:color w:val="000000"/>
                <w:szCs w:val="21"/>
              </w:rPr>
            </w:pPr>
            <w:r>
              <w:rPr>
                <w:rFonts w:hint="eastAsia" w:ascii="宋体" w:hAnsi="宋体"/>
                <w:color w:val="000000"/>
                <w:szCs w:val="21"/>
              </w:rPr>
              <w:t>火点最远报警距离（以2米*2米为准）：4500m</w:t>
            </w:r>
          </w:p>
          <w:p>
            <w:pPr>
              <w:widowControl/>
              <w:textAlignment w:val="top"/>
              <w:rPr>
                <w:rFonts w:hint="eastAsia" w:ascii="宋体" w:hAnsi="宋体"/>
                <w:color w:val="000000"/>
                <w:szCs w:val="21"/>
              </w:rPr>
            </w:pPr>
            <w:r>
              <w:rPr>
                <w:rFonts w:hint="eastAsia" w:ascii="宋体" w:hAnsi="宋体"/>
                <w:color w:val="000000"/>
                <w:szCs w:val="21"/>
              </w:rPr>
              <w:t>烟雾最远报警距离（以5米*5米为准）：6km</w:t>
            </w:r>
          </w:p>
          <w:p>
            <w:pPr>
              <w:widowControl/>
              <w:textAlignment w:val="top"/>
              <w:rPr>
                <w:rFonts w:hint="eastAsia" w:ascii="宋体" w:hAnsi="宋体"/>
                <w:color w:val="000000"/>
                <w:szCs w:val="21"/>
              </w:rPr>
            </w:pPr>
            <w:r>
              <w:rPr>
                <w:rFonts w:hint="eastAsia" w:ascii="宋体" w:hAnsi="宋体"/>
                <w:color w:val="000000"/>
                <w:szCs w:val="21"/>
              </w:rPr>
              <w:t>支持800米激光补光</w:t>
            </w:r>
          </w:p>
          <w:p>
            <w:pPr>
              <w:widowControl/>
              <w:textAlignment w:val="top"/>
              <w:rPr>
                <w:rFonts w:hint="eastAsia" w:ascii="宋体" w:hAnsi="宋体"/>
                <w:color w:val="000000"/>
                <w:szCs w:val="21"/>
              </w:rPr>
            </w:pPr>
            <w:r>
              <w:rPr>
                <w:rFonts w:hint="eastAsia" w:ascii="宋体" w:hAnsi="宋体"/>
                <w:color w:val="000000"/>
                <w:szCs w:val="21"/>
              </w:rPr>
              <w:t>支持光学透雾</w:t>
            </w:r>
          </w:p>
          <w:p>
            <w:pPr>
              <w:widowControl/>
              <w:textAlignment w:val="top"/>
              <w:rPr>
                <w:rFonts w:hint="eastAsia" w:ascii="宋体" w:hAnsi="宋体"/>
                <w:color w:val="000000"/>
                <w:szCs w:val="21"/>
              </w:rPr>
            </w:pPr>
            <w:r>
              <w:rPr>
                <w:rFonts w:hint="eastAsia" w:ascii="宋体" w:hAnsi="宋体"/>
                <w:color w:val="000000"/>
                <w:szCs w:val="21"/>
              </w:rPr>
              <w:t>水平方向360°连续旋转，垂直方向-90°～40°</w:t>
            </w:r>
          </w:p>
          <w:p>
            <w:pPr>
              <w:widowControl/>
              <w:textAlignment w:val="top"/>
              <w:rPr>
                <w:rFonts w:hint="eastAsia" w:ascii="宋体" w:hAnsi="宋体"/>
                <w:color w:val="000000"/>
                <w:szCs w:val="21"/>
              </w:rPr>
            </w:pPr>
            <w:r>
              <w:rPr>
                <w:rFonts w:hint="eastAsia" w:ascii="宋体" w:hAnsi="宋体"/>
                <w:color w:val="000000"/>
                <w:szCs w:val="21"/>
              </w:rPr>
              <w:t>电源：AC24V; DC36V; DC48V</w:t>
            </w:r>
          </w:p>
          <w:p>
            <w:pPr>
              <w:widowControl/>
              <w:textAlignment w:val="top"/>
              <w:rPr>
                <w:rFonts w:hint="eastAsia" w:ascii="宋体" w:hAnsi="宋体"/>
                <w:color w:val="000000"/>
                <w:szCs w:val="21"/>
              </w:rPr>
            </w:pPr>
            <w:r>
              <w:rPr>
                <w:rFonts w:hint="eastAsia" w:ascii="宋体" w:hAnsi="宋体"/>
                <w:color w:val="000000"/>
                <w:szCs w:val="21"/>
              </w:rPr>
              <w:t>工作温度：-40℃-65℃，湿度小于90%</w:t>
            </w:r>
          </w:p>
          <w:p>
            <w:pPr>
              <w:widowControl/>
              <w:textAlignment w:val="top"/>
              <w:rPr>
                <w:rFonts w:hint="eastAsia" w:ascii="宋体" w:hAnsi="宋体"/>
                <w:color w:val="000000"/>
                <w:szCs w:val="21"/>
                <w:highlight w:val="none"/>
              </w:rPr>
            </w:pPr>
            <w:r>
              <w:rPr>
                <w:rFonts w:hint="eastAsia" w:ascii="宋体" w:hAnsi="宋体"/>
                <w:color w:val="000000"/>
                <w:szCs w:val="21"/>
              </w:rPr>
              <w:t>防护等级：IP</w:t>
            </w:r>
            <w:r>
              <w:rPr>
                <w:rFonts w:hint="eastAsia" w:ascii="宋体" w:hAnsi="宋体"/>
                <w:color w:val="000000"/>
                <w:szCs w:val="21"/>
                <w:highlight w:val="none"/>
              </w:rPr>
              <w:t>66</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★设备内置陀螺仪、温度传感器、水平仪、1颗算力为4TPS的GPU芯片、1颗8G EMMC芯片；（提供国家认可的检测机构出具的检测报告证明）</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★设备可在设定的多种场景和时间段内对烟火、大型车辆（挖掘机、推土机、卡车、吊车）、排放的气体、船只、行人等目标进行检测；（提供国家认可的检测机构出具的检测报告证明）</w:t>
            </w:r>
          </w:p>
          <w:p>
            <w:pPr>
              <w:widowControl/>
              <w:textAlignment w:val="top"/>
              <w:rPr>
                <w:rFonts w:ascii="宋体" w:hAnsi="宋体"/>
                <w:color w:val="000000"/>
                <w:szCs w:val="21"/>
              </w:rPr>
            </w:pPr>
            <w:r>
              <w:rPr>
                <w:rFonts w:hint="eastAsia" w:ascii="宋体" w:hAnsi="宋体"/>
                <w:color w:val="000000"/>
                <w:szCs w:val="21"/>
                <w:highlight w:val="none"/>
              </w:rPr>
              <w:t>★设备开启多场景参数自适应功能后，可对不同的监控场景，自动调节图像参数；</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个</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3</w:t>
            </w:r>
          </w:p>
        </w:tc>
      </w:tr>
      <w:tr>
        <w:tblPrEx>
          <w:tblCellMar>
            <w:top w:w="0" w:type="dxa"/>
            <w:left w:w="108" w:type="dxa"/>
            <w:bottom w:w="0" w:type="dxa"/>
            <w:right w:w="108" w:type="dxa"/>
          </w:tblCellMar>
        </w:tblPrEx>
        <w:trPr>
          <w:trHeight w:val="271"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10</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1600万全景拼接摄像机</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1"/>
              <w:spacing w:before="42"/>
              <w:rPr>
                <w:szCs w:val="21"/>
              </w:rPr>
            </w:pPr>
            <w:r>
              <w:rPr>
                <w:rFonts w:hint="eastAsia"/>
                <w:szCs w:val="21"/>
              </w:rPr>
              <w:t>1600万180°AR全景拼接摄像机</w:t>
            </w:r>
          </w:p>
          <w:p>
            <w:pPr>
              <w:pStyle w:val="231"/>
              <w:spacing w:before="42"/>
              <w:rPr>
                <w:szCs w:val="21"/>
              </w:rPr>
            </w:pPr>
            <w:r>
              <w:rPr>
                <w:rFonts w:hint="eastAsia"/>
                <w:szCs w:val="21"/>
              </w:rPr>
              <w:t>全景通道采用</w:t>
            </w:r>
            <w:r>
              <w:rPr>
                <w:szCs w:val="21"/>
              </w:rPr>
              <w:t>4个靶面尺寸为 1/1.8＂的镜头，分辨率为均为2560×1440，细节通道采用1个靶面尺寸为1/1.8＂镜头，分辨率为2560×1440。可输出1路主视频图像和4路辅视频图像。拼接后抓拍图片的分辨率为:主视频：2560×1440；辅视频：5520×2400</w:t>
            </w:r>
          </w:p>
          <w:p>
            <w:pPr>
              <w:pStyle w:val="231"/>
              <w:spacing w:before="42"/>
              <w:rPr>
                <w:szCs w:val="21"/>
              </w:rPr>
            </w:pPr>
            <w:r>
              <w:rPr>
                <w:rFonts w:hint="eastAsia"/>
                <w:szCs w:val="21"/>
              </w:rPr>
              <w:t>内置不少于</w:t>
            </w:r>
            <w:r>
              <w:rPr>
                <w:szCs w:val="21"/>
              </w:rPr>
              <w:t>3个GPU芯片 。</w:t>
            </w:r>
          </w:p>
          <w:p>
            <w:pPr>
              <w:pStyle w:val="231"/>
              <w:spacing w:before="42"/>
              <w:rPr>
                <w:szCs w:val="21"/>
                <w:highlight w:val="none"/>
              </w:rPr>
            </w:pPr>
            <w:r>
              <w:rPr>
                <w:rFonts w:hint="eastAsia"/>
                <w:szCs w:val="21"/>
              </w:rPr>
              <w:t>主视频支持不小</w:t>
            </w:r>
            <w:r>
              <w:rPr>
                <w:rFonts w:hint="eastAsia"/>
                <w:szCs w:val="21"/>
                <w:highlight w:val="none"/>
              </w:rPr>
              <w:t>于</w:t>
            </w:r>
            <w:r>
              <w:rPr>
                <w:szCs w:val="21"/>
                <w:highlight w:val="none"/>
              </w:rPr>
              <w:t>40倍光学变倍，支持检测当前镜头指向方向与地平面夹角，并可根据夹角变化自动调整倍率</w:t>
            </w:r>
          </w:p>
          <w:p>
            <w:pPr>
              <w:pStyle w:val="231"/>
              <w:spacing w:before="42"/>
              <w:rPr>
                <w:szCs w:val="21"/>
                <w:highlight w:val="none"/>
              </w:rPr>
            </w:pPr>
            <w:r>
              <w:rPr>
                <w:rFonts w:hint="eastAsia"/>
                <w:szCs w:val="21"/>
                <w:highlight w:val="none"/>
              </w:rPr>
              <w:t>彩色：</w:t>
            </w:r>
            <w:r>
              <w:rPr>
                <w:szCs w:val="21"/>
                <w:highlight w:val="none"/>
              </w:rPr>
              <w:t>0.0003lux；黑白：0.0001lux</w:t>
            </w:r>
          </w:p>
          <w:p>
            <w:pPr>
              <w:pStyle w:val="231"/>
              <w:spacing w:before="42"/>
              <w:rPr>
                <w:szCs w:val="21"/>
                <w:highlight w:val="none"/>
              </w:rPr>
            </w:pPr>
            <w:r>
              <w:rPr>
                <w:rFonts w:hint="eastAsia"/>
                <w:szCs w:val="21"/>
                <w:highlight w:val="none"/>
              </w:rPr>
              <w:t>水平视场角不小于</w:t>
            </w:r>
            <w:r>
              <w:rPr>
                <w:szCs w:val="21"/>
                <w:highlight w:val="none"/>
              </w:rPr>
              <w:t>190°，垂直视场角102°</w:t>
            </w:r>
          </w:p>
          <w:p>
            <w:pPr>
              <w:pStyle w:val="231"/>
              <w:spacing w:before="42"/>
              <w:rPr>
                <w:szCs w:val="21"/>
                <w:highlight w:val="none"/>
              </w:rPr>
            </w:pPr>
            <w:r>
              <w:rPr>
                <w:rFonts w:hint="eastAsia"/>
                <w:szCs w:val="21"/>
                <w:highlight w:val="none"/>
              </w:rPr>
              <w:t>★全景镜头光圈均不小于</w:t>
            </w:r>
            <w:r>
              <w:rPr>
                <w:szCs w:val="21"/>
                <w:highlight w:val="none"/>
              </w:rPr>
              <w:t>F1.0。</w:t>
            </w:r>
            <w:r>
              <w:rPr>
                <w:rFonts w:hint="eastAsia"/>
                <w:szCs w:val="21"/>
                <w:highlight w:val="none"/>
              </w:rPr>
              <w:t>（提供国家认可的检测机构出具的检测报告证明）</w:t>
            </w:r>
          </w:p>
          <w:p>
            <w:pPr>
              <w:pStyle w:val="231"/>
              <w:spacing w:before="42"/>
              <w:rPr>
                <w:szCs w:val="21"/>
                <w:highlight w:val="none"/>
              </w:rPr>
            </w:pPr>
            <w:r>
              <w:rPr>
                <w:rFonts w:hint="eastAsia"/>
                <w:szCs w:val="21"/>
                <w:highlight w:val="none"/>
              </w:rPr>
              <w:t>★设备镜头需具备良好的防刮性能，应采用蓝宝石单晶透光片，在使用淬硬的钢针以不小于</w:t>
            </w:r>
            <w:r>
              <w:rPr>
                <w:szCs w:val="21"/>
                <w:highlight w:val="none"/>
              </w:rPr>
              <w:t>10牛的作用力，不小于20毫米每秒的速度划痕，钢针移动距离不小于15厘米的情况下，设备透光片无明显划痕且不被刺透。</w:t>
            </w:r>
            <w:r>
              <w:rPr>
                <w:rFonts w:hint="eastAsia"/>
                <w:szCs w:val="21"/>
                <w:highlight w:val="none"/>
              </w:rPr>
              <w:t>（提供国家认可的检测机构出具的检测报告证明）</w:t>
            </w:r>
          </w:p>
          <w:p>
            <w:pPr>
              <w:pStyle w:val="231"/>
              <w:spacing w:before="42"/>
              <w:rPr>
                <w:szCs w:val="21"/>
                <w:highlight w:val="none"/>
              </w:rPr>
            </w:pPr>
            <w:r>
              <w:rPr>
                <w:rFonts w:hint="eastAsia"/>
                <w:szCs w:val="21"/>
                <w:highlight w:val="none"/>
              </w:rPr>
              <w:t>★具备</w:t>
            </w:r>
            <w:r>
              <w:rPr>
                <w:szCs w:val="21"/>
                <w:highlight w:val="none"/>
              </w:rPr>
              <w:t>AR视频标签添加，修改，删除和标准等系列管理功能，支持全景通道添加最多1000个标签，细节通道添加最多500个标签；标签类型包括：**站视频标签，建筑物视频标签，卡口视频标签，普通视频标签等</w:t>
            </w:r>
            <w:r>
              <w:rPr>
                <w:rFonts w:hint="eastAsia"/>
                <w:szCs w:val="21"/>
                <w:highlight w:val="none"/>
              </w:rPr>
              <w:t>（提供国家认可的检测机构出具的检测报告证明）</w:t>
            </w:r>
          </w:p>
          <w:p>
            <w:pPr>
              <w:pStyle w:val="231"/>
              <w:spacing w:before="42"/>
              <w:rPr>
                <w:szCs w:val="21"/>
                <w:highlight w:val="none"/>
              </w:rPr>
            </w:pPr>
            <w:r>
              <w:rPr>
                <w:rFonts w:hint="eastAsia"/>
                <w:szCs w:val="21"/>
                <w:highlight w:val="none"/>
              </w:rPr>
              <w:t>具备</w:t>
            </w:r>
            <w:r>
              <w:rPr>
                <w:szCs w:val="21"/>
                <w:highlight w:val="none"/>
              </w:rPr>
              <w:t>AR视频标签联动功能，并可对高-高，高-低，低-高三种标签的位置的视频图像，进行切换预览。</w:t>
            </w:r>
          </w:p>
          <w:p>
            <w:pPr>
              <w:pStyle w:val="231"/>
              <w:spacing w:before="42"/>
              <w:rPr>
                <w:szCs w:val="21"/>
              </w:rPr>
            </w:pPr>
            <w:r>
              <w:rPr>
                <w:rFonts w:hint="eastAsia"/>
                <w:szCs w:val="21"/>
                <w:highlight w:val="none"/>
              </w:rPr>
              <w:t>支持标签跟踪和同步功能，可对全景通道、细节通道监控画面中移动标签进行跟踪且跟踪时间、跟踪倍率可设置。在跟</w:t>
            </w:r>
            <w:r>
              <w:rPr>
                <w:rFonts w:hint="eastAsia"/>
                <w:szCs w:val="21"/>
              </w:rPr>
              <w:t>踪过程中，移动标签应始终位于画面中心位置。在细节通道上添加或删除指定标签时，全景通道的相同位置应自动添加或删除该标签。</w:t>
            </w:r>
          </w:p>
          <w:p>
            <w:pPr>
              <w:pStyle w:val="231"/>
              <w:spacing w:before="42"/>
              <w:rPr>
                <w:szCs w:val="21"/>
              </w:rPr>
            </w:pPr>
            <w:r>
              <w:rPr>
                <w:rFonts w:hint="eastAsia"/>
                <w:szCs w:val="21"/>
              </w:rPr>
              <w:t>电源具有较强适应性，电源电压在</w:t>
            </w:r>
            <w:r>
              <w:rPr>
                <w:szCs w:val="21"/>
              </w:rPr>
              <w:t>DC36V±50%范围内变化时，摄像机可以正常工作</w:t>
            </w:r>
          </w:p>
          <w:p>
            <w:pPr>
              <w:pStyle w:val="231"/>
              <w:spacing w:before="42"/>
              <w:rPr>
                <w:szCs w:val="21"/>
              </w:rPr>
            </w:pPr>
            <w:r>
              <w:rPr>
                <w:rFonts w:hint="eastAsia"/>
                <w:szCs w:val="21"/>
              </w:rPr>
              <w:t>红外灯开启时，样机可根据被摄物的距离自动调节红外灯功率密度。红外夜视距离：可识别距离样机</w:t>
            </w:r>
            <w:r>
              <w:rPr>
                <w:szCs w:val="21"/>
              </w:rPr>
              <w:t>800m外人体轮廓</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个</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11</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壁挂支架</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宋体" w:hAnsi="宋体"/>
                <w:color w:val="000000"/>
                <w:szCs w:val="21"/>
              </w:rPr>
            </w:pPr>
            <w:r>
              <w:rPr>
                <w:rFonts w:hint="eastAsia" w:ascii="宋体" w:hAnsi="宋体"/>
                <w:color w:val="000000"/>
                <w:szCs w:val="21"/>
              </w:rPr>
              <w:t>长壁装/铂晶灰/铝合金/</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12</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设备箱</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olor w:val="000000"/>
                <w:szCs w:val="21"/>
              </w:rPr>
            </w:pPr>
            <w:r>
              <w:rPr>
                <w:rFonts w:hint="eastAsia" w:ascii="宋体" w:hAnsi="宋体"/>
                <w:color w:val="000000"/>
                <w:szCs w:val="21"/>
              </w:rPr>
              <w:t>不锈钢材质，400 MM *300 MM *160 MM，</w:t>
            </w:r>
          </w:p>
          <w:p>
            <w:pPr>
              <w:widowControl/>
              <w:textAlignment w:val="center"/>
              <w:rPr>
                <w:rFonts w:ascii="宋体" w:hAnsi="宋体"/>
                <w:color w:val="000000"/>
                <w:szCs w:val="21"/>
              </w:rPr>
            </w:pPr>
            <w:r>
              <w:rPr>
                <w:rFonts w:hint="eastAsia" w:ascii="宋体" w:hAnsi="宋体"/>
                <w:color w:val="000000"/>
                <w:szCs w:val="21"/>
              </w:rPr>
              <w:t>设备机箱具有防热、防尘、防水、防盗功能，适应室外工作环境，密封良好，做防锈、防腐处理，预留数据传输设备的空间，预留数据线、电源线接口。机箱表面采用镀锌后喷塑工艺处理，锁具、门轴坚实牢固，使用寿命在十年以上，所有锁具可由一把钥匙打开</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个</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16</w:t>
            </w: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13</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防雷器</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olor w:val="000000"/>
                <w:szCs w:val="21"/>
              </w:rPr>
            </w:pPr>
            <w:r>
              <w:rPr>
                <w:rFonts w:hint="eastAsia" w:ascii="宋体" w:hAnsi="宋体"/>
                <w:color w:val="000000"/>
                <w:szCs w:val="21"/>
              </w:rPr>
              <w:t>电源部分-额定工作电压UO：AC24V；</w:t>
            </w:r>
          </w:p>
          <w:p>
            <w:pPr>
              <w:widowControl/>
              <w:textAlignment w:val="center"/>
              <w:rPr>
                <w:rFonts w:hint="eastAsia" w:ascii="宋体" w:hAnsi="宋体"/>
                <w:color w:val="000000"/>
                <w:szCs w:val="21"/>
              </w:rPr>
            </w:pPr>
            <w:r>
              <w:rPr>
                <w:rFonts w:hint="eastAsia" w:ascii="宋体" w:hAnsi="宋体"/>
                <w:color w:val="000000"/>
                <w:szCs w:val="21"/>
              </w:rPr>
              <w:t>最大持续运行电压UC：AC30V；额定工作电流：2A；标称放电电流In:5KA（8/20μs）；最大放电电流Imax:10KA（8/20μs）；电压保护水平Up:≤200V ；响应时间:≤20nS；工作指示：有（绿灯正常）；接入方式；串联。信号部分-标称工作电压Un：5V；最大持续运行电压UC：6V；标称放电电流In:2KA（8/20μs）；</w:t>
            </w:r>
          </w:p>
          <w:p>
            <w:pPr>
              <w:widowControl/>
              <w:textAlignment w:val="center"/>
              <w:rPr>
                <w:rFonts w:ascii="宋体" w:hAnsi="宋体"/>
                <w:color w:val="000000"/>
                <w:szCs w:val="21"/>
              </w:rPr>
            </w:pPr>
            <w:r>
              <w:rPr>
                <w:rFonts w:hint="eastAsia" w:ascii="宋体" w:hAnsi="宋体"/>
                <w:color w:val="000000"/>
                <w:szCs w:val="21"/>
              </w:rPr>
              <w:t>最大放电电流Imax:10KA（8/20μs）；防护模式(全模式）：线-结，线-PE;；传输速率：100Mb/s ；响应时间:≤线-线1nS，线-PE 100nS；接入方式：串联；接口：RJ45。</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个</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16</w:t>
            </w: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14</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监控杆（含地笼.检修孔.吊装）</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olor w:val="000000"/>
                <w:szCs w:val="21"/>
              </w:rPr>
            </w:pPr>
            <w:r>
              <w:rPr>
                <w:rFonts w:hint="eastAsia" w:ascii="宋体" w:hAnsi="宋体"/>
                <w:color w:val="000000"/>
                <w:szCs w:val="21"/>
              </w:rPr>
              <w:t>立杆采用等径L 型等径圆杆,6 米高，挑出4 米，</w:t>
            </w:r>
          </w:p>
          <w:p>
            <w:pPr>
              <w:widowControl/>
              <w:textAlignment w:val="center"/>
              <w:rPr>
                <w:rFonts w:ascii="宋体" w:hAnsi="宋体"/>
                <w:color w:val="000000"/>
                <w:szCs w:val="21"/>
              </w:rPr>
            </w:pPr>
            <w:r>
              <w:rPr>
                <w:rFonts w:hint="eastAsia" w:ascii="宋体" w:hAnsi="宋体"/>
                <w:color w:val="000000"/>
                <w:szCs w:val="21"/>
              </w:rPr>
              <w:t>立杆口径165mm，壁厚3.5mm；横杆口径76mm , 壁厚2.5mm,热镀锌喷塑处理</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根</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12</w:t>
            </w: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15</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监控杆（含地笼.检修孔.吊装）</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olor w:val="000000"/>
                <w:szCs w:val="21"/>
              </w:rPr>
            </w:pPr>
            <w:r>
              <w:rPr>
                <w:rFonts w:hint="eastAsia" w:ascii="宋体" w:hAnsi="宋体"/>
                <w:color w:val="000000"/>
                <w:szCs w:val="21"/>
              </w:rPr>
              <w:t>立杆采用等径L 型等径圆杆,6 米高，挑出6 米，</w:t>
            </w:r>
          </w:p>
          <w:p>
            <w:pPr>
              <w:widowControl/>
              <w:textAlignment w:val="center"/>
              <w:rPr>
                <w:rFonts w:ascii="宋体" w:hAnsi="宋体"/>
                <w:color w:val="000000"/>
                <w:szCs w:val="21"/>
              </w:rPr>
            </w:pPr>
            <w:r>
              <w:rPr>
                <w:rFonts w:hint="eastAsia" w:ascii="宋体" w:hAnsi="宋体"/>
                <w:color w:val="000000"/>
                <w:szCs w:val="21"/>
              </w:rPr>
              <w:t>立杆口径165mm，壁厚3.5mm；横杆口径76mm , 壁厚2.5mm,热镀锌喷塑处理</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根</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16</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监控杆（含地笼.检修孔.吊装）</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olor w:val="000000"/>
                <w:szCs w:val="21"/>
              </w:rPr>
            </w:pPr>
            <w:r>
              <w:rPr>
                <w:rFonts w:hint="eastAsia" w:ascii="宋体" w:hAnsi="宋体"/>
                <w:color w:val="000000"/>
                <w:szCs w:val="21"/>
              </w:rPr>
              <w:t>立杆采用等径L 型等径圆杆,15 米高，挑出1.5 米，</w:t>
            </w:r>
          </w:p>
          <w:p>
            <w:pPr>
              <w:widowControl/>
              <w:textAlignment w:val="center"/>
              <w:rPr>
                <w:rFonts w:ascii="宋体" w:hAnsi="宋体"/>
                <w:color w:val="000000"/>
                <w:szCs w:val="21"/>
              </w:rPr>
            </w:pPr>
            <w:r>
              <w:rPr>
                <w:rFonts w:hint="eastAsia" w:ascii="宋体" w:hAnsi="宋体"/>
                <w:color w:val="000000"/>
                <w:szCs w:val="21"/>
              </w:rPr>
              <w:t>立杆口径165mm，壁厚3.5mm；横杆口径76mm , 壁厚2.5mm,热镀锌喷塑处理</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根</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2</w:t>
            </w: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17</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抱箍挑臂（支撑）</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宋体" w:hAnsi="宋体"/>
                <w:color w:val="000000"/>
                <w:szCs w:val="21"/>
              </w:rPr>
            </w:pPr>
            <w:r>
              <w:rPr>
                <w:rFonts w:hint="eastAsia" w:ascii="宋体" w:hAnsi="宋体"/>
                <w:color w:val="000000"/>
                <w:szCs w:val="21"/>
              </w:rPr>
              <w:t>1.5米1根，4米1根，2米1根</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根</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3</w:t>
            </w: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18</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手孔</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宋体" w:hAnsi="宋体"/>
                <w:color w:val="000000"/>
                <w:szCs w:val="21"/>
              </w:rPr>
            </w:pPr>
            <w:r>
              <w:rPr>
                <w:rFonts w:hint="eastAsia" w:ascii="宋体" w:hAnsi="宋体"/>
                <w:color w:val="000000"/>
                <w:szCs w:val="21"/>
              </w:rPr>
              <w:t>400*400*500</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套</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15</w:t>
            </w: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19</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8 口接入交换机</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olor w:val="000000"/>
                <w:szCs w:val="21"/>
              </w:rPr>
            </w:pPr>
            <w:r>
              <w:rPr>
                <w:rFonts w:hint="eastAsia" w:ascii="宋体" w:hAnsi="宋体"/>
                <w:color w:val="000000"/>
                <w:szCs w:val="21"/>
              </w:rPr>
              <w:t>千兆背板带宽16Gbps</w:t>
            </w:r>
          </w:p>
          <w:p>
            <w:pPr>
              <w:widowControl/>
              <w:textAlignment w:val="center"/>
              <w:rPr>
                <w:rFonts w:hint="eastAsia" w:ascii="宋体" w:hAnsi="宋体"/>
                <w:color w:val="000000"/>
                <w:szCs w:val="21"/>
              </w:rPr>
            </w:pPr>
            <w:r>
              <w:rPr>
                <w:rFonts w:hint="eastAsia" w:ascii="宋体" w:hAnsi="宋体"/>
                <w:color w:val="000000"/>
                <w:szCs w:val="21"/>
              </w:rPr>
              <w:t>包转发率11.9Mpps</w:t>
            </w:r>
          </w:p>
          <w:p>
            <w:pPr>
              <w:widowControl/>
              <w:textAlignment w:val="center"/>
              <w:rPr>
                <w:rFonts w:hint="eastAsia" w:ascii="宋体" w:hAnsi="宋体"/>
                <w:color w:val="000000"/>
                <w:szCs w:val="21"/>
              </w:rPr>
            </w:pPr>
            <w:r>
              <w:rPr>
                <w:rFonts w:hint="eastAsia" w:ascii="宋体" w:hAnsi="宋体"/>
                <w:color w:val="000000"/>
                <w:szCs w:val="21"/>
              </w:rPr>
              <w:t>接口数目8口</w:t>
            </w:r>
          </w:p>
          <w:p>
            <w:pPr>
              <w:widowControl/>
              <w:textAlignment w:val="center"/>
              <w:rPr>
                <w:rFonts w:hint="eastAsia" w:ascii="宋体" w:hAnsi="宋体"/>
                <w:color w:val="000000"/>
                <w:szCs w:val="21"/>
              </w:rPr>
            </w:pPr>
            <w:r>
              <w:rPr>
                <w:rFonts w:hint="eastAsia" w:ascii="宋体" w:hAnsi="宋体"/>
                <w:color w:val="000000"/>
                <w:szCs w:val="21"/>
              </w:rPr>
              <w:t>传输速率10M/100M/1000Mbps</w:t>
            </w:r>
          </w:p>
          <w:p>
            <w:pPr>
              <w:widowControl/>
              <w:textAlignment w:val="center"/>
              <w:rPr>
                <w:rFonts w:hint="eastAsia" w:ascii="宋体" w:hAnsi="宋体"/>
                <w:color w:val="000000"/>
                <w:szCs w:val="21"/>
              </w:rPr>
            </w:pPr>
            <w:r>
              <w:rPr>
                <w:rFonts w:hint="eastAsia" w:ascii="宋体" w:hAnsi="宋体"/>
                <w:color w:val="000000"/>
                <w:szCs w:val="21"/>
              </w:rPr>
              <w:t>管理端口：支持端口状态显示、端口流量统计、端口双工/协商速率配置、流控配置</w:t>
            </w:r>
          </w:p>
          <w:p>
            <w:pPr>
              <w:widowControl/>
              <w:textAlignment w:val="center"/>
              <w:rPr>
                <w:rFonts w:hint="eastAsia" w:ascii="宋体" w:hAnsi="宋体"/>
                <w:color w:val="000000"/>
                <w:szCs w:val="21"/>
              </w:rPr>
            </w:pPr>
            <w:r>
              <w:rPr>
                <w:rFonts w:hint="eastAsia" w:ascii="宋体" w:hAnsi="宋体"/>
                <w:color w:val="000000"/>
                <w:szCs w:val="21"/>
              </w:rPr>
              <w:t>网络与软件</w:t>
            </w:r>
          </w:p>
          <w:p>
            <w:pPr>
              <w:widowControl/>
              <w:textAlignment w:val="center"/>
              <w:rPr>
                <w:rFonts w:hint="eastAsia" w:ascii="宋体" w:hAnsi="宋体"/>
                <w:color w:val="000000"/>
                <w:szCs w:val="21"/>
              </w:rPr>
            </w:pPr>
            <w:r>
              <w:rPr>
                <w:rFonts w:hint="eastAsia" w:ascii="宋体" w:hAnsi="宋体"/>
                <w:color w:val="000000"/>
                <w:szCs w:val="21"/>
              </w:rPr>
              <w:t>VLAN支持     支持802.1Q VLAN</w:t>
            </w:r>
          </w:p>
          <w:p>
            <w:pPr>
              <w:widowControl/>
              <w:textAlignment w:val="center"/>
              <w:rPr>
                <w:rFonts w:hint="eastAsia" w:ascii="宋体" w:hAnsi="宋体"/>
                <w:color w:val="000000"/>
                <w:szCs w:val="21"/>
              </w:rPr>
            </w:pPr>
            <w:r>
              <w:rPr>
                <w:rFonts w:hint="eastAsia" w:ascii="宋体" w:hAnsi="宋体"/>
                <w:color w:val="000000"/>
                <w:szCs w:val="21"/>
              </w:rPr>
              <w:t>MAC地址表    16K</w:t>
            </w:r>
          </w:p>
          <w:p>
            <w:pPr>
              <w:widowControl/>
              <w:textAlignment w:val="center"/>
              <w:rPr>
                <w:rFonts w:hint="eastAsia" w:ascii="宋体" w:hAnsi="宋体"/>
                <w:color w:val="000000"/>
                <w:szCs w:val="21"/>
              </w:rPr>
            </w:pPr>
            <w:r>
              <w:rPr>
                <w:rFonts w:hint="eastAsia" w:ascii="宋体" w:hAnsi="宋体"/>
                <w:color w:val="000000"/>
                <w:szCs w:val="21"/>
              </w:rPr>
              <w:t>网络安全</w:t>
            </w:r>
          </w:p>
          <w:p>
            <w:pPr>
              <w:widowControl/>
              <w:textAlignment w:val="center"/>
              <w:rPr>
                <w:rFonts w:hint="eastAsia" w:ascii="宋体" w:hAnsi="宋体"/>
                <w:color w:val="000000"/>
                <w:szCs w:val="21"/>
              </w:rPr>
            </w:pPr>
            <w:r>
              <w:rPr>
                <w:rFonts w:hint="eastAsia" w:ascii="宋体" w:hAnsi="宋体"/>
                <w:color w:val="000000"/>
                <w:szCs w:val="21"/>
              </w:rPr>
              <w:t>安全特性：支持广播风暴抑制、端口限速、端口隔离、DHCP Snooping</w:t>
            </w:r>
          </w:p>
          <w:p>
            <w:pPr>
              <w:widowControl/>
              <w:textAlignment w:val="center"/>
              <w:rPr>
                <w:rFonts w:hint="eastAsia" w:ascii="宋体" w:hAnsi="宋体"/>
                <w:color w:val="000000"/>
                <w:szCs w:val="21"/>
              </w:rPr>
            </w:pPr>
            <w:r>
              <w:rPr>
                <w:rFonts w:hint="eastAsia" w:ascii="宋体" w:hAnsi="宋体"/>
                <w:color w:val="000000"/>
                <w:szCs w:val="21"/>
              </w:rPr>
              <w:t>管理特性：支持通过WEB管理界面、MACC云平台、手机APP进行管理配置</w:t>
            </w:r>
          </w:p>
          <w:p>
            <w:pPr>
              <w:widowControl/>
              <w:textAlignment w:val="center"/>
              <w:rPr>
                <w:rFonts w:hint="eastAsia" w:ascii="宋体" w:hAnsi="宋体"/>
                <w:color w:val="000000"/>
                <w:szCs w:val="21"/>
              </w:rPr>
            </w:pPr>
            <w:r>
              <w:rPr>
                <w:rFonts w:hint="eastAsia" w:ascii="宋体" w:hAnsi="宋体"/>
                <w:color w:val="000000"/>
                <w:szCs w:val="21"/>
              </w:rPr>
              <w:t>其它参数</w:t>
            </w:r>
          </w:p>
          <w:p>
            <w:pPr>
              <w:widowControl/>
              <w:textAlignment w:val="center"/>
              <w:rPr>
                <w:rFonts w:hint="eastAsia" w:ascii="宋体" w:hAnsi="宋体"/>
                <w:color w:val="000000"/>
                <w:szCs w:val="21"/>
              </w:rPr>
            </w:pPr>
            <w:r>
              <w:rPr>
                <w:rFonts w:hint="eastAsia" w:ascii="宋体" w:hAnsi="宋体"/>
                <w:color w:val="000000"/>
                <w:szCs w:val="21"/>
              </w:rPr>
              <w:t>电源电压    100-240V AC</w:t>
            </w:r>
          </w:p>
          <w:p>
            <w:pPr>
              <w:widowControl/>
              <w:textAlignment w:val="center"/>
              <w:rPr>
                <w:rFonts w:hint="eastAsia" w:ascii="宋体" w:hAnsi="宋体"/>
                <w:color w:val="000000"/>
                <w:szCs w:val="21"/>
              </w:rPr>
            </w:pPr>
            <w:r>
              <w:rPr>
                <w:rFonts w:hint="eastAsia" w:ascii="宋体" w:hAnsi="宋体"/>
                <w:color w:val="000000"/>
                <w:szCs w:val="21"/>
              </w:rPr>
              <w:t>外形尺寸    160×75×24mm</w:t>
            </w:r>
          </w:p>
          <w:p>
            <w:pPr>
              <w:widowControl/>
              <w:textAlignment w:val="center"/>
              <w:rPr>
                <w:rFonts w:hint="eastAsia" w:ascii="宋体" w:hAnsi="宋体"/>
                <w:color w:val="000000"/>
                <w:szCs w:val="21"/>
              </w:rPr>
            </w:pPr>
            <w:r>
              <w:rPr>
                <w:rFonts w:hint="eastAsia" w:ascii="宋体" w:hAnsi="宋体"/>
                <w:color w:val="000000"/>
                <w:szCs w:val="21"/>
              </w:rPr>
              <w:t>重量        0.49Kg</w:t>
            </w:r>
          </w:p>
          <w:p>
            <w:pPr>
              <w:widowControl/>
              <w:textAlignment w:val="center"/>
              <w:rPr>
                <w:rFonts w:hint="eastAsia" w:ascii="宋体" w:hAnsi="宋体"/>
                <w:color w:val="000000"/>
                <w:szCs w:val="21"/>
              </w:rPr>
            </w:pPr>
            <w:r>
              <w:rPr>
                <w:rFonts w:hint="eastAsia" w:ascii="宋体" w:hAnsi="宋体"/>
                <w:color w:val="000000"/>
                <w:szCs w:val="21"/>
              </w:rPr>
              <w:t>其它</w:t>
            </w:r>
          </w:p>
          <w:p>
            <w:pPr>
              <w:widowControl/>
              <w:textAlignment w:val="center"/>
              <w:rPr>
                <w:rFonts w:hint="eastAsia" w:ascii="宋体" w:hAnsi="宋体"/>
                <w:color w:val="000000"/>
                <w:szCs w:val="21"/>
              </w:rPr>
            </w:pPr>
            <w:r>
              <w:rPr>
                <w:rFonts w:hint="eastAsia" w:ascii="宋体" w:hAnsi="宋体"/>
                <w:color w:val="000000"/>
                <w:szCs w:val="21"/>
              </w:rPr>
              <w:t>端口防雷：共模4KV</w:t>
            </w:r>
          </w:p>
          <w:p>
            <w:pPr>
              <w:widowControl/>
              <w:textAlignment w:val="center"/>
              <w:rPr>
                <w:rFonts w:hint="eastAsia" w:ascii="宋体" w:hAnsi="宋体"/>
                <w:color w:val="000000"/>
                <w:szCs w:val="21"/>
              </w:rPr>
            </w:pPr>
            <w:r>
              <w:rPr>
                <w:rFonts w:hint="eastAsia" w:ascii="宋体" w:hAnsi="宋体"/>
                <w:color w:val="000000"/>
                <w:szCs w:val="21"/>
              </w:rPr>
              <w:t>空气放电：6KV</w:t>
            </w:r>
          </w:p>
          <w:p>
            <w:pPr>
              <w:widowControl/>
              <w:textAlignment w:val="center"/>
              <w:rPr>
                <w:rFonts w:ascii="宋体" w:hAnsi="宋体"/>
                <w:color w:val="000000"/>
                <w:szCs w:val="21"/>
              </w:rPr>
            </w:pPr>
            <w:r>
              <w:rPr>
                <w:rFonts w:hint="eastAsia" w:ascii="宋体" w:hAnsi="宋体"/>
                <w:color w:val="000000"/>
                <w:szCs w:val="21"/>
              </w:rPr>
              <w:t>接触放电：4KV</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台</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16</w:t>
            </w: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20</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2.5平方电源线</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宋体" w:hAnsi="宋体"/>
                <w:color w:val="000000"/>
                <w:szCs w:val="21"/>
              </w:rPr>
            </w:pPr>
            <w:r>
              <w:rPr>
                <w:rFonts w:hint="eastAsia" w:ascii="宋体" w:hAnsi="宋体"/>
                <w:color w:val="000000"/>
                <w:szCs w:val="21"/>
              </w:rPr>
              <w:t>RVV2*2x2.5</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米</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3000</w:t>
            </w: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21</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网线</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宋体" w:hAnsi="宋体"/>
                <w:color w:val="000000"/>
                <w:szCs w:val="21"/>
              </w:rPr>
            </w:pPr>
            <w:r>
              <w:rPr>
                <w:rFonts w:hint="eastAsia" w:ascii="宋体" w:hAnsi="宋体"/>
                <w:color w:val="000000"/>
                <w:szCs w:val="21"/>
              </w:rPr>
              <w:t>六类网线</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米</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1000</w:t>
            </w: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22</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PE管</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宋体" w:hAnsi="宋体"/>
                <w:color w:val="000000"/>
                <w:szCs w:val="21"/>
              </w:rPr>
            </w:pPr>
            <w:r>
              <w:rPr>
                <w:rFonts w:hint="eastAsia" w:ascii="宋体" w:hAnsi="宋体"/>
                <w:color w:val="000000"/>
                <w:szCs w:val="21"/>
              </w:rPr>
              <w:t>32#PE管</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米</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2000</w:t>
            </w: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23</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辅材</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宋体" w:hAnsi="宋体"/>
                <w:color w:val="000000"/>
                <w:szCs w:val="21"/>
              </w:rPr>
            </w:pPr>
            <w:r>
              <w:rPr>
                <w:rFonts w:hint="eastAsia" w:ascii="宋体" w:hAnsi="宋体"/>
                <w:color w:val="000000"/>
                <w:szCs w:val="21"/>
              </w:rPr>
              <w:t>水晶头.胶布.插线板.混泥土等</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批</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37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24</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集成费</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宋体" w:hAnsi="宋体"/>
                <w:color w:val="000000"/>
                <w:szCs w:val="21"/>
              </w:rPr>
            </w:pP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套</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481"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Cs w:val="21"/>
              </w:rPr>
            </w:pPr>
            <w:r>
              <w:rPr>
                <w:rFonts w:ascii="宋体" w:hAnsi="宋体"/>
                <w:b/>
                <w:bCs/>
                <w:szCs w:val="21"/>
              </w:rPr>
              <w:t>监控视频存储平台</w:t>
            </w:r>
          </w:p>
        </w:tc>
      </w:tr>
      <w:tr>
        <w:tblPrEx>
          <w:tblCellMar>
            <w:top w:w="0" w:type="dxa"/>
            <w:left w:w="108" w:type="dxa"/>
            <w:bottom w:w="0" w:type="dxa"/>
            <w:right w:w="108" w:type="dxa"/>
          </w:tblCellMar>
        </w:tblPrEx>
        <w:trPr>
          <w:trHeight w:val="6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基础包/系统管理</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olor w:val="000000"/>
                <w:szCs w:val="21"/>
              </w:rPr>
            </w:pPr>
            <w:r>
              <w:rPr>
                <w:rFonts w:hint="eastAsia" w:ascii="宋体" w:hAnsi="宋体"/>
                <w:color w:val="000000"/>
                <w:szCs w:val="21"/>
              </w:rPr>
              <w:t>系统基础包，提供业务应用依赖的基础资源信息及基础服务能力，包括系统基础信息管理、地图应用服务、事件联动应用服务。</w:t>
            </w:r>
          </w:p>
          <w:p>
            <w:pPr>
              <w:widowControl/>
              <w:textAlignment w:val="center"/>
              <w:rPr>
                <w:rFonts w:hint="eastAsia" w:ascii="宋体" w:hAnsi="宋体"/>
                <w:color w:val="000000"/>
                <w:szCs w:val="21"/>
              </w:rPr>
            </w:pPr>
            <w:r>
              <w:rPr>
                <w:rFonts w:hint="eastAsia" w:ascii="宋体" w:hAnsi="宋体"/>
                <w:color w:val="000000"/>
                <w:szCs w:val="21"/>
              </w:rPr>
              <w:t>系统基础信息管理：</w:t>
            </w:r>
          </w:p>
          <w:p>
            <w:pPr>
              <w:widowControl/>
              <w:textAlignment w:val="center"/>
              <w:rPr>
                <w:rFonts w:hint="eastAsia" w:ascii="宋体" w:hAnsi="宋体"/>
                <w:color w:val="000000"/>
                <w:szCs w:val="21"/>
              </w:rPr>
            </w:pPr>
            <w:r>
              <w:rPr>
                <w:rFonts w:hint="eastAsia" w:ascii="宋体" w:hAnsi="宋体"/>
                <w:color w:val="000000"/>
                <w:szCs w:val="21"/>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p>
          <w:p>
            <w:pPr>
              <w:widowControl/>
              <w:textAlignment w:val="center"/>
              <w:rPr>
                <w:rFonts w:hint="eastAsia" w:ascii="宋体" w:hAnsi="宋体"/>
                <w:color w:val="000000"/>
                <w:szCs w:val="21"/>
              </w:rPr>
            </w:pPr>
            <w:r>
              <w:rPr>
                <w:rFonts w:hint="eastAsia" w:ascii="宋体" w:hAnsi="宋体"/>
                <w:color w:val="000000"/>
                <w:szCs w:val="21"/>
              </w:rPr>
              <w:t>一、组织资源管理</w:t>
            </w:r>
          </w:p>
          <w:p>
            <w:pPr>
              <w:widowControl/>
              <w:textAlignment w:val="center"/>
              <w:rPr>
                <w:rFonts w:hint="eastAsia" w:ascii="宋体" w:hAnsi="宋体"/>
                <w:color w:val="000000"/>
                <w:szCs w:val="21"/>
              </w:rPr>
            </w:pPr>
            <w:r>
              <w:rPr>
                <w:rFonts w:hint="eastAsia" w:ascii="宋体" w:hAnsi="宋体"/>
                <w:color w:val="000000"/>
                <w:szCs w:val="21"/>
              </w:rPr>
              <w:t>1、支持组织基础信息的增删改查、导入、导出等功能；</w:t>
            </w:r>
          </w:p>
          <w:p>
            <w:pPr>
              <w:widowControl/>
              <w:textAlignment w:val="center"/>
              <w:rPr>
                <w:rFonts w:hint="eastAsia" w:ascii="宋体" w:hAnsi="宋体"/>
                <w:color w:val="000000"/>
                <w:szCs w:val="21"/>
              </w:rPr>
            </w:pPr>
            <w:r>
              <w:rPr>
                <w:rFonts w:hint="eastAsia" w:ascii="宋体" w:hAnsi="宋体"/>
                <w:color w:val="000000"/>
                <w:szCs w:val="21"/>
              </w:rPr>
              <w:t>二、区域资源管理</w:t>
            </w:r>
          </w:p>
          <w:p>
            <w:pPr>
              <w:widowControl/>
              <w:textAlignment w:val="center"/>
              <w:rPr>
                <w:rFonts w:hint="eastAsia" w:ascii="宋体" w:hAnsi="宋体"/>
                <w:color w:val="000000"/>
                <w:szCs w:val="21"/>
              </w:rPr>
            </w:pPr>
            <w:r>
              <w:rPr>
                <w:rFonts w:hint="eastAsia" w:ascii="宋体" w:hAnsi="宋体"/>
                <w:color w:val="000000"/>
                <w:szCs w:val="21"/>
              </w:rPr>
              <w:t>1、支持区域基础信息的增删改查、导入、导出等功能；</w:t>
            </w:r>
          </w:p>
          <w:p>
            <w:pPr>
              <w:widowControl/>
              <w:textAlignment w:val="center"/>
              <w:rPr>
                <w:rFonts w:hint="eastAsia" w:ascii="宋体" w:hAnsi="宋体"/>
                <w:color w:val="000000"/>
                <w:szCs w:val="21"/>
              </w:rPr>
            </w:pPr>
            <w:r>
              <w:rPr>
                <w:rFonts w:hint="eastAsia" w:ascii="宋体" w:hAnsi="宋体"/>
                <w:color w:val="000000"/>
                <w:szCs w:val="21"/>
              </w:rPr>
              <w:t>三、人员信息管理</w:t>
            </w:r>
          </w:p>
          <w:p>
            <w:pPr>
              <w:widowControl/>
              <w:textAlignment w:val="center"/>
              <w:rPr>
                <w:rFonts w:hint="eastAsia" w:ascii="宋体" w:hAnsi="宋体"/>
                <w:color w:val="000000"/>
                <w:szCs w:val="21"/>
              </w:rPr>
            </w:pPr>
            <w:r>
              <w:rPr>
                <w:rFonts w:hint="eastAsia" w:ascii="宋体" w:hAnsi="宋体"/>
                <w:color w:val="000000"/>
                <w:szCs w:val="21"/>
              </w:rPr>
              <w:t>1、支持人员信息的增删改查、导入、导出，包括人脸、指纹采集；</w:t>
            </w:r>
          </w:p>
          <w:p>
            <w:pPr>
              <w:widowControl/>
              <w:textAlignment w:val="center"/>
              <w:rPr>
                <w:rFonts w:hint="eastAsia" w:ascii="宋体" w:hAnsi="宋体"/>
                <w:color w:val="000000"/>
                <w:szCs w:val="21"/>
              </w:rPr>
            </w:pPr>
            <w:r>
              <w:rPr>
                <w:rFonts w:hint="eastAsia" w:ascii="宋体" w:hAnsi="宋体"/>
                <w:color w:val="000000"/>
                <w:szCs w:val="21"/>
              </w:rPr>
              <w:t>2、支持人员基础信息自定义扩展；</w:t>
            </w:r>
          </w:p>
          <w:p>
            <w:pPr>
              <w:widowControl/>
              <w:textAlignment w:val="center"/>
              <w:rPr>
                <w:rFonts w:hint="eastAsia" w:ascii="宋体" w:hAnsi="宋体"/>
                <w:color w:val="000000"/>
                <w:szCs w:val="21"/>
              </w:rPr>
            </w:pPr>
            <w:r>
              <w:rPr>
                <w:rFonts w:hint="eastAsia" w:ascii="宋体" w:hAnsi="宋体"/>
                <w:color w:val="000000"/>
                <w:szCs w:val="21"/>
              </w:rPr>
              <w:t>四、卡片信息管理</w:t>
            </w:r>
          </w:p>
          <w:p>
            <w:pPr>
              <w:widowControl/>
              <w:textAlignment w:val="center"/>
              <w:rPr>
                <w:rFonts w:hint="eastAsia" w:ascii="宋体" w:hAnsi="宋体"/>
                <w:color w:val="000000"/>
                <w:szCs w:val="21"/>
              </w:rPr>
            </w:pPr>
            <w:r>
              <w:rPr>
                <w:rFonts w:hint="eastAsia" w:ascii="宋体" w:hAnsi="宋体"/>
                <w:color w:val="000000"/>
                <w:szCs w:val="21"/>
              </w:rPr>
              <w:t>1、支持卡片基本信息的增删改查、导入、导出；</w:t>
            </w:r>
          </w:p>
          <w:p>
            <w:pPr>
              <w:widowControl/>
              <w:textAlignment w:val="center"/>
              <w:rPr>
                <w:rFonts w:hint="eastAsia" w:ascii="宋体" w:hAnsi="宋体"/>
                <w:color w:val="000000"/>
                <w:szCs w:val="21"/>
              </w:rPr>
            </w:pPr>
            <w:r>
              <w:rPr>
                <w:rFonts w:hint="eastAsia" w:ascii="宋体" w:hAnsi="宋体"/>
                <w:color w:val="000000"/>
                <w:szCs w:val="21"/>
              </w:rPr>
              <w:t>2、支持人员开卡、退卡、挂失、解挂、换卡及卡扇区加密；</w:t>
            </w:r>
          </w:p>
          <w:p>
            <w:pPr>
              <w:widowControl/>
              <w:textAlignment w:val="center"/>
              <w:rPr>
                <w:rFonts w:hint="eastAsia" w:ascii="宋体" w:hAnsi="宋体"/>
                <w:color w:val="000000"/>
                <w:szCs w:val="21"/>
              </w:rPr>
            </w:pPr>
            <w:r>
              <w:rPr>
                <w:rFonts w:hint="eastAsia" w:ascii="宋体" w:hAnsi="宋体"/>
                <w:color w:val="000000"/>
                <w:szCs w:val="21"/>
              </w:rPr>
              <w:t>五、车辆信息管理</w:t>
            </w:r>
          </w:p>
          <w:p>
            <w:pPr>
              <w:widowControl/>
              <w:textAlignment w:val="center"/>
              <w:rPr>
                <w:rFonts w:hint="eastAsia" w:ascii="宋体" w:hAnsi="宋体"/>
                <w:color w:val="000000"/>
                <w:szCs w:val="21"/>
              </w:rPr>
            </w:pPr>
            <w:r>
              <w:rPr>
                <w:rFonts w:hint="eastAsia" w:ascii="宋体" w:hAnsi="宋体"/>
                <w:color w:val="000000"/>
                <w:szCs w:val="21"/>
              </w:rPr>
              <w:t>1、支持车辆基本信息的增删改查、导入、导出；</w:t>
            </w:r>
          </w:p>
          <w:p>
            <w:pPr>
              <w:widowControl/>
              <w:textAlignment w:val="center"/>
              <w:rPr>
                <w:rFonts w:hint="eastAsia" w:ascii="宋体" w:hAnsi="宋体"/>
                <w:color w:val="000000"/>
                <w:szCs w:val="21"/>
              </w:rPr>
            </w:pPr>
            <w:r>
              <w:rPr>
                <w:rFonts w:hint="eastAsia" w:ascii="宋体" w:hAnsi="宋体"/>
                <w:color w:val="000000"/>
                <w:szCs w:val="21"/>
              </w:rPr>
              <w:t>六、设备信息管理</w:t>
            </w:r>
          </w:p>
          <w:p>
            <w:pPr>
              <w:widowControl/>
              <w:textAlignment w:val="center"/>
              <w:rPr>
                <w:rFonts w:hint="eastAsia" w:ascii="宋体" w:hAnsi="宋体"/>
                <w:color w:val="000000"/>
                <w:szCs w:val="21"/>
              </w:rPr>
            </w:pPr>
            <w:r>
              <w:rPr>
                <w:rFonts w:hint="eastAsia" w:ascii="宋体" w:hAnsi="宋体"/>
                <w:color w:val="000000"/>
                <w:szCs w:val="21"/>
              </w:rPr>
              <w:t>1、提供设备统一接入管理，包括：视频设备、出入口设备、门禁设备、梯控设备、可视对讲设备、食堂消费设备、寻车诱导设备、卡口设备、车载设备、报警设备等。</w:t>
            </w:r>
          </w:p>
          <w:p>
            <w:pPr>
              <w:widowControl/>
              <w:textAlignment w:val="center"/>
              <w:rPr>
                <w:rFonts w:hint="eastAsia" w:ascii="宋体" w:hAnsi="宋体"/>
                <w:color w:val="000000"/>
                <w:szCs w:val="21"/>
              </w:rPr>
            </w:pPr>
            <w:r>
              <w:rPr>
                <w:rFonts w:hint="eastAsia" w:ascii="宋体" w:hAnsi="宋体"/>
                <w:color w:val="000000"/>
                <w:szCs w:val="21"/>
              </w:rPr>
              <w:t>七、系统用户管理</w:t>
            </w:r>
          </w:p>
          <w:p>
            <w:pPr>
              <w:widowControl/>
              <w:textAlignment w:val="center"/>
              <w:rPr>
                <w:rFonts w:hint="eastAsia" w:ascii="宋体" w:hAnsi="宋体"/>
                <w:color w:val="000000"/>
                <w:szCs w:val="21"/>
              </w:rPr>
            </w:pPr>
            <w:r>
              <w:rPr>
                <w:rFonts w:hint="eastAsia" w:ascii="宋体" w:hAnsi="宋体"/>
                <w:color w:val="000000"/>
                <w:szCs w:val="21"/>
              </w:rPr>
              <w:t>1、支持账户基本信息和角色信息的增删改查；</w:t>
            </w:r>
          </w:p>
          <w:p>
            <w:pPr>
              <w:widowControl/>
              <w:textAlignment w:val="center"/>
              <w:rPr>
                <w:rFonts w:hint="eastAsia" w:ascii="宋体" w:hAnsi="宋体"/>
                <w:color w:val="000000"/>
                <w:szCs w:val="21"/>
              </w:rPr>
            </w:pPr>
            <w:r>
              <w:rPr>
                <w:rFonts w:hint="eastAsia" w:ascii="宋体" w:hAnsi="宋体"/>
                <w:color w:val="000000"/>
                <w:szCs w:val="21"/>
              </w:rPr>
              <w:t>2、支持配置不同角色权限，包括菜单权限、组织权限、区域权限、资源权限、功能控制权限；</w:t>
            </w:r>
          </w:p>
          <w:p>
            <w:pPr>
              <w:widowControl/>
              <w:textAlignment w:val="center"/>
              <w:rPr>
                <w:rFonts w:hint="eastAsia" w:ascii="宋体" w:hAnsi="宋体"/>
                <w:color w:val="000000"/>
                <w:szCs w:val="21"/>
              </w:rPr>
            </w:pPr>
            <w:r>
              <w:rPr>
                <w:rFonts w:hint="eastAsia" w:ascii="宋体" w:hAnsi="宋体"/>
                <w:color w:val="000000"/>
                <w:szCs w:val="21"/>
              </w:rPr>
              <w:t>3、支持用户组权限分配；</w:t>
            </w:r>
          </w:p>
          <w:p>
            <w:pPr>
              <w:widowControl/>
              <w:textAlignment w:val="center"/>
              <w:rPr>
                <w:rFonts w:hint="eastAsia" w:ascii="宋体" w:hAnsi="宋体"/>
                <w:color w:val="000000"/>
                <w:szCs w:val="21"/>
              </w:rPr>
            </w:pPr>
            <w:r>
              <w:rPr>
                <w:rFonts w:hint="eastAsia" w:ascii="宋体" w:hAnsi="宋体"/>
                <w:color w:val="000000"/>
                <w:szCs w:val="21"/>
              </w:rPr>
              <w:t>4、支持用户安全管理，可绑定用户mac地址及IP，可自行修改用户密码或者管理员重置密码；</w:t>
            </w:r>
          </w:p>
          <w:p>
            <w:pPr>
              <w:widowControl/>
              <w:textAlignment w:val="center"/>
              <w:rPr>
                <w:rFonts w:hint="eastAsia" w:ascii="宋体" w:hAnsi="宋体"/>
                <w:color w:val="000000"/>
                <w:szCs w:val="21"/>
              </w:rPr>
            </w:pPr>
            <w:r>
              <w:rPr>
                <w:rFonts w:hint="eastAsia" w:ascii="宋体" w:hAnsi="宋体"/>
                <w:color w:val="000000"/>
                <w:szCs w:val="21"/>
              </w:rPr>
              <w:t>5、支持从Windows域同步用户信息，用于域账户进行平台登录；</w:t>
            </w:r>
          </w:p>
          <w:p>
            <w:pPr>
              <w:widowControl/>
              <w:textAlignment w:val="center"/>
              <w:rPr>
                <w:rFonts w:hint="eastAsia" w:ascii="宋体" w:hAnsi="宋体"/>
                <w:color w:val="000000"/>
                <w:szCs w:val="21"/>
              </w:rPr>
            </w:pPr>
            <w:r>
              <w:rPr>
                <w:rFonts w:hint="eastAsia" w:ascii="宋体" w:hAnsi="宋体"/>
                <w:color w:val="000000"/>
                <w:szCs w:val="21"/>
              </w:rPr>
              <w:t>八、核心参数配置</w:t>
            </w:r>
          </w:p>
          <w:p>
            <w:pPr>
              <w:widowControl/>
              <w:textAlignment w:val="center"/>
              <w:rPr>
                <w:rFonts w:hint="eastAsia" w:ascii="宋体" w:hAnsi="宋体"/>
                <w:color w:val="000000"/>
                <w:szCs w:val="21"/>
              </w:rPr>
            </w:pPr>
            <w:r>
              <w:rPr>
                <w:rFonts w:hint="eastAsia" w:ascii="宋体" w:hAnsi="宋体"/>
                <w:color w:val="000000"/>
                <w:szCs w:val="21"/>
              </w:rPr>
              <w:t>1、支持首页菜单自定义展示设置；</w:t>
            </w:r>
          </w:p>
          <w:p>
            <w:pPr>
              <w:widowControl/>
              <w:textAlignment w:val="center"/>
              <w:rPr>
                <w:rFonts w:hint="eastAsia" w:ascii="宋体" w:hAnsi="宋体"/>
                <w:color w:val="000000"/>
                <w:szCs w:val="21"/>
              </w:rPr>
            </w:pPr>
            <w:r>
              <w:rPr>
                <w:rFonts w:hint="eastAsia" w:ascii="宋体" w:hAnsi="宋体"/>
                <w:color w:val="000000"/>
                <w:szCs w:val="21"/>
              </w:rPr>
              <w:t>2、支持所有设备统一校时；</w:t>
            </w:r>
          </w:p>
          <w:p>
            <w:pPr>
              <w:widowControl/>
              <w:textAlignment w:val="center"/>
              <w:rPr>
                <w:rFonts w:hint="eastAsia" w:ascii="宋体" w:hAnsi="宋体"/>
                <w:color w:val="000000"/>
                <w:szCs w:val="21"/>
              </w:rPr>
            </w:pPr>
            <w:r>
              <w:rPr>
                <w:rFonts w:hint="eastAsia" w:ascii="宋体" w:hAnsi="宋体"/>
                <w:color w:val="000000"/>
                <w:szCs w:val="21"/>
              </w:rPr>
              <w:t>3、提供账户安全设置，支持账户密码有效期设置。</w:t>
            </w:r>
          </w:p>
          <w:p>
            <w:pPr>
              <w:widowControl/>
              <w:textAlignment w:val="center"/>
              <w:rPr>
                <w:rFonts w:hint="eastAsia" w:ascii="宋体" w:hAnsi="宋体"/>
                <w:color w:val="000000"/>
                <w:szCs w:val="21"/>
              </w:rPr>
            </w:pPr>
            <w:r>
              <w:rPr>
                <w:rFonts w:hint="eastAsia" w:ascii="宋体" w:hAnsi="宋体"/>
                <w:color w:val="000000"/>
                <w:szCs w:val="21"/>
              </w:rPr>
              <w:t>图上监控：</w:t>
            </w:r>
          </w:p>
          <w:p>
            <w:pPr>
              <w:widowControl/>
              <w:textAlignment w:val="center"/>
              <w:rPr>
                <w:rFonts w:hint="eastAsia" w:ascii="宋体" w:hAnsi="宋体"/>
                <w:color w:val="000000"/>
                <w:szCs w:val="21"/>
              </w:rPr>
            </w:pPr>
            <w:r>
              <w:rPr>
                <w:rFonts w:hint="eastAsia" w:ascii="宋体" w:hAnsi="宋体"/>
                <w:color w:val="000000"/>
                <w:szCs w:val="21"/>
              </w:rPr>
              <w:t>图上监控应用以地图可视化模式为各类设备资源提供可视化展示及控制操作，在地图上可展示各类资源点的地理位置，通过接收资源点报警事件，实现报警信息可视化展示。</w:t>
            </w:r>
          </w:p>
          <w:p>
            <w:pPr>
              <w:widowControl/>
              <w:textAlignment w:val="center"/>
              <w:rPr>
                <w:rFonts w:hint="eastAsia" w:ascii="宋体" w:hAnsi="宋体"/>
                <w:color w:val="000000"/>
                <w:szCs w:val="21"/>
              </w:rPr>
            </w:pPr>
            <w:r>
              <w:rPr>
                <w:rFonts w:hint="eastAsia" w:ascii="宋体" w:hAnsi="宋体"/>
                <w:color w:val="000000"/>
                <w:szCs w:val="21"/>
              </w:rPr>
              <w:t>1、支持地图配置能力，包含在线（高德）、离线GIS地图（高德、自定义）</w:t>
            </w:r>
          </w:p>
          <w:p>
            <w:pPr>
              <w:widowControl/>
              <w:textAlignment w:val="center"/>
              <w:rPr>
                <w:rFonts w:hint="eastAsia" w:ascii="宋体" w:hAnsi="宋体"/>
                <w:color w:val="000000"/>
                <w:szCs w:val="21"/>
              </w:rPr>
            </w:pPr>
            <w:r>
              <w:rPr>
                <w:rFonts w:hint="eastAsia" w:ascii="宋体" w:hAnsi="宋体"/>
                <w:color w:val="000000"/>
                <w:szCs w:val="21"/>
              </w:rPr>
              <w:t>2、支持资源上图配置能力，实现资源的地图可视化展示及控制操作，资源类型包含监控点、报警输出、报警输入、门禁点、出入口、停车场、传感器、手持视频终端、园区卡口资源、防区、报警输入、报警输出、报警主机IO输出、消防设备；</w:t>
            </w:r>
          </w:p>
          <w:p>
            <w:pPr>
              <w:widowControl/>
              <w:textAlignment w:val="center"/>
              <w:rPr>
                <w:rFonts w:hint="eastAsia" w:ascii="宋体" w:hAnsi="宋体"/>
                <w:color w:val="000000"/>
                <w:szCs w:val="21"/>
              </w:rPr>
            </w:pPr>
            <w:r>
              <w:rPr>
                <w:rFonts w:hint="eastAsia" w:ascii="宋体" w:hAnsi="宋体"/>
                <w:color w:val="000000"/>
                <w:szCs w:val="21"/>
              </w:rPr>
              <w:t>3、支持事件可视化监控能力，实时展示报警事件，支持历史报警事件查询；</w:t>
            </w:r>
          </w:p>
          <w:p>
            <w:pPr>
              <w:widowControl/>
              <w:textAlignment w:val="center"/>
              <w:rPr>
                <w:rFonts w:hint="eastAsia" w:ascii="宋体" w:hAnsi="宋体"/>
                <w:color w:val="000000"/>
                <w:szCs w:val="21"/>
              </w:rPr>
            </w:pPr>
            <w:r>
              <w:rPr>
                <w:rFonts w:hint="eastAsia" w:ascii="宋体" w:hAnsi="宋体"/>
                <w:color w:val="000000"/>
                <w:szCs w:val="21"/>
              </w:rPr>
              <w:t>4、支持针对移动GPS设备的轨迹回放能力，如单兵设备；</w:t>
            </w:r>
          </w:p>
          <w:p>
            <w:pPr>
              <w:widowControl/>
              <w:textAlignment w:val="center"/>
              <w:rPr>
                <w:rFonts w:hint="eastAsia" w:ascii="宋体" w:hAnsi="宋体"/>
                <w:color w:val="000000"/>
                <w:szCs w:val="21"/>
              </w:rPr>
            </w:pPr>
            <w:r>
              <w:rPr>
                <w:rFonts w:hint="eastAsia" w:ascii="宋体" w:hAnsi="宋体"/>
                <w:color w:val="000000"/>
                <w:szCs w:val="21"/>
              </w:rPr>
              <w:t>事件联动：</w:t>
            </w:r>
          </w:p>
          <w:p>
            <w:pPr>
              <w:widowControl/>
              <w:textAlignment w:val="center"/>
              <w:rPr>
                <w:rFonts w:hint="eastAsia" w:ascii="宋体" w:hAnsi="宋体"/>
                <w:color w:val="000000"/>
                <w:szCs w:val="21"/>
              </w:rPr>
            </w:pPr>
            <w:r>
              <w:rPr>
                <w:rFonts w:hint="eastAsia" w:ascii="宋体" w:hAnsi="宋体"/>
                <w:color w:val="000000"/>
                <w:szCs w:val="21"/>
              </w:rPr>
              <w:t>事件联动提供系统报警事件接收、事件处理、事件联动、事件检索能力，提供场景化的事件联动应用（在“特定条件”下执行“特定动作”），报警事件产生时，可以通过多种方式、多种联动场景提醒安保人员，保障报警事件通知的及时性，包括多种联动方式：视频弹窗、视频上墙、录像联动、云台联动、短信联动、邮箱联动、IO联动、抓图联动、门禁反控联动等。</w:t>
            </w:r>
          </w:p>
          <w:p>
            <w:pPr>
              <w:widowControl/>
              <w:textAlignment w:val="center"/>
              <w:rPr>
                <w:rFonts w:hint="eastAsia" w:ascii="宋体" w:hAnsi="宋体"/>
                <w:color w:val="000000"/>
                <w:szCs w:val="21"/>
              </w:rPr>
            </w:pPr>
            <w:r>
              <w:rPr>
                <w:rFonts w:hint="eastAsia" w:ascii="宋体" w:hAnsi="宋体"/>
                <w:color w:val="000000"/>
                <w:szCs w:val="21"/>
              </w:rPr>
              <w:t>一、事件联动管理</w:t>
            </w:r>
          </w:p>
          <w:p>
            <w:pPr>
              <w:widowControl/>
              <w:textAlignment w:val="center"/>
              <w:rPr>
                <w:rFonts w:hint="eastAsia" w:ascii="宋体" w:hAnsi="宋体"/>
                <w:color w:val="000000"/>
                <w:szCs w:val="21"/>
              </w:rPr>
            </w:pPr>
            <w:r>
              <w:rPr>
                <w:rFonts w:hint="eastAsia" w:ascii="宋体" w:hAnsi="宋体"/>
                <w:color w:val="000000"/>
                <w:szCs w:val="21"/>
              </w:rPr>
              <w:t>1、支持事件联动规则配置管理，包括规则增删改查；</w:t>
            </w:r>
          </w:p>
          <w:p>
            <w:pPr>
              <w:widowControl/>
              <w:textAlignment w:val="center"/>
              <w:rPr>
                <w:rFonts w:hint="eastAsia" w:ascii="宋体" w:hAnsi="宋体"/>
                <w:color w:val="000000"/>
                <w:szCs w:val="21"/>
              </w:rPr>
            </w:pPr>
            <w:r>
              <w:rPr>
                <w:rFonts w:hint="eastAsia" w:ascii="宋体" w:hAnsi="宋体"/>
                <w:color w:val="000000"/>
                <w:szCs w:val="21"/>
              </w:rPr>
              <w:t>2、支持事件规则计划模板，包括全天候模式、工作日模式、周末模式及自定义模式；</w:t>
            </w:r>
          </w:p>
          <w:p>
            <w:pPr>
              <w:widowControl/>
              <w:textAlignment w:val="center"/>
              <w:rPr>
                <w:rFonts w:hint="eastAsia" w:ascii="宋体" w:hAnsi="宋体"/>
                <w:color w:val="000000"/>
                <w:szCs w:val="21"/>
              </w:rPr>
            </w:pPr>
            <w:r>
              <w:rPr>
                <w:rFonts w:hint="eastAsia" w:ascii="宋体" w:hAnsi="宋体"/>
                <w:color w:val="000000"/>
                <w:szCs w:val="21"/>
              </w:rPr>
              <w:t>3、支持多种报警事件配置联动，包括：14种触发事件类型（包含：视频事件、入侵报警事件、IO事件、门禁事件、停车场事件、可视对讲事件、行车监控事件、梯控事件、动环事件、紧急报警事件、人脸识别事件、卡口事件、消防事件、测温事件）和21种事件联动动作配置；</w:t>
            </w:r>
          </w:p>
          <w:p>
            <w:pPr>
              <w:widowControl/>
              <w:textAlignment w:val="center"/>
              <w:rPr>
                <w:rFonts w:hint="eastAsia" w:ascii="宋体" w:hAnsi="宋体"/>
                <w:color w:val="000000"/>
                <w:szCs w:val="21"/>
              </w:rPr>
            </w:pPr>
            <w:r>
              <w:rPr>
                <w:rFonts w:hint="eastAsia" w:ascii="宋体" w:hAnsi="宋体"/>
                <w:color w:val="000000"/>
                <w:szCs w:val="21"/>
              </w:rPr>
              <w:t>4、提供7种高级联动规则模版配置，支持配置满足在指定时间段存在多个触发事件类型而联动多个并发动作的场景。</w:t>
            </w:r>
          </w:p>
          <w:p>
            <w:pPr>
              <w:widowControl/>
              <w:textAlignment w:val="center"/>
              <w:rPr>
                <w:rFonts w:hint="eastAsia" w:ascii="宋体" w:hAnsi="宋体"/>
                <w:color w:val="000000"/>
                <w:szCs w:val="21"/>
              </w:rPr>
            </w:pPr>
            <w:r>
              <w:rPr>
                <w:rFonts w:hint="eastAsia" w:ascii="宋体" w:hAnsi="宋体"/>
                <w:color w:val="000000"/>
                <w:szCs w:val="21"/>
              </w:rPr>
              <w:t>二、事件检索管理</w:t>
            </w:r>
          </w:p>
          <w:p>
            <w:pPr>
              <w:widowControl/>
              <w:textAlignment w:val="center"/>
              <w:rPr>
                <w:rFonts w:hint="eastAsia" w:ascii="宋体" w:hAnsi="宋体"/>
                <w:color w:val="000000"/>
                <w:szCs w:val="21"/>
              </w:rPr>
            </w:pPr>
            <w:r>
              <w:rPr>
                <w:rFonts w:hint="eastAsia" w:ascii="宋体" w:hAnsi="宋体"/>
                <w:color w:val="000000"/>
                <w:szCs w:val="21"/>
              </w:rPr>
              <w:t>1、支持报警事件自定义时间存储，最长支持36个月存储；</w:t>
            </w:r>
          </w:p>
          <w:p>
            <w:pPr>
              <w:widowControl/>
              <w:textAlignment w:val="center"/>
              <w:rPr>
                <w:rFonts w:hint="eastAsia" w:ascii="宋体" w:hAnsi="宋体"/>
                <w:color w:val="000000"/>
                <w:szCs w:val="21"/>
              </w:rPr>
            </w:pPr>
            <w:r>
              <w:rPr>
                <w:rFonts w:hint="eastAsia" w:ascii="宋体" w:hAnsi="宋体"/>
                <w:color w:val="000000"/>
                <w:szCs w:val="21"/>
              </w:rPr>
              <w:t>2、支持多种维度检索报警事件，包括：区域、位置、事件源、事件等级、时间、状态等维度；</w:t>
            </w:r>
          </w:p>
          <w:p>
            <w:pPr>
              <w:widowControl/>
              <w:textAlignment w:val="center"/>
              <w:rPr>
                <w:rFonts w:hint="eastAsia" w:ascii="宋体" w:hAnsi="宋体"/>
                <w:color w:val="000000"/>
                <w:szCs w:val="21"/>
              </w:rPr>
            </w:pPr>
            <w:r>
              <w:rPr>
                <w:rFonts w:hint="eastAsia" w:ascii="宋体" w:hAnsi="宋体"/>
                <w:color w:val="000000"/>
                <w:szCs w:val="21"/>
              </w:rPr>
              <w:t>3、支持事件详情查看，包括抓图、录像等；</w:t>
            </w:r>
          </w:p>
          <w:p>
            <w:pPr>
              <w:widowControl/>
              <w:textAlignment w:val="center"/>
              <w:rPr>
                <w:rFonts w:ascii="宋体" w:hAnsi="宋体"/>
                <w:color w:val="000000"/>
                <w:szCs w:val="21"/>
              </w:rPr>
            </w:pPr>
            <w:r>
              <w:rPr>
                <w:rFonts w:hint="eastAsia" w:ascii="宋体" w:hAnsi="宋体"/>
                <w:color w:val="000000"/>
                <w:szCs w:val="21"/>
              </w:rPr>
              <w:t>4、支持对报警事件进行标记、处理以及导出。</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套</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6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2</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园区人员布控</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olor w:val="000000"/>
                <w:szCs w:val="21"/>
              </w:rPr>
            </w:pPr>
            <w:r>
              <w:rPr>
                <w:rFonts w:hint="eastAsia" w:ascii="宋体" w:hAnsi="宋体"/>
                <w:color w:val="000000"/>
                <w:szCs w:val="21"/>
              </w:rPr>
              <w:t>人员布控应用以人脸识别技术为核心，通过前后端分析设备对人脸抓拍图片进行比对分析，实现人脸自动识别，以提供人员布控服务的能力。</w:t>
            </w:r>
          </w:p>
          <w:p>
            <w:pPr>
              <w:widowControl/>
              <w:textAlignment w:val="center"/>
              <w:rPr>
                <w:rFonts w:hint="eastAsia" w:ascii="宋体" w:hAnsi="宋体"/>
                <w:color w:val="000000"/>
                <w:szCs w:val="21"/>
              </w:rPr>
            </w:pPr>
            <w:r>
              <w:rPr>
                <w:rFonts w:hint="eastAsia" w:ascii="宋体" w:hAnsi="宋体"/>
                <w:color w:val="000000"/>
                <w:szCs w:val="21"/>
              </w:rPr>
              <w:t>1、支持配置重点人员识别计划、陌生人识别计划、高频人员识别计划；</w:t>
            </w:r>
          </w:p>
          <w:p>
            <w:pPr>
              <w:widowControl/>
              <w:textAlignment w:val="center"/>
              <w:rPr>
                <w:rFonts w:hint="eastAsia" w:ascii="宋体" w:hAnsi="宋体"/>
                <w:color w:val="000000"/>
                <w:szCs w:val="21"/>
              </w:rPr>
            </w:pPr>
            <w:r>
              <w:rPr>
                <w:rFonts w:hint="eastAsia" w:ascii="宋体" w:hAnsi="宋体"/>
                <w:color w:val="000000"/>
                <w:szCs w:val="21"/>
              </w:rPr>
              <w:t>2、支持接收重点人员、陌生人、高频人员实时事件；</w:t>
            </w:r>
          </w:p>
          <w:p>
            <w:pPr>
              <w:widowControl/>
              <w:textAlignment w:val="center"/>
              <w:rPr>
                <w:rFonts w:ascii="宋体" w:hAnsi="宋体"/>
                <w:color w:val="000000"/>
                <w:szCs w:val="21"/>
              </w:rPr>
            </w:pPr>
            <w:r>
              <w:rPr>
                <w:rFonts w:hint="eastAsia" w:ascii="宋体" w:hAnsi="宋体"/>
                <w:color w:val="000000"/>
                <w:szCs w:val="21"/>
              </w:rPr>
              <w:t>3、支持配置行为分析规则，实现行为分析服务器的事件上报；</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套</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426"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3</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AR高点数量</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宋体" w:hAnsi="宋体"/>
                <w:color w:val="000000"/>
                <w:szCs w:val="21"/>
              </w:rPr>
            </w:pPr>
            <w:r>
              <w:rPr>
                <w:rFonts w:hint="eastAsia" w:ascii="宋体" w:hAnsi="宋体"/>
                <w:color w:val="000000"/>
                <w:szCs w:val="21"/>
              </w:rPr>
              <w:t>AR高点授权</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场景</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6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4</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AR实景地图应用</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宋体" w:hAnsi="宋体"/>
                <w:color w:val="000000"/>
                <w:szCs w:val="21"/>
              </w:rPr>
            </w:pPr>
            <w:r>
              <w:rPr>
                <w:rFonts w:hint="eastAsia" w:ascii="宋体" w:hAnsi="宋体"/>
                <w:color w:val="000000"/>
                <w:szCs w:val="21"/>
              </w:rPr>
              <w:t>基于AR全景相机、AR云台、AR球机展示全景，集成视频、卡口、危险源、污染源、监控中心等标签，对园区安环信息进行全方位一体化管控；</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6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5</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双机热备软件</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宋体" w:hAnsi="宋体"/>
                <w:color w:val="000000"/>
                <w:szCs w:val="21"/>
              </w:rPr>
            </w:pPr>
            <w:r>
              <w:rPr>
                <w:rFonts w:hint="eastAsia" w:ascii="宋体" w:hAnsi="宋体"/>
                <w:color w:val="000000"/>
                <w:szCs w:val="21"/>
              </w:rPr>
              <w:t>双机本地热备软件 1备1 版   软件终身使用   原厂服务时间3年（双节点），一套有两个加密狗，两台服务器之间做热备。</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6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6</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视频监控</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olor w:val="000000"/>
                <w:szCs w:val="21"/>
              </w:rPr>
            </w:pPr>
            <w:r>
              <w:rPr>
                <w:rFonts w:hint="eastAsia" w:ascii="宋体" w:hAnsi="宋体"/>
                <w:color w:val="000000"/>
                <w:szCs w:val="21"/>
              </w:rPr>
              <w:t>视频监控应用提供视频管理服务，实现视频预览、录像回放、视频上墙、视频事件监控服务能力，并且在网络带宽不足、有流量限制的网络环境下可以通过以图片替代视频的模式提供监控服务。</w:t>
            </w:r>
          </w:p>
          <w:p>
            <w:pPr>
              <w:widowControl/>
              <w:textAlignment w:val="center"/>
              <w:rPr>
                <w:rFonts w:hint="eastAsia" w:ascii="宋体" w:hAnsi="宋体"/>
                <w:color w:val="000000"/>
                <w:szCs w:val="21"/>
              </w:rPr>
            </w:pPr>
            <w:r>
              <w:rPr>
                <w:rFonts w:hint="eastAsia" w:ascii="宋体" w:hAnsi="宋体"/>
                <w:color w:val="000000"/>
                <w:szCs w:val="21"/>
              </w:rPr>
              <w:t>一、视频预览</w:t>
            </w:r>
          </w:p>
          <w:p>
            <w:pPr>
              <w:widowControl/>
              <w:textAlignment w:val="center"/>
              <w:rPr>
                <w:rFonts w:hint="eastAsia" w:ascii="宋体" w:hAnsi="宋体"/>
                <w:color w:val="000000"/>
                <w:szCs w:val="21"/>
              </w:rPr>
            </w:pPr>
            <w:r>
              <w:rPr>
                <w:rFonts w:hint="eastAsia" w:ascii="宋体" w:hAnsi="宋体"/>
                <w:color w:val="000000"/>
                <w:szCs w:val="21"/>
              </w:rPr>
              <w:t>1、支持视频实时预览能力，实现预览窗口布局切换、预览画面自适应及全屏切换；</w:t>
            </w:r>
          </w:p>
          <w:p>
            <w:pPr>
              <w:widowControl/>
              <w:textAlignment w:val="center"/>
              <w:rPr>
                <w:rFonts w:hint="eastAsia" w:ascii="宋体" w:hAnsi="宋体"/>
                <w:color w:val="000000"/>
                <w:szCs w:val="21"/>
              </w:rPr>
            </w:pPr>
            <w:r>
              <w:rPr>
                <w:rFonts w:hint="eastAsia" w:ascii="宋体" w:hAnsi="宋体"/>
                <w:color w:val="000000"/>
                <w:szCs w:val="21"/>
              </w:rPr>
              <w:t>2、支持云台控制、实时抓图、紧急录像、即时回放、主子码流切换、声音开启\关闭、辅屏预览（1个辅屏）、对讲、广播、报警输出控制的能力；</w:t>
            </w:r>
          </w:p>
          <w:p>
            <w:pPr>
              <w:widowControl/>
              <w:textAlignment w:val="center"/>
              <w:rPr>
                <w:rFonts w:hint="eastAsia" w:ascii="宋体" w:hAnsi="宋体"/>
                <w:color w:val="000000"/>
                <w:szCs w:val="21"/>
              </w:rPr>
            </w:pPr>
            <w:r>
              <w:rPr>
                <w:rFonts w:hint="eastAsia" w:ascii="宋体" w:hAnsi="宋体"/>
                <w:color w:val="000000"/>
                <w:szCs w:val="21"/>
              </w:rPr>
              <w:t>3、支持智能规则展示的能力（如：针对热成像设备温度信息实时展示）；</w:t>
            </w:r>
          </w:p>
          <w:p>
            <w:pPr>
              <w:widowControl/>
              <w:textAlignment w:val="center"/>
              <w:rPr>
                <w:rFonts w:hint="eastAsia" w:ascii="宋体" w:hAnsi="宋体"/>
                <w:color w:val="000000"/>
                <w:szCs w:val="21"/>
              </w:rPr>
            </w:pPr>
            <w:r>
              <w:rPr>
                <w:rFonts w:hint="eastAsia" w:ascii="宋体" w:hAnsi="宋体"/>
                <w:color w:val="000000"/>
                <w:szCs w:val="21"/>
              </w:rPr>
              <w:t>4、支持资源视图管理能力，以视图形式管理监控点、视频预览轮巡等自定义资源组，其中视图类型包含公有视图和私有视图；</w:t>
            </w:r>
          </w:p>
          <w:p>
            <w:pPr>
              <w:widowControl/>
              <w:textAlignment w:val="center"/>
              <w:rPr>
                <w:rFonts w:hint="eastAsia" w:ascii="宋体" w:hAnsi="宋体"/>
                <w:color w:val="000000"/>
                <w:szCs w:val="21"/>
              </w:rPr>
            </w:pPr>
            <w:r>
              <w:rPr>
                <w:rFonts w:hint="eastAsia" w:ascii="宋体" w:hAnsi="宋体"/>
                <w:color w:val="000000"/>
                <w:szCs w:val="21"/>
              </w:rPr>
              <w:t>5、支持全景视频监控预览能力，支持球型鹰眼、全景摄像机的全景模式；</w:t>
            </w:r>
          </w:p>
          <w:p>
            <w:pPr>
              <w:widowControl/>
              <w:textAlignment w:val="center"/>
              <w:rPr>
                <w:rFonts w:hint="eastAsia" w:ascii="宋体" w:hAnsi="宋体"/>
                <w:color w:val="000000"/>
                <w:szCs w:val="21"/>
              </w:rPr>
            </w:pPr>
            <w:r>
              <w:rPr>
                <w:rFonts w:hint="eastAsia" w:ascii="宋体" w:hAnsi="宋体"/>
                <w:color w:val="000000"/>
                <w:szCs w:val="21"/>
              </w:rPr>
              <w:t>二、录像回放</w:t>
            </w:r>
          </w:p>
          <w:p>
            <w:pPr>
              <w:widowControl/>
              <w:textAlignment w:val="center"/>
              <w:rPr>
                <w:rFonts w:hint="eastAsia" w:ascii="宋体" w:hAnsi="宋体"/>
                <w:color w:val="000000"/>
                <w:szCs w:val="21"/>
              </w:rPr>
            </w:pPr>
            <w:r>
              <w:rPr>
                <w:rFonts w:hint="eastAsia" w:ascii="宋体" w:hAnsi="宋体"/>
                <w:color w:val="000000"/>
                <w:szCs w:val="21"/>
              </w:rPr>
              <w:t>1、支持录像计划管理能力，支持实时录像计划、录像回传计划；</w:t>
            </w:r>
          </w:p>
          <w:p>
            <w:pPr>
              <w:widowControl/>
              <w:textAlignment w:val="center"/>
              <w:rPr>
                <w:rFonts w:hint="eastAsia" w:ascii="宋体" w:hAnsi="宋体"/>
                <w:color w:val="000000"/>
                <w:szCs w:val="21"/>
              </w:rPr>
            </w:pPr>
            <w:r>
              <w:rPr>
                <w:rFonts w:hint="eastAsia" w:ascii="宋体" w:hAnsi="宋体"/>
                <w:color w:val="000000"/>
                <w:szCs w:val="21"/>
              </w:rPr>
              <w:t>2、支持录像回放能力，支持多画面同步回放和异步回放切换、超高倍速回放、分段回放、录像下载、录像剪辑、录像标签、录像锁定、录像抓图；</w:t>
            </w:r>
          </w:p>
          <w:p>
            <w:pPr>
              <w:widowControl/>
              <w:textAlignment w:val="center"/>
              <w:rPr>
                <w:rFonts w:hint="eastAsia" w:ascii="宋体" w:hAnsi="宋体"/>
                <w:color w:val="000000"/>
                <w:szCs w:val="21"/>
              </w:rPr>
            </w:pPr>
            <w:r>
              <w:rPr>
                <w:rFonts w:hint="eastAsia" w:ascii="宋体" w:hAnsi="宋体"/>
                <w:color w:val="000000"/>
                <w:szCs w:val="21"/>
              </w:rPr>
              <w:t>三、图片监控</w:t>
            </w:r>
          </w:p>
          <w:p>
            <w:pPr>
              <w:widowControl/>
              <w:textAlignment w:val="center"/>
              <w:rPr>
                <w:rFonts w:hint="eastAsia" w:ascii="宋体" w:hAnsi="宋体"/>
                <w:color w:val="000000"/>
                <w:szCs w:val="21"/>
              </w:rPr>
            </w:pPr>
            <w:r>
              <w:rPr>
                <w:rFonts w:hint="eastAsia" w:ascii="宋体" w:hAnsi="宋体"/>
                <w:color w:val="000000"/>
                <w:szCs w:val="21"/>
              </w:rPr>
              <w:t>1、支持视频预览与图片实时监控模式切换能力，实现图片监控模式；</w:t>
            </w:r>
          </w:p>
          <w:p>
            <w:pPr>
              <w:widowControl/>
              <w:textAlignment w:val="center"/>
              <w:rPr>
                <w:rFonts w:hint="eastAsia" w:ascii="宋体" w:hAnsi="宋体"/>
                <w:color w:val="000000"/>
                <w:szCs w:val="21"/>
              </w:rPr>
            </w:pPr>
            <w:r>
              <w:rPr>
                <w:rFonts w:hint="eastAsia" w:ascii="宋体" w:hAnsi="宋体"/>
                <w:color w:val="000000"/>
                <w:szCs w:val="21"/>
              </w:rPr>
              <w:t>2、支持图片查询回放能力，实现按监控点、时间段展示抓拍图片；</w:t>
            </w:r>
          </w:p>
          <w:p>
            <w:pPr>
              <w:widowControl/>
              <w:textAlignment w:val="center"/>
              <w:rPr>
                <w:rFonts w:hint="eastAsia" w:ascii="宋体" w:hAnsi="宋体"/>
                <w:color w:val="000000"/>
                <w:szCs w:val="21"/>
              </w:rPr>
            </w:pPr>
            <w:r>
              <w:rPr>
                <w:rFonts w:hint="eastAsia" w:ascii="宋体" w:hAnsi="宋体"/>
                <w:color w:val="000000"/>
                <w:szCs w:val="21"/>
              </w:rPr>
              <w:t>3、支持图片自动播放能力，支持图片自动播放速度可设置；</w:t>
            </w:r>
          </w:p>
          <w:p>
            <w:pPr>
              <w:widowControl/>
              <w:textAlignment w:val="center"/>
              <w:rPr>
                <w:rFonts w:hint="eastAsia" w:ascii="宋体" w:hAnsi="宋体"/>
                <w:color w:val="000000"/>
                <w:szCs w:val="21"/>
              </w:rPr>
            </w:pPr>
            <w:r>
              <w:rPr>
                <w:rFonts w:hint="eastAsia" w:ascii="宋体" w:hAnsi="宋体"/>
                <w:color w:val="000000"/>
                <w:szCs w:val="21"/>
              </w:rPr>
              <w:t>4、支持图片下载能力；</w:t>
            </w:r>
          </w:p>
          <w:p>
            <w:pPr>
              <w:widowControl/>
              <w:textAlignment w:val="center"/>
              <w:rPr>
                <w:rFonts w:hint="eastAsia" w:ascii="宋体" w:hAnsi="宋体"/>
                <w:color w:val="000000"/>
                <w:szCs w:val="21"/>
              </w:rPr>
            </w:pPr>
            <w:r>
              <w:rPr>
                <w:rFonts w:hint="eastAsia" w:ascii="宋体" w:hAnsi="宋体"/>
                <w:color w:val="000000"/>
                <w:szCs w:val="21"/>
              </w:rPr>
              <w:t>四、视频上墙</w:t>
            </w:r>
          </w:p>
          <w:p>
            <w:pPr>
              <w:widowControl/>
              <w:textAlignment w:val="center"/>
              <w:rPr>
                <w:rFonts w:hint="eastAsia" w:ascii="宋体" w:hAnsi="宋体"/>
                <w:color w:val="000000"/>
                <w:szCs w:val="21"/>
              </w:rPr>
            </w:pPr>
            <w:r>
              <w:rPr>
                <w:rFonts w:hint="eastAsia" w:ascii="宋体" w:hAnsi="宋体"/>
                <w:color w:val="000000"/>
                <w:szCs w:val="21"/>
              </w:rPr>
              <w:t>1、支持电视墙场景管理能力，实现场景窗口配置、场景切换计划配置以及轮巡计划的管理；</w:t>
            </w:r>
          </w:p>
          <w:p>
            <w:pPr>
              <w:widowControl/>
              <w:textAlignment w:val="center"/>
              <w:rPr>
                <w:rFonts w:hint="eastAsia" w:ascii="宋体" w:hAnsi="宋体"/>
                <w:color w:val="000000"/>
                <w:szCs w:val="21"/>
              </w:rPr>
            </w:pPr>
            <w:r>
              <w:rPr>
                <w:rFonts w:hint="eastAsia" w:ascii="宋体" w:hAnsi="宋体"/>
                <w:color w:val="000000"/>
                <w:szCs w:val="21"/>
              </w:rPr>
              <w:t>2、支持上墙控制能力，实现场景一键上墙、场景切换、电视墙切换、监控点上下墙、轮巡控制操作；</w:t>
            </w:r>
          </w:p>
          <w:p>
            <w:pPr>
              <w:widowControl/>
              <w:textAlignment w:val="center"/>
              <w:rPr>
                <w:rFonts w:hint="eastAsia" w:ascii="宋体" w:hAnsi="宋体"/>
                <w:color w:val="000000"/>
                <w:szCs w:val="21"/>
              </w:rPr>
            </w:pPr>
            <w:r>
              <w:rPr>
                <w:rFonts w:hint="eastAsia" w:ascii="宋体" w:hAnsi="宋体"/>
                <w:color w:val="000000"/>
                <w:szCs w:val="21"/>
              </w:rPr>
              <w:t>五、视频事件</w:t>
            </w:r>
          </w:p>
          <w:p>
            <w:pPr>
              <w:widowControl/>
              <w:textAlignment w:val="center"/>
              <w:rPr>
                <w:rFonts w:ascii="宋体" w:hAnsi="宋体"/>
                <w:color w:val="000000"/>
                <w:szCs w:val="21"/>
              </w:rPr>
            </w:pPr>
            <w:r>
              <w:rPr>
                <w:rFonts w:hint="eastAsia" w:ascii="宋体" w:hAnsi="宋体"/>
                <w:color w:val="000000"/>
                <w:szCs w:val="21"/>
              </w:rPr>
              <w:t>1、支持视频事件布撤防能力，可按计划模版进行布防，事件类型包括移动侦测、视频丢失、视频遮挡、报警输入、报警输出；</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路</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100</w:t>
            </w:r>
          </w:p>
        </w:tc>
      </w:tr>
      <w:tr>
        <w:tblPrEx>
          <w:tblCellMar>
            <w:top w:w="0" w:type="dxa"/>
            <w:left w:w="108" w:type="dxa"/>
            <w:bottom w:w="0" w:type="dxa"/>
            <w:right w:w="108" w:type="dxa"/>
          </w:tblCellMar>
        </w:tblPrEx>
        <w:trPr>
          <w:trHeight w:val="194"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7</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园区卡口</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olor w:val="000000"/>
                <w:szCs w:val="21"/>
              </w:rPr>
            </w:pPr>
            <w:r>
              <w:rPr>
                <w:rFonts w:hint="eastAsia" w:ascii="宋体" w:hAnsi="宋体"/>
                <w:color w:val="000000"/>
                <w:szCs w:val="21"/>
              </w:rPr>
              <w:t>园区卡口提供园区内道路上行驶车辆的抓拍识别，包含车牌号码、车牌类型、车牌颜色、车辆类型、车辆颜色、车辆品牌等属性识别，并提供车辆布控能力和车辆行驶轨迹信息。支持车辆超速、逆行、压线、违停等违规行为检测抓拍和违规数据统计。当车辆违规后，将违规信息发布至LED屏，违规次数超过阈值后在园区停车场出入口禁止通行</w:t>
            </w:r>
          </w:p>
          <w:p>
            <w:pPr>
              <w:widowControl/>
              <w:textAlignment w:val="center"/>
              <w:rPr>
                <w:rFonts w:hint="eastAsia" w:ascii="宋体" w:hAnsi="宋体"/>
                <w:color w:val="000000"/>
                <w:szCs w:val="21"/>
              </w:rPr>
            </w:pPr>
            <w:r>
              <w:rPr>
                <w:rFonts w:hint="eastAsia" w:ascii="宋体" w:hAnsi="宋体"/>
                <w:color w:val="000000"/>
                <w:szCs w:val="21"/>
              </w:rPr>
              <w:t>一、卡口管理</w:t>
            </w:r>
          </w:p>
          <w:p>
            <w:pPr>
              <w:widowControl/>
              <w:textAlignment w:val="center"/>
              <w:rPr>
                <w:rFonts w:hint="eastAsia" w:ascii="宋体" w:hAnsi="宋体"/>
                <w:color w:val="000000"/>
                <w:szCs w:val="21"/>
              </w:rPr>
            </w:pPr>
            <w:r>
              <w:rPr>
                <w:rFonts w:hint="eastAsia" w:ascii="宋体" w:hAnsi="宋体"/>
                <w:color w:val="000000"/>
                <w:szCs w:val="21"/>
              </w:rPr>
              <w:t>1、支持卡口设备、终端服务器、违停球设备的接入</w:t>
            </w:r>
          </w:p>
          <w:p>
            <w:pPr>
              <w:widowControl/>
              <w:textAlignment w:val="center"/>
              <w:rPr>
                <w:rFonts w:hint="eastAsia" w:ascii="宋体" w:hAnsi="宋体"/>
                <w:color w:val="000000"/>
                <w:szCs w:val="21"/>
              </w:rPr>
            </w:pPr>
            <w:r>
              <w:rPr>
                <w:rFonts w:hint="eastAsia" w:ascii="宋体" w:hAnsi="宋体"/>
                <w:color w:val="000000"/>
                <w:szCs w:val="21"/>
              </w:rPr>
              <w:t>2、支持卡口车道管理，包含车道名称、车道方向、车道号</w:t>
            </w:r>
          </w:p>
          <w:p>
            <w:pPr>
              <w:widowControl/>
              <w:textAlignment w:val="center"/>
              <w:rPr>
                <w:rFonts w:hint="eastAsia" w:ascii="宋体" w:hAnsi="宋体"/>
                <w:color w:val="000000"/>
                <w:szCs w:val="21"/>
              </w:rPr>
            </w:pPr>
            <w:r>
              <w:rPr>
                <w:rFonts w:hint="eastAsia" w:ascii="宋体" w:hAnsi="宋体"/>
                <w:color w:val="000000"/>
                <w:szCs w:val="21"/>
              </w:rPr>
              <w:t>二、车辆抓拍</w:t>
            </w:r>
          </w:p>
          <w:p>
            <w:pPr>
              <w:widowControl/>
              <w:textAlignment w:val="center"/>
              <w:rPr>
                <w:rFonts w:hint="eastAsia" w:ascii="宋体" w:hAnsi="宋体"/>
                <w:color w:val="000000"/>
                <w:szCs w:val="21"/>
              </w:rPr>
            </w:pPr>
            <w:r>
              <w:rPr>
                <w:rFonts w:hint="eastAsia" w:ascii="宋体" w:hAnsi="宋体"/>
                <w:color w:val="000000"/>
                <w:szCs w:val="21"/>
              </w:rPr>
              <w:t>1、支持园区道路车辆抓拍识别，包含车牌号码、车牌类型、车牌颜色、车辆类型、车辆颜色、车辆品牌等</w:t>
            </w:r>
          </w:p>
          <w:p>
            <w:pPr>
              <w:widowControl/>
              <w:textAlignment w:val="center"/>
              <w:rPr>
                <w:rFonts w:hint="eastAsia" w:ascii="宋体" w:hAnsi="宋体"/>
                <w:color w:val="000000"/>
                <w:szCs w:val="21"/>
              </w:rPr>
            </w:pPr>
            <w:r>
              <w:rPr>
                <w:rFonts w:hint="eastAsia" w:ascii="宋体" w:hAnsi="宋体"/>
                <w:color w:val="000000"/>
                <w:szCs w:val="21"/>
              </w:rPr>
              <w:t>2、支持园区道路车辆违规检测，包含点位测速、区间测速、违停、逆行、压线</w:t>
            </w:r>
          </w:p>
          <w:p>
            <w:pPr>
              <w:widowControl/>
              <w:textAlignment w:val="center"/>
              <w:rPr>
                <w:rFonts w:hint="eastAsia" w:ascii="宋体" w:hAnsi="宋体"/>
                <w:color w:val="000000"/>
                <w:szCs w:val="21"/>
              </w:rPr>
            </w:pPr>
            <w:r>
              <w:rPr>
                <w:rFonts w:hint="eastAsia" w:ascii="宋体" w:hAnsi="宋体"/>
                <w:color w:val="000000"/>
                <w:szCs w:val="21"/>
              </w:rPr>
              <w:t>3、支持按车牌颜色、车牌号进行黑名单布控</w:t>
            </w:r>
          </w:p>
          <w:p>
            <w:pPr>
              <w:widowControl/>
              <w:textAlignment w:val="center"/>
              <w:rPr>
                <w:rFonts w:hint="eastAsia" w:ascii="宋体" w:hAnsi="宋体"/>
                <w:color w:val="000000"/>
                <w:szCs w:val="21"/>
              </w:rPr>
            </w:pPr>
            <w:r>
              <w:rPr>
                <w:rFonts w:hint="eastAsia" w:ascii="宋体" w:hAnsi="宋体"/>
                <w:color w:val="000000"/>
                <w:szCs w:val="21"/>
              </w:rPr>
              <w:t>4、支持车辆白名单管理</w:t>
            </w:r>
          </w:p>
          <w:p>
            <w:pPr>
              <w:widowControl/>
              <w:textAlignment w:val="center"/>
              <w:rPr>
                <w:rFonts w:hint="eastAsia" w:ascii="宋体" w:hAnsi="宋体"/>
                <w:color w:val="000000"/>
                <w:szCs w:val="21"/>
              </w:rPr>
            </w:pPr>
            <w:r>
              <w:rPr>
                <w:rFonts w:hint="eastAsia" w:ascii="宋体" w:hAnsi="宋体"/>
                <w:color w:val="000000"/>
                <w:szCs w:val="21"/>
              </w:rPr>
              <w:t>5、支持在中心客户端实时查看卡口抓拍车辆信息，包含车牌号码、车牌类型、车牌颜色、车辆类型、车辆颜色、车辆品牌、车主姓名、车主手机号、速度、通过时间等</w:t>
            </w:r>
          </w:p>
          <w:p>
            <w:pPr>
              <w:widowControl/>
              <w:textAlignment w:val="center"/>
              <w:rPr>
                <w:rFonts w:hint="eastAsia" w:ascii="宋体" w:hAnsi="宋体"/>
                <w:color w:val="000000"/>
                <w:szCs w:val="21"/>
              </w:rPr>
            </w:pPr>
            <w:r>
              <w:rPr>
                <w:rFonts w:hint="eastAsia" w:ascii="宋体" w:hAnsi="宋体"/>
                <w:color w:val="000000"/>
                <w:szCs w:val="21"/>
              </w:rPr>
              <w:t>6、支持卡口设备的视频预览和回放</w:t>
            </w:r>
          </w:p>
          <w:p>
            <w:pPr>
              <w:widowControl/>
              <w:textAlignment w:val="center"/>
              <w:rPr>
                <w:rFonts w:hint="eastAsia" w:ascii="宋体" w:hAnsi="宋体"/>
                <w:color w:val="000000"/>
                <w:szCs w:val="21"/>
              </w:rPr>
            </w:pPr>
            <w:r>
              <w:rPr>
                <w:rFonts w:hint="eastAsia" w:ascii="宋体" w:hAnsi="宋体"/>
                <w:color w:val="000000"/>
                <w:szCs w:val="21"/>
              </w:rPr>
              <w:t>三、轨迹信息</w:t>
            </w:r>
          </w:p>
          <w:p>
            <w:pPr>
              <w:widowControl/>
              <w:textAlignment w:val="center"/>
              <w:rPr>
                <w:rFonts w:hint="eastAsia" w:ascii="宋体" w:hAnsi="宋体"/>
                <w:color w:val="000000"/>
                <w:szCs w:val="21"/>
              </w:rPr>
            </w:pPr>
            <w:r>
              <w:rPr>
                <w:rFonts w:hint="eastAsia" w:ascii="宋体" w:hAnsi="宋体"/>
                <w:color w:val="000000"/>
                <w:szCs w:val="21"/>
              </w:rPr>
              <w:t>1、支持按车牌号、车牌颜色查询轨迹信息，并支持车辆经过各卡口点位的轨迹回放</w:t>
            </w:r>
          </w:p>
          <w:p>
            <w:pPr>
              <w:widowControl/>
              <w:textAlignment w:val="center"/>
              <w:rPr>
                <w:rFonts w:hint="eastAsia" w:ascii="宋体" w:hAnsi="宋体"/>
                <w:color w:val="000000"/>
                <w:szCs w:val="21"/>
              </w:rPr>
            </w:pPr>
            <w:r>
              <w:rPr>
                <w:rFonts w:hint="eastAsia" w:ascii="宋体" w:hAnsi="宋体"/>
                <w:color w:val="000000"/>
                <w:szCs w:val="21"/>
              </w:rPr>
              <w:t>四、违规信息发布</w:t>
            </w:r>
          </w:p>
          <w:p>
            <w:pPr>
              <w:widowControl/>
              <w:textAlignment w:val="center"/>
              <w:rPr>
                <w:rFonts w:hint="eastAsia" w:ascii="宋体" w:hAnsi="宋体"/>
                <w:color w:val="000000"/>
                <w:szCs w:val="21"/>
              </w:rPr>
            </w:pPr>
            <w:r>
              <w:rPr>
                <w:rFonts w:hint="eastAsia" w:ascii="宋体" w:hAnsi="宋体"/>
                <w:color w:val="000000"/>
                <w:szCs w:val="21"/>
              </w:rPr>
              <w:t>1、支持将违章车辆信息推送到LED上进行展示</w:t>
            </w:r>
          </w:p>
          <w:p>
            <w:pPr>
              <w:widowControl/>
              <w:textAlignment w:val="center"/>
              <w:rPr>
                <w:rFonts w:hint="eastAsia" w:ascii="宋体" w:hAnsi="宋体"/>
                <w:color w:val="000000"/>
                <w:szCs w:val="21"/>
              </w:rPr>
            </w:pPr>
            <w:r>
              <w:rPr>
                <w:rFonts w:hint="eastAsia" w:ascii="宋体" w:hAnsi="宋体"/>
                <w:color w:val="000000"/>
                <w:szCs w:val="21"/>
              </w:rPr>
              <w:t>五、违规车辆禁止通行</w:t>
            </w:r>
          </w:p>
          <w:p>
            <w:pPr>
              <w:widowControl/>
              <w:textAlignment w:val="center"/>
              <w:rPr>
                <w:rFonts w:hint="eastAsia" w:ascii="宋体" w:hAnsi="宋体"/>
                <w:color w:val="000000"/>
                <w:szCs w:val="21"/>
              </w:rPr>
            </w:pPr>
            <w:r>
              <w:rPr>
                <w:rFonts w:hint="eastAsia" w:ascii="宋体" w:hAnsi="宋体"/>
                <w:color w:val="000000"/>
                <w:szCs w:val="21"/>
              </w:rPr>
              <w:t>1、支持配置车辆违规超次的阈值</w:t>
            </w:r>
          </w:p>
          <w:p>
            <w:pPr>
              <w:widowControl/>
              <w:textAlignment w:val="center"/>
              <w:rPr>
                <w:rFonts w:hint="eastAsia" w:ascii="宋体" w:hAnsi="宋体"/>
                <w:color w:val="000000"/>
                <w:szCs w:val="21"/>
              </w:rPr>
            </w:pPr>
            <w:r>
              <w:rPr>
                <w:rFonts w:hint="eastAsia" w:ascii="宋体" w:hAnsi="宋体"/>
                <w:color w:val="000000"/>
                <w:szCs w:val="21"/>
              </w:rPr>
              <w:t>2、车辆违规超过阈值后，自动将车辆设置为黑名单，联动停车场出入口限制放行</w:t>
            </w:r>
          </w:p>
          <w:p>
            <w:pPr>
              <w:widowControl/>
              <w:textAlignment w:val="center"/>
              <w:rPr>
                <w:rFonts w:hint="eastAsia" w:ascii="宋体" w:hAnsi="宋体"/>
                <w:color w:val="000000"/>
                <w:szCs w:val="21"/>
              </w:rPr>
            </w:pPr>
            <w:r>
              <w:rPr>
                <w:rFonts w:hint="eastAsia" w:ascii="宋体" w:hAnsi="宋体"/>
                <w:color w:val="000000"/>
                <w:szCs w:val="21"/>
              </w:rPr>
              <w:t>六、查询统计</w:t>
            </w:r>
          </w:p>
          <w:p>
            <w:pPr>
              <w:widowControl/>
              <w:textAlignment w:val="center"/>
              <w:rPr>
                <w:rFonts w:hint="eastAsia" w:ascii="宋体" w:hAnsi="宋体"/>
                <w:color w:val="000000"/>
                <w:szCs w:val="21"/>
              </w:rPr>
            </w:pPr>
            <w:r>
              <w:rPr>
                <w:rFonts w:hint="eastAsia" w:ascii="宋体" w:hAnsi="宋体"/>
                <w:color w:val="000000"/>
                <w:szCs w:val="21"/>
              </w:rPr>
              <w:t>1、支持抓拍记录查询和违规记录查询</w:t>
            </w:r>
          </w:p>
          <w:p>
            <w:pPr>
              <w:widowControl/>
              <w:textAlignment w:val="center"/>
              <w:rPr>
                <w:rFonts w:hint="eastAsia" w:ascii="宋体" w:hAnsi="宋体"/>
                <w:color w:val="000000"/>
                <w:szCs w:val="21"/>
              </w:rPr>
            </w:pPr>
            <w:r>
              <w:rPr>
                <w:rFonts w:hint="eastAsia" w:ascii="宋体" w:hAnsi="宋体"/>
                <w:color w:val="000000"/>
                <w:szCs w:val="21"/>
              </w:rPr>
              <w:t>2、支持车流量统计</w:t>
            </w:r>
          </w:p>
          <w:p>
            <w:pPr>
              <w:widowControl/>
              <w:textAlignment w:val="center"/>
              <w:rPr>
                <w:rFonts w:ascii="宋体" w:hAnsi="宋体"/>
                <w:color w:val="000000"/>
                <w:szCs w:val="21"/>
              </w:rPr>
            </w:pPr>
            <w:r>
              <w:rPr>
                <w:rFonts w:hint="eastAsia" w:ascii="宋体" w:hAnsi="宋体"/>
                <w:color w:val="000000"/>
                <w:szCs w:val="21"/>
              </w:rPr>
              <w:t xml:space="preserve">3、支持违章事件的统计 </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个</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20</w:t>
            </w:r>
          </w:p>
        </w:tc>
      </w:tr>
      <w:tr>
        <w:tblPrEx>
          <w:tblCellMar>
            <w:top w:w="0" w:type="dxa"/>
            <w:left w:w="108" w:type="dxa"/>
            <w:bottom w:w="0" w:type="dxa"/>
            <w:right w:w="108" w:type="dxa"/>
          </w:tblCellMar>
        </w:tblPrEx>
        <w:trPr>
          <w:trHeight w:val="6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8</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设备网络管理</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olor w:val="000000"/>
                <w:szCs w:val="21"/>
                <w:highlight w:val="none"/>
              </w:rPr>
            </w:pPr>
            <w:r>
              <w:rPr>
                <w:rFonts w:hint="eastAsia" w:ascii="宋体" w:hAnsi="宋体"/>
                <w:color w:val="000000"/>
                <w:szCs w:val="21"/>
                <w:highlight w:val="none"/>
              </w:rPr>
              <w:t>要求支持对监控点、编码设备、门禁设备的在线状态进行设备巡检，并以统计图方式展示巡检结果</w:t>
            </w:r>
          </w:p>
          <w:p>
            <w:pPr>
              <w:widowControl/>
              <w:textAlignment w:val="center"/>
              <w:rPr>
                <w:rFonts w:hint="eastAsia" w:ascii="宋体" w:hAnsi="宋体"/>
                <w:color w:val="000000"/>
                <w:szCs w:val="21"/>
                <w:highlight w:val="none"/>
              </w:rPr>
            </w:pPr>
            <w:r>
              <w:rPr>
                <w:rFonts w:hint="eastAsia" w:ascii="宋体" w:hAnsi="宋体"/>
                <w:color w:val="000000"/>
                <w:szCs w:val="21"/>
                <w:highlight w:val="none"/>
              </w:rPr>
              <w:t xml:space="preserve">★要求支持对历史录像的完整率进行监控，统计项包括录像完整数、录像丢失数、巡检失败数、未检测数、监控点总数；支持以统计图展现指定区域的录像完整情况（需提供国家认可的检测机构出具的检验报告复印件） </w:t>
            </w:r>
          </w:p>
          <w:p>
            <w:pPr>
              <w:widowControl/>
              <w:textAlignment w:val="center"/>
              <w:rPr>
                <w:rFonts w:hint="eastAsia" w:ascii="宋体" w:hAnsi="宋体"/>
                <w:color w:val="000000"/>
                <w:szCs w:val="21"/>
                <w:highlight w:val="none"/>
              </w:rPr>
            </w:pPr>
            <w:r>
              <w:rPr>
                <w:rFonts w:hint="eastAsia" w:ascii="宋体" w:hAnsi="宋体"/>
                <w:color w:val="000000"/>
                <w:szCs w:val="21"/>
                <w:highlight w:val="none"/>
              </w:rPr>
              <w:t>要求支持报表展示区域运维考核结果统计</w:t>
            </w:r>
          </w:p>
          <w:p>
            <w:pPr>
              <w:widowControl/>
              <w:textAlignment w:val="center"/>
              <w:rPr>
                <w:rFonts w:ascii="宋体" w:hAnsi="宋体"/>
                <w:color w:val="000000"/>
                <w:szCs w:val="21"/>
                <w:highlight w:val="none"/>
              </w:rPr>
            </w:pPr>
            <w:r>
              <w:rPr>
                <w:rFonts w:hint="eastAsia" w:ascii="宋体" w:hAnsi="宋体"/>
                <w:color w:val="000000"/>
                <w:szCs w:val="21"/>
                <w:highlight w:val="none"/>
              </w:rPr>
              <w:t xml:space="preserve">★要求支持设备巡检计划配置，包括计划名称、巡检类型、巡检时间、巡检频率、状态，并以列表形式展现（需提供国家认可的检测机构出具的检验报告复印件） </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路</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300</w:t>
            </w:r>
          </w:p>
        </w:tc>
      </w:tr>
      <w:tr>
        <w:tblPrEx>
          <w:tblCellMar>
            <w:top w:w="0" w:type="dxa"/>
            <w:left w:w="108" w:type="dxa"/>
            <w:bottom w:w="0" w:type="dxa"/>
            <w:right w:w="108" w:type="dxa"/>
          </w:tblCellMar>
        </w:tblPrEx>
        <w:trPr>
          <w:trHeight w:val="6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9</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视频联网</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hint="eastAsia" w:ascii="宋体" w:hAnsi="宋体"/>
                <w:color w:val="000000"/>
                <w:szCs w:val="21"/>
              </w:rPr>
            </w:pPr>
            <w:r>
              <w:rPr>
                <w:rFonts w:hint="eastAsia" w:ascii="宋体" w:hAnsi="宋体"/>
                <w:color w:val="000000"/>
                <w:szCs w:val="21"/>
              </w:rPr>
              <w:t>为视频监控业务提供级联服务，基于视频通用标准协议（GB/T28181-2011,GB/T28181-2016）与外域平台互联互通，实现上级平台对下级平台视频资源点位的操作控制。</w:t>
            </w:r>
          </w:p>
          <w:p>
            <w:pPr>
              <w:widowControl/>
              <w:textAlignment w:val="center"/>
              <w:rPr>
                <w:rFonts w:hint="eastAsia" w:ascii="宋体" w:hAnsi="宋体"/>
                <w:color w:val="000000"/>
                <w:szCs w:val="21"/>
              </w:rPr>
            </w:pPr>
            <w:r>
              <w:rPr>
                <w:rFonts w:hint="eastAsia" w:ascii="宋体" w:hAnsi="宋体"/>
                <w:color w:val="000000"/>
                <w:szCs w:val="21"/>
              </w:rPr>
              <w:t>1、支持上下级域注册管理能力，实现平台数据级联；</w:t>
            </w:r>
          </w:p>
          <w:p>
            <w:pPr>
              <w:widowControl/>
              <w:textAlignment w:val="center"/>
              <w:rPr>
                <w:rFonts w:hint="eastAsia" w:ascii="宋体" w:hAnsi="宋体"/>
                <w:color w:val="000000"/>
                <w:szCs w:val="21"/>
              </w:rPr>
            </w:pPr>
            <w:r>
              <w:rPr>
                <w:rFonts w:hint="eastAsia" w:ascii="宋体" w:hAnsi="宋体"/>
                <w:color w:val="000000"/>
                <w:szCs w:val="21"/>
              </w:rPr>
              <w:t>2、支持资源同步能力；</w:t>
            </w:r>
          </w:p>
          <w:p>
            <w:pPr>
              <w:widowControl/>
              <w:textAlignment w:val="center"/>
              <w:rPr>
                <w:rFonts w:hint="eastAsia" w:ascii="宋体" w:hAnsi="宋体"/>
                <w:color w:val="000000"/>
                <w:szCs w:val="21"/>
              </w:rPr>
            </w:pPr>
            <w:r>
              <w:rPr>
                <w:rFonts w:hint="eastAsia" w:ascii="宋体" w:hAnsi="宋体"/>
                <w:color w:val="000000"/>
                <w:szCs w:val="21"/>
              </w:rPr>
              <w:t>3、支持级联视频点位实时预览、录像回放、录像下载、语音对讲能力；</w:t>
            </w:r>
          </w:p>
          <w:p>
            <w:pPr>
              <w:widowControl/>
              <w:textAlignment w:val="center"/>
              <w:rPr>
                <w:rFonts w:hint="eastAsia" w:ascii="宋体" w:hAnsi="宋体"/>
                <w:color w:val="000000"/>
                <w:szCs w:val="21"/>
              </w:rPr>
            </w:pPr>
            <w:r>
              <w:rPr>
                <w:rFonts w:hint="eastAsia" w:ascii="宋体" w:hAnsi="宋体"/>
                <w:color w:val="000000"/>
                <w:szCs w:val="21"/>
              </w:rPr>
              <w:t>4、支持级联视频点位设备操作控制能力；</w:t>
            </w:r>
          </w:p>
          <w:p>
            <w:pPr>
              <w:widowControl/>
              <w:textAlignment w:val="center"/>
              <w:rPr>
                <w:rFonts w:ascii="宋体" w:hAnsi="宋体"/>
                <w:color w:val="000000"/>
                <w:szCs w:val="21"/>
              </w:rPr>
            </w:pPr>
            <w:r>
              <w:rPr>
                <w:rFonts w:hint="eastAsia" w:ascii="宋体" w:hAnsi="宋体"/>
                <w:color w:val="000000"/>
                <w:szCs w:val="21"/>
              </w:rPr>
              <w:t>5、支持下级平台推送到本级平台视频点位路数控制能力，通过级联点位授权路数控制；</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509"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10</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云存储节点</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olor w:val="000000"/>
                <w:szCs w:val="21"/>
              </w:rPr>
            </w:pPr>
            <w:r>
              <w:rPr>
                <w:rFonts w:hint="eastAsia" w:ascii="宋体" w:hAnsi="宋体"/>
                <w:color w:val="000000"/>
                <w:szCs w:val="21"/>
              </w:rPr>
              <w:t>视频</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台</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2</w:t>
            </w:r>
          </w:p>
        </w:tc>
      </w:tr>
      <w:tr>
        <w:tblPrEx>
          <w:tblCellMar>
            <w:top w:w="0" w:type="dxa"/>
            <w:left w:w="108" w:type="dxa"/>
            <w:bottom w:w="0" w:type="dxa"/>
            <w:right w:w="108" w:type="dxa"/>
          </w:tblCellMar>
        </w:tblPrEx>
        <w:trPr>
          <w:trHeight w:val="517"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Cs w:val="21"/>
              </w:rPr>
            </w:pPr>
            <w:r>
              <w:rPr>
                <w:rFonts w:ascii="宋体" w:hAnsi="宋体"/>
                <w:b/>
                <w:bCs/>
                <w:szCs w:val="21"/>
              </w:rPr>
              <w:t>应急中心建设</w:t>
            </w:r>
          </w:p>
        </w:tc>
      </w:tr>
      <w:tr>
        <w:tblPrEx>
          <w:tblCellMar>
            <w:top w:w="0" w:type="dxa"/>
            <w:left w:w="108" w:type="dxa"/>
            <w:bottom w:w="0" w:type="dxa"/>
            <w:right w:w="108" w:type="dxa"/>
          </w:tblCellMar>
        </w:tblPrEx>
        <w:trPr>
          <w:trHeight w:val="6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bookmarkStart w:id="2" w:name="_bookmark42"/>
            <w:bookmarkEnd w:id="2"/>
            <w:r>
              <w:rPr>
                <w:rFonts w:hint="eastAsia" w:ascii="宋体" w:hAnsi="宋体"/>
                <w:color w:val="000000"/>
                <w:szCs w:val="21"/>
              </w:rPr>
              <w:t>1</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室内小间距LED显示屏</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textAlignment w:val="top"/>
              <w:rPr>
                <w:rFonts w:hint="eastAsia" w:ascii="宋体" w:hAnsi="宋体"/>
                <w:color w:val="000000"/>
                <w:szCs w:val="21"/>
                <w:highlight w:val="none"/>
              </w:rPr>
            </w:pPr>
            <w:r>
              <w:rPr>
                <w:rFonts w:hint="eastAsia" w:ascii="宋体" w:hAnsi="宋体"/>
                <w:color w:val="000000"/>
                <w:szCs w:val="21"/>
                <w:highlight w:val="none"/>
              </w:rPr>
              <w:t>小间距LED全彩显示屏；</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像素间距：1.25mm；</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屏幕宽高比：16:9，压铸铝材质；</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像素结构：LED表贴三合一；</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箱体分辨率：480×270，箱体尺寸（mm）：600（W）×337.5（H）；</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像素密度：640000点/㎡ ；</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光学参数：显示屏亮度≥600nits，色温3000K—10000K可调，水平视角160°、垂直视角160°，推荐视距≥2m，亮度均匀性≥97%，色度均匀性±0.003Cx,Cy之内，刷新率：3840Hz</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电气参数：峰值功耗850W/㎡，平均功耗＜280W/㎡，供电要求110~220VAC±15%；</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工作温度范围0—40℃，存储温度范围-10—50℃，工作湿度范围（RH）无结露10-60%，存储湿度范围（RH）无结露10-70%。</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功能特性：支持任意方向、任意尺寸、任意造型拼接，画面均匀一致，无黑线，实现真正无缝拼接。</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维护方式：完全前维护，灯板电源和接收卡前维护。</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★支持通过遥控器的操作，对图像的对比度、清晰度、饱和度、色温以及图像模式进行调节设置。（提供首页具有CNAS标识的第三方检测报告复印件）</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★在客户端、遥控器更改设置时，屏幕出现OSD 提示菜单。（提供首页具有CNAS标识的第三方检测报告复印件）</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★支持无信号输入自动熄屏待机，有信号输入自动唤醒功能。（提供首页具有CNAS标识的第三方检测报告复印件）</w:t>
            </w:r>
          </w:p>
          <w:p>
            <w:pPr>
              <w:widowControl/>
              <w:textAlignment w:val="top"/>
              <w:rPr>
                <w:rFonts w:ascii="宋体" w:hAnsi="宋体"/>
                <w:color w:val="000000"/>
                <w:szCs w:val="21"/>
                <w:highlight w:val="none"/>
              </w:rPr>
            </w:pPr>
            <w:r>
              <w:rPr>
                <w:rFonts w:hint="eastAsia" w:ascii="宋体" w:hAnsi="宋体"/>
                <w:color w:val="000000"/>
                <w:szCs w:val="21"/>
                <w:highlight w:val="none"/>
              </w:rPr>
              <w:t>★具备智能节能功能，自动检测当前环境是否有人，无人时自动调暗屏幕画面或黑屏（提供首页具有CNAS标识的第三方检测报告复印件）</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平方</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12.96</w:t>
            </w:r>
          </w:p>
        </w:tc>
      </w:tr>
      <w:tr>
        <w:tblPrEx>
          <w:tblCellMar>
            <w:top w:w="0" w:type="dxa"/>
            <w:left w:w="108" w:type="dxa"/>
            <w:bottom w:w="0" w:type="dxa"/>
            <w:right w:w="108" w:type="dxa"/>
          </w:tblCellMar>
        </w:tblPrEx>
        <w:trPr>
          <w:trHeight w:val="416"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2</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LED发送卡</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textAlignment w:val="top"/>
              <w:rPr>
                <w:rFonts w:hint="eastAsia" w:ascii="宋体" w:hAnsi="宋体"/>
                <w:color w:val="000000"/>
                <w:szCs w:val="21"/>
              </w:rPr>
            </w:pPr>
            <w:r>
              <w:rPr>
                <w:rFonts w:hint="eastAsia" w:ascii="宋体" w:hAnsi="宋体"/>
                <w:color w:val="000000"/>
                <w:szCs w:val="21"/>
              </w:rPr>
              <w:t>1)LED全彩显示屏控制器,1路DVI输入，1路HDMI输入；6路网口输出</w:t>
            </w:r>
          </w:p>
          <w:p>
            <w:pPr>
              <w:widowControl/>
              <w:textAlignment w:val="top"/>
              <w:rPr>
                <w:rFonts w:hint="eastAsia" w:ascii="宋体" w:hAnsi="宋体"/>
                <w:color w:val="000000"/>
                <w:szCs w:val="21"/>
              </w:rPr>
            </w:pPr>
            <w:r>
              <w:rPr>
                <w:rFonts w:hint="eastAsia" w:ascii="宋体" w:hAnsi="宋体"/>
                <w:color w:val="000000"/>
                <w:szCs w:val="21"/>
              </w:rPr>
              <w:t>2)带载分辨率1920x1200 60Hz</w:t>
            </w:r>
          </w:p>
          <w:p>
            <w:pPr>
              <w:widowControl/>
              <w:textAlignment w:val="top"/>
              <w:rPr>
                <w:rFonts w:ascii="宋体" w:hAnsi="宋体"/>
                <w:color w:val="000000"/>
                <w:szCs w:val="21"/>
              </w:rPr>
            </w:pPr>
            <w:r>
              <w:rPr>
                <w:rFonts w:hint="eastAsia" w:ascii="宋体" w:hAnsi="宋体"/>
                <w:color w:val="000000"/>
                <w:szCs w:val="21"/>
              </w:rPr>
              <w:t>3)极限带载分辨率：极限宽度（3840*600@60Hz），极限高度（548*3840@60Hz）</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台</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4</w:t>
            </w:r>
          </w:p>
        </w:tc>
      </w:tr>
      <w:tr>
        <w:tblPrEx>
          <w:tblCellMar>
            <w:top w:w="0" w:type="dxa"/>
            <w:left w:w="108" w:type="dxa"/>
            <w:bottom w:w="0" w:type="dxa"/>
            <w:right w:w="108" w:type="dxa"/>
          </w:tblCellMar>
        </w:tblPrEx>
        <w:trPr>
          <w:trHeight w:val="60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3</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大屏控制器</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textAlignment w:val="top"/>
              <w:rPr>
                <w:rFonts w:hint="eastAsia" w:ascii="宋体" w:hAnsi="宋体"/>
                <w:color w:val="000000"/>
                <w:szCs w:val="21"/>
                <w:highlight w:val="none"/>
              </w:rPr>
            </w:pPr>
            <w:r>
              <w:rPr>
                <w:rFonts w:hint="eastAsia" w:ascii="宋体" w:hAnsi="宋体"/>
                <w:color w:val="000000"/>
                <w:szCs w:val="21"/>
                <w:highlight w:val="none"/>
              </w:rPr>
              <w:t>5U机箱，4路DVI输入（支持转VGA或HDMI），8路HDMI输出</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支持在输出通道叠加图片LOGO，图片位置可调。</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主控板具有4个串口，每个串口挂载8个RS485控制设备，可将IP数据发送给串口。</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具备视频遮挡报警、视频丢失报警、非法访问报警、IP冲突报警等功能。</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★支持虚拟云台控制功能，具备虚拟云台控制按键，可调整球机和云台的运行速度和方向，并且支持多用户云台抢占、云台控制锁定功能（提供国家认可的检测机构出具的检测报告证明）</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单板支持128个漫游窗口叠加，支持窗口置顶或置底设置。</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支持1、2、4、6、8、9、12、16、32画面分割显示。</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对录像文件解码延时≤130ms。</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支持手动视频切换功能，支持将选定的视频输入切换到选定的视频输出，支持视音频同步切换、异步切换，画面切换时不出现黑屏。</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可通过无线终端将视音频、图片、PPT等传送到屏幕上显示。</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★信号源采集后经过高速背板总线到输出显示所用平均时间应≤35ms；（提供国家认可的检测机构出具的检测报告证明）</w:t>
            </w:r>
          </w:p>
          <w:p>
            <w:pPr>
              <w:widowControl/>
              <w:textAlignment w:val="top"/>
              <w:rPr>
                <w:rFonts w:hint="eastAsia" w:ascii="宋体" w:hAnsi="宋体"/>
                <w:color w:val="000000"/>
                <w:szCs w:val="21"/>
                <w:highlight w:val="none"/>
              </w:rPr>
            </w:pPr>
            <w:r>
              <w:rPr>
                <w:rFonts w:hint="eastAsia" w:ascii="宋体" w:hAnsi="宋体"/>
                <w:color w:val="000000"/>
                <w:szCs w:val="21"/>
                <w:highlight w:val="none"/>
              </w:rPr>
              <w:t>★产品的图像切换时间＜20ms。（提供国家认可的检测机构出具的检测报告证明）</w:t>
            </w:r>
          </w:p>
          <w:p>
            <w:pPr>
              <w:widowControl/>
              <w:textAlignment w:val="top"/>
              <w:rPr>
                <w:rFonts w:ascii="宋体" w:hAnsi="宋体"/>
                <w:color w:val="000000"/>
                <w:szCs w:val="21"/>
                <w:highlight w:val="none"/>
              </w:rPr>
            </w:pPr>
            <w:r>
              <w:rPr>
                <w:rFonts w:hint="eastAsia" w:ascii="宋体" w:hAnsi="宋体"/>
                <w:color w:val="000000"/>
                <w:szCs w:val="21"/>
                <w:highlight w:val="none"/>
              </w:rPr>
              <w:t>★产品支持解码中断时保留最后一帧的功能，解码板不同输出口以及跨解码板的输出口之间输出色彩无色差。（提供国家认可的检测机构出具的检测报告证明）</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台</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4</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多屏控制软件</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宋体" w:hAnsi="宋体"/>
                <w:color w:val="000000"/>
                <w:szCs w:val="21"/>
              </w:rPr>
            </w:pPr>
            <w:r>
              <w:rPr>
                <w:rFonts w:hint="eastAsia" w:ascii="宋体" w:hAnsi="宋体"/>
                <w:color w:val="000000"/>
                <w:szCs w:val="21"/>
              </w:rPr>
              <w:t>配套</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套</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208"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5</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安装结构</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olor w:val="000000"/>
                <w:szCs w:val="21"/>
              </w:rPr>
            </w:pPr>
            <w:r>
              <w:rPr>
                <w:rFonts w:hint="eastAsia" w:ascii="宋体" w:hAnsi="宋体"/>
                <w:color w:val="000000"/>
                <w:szCs w:val="21"/>
              </w:rPr>
              <w:t>电视墙和包含通天立杆方刚加固</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项</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6</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配电柜</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olor w:val="000000"/>
                <w:szCs w:val="21"/>
              </w:rPr>
            </w:pPr>
            <w:r>
              <w:rPr>
                <w:rFonts w:hint="eastAsia" w:ascii="宋体" w:hAnsi="宋体"/>
                <w:color w:val="000000"/>
                <w:szCs w:val="21"/>
              </w:rPr>
              <w:t>20kw带漏电保护功能</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台</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7</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2米机柜</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olor w:val="000000"/>
                <w:szCs w:val="21"/>
              </w:rPr>
            </w:pPr>
            <w:r>
              <w:rPr>
                <w:rFonts w:hint="eastAsia" w:ascii="宋体" w:hAnsi="宋体"/>
                <w:color w:val="000000"/>
                <w:szCs w:val="21"/>
              </w:rPr>
              <w:t>600x1000x2000</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台</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3</w:t>
            </w:r>
          </w:p>
        </w:tc>
      </w:tr>
      <w:tr>
        <w:tblPrEx>
          <w:tblCellMar>
            <w:top w:w="0" w:type="dxa"/>
            <w:left w:w="108" w:type="dxa"/>
            <w:bottom w:w="0" w:type="dxa"/>
            <w:right w:w="108" w:type="dxa"/>
          </w:tblCellMar>
        </w:tblPrEx>
        <w:trPr>
          <w:trHeight w:val="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8</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工作站</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olor w:val="000000"/>
                <w:szCs w:val="21"/>
              </w:rPr>
            </w:pPr>
            <w:r>
              <w:rPr>
                <w:rFonts w:hint="eastAsia" w:ascii="宋体" w:hAnsi="宋体"/>
                <w:color w:val="000000"/>
                <w:szCs w:val="21"/>
              </w:rPr>
              <w:t>i5/8G/128G/24寸显示器</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台</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4</w:t>
            </w:r>
          </w:p>
        </w:tc>
      </w:tr>
      <w:tr>
        <w:tblPrEx>
          <w:tblCellMar>
            <w:top w:w="0" w:type="dxa"/>
            <w:left w:w="108" w:type="dxa"/>
            <w:bottom w:w="0" w:type="dxa"/>
            <w:right w:w="108" w:type="dxa"/>
          </w:tblCellMar>
        </w:tblPrEx>
        <w:trPr>
          <w:trHeight w:val="127"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9</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工程线缆</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olor w:val="000000"/>
                <w:szCs w:val="21"/>
              </w:rPr>
            </w:pPr>
            <w:r>
              <w:rPr>
                <w:rFonts w:hint="eastAsia" w:ascii="宋体" w:hAnsi="宋体"/>
                <w:color w:val="000000"/>
                <w:szCs w:val="21"/>
              </w:rPr>
              <w:t>提供配电柜到屏幕的强电线，控制器到屏体信号线</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套</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szCs w:val="21"/>
              </w:rPr>
            </w:pPr>
            <w:r>
              <w:rPr>
                <w:rFonts w:hint="eastAsia" w:ascii="宋体" w:hAnsi="宋体"/>
                <w:color w:val="000000"/>
                <w:szCs w:val="21"/>
              </w:rPr>
              <w:t>10</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集成费</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olor w:val="000000"/>
                <w:szCs w:val="21"/>
              </w:rPr>
            </w:pP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套</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348"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olor w:val="000000"/>
                <w:szCs w:val="21"/>
              </w:rPr>
            </w:pPr>
            <w:r>
              <w:rPr>
                <w:rFonts w:ascii="宋体" w:hAnsi="宋体"/>
                <w:b/>
                <w:bCs/>
                <w:szCs w:val="21"/>
              </w:rPr>
              <w:t>指挥中心集成服务</w:t>
            </w:r>
          </w:p>
        </w:tc>
      </w:tr>
      <w:tr>
        <w:tblPrEx>
          <w:tblCellMar>
            <w:top w:w="0" w:type="dxa"/>
            <w:left w:w="108" w:type="dxa"/>
            <w:bottom w:w="0" w:type="dxa"/>
            <w:right w:w="108" w:type="dxa"/>
          </w:tblCellMar>
        </w:tblPrEx>
        <w:trPr>
          <w:trHeight w:val="154" w:hRule="atLeast"/>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1</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新增隔(12cm)</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75mm轻钢龙骨，面贴10mm石膏板</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平米</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24.5</w:t>
            </w:r>
          </w:p>
        </w:tc>
      </w:tr>
      <w:tr>
        <w:tblPrEx>
          <w:tblCellMar>
            <w:top w:w="0" w:type="dxa"/>
            <w:left w:w="108" w:type="dxa"/>
            <w:bottom w:w="0" w:type="dxa"/>
            <w:right w:w="108" w:type="dxa"/>
          </w:tblCellMar>
        </w:tblPrEx>
        <w:trPr>
          <w:trHeight w:val="325" w:hRule="atLeast"/>
        </w:trPr>
        <w:tc>
          <w:tcPr>
            <w:tcW w:w="36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2</w:t>
            </w:r>
          </w:p>
        </w:tc>
        <w:tc>
          <w:tcPr>
            <w:tcW w:w="7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水电工程（预埋）</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1、定位、凿坑暗藏管，安装管，封槽</w:t>
            </w:r>
          </w:p>
        </w:tc>
        <w:tc>
          <w:tcPr>
            <w:tcW w:w="375"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平方</w:t>
            </w:r>
          </w:p>
        </w:tc>
        <w:tc>
          <w:tcPr>
            <w:tcW w:w="33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129</w:t>
            </w:r>
          </w:p>
        </w:tc>
      </w:tr>
      <w:tr>
        <w:tblPrEx>
          <w:tblCellMar>
            <w:top w:w="0" w:type="dxa"/>
            <w:left w:w="108" w:type="dxa"/>
            <w:bottom w:w="0" w:type="dxa"/>
            <w:right w:w="108" w:type="dxa"/>
          </w:tblCellMar>
        </w:tblPrEx>
        <w:trPr>
          <w:trHeight w:val="348" w:hRule="atLeast"/>
        </w:trPr>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p>
        </w:tc>
        <w:tc>
          <w:tcPr>
            <w:tcW w:w="7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2、单塑多芯铜线；配电箱内。</w:t>
            </w:r>
          </w:p>
        </w:tc>
        <w:tc>
          <w:tcPr>
            <w:tcW w:w="375" w:type="pct"/>
            <w:vMerge w:val="continue"/>
            <w:tcBorders>
              <w:left w:val="single" w:color="000000" w:sz="4" w:space="0"/>
              <w:right w:val="single" w:color="000000" w:sz="4" w:space="0"/>
            </w:tcBorders>
            <w:noWrap w:val="0"/>
            <w:vAlign w:val="center"/>
          </w:tcPr>
          <w:p>
            <w:pPr>
              <w:widowControl/>
              <w:jc w:val="center"/>
              <w:textAlignment w:val="center"/>
              <w:rPr>
                <w:rFonts w:ascii="宋体" w:hAnsi="宋体"/>
                <w:color w:val="000000"/>
                <w:szCs w:val="21"/>
              </w:rPr>
            </w:pPr>
          </w:p>
        </w:tc>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p>
        </w:tc>
      </w:tr>
      <w:tr>
        <w:tblPrEx>
          <w:tblCellMar>
            <w:top w:w="0" w:type="dxa"/>
            <w:left w:w="108" w:type="dxa"/>
            <w:bottom w:w="0" w:type="dxa"/>
            <w:right w:w="108" w:type="dxa"/>
          </w:tblCellMar>
        </w:tblPrEx>
        <w:trPr>
          <w:trHeight w:val="285" w:hRule="atLeast"/>
        </w:trPr>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p>
        </w:tc>
        <w:tc>
          <w:tcPr>
            <w:tcW w:w="7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3、过梁及剪力墙用黄腊管；</w:t>
            </w:r>
          </w:p>
        </w:tc>
        <w:tc>
          <w:tcPr>
            <w:tcW w:w="375" w:type="pct"/>
            <w:vMerge w:val="continue"/>
            <w:tcBorders>
              <w:left w:val="single" w:color="000000" w:sz="4" w:space="0"/>
              <w:right w:val="single" w:color="000000" w:sz="4" w:space="0"/>
            </w:tcBorders>
            <w:noWrap w:val="0"/>
            <w:vAlign w:val="center"/>
          </w:tcPr>
          <w:p>
            <w:pPr>
              <w:widowControl/>
              <w:jc w:val="center"/>
              <w:textAlignment w:val="center"/>
              <w:rPr>
                <w:rFonts w:ascii="宋体" w:hAnsi="宋体"/>
                <w:color w:val="000000"/>
                <w:szCs w:val="21"/>
              </w:rPr>
            </w:pPr>
          </w:p>
        </w:tc>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p>
        </w:tc>
      </w:tr>
      <w:tr>
        <w:tblPrEx>
          <w:tblCellMar>
            <w:top w:w="0" w:type="dxa"/>
            <w:left w:w="108" w:type="dxa"/>
            <w:bottom w:w="0" w:type="dxa"/>
            <w:right w:w="108" w:type="dxa"/>
          </w:tblCellMar>
        </w:tblPrEx>
        <w:trPr>
          <w:trHeight w:val="222" w:hRule="atLeast"/>
        </w:trPr>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p>
        </w:tc>
        <w:tc>
          <w:tcPr>
            <w:tcW w:w="7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4、横平竖直切槽套管走线明装处20镀锌管刷漆；</w:t>
            </w:r>
          </w:p>
        </w:tc>
        <w:tc>
          <w:tcPr>
            <w:tcW w:w="375" w:type="pct"/>
            <w:vMerge w:val="continue"/>
            <w:tcBorders>
              <w:left w:val="single" w:color="000000" w:sz="4" w:space="0"/>
              <w:right w:val="single" w:color="000000" w:sz="4" w:space="0"/>
            </w:tcBorders>
            <w:noWrap w:val="0"/>
            <w:vAlign w:val="center"/>
          </w:tcPr>
          <w:p>
            <w:pPr>
              <w:widowControl/>
              <w:jc w:val="center"/>
              <w:textAlignment w:val="center"/>
              <w:rPr>
                <w:rFonts w:ascii="宋体" w:hAnsi="宋体"/>
                <w:color w:val="000000"/>
                <w:szCs w:val="21"/>
              </w:rPr>
            </w:pPr>
          </w:p>
        </w:tc>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p>
        </w:tc>
      </w:tr>
      <w:tr>
        <w:tblPrEx>
          <w:tblCellMar>
            <w:top w:w="0" w:type="dxa"/>
            <w:left w:w="108" w:type="dxa"/>
            <w:bottom w:w="0" w:type="dxa"/>
            <w:right w:w="108" w:type="dxa"/>
          </w:tblCellMar>
        </w:tblPrEx>
        <w:trPr>
          <w:trHeight w:val="285" w:hRule="atLeast"/>
        </w:trPr>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p>
        </w:tc>
        <w:tc>
          <w:tcPr>
            <w:tcW w:w="7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5、线在中途不能有接头；</w:t>
            </w:r>
          </w:p>
        </w:tc>
        <w:tc>
          <w:tcPr>
            <w:tcW w:w="375"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p>
        </w:tc>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p>
        </w:tc>
      </w:tr>
      <w:tr>
        <w:tblPrEx>
          <w:tblCellMar>
            <w:top w:w="0" w:type="dxa"/>
            <w:left w:w="108" w:type="dxa"/>
            <w:bottom w:w="0" w:type="dxa"/>
            <w:right w:w="108" w:type="dxa"/>
          </w:tblCellMar>
        </w:tblPrEx>
        <w:trPr>
          <w:trHeight w:val="257" w:hRule="atLeast"/>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3</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配电柜</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国产品牌</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套</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4</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弱电柜</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国产品牌</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套</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5</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开关插座</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国产品牌</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个</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10</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6</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地插</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国产品牌</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个</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4</w:t>
            </w:r>
          </w:p>
        </w:tc>
      </w:tr>
      <w:tr>
        <w:tblPrEx>
          <w:tblCellMar>
            <w:top w:w="0" w:type="dxa"/>
            <w:left w:w="108" w:type="dxa"/>
            <w:bottom w:w="0" w:type="dxa"/>
            <w:right w:w="108" w:type="dxa"/>
          </w:tblCellMar>
        </w:tblPrEx>
        <w:trPr>
          <w:trHeight w:val="304" w:hRule="atLeast"/>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7</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弱电</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安装接线（含线面板，不含设备）</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平米</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129</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8</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left="-105" w:leftChars="-50" w:right="-105" w:rightChars="-50"/>
              <w:jc w:val="center"/>
              <w:textAlignment w:val="center"/>
              <w:rPr>
                <w:rFonts w:ascii="宋体" w:hAnsi="宋体"/>
                <w:color w:val="000000"/>
                <w:szCs w:val="21"/>
              </w:rPr>
            </w:pPr>
            <w:r>
              <w:rPr>
                <w:rFonts w:hint="eastAsia" w:ascii="宋体" w:hAnsi="宋体"/>
                <w:color w:val="000000"/>
                <w:szCs w:val="21"/>
              </w:rPr>
              <w:t>会议桌桌面插座</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国产品牌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2</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9</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集成吊顶灯</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国产品牌</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14</w:t>
            </w:r>
          </w:p>
        </w:tc>
      </w:tr>
      <w:tr>
        <w:tblPrEx>
          <w:tblCellMar>
            <w:top w:w="0" w:type="dxa"/>
            <w:left w:w="108" w:type="dxa"/>
            <w:bottom w:w="0" w:type="dxa"/>
            <w:right w:w="108" w:type="dxa"/>
          </w:tblCellMar>
        </w:tblPrEx>
        <w:trPr>
          <w:trHeight w:val="312" w:hRule="atLeast"/>
        </w:trPr>
        <w:tc>
          <w:tcPr>
            <w:tcW w:w="36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w:t>
            </w:r>
          </w:p>
        </w:tc>
        <w:tc>
          <w:tcPr>
            <w:tcW w:w="79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color w:val="000000"/>
                <w:szCs w:val="21"/>
              </w:rPr>
              <w:t>集成吊顶</w:t>
            </w:r>
          </w:p>
        </w:tc>
        <w:tc>
          <w:tcPr>
            <w:tcW w:w="312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color w:val="000000"/>
                <w:szCs w:val="21"/>
              </w:rPr>
              <w:t>600*600铝扣板</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color w:val="000000"/>
                <w:szCs w:val="21"/>
              </w:rPr>
              <w:t>平米</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color w:val="000000"/>
                <w:szCs w:val="21"/>
              </w:rPr>
              <w:t>129</w:t>
            </w:r>
          </w:p>
        </w:tc>
      </w:tr>
      <w:tr>
        <w:tblPrEx>
          <w:tblCellMar>
            <w:top w:w="0" w:type="dxa"/>
            <w:left w:w="108" w:type="dxa"/>
            <w:bottom w:w="0" w:type="dxa"/>
            <w:right w:w="108" w:type="dxa"/>
          </w:tblCellMar>
        </w:tblPrEx>
        <w:trPr>
          <w:trHeight w:val="312"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宋体" w:hAnsi="宋体"/>
                <w:color w:val="000000"/>
                <w:szCs w:val="21"/>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宋体" w:hAnsi="宋体"/>
                <w:color w:val="000000"/>
                <w:szCs w:val="21"/>
              </w:rPr>
            </w:pPr>
          </w:p>
        </w:tc>
        <w:tc>
          <w:tcPr>
            <w:tcW w:w="312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宋体" w:hAnsi="宋体"/>
                <w:color w:val="000000"/>
                <w:szCs w:val="21"/>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p>
        </w:tc>
      </w:tr>
      <w:tr>
        <w:tblPrEx>
          <w:tblCellMar>
            <w:top w:w="0" w:type="dxa"/>
            <w:left w:w="108" w:type="dxa"/>
            <w:bottom w:w="0" w:type="dxa"/>
            <w:right w:w="108" w:type="dxa"/>
          </w:tblCellMar>
        </w:tblPrEx>
        <w:trPr>
          <w:trHeight w:val="312" w:hRule="atLeast"/>
        </w:trPr>
        <w:tc>
          <w:tcPr>
            <w:tcW w:w="36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宋体" w:hAnsi="宋体"/>
                <w:color w:val="000000"/>
                <w:szCs w:val="21"/>
              </w:rPr>
            </w:pPr>
          </w:p>
        </w:tc>
        <w:tc>
          <w:tcPr>
            <w:tcW w:w="79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宋体" w:hAnsi="宋体"/>
                <w:color w:val="000000"/>
                <w:szCs w:val="21"/>
              </w:rPr>
            </w:pPr>
          </w:p>
        </w:tc>
        <w:tc>
          <w:tcPr>
            <w:tcW w:w="312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宋体" w:hAnsi="宋体"/>
                <w:color w:val="000000"/>
                <w:szCs w:val="21"/>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11</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墙体拆除</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人工费</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平米</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6</w:t>
            </w:r>
          </w:p>
        </w:tc>
      </w:tr>
      <w:tr>
        <w:tblPrEx>
          <w:tblCellMar>
            <w:top w:w="0" w:type="dxa"/>
            <w:left w:w="108" w:type="dxa"/>
            <w:bottom w:w="0" w:type="dxa"/>
            <w:right w:w="108" w:type="dxa"/>
          </w:tblCellMar>
        </w:tblPrEx>
        <w:trPr>
          <w:trHeight w:val="246" w:hRule="atLeast"/>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12</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墙面装饰基础</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1.基层材料种类、规格：18mm阻燃板</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平米</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146</w:t>
            </w:r>
          </w:p>
        </w:tc>
      </w:tr>
      <w:tr>
        <w:tblPrEx>
          <w:tblCellMar>
            <w:top w:w="0" w:type="dxa"/>
            <w:left w:w="108" w:type="dxa"/>
            <w:bottom w:w="0" w:type="dxa"/>
            <w:right w:w="108" w:type="dxa"/>
          </w:tblCellMar>
        </w:tblPrEx>
        <w:trPr>
          <w:trHeight w:val="90" w:hRule="atLeast"/>
        </w:trPr>
        <w:tc>
          <w:tcPr>
            <w:tcW w:w="36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13</w:t>
            </w:r>
          </w:p>
        </w:tc>
        <w:tc>
          <w:tcPr>
            <w:tcW w:w="7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墙面装饰</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1.龙骨材料种类、规格、中距：木龙骨</w:t>
            </w:r>
          </w:p>
        </w:tc>
        <w:tc>
          <w:tcPr>
            <w:tcW w:w="37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平米</w:t>
            </w:r>
          </w:p>
        </w:tc>
        <w:tc>
          <w:tcPr>
            <w:tcW w:w="33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146</w:t>
            </w:r>
          </w:p>
        </w:tc>
      </w:tr>
      <w:tr>
        <w:tblPrEx>
          <w:tblCellMar>
            <w:top w:w="0" w:type="dxa"/>
            <w:left w:w="108" w:type="dxa"/>
            <w:bottom w:w="0" w:type="dxa"/>
            <w:right w:w="108" w:type="dxa"/>
          </w:tblCellMar>
        </w:tblPrEx>
        <w:trPr>
          <w:trHeight w:val="90" w:hRule="atLeast"/>
        </w:trPr>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p>
        </w:tc>
        <w:tc>
          <w:tcPr>
            <w:tcW w:w="7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2.基层材料种类、规格：18mm阻燃板</w:t>
            </w:r>
          </w:p>
        </w:tc>
        <w:tc>
          <w:tcPr>
            <w:tcW w:w="37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p>
        </w:tc>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p>
        </w:tc>
      </w:tr>
      <w:tr>
        <w:tblPrEx>
          <w:tblCellMar>
            <w:top w:w="0" w:type="dxa"/>
            <w:left w:w="108" w:type="dxa"/>
            <w:bottom w:w="0" w:type="dxa"/>
            <w:right w:w="108" w:type="dxa"/>
          </w:tblCellMar>
        </w:tblPrEx>
        <w:trPr>
          <w:trHeight w:val="90" w:hRule="atLeast"/>
        </w:trPr>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p>
        </w:tc>
        <w:tc>
          <w:tcPr>
            <w:tcW w:w="7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3.面层材料品种、规格、颜色：硬包</w:t>
            </w:r>
          </w:p>
        </w:tc>
        <w:tc>
          <w:tcPr>
            <w:tcW w:w="37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p>
        </w:tc>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14</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不锈钢踢脚线</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1、1.2mm不锈钢包边</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米</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38</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15</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木质门带套</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1、门代号及洞口尺寸：0.8*2.5</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樘</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16</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木质门带套</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1、门代号及洞口尺寸：1.8*2.5</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樘</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17</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水晶字</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8+3水晶字</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套</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18</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定制窗帘</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阻燃窗帘，含配件</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平米</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24.6</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19</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四操作台</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定制</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套</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20</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left="-105" w:leftChars="-50" w:right="-105" w:rightChars="-50"/>
              <w:jc w:val="center"/>
              <w:textAlignment w:val="center"/>
              <w:rPr>
                <w:rFonts w:ascii="宋体" w:hAnsi="宋体"/>
                <w:color w:val="000000"/>
                <w:szCs w:val="21"/>
              </w:rPr>
            </w:pPr>
            <w:r>
              <w:rPr>
                <w:rFonts w:hint="eastAsia" w:ascii="宋体" w:hAnsi="宋体"/>
                <w:color w:val="000000"/>
                <w:szCs w:val="21"/>
              </w:rPr>
              <w:t>十工位联会议桌</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定制</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21</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茶水台</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定制</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米</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3.12</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22</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文件柜</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定制</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6</w:t>
            </w:r>
          </w:p>
        </w:tc>
      </w:tr>
      <w:tr>
        <w:tblPrEx>
          <w:tblCellMar>
            <w:top w:w="0" w:type="dxa"/>
            <w:left w:w="108" w:type="dxa"/>
            <w:bottom w:w="0" w:type="dxa"/>
            <w:right w:w="108" w:type="dxa"/>
          </w:tblCellMar>
        </w:tblPrEx>
        <w:trPr>
          <w:trHeight w:val="57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23</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left="-105" w:leftChars="-50" w:right="-105" w:rightChars="-50"/>
              <w:jc w:val="center"/>
              <w:textAlignment w:val="center"/>
              <w:rPr>
                <w:rFonts w:ascii="宋体" w:hAnsi="宋体"/>
                <w:color w:val="000000"/>
                <w:szCs w:val="21"/>
              </w:rPr>
            </w:pPr>
            <w:r>
              <w:rPr>
                <w:rFonts w:hint="eastAsia" w:ascii="宋体" w:hAnsi="宋体"/>
                <w:color w:val="000000"/>
                <w:szCs w:val="21"/>
              </w:rPr>
              <w:t>手动夹百叶玻璃隔断和玻璃门</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olor w:val="000000"/>
                <w:szCs w:val="21"/>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平米</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olor w:val="000000"/>
                <w:szCs w:val="21"/>
              </w:rPr>
            </w:pPr>
            <w:r>
              <w:rPr>
                <w:rFonts w:hint="eastAsia" w:ascii="宋体" w:hAnsi="宋体"/>
                <w:color w:val="000000"/>
                <w:szCs w:val="21"/>
              </w:rPr>
              <w:t>25.5</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24</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olor w:val="000000"/>
                <w:szCs w:val="21"/>
              </w:rPr>
            </w:pPr>
            <w:r>
              <w:rPr>
                <w:rFonts w:hint="eastAsia" w:ascii="宋体" w:hAnsi="宋体"/>
                <w:color w:val="000000"/>
                <w:szCs w:val="21"/>
              </w:rPr>
              <w:t>办公桌</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olor w:val="000000"/>
                <w:szCs w:val="21"/>
              </w:rPr>
            </w:pPr>
            <w:r>
              <w:rPr>
                <w:rFonts w:hint="eastAsia" w:ascii="宋体" w:hAnsi="宋体"/>
                <w:color w:val="000000"/>
                <w:szCs w:val="21"/>
              </w:rPr>
              <w:t>含桌下柜和椅子</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olor w:val="000000"/>
                <w:szCs w:val="21"/>
              </w:rPr>
            </w:pPr>
            <w:r>
              <w:rPr>
                <w:rFonts w:hint="eastAsia" w:ascii="宋体" w:hAnsi="宋体"/>
                <w:color w:val="000000"/>
                <w:szCs w:val="21"/>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olor w:val="000000"/>
                <w:szCs w:val="21"/>
              </w:rPr>
            </w:pPr>
            <w:r>
              <w:rPr>
                <w:rFonts w:hint="eastAsia" w:ascii="宋体" w:hAnsi="宋体"/>
                <w:color w:val="000000"/>
                <w:szCs w:val="21"/>
              </w:rPr>
              <w:t>2</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25</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静电地板</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国产品牌</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平方</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14.4</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26</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复合地板铺设</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品牌地板</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平米</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102</w:t>
            </w:r>
          </w:p>
        </w:tc>
      </w:tr>
      <w:tr>
        <w:tblPrEx>
          <w:tblCellMar>
            <w:top w:w="0" w:type="dxa"/>
            <w:left w:w="108" w:type="dxa"/>
            <w:bottom w:w="0" w:type="dxa"/>
            <w:right w:w="108" w:type="dxa"/>
          </w:tblCellMar>
        </w:tblPrEx>
        <w:trPr>
          <w:trHeight w:val="301" w:hRule="atLeast"/>
        </w:trPr>
        <w:tc>
          <w:tcPr>
            <w:tcW w:w="36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27</w:t>
            </w:r>
          </w:p>
        </w:tc>
        <w:tc>
          <w:tcPr>
            <w:tcW w:w="7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垃圾外运费/新房</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1、指垃圾从小区堆放处外运至垃圾集散场。</w:t>
            </w:r>
          </w:p>
        </w:tc>
        <w:tc>
          <w:tcPr>
            <w:tcW w:w="37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平米</w:t>
            </w:r>
          </w:p>
        </w:tc>
        <w:tc>
          <w:tcPr>
            <w:tcW w:w="33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129</w:t>
            </w:r>
          </w:p>
        </w:tc>
      </w:tr>
      <w:tr>
        <w:tblPrEx>
          <w:tblCellMar>
            <w:top w:w="0" w:type="dxa"/>
            <w:left w:w="108" w:type="dxa"/>
            <w:bottom w:w="0" w:type="dxa"/>
            <w:right w:w="108" w:type="dxa"/>
          </w:tblCellMar>
        </w:tblPrEx>
        <w:trPr>
          <w:trHeight w:val="137" w:hRule="atLeast"/>
        </w:trPr>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p>
        </w:tc>
        <w:tc>
          <w:tcPr>
            <w:tcW w:w="7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2、此项费用不包括物业收取的垃圾外运费。</w:t>
            </w:r>
          </w:p>
        </w:tc>
        <w:tc>
          <w:tcPr>
            <w:tcW w:w="37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p>
        </w:tc>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p>
        </w:tc>
      </w:tr>
      <w:tr>
        <w:tblPrEx>
          <w:tblCellMar>
            <w:top w:w="0" w:type="dxa"/>
            <w:left w:w="108" w:type="dxa"/>
            <w:bottom w:w="0" w:type="dxa"/>
            <w:right w:w="108" w:type="dxa"/>
          </w:tblCellMar>
        </w:tblPrEx>
        <w:trPr>
          <w:trHeight w:val="285" w:hRule="atLeast"/>
        </w:trPr>
        <w:tc>
          <w:tcPr>
            <w:tcW w:w="36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p>
        </w:tc>
        <w:tc>
          <w:tcPr>
            <w:tcW w:w="79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3、不足100㎡的按100㎡计算。</w:t>
            </w:r>
          </w:p>
        </w:tc>
        <w:tc>
          <w:tcPr>
            <w:tcW w:w="37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p>
        </w:tc>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p>
        </w:tc>
      </w:tr>
      <w:tr>
        <w:tblPrEx>
          <w:tblCellMar>
            <w:top w:w="0" w:type="dxa"/>
            <w:left w:w="108" w:type="dxa"/>
            <w:bottom w:w="0" w:type="dxa"/>
            <w:right w:w="108" w:type="dxa"/>
          </w:tblCellMar>
        </w:tblPrEx>
        <w:trPr>
          <w:trHeight w:val="57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28</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保洁费/100㎡以上</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100平米以上。</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平米</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129</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29</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满堂脚手架</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宋体" w:hAnsi="宋体"/>
                <w:color w:val="000000"/>
                <w:szCs w:val="21"/>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平米</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129</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30</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材料搬运费</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人工费</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平米</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129</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31</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olor w:val="000000"/>
                <w:szCs w:val="21"/>
              </w:rPr>
            </w:pPr>
            <w:r>
              <w:rPr>
                <w:rFonts w:hint="eastAsia" w:ascii="宋体" w:hAnsi="宋体"/>
                <w:color w:val="000000"/>
                <w:szCs w:val="21"/>
              </w:rPr>
              <w:t>风机</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olor w:val="000000"/>
                <w:szCs w:val="21"/>
              </w:rPr>
            </w:pPr>
            <w:r>
              <w:rPr>
                <w:rFonts w:hint="eastAsia" w:ascii="宋体" w:hAnsi="宋体"/>
                <w:color w:val="000000"/>
                <w:szCs w:val="21"/>
              </w:rPr>
              <w:t>2套抽风机+1套排风扇</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olor w:val="000000"/>
                <w:szCs w:val="21"/>
              </w:rPr>
            </w:pPr>
            <w:r>
              <w:rPr>
                <w:rFonts w:hint="eastAsia" w:ascii="宋体" w:hAnsi="宋体"/>
                <w:color w:val="000000"/>
                <w:szCs w:val="21"/>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olor w:val="000000"/>
                <w:szCs w:val="21"/>
              </w:rPr>
            </w:pPr>
            <w:r>
              <w:rPr>
                <w:rFonts w:hint="eastAsia" w:ascii="宋体" w:hAnsi="宋体"/>
                <w:color w:val="000000"/>
                <w:szCs w:val="21"/>
              </w:rPr>
              <w:t>3</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32</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olor w:val="000000"/>
                <w:szCs w:val="21"/>
              </w:rPr>
            </w:pPr>
            <w:r>
              <w:rPr>
                <w:rFonts w:hint="eastAsia" w:ascii="宋体" w:hAnsi="宋体"/>
                <w:color w:val="000000"/>
                <w:szCs w:val="21"/>
              </w:rPr>
              <w:t>窗户贴膜</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olor w:val="000000"/>
                <w:szCs w:val="21"/>
              </w:rPr>
            </w:pPr>
            <w:r>
              <w:rPr>
                <w:rFonts w:hint="eastAsia" w:ascii="宋体" w:hAnsi="宋体"/>
                <w:color w:val="000000"/>
                <w:szCs w:val="21"/>
              </w:rPr>
              <w:t>玻璃贴膜</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olor w:val="000000"/>
                <w:szCs w:val="21"/>
              </w:rPr>
            </w:pPr>
            <w:r>
              <w:rPr>
                <w:rFonts w:hint="eastAsia" w:ascii="宋体" w:hAnsi="宋体"/>
                <w:color w:val="000000"/>
                <w:szCs w:val="21"/>
              </w:rPr>
              <w:t>项</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olor w:val="000000"/>
                <w:szCs w:val="21"/>
              </w:rPr>
            </w:pPr>
            <w:r>
              <w:rPr>
                <w:rFonts w:hint="eastAsia" w:ascii="宋体" w:hAnsi="宋体"/>
                <w:color w:val="000000"/>
                <w:szCs w:val="21"/>
              </w:rPr>
              <w:t>2</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33</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吊顶拆除</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人工费</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color w:val="000000"/>
                <w:szCs w:val="21"/>
              </w:rPr>
              <w:t>平</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116</w:t>
            </w:r>
          </w:p>
        </w:tc>
      </w:tr>
      <w:tr>
        <w:tblPrEx>
          <w:tblCellMar>
            <w:top w:w="0" w:type="dxa"/>
            <w:left w:w="108" w:type="dxa"/>
            <w:bottom w:w="0" w:type="dxa"/>
            <w:right w:w="108" w:type="dxa"/>
          </w:tblCellMar>
        </w:tblPrEx>
        <w:trPr>
          <w:trHeight w:val="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34</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vpn链路</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20m</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left="-105" w:leftChars="-50" w:right="-105" w:rightChars="-50"/>
              <w:jc w:val="center"/>
              <w:textAlignment w:val="center"/>
              <w:rPr>
                <w:rFonts w:ascii="宋体" w:hAnsi="宋体"/>
                <w:color w:val="000000"/>
                <w:szCs w:val="21"/>
              </w:rPr>
            </w:pPr>
            <w:r>
              <w:rPr>
                <w:rFonts w:hint="eastAsia" w:ascii="宋体" w:hAnsi="宋体"/>
                <w:color w:val="000000"/>
                <w:szCs w:val="21"/>
              </w:rPr>
              <w:t>条/3年</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13</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35</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vpn链路</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50m</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left="-105" w:leftChars="-50" w:right="-105" w:rightChars="-50"/>
              <w:jc w:val="center"/>
              <w:textAlignment w:val="center"/>
              <w:rPr>
                <w:rFonts w:ascii="宋体" w:hAnsi="宋体"/>
                <w:color w:val="000000"/>
                <w:szCs w:val="21"/>
              </w:rPr>
            </w:pPr>
            <w:r>
              <w:rPr>
                <w:rFonts w:hint="eastAsia" w:ascii="宋体" w:hAnsi="宋体"/>
                <w:color w:val="000000"/>
                <w:szCs w:val="21"/>
              </w:rPr>
              <w:t>条/3年</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3</w:t>
            </w:r>
          </w:p>
        </w:tc>
      </w:tr>
      <w:tr>
        <w:tblPrEx>
          <w:tblCellMar>
            <w:top w:w="0" w:type="dxa"/>
            <w:left w:w="108" w:type="dxa"/>
            <w:bottom w:w="0" w:type="dxa"/>
            <w:right w:w="108" w:type="dxa"/>
          </w:tblCellMar>
        </w:tblPrEx>
        <w:trPr>
          <w:trHeight w:val="285" w:hRule="atLeast"/>
        </w:trPr>
        <w:tc>
          <w:tcPr>
            <w:tcW w:w="3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s="宋体"/>
                <w:color w:val="000000"/>
                <w:kern w:val="0"/>
                <w:szCs w:val="21"/>
                <w:lang w:bidi="ar"/>
              </w:rPr>
              <w:t>36</w:t>
            </w:r>
          </w:p>
        </w:tc>
        <w:tc>
          <w:tcPr>
            <w:tcW w:w="7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vpn链路</w:t>
            </w:r>
          </w:p>
        </w:tc>
        <w:tc>
          <w:tcPr>
            <w:tcW w:w="312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1000m</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ind w:left="-105" w:leftChars="-50" w:right="-105" w:rightChars="-50"/>
              <w:jc w:val="center"/>
              <w:textAlignment w:val="center"/>
              <w:rPr>
                <w:rFonts w:ascii="宋体" w:hAnsi="宋体"/>
                <w:color w:val="000000"/>
                <w:szCs w:val="21"/>
              </w:rPr>
            </w:pPr>
            <w:r>
              <w:rPr>
                <w:rFonts w:hint="eastAsia" w:ascii="宋体" w:hAnsi="宋体"/>
                <w:color w:val="000000"/>
                <w:szCs w:val="21"/>
              </w:rPr>
              <w:t>条/3年</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olor w:val="000000"/>
                <w:szCs w:val="21"/>
              </w:rPr>
            </w:pPr>
            <w:r>
              <w:rPr>
                <w:rFonts w:hint="eastAsia" w:ascii="宋体" w:hAnsi="宋体"/>
                <w:b/>
                <w:bCs/>
                <w:szCs w:val="21"/>
              </w:rPr>
              <w:t>化工园区软件部分</w:t>
            </w:r>
          </w:p>
        </w:tc>
      </w:tr>
      <w:tr>
        <w:tblPrEx>
          <w:tblCellMar>
            <w:top w:w="0" w:type="dxa"/>
            <w:left w:w="108" w:type="dxa"/>
            <w:bottom w:w="0" w:type="dxa"/>
            <w:right w:w="108" w:type="dxa"/>
          </w:tblCellMar>
        </w:tblPrEx>
        <w:trPr>
          <w:trHeight w:val="960" w:hRule="atLeast"/>
        </w:trPr>
        <w:tc>
          <w:tcPr>
            <w:tcW w:w="36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000000"/>
                <w:szCs w:val="21"/>
              </w:rPr>
            </w:pPr>
            <w:r>
              <w:rPr>
                <w:rFonts w:hint="eastAsia" w:ascii="宋体" w:hAnsi="宋体"/>
                <w:color w:val="000000"/>
                <w:szCs w:val="21"/>
              </w:rPr>
              <w:t>1</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Cs w:val="21"/>
              </w:rPr>
            </w:pPr>
            <w:r>
              <w:rPr>
                <w:rFonts w:hint="eastAsia" w:ascii="宋体" w:hAnsi="宋体"/>
                <w:color w:val="000000"/>
                <w:szCs w:val="21"/>
              </w:rPr>
              <w:t>化工安全大脑驾驶仓</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olor w:val="000000"/>
                <w:szCs w:val="21"/>
              </w:rPr>
            </w:pPr>
            <w:r>
              <w:rPr>
                <w:rFonts w:hint="eastAsia" w:ascii="宋体" w:hAnsi="宋体"/>
                <w:color w:val="000000"/>
                <w:szCs w:val="21"/>
              </w:rPr>
              <w:t>平台需要包含化工园区建设主要功能模块，如：</w:t>
            </w:r>
          </w:p>
          <w:p>
            <w:pPr>
              <w:widowControl/>
              <w:textAlignment w:val="center"/>
              <w:rPr>
                <w:rFonts w:hint="eastAsia" w:ascii="宋体" w:hAnsi="宋体"/>
                <w:color w:val="000000"/>
                <w:szCs w:val="21"/>
              </w:rPr>
            </w:pPr>
            <w:r>
              <w:rPr>
                <w:rFonts w:hint="eastAsia" w:ascii="宋体" w:hAnsi="宋体"/>
                <w:color w:val="000000"/>
                <w:szCs w:val="21"/>
              </w:rPr>
              <w:t>1、安全基础管理；2、重大危险源安全管理；3、双重预防机制；4、特殊作业管理；5、封闭化管理；6、敏捷应急；7、基础管理（视频监控、3D/2D和GIS可视化地图显示）；</w:t>
            </w:r>
          </w:p>
          <w:p>
            <w:pPr>
              <w:widowControl/>
              <w:textAlignment w:val="center"/>
              <w:rPr>
                <w:rFonts w:ascii="宋体" w:hAnsi="宋体"/>
                <w:color w:val="000000"/>
                <w:szCs w:val="21"/>
              </w:rPr>
            </w:pPr>
            <w:r>
              <w:rPr>
                <w:rFonts w:hint="eastAsia" w:ascii="宋体" w:hAnsi="宋体"/>
                <w:color w:val="000000"/>
                <w:szCs w:val="21"/>
              </w:rPr>
              <w:t>8、智能监测预警。</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项</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416" w:hRule="atLeast"/>
        </w:trPr>
        <w:tc>
          <w:tcPr>
            <w:tcW w:w="36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黑体"/>
                <w:color w:val="000000"/>
                <w:szCs w:val="21"/>
              </w:rPr>
            </w:pPr>
            <w:r>
              <w:rPr>
                <w:rFonts w:hint="eastAsia" w:ascii="宋体" w:hAnsi="宋体" w:cs="黑体"/>
                <w:color w:val="000000"/>
                <w:kern w:val="0"/>
                <w:szCs w:val="21"/>
                <w:lang w:bidi="ar"/>
              </w:rPr>
              <w:t>2</w:t>
            </w:r>
          </w:p>
        </w:tc>
        <w:tc>
          <w:tcPr>
            <w:tcW w:w="7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园区安全管理系统</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olor w:val="000000"/>
                <w:szCs w:val="21"/>
              </w:rPr>
            </w:pPr>
            <w:r>
              <w:rPr>
                <w:rFonts w:hint="eastAsia" w:ascii="宋体" w:hAnsi="宋体"/>
                <w:color w:val="000000"/>
                <w:szCs w:val="21"/>
              </w:rPr>
              <w:t>园区基础信息管理</w:t>
            </w:r>
          </w:p>
          <w:p>
            <w:pPr>
              <w:widowControl/>
              <w:textAlignment w:val="center"/>
              <w:rPr>
                <w:rFonts w:hint="eastAsia" w:ascii="宋体" w:hAnsi="宋体"/>
                <w:color w:val="000000"/>
                <w:szCs w:val="21"/>
              </w:rPr>
            </w:pPr>
            <w:r>
              <w:rPr>
                <w:rFonts w:hint="eastAsia" w:ascii="宋体" w:hAnsi="宋体"/>
                <w:color w:val="000000"/>
                <w:szCs w:val="21"/>
              </w:rPr>
              <w:t>建立园区基础信息库，包含但不限于园区规划、园区安全管理体系、“禁限控”目录、园区内化工企业基本情况以及“两重点一重大”、从业人员、值班值守等信息。支持信息维护和快速查询，以及相关数据多维度统计分析和可视化展示。</w:t>
            </w:r>
          </w:p>
          <w:p>
            <w:pPr>
              <w:widowControl/>
              <w:textAlignment w:val="center"/>
              <w:rPr>
                <w:rFonts w:hint="eastAsia" w:ascii="宋体" w:hAnsi="宋体"/>
                <w:color w:val="000000"/>
                <w:szCs w:val="21"/>
              </w:rPr>
            </w:pPr>
            <w:r>
              <w:rPr>
                <w:rFonts w:hint="eastAsia" w:ascii="宋体" w:hAnsi="宋体"/>
                <w:color w:val="000000"/>
                <w:szCs w:val="21"/>
              </w:rPr>
              <w:t>安全生产行政许可管理</w:t>
            </w:r>
          </w:p>
          <w:p>
            <w:pPr>
              <w:widowControl/>
              <w:textAlignment w:val="center"/>
              <w:rPr>
                <w:rFonts w:hint="eastAsia" w:ascii="宋体" w:hAnsi="宋体"/>
                <w:color w:val="000000"/>
                <w:szCs w:val="21"/>
              </w:rPr>
            </w:pPr>
            <w:r>
              <w:rPr>
                <w:rFonts w:hint="eastAsia" w:ascii="宋体" w:hAnsi="宋体"/>
                <w:color w:val="000000"/>
                <w:szCs w:val="21"/>
              </w:rPr>
              <w:t>实现危险化学品建设项目“三同时”和安全生产许可相关证照材料线上提报、审核、查阅等全流程监管功能。支持危险化学品建设项目“三同时”管理流程和安全生产许可流程灵活配置，以及建设项目按类别、“三同时”阶段、许可证类型等多维度统计分析和可视化展示</w:t>
            </w:r>
          </w:p>
          <w:p>
            <w:pPr>
              <w:widowControl/>
              <w:textAlignment w:val="center"/>
              <w:rPr>
                <w:rFonts w:hint="eastAsia" w:ascii="宋体" w:hAnsi="宋体"/>
                <w:color w:val="000000"/>
                <w:szCs w:val="21"/>
              </w:rPr>
            </w:pPr>
            <w:r>
              <w:rPr>
                <w:rFonts w:hint="eastAsia" w:ascii="宋体" w:hAnsi="宋体"/>
                <w:color w:val="000000"/>
                <w:szCs w:val="21"/>
              </w:rPr>
              <w:t>装置开停车和大检修管理</w:t>
            </w:r>
          </w:p>
          <w:p>
            <w:pPr>
              <w:widowControl/>
              <w:textAlignment w:val="center"/>
              <w:rPr>
                <w:rFonts w:hint="eastAsia" w:ascii="宋体" w:hAnsi="宋体"/>
                <w:color w:val="000000"/>
                <w:szCs w:val="21"/>
              </w:rPr>
            </w:pPr>
            <w:r>
              <w:rPr>
                <w:rFonts w:hint="eastAsia" w:ascii="宋体" w:hAnsi="宋体"/>
                <w:color w:val="000000"/>
                <w:szCs w:val="21"/>
              </w:rPr>
              <w:t>实现园区内企业装置设施（含重大危险源）开停车和大检修线上备案，备案内容包含但不限于装置开停车方案和时间、大检修方案和时间等。支持备案信息维护、查询，以及开停车、大检修数据等多维度统计分析和可视化展示</w:t>
            </w:r>
          </w:p>
          <w:p>
            <w:pPr>
              <w:widowControl/>
              <w:textAlignment w:val="center"/>
              <w:rPr>
                <w:rFonts w:hint="eastAsia" w:ascii="宋体" w:hAnsi="宋体"/>
                <w:color w:val="000000"/>
                <w:szCs w:val="21"/>
              </w:rPr>
            </w:pPr>
            <w:r>
              <w:rPr>
                <w:rFonts w:hint="eastAsia" w:ascii="宋体" w:hAnsi="宋体"/>
                <w:color w:val="000000"/>
                <w:szCs w:val="21"/>
              </w:rPr>
              <w:t>第三方单位管理</w:t>
            </w:r>
          </w:p>
          <w:p>
            <w:pPr>
              <w:widowControl/>
              <w:textAlignment w:val="center"/>
              <w:rPr>
                <w:rFonts w:ascii="宋体" w:hAnsi="宋体"/>
                <w:color w:val="000000"/>
                <w:szCs w:val="21"/>
              </w:rPr>
            </w:pPr>
            <w:r>
              <w:rPr>
                <w:rFonts w:hint="eastAsia" w:ascii="宋体" w:hAnsi="宋体"/>
                <w:color w:val="000000"/>
                <w:szCs w:val="21"/>
              </w:rPr>
              <w:t>建立入园第三方单位信息库，包括但不限于第三方单位基本信息、资质、安全教育培训记录、违规记录等，实现第三方单位诚信管理。支持信息维护、核验，诚信评价规则的在线配置，以及园区企业对有关信息的自主填报。</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项</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1920" w:hRule="atLeast"/>
        </w:trPr>
        <w:tc>
          <w:tcPr>
            <w:tcW w:w="36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黑体"/>
                <w:color w:val="000000"/>
                <w:szCs w:val="21"/>
              </w:rPr>
            </w:pPr>
            <w:r>
              <w:rPr>
                <w:rFonts w:hint="eastAsia" w:ascii="宋体" w:hAnsi="宋体" w:cs="黑体"/>
                <w:color w:val="000000"/>
                <w:kern w:val="0"/>
                <w:szCs w:val="21"/>
                <w:lang w:bidi="ar"/>
              </w:rPr>
              <w:t>3</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重大危险源安全管理</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olor w:val="000000"/>
                <w:szCs w:val="21"/>
              </w:rPr>
            </w:pPr>
            <w:r>
              <w:rPr>
                <w:rFonts w:hint="eastAsia" w:ascii="宋体" w:hAnsi="宋体"/>
                <w:color w:val="000000"/>
                <w:szCs w:val="21"/>
              </w:rPr>
              <w:t>重大危险源安全包保责任落实监督</w:t>
            </w:r>
          </w:p>
          <w:p>
            <w:pPr>
              <w:widowControl/>
              <w:textAlignment w:val="center"/>
              <w:rPr>
                <w:rFonts w:hint="eastAsia" w:ascii="宋体" w:hAnsi="宋体"/>
                <w:color w:val="000000"/>
                <w:szCs w:val="21"/>
              </w:rPr>
            </w:pPr>
            <w:r>
              <w:rPr>
                <w:rFonts w:hint="eastAsia" w:ascii="宋体" w:hAnsi="宋体"/>
                <w:color w:val="000000"/>
                <w:szCs w:val="21"/>
              </w:rPr>
              <w:t>实现重大危险源安全包保履职记录电子化、条目化，管理企业每一处重大危险源包保责任落实情况，支持维护重大危险源主要负责人、技术负责人和操作负责人信息，检查三级包保责任人安全包保履职情况，以及信息查询、多维度统计分析功能。</w:t>
            </w:r>
          </w:p>
          <w:p>
            <w:pPr>
              <w:widowControl/>
              <w:textAlignment w:val="center"/>
              <w:rPr>
                <w:rFonts w:hint="eastAsia" w:ascii="宋体" w:hAnsi="宋体"/>
                <w:color w:val="000000"/>
                <w:szCs w:val="21"/>
              </w:rPr>
            </w:pPr>
            <w:r>
              <w:rPr>
                <w:rFonts w:hint="eastAsia" w:ascii="宋体" w:hAnsi="宋体"/>
                <w:color w:val="000000"/>
                <w:szCs w:val="21"/>
              </w:rPr>
              <w:t>重大危险源企业分类监管</w:t>
            </w:r>
          </w:p>
          <w:p>
            <w:pPr>
              <w:widowControl/>
              <w:textAlignment w:val="center"/>
              <w:rPr>
                <w:rFonts w:ascii="宋体" w:hAnsi="宋体"/>
                <w:color w:val="000000"/>
                <w:szCs w:val="21"/>
              </w:rPr>
            </w:pPr>
            <w:r>
              <w:rPr>
                <w:rFonts w:hint="eastAsia" w:ascii="宋体" w:hAnsi="宋体"/>
                <w:color w:val="000000"/>
                <w:szCs w:val="21"/>
              </w:rPr>
              <w:t>贯通安全承诺公告、实时监测数据、安全包保责任人履职、“三录入”、评价/评估报告，基于危化品重大危险源企业安全管理现状综合评价体系，分为特别管控、重点关注和一般监管三类，实现对危化品重大危险源企业分类精准监管，支持基于GIS地图分类标注、多维度统计分析及可视化展示。</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项</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2640" w:hRule="atLeast"/>
        </w:trPr>
        <w:tc>
          <w:tcPr>
            <w:tcW w:w="36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黑体"/>
                <w:color w:val="000000"/>
                <w:szCs w:val="21"/>
              </w:rPr>
            </w:pPr>
            <w:r>
              <w:rPr>
                <w:rFonts w:hint="eastAsia" w:ascii="宋体" w:hAnsi="宋体" w:cs="黑体"/>
                <w:color w:val="000000"/>
                <w:kern w:val="0"/>
                <w:szCs w:val="21"/>
                <w:lang w:bidi="ar"/>
              </w:rPr>
              <w:t>4</w:t>
            </w:r>
          </w:p>
        </w:tc>
        <w:tc>
          <w:tcPr>
            <w:tcW w:w="7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双重预防机制</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olor w:val="000000"/>
                <w:szCs w:val="21"/>
              </w:rPr>
            </w:pPr>
            <w:r>
              <w:rPr>
                <w:rFonts w:hint="eastAsia" w:ascii="宋体" w:hAnsi="宋体"/>
                <w:color w:val="000000"/>
                <w:szCs w:val="21"/>
              </w:rPr>
              <w:t>1.可对接企业双重预防机制信息平台对接</w:t>
            </w:r>
          </w:p>
          <w:p>
            <w:pPr>
              <w:widowControl/>
              <w:textAlignment w:val="center"/>
              <w:rPr>
                <w:rFonts w:hint="eastAsia" w:ascii="宋体" w:hAnsi="宋体"/>
                <w:color w:val="000000"/>
                <w:szCs w:val="21"/>
              </w:rPr>
            </w:pPr>
            <w:r>
              <w:rPr>
                <w:rFonts w:hint="eastAsia" w:ascii="宋体" w:hAnsi="宋体"/>
                <w:color w:val="000000"/>
                <w:szCs w:val="21"/>
              </w:rPr>
              <w:t xml:space="preserve">  企业风险分析清单、排查任务及隐患治理情况进行管理，实现风险分级动态管控、隐患闭环管理、机制运行成效预警等功能。</w:t>
            </w:r>
          </w:p>
          <w:p>
            <w:pPr>
              <w:widowControl/>
              <w:textAlignment w:val="center"/>
              <w:rPr>
                <w:rFonts w:hint="eastAsia" w:ascii="宋体" w:hAnsi="宋体"/>
                <w:color w:val="000000"/>
                <w:szCs w:val="21"/>
              </w:rPr>
            </w:pPr>
            <w:r>
              <w:rPr>
                <w:rFonts w:hint="eastAsia" w:ascii="宋体" w:hAnsi="宋体"/>
                <w:color w:val="000000"/>
                <w:szCs w:val="21"/>
              </w:rPr>
              <w:t>2.隐患整改情况督办提醒</w:t>
            </w:r>
          </w:p>
          <w:p>
            <w:pPr>
              <w:widowControl/>
              <w:textAlignment w:val="center"/>
              <w:rPr>
                <w:rFonts w:hint="eastAsia" w:ascii="宋体" w:hAnsi="宋体"/>
                <w:color w:val="000000"/>
                <w:szCs w:val="21"/>
              </w:rPr>
            </w:pPr>
            <w:r>
              <w:rPr>
                <w:rFonts w:hint="eastAsia" w:ascii="宋体" w:hAnsi="宋体"/>
                <w:color w:val="000000"/>
                <w:szCs w:val="21"/>
              </w:rPr>
              <w:t xml:space="preserve">  实现对重大隐患线上督办、整改临期提醒及一般隐患超期警示功能，支持线上下发督办通知书、通过短信向有关人员发送提醒警示信息等功能，确保实现隐患闭环处置，以及不同行业、不同关键装置隐患多维度统计分析和可视化展示。</w:t>
            </w:r>
          </w:p>
          <w:p>
            <w:pPr>
              <w:widowControl/>
              <w:textAlignment w:val="center"/>
              <w:rPr>
                <w:rFonts w:hint="eastAsia" w:ascii="宋体" w:hAnsi="宋体"/>
                <w:color w:val="000000"/>
                <w:szCs w:val="21"/>
              </w:rPr>
            </w:pPr>
            <w:r>
              <w:rPr>
                <w:rFonts w:hint="eastAsia" w:ascii="宋体" w:hAnsi="宋体"/>
                <w:color w:val="000000"/>
                <w:szCs w:val="21"/>
              </w:rPr>
              <w:t>3.企业双重预防机制建设及运行效果抽查检查</w:t>
            </w:r>
          </w:p>
          <w:p>
            <w:pPr>
              <w:widowControl/>
              <w:textAlignment w:val="center"/>
              <w:rPr>
                <w:rFonts w:ascii="宋体" w:hAnsi="宋体"/>
                <w:color w:val="000000"/>
                <w:szCs w:val="21"/>
              </w:rPr>
            </w:pPr>
            <w:r>
              <w:rPr>
                <w:rFonts w:hint="eastAsia" w:ascii="宋体" w:hAnsi="宋体"/>
                <w:color w:val="000000"/>
                <w:szCs w:val="21"/>
              </w:rPr>
              <w:t xml:space="preserve">  实现对园区内企业双重预防机制运行效果线上线下相融合的监督检查，支持对单个企业风险分析完成率、排查任务完成率及隐患整改完成率的信息查询，对企业双重预防机制运行效果、隐患预警情况自动统计分析、原因分析，通过短信等方式定期推送给有关人员，为线下精准执法检查提供支撑。</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项</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416" w:hRule="atLeast"/>
        </w:trPr>
        <w:tc>
          <w:tcPr>
            <w:tcW w:w="36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黑体"/>
                <w:color w:val="000000"/>
                <w:szCs w:val="21"/>
              </w:rPr>
            </w:pPr>
            <w:r>
              <w:rPr>
                <w:rFonts w:hint="eastAsia" w:ascii="宋体" w:hAnsi="宋体" w:cs="黑体"/>
                <w:color w:val="000000"/>
                <w:kern w:val="0"/>
                <w:szCs w:val="21"/>
                <w:lang w:bidi="ar"/>
              </w:rPr>
              <w:t>5</w:t>
            </w:r>
          </w:p>
        </w:tc>
        <w:tc>
          <w:tcPr>
            <w:tcW w:w="7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特殊作业管理</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olor w:val="000000"/>
                <w:szCs w:val="21"/>
              </w:rPr>
            </w:pPr>
            <w:r>
              <w:rPr>
                <w:rFonts w:hint="eastAsia" w:ascii="宋体" w:hAnsi="宋体"/>
                <w:color w:val="000000"/>
                <w:szCs w:val="21"/>
              </w:rPr>
              <w:t>1.企业特殊作业报备</w:t>
            </w:r>
          </w:p>
          <w:p>
            <w:pPr>
              <w:widowControl/>
              <w:textAlignment w:val="center"/>
              <w:rPr>
                <w:rFonts w:hint="eastAsia" w:ascii="宋体" w:hAnsi="宋体"/>
                <w:color w:val="000000"/>
                <w:szCs w:val="21"/>
              </w:rPr>
            </w:pPr>
            <w:r>
              <w:rPr>
                <w:rFonts w:hint="eastAsia" w:ascii="宋体" w:hAnsi="宋体"/>
                <w:color w:val="000000"/>
                <w:szCs w:val="21"/>
              </w:rPr>
              <w:t>实现企业特殊作业报备，报备数据包括但不限于作业属地单位、作业类型、作业内容、作业时间等，支持报备信息的维护、查询和统计。</w:t>
            </w:r>
          </w:p>
          <w:p>
            <w:pPr>
              <w:widowControl/>
              <w:textAlignment w:val="center"/>
              <w:rPr>
                <w:rFonts w:hint="eastAsia" w:ascii="宋体" w:hAnsi="宋体"/>
                <w:color w:val="000000"/>
                <w:szCs w:val="21"/>
              </w:rPr>
            </w:pPr>
            <w:r>
              <w:rPr>
                <w:rFonts w:hint="eastAsia" w:ascii="宋体" w:hAnsi="宋体"/>
                <w:color w:val="000000"/>
                <w:szCs w:val="21"/>
              </w:rPr>
              <w:t>2.特殊作业票证统计分析</w:t>
            </w:r>
          </w:p>
          <w:p>
            <w:pPr>
              <w:widowControl/>
              <w:textAlignment w:val="center"/>
              <w:rPr>
                <w:rFonts w:hint="eastAsia" w:ascii="宋体" w:hAnsi="宋体"/>
                <w:color w:val="000000"/>
                <w:szCs w:val="21"/>
              </w:rPr>
            </w:pPr>
            <w:r>
              <w:rPr>
                <w:rFonts w:hint="eastAsia" w:ascii="宋体" w:hAnsi="宋体"/>
                <w:color w:val="000000"/>
                <w:szCs w:val="21"/>
              </w:rPr>
              <w:t>实现与园区内企业电子作业许可系统的结构化数据对接，支持园区内特殊作业按不同企业、不同时间、不同作业类型等多维度进行统计分析，以及特殊作业信息在园区电子地图上实时显示和快速查询。</w:t>
            </w:r>
          </w:p>
          <w:p>
            <w:pPr>
              <w:widowControl/>
              <w:textAlignment w:val="center"/>
              <w:rPr>
                <w:rFonts w:hint="eastAsia" w:ascii="宋体" w:hAnsi="宋体"/>
                <w:color w:val="000000"/>
                <w:szCs w:val="21"/>
              </w:rPr>
            </w:pPr>
            <w:r>
              <w:rPr>
                <w:rFonts w:hint="eastAsia" w:ascii="宋体" w:hAnsi="宋体"/>
                <w:color w:val="000000"/>
                <w:szCs w:val="21"/>
              </w:rPr>
              <w:t>3.特殊作业在线抽查检查</w:t>
            </w:r>
          </w:p>
          <w:p>
            <w:pPr>
              <w:widowControl/>
              <w:textAlignment w:val="center"/>
              <w:rPr>
                <w:rFonts w:ascii="宋体" w:hAnsi="宋体"/>
                <w:color w:val="000000"/>
                <w:szCs w:val="21"/>
              </w:rPr>
            </w:pPr>
            <w:r>
              <w:rPr>
                <w:rFonts w:hint="eastAsia" w:ascii="宋体" w:hAnsi="宋体"/>
                <w:color w:val="000000"/>
                <w:szCs w:val="21"/>
              </w:rPr>
              <w:t>实现在线抽查检查企业的特殊作业情况，支持与应急管理部特种作业操作证及安全生产知识和管理能力考核合格信息查询平台互通，以及企业现场摄像头、现场气体传感器等设备的调阅。</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项</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800" w:hRule="atLeast"/>
        </w:trPr>
        <w:tc>
          <w:tcPr>
            <w:tcW w:w="36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黑体"/>
                <w:color w:val="000000"/>
                <w:szCs w:val="21"/>
              </w:rPr>
            </w:pPr>
            <w:r>
              <w:rPr>
                <w:rFonts w:hint="eastAsia" w:ascii="宋体" w:hAnsi="宋体" w:cs="黑体"/>
                <w:color w:val="000000"/>
                <w:kern w:val="0"/>
                <w:szCs w:val="21"/>
                <w:lang w:bidi="ar"/>
              </w:rPr>
              <w:t>6</w:t>
            </w:r>
          </w:p>
        </w:tc>
        <w:tc>
          <w:tcPr>
            <w:tcW w:w="7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物联设备监管系统</w:t>
            </w:r>
          </w:p>
        </w:tc>
        <w:tc>
          <w:tcPr>
            <w:tcW w:w="3128" w:type="pct"/>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ascii="宋体" w:hAnsi="宋体"/>
                <w:color w:val="000000"/>
                <w:szCs w:val="21"/>
              </w:rPr>
            </w:pPr>
            <w:r>
              <w:rPr>
                <w:rFonts w:hint="eastAsia" w:ascii="宋体" w:hAnsi="宋体"/>
                <w:color w:val="000000"/>
                <w:szCs w:val="21"/>
              </w:rPr>
              <w:t>支持AR高空鹰眼、门禁/卡口管理：部署门禁/卡口管理系统,实现对人、车、物进出园管控，支持门禁/卡口视频监控、人脸和车牌智能识别、定位设备登记/发放/返还、自动放行、车道控制等。</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项</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1560" w:hRule="atLeast"/>
        </w:trPr>
        <w:tc>
          <w:tcPr>
            <w:tcW w:w="36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黑体"/>
                <w:color w:val="000000"/>
                <w:szCs w:val="21"/>
              </w:rPr>
            </w:pPr>
            <w:r>
              <w:rPr>
                <w:rFonts w:hint="eastAsia" w:ascii="宋体" w:hAnsi="宋体" w:cs="黑体"/>
                <w:color w:val="000000"/>
                <w:kern w:val="0"/>
                <w:szCs w:val="21"/>
                <w:lang w:bidi="ar"/>
              </w:rPr>
              <w:t>7</w:t>
            </w:r>
          </w:p>
        </w:tc>
        <w:tc>
          <w:tcPr>
            <w:tcW w:w="7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园区准入登记系统</w:t>
            </w:r>
          </w:p>
        </w:tc>
        <w:tc>
          <w:tcPr>
            <w:tcW w:w="3128" w:type="pct"/>
            <w:tcBorders>
              <w:top w:val="single" w:color="auto" w:sz="4" w:space="0"/>
              <w:left w:val="single" w:color="000000" w:sz="4" w:space="0"/>
              <w:bottom w:val="nil"/>
              <w:right w:val="single" w:color="000000" w:sz="4" w:space="0"/>
            </w:tcBorders>
            <w:noWrap w:val="0"/>
            <w:vAlign w:val="center"/>
          </w:tcPr>
          <w:p>
            <w:pPr>
              <w:widowControl/>
              <w:textAlignment w:val="center"/>
              <w:rPr>
                <w:rFonts w:ascii="宋体" w:hAnsi="宋体"/>
                <w:color w:val="000000"/>
                <w:szCs w:val="21"/>
              </w:rPr>
            </w:pPr>
            <w:r>
              <w:rPr>
                <w:rFonts w:hint="eastAsia" w:ascii="宋体" w:hAnsi="宋体"/>
                <w:color w:val="000000"/>
                <w:szCs w:val="21"/>
              </w:rPr>
              <w:t>采用手机入园登记方案 涉及系统功能包括：企业信息、企业人员账号、访客预约、访客账号、访客信息、访问事由、车辆信息、货物信息、来访记录，可设置围栏越界报警、车辆轨迹、违规报警、违规统计（非法进入危险区域、车辆超速、车辆违停）、实时位置、实时视频监控、黑名单管理（可设置人、车黑名单 限制预约、入园），进行综合管理和联网报警，分别向政府或园区管理人员进行报警提醒。根据东阳交通局智慧交通指挥应用系统，对接危险化学品车辆行驶路线，实现车辆跟踪，对入园区未登记车辆进行识别报警，通知园区管委会进行处置。</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项</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720" w:hRule="atLeast"/>
        </w:trPr>
        <w:tc>
          <w:tcPr>
            <w:tcW w:w="36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黑体"/>
                <w:color w:val="000000"/>
                <w:szCs w:val="21"/>
              </w:rPr>
            </w:pPr>
            <w:r>
              <w:rPr>
                <w:rFonts w:hint="eastAsia" w:ascii="宋体" w:hAnsi="宋体" w:cs="黑体"/>
                <w:color w:val="000000"/>
                <w:kern w:val="0"/>
                <w:szCs w:val="21"/>
                <w:lang w:bidi="ar"/>
              </w:rPr>
              <w:t>8</w:t>
            </w:r>
          </w:p>
        </w:tc>
        <w:tc>
          <w:tcPr>
            <w:tcW w:w="7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车辆管理系统</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olor w:val="000000"/>
                <w:szCs w:val="21"/>
              </w:rPr>
            </w:pPr>
            <w:r>
              <w:rPr>
                <w:rFonts w:hint="eastAsia" w:ascii="宋体" w:hAnsi="宋体"/>
                <w:color w:val="000000"/>
                <w:szCs w:val="21"/>
              </w:rPr>
              <w:t>基于危化品运输车辆实时定位数据和园区重点区域电子围栏，掌握园区内危化品运输车辆的位置、行驶路线等实时动态，借助视频智能分析和车辆定位数据，智能识别危化品运输车辆超速、违停、不按车道不按时段通行等不安全行为。支持轨迹回放、不安全驾驶行为报警、车辆运行数据统计等功能。</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项</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480" w:hRule="atLeast"/>
        </w:trPr>
        <w:tc>
          <w:tcPr>
            <w:tcW w:w="36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黑体"/>
                <w:color w:val="000000"/>
                <w:szCs w:val="21"/>
              </w:rPr>
            </w:pPr>
            <w:r>
              <w:rPr>
                <w:rFonts w:hint="eastAsia" w:ascii="宋体" w:hAnsi="宋体" w:cs="黑体"/>
                <w:color w:val="000000"/>
                <w:kern w:val="0"/>
                <w:szCs w:val="21"/>
                <w:lang w:bidi="ar"/>
              </w:rPr>
              <w:t>9</w:t>
            </w:r>
          </w:p>
        </w:tc>
        <w:tc>
          <w:tcPr>
            <w:tcW w:w="7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人员分布管理系统</w:t>
            </w:r>
          </w:p>
        </w:tc>
        <w:tc>
          <w:tcPr>
            <w:tcW w:w="3128"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olor w:val="000000"/>
                <w:szCs w:val="21"/>
              </w:rPr>
            </w:pPr>
            <w:r>
              <w:rPr>
                <w:rFonts w:hint="eastAsia" w:ascii="宋体" w:hAnsi="宋体"/>
                <w:color w:val="000000"/>
                <w:szCs w:val="21"/>
              </w:rPr>
              <w:t>接入企业生产区域人员定位分布信息，结合卡口/门禁系统数据，准确显示园区人员分布动态，支持查询展示特定人员实时位置和历史轨迹；支持园区内人员分布异常情况的报警提示、统计分析、视频联动及可视化展示。</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项</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371" w:hRule="atLeast"/>
        </w:trPr>
        <w:tc>
          <w:tcPr>
            <w:tcW w:w="36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黑体"/>
                <w:color w:val="000000"/>
                <w:szCs w:val="21"/>
              </w:rPr>
            </w:pPr>
            <w:r>
              <w:rPr>
                <w:rFonts w:hint="eastAsia" w:ascii="宋体" w:hAnsi="宋体" w:cs="黑体"/>
                <w:color w:val="000000"/>
                <w:kern w:val="0"/>
                <w:szCs w:val="21"/>
                <w:lang w:bidi="ar"/>
              </w:rPr>
              <w:t>10</w:t>
            </w:r>
          </w:p>
        </w:tc>
        <w:tc>
          <w:tcPr>
            <w:tcW w:w="792"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事故灾害模型</w:t>
            </w:r>
          </w:p>
        </w:tc>
        <w:tc>
          <w:tcPr>
            <w:tcW w:w="3128" w:type="pct"/>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ascii="宋体" w:hAnsi="宋体"/>
                <w:color w:val="000000"/>
                <w:szCs w:val="21"/>
              </w:rPr>
            </w:pPr>
            <w:r>
              <w:rPr>
                <w:rFonts w:hint="eastAsia" w:ascii="宋体" w:hAnsi="宋体"/>
                <w:color w:val="000000"/>
                <w:szCs w:val="21"/>
              </w:rPr>
              <w:t>孪生（泄漏气体扩散模型）按时间扩散范围 雷达图。</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项</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r>
        <w:tblPrEx>
          <w:tblCellMar>
            <w:top w:w="0" w:type="dxa"/>
            <w:left w:w="108" w:type="dxa"/>
            <w:bottom w:w="0" w:type="dxa"/>
            <w:right w:w="108" w:type="dxa"/>
          </w:tblCellMar>
        </w:tblPrEx>
        <w:trPr>
          <w:trHeight w:val="820" w:hRule="atLeast"/>
        </w:trPr>
        <w:tc>
          <w:tcPr>
            <w:tcW w:w="364"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宋体" w:hAnsi="宋体" w:cs="黑体"/>
                <w:color w:val="000000"/>
                <w:szCs w:val="21"/>
              </w:rPr>
            </w:pPr>
            <w:r>
              <w:rPr>
                <w:rFonts w:hint="eastAsia" w:ascii="宋体" w:hAnsi="宋体" w:cs="黑体"/>
                <w:color w:val="000000"/>
                <w:kern w:val="0"/>
                <w:szCs w:val="21"/>
                <w:lang w:bidi="ar"/>
              </w:rPr>
              <w:t>11</w:t>
            </w:r>
          </w:p>
        </w:tc>
        <w:tc>
          <w:tcPr>
            <w:tcW w:w="792" w:type="pct"/>
            <w:tcBorders>
              <w:top w:val="single" w:color="auto" w:sz="4" w:space="0"/>
              <w:left w:val="single" w:color="auto" w:sz="4" w:space="0"/>
              <w:bottom w:val="single" w:color="auto"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园区指挥分中心驾驶仓</w:t>
            </w:r>
          </w:p>
        </w:tc>
        <w:tc>
          <w:tcPr>
            <w:tcW w:w="3128" w:type="pct"/>
            <w:tcBorders>
              <w:top w:val="single" w:color="auto" w:sz="4" w:space="0"/>
              <w:left w:val="single" w:color="000000" w:sz="4" w:space="0"/>
              <w:bottom w:val="single" w:color="auto" w:sz="4" w:space="0"/>
              <w:right w:val="single" w:color="auto" w:sz="4" w:space="0"/>
            </w:tcBorders>
            <w:noWrap w:val="0"/>
            <w:vAlign w:val="center"/>
          </w:tcPr>
          <w:p>
            <w:pPr>
              <w:widowControl/>
              <w:textAlignment w:val="center"/>
              <w:rPr>
                <w:rFonts w:ascii="宋体" w:hAnsi="宋体"/>
                <w:color w:val="000000"/>
                <w:szCs w:val="21"/>
              </w:rPr>
            </w:pPr>
            <w:r>
              <w:rPr>
                <w:rFonts w:hint="eastAsia" w:ascii="宋体" w:hAnsi="宋体"/>
                <w:color w:val="000000"/>
                <w:szCs w:val="21"/>
              </w:rPr>
              <w:t>根据分中心功能，设计分中心驾驶仓，主要内容包括：园区、企业值班值守情况、重大危险源情况、特殊作业情况、园区企业隐患排查情况、风险动态变化、智设备报警情况，园区卡口及企业重大危险源监控、值班室监控等信息。</w:t>
            </w:r>
          </w:p>
        </w:tc>
        <w:tc>
          <w:tcPr>
            <w:tcW w:w="375"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项</w:t>
            </w:r>
          </w:p>
        </w:tc>
        <w:tc>
          <w:tcPr>
            <w:tcW w:w="338"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olor w:val="000000"/>
                <w:szCs w:val="21"/>
              </w:rPr>
            </w:pPr>
            <w:r>
              <w:rPr>
                <w:rFonts w:hint="eastAsia" w:ascii="宋体" w:hAnsi="宋体"/>
                <w:color w:val="000000"/>
                <w:szCs w:val="21"/>
              </w:rPr>
              <w:t>1</w:t>
            </w:r>
          </w:p>
        </w:tc>
      </w:tr>
    </w:tbl>
    <w:p>
      <w:pPr>
        <w:adjustRightInd w:val="0"/>
        <w:spacing w:line="336" w:lineRule="auto"/>
        <w:outlineLvl w:val="1"/>
        <w:rPr>
          <w:rFonts w:ascii="宋体" w:hAnsi="宋体"/>
          <w:sz w:val="24"/>
        </w:rPr>
      </w:pPr>
      <w:bookmarkStart w:id="3" w:name="_Toc21051"/>
      <w:r>
        <w:rPr>
          <w:rFonts w:hint="eastAsia" w:ascii="宋体" w:hAnsi="宋体"/>
          <w:b/>
          <w:bCs/>
          <w:sz w:val="24"/>
        </w:rPr>
        <w:t>二、商务要求</w:t>
      </w:r>
      <w:bookmarkEnd w:id="3"/>
    </w:p>
    <w:p>
      <w:pPr>
        <w:adjustRightInd w:val="0"/>
        <w:spacing w:line="360" w:lineRule="auto"/>
        <w:ind w:firstLine="472" w:firstLineChars="196"/>
        <w:rPr>
          <w:rFonts w:ascii="宋体" w:hAnsi="宋体" w:cs="宋体"/>
          <w:b/>
          <w:bCs/>
          <w:kern w:val="0"/>
          <w:sz w:val="24"/>
        </w:rPr>
      </w:pPr>
      <w:r>
        <w:rPr>
          <w:rFonts w:hint="eastAsia" w:ascii="宋体" w:hAnsi="宋体" w:cs="宋体"/>
          <w:b/>
          <w:bCs/>
          <w:kern w:val="0"/>
          <w:sz w:val="24"/>
        </w:rPr>
        <w:t>1、项目投标报价要求</w:t>
      </w:r>
    </w:p>
    <w:p>
      <w:pPr>
        <w:adjustRightInd w:val="0"/>
        <w:spacing w:line="360" w:lineRule="auto"/>
        <w:ind w:firstLine="482" w:firstLineChars="200"/>
        <w:rPr>
          <w:rFonts w:ascii="宋体" w:hAnsi="宋体"/>
          <w:sz w:val="24"/>
        </w:rPr>
      </w:pPr>
      <w:r>
        <w:rPr>
          <w:rFonts w:hint="eastAsia" w:ascii="宋体" w:hAnsi="宋体"/>
          <w:b/>
          <w:sz w:val="24"/>
        </w:rPr>
        <w:t>（1）</w:t>
      </w:r>
      <w:r>
        <w:rPr>
          <w:rFonts w:hint="eastAsia" w:ascii="宋体" w:hAnsi="宋体"/>
          <w:sz w:val="24"/>
        </w:rPr>
        <w:t>投标报价包括</w:t>
      </w:r>
      <w:r>
        <w:rPr>
          <w:rFonts w:hint="eastAsia" w:ascii="宋体" w:hAnsi="宋体"/>
          <w:b/>
          <w:bCs/>
          <w:sz w:val="24"/>
        </w:rPr>
        <w:t>方案设计、产品购置费、运输费、培训费、安装调试费、技术支持、质保期内的服务费和税金、委托专家验收等所有费用</w:t>
      </w:r>
      <w:r>
        <w:rPr>
          <w:rFonts w:hint="eastAsia" w:ascii="宋体" w:hAnsi="宋体"/>
          <w:sz w:val="24"/>
        </w:rPr>
        <w:t>。投标人所投报的投标报价为投标人所能承受的整个项目的一次性最终最低报价，如有漏项，视同已包含在其它项目中，合同总价和单价不作调整。</w:t>
      </w:r>
    </w:p>
    <w:p>
      <w:pPr>
        <w:spacing w:line="360" w:lineRule="auto"/>
        <w:ind w:firstLine="482" w:firstLineChars="200"/>
        <w:rPr>
          <w:rFonts w:ascii="宋体" w:hAnsi="宋体"/>
          <w:sz w:val="24"/>
        </w:rPr>
      </w:pPr>
      <w:r>
        <w:rPr>
          <w:rFonts w:hint="eastAsia" w:ascii="宋体" w:hAnsi="宋体"/>
          <w:b/>
          <w:sz w:val="24"/>
        </w:rPr>
        <w:t>（2）</w:t>
      </w:r>
      <w:r>
        <w:rPr>
          <w:rFonts w:hint="eastAsia" w:ascii="宋体" w:hAnsi="宋体"/>
          <w:sz w:val="24"/>
        </w:rPr>
        <w:t>按国家规定由中标人缴纳的各种税收已包含在投标总价内，由中标人向税务机关缴纳。</w:t>
      </w:r>
    </w:p>
    <w:p>
      <w:pPr>
        <w:adjustRightInd w:val="0"/>
        <w:spacing w:line="360" w:lineRule="auto"/>
        <w:ind w:firstLine="472" w:firstLineChars="196"/>
        <w:rPr>
          <w:rFonts w:hint="eastAsia" w:ascii="宋体" w:hAnsi="宋体" w:cs="宋体"/>
          <w:b/>
          <w:bCs/>
          <w:kern w:val="0"/>
          <w:sz w:val="24"/>
        </w:rPr>
      </w:pPr>
      <w:r>
        <w:rPr>
          <w:rFonts w:hint="eastAsia" w:ascii="宋体" w:hAnsi="宋体" w:cs="宋体"/>
          <w:b/>
          <w:bCs/>
          <w:kern w:val="0"/>
          <w:sz w:val="24"/>
        </w:rPr>
        <w:t>2、工期及地点</w:t>
      </w:r>
    </w:p>
    <w:p>
      <w:pPr>
        <w:adjustRightInd w:val="0"/>
        <w:spacing w:line="360" w:lineRule="auto"/>
        <w:ind w:firstLine="480" w:firstLineChars="200"/>
        <w:rPr>
          <w:rFonts w:ascii="宋体" w:hAnsi="宋体"/>
          <w:color w:val="0000FF"/>
          <w:sz w:val="24"/>
          <w:highlight w:val="yellow"/>
        </w:rPr>
      </w:pPr>
      <w:r>
        <w:rPr>
          <w:rFonts w:hint="eastAsia" w:ascii="宋体" w:hAnsi="宋体"/>
          <w:sz w:val="24"/>
        </w:rPr>
        <w:t>（1）工期： 合同签订后</w:t>
      </w:r>
      <w:r>
        <w:rPr>
          <w:rFonts w:hint="eastAsia" w:ascii="宋体" w:hAnsi="宋体"/>
          <w:sz w:val="24"/>
          <w:u w:val="single"/>
        </w:rPr>
        <w:t xml:space="preserve"> </w:t>
      </w:r>
      <w:r>
        <w:rPr>
          <w:rFonts w:ascii="宋体" w:hAnsi="宋体"/>
          <w:sz w:val="24"/>
          <w:u w:val="single"/>
        </w:rPr>
        <w:t>30</w:t>
      </w:r>
      <w:r>
        <w:rPr>
          <w:rFonts w:hint="eastAsia" w:ascii="宋体" w:hAnsi="宋体"/>
          <w:sz w:val="24"/>
          <w:u w:val="single"/>
        </w:rPr>
        <w:t>日内</w:t>
      </w:r>
      <w:r>
        <w:rPr>
          <w:rFonts w:hint="eastAsia" w:ascii="宋体" w:hAnsi="宋体"/>
          <w:sz w:val="24"/>
        </w:rPr>
        <w:t xml:space="preserve">完成安装调试； </w:t>
      </w:r>
    </w:p>
    <w:p>
      <w:pPr>
        <w:adjustRightInd w:val="0"/>
        <w:spacing w:line="360" w:lineRule="auto"/>
        <w:ind w:firstLine="480" w:firstLineChars="200"/>
        <w:rPr>
          <w:rFonts w:ascii="宋体" w:hAnsi="宋体"/>
          <w:sz w:val="24"/>
        </w:rPr>
      </w:pPr>
      <w:r>
        <w:rPr>
          <w:rFonts w:hint="eastAsia" w:ascii="宋体" w:hAnsi="宋体"/>
          <w:sz w:val="24"/>
        </w:rPr>
        <w:t>（2）实施地点：安装地点为采购人指定地点。</w:t>
      </w:r>
    </w:p>
    <w:p>
      <w:pPr>
        <w:adjustRightInd w:val="0"/>
        <w:spacing w:line="360" w:lineRule="auto"/>
        <w:ind w:firstLine="480" w:firstLineChars="200"/>
        <w:rPr>
          <w:rFonts w:ascii="宋体" w:hAnsi="宋体"/>
          <w:sz w:val="24"/>
        </w:rPr>
      </w:pPr>
      <w:r>
        <w:rPr>
          <w:rFonts w:hint="eastAsia" w:ascii="宋体" w:hAnsi="宋体"/>
          <w:sz w:val="24"/>
        </w:rPr>
        <w:t>完成时间：按照进度要求完成安装和调试，如在规定的时间内由于卖方的原因不能完成实施，投标方应承担由此给用户造成的损失。</w:t>
      </w:r>
    </w:p>
    <w:p>
      <w:pPr>
        <w:adjustRightInd w:val="0"/>
        <w:spacing w:line="360" w:lineRule="auto"/>
        <w:ind w:firstLine="480" w:firstLineChars="200"/>
        <w:rPr>
          <w:rFonts w:ascii="宋体" w:hAnsi="宋体"/>
          <w:sz w:val="24"/>
        </w:rPr>
      </w:pPr>
      <w:r>
        <w:rPr>
          <w:rFonts w:hint="eastAsia" w:ascii="宋体" w:hAnsi="宋体"/>
          <w:sz w:val="24"/>
        </w:rPr>
        <w:t>实施标准：符合我国国家有关技术规范要求和技术标准。</w:t>
      </w:r>
    </w:p>
    <w:p>
      <w:pPr>
        <w:adjustRightInd w:val="0"/>
        <w:spacing w:line="360" w:lineRule="auto"/>
        <w:ind w:firstLine="480" w:firstLineChars="200"/>
        <w:rPr>
          <w:rFonts w:ascii="宋体" w:hAnsi="宋体"/>
          <w:sz w:val="24"/>
        </w:rPr>
      </w:pPr>
      <w:r>
        <w:rPr>
          <w:rFonts w:hint="eastAsia" w:ascii="宋体" w:hAnsi="宋体"/>
          <w:sz w:val="24"/>
        </w:rPr>
        <w:t>实施过程中发生的费用由投标方负责。</w:t>
      </w:r>
    </w:p>
    <w:p>
      <w:pPr>
        <w:adjustRightInd w:val="0"/>
        <w:spacing w:line="360" w:lineRule="auto"/>
        <w:ind w:firstLine="472" w:firstLineChars="196"/>
        <w:rPr>
          <w:rFonts w:hint="eastAsia" w:ascii="宋体" w:hAnsi="宋体" w:cs="宋体"/>
          <w:b/>
          <w:bCs/>
          <w:kern w:val="0"/>
          <w:sz w:val="24"/>
        </w:rPr>
      </w:pPr>
      <w:r>
        <w:rPr>
          <w:rFonts w:hint="eastAsia" w:ascii="宋体" w:hAnsi="宋体" w:cs="宋体"/>
          <w:b/>
          <w:bCs/>
          <w:kern w:val="0"/>
          <w:sz w:val="24"/>
        </w:rPr>
        <w:t>3、质保期（免费维修期）</w:t>
      </w:r>
    </w:p>
    <w:p>
      <w:pPr>
        <w:spacing w:line="336" w:lineRule="auto"/>
        <w:ind w:firstLine="482" w:firstLineChars="200"/>
        <w:rPr>
          <w:rFonts w:ascii="宋体" w:hAnsi="宋体"/>
          <w:bCs/>
          <w:sz w:val="24"/>
        </w:rPr>
      </w:pPr>
      <w:r>
        <w:rPr>
          <w:rFonts w:hint="eastAsia" w:ascii="宋体" w:hAnsi="宋体" w:cs="Arial"/>
          <w:b/>
          <w:bCs/>
          <w:sz w:val="24"/>
        </w:rPr>
        <w:t>质保期：保修期为3年。并能提供免费上门安装服务。</w:t>
      </w:r>
      <w:r>
        <w:rPr>
          <w:rFonts w:hint="eastAsia" w:ascii="宋体" w:hAnsi="宋体"/>
          <w:sz w:val="24"/>
        </w:rPr>
        <w:t>除非采购人另有要求，保修期内的服务均为免费上门服务。</w:t>
      </w:r>
    </w:p>
    <w:p>
      <w:pPr>
        <w:spacing w:line="360" w:lineRule="auto"/>
        <w:ind w:firstLine="482" w:firstLineChars="200"/>
        <w:rPr>
          <w:rFonts w:ascii="宋体" w:hAnsi="宋体"/>
          <w:sz w:val="24"/>
        </w:rPr>
      </w:pPr>
      <w:r>
        <w:rPr>
          <w:rFonts w:hint="eastAsia" w:ascii="宋体" w:hAnsi="宋体"/>
          <w:b/>
          <w:bCs/>
          <w:sz w:val="24"/>
          <w:u w:val="single"/>
        </w:rPr>
        <w:t>质保期内，与维修相关的所有费用由中标方负责</w:t>
      </w:r>
      <w:r>
        <w:rPr>
          <w:rFonts w:hint="eastAsia" w:ascii="宋体" w:hAnsi="宋体"/>
          <w:sz w:val="24"/>
        </w:rPr>
        <w:t>。</w:t>
      </w:r>
    </w:p>
    <w:p>
      <w:pPr>
        <w:spacing w:line="360" w:lineRule="auto"/>
        <w:ind w:firstLine="482" w:firstLineChars="200"/>
        <w:rPr>
          <w:rFonts w:hint="eastAsia" w:ascii="宋体" w:hAnsi="宋体"/>
          <w:b/>
          <w:bCs/>
          <w:sz w:val="24"/>
        </w:rPr>
      </w:pPr>
      <w:r>
        <w:rPr>
          <w:rFonts w:hint="eastAsia" w:ascii="宋体" w:hAnsi="宋体"/>
          <w:b/>
          <w:bCs/>
          <w:sz w:val="24"/>
        </w:rPr>
        <w:t>4、验收标准</w:t>
      </w:r>
    </w:p>
    <w:p>
      <w:pPr>
        <w:spacing w:line="360" w:lineRule="auto"/>
        <w:ind w:firstLine="480" w:firstLineChars="200"/>
        <w:rPr>
          <w:rFonts w:hint="eastAsia" w:ascii="宋体" w:hAnsi="宋体"/>
          <w:sz w:val="24"/>
        </w:rPr>
      </w:pPr>
      <w:r>
        <w:rPr>
          <w:rFonts w:hint="eastAsia" w:ascii="宋体" w:hAnsi="宋体"/>
          <w:sz w:val="24"/>
        </w:rPr>
        <w:t>根据中华人民共和国现行技术标准，按招标文件以及合同规定的验收评定标准等规范由用户组织验收。</w:t>
      </w:r>
    </w:p>
    <w:p>
      <w:pPr>
        <w:spacing w:line="360" w:lineRule="auto"/>
        <w:ind w:firstLine="480" w:firstLineChars="200"/>
        <w:rPr>
          <w:rFonts w:hint="eastAsia" w:ascii="宋体" w:hAnsi="宋体"/>
          <w:sz w:val="24"/>
        </w:rPr>
      </w:pPr>
      <w:r>
        <w:rPr>
          <w:rFonts w:hint="eastAsia" w:ascii="宋体" w:hAnsi="宋体"/>
          <w:sz w:val="24"/>
        </w:rPr>
        <w:t>用户对采购项目验收合格后，双方共同签署验收合格证书，验收中发现货物达不到验收标准或合同规定的性能指标，中标方必须免费更换，并且赔偿由此给用户造成的损失，直到验收合格为止。</w:t>
      </w:r>
    </w:p>
    <w:p>
      <w:pPr>
        <w:spacing w:line="360" w:lineRule="auto"/>
        <w:ind w:firstLine="482" w:firstLineChars="200"/>
        <w:rPr>
          <w:rFonts w:hint="eastAsia" w:ascii="宋体" w:hAnsi="宋体"/>
          <w:b/>
          <w:bCs/>
          <w:sz w:val="24"/>
        </w:rPr>
      </w:pPr>
      <w:r>
        <w:rPr>
          <w:rFonts w:hint="eastAsia" w:ascii="宋体" w:hAnsi="宋体"/>
          <w:b/>
          <w:bCs/>
          <w:sz w:val="24"/>
        </w:rPr>
        <w:t>5、技术培训</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供方须对需方的操作人员、技术人员进行免费培训。</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技术培训费用应包含在供货总价中。</w:t>
      </w:r>
    </w:p>
    <w:p>
      <w:pPr>
        <w:spacing w:line="360" w:lineRule="auto"/>
        <w:ind w:firstLine="480" w:firstLineChars="200"/>
        <w:rPr>
          <w:rFonts w:hint="eastAsia"/>
        </w:rPr>
      </w:pPr>
      <w:r>
        <w:rPr>
          <w:rFonts w:hint="eastAsia" w:ascii="宋体" w:hAnsi="宋体"/>
          <w:sz w:val="24"/>
        </w:rPr>
        <w:t>（3）</w:t>
      </w:r>
      <w:r>
        <w:rPr>
          <w:rFonts w:ascii="宋体" w:hAnsi="宋体"/>
          <w:sz w:val="24"/>
        </w:rPr>
        <w:t>供方负责对需方进行技术培训，包括对需方进行详尽的工作原理、操作使用、一般维护、常见故障排除等一系列的专业培训,并提供系统操作、维修手册及各类设备的说明书。</w:t>
      </w:r>
    </w:p>
    <w:p>
      <w:pPr>
        <w:pStyle w:val="29"/>
        <w:spacing w:line="360" w:lineRule="auto"/>
        <w:ind w:firstLine="482" w:firstLineChars="200"/>
        <w:rPr>
          <w:rFonts w:ascii="Times New Roman" w:hAnsi="Times New Roman" w:cs="Times New Roman"/>
          <w:b w:val="0"/>
          <w:bCs w:val="0"/>
          <w:color w:val="auto"/>
          <w:highlight w:val="none"/>
        </w:rPr>
      </w:pPr>
      <w:r>
        <w:rPr>
          <w:rFonts w:hint="eastAsia" w:ascii="宋体" w:cs="Times New Roman"/>
          <w:color w:val="auto"/>
          <w:highlight w:val="none"/>
        </w:rPr>
        <w:t>6、付款方式：</w:t>
      </w:r>
      <w:r>
        <w:rPr>
          <w:rFonts w:hint="eastAsia" w:ascii="Times New Roman" w:hAnsi="Times New Roman" w:cs="Times New Roman"/>
          <w:b w:val="0"/>
          <w:bCs w:val="0"/>
          <w:color w:val="auto"/>
          <w:highlight w:val="none"/>
        </w:rPr>
        <w:t>合同生效并在供应商提交规定凭证后7个工作日内由采购人支付合同金额的40%作为项目的预付款，在支付预付款之前是否要求中标单位提供金融机构出具的预付款保函由采购人自行决定并在合同中予以明确（预付款保函可以在政采云平台线上办理），设备安装验收合格并在供应商提交规定凭证后7个工作日内付清余款。第一次预付款凭预付款保函；第二次付款凭东阳市政府采购验收单、发票原件。</w:t>
      </w:r>
      <w:r>
        <w:rPr>
          <w:rFonts w:hint="eastAsia" w:ascii="Times New Roman" w:hAnsi="Times New Roman" w:cs="Times New Roman"/>
          <w:color w:val="auto"/>
          <w:highlight w:val="none"/>
        </w:rPr>
        <w:t>预付款支付完成后，采购人应将预付款支付凭证复印件或者电子版送金华市公共资源交易中心东阳分中心备案。</w:t>
      </w:r>
    </w:p>
    <w:p>
      <w:pPr>
        <w:pStyle w:val="27"/>
        <w:snapToGrid w:val="0"/>
        <w:spacing w:beforeLines="0" w:afterLines="0" w:line="336" w:lineRule="auto"/>
        <w:ind w:firstLine="482" w:firstLineChars="200"/>
        <w:rPr>
          <w:rFonts w:hint="eastAsia" w:hAnsi="宋体" w:cs="宋体"/>
          <w:b/>
          <w:highlight w:val="none"/>
        </w:rPr>
      </w:pPr>
      <w:r>
        <w:rPr>
          <w:rFonts w:hint="eastAsia" w:hAnsi="宋体" w:cs="宋体"/>
          <w:b/>
          <w:highlight w:val="none"/>
        </w:rPr>
        <w:t>7、知识产权</w:t>
      </w:r>
    </w:p>
    <w:p>
      <w:pPr>
        <w:pStyle w:val="27"/>
        <w:snapToGrid w:val="0"/>
        <w:spacing w:beforeLines="0" w:afterLines="0" w:line="336" w:lineRule="auto"/>
        <w:ind w:firstLine="456" w:firstLineChars="200"/>
        <w:rPr>
          <w:rFonts w:hint="eastAsia" w:hAnsi="宋体" w:cs="宋体"/>
          <w:bCs/>
          <w:spacing w:val="-6"/>
        </w:rPr>
      </w:pPr>
      <w:r>
        <w:rPr>
          <w:rFonts w:hint="eastAsia" w:hAnsi="宋体" w:cs="宋体"/>
          <w:spacing w:val="-6"/>
          <w:highlight w:val="none"/>
        </w:rPr>
        <w:t>投标供应商应保证所提供的货物或其任何一部分、服务、工程等均不会侵犯任何第三方的</w:t>
      </w:r>
      <w:r>
        <w:rPr>
          <w:rFonts w:hint="eastAsia" w:hAnsi="宋体" w:cs="宋体"/>
          <w:spacing w:val="-6"/>
        </w:rPr>
        <w:t>知识产权，如有侵权，侵权责任全部由投标人自行负责，采购人、交易中心不承担任何责任。</w:t>
      </w:r>
    </w:p>
    <w:p>
      <w:pPr>
        <w:rPr>
          <w:rFonts w:hint="eastAsia"/>
        </w:rPr>
      </w:pPr>
    </w:p>
    <w:p>
      <w:pPr>
        <w:pStyle w:val="22"/>
        <w:rPr>
          <w:rFonts w:hint="eastAsia"/>
        </w:rPr>
      </w:pPr>
    </w:p>
    <w:p>
      <w:pPr>
        <w:pStyle w:val="27"/>
        <w:snapToGrid w:val="0"/>
        <w:spacing w:before="120" w:after="120" w:line="336" w:lineRule="auto"/>
        <w:jc w:val="center"/>
        <w:outlineLvl w:val="0"/>
        <w:rPr>
          <w:rFonts w:hint="eastAsia" w:hAnsi="宋体" w:cs="宋体"/>
          <w:b/>
          <w:bCs/>
          <w:sz w:val="28"/>
          <w:szCs w:val="32"/>
        </w:rPr>
      </w:pPr>
      <w:r>
        <w:rPr>
          <w:rFonts w:hint="eastAsia" w:hAnsi="宋体" w:cs="宋体"/>
          <w:b/>
          <w:bCs/>
          <w:sz w:val="32"/>
          <w:szCs w:val="32"/>
        </w:rPr>
        <w:br w:type="page"/>
      </w:r>
      <w:r>
        <w:rPr>
          <w:rFonts w:hint="eastAsia" w:hAnsi="宋体" w:cs="宋体"/>
          <w:b/>
          <w:bCs/>
          <w:sz w:val="32"/>
          <w:szCs w:val="32"/>
        </w:rPr>
        <w:t>第三章  投标人须知</w:t>
      </w:r>
    </w:p>
    <w:p>
      <w:pPr>
        <w:snapToGrid w:val="0"/>
        <w:spacing w:before="120" w:beforeLines="50" w:after="120" w:afterLines="50" w:line="360" w:lineRule="auto"/>
        <w:ind w:left="238"/>
        <w:jc w:val="center"/>
        <w:outlineLvl w:val="1"/>
        <w:rPr>
          <w:rFonts w:hint="eastAsia" w:ascii="宋体" w:hAnsi="宋体" w:cs="宋体"/>
          <w:b/>
          <w:sz w:val="24"/>
        </w:rPr>
      </w:pPr>
      <w:r>
        <w:rPr>
          <w:rFonts w:hint="eastAsia" w:ascii="宋体" w:hAnsi="宋体" w:cs="宋体"/>
          <w:b/>
          <w:sz w:val="24"/>
        </w:rPr>
        <w:t>前附表</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5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ind w:left="-105" w:leftChars="-50" w:right="-105" w:rightChars="-50"/>
              <w:jc w:val="center"/>
              <w:rPr>
                <w:rFonts w:hint="eastAsia" w:ascii="宋体" w:hAnsi="宋体" w:cs="宋体"/>
                <w:sz w:val="24"/>
              </w:rPr>
            </w:pPr>
            <w:r>
              <w:rPr>
                <w:rFonts w:hint="eastAsia" w:ascii="宋体" w:hAnsi="宋体" w:cs="宋体"/>
                <w:sz w:val="24"/>
              </w:rPr>
              <w:t>序号</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ind w:left="1205" w:hanging="1205" w:hangingChars="500"/>
              <w:rPr>
                <w:rFonts w:hint="eastAsia" w:ascii="宋体" w:hAnsi="宋体" w:cs="宋体"/>
                <w:sz w:val="24"/>
              </w:rPr>
            </w:pPr>
            <w:r>
              <w:rPr>
                <w:rFonts w:hint="eastAsia" w:ascii="宋体" w:hAnsi="宋体" w:cs="宋体"/>
                <w:b/>
                <w:bCs/>
                <w:sz w:val="24"/>
              </w:rPr>
              <w:t>项目名称：</w:t>
            </w:r>
            <w:r>
              <w:rPr>
                <w:rFonts w:hint="eastAsia" w:ascii="宋体" w:hAnsi="宋体" w:cs="宋体"/>
                <w:sz w:val="24"/>
              </w:rPr>
              <w:t>东阳市六歌健康生物产业园信息化系统提升项目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2</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cs="宋体"/>
                <w:sz w:val="24"/>
              </w:rPr>
            </w:pPr>
            <w:r>
              <w:rPr>
                <w:rFonts w:hint="eastAsia" w:ascii="宋体" w:hAnsi="宋体" w:cs="宋体"/>
                <w:sz w:val="24"/>
              </w:rPr>
              <w:t>投标报价及费用：1、本项目投标应以人民币报价；2、不论投标结果如何，投标人均应自行承担所有与投标有关的全部费用；3、本项目免收代理服务费。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3</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ind w:firstLine="482" w:firstLineChars="200"/>
              <w:rPr>
                <w:rFonts w:hint="eastAsia" w:ascii="宋体" w:hAnsi="宋体" w:cs="宋体"/>
                <w:b/>
                <w:sz w:val="24"/>
                <w:highlight w:val="none"/>
              </w:rPr>
            </w:pPr>
            <w:r>
              <w:rPr>
                <w:rFonts w:hint="eastAsia" w:ascii="宋体" w:hAnsi="宋体" w:cs="宋体"/>
                <w:b/>
                <w:sz w:val="24"/>
                <w:highlight w:val="none"/>
              </w:rPr>
              <w:t xml:space="preserve">A、本标项不限，所有大中小微型企业均可参加投标。本项目接受中型企业与小微企业组成联合体投标，接受中型企业向一家或者多家小微企业分包。如果大型企业参加投标，则须采用下列B或C选项规定的方式投标。 </w:t>
            </w:r>
          </w:p>
          <w:p>
            <w:pPr>
              <w:ind w:firstLine="482" w:firstLineChars="200"/>
              <w:rPr>
                <w:rFonts w:hint="eastAsia" w:ascii="宋体" w:hAnsi="宋体" w:cs="Arial"/>
                <w:sz w:val="24"/>
                <w:highlight w:val="none"/>
              </w:rPr>
            </w:pPr>
            <w:r>
              <w:rPr>
                <w:rFonts w:hint="eastAsia" w:ascii="宋体" w:hAnsi="宋体" w:cs="宋体"/>
                <w:b/>
                <w:sz w:val="24"/>
                <w:highlight w:val="none"/>
              </w:rPr>
              <w:t>B、</w:t>
            </w:r>
            <w:r>
              <w:rPr>
                <w:rFonts w:ascii="宋体" w:hAnsi="宋体" w:cs="Arial"/>
                <w:b/>
                <w:bCs/>
                <w:sz w:val="24"/>
                <w:highlight w:val="none"/>
              </w:rPr>
              <w:sym w:font="Wingdings" w:char="00FE"/>
            </w:r>
            <w:r>
              <w:rPr>
                <w:rFonts w:hint="eastAsia" w:ascii="宋体" w:hAnsi="宋体" w:cs="Arial"/>
                <w:sz w:val="24"/>
                <w:highlight w:val="none"/>
              </w:rPr>
              <w:t>合同分包，提供分包意向协议和中小企业声明函，分包意向协议中中小微企业合同金额应当达到合同总金额的40% 及以上；如果供应商本身提供所有标的均由中小微企业制造、承建或承接，视同符合了资格条件，无需再向中小微企业分包，无需提供分包意向协议。</w:t>
            </w:r>
          </w:p>
          <w:p>
            <w:pPr>
              <w:ind w:firstLine="480" w:firstLineChars="200"/>
              <w:rPr>
                <w:rFonts w:hint="eastAsia" w:ascii="宋体" w:hAnsi="宋体" w:cs="Arial"/>
                <w:sz w:val="24"/>
                <w:highlight w:val="none"/>
              </w:rPr>
            </w:pPr>
            <w:r>
              <w:rPr>
                <w:rFonts w:hint="eastAsia" w:ascii="宋体" w:hAnsi="宋体" w:cs="Arial"/>
                <w:sz w:val="24"/>
                <w:highlight w:val="none"/>
              </w:rPr>
              <w:t>C、</w:t>
            </w:r>
            <w:r>
              <w:rPr>
                <w:rFonts w:hint="eastAsia" w:ascii="宋体" w:hAnsi="宋体" w:cs="Arial"/>
                <w:sz w:val="24"/>
                <w:highlight w:val="none"/>
              </w:rPr>
              <w:sym w:font="Wingdings" w:char="00FE"/>
            </w:r>
            <w:r>
              <w:rPr>
                <w:rFonts w:hint="eastAsia" w:ascii="宋体" w:hAnsi="宋体" w:cs="Arial"/>
                <w:sz w:val="24"/>
                <w:highlight w:val="none"/>
              </w:rPr>
              <w:t>以联合体形式参加，提供联合协议和中小企业声明函，联合协议中中小微企业合同金额应当达到40%及以上；如果供应商本身提供所有标的均由中小微企业制造、承建或承接，视同符合了资格条件，无需再与其他中小微企业组成联合体参加政府采购活动，无需提供联合协议；</w:t>
            </w:r>
          </w:p>
          <w:p>
            <w:pPr>
              <w:ind w:firstLine="480" w:firstLineChars="200"/>
              <w:rPr>
                <w:rFonts w:hint="eastAsia" w:ascii="宋体" w:hAnsi="宋体" w:cs="Arial"/>
                <w:sz w:val="24"/>
                <w:highlight w:val="none"/>
              </w:rPr>
            </w:pPr>
            <w:r>
              <w:rPr>
                <w:rFonts w:hint="eastAsia" w:ascii="宋体" w:hAnsi="宋体" w:cs="Arial"/>
                <w:sz w:val="24"/>
                <w:highlight w:val="none"/>
              </w:rPr>
              <w:t>D、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ind w:firstLine="480" w:firstLineChars="200"/>
              <w:rPr>
                <w:rFonts w:hint="eastAsia" w:ascii="宋体" w:hAnsi="宋体" w:cs="宋体"/>
                <w:b/>
                <w:sz w:val="24"/>
                <w:highlight w:val="none"/>
              </w:rPr>
            </w:pPr>
            <w:r>
              <w:rPr>
                <w:rFonts w:hint="eastAsia" w:ascii="宋体" w:hAnsi="宋体" w:cs="Arial"/>
                <w:sz w:val="24"/>
                <w:highlight w:val="none"/>
              </w:rPr>
              <w:t>E、中小企业享受扶持政策获得政府采购合同的，小微企业不得将合同分包给大中型企业，中型企业不得将合同分包给大型企业。组成联合体或者接受分包的中小微企业与联合体内其他大型企业、分包的大型企业之间存在直接控股、管理关系的，不享受《政府采购促进中小企业发展管理办法》规定的优惠政策。</w:t>
            </w:r>
          </w:p>
          <w:p>
            <w:pPr>
              <w:ind w:firstLine="482" w:firstLineChars="200"/>
              <w:rPr>
                <w:highlight w:val="none"/>
              </w:rPr>
            </w:pPr>
            <w:r>
              <w:rPr>
                <w:rFonts w:hint="eastAsia" w:ascii="宋体" w:hAnsi="宋体" w:cs="宋体"/>
                <w:b/>
                <w:sz w:val="24"/>
                <w:highlight w:val="none"/>
              </w:rPr>
              <w:t>（3）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4</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b/>
                <w:bCs/>
                <w:sz w:val="24"/>
                <w:highlight w:val="none"/>
              </w:rPr>
              <w:t>根据《中小企业划型标准规定的通知》（工信部联企业〔2011〕300号）规定，本项目采购标的所属行业：其他未列明行业（此项所属行业仅供中小企业政策扶持认定时使用）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5</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答疑与澄清：投标人如认为招标文件表述不清晰、存在歧视性、排他性或者其他违法内容的，应当</w:t>
            </w:r>
            <w:r>
              <w:rPr>
                <w:rFonts w:hint="eastAsia" w:ascii="宋体" w:hAnsi="宋体" w:cs="宋体"/>
                <w:sz w:val="24"/>
                <w:shd w:val="clear" w:color="auto" w:fill="FFFFFF"/>
              </w:rPr>
              <w:t>于</w:t>
            </w:r>
            <w:r>
              <w:rPr>
                <w:rFonts w:hint="eastAsia" w:ascii="宋体" w:hAnsi="宋体" w:cs="宋体"/>
                <w:b/>
                <w:bCs/>
                <w:sz w:val="24"/>
                <w:u w:val="single"/>
                <w:shd w:val="clear" w:color="auto" w:fill="FFFFFF"/>
              </w:rPr>
              <w:t>质疑期限届满之日</w:t>
            </w:r>
            <w:r>
              <w:rPr>
                <w:rFonts w:hint="eastAsia" w:ascii="宋体" w:hAnsi="宋体" w:cs="宋体"/>
                <w:sz w:val="24"/>
                <w:shd w:val="clear" w:color="auto" w:fill="FFFFFF"/>
              </w:rPr>
              <w:t>前，</w:t>
            </w:r>
            <w:r>
              <w:rPr>
                <w:rFonts w:hint="eastAsia" w:ascii="宋体" w:hAnsi="宋体" w:cs="宋体"/>
                <w:sz w:val="24"/>
              </w:rPr>
              <w:t>以书面形式要求招标采购单位作出书面解释、澄清或者向招标采购单位提出书面质疑（</w:t>
            </w:r>
            <w:r>
              <w:rPr>
                <w:rFonts w:hint="eastAsia" w:ascii="宋体" w:hAnsi="宋体" w:cs="宋体"/>
                <w:b/>
                <w:sz w:val="24"/>
              </w:rPr>
              <w:t>超过此规定时间的质疑函将不予受理）</w:t>
            </w:r>
            <w:r>
              <w:rPr>
                <w:rFonts w:hint="eastAsia" w:ascii="宋体" w:hAnsi="宋体" w:cs="宋体"/>
                <w:sz w:val="24"/>
              </w:rPr>
              <w:t>；招标采购单位将于</w:t>
            </w:r>
            <w:r>
              <w:rPr>
                <w:rFonts w:hint="eastAsia" w:ascii="宋体" w:hAnsi="宋体" w:cs="宋体"/>
                <w:b/>
                <w:bCs/>
                <w:sz w:val="24"/>
                <w:u w:val="single"/>
                <w:shd w:val="clear" w:color="auto" w:fill="FFFFFF"/>
              </w:rPr>
              <w:t>答疑期限届满之日</w:t>
            </w:r>
            <w:r>
              <w:rPr>
                <w:rFonts w:hint="eastAsia" w:ascii="宋体" w:hAnsi="宋体" w:cs="宋体"/>
                <w:b/>
                <w:bCs/>
                <w:sz w:val="24"/>
                <w:shd w:val="clear" w:color="auto" w:fill="FFFFFF"/>
              </w:rPr>
              <w:t>前</w:t>
            </w:r>
            <w:r>
              <w:rPr>
                <w:rFonts w:hint="eastAsia" w:ascii="宋体" w:hAnsi="宋体" w:cs="宋体"/>
                <w:sz w:val="24"/>
                <w:shd w:val="clear" w:color="auto" w:fill="FFFFFF"/>
              </w:rPr>
              <w:t>将答疑内容以传真或网上发布公告的形式通知所有已报名的投标人；答疑内容是招标</w:t>
            </w:r>
            <w:r>
              <w:rPr>
                <w:rFonts w:hint="eastAsia" w:ascii="宋体" w:hAnsi="宋体" w:cs="宋体"/>
                <w:sz w:val="24"/>
              </w:rPr>
              <w:t>文件的组成部分；因其他紧急情况影响本项目正常招标活动的，招标采购单位将于投标截止日期5天前书面通知所有已报名的投标人。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6</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b/>
                <w:bCs/>
                <w:sz w:val="24"/>
                <w:highlight w:val="none"/>
              </w:rPr>
            </w:pPr>
            <w:r>
              <w:rPr>
                <w:rFonts w:hint="eastAsia" w:ascii="宋体" w:hAnsi="宋体" w:cs="宋体"/>
                <w:b/>
                <w:bCs/>
                <w:sz w:val="24"/>
                <w:highlight w:val="none"/>
              </w:rPr>
              <w:t>投标文件组成：本项目投标文件由资格响应文件、报价要求响应文件、商务技术响应文件三部分组成。投标人应按以下方式递交投标文件：</w:t>
            </w:r>
          </w:p>
          <w:p>
            <w:pPr>
              <w:snapToGrid w:val="0"/>
              <w:rPr>
                <w:rFonts w:hint="eastAsia" w:ascii="宋体" w:hAnsi="宋体" w:cs="宋体"/>
                <w:b/>
                <w:bCs/>
                <w:sz w:val="24"/>
                <w:highlight w:val="none"/>
              </w:rPr>
            </w:pPr>
            <w:r>
              <w:rPr>
                <w:rFonts w:hint="eastAsia" w:ascii="宋体" w:hAnsi="宋体" w:cs="宋体"/>
                <w:b/>
                <w:bCs/>
                <w:sz w:val="24"/>
                <w:highlight w:val="none"/>
              </w:rPr>
              <w:t>▲1、本项目采用“网上投标、电子评标”，投标人应于投标截止时间前在“政采云”（电子交易平台）上传输、递交电子版投标文件（包括资格响应文件、报价要求响应文件、商务技术响应文件）；</w:t>
            </w:r>
          </w:p>
          <w:p>
            <w:pPr>
              <w:snapToGrid w:val="0"/>
              <w:rPr>
                <w:rFonts w:hint="eastAsia" w:ascii="宋体" w:hAnsi="宋体" w:cs="宋体"/>
                <w:b/>
                <w:bCs/>
                <w:sz w:val="24"/>
                <w:highlight w:val="none"/>
              </w:rPr>
            </w:pPr>
            <w:r>
              <w:rPr>
                <w:rFonts w:hint="eastAsia" w:ascii="宋体" w:hAnsi="宋体" w:cs="宋体"/>
                <w:b/>
                <w:bCs/>
                <w:sz w:val="24"/>
                <w:highlight w:val="none"/>
              </w:rPr>
              <w:t>2、为了避免由于电子交易平台无法正常运行等技术、安全故障等原因造成投标文件无法解密或解密失败，导致投标无效的情况发生，投标人可以在投标截止时间前将电子备份投标文件（经政采云电子交易客户端和CA驱动制作出的后缀名为“bfbs”的加密电子备份投标文件）发送至邮箱：961424781@qq.com，逾期发送或发错后缀名的备份投标文件将被视为无效；</w:t>
            </w:r>
          </w:p>
          <w:p>
            <w:pPr>
              <w:snapToGrid w:val="0"/>
              <w:rPr>
                <w:rFonts w:hint="eastAsia" w:ascii="宋体" w:hAnsi="宋体" w:cs="宋体"/>
                <w:b/>
                <w:bCs/>
                <w:sz w:val="24"/>
                <w:highlight w:val="none"/>
              </w:rPr>
            </w:pPr>
            <w:r>
              <w:rPr>
                <w:rFonts w:hint="eastAsia" w:ascii="宋体" w:hAnsi="宋体" w:cs="宋体"/>
                <w:b/>
                <w:bCs/>
                <w:sz w:val="24"/>
                <w:highlight w:val="none"/>
              </w:rPr>
              <w:t>3、投标人仅提交了电子备份投标文件的，投标无效；</w:t>
            </w:r>
          </w:p>
          <w:p>
            <w:pPr>
              <w:snapToGrid w:val="0"/>
              <w:rPr>
                <w:rFonts w:hint="eastAsia" w:ascii="宋体" w:hAnsi="宋体" w:cs="宋体"/>
                <w:sz w:val="24"/>
                <w:highlight w:val="none"/>
              </w:rPr>
            </w:pPr>
            <w:r>
              <w:rPr>
                <w:rFonts w:hint="eastAsia" w:ascii="宋体" w:hAnsi="宋体" w:cs="宋体"/>
                <w:b/>
                <w:bCs/>
                <w:sz w:val="24"/>
                <w:highlight w:val="none"/>
              </w:rPr>
              <w:t>4、本项目不强制投标人提交电子备份投标文件；但如在开评标时出现电子投标文件无法解密或解密失败等情况，因投标人未提供电子备份投标文件而造成投标无效等一切后果和风险由投标人自行承担。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7</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b/>
                <w:bCs/>
                <w:sz w:val="24"/>
                <w:highlight w:val="none"/>
              </w:rPr>
            </w:pPr>
            <w:r>
              <w:rPr>
                <w:rFonts w:hint="eastAsia" w:ascii="宋体" w:hAnsi="宋体" w:cs="宋体"/>
                <w:sz w:val="24"/>
                <w:highlight w:val="none"/>
              </w:rPr>
              <w:t>1、投标人应当在</w:t>
            </w:r>
            <w:r>
              <w:rPr>
                <w:rFonts w:hint="eastAsia" w:ascii="宋体" w:hAnsi="宋体" w:cs="宋体"/>
                <w:b/>
                <w:bCs/>
                <w:sz w:val="24"/>
                <w:highlight w:val="none"/>
                <w:u w:val="single"/>
              </w:rPr>
              <w:t>2022</w:t>
            </w:r>
            <w:r>
              <w:rPr>
                <w:rFonts w:hint="eastAsia" w:ascii="宋体" w:hAnsi="宋体" w:cs="宋体"/>
                <w:b/>
                <w:bCs/>
                <w:sz w:val="24"/>
                <w:highlight w:val="none"/>
              </w:rPr>
              <w:t>年</w:t>
            </w:r>
            <w:r>
              <w:rPr>
                <w:rFonts w:hint="eastAsia" w:ascii="宋体" w:hAnsi="宋体" w:cs="宋体"/>
                <w:b/>
                <w:bCs/>
                <w:sz w:val="24"/>
                <w:highlight w:val="none"/>
                <w:u w:val="single"/>
              </w:rPr>
              <w:t>8</w:t>
            </w:r>
            <w:r>
              <w:rPr>
                <w:rFonts w:hint="eastAsia" w:ascii="宋体" w:hAnsi="宋体" w:cs="宋体"/>
                <w:b/>
                <w:bCs/>
                <w:sz w:val="24"/>
                <w:highlight w:val="none"/>
              </w:rPr>
              <w:t>月</w:t>
            </w:r>
            <w:r>
              <w:rPr>
                <w:rFonts w:hint="eastAsia" w:ascii="宋体" w:hAnsi="宋体" w:cs="宋体"/>
                <w:b/>
                <w:bCs/>
                <w:sz w:val="24"/>
                <w:highlight w:val="none"/>
                <w:u w:val="single"/>
              </w:rPr>
              <w:t>16</w:t>
            </w:r>
            <w:r>
              <w:rPr>
                <w:rFonts w:hint="eastAsia" w:ascii="宋体" w:hAnsi="宋体" w:cs="宋体"/>
                <w:b/>
                <w:bCs/>
                <w:sz w:val="24"/>
                <w:highlight w:val="none"/>
              </w:rPr>
              <w:t>日</w:t>
            </w:r>
            <w:r>
              <w:rPr>
                <w:rFonts w:hint="eastAsia" w:ascii="宋体" w:hAnsi="宋体" w:cs="宋体"/>
                <w:b/>
                <w:bCs/>
                <w:sz w:val="24"/>
                <w:highlight w:val="none"/>
                <w:u w:val="single"/>
              </w:rPr>
              <w:t>8</w:t>
            </w:r>
            <w:r>
              <w:rPr>
                <w:rFonts w:hint="eastAsia" w:ascii="宋体" w:hAnsi="宋体" w:cs="宋体"/>
                <w:b/>
                <w:bCs/>
                <w:sz w:val="24"/>
                <w:highlight w:val="none"/>
              </w:rPr>
              <w:t>时</w:t>
            </w:r>
            <w:r>
              <w:rPr>
                <w:rFonts w:hint="eastAsia" w:ascii="宋体" w:hAnsi="宋体" w:cs="宋体"/>
                <w:b/>
                <w:bCs/>
                <w:sz w:val="24"/>
                <w:highlight w:val="none"/>
                <w:u w:val="single"/>
              </w:rPr>
              <w:t>30</w:t>
            </w:r>
            <w:r>
              <w:rPr>
                <w:rFonts w:hint="eastAsia" w:ascii="宋体" w:hAnsi="宋体" w:cs="宋体"/>
                <w:b/>
                <w:bCs/>
                <w:sz w:val="24"/>
                <w:highlight w:val="none"/>
              </w:rPr>
              <w:t>分</w:t>
            </w:r>
            <w:r>
              <w:rPr>
                <w:rFonts w:hint="eastAsia" w:ascii="宋体" w:hAnsi="宋体" w:cs="宋体"/>
                <w:sz w:val="24"/>
                <w:highlight w:val="none"/>
              </w:rPr>
              <w:t>时前在“政采云”（电子交易平台）上自行上传加密的电子投标文件。投标截止时间后递交的电子投标文件，将被政采云平台拒收。</w:t>
            </w:r>
          </w:p>
          <w:p>
            <w:pPr>
              <w:snapToGrid w:val="0"/>
              <w:rPr>
                <w:rFonts w:hint="eastAsia" w:ascii="宋体" w:hAnsi="宋体" w:cs="宋体"/>
                <w:sz w:val="24"/>
                <w:highlight w:val="none"/>
              </w:rPr>
            </w:pPr>
            <w:r>
              <w:rPr>
                <w:rFonts w:hint="eastAsia" w:ascii="宋体" w:hAnsi="宋体" w:cs="宋体"/>
                <w:sz w:val="24"/>
                <w:highlight w:val="none"/>
              </w:rPr>
              <w:t>2、电子投标文件的传输递交：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pPr>
              <w:snapToGrid w:val="0"/>
              <w:rPr>
                <w:rFonts w:hint="eastAsia" w:ascii="宋体" w:hAnsi="宋体" w:cs="宋体"/>
                <w:sz w:val="24"/>
                <w:highlight w:val="none"/>
              </w:rPr>
            </w:pPr>
            <w:r>
              <w:rPr>
                <w:rFonts w:hint="eastAsia" w:ascii="宋体" w:hAnsi="宋体" w:cs="宋体"/>
                <w:sz w:val="24"/>
                <w:highlight w:val="none"/>
              </w:rPr>
              <w:t>3、投标人可以在投标截止时间前将电子备份投标文件（经政采云电子交易客户端和CA驱动制作出的后缀名为“bfbs”的加密电子备份投标文件）发送至邮箱：</w:t>
            </w:r>
            <w:r>
              <w:rPr>
                <w:rFonts w:hint="eastAsia" w:ascii="宋体" w:hAnsi="宋体" w:cs="宋体"/>
                <w:b/>
                <w:bCs/>
                <w:sz w:val="24"/>
                <w:highlight w:val="none"/>
              </w:rPr>
              <w:t>961424781@qq.com</w:t>
            </w:r>
            <w:r>
              <w:rPr>
                <w:rFonts w:hint="eastAsia" w:ascii="宋体" w:hAnsi="宋体" w:cs="宋体"/>
                <w:sz w:val="24"/>
                <w:highlight w:val="none"/>
              </w:rPr>
              <w:t>，逾期发送或发错后缀名的电子备份投标文件将被视为无效；电子备份投标文件的提交不作强制性要求。电子备份投标文件的递交截止时间：投标人应当在</w:t>
            </w:r>
            <w:r>
              <w:rPr>
                <w:rFonts w:hint="eastAsia" w:ascii="宋体" w:hAnsi="宋体" w:cs="宋体"/>
                <w:b/>
                <w:bCs/>
                <w:sz w:val="24"/>
                <w:highlight w:val="none"/>
                <w:u w:val="single"/>
              </w:rPr>
              <w:t>2022</w:t>
            </w:r>
            <w:r>
              <w:rPr>
                <w:rFonts w:hint="eastAsia" w:ascii="宋体" w:hAnsi="宋体" w:cs="宋体"/>
                <w:b/>
                <w:bCs/>
                <w:sz w:val="24"/>
                <w:highlight w:val="none"/>
              </w:rPr>
              <w:t>年</w:t>
            </w:r>
            <w:r>
              <w:rPr>
                <w:rFonts w:hint="eastAsia" w:ascii="宋体" w:hAnsi="宋体" w:cs="宋体"/>
                <w:b/>
                <w:bCs/>
                <w:sz w:val="24"/>
                <w:highlight w:val="none"/>
                <w:u w:val="single"/>
              </w:rPr>
              <w:t>8</w:t>
            </w:r>
            <w:r>
              <w:rPr>
                <w:rFonts w:hint="eastAsia" w:ascii="宋体" w:hAnsi="宋体" w:cs="宋体"/>
                <w:b/>
                <w:bCs/>
                <w:sz w:val="24"/>
                <w:highlight w:val="none"/>
              </w:rPr>
              <w:t>月</w:t>
            </w:r>
            <w:r>
              <w:rPr>
                <w:rFonts w:hint="eastAsia" w:ascii="宋体" w:hAnsi="宋体" w:cs="宋体"/>
                <w:b/>
                <w:bCs/>
                <w:sz w:val="24"/>
                <w:highlight w:val="none"/>
                <w:u w:val="single"/>
              </w:rPr>
              <w:t>16</w:t>
            </w:r>
            <w:r>
              <w:rPr>
                <w:rFonts w:hint="eastAsia" w:ascii="宋体" w:hAnsi="宋体" w:cs="宋体"/>
                <w:b/>
                <w:bCs/>
                <w:sz w:val="24"/>
                <w:highlight w:val="none"/>
              </w:rPr>
              <w:t>日</w:t>
            </w:r>
            <w:r>
              <w:rPr>
                <w:rFonts w:hint="eastAsia" w:ascii="宋体" w:hAnsi="宋体" w:cs="宋体"/>
                <w:b/>
                <w:bCs/>
                <w:sz w:val="24"/>
                <w:highlight w:val="none"/>
                <w:u w:val="single"/>
              </w:rPr>
              <w:t>8：30</w:t>
            </w:r>
            <w:r>
              <w:rPr>
                <w:rFonts w:hint="eastAsia" w:ascii="宋体" w:hAnsi="宋体" w:cs="宋体"/>
                <w:sz w:val="24"/>
                <w:highlight w:val="none"/>
              </w:rPr>
              <w:t>时前，逾期未递交的视为自动放弃递交电子备份投标文件。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8</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b/>
                <w:bCs/>
                <w:sz w:val="24"/>
              </w:rPr>
            </w:pPr>
            <w:r>
              <w:rPr>
                <w:rFonts w:hint="eastAsia" w:ascii="宋体" w:hAnsi="宋体" w:cs="宋体"/>
                <w:b/>
                <w:bCs/>
                <w:sz w:val="24"/>
              </w:rPr>
              <w:t>本项目开标时间：</w:t>
            </w:r>
            <w:r>
              <w:rPr>
                <w:rFonts w:hint="eastAsia" w:ascii="宋体" w:hAnsi="宋体" w:cs="宋体"/>
                <w:b/>
                <w:bCs/>
                <w:sz w:val="24"/>
                <w:u w:val="single"/>
              </w:rPr>
              <w:t>2022</w:t>
            </w:r>
            <w:r>
              <w:rPr>
                <w:rFonts w:hint="eastAsia" w:ascii="宋体" w:hAnsi="宋体" w:cs="宋体"/>
                <w:b/>
                <w:bCs/>
                <w:sz w:val="24"/>
              </w:rPr>
              <w:t>年8月</w:t>
            </w:r>
            <w:r>
              <w:rPr>
                <w:rFonts w:hint="eastAsia" w:ascii="宋体" w:hAnsi="宋体" w:cs="宋体"/>
                <w:b/>
                <w:bCs/>
                <w:sz w:val="24"/>
                <w:u w:val="single"/>
              </w:rPr>
              <w:t>16</w:t>
            </w:r>
            <w:r>
              <w:rPr>
                <w:rFonts w:hint="eastAsia" w:ascii="宋体" w:hAnsi="宋体" w:cs="宋体"/>
                <w:b/>
                <w:bCs/>
                <w:sz w:val="24"/>
              </w:rPr>
              <w:t>日</w:t>
            </w:r>
            <w:r>
              <w:rPr>
                <w:rFonts w:hint="eastAsia" w:ascii="宋体" w:hAnsi="宋体" w:cs="宋体"/>
                <w:b/>
                <w:bCs/>
                <w:sz w:val="24"/>
                <w:u w:val="single"/>
              </w:rPr>
              <w:t>8：30</w:t>
            </w:r>
            <w:r>
              <w:rPr>
                <w:rFonts w:hint="eastAsia" w:ascii="宋体" w:hAnsi="宋体" w:cs="宋体"/>
                <w:b/>
                <w:bCs/>
                <w:sz w:val="24"/>
              </w:rPr>
              <w:t>分</w:t>
            </w:r>
          </w:p>
          <w:p>
            <w:pPr>
              <w:snapToGrid w:val="0"/>
              <w:rPr>
                <w:rFonts w:hint="eastAsia" w:ascii="宋体" w:hAnsi="宋体" w:cs="宋体"/>
                <w:sz w:val="24"/>
              </w:rPr>
            </w:pPr>
            <w:r>
              <w:rPr>
                <w:rFonts w:hint="eastAsia" w:ascii="宋体" w:hAnsi="宋体" w:cs="宋体"/>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采购代理机构开启投标文件；投标人超过解密时限解密的且采购代理机构无法开启投标文件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9</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投标保证金和履约保证金：本项目</w:t>
            </w:r>
            <w:r>
              <w:rPr>
                <w:rFonts w:hint="eastAsia" w:ascii="宋体" w:hAnsi="宋体" w:cs="宋体"/>
                <w:b/>
                <w:kern w:val="0"/>
                <w:sz w:val="24"/>
              </w:rPr>
              <w:t>不收取投标保证金和履约保证金。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 w:val="24"/>
              </w:rPr>
            </w:pPr>
            <w:r>
              <w:rPr>
                <w:rFonts w:hint="eastAsia" w:ascii="宋体" w:hAnsi="宋体" w:cs="宋体"/>
                <w:sz w:val="24"/>
              </w:rPr>
              <w:t>10</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11</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采购人应当自收到评审报告之日起5个工作日内在评审报告推荐的中标或者成交候选人中按顺序确定中标或者成交供应商。如有投标人对评标结果提出质疑的，采购人可在质疑处理完毕后确定中标人。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12</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采购人或者采购代理机构应当自中标、成交供应商确定之日起2个工作日内，发出中标、成交通知书，并在省级以上人民政府财政部门指定的媒体上公告中标、成交结果。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13</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s="宋体"/>
                <w:sz w:val="24"/>
              </w:rPr>
            </w:pPr>
            <w:r>
              <w:rPr>
                <w:rFonts w:hint="eastAsia" w:ascii="宋体" w:hAnsi="宋体" w:cs="宋体"/>
                <w:sz w:val="24"/>
              </w:rPr>
              <w:t>签订合同：中标通知书发出后20日内签订。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 w:val="24"/>
                <w:highlight w:val="none"/>
              </w:rPr>
            </w:pPr>
            <w:r>
              <w:rPr>
                <w:rFonts w:hint="eastAsia" w:ascii="宋体" w:hAnsi="宋体" w:cs="宋体"/>
                <w:sz w:val="24"/>
                <w:highlight w:val="none"/>
              </w:rPr>
              <w:t>14</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pStyle w:val="29"/>
              <w:ind w:firstLine="482" w:firstLineChars="200"/>
              <w:rPr>
                <w:rFonts w:hint="eastAsia"/>
                <w:highlight w:val="none"/>
              </w:rPr>
            </w:pPr>
            <w:r>
              <w:rPr>
                <w:rFonts w:hint="eastAsia" w:ascii="宋体" w:cs="Times New Roman"/>
                <w:color w:val="auto"/>
                <w:highlight w:val="none"/>
              </w:rPr>
              <w:t>付款方式：</w:t>
            </w:r>
            <w:r>
              <w:rPr>
                <w:rFonts w:hint="eastAsia" w:ascii="Times New Roman" w:hAnsi="Times New Roman" w:cs="Times New Roman"/>
                <w:b w:val="0"/>
                <w:bCs w:val="0"/>
                <w:color w:val="auto"/>
                <w:highlight w:val="none"/>
              </w:rPr>
              <w:t>合同生效并在供应商提交规定凭证后7个工作日内由采购人支付合同金额的40%作为项目的预付款，在支付预付款之前是否要求中标单位提供金融机构出具的预付款保函由采购人自行决定并在合同中予以明确（预付款保函可以在政采云平台线上办理），设备安装验收合格并在供应商提交规定凭证后7个工作日内付清余款。第一次预付款凭预付款保函；第二次付款凭东阳市政府采购验收单、发票原件。</w:t>
            </w:r>
            <w:r>
              <w:rPr>
                <w:rFonts w:hint="eastAsia" w:ascii="Times New Roman" w:hAnsi="Times New Roman" w:cs="Times New Roman"/>
                <w:color w:val="auto"/>
                <w:highlight w:val="none"/>
              </w:rPr>
              <w:t>预付款支付完成后，采购人应将预付款支付凭证复印件或者电子版送金华市公共资源交易中心东阳分中心备案。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 w:val="24"/>
                <w:highlight w:val="none"/>
              </w:rPr>
            </w:pPr>
            <w:r>
              <w:rPr>
                <w:rFonts w:hint="eastAsia" w:ascii="宋体" w:hAnsi="宋体" w:cs="宋体"/>
                <w:sz w:val="24"/>
                <w:highlight w:val="none"/>
              </w:rPr>
              <w:t>15</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节能产品、环境标志产品的强制采购政策</w:t>
            </w:r>
          </w:p>
          <w:p>
            <w:pPr>
              <w:widowControl/>
              <w:snapToGrid w:val="0"/>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节能产品、环境标志产品的优先采购政策</w:t>
            </w:r>
          </w:p>
          <w:p>
            <w:pPr>
              <w:widowControl/>
              <w:snapToGrid w:val="0"/>
              <w:ind w:firstLine="480" w:firstLineChars="200"/>
              <w:jc w:val="left"/>
              <w:rPr>
                <w:rFonts w:hint="eastAsia" w:ascii="宋体" w:hAnsi="宋体" w:cs="宋体"/>
                <w:sz w:val="24"/>
                <w:highlight w:val="none"/>
              </w:rPr>
            </w:pPr>
            <w:r>
              <w:rPr>
                <w:rFonts w:hint="eastAsia" w:ascii="宋体" w:hAnsi="宋体" w:cs="宋体"/>
                <w:kern w:val="0"/>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b/>
                <w:bCs/>
                <w:sz w:val="24"/>
                <w:highlight w:val="none"/>
              </w:rPr>
            </w:pPr>
            <w:r>
              <w:rPr>
                <w:rFonts w:hint="eastAsia" w:ascii="宋体" w:hAnsi="宋体" w:cs="宋体"/>
                <w:b/>
                <w:bCs/>
                <w:sz w:val="24"/>
                <w:highlight w:val="none"/>
              </w:rPr>
              <w:t>16</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cs="宋体"/>
                <w:b/>
                <w:bCs/>
                <w:sz w:val="24"/>
                <w:highlight w:val="none"/>
              </w:rPr>
            </w:pPr>
            <w:r>
              <w:rPr>
                <w:rFonts w:hint="eastAsia" w:ascii="宋体" w:hAnsi="宋体" w:cs="宋体"/>
                <w:b/>
                <w:bCs/>
                <w:sz w:val="24"/>
                <w:highlight w:val="none"/>
              </w:rPr>
              <w:t xml:space="preserve">节能产品：□ 强制采购节能产品  ☑ 优先采购节能产品   </w:t>
            </w:r>
            <w:r>
              <w:rPr>
                <w:rFonts w:hint="eastAsia" w:ascii="宋体" w:hAnsi="宋体" w:cs="宋体"/>
                <w:b/>
                <w:bCs/>
                <w:sz w:val="24"/>
                <w:highlight w:val="none"/>
              </w:rPr>
              <w:sym w:font="Wingdings" w:char="00A8"/>
            </w:r>
            <w:r>
              <w:rPr>
                <w:rFonts w:hint="eastAsia" w:ascii="宋体" w:hAnsi="宋体" w:cs="宋体"/>
                <w:b/>
                <w:bCs/>
                <w:sz w:val="24"/>
                <w:highlight w:val="none"/>
              </w:rPr>
              <w:t xml:space="preserve"> 不适用</w:t>
            </w:r>
          </w:p>
          <w:p>
            <w:pPr>
              <w:snapToGrid w:val="0"/>
              <w:jc w:val="left"/>
              <w:rPr>
                <w:rFonts w:hint="eastAsia" w:ascii="宋体" w:hAnsi="宋体" w:cs="宋体"/>
                <w:b/>
                <w:bCs/>
                <w:sz w:val="24"/>
                <w:highlight w:val="none"/>
              </w:rPr>
            </w:pPr>
            <w:r>
              <w:rPr>
                <w:rFonts w:hint="eastAsia" w:ascii="宋体" w:hAnsi="宋体" w:cs="宋体"/>
                <w:b/>
                <w:bCs/>
                <w:sz w:val="24"/>
                <w:highlight w:val="none"/>
              </w:rPr>
              <w:t xml:space="preserve">环境标志产品： ☑ 优先采购环境标志产品   </w:t>
            </w:r>
            <w:r>
              <w:rPr>
                <w:rFonts w:hint="eastAsia" w:ascii="宋体" w:hAnsi="宋体" w:cs="宋体"/>
                <w:b/>
                <w:bCs/>
                <w:sz w:val="24"/>
                <w:highlight w:val="none"/>
              </w:rPr>
              <w:sym w:font="Wingdings" w:char="00A8"/>
            </w:r>
            <w:r>
              <w:rPr>
                <w:rFonts w:hint="eastAsia" w:ascii="宋体" w:hAnsi="宋体" w:cs="宋体"/>
                <w:b/>
                <w:bCs/>
                <w:sz w:val="24"/>
                <w:highlight w:val="none"/>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 w:val="24"/>
                <w:highlight w:val="none"/>
              </w:rPr>
            </w:pPr>
            <w:r>
              <w:rPr>
                <w:rFonts w:hint="eastAsia" w:ascii="宋体" w:hAnsi="宋体" w:cs="宋体"/>
                <w:sz w:val="24"/>
                <w:highlight w:val="none"/>
              </w:rPr>
              <w:t>17</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highlight w:val="none"/>
              </w:rPr>
            </w:pPr>
            <w:r>
              <w:rPr>
                <w:rFonts w:hint="eastAsia" w:ascii="宋体" w:hAnsi="宋体" w:cs="宋体"/>
                <w:sz w:val="24"/>
                <w:highlight w:val="none"/>
              </w:rPr>
              <w:t>根据《关于在政府采购活动中查询及使用信用记录有关问题的通知》财库[2016]125号的规定：</w:t>
            </w:r>
          </w:p>
          <w:p>
            <w:pPr>
              <w:snapToGrid w:val="0"/>
              <w:ind w:left="105" w:leftChars="50"/>
              <w:rPr>
                <w:rFonts w:hint="eastAsia"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1）招标人或采购代理机构将对本项目供应商的信用记录进行查询。查询渠道为信用中国网站（www.creditchina.gov.cn）、中国政府采购网（www.ccgp.gov.cn）；</w:t>
            </w:r>
          </w:p>
          <w:p>
            <w:pPr>
              <w:snapToGrid w:val="0"/>
              <w:ind w:firstLine="120" w:firstLineChars="50"/>
              <w:rPr>
                <w:rFonts w:hint="eastAsia"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2）截止时点：提交投标文件（响应文件）截止时间前3年内；</w:t>
            </w:r>
          </w:p>
          <w:p>
            <w:pPr>
              <w:snapToGrid w:val="0"/>
              <w:ind w:left="105" w:leftChars="50"/>
              <w:rPr>
                <w:rFonts w:hint="eastAsia"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3）查询记录和证据的留存：信用信息查询记录和证据以网页截图等方式留存。</w:t>
            </w:r>
          </w:p>
          <w:p>
            <w:pPr>
              <w:snapToGrid w:val="0"/>
              <w:ind w:left="105" w:leftChars="50"/>
              <w:rPr>
                <w:rFonts w:hint="eastAsia"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widowControl/>
              <w:snapToGrid w:val="0"/>
              <w:jc w:val="left"/>
              <w:rPr>
                <w:rFonts w:hint="eastAsia" w:ascii="宋体" w:hAnsi="宋体" w:cs="宋体"/>
                <w:kern w:val="0"/>
                <w:sz w:val="24"/>
                <w:highlight w:val="none"/>
              </w:rPr>
            </w:pPr>
            <w:r>
              <w:rPr>
                <w:rFonts w:hint="eastAsia" w:ascii="宋体" w:hAnsi="宋体" w:cs="宋体"/>
                <w:kern w:val="0"/>
                <w:sz w:val="24"/>
                <w:highlight w:val="none"/>
              </w:rPr>
              <w:t>（</w:t>
            </w:r>
            <w:r>
              <w:rPr>
                <w:rFonts w:hint="eastAsia" w:ascii="宋体" w:hAnsi="宋体" w:cs="宋体"/>
                <w:sz w:val="24"/>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 w:val="24"/>
                <w:highlight w:val="none"/>
              </w:rPr>
            </w:pPr>
            <w:r>
              <w:rPr>
                <w:rFonts w:hint="eastAsia" w:ascii="宋体" w:hAnsi="宋体" w:cs="宋体"/>
                <w:sz w:val="24"/>
                <w:highlight w:val="none"/>
              </w:rPr>
              <w:t>18</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highlight w:val="none"/>
              </w:rPr>
            </w:pPr>
            <w:r>
              <w:rPr>
                <w:rFonts w:hint="eastAsia" w:ascii="宋体" w:hAnsi="宋体" w:cs="宋体"/>
                <w:sz w:val="24"/>
                <w:highlight w:val="none"/>
              </w:rPr>
              <w:t>政采贷：</w:t>
            </w:r>
          </w:p>
          <w:p>
            <w:pPr>
              <w:numPr>
                <w:ilvl w:val="0"/>
                <w:numId w:val="7"/>
              </w:numPr>
              <w:snapToGrid w:val="0"/>
              <w:ind w:firstLine="480" w:firstLineChars="200"/>
              <w:rPr>
                <w:rFonts w:hint="eastAsia" w:ascii="宋体" w:hAnsi="宋体" w:cs="宋体"/>
                <w:sz w:val="24"/>
                <w:highlight w:val="none"/>
              </w:rPr>
            </w:pPr>
            <w:r>
              <w:rPr>
                <w:rFonts w:hint="eastAsia" w:ascii="宋体" w:hAnsi="宋体" w:cs="宋体"/>
                <w:sz w:val="24"/>
                <w:highlight w:val="none"/>
              </w:rPr>
              <w:t>本采购项目，中标单位与采购单位签订的政府采购合同适用于政府采购贷款政策，简称“政采贷”，具体内容详见附件《政府采购支持中小企业信用融资相关事项通知》。本项目中的预付款保函、履约保函也可通过政采云系统办理。</w:t>
            </w:r>
          </w:p>
          <w:p>
            <w:pPr>
              <w:snapToGrid w:val="0"/>
              <w:ind w:firstLine="480" w:firstLineChars="200"/>
              <w:rPr>
                <w:rFonts w:hint="eastAsia" w:ascii="宋体" w:hAnsi="宋体" w:cs="宋体"/>
                <w:sz w:val="24"/>
                <w:highlight w:val="none"/>
              </w:rPr>
            </w:pPr>
            <w:r>
              <w:rPr>
                <w:rFonts w:hint="eastAsia" w:ascii="宋体" w:hAnsi="宋体" w:cs="宋体"/>
                <w:sz w:val="24"/>
                <w:highlight w:val="none"/>
              </w:rPr>
              <w:t>操作路径：登录政采云平台 - 金融服务中心 -【融资服务】，也可在热门申请中选择产品直接申请，也可点击云智贷匹配适合产品进行申请，或者在可申请项目中根据该项目进行申请。</w:t>
            </w:r>
          </w:p>
          <w:p>
            <w:pPr>
              <w:snapToGrid w:val="0"/>
              <w:ind w:firstLine="480" w:firstLineChars="200"/>
              <w:rPr>
                <w:rFonts w:hint="eastAsia" w:ascii="宋体" w:hAnsi="宋体" w:cs="宋体"/>
                <w:sz w:val="24"/>
                <w:highlight w:val="none"/>
              </w:rPr>
            </w:pPr>
            <w:r>
              <w:rPr>
                <w:rFonts w:hint="eastAsia" w:ascii="宋体" w:hAnsi="宋体" w:cs="宋体"/>
                <w:sz w:val="24"/>
                <w:highlight w:val="none"/>
              </w:rPr>
              <w:t xml:space="preserve">（2）为扩大政府采购金融服务面，除政采云网上金融服务合作银行外，东阳市范围内增加浙商银行金华分行东阳支行作为线下合作银行。   </w:t>
            </w:r>
          </w:p>
          <w:p>
            <w:pPr>
              <w:snapToGrid w:val="0"/>
              <w:jc w:val="left"/>
              <w:rPr>
                <w:rFonts w:hint="eastAsia" w:ascii="宋体" w:hAnsi="宋体"/>
                <w:sz w:val="24"/>
                <w:highlight w:val="none"/>
              </w:rPr>
            </w:pPr>
            <w:r>
              <w:rPr>
                <w:rFonts w:hint="eastAsia" w:ascii="宋体" w:hAnsi="宋体" w:cs="宋体"/>
                <w:sz w:val="24"/>
                <w:highlight w:val="none"/>
              </w:rPr>
              <w:t>浙商银行金华东阳支行联系人：</w:t>
            </w:r>
            <w:r>
              <w:rPr>
                <w:rFonts w:hint="eastAsia" w:ascii="宋体" w:hAnsi="宋体"/>
                <w:sz w:val="24"/>
                <w:highlight w:val="none"/>
              </w:rPr>
              <w:t>许燕</w:t>
            </w:r>
          </w:p>
          <w:p>
            <w:pPr>
              <w:snapToGrid w:val="0"/>
              <w:rPr>
                <w:rFonts w:hint="eastAsia" w:ascii="宋体" w:hAnsi="宋体" w:cs="宋体"/>
                <w:b/>
                <w:bCs/>
                <w:sz w:val="24"/>
                <w:highlight w:val="none"/>
              </w:rPr>
            </w:pPr>
            <w:r>
              <w:rPr>
                <w:rFonts w:hint="eastAsia" w:ascii="宋体" w:hAnsi="宋体"/>
                <w:sz w:val="24"/>
                <w:highlight w:val="none"/>
              </w:rPr>
              <w:t>联系电话：13967983441    0579-86222992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 w:val="24"/>
              </w:rPr>
            </w:pPr>
            <w:r>
              <w:rPr>
                <w:rFonts w:hint="eastAsia" w:ascii="宋体" w:hAnsi="宋体" w:cs="宋体"/>
                <w:sz w:val="24"/>
              </w:rPr>
              <w:t>19</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投标文件有效期：</w:t>
            </w:r>
            <w:r>
              <w:rPr>
                <w:rFonts w:hint="eastAsia" w:ascii="宋体" w:hAnsi="宋体" w:cs="宋体"/>
                <w:sz w:val="24"/>
                <w:u w:val="single"/>
              </w:rPr>
              <w:t xml:space="preserve"> 60 </w:t>
            </w:r>
            <w:r>
              <w:rPr>
                <w:rFonts w:hint="eastAsia" w:ascii="宋体" w:hAnsi="宋体" w:cs="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 w:val="24"/>
              </w:rPr>
            </w:pPr>
            <w:r>
              <w:rPr>
                <w:rFonts w:hint="eastAsia" w:ascii="宋体" w:hAnsi="宋体" w:cs="宋体"/>
                <w:sz w:val="24"/>
              </w:rPr>
              <w:t>20</w:t>
            </w:r>
          </w:p>
        </w:tc>
        <w:tc>
          <w:tcPr>
            <w:tcW w:w="859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4"/>
              </w:rPr>
            </w:pPr>
            <w:r>
              <w:rPr>
                <w:rFonts w:hint="eastAsia" w:ascii="宋体" w:hAnsi="宋体" w:cs="宋体"/>
                <w:sz w:val="24"/>
              </w:rPr>
              <w:t>解释：本招标文件的解释权属于招标采购单位。</w:t>
            </w:r>
          </w:p>
        </w:tc>
      </w:tr>
    </w:tbl>
    <w:p>
      <w:pPr>
        <w:pStyle w:val="27"/>
        <w:snapToGrid w:val="0"/>
        <w:spacing w:before="120" w:after="120" w:line="360" w:lineRule="auto"/>
        <w:rPr>
          <w:rFonts w:hint="eastAsia" w:hAnsi="宋体" w:cs="宋体"/>
          <w:b/>
          <w:sz w:val="28"/>
          <w:szCs w:val="28"/>
        </w:rPr>
      </w:pPr>
      <w:r>
        <w:rPr>
          <w:rFonts w:hint="eastAsia" w:hAnsi="宋体" w:cs="宋体"/>
          <w:b/>
          <w:sz w:val="28"/>
          <w:szCs w:val="28"/>
        </w:rPr>
        <w:t>一、总则</w:t>
      </w:r>
    </w:p>
    <w:p>
      <w:pPr>
        <w:snapToGrid w:val="0"/>
        <w:spacing w:line="360" w:lineRule="auto"/>
        <w:ind w:firstLine="472" w:firstLineChars="196"/>
        <w:jc w:val="left"/>
        <w:outlineLvl w:val="1"/>
        <w:rPr>
          <w:rFonts w:hint="eastAsia" w:ascii="宋体" w:hAnsi="宋体" w:cs="宋体"/>
          <w:b/>
          <w:sz w:val="24"/>
          <w:szCs w:val="20"/>
        </w:rPr>
      </w:pPr>
      <w:r>
        <w:rPr>
          <w:rFonts w:hint="eastAsia" w:ascii="宋体" w:hAnsi="宋体" w:cs="宋体"/>
          <w:b/>
          <w:sz w:val="24"/>
        </w:rPr>
        <w:t>（一）适用范围</w:t>
      </w:r>
    </w:p>
    <w:p>
      <w:pPr>
        <w:spacing w:line="360" w:lineRule="auto"/>
        <w:rPr>
          <w:rFonts w:hint="eastAsia" w:ascii="宋体" w:hAnsi="宋体" w:cs="宋体"/>
          <w:sz w:val="24"/>
          <w:szCs w:val="20"/>
        </w:rPr>
      </w:pPr>
      <w:r>
        <w:rPr>
          <w:rFonts w:hint="eastAsia" w:ascii="宋体" w:hAnsi="宋体" w:cs="宋体"/>
          <w:sz w:val="24"/>
        </w:rPr>
        <w:t>本招标文件仅适用于</w:t>
      </w:r>
      <w:r>
        <w:rPr>
          <w:rFonts w:hint="eastAsia" w:ascii="宋体" w:hAnsi="宋体" w:cs="宋体"/>
          <w:b/>
          <w:bCs/>
          <w:sz w:val="24"/>
          <w:u w:val="single"/>
        </w:rPr>
        <w:t>东阳市六歌健康生物产业园信息化系统提升项目</w:t>
      </w:r>
      <w:r>
        <w:rPr>
          <w:rFonts w:hint="eastAsia" w:ascii="宋体" w:hAnsi="宋体" w:cs="宋体"/>
          <w:sz w:val="24"/>
        </w:rPr>
        <w:t>的招标采购。</w:t>
      </w:r>
    </w:p>
    <w:p>
      <w:pPr>
        <w:snapToGrid w:val="0"/>
        <w:spacing w:before="120" w:beforeLines="50" w:line="360" w:lineRule="auto"/>
        <w:ind w:firstLine="354" w:firstLineChars="147"/>
        <w:jc w:val="left"/>
        <w:outlineLvl w:val="1"/>
        <w:rPr>
          <w:rFonts w:hint="eastAsia" w:ascii="宋体" w:hAnsi="宋体" w:cs="宋体"/>
          <w:b/>
          <w:sz w:val="24"/>
          <w:szCs w:val="20"/>
        </w:rPr>
      </w:pPr>
      <w:r>
        <w:rPr>
          <w:rFonts w:hint="eastAsia" w:ascii="宋体" w:hAnsi="宋体" w:cs="宋体"/>
          <w:b/>
          <w:sz w:val="24"/>
        </w:rPr>
        <w:t>（二）定义</w:t>
      </w:r>
    </w:p>
    <w:p>
      <w:pPr>
        <w:tabs>
          <w:tab w:val="left" w:pos="7140"/>
        </w:tabs>
        <w:snapToGrid w:val="0"/>
        <w:ind w:firstLine="480" w:firstLineChars="200"/>
        <w:jc w:val="left"/>
        <w:rPr>
          <w:rFonts w:hint="eastAsia" w:ascii="宋体" w:hAnsi="宋体" w:cs="宋体"/>
          <w:sz w:val="24"/>
        </w:rPr>
      </w:pPr>
      <w:r>
        <w:rPr>
          <w:rFonts w:hint="eastAsia" w:ascii="宋体" w:hAnsi="宋体" w:cs="宋体"/>
          <w:sz w:val="24"/>
        </w:rPr>
        <w:t>1.招标采购单位系指组织本次招标的</w:t>
      </w:r>
      <w:r>
        <w:rPr>
          <w:rFonts w:hint="eastAsia" w:ascii="宋体" w:hAnsi="宋体" w:cs="宋体"/>
          <w:b/>
          <w:bCs/>
          <w:sz w:val="24"/>
          <w:u w:val="single"/>
        </w:rPr>
        <w:t>金华市公共资源交易中心东阳分中心</w:t>
      </w:r>
      <w:r>
        <w:rPr>
          <w:rFonts w:hint="eastAsia" w:ascii="宋体" w:hAnsi="宋体" w:cs="宋体"/>
          <w:sz w:val="24"/>
        </w:rPr>
        <w:t>（“招标方”）和</w:t>
      </w:r>
      <w:r>
        <w:rPr>
          <w:rFonts w:hint="eastAsia" w:ascii="宋体" w:hAnsi="宋体" w:cs="宋体"/>
          <w:b/>
          <w:bCs/>
          <w:sz w:val="24"/>
          <w:u w:val="single"/>
        </w:rPr>
        <w:t>东阳经济开发区</w:t>
      </w:r>
      <w:r>
        <w:rPr>
          <w:rFonts w:hint="eastAsia" w:ascii="宋体" w:hAnsi="宋体" w:cs="宋体"/>
          <w:sz w:val="24"/>
        </w:rPr>
        <w:t>（“采购人”）。</w:t>
      </w:r>
    </w:p>
    <w:p>
      <w:pPr>
        <w:tabs>
          <w:tab w:val="left" w:pos="7140"/>
        </w:tabs>
        <w:snapToGrid w:val="0"/>
        <w:ind w:firstLine="480" w:firstLineChars="200"/>
        <w:jc w:val="left"/>
        <w:rPr>
          <w:rFonts w:hint="eastAsia" w:ascii="宋体" w:hAnsi="宋体" w:cs="宋体"/>
          <w:sz w:val="24"/>
        </w:rPr>
      </w:pPr>
      <w:r>
        <w:rPr>
          <w:rFonts w:hint="eastAsia" w:ascii="宋体" w:hAnsi="宋体" w:cs="宋体"/>
          <w:sz w:val="24"/>
        </w:rPr>
        <w:t>2.“投标人”系指向招标方提交投标文件的单位。</w:t>
      </w:r>
    </w:p>
    <w:p>
      <w:pPr>
        <w:tabs>
          <w:tab w:val="left" w:pos="7140"/>
        </w:tabs>
        <w:snapToGrid w:val="0"/>
        <w:ind w:firstLine="480" w:firstLineChars="200"/>
        <w:jc w:val="left"/>
        <w:rPr>
          <w:rFonts w:hint="eastAsia" w:ascii="宋体" w:hAnsi="宋体" w:cs="宋体"/>
          <w:sz w:val="24"/>
        </w:rPr>
      </w:pPr>
      <w:r>
        <w:rPr>
          <w:rFonts w:hint="eastAsia" w:ascii="宋体" w:hAnsi="宋体" w:cs="宋体"/>
          <w:sz w:val="24"/>
        </w:rPr>
        <w:t>3.“产品”系指供方按招标文件规定，须向采购人提供的一切设备、保险、税金、备品备件、工具、手册及其它有关技术资料和材料。</w:t>
      </w:r>
    </w:p>
    <w:p>
      <w:pPr>
        <w:tabs>
          <w:tab w:val="left" w:pos="7140"/>
        </w:tabs>
        <w:snapToGrid w:val="0"/>
        <w:ind w:firstLine="480" w:firstLineChars="200"/>
        <w:jc w:val="left"/>
        <w:rPr>
          <w:rFonts w:hint="eastAsia" w:ascii="宋体" w:hAnsi="宋体" w:cs="宋体"/>
          <w:sz w:val="24"/>
        </w:rPr>
      </w:pPr>
      <w:r>
        <w:rPr>
          <w:rFonts w:hint="eastAsia" w:ascii="宋体" w:hAnsi="宋体" w:cs="宋体"/>
          <w:sz w:val="24"/>
        </w:rPr>
        <w:t>4.“服务”系指招标文件规定投标人须承担的安装、调试、技术协助、校准、培训、技术指导以及其他类似的义务。</w:t>
      </w:r>
    </w:p>
    <w:p>
      <w:pPr>
        <w:tabs>
          <w:tab w:val="left" w:pos="7140"/>
        </w:tabs>
        <w:snapToGrid w:val="0"/>
        <w:ind w:firstLine="480" w:firstLineChars="200"/>
        <w:jc w:val="left"/>
        <w:rPr>
          <w:rFonts w:hint="eastAsia" w:ascii="宋体" w:hAnsi="宋体" w:cs="宋体"/>
          <w:sz w:val="24"/>
        </w:rPr>
      </w:pPr>
      <w:r>
        <w:rPr>
          <w:rFonts w:hint="eastAsia" w:ascii="宋体" w:hAnsi="宋体" w:cs="宋体"/>
          <w:sz w:val="24"/>
        </w:rPr>
        <w:t>5.“项目”系指投标人按招标文件规定向采购人提供的产品和服务。</w:t>
      </w:r>
    </w:p>
    <w:p>
      <w:pPr>
        <w:tabs>
          <w:tab w:val="left" w:pos="7140"/>
        </w:tabs>
        <w:snapToGrid w:val="0"/>
        <w:ind w:firstLine="480" w:firstLineChars="200"/>
        <w:jc w:val="left"/>
        <w:rPr>
          <w:rFonts w:hint="eastAsia" w:ascii="宋体" w:hAnsi="宋体" w:cs="宋体"/>
          <w:sz w:val="24"/>
        </w:rPr>
      </w:pPr>
      <w:r>
        <w:rPr>
          <w:rFonts w:hint="eastAsia" w:ascii="宋体" w:hAnsi="宋体" w:cs="宋体"/>
          <w:sz w:val="24"/>
        </w:rPr>
        <w:t>6.“书面形式”包括信函、传真、电报等。</w:t>
      </w:r>
    </w:p>
    <w:p>
      <w:pPr>
        <w:tabs>
          <w:tab w:val="left" w:pos="7140"/>
        </w:tabs>
        <w:snapToGrid w:val="0"/>
        <w:ind w:firstLine="482" w:firstLineChars="200"/>
        <w:jc w:val="left"/>
        <w:rPr>
          <w:rFonts w:hint="eastAsia" w:ascii="宋体" w:hAnsi="宋体" w:cs="宋体"/>
          <w:b/>
          <w:bCs/>
          <w:sz w:val="24"/>
        </w:rPr>
      </w:pPr>
      <w:r>
        <w:rPr>
          <w:rFonts w:hint="eastAsia" w:ascii="宋体" w:hAnsi="宋体" w:cs="宋体"/>
          <w:b/>
          <w:bCs/>
          <w:sz w:val="24"/>
        </w:rPr>
        <w:t>7.凡是标有“▲”符号或标有“必须”字眼描述的条款以及项目的数量、工期（交货期）、付款方式、质保期、投标有效期、均属于实质性条款，不允许负偏离，否则作无效标处理。</w:t>
      </w:r>
    </w:p>
    <w:p>
      <w:pPr>
        <w:snapToGrid w:val="0"/>
        <w:spacing w:before="120" w:beforeLines="50" w:line="360" w:lineRule="auto"/>
        <w:ind w:firstLine="472" w:firstLineChars="196"/>
        <w:jc w:val="left"/>
        <w:outlineLvl w:val="1"/>
        <w:rPr>
          <w:rFonts w:hint="eastAsia" w:ascii="宋体" w:hAnsi="宋体" w:cs="宋体"/>
          <w:b/>
          <w:sz w:val="24"/>
          <w:szCs w:val="20"/>
        </w:rPr>
      </w:pPr>
      <w:r>
        <w:rPr>
          <w:rFonts w:hint="eastAsia" w:ascii="宋体" w:hAnsi="宋体" w:cs="宋体"/>
          <w:b/>
          <w:sz w:val="24"/>
        </w:rPr>
        <w:t>（三）招标方式</w:t>
      </w:r>
    </w:p>
    <w:p>
      <w:pPr>
        <w:snapToGrid w:val="0"/>
        <w:spacing w:line="360" w:lineRule="auto"/>
        <w:ind w:firstLine="480" w:firstLineChars="200"/>
        <w:jc w:val="left"/>
        <w:rPr>
          <w:rFonts w:hint="eastAsia" w:ascii="宋体" w:hAnsi="宋体" w:cs="宋体"/>
          <w:sz w:val="24"/>
          <w:szCs w:val="20"/>
        </w:rPr>
      </w:pPr>
      <w:r>
        <w:rPr>
          <w:rFonts w:hint="eastAsia" w:ascii="宋体" w:hAnsi="宋体" w:cs="宋体"/>
          <w:sz w:val="24"/>
        </w:rPr>
        <w:t>本次招标采用公开招标方式进行。</w:t>
      </w:r>
    </w:p>
    <w:p>
      <w:pPr>
        <w:snapToGrid w:val="0"/>
        <w:spacing w:before="120" w:beforeLines="50" w:line="360" w:lineRule="auto"/>
        <w:ind w:firstLine="472" w:firstLineChars="196"/>
        <w:jc w:val="left"/>
        <w:outlineLvl w:val="1"/>
        <w:rPr>
          <w:rFonts w:hint="eastAsia" w:ascii="宋体" w:hAnsi="宋体" w:cs="宋体"/>
          <w:b/>
          <w:sz w:val="24"/>
          <w:szCs w:val="20"/>
        </w:rPr>
      </w:pPr>
      <w:r>
        <w:rPr>
          <w:rFonts w:hint="eastAsia" w:ascii="宋体" w:hAnsi="宋体" w:cs="宋体"/>
          <w:b/>
          <w:sz w:val="24"/>
        </w:rPr>
        <w:t>（四）投标委托</w:t>
      </w:r>
    </w:p>
    <w:p>
      <w:pPr>
        <w:snapToGrid w:val="0"/>
        <w:spacing w:line="380" w:lineRule="exact"/>
        <w:ind w:firstLine="482" w:firstLineChars="200"/>
        <w:rPr>
          <w:rFonts w:hint="eastAsia" w:ascii="宋体" w:hAnsi="宋体" w:cs="宋体"/>
          <w:b/>
          <w:bCs/>
        </w:rPr>
      </w:pPr>
      <w:r>
        <w:rPr>
          <w:rFonts w:hint="eastAsia" w:ascii="宋体" w:hAnsi="宋体" w:cs="宋体"/>
          <w:b/>
          <w:bCs/>
          <w:sz w:val="24"/>
        </w:rPr>
        <w:t>本项目不要求投标人到开标现场开标，但投标人应派法定代表人或委托代理人【委托代理人应当是投标人的在职正式职工（以社保网站拉具的含授权代表的投标单位社保清单为准，无社保网站拉具的投标单位社保清单的，可以提供投标人注册所在地社保部门出具的投标人本单位缴纳社保花名册）】准时在线出席电子开标会议，随时关注开标进度，如在开标过程中有电子询标，应在规定的时间内对电子询标函进行澄清、答复。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pPr>
        <w:snapToGrid w:val="0"/>
        <w:spacing w:line="380" w:lineRule="exact"/>
        <w:ind w:firstLine="482" w:firstLineChars="200"/>
        <w:rPr>
          <w:rFonts w:hint="eastAsia" w:ascii="宋体" w:hAnsi="宋体" w:cs="宋体"/>
          <w:b/>
          <w:bCs/>
          <w:sz w:val="24"/>
        </w:rPr>
      </w:pPr>
      <w:r>
        <w:rPr>
          <w:rFonts w:hint="eastAsia" w:ascii="宋体" w:hAnsi="宋体" w:cs="宋体"/>
          <w:b/>
          <w:bCs/>
          <w:sz w:val="24"/>
        </w:rPr>
        <w:t>投标人未按招标文件要求派代表参加电子开标会议的，视同认可开标结果，不得对开标过程及开标结果提出质疑。</w:t>
      </w:r>
    </w:p>
    <w:p>
      <w:pPr>
        <w:snapToGrid w:val="0"/>
        <w:spacing w:before="120" w:beforeLines="50" w:line="360" w:lineRule="auto"/>
        <w:ind w:firstLine="472" w:firstLineChars="196"/>
        <w:jc w:val="left"/>
        <w:outlineLvl w:val="1"/>
        <w:rPr>
          <w:rFonts w:hint="eastAsia" w:ascii="宋体" w:hAnsi="宋体" w:cs="宋体"/>
          <w:b/>
          <w:sz w:val="24"/>
          <w:szCs w:val="20"/>
        </w:rPr>
      </w:pPr>
      <w:r>
        <w:rPr>
          <w:rFonts w:hint="eastAsia" w:ascii="宋体" w:hAnsi="宋体" w:cs="宋体"/>
          <w:b/>
          <w:sz w:val="24"/>
        </w:rPr>
        <w:t>（五）投标费用</w:t>
      </w:r>
    </w:p>
    <w:p>
      <w:pPr>
        <w:snapToGrid w:val="0"/>
        <w:spacing w:line="360" w:lineRule="auto"/>
        <w:ind w:firstLine="480" w:firstLineChars="200"/>
        <w:jc w:val="left"/>
        <w:rPr>
          <w:rFonts w:hint="eastAsia" w:ascii="宋体" w:hAnsi="宋体" w:cs="宋体"/>
          <w:sz w:val="24"/>
          <w:szCs w:val="20"/>
        </w:rPr>
      </w:pPr>
      <w:r>
        <w:rPr>
          <w:rFonts w:hint="eastAsia" w:ascii="宋体" w:hAnsi="宋体" w:cs="宋体"/>
          <w:sz w:val="24"/>
        </w:rPr>
        <w:t>不论投标结果如何，投标人均应自行承担所有与投标有关的全部费用（招标文件有相反规定除外）。</w:t>
      </w:r>
    </w:p>
    <w:p>
      <w:pPr>
        <w:snapToGrid w:val="0"/>
        <w:spacing w:before="120" w:beforeLines="50" w:line="360" w:lineRule="auto"/>
        <w:ind w:firstLine="472" w:firstLineChars="196"/>
        <w:jc w:val="left"/>
        <w:rPr>
          <w:rFonts w:hint="eastAsia" w:ascii="宋体" w:hAnsi="宋体" w:cs="宋体"/>
          <w:b/>
          <w:sz w:val="24"/>
          <w:szCs w:val="20"/>
        </w:rPr>
      </w:pPr>
      <w:r>
        <w:rPr>
          <w:rFonts w:hint="eastAsia" w:ascii="宋体" w:hAnsi="宋体" w:cs="宋体"/>
          <w:b/>
          <w:sz w:val="24"/>
        </w:rPr>
        <w:t>（六）联合体投标</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本项目</w:t>
      </w:r>
      <w:r>
        <w:rPr>
          <w:rFonts w:hint="eastAsia" w:ascii="宋体" w:hAnsi="宋体" w:cs="宋体"/>
          <w:sz w:val="24"/>
          <w:u w:val="double"/>
        </w:rPr>
        <w:t>允许</w:t>
      </w:r>
      <w:r>
        <w:rPr>
          <w:rFonts w:hint="eastAsia" w:ascii="宋体" w:hAnsi="宋体" w:cs="宋体"/>
          <w:sz w:val="24"/>
        </w:rPr>
        <w:t>联合体投标。</w:t>
      </w:r>
    </w:p>
    <w:p>
      <w:pPr>
        <w:snapToGrid w:val="0"/>
        <w:spacing w:before="120" w:beforeLines="50" w:line="360" w:lineRule="auto"/>
        <w:ind w:firstLine="472" w:firstLineChars="196"/>
        <w:jc w:val="left"/>
        <w:rPr>
          <w:rFonts w:hint="eastAsia" w:ascii="宋体" w:hAnsi="宋体" w:cs="宋体"/>
          <w:b/>
          <w:sz w:val="24"/>
          <w:highlight w:val="none"/>
        </w:rPr>
      </w:pPr>
      <w:r>
        <w:rPr>
          <w:rFonts w:hint="eastAsia" w:ascii="宋体" w:hAnsi="宋体" w:cs="宋体"/>
          <w:b/>
          <w:sz w:val="24"/>
          <w:highlight w:val="none"/>
        </w:rPr>
        <w:t>（七）转包与分包</w:t>
      </w:r>
    </w:p>
    <w:p>
      <w:pPr>
        <w:snapToGrid w:val="0"/>
        <w:spacing w:before="120" w:beforeLines="50" w:line="360" w:lineRule="auto"/>
        <w:ind w:firstLine="540" w:firstLineChars="225"/>
        <w:jc w:val="left"/>
        <w:rPr>
          <w:rFonts w:hint="eastAsia" w:ascii="宋体" w:hAnsi="宋体" w:cs="宋体"/>
          <w:sz w:val="24"/>
          <w:highlight w:val="none"/>
        </w:rPr>
      </w:pPr>
      <w:r>
        <w:rPr>
          <w:rFonts w:hint="eastAsia" w:ascii="宋体" w:hAnsi="宋体" w:cs="宋体"/>
          <w:sz w:val="24"/>
          <w:highlight w:val="none"/>
        </w:rPr>
        <w:t>1.本项目不允许转包。</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2.本项目</w:t>
      </w:r>
      <w:r>
        <w:rPr>
          <w:rFonts w:hint="eastAsia" w:ascii="宋体" w:hAnsi="宋体" w:cs="宋体"/>
          <w:sz w:val="24"/>
          <w:highlight w:val="none"/>
          <w:u w:val="double"/>
        </w:rPr>
        <w:t>可以</w:t>
      </w:r>
      <w:r>
        <w:rPr>
          <w:rFonts w:hint="eastAsia" w:ascii="宋体" w:hAnsi="宋体" w:cs="宋体"/>
          <w:sz w:val="24"/>
          <w:highlight w:val="none"/>
        </w:rPr>
        <w:t>分包。</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3.中小企业享受扶持政策获得政府采购合同的，小微企业不得将合同分包给大中型企业，中型企业不得将合同分包给大型企业。</w:t>
      </w:r>
    </w:p>
    <w:p>
      <w:pPr>
        <w:snapToGrid w:val="0"/>
        <w:spacing w:before="120" w:beforeLines="50" w:line="360" w:lineRule="auto"/>
        <w:ind w:firstLine="472" w:firstLineChars="196"/>
        <w:jc w:val="left"/>
        <w:outlineLvl w:val="1"/>
        <w:rPr>
          <w:rFonts w:hint="eastAsia" w:ascii="宋体" w:hAnsi="宋体" w:cs="宋体"/>
          <w:b/>
          <w:sz w:val="24"/>
          <w:highlight w:val="none"/>
        </w:rPr>
      </w:pPr>
      <w:r>
        <w:rPr>
          <w:rFonts w:hint="eastAsia" w:ascii="宋体" w:hAnsi="宋体" w:cs="宋体"/>
          <w:b/>
          <w:sz w:val="24"/>
          <w:highlight w:val="none"/>
        </w:rPr>
        <w:t>（八）特别说明：</w:t>
      </w:r>
    </w:p>
    <w:p>
      <w:pPr>
        <w:pStyle w:val="27"/>
        <w:snapToGrid w:val="0"/>
        <w:spacing w:before="120" w:after="120" w:line="312" w:lineRule="auto"/>
        <w:ind w:left="2" w:leftChars="1" w:firstLine="482" w:firstLineChars="200"/>
        <w:rPr>
          <w:rFonts w:hint="eastAsia" w:hAnsi="宋体" w:cs="宋体"/>
          <w:b/>
          <w:bCs/>
        </w:rPr>
      </w:pPr>
      <w:r>
        <w:rPr>
          <w:rFonts w:hint="eastAsia" w:hAnsi="宋体" w:cs="宋体"/>
          <w:b/>
          <w:bCs/>
          <w:highlight w:val="none"/>
        </w:rPr>
        <w:t>▲1.多家供应商参加投标，提供相同品牌产品且通过资格审查、符合性审查的不同投标人参加同一合同项下投标的，按一家投标人计算，评审后综合得分最高的同品牌投标人获得中标人推荐资格；评审得分</w:t>
      </w:r>
      <w:r>
        <w:rPr>
          <w:rFonts w:hint="eastAsia" w:hAnsi="宋体" w:cs="宋体"/>
          <w:b/>
          <w:bCs/>
        </w:rPr>
        <w:t>相同的，由采购人或者采购人委托评标委员会采取随机抽取方式确定一个投标人获得中标人推荐资格，其他同品牌投标人不作为中标候选人。</w:t>
      </w:r>
    </w:p>
    <w:p>
      <w:pPr>
        <w:pStyle w:val="27"/>
        <w:snapToGrid w:val="0"/>
        <w:spacing w:before="120" w:after="120" w:line="312" w:lineRule="auto"/>
        <w:ind w:left="2" w:leftChars="1" w:firstLine="482" w:firstLineChars="200"/>
        <w:rPr>
          <w:rFonts w:hint="eastAsia" w:hAnsi="宋体" w:cs="宋体"/>
          <w:b/>
          <w:bCs/>
        </w:rPr>
      </w:pPr>
      <w:r>
        <w:rPr>
          <w:rFonts w:hint="eastAsia" w:hAnsi="宋体" w:cs="宋体"/>
          <w:b/>
          <w:bCs/>
        </w:rPr>
        <w:t>非单一产品采购项目，多家投标人提供相同品牌核心产品的，按前款规定处理。</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2.（1）投标人投标所使用的资格、信誉、荣誉、业绩与企业认证必须为本法人所拥有。</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▲（2）投标人投标所使用的采购项目实施人员必须为本法人员工（或必须为本法人或控股公司正式员工）。</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▲3.投标人应仔细阅读招标文件的所有内容，按照招标文件的要求提交投标文件，并对所提供的全部资料的真实性承担法律责任。</w:t>
      </w:r>
    </w:p>
    <w:p>
      <w:pPr>
        <w:widowControl/>
        <w:spacing w:line="360" w:lineRule="auto"/>
        <w:ind w:firstLine="480" w:firstLineChars="200"/>
        <w:jc w:val="left"/>
        <w:rPr>
          <w:rFonts w:hint="eastAsia" w:ascii="宋体" w:hAnsi="宋体" w:cs="宋体"/>
        </w:rPr>
      </w:pPr>
      <w:r>
        <w:rPr>
          <w:rFonts w:hint="eastAsia" w:ascii="宋体" w:hAnsi="宋体" w:cs="宋体"/>
          <w:sz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7"/>
        <w:snapToGrid w:val="0"/>
        <w:spacing w:before="120" w:after="120" w:line="360" w:lineRule="auto"/>
        <w:ind w:firstLine="472" w:firstLineChars="196"/>
        <w:outlineLvl w:val="1"/>
        <w:rPr>
          <w:rFonts w:hint="eastAsia" w:hAnsi="宋体" w:cs="宋体"/>
          <w:b/>
          <w:bCs/>
        </w:rPr>
      </w:pPr>
      <w:r>
        <w:rPr>
          <w:rFonts w:hint="eastAsia" w:hAnsi="宋体" w:cs="宋体"/>
          <w:b/>
          <w:bCs/>
        </w:rPr>
        <w:t>（九）质疑和投诉</w:t>
      </w:r>
    </w:p>
    <w:p>
      <w:pPr>
        <w:pStyle w:val="27"/>
        <w:snapToGrid w:val="0"/>
        <w:spacing w:before="120" w:after="120" w:line="360" w:lineRule="auto"/>
        <w:ind w:firstLine="480" w:firstLineChars="200"/>
        <w:rPr>
          <w:rFonts w:hint="eastAsia" w:hAnsi="宋体" w:cs="宋体"/>
          <w:bCs/>
        </w:rPr>
      </w:pPr>
      <w:r>
        <w:rPr>
          <w:rFonts w:hint="eastAsia" w:hAnsi="宋体" w:cs="宋体"/>
          <w:bCs/>
        </w:rPr>
        <w:t>1.投标人认为招标文件、招标过程或中标结果使自己的合法权益受到损害的，应当在知道或者应知其权益受到损害之日起七个工作日内，以书面形式向采购人、招标方提出质疑。</w:t>
      </w:r>
      <w:r>
        <w:rPr>
          <w:rFonts w:hint="eastAsia" w:hAnsi="宋体" w:cs="宋体"/>
        </w:rPr>
        <w:t>投标人对招标采购单位的质疑答复不满意或者招标采购单位未在规定时间内作出答复的，可以在答复期满后十五个工作日内向同级采购监管部门投诉。</w:t>
      </w:r>
    </w:p>
    <w:p>
      <w:pPr>
        <w:pStyle w:val="27"/>
        <w:snapToGrid w:val="0"/>
        <w:spacing w:before="120" w:after="120" w:line="360" w:lineRule="auto"/>
        <w:ind w:firstLine="480" w:firstLineChars="200"/>
        <w:rPr>
          <w:rFonts w:hint="eastAsia" w:hAnsi="宋体" w:cs="宋体"/>
          <w:bCs/>
        </w:rPr>
      </w:pPr>
      <w:r>
        <w:rPr>
          <w:rFonts w:hint="eastAsia" w:hAnsi="宋体" w:cs="宋体"/>
          <w:bCs/>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7"/>
        <w:snapToGrid w:val="0"/>
        <w:spacing w:before="120" w:after="120" w:line="360" w:lineRule="auto"/>
        <w:ind w:firstLine="472" w:firstLineChars="196"/>
        <w:outlineLvl w:val="1"/>
        <w:rPr>
          <w:rFonts w:hint="eastAsia" w:hAnsi="宋体"/>
          <w:b/>
          <w:bCs/>
          <w:highlight w:val="none"/>
        </w:rPr>
      </w:pPr>
      <w:r>
        <w:rPr>
          <w:rFonts w:hint="eastAsia" w:hAnsi="宋体"/>
          <w:b/>
          <w:bCs/>
          <w:highlight w:val="none"/>
        </w:rPr>
        <w:t>（十）政府采购政策落实</w:t>
      </w:r>
    </w:p>
    <w:p>
      <w:pPr>
        <w:pStyle w:val="42"/>
        <w:adjustRightInd w:val="0"/>
        <w:snapToGrid w:val="0"/>
        <w:spacing w:beforeAutospacing="0" w:afterAutospacing="0" w:line="360" w:lineRule="auto"/>
        <w:ind w:firstLine="480" w:firstLineChars="200"/>
        <w:rPr>
          <w:rFonts w:hint="eastAsia" w:cs="宋体"/>
          <w:highlight w:val="none"/>
          <w:lang w:bidi="ar"/>
        </w:rPr>
      </w:pPr>
      <w:r>
        <w:rPr>
          <w:rFonts w:hint="eastAsia" w:cs="宋体"/>
          <w:highlight w:val="none"/>
          <w:lang w:val="en" w:bidi="ar"/>
        </w:rPr>
        <w:t>1</w:t>
      </w:r>
      <w:r>
        <w:rPr>
          <w:rFonts w:hint="eastAsia" w:cs="宋体"/>
          <w:highlight w:val="none"/>
          <w:lang w:bidi="ar"/>
        </w:rPr>
        <w:t>.采购项目需要落实的政府采购政策</w:t>
      </w:r>
    </w:p>
    <w:p>
      <w:pPr>
        <w:pStyle w:val="42"/>
        <w:adjustRightInd w:val="0"/>
        <w:snapToGrid w:val="0"/>
        <w:spacing w:beforeAutospacing="0" w:afterAutospacing="0" w:line="360" w:lineRule="auto"/>
        <w:ind w:firstLine="480" w:firstLineChars="200"/>
        <w:rPr>
          <w:rFonts w:hint="eastAsia" w:cs="宋体"/>
          <w:highlight w:val="none"/>
          <w:lang w:bidi="ar"/>
        </w:rPr>
      </w:pPr>
      <w:r>
        <w:rPr>
          <w:rFonts w:hint="eastAsia" w:cs="宋体"/>
          <w:highlight w:val="none"/>
          <w:lang w:val="en" w:bidi="ar"/>
        </w:rPr>
        <w:t>1</w:t>
      </w:r>
      <w:r>
        <w:rPr>
          <w:rFonts w:hint="eastAsia" w:cs="宋体"/>
          <w:highlight w:val="none"/>
          <w:lang w:bidi="ar"/>
        </w:rPr>
        <w:t>.1 本项目原则上采购本国生产的货物、工程和服务，不允许采购进口产品。除非采购人采购进口产品，已经在采购活动开始前向财政部门提出申请并获得财政部门审核同意，且在采购需求中明确规定可以采购进口</w:t>
      </w:r>
      <w:r>
        <w:rPr>
          <w:rFonts w:hint="eastAsia" w:cs="宋体"/>
          <w:color w:val="auto"/>
          <w:highlight w:val="none"/>
          <w:lang w:bidi="ar"/>
        </w:rPr>
        <w:t>产品，未明确视同不得采购进口产品（但如果因信息不对称等原因，仍有满足需求</w:t>
      </w:r>
      <w:r>
        <w:rPr>
          <w:rFonts w:hint="eastAsia" w:cs="宋体"/>
          <w:highlight w:val="none"/>
          <w:lang w:bidi="ar"/>
        </w:rPr>
        <w:t>的国内产品要求参与采购竞争的，采购人、采购机构不会对其加以限制，仍将按照公平竞争原则实施采购）。</w:t>
      </w:r>
    </w:p>
    <w:p>
      <w:pPr>
        <w:pStyle w:val="42"/>
        <w:adjustRightInd w:val="0"/>
        <w:snapToGrid w:val="0"/>
        <w:spacing w:beforeAutospacing="0" w:afterAutospacing="0" w:line="360" w:lineRule="auto"/>
        <w:ind w:firstLine="480" w:firstLineChars="200"/>
        <w:rPr>
          <w:rFonts w:hint="eastAsia" w:cs="宋体"/>
          <w:highlight w:val="none"/>
          <w:lang w:bidi="ar"/>
        </w:rPr>
      </w:pPr>
      <w:r>
        <w:rPr>
          <w:rFonts w:hint="eastAsia" w:cs="宋体"/>
          <w:highlight w:val="none"/>
          <w:lang w:val="en" w:bidi="ar"/>
        </w:rPr>
        <w:t>1</w:t>
      </w:r>
      <w:r>
        <w:rPr>
          <w:rFonts w:hint="eastAsia" w:cs="宋体"/>
          <w:highlight w:val="none"/>
          <w:lang w:bidi="ar"/>
        </w:rPr>
        <w:t>.2 支持绿色发展</w:t>
      </w:r>
    </w:p>
    <w:p>
      <w:pPr>
        <w:pStyle w:val="42"/>
        <w:adjustRightInd w:val="0"/>
        <w:snapToGrid w:val="0"/>
        <w:spacing w:beforeAutospacing="0" w:afterAutospacing="0" w:line="360" w:lineRule="auto"/>
        <w:ind w:firstLine="480" w:firstLineChars="200"/>
        <w:rPr>
          <w:rFonts w:hint="eastAsia" w:cs="宋体"/>
          <w:highlight w:val="none"/>
          <w:lang w:bidi="ar"/>
        </w:rPr>
      </w:pPr>
      <w:r>
        <w:rPr>
          <w:rFonts w:hint="eastAsia" w:cs="宋体"/>
          <w:highlight w:val="none"/>
          <w:lang w:val="en" w:bidi="ar"/>
        </w:rPr>
        <w:t>1</w:t>
      </w:r>
      <w:r>
        <w:rPr>
          <w:rFonts w:hint="eastAsia" w:cs="宋体"/>
          <w:highlight w:val="none"/>
          <w:lang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42"/>
        <w:adjustRightInd w:val="0"/>
        <w:snapToGrid w:val="0"/>
        <w:spacing w:beforeAutospacing="0" w:afterAutospacing="0" w:line="360" w:lineRule="auto"/>
        <w:ind w:firstLine="480" w:firstLineChars="200"/>
        <w:rPr>
          <w:rFonts w:hint="eastAsia" w:cs="宋体"/>
          <w:highlight w:val="none"/>
          <w:lang w:bidi="ar"/>
        </w:rPr>
      </w:pPr>
      <w:r>
        <w:rPr>
          <w:rFonts w:hint="eastAsia" w:cs="宋体"/>
          <w:highlight w:val="none"/>
          <w:lang w:val="en" w:bidi="ar"/>
        </w:rPr>
        <w:t>1</w:t>
      </w:r>
      <w:r>
        <w:rPr>
          <w:rFonts w:hint="eastAsia" w:cs="宋体"/>
          <w:highlight w:val="none"/>
          <w:lang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42"/>
        <w:adjustRightInd w:val="0"/>
        <w:snapToGrid w:val="0"/>
        <w:spacing w:beforeAutospacing="0" w:afterAutospacing="0" w:line="360" w:lineRule="auto"/>
        <w:ind w:firstLine="480" w:firstLineChars="200"/>
        <w:rPr>
          <w:rFonts w:hint="eastAsia" w:cs="宋体"/>
          <w:highlight w:val="none"/>
          <w:lang w:bidi="ar"/>
        </w:rPr>
      </w:pPr>
      <w:r>
        <w:rPr>
          <w:rFonts w:hint="eastAsia" w:cs="宋体"/>
          <w:highlight w:val="none"/>
          <w:lang w:val="en" w:bidi="ar"/>
        </w:rPr>
        <w:t>1</w:t>
      </w:r>
      <w:r>
        <w:rPr>
          <w:rFonts w:hint="eastAsia" w:cs="宋体"/>
          <w:highlight w:val="none"/>
          <w:lang w:bidi="ar"/>
        </w:rPr>
        <w:t>.3支持中小企业发展</w:t>
      </w:r>
    </w:p>
    <w:p>
      <w:pPr>
        <w:pStyle w:val="42"/>
        <w:adjustRightInd w:val="0"/>
        <w:snapToGrid w:val="0"/>
        <w:spacing w:beforeAutospacing="0" w:afterAutospacing="0" w:line="360" w:lineRule="auto"/>
        <w:ind w:firstLine="480" w:firstLineChars="200"/>
        <w:rPr>
          <w:rFonts w:hint="eastAsia" w:cs="宋体"/>
          <w:highlight w:val="none"/>
          <w:lang w:bidi="ar"/>
        </w:rPr>
      </w:pPr>
      <w:r>
        <w:rPr>
          <w:rFonts w:hint="eastAsia" w:cs="宋体"/>
          <w:highlight w:val="none"/>
          <w:lang w:val="en" w:bidi="ar"/>
        </w:rPr>
        <w:t>1</w:t>
      </w:r>
      <w:r>
        <w:rPr>
          <w:rFonts w:hint="eastAsia" w:cs="宋体"/>
          <w:highlight w:val="none"/>
          <w:lang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2"/>
        <w:adjustRightInd w:val="0"/>
        <w:snapToGrid w:val="0"/>
        <w:spacing w:beforeAutospacing="0" w:afterAutospacing="0" w:line="360" w:lineRule="auto"/>
        <w:ind w:firstLine="480" w:firstLineChars="200"/>
        <w:rPr>
          <w:rFonts w:hint="eastAsia" w:cs="宋体"/>
          <w:highlight w:val="none"/>
          <w:lang w:bidi="ar"/>
        </w:rPr>
      </w:pPr>
      <w:r>
        <w:rPr>
          <w:rFonts w:hint="eastAsia" w:cs="宋体"/>
          <w:highlight w:val="none"/>
          <w:lang w:bidi="ar"/>
        </w:rPr>
        <w:t>符合中小企业划分标准的个体工商户，在政府采购活动中视同中小企业。</w:t>
      </w:r>
    </w:p>
    <w:p>
      <w:pPr>
        <w:pStyle w:val="42"/>
        <w:adjustRightInd w:val="0"/>
        <w:snapToGrid w:val="0"/>
        <w:spacing w:beforeAutospacing="0" w:afterAutospacing="0" w:line="360" w:lineRule="auto"/>
        <w:ind w:firstLine="480" w:firstLineChars="200"/>
        <w:rPr>
          <w:rFonts w:hint="eastAsia" w:cs="宋体"/>
          <w:highlight w:val="none"/>
          <w:lang w:bidi="ar"/>
        </w:rPr>
      </w:pPr>
      <w:r>
        <w:rPr>
          <w:rFonts w:hint="eastAsia" w:cs="宋体"/>
          <w:highlight w:val="none"/>
          <w:lang w:val="en" w:bidi="ar"/>
        </w:rPr>
        <w:t>1</w:t>
      </w:r>
      <w:r>
        <w:rPr>
          <w:rFonts w:hint="eastAsia" w:cs="宋体"/>
          <w:highlight w:val="none"/>
          <w:lang w:bidi="ar"/>
        </w:rPr>
        <w:t>.3.2在政府采购活动中，供应商提供的货物、工程或者服务符合下列情形的，享受中小企业扶持政策：</w:t>
      </w:r>
    </w:p>
    <w:p>
      <w:pPr>
        <w:pStyle w:val="42"/>
        <w:adjustRightInd w:val="0"/>
        <w:snapToGrid w:val="0"/>
        <w:spacing w:beforeAutospacing="0" w:afterAutospacing="0" w:line="360" w:lineRule="auto"/>
        <w:ind w:firstLine="480" w:firstLineChars="200"/>
        <w:rPr>
          <w:rFonts w:hint="eastAsia" w:cs="宋体"/>
          <w:highlight w:val="none"/>
          <w:lang w:bidi="ar"/>
        </w:rPr>
      </w:pPr>
      <w:r>
        <w:rPr>
          <w:rFonts w:hint="eastAsia" w:cs="宋体"/>
          <w:highlight w:val="none"/>
          <w:lang w:val="en" w:bidi="ar"/>
        </w:rPr>
        <w:t>1</w:t>
      </w:r>
      <w:r>
        <w:rPr>
          <w:rFonts w:hint="eastAsia" w:cs="宋体"/>
          <w:highlight w:val="none"/>
          <w:lang w:bidi="ar"/>
        </w:rPr>
        <w:t>.3.2.1在货物采购项目中，货物由中小企业制造，即货物由中小企业生产且使用该中小企业商号或者注册商标；</w:t>
      </w:r>
    </w:p>
    <w:p>
      <w:pPr>
        <w:pStyle w:val="42"/>
        <w:adjustRightInd w:val="0"/>
        <w:snapToGrid w:val="0"/>
        <w:spacing w:beforeAutospacing="0" w:afterAutospacing="0" w:line="360" w:lineRule="auto"/>
        <w:ind w:firstLine="480" w:firstLineChars="200"/>
        <w:rPr>
          <w:rFonts w:hint="eastAsia" w:cs="宋体"/>
          <w:highlight w:val="none"/>
          <w:lang w:bidi="ar"/>
        </w:rPr>
      </w:pPr>
      <w:r>
        <w:rPr>
          <w:rFonts w:hint="eastAsia" w:cs="宋体"/>
          <w:highlight w:val="none"/>
          <w:lang w:val="en" w:bidi="ar"/>
        </w:rPr>
        <w:t>1</w:t>
      </w:r>
      <w:r>
        <w:rPr>
          <w:rFonts w:hint="eastAsia" w:cs="宋体"/>
          <w:highlight w:val="none"/>
          <w:lang w:bidi="ar"/>
        </w:rPr>
        <w:t>.3.2.2在工程采购项目中，工程由中小企业承建，即工程施工单位为中小企业；</w:t>
      </w:r>
    </w:p>
    <w:p>
      <w:pPr>
        <w:pStyle w:val="42"/>
        <w:adjustRightInd w:val="0"/>
        <w:snapToGrid w:val="0"/>
        <w:spacing w:beforeAutospacing="0" w:afterAutospacing="0" w:line="360" w:lineRule="auto"/>
        <w:ind w:firstLine="480" w:firstLineChars="200"/>
        <w:rPr>
          <w:rFonts w:hint="eastAsia" w:cs="宋体"/>
          <w:highlight w:val="none"/>
          <w:lang w:bidi="ar"/>
        </w:rPr>
      </w:pPr>
      <w:r>
        <w:rPr>
          <w:rFonts w:hint="eastAsia" w:cs="宋体"/>
          <w:highlight w:val="none"/>
          <w:lang w:val="en" w:bidi="ar"/>
        </w:rPr>
        <w:t>1</w:t>
      </w:r>
      <w:r>
        <w:rPr>
          <w:rFonts w:hint="eastAsia" w:cs="宋体"/>
          <w:highlight w:val="none"/>
          <w:lang w:bidi="ar"/>
        </w:rPr>
        <w:t>.3.2.3在服务采购项目中，服务由中小企业承接，即提供服务的人员为中小企业依照《中华人民共和国劳动合同法》订立劳动合同的从业人员。</w:t>
      </w:r>
    </w:p>
    <w:p>
      <w:pPr>
        <w:pStyle w:val="42"/>
        <w:adjustRightInd w:val="0"/>
        <w:snapToGrid w:val="0"/>
        <w:spacing w:beforeAutospacing="0" w:afterAutospacing="0" w:line="360" w:lineRule="auto"/>
        <w:ind w:firstLine="480" w:firstLineChars="200"/>
        <w:rPr>
          <w:rFonts w:hint="eastAsia" w:cs="宋体"/>
          <w:highlight w:val="none"/>
          <w:lang w:bidi="ar"/>
        </w:rPr>
      </w:pPr>
      <w:r>
        <w:rPr>
          <w:rFonts w:hint="eastAsia" w:cs="宋体"/>
          <w:highlight w:val="none"/>
          <w:lang w:bidi="ar"/>
        </w:rPr>
        <w:t>在货物采购项目中，供应商提供的货物既有中小企业制造货物，也有大型企业制造货物的，不享受中小企业扶持政策。</w:t>
      </w:r>
    </w:p>
    <w:p>
      <w:pPr>
        <w:pStyle w:val="42"/>
        <w:adjustRightInd w:val="0"/>
        <w:snapToGrid w:val="0"/>
        <w:spacing w:beforeAutospacing="0" w:afterAutospacing="0" w:line="360" w:lineRule="auto"/>
        <w:ind w:firstLine="480" w:firstLineChars="200"/>
        <w:rPr>
          <w:rFonts w:hint="eastAsia" w:cs="宋体"/>
          <w:highlight w:val="none"/>
          <w:lang w:bidi="ar"/>
        </w:rPr>
      </w:pPr>
      <w:r>
        <w:rPr>
          <w:rFonts w:hint="eastAsia" w:cs="宋体"/>
          <w:highlight w:val="none"/>
          <w:lang w:bidi="ar"/>
        </w:rPr>
        <w:t>以联合体形式参加政府采购活动，联合体各方均为中小企业的，联合体视同中小企业。其中，联合体各方均为小微企业的，联合体视同小微企业。</w:t>
      </w:r>
    </w:p>
    <w:p>
      <w:pPr>
        <w:pStyle w:val="42"/>
        <w:adjustRightInd w:val="0"/>
        <w:snapToGrid w:val="0"/>
        <w:spacing w:beforeAutospacing="0" w:afterAutospacing="0" w:line="360" w:lineRule="auto"/>
        <w:ind w:firstLine="480" w:firstLineChars="200"/>
        <w:rPr>
          <w:rFonts w:hint="eastAsia" w:cs="宋体"/>
          <w:highlight w:val="none"/>
          <w:lang w:bidi="ar"/>
        </w:rPr>
      </w:pPr>
      <w:r>
        <w:rPr>
          <w:rFonts w:hint="eastAsia" w:cs="宋体"/>
          <w:highlight w:val="none"/>
          <w:lang w:val="en" w:bidi="ar"/>
        </w:rPr>
        <w:t>1</w:t>
      </w:r>
      <w:r>
        <w:rPr>
          <w:rFonts w:hint="eastAsia" w:cs="宋体"/>
          <w:highlight w:val="none"/>
          <w:lang w:bidi="ar"/>
        </w:rPr>
        <w:t>.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pStyle w:val="42"/>
        <w:adjustRightInd w:val="0"/>
        <w:snapToGrid w:val="0"/>
        <w:spacing w:beforeAutospacing="0" w:afterAutospacing="0" w:line="360" w:lineRule="auto"/>
        <w:ind w:firstLine="480" w:firstLineChars="200"/>
        <w:rPr>
          <w:rFonts w:hint="eastAsia" w:cs="宋体"/>
          <w:highlight w:val="none"/>
          <w:lang w:bidi="ar"/>
        </w:rPr>
      </w:pPr>
      <w:r>
        <w:rPr>
          <w:rFonts w:hint="eastAsia" w:cs="宋体"/>
          <w:highlight w:val="none"/>
          <w:lang w:val="en" w:bidi="ar"/>
        </w:rPr>
        <w:t>1</w:t>
      </w:r>
      <w:r>
        <w:rPr>
          <w:rFonts w:hint="eastAsia" w:cs="宋体"/>
          <w:highlight w:val="none"/>
          <w:lang w:bidi="ar"/>
        </w:rPr>
        <w:t>.3.4符合《关于促进残疾人就业政府采购政策的通知》（财库〔2017〕141号）规定的条件并提供《残疾人福利性单位声明函》的残疾人福利性单位视同小型、微型企业；</w:t>
      </w:r>
    </w:p>
    <w:p>
      <w:pPr>
        <w:pStyle w:val="42"/>
        <w:adjustRightInd w:val="0"/>
        <w:snapToGrid w:val="0"/>
        <w:spacing w:beforeAutospacing="0" w:afterAutospacing="0" w:line="360" w:lineRule="auto"/>
        <w:ind w:firstLine="480" w:firstLineChars="200"/>
        <w:rPr>
          <w:rFonts w:hint="eastAsia" w:cs="宋体"/>
          <w:highlight w:val="none"/>
          <w:lang w:bidi="ar"/>
        </w:rPr>
      </w:pPr>
      <w:r>
        <w:rPr>
          <w:rFonts w:hint="eastAsia" w:cs="宋体"/>
          <w:highlight w:val="none"/>
          <w:lang w:val="en" w:bidi="ar"/>
        </w:rPr>
        <w:t>1</w:t>
      </w:r>
      <w:r>
        <w:rPr>
          <w:rFonts w:hint="eastAsia" w:cs="宋体"/>
          <w:highlight w:val="none"/>
          <w:lang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42"/>
        <w:adjustRightInd w:val="0"/>
        <w:snapToGrid w:val="0"/>
        <w:spacing w:beforeAutospacing="0" w:afterAutospacing="0" w:line="360" w:lineRule="auto"/>
        <w:ind w:firstLine="480" w:firstLineChars="200"/>
        <w:rPr>
          <w:rFonts w:hint="eastAsia" w:cs="宋体"/>
          <w:highlight w:val="none"/>
          <w:lang w:bidi="ar"/>
        </w:rPr>
      </w:pPr>
      <w:r>
        <w:rPr>
          <w:rFonts w:hint="eastAsia" w:cs="宋体"/>
          <w:highlight w:val="none"/>
          <w:lang w:val="en" w:bidi="ar"/>
        </w:rPr>
        <w:t>1</w:t>
      </w:r>
      <w:r>
        <w:rPr>
          <w:rFonts w:hint="eastAsia" w:cs="宋体"/>
          <w:highlight w:val="none"/>
          <w:lang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42"/>
        <w:adjustRightInd w:val="0"/>
        <w:snapToGrid w:val="0"/>
        <w:spacing w:beforeAutospacing="0" w:afterAutospacing="0" w:line="360" w:lineRule="auto"/>
        <w:ind w:firstLine="480" w:firstLineChars="200"/>
        <w:rPr>
          <w:rFonts w:hint="eastAsia" w:cs="宋体"/>
          <w:highlight w:val="none"/>
          <w:lang w:bidi="ar"/>
        </w:rPr>
      </w:pPr>
      <w:r>
        <w:rPr>
          <w:rFonts w:hint="eastAsia" w:cs="宋体"/>
          <w:highlight w:val="none"/>
          <w:lang w:val="en" w:bidi="ar"/>
        </w:rPr>
        <w:t>1</w:t>
      </w:r>
      <w:r>
        <w:rPr>
          <w:rFonts w:hint="eastAsia" w:cs="宋体"/>
          <w:highlight w:val="none"/>
          <w:lang w:bidi="ar"/>
        </w:rPr>
        <w:t>.3.7中小企业享受扶持政策获得政府采购合同的，小微企业不得将合同分包给大中型企业，中型企业不得将合同分包给大型企业。</w:t>
      </w:r>
    </w:p>
    <w:p>
      <w:pPr>
        <w:pStyle w:val="42"/>
        <w:adjustRightInd w:val="0"/>
        <w:snapToGrid w:val="0"/>
        <w:spacing w:beforeAutospacing="0" w:afterAutospacing="0" w:line="360" w:lineRule="auto"/>
        <w:ind w:firstLine="480" w:firstLineChars="200"/>
        <w:rPr>
          <w:rFonts w:hint="eastAsia" w:cs="宋体"/>
          <w:highlight w:val="none"/>
          <w:lang w:bidi="ar"/>
        </w:rPr>
      </w:pPr>
      <w:r>
        <w:rPr>
          <w:rFonts w:hint="eastAsia" w:cs="宋体"/>
          <w:highlight w:val="none"/>
          <w:lang w:val="en" w:bidi="ar"/>
        </w:rPr>
        <w:t>1</w:t>
      </w:r>
      <w:r>
        <w:rPr>
          <w:rFonts w:hint="eastAsia" w:cs="宋体"/>
          <w:highlight w:val="none"/>
          <w:lang w:bidi="ar"/>
        </w:rPr>
        <w:t>.4支持创新发展</w:t>
      </w:r>
    </w:p>
    <w:p>
      <w:pPr>
        <w:pStyle w:val="42"/>
        <w:adjustRightInd w:val="0"/>
        <w:snapToGrid w:val="0"/>
        <w:spacing w:beforeAutospacing="0" w:afterAutospacing="0" w:line="360" w:lineRule="auto"/>
        <w:ind w:firstLine="480" w:firstLineChars="200"/>
        <w:rPr>
          <w:rFonts w:hint="eastAsia" w:cs="宋体"/>
          <w:highlight w:val="none"/>
          <w:lang w:bidi="ar"/>
        </w:rPr>
      </w:pPr>
      <w:r>
        <w:rPr>
          <w:rFonts w:hint="eastAsia" w:cs="宋体"/>
          <w:highlight w:val="none"/>
          <w:lang w:val="en" w:bidi="ar"/>
        </w:rPr>
        <w:t>1</w:t>
      </w:r>
      <w:r>
        <w:rPr>
          <w:rFonts w:hint="eastAsia" w:cs="宋体"/>
          <w:highlight w:val="none"/>
          <w:lang w:bidi="ar"/>
        </w:rPr>
        <w:t>.4.1 采购人优先采购被认定为首台套产品和“制造精品”的自主创新产品。</w:t>
      </w:r>
    </w:p>
    <w:p>
      <w:pPr>
        <w:pStyle w:val="42"/>
        <w:adjustRightInd w:val="0"/>
        <w:snapToGrid w:val="0"/>
        <w:spacing w:beforeAutospacing="0" w:afterAutospacing="0" w:line="360" w:lineRule="auto"/>
        <w:ind w:firstLine="480" w:firstLineChars="200"/>
        <w:rPr>
          <w:rFonts w:hint="eastAsia" w:cs="宋体"/>
          <w:highlight w:val="none"/>
          <w:lang w:bidi="ar"/>
        </w:rPr>
      </w:pPr>
      <w:r>
        <w:rPr>
          <w:rFonts w:hint="eastAsia" w:cs="宋体"/>
          <w:highlight w:val="none"/>
          <w:lang w:val="en" w:bidi="ar"/>
        </w:rPr>
        <w:t>1</w:t>
      </w:r>
      <w:r>
        <w:rPr>
          <w:rFonts w:hint="eastAsia" w:cs="宋体"/>
          <w:highlight w:val="none"/>
          <w:lang w:bidi="ar"/>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42"/>
        <w:adjustRightInd w:val="0"/>
        <w:snapToGrid w:val="0"/>
        <w:spacing w:beforeAutospacing="0" w:afterAutospacing="0" w:line="360" w:lineRule="auto"/>
        <w:ind w:firstLine="480" w:firstLineChars="200"/>
        <w:rPr>
          <w:rFonts w:hint="eastAsia"/>
          <w:highlight w:val="none"/>
        </w:rPr>
      </w:pPr>
      <w:r>
        <w:rPr>
          <w:rFonts w:hint="eastAsia" w:cs="宋体"/>
          <w:highlight w:val="none"/>
          <w:lang w:val="en" w:bidi="ar"/>
        </w:rPr>
        <w:t>1</w:t>
      </w:r>
      <w:r>
        <w:rPr>
          <w:rFonts w:hint="eastAsia" w:cs="宋体"/>
          <w:highlight w:val="none"/>
          <w:lang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pStyle w:val="27"/>
        <w:snapToGrid w:val="0"/>
        <w:spacing w:before="120" w:after="120" w:line="360" w:lineRule="auto"/>
        <w:ind w:firstLine="551" w:firstLineChars="196"/>
        <w:outlineLvl w:val="0"/>
        <w:rPr>
          <w:rFonts w:hint="eastAsia" w:hAnsi="宋体" w:cs="宋体"/>
          <w:b/>
          <w:sz w:val="28"/>
          <w:szCs w:val="28"/>
          <w:highlight w:val="none"/>
        </w:rPr>
      </w:pPr>
      <w:r>
        <w:rPr>
          <w:rFonts w:hint="eastAsia" w:hAnsi="宋体" w:cs="宋体"/>
          <w:b/>
          <w:sz w:val="28"/>
          <w:szCs w:val="28"/>
          <w:highlight w:val="none"/>
        </w:rPr>
        <w:t>二、招标文件</w:t>
      </w:r>
    </w:p>
    <w:p>
      <w:pPr>
        <w:snapToGrid w:val="0"/>
        <w:spacing w:line="360" w:lineRule="auto"/>
        <w:ind w:firstLine="472" w:firstLineChars="196"/>
        <w:jc w:val="left"/>
        <w:rPr>
          <w:rFonts w:hint="eastAsia" w:ascii="宋体" w:hAnsi="宋体" w:cs="宋体"/>
          <w:b/>
          <w:sz w:val="24"/>
          <w:szCs w:val="20"/>
          <w:highlight w:val="none"/>
        </w:rPr>
      </w:pPr>
      <w:r>
        <w:rPr>
          <w:rFonts w:hint="eastAsia" w:ascii="宋体" w:hAnsi="宋体" w:cs="宋体"/>
          <w:b/>
          <w:sz w:val="24"/>
          <w:highlight w:val="none"/>
        </w:rPr>
        <w:t>（一）招标文件的构成。本招标文件由以下部分组成：</w:t>
      </w:r>
    </w:p>
    <w:p>
      <w:pPr>
        <w:snapToGrid w:val="0"/>
        <w:spacing w:line="360" w:lineRule="auto"/>
        <w:ind w:firstLine="480" w:firstLineChars="200"/>
        <w:jc w:val="left"/>
        <w:rPr>
          <w:rFonts w:hint="eastAsia" w:ascii="宋体" w:hAnsi="宋体" w:cs="宋体"/>
          <w:sz w:val="24"/>
          <w:szCs w:val="20"/>
          <w:highlight w:val="none"/>
        </w:rPr>
      </w:pPr>
      <w:r>
        <w:rPr>
          <w:rFonts w:hint="eastAsia" w:ascii="宋体" w:hAnsi="宋体" w:cs="宋体"/>
          <w:sz w:val="24"/>
          <w:highlight w:val="none"/>
        </w:rPr>
        <w:t>1.招标公告</w:t>
      </w:r>
    </w:p>
    <w:p>
      <w:pPr>
        <w:snapToGrid w:val="0"/>
        <w:spacing w:line="360" w:lineRule="auto"/>
        <w:ind w:firstLine="480" w:firstLineChars="200"/>
        <w:jc w:val="left"/>
        <w:rPr>
          <w:rFonts w:hint="eastAsia" w:ascii="宋体" w:hAnsi="宋体" w:cs="宋体"/>
          <w:sz w:val="24"/>
          <w:szCs w:val="20"/>
          <w:highlight w:val="none"/>
        </w:rPr>
      </w:pPr>
      <w:r>
        <w:rPr>
          <w:rFonts w:hint="eastAsia" w:ascii="宋体" w:hAnsi="宋体" w:cs="宋体"/>
          <w:sz w:val="24"/>
          <w:highlight w:val="none"/>
        </w:rPr>
        <w:t>2.招标需求</w:t>
      </w:r>
    </w:p>
    <w:p>
      <w:pPr>
        <w:snapToGrid w:val="0"/>
        <w:spacing w:line="360" w:lineRule="auto"/>
        <w:ind w:firstLine="480" w:firstLineChars="200"/>
        <w:jc w:val="left"/>
        <w:rPr>
          <w:rFonts w:hint="eastAsia" w:ascii="宋体" w:hAnsi="宋体" w:cs="宋体"/>
          <w:sz w:val="24"/>
          <w:szCs w:val="20"/>
          <w:highlight w:val="none"/>
        </w:rPr>
      </w:pPr>
      <w:r>
        <w:rPr>
          <w:rFonts w:hint="eastAsia" w:ascii="宋体" w:hAnsi="宋体" w:cs="宋体"/>
          <w:sz w:val="24"/>
          <w:highlight w:val="none"/>
        </w:rPr>
        <w:t>3.投标人须知</w:t>
      </w:r>
    </w:p>
    <w:p>
      <w:pPr>
        <w:snapToGrid w:val="0"/>
        <w:spacing w:line="360" w:lineRule="auto"/>
        <w:ind w:firstLine="480" w:firstLineChars="200"/>
        <w:jc w:val="left"/>
        <w:rPr>
          <w:rFonts w:hint="eastAsia" w:ascii="宋体" w:hAnsi="宋体" w:cs="宋体"/>
          <w:sz w:val="24"/>
          <w:szCs w:val="20"/>
          <w:highlight w:val="none"/>
        </w:rPr>
      </w:pPr>
      <w:r>
        <w:rPr>
          <w:rFonts w:hint="eastAsia" w:ascii="宋体" w:hAnsi="宋体" w:cs="宋体"/>
          <w:sz w:val="24"/>
          <w:highlight w:val="none"/>
        </w:rPr>
        <w:t>4.评标办法及标准</w:t>
      </w:r>
    </w:p>
    <w:p>
      <w:pPr>
        <w:snapToGrid w:val="0"/>
        <w:spacing w:line="360" w:lineRule="auto"/>
        <w:ind w:firstLine="480" w:firstLineChars="200"/>
        <w:jc w:val="left"/>
        <w:rPr>
          <w:rFonts w:hint="eastAsia" w:ascii="宋体" w:hAnsi="宋体" w:cs="宋体"/>
          <w:sz w:val="24"/>
          <w:szCs w:val="20"/>
          <w:highlight w:val="none"/>
        </w:rPr>
      </w:pPr>
      <w:r>
        <w:rPr>
          <w:rFonts w:hint="eastAsia" w:ascii="宋体" w:hAnsi="宋体" w:cs="宋体"/>
          <w:sz w:val="24"/>
          <w:highlight w:val="none"/>
        </w:rPr>
        <w:t>5.合同主要条款</w:t>
      </w:r>
    </w:p>
    <w:p>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6.投标文件格式</w:t>
      </w:r>
    </w:p>
    <w:p>
      <w:pPr>
        <w:snapToGrid w:val="0"/>
        <w:spacing w:line="360" w:lineRule="auto"/>
        <w:ind w:firstLine="480" w:firstLineChars="200"/>
        <w:jc w:val="left"/>
        <w:rPr>
          <w:rFonts w:hint="eastAsia" w:ascii="宋体" w:hAnsi="宋体" w:cs="宋体"/>
          <w:sz w:val="24"/>
          <w:szCs w:val="20"/>
          <w:highlight w:val="none"/>
        </w:rPr>
      </w:pPr>
      <w:r>
        <w:rPr>
          <w:rFonts w:hint="eastAsia" w:ascii="宋体" w:hAnsi="宋体" w:cs="宋体"/>
          <w:sz w:val="24"/>
          <w:highlight w:val="none"/>
        </w:rPr>
        <w:t>7.本项目招标文件的澄清、答复、修改、补充的内容</w:t>
      </w:r>
    </w:p>
    <w:p>
      <w:pPr>
        <w:snapToGrid w:val="0"/>
        <w:spacing w:before="120" w:beforeLines="50" w:line="360" w:lineRule="auto"/>
        <w:ind w:firstLine="472" w:firstLineChars="196"/>
        <w:jc w:val="left"/>
        <w:rPr>
          <w:rFonts w:hint="eastAsia" w:ascii="宋体" w:hAnsi="宋体" w:cs="宋体"/>
          <w:b/>
          <w:sz w:val="24"/>
          <w:szCs w:val="20"/>
          <w:highlight w:val="none"/>
        </w:rPr>
      </w:pPr>
      <w:r>
        <w:rPr>
          <w:rFonts w:hint="eastAsia" w:ascii="宋体" w:hAnsi="宋体" w:cs="宋体"/>
          <w:b/>
          <w:sz w:val="24"/>
          <w:highlight w:val="none"/>
        </w:rPr>
        <w:t>（二）投标人的风险</w:t>
      </w:r>
    </w:p>
    <w:p>
      <w:pPr>
        <w:pStyle w:val="39"/>
        <w:spacing w:line="360" w:lineRule="auto"/>
        <w:rPr>
          <w:rFonts w:hint="eastAsia" w:ascii="宋体" w:eastAsia="宋体" w:cs="宋体"/>
          <w:color w:val="auto"/>
          <w:szCs w:val="20"/>
          <w:highlight w:val="none"/>
        </w:rPr>
      </w:pPr>
      <w:r>
        <w:rPr>
          <w:rFonts w:hint="eastAsia" w:ascii="宋体" w:eastAsia="宋体" w:cs="宋体"/>
          <w:color w:val="auto"/>
          <w:highlight w:val="none"/>
        </w:rPr>
        <w:t>投标人没有按照招标文件要求提供全部资料，或者投标人没有对招标文件在各方面作出实质性响应是投标人的风险，并可能导致其投标被拒绝。</w:t>
      </w:r>
    </w:p>
    <w:p>
      <w:pPr>
        <w:pStyle w:val="14"/>
        <w:widowControl w:val="0"/>
        <w:tabs>
          <w:tab w:val="clear" w:pos="454"/>
        </w:tabs>
        <w:snapToGrid w:val="0"/>
        <w:spacing w:before="120" w:beforeLines="50" w:after="120" w:line="360" w:lineRule="auto"/>
        <w:ind w:left="0" w:firstLine="472" w:firstLineChars="196"/>
        <w:rPr>
          <w:rFonts w:hint="eastAsia" w:ascii="宋体" w:hAnsi="宋体" w:cs="宋体"/>
          <w:b/>
          <w:szCs w:val="24"/>
          <w:highlight w:val="none"/>
        </w:rPr>
      </w:pPr>
      <w:r>
        <w:rPr>
          <w:rFonts w:hint="eastAsia" w:ascii="宋体" w:hAnsi="宋体" w:cs="宋体"/>
          <w:b/>
          <w:szCs w:val="24"/>
          <w:highlight w:val="none"/>
        </w:rPr>
        <w:t>（三）招标文件的澄清与修改</w:t>
      </w:r>
    </w:p>
    <w:p>
      <w:pPr>
        <w:pStyle w:val="27"/>
        <w:snapToGrid w:val="0"/>
        <w:spacing w:before="120" w:after="120" w:line="360" w:lineRule="auto"/>
        <w:ind w:firstLine="480" w:firstLineChars="200"/>
        <w:rPr>
          <w:rFonts w:hint="eastAsia" w:hAnsi="宋体" w:cs="宋体"/>
        </w:rPr>
      </w:pPr>
      <w:r>
        <w:rPr>
          <w:rFonts w:hint="eastAsia" w:hAnsi="宋体" w:cs="宋体"/>
        </w:rPr>
        <w:t>1.</w:t>
      </w:r>
      <w:r>
        <w:rPr>
          <w:rFonts w:hint="eastAsia" w:hAnsi="宋体" w:cs="宋体"/>
          <w:bCs/>
        </w:rPr>
        <w:t>投标人应认真阅读本招标文件，发现其中有误或有不合理要求的，投标人必须在</w:t>
      </w:r>
      <w:r>
        <w:rPr>
          <w:rFonts w:hint="eastAsia" w:hAnsi="宋体" w:cs="宋体"/>
          <w:b/>
          <w:bCs/>
          <w:u w:val="single"/>
          <w:shd w:val="clear" w:color="auto" w:fill="FFFFFF"/>
        </w:rPr>
        <w:t>质疑期限届满之日</w:t>
      </w:r>
      <w:r>
        <w:rPr>
          <w:rFonts w:hint="eastAsia" w:hAnsi="宋体" w:cs="宋体"/>
          <w:bCs/>
        </w:rPr>
        <w:t>前以书面形式要求招标采购单位澄清</w:t>
      </w:r>
      <w:r>
        <w:rPr>
          <w:rFonts w:hint="eastAsia" w:hAnsi="宋体" w:cs="宋体"/>
        </w:rPr>
        <w:t>。招标方对已发出的招标文件进行必要澄清、答复、修改或补充的，将在招标文件要求提交投标文件截止时间五日前，在财政部门指定的政府采购信息发布媒体上以书面形式发布更正公告，不另作通知。</w:t>
      </w:r>
    </w:p>
    <w:p>
      <w:pPr>
        <w:pStyle w:val="27"/>
        <w:snapToGrid w:val="0"/>
        <w:spacing w:before="120" w:after="120" w:line="360" w:lineRule="auto"/>
        <w:ind w:firstLine="480" w:firstLineChars="200"/>
        <w:rPr>
          <w:rFonts w:hint="eastAsia" w:hAnsi="宋体" w:cs="宋体"/>
        </w:rPr>
      </w:pPr>
      <w:r>
        <w:rPr>
          <w:rFonts w:hint="eastAsia" w:hAnsi="宋体" w:cs="宋体"/>
        </w:rPr>
        <w:t>2.招标方必须以书面形式答复投标人要求澄清的问题，并将不包含问题来源的答复书面通知所有购买招标文件的投标人，除书面答复以外的其他澄清方式及澄清内容均无效。</w:t>
      </w:r>
    </w:p>
    <w:p>
      <w:pPr>
        <w:pStyle w:val="27"/>
        <w:snapToGrid w:val="0"/>
        <w:spacing w:before="120" w:after="120" w:line="360" w:lineRule="auto"/>
        <w:ind w:firstLine="480" w:firstLineChars="200"/>
        <w:rPr>
          <w:rFonts w:hint="eastAsia" w:hAnsi="宋体" w:cs="宋体"/>
        </w:rPr>
      </w:pPr>
      <w:r>
        <w:rPr>
          <w:rFonts w:hint="eastAsia" w:hAnsi="宋体" w:cs="宋体"/>
        </w:rPr>
        <w:t>3.招标文件澄清、答复、修改、补充的内容为招标文件的组成部分。当招标文件与招标文件的答复、澄清、修改、补充通知就同一内容的表述不一致时，以最后发出的书面文件为准。</w:t>
      </w:r>
    </w:p>
    <w:p>
      <w:pPr>
        <w:pStyle w:val="27"/>
        <w:snapToGrid w:val="0"/>
        <w:spacing w:before="120" w:after="120" w:line="360" w:lineRule="auto"/>
        <w:ind w:firstLine="480" w:firstLineChars="200"/>
        <w:rPr>
          <w:rFonts w:hint="eastAsia" w:hAnsi="宋体" w:cs="宋体"/>
        </w:rPr>
      </w:pPr>
      <w:r>
        <w:rPr>
          <w:rFonts w:hint="eastAsia" w:hAnsi="宋体" w:cs="宋体"/>
        </w:rPr>
        <w:t>4.招标文件的澄清、答复、修改或补充都应该通过本招标机构以法定形式发布，采购人非通过本机构，不得擅自澄清、答复、修改或补充招标文件。</w:t>
      </w:r>
    </w:p>
    <w:p>
      <w:pPr>
        <w:pStyle w:val="27"/>
        <w:snapToGrid w:val="0"/>
        <w:spacing w:before="120" w:after="120" w:line="360" w:lineRule="auto"/>
        <w:ind w:firstLine="551" w:firstLineChars="196"/>
        <w:outlineLvl w:val="1"/>
        <w:rPr>
          <w:rFonts w:hint="eastAsia" w:hAnsi="宋体" w:cs="宋体"/>
          <w:b/>
          <w:sz w:val="28"/>
          <w:szCs w:val="28"/>
        </w:rPr>
      </w:pPr>
      <w:r>
        <w:rPr>
          <w:rFonts w:hint="eastAsia" w:hAnsi="宋体" w:cs="宋体"/>
          <w:b/>
          <w:sz w:val="28"/>
          <w:szCs w:val="28"/>
        </w:rPr>
        <w:t>三、投标文件的编制</w:t>
      </w:r>
    </w:p>
    <w:p>
      <w:pPr>
        <w:snapToGrid w:val="0"/>
        <w:spacing w:line="360" w:lineRule="auto"/>
        <w:ind w:firstLine="472" w:firstLineChars="196"/>
        <w:jc w:val="left"/>
        <w:outlineLvl w:val="0"/>
        <w:rPr>
          <w:rFonts w:hint="eastAsia" w:ascii="宋体" w:hAnsi="宋体" w:cs="宋体"/>
          <w:b/>
          <w:sz w:val="24"/>
          <w:szCs w:val="20"/>
        </w:rPr>
      </w:pPr>
      <w:r>
        <w:rPr>
          <w:rFonts w:hint="eastAsia" w:ascii="宋体" w:hAnsi="宋体" w:cs="宋体"/>
          <w:b/>
          <w:sz w:val="24"/>
        </w:rPr>
        <w:t>（一）投标文件的组成</w:t>
      </w:r>
    </w:p>
    <w:p>
      <w:pPr>
        <w:snapToGrid w:val="0"/>
        <w:spacing w:line="360" w:lineRule="auto"/>
        <w:ind w:firstLine="470" w:firstLineChars="196"/>
        <w:jc w:val="left"/>
        <w:rPr>
          <w:rFonts w:hint="eastAsia" w:ascii="宋体" w:hAnsi="宋体" w:cs="宋体"/>
          <w:sz w:val="24"/>
        </w:rPr>
      </w:pPr>
      <w:r>
        <w:rPr>
          <w:rFonts w:hint="eastAsia" w:ascii="宋体" w:hAnsi="宋体" w:cs="宋体"/>
          <w:sz w:val="24"/>
        </w:rPr>
        <w:t>投标文件由资格响应文件、报价要求响应文件、商务技术响应文件三部份组成。</w:t>
      </w:r>
    </w:p>
    <w:p>
      <w:pPr>
        <w:numPr>
          <w:ilvl w:val="0"/>
          <w:numId w:val="8"/>
        </w:numPr>
        <w:snapToGrid w:val="0"/>
        <w:spacing w:before="120" w:beforeLines="50" w:line="360" w:lineRule="auto"/>
        <w:ind w:firstLine="470" w:firstLineChars="196"/>
        <w:jc w:val="left"/>
        <w:rPr>
          <w:rFonts w:hint="eastAsia" w:ascii="宋体" w:hAnsi="宋体" w:cs="宋体"/>
          <w:b/>
          <w:sz w:val="24"/>
        </w:rPr>
      </w:pPr>
      <w:r>
        <w:rPr>
          <w:rFonts w:hint="eastAsia" w:ascii="宋体" w:hAnsi="宋体" w:cs="宋体"/>
          <w:sz w:val="24"/>
        </w:rPr>
        <w:t>资格响应文件</w:t>
      </w:r>
      <w:r>
        <w:rPr>
          <w:rFonts w:hint="eastAsia" w:ascii="宋体" w:hAnsi="宋体" w:cs="宋体"/>
          <w:b/>
          <w:sz w:val="24"/>
        </w:rPr>
        <w:t>：</w:t>
      </w:r>
    </w:p>
    <w:p>
      <w:pPr>
        <w:snapToGrid w:val="0"/>
        <w:spacing w:line="360" w:lineRule="auto"/>
        <w:ind w:firstLine="470" w:firstLineChars="196"/>
        <w:jc w:val="left"/>
        <w:rPr>
          <w:rFonts w:hint="eastAsia" w:ascii="宋体" w:hAnsi="宋体"/>
          <w:sz w:val="24"/>
        </w:rPr>
      </w:pPr>
      <w:r>
        <w:rPr>
          <w:rFonts w:hint="eastAsia" w:ascii="宋体" w:hAnsi="宋体"/>
          <w:sz w:val="24"/>
        </w:rPr>
        <w:t>（1）营业执照复印件；</w:t>
      </w:r>
    </w:p>
    <w:p>
      <w:pPr>
        <w:snapToGrid w:val="0"/>
        <w:spacing w:line="360" w:lineRule="auto"/>
        <w:ind w:firstLine="470" w:firstLineChars="196"/>
        <w:jc w:val="left"/>
        <w:rPr>
          <w:rFonts w:hint="eastAsia" w:ascii="宋体" w:hAnsi="宋体"/>
          <w:sz w:val="24"/>
        </w:rPr>
      </w:pPr>
      <w:r>
        <w:rPr>
          <w:rFonts w:hint="eastAsia" w:ascii="宋体" w:hAnsi="宋体"/>
          <w:sz w:val="24"/>
        </w:rPr>
        <w:t>（2）投标人具有良好的商业信誉和健全的财务会计制度声明函（格式见附件2）；</w:t>
      </w:r>
    </w:p>
    <w:p>
      <w:pPr>
        <w:snapToGrid w:val="0"/>
        <w:spacing w:line="360" w:lineRule="auto"/>
        <w:ind w:firstLine="480" w:firstLineChars="200"/>
        <w:jc w:val="left"/>
        <w:rPr>
          <w:rFonts w:hint="eastAsia" w:ascii="宋体" w:hAnsi="宋体"/>
          <w:sz w:val="24"/>
        </w:rPr>
      </w:pPr>
      <w:r>
        <w:rPr>
          <w:rFonts w:hint="eastAsia" w:ascii="宋体" w:hAnsi="宋体"/>
          <w:sz w:val="24"/>
        </w:rPr>
        <w:t>（3）具有履行合同所必需的的设备和专业技术能力的承诺函；（格式格式见附件3）</w:t>
      </w:r>
    </w:p>
    <w:p>
      <w:pPr>
        <w:snapToGrid w:val="0"/>
        <w:spacing w:line="360" w:lineRule="auto"/>
        <w:ind w:firstLine="470" w:firstLineChars="196"/>
        <w:jc w:val="left"/>
        <w:rPr>
          <w:rFonts w:ascii="宋体" w:hAnsi="宋体"/>
          <w:sz w:val="24"/>
        </w:rPr>
      </w:pPr>
      <w:r>
        <w:rPr>
          <w:rFonts w:hint="eastAsia" w:ascii="宋体" w:hAnsi="宋体"/>
          <w:sz w:val="24"/>
        </w:rPr>
        <w:t>（4）投标单位情况表</w:t>
      </w:r>
      <w:r>
        <w:rPr>
          <w:rFonts w:ascii="宋体" w:hAnsi="宋体"/>
          <w:sz w:val="24"/>
        </w:rPr>
        <w:t>(格式见附件</w:t>
      </w:r>
      <w:r>
        <w:rPr>
          <w:rFonts w:hint="eastAsia" w:ascii="宋体" w:hAnsi="宋体"/>
          <w:sz w:val="24"/>
        </w:rPr>
        <w:t>6</w:t>
      </w:r>
      <w:r>
        <w:rPr>
          <w:rFonts w:ascii="宋体" w:hAnsi="宋体"/>
          <w:sz w:val="24"/>
        </w:rPr>
        <w:t>)</w:t>
      </w:r>
    </w:p>
    <w:p>
      <w:pPr>
        <w:snapToGrid w:val="0"/>
        <w:spacing w:line="360" w:lineRule="auto"/>
        <w:ind w:firstLine="470" w:firstLineChars="196"/>
        <w:jc w:val="left"/>
        <w:rPr>
          <w:rFonts w:ascii="宋体" w:hAnsi="宋体"/>
          <w:b/>
          <w:bCs/>
          <w:sz w:val="24"/>
        </w:rPr>
      </w:pPr>
      <w:r>
        <w:rPr>
          <w:rFonts w:hint="eastAsia" w:ascii="宋体" w:hAnsi="宋体"/>
          <w:sz w:val="24"/>
        </w:rPr>
        <w:t>（5）</w:t>
      </w:r>
      <w:r>
        <w:rPr>
          <w:rFonts w:hint="eastAsia" w:ascii="宋体" w:hAnsi="宋体" w:cs="宋体"/>
          <w:sz w:val="24"/>
        </w:rPr>
        <w:t>最近一个季度依法缴纳税收和社保费的证明[税费凭证复印件，或者依法缴纳税费或依法免缴税费的证明（复印件，原件备查并一年内有效，格式自拟）]，须附社保参保人员花名册。</w:t>
      </w:r>
      <w:r>
        <w:rPr>
          <w:rFonts w:hint="eastAsia" w:ascii="宋体" w:hAnsi="宋体" w:cs="宋体"/>
          <w:b/>
          <w:bCs/>
          <w:sz w:val="24"/>
        </w:rPr>
        <w:t>或者提供投</w:t>
      </w:r>
      <w:r>
        <w:rPr>
          <w:rFonts w:hint="eastAsia" w:ascii="宋体" w:hAnsi="宋体" w:cs="宋体"/>
          <w:b/>
          <w:sz w:val="24"/>
        </w:rPr>
        <w:t>标人依法缴纳税收和社保费、无失信行为的声明函</w:t>
      </w:r>
      <w:r>
        <w:rPr>
          <w:rFonts w:ascii="宋体" w:hAnsi="宋体"/>
          <w:b/>
          <w:bCs/>
          <w:sz w:val="24"/>
        </w:rPr>
        <w:t>格式见附件</w:t>
      </w:r>
      <w:r>
        <w:rPr>
          <w:rFonts w:hint="eastAsia" w:ascii="宋体" w:hAnsi="宋体"/>
          <w:b/>
          <w:bCs/>
          <w:sz w:val="24"/>
        </w:rPr>
        <w:t>7</w:t>
      </w:r>
      <w:r>
        <w:rPr>
          <w:rFonts w:ascii="宋体" w:hAnsi="宋体"/>
          <w:b/>
          <w:bCs/>
          <w:sz w:val="24"/>
        </w:rPr>
        <w:t>)</w:t>
      </w:r>
    </w:p>
    <w:p>
      <w:pPr>
        <w:snapToGrid w:val="0"/>
        <w:spacing w:line="360" w:lineRule="auto"/>
        <w:ind w:firstLine="470" w:firstLineChars="196"/>
        <w:jc w:val="left"/>
        <w:rPr>
          <w:rFonts w:hint="eastAsia"/>
        </w:rPr>
      </w:pPr>
      <w:r>
        <w:rPr>
          <w:rFonts w:hint="eastAsia" w:ascii="宋体" w:hAnsi="宋体"/>
          <w:sz w:val="24"/>
        </w:rPr>
        <w:t>（6）</w:t>
      </w:r>
      <w:r>
        <w:rPr>
          <w:rFonts w:hint="eastAsia" w:ascii="宋体" w:hAnsi="宋体" w:cs="宋体"/>
          <w:sz w:val="24"/>
        </w:rPr>
        <w:t>截至公告发布日止，相关主体在“信用中国”网站(www.creditchina.gov.cn)及中国政府采购网(www.ccgp.gov.cn)是否有失信行为的查询结果截图。</w:t>
      </w:r>
      <w:r>
        <w:rPr>
          <w:rFonts w:hint="eastAsia" w:ascii="宋体" w:hAnsi="宋体" w:cs="宋体"/>
          <w:b/>
          <w:bCs/>
          <w:sz w:val="24"/>
        </w:rPr>
        <w:t>或者提供投</w:t>
      </w:r>
      <w:r>
        <w:rPr>
          <w:rFonts w:hint="eastAsia" w:ascii="宋体" w:hAnsi="宋体" w:cs="宋体"/>
          <w:b/>
          <w:sz w:val="24"/>
        </w:rPr>
        <w:t>标人依法缴纳税收和社保费、无失信行为的声明函（格式见附件7）。</w:t>
      </w:r>
    </w:p>
    <w:p>
      <w:pPr>
        <w:snapToGrid w:val="0"/>
        <w:spacing w:line="360" w:lineRule="auto"/>
        <w:ind w:firstLine="470" w:firstLineChars="196"/>
        <w:jc w:val="left"/>
        <w:rPr>
          <w:rFonts w:hint="eastAsia" w:ascii="宋体" w:hAnsi="宋体"/>
          <w:sz w:val="24"/>
        </w:rPr>
      </w:pPr>
      <w:r>
        <w:rPr>
          <w:rFonts w:hint="eastAsia" w:ascii="宋体" w:hAnsi="宋体"/>
          <w:sz w:val="24"/>
        </w:rPr>
        <w:t>（7）投标声明书</w:t>
      </w:r>
      <w:r>
        <w:rPr>
          <w:rFonts w:ascii="宋体" w:hAnsi="宋体"/>
          <w:sz w:val="24"/>
        </w:rPr>
        <w:t>(格式见附件</w:t>
      </w:r>
      <w:r>
        <w:rPr>
          <w:rFonts w:hint="eastAsia" w:ascii="宋体" w:hAnsi="宋体"/>
          <w:sz w:val="24"/>
        </w:rPr>
        <w:t>4</w:t>
      </w:r>
      <w:r>
        <w:rPr>
          <w:rFonts w:ascii="宋体" w:hAnsi="宋体"/>
          <w:sz w:val="24"/>
        </w:rPr>
        <w:t>)</w:t>
      </w:r>
    </w:p>
    <w:p>
      <w:pPr>
        <w:snapToGrid w:val="0"/>
        <w:spacing w:line="360" w:lineRule="auto"/>
        <w:ind w:firstLine="470" w:firstLineChars="196"/>
        <w:jc w:val="left"/>
        <w:rPr>
          <w:rFonts w:ascii="宋体" w:hAnsi="宋体"/>
          <w:sz w:val="24"/>
        </w:rPr>
      </w:pPr>
      <w:r>
        <w:rPr>
          <w:rFonts w:hint="eastAsia" w:ascii="宋体" w:hAnsi="宋体"/>
          <w:sz w:val="24"/>
        </w:rPr>
        <w:t>（8）</w:t>
      </w:r>
      <w:r>
        <w:rPr>
          <w:rFonts w:ascii="宋体" w:hAnsi="宋体"/>
          <w:sz w:val="24"/>
        </w:rPr>
        <w:t>法定代表人授权委托书(格式见附件</w:t>
      </w:r>
      <w:r>
        <w:rPr>
          <w:rFonts w:hint="eastAsia" w:ascii="宋体" w:hAnsi="宋体"/>
          <w:sz w:val="24"/>
        </w:rPr>
        <w:t>5</w:t>
      </w:r>
      <w:r>
        <w:rPr>
          <w:rFonts w:ascii="宋体" w:hAnsi="宋体"/>
          <w:sz w:val="24"/>
        </w:rPr>
        <w:t>)</w:t>
      </w:r>
    </w:p>
    <w:p>
      <w:pPr>
        <w:snapToGrid w:val="0"/>
        <w:spacing w:line="360" w:lineRule="auto"/>
        <w:ind w:firstLine="470" w:firstLineChars="196"/>
        <w:jc w:val="left"/>
        <w:rPr>
          <w:rFonts w:hint="eastAsia" w:ascii="宋体" w:hAnsi="宋体"/>
          <w:sz w:val="24"/>
        </w:rPr>
      </w:pPr>
      <w:r>
        <w:rPr>
          <w:rFonts w:hint="eastAsia" w:ascii="宋体" w:hAnsi="宋体" w:cs="宋体"/>
          <w:sz w:val="24"/>
        </w:rPr>
        <w:t>（9）</w:t>
      </w:r>
      <w:r>
        <w:rPr>
          <w:rFonts w:hint="eastAsia" w:ascii="宋体" w:hAnsi="宋体"/>
          <w:sz w:val="24"/>
        </w:rPr>
        <w:t>法定代表人身份证复印件或被授权人身份证复印件。</w:t>
      </w:r>
    </w:p>
    <w:p>
      <w:pPr>
        <w:snapToGrid w:val="0"/>
        <w:spacing w:line="360" w:lineRule="auto"/>
        <w:ind w:firstLine="480" w:firstLineChars="200"/>
        <w:jc w:val="left"/>
        <w:rPr>
          <w:rFonts w:hint="eastAsia"/>
        </w:rPr>
      </w:pPr>
      <w:r>
        <w:rPr>
          <w:rFonts w:hint="eastAsia" w:ascii="宋体" w:hAnsi="宋体" w:cs="宋体"/>
          <w:sz w:val="24"/>
        </w:rPr>
        <w:t>（10）中小企业声明函（格式见附件16）、联合体协议（联合体投标时提供，格式见附件</w:t>
      </w:r>
      <w:r>
        <w:rPr>
          <w:rFonts w:hint="eastAsia" w:ascii="宋体" w:hAnsi="宋体" w:cs="宋体"/>
          <w:sz w:val="24"/>
          <w:lang w:val="en-US" w:eastAsia="zh-CN"/>
        </w:rPr>
        <w:t>21</w:t>
      </w:r>
      <w:r>
        <w:rPr>
          <w:rFonts w:hint="eastAsia" w:ascii="宋体" w:hAnsi="宋体" w:cs="宋体"/>
          <w:sz w:val="24"/>
        </w:rPr>
        <w:t>）、分包协议（分包时提供，格式见附件</w:t>
      </w:r>
      <w:r>
        <w:rPr>
          <w:rFonts w:hint="eastAsia" w:ascii="宋体" w:hAnsi="宋体" w:cs="宋体"/>
          <w:sz w:val="24"/>
          <w:lang w:val="en-US" w:eastAsia="zh-CN"/>
        </w:rPr>
        <w:t>22</w:t>
      </w:r>
      <w:r>
        <w:rPr>
          <w:rFonts w:hint="eastAsia" w:ascii="宋体" w:hAnsi="宋体" w:cs="宋体"/>
          <w:sz w:val="24"/>
        </w:rPr>
        <w:t>）。</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（11）残疾人福利性单位声明函（格式见附件17：残疾人福利性单位投标时适用）</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（12）投标人认为有必要提供的其它文件。</w:t>
      </w:r>
    </w:p>
    <w:p>
      <w:pPr>
        <w:snapToGrid w:val="0"/>
        <w:spacing w:line="360" w:lineRule="auto"/>
        <w:ind w:firstLine="472" w:firstLineChars="196"/>
        <w:jc w:val="left"/>
        <w:rPr>
          <w:rFonts w:hint="eastAsia" w:ascii="宋体" w:hAnsi="宋体" w:cs="宋体"/>
          <w:sz w:val="24"/>
        </w:rPr>
      </w:pPr>
      <w:r>
        <w:rPr>
          <w:rFonts w:hint="eastAsia" w:ascii="宋体" w:hAnsi="宋体" w:cs="宋体"/>
          <w:b/>
          <w:bCs/>
          <w:sz w:val="24"/>
        </w:rPr>
        <w:t>2.</w:t>
      </w:r>
      <w:r>
        <w:rPr>
          <w:rFonts w:hint="eastAsia" w:ascii="宋体" w:hAnsi="宋体" w:cs="宋体"/>
          <w:sz w:val="24"/>
        </w:rPr>
        <w:t>商务技术响应文件：</w:t>
      </w:r>
    </w:p>
    <w:p>
      <w:pPr>
        <w:snapToGrid w:val="0"/>
        <w:spacing w:line="360" w:lineRule="auto"/>
        <w:ind w:firstLine="470" w:firstLineChars="196"/>
        <w:jc w:val="left"/>
        <w:rPr>
          <w:rFonts w:hint="eastAsia" w:ascii="宋体" w:hAnsi="宋体"/>
          <w:sz w:val="24"/>
        </w:rPr>
      </w:pPr>
      <w:r>
        <w:rPr>
          <w:rFonts w:hint="eastAsia" w:ascii="宋体" w:hAnsi="宋体"/>
          <w:sz w:val="24"/>
        </w:rPr>
        <w:t>（1）评分响应表（格式见附件8）</w:t>
      </w:r>
    </w:p>
    <w:p>
      <w:pPr>
        <w:snapToGrid w:val="0"/>
        <w:spacing w:line="360" w:lineRule="auto"/>
        <w:ind w:firstLine="470" w:firstLineChars="196"/>
        <w:jc w:val="left"/>
        <w:rPr>
          <w:rFonts w:hint="eastAsia" w:ascii="宋体" w:hAnsi="宋体"/>
          <w:sz w:val="24"/>
        </w:rPr>
      </w:pPr>
      <w:r>
        <w:rPr>
          <w:rFonts w:hint="eastAsia" w:ascii="宋体" w:hAnsi="宋体"/>
          <w:sz w:val="24"/>
        </w:rPr>
        <w:t>（2）</w:t>
      </w:r>
      <w:r>
        <w:rPr>
          <w:rFonts w:ascii="宋体" w:hAnsi="宋体"/>
          <w:sz w:val="24"/>
        </w:rPr>
        <w:t>货物主要技术指标</w:t>
      </w:r>
      <w:r>
        <w:rPr>
          <w:rFonts w:hint="eastAsia" w:ascii="宋体" w:hAnsi="宋体"/>
          <w:sz w:val="24"/>
        </w:rPr>
        <w:t>、功能及配置</w:t>
      </w:r>
      <w:r>
        <w:rPr>
          <w:rFonts w:ascii="宋体" w:hAnsi="宋体"/>
          <w:sz w:val="24"/>
        </w:rPr>
        <w:t>的详细说明</w:t>
      </w:r>
      <w:r>
        <w:rPr>
          <w:rFonts w:hint="eastAsia" w:ascii="宋体" w:hAnsi="宋体"/>
          <w:sz w:val="24"/>
        </w:rPr>
        <w:t>。</w:t>
      </w:r>
      <w:r>
        <w:rPr>
          <w:rFonts w:hint="eastAsia" w:ascii="宋体" w:hAnsi="宋体" w:cs="Arial"/>
          <w:sz w:val="24"/>
        </w:rPr>
        <w:t>（格式见附件9）</w:t>
      </w:r>
    </w:p>
    <w:p>
      <w:pPr>
        <w:snapToGrid w:val="0"/>
        <w:spacing w:line="360" w:lineRule="auto"/>
        <w:ind w:firstLine="480" w:firstLineChars="200"/>
        <w:jc w:val="left"/>
        <w:rPr>
          <w:rFonts w:hint="eastAsia" w:ascii="宋体" w:hAnsi="宋体"/>
          <w:sz w:val="24"/>
        </w:rPr>
      </w:pPr>
      <w:r>
        <w:rPr>
          <w:rFonts w:hint="eastAsia" w:ascii="宋体" w:hAnsi="宋体"/>
          <w:sz w:val="24"/>
        </w:rPr>
        <w:t>（3）投标货物</w:t>
      </w:r>
      <w:r>
        <w:rPr>
          <w:rFonts w:hint="eastAsia" w:ascii="宋体" w:hAnsi="宋体"/>
          <w:b/>
          <w:sz w:val="24"/>
        </w:rPr>
        <w:t>主要设备的宣传彩页或官方网站打印的主要参数表。</w:t>
      </w:r>
    </w:p>
    <w:p>
      <w:pPr>
        <w:snapToGrid w:val="0"/>
        <w:spacing w:line="360" w:lineRule="auto"/>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技术偏离表：投标方必须针对招标文件要求的技术参数逐个做出实质性响应（格式见附件10）</w:t>
      </w:r>
      <w:r>
        <w:rPr>
          <w:rFonts w:ascii="宋体" w:hAnsi="宋体"/>
          <w:sz w:val="24"/>
        </w:rPr>
        <w:t>。</w:t>
      </w:r>
    </w:p>
    <w:p>
      <w:pPr>
        <w:snapToGrid w:val="0"/>
        <w:spacing w:line="360" w:lineRule="auto"/>
        <w:ind w:firstLine="480" w:firstLineChars="200"/>
        <w:jc w:val="left"/>
        <w:rPr>
          <w:rFonts w:hint="eastAsia" w:ascii="宋体" w:hAnsi="宋体"/>
          <w:sz w:val="24"/>
        </w:rPr>
      </w:pPr>
      <w:r>
        <w:rPr>
          <w:rFonts w:hint="eastAsia" w:ascii="宋体" w:hAnsi="宋体"/>
          <w:sz w:val="24"/>
        </w:rPr>
        <w:t>（5）</w:t>
      </w:r>
      <w:r>
        <w:rPr>
          <w:rFonts w:hint="eastAsia" w:ascii="宋体" w:hAnsi="宋体" w:cs="Arial"/>
          <w:sz w:val="24"/>
        </w:rPr>
        <w:t>投标产品服务计划表（格式见附件11）</w:t>
      </w:r>
    </w:p>
    <w:p>
      <w:pPr>
        <w:snapToGrid w:val="0"/>
        <w:spacing w:line="360" w:lineRule="auto"/>
        <w:ind w:firstLine="470" w:firstLineChars="196"/>
        <w:jc w:val="left"/>
        <w:rPr>
          <w:rFonts w:hint="eastAsia" w:ascii="宋体" w:hAnsi="宋体"/>
          <w:sz w:val="24"/>
        </w:rPr>
      </w:pPr>
      <w:r>
        <w:rPr>
          <w:rFonts w:hint="eastAsia" w:ascii="宋体" w:hAnsi="宋体"/>
          <w:sz w:val="24"/>
        </w:rPr>
        <w:t>（6）</w:t>
      </w:r>
      <w:r>
        <w:rPr>
          <w:rFonts w:ascii="宋体" w:hAnsi="宋体"/>
          <w:sz w:val="24"/>
        </w:rPr>
        <w:t>技术服务、技术培训、售后服务的内容和措施</w:t>
      </w:r>
      <w:r>
        <w:rPr>
          <w:rFonts w:hint="eastAsia" w:ascii="宋体" w:hAnsi="宋体"/>
          <w:sz w:val="24"/>
        </w:rPr>
        <w:t>、距采购人最近或者能为本项目提供最优服务的网点情况（格式见附件13）。</w:t>
      </w:r>
    </w:p>
    <w:p>
      <w:pPr>
        <w:snapToGrid w:val="0"/>
        <w:spacing w:line="360" w:lineRule="auto"/>
        <w:ind w:firstLine="480" w:firstLineChars="200"/>
        <w:jc w:val="left"/>
        <w:rPr>
          <w:rFonts w:hint="eastAsia" w:ascii="宋体" w:hAnsi="宋体"/>
          <w:sz w:val="24"/>
        </w:rPr>
      </w:pPr>
      <w:r>
        <w:rPr>
          <w:rFonts w:hint="eastAsia" w:ascii="宋体" w:hAnsi="宋体" w:cs="Arial"/>
          <w:sz w:val="24"/>
        </w:rPr>
        <w:t>（7）</w:t>
      </w:r>
      <w:r>
        <w:rPr>
          <w:rFonts w:hint="eastAsia" w:ascii="宋体" w:hAnsi="宋体"/>
          <w:sz w:val="24"/>
        </w:rPr>
        <w:t>政府采购供应商诚信承诺书（格式见附件12）</w:t>
      </w:r>
    </w:p>
    <w:p>
      <w:pPr>
        <w:snapToGrid w:val="0"/>
        <w:spacing w:line="360" w:lineRule="auto"/>
        <w:ind w:firstLine="480" w:firstLineChars="200"/>
        <w:jc w:val="left"/>
        <w:rPr>
          <w:rFonts w:ascii="宋体" w:hAnsi="宋体"/>
          <w:sz w:val="24"/>
        </w:rPr>
      </w:pPr>
      <w:r>
        <w:rPr>
          <w:rFonts w:hint="eastAsia" w:ascii="宋体" w:hAnsi="宋体"/>
          <w:sz w:val="24"/>
        </w:rPr>
        <w:t>（8）</w:t>
      </w:r>
      <w:r>
        <w:rPr>
          <w:rFonts w:ascii="宋体" w:hAnsi="宋体"/>
          <w:sz w:val="24"/>
        </w:rPr>
        <w:t>投标人需要说明的其他文件和说明。</w:t>
      </w:r>
    </w:p>
    <w:p>
      <w:pPr>
        <w:snapToGrid w:val="0"/>
        <w:spacing w:line="360" w:lineRule="auto"/>
        <w:ind w:firstLine="472" w:firstLineChars="196"/>
        <w:jc w:val="left"/>
        <w:rPr>
          <w:rFonts w:hint="eastAsia" w:ascii="宋体" w:hAnsi="宋体" w:cs="宋体"/>
          <w:b/>
          <w:sz w:val="24"/>
          <w:szCs w:val="20"/>
        </w:rPr>
      </w:pPr>
      <w:r>
        <w:rPr>
          <w:rFonts w:hint="eastAsia" w:ascii="宋体" w:hAnsi="宋体" w:cs="宋体"/>
          <w:b/>
          <w:sz w:val="24"/>
        </w:rPr>
        <w:t>3.</w:t>
      </w:r>
      <w:r>
        <w:rPr>
          <w:rFonts w:hint="eastAsia" w:ascii="宋体" w:hAnsi="宋体" w:cs="宋体"/>
          <w:sz w:val="24"/>
        </w:rPr>
        <w:t>报价要求响应文件：</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（1）投标函（格式见附件14）</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（2）开标一览表（格式见附件15）</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（3）中小企业声明函（格式见附件16：小微企业投标时适用）</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（4）残疾人福利性单位声明函（格式见附件17：残疾人福利性单位投标时适用）</w:t>
      </w:r>
    </w:p>
    <w:p>
      <w:pPr>
        <w:snapToGrid w:val="0"/>
        <w:spacing w:line="360" w:lineRule="auto"/>
        <w:ind w:firstLine="480" w:firstLineChars="200"/>
        <w:jc w:val="left"/>
        <w:rPr>
          <w:rFonts w:hint="eastAsia"/>
        </w:rPr>
      </w:pPr>
      <w:r>
        <w:rPr>
          <w:rFonts w:hint="eastAsia" w:ascii="宋体" w:hAnsi="宋体" w:cs="宋体"/>
          <w:sz w:val="24"/>
        </w:rPr>
        <w:t>（5）联合体协议（联合体投标时提供，格式见附件21）、分包协议（分包时提供，格式见附件22）</w:t>
      </w: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（6）投标人针对报价需要说明的其他文件和说明（不含报价）。</w:t>
      </w:r>
    </w:p>
    <w:p>
      <w:pPr>
        <w:snapToGrid w:val="0"/>
        <w:spacing w:before="120" w:beforeLines="50" w:line="360" w:lineRule="auto"/>
        <w:ind w:firstLine="472" w:firstLineChars="196"/>
        <w:jc w:val="left"/>
        <w:outlineLvl w:val="0"/>
        <w:rPr>
          <w:rFonts w:hint="eastAsia" w:ascii="宋体" w:hAnsi="宋体" w:cs="宋体"/>
          <w:b/>
          <w:sz w:val="24"/>
        </w:rPr>
      </w:pPr>
      <w:r>
        <w:rPr>
          <w:rFonts w:hint="eastAsia" w:ascii="宋体" w:hAnsi="宋体" w:cs="宋体"/>
          <w:b/>
          <w:sz w:val="24"/>
        </w:rPr>
        <w:t>（二）投标文件的语言及计量</w:t>
      </w:r>
    </w:p>
    <w:p>
      <w:pPr>
        <w:snapToGrid w:val="0"/>
        <w:spacing w:line="360" w:lineRule="auto"/>
        <w:ind w:firstLine="420" w:firstLineChars="200"/>
        <w:jc w:val="left"/>
        <w:rPr>
          <w:rFonts w:hint="eastAsia" w:ascii="宋体" w:hAnsi="宋体" w:cs="宋体"/>
          <w:sz w:val="24"/>
          <w:szCs w:val="20"/>
        </w:rPr>
      </w:pPr>
      <w:r>
        <w:rPr>
          <w:rFonts w:hint="eastAsia" w:ascii="宋体" w:hAnsi="宋体" w:cs="宋体"/>
          <w:szCs w:val="21"/>
        </w:rPr>
        <w:t>▲</w:t>
      </w:r>
      <w:r>
        <w:rPr>
          <w:rFonts w:hint="eastAsia" w:ascii="宋体" w:hAnsi="宋体" w:cs="宋体"/>
          <w:sz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hint="eastAsia" w:ascii="宋体" w:hAnsi="宋体" w:cs="宋体"/>
          <w:sz w:val="24"/>
          <w:szCs w:val="20"/>
        </w:rPr>
      </w:pPr>
      <w:r>
        <w:rPr>
          <w:rFonts w:hint="eastAsia" w:ascii="宋体" w:hAnsi="宋体" w:cs="宋体"/>
          <w:szCs w:val="21"/>
        </w:rPr>
        <w:t>▲</w:t>
      </w:r>
      <w:r>
        <w:rPr>
          <w:rFonts w:hint="eastAsia" w:ascii="宋体" w:hAnsi="宋体" w:cs="宋体"/>
          <w:sz w:val="24"/>
        </w:rPr>
        <w:t>2.投标计量单位，应采用中华人民共和国法定计量单位（货币单位：人民币元），否则视同未响应。</w:t>
      </w:r>
    </w:p>
    <w:p>
      <w:pPr>
        <w:snapToGrid w:val="0"/>
        <w:spacing w:before="120" w:beforeLines="50" w:after="120" w:afterLines="50" w:line="360" w:lineRule="auto"/>
        <w:ind w:firstLine="472" w:firstLineChars="196"/>
        <w:jc w:val="left"/>
        <w:outlineLvl w:val="0"/>
        <w:rPr>
          <w:rFonts w:hint="eastAsia" w:ascii="宋体" w:hAnsi="宋体" w:cs="宋体"/>
          <w:b/>
          <w:sz w:val="24"/>
          <w:szCs w:val="20"/>
        </w:rPr>
      </w:pPr>
      <w:r>
        <w:rPr>
          <w:rFonts w:hint="eastAsia" w:ascii="宋体" w:hAnsi="宋体" w:cs="宋体"/>
          <w:b/>
          <w:sz w:val="24"/>
        </w:rPr>
        <w:t>（三）投标报价</w:t>
      </w:r>
    </w:p>
    <w:p>
      <w:pPr>
        <w:pStyle w:val="27"/>
        <w:snapToGrid w:val="0"/>
        <w:spacing w:before="120" w:after="120" w:line="360" w:lineRule="auto"/>
        <w:ind w:firstLine="480" w:firstLineChars="200"/>
        <w:jc w:val="left"/>
        <w:rPr>
          <w:rFonts w:hint="eastAsia" w:hAnsi="宋体" w:cs="宋体"/>
        </w:rPr>
      </w:pPr>
      <w:r>
        <w:rPr>
          <w:rFonts w:hint="eastAsia" w:hAnsi="宋体" w:cs="宋体"/>
        </w:rPr>
        <w:t>1.</w:t>
      </w:r>
      <w:r>
        <w:rPr>
          <w:rFonts w:hint="eastAsia" w:hAnsi="宋体" w:cs="宋体"/>
          <w:szCs w:val="21"/>
        </w:rPr>
        <w:t>▲</w:t>
      </w:r>
      <w:r>
        <w:rPr>
          <w:rFonts w:hint="eastAsia" w:hAnsi="宋体" w:cs="宋体"/>
        </w:rPr>
        <w:t>投标报价应按招标文件中相关附表格式填写。</w:t>
      </w:r>
    </w:p>
    <w:p>
      <w:pPr>
        <w:pStyle w:val="27"/>
        <w:snapToGrid w:val="0"/>
        <w:spacing w:before="120" w:after="120" w:line="360" w:lineRule="auto"/>
        <w:ind w:firstLine="480" w:firstLineChars="200"/>
        <w:jc w:val="left"/>
        <w:rPr>
          <w:rFonts w:hint="eastAsia" w:hAnsi="宋体" w:cs="宋体"/>
        </w:rPr>
      </w:pPr>
      <w:r>
        <w:rPr>
          <w:rFonts w:hint="eastAsia" w:hAnsi="宋体" w:cs="宋体"/>
          <w:szCs w:val="21"/>
        </w:rPr>
        <w:t>▲</w:t>
      </w:r>
      <w:r>
        <w:rPr>
          <w:rFonts w:hint="eastAsia" w:hAnsi="宋体" w:cs="宋体"/>
        </w:rPr>
        <w:t>2.投标报价是履行合同的最终价格，应包括货款、标准附件、备品备件、专用工具、包装、运输、装卸、保险、税金、货到就位以及安装、调试、培训、保修等一切税金和费用。</w:t>
      </w:r>
    </w:p>
    <w:p>
      <w:pPr>
        <w:tabs>
          <w:tab w:val="left" w:pos="525"/>
        </w:tabs>
        <w:snapToGrid w:val="0"/>
        <w:spacing w:line="360" w:lineRule="auto"/>
        <w:ind w:firstLine="420" w:firstLineChars="200"/>
        <w:jc w:val="left"/>
        <w:rPr>
          <w:rFonts w:hint="eastAsia" w:ascii="宋体" w:hAnsi="宋体" w:cs="宋体"/>
          <w:sz w:val="24"/>
          <w:szCs w:val="20"/>
        </w:rPr>
      </w:pPr>
      <w:r>
        <w:rPr>
          <w:rFonts w:hint="eastAsia" w:ascii="宋体" w:hAnsi="宋体" w:cs="宋体"/>
          <w:szCs w:val="21"/>
        </w:rPr>
        <w:t>▲</w:t>
      </w:r>
      <w:r>
        <w:rPr>
          <w:rFonts w:hint="eastAsia" w:ascii="宋体" w:hAnsi="宋体" w:cs="宋体"/>
          <w:sz w:val="24"/>
        </w:rPr>
        <w:t>3.投标文件只允许有一个报价，有选择的或有条件的报价将不予接受。</w:t>
      </w:r>
    </w:p>
    <w:p>
      <w:pPr>
        <w:pStyle w:val="14"/>
        <w:widowControl w:val="0"/>
        <w:tabs>
          <w:tab w:val="clear" w:pos="454"/>
        </w:tabs>
        <w:snapToGrid w:val="0"/>
        <w:spacing w:after="120" w:line="360" w:lineRule="auto"/>
        <w:ind w:left="0" w:firstLine="472" w:firstLineChars="196"/>
        <w:rPr>
          <w:rFonts w:hint="eastAsia" w:ascii="宋体" w:hAnsi="宋体" w:cs="宋体"/>
          <w:b/>
          <w:szCs w:val="24"/>
        </w:rPr>
      </w:pPr>
      <w:r>
        <w:rPr>
          <w:rFonts w:hint="eastAsia" w:ascii="宋体" w:hAnsi="宋体" w:cs="宋体"/>
          <w:b/>
          <w:szCs w:val="24"/>
        </w:rPr>
        <w:t>（四）投标文件的有效期</w:t>
      </w:r>
    </w:p>
    <w:p>
      <w:pPr>
        <w:pStyle w:val="14"/>
        <w:widowControl w:val="0"/>
        <w:tabs>
          <w:tab w:val="clear" w:pos="454"/>
        </w:tabs>
        <w:snapToGrid w:val="0"/>
        <w:spacing w:after="120" w:line="360" w:lineRule="auto"/>
        <w:ind w:left="0" w:firstLine="480" w:firstLineChars="200"/>
        <w:rPr>
          <w:rFonts w:hint="eastAsia" w:ascii="宋体" w:hAnsi="宋体" w:cs="宋体"/>
          <w:szCs w:val="24"/>
        </w:rPr>
      </w:pPr>
      <w:r>
        <w:rPr>
          <w:rFonts w:hint="eastAsia" w:ascii="宋体" w:hAnsi="宋体" w:cs="宋体"/>
          <w:szCs w:val="21"/>
        </w:rPr>
        <w:t>▲</w:t>
      </w:r>
      <w:r>
        <w:rPr>
          <w:rFonts w:hint="eastAsia" w:ascii="宋体" w:hAnsi="宋体" w:cs="宋体"/>
          <w:szCs w:val="24"/>
        </w:rPr>
        <w:t>1.自投标截止日起</w:t>
      </w:r>
      <w:r>
        <w:rPr>
          <w:rFonts w:hint="eastAsia" w:ascii="宋体" w:hAnsi="宋体" w:cs="宋体"/>
          <w:szCs w:val="24"/>
          <w:u w:val="single"/>
        </w:rPr>
        <w:t>60</w:t>
      </w:r>
      <w:r>
        <w:rPr>
          <w:rFonts w:hint="eastAsia" w:ascii="宋体" w:hAnsi="宋体" w:cs="宋体"/>
          <w:szCs w:val="24"/>
        </w:rPr>
        <w:t>天投标文件应保持有效。有效期不足的投标文件将被拒绝。</w:t>
      </w:r>
    </w:p>
    <w:p>
      <w:pPr>
        <w:pStyle w:val="14"/>
        <w:widowControl w:val="0"/>
        <w:numPr>
          <w:ilvl w:val="0"/>
          <w:numId w:val="9"/>
        </w:numPr>
        <w:tabs>
          <w:tab w:val="clear" w:pos="312"/>
          <w:tab w:val="clear" w:pos="454"/>
        </w:tabs>
        <w:snapToGrid w:val="0"/>
        <w:spacing w:after="120" w:line="360" w:lineRule="auto"/>
        <w:ind w:left="0" w:firstLine="480" w:firstLineChars="200"/>
        <w:rPr>
          <w:rFonts w:hint="eastAsia" w:ascii="宋体" w:hAnsi="宋体" w:cs="宋体"/>
          <w:szCs w:val="24"/>
        </w:rPr>
      </w:pPr>
      <w:r>
        <w:rPr>
          <w:rFonts w:hint="eastAsia" w:ascii="宋体" w:hAnsi="宋体" w:cs="宋体"/>
          <w:szCs w:val="24"/>
        </w:rPr>
        <w:t>在特殊情况下，招标人可与投标人协商延长投标书的有效期，这种要求和答复均以书面形式进行。</w:t>
      </w:r>
    </w:p>
    <w:p>
      <w:pPr>
        <w:pStyle w:val="14"/>
        <w:widowControl w:val="0"/>
        <w:numPr>
          <w:ilvl w:val="0"/>
          <w:numId w:val="9"/>
        </w:numPr>
        <w:tabs>
          <w:tab w:val="clear" w:pos="312"/>
          <w:tab w:val="clear" w:pos="454"/>
        </w:tabs>
        <w:snapToGrid w:val="0"/>
        <w:spacing w:after="120" w:line="360" w:lineRule="auto"/>
        <w:ind w:left="0" w:firstLine="480" w:firstLineChars="200"/>
        <w:rPr>
          <w:rFonts w:hint="eastAsia" w:ascii="宋体" w:hAnsi="宋体" w:cs="宋体"/>
          <w:szCs w:val="24"/>
        </w:rPr>
      </w:pPr>
      <w:bookmarkStart w:id="4" w:name="_Toc26731"/>
      <w:r>
        <w:rPr>
          <w:rFonts w:hint="eastAsia" w:ascii="宋体" w:hAnsi="宋体" w:cs="宋体"/>
          <w:szCs w:val="24"/>
        </w:rPr>
        <w:t>投标人可拒绝接受延期要求。同意延长有效期的投标人不能修改投标文件。</w:t>
      </w:r>
      <w:bookmarkEnd w:id="4"/>
      <w:r>
        <w:rPr>
          <w:rFonts w:hint="eastAsia" w:ascii="宋体" w:hAnsi="宋体" w:cs="宋体"/>
          <w:szCs w:val="24"/>
        </w:rPr>
        <w:t xml:space="preserve">  </w:t>
      </w:r>
    </w:p>
    <w:p>
      <w:pPr>
        <w:snapToGrid w:val="0"/>
        <w:spacing w:line="360" w:lineRule="auto"/>
        <w:ind w:firstLine="480" w:firstLineChars="200"/>
        <w:jc w:val="left"/>
        <w:outlineLvl w:val="0"/>
        <w:rPr>
          <w:rFonts w:hint="eastAsia" w:ascii="宋体" w:hAnsi="宋体" w:cs="宋体"/>
          <w:b/>
          <w:sz w:val="24"/>
        </w:rPr>
      </w:pPr>
      <w:r>
        <w:rPr>
          <w:rFonts w:hint="eastAsia" w:ascii="宋体" w:hAnsi="宋体" w:cs="宋体"/>
          <w:sz w:val="24"/>
        </w:rPr>
        <w:t>4.中标人的投标文件自开标之日起至合同履行完毕止均应保持有效。</w:t>
      </w:r>
    </w:p>
    <w:p>
      <w:pPr>
        <w:snapToGrid w:val="0"/>
        <w:spacing w:before="120" w:beforeLines="50" w:line="360" w:lineRule="auto"/>
        <w:ind w:firstLine="472" w:firstLineChars="196"/>
        <w:jc w:val="left"/>
        <w:outlineLvl w:val="0"/>
        <w:rPr>
          <w:rFonts w:hint="eastAsia" w:ascii="宋体" w:hAnsi="宋体" w:cs="宋体"/>
          <w:b/>
          <w:sz w:val="24"/>
          <w:szCs w:val="20"/>
        </w:rPr>
      </w:pPr>
      <w:r>
        <w:rPr>
          <w:rFonts w:hint="eastAsia" w:ascii="宋体" w:hAnsi="宋体" w:cs="宋体"/>
          <w:b/>
          <w:sz w:val="24"/>
        </w:rPr>
        <w:t>（五）投标文件的签署和份数</w:t>
      </w:r>
    </w:p>
    <w:p>
      <w:pPr>
        <w:snapToGrid w:val="0"/>
        <w:spacing w:line="312" w:lineRule="auto"/>
        <w:ind w:firstLine="480" w:firstLineChars="200"/>
        <w:jc w:val="left"/>
        <w:rPr>
          <w:rFonts w:hint="eastAsia" w:ascii="宋体" w:hAnsi="宋体" w:cs="宋体"/>
          <w:b/>
          <w:bCs/>
          <w:sz w:val="24"/>
        </w:rPr>
      </w:pPr>
      <w:r>
        <w:rPr>
          <w:rFonts w:hint="eastAsia" w:ascii="宋体" w:hAnsi="宋体" w:cs="宋体"/>
          <w:sz w:val="24"/>
        </w:rPr>
        <w:t>1.投标人应认真阅读招标文件所有内容，按本招标文件规定的要求、编制顺序和统一格式编制投标文件并标注页码，</w:t>
      </w:r>
      <w:r>
        <w:rPr>
          <w:rFonts w:hint="eastAsia" w:ascii="宋体" w:hAnsi="宋体" w:cs="宋体"/>
          <w:b/>
          <w:bCs/>
          <w:sz w:val="24"/>
        </w:rPr>
        <w:t>电子投标文件须根据评分标准进行关联定位。</w:t>
      </w:r>
      <w:r>
        <w:rPr>
          <w:rFonts w:hint="eastAsia" w:ascii="宋体" w:hAnsi="宋体" w:cs="宋体"/>
          <w:sz w:val="24"/>
        </w:rPr>
        <w:t>投标文件因内容不完整、编排混乱，</w:t>
      </w:r>
      <w:r>
        <w:rPr>
          <w:rFonts w:hint="eastAsia" w:ascii="宋体" w:hAnsi="宋体" w:cs="宋体"/>
          <w:b/>
          <w:bCs/>
          <w:sz w:val="24"/>
        </w:rPr>
        <w:t>或者电子投标文件未按评分标准进行关联定位或者关联定位不准确，</w:t>
      </w:r>
      <w:r>
        <w:rPr>
          <w:rFonts w:hint="eastAsia" w:ascii="宋体" w:hAnsi="宋体" w:cs="宋体"/>
          <w:sz w:val="24"/>
        </w:rPr>
        <w:t>导致投标文件被误读、漏读或者查找不到相关内容的，是投标人的责任。</w:t>
      </w:r>
      <w:r>
        <w:rPr>
          <w:rFonts w:hint="eastAsia" w:ascii="宋体" w:hAnsi="宋体" w:cs="宋体"/>
          <w:b/>
          <w:sz w:val="24"/>
        </w:rPr>
        <w:t>电子投标文件须</w:t>
      </w:r>
      <w:r>
        <w:rPr>
          <w:rFonts w:hint="eastAsia" w:ascii="宋体" w:hAnsi="宋体" w:cs="宋体"/>
          <w:b/>
          <w:bCs/>
          <w:sz w:val="24"/>
        </w:rPr>
        <w:t>按政采云平台供应商项目采购-电子招投标操作指南</w:t>
      </w:r>
      <w:r>
        <w:rPr>
          <w:rFonts w:hint="eastAsia" w:ascii="宋体" w:hAnsi="宋体" w:cs="宋体"/>
          <w:b/>
          <w:sz w:val="24"/>
        </w:rPr>
        <w:t>及本招标文件要求制作和加密。</w:t>
      </w:r>
      <w:r>
        <w:rPr>
          <w:rFonts w:hint="eastAsia" w:ascii="宋体" w:hAnsi="宋体" w:cs="宋体"/>
          <w:b/>
          <w:bCs/>
          <w:sz w:val="24"/>
        </w:rPr>
        <w:t>（操作指南下载网址：</w:t>
      </w:r>
    </w:p>
    <w:p>
      <w:pPr>
        <w:snapToGrid w:val="0"/>
        <w:spacing w:line="312" w:lineRule="auto"/>
        <w:jc w:val="left"/>
        <w:rPr>
          <w:rFonts w:hint="eastAsia" w:ascii="宋体" w:hAnsi="宋体" w:cs="宋体"/>
          <w:b/>
          <w:bCs/>
          <w:sz w:val="24"/>
        </w:rPr>
      </w:pPr>
      <w:r>
        <w:rPr>
          <w:rFonts w:hint="eastAsia" w:ascii="宋体" w:hAnsi="宋体" w:cs="宋体"/>
          <w:b/>
          <w:bCs/>
          <w:sz w:val="24"/>
        </w:rPr>
        <w:t>https://help.zcygov.cn/web/site_2/2018/12-28/2573.html）</w:t>
      </w:r>
    </w:p>
    <w:p>
      <w:pPr>
        <w:snapToGrid w:val="0"/>
        <w:spacing w:line="312" w:lineRule="auto"/>
        <w:ind w:firstLine="482" w:firstLineChars="200"/>
        <w:jc w:val="left"/>
        <w:rPr>
          <w:rFonts w:hint="eastAsia" w:ascii="宋体" w:hAnsi="宋体" w:cs="宋体"/>
          <w:b/>
          <w:bCs/>
          <w:sz w:val="24"/>
        </w:rPr>
      </w:pPr>
      <w:r>
        <w:rPr>
          <w:rFonts w:hint="eastAsia" w:ascii="宋体" w:hAnsi="宋体" w:cs="宋体"/>
          <w:b/>
          <w:bCs/>
          <w:sz w:val="24"/>
        </w:rPr>
        <w:t>2.电子投标文件（包括资格响应文件、报价要求响应文件、商务技术响应文件）中招标文件要求加盖公章的部分均采用CA签章。电子投标文件的封面格式详见 附件1。</w:t>
      </w:r>
    </w:p>
    <w:p>
      <w:pPr>
        <w:snapToGrid w:val="0"/>
        <w:spacing w:line="360" w:lineRule="auto"/>
        <w:ind w:firstLine="482" w:firstLineChars="200"/>
        <w:jc w:val="left"/>
        <w:rPr>
          <w:rFonts w:hint="eastAsia" w:ascii="宋体" w:hAnsi="宋体" w:cs="宋体"/>
          <w:b/>
          <w:sz w:val="24"/>
        </w:rPr>
      </w:pPr>
      <w:r>
        <w:rPr>
          <w:rFonts w:hint="eastAsia" w:ascii="宋体" w:hAnsi="宋体" w:cs="宋体"/>
          <w:b/>
          <w:sz w:val="24"/>
        </w:rPr>
        <w:t>3.招标文件对签字、盖章有特别要求的地方，必须由投标人法定代表人或法定代表人的授权委托人签署并加盖单位公章。</w:t>
      </w:r>
      <w:r>
        <w:rPr>
          <w:rFonts w:hint="eastAsia" w:ascii="宋体" w:hAnsi="宋体" w:cs="宋体"/>
          <w:b/>
          <w:bCs/>
          <w:sz w:val="24"/>
        </w:rPr>
        <w:t>电子投标文件中有签字要求的部分，投标人可以将签字后的扫描件上传至政采云系统，有</w:t>
      </w:r>
      <w:r>
        <w:rPr>
          <w:rFonts w:hint="eastAsia" w:ascii="宋体" w:hAnsi="宋体" w:cs="宋体"/>
          <w:b/>
          <w:sz w:val="24"/>
        </w:rPr>
        <w:t>盖章要求的部分，</w:t>
      </w:r>
      <w:r>
        <w:rPr>
          <w:rFonts w:hint="eastAsia" w:ascii="宋体" w:hAnsi="宋体" w:cs="宋体"/>
          <w:b/>
          <w:bCs/>
          <w:sz w:val="24"/>
        </w:rPr>
        <w:t>要求采用CA签章。</w:t>
      </w:r>
      <w:r>
        <w:rPr>
          <w:rFonts w:hint="eastAsia" w:ascii="宋体" w:hAnsi="宋体" w:cs="宋体"/>
          <w:b/>
          <w:sz w:val="24"/>
        </w:rPr>
        <w:t>投标人应写全称。</w:t>
      </w:r>
    </w:p>
    <w:p>
      <w:pPr>
        <w:snapToGrid w:val="0"/>
        <w:spacing w:before="120" w:beforeLines="50" w:line="360" w:lineRule="auto"/>
        <w:jc w:val="left"/>
        <w:rPr>
          <w:rFonts w:hint="eastAsia" w:ascii="宋体" w:hAnsi="宋体" w:cs="宋体"/>
          <w:b/>
          <w:sz w:val="24"/>
        </w:rPr>
      </w:pPr>
      <w:r>
        <w:rPr>
          <w:rFonts w:hint="eastAsia" w:ascii="宋体" w:hAnsi="宋体" w:cs="宋体"/>
          <w:b/>
          <w:sz w:val="24"/>
        </w:rPr>
        <w:t>（六）投标文件的递交、修改和撤回</w:t>
      </w:r>
    </w:p>
    <w:p>
      <w:pPr>
        <w:snapToGrid w:val="0"/>
        <w:spacing w:before="120" w:beforeLines="50" w:after="120" w:afterLines="50" w:line="312" w:lineRule="auto"/>
        <w:ind w:firstLine="482" w:firstLineChars="200"/>
        <w:outlineLvl w:val="1"/>
        <w:rPr>
          <w:rFonts w:hint="eastAsia" w:ascii="宋体" w:hAnsi="宋体" w:cs="宋体"/>
          <w:b/>
          <w:bCs/>
          <w:sz w:val="24"/>
        </w:rPr>
      </w:pPr>
      <w:r>
        <w:rPr>
          <w:rFonts w:hint="eastAsia" w:ascii="宋体" w:hAnsi="宋体" w:cs="宋体"/>
          <w:b/>
          <w:bCs/>
          <w:sz w:val="24"/>
        </w:rPr>
        <w:t>1、电子投标文件按政采云平台供应商项目采购-电子招投标操作指南（网址：</w:t>
      </w:r>
      <w:r>
        <w:rPr>
          <w:rFonts w:hint="eastAsia" w:ascii="宋体" w:hAnsi="宋体" w:cs="宋体"/>
          <w:b/>
          <w:bCs/>
          <w:sz w:val="24"/>
        </w:rPr>
        <w:fldChar w:fldCharType="begin"/>
      </w:r>
      <w:r>
        <w:rPr>
          <w:rFonts w:hint="eastAsia" w:ascii="宋体" w:hAnsi="宋体" w:cs="宋体"/>
          <w:b/>
          <w:bCs/>
          <w:sz w:val="24"/>
        </w:rPr>
        <w:instrText xml:space="preserve"> HYPERLINK "https://help.zcygov.cn/web/site_2/2018/12-28/2573.html）及本招标文件规定的的要求、编制顺序和统一格式编制电子投标文件并进行关联定位。" </w:instrText>
      </w:r>
      <w:r>
        <w:rPr>
          <w:rFonts w:hint="eastAsia" w:ascii="宋体" w:hAnsi="宋体" w:cs="宋体"/>
          <w:b/>
          <w:bCs/>
          <w:sz w:val="24"/>
        </w:rPr>
        <w:fldChar w:fldCharType="separate"/>
      </w:r>
      <w:r>
        <w:rPr>
          <w:rStyle w:val="54"/>
          <w:rFonts w:hint="eastAsia" w:ascii="宋体" w:hAnsi="宋体" w:cs="宋体"/>
          <w:b/>
          <w:bCs/>
          <w:color w:val="auto"/>
          <w:sz w:val="24"/>
        </w:rPr>
        <w:t>https://help.zcygov.cn/web/site_2/2018/12-28/2573.html）及本招标文件规定的的要求、编制顺序和统一格式编制电子投标文件并进行关联定位。</w:t>
      </w:r>
      <w:r>
        <w:rPr>
          <w:rFonts w:hint="eastAsia" w:ascii="宋体" w:hAnsi="宋体" w:cs="宋体"/>
          <w:b/>
          <w:bCs/>
          <w:sz w:val="24"/>
        </w:rPr>
        <w:fldChar w:fldCharType="end"/>
      </w:r>
    </w:p>
    <w:p>
      <w:pPr>
        <w:autoSpaceDE w:val="0"/>
        <w:autoSpaceDN w:val="0"/>
        <w:adjustRightInd w:val="0"/>
        <w:snapToGrid w:val="0"/>
        <w:spacing w:line="312" w:lineRule="auto"/>
        <w:ind w:firstLine="482" w:firstLineChars="200"/>
        <w:rPr>
          <w:rFonts w:hint="eastAsia" w:ascii="宋体" w:hAnsi="宋体" w:cs="宋体"/>
          <w:sz w:val="24"/>
        </w:rPr>
      </w:pPr>
      <w:r>
        <w:rPr>
          <w:rFonts w:hint="eastAsia" w:ascii="宋体" w:hAnsi="宋体" w:cs="宋体"/>
          <w:b/>
          <w:sz w:val="24"/>
        </w:rPr>
        <w:t>2、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pPr>
        <w:snapToGrid w:val="0"/>
        <w:spacing w:before="120" w:beforeLines="50" w:after="120" w:afterLines="50" w:line="312" w:lineRule="auto"/>
        <w:ind w:firstLine="482" w:firstLineChars="200"/>
        <w:outlineLvl w:val="1"/>
        <w:rPr>
          <w:rFonts w:hint="eastAsia" w:ascii="宋体" w:hAnsi="宋体" w:cs="宋体"/>
          <w:b/>
          <w:bCs/>
          <w:sz w:val="24"/>
        </w:rPr>
      </w:pPr>
      <w:r>
        <w:rPr>
          <w:rFonts w:hint="eastAsia" w:ascii="宋体" w:hAnsi="宋体" w:cs="宋体"/>
          <w:b/>
          <w:bCs/>
          <w:sz w:val="24"/>
        </w:rPr>
        <w:t>3、投标人可以在投标截止时间前将电子备份投标文件（经政采云电子交易客户端和CA驱动制作出的后缀名为“bfbs”的加密电子备份投标文件）发送至邮箱：961424781@qq.com，逾期发送或发错后缀名的电子备份投标文件将被视为无效；电子备份投标文件的提交不作强制性要求。电子备份投标文件的递交截止时间：</w:t>
      </w:r>
      <w:r>
        <w:rPr>
          <w:rFonts w:hint="eastAsia" w:ascii="宋体" w:hAnsi="宋体" w:cs="宋体"/>
          <w:b/>
          <w:bCs/>
          <w:sz w:val="24"/>
          <w:u w:val="single"/>
        </w:rPr>
        <w:t>2022</w:t>
      </w:r>
      <w:r>
        <w:rPr>
          <w:rFonts w:hint="eastAsia" w:ascii="宋体" w:hAnsi="宋体" w:cs="宋体"/>
          <w:b/>
          <w:bCs/>
          <w:sz w:val="24"/>
        </w:rPr>
        <w:t>年</w:t>
      </w:r>
      <w:r>
        <w:rPr>
          <w:rFonts w:hint="eastAsia" w:ascii="宋体" w:hAnsi="宋体" w:cs="宋体"/>
          <w:b/>
          <w:bCs/>
          <w:sz w:val="24"/>
          <w:u w:val="single"/>
        </w:rPr>
        <w:t>8</w:t>
      </w:r>
      <w:r>
        <w:rPr>
          <w:rFonts w:hint="eastAsia" w:ascii="宋体" w:hAnsi="宋体" w:cs="宋体"/>
          <w:b/>
          <w:bCs/>
          <w:sz w:val="24"/>
        </w:rPr>
        <w:t>月</w:t>
      </w:r>
      <w:r>
        <w:rPr>
          <w:rFonts w:hint="eastAsia" w:ascii="宋体" w:hAnsi="宋体" w:cs="宋体"/>
          <w:b/>
          <w:bCs/>
          <w:sz w:val="24"/>
          <w:u w:val="single"/>
        </w:rPr>
        <w:t>16</w:t>
      </w:r>
      <w:r>
        <w:rPr>
          <w:rFonts w:hint="eastAsia" w:ascii="宋体" w:hAnsi="宋体" w:cs="宋体"/>
          <w:b/>
          <w:bCs/>
          <w:sz w:val="24"/>
        </w:rPr>
        <w:t>日</w:t>
      </w:r>
      <w:r>
        <w:rPr>
          <w:rFonts w:hint="eastAsia" w:ascii="宋体" w:hAnsi="宋体" w:cs="宋体"/>
          <w:b/>
          <w:bCs/>
          <w:sz w:val="24"/>
          <w:u w:val="single"/>
        </w:rPr>
        <w:t>8：30</w:t>
      </w:r>
      <w:r>
        <w:rPr>
          <w:rFonts w:hint="eastAsia" w:ascii="宋体" w:hAnsi="宋体" w:cs="宋体"/>
          <w:b/>
          <w:bCs/>
          <w:sz w:val="24"/>
        </w:rPr>
        <w:t>时，逾期未递交的视为自动放弃递交电子备份投标文件。</w:t>
      </w:r>
    </w:p>
    <w:p>
      <w:pPr>
        <w:snapToGrid w:val="0"/>
        <w:spacing w:before="120" w:beforeLines="50" w:after="120" w:afterLines="50" w:line="312" w:lineRule="auto"/>
        <w:ind w:firstLine="482" w:firstLineChars="200"/>
        <w:outlineLvl w:val="1"/>
        <w:rPr>
          <w:rFonts w:hint="eastAsia" w:ascii="宋体" w:hAnsi="宋体" w:cs="宋体"/>
          <w:b/>
          <w:bCs/>
          <w:sz w:val="24"/>
        </w:rPr>
      </w:pPr>
      <w:r>
        <w:rPr>
          <w:rFonts w:hint="eastAsia" w:ascii="宋体" w:hAnsi="宋体" w:cs="宋体"/>
          <w:b/>
          <w:bCs/>
          <w:sz w:val="24"/>
        </w:rPr>
        <w:t>4、未按规定上传的电子投标文件将被拒绝，由此造成投标文件解密失败或被误投的风险由投标人承担。</w:t>
      </w:r>
    </w:p>
    <w:p>
      <w:pPr>
        <w:spacing w:line="480" w:lineRule="exact"/>
        <w:ind w:firstLine="482" w:firstLineChars="200"/>
        <w:rPr>
          <w:rFonts w:hint="eastAsia" w:ascii="宋体" w:hAnsi="宋体" w:cs="宋体"/>
          <w:sz w:val="24"/>
        </w:rPr>
      </w:pPr>
      <w:r>
        <w:rPr>
          <w:rFonts w:hint="eastAsia" w:ascii="宋体" w:hAnsi="宋体" w:cs="宋体"/>
          <w:b/>
          <w:bCs/>
          <w:sz w:val="24"/>
        </w:rPr>
        <w:t>5、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采购代理机构开启投标文件；投标人超过解密时限解密的且采购代理机构无法开启投标文件的，系统默认自动放弃。</w:t>
      </w:r>
    </w:p>
    <w:p>
      <w:pPr>
        <w:spacing w:line="480" w:lineRule="exact"/>
        <w:ind w:firstLine="482" w:firstLineChars="200"/>
        <w:rPr>
          <w:rFonts w:hint="eastAsia" w:ascii="宋体" w:hAnsi="宋体" w:cs="宋体"/>
          <w:b/>
          <w:bCs/>
          <w:sz w:val="24"/>
        </w:rPr>
      </w:pPr>
      <w:r>
        <w:rPr>
          <w:rFonts w:hint="eastAsia" w:ascii="宋体" w:hAnsi="宋体" w:cs="宋体"/>
          <w:b/>
          <w:bCs/>
          <w:sz w:val="24"/>
        </w:rPr>
        <w:t>6、电子投标文件无法解密或解密失败时，投标人提供了电子备份投标文件的，以电子备份投标文件作为评审依据；否则视为投标文件无效。投标文件已按时解密的，电子备份投标文件自动失效。</w:t>
      </w:r>
    </w:p>
    <w:p>
      <w:pPr>
        <w:snapToGrid w:val="0"/>
        <w:spacing w:before="120" w:beforeLines="50" w:line="360" w:lineRule="auto"/>
        <w:ind w:firstLine="470" w:firstLineChars="196"/>
        <w:outlineLvl w:val="2"/>
        <w:rPr>
          <w:rFonts w:hint="eastAsia" w:ascii="宋体" w:hAnsi="宋体" w:cs="宋体"/>
          <w:sz w:val="24"/>
        </w:rPr>
      </w:pPr>
      <w:r>
        <w:rPr>
          <w:rFonts w:hint="eastAsia" w:ascii="宋体" w:hAnsi="宋体" w:cs="宋体"/>
          <w:sz w:val="24"/>
        </w:rPr>
        <w:t>7、投标截止时间后，投标人不得撤回、修改投标文件。修改后重新递交的投标文件应当按本招标文件的要求签署、盖章。</w:t>
      </w:r>
    </w:p>
    <w:p>
      <w:pPr>
        <w:snapToGrid w:val="0"/>
        <w:spacing w:before="120" w:beforeLines="50" w:line="360" w:lineRule="auto"/>
        <w:ind w:firstLine="472" w:firstLineChars="196"/>
        <w:outlineLvl w:val="2"/>
        <w:rPr>
          <w:rFonts w:hint="eastAsia" w:ascii="宋体" w:hAnsi="宋体" w:cs="宋体"/>
          <w:b/>
          <w:sz w:val="24"/>
        </w:rPr>
      </w:pPr>
      <w:r>
        <w:rPr>
          <w:rFonts w:hint="eastAsia" w:ascii="宋体" w:hAnsi="宋体" w:cs="宋体"/>
          <w:b/>
          <w:sz w:val="24"/>
        </w:rPr>
        <w:t>（七）供应商有下列情形之一的，列入失信名单，同时依照《政府采购法》第七十七条及《中华人民共和国政府采购法实施条例》第七十二条规定处罚并追求法律责任。</w:t>
      </w:r>
    </w:p>
    <w:p>
      <w:pPr>
        <w:snapToGrid w:val="0"/>
        <w:spacing w:line="360" w:lineRule="auto"/>
        <w:ind w:left="479" w:leftChars="228"/>
        <w:jc w:val="left"/>
        <w:rPr>
          <w:rFonts w:hint="eastAsia" w:ascii="宋体" w:hAnsi="宋体" w:cs="宋体"/>
          <w:sz w:val="24"/>
        </w:rPr>
      </w:pPr>
      <w:r>
        <w:rPr>
          <w:rFonts w:hint="eastAsia" w:ascii="宋体" w:hAnsi="宋体" w:cs="宋体"/>
          <w:sz w:val="24"/>
        </w:rPr>
        <w:t xml:space="preserve">1、提供虚假材料谋取中标、成交的； </w:t>
      </w:r>
    </w:p>
    <w:p>
      <w:pPr>
        <w:snapToGrid w:val="0"/>
        <w:spacing w:line="360" w:lineRule="auto"/>
        <w:ind w:left="479" w:leftChars="228"/>
        <w:jc w:val="left"/>
        <w:rPr>
          <w:rFonts w:hint="eastAsia" w:ascii="宋体" w:hAnsi="宋体" w:cs="宋体"/>
          <w:sz w:val="24"/>
        </w:rPr>
      </w:pPr>
      <w:r>
        <w:rPr>
          <w:rFonts w:hint="eastAsia" w:ascii="宋体" w:hAnsi="宋体" w:cs="宋体"/>
          <w:sz w:val="24"/>
        </w:rPr>
        <w:t xml:space="preserve">2、采取不正当手段诋毁、排挤其他供应商的； </w:t>
      </w:r>
    </w:p>
    <w:p>
      <w:pPr>
        <w:snapToGrid w:val="0"/>
        <w:spacing w:line="360" w:lineRule="auto"/>
        <w:ind w:left="479" w:leftChars="228"/>
        <w:jc w:val="left"/>
        <w:rPr>
          <w:rFonts w:hint="eastAsia" w:ascii="宋体" w:hAnsi="宋体" w:cs="宋体"/>
          <w:sz w:val="24"/>
        </w:rPr>
      </w:pPr>
      <w:r>
        <w:rPr>
          <w:rFonts w:hint="eastAsia" w:ascii="宋体" w:hAnsi="宋体" w:cs="宋体"/>
          <w:sz w:val="24"/>
        </w:rPr>
        <w:t xml:space="preserve">3、与采购人、其他供应商或者采购代理机构恶意串通的； </w:t>
      </w:r>
    </w:p>
    <w:p>
      <w:pPr>
        <w:snapToGrid w:val="0"/>
        <w:spacing w:line="360" w:lineRule="auto"/>
        <w:ind w:left="479" w:leftChars="228"/>
        <w:jc w:val="left"/>
        <w:rPr>
          <w:rFonts w:hint="eastAsia" w:ascii="宋体" w:hAnsi="宋体" w:cs="宋体"/>
          <w:sz w:val="24"/>
        </w:rPr>
      </w:pPr>
      <w:r>
        <w:rPr>
          <w:rFonts w:hint="eastAsia" w:ascii="宋体" w:hAnsi="宋体" w:cs="宋体"/>
          <w:sz w:val="24"/>
        </w:rPr>
        <w:t xml:space="preserve">4、向采购人、采购代理机构行贿或者提供其他不正当利益的； </w:t>
      </w:r>
    </w:p>
    <w:p>
      <w:pPr>
        <w:snapToGrid w:val="0"/>
        <w:spacing w:line="360" w:lineRule="auto"/>
        <w:ind w:left="479" w:leftChars="228"/>
        <w:jc w:val="left"/>
        <w:rPr>
          <w:rFonts w:hint="eastAsia" w:ascii="宋体" w:hAnsi="宋体" w:cs="宋体"/>
          <w:sz w:val="24"/>
        </w:rPr>
      </w:pPr>
      <w:r>
        <w:rPr>
          <w:rFonts w:hint="eastAsia" w:ascii="宋体" w:hAnsi="宋体" w:cs="宋体"/>
          <w:sz w:val="24"/>
        </w:rPr>
        <w:t xml:space="preserve">5、在招标采购过程中与采购人进行协商谈判的； </w:t>
      </w:r>
    </w:p>
    <w:p>
      <w:pPr>
        <w:snapToGrid w:val="0"/>
        <w:spacing w:line="360" w:lineRule="auto"/>
        <w:ind w:left="479" w:leftChars="228"/>
        <w:jc w:val="left"/>
        <w:rPr>
          <w:rFonts w:hint="eastAsia" w:ascii="宋体" w:hAnsi="宋体" w:cs="宋体"/>
          <w:sz w:val="24"/>
        </w:rPr>
      </w:pPr>
      <w:r>
        <w:rPr>
          <w:rFonts w:hint="eastAsia" w:ascii="宋体" w:hAnsi="宋体" w:cs="宋体"/>
          <w:sz w:val="24"/>
        </w:rPr>
        <w:t>6、向评标委员会、竞争性谈判小组或者询价小组成员行贿或者提供其他不正当利益；</w:t>
      </w:r>
    </w:p>
    <w:p>
      <w:pPr>
        <w:snapToGrid w:val="0"/>
        <w:spacing w:line="360" w:lineRule="auto"/>
        <w:ind w:left="479" w:leftChars="228"/>
        <w:jc w:val="left"/>
        <w:rPr>
          <w:rFonts w:hint="eastAsia" w:ascii="宋体" w:hAnsi="宋体" w:cs="宋体"/>
          <w:sz w:val="24"/>
        </w:rPr>
      </w:pPr>
      <w:r>
        <w:rPr>
          <w:rFonts w:hint="eastAsia" w:ascii="宋体" w:hAnsi="宋体" w:cs="宋体"/>
          <w:sz w:val="24"/>
        </w:rPr>
        <w:t>7、中标或者成交后无正当理由拒不与采购人签订政府采购合同；</w:t>
      </w:r>
    </w:p>
    <w:p>
      <w:pPr>
        <w:snapToGrid w:val="0"/>
        <w:spacing w:line="360" w:lineRule="auto"/>
        <w:ind w:left="479" w:leftChars="228"/>
        <w:jc w:val="left"/>
        <w:rPr>
          <w:rFonts w:hint="eastAsia" w:ascii="宋体" w:hAnsi="宋体" w:cs="宋体"/>
          <w:sz w:val="24"/>
        </w:rPr>
      </w:pPr>
      <w:r>
        <w:rPr>
          <w:rFonts w:hint="eastAsia" w:ascii="宋体" w:hAnsi="宋体" w:cs="宋体"/>
          <w:sz w:val="24"/>
        </w:rPr>
        <w:t>8、未按照采购文件确定的事项签订政府采购合同；</w:t>
      </w:r>
    </w:p>
    <w:p>
      <w:pPr>
        <w:snapToGrid w:val="0"/>
        <w:spacing w:line="360" w:lineRule="auto"/>
        <w:ind w:left="479" w:leftChars="228"/>
        <w:jc w:val="left"/>
        <w:rPr>
          <w:rFonts w:hint="eastAsia" w:ascii="宋体" w:hAnsi="宋体" w:cs="宋体"/>
          <w:sz w:val="24"/>
        </w:rPr>
      </w:pPr>
      <w:r>
        <w:rPr>
          <w:rFonts w:hint="eastAsia" w:ascii="宋体" w:hAnsi="宋体" w:cs="宋体"/>
          <w:sz w:val="24"/>
        </w:rPr>
        <w:t>9、将政府采购合同转包；</w:t>
      </w:r>
    </w:p>
    <w:p>
      <w:pPr>
        <w:snapToGrid w:val="0"/>
        <w:spacing w:line="360" w:lineRule="auto"/>
        <w:ind w:left="479" w:leftChars="228"/>
        <w:jc w:val="left"/>
        <w:rPr>
          <w:rFonts w:hint="eastAsia" w:ascii="宋体" w:hAnsi="宋体" w:cs="宋体"/>
          <w:sz w:val="24"/>
        </w:rPr>
      </w:pPr>
      <w:r>
        <w:rPr>
          <w:rFonts w:hint="eastAsia" w:ascii="宋体" w:hAnsi="宋体" w:cs="宋体"/>
          <w:sz w:val="24"/>
        </w:rPr>
        <w:t>10、提供假冒伪劣产品；</w:t>
      </w:r>
    </w:p>
    <w:p>
      <w:pPr>
        <w:snapToGrid w:val="0"/>
        <w:spacing w:line="360" w:lineRule="auto"/>
        <w:ind w:left="479" w:leftChars="228"/>
        <w:jc w:val="left"/>
        <w:rPr>
          <w:rFonts w:hint="eastAsia" w:ascii="宋体" w:hAnsi="宋体" w:cs="宋体"/>
          <w:sz w:val="24"/>
        </w:rPr>
      </w:pPr>
      <w:r>
        <w:rPr>
          <w:rFonts w:hint="eastAsia" w:ascii="宋体" w:hAnsi="宋体" w:cs="宋体"/>
          <w:sz w:val="24"/>
        </w:rPr>
        <w:t>11、擅自变更、中止或者终止政府采购合同。</w:t>
      </w:r>
    </w:p>
    <w:p>
      <w:pPr>
        <w:snapToGrid w:val="0"/>
        <w:spacing w:line="360" w:lineRule="auto"/>
        <w:ind w:left="479" w:leftChars="228"/>
        <w:jc w:val="left"/>
        <w:rPr>
          <w:rFonts w:hint="eastAsia" w:ascii="宋体" w:hAnsi="宋体" w:cs="宋体"/>
          <w:sz w:val="24"/>
        </w:rPr>
      </w:pPr>
      <w:r>
        <w:rPr>
          <w:rFonts w:hint="eastAsia" w:ascii="宋体" w:hAnsi="宋体" w:cs="宋体"/>
          <w:sz w:val="24"/>
        </w:rPr>
        <w:t>12、其他严重扰乱招投标程序的。</w:t>
      </w:r>
    </w:p>
    <w:p>
      <w:pPr>
        <w:snapToGrid w:val="0"/>
        <w:spacing w:before="120" w:beforeLines="50" w:line="360" w:lineRule="auto"/>
        <w:ind w:firstLine="472" w:firstLineChars="196"/>
        <w:outlineLvl w:val="2"/>
        <w:rPr>
          <w:rFonts w:hint="eastAsia" w:ascii="宋体" w:hAnsi="宋体" w:cs="宋体"/>
          <w:b/>
          <w:sz w:val="24"/>
        </w:rPr>
      </w:pPr>
      <w:r>
        <w:rPr>
          <w:rFonts w:hint="eastAsia" w:ascii="宋体" w:hAnsi="宋体" w:cs="宋体"/>
          <w:b/>
          <w:sz w:val="24"/>
        </w:rPr>
        <w:t>（八）投标无效的情形</w:t>
      </w:r>
    </w:p>
    <w:p>
      <w:pPr>
        <w:snapToGrid w:val="0"/>
        <w:spacing w:line="312" w:lineRule="auto"/>
        <w:ind w:firstLine="470" w:firstLineChars="196"/>
        <w:rPr>
          <w:rFonts w:hint="eastAsia" w:ascii="宋体" w:hAnsi="宋体" w:cs="宋体"/>
          <w:sz w:val="24"/>
        </w:rPr>
      </w:pPr>
      <w:r>
        <w:rPr>
          <w:rFonts w:hint="eastAsia" w:ascii="宋体" w:hAnsi="宋体" w:cs="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pPr>
        <w:snapToGrid w:val="0"/>
        <w:spacing w:line="312" w:lineRule="auto"/>
        <w:ind w:firstLine="472" w:firstLineChars="196"/>
        <w:rPr>
          <w:rFonts w:hint="eastAsia" w:ascii="宋体" w:hAnsi="宋体" w:cs="宋体"/>
          <w:b/>
          <w:sz w:val="24"/>
        </w:rPr>
      </w:pPr>
      <w:r>
        <w:rPr>
          <w:rFonts w:hint="eastAsia" w:ascii="宋体" w:hAnsi="宋体" w:cs="宋体"/>
          <w:b/>
          <w:sz w:val="24"/>
        </w:rPr>
        <w:t>1.有下列情形之一的，视为投标人串通投标，其投标无效：</w:t>
      </w:r>
    </w:p>
    <w:p>
      <w:pPr>
        <w:snapToGrid w:val="0"/>
        <w:spacing w:line="312" w:lineRule="auto"/>
        <w:ind w:firstLine="470" w:firstLineChars="196"/>
        <w:rPr>
          <w:rFonts w:hint="eastAsia" w:ascii="宋体" w:hAnsi="宋体" w:cs="宋体"/>
          <w:sz w:val="24"/>
        </w:rPr>
      </w:pPr>
      <w:r>
        <w:rPr>
          <w:rFonts w:hint="eastAsia" w:ascii="宋体" w:hAnsi="宋体" w:cs="宋体"/>
          <w:sz w:val="24"/>
        </w:rPr>
        <w:t>A.不同投标人的投标文件由同一单位或者个人编制；</w:t>
      </w:r>
    </w:p>
    <w:p>
      <w:pPr>
        <w:snapToGrid w:val="0"/>
        <w:spacing w:line="312" w:lineRule="auto"/>
        <w:ind w:firstLine="470" w:firstLineChars="196"/>
        <w:rPr>
          <w:rFonts w:hint="eastAsia" w:ascii="宋体" w:hAnsi="宋体" w:cs="宋体"/>
          <w:sz w:val="24"/>
        </w:rPr>
      </w:pPr>
      <w:r>
        <w:rPr>
          <w:rFonts w:hint="eastAsia" w:ascii="宋体" w:hAnsi="宋体" w:cs="宋体"/>
          <w:sz w:val="24"/>
        </w:rPr>
        <w:t>B.不同投标人委托同一单位或者个人办理投标事宜；</w:t>
      </w:r>
    </w:p>
    <w:p>
      <w:pPr>
        <w:snapToGrid w:val="0"/>
        <w:spacing w:line="312" w:lineRule="auto"/>
        <w:ind w:firstLine="470" w:firstLineChars="196"/>
        <w:rPr>
          <w:rFonts w:hint="eastAsia" w:ascii="宋体" w:hAnsi="宋体" w:cs="宋体"/>
          <w:sz w:val="24"/>
        </w:rPr>
      </w:pPr>
      <w:r>
        <w:rPr>
          <w:rFonts w:hint="eastAsia" w:ascii="宋体" w:hAnsi="宋体" w:cs="宋体"/>
          <w:sz w:val="24"/>
        </w:rPr>
        <w:t>C.不同投标人的投标文件载明的项目管理成员或者联系人员为同一人；</w:t>
      </w:r>
    </w:p>
    <w:p>
      <w:pPr>
        <w:snapToGrid w:val="0"/>
        <w:spacing w:line="312" w:lineRule="auto"/>
        <w:ind w:firstLine="470" w:firstLineChars="196"/>
        <w:rPr>
          <w:rFonts w:hint="eastAsia" w:ascii="宋体" w:hAnsi="宋体" w:cs="宋体"/>
          <w:sz w:val="24"/>
        </w:rPr>
      </w:pPr>
      <w:r>
        <w:rPr>
          <w:rFonts w:hint="eastAsia" w:ascii="宋体" w:hAnsi="宋体" w:cs="宋体"/>
          <w:sz w:val="24"/>
        </w:rPr>
        <w:t xml:space="preserve">D.不同投标人的投标文件异常一致或者投标报价呈规律性差异； </w:t>
      </w:r>
    </w:p>
    <w:p>
      <w:pPr>
        <w:snapToGrid w:val="0"/>
        <w:spacing w:line="312" w:lineRule="auto"/>
        <w:ind w:firstLine="470" w:firstLineChars="196"/>
        <w:rPr>
          <w:rFonts w:hint="eastAsia" w:ascii="宋体" w:hAnsi="宋体" w:cs="宋体"/>
          <w:sz w:val="24"/>
        </w:rPr>
      </w:pPr>
      <w:r>
        <w:rPr>
          <w:rFonts w:hint="eastAsia" w:ascii="宋体" w:hAnsi="宋体" w:cs="宋体"/>
          <w:sz w:val="24"/>
        </w:rPr>
        <w:t>E.不同投标人的投标文件相互混装；</w:t>
      </w:r>
    </w:p>
    <w:p>
      <w:pPr>
        <w:snapToGrid w:val="0"/>
        <w:spacing w:line="312" w:lineRule="auto"/>
        <w:ind w:firstLine="470" w:firstLineChars="196"/>
        <w:rPr>
          <w:rFonts w:hint="eastAsia" w:ascii="宋体" w:hAnsi="宋体" w:cs="宋体"/>
          <w:sz w:val="24"/>
        </w:rPr>
      </w:pPr>
      <w:r>
        <w:rPr>
          <w:rFonts w:hint="eastAsia" w:ascii="宋体" w:hAnsi="宋体" w:cs="宋体"/>
          <w:sz w:val="24"/>
        </w:rPr>
        <w:t>F.其他严重扰乱招投标程序的。</w:t>
      </w:r>
    </w:p>
    <w:p>
      <w:pPr>
        <w:snapToGrid w:val="0"/>
        <w:spacing w:line="360" w:lineRule="auto"/>
        <w:ind w:firstLine="472" w:firstLineChars="196"/>
        <w:rPr>
          <w:rFonts w:hint="eastAsia" w:ascii="宋体" w:hAnsi="宋体" w:cs="宋体"/>
          <w:b/>
          <w:bCs/>
          <w:sz w:val="24"/>
        </w:rPr>
      </w:pPr>
      <w:r>
        <w:rPr>
          <w:rFonts w:hint="eastAsia" w:ascii="宋体" w:hAnsi="宋体" w:cs="宋体"/>
          <w:b/>
          <w:bCs/>
          <w:sz w:val="24"/>
        </w:rPr>
        <w:t>2.在符合性审查和商务评审时，如发现下列情形之一的，投标文件将被视为无效：</w:t>
      </w:r>
    </w:p>
    <w:p>
      <w:pPr>
        <w:snapToGrid w:val="0"/>
        <w:spacing w:line="360" w:lineRule="auto"/>
        <w:ind w:firstLine="470" w:firstLineChars="196"/>
        <w:rPr>
          <w:rFonts w:hint="eastAsia" w:ascii="宋体" w:hAnsi="宋体" w:cs="宋体"/>
          <w:sz w:val="24"/>
        </w:rPr>
      </w:pPr>
      <w:r>
        <w:rPr>
          <w:rFonts w:hint="eastAsia" w:ascii="宋体" w:hAnsi="宋体" w:cs="宋体"/>
          <w:sz w:val="24"/>
        </w:rPr>
        <w:t>（1）资格响应文件、商务技术响应文件内有商务报价出现的；</w:t>
      </w:r>
    </w:p>
    <w:p>
      <w:pPr>
        <w:snapToGrid w:val="0"/>
        <w:spacing w:line="360" w:lineRule="auto"/>
        <w:ind w:firstLine="470" w:firstLineChars="196"/>
        <w:rPr>
          <w:rFonts w:hint="eastAsia" w:ascii="宋体" w:hAnsi="宋体" w:cs="宋体"/>
          <w:sz w:val="24"/>
        </w:rPr>
      </w:pPr>
      <w:r>
        <w:rPr>
          <w:rFonts w:hint="eastAsia" w:ascii="宋体" w:hAnsi="宋体" w:cs="宋体"/>
          <w:sz w:val="24"/>
        </w:rPr>
        <w:t>（2）资格证明文件不全的，或者不符合招标文件标明的资格要求的；</w:t>
      </w:r>
    </w:p>
    <w:p>
      <w:pPr>
        <w:snapToGrid w:val="0"/>
        <w:spacing w:line="360" w:lineRule="auto"/>
        <w:ind w:firstLine="470" w:firstLineChars="196"/>
        <w:rPr>
          <w:rFonts w:hint="eastAsia" w:ascii="宋体" w:hAnsi="宋体" w:cs="宋体"/>
          <w:bCs/>
          <w:kern w:val="0"/>
          <w:sz w:val="24"/>
        </w:rPr>
      </w:pPr>
      <w:r>
        <w:rPr>
          <w:rFonts w:hint="eastAsia" w:ascii="宋体" w:hAnsi="宋体" w:cs="宋体"/>
          <w:sz w:val="24"/>
        </w:rPr>
        <w:t>（3）投标文件无法定代表人（或营业执照上注明的企业负责人）签字,或未</w:t>
      </w:r>
      <w:r>
        <w:rPr>
          <w:rFonts w:hint="eastAsia" w:ascii="宋体" w:hAnsi="宋体" w:cs="宋体"/>
          <w:bCs/>
          <w:kern w:val="0"/>
          <w:sz w:val="24"/>
        </w:rPr>
        <w:t>提供法定代表人授权委托书、投标声明书或者填写项目不齐全的；</w:t>
      </w:r>
    </w:p>
    <w:p>
      <w:pPr>
        <w:pStyle w:val="3"/>
        <w:snapToGrid w:val="0"/>
        <w:spacing w:line="360" w:lineRule="auto"/>
        <w:ind w:firstLine="454" w:firstLineChars="196"/>
        <w:rPr>
          <w:rFonts w:hint="eastAsia" w:hAnsi="宋体" w:cs="宋体"/>
          <w:sz w:val="24"/>
        </w:rPr>
      </w:pPr>
      <w:r>
        <w:rPr>
          <w:rFonts w:hint="eastAsia" w:hAnsi="宋体" w:cs="宋体"/>
          <w:sz w:val="24"/>
          <w:szCs w:val="24"/>
        </w:rPr>
        <w:t>（</w:t>
      </w:r>
      <w:r>
        <w:rPr>
          <w:rFonts w:hint="eastAsia" w:hAnsi="宋体" w:cs="宋体"/>
          <w:snapToGrid w:val="0"/>
          <w:sz w:val="24"/>
          <w:szCs w:val="24"/>
          <w:lang w:val="en-US" w:eastAsia="zh-CN"/>
        </w:rPr>
        <w:t>4</w:t>
      </w:r>
      <w:r>
        <w:rPr>
          <w:rFonts w:hint="eastAsia" w:hAnsi="宋体" w:cs="宋体"/>
          <w:snapToGrid w:val="0"/>
          <w:sz w:val="24"/>
          <w:szCs w:val="24"/>
        </w:rPr>
        <w:t>）</w:t>
      </w:r>
      <w:r>
        <w:rPr>
          <w:rFonts w:hint="eastAsia" w:hAnsi="宋体" w:cs="宋体"/>
          <w:sz w:val="24"/>
          <w:szCs w:val="24"/>
        </w:rPr>
        <w:t>投标文件格式不规</w:t>
      </w:r>
      <w:r>
        <w:rPr>
          <w:rFonts w:hint="eastAsia" w:hAnsi="宋体" w:cs="宋体"/>
          <w:sz w:val="24"/>
        </w:rPr>
        <w:t>范、项目不齐全或者内容虚假的；</w:t>
      </w:r>
    </w:p>
    <w:p>
      <w:pPr>
        <w:pStyle w:val="3"/>
        <w:snapToGrid w:val="0"/>
        <w:spacing w:line="360" w:lineRule="auto"/>
        <w:ind w:firstLine="454" w:firstLineChars="196"/>
        <w:rPr>
          <w:rFonts w:hint="eastAsia" w:hAnsi="宋体" w:cs="宋体"/>
          <w:snapToGrid w:val="0"/>
          <w:sz w:val="24"/>
          <w:szCs w:val="24"/>
        </w:rPr>
      </w:pPr>
      <w:r>
        <w:rPr>
          <w:rFonts w:hint="eastAsia" w:hAnsi="宋体" w:cs="宋体"/>
          <w:sz w:val="24"/>
        </w:rPr>
        <w:t>（</w:t>
      </w:r>
      <w:r>
        <w:rPr>
          <w:rFonts w:hint="eastAsia" w:hAnsi="宋体" w:cs="宋体"/>
          <w:sz w:val="24"/>
          <w:lang w:val="en-US" w:eastAsia="zh-CN"/>
        </w:rPr>
        <w:t>5</w:t>
      </w:r>
      <w:r>
        <w:rPr>
          <w:rFonts w:hint="eastAsia" w:hAnsi="宋体" w:cs="宋体"/>
          <w:sz w:val="24"/>
        </w:rPr>
        <w:t>）投标文件的实质性内容未使用中文表述、意思表述不明确、前后矛盾或者使用计量单位不符合招标文件要求的（经评标委员会认定并允许其当场更正的笔误除外）；</w:t>
      </w:r>
    </w:p>
    <w:p>
      <w:pPr>
        <w:pStyle w:val="3"/>
        <w:snapToGrid w:val="0"/>
        <w:spacing w:line="360" w:lineRule="auto"/>
        <w:ind w:firstLine="454" w:firstLineChars="196"/>
        <w:rPr>
          <w:rFonts w:hint="eastAsia" w:hAnsi="宋体" w:cs="宋体"/>
          <w:snapToGrid w:val="0"/>
          <w:sz w:val="24"/>
          <w:szCs w:val="24"/>
        </w:rPr>
      </w:pPr>
      <w:r>
        <w:rPr>
          <w:rFonts w:hint="eastAsia" w:hAnsi="宋体" w:cs="宋体"/>
          <w:snapToGrid w:val="0"/>
          <w:sz w:val="24"/>
          <w:szCs w:val="24"/>
        </w:rPr>
        <w:t>（</w:t>
      </w:r>
      <w:r>
        <w:rPr>
          <w:rFonts w:hint="eastAsia" w:hAnsi="宋体" w:cs="宋体"/>
          <w:snapToGrid w:val="0"/>
          <w:sz w:val="24"/>
          <w:szCs w:val="24"/>
          <w:lang w:val="en-US" w:eastAsia="zh-CN"/>
        </w:rPr>
        <w:t>6</w:t>
      </w:r>
      <w:r>
        <w:rPr>
          <w:rFonts w:hint="eastAsia" w:hAnsi="宋体" w:cs="宋体"/>
          <w:snapToGrid w:val="0"/>
          <w:sz w:val="24"/>
          <w:szCs w:val="24"/>
        </w:rPr>
        <w:t>）投标有效期、交货时间、质保期等商务条款不能满足招标文件要求的；</w:t>
      </w:r>
    </w:p>
    <w:p>
      <w:pPr>
        <w:pStyle w:val="3"/>
        <w:snapToGrid w:val="0"/>
        <w:spacing w:line="360" w:lineRule="auto"/>
        <w:ind w:firstLine="454" w:firstLineChars="196"/>
        <w:rPr>
          <w:rFonts w:hint="eastAsia" w:hAnsi="宋体" w:cs="宋体"/>
          <w:snapToGrid w:val="0"/>
          <w:sz w:val="24"/>
          <w:szCs w:val="24"/>
        </w:rPr>
      </w:pPr>
      <w:r>
        <w:rPr>
          <w:rFonts w:hint="eastAsia" w:hAnsi="宋体" w:cs="宋体"/>
          <w:snapToGrid w:val="0"/>
          <w:sz w:val="24"/>
          <w:szCs w:val="24"/>
        </w:rPr>
        <w:t>（</w:t>
      </w:r>
      <w:r>
        <w:rPr>
          <w:rFonts w:hint="eastAsia" w:hAnsi="宋体" w:cs="宋体"/>
          <w:snapToGrid w:val="0"/>
          <w:sz w:val="24"/>
          <w:szCs w:val="24"/>
          <w:lang w:val="en-US" w:eastAsia="zh-CN"/>
        </w:rPr>
        <w:t>7</w:t>
      </w:r>
      <w:r>
        <w:rPr>
          <w:rFonts w:hint="eastAsia" w:hAnsi="宋体" w:cs="宋体"/>
          <w:snapToGrid w:val="0"/>
          <w:sz w:val="24"/>
          <w:szCs w:val="24"/>
        </w:rPr>
        <w:t>）未实质性响应招标文件中标有“▲”条款要求的；</w:t>
      </w:r>
    </w:p>
    <w:p>
      <w:pPr>
        <w:pStyle w:val="3"/>
        <w:snapToGrid w:val="0"/>
        <w:spacing w:line="360" w:lineRule="auto"/>
        <w:ind w:firstLine="454" w:firstLineChars="196"/>
        <w:rPr>
          <w:rFonts w:hint="eastAsia" w:hAnsi="宋体" w:cs="宋体"/>
          <w:snapToGrid w:val="0"/>
          <w:sz w:val="24"/>
          <w:szCs w:val="24"/>
        </w:rPr>
      </w:pPr>
      <w:r>
        <w:rPr>
          <w:rFonts w:hint="eastAsia" w:hAnsi="宋体" w:cs="宋体"/>
          <w:snapToGrid w:val="0"/>
          <w:sz w:val="24"/>
          <w:szCs w:val="24"/>
        </w:rPr>
        <w:t>（</w:t>
      </w:r>
      <w:r>
        <w:rPr>
          <w:rFonts w:hint="eastAsia" w:hAnsi="宋体" w:cs="宋体"/>
          <w:snapToGrid w:val="0"/>
          <w:sz w:val="24"/>
          <w:szCs w:val="24"/>
          <w:lang w:val="en-US" w:eastAsia="zh-CN"/>
        </w:rPr>
        <w:t>8</w:t>
      </w:r>
      <w:r>
        <w:rPr>
          <w:rFonts w:hint="eastAsia" w:hAnsi="宋体" w:cs="宋体"/>
          <w:snapToGrid w:val="0"/>
          <w:sz w:val="24"/>
          <w:szCs w:val="24"/>
        </w:rPr>
        <w:t>）未提交本招标文件</w:t>
      </w:r>
      <w:r>
        <w:rPr>
          <w:rFonts w:hint="eastAsia" w:hAnsi="宋体" w:cs="宋体"/>
          <w:sz w:val="24"/>
        </w:rPr>
        <w:t>资格响应文件</w:t>
      </w:r>
      <w:r>
        <w:rPr>
          <w:rFonts w:hint="eastAsia" w:hAnsi="宋体" w:cs="宋体"/>
          <w:snapToGrid w:val="0"/>
          <w:sz w:val="24"/>
          <w:szCs w:val="24"/>
        </w:rPr>
        <w:t>中第（1）、（5）、（7）、（8）、（9）条资料的</w:t>
      </w:r>
      <w:r>
        <w:rPr>
          <w:rFonts w:hint="eastAsia" w:hAnsi="宋体" w:cs="宋体"/>
          <w:snapToGrid w:val="0"/>
          <w:sz w:val="24"/>
          <w:szCs w:val="24"/>
          <w:lang w:eastAsia="zh-CN"/>
        </w:rPr>
        <w:t>，要求为中小微企业投标时，未提供中小企业声明函的</w:t>
      </w:r>
      <w:r>
        <w:rPr>
          <w:rFonts w:hint="eastAsia" w:hAnsi="宋体" w:cs="宋体"/>
          <w:snapToGrid w:val="0"/>
          <w:sz w:val="24"/>
          <w:szCs w:val="24"/>
        </w:rPr>
        <w:t>；</w:t>
      </w:r>
    </w:p>
    <w:p>
      <w:pPr>
        <w:widowControl/>
        <w:snapToGrid w:val="0"/>
        <w:spacing w:line="360" w:lineRule="auto"/>
        <w:ind w:firstLine="480" w:firstLineChars="200"/>
        <w:jc w:val="left"/>
        <w:rPr>
          <w:rFonts w:hint="eastAsia" w:ascii="宋体" w:hAnsi="宋体" w:cs="宋体"/>
          <w:sz w:val="24"/>
        </w:rPr>
      </w:pPr>
      <w:r>
        <w:rPr>
          <w:rFonts w:hint="eastAsia" w:ascii="宋体" w:hAnsi="宋体" w:cs="宋体"/>
          <w:sz w:val="24"/>
        </w:rPr>
        <w:t>（9）</w:t>
      </w:r>
      <w:r>
        <w:rPr>
          <w:rFonts w:hint="eastAsia" w:ascii="宋体" w:hAnsi="宋体" w:cs="宋体"/>
          <w:b/>
          <w:bCs/>
          <w:sz w:val="24"/>
        </w:rPr>
        <w:t>电子投标文件解密失败的，且未在规定时间内提交电子备份投标文件的；</w:t>
      </w:r>
    </w:p>
    <w:p>
      <w:pPr>
        <w:widowControl/>
        <w:snapToGrid w:val="0"/>
        <w:spacing w:line="360" w:lineRule="auto"/>
        <w:ind w:firstLine="480" w:firstLineChars="200"/>
        <w:jc w:val="left"/>
        <w:rPr>
          <w:rFonts w:hint="eastAsia" w:ascii="宋体" w:hAnsi="宋体" w:cs="宋体"/>
          <w:b/>
          <w:bCs/>
          <w:sz w:val="24"/>
        </w:rPr>
      </w:pPr>
      <w:r>
        <w:rPr>
          <w:rFonts w:hint="eastAsia" w:ascii="宋体" w:hAnsi="宋体" w:cs="宋体"/>
          <w:sz w:val="24"/>
        </w:rPr>
        <w:t>（10）</w:t>
      </w:r>
      <w:r>
        <w:rPr>
          <w:rFonts w:hint="eastAsia" w:ascii="宋体" w:hAnsi="宋体" w:cs="宋体"/>
          <w:b/>
          <w:bCs/>
          <w:sz w:val="24"/>
        </w:rPr>
        <w:t>电子投标文件未按规定要求进行签字、电子签章的。</w:t>
      </w:r>
    </w:p>
    <w:p>
      <w:pPr>
        <w:snapToGrid w:val="0"/>
        <w:spacing w:line="360" w:lineRule="auto"/>
        <w:ind w:firstLine="464" w:firstLineChars="200"/>
        <w:rPr>
          <w:rFonts w:hint="eastAsia" w:ascii="宋体" w:hAnsi="宋体" w:cs="宋体"/>
          <w:spacing w:val="-4"/>
          <w:sz w:val="24"/>
          <w:szCs w:val="20"/>
        </w:rPr>
      </w:pPr>
      <w:r>
        <w:rPr>
          <w:rFonts w:hint="eastAsia" w:ascii="宋体" w:hAnsi="宋体" w:cs="宋体"/>
          <w:spacing w:val="-4"/>
          <w:sz w:val="24"/>
          <w:szCs w:val="20"/>
        </w:rPr>
        <w:t>（11）本项目投标截止之日前三年内，相关主体在“信用中国”网站(</w:t>
      </w:r>
      <w:r>
        <w:rPr>
          <w:rFonts w:hint="eastAsia" w:ascii="宋体" w:hAnsi="宋体" w:cs="宋体"/>
          <w:spacing w:val="-4"/>
          <w:sz w:val="24"/>
          <w:szCs w:val="20"/>
        </w:rPr>
        <w:fldChar w:fldCharType="begin"/>
      </w:r>
      <w:r>
        <w:rPr>
          <w:rFonts w:hint="eastAsia" w:ascii="宋体" w:hAnsi="宋体" w:cs="宋体"/>
          <w:spacing w:val="-4"/>
          <w:sz w:val="24"/>
          <w:szCs w:val="20"/>
        </w:rPr>
        <w:instrText xml:space="preserve"> HYPERLINK "http://www.creditchina.gov.cn" </w:instrText>
      </w:r>
      <w:r>
        <w:rPr>
          <w:rFonts w:hint="eastAsia" w:ascii="宋体" w:hAnsi="宋体" w:cs="宋体"/>
          <w:spacing w:val="-4"/>
          <w:sz w:val="24"/>
          <w:szCs w:val="20"/>
        </w:rPr>
        <w:fldChar w:fldCharType="separate"/>
      </w:r>
      <w:r>
        <w:rPr>
          <w:rFonts w:hint="eastAsia" w:ascii="宋体" w:hAnsi="宋体" w:cs="宋体"/>
          <w:spacing w:val="-4"/>
          <w:sz w:val="24"/>
          <w:szCs w:val="20"/>
        </w:rPr>
        <w:t>www.creditchina.gov.cn</w:t>
      </w:r>
      <w:r>
        <w:rPr>
          <w:rFonts w:hint="eastAsia" w:ascii="宋体" w:hAnsi="宋体" w:cs="宋体"/>
          <w:spacing w:val="-4"/>
          <w:sz w:val="24"/>
          <w:szCs w:val="20"/>
        </w:rPr>
        <w:fldChar w:fldCharType="end"/>
      </w:r>
      <w:r>
        <w:rPr>
          <w:rFonts w:hint="eastAsia" w:ascii="宋体" w:hAnsi="宋体" w:cs="宋体"/>
          <w:spacing w:val="-4"/>
          <w:sz w:val="24"/>
          <w:szCs w:val="20"/>
        </w:rPr>
        <w:t>)、中国政府采购网(</w:t>
      </w:r>
      <w:r>
        <w:rPr>
          <w:rFonts w:hint="eastAsia" w:ascii="宋体" w:hAnsi="宋体" w:cs="宋体"/>
          <w:spacing w:val="-4"/>
          <w:sz w:val="24"/>
          <w:szCs w:val="20"/>
        </w:rPr>
        <w:fldChar w:fldCharType="begin"/>
      </w:r>
      <w:r>
        <w:rPr>
          <w:rFonts w:hint="eastAsia" w:ascii="宋体" w:hAnsi="宋体" w:cs="宋体"/>
          <w:spacing w:val="-4"/>
          <w:sz w:val="24"/>
          <w:szCs w:val="20"/>
        </w:rPr>
        <w:instrText xml:space="preserve"> HYPERLINK "http://www.ccgp.gov.cn" </w:instrText>
      </w:r>
      <w:r>
        <w:rPr>
          <w:rFonts w:hint="eastAsia" w:ascii="宋体" w:hAnsi="宋体" w:cs="宋体"/>
          <w:spacing w:val="-4"/>
          <w:sz w:val="24"/>
          <w:szCs w:val="20"/>
        </w:rPr>
        <w:fldChar w:fldCharType="separate"/>
      </w:r>
      <w:r>
        <w:rPr>
          <w:rFonts w:hint="eastAsia" w:ascii="宋体" w:hAnsi="宋体" w:cs="宋体"/>
          <w:spacing w:val="-4"/>
          <w:sz w:val="24"/>
          <w:szCs w:val="20"/>
        </w:rPr>
        <w:t>www.ccgp.gov.cn</w:t>
      </w:r>
      <w:r>
        <w:rPr>
          <w:rFonts w:hint="eastAsia" w:ascii="宋体" w:hAnsi="宋体" w:cs="宋体"/>
          <w:spacing w:val="-4"/>
          <w:sz w:val="24"/>
          <w:szCs w:val="20"/>
        </w:rPr>
        <w:fldChar w:fldCharType="end"/>
      </w:r>
      <w:r>
        <w:rPr>
          <w:rFonts w:hint="eastAsia" w:ascii="宋体" w:hAnsi="宋体" w:cs="宋体"/>
          <w:spacing w:val="-4"/>
          <w:sz w:val="24"/>
          <w:szCs w:val="20"/>
        </w:rPr>
        <w:t>)有失信行为或被列入受惩黑名单。</w:t>
      </w:r>
    </w:p>
    <w:p>
      <w:pPr>
        <w:pStyle w:val="3"/>
        <w:snapToGrid w:val="0"/>
        <w:spacing w:line="360" w:lineRule="auto"/>
        <w:ind w:firstLine="454" w:firstLineChars="196"/>
        <w:rPr>
          <w:rFonts w:hint="eastAsia" w:hAnsi="宋体" w:cs="宋体"/>
          <w:sz w:val="24"/>
          <w:szCs w:val="24"/>
        </w:rPr>
      </w:pPr>
      <w:r>
        <w:rPr>
          <w:rFonts w:hint="eastAsia" w:hAnsi="宋体" w:cs="宋体"/>
          <w:sz w:val="24"/>
          <w:szCs w:val="24"/>
        </w:rPr>
        <w:t>（1</w:t>
      </w:r>
      <w:r>
        <w:rPr>
          <w:rFonts w:hint="eastAsia" w:hAnsi="宋体" w:cs="宋体"/>
          <w:sz w:val="24"/>
          <w:szCs w:val="24"/>
          <w:lang w:val="en-US" w:eastAsia="zh-CN"/>
        </w:rPr>
        <w:t>2</w:t>
      </w:r>
      <w:r>
        <w:rPr>
          <w:rFonts w:hint="eastAsia" w:hAnsi="宋体" w:cs="宋体"/>
          <w:sz w:val="24"/>
          <w:szCs w:val="24"/>
        </w:rPr>
        <w:t>）投标文件有招标方不能接受的附加条件的。</w:t>
      </w:r>
    </w:p>
    <w:p>
      <w:pPr>
        <w:pStyle w:val="3"/>
        <w:snapToGrid w:val="0"/>
        <w:spacing w:line="360" w:lineRule="auto"/>
        <w:ind w:firstLine="457" w:firstLineChars="196"/>
        <w:rPr>
          <w:rFonts w:hint="eastAsia" w:hAnsi="宋体" w:cs="宋体"/>
          <w:b/>
          <w:bCs/>
          <w:sz w:val="24"/>
          <w:szCs w:val="24"/>
        </w:rPr>
      </w:pPr>
      <w:r>
        <w:rPr>
          <w:rFonts w:hint="eastAsia" w:hAnsi="宋体" w:cs="宋体"/>
          <w:b/>
          <w:bCs/>
          <w:sz w:val="24"/>
          <w:szCs w:val="24"/>
        </w:rPr>
        <w:t>3.在技术评审时，如发现下列情形之一的，投标文件将被视为无效：</w:t>
      </w:r>
    </w:p>
    <w:p>
      <w:pPr>
        <w:snapToGrid w:val="0"/>
        <w:spacing w:line="360" w:lineRule="auto"/>
        <w:ind w:firstLine="470" w:firstLineChars="196"/>
        <w:rPr>
          <w:rFonts w:hint="eastAsia" w:ascii="宋体" w:hAnsi="宋体" w:cs="宋体"/>
          <w:sz w:val="24"/>
        </w:rPr>
      </w:pPr>
      <w:r>
        <w:rPr>
          <w:rFonts w:hint="eastAsia" w:ascii="宋体" w:hAnsi="宋体" w:cs="宋体"/>
          <w:sz w:val="24"/>
        </w:rPr>
        <w:t>（1）商务技术响应文件内有商务报价出现的；</w:t>
      </w:r>
    </w:p>
    <w:p>
      <w:pPr>
        <w:pStyle w:val="3"/>
        <w:snapToGrid w:val="0"/>
        <w:spacing w:line="360" w:lineRule="auto"/>
        <w:ind w:firstLine="454" w:firstLineChars="196"/>
        <w:rPr>
          <w:rFonts w:hint="eastAsia" w:hAnsi="宋体" w:cs="宋体"/>
          <w:sz w:val="24"/>
          <w:szCs w:val="24"/>
        </w:rPr>
      </w:pPr>
      <w:r>
        <w:rPr>
          <w:rFonts w:hint="eastAsia" w:hAnsi="宋体" w:cs="宋体"/>
          <w:sz w:val="24"/>
          <w:szCs w:val="24"/>
        </w:rPr>
        <w:t>（2）未提供或未如实提供投标货物的技术参数，或者投标文件标明的响应或偏离与事实不符或虚假投标的；</w:t>
      </w:r>
    </w:p>
    <w:p>
      <w:pPr>
        <w:pStyle w:val="3"/>
        <w:snapToGrid w:val="0"/>
        <w:spacing w:line="360" w:lineRule="auto"/>
        <w:ind w:firstLine="454" w:firstLineChars="196"/>
        <w:rPr>
          <w:rFonts w:hint="eastAsia" w:hAnsi="宋体" w:cs="宋体"/>
          <w:sz w:val="24"/>
          <w:szCs w:val="24"/>
        </w:rPr>
      </w:pPr>
      <w:r>
        <w:rPr>
          <w:rFonts w:hint="eastAsia" w:hAnsi="宋体" w:cs="宋体"/>
          <w:sz w:val="24"/>
          <w:szCs w:val="24"/>
        </w:rPr>
        <w:t>（3）</w:t>
      </w:r>
      <w:r>
        <w:rPr>
          <w:rFonts w:hint="eastAsia" w:hAnsi="宋体" w:cs="宋体"/>
          <w:snapToGrid w:val="0"/>
          <w:sz w:val="24"/>
          <w:szCs w:val="24"/>
        </w:rPr>
        <w:t>明显不符合招标文件要求的规格型号、质量标准，或者与</w:t>
      </w:r>
      <w:r>
        <w:rPr>
          <w:rFonts w:hint="eastAsia" w:hAnsi="宋体" w:cs="宋体"/>
          <w:sz w:val="24"/>
          <w:szCs w:val="24"/>
        </w:rPr>
        <w:t>招标文件中标有“▲”的技术指标、主要功能项目发生实质性偏离的；</w:t>
      </w:r>
    </w:p>
    <w:p>
      <w:pPr>
        <w:pStyle w:val="3"/>
        <w:snapToGrid w:val="0"/>
        <w:spacing w:line="360" w:lineRule="auto"/>
        <w:ind w:firstLine="454" w:firstLineChars="196"/>
        <w:rPr>
          <w:rFonts w:hint="eastAsia" w:hAnsi="宋体" w:cs="宋体"/>
          <w:sz w:val="24"/>
          <w:szCs w:val="24"/>
        </w:rPr>
      </w:pPr>
      <w:r>
        <w:rPr>
          <w:rFonts w:hint="eastAsia" w:hAnsi="宋体" w:cs="宋体"/>
          <w:sz w:val="24"/>
          <w:szCs w:val="24"/>
        </w:rPr>
        <w:t>（4）投标技术方案不明确，存在一个或一个以上备选（替代）投标方案的；</w:t>
      </w:r>
    </w:p>
    <w:p>
      <w:pPr>
        <w:pStyle w:val="3"/>
        <w:snapToGrid w:val="0"/>
        <w:spacing w:line="360" w:lineRule="auto"/>
        <w:ind w:firstLine="464" w:firstLineChars="200"/>
        <w:rPr>
          <w:rFonts w:hint="eastAsia" w:hAnsi="宋体" w:cs="宋体"/>
          <w:sz w:val="24"/>
          <w:szCs w:val="24"/>
        </w:rPr>
      </w:pPr>
      <w:r>
        <w:rPr>
          <w:rFonts w:hint="eastAsia" w:hAnsi="宋体" w:cs="宋体"/>
          <w:sz w:val="24"/>
          <w:szCs w:val="24"/>
        </w:rPr>
        <w:t>（5）与其他参加本次投标供应商的投标文件（技术文件）的文字表述内容相同连续20行以上或者差错相同2处以上的。</w:t>
      </w:r>
    </w:p>
    <w:p>
      <w:pPr>
        <w:widowControl/>
        <w:snapToGrid w:val="0"/>
        <w:spacing w:line="360" w:lineRule="auto"/>
        <w:ind w:firstLine="480" w:firstLineChars="200"/>
        <w:jc w:val="left"/>
        <w:rPr>
          <w:rFonts w:hint="eastAsia" w:ascii="宋体" w:hAnsi="宋体" w:cs="宋体"/>
          <w:sz w:val="24"/>
        </w:rPr>
      </w:pPr>
      <w:r>
        <w:rPr>
          <w:rFonts w:hint="eastAsia" w:ascii="宋体" w:hAnsi="宋体" w:cs="宋体"/>
          <w:sz w:val="24"/>
        </w:rPr>
        <w:t>（6）</w:t>
      </w:r>
      <w:r>
        <w:rPr>
          <w:rFonts w:hint="eastAsia" w:ascii="宋体" w:hAnsi="宋体" w:cs="宋体"/>
          <w:b/>
          <w:bCs/>
          <w:sz w:val="24"/>
        </w:rPr>
        <w:t>电子投标文件解密失败的，且未在规定时间内提交电子备份投标文件的；</w:t>
      </w:r>
    </w:p>
    <w:p>
      <w:pPr>
        <w:widowControl/>
        <w:snapToGrid w:val="0"/>
        <w:spacing w:line="360" w:lineRule="auto"/>
        <w:ind w:firstLine="480" w:firstLineChars="200"/>
        <w:jc w:val="left"/>
        <w:rPr>
          <w:rFonts w:hint="eastAsia" w:ascii="宋体" w:hAnsi="宋体" w:cs="宋体"/>
          <w:sz w:val="24"/>
        </w:rPr>
      </w:pPr>
      <w:r>
        <w:rPr>
          <w:rFonts w:hint="eastAsia" w:ascii="宋体" w:hAnsi="宋体" w:cs="宋体"/>
          <w:sz w:val="24"/>
        </w:rPr>
        <w:t>（7）</w:t>
      </w:r>
      <w:r>
        <w:rPr>
          <w:rFonts w:hint="eastAsia" w:ascii="宋体" w:hAnsi="宋体" w:cs="宋体"/>
          <w:b/>
          <w:bCs/>
          <w:sz w:val="24"/>
        </w:rPr>
        <w:t>电子投标文件未按规定要求进行签字、电子签章的。</w:t>
      </w:r>
    </w:p>
    <w:p>
      <w:pPr>
        <w:pStyle w:val="3"/>
        <w:snapToGrid w:val="0"/>
        <w:spacing w:line="360" w:lineRule="auto"/>
        <w:ind w:firstLine="457" w:firstLineChars="196"/>
        <w:rPr>
          <w:rFonts w:hint="eastAsia" w:hAnsi="宋体" w:cs="宋体"/>
          <w:b/>
          <w:bCs/>
          <w:sz w:val="24"/>
          <w:szCs w:val="24"/>
        </w:rPr>
      </w:pPr>
      <w:r>
        <w:rPr>
          <w:rFonts w:hint="eastAsia" w:hAnsi="宋体" w:cs="宋体"/>
          <w:b/>
          <w:bCs/>
          <w:sz w:val="24"/>
          <w:szCs w:val="24"/>
        </w:rPr>
        <w:t>4.在报价评审时，如发现下列情形之一的，投标文件将被视为无效：</w:t>
      </w:r>
    </w:p>
    <w:p>
      <w:pPr>
        <w:pStyle w:val="3"/>
        <w:snapToGrid w:val="0"/>
        <w:spacing w:line="360" w:lineRule="auto"/>
        <w:ind w:firstLine="464" w:firstLineChars="200"/>
        <w:rPr>
          <w:rFonts w:hint="eastAsia" w:hAnsi="宋体" w:cs="宋体"/>
          <w:sz w:val="24"/>
          <w:szCs w:val="24"/>
        </w:rPr>
      </w:pPr>
      <w:r>
        <w:rPr>
          <w:rFonts w:hint="eastAsia" w:hAnsi="宋体" w:cs="宋体"/>
          <w:sz w:val="24"/>
          <w:szCs w:val="24"/>
        </w:rPr>
        <w:t>（1）未采用人民币报价或者未按照招标文件标明的币种报价的；</w:t>
      </w:r>
    </w:p>
    <w:p>
      <w:pPr>
        <w:pStyle w:val="3"/>
        <w:snapToGrid w:val="0"/>
        <w:spacing w:line="360" w:lineRule="auto"/>
        <w:ind w:firstLine="464" w:firstLineChars="200"/>
        <w:rPr>
          <w:rFonts w:hint="eastAsia" w:hAnsi="宋体" w:cs="宋体"/>
          <w:sz w:val="24"/>
          <w:szCs w:val="24"/>
        </w:rPr>
      </w:pPr>
      <w:r>
        <w:rPr>
          <w:rFonts w:hint="eastAsia" w:hAnsi="宋体" w:cs="宋体"/>
          <w:sz w:val="24"/>
          <w:szCs w:val="24"/>
        </w:rPr>
        <w:t>（2）报价超出招标文件规定的预算金额或者最高限价的；</w:t>
      </w:r>
    </w:p>
    <w:p>
      <w:pPr>
        <w:pStyle w:val="3"/>
        <w:snapToGrid w:val="0"/>
        <w:spacing w:line="360" w:lineRule="auto"/>
        <w:ind w:firstLine="464" w:firstLineChars="200"/>
        <w:rPr>
          <w:rFonts w:hint="eastAsia" w:hAnsi="宋体" w:cs="宋体"/>
          <w:sz w:val="24"/>
          <w:szCs w:val="24"/>
        </w:rPr>
      </w:pPr>
      <w:r>
        <w:rPr>
          <w:rFonts w:hint="eastAsia" w:hAnsi="宋体" w:cs="宋体"/>
          <w:sz w:val="24"/>
          <w:szCs w:val="24"/>
        </w:rPr>
        <w:t>（3）投标报价具有选择性。</w:t>
      </w:r>
    </w:p>
    <w:p>
      <w:pPr>
        <w:pStyle w:val="3"/>
        <w:snapToGrid w:val="0"/>
        <w:spacing w:line="360" w:lineRule="auto"/>
        <w:ind w:firstLine="464" w:firstLineChars="200"/>
        <w:rPr>
          <w:rFonts w:hint="eastAsia" w:hAnsi="宋体" w:cs="宋体"/>
          <w:sz w:val="24"/>
          <w:szCs w:val="24"/>
        </w:rPr>
      </w:pPr>
      <w:r>
        <w:rPr>
          <w:rFonts w:hint="eastAsia" w:hAnsi="宋体" w:cs="宋体"/>
          <w:sz w:val="24"/>
          <w:szCs w:val="24"/>
        </w:rPr>
        <w:t>（4）投标报价文件格式不符合招标文件要求格式的；</w:t>
      </w:r>
    </w:p>
    <w:p>
      <w:pPr>
        <w:pStyle w:val="3"/>
        <w:snapToGrid w:val="0"/>
        <w:spacing w:line="312" w:lineRule="auto"/>
        <w:ind w:firstLine="457" w:firstLineChars="196"/>
        <w:rPr>
          <w:rFonts w:hint="eastAsia" w:hAnsi="宋体" w:cs="宋体"/>
          <w:b/>
          <w:bCs/>
          <w:sz w:val="24"/>
          <w:szCs w:val="24"/>
        </w:rPr>
      </w:pPr>
      <w:r>
        <w:rPr>
          <w:rFonts w:hint="eastAsia" w:hAnsi="宋体" w:cs="宋体"/>
          <w:b/>
          <w:bCs/>
          <w:sz w:val="24"/>
          <w:szCs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
        <w:snapToGrid w:val="0"/>
        <w:spacing w:line="312" w:lineRule="auto"/>
        <w:ind w:firstLine="457" w:firstLineChars="196"/>
        <w:rPr>
          <w:rFonts w:hint="eastAsia" w:hAnsi="宋体" w:cs="宋体"/>
          <w:b/>
          <w:bCs/>
          <w:sz w:val="24"/>
          <w:szCs w:val="24"/>
        </w:rPr>
      </w:pPr>
      <w:r>
        <w:rPr>
          <w:rFonts w:hint="eastAsia" w:hAnsi="宋体" w:cs="宋体"/>
          <w:b/>
          <w:bCs/>
          <w:sz w:val="24"/>
          <w:szCs w:val="24"/>
        </w:rPr>
        <w:t>（6）电子投标文件解密失败的，且未在规定时间内提交电子备份投标文件的；</w:t>
      </w:r>
    </w:p>
    <w:p>
      <w:pPr>
        <w:pStyle w:val="3"/>
        <w:snapToGrid w:val="0"/>
        <w:spacing w:line="312" w:lineRule="auto"/>
        <w:ind w:firstLine="457" w:firstLineChars="196"/>
        <w:rPr>
          <w:rFonts w:hint="eastAsia" w:hAnsi="宋体" w:cs="宋体"/>
          <w:b/>
          <w:bCs/>
          <w:sz w:val="24"/>
          <w:szCs w:val="24"/>
        </w:rPr>
      </w:pPr>
      <w:r>
        <w:rPr>
          <w:rFonts w:hint="eastAsia" w:hAnsi="宋体" w:cs="宋体"/>
          <w:b/>
          <w:bCs/>
          <w:sz w:val="24"/>
          <w:szCs w:val="24"/>
        </w:rPr>
        <w:t>（7）电子投标文件未按规定要求进行签字、电子签章的。</w:t>
      </w:r>
    </w:p>
    <w:p>
      <w:pPr>
        <w:pStyle w:val="3"/>
        <w:snapToGrid w:val="0"/>
        <w:spacing w:line="312" w:lineRule="auto"/>
        <w:ind w:firstLine="457" w:firstLineChars="196"/>
        <w:rPr>
          <w:rFonts w:hint="eastAsia" w:hAnsi="宋体" w:cs="宋体"/>
          <w:b/>
          <w:bCs/>
          <w:sz w:val="24"/>
          <w:szCs w:val="24"/>
        </w:rPr>
      </w:pPr>
      <w:r>
        <w:rPr>
          <w:rFonts w:hint="eastAsia" w:hAnsi="宋体" w:cs="宋体"/>
          <w:b/>
          <w:bCs/>
          <w:sz w:val="24"/>
          <w:szCs w:val="24"/>
        </w:rPr>
        <w:t>5.被拒绝的投标文件为无效。</w:t>
      </w:r>
    </w:p>
    <w:p>
      <w:pPr>
        <w:pStyle w:val="3"/>
        <w:snapToGrid w:val="0"/>
        <w:spacing w:line="360" w:lineRule="auto"/>
        <w:ind w:firstLine="457" w:firstLineChars="196"/>
        <w:rPr>
          <w:rFonts w:hint="eastAsia" w:hAnsi="宋体" w:cs="宋体"/>
          <w:b/>
          <w:sz w:val="24"/>
          <w:szCs w:val="24"/>
        </w:rPr>
      </w:pPr>
      <w:r>
        <w:rPr>
          <w:rFonts w:hint="eastAsia" w:hAnsi="宋体" w:cs="宋体"/>
          <w:b/>
          <w:sz w:val="24"/>
          <w:szCs w:val="24"/>
        </w:rPr>
        <w:t>6．对仅出现以上1、2、3情形之一中小项情况的，经审定凡没有实质性影响和损害的，可不作无效标处理。</w:t>
      </w:r>
    </w:p>
    <w:p>
      <w:pPr>
        <w:pStyle w:val="3"/>
        <w:snapToGrid w:val="0"/>
        <w:spacing w:line="360" w:lineRule="auto"/>
        <w:ind w:firstLine="457" w:firstLineChars="196"/>
        <w:outlineLvl w:val="1"/>
        <w:rPr>
          <w:rFonts w:hint="eastAsia" w:hAnsi="宋体" w:cs="宋体"/>
          <w:b/>
          <w:snapToGrid w:val="0"/>
          <w:sz w:val="24"/>
          <w:szCs w:val="24"/>
        </w:rPr>
      </w:pPr>
      <w:r>
        <w:rPr>
          <w:rFonts w:hint="eastAsia" w:hAnsi="宋体" w:cs="宋体"/>
          <w:b/>
          <w:sz w:val="24"/>
          <w:szCs w:val="24"/>
        </w:rPr>
        <w:t>四、开标</w:t>
      </w:r>
    </w:p>
    <w:p>
      <w:pPr>
        <w:pStyle w:val="27"/>
        <w:snapToGrid w:val="0"/>
        <w:spacing w:before="120" w:after="120" w:line="360" w:lineRule="auto"/>
        <w:ind w:firstLine="472" w:firstLineChars="196"/>
        <w:rPr>
          <w:rFonts w:hint="eastAsia" w:hAnsi="宋体" w:cs="宋体"/>
          <w:b/>
        </w:rPr>
      </w:pPr>
      <w:r>
        <w:rPr>
          <w:rFonts w:hint="eastAsia" w:hAnsi="宋体" w:cs="宋体"/>
          <w:b/>
        </w:rPr>
        <w:t>（一）开标准备</w:t>
      </w:r>
    </w:p>
    <w:p>
      <w:pPr>
        <w:snapToGrid w:val="0"/>
        <w:spacing w:line="380" w:lineRule="exact"/>
        <w:ind w:firstLine="482" w:firstLineChars="200"/>
        <w:rPr>
          <w:rFonts w:hint="eastAsia" w:ascii="宋体" w:hAnsi="宋体" w:cs="宋体"/>
        </w:rPr>
      </w:pPr>
      <w:r>
        <w:rPr>
          <w:rFonts w:hint="eastAsia" w:ascii="宋体" w:hAnsi="宋体" w:cs="宋体"/>
          <w:b/>
          <w:bCs/>
          <w:sz w:val="24"/>
        </w:rPr>
        <w:t>本项目不要求投标人到开标现场开标，但投标人应派法定代表人或委托代理人【委托代理人应当是投标人的在职正式职工（以社保网站拉具的含授权代表的投标单位社保清单为准，无社保网站拉具的投标单位社保清单的，可以提供投标人注册所在地社保部门出具的投标人本单位缴纳社保花名册）】准时在线出席电子开标会议，随时关注开标进度，如在开标过程中有电子询标，应在规定的时间内对电子询标函进行澄清、答复。超过规定时间的询标函将不予接受，评标为委员会可以作出不利于被询标人的决定。评标委员会只对投标文件内容进行询问，以投标文件的内容作为评审依据，不接受外部补充证据，评标委员会认为投标人不符合招标文件实质性要求明确时，可不经过询标而直接予以无效标认定，但代理机构应将无效标原因当场告知投标人。</w:t>
      </w:r>
    </w:p>
    <w:p>
      <w:pPr>
        <w:snapToGrid w:val="0"/>
        <w:spacing w:before="120" w:beforeLines="50" w:line="360" w:lineRule="auto"/>
        <w:ind w:firstLine="472" w:firstLineChars="196"/>
        <w:jc w:val="left"/>
        <w:outlineLvl w:val="1"/>
        <w:rPr>
          <w:rFonts w:hint="eastAsia" w:ascii="宋体" w:hAnsi="宋体" w:cs="宋体"/>
        </w:rPr>
      </w:pPr>
      <w:r>
        <w:rPr>
          <w:rFonts w:hint="eastAsia" w:ascii="宋体" w:hAnsi="宋体" w:cs="宋体"/>
          <w:b/>
          <w:bCs/>
          <w:sz w:val="24"/>
        </w:rPr>
        <w:t>投标人未按招标文件要求派代表参加电子开标会议的，视同认可开标结果，不得对开标过程及开标结果提出质疑。</w:t>
      </w:r>
    </w:p>
    <w:p>
      <w:pPr>
        <w:snapToGrid w:val="0"/>
        <w:spacing w:line="312" w:lineRule="auto"/>
        <w:ind w:firstLine="482" w:firstLineChars="200"/>
        <w:rPr>
          <w:rFonts w:hint="eastAsia" w:ascii="宋体" w:hAnsi="宋体" w:cs="宋体"/>
          <w:b/>
          <w:sz w:val="24"/>
        </w:rPr>
      </w:pPr>
      <w:r>
        <w:rPr>
          <w:rFonts w:hint="eastAsia" w:ascii="宋体" w:hAnsi="宋体" w:cs="宋体"/>
          <w:b/>
          <w:sz w:val="24"/>
        </w:rPr>
        <w:t>投标截止时间后及评审过程中，有效投标人不足3家的标项，则予以废标。</w:t>
      </w:r>
    </w:p>
    <w:p>
      <w:pPr>
        <w:pStyle w:val="27"/>
        <w:numPr>
          <w:ilvl w:val="0"/>
          <w:numId w:val="10"/>
        </w:numPr>
        <w:snapToGrid w:val="0"/>
        <w:spacing w:before="120" w:after="120" w:line="360" w:lineRule="auto"/>
        <w:rPr>
          <w:rFonts w:hint="eastAsia" w:hAnsi="宋体" w:cs="宋体"/>
          <w:b/>
        </w:rPr>
      </w:pPr>
      <w:r>
        <w:rPr>
          <w:rFonts w:hint="eastAsia" w:hAnsi="宋体" w:cs="宋体"/>
          <w:b/>
        </w:rPr>
        <w:t>开标程序：</w:t>
      </w:r>
    </w:p>
    <w:p>
      <w:pPr>
        <w:spacing w:line="440" w:lineRule="exact"/>
        <w:ind w:firstLine="482" w:firstLineChars="200"/>
        <w:rPr>
          <w:rFonts w:hint="eastAsia" w:ascii="宋体" w:hAnsi="宋体" w:cs="宋体"/>
          <w:b/>
          <w:bCs/>
          <w:sz w:val="24"/>
        </w:rPr>
      </w:pPr>
      <w:r>
        <w:rPr>
          <w:rFonts w:hint="eastAsia" w:ascii="宋体" w:hAnsi="宋体" w:cs="宋体"/>
          <w:b/>
          <w:bCs/>
          <w:sz w:val="24"/>
        </w:rPr>
        <w:t>1、本项目原则上采用政采云电子招投标系统进行开标及评审，但有下情形之一的，按以下情况处理：</w:t>
      </w:r>
    </w:p>
    <w:p>
      <w:pPr>
        <w:pStyle w:val="27"/>
        <w:adjustRightInd w:val="0"/>
        <w:snapToGrid w:val="0"/>
        <w:spacing w:before="120" w:after="120" w:line="500" w:lineRule="exact"/>
        <w:ind w:firstLine="482" w:firstLineChars="200"/>
        <w:rPr>
          <w:rFonts w:hint="eastAsia" w:hAnsi="宋体" w:cs="宋体"/>
          <w:b/>
          <w:u w:val="single"/>
        </w:rPr>
      </w:pPr>
      <w:r>
        <w:rPr>
          <w:rFonts w:hint="eastAsia" w:hAnsi="宋体" w:cs="宋体"/>
          <w:b/>
          <w:u w:val="single"/>
        </w:rPr>
        <w:t>（1）若投标人的电子投标文件在规定时间内无法解密或解密失败，工作人员将开启投标人递交的电子备份投标文件，以完成开标。</w:t>
      </w:r>
    </w:p>
    <w:p>
      <w:pPr>
        <w:pStyle w:val="27"/>
        <w:snapToGrid w:val="0"/>
        <w:spacing w:before="120" w:after="120" w:line="460" w:lineRule="exact"/>
        <w:ind w:firstLine="482" w:firstLineChars="200"/>
        <w:rPr>
          <w:rFonts w:hint="eastAsia" w:hAnsi="宋体" w:cs="宋体"/>
          <w:b/>
          <w:bCs/>
        </w:rPr>
      </w:pPr>
      <w:r>
        <w:rPr>
          <w:rFonts w:hint="eastAsia" w:hAnsi="宋体" w:cs="宋体"/>
          <w:b/>
          <w:u w:val="single"/>
        </w:rPr>
        <w:t>（2）若投标人的电子投标文件在规定时间内无法解密或解密失败，或者因政采云平台原因无法读取或电子开评标无法正常进行时，工作人员将上传投标人的电子备份投标文件，以完成开标。</w:t>
      </w:r>
    </w:p>
    <w:p>
      <w:pPr>
        <w:pStyle w:val="27"/>
        <w:snapToGrid w:val="0"/>
        <w:spacing w:before="120" w:after="120" w:line="240" w:lineRule="auto"/>
        <w:ind w:left="567"/>
        <w:rPr>
          <w:rFonts w:hint="eastAsia" w:hAnsi="宋体" w:cs="宋体"/>
          <w:b/>
          <w:bCs/>
        </w:rPr>
      </w:pPr>
      <w:r>
        <w:rPr>
          <w:rFonts w:hint="eastAsia" w:hAnsi="宋体" w:cs="宋体"/>
          <w:b/>
          <w:bCs/>
        </w:rPr>
        <w:t>2、开标及评审程序</w:t>
      </w:r>
    </w:p>
    <w:p>
      <w:pPr>
        <w:spacing w:line="440" w:lineRule="exact"/>
        <w:ind w:firstLine="482" w:firstLineChars="200"/>
        <w:rPr>
          <w:rFonts w:hint="eastAsia" w:ascii="宋体" w:hAnsi="宋体" w:cs="宋体"/>
          <w:b/>
          <w:sz w:val="24"/>
        </w:rPr>
      </w:pPr>
      <w:r>
        <w:rPr>
          <w:rFonts w:hint="eastAsia" w:ascii="宋体" w:hAnsi="宋体" w:cs="宋体"/>
          <w:b/>
          <w:bCs/>
          <w:sz w:val="24"/>
        </w:rPr>
        <w:t>（1）投标截止时间后，</w:t>
      </w:r>
      <w:r>
        <w:rPr>
          <w:rFonts w:hint="eastAsia" w:ascii="宋体" w:hAnsi="宋体" w:cs="宋体"/>
          <w:b/>
          <w:sz w:val="24"/>
        </w:rPr>
        <w:t>投标人</w:t>
      </w:r>
      <w:r>
        <w:rPr>
          <w:rFonts w:hint="eastAsia" w:ascii="宋体" w:hAnsi="宋体" w:cs="宋体"/>
          <w:b/>
          <w:bCs/>
          <w:sz w:val="24"/>
        </w:rPr>
        <w:t>须</w:t>
      </w:r>
      <w:r>
        <w:rPr>
          <w:rFonts w:hint="eastAsia" w:ascii="宋体" w:hAnsi="宋体" w:cs="宋体"/>
          <w:b/>
          <w:sz w:val="24"/>
        </w:rPr>
        <w:t>登录政采云平台，用“项目采购-开标评标”功能对电子投标文件进行在线解密。在线解密电子投标文件时间为</w:t>
      </w:r>
      <w:r>
        <w:rPr>
          <w:rFonts w:hint="eastAsia" w:ascii="宋体" w:hAnsi="宋体" w:cs="宋体"/>
          <w:b/>
          <w:bCs/>
          <w:sz w:val="24"/>
        </w:rPr>
        <w:t>投标截止时间</w:t>
      </w:r>
      <w:r>
        <w:rPr>
          <w:rFonts w:hint="eastAsia" w:ascii="宋体" w:hAnsi="宋体" w:cs="宋体"/>
          <w:b/>
          <w:sz w:val="24"/>
        </w:rPr>
        <w:t>起半个小时内。</w:t>
      </w:r>
    </w:p>
    <w:p>
      <w:pPr>
        <w:spacing w:line="440" w:lineRule="exact"/>
        <w:ind w:firstLine="482" w:firstLineChars="200"/>
        <w:rPr>
          <w:rFonts w:hint="eastAsia" w:ascii="宋体" w:hAnsi="宋体" w:cs="宋体"/>
          <w:b/>
          <w:bCs/>
          <w:sz w:val="24"/>
        </w:rPr>
      </w:pPr>
      <w:r>
        <w:rPr>
          <w:rFonts w:hint="eastAsia" w:ascii="宋体" w:hAnsi="宋体" w:cs="宋体"/>
          <w:b/>
          <w:bCs/>
          <w:sz w:val="24"/>
        </w:rPr>
        <w:t>（2）由采购人代表对资格审查文件进行评审，评标委员会对商务技术响应文件进行评审；</w:t>
      </w:r>
    </w:p>
    <w:p>
      <w:pPr>
        <w:spacing w:line="440" w:lineRule="exact"/>
        <w:ind w:firstLine="482" w:firstLineChars="200"/>
        <w:rPr>
          <w:rFonts w:hint="eastAsia" w:ascii="宋体" w:hAnsi="宋体" w:cs="宋体"/>
          <w:b/>
          <w:bCs/>
          <w:sz w:val="24"/>
        </w:rPr>
      </w:pPr>
      <w:r>
        <w:rPr>
          <w:rFonts w:hint="eastAsia" w:ascii="宋体" w:hAnsi="宋体" w:cs="宋体"/>
          <w:b/>
          <w:bCs/>
          <w:sz w:val="24"/>
        </w:rPr>
        <w:t>（3）在系统上公开资格审查和技术商务评审结果；</w:t>
      </w:r>
    </w:p>
    <w:p>
      <w:pPr>
        <w:spacing w:line="440" w:lineRule="exact"/>
        <w:ind w:firstLine="482" w:firstLineChars="200"/>
        <w:rPr>
          <w:rFonts w:hint="eastAsia" w:ascii="宋体" w:hAnsi="宋体" w:cs="宋体"/>
          <w:b/>
          <w:bCs/>
          <w:sz w:val="24"/>
        </w:rPr>
      </w:pPr>
      <w:r>
        <w:rPr>
          <w:rFonts w:hint="eastAsia" w:ascii="宋体" w:hAnsi="宋体" w:cs="宋体"/>
          <w:b/>
          <w:bCs/>
          <w:sz w:val="24"/>
        </w:rPr>
        <w:t>（4）在系统上公开报价开标情况；</w:t>
      </w:r>
    </w:p>
    <w:p>
      <w:pPr>
        <w:spacing w:line="440" w:lineRule="exact"/>
        <w:ind w:firstLine="482" w:firstLineChars="200"/>
        <w:rPr>
          <w:rFonts w:hint="eastAsia" w:ascii="宋体" w:hAnsi="宋体" w:cs="宋体"/>
          <w:b/>
          <w:bCs/>
          <w:sz w:val="24"/>
        </w:rPr>
      </w:pPr>
      <w:r>
        <w:rPr>
          <w:rFonts w:hint="eastAsia" w:ascii="宋体" w:hAnsi="宋体" w:cs="宋体"/>
          <w:b/>
          <w:bCs/>
          <w:sz w:val="24"/>
        </w:rPr>
        <w:t>（5）评标委员会对报价情况进行评审；</w:t>
      </w:r>
    </w:p>
    <w:p>
      <w:pPr>
        <w:spacing w:line="440" w:lineRule="exact"/>
        <w:ind w:firstLine="482" w:firstLineChars="200"/>
        <w:rPr>
          <w:rFonts w:hint="eastAsia" w:ascii="宋体" w:hAnsi="宋体" w:cs="宋体"/>
          <w:b/>
          <w:bCs/>
          <w:sz w:val="24"/>
        </w:rPr>
      </w:pPr>
      <w:r>
        <w:rPr>
          <w:rFonts w:hint="eastAsia" w:ascii="宋体" w:hAnsi="宋体" w:cs="宋体"/>
          <w:b/>
          <w:bCs/>
          <w:sz w:val="24"/>
        </w:rPr>
        <w:t>（6）在系统上公布评审结果。</w:t>
      </w:r>
    </w:p>
    <w:p>
      <w:pPr>
        <w:spacing w:line="440" w:lineRule="exact"/>
        <w:ind w:firstLine="482" w:firstLineChars="200"/>
        <w:rPr>
          <w:rFonts w:hint="eastAsia" w:ascii="宋体" w:hAnsi="宋体" w:cs="宋体"/>
        </w:rPr>
      </w:pPr>
      <w:r>
        <w:rPr>
          <w:rFonts w:hint="eastAsia" w:ascii="宋体" w:hAnsi="宋体" w:cs="宋体"/>
          <w:b/>
          <w:bCs/>
          <w:sz w:val="24"/>
        </w:rPr>
        <w:t>特别说明：政采云公司如对电子化开标及评审程序有调整的，按调整后的程序操作。</w:t>
      </w:r>
    </w:p>
    <w:p>
      <w:pPr>
        <w:pStyle w:val="27"/>
        <w:snapToGrid w:val="0"/>
        <w:spacing w:before="120" w:after="120" w:line="360" w:lineRule="auto"/>
        <w:ind w:left="842" w:leftChars="267" w:hanging="281" w:hangingChars="100"/>
        <w:outlineLvl w:val="1"/>
        <w:rPr>
          <w:rFonts w:hint="eastAsia" w:hAnsi="宋体" w:cs="宋体"/>
          <w:b/>
          <w:sz w:val="28"/>
          <w:szCs w:val="28"/>
        </w:rPr>
      </w:pPr>
      <w:r>
        <w:rPr>
          <w:rFonts w:hint="eastAsia" w:hAnsi="宋体" w:cs="宋体"/>
          <w:b/>
          <w:sz w:val="28"/>
          <w:szCs w:val="28"/>
        </w:rPr>
        <w:t>五、评标</w:t>
      </w:r>
    </w:p>
    <w:p>
      <w:pPr>
        <w:pStyle w:val="27"/>
        <w:snapToGrid w:val="0"/>
        <w:spacing w:before="120" w:after="120" w:line="360" w:lineRule="auto"/>
        <w:ind w:left="720" w:leftChars="228" w:hanging="241" w:hangingChars="100"/>
        <w:rPr>
          <w:rFonts w:hint="eastAsia" w:hAnsi="宋体" w:cs="宋体"/>
          <w:b/>
        </w:rPr>
      </w:pPr>
      <w:r>
        <w:rPr>
          <w:rFonts w:hint="eastAsia" w:hAnsi="宋体" w:cs="宋体"/>
          <w:b/>
        </w:rPr>
        <w:t>（一）组建评标委员会</w:t>
      </w:r>
    </w:p>
    <w:p>
      <w:pPr>
        <w:pStyle w:val="27"/>
        <w:snapToGrid w:val="0"/>
        <w:spacing w:before="120" w:after="120" w:line="360" w:lineRule="auto"/>
        <w:ind w:firstLine="480" w:firstLineChars="200"/>
        <w:rPr>
          <w:rFonts w:hint="eastAsia" w:hAnsi="宋体" w:cs="宋体"/>
        </w:rPr>
      </w:pPr>
      <w:r>
        <w:rPr>
          <w:rFonts w:hint="eastAsia" w:hAnsi="宋体" w:cs="宋体"/>
        </w:rPr>
        <w:t>本项目评标委员会由政府采购评审专家</w:t>
      </w:r>
      <w:r>
        <w:rPr>
          <w:rFonts w:hint="eastAsia" w:hAnsi="宋体" w:cs="宋体"/>
          <w:u w:val="single"/>
        </w:rPr>
        <w:t>4</w:t>
      </w:r>
      <w:r>
        <w:rPr>
          <w:rFonts w:hint="eastAsia" w:hAnsi="宋体" w:cs="宋体"/>
        </w:rPr>
        <w:t>人和采购人代表</w:t>
      </w:r>
      <w:r>
        <w:rPr>
          <w:rFonts w:hint="eastAsia" w:hAnsi="宋体" w:cs="宋体"/>
          <w:u w:val="single"/>
        </w:rPr>
        <w:t>1</w:t>
      </w:r>
      <w:r>
        <w:rPr>
          <w:rFonts w:hint="eastAsia" w:hAnsi="宋体" w:cs="宋体"/>
        </w:rPr>
        <w:t>人,共</w:t>
      </w:r>
      <w:r>
        <w:rPr>
          <w:rFonts w:hint="eastAsia" w:hAnsi="宋体" w:cs="宋体"/>
          <w:u w:val="single"/>
        </w:rPr>
        <w:t>5</w:t>
      </w:r>
      <w:r>
        <w:rPr>
          <w:rFonts w:hint="eastAsia" w:hAnsi="宋体" w:cs="宋体"/>
        </w:rPr>
        <w:t>人组成。</w:t>
      </w:r>
    </w:p>
    <w:p>
      <w:pPr>
        <w:pStyle w:val="27"/>
        <w:snapToGrid w:val="0"/>
        <w:spacing w:before="120" w:after="120" w:line="360" w:lineRule="auto"/>
        <w:ind w:left="720" w:leftChars="228" w:hanging="241" w:hangingChars="100"/>
        <w:rPr>
          <w:rFonts w:hint="eastAsia" w:hAnsi="宋体" w:cs="宋体"/>
          <w:b/>
        </w:rPr>
      </w:pPr>
      <w:r>
        <w:rPr>
          <w:rFonts w:hint="eastAsia" w:hAnsi="宋体" w:cs="宋体"/>
          <w:b/>
        </w:rPr>
        <w:t>（二）评标的方式</w:t>
      </w:r>
    </w:p>
    <w:p>
      <w:pPr>
        <w:pStyle w:val="27"/>
        <w:snapToGrid w:val="0"/>
        <w:spacing w:before="120" w:after="120" w:line="360" w:lineRule="auto"/>
        <w:ind w:left="719" w:leftChars="228" w:hanging="240" w:hangingChars="100"/>
        <w:rPr>
          <w:rFonts w:hint="eastAsia" w:hAnsi="宋体" w:cs="宋体"/>
        </w:rPr>
      </w:pPr>
      <w:r>
        <w:rPr>
          <w:rFonts w:hint="eastAsia" w:hAnsi="宋体" w:cs="宋体"/>
        </w:rPr>
        <w:t>本项目采用不公开方式评标，评标的依据为招标文件和投标文件。</w:t>
      </w:r>
    </w:p>
    <w:p>
      <w:pPr>
        <w:pStyle w:val="27"/>
        <w:numPr>
          <w:ilvl w:val="0"/>
          <w:numId w:val="10"/>
        </w:numPr>
        <w:snapToGrid w:val="0"/>
        <w:spacing w:before="120" w:after="120" w:line="360" w:lineRule="auto"/>
        <w:rPr>
          <w:rFonts w:hint="eastAsia" w:hAnsi="宋体" w:cs="宋体"/>
          <w:b/>
          <w:bCs/>
        </w:rPr>
      </w:pPr>
      <w:r>
        <w:rPr>
          <w:rFonts w:hint="eastAsia" w:hAnsi="宋体" w:cs="宋体"/>
          <w:b/>
          <w:bCs/>
        </w:rPr>
        <w:t>评标程序</w:t>
      </w:r>
    </w:p>
    <w:p>
      <w:pPr>
        <w:snapToGrid w:val="0"/>
        <w:spacing w:line="312" w:lineRule="auto"/>
        <w:ind w:firstLine="472" w:firstLineChars="196"/>
        <w:rPr>
          <w:rFonts w:hint="eastAsia" w:ascii="宋体" w:hAnsi="宋体" w:cs="宋体"/>
          <w:b/>
          <w:bCs/>
          <w:sz w:val="24"/>
        </w:rPr>
      </w:pPr>
      <w:r>
        <w:rPr>
          <w:rFonts w:hint="eastAsia" w:ascii="宋体" w:hAnsi="宋体" w:cs="宋体"/>
          <w:b/>
          <w:bCs/>
          <w:sz w:val="24"/>
        </w:rPr>
        <w:t>1.资格审查</w:t>
      </w:r>
    </w:p>
    <w:p>
      <w:pPr>
        <w:snapToGrid w:val="0"/>
        <w:spacing w:line="312" w:lineRule="auto"/>
        <w:ind w:firstLine="480" w:firstLineChars="200"/>
        <w:rPr>
          <w:rFonts w:hint="eastAsia" w:ascii="宋体" w:hAnsi="宋体" w:cs="宋体"/>
          <w:sz w:val="24"/>
        </w:rPr>
      </w:pPr>
      <w:r>
        <w:rPr>
          <w:rFonts w:hint="eastAsia" w:ascii="宋体" w:hAnsi="宋体" w:cs="宋体"/>
          <w:sz w:val="24"/>
        </w:rPr>
        <w:t>采购人依法对投标人的资格进行审查。</w:t>
      </w:r>
    </w:p>
    <w:p>
      <w:pPr>
        <w:snapToGrid w:val="0"/>
        <w:spacing w:line="360" w:lineRule="auto"/>
        <w:ind w:firstLine="472" w:firstLineChars="196"/>
        <w:rPr>
          <w:rFonts w:hint="eastAsia" w:ascii="宋体" w:hAnsi="宋体" w:cs="宋体"/>
          <w:b/>
          <w:bCs/>
          <w:sz w:val="24"/>
          <w:szCs w:val="20"/>
        </w:rPr>
      </w:pPr>
      <w:r>
        <w:rPr>
          <w:rFonts w:hint="eastAsia" w:ascii="宋体" w:hAnsi="宋体" w:cs="宋体"/>
          <w:b/>
          <w:bCs/>
          <w:sz w:val="24"/>
        </w:rPr>
        <w:t>2.形式审查</w:t>
      </w:r>
    </w:p>
    <w:p>
      <w:pPr>
        <w:snapToGrid w:val="0"/>
        <w:spacing w:line="360" w:lineRule="auto"/>
        <w:ind w:firstLine="480" w:firstLineChars="200"/>
        <w:rPr>
          <w:rFonts w:hint="eastAsia" w:ascii="宋体" w:hAnsi="宋体" w:cs="宋体"/>
          <w:b/>
          <w:sz w:val="24"/>
          <w:szCs w:val="20"/>
        </w:rPr>
      </w:pPr>
      <w:r>
        <w:rPr>
          <w:rFonts w:hint="eastAsia" w:ascii="宋体" w:hAnsi="宋体" w:cs="宋体"/>
          <w:sz w:val="24"/>
        </w:rPr>
        <w:t>招标方工作人员协助评标委员会对投标人的资格和投标文件的完整性、合法性等进行审查。</w:t>
      </w:r>
    </w:p>
    <w:p>
      <w:pPr>
        <w:snapToGrid w:val="0"/>
        <w:spacing w:line="360" w:lineRule="auto"/>
        <w:ind w:firstLine="472" w:firstLineChars="196"/>
        <w:rPr>
          <w:rFonts w:hint="eastAsia" w:ascii="宋体" w:hAnsi="宋体" w:cs="宋体"/>
          <w:b/>
          <w:bCs/>
          <w:sz w:val="24"/>
          <w:szCs w:val="20"/>
        </w:rPr>
      </w:pPr>
      <w:r>
        <w:rPr>
          <w:rFonts w:hint="eastAsia" w:ascii="宋体" w:hAnsi="宋体" w:cs="宋体"/>
          <w:b/>
          <w:bCs/>
          <w:sz w:val="24"/>
        </w:rPr>
        <w:t>3.实质审查与比较</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（1）评标委员会审查投标文件的实质性内容是否符合招标文件的实质性要求。</w:t>
      </w:r>
    </w:p>
    <w:p>
      <w:pPr>
        <w:spacing w:line="360" w:lineRule="auto"/>
        <w:ind w:firstLine="482" w:firstLineChars="200"/>
        <w:rPr>
          <w:rFonts w:hint="eastAsia" w:ascii="宋体" w:hAnsi="宋体" w:cs="宋体"/>
          <w:b/>
          <w:bCs/>
          <w:sz w:val="24"/>
        </w:rPr>
      </w:pPr>
      <w:r>
        <w:rPr>
          <w:rFonts w:hint="eastAsia" w:ascii="宋体" w:hAnsi="宋体" w:cs="宋体"/>
          <w:b/>
          <w:bCs/>
          <w:sz w:val="24"/>
        </w:rPr>
        <w:t>（2）评标委员会将对投标人的投标文件进行审查、核对,如有疑问,将对投标人进行电子询标,投标人须在规定的时间内向评标委员会澄清有关问题,并在政采云上进行询标答复。</w:t>
      </w:r>
    </w:p>
    <w:p>
      <w:pPr>
        <w:snapToGrid w:val="0"/>
        <w:spacing w:line="360" w:lineRule="auto"/>
        <w:ind w:firstLine="482" w:firstLineChars="200"/>
        <w:rPr>
          <w:rFonts w:hint="eastAsia" w:ascii="宋体" w:hAnsi="宋体" w:cs="宋体"/>
        </w:rPr>
      </w:pPr>
      <w:r>
        <w:rPr>
          <w:rFonts w:hint="eastAsia" w:ascii="宋体" w:hAnsi="宋体" w:cs="宋体"/>
          <w:b/>
          <w:bCs/>
          <w:sz w:val="24"/>
        </w:rPr>
        <w:t>投标人代表未在规定的时间内进行澄清、拒绝澄清或者澄清的内容改变了投标文件的实质性内容的，评标委员会有权对该投标文件作出不利于投标人的评判。评标委员会认为投标人不符合招标文件实质性要求明确时，可不经过询标而直接予以无效标认定，但代理机构应将无效标原因当场告知投标人。</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（3）技术、商务、资信及其他分按照评标委员会成员的独立评分结果的算术平均分计算，由指定专人进行计算复核。</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（4）招标方工作人员协助评标委员会审核投标报价有无计算错误，政采云系统根据本项目的评分标准计算各投标人的报价得分。</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（5）评标委员会完成评标后,招标方工作人员通过政采云系统对各部分得分进行汇总,计算出本项目最终得分。评标委员会按评标原则推荐中标候选人并起草评标报告。</w:t>
      </w:r>
    </w:p>
    <w:p>
      <w:pPr>
        <w:snapToGrid w:val="0"/>
        <w:spacing w:line="360" w:lineRule="auto"/>
        <w:ind w:firstLine="482" w:firstLineChars="200"/>
        <w:rPr>
          <w:rFonts w:hint="eastAsia" w:ascii="宋体" w:hAnsi="宋体" w:cs="宋体"/>
          <w:b/>
          <w:sz w:val="24"/>
          <w:szCs w:val="20"/>
        </w:rPr>
      </w:pPr>
      <w:r>
        <w:rPr>
          <w:rFonts w:hint="eastAsia" w:ascii="宋体" w:hAnsi="宋体" w:cs="宋体"/>
          <w:b/>
          <w:sz w:val="24"/>
        </w:rPr>
        <w:t>（四）澄清问题的形式</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对投标文件中含义不明确、同类问题表述不一致或者有明显文字和计算错误的内容，评标委员会可要求投标人作出必要的澄清、说明或者纠正，澄清、说明或者纠正通过政采云系统发起。投标人须在规定的时间内向评标委员会澄清有关问题,并在政采云上进行询标答复。投标人的澄清、说明或者补正不得超出投标文件的范围或者改变投标文件的实质性内容。</w:t>
      </w:r>
    </w:p>
    <w:p>
      <w:pPr>
        <w:pStyle w:val="27"/>
        <w:snapToGrid w:val="0"/>
        <w:spacing w:before="120" w:after="120" w:line="360" w:lineRule="auto"/>
        <w:ind w:left="720" w:leftChars="228" w:hanging="241" w:hangingChars="100"/>
        <w:rPr>
          <w:rFonts w:hint="eastAsia" w:hAnsi="宋体" w:cs="宋体"/>
          <w:b/>
        </w:rPr>
      </w:pPr>
      <w:r>
        <w:rPr>
          <w:rFonts w:hint="eastAsia" w:hAnsi="宋体" w:cs="宋体"/>
          <w:b/>
        </w:rPr>
        <w:t>（五）错误修正</w:t>
      </w:r>
    </w:p>
    <w:p>
      <w:pPr>
        <w:pStyle w:val="27"/>
        <w:snapToGrid w:val="0"/>
        <w:spacing w:before="120" w:after="120" w:line="360" w:lineRule="auto"/>
        <w:ind w:left="719" w:leftChars="228" w:hanging="240" w:hangingChars="100"/>
        <w:rPr>
          <w:rFonts w:hint="eastAsia" w:hAnsi="宋体" w:cs="宋体"/>
        </w:rPr>
      </w:pPr>
      <w:r>
        <w:rPr>
          <w:rFonts w:hint="eastAsia" w:hAnsi="宋体" w:cs="宋体"/>
        </w:rPr>
        <w:t>投标文件如果出现计算或表达上的错误，修正错误的原则如下：</w:t>
      </w:r>
    </w:p>
    <w:p>
      <w:pPr>
        <w:snapToGrid w:val="0"/>
        <w:spacing w:line="360" w:lineRule="auto"/>
        <w:ind w:firstLine="480" w:firstLineChars="200"/>
        <w:rPr>
          <w:rFonts w:hint="eastAsia" w:ascii="宋体" w:hAnsi="宋体" w:cs="宋体"/>
          <w:kern w:val="0"/>
          <w:sz w:val="24"/>
        </w:rPr>
      </w:pPr>
      <w:r>
        <w:rPr>
          <w:rFonts w:hint="eastAsia" w:ascii="宋体" w:hAnsi="宋体" w:cs="宋体"/>
          <w:sz w:val="24"/>
        </w:rPr>
        <w:t>1.开标一览表总价与投标报价明细表汇总数不一致的，</w:t>
      </w:r>
      <w:r>
        <w:rPr>
          <w:rFonts w:hint="eastAsia" w:ascii="宋体" w:hAnsi="宋体" w:cs="宋体"/>
          <w:kern w:val="0"/>
          <w:sz w:val="24"/>
        </w:rPr>
        <w:t>以开标一览表为准；</w:t>
      </w:r>
    </w:p>
    <w:p>
      <w:pPr>
        <w:pStyle w:val="27"/>
        <w:snapToGrid w:val="0"/>
        <w:spacing w:before="120" w:after="120" w:line="360" w:lineRule="auto"/>
        <w:ind w:firstLine="480" w:firstLineChars="200"/>
        <w:rPr>
          <w:rFonts w:hint="eastAsia" w:hAnsi="宋体" w:cs="宋体"/>
        </w:rPr>
      </w:pPr>
      <w:r>
        <w:rPr>
          <w:rFonts w:hint="eastAsia" w:hAnsi="宋体" w:cs="宋体"/>
        </w:rPr>
        <w:t>2.投标文件的大写金额和小写金额不一致的，以大写金额为准；</w:t>
      </w:r>
    </w:p>
    <w:p>
      <w:pPr>
        <w:pStyle w:val="27"/>
        <w:snapToGrid w:val="0"/>
        <w:spacing w:before="120" w:after="120" w:line="360" w:lineRule="auto"/>
        <w:ind w:firstLine="480" w:firstLineChars="200"/>
        <w:rPr>
          <w:rFonts w:hint="eastAsia" w:hAnsi="宋体" w:cs="宋体"/>
        </w:rPr>
      </w:pPr>
      <w:r>
        <w:rPr>
          <w:rFonts w:hint="eastAsia" w:hAnsi="宋体" w:cs="宋体"/>
        </w:rPr>
        <w:t>3.总价金额与按单价汇总金额不一致的，以单价金额计算结果为准；</w:t>
      </w:r>
    </w:p>
    <w:p>
      <w:pPr>
        <w:pStyle w:val="27"/>
        <w:snapToGrid w:val="0"/>
        <w:spacing w:before="120" w:after="120" w:line="360" w:lineRule="auto"/>
        <w:ind w:firstLine="480" w:firstLineChars="200"/>
        <w:rPr>
          <w:rFonts w:hint="eastAsia" w:hAnsi="宋体" w:cs="宋体"/>
        </w:rPr>
      </w:pPr>
      <w:r>
        <w:rPr>
          <w:rFonts w:hint="eastAsia" w:hAnsi="宋体" w:cs="宋体"/>
        </w:rPr>
        <w:t>4.对不同文字文本投标文件的解释发生异议的，以中文文本为准。</w:t>
      </w:r>
    </w:p>
    <w:p>
      <w:pPr>
        <w:pStyle w:val="27"/>
        <w:snapToGrid w:val="0"/>
        <w:spacing w:before="120" w:after="120" w:line="312" w:lineRule="auto"/>
        <w:ind w:firstLine="482" w:firstLineChars="200"/>
        <w:rPr>
          <w:rFonts w:hint="eastAsia" w:hAnsi="宋体" w:cs="宋体"/>
          <w:b/>
          <w:bCs/>
        </w:rPr>
      </w:pPr>
      <w:r>
        <w:rPr>
          <w:rFonts w:hint="eastAsia" w:hAnsi="宋体" w:cs="宋体"/>
          <w:b/>
          <w:bCs/>
        </w:rPr>
        <w:t>同时出现两种以上不一致的，按照前款规定的顺序修正。修正后的报价经投标人同意并签字确认，经投标人确认后的投标报价对投标人具有约束力，投标人不确认的，如果投标人不接受修正后的报价，则其投标将作为无效投标处理。</w:t>
      </w:r>
    </w:p>
    <w:p>
      <w:pPr>
        <w:pStyle w:val="27"/>
        <w:tabs>
          <w:tab w:val="left" w:pos="630"/>
        </w:tabs>
        <w:snapToGrid w:val="0"/>
        <w:spacing w:before="120" w:after="120" w:line="360" w:lineRule="auto"/>
        <w:ind w:firstLine="472" w:firstLineChars="196"/>
        <w:rPr>
          <w:rFonts w:hint="eastAsia" w:hAnsi="宋体" w:cs="宋体"/>
          <w:b/>
        </w:rPr>
      </w:pPr>
      <w:r>
        <w:rPr>
          <w:rFonts w:hint="eastAsia" w:hAnsi="宋体" w:cs="宋体"/>
          <w:b/>
        </w:rPr>
        <w:t>（六）评标原则、办法及依据</w:t>
      </w:r>
    </w:p>
    <w:p>
      <w:pPr>
        <w:pStyle w:val="27"/>
        <w:snapToGrid w:val="0"/>
        <w:spacing w:before="120" w:after="120" w:line="360" w:lineRule="auto"/>
        <w:ind w:firstLine="480" w:firstLineChars="200"/>
        <w:rPr>
          <w:rFonts w:hint="eastAsia" w:hAnsi="宋体" w:cs="宋体"/>
        </w:rPr>
      </w:pPr>
      <w:r>
        <w:rPr>
          <w:rFonts w:hint="eastAsia" w:hAnsi="宋体" w:cs="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snapToGrid w:val="0"/>
        <w:spacing w:before="120" w:after="120" w:line="360" w:lineRule="auto"/>
        <w:ind w:firstLine="480" w:firstLineChars="200"/>
        <w:rPr>
          <w:rFonts w:hint="eastAsia" w:hAnsi="宋体" w:cs="宋体"/>
        </w:rPr>
      </w:pPr>
      <w:r>
        <w:rPr>
          <w:rFonts w:hint="eastAsia" w:hAnsi="宋体" w:cs="宋体"/>
        </w:rPr>
        <w:t>2.评标办法。本项目评标办法是</w:t>
      </w:r>
      <w:r>
        <w:rPr>
          <w:rFonts w:hint="eastAsia" w:hAnsi="宋体" w:cs="宋体"/>
          <w:u w:val="single"/>
        </w:rPr>
        <w:t>综合评分法</w:t>
      </w:r>
      <w:r>
        <w:rPr>
          <w:rFonts w:hint="eastAsia" w:hAnsi="宋体" w:cs="宋体"/>
        </w:rPr>
        <w:t>，具体评标内容及评分标准等详见《第四章：评标办法及评分标准》。</w:t>
      </w:r>
    </w:p>
    <w:p>
      <w:pPr>
        <w:pStyle w:val="27"/>
        <w:snapToGrid w:val="0"/>
        <w:spacing w:before="120" w:after="120" w:line="360" w:lineRule="auto"/>
        <w:ind w:firstLine="480" w:firstLineChars="200"/>
        <w:rPr>
          <w:rFonts w:hint="eastAsia" w:hAnsi="宋体" w:cs="宋体"/>
        </w:rPr>
      </w:pPr>
      <w:r>
        <w:rPr>
          <w:rFonts w:hint="eastAsia" w:hAnsi="宋体" w:cs="宋体"/>
        </w:rPr>
        <w:t>3、评标依据：评标委员会决定投标的响应性只根据投标文件的内容，而不寻求外部的证据。</w:t>
      </w:r>
    </w:p>
    <w:p>
      <w:pPr>
        <w:pStyle w:val="27"/>
        <w:snapToGrid w:val="0"/>
        <w:spacing w:before="120" w:after="120" w:line="360" w:lineRule="auto"/>
        <w:ind w:firstLine="472" w:firstLineChars="196"/>
        <w:rPr>
          <w:rFonts w:hint="eastAsia" w:hAnsi="宋体" w:cs="宋体"/>
          <w:b/>
        </w:rPr>
      </w:pPr>
      <w:r>
        <w:rPr>
          <w:rFonts w:hint="eastAsia" w:hAnsi="宋体" w:cs="宋体"/>
          <w:b/>
        </w:rPr>
        <w:t>（七）评标过程的监控</w:t>
      </w:r>
    </w:p>
    <w:p>
      <w:pPr>
        <w:pStyle w:val="27"/>
        <w:snapToGrid w:val="0"/>
        <w:spacing w:before="120" w:after="120" w:line="360" w:lineRule="auto"/>
        <w:ind w:firstLine="480" w:firstLineChars="200"/>
        <w:rPr>
          <w:rFonts w:hint="eastAsia" w:hAnsi="宋体" w:cs="宋体"/>
          <w:highlight w:val="none"/>
        </w:rPr>
      </w:pPr>
      <w:r>
        <w:rPr>
          <w:rFonts w:hint="eastAsia" w:hAnsi="宋体" w:cs="宋体"/>
        </w:rPr>
        <w:t>本项目评标过程实行全程录音、录像监控，同时聘请</w:t>
      </w:r>
      <w:r>
        <w:rPr>
          <w:rFonts w:hint="eastAsia" w:hAnsi="宋体" w:cs="宋体"/>
          <w:u w:val="single"/>
        </w:rPr>
        <w:t>东阳市</w:t>
      </w:r>
      <w:r>
        <w:rPr>
          <w:rFonts w:hint="eastAsia" w:hAnsi="宋体" w:cs="宋体"/>
        </w:rPr>
        <w:t>公证处公证员进行现场监督</w:t>
      </w:r>
      <w:r>
        <w:rPr>
          <w:rFonts w:hint="eastAsia" w:hAnsi="宋体" w:cs="宋体"/>
          <w:highlight w:val="none"/>
        </w:rPr>
        <w:t>，投标人在评标过程中所进行的试图影响评标结果的不公正活动，可能导致其投标被拒绝。</w:t>
      </w:r>
    </w:p>
    <w:p>
      <w:pPr>
        <w:pStyle w:val="42"/>
        <w:adjustRightInd w:val="0"/>
        <w:snapToGrid w:val="0"/>
        <w:spacing w:beforeAutospacing="0" w:afterAutospacing="0" w:line="360" w:lineRule="auto"/>
        <w:ind w:firstLine="482" w:firstLineChars="200"/>
        <w:rPr>
          <w:rFonts w:hint="eastAsia"/>
          <w:b/>
          <w:color w:val="auto"/>
          <w:kern w:val="2"/>
          <w:highlight w:val="none"/>
        </w:rPr>
      </w:pPr>
      <w:r>
        <w:rPr>
          <w:rFonts w:hint="eastAsia"/>
          <w:b/>
          <w:color w:val="auto"/>
          <w:kern w:val="2"/>
          <w:highlight w:val="none"/>
        </w:rPr>
        <w:t>（八）评审纪律和要求</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1.评审专家必须公平、公正评审，遵纪守法，客观、廉洁地履行职责。</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2.评审专家在评审开始前，应关闭并上交随身携带的各种通信工具。</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3.评审专家在评审过程中，未经许可不得中途离开评审现场，不得迟到早退。</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4.评审专家和工作人员不得透露评审过程中的讨论情况和评审结果。</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6.采购人、采购代理机构不得向评审委员会的评审专家作倾向性、误导性的解释或者说明。</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8.评审专家在评审过程中不得将自己的观点强加给其他评审专家，评审专家应自主发表见解，对评审意见承担个人责任。</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11.评审专家应当遵守评审工作纪律，不得泄露评审文件、评审情况和评审中获悉的商业秘密。</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评审委员会在评审过程中发现投标人有行贿、提供虚假材料或者串通等违法行为的，应当及时向财政部门报告。</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12.招标文件内容违反国家有关强制性规定的，评审委员会应当停止评审并向采购代理机构说明情况。</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13.评审专家应当配合采购代理机构答复投标人提出的质疑。</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14.评审专家应当配合财政部门的投诉处理工作。</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15.评审专家有如下行为之一的，责令改正，给予警告，可以并处一千元以下的罚款：</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①明知应当回避而未主动回避的；</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②在得知自己为评审专家身份后至评审结束前时段内私下接触投标人的；</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③在评审过程中擅离职守，影响评审程序正常进行的；</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④在评审过程有明显不合理或者不正当倾向性的；</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⑤未按招标文件规定的评审方法和标准进行评审的。</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⑥上述①至⑤行为影响中标结果的，中标结果无效。</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政府采购评审专家与投标人存在利害关系未回避的，处2万元以上5万元以下的罚款，禁止其参加政府采购评审活动。</w:t>
      </w:r>
    </w:p>
    <w:p>
      <w:pPr>
        <w:pStyle w:val="27"/>
        <w:snapToGrid w:val="0"/>
        <w:spacing w:beforeLines="0" w:afterLines="0" w:line="360" w:lineRule="auto"/>
        <w:ind w:firstLine="480" w:firstLineChars="200"/>
        <w:rPr>
          <w:rFonts w:hint="eastAsia" w:hAnsi="宋体"/>
          <w:highlight w:val="none"/>
        </w:rPr>
      </w:pPr>
      <w:r>
        <w:rPr>
          <w:rFonts w:hint="eastAsia" w:hAnsi="宋体"/>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pPr>
        <w:pStyle w:val="27"/>
        <w:snapToGrid w:val="0"/>
        <w:spacing w:beforeLines="0" w:afterLines="0" w:line="360" w:lineRule="auto"/>
        <w:ind w:firstLine="480" w:firstLineChars="200"/>
        <w:rPr>
          <w:rFonts w:hint="eastAsia"/>
          <w:highlight w:val="none"/>
        </w:rPr>
      </w:pPr>
      <w:r>
        <w:rPr>
          <w:rFonts w:hint="eastAsia" w:hAnsi="宋体"/>
          <w:highlight w:val="none"/>
        </w:rPr>
        <w:t>政府采购评审专家有上述违法行为的，其评审意见无效，不得获取评审费；有违法所得的，没收违法所得；给他人造成损失的，依法承担民事责任。</w:t>
      </w:r>
    </w:p>
    <w:p>
      <w:pPr>
        <w:pStyle w:val="27"/>
        <w:snapToGrid w:val="0"/>
        <w:spacing w:before="120" w:after="120" w:line="360" w:lineRule="auto"/>
        <w:ind w:firstLine="551" w:firstLineChars="196"/>
        <w:outlineLvl w:val="1"/>
        <w:rPr>
          <w:rFonts w:hint="eastAsia" w:hAnsi="宋体" w:cs="宋体"/>
          <w:b/>
          <w:sz w:val="28"/>
          <w:szCs w:val="28"/>
          <w:highlight w:val="none"/>
        </w:rPr>
      </w:pPr>
      <w:r>
        <w:rPr>
          <w:rFonts w:hint="eastAsia" w:hAnsi="宋体" w:cs="宋体"/>
          <w:b/>
          <w:sz w:val="28"/>
          <w:szCs w:val="28"/>
          <w:highlight w:val="none"/>
        </w:rPr>
        <w:t>六、定标</w:t>
      </w:r>
    </w:p>
    <w:p>
      <w:pPr>
        <w:pStyle w:val="27"/>
        <w:snapToGrid w:val="0"/>
        <w:spacing w:before="120" w:after="120" w:line="360" w:lineRule="auto"/>
        <w:ind w:firstLine="472" w:firstLineChars="196"/>
        <w:outlineLvl w:val="1"/>
        <w:rPr>
          <w:rFonts w:hint="eastAsia" w:hAnsi="宋体" w:cs="宋体"/>
          <w:b/>
          <w:bCs/>
          <w:highlight w:val="none"/>
        </w:rPr>
      </w:pPr>
      <w:r>
        <w:rPr>
          <w:rFonts w:hint="eastAsia" w:hAnsi="宋体" w:cs="宋体"/>
          <w:b/>
          <w:bCs/>
          <w:highlight w:val="none"/>
        </w:rPr>
        <w:t>（一）确定中标人。本项目由采购人或者采购人授权评标委员会确定中标人。</w:t>
      </w:r>
    </w:p>
    <w:p>
      <w:pPr>
        <w:pStyle w:val="27"/>
        <w:snapToGrid w:val="0"/>
        <w:spacing w:before="120" w:after="120" w:line="360" w:lineRule="auto"/>
        <w:ind w:firstLine="480" w:firstLineChars="200"/>
        <w:rPr>
          <w:rFonts w:hAnsi="宋体"/>
          <w:highlight w:val="none"/>
        </w:rPr>
      </w:pPr>
      <w:r>
        <w:rPr>
          <w:rFonts w:hint="eastAsia" w:hAnsi="宋体"/>
          <w:highlight w:val="none"/>
        </w:rPr>
        <w:t>1．排名第一的候选供应商，因自身原因放弃中标成交或因不可抗力不能履行合同的，</w:t>
      </w:r>
      <w:r>
        <w:rPr>
          <w:rFonts w:hAnsi="宋体"/>
          <w:highlight w:val="none"/>
        </w:rPr>
        <w:t>采购人</w:t>
      </w:r>
      <w:r>
        <w:rPr>
          <w:rFonts w:hint="eastAsia" w:hAnsi="宋体"/>
          <w:highlight w:val="none"/>
        </w:rPr>
        <w:t>或者采购人授权的评标委员会</w:t>
      </w:r>
      <w:r>
        <w:rPr>
          <w:rFonts w:hAnsi="宋体"/>
          <w:highlight w:val="none"/>
        </w:rPr>
        <w:t>可以按照评审报告推荐的中标或者成交候选人名单排序，确定下一候选人为中标或者成交供应商，也可以重新开展政府采购活动。</w:t>
      </w:r>
    </w:p>
    <w:p>
      <w:pPr>
        <w:pStyle w:val="27"/>
        <w:snapToGrid w:val="0"/>
        <w:spacing w:before="120" w:after="120" w:line="360" w:lineRule="auto"/>
        <w:ind w:firstLine="480" w:firstLineChars="200"/>
        <w:rPr>
          <w:rFonts w:hint="eastAsia" w:hAnsi="宋体"/>
        </w:rPr>
      </w:pPr>
      <w:r>
        <w:rPr>
          <w:rFonts w:hint="eastAsia" w:hAnsi="宋体"/>
          <w:highlight w:val="none"/>
        </w:rPr>
        <w:t>2.经质疑，采购组织机构审查确认因排名第一的候选供</w:t>
      </w:r>
      <w:r>
        <w:rPr>
          <w:rFonts w:hint="eastAsia" w:hAnsi="宋体"/>
        </w:rPr>
        <w:t>应商在本次采购活动中存在违法违规行为或其他原因使质疑成立的，依照相关法律法规有关规定执行。</w:t>
      </w:r>
    </w:p>
    <w:p>
      <w:pPr>
        <w:pStyle w:val="27"/>
        <w:snapToGrid w:val="0"/>
        <w:spacing w:before="120" w:after="120" w:line="360" w:lineRule="auto"/>
        <w:ind w:firstLine="480" w:firstLineChars="200"/>
        <w:rPr>
          <w:rFonts w:hint="eastAsia" w:hAnsi="宋体" w:cs="宋体"/>
        </w:rPr>
      </w:pPr>
      <w:r>
        <w:rPr>
          <w:rFonts w:hint="eastAsia" w:hAnsi="宋体" w:cs="宋体"/>
        </w:rPr>
        <w:t>3.采购人应当自收到评审报告之日起5个工作日内在评审报告推荐的中标或者成交候选人中按顺序确定中标或者成交供应商。如有投标人对评标结果提出质疑的，采购人可在质疑处理完毕后确定中标人。</w:t>
      </w:r>
    </w:p>
    <w:p>
      <w:pPr>
        <w:pStyle w:val="27"/>
        <w:snapToGrid w:val="0"/>
        <w:spacing w:before="120" w:after="120" w:line="360" w:lineRule="auto"/>
        <w:ind w:firstLine="480" w:firstLineChars="200"/>
        <w:rPr>
          <w:rFonts w:hint="eastAsia" w:hAnsi="宋体" w:cs="宋体"/>
          <w:bCs/>
        </w:rPr>
      </w:pPr>
      <w:r>
        <w:rPr>
          <w:rFonts w:hint="eastAsia" w:hAnsi="宋体" w:cs="宋体"/>
        </w:rPr>
        <w:t>4.采购人或者采购代理机构应当自中标、成交供应商确定之日起2个工作日内，发出中标、成交通知书，并在省级以上人民政府财政部门指定的媒体上公告中标、成交结果。</w:t>
      </w:r>
    </w:p>
    <w:p>
      <w:pPr>
        <w:pStyle w:val="27"/>
        <w:snapToGrid w:val="0"/>
        <w:spacing w:before="120" w:after="120" w:line="360" w:lineRule="auto"/>
        <w:ind w:firstLine="551" w:firstLineChars="196"/>
        <w:outlineLvl w:val="1"/>
        <w:rPr>
          <w:rFonts w:hint="eastAsia" w:hAnsi="宋体" w:cs="宋体"/>
          <w:b/>
          <w:sz w:val="28"/>
          <w:szCs w:val="28"/>
          <w:highlight w:val="none"/>
        </w:rPr>
      </w:pPr>
      <w:r>
        <w:rPr>
          <w:rFonts w:hint="eastAsia" w:hAnsi="宋体" w:cs="宋体"/>
          <w:b/>
          <w:sz w:val="28"/>
          <w:szCs w:val="28"/>
          <w:highlight w:val="none"/>
        </w:rPr>
        <w:t>七、合同授予</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1.1除不可抗力等特殊情况外，采购人原则上应当在中标通知书发出之日起</w:t>
      </w:r>
      <w:r>
        <w:rPr>
          <w:rFonts w:hint="eastAsia" w:ascii="宋体" w:hAnsi="宋体" w:cs="宋体"/>
          <w:b/>
          <w:bCs/>
          <w:color w:val="FF0000"/>
          <w:sz w:val="24"/>
          <w:highlight w:val="none"/>
        </w:rPr>
        <w:t>20日</w:t>
      </w:r>
      <w:r>
        <w:rPr>
          <w:rFonts w:hint="eastAsia" w:ascii="宋体" w:hAnsi="宋体" w:cs="宋体"/>
          <w:sz w:val="24"/>
          <w:highlight w:val="none"/>
        </w:rPr>
        <w:t>内，与成交人按照采购文件确定的事项签订政府采购合同，并在签订之日起2个工作日内将政府采购合同在浙江政府采购网上公告。</w:t>
      </w:r>
    </w:p>
    <w:p>
      <w:pPr>
        <w:pStyle w:val="252"/>
        <w:adjustRightInd w:val="0"/>
        <w:snapToGrid w:val="0"/>
        <w:spacing w:before="120" w:after="120"/>
        <w:rPr>
          <w:rFonts w:hint="eastAsia" w:ascii="宋体" w:hAnsi="宋体" w:cs="宋体"/>
          <w:kern w:val="0"/>
          <w:szCs w:val="24"/>
          <w:highlight w:val="none"/>
        </w:rPr>
      </w:pPr>
      <w:r>
        <w:rPr>
          <w:rFonts w:hint="eastAsia" w:ascii="宋体" w:hAnsi="宋体" w:cs="宋体"/>
          <w:kern w:val="0"/>
          <w:szCs w:val="24"/>
          <w:highlight w:val="none"/>
        </w:rPr>
        <w:t>1</w:t>
      </w:r>
      <w:r>
        <w:rPr>
          <w:rFonts w:hint="eastAsia" w:ascii="宋体" w:hAnsi="宋体" w:cs="宋体"/>
          <w:kern w:val="0"/>
          <w:szCs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pPr>
        <w:pStyle w:val="252"/>
        <w:adjustRightInd w:val="0"/>
        <w:snapToGrid w:val="0"/>
        <w:spacing w:before="120" w:after="120"/>
        <w:rPr>
          <w:rFonts w:hint="eastAsia" w:ascii="宋体" w:hAnsi="宋体" w:cs="宋体"/>
          <w:szCs w:val="24"/>
          <w:highlight w:val="none"/>
        </w:rPr>
      </w:pPr>
      <w:r>
        <w:rPr>
          <w:rFonts w:hint="eastAsia" w:ascii="宋体" w:hAnsi="宋体" w:cs="宋体"/>
          <w:szCs w:val="24"/>
          <w:highlight w:val="none"/>
        </w:rPr>
        <w:t>1.3如签订合同并生效后，供应商无故拒绝或延期，除按照合同条款处理外，列入不良行为记录一次，并给予通报。</w:t>
      </w:r>
    </w:p>
    <w:p>
      <w:pPr>
        <w:pStyle w:val="252"/>
        <w:adjustRightInd w:val="0"/>
        <w:snapToGrid w:val="0"/>
        <w:spacing w:before="120" w:after="120"/>
        <w:rPr>
          <w:rFonts w:hint="eastAsia" w:ascii="宋体" w:hAnsi="宋体" w:cs="宋体"/>
          <w:szCs w:val="24"/>
          <w:highlight w:val="none"/>
        </w:rPr>
      </w:pPr>
      <w:r>
        <w:rPr>
          <w:rFonts w:hint="eastAsia" w:ascii="宋体" w:hAnsi="宋体" w:cs="宋体"/>
          <w:szCs w:val="24"/>
          <w:highlight w:val="none"/>
        </w:rPr>
        <w:t>1.4成交人拒绝与采购人签订合同的，采购人可以按照评审报告推荐的中标或者成交候选人名单排序，确定下一候选人为成交人，也可以重新开展政府采购活动。</w:t>
      </w:r>
    </w:p>
    <w:p>
      <w:pPr>
        <w:pStyle w:val="42"/>
        <w:adjustRightInd w:val="0"/>
        <w:snapToGrid w:val="0"/>
        <w:spacing w:beforeAutospacing="0" w:afterAutospacing="0" w:line="360" w:lineRule="auto"/>
        <w:ind w:firstLine="482" w:firstLineChars="200"/>
        <w:rPr>
          <w:rFonts w:hint="eastAsia" w:cs="宋体"/>
          <w:b/>
          <w:bCs/>
          <w:color w:val="auto"/>
          <w:highlight w:val="none"/>
        </w:rPr>
      </w:pPr>
      <w:r>
        <w:rPr>
          <w:rFonts w:hint="eastAsia" w:cs="宋体"/>
          <w:b/>
          <w:bCs/>
          <w:color w:val="auto"/>
          <w:highlight w:val="none"/>
        </w:rPr>
        <w:t>1.5政府采购货物和服务项目不得收取质量保证金。政府采购工程以及与工程建设有关的货物、服务，采用招标方式采购的，按国家和省有关规定执行。</w:t>
      </w:r>
    </w:p>
    <w:p>
      <w:pPr>
        <w:pStyle w:val="3"/>
        <w:adjustRightInd w:val="0"/>
        <w:snapToGrid w:val="0"/>
        <w:spacing w:line="360" w:lineRule="auto"/>
        <w:ind w:left="403" w:leftChars="192" w:firstLine="0"/>
        <w:rPr>
          <w:rFonts w:hint="eastAsia" w:hAnsi="宋体" w:cs="宋体"/>
          <w:b/>
          <w:sz w:val="24"/>
          <w:szCs w:val="24"/>
          <w:highlight w:val="none"/>
        </w:rPr>
      </w:pPr>
      <w:r>
        <w:rPr>
          <w:rFonts w:hint="eastAsia" w:hAnsi="宋体" w:cs="宋体"/>
          <w:b/>
          <w:sz w:val="24"/>
          <w:szCs w:val="24"/>
          <w:highlight w:val="none"/>
        </w:rPr>
        <w:t>2. 履约保证金</w:t>
      </w:r>
    </w:p>
    <w:p>
      <w:pPr>
        <w:pStyle w:val="42"/>
        <w:adjustRightInd w:val="0"/>
        <w:snapToGrid w:val="0"/>
        <w:spacing w:beforeAutospacing="0" w:afterAutospacing="0" w:line="360" w:lineRule="auto"/>
        <w:ind w:firstLine="482" w:firstLineChars="200"/>
        <w:rPr>
          <w:rFonts w:hint="eastAsia" w:cs="宋体"/>
          <w:b/>
          <w:bCs/>
          <w:color w:val="auto"/>
          <w:highlight w:val="none"/>
        </w:rPr>
      </w:pPr>
      <w:r>
        <w:rPr>
          <w:rFonts w:hint="eastAsia" w:cs="宋体"/>
          <w:b/>
          <w:bCs/>
          <w:color w:val="auto"/>
          <w:highlight w:val="none"/>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pPr>
        <w:tabs>
          <w:tab w:val="left" w:pos="0"/>
        </w:tabs>
        <w:adjustRightInd w:val="0"/>
        <w:snapToGrid w:val="0"/>
        <w:spacing w:line="360" w:lineRule="auto"/>
        <w:ind w:firstLine="482"/>
        <w:rPr>
          <w:rFonts w:hint="eastAsia" w:ascii="宋体" w:hAnsi="宋体" w:cs="宋体"/>
          <w:sz w:val="24"/>
          <w:highlight w:val="none"/>
        </w:rPr>
      </w:pPr>
      <w:r>
        <w:rPr>
          <w:rFonts w:hint="eastAsia" w:ascii="宋体" w:hAnsi="宋体" w:cs="宋体"/>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numPr>
          <w:ilvl w:val="0"/>
          <w:numId w:val="11"/>
        </w:numPr>
        <w:tabs>
          <w:tab w:val="left" w:pos="432"/>
        </w:tabs>
        <w:rPr>
          <w:rFonts w:hint="eastAsia" w:ascii="宋体" w:hAnsi="宋体" w:cs="宋体"/>
          <w:sz w:val="24"/>
          <w:szCs w:val="24"/>
          <w:highlight w:val="none"/>
        </w:rPr>
      </w:pPr>
      <w:r>
        <w:rPr>
          <w:rFonts w:hint="eastAsia" w:ascii="宋体" w:hAnsi="宋体" w:cs="宋体"/>
          <w:sz w:val="24"/>
          <w:szCs w:val="24"/>
          <w:highlight w:val="none"/>
        </w:rPr>
        <w:t>预付款</w:t>
      </w:r>
    </w:p>
    <w:p>
      <w:pPr>
        <w:tabs>
          <w:tab w:val="left" w:pos="0"/>
        </w:tabs>
        <w:adjustRightInd w:val="0"/>
        <w:snapToGrid w:val="0"/>
        <w:spacing w:line="360" w:lineRule="auto"/>
        <w:ind w:firstLine="482"/>
        <w:rPr>
          <w:rFonts w:hint="eastAsia" w:ascii="宋体" w:hAnsi="宋体" w:cs="宋体"/>
          <w:sz w:val="24"/>
          <w:highlight w:val="none"/>
        </w:rPr>
      </w:pPr>
      <w:r>
        <w:rPr>
          <w:rFonts w:hint="eastAsia" w:ascii="宋体" w:hAnsi="宋体" w:cs="宋体"/>
          <w:sz w:val="24"/>
          <w:highlight w:val="none"/>
        </w:rPr>
        <w:t>合同生效后7个工作日内由采购单位支付合同金额的40%作为项目的预付款，在支付预付款之前是否要求中标单位提供预付款保函由采购单位自行决定并在合同中予以明确（预付款保函可以在政采云平台线上办理）；政府采购工程以及与工程建设有关的货物、服务，采用招标方式采购的，预付款从其相关规定。</w:t>
      </w:r>
    </w:p>
    <w:p>
      <w:pPr>
        <w:pStyle w:val="6"/>
        <w:numPr>
          <w:ilvl w:val="0"/>
          <w:numId w:val="11"/>
        </w:numPr>
        <w:tabs>
          <w:tab w:val="left" w:pos="432"/>
        </w:tabs>
        <w:rPr>
          <w:rFonts w:hint="eastAsia" w:ascii="宋体" w:hAnsi="宋体" w:cs="宋体"/>
          <w:sz w:val="24"/>
          <w:szCs w:val="24"/>
          <w:highlight w:val="none"/>
        </w:rPr>
      </w:pPr>
      <w:r>
        <w:rPr>
          <w:rFonts w:hint="eastAsia" w:ascii="宋体" w:hAnsi="宋体" w:cs="宋体"/>
          <w:sz w:val="24"/>
          <w:szCs w:val="24"/>
          <w:highlight w:val="none"/>
        </w:rPr>
        <w:t>资金支付</w:t>
      </w:r>
    </w:p>
    <w:p>
      <w:pPr>
        <w:tabs>
          <w:tab w:val="left" w:pos="0"/>
        </w:tabs>
        <w:adjustRightInd w:val="0"/>
        <w:snapToGrid w:val="0"/>
        <w:spacing w:line="360" w:lineRule="auto"/>
        <w:ind w:firstLine="482"/>
        <w:rPr>
          <w:rFonts w:hint="eastAsia" w:ascii="宋体" w:hAnsi="宋体" w:cs="宋体"/>
          <w:sz w:val="24"/>
          <w:highlight w:val="none"/>
        </w:rPr>
      </w:pPr>
      <w:r>
        <w:rPr>
          <w:rFonts w:hint="eastAsia" w:ascii="宋体" w:hAnsi="宋体" w:cs="宋体"/>
          <w:sz w:val="24"/>
          <w:highlight w:val="none"/>
        </w:rPr>
        <w:t>采购单位应当及时组织项目验收，</w:t>
      </w:r>
      <w:r>
        <w:rPr>
          <w:rFonts w:hint="eastAsia" w:ascii="宋体" w:hAnsi="宋体" w:cs="宋体"/>
          <w:b/>
          <w:bCs/>
          <w:sz w:val="24"/>
          <w:highlight w:val="none"/>
        </w:rPr>
        <w:t>不得以政府部门审计作为支付供应商款项的条件。</w:t>
      </w:r>
      <w:r>
        <w:rPr>
          <w:rFonts w:hint="eastAsia" w:ascii="宋体" w:hAnsi="宋体" w:cs="宋体"/>
          <w:sz w:val="24"/>
          <w:highlight w:val="none"/>
        </w:rPr>
        <w:t>采购单位对于满足合同约定支付条件的，</w:t>
      </w:r>
      <w:r>
        <w:rPr>
          <w:rFonts w:hint="eastAsia" w:ascii="宋体" w:hAnsi="宋体" w:cs="宋体"/>
          <w:b/>
          <w:bCs/>
          <w:sz w:val="24"/>
          <w:highlight w:val="none"/>
        </w:rPr>
        <w:t>自收到发票后7个工作日内</w:t>
      </w:r>
      <w:r>
        <w:rPr>
          <w:rFonts w:hint="eastAsia" w:ascii="宋体" w:hAnsi="宋体" w:cs="宋体"/>
          <w:sz w:val="24"/>
          <w:highlight w:val="none"/>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pStyle w:val="42"/>
        <w:adjustRightInd w:val="0"/>
        <w:snapToGrid w:val="0"/>
        <w:spacing w:beforeAutospacing="0" w:afterAutospacing="0" w:line="360" w:lineRule="auto"/>
        <w:ind w:left="419"/>
        <w:rPr>
          <w:rFonts w:hint="eastAsia" w:cs="宋体"/>
          <w:b/>
          <w:bCs/>
          <w:sz w:val="28"/>
          <w:szCs w:val="28"/>
          <w:highlight w:val="none"/>
          <w:lang w:bidi="ar"/>
        </w:rPr>
      </w:pPr>
      <w:bookmarkStart w:id="5" w:name="_Toc97649962"/>
      <w:r>
        <w:rPr>
          <w:rFonts w:hint="eastAsia" w:cs="宋体"/>
          <w:b/>
          <w:bCs/>
          <w:sz w:val="28"/>
          <w:szCs w:val="28"/>
          <w:highlight w:val="none"/>
          <w:lang w:bidi="ar"/>
        </w:rPr>
        <w:t>八、验收</w:t>
      </w:r>
      <w:bookmarkEnd w:id="5"/>
    </w:p>
    <w:p>
      <w:pPr>
        <w:tabs>
          <w:tab w:val="left" w:pos="0"/>
        </w:tabs>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2.采购人可以邀请参加本项目的其他供应商或者第三方机构参与验收。参与验收的供应商或者第三方机构的意见作为验收书的参考资料一并存档。</w:t>
      </w:r>
    </w:p>
    <w:p>
      <w:pPr>
        <w:adjustRightInd w:val="0"/>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adjustRightInd w:val="0"/>
        <w:snapToGrid w:val="0"/>
        <w:spacing w:line="360" w:lineRule="auto"/>
        <w:ind w:firstLine="480" w:firstLineChars="200"/>
        <w:rPr>
          <w:rFonts w:hint="eastAsia" w:ascii="宋体" w:hAnsi="宋体" w:cs="宋体"/>
          <w:b/>
          <w:bCs/>
          <w:kern w:val="0"/>
          <w:sz w:val="24"/>
          <w:highlight w:val="none"/>
        </w:rPr>
      </w:pPr>
      <w:r>
        <w:rPr>
          <w:rFonts w:hint="eastAsia" w:ascii="宋体" w:hAnsi="宋体" w:cs="宋体"/>
          <w:kern w:val="0"/>
          <w:sz w:val="24"/>
          <w:highlight w:val="none"/>
        </w:rPr>
        <w:t>4.</w:t>
      </w:r>
      <w:r>
        <w:rPr>
          <w:rFonts w:hint="eastAsia" w:ascii="宋体" w:hAnsi="宋体" w:cs="宋体"/>
          <w:sz w:val="24"/>
          <w:highlight w:val="none"/>
        </w:rPr>
        <w:t>采购人原则上应当在</w:t>
      </w:r>
      <w:r>
        <w:rPr>
          <w:rFonts w:hint="eastAsia" w:ascii="宋体" w:hAnsi="宋体" w:cs="宋体"/>
          <w:b/>
          <w:bCs/>
          <w:sz w:val="24"/>
          <w:highlight w:val="none"/>
        </w:rPr>
        <w:t>履约验收之日起2个工作日内</w:t>
      </w:r>
      <w:r>
        <w:rPr>
          <w:rFonts w:hint="eastAsia" w:ascii="宋体" w:hAnsi="宋体" w:cs="宋体"/>
          <w:sz w:val="24"/>
          <w:highlight w:val="none"/>
        </w:rPr>
        <w:t>，将</w:t>
      </w:r>
      <w:r>
        <w:rPr>
          <w:rFonts w:hint="eastAsia" w:ascii="宋体" w:hAnsi="宋体" w:cs="宋体"/>
          <w:b/>
          <w:bCs/>
          <w:sz w:val="24"/>
          <w:highlight w:val="none"/>
        </w:rPr>
        <w:t>履约验收结果在浙江政府采购网上公告。</w:t>
      </w:r>
    </w:p>
    <w:p>
      <w:pPr>
        <w:adjustRightInd w:val="0"/>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5.验收合格的项目，采购人将根据采购合同的约定及时向供应商支付采购资金、退还履约保证金。</w:t>
      </w:r>
    </w:p>
    <w:p>
      <w:pPr>
        <w:tabs>
          <w:tab w:val="left" w:pos="0"/>
        </w:tabs>
        <w:snapToGrid w:val="0"/>
        <w:spacing w:line="360" w:lineRule="auto"/>
        <w:ind w:firstLine="480"/>
        <w:rPr>
          <w:rFonts w:hint="eastAsia" w:ascii="宋体" w:hAnsi="宋体" w:cs="宋体"/>
          <w:sz w:val="24"/>
          <w:highlight w:val="none"/>
        </w:rPr>
      </w:pPr>
      <w:r>
        <w:rPr>
          <w:rFonts w:hint="eastAsia" w:ascii="宋体" w:hAnsi="宋体" w:cs="宋体"/>
          <w:kern w:val="0"/>
          <w:sz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6"/>
        <w:rPr>
          <w:rFonts w:hint="eastAsia" w:hAnsi="宋体"/>
          <w:sz w:val="32"/>
          <w:highlight w:val="none"/>
        </w:rPr>
      </w:pPr>
    </w:p>
    <w:p>
      <w:pPr>
        <w:rPr>
          <w:rFonts w:hint="eastAsia" w:hAnsi="宋体"/>
          <w:b/>
          <w:sz w:val="32"/>
          <w:szCs w:val="32"/>
        </w:rPr>
      </w:pPr>
    </w:p>
    <w:p>
      <w:pPr>
        <w:pStyle w:val="2"/>
        <w:ind w:firstLine="643"/>
        <w:rPr>
          <w:rFonts w:hint="eastAsia" w:hAnsi="宋体"/>
          <w:b/>
          <w:sz w:val="32"/>
          <w:szCs w:val="32"/>
        </w:rPr>
      </w:pPr>
    </w:p>
    <w:p>
      <w:pPr>
        <w:pStyle w:val="4"/>
        <w:rPr>
          <w:rFonts w:hint="eastAsia"/>
        </w:rPr>
      </w:pPr>
    </w:p>
    <w:p>
      <w:pPr>
        <w:rPr>
          <w:rFonts w:hint="eastAsia"/>
        </w:rPr>
      </w:pPr>
    </w:p>
    <w:p>
      <w:pPr>
        <w:pStyle w:val="27"/>
        <w:snapToGrid w:val="0"/>
        <w:spacing w:before="120" w:after="120" w:line="360" w:lineRule="auto"/>
        <w:jc w:val="center"/>
        <w:rPr>
          <w:rFonts w:hint="eastAsia" w:hAnsi="宋体" w:cs="宋体"/>
          <w:sz w:val="30"/>
          <w:szCs w:val="30"/>
        </w:rPr>
      </w:pPr>
      <w:r>
        <w:rPr>
          <w:rFonts w:hint="eastAsia" w:hAnsi="宋体" w:cs="宋体"/>
          <w:b/>
          <w:bCs/>
          <w:sz w:val="32"/>
          <w:szCs w:val="32"/>
        </w:rPr>
        <w:t>第四章  评标办法及评分标准</w:t>
      </w:r>
    </w:p>
    <w:p>
      <w:pPr>
        <w:spacing w:before="120" w:beforeLines="50" w:after="120" w:afterLines="50"/>
        <w:ind w:firstLine="480" w:firstLineChars="200"/>
        <w:rPr>
          <w:rFonts w:hint="eastAsia"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pPr>
        <w:spacing w:line="360" w:lineRule="auto"/>
        <w:ind w:firstLine="480" w:firstLineChars="200"/>
        <w:rPr>
          <w:rFonts w:hint="eastAsia" w:ascii="宋体" w:hAnsi="宋体" w:cs="宋体"/>
          <w:sz w:val="24"/>
        </w:rPr>
      </w:pPr>
      <w:r>
        <w:rPr>
          <w:rFonts w:hint="eastAsia" w:ascii="宋体" w:hAnsi="宋体" w:cs="宋体"/>
          <w:sz w:val="24"/>
        </w:rPr>
        <w:t>本办法适用于</w:t>
      </w:r>
      <w:r>
        <w:rPr>
          <w:rFonts w:hint="eastAsia" w:ascii="宋体" w:hAnsi="宋体" w:cs="宋体"/>
          <w:b/>
          <w:bCs/>
          <w:sz w:val="24"/>
          <w:u w:val="single"/>
        </w:rPr>
        <w:t>东阳市六歌健康生物产业园信息化系统提升项目</w:t>
      </w:r>
      <w:r>
        <w:rPr>
          <w:rFonts w:hint="eastAsia" w:ascii="宋体" w:hAnsi="宋体" w:cs="宋体"/>
          <w:sz w:val="24"/>
        </w:rPr>
        <w:t>的评标。</w:t>
      </w:r>
    </w:p>
    <w:p>
      <w:pPr>
        <w:spacing w:before="120" w:beforeLines="50" w:after="120" w:afterLines="50" w:line="360" w:lineRule="auto"/>
        <w:ind w:firstLine="551" w:firstLineChars="196"/>
        <w:rPr>
          <w:rFonts w:hint="eastAsia" w:ascii="宋体" w:hAnsi="宋体" w:cs="宋体"/>
          <w:b/>
          <w:sz w:val="28"/>
          <w:szCs w:val="28"/>
        </w:rPr>
      </w:pPr>
      <w:r>
        <w:rPr>
          <w:rFonts w:hint="eastAsia" w:ascii="宋体" w:hAnsi="宋体" w:cs="宋体"/>
          <w:b/>
          <w:sz w:val="28"/>
          <w:szCs w:val="28"/>
        </w:rPr>
        <w:t>一、总则</w:t>
      </w:r>
    </w:p>
    <w:p>
      <w:pPr>
        <w:spacing w:before="120" w:beforeLines="50" w:after="120" w:afterLines="50" w:line="360" w:lineRule="auto"/>
        <w:ind w:firstLine="480" w:firstLineChars="200"/>
        <w:rPr>
          <w:rFonts w:hint="eastAsia" w:ascii="宋体" w:hAnsi="宋体" w:cs="宋体"/>
          <w:sz w:val="24"/>
        </w:rPr>
      </w:pPr>
      <w:r>
        <w:rPr>
          <w:rFonts w:hint="eastAsia" w:ascii="宋体" w:hAnsi="宋体" w:cs="宋体"/>
          <w:sz w:val="24"/>
        </w:rPr>
        <w:t>本次评标采用综合评分法，总分为100分（价格分、技术、商务、资信及其他分的分值详见各个标的评标内容）。合格投标人的评标得分为各项目汇总得分，中标候选资格按评标综合得分由高到低顺序排列，得分相同的，按投标报价由低到高顺序排列；综合得分相同且投标报价相同的，依次按技术分，商务资信及其他分得分顺序由高到低排列名次。排名第一的投标人为中标候选人,排名第二的投标人为候补中标候选人……其他投标人中标候选资格依此类推。</w:t>
      </w:r>
      <w:r>
        <w:rPr>
          <w:rFonts w:hint="eastAsia" w:ascii="宋体" w:hAnsi="宋体" w:cs="宋体"/>
          <w:bCs/>
          <w:sz w:val="24"/>
        </w:rPr>
        <w:t>评分过程中采用四舍五入法，并保留小数2位。</w:t>
      </w:r>
    </w:p>
    <w:p>
      <w:pPr>
        <w:pStyle w:val="3"/>
        <w:spacing w:before="120" w:beforeLines="50" w:after="120" w:afterLines="50" w:line="320" w:lineRule="exact"/>
        <w:ind w:firstLine="464" w:firstLineChars="200"/>
        <w:rPr>
          <w:rFonts w:hint="eastAsia" w:hAnsi="宋体" w:cs="宋体"/>
          <w:bCs/>
          <w:sz w:val="24"/>
          <w:szCs w:val="24"/>
        </w:rPr>
      </w:pPr>
      <w:r>
        <w:rPr>
          <w:rFonts w:hint="eastAsia" w:hAnsi="宋体" w:cs="宋体"/>
          <w:bCs/>
          <w:sz w:val="24"/>
          <w:szCs w:val="24"/>
        </w:rPr>
        <w:t>投标人评标综合得分=价格分+(技术分+商务资信分)</w:t>
      </w:r>
    </w:p>
    <w:p>
      <w:pPr>
        <w:spacing w:before="120" w:beforeLines="50" w:after="120" w:afterLines="50" w:line="360" w:lineRule="auto"/>
        <w:ind w:firstLine="562" w:firstLineChars="200"/>
        <w:rPr>
          <w:rFonts w:hint="eastAsia" w:ascii="宋体" w:hAnsi="宋体" w:cs="宋体"/>
          <w:b/>
          <w:sz w:val="28"/>
          <w:szCs w:val="28"/>
          <w:highlight w:val="none"/>
        </w:rPr>
      </w:pPr>
      <w:r>
        <w:rPr>
          <w:rFonts w:hint="eastAsia" w:ascii="宋体" w:hAnsi="宋体" w:cs="宋体"/>
          <w:b/>
          <w:sz w:val="28"/>
          <w:szCs w:val="28"/>
        </w:rPr>
        <w:t>三、</w:t>
      </w:r>
      <w:r>
        <w:rPr>
          <w:rFonts w:hint="eastAsia" w:ascii="宋体" w:hAnsi="宋体" w:cs="宋体"/>
          <w:b/>
          <w:sz w:val="28"/>
          <w:szCs w:val="28"/>
          <w:highlight w:val="none"/>
        </w:rPr>
        <w:t>评标内容及标准</w:t>
      </w:r>
    </w:p>
    <w:p>
      <w:pPr>
        <w:spacing w:before="120" w:beforeLines="50" w:after="120" w:afterLines="50"/>
        <w:ind w:firstLine="472" w:firstLineChars="196"/>
        <w:rPr>
          <w:rFonts w:hint="eastAsia" w:ascii="宋体" w:hAnsi="宋体" w:cs="宋体"/>
          <w:b/>
          <w:bCs/>
          <w:sz w:val="24"/>
          <w:highlight w:val="none"/>
        </w:rPr>
      </w:pPr>
      <w:r>
        <w:rPr>
          <w:rFonts w:hint="eastAsia" w:ascii="宋体" w:hAnsi="宋体" w:cs="宋体"/>
          <w:b/>
          <w:bCs/>
          <w:sz w:val="24"/>
          <w:highlight w:val="none"/>
        </w:rPr>
        <w:t>（一）价格分（35分）</w:t>
      </w:r>
    </w:p>
    <w:p>
      <w:pPr>
        <w:pStyle w:val="3"/>
        <w:spacing w:before="120" w:beforeLines="50" w:after="120" w:afterLines="50" w:line="320" w:lineRule="exact"/>
        <w:ind w:firstLine="466" w:firstLineChars="200"/>
        <w:rPr>
          <w:rFonts w:hint="eastAsia" w:hAnsi="宋体" w:cs="宋体"/>
          <w:bCs/>
          <w:sz w:val="24"/>
          <w:szCs w:val="24"/>
          <w:highlight w:val="none"/>
        </w:rPr>
      </w:pPr>
      <w:r>
        <w:rPr>
          <w:rFonts w:hint="eastAsia" w:hAnsi="宋体" w:cs="宋体"/>
          <w:b/>
          <w:sz w:val="24"/>
          <w:highlight w:val="none"/>
        </w:rPr>
        <w:t>1、</w:t>
      </w:r>
      <w:r>
        <w:rPr>
          <w:rFonts w:hint="eastAsia" w:hAnsi="宋体" w:cs="宋体"/>
          <w:bCs/>
          <w:sz w:val="24"/>
          <w:szCs w:val="24"/>
          <w:highlight w:val="none"/>
        </w:rPr>
        <w:t>价格分采用低价优先法计算，取所有投技术入围投标人中投标价格最低的投标报价为评标基准价，其他投标人的价格分按照下列公式计算：</w:t>
      </w:r>
    </w:p>
    <w:p>
      <w:pPr>
        <w:pStyle w:val="3"/>
        <w:spacing w:before="120" w:beforeLines="50" w:after="120" w:afterLines="50" w:line="320" w:lineRule="exact"/>
        <w:ind w:firstLine="464" w:firstLineChars="200"/>
        <w:rPr>
          <w:rFonts w:hAnsi="宋体" w:cs="宋体"/>
          <w:bCs/>
          <w:sz w:val="24"/>
          <w:szCs w:val="24"/>
          <w:highlight w:val="none"/>
          <w:lang w:val="en-US" w:eastAsia="zh-CN"/>
        </w:rPr>
      </w:pPr>
      <w:r>
        <w:rPr>
          <w:rFonts w:hint="eastAsia" w:hAnsi="宋体" w:cs="宋体"/>
          <w:bCs/>
          <w:sz w:val="24"/>
          <w:szCs w:val="24"/>
          <w:highlight w:val="none"/>
        </w:rPr>
        <w:t>价格分=（评标基准价/投标报价）×</w:t>
      </w:r>
      <w:r>
        <w:rPr>
          <w:rFonts w:hint="eastAsia" w:hAnsi="宋体" w:cs="宋体"/>
          <w:bCs/>
          <w:sz w:val="24"/>
          <w:szCs w:val="24"/>
          <w:highlight w:val="none"/>
          <w:lang w:val="en-US" w:eastAsia="zh-CN"/>
        </w:rPr>
        <w:t xml:space="preserve"> 35  </w:t>
      </w:r>
    </w:p>
    <w:p>
      <w:pPr>
        <w:numPr>
          <w:ilvl w:val="0"/>
          <w:numId w:val="12"/>
        </w:numPr>
        <w:tabs>
          <w:tab w:val="left" w:pos="982"/>
        </w:tabs>
        <w:snapToGrid w:val="0"/>
        <w:ind w:left="-2" w:leftChars="-1" w:firstLine="512" w:firstLineChars="220"/>
        <w:rPr>
          <w:rFonts w:hint="eastAsia"/>
          <w:highlight w:val="none"/>
        </w:rPr>
      </w:pPr>
      <w:r>
        <w:rPr>
          <w:rFonts w:hint="eastAsia" w:ascii="宋体" w:hAnsi="宋体"/>
          <w:b/>
          <w:spacing w:val="-4"/>
          <w:sz w:val="24"/>
          <w:highlight w:val="none"/>
        </w:rPr>
        <w:t>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141号）、《财政部关于进一步加大政府采购支持中小企业力度的通知》（财库[2022]19号）、《浙江省财政厅关于进一步加大政府采购支持中小企业力度 助力扎实稳住经济的通知》（浙财采监[2022]8号）的规定，对于未预留份额专门面向中小企业的政府采购货物或服务项目，以及预留份额政府采购货物或服务项目中的非预留部分标项，对小型和微型企业的投标报价给予20%的扣除，用扣除后的价格参与评审。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pPr>
        <w:pStyle w:val="42"/>
        <w:spacing w:beforeLines="30" w:beforeAutospacing="0" w:afterLines="30" w:afterAutospacing="0" w:line="320" w:lineRule="exact"/>
        <w:ind w:firstLine="466" w:firstLineChars="200"/>
        <w:rPr>
          <w:rFonts w:hint="eastAsia"/>
          <w:highlight w:val="none"/>
        </w:rPr>
      </w:pPr>
      <w:r>
        <w:rPr>
          <w:rFonts w:hint="eastAsia" w:cs="宋体"/>
          <w:b/>
          <w:color w:val="auto"/>
          <w:spacing w:val="-4"/>
          <w:kern w:val="2"/>
          <w:highlight w:val="none"/>
        </w:rPr>
        <w:t>小微企业（监狱企业、福利企业）的评审价格=小微企业（监狱企业、福利企业）的投标报价</w:t>
      </w:r>
      <w:r>
        <w:rPr>
          <w:rFonts w:hint="eastAsia" w:cs="宋体"/>
          <w:b/>
          <w:color w:val="auto"/>
          <w:spacing w:val="-4"/>
          <w:kern w:val="2"/>
          <w:highlight w:val="none"/>
          <w:lang w:val="en-US" w:eastAsia="zh-CN"/>
        </w:rPr>
        <w:t>*（1-20%）</w:t>
      </w:r>
    </w:p>
    <w:p>
      <w:pPr>
        <w:tabs>
          <w:tab w:val="left" w:pos="982"/>
        </w:tabs>
        <w:snapToGrid w:val="0"/>
        <w:ind w:firstLine="466" w:firstLineChars="200"/>
        <w:rPr>
          <w:rFonts w:hint="eastAsia" w:ascii="宋体" w:hAnsi="宋体"/>
          <w:b/>
          <w:spacing w:val="-4"/>
          <w:sz w:val="24"/>
          <w:highlight w:val="none"/>
        </w:rPr>
      </w:pPr>
      <w:r>
        <w:rPr>
          <w:rFonts w:hint="eastAsia" w:ascii="宋体" w:hAnsi="宋体"/>
          <w:b/>
          <w:spacing w:val="-4"/>
          <w:sz w:val="24"/>
          <w:highlight w:val="none"/>
        </w:rPr>
        <w:t>对接受大中型企业与小微企业组成联合体或者允许大中型企业向一家或者多家小微企业分包的政府采购货物、工程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大中型企业、分包的大中型企业之间存在直接控股、管理关系的，不享受价格扣除优惠政策。</w:t>
      </w:r>
    </w:p>
    <w:p>
      <w:pPr>
        <w:pStyle w:val="42"/>
        <w:spacing w:beforeLines="30" w:beforeAutospacing="0" w:afterLines="30" w:afterAutospacing="0" w:line="320" w:lineRule="exact"/>
        <w:ind w:firstLine="466" w:firstLineChars="200"/>
        <w:rPr>
          <w:rFonts w:hint="eastAsia"/>
          <w:highlight w:val="none"/>
        </w:rPr>
      </w:pPr>
      <w:r>
        <w:rPr>
          <w:rFonts w:hint="eastAsia"/>
          <w:b/>
          <w:bCs w:val="0"/>
          <w:color w:val="auto"/>
          <w:spacing w:val="-4"/>
          <w:kern w:val="2"/>
          <w:highlight w:val="none"/>
          <w:lang w:val="en-US" w:eastAsia="zh-CN"/>
        </w:rPr>
        <w:t>符合上述要的联合体评审价格或有分包的大中型企业评审价格=联合体投标报价或有分包的大中型企业投标报价*（1-6%）</w:t>
      </w:r>
    </w:p>
    <w:p>
      <w:pPr>
        <w:spacing w:before="120" w:beforeLines="50" w:after="120" w:afterLines="50"/>
        <w:ind w:firstLine="472" w:firstLineChars="196"/>
        <w:rPr>
          <w:rFonts w:hint="eastAsia" w:ascii="宋体" w:hAnsi="宋体" w:cs="宋体"/>
          <w:b/>
          <w:bCs/>
          <w:sz w:val="24"/>
        </w:rPr>
      </w:pPr>
      <w:r>
        <w:rPr>
          <w:rFonts w:hint="eastAsia" w:ascii="宋体" w:hAnsi="宋体" w:cs="宋体"/>
          <w:b/>
          <w:sz w:val="24"/>
        </w:rPr>
        <w:t>（二）技术分、商务分、资信及其他分，共70分。</w:t>
      </w:r>
    </w:p>
    <w:p>
      <w:pPr>
        <w:tabs>
          <w:tab w:val="left" w:pos="1154"/>
        </w:tabs>
        <w:ind w:firstLine="482" w:firstLineChars="200"/>
        <w:rPr>
          <w:rFonts w:hint="eastAsia" w:hAnsi="宋体" w:cs="宋体"/>
          <w:b/>
          <w:sz w:val="24"/>
        </w:rPr>
      </w:pPr>
      <w:r>
        <w:rPr>
          <w:rFonts w:hint="eastAsia" w:ascii="宋体" w:hAnsi="宋体" w:cs="宋体"/>
          <w:b/>
          <w:bCs/>
          <w:sz w:val="24"/>
        </w:rPr>
        <w:t>所有投标人均开启报价文件并唱标，符合第三章（八）特别说明1.规定的情况时，多个供应商按一个供应商计算，并取其中价格最低的一家进入价格评审。有效投标人不足3名时，本标项予以废标，择期将重新组织招标。</w:t>
      </w:r>
    </w:p>
    <w:p>
      <w:pPr>
        <w:spacing w:before="120" w:beforeLines="50" w:after="120" w:afterLines="50"/>
        <w:ind w:firstLine="472" w:firstLineChars="196"/>
        <w:rPr>
          <w:rFonts w:hint="eastAsia" w:ascii="宋体" w:hAnsi="宋体" w:cs="宋体"/>
          <w:b/>
          <w:bCs/>
          <w:sz w:val="24"/>
        </w:rPr>
      </w:pPr>
      <w:r>
        <w:rPr>
          <w:rFonts w:hint="eastAsia" w:ascii="宋体" w:hAnsi="宋体" w:cs="宋体"/>
          <w:b/>
          <w:bCs/>
          <w:sz w:val="24"/>
        </w:rPr>
        <w:t>（三）技术、商务、资信 及其他分的计算</w:t>
      </w:r>
    </w:p>
    <w:p>
      <w:pPr>
        <w:spacing w:before="120" w:beforeLines="50" w:after="120" w:afterLines="50"/>
        <w:ind w:firstLine="480" w:firstLineChars="200"/>
        <w:rPr>
          <w:rFonts w:hint="eastAsia" w:ascii="宋体" w:hAnsi="宋体" w:cs="宋体"/>
          <w:sz w:val="24"/>
        </w:rPr>
      </w:pPr>
      <w:r>
        <w:rPr>
          <w:rFonts w:hint="eastAsia" w:ascii="宋体" w:hAnsi="宋体" w:cs="宋体"/>
          <w:sz w:val="24"/>
        </w:rPr>
        <w:t>技术、商务、资信及其他分按照评标委员会成员的独立评分结果汇总数的算术平均分计算，计算公式为：</w:t>
      </w:r>
    </w:p>
    <w:p>
      <w:pPr>
        <w:spacing w:before="120" w:beforeLines="50" w:after="120" w:afterLines="50"/>
        <w:ind w:firstLine="495"/>
        <w:rPr>
          <w:rFonts w:hint="eastAsia" w:ascii="宋体" w:hAnsi="宋体" w:cs="宋体"/>
          <w:b/>
          <w:sz w:val="24"/>
        </w:rPr>
      </w:pPr>
      <w:r>
        <w:rPr>
          <w:rFonts w:hint="eastAsia" w:ascii="宋体" w:hAnsi="宋体" w:cs="宋体"/>
          <w:sz w:val="24"/>
        </w:rPr>
        <w:t>技术商务资信及其他分=（评标委员会所有成员评分合计数）/（评标委员会组成人员数）</w:t>
      </w:r>
    </w:p>
    <w:p>
      <w:pPr>
        <w:tabs>
          <w:tab w:val="left" w:pos="3510"/>
        </w:tabs>
        <w:adjustRightInd w:val="0"/>
        <w:spacing w:line="360" w:lineRule="auto"/>
        <w:rPr>
          <w:rFonts w:ascii="宋体"/>
          <w:b/>
          <w:sz w:val="24"/>
        </w:rPr>
      </w:pPr>
      <w:r>
        <w:rPr>
          <w:rFonts w:hint="eastAsia" w:ascii="宋体" w:hAnsi="宋体" w:cs="宋体"/>
          <w:b/>
          <w:sz w:val="24"/>
        </w:rPr>
        <w:t>附件：评分表格式（技术、商务、资信及其他分，共</w:t>
      </w:r>
      <w:r>
        <w:rPr>
          <w:rFonts w:hint="eastAsia" w:cs="宋体"/>
          <w:b/>
          <w:sz w:val="24"/>
        </w:rPr>
        <w:t>65</w:t>
      </w:r>
      <w:r>
        <w:rPr>
          <w:rFonts w:hint="eastAsia" w:ascii="宋体" w:hAnsi="宋体" w:cs="宋体"/>
          <w:b/>
          <w:sz w:val="24"/>
        </w:rPr>
        <w:t>分）</w:t>
      </w:r>
    </w:p>
    <w:tbl>
      <w:tblPr>
        <w:tblStyle w:val="46"/>
        <w:tblW w:w="100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
      <w:tblGrid>
        <w:gridCol w:w="502"/>
        <w:gridCol w:w="1476"/>
        <w:gridCol w:w="7349"/>
        <w:gridCol w:w="7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pStyle w:val="39"/>
              <w:ind w:left="-105" w:leftChars="-50" w:right="-105" w:rightChars="-50" w:firstLine="0" w:firstLineChars="0"/>
              <w:jc w:val="center"/>
              <w:rPr>
                <w:rFonts w:hint="eastAsia" w:ascii="宋体" w:eastAsia="宋体" w:cs="宋体"/>
                <w:b/>
                <w:bCs/>
                <w:color w:val="auto"/>
                <w:spacing w:val="-6"/>
              </w:rPr>
            </w:pPr>
            <w:r>
              <w:rPr>
                <w:rFonts w:hint="eastAsia" w:ascii="宋体" w:eastAsia="宋体" w:cs="宋体"/>
                <w:b/>
                <w:bCs/>
                <w:color w:val="auto"/>
                <w:spacing w:val="-6"/>
              </w:rPr>
              <w:t>序号</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hint="eastAsia" w:ascii="宋体" w:eastAsia="宋体" w:cs="宋体"/>
                <w:b/>
                <w:bCs/>
                <w:color w:val="auto"/>
              </w:rPr>
            </w:pPr>
            <w:r>
              <w:rPr>
                <w:rFonts w:hint="eastAsia" w:ascii="宋体" w:eastAsia="宋体" w:cs="宋体"/>
                <w:b/>
                <w:bCs/>
                <w:color w:val="auto"/>
              </w:rPr>
              <w:t>评审内容</w:t>
            </w:r>
          </w:p>
        </w:tc>
        <w:tc>
          <w:tcPr>
            <w:tcW w:w="7349" w:type="dxa"/>
            <w:tcBorders>
              <w:top w:val="single" w:color="auto" w:sz="4" w:space="0"/>
              <w:left w:val="single" w:color="auto" w:sz="4" w:space="0"/>
              <w:bottom w:val="single" w:color="auto" w:sz="4" w:space="0"/>
              <w:right w:val="single" w:color="auto" w:sz="4" w:space="0"/>
            </w:tcBorders>
            <w:noWrap w:val="0"/>
            <w:vAlign w:val="center"/>
          </w:tcPr>
          <w:p>
            <w:pPr>
              <w:pStyle w:val="39"/>
              <w:ind w:firstLine="482"/>
              <w:jc w:val="center"/>
              <w:rPr>
                <w:rFonts w:hint="eastAsia" w:ascii="宋体" w:eastAsia="宋体" w:cs="宋体"/>
                <w:b/>
                <w:bCs/>
                <w:color w:val="auto"/>
              </w:rPr>
            </w:pPr>
            <w:r>
              <w:rPr>
                <w:rFonts w:hint="eastAsia" w:ascii="宋体" w:eastAsia="宋体" w:cs="宋体"/>
                <w:b/>
                <w:bCs/>
                <w:color w:val="auto"/>
              </w:rPr>
              <w:t>评分标准</w:t>
            </w:r>
          </w:p>
        </w:tc>
        <w:tc>
          <w:tcPr>
            <w:tcW w:w="748"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hint="eastAsia" w:ascii="宋体" w:eastAsia="宋体" w:cs="宋体"/>
                <w:b/>
                <w:bCs/>
                <w:color w:val="auto"/>
              </w:rPr>
            </w:pPr>
            <w:r>
              <w:rPr>
                <w:rFonts w:hint="eastAsia" w:ascii="宋体" w:eastAsia="宋体" w:cs="宋体"/>
                <w:b/>
                <w:bCs/>
                <w:color w:val="auto"/>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hint="eastAsia" w:ascii="宋体" w:eastAsia="宋体" w:cs="宋体"/>
                <w:b/>
                <w:bCs/>
                <w:color w:val="auto"/>
              </w:rPr>
            </w:pPr>
            <w:r>
              <w:rPr>
                <w:rFonts w:hint="eastAsia" w:ascii="宋体" w:eastAsia="宋体" w:cs="宋体"/>
                <w:b/>
                <w:bCs/>
                <w:color w:val="auto"/>
              </w:rPr>
              <w:t>一</w:t>
            </w:r>
          </w:p>
        </w:tc>
        <w:tc>
          <w:tcPr>
            <w:tcW w:w="8825" w:type="dxa"/>
            <w:gridSpan w:val="2"/>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rPr>
                <w:rFonts w:hint="eastAsia" w:ascii="宋体" w:eastAsia="宋体" w:cs="宋体"/>
                <w:b/>
                <w:bCs/>
                <w:color w:val="auto"/>
              </w:rPr>
            </w:pPr>
            <w:r>
              <w:rPr>
                <w:rFonts w:hint="eastAsia" w:ascii="宋体" w:eastAsia="宋体" w:cs="宋体"/>
                <w:b/>
                <w:bCs/>
                <w:color w:val="auto"/>
              </w:rPr>
              <w:t>技术分</w:t>
            </w:r>
          </w:p>
        </w:tc>
        <w:tc>
          <w:tcPr>
            <w:tcW w:w="74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pStyle w:val="39"/>
              <w:ind w:firstLine="0" w:firstLineChars="0"/>
              <w:jc w:val="center"/>
              <w:rPr>
                <w:rFonts w:hint="eastAsia" w:ascii="宋体" w:eastAsia="宋体" w:cs="宋体"/>
                <w:b/>
                <w:bCs/>
                <w:color w:val="auto"/>
              </w:rPr>
            </w:pPr>
            <w:r>
              <w:rPr>
                <w:rFonts w:hint="eastAsia" w:ascii="宋体" w:eastAsia="宋体" w:cs="宋体"/>
                <w:b/>
                <w:bCs/>
                <w:color w:val="auto"/>
                <w:lang w:val="en-US" w:eastAsia="zh-CN"/>
              </w:rPr>
              <w:t>4</w:t>
            </w:r>
            <w:r>
              <w:rPr>
                <w:rFonts w:hint="eastAsia" w:ascii="宋体" w:eastAsia="宋体" w:cs="宋体"/>
                <w:b/>
                <w:bCs/>
                <w:color w:val="auto"/>
                <w:lang w:val="en-US" w:eastAsia="zh-CN"/>
              </w:rPr>
              <w:t>7</w:t>
            </w:r>
            <w:r>
              <w:rPr>
                <w:rFonts w:hint="eastAsia" w:ascii="宋体" w:eastAsia="宋体" w:cs="宋体"/>
                <w:b/>
                <w:bCs/>
                <w:color w:val="auto"/>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3"/>
              </w:numPr>
              <w:jc w:val="center"/>
              <w:rPr>
                <w:rFonts w:hint="eastAsia" w:ascii="宋体" w:hAnsi="宋体" w:cs="宋体"/>
                <w:bCs/>
                <w:sz w:val="24"/>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硬件设备</w:t>
            </w:r>
          </w:p>
        </w:tc>
        <w:tc>
          <w:tcPr>
            <w:tcW w:w="734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所投产品的基本功能、技术指标（包括所投标产品的品牌、规格型号、详细配置、主要技术参数等）符合明确指标参数得</w:t>
            </w:r>
            <w:r>
              <w:rPr>
                <w:rFonts w:hint="eastAsia" w:ascii="宋体" w:hAnsi="宋体" w:cs="宋体"/>
                <w:color w:val="000000"/>
                <w:kern w:val="0"/>
                <w:sz w:val="24"/>
                <w:highlight w:val="none"/>
                <w:lang w:val="en-US" w:eastAsia="zh-CN" w:bidi="ar"/>
              </w:rPr>
              <w:t>26</w:t>
            </w:r>
            <w:r>
              <w:rPr>
                <w:rFonts w:hint="eastAsia" w:ascii="宋体" w:hAnsi="宋体" w:cs="宋体"/>
                <w:color w:val="000000"/>
                <w:kern w:val="0"/>
                <w:sz w:val="24"/>
                <w:highlight w:val="none"/>
                <w:lang w:bidi="ar"/>
              </w:rPr>
              <w:t>分。标★为重要参数，允许部分偏离，标★专家认可负偏离的每项扣1分，其余参数专家认可负偏离的每项扣0.5分，分数扣完为止。</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cs="宋体"/>
                <w:color w:val="000000"/>
                <w:kern w:val="0"/>
                <w:sz w:val="24"/>
                <w:highlight w:val="none"/>
                <w:lang w:val="en-US" w:eastAsia="zh-CN" w:bidi="ar"/>
              </w:rPr>
              <w:t>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3"/>
              </w:numPr>
              <w:jc w:val="center"/>
              <w:rPr>
                <w:rFonts w:hint="eastAsia" w:ascii="宋体" w:hAnsi="宋体" w:cs="宋体"/>
                <w:bCs/>
                <w:sz w:val="24"/>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整体思路和框架实用性</w:t>
            </w:r>
          </w:p>
        </w:tc>
        <w:tc>
          <w:tcPr>
            <w:tcW w:w="734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针对本项目提出的设计思路、建设方案、达成目标进行综合评审，方案详细、完整、实用性强、契合度高，包括对核心场景的业务功能理解，产品设计方案等酌情给分0-2分。</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1761"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3"/>
              </w:numPr>
              <w:jc w:val="center"/>
              <w:rPr>
                <w:rFonts w:hint="eastAsia" w:ascii="宋体" w:hAnsi="宋体" w:cs="宋体"/>
                <w:bCs/>
                <w:sz w:val="24"/>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实施方案</w:t>
            </w:r>
          </w:p>
        </w:tc>
        <w:tc>
          <w:tcPr>
            <w:tcW w:w="734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投标人项目组织实施方案整体的的科学性、合理性、规范性和可操作性，酌情打分0-1分。</w:t>
            </w:r>
          </w:p>
          <w:p>
            <w:pPr>
              <w:widowControl/>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 xml:space="preserve">根据方案的安装调试、组织机构、工作时间进度表、工作程序和步骤、管理和协调方法等并提供点位效果图等。以上几个方面描述齐全，内容贴合本项目的实际情况得5分，有缺项的，每个部分扣1分，每个部分的内容过于简单，不符合项目实际的酌情扣0-1分。                         </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3"/>
              </w:numPr>
              <w:jc w:val="center"/>
              <w:rPr>
                <w:rFonts w:hint="eastAsia" w:ascii="宋体" w:hAnsi="宋体" w:cs="宋体"/>
                <w:bCs/>
                <w:sz w:val="24"/>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技术能力</w:t>
            </w:r>
          </w:p>
        </w:tc>
        <w:tc>
          <w:tcPr>
            <w:tcW w:w="734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供应商具备有ITSS信息技术服务运行维护标准符合性证书，得1分、</w:t>
            </w:r>
          </w:p>
          <w:p>
            <w:pPr>
              <w:widowControl/>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eastAsia="zh-CN" w:bidi="ar"/>
              </w:rPr>
              <w:t>具有</w:t>
            </w:r>
            <w:r>
              <w:rPr>
                <w:rFonts w:hint="eastAsia" w:ascii="宋体" w:hAnsi="宋体" w:cs="宋体"/>
                <w:color w:val="000000"/>
                <w:kern w:val="0"/>
                <w:sz w:val="24"/>
                <w:highlight w:val="none"/>
                <w:lang w:bidi="ar"/>
              </w:rPr>
              <w:t>软件能力成熟度集成模型三级及以上的(CMMI3及以上)</w:t>
            </w:r>
            <w:r>
              <w:rPr>
                <w:rFonts w:hint="eastAsia" w:ascii="宋体" w:hAnsi="宋体" w:cs="宋体"/>
                <w:color w:val="000000"/>
                <w:kern w:val="0"/>
                <w:sz w:val="24"/>
                <w:highlight w:val="none"/>
                <w:lang w:eastAsia="zh-CN" w:bidi="ar"/>
              </w:rPr>
              <w:t>证书的得</w:t>
            </w:r>
            <w:r>
              <w:rPr>
                <w:rFonts w:hint="eastAsia" w:ascii="宋体" w:hAnsi="宋体" w:cs="宋体"/>
                <w:color w:val="000000"/>
                <w:kern w:val="0"/>
                <w:sz w:val="24"/>
                <w:highlight w:val="none"/>
                <w:lang w:val="en-US" w:eastAsia="zh-CN" w:bidi="ar"/>
              </w:rPr>
              <w:t>2分</w:t>
            </w:r>
            <w:r>
              <w:rPr>
                <w:rFonts w:hint="eastAsia" w:ascii="宋体" w:hAnsi="宋体" w:cs="宋体"/>
                <w:color w:val="000000"/>
                <w:kern w:val="0"/>
                <w:sz w:val="24"/>
                <w:highlight w:val="none"/>
                <w:lang w:bidi="ar"/>
              </w:rPr>
              <w:t>，共</w:t>
            </w:r>
            <w:r>
              <w:rPr>
                <w:rFonts w:hint="eastAsia" w:ascii="宋体" w:hAnsi="宋体" w:cs="宋体"/>
                <w:color w:val="000000"/>
                <w:kern w:val="0"/>
                <w:sz w:val="24"/>
                <w:highlight w:val="none"/>
                <w:lang w:val="en-US" w:eastAsia="zh-CN" w:bidi="ar"/>
              </w:rPr>
              <w:t>3</w:t>
            </w:r>
            <w:r>
              <w:rPr>
                <w:rFonts w:hint="eastAsia" w:ascii="宋体" w:hAnsi="宋体" w:cs="宋体"/>
                <w:color w:val="000000"/>
                <w:kern w:val="0"/>
                <w:sz w:val="24"/>
                <w:highlight w:val="none"/>
                <w:lang w:bidi="ar"/>
              </w:rPr>
              <w:t>分。（提供证书扫描件，且在有效期内。）</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699"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3"/>
              </w:numPr>
              <w:rPr>
                <w:rFonts w:hint="eastAsia" w:ascii="宋体" w:hAnsi="宋体" w:cs="宋体"/>
                <w:bCs/>
                <w:sz w:val="24"/>
              </w:rPr>
            </w:pPr>
          </w:p>
        </w:tc>
        <w:tc>
          <w:tcPr>
            <w:tcW w:w="1476"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color w:val="000000"/>
                <w:kern w:val="0"/>
                <w:sz w:val="24"/>
                <w:lang w:bidi="ar"/>
              </w:rPr>
              <w:t>服务团队</w:t>
            </w:r>
          </w:p>
        </w:tc>
        <w:tc>
          <w:tcPr>
            <w:tcW w:w="734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拟派项目经理具有信息系统项目管理师、系统规划与管理师、项目管理专业人员资格认证证</w:t>
            </w:r>
            <w:r>
              <w:rPr>
                <w:rFonts w:hint="eastAsia" w:ascii="宋体" w:hAnsi="宋体" w:cs="宋体"/>
                <w:color w:val="000000"/>
                <w:kern w:val="0"/>
                <w:sz w:val="24"/>
                <w:highlight w:val="none"/>
                <w:lang w:bidi="ar"/>
              </w:rPr>
              <w:t>书的，每提供一个证书得1分，最高得3分。项目经理须为本公司在职人员，提供近三个月的社保证明，未提供</w:t>
            </w:r>
            <w:r>
              <w:rPr>
                <w:rFonts w:hint="eastAsia" w:ascii="宋体" w:hAnsi="宋体" w:cs="宋体"/>
                <w:color w:val="000000"/>
                <w:kern w:val="0"/>
                <w:sz w:val="24"/>
                <w:lang w:bidi="ar"/>
              </w:rPr>
              <w:t>不得分。</w:t>
            </w:r>
          </w:p>
        </w:tc>
        <w:tc>
          <w:tcPr>
            <w:tcW w:w="7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3"/>
              </w:numPr>
              <w:jc w:val="center"/>
              <w:rPr>
                <w:rFonts w:hint="eastAsia" w:ascii="宋体" w:hAnsi="宋体" w:cs="宋体"/>
                <w:bCs/>
                <w:sz w:val="24"/>
              </w:rPr>
            </w:pPr>
          </w:p>
        </w:tc>
        <w:tc>
          <w:tcPr>
            <w:tcW w:w="1476" w:type="dxa"/>
            <w:vMerge w:val="continue"/>
            <w:tcBorders>
              <w:left w:val="single" w:color="auto" w:sz="4" w:space="0"/>
              <w:right w:val="single" w:color="auto" w:sz="4" w:space="0"/>
            </w:tcBorders>
            <w:noWrap w:val="0"/>
            <w:vAlign w:val="center"/>
          </w:tcPr>
          <w:p>
            <w:pPr>
              <w:jc w:val="center"/>
              <w:rPr>
                <w:rFonts w:hint="eastAsia" w:ascii="宋体" w:hAnsi="宋体" w:cs="宋体"/>
                <w:sz w:val="24"/>
              </w:rPr>
            </w:pPr>
          </w:p>
        </w:tc>
        <w:tc>
          <w:tcPr>
            <w:tcW w:w="734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拟派技术负责人同时具有云计算架构师高级认证、信息系统项目管理师证书、ITIL证书、项目管理专业人员资格认证证书</w:t>
            </w:r>
            <w:r>
              <w:rPr>
                <w:rFonts w:hint="eastAsia" w:ascii="宋体" w:hAnsi="宋体" w:cs="宋体"/>
                <w:color w:val="000000"/>
                <w:kern w:val="0"/>
                <w:sz w:val="24"/>
                <w:highlight w:val="none"/>
                <w:lang w:bidi="ar"/>
              </w:rPr>
              <w:t>的，每提供一个证书得0.5分，最高得2分。技术负责人须为本公司在职人</w:t>
            </w:r>
            <w:r>
              <w:rPr>
                <w:rFonts w:hint="eastAsia" w:ascii="宋体" w:hAnsi="宋体" w:cs="宋体"/>
                <w:color w:val="000000"/>
                <w:kern w:val="0"/>
                <w:sz w:val="24"/>
                <w:lang w:bidi="ar"/>
              </w:rPr>
              <w:t xml:space="preserve">员，提供近三个月的社保证明，未提供不得分。 </w:t>
            </w:r>
          </w:p>
        </w:tc>
        <w:tc>
          <w:tcPr>
            <w:tcW w:w="7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3"/>
              </w:numPr>
              <w:jc w:val="center"/>
              <w:rPr>
                <w:rFonts w:hint="eastAsia" w:ascii="宋体" w:hAnsi="宋体" w:cs="宋体"/>
                <w:bCs/>
                <w:sz w:val="24"/>
              </w:rPr>
            </w:pPr>
          </w:p>
        </w:tc>
        <w:tc>
          <w:tcPr>
            <w:tcW w:w="1476"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734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项目组主要成员（除项目经理和技术负责人外）具有项目管理专业人员资格认证证书、信息系统项目管理师证</w:t>
            </w:r>
            <w:r>
              <w:rPr>
                <w:rFonts w:hint="eastAsia" w:ascii="宋体" w:hAnsi="宋体" w:cs="宋体"/>
                <w:color w:val="000000"/>
                <w:kern w:val="0"/>
                <w:sz w:val="24"/>
                <w:highlight w:val="none"/>
                <w:lang w:bidi="ar"/>
              </w:rPr>
              <w:t>书的，每提供一个证书得1分，最高得5分。（投标时须提供项目团队成员</w:t>
            </w:r>
            <w:r>
              <w:rPr>
                <w:rFonts w:hint="eastAsia" w:ascii="宋体" w:hAnsi="宋体" w:cs="宋体"/>
                <w:color w:val="000000"/>
                <w:kern w:val="0"/>
                <w:sz w:val="24"/>
                <w:lang w:bidi="ar"/>
              </w:rPr>
              <w:t>证书及近3个月以来本单位社保缴纳证明，未提供的不得分。）</w:t>
            </w:r>
          </w:p>
        </w:tc>
        <w:tc>
          <w:tcPr>
            <w:tcW w:w="7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sz w:val="24"/>
              </w:rPr>
            </w:pPr>
            <w:r>
              <w:rPr>
                <w:rFonts w:hint="eastAsia" w:ascii="宋体" w:hAnsi="宋体" w:cs="宋体"/>
                <w:b/>
                <w:sz w:val="24"/>
              </w:rPr>
              <w:t>二</w:t>
            </w:r>
          </w:p>
        </w:tc>
        <w:tc>
          <w:tcPr>
            <w:tcW w:w="8825" w:type="dxa"/>
            <w:gridSpan w:val="2"/>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both"/>
              <w:rPr>
                <w:rFonts w:hint="eastAsia" w:ascii="宋体" w:eastAsia="宋体" w:cs="宋体"/>
                <w:b/>
                <w:color w:val="auto"/>
              </w:rPr>
            </w:pPr>
            <w:r>
              <w:rPr>
                <w:rFonts w:hint="eastAsia" w:ascii="宋体" w:cs="宋体"/>
                <w:b/>
                <w:color w:val="auto"/>
              </w:rPr>
              <w:t>商务分</w:t>
            </w:r>
          </w:p>
        </w:tc>
        <w:tc>
          <w:tcPr>
            <w:tcW w:w="748"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hint="eastAsia" w:ascii="宋体" w:eastAsia="宋体" w:cs="宋体"/>
                <w:b/>
                <w:bCs/>
                <w:color w:val="auto"/>
              </w:rPr>
            </w:pPr>
            <w:r>
              <w:rPr>
                <w:rFonts w:hint="eastAsia" w:ascii="宋体" w:eastAsia="宋体" w:cs="宋体"/>
                <w:b/>
                <w:color w:val="auto"/>
              </w:rPr>
              <w:t>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3"/>
              </w:numPr>
              <w:jc w:val="center"/>
              <w:rPr>
                <w:rFonts w:hint="eastAsia" w:ascii="宋体" w:hAnsi="宋体" w:cs="宋体"/>
                <w:sz w:val="24"/>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color w:val="000000"/>
                <w:kern w:val="0"/>
                <w:sz w:val="24"/>
                <w:lang w:bidi="ar"/>
              </w:rPr>
              <w:t>维护计划</w:t>
            </w:r>
          </w:p>
        </w:tc>
        <w:tc>
          <w:tcPr>
            <w:tcW w:w="734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质保期内对用户故障的响应时间、故障处理方案、日常维护、定期巡检等方案情况，</w:t>
            </w:r>
            <w:r>
              <w:rPr>
                <w:rFonts w:hint="eastAsia" w:ascii="宋体" w:hAnsi="宋体" w:cs="宋体"/>
                <w:color w:val="000000"/>
                <w:kern w:val="0"/>
                <w:sz w:val="24"/>
                <w:highlight w:val="none"/>
                <w:lang w:bidi="ar"/>
              </w:rPr>
              <w:t>以上几个方面描述齐全，内容贴合本项目的实际情况得2分，有缺项的，每个方案扣0.5分，每个方案的内容过于简单，不符合项目实际的酌情扣0~0.5分。</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3"/>
              </w:numPr>
              <w:jc w:val="center"/>
              <w:rPr>
                <w:rFonts w:hint="eastAsia" w:ascii="宋体" w:hAnsi="宋体" w:cs="宋体"/>
                <w:sz w:val="24"/>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售后服务能力</w:t>
            </w:r>
          </w:p>
        </w:tc>
        <w:tc>
          <w:tcPr>
            <w:tcW w:w="734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距采购人最近的服务网</w:t>
            </w:r>
            <w:r>
              <w:rPr>
                <w:rFonts w:hint="eastAsia" w:ascii="宋体" w:hAnsi="宋体" w:cs="宋体"/>
                <w:color w:val="000000"/>
                <w:kern w:val="0"/>
                <w:sz w:val="24"/>
                <w:highlight w:val="none"/>
                <w:lang w:bidi="ar"/>
              </w:rPr>
              <w:t>点（0-1分）；售后服务人员的职称、学历、经验情况（0-1分）；可</w:t>
            </w:r>
            <w:r>
              <w:rPr>
                <w:rFonts w:hint="eastAsia" w:ascii="宋体" w:hAnsi="宋体" w:cs="宋体"/>
                <w:color w:val="000000"/>
                <w:kern w:val="0"/>
                <w:sz w:val="24"/>
                <w:lang w:bidi="ar"/>
              </w:rPr>
              <w:t>获得的技术支撑情况（0-1分）。</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3"/>
              </w:numPr>
              <w:jc w:val="center"/>
              <w:rPr>
                <w:rFonts w:hint="eastAsia" w:ascii="宋体" w:hAnsi="宋体" w:cs="宋体"/>
                <w:sz w:val="24"/>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color w:val="000000"/>
                <w:kern w:val="0"/>
                <w:sz w:val="24"/>
                <w:lang w:bidi="ar"/>
              </w:rPr>
              <w:t>培训方案</w:t>
            </w:r>
          </w:p>
        </w:tc>
        <w:tc>
          <w:tcPr>
            <w:tcW w:w="734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针对本次采购项目的培训方</w:t>
            </w:r>
            <w:r>
              <w:rPr>
                <w:rFonts w:hint="eastAsia" w:ascii="宋体" w:hAnsi="宋体" w:cs="宋体"/>
                <w:color w:val="000000"/>
                <w:kern w:val="0"/>
                <w:sz w:val="24"/>
                <w:highlight w:val="none"/>
                <w:lang w:bidi="ar"/>
              </w:rPr>
              <w:t>案：培训内容是否根据本项目专门设置、师资力量是否符合本次培训、课程安排的时间、课程结构是否合理等，0-2分。</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669"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3"/>
              </w:numPr>
              <w:jc w:val="center"/>
              <w:rPr>
                <w:rFonts w:hint="eastAsia" w:ascii="宋体" w:hAnsi="宋体" w:cs="宋体"/>
                <w:sz w:val="24"/>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highlight w:val="none"/>
              </w:rPr>
            </w:pPr>
            <w:r>
              <w:rPr>
                <w:rFonts w:hint="eastAsia" w:ascii="宋体" w:hAnsi="宋体" w:cs="宋体"/>
                <w:sz w:val="24"/>
                <w:highlight w:val="none"/>
              </w:rPr>
              <w:t>保修期</w:t>
            </w:r>
          </w:p>
        </w:tc>
        <w:tc>
          <w:tcPr>
            <w:tcW w:w="7349" w:type="dxa"/>
            <w:tcBorders>
              <w:top w:val="single" w:color="auto" w:sz="4" w:space="0"/>
              <w:left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在招标文件要求的基础上，增加原厂商质保期及上门服务每半年得1分，最高2分。</w:t>
            </w:r>
          </w:p>
        </w:tc>
        <w:tc>
          <w:tcPr>
            <w:tcW w:w="748" w:type="dxa"/>
            <w:tcBorders>
              <w:top w:val="single" w:color="auto" w:sz="4" w:space="0"/>
              <w:left w:val="single" w:color="auto" w:sz="4" w:space="0"/>
              <w:right w:val="single" w:color="auto" w:sz="4" w:space="0"/>
            </w:tcBorders>
            <w:noWrap w:val="0"/>
            <w:vAlign w:val="center"/>
          </w:tcPr>
          <w:p>
            <w:pPr>
              <w:pStyle w:val="39"/>
              <w:ind w:firstLine="0" w:firstLineChars="0"/>
              <w:jc w:val="center"/>
              <w:rPr>
                <w:rFonts w:hint="eastAsia" w:ascii="宋体" w:eastAsia="宋体" w:cs="宋体"/>
                <w:color w:val="auto"/>
                <w:highlight w:val="none"/>
              </w:rPr>
            </w:pPr>
            <w:r>
              <w:rPr>
                <w:rFonts w:hint="eastAsia" w:ascii="宋体" w:eastAsia="宋体" w:cs="宋体"/>
                <w:color w:val="auto"/>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355" w:hRule="atLeast"/>
          <w:jc w:val="center"/>
        </w:trPr>
        <w:tc>
          <w:tcPr>
            <w:tcW w:w="5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三</w:t>
            </w:r>
          </w:p>
        </w:tc>
        <w:tc>
          <w:tcPr>
            <w:tcW w:w="8825" w:type="dxa"/>
            <w:gridSpan w:val="2"/>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both"/>
              <w:rPr>
                <w:rFonts w:hint="eastAsia" w:ascii="宋体" w:eastAsia="宋体" w:cs="宋体"/>
                <w:color w:val="auto"/>
              </w:rPr>
            </w:pPr>
            <w:r>
              <w:rPr>
                <w:rFonts w:hint="eastAsia" w:ascii="宋体" w:cs="宋体"/>
                <w:b/>
                <w:color w:val="auto"/>
              </w:rPr>
              <w:t>资信及其他分</w:t>
            </w:r>
          </w:p>
        </w:tc>
        <w:tc>
          <w:tcPr>
            <w:tcW w:w="74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hint="eastAsia" w:ascii="宋体" w:hAnsi="宋体" w:cs="宋体"/>
                <w:b/>
                <w:sz w:val="24"/>
              </w:rPr>
            </w:pPr>
            <w:r>
              <w:rPr>
                <w:rFonts w:hint="eastAsia" w:ascii="宋体" w:hAnsi="宋体" w:cs="宋体"/>
                <w:b/>
                <w:sz w:val="24"/>
                <w:lang w:val="en-US" w:eastAsia="zh-CN"/>
              </w:rPr>
              <w:t>1</w:t>
            </w:r>
            <w:r>
              <w:rPr>
                <w:rFonts w:hint="eastAsia" w:ascii="宋体" w:hAnsi="宋体" w:cs="宋体"/>
                <w:b/>
                <w:sz w:val="24"/>
                <w:lang w:val="en-US" w:eastAsia="zh-CN"/>
              </w:rPr>
              <w:t>0</w:t>
            </w:r>
            <w:r>
              <w:rPr>
                <w:rFonts w:hint="eastAsia" w:ascii="宋体" w:hAnsi="宋体" w:cs="宋体"/>
                <w:b/>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jc w:val="center"/>
        </w:trPr>
        <w:tc>
          <w:tcPr>
            <w:tcW w:w="502" w:type="dxa"/>
            <w:tcBorders>
              <w:top w:val="nil"/>
              <w:left w:val="single" w:color="auto" w:sz="4" w:space="0"/>
              <w:bottom w:val="single" w:color="auto" w:sz="4" w:space="0"/>
              <w:right w:val="single" w:color="auto" w:sz="4" w:space="0"/>
            </w:tcBorders>
            <w:noWrap w:val="0"/>
            <w:vAlign w:val="center"/>
          </w:tcPr>
          <w:p>
            <w:pPr>
              <w:widowControl/>
              <w:numPr>
                <w:ilvl w:val="0"/>
                <w:numId w:val="13"/>
              </w:numPr>
              <w:jc w:val="center"/>
              <w:rPr>
                <w:rFonts w:hint="eastAsia" w:ascii="宋体" w:hAnsi="宋体" w:cs="宋体"/>
                <w:sz w:val="24"/>
              </w:rPr>
            </w:pPr>
          </w:p>
        </w:tc>
        <w:tc>
          <w:tcPr>
            <w:tcW w:w="1476" w:type="dxa"/>
            <w:tcBorders>
              <w:top w:val="nil"/>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企业认证</w:t>
            </w:r>
          </w:p>
        </w:tc>
        <w:tc>
          <w:tcPr>
            <w:tcW w:w="734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供应商具有ISO20000信息技术服务管理体系认证、ISO9001质量管理体系认证、ISO27001信息安全管理体系认证、ISO27701隐私信息管理体系认证、GB/T27922售后服务认证，提供复印件并加盖单位公章，每提供一个得1分，最高得5分。</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jc w:val="center"/>
        </w:trPr>
        <w:tc>
          <w:tcPr>
            <w:tcW w:w="502" w:type="dxa"/>
            <w:tcBorders>
              <w:top w:val="nil"/>
              <w:left w:val="single" w:color="auto" w:sz="4" w:space="0"/>
              <w:bottom w:val="single" w:color="auto" w:sz="4" w:space="0"/>
              <w:right w:val="single" w:color="auto" w:sz="4" w:space="0"/>
            </w:tcBorders>
            <w:noWrap w:val="0"/>
            <w:vAlign w:val="center"/>
          </w:tcPr>
          <w:p>
            <w:pPr>
              <w:widowControl/>
              <w:numPr>
                <w:ilvl w:val="0"/>
                <w:numId w:val="13"/>
              </w:numPr>
              <w:jc w:val="center"/>
              <w:rPr>
                <w:rFonts w:hint="eastAsia" w:ascii="宋体" w:hAnsi="宋体" w:cs="宋体"/>
                <w:sz w:val="24"/>
              </w:rPr>
            </w:pPr>
          </w:p>
        </w:tc>
        <w:tc>
          <w:tcPr>
            <w:tcW w:w="14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环保和节能认证等</w:t>
            </w:r>
          </w:p>
        </w:tc>
        <w:tc>
          <w:tcPr>
            <w:tcW w:w="734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 w:val="24"/>
              </w:rPr>
            </w:pPr>
            <w:r>
              <w:rPr>
                <w:rFonts w:hint="eastAsia" w:ascii="宋体" w:hAnsi="宋体" w:cs="宋体"/>
                <w:sz w:val="24"/>
              </w:rPr>
              <w:t>主要产品节能环保情况，提供市场监管总局关于发布参与实施政府采购节能产品、环境标志产品认证机构名录的公告（2019第16号）通过《参与实施政府采购节能产品认证机构名录》认证机构认证的环保、节能产品认证证书或者证书的查询网址及截图，每提供1个得0.5分，最高得2分。</w:t>
            </w:r>
          </w:p>
          <w:p>
            <w:pPr>
              <w:widowControl/>
              <w:jc w:val="left"/>
              <w:rPr>
                <w:rFonts w:hint="eastAsia" w:ascii="宋体" w:hAnsi="宋体" w:cs="宋体"/>
                <w:sz w:val="24"/>
              </w:rPr>
            </w:pPr>
            <w:r>
              <w:rPr>
                <w:rFonts w:hint="eastAsia" w:ascii="宋体" w:hAnsi="宋体" w:cs="宋体"/>
                <w:sz w:val="24"/>
              </w:rPr>
              <w:t>节能认证机构：中国质量认证中心、北京赛西认证有限责任公司、中国网络安全审查技术与认证中心、广州赛宝认证中心服务有限公司、北京泰瑞特认证有限责任公司</w:t>
            </w:r>
          </w:p>
          <w:p>
            <w:pPr>
              <w:widowControl/>
              <w:jc w:val="left"/>
              <w:rPr>
                <w:rFonts w:hint="eastAsia" w:ascii="宋体" w:hAnsi="宋体" w:cs="宋体"/>
                <w:sz w:val="24"/>
              </w:rPr>
            </w:pPr>
            <w:r>
              <w:rPr>
                <w:rFonts w:hint="eastAsia" w:ascii="宋体" w:hAnsi="宋体" w:cs="宋体"/>
                <w:sz w:val="24"/>
              </w:rPr>
              <w:t>环保认证机构：中环联合（北京）认证中心有限公司、中标合信（北京）认证有限公司、中环协（北京）认证中心、天津华诚认证有限公司</w:t>
            </w:r>
          </w:p>
        </w:tc>
        <w:tc>
          <w:tcPr>
            <w:tcW w:w="7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982" w:hRule="atLeast"/>
          <w:jc w:val="center"/>
        </w:trPr>
        <w:tc>
          <w:tcPr>
            <w:tcW w:w="502" w:type="dxa"/>
            <w:tcBorders>
              <w:top w:val="nil"/>
              <w:left w:val="single" w:color="auto" w:sz="4" w:space="0"/>
              <w:bottom w:val="single" w:color="auto" w:sz="4" w:space="0"/>
              <w:right w:val="single" w:color="auto" w:sz="4" w:space="0"/>
            </w:tcBorders>
            <w:noWrap w:val="0"/>
            <w:vAlign w:val="center"/>
          </w:tcPr>
          <w:p>
            <w:pPr>
              <w:widowControl/>
              <w:numPr>
                <w:ilvl w:val="0"/>
                <w:numId w:val="13"/>
              </w:numPr>
              <w:jc w:val="center"/>
              <w:rPr>
                <w:rFonts w:hint="eastAsia" w:ascii="宋体" w:hAnsi="宋体" w:cs="宋体"/>
                <w:sz w:val="24"/>
              </w:rPr>
            </w:pPr>
          </w:p>
        </w:tc>
        <w:tc>
          <w:tcPr>
            <w:tcW w:w="1476" w:type="dxa"/>
            <w:tcBorders>
              <w:top w:val="nil"/>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同类业绩</w:t>
            </w:r>
          </w:p>
        </w:tc>
        <w:tc>
          <w:tcPr>
            <w:tcW w:w="734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2019年1月1日至今（以合同签订时间为准），投标人提供的同类项目业绩。每提供1个得1分，最高不超过</w:t>
            </w:r>
            <w:r>
              <w:rPr>
                <w:rFonts w:hint="eastAsia" w:ascii="宋体" w:hAnsi="宋体" w:cs="宋体"/>
                <w:color w:val="000000"/>
                <w:kern w:val="0"/>
                <w:sz w:val="24"/>
                <w:highlight w:val="none"/>
                <w:lang w:val="en-US" w:eastAsia="zh-CN" w:bidi="ar"/>
              </w:rPr>
              <w:t>3</w:t>
            </w:r>
            <w:r>
              <w:rPr>
                <w:rFonts w:hint="eastAsia" w:ascii="宋体" w:hAnsi="宋体" w:cs="宋体"/>
                <w:color w:val="000000"/>
                <w:kern w:val="0"/>
                <w:sz w:val="24"/>
                <w:highlight w:val="none"/>
                <w:lang w:bidi="ar"/>
              </w:rPr>
              <w:t>分。（案例须同时提供合同关键页扫描件等材料，包括但不限于以下信息：合作内容、合作金额、签署时间等。）</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val="en-US" w:eastAsia="zh-CN" w:bidi="ar"/>
              </w:rPr>
              <w:t>3</w:t>
            </w:r>
          </w:p>
        </w:tc>
      </w:tr>
    </w:tbl>
    <w:p>
      <w:pPr>
        <w:tabs>
          <w:tab w:val="left" w:pos="1154"/>
        </w:tabs>
        <w:spacing w:line="360" w:lineRule="auto"/>
        <w:rPr>
          <w:rFonts w:hint="eastAsia" w:ascii="宋体" w:hAnsi="宋体" w:cs="宋体"/>
          <w:b/>
          <w:bCs/>
          <w:sz w:val="32"/>
          <w:szCs w:val="32"/>
        </w:rPr>
      </w:pPr>
    </w:p>
    <w:p>
      <w:pPr>
        <w:tabs>
          <w:tab w:val="left" w:pos="1154"/>
        </w:tabs>
        <w:spacing w:line="360" w:lineRule="auto"/>
        <w:ind w:firstLine="964" w:firstLineChars="300"/>
        <w:rPr>
          <w:rFonts w:hint="eastAsia" w:ascii="宋体" w:hAnsi="宋体" w:cs="宋体"/>
          <w:b/>
          <w:bCs/>
          <w:sz w:val="32"/>
          <w:szCs w:val="32"/>
        </w:rPr>
      </w:pPr>
      <w:r>
        <w:rPr>
          <w:rFonts w:hint="eastAsia" w:ascii="宋体" w:hAnsi="宋体" w:cs="宋体"/>
          <w:b/>
          <w:bCs/>
          <w:sz w:val="32"/>
          <w:szCs w:val="32"/>
        </w:rPr>
        <w:t>第五章  东阳市政府采购合同（工程、服务类样本）</w:t>
      </w:r>
    </w:p>
    <w:p>
      <w:pPr>
        <w:pStyle w:val="27"/>
        <w:snapToGrid w:val="0"/>
        <w:spacing w:before="120" w:after="120" w:line="336" w:lineRule="auto"/>
        <w:rPr>
          <w:rFonts w:hAnsi="宋体"/>
        </w:rPr>
      </w:pPr>
      <w:r>
        <w:rPr>
          <w:rFonts w:hint="eastAsia" w:hAnsi="宋体"/>
        </w:rPr>
        <w:t>项目名称：</w:t>
      </w:r>
      <w:r>
        <w:rPr>
          <w:rFonts w:hAnsi="宋体"/>
        </w:rPr>
        <w:t xml:space="preserve">                    </w:t>
      </w:r>
      <w:r>
        <w:rPr>
          <w:rFonts w:hint="eastAsia" w:hAnsi="宋体"/>
        </w:rPr>
        <w:t>项目编号：</w:t>
      </w:r>
      <w:r>
        <w:rPr>
          <w:rFonts w:hAnsi="宋体"/>
        </w:rPr>
        <w:t xml:space="preserve">                     </w:t>
      </w:r>
      <w:r>
        <w:rPr>
          <w:rFonts w:hint="eastAsia" w:hAnsi="宋体"/>
        </w:rPr>
        <w:t>合同号：</w:t>
      </w:r>
    </w:p>
    <w:p>
      <w:pPr>
        <w:pStyle w:val="27"/>
        <w:snapToGrid w:val="0"/>
        <w:spacing w:before="120" w:after="120" w:line="336" w:lineRule="auto"/>
        <w:rPr>
          <w:rFonts w:hAnsi="宋体"/>
        </w:rPr>
      </w:pPr>
      <w:r>
        <w:rPr>
          <w:rFonts w:hint="eastAsia" w:hAnsi="宋体"/>
        </w:rPr>
        <w:t>甲方（买方）：</w:t>
      </w:r>
    </w:p>
    <w:p>
      <w:pPr>
        <w:pStyle w:val="27"/>
        <w:snapToGrid w:val="0"/>
        <w:spacing w:before="120" w:after="120" w:line="336" w:lineRule="auto"/>
        <w:rPr>
          <w:rFonts w:hAnsi="宋体"/>
        </w:rPr>
      </w:pPr>
      <w:r>
        <w:rPr>
          <w:rFonts w:hint="eastAsia" w:hAnsi="宋体"/>
        </w:rPr>
        <w:t>乙方（卖方）：</w:t>
      </w:r>
    </w:p>
    <w:p>
      <w:pPr>
        <w:pStyle w:val="27"/>
        <w:snapToGrid w:val="0"/>
        <w:spacing w:before="120" w:after="120" w:line="336" w:lineRule="auto"/>
        <w:ind w:firstLine="480" w:firstLineChars="200"/>
        <w:rPr>
          <w:rFonts w:hAnsi="宋体"/>
          <w:b/>
        </w:rPr>
      </w:pPr>
      <w:r>
        <w:rPr>
          <w:rFonts w:hint="eastAsia" w:hAnsi="宋体"/>
        </w:rPr>
        <w:t>甲、乙双方根据</w:t>
      </w:r>
      <w:r>
        <w:rPr>
          <w:rFonts w:hAnsi="宋体"/>
          <w:u w:val="single"/>
        </w:rPr>
        <w:t xml:space="preserve">    </w:t>
      </w:r>
      <w:r>
        <w:rPr>
          <w:rFonts w:hint="eastAsia" w:hAnsi="宋体"/>
        </w:rPr>
        <w:t>年</w:t>
      </w:r>
      <w:r>
        <w:rPr>
          <w:rFonts w:hAnsi="宋体"/>
          <w:u w:val="single"/>
        </w:rPr>
        <w:t xml:space="preserve">   </w:t>
      </w:r>
      <w:r>
        <w:rPr>
          <w:rFonts w:hint="eastAsia" w:hAnsi="宋体"/>
        </w:rPr>
        <w:t>月</w:t>
      </w:r>
      <w:r>
        <w:rPr>
          <w:rFonts w:hAnsi="宋体"/>
          <w:u w:val="single"/>
        </w:rPr>
        <w:t xml:space="preserve">    </w:t>
      </w:r>
      <w:r>
        <w:rPr>
          <w:rFonts w:hint="eastAsia" w:hAnsi="宋体"/>
        </w:rPr>
        <w:t>日金华市公共资源交易中心东阳分中心关于</w:t>
      </w:r>
      <w:r>
        <w:rPr>
          <w:rFonts w:hAnsi="宋体"/>
          <w:u w:val="single"/>
        </w:rPr>
        <w:t xml:space="preserve">     </w:t>
      </w:r>
      <w:r>
        <w:rPr>
          <w:rFonts w:hint="eastAsia" w:hAnsi="宋体"/>
        </w:rPr>
        <w:t>项目公开招标的结果，签署本合同。</w:t>
      </w:r>
    </w:p>
    <w:p>
      <w:pPr>
        <w:pStyle w:val="27"/>
        <w:snapToGrid w:val="0"/>
        <w:spacing w:before="120" w:after="120"/>
        <w:ind w:firstLine="482" w:firstLineChars="200"/>
      </w:pPr>
      <w:r>
        <w:rPr>
          <w:rFonts w:hint="eastAsia" w:hAnsi="宋体"/>
          <w:b/>
          <w:bCs/>
        </w:rPr>
        <w:t>一、服务内容</w:t>
      </w:r>
    </w:p>
    <w:p>
      <w:pPr>
        <w:pStyle w:val="27"/>
        <w:snapToGrid w:val="0"/>
        <w:spacing w:before="120" w:after="120"/>
        <w:ind w:firstLine="482" w:firstLineChars="200"/>
        <w:rPr>
          <w:rFonts w:hAnsi="宋体"/>
          <w:b/>
          <w:bCs/>
        </w:rPr>
      </w:pPr>
      <w:r>
        <w:rPr>
          <w:rFonts w:hint="eastAsia" w:hAnsi="宋体"/>
          <w:b/>
          <w:bCs/>
        </w:rPr>
        <w:t>二、合同金额</w:t>
      </w:r>
    </w:p>
    <w:p>
      <w:pPr>
        <w:pStyle w:val="27"/>
        <w:snapToGrid w:val="0"/>
        <w:spacing w:before="120" w:after="120"/>
        <w:ind w:firstLine="480" w:firstLineChars="200"/>
        <w:rPr>
          <w:rFonts w:hAnsi="宋体"/>
        </w:rPr>
      </w:pPr>
      <w:r>
        <w:rPr>
          <w:rFonts w:hint="eastAsia" w:hAnsi="宋体"/>
        </w:rPr>
        <w:t>本合同金额为（大写）：</w:t>
      </w:r>
      <w:r>
        <w:rPr>
          <w:rFonts w:hAnsi="宋体"/>
        </w:rPr>
        <w:t>____________________________________</w:t>
      </w:r>
      <w:r>
        <w:rPr>
          <w:rFonts w:hint="eastAsia" w:hAnsi="宋体"/>
        </w:rPr>
        <w:t>元（￥</w:t>
      </w:r>
      <w:r>
        <w:rPr>
          <w:rFonts w:hAnsi="宋体"/>
        </w:rPr>
        <w:t>_______________</w:t>
      </w:r>
      <w:r>
        <w:rPr>
          <w:rFonts w:hint="eastAsia" w:hAnsi="宋体"/>
        </w:rPr>
        <w:t>元）人民币。</w:t>
      </w:r>
    </w:p>
    <w:p>
      <w:pPr>
        <w:pStyle w:val="27"/>
        <w:snapToGrid w:val="0"/>
        <w:spacing w:before="120" w:after="120"/>
        <w:ind w:firstLine="482" w:firstLineChars="200"/>
        <w:rPr>
          <w:rFonts w:hAnsi="宋体"/>
          <w:b/>
          <w:bCs/>
        </w:rPr>
      </w:pPr>
      <w:r>
        <w:rPr>
          <w:rFonts w:hint="eastAsia" w:hAnsi="宋体"/>
          <w:b/>
          <w:bCs/>
        </w:rPr>
        <w:t>三、技术资料</w:t>
      </w:r>
    </w:p>
    <w:p>
      <w:pPr>
        <w:pStyle w:val="27"/>
        <w:snapToGrid w:val="0"/>
        <w:spacing w:before="120" w:after="120"/>
        <w:ind w:firstLine="480" w:firstLineChars="200"/>
        <w:rPr>
          <w:rFonts w:hAnsi="宋体"/>
        </w:rPr>
      </w:pPr>
      <w:r>
        <w:rPr>
          <w:rFonts w:hAnsi="宋体"/>
        </w:rPr>
        <w:t>1.</w:t>
      </w:r>
      <w:r>
        <w:rPr>
          <w:rFonts w:hint="eastAsia" w:hAnsi="宋体"/>
        </w:rPr>
        <w:t>乙方应按招标文件规定的时间向甲方提供有关技术资料。</w:t>
      </w:r>
    </w:p>
    <w:p>
      <w:pPr>
        <w:pStyle w:val="27"/>
        <w:snapToGrid w:val="0"/>
        <w:spacing w:before="120" w:after="120"/>
        <w:ind w:firstLine="480" w:firstLineChars="200"/>
        <w:rPr>
          <w:rFonts w:hAnsi="宋体"/>
        </w:rPr>
      </w:pPr>
      <w:r>
        <w:rPr>
          <w:rFonts w:hAnsi="宋体"/>
        </w:rPr>
        <w:t>2.</w:t>
      </w:r>
      <w:r>
        <w:rPr>
          <w:rFonts w:hint="eastAsia" w:hAnsi="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7"/>
        <w:snapToGrid w:val="0"/>
        <w:spacing w:before="120" w:after="120"/>
        <w:ind w:firstLine="482" w:firstLineChars="200"/>
        <w:rPr>
          <w:rFonts w:hAnsi="宋体"/>
          <w:b/>
          <w:bCs/>
        </w:rPr>
      </w:pPr>
      <w:r>
        <w:rPr>
          <w:rFonts w:hint="eastAsia" w:hAnsi="宋体"/>
          <w:b/>
          <w:bCs/>
        </w:rPr>
        <w:t>四、知识产权</w:t>
      </w:r>
    </w:p>
    <w:p>
      <w:pPr>
        <w:pStyle w:val="27"/>
        <w:snapToGrid w:val="0"/>
        <w:spacing w:before="120" w:after="120"/>
        <w:ind w:firstLine="480" w:firstLineChars="200"/>
        <w:rPr>
          <w:rFonts w:hAnsi="宋体"/>
          <w:b/>
          <w:bCs/>
        </w:rPr>
      </w:pPr>
      <w:r>
        <w:rPr>
          <w:rFonts w:hint="eastAsia" w:hAnsi="宋体"/>
        </w:rPr>
        <w:t>乙方应保证提供服务过程中不会侵犯任何第三方的</w:t>
      </w:r>
      <w:r>
        <w:rPr>
          <w:rFonts w:hint="eastAsia" w:hAnsi="宋体"/>
          <w:b/>
          <w:bCs/>
        </w:rPr>
        <w:t>知识产权。</w:t>
      </w:r>
    </w:p>
    <w:p>
      <w:pPr>
        <w:pStyle w:val="27"/>
        <w:snapToGrid w:val="0"/>
        <w:spacing w:before="120" w:after="120"/>
        <w:ind w:firstLine="482" w:firstLineChars="200"/>
        <w:rPr>
          <w:rFonts w:hAnsi="宋体"/>
          <w:b/>
          <w:bCs/>
        </w:rPr>
      </w:pPr>
      <w:r>
        <w:rPr>
          <w:rFonts w:hint="eastAsia" w:hAnsi="宋体"/>
          <w:b/>
          <w:bCs/>
        </w:rPr>
        <w:t>五、转包或分包</w:t>
      </w:r>
    </w:p>
    <w:p>
      <w:pPr>
        <w:snapToGrid w:val="0"/>
        <w:spacing w:line="400" w:lineRule="exact"/>
        <w:ind w:firstLine="480" w:firstLineChars="200"/>
        <w:rPr>
          <w:rFonts w:ascii="宋体"/>
          <w:sz w:val="24"/>
        </w:rPr>
      </w:pPr>
      <w:r>
        <w:rPr>
          <w:rFonts w:ascii="宋体" w:hAnsi="宋体"/>
          <w:sz w:val="24"/>
        </w:rPr>
        <w:t>1.</w:t>
      </w:r>
      <w:r>
        <w:rPr>
          <w:rFonts w:hint="eastAsia" w:ascii="宋体" w:hAnsi="宋体"/>
          <w:sz w:val="24"/>
        </w:rPr>
        <w:t>本合同范围的服务，应由乙方直接供应，不得转让他人供应；</w:t>
      </w:r>
    </w:p>
    <w:p>
      <w:pPr>
        <w:snapToGrid w:val="0"/>
        <w:spacing w:line="400" w:lineRule="exact"/>
        <w:ind w:firstLine="480" w:firstLineChars="200"/>
        <w:rPr>
          <w:rFonts w:ascii="宋体"/>
          <w:sz w:val="24"/>
        </w:rPr>
      </w:pPr>
      <w:r>
        <w:rPr>
          <w:rFonts w:ascii="宋体" w:hAnsi="宋体"/>
          <w:sz w:val="24"/>
        </w:rPr>
        <w:t>2.</w:t>
      </w:r>
      <w:r>
        <w:rPr>
          <w:rFonts w:hint="eastAsia" w:ascii="宋体" w:hAnsi="宋体"/>
          <w:sz w:val="24"/>
        </w:rPr>
        <w:t>如有转让和未经甲方同意的分包行为，甲方有权解除合同，没收履约保证金并追究乙方的违约责任。</w:t>
      </w:r>
    </w:p>
    <w:p>
      <w:pPr>
        <w:pStyle w:val="27"/>
        <w:snapToGrid w:val="0"/>
        <w:spacing w:before="120" w:after="120"/>
        <w:ind w:firstLine="482" w:firstLineChars="200"/>
        <w:rPr>
          <w:rFonts w:hAnsi="宋体"/>
        </w:rPr>
      </w:pPr>
      <w:r>
        <w:rPr>
          <w:rFonts w:hint="eastAsia" w:hAnsi="宋体"/>
          <w:b/>
          <w:bCs/>
        </w:rPr>
        <w:t>六、服务质量保证期</w:t>
      </w:r>
    </w:p>
    <w:p>
      <w:pPr>
        <w:pStyle w:val="27"/>
        <w:snapToGrid w:val="0"/>
        <w:spacing w:before="120" w:after="120"/>
        <w:ind w:firstLine="480" w:firstLineChars="200"/>
        <w:rPr>
          <w:rFonts w:hAnsi="宋体"/>
        </w:rPr>
      </w:pPr>
      <w:r>
        <w:rPr>
          <w:rFonts w:hAnsi="宋体"/>
        </w:rPr>
        <w:t xml:space="preserve">1. </w:t>
      </w:r>
      <w:r>
        <w:rPr>
          <w:rFonts w:hint="eastAsia" w:hAnsi="宋体"/>
        </w:rPr>
        <w:t>服务质量保证期</w:t>
      </w:r>
      <w:r>
        <w:rPr>
          <w:rFonts w:hAnsi="宋体"/>
          <w:u w:val="single"/>
        </w:rPr>
        <w:t xml:space="preserve">      </w:t>
      </w:r>
      <w:r>
        <w:rPr>
          <w:rFonts w:hint="eastAsia" w:hAnsi="宋体"/>
        </w:rPr>
        <w:t>年。（自验收合格之日起计）</w:t>
      </w:r>
    </w:p>
    <w:p>
      <w:pPr>
        <w:pStyle w:val="27"/>
        <w:snapToGrid w:val="0"/>
        <w:spacing w:before="120" w:after="120"/>
        <w:ind w:firstLine="482" w:firstLineChars="200"/>
        <w:rPr>
          <w:rFonts w:hAnsi="宋体"/>
          <w:b/>
          <w:bCs/>
        </w:rPr>
      </w:pPr>
      <w:r>
        <w:rPr>
          <w:rFonts w:hint="eastAsia" w:hAnsi="宋体"/>
          <w:b/>
          <w:bCs/>
        </w:rPr>
        <w:t>八、合同履行时间、履行方式及履行地点</w:t>
      </w:r>
    </w:p>
    <w:p>
      <w:pPr>
        <w:pStyle w:val="27"/>
        <w:snapToGrid w:val="0"/>
        <w:spacing w:before="120" w:after="120"/>
        <w:ind w:firstLine="480" w:firstLineChars="200"/>
        <w:rPr>
          <w:rFonts w:hAnsi="宋体"/>
        </w:rPr>
      </w:pPr>
      <w:r>
        <w:rPr>
          <w:rFonts w:hAnsi="宋体"/>
        </w:rPr>
        <w:t xml:space="preserve">1. </w:t>
      </w:r>
      <w:r>
        <w:rPr>
          <w:rFonts w:hint="eastAsia" w:hAnsi="宋体"/>
        </w:rPr>
        <w:t>履行时间：</w:t>
      </w:r>
    </w:p>
    <w:p>
      <w:pPr>
        <w:pStyle w:val="27"/>
        <w:snapToGrid w:val="0"/>
        <w:spacing w:before="120" w:after="120"/>
        <w:ind w:firstLine="480" w:firstLineChars="200"/>
        <w:rPr>
          <w:rFonts w:hAnsi="宋体"/>
        </w:rPr>
      </w:pPr>
      <w:r>
        <w:rPr>
          <w:rFonts w:hAnsi="宋体"/>
        </w:rPr>
        <w:t xml:space="preserve">2. </w:t>
      </w:r>
      <w:r>
        <w:rPr>
          <w:rFonts w:hint="eastAsia" w:hAnsi="宋体"/>
        </w:rPr>
        <w:t>履行方式：</w:t>
      </w:r>
    </w:p>
    <w:p>
      <w:pPr>
        <w:pStyle w:val="27"/>
        <w:snapToGrid w:val="0"/>
        <w:spacing w:before="120" w:after="120"/>
        <w:ind w:firstLine="480" w:firstLineChars="200"/>
        <w:rPr>
          <w:rFonts w:hAnsi="宋体"/>
        </w:rPr>
      </w:pPr>
      <w:r>
        <w:rPr>
          <w:rFonts w:hAnsi="宋体"/>
        </w:rPr>
        <w:t xml:space="preserve">3. </w:t>
      </w:r>
      <w:r>
        <w:rPr>
          <w:rFonts w:hint="eastAsia" w:hAnsi="宋体"/>
        </w:rPr>
        <w:t>履行地点：</w:t>
      </w:r>
    </w:p>
    <w:p>
      <w:pPr>
        <w:pStyle w:val="27"/>
        <w:snapToGrid w:val="0"/>
        <w:spacing w:before="120" w:after="120"/>
        <w:ind w:firstLine="482" w:firstLineChars="200"/>
        <w:rPr>
          <w:rFonts w:hAnsi="宋体"/>
          <w:b/>
          <w:bCs/>
        </w:rPr>
      </w:pPr>
      <w:r>
        <w:rPr>
          <w:rFonts w:hint="eastAsia" w:hAnsi="宋体"/>
          <w:b/>
          <w:bCs/>
        </w:rPr>
        <w:t>九、款项支付：</w:t>
      </w:r>
    </w:p>
    <w:p>
      <w:pPr>
        <w:spacing w:line="360" w:lineRule="auto"/>
        <w:ind w:firstLine="399" w:firstLineChars="190"/>
        <w:rPr>
          <w:rFonts w:hAnsi="宋体"/>
        </w:rPr>
      </w:pPr>
      <w:r>
        <w:rPr>
          <w:rFonts w:hAnsi="宋体"/>
        </w:rPr>
        <w:t xml:space="preserve">  </w:t>
      </w:r>
    </w:p>
    <w:p>
      <w:pPr>
        <w:snapToGrid w:val="0"/>
        <w:spacing w:line="400" w:lineRule="exact"/>
        <w:ind w:firstLine="482" w:firstLineChars="200"/>
        <w:rPr>
          <w:rFonts w:ascii="宋体"/>
          <w:b/>
          <w:bCs/>
          <w:sz w:val="24"/>
        </w:rPr>
      </w:pPr>
      <w:r>
        <w:rPr>
          <w:rFonts w:hint="eastAsia" w:ascii="宋体" w:hAnsi="宋体"/>
          <w:b/>
          <w:bCs/>
          <w:sz w:val="24"/>
        </w:rPr>
        <w:t>十、税费</w:t>
      </w:r>
    </w:p>
    <w:p>
      <w:pPr>
        <w:snapToGrid w:val="0"/>
        <w:spacing w:line="400" w:lineRule="exact"/>
        <w:ind w:firstLine="480" w:firstLineChars="200"/>
        <w:rPr>
          <w:rFonts w:ascii="宋体"/>
          <w:sz w:val="24"/>
        </w:rPr>
      </w:pPr>
      <w:r>
        <w:rPr>
          <w:rFonts w:hint="eastAsia" w:ascii="宋体" w:hAnsi="宋体"/>
          <w:sz w:val="24"/>
        </w:rPr>
        <w:t>本合同执行中相关的一切税费均由乙方负担。</w:t>
      </w:r>
    </w:p>
    <w:p>
      <w:pPr>
        <w:pStyle w:val="27"/>
        <w:snapToGrid w:val="0"/>
        <w:spacing w:before="120" w:after="120"/>
        <w:ind w:firstLine="482" w:firstLineChars="200"/>
        <w:rPr>
          <w:rFonts w:hAnsi="宋体"/>
        </w:rPr>
      </w:pPr>
      <w:r>
        <w:rPr>
          <w:rFonts w:hint="eastAsia" w:hAnsi="宋体"/>
          <w:b/>
          <w:bCs/>
        </w:rPr>
        <w:t>十一、质量保证及后续服务</w:t>
      </w:r>
    </w:p>
    <w:p>
      <w:pPr>
        <w:pStyle w:val="27"/>
        <w:snapToGrid w:val="0"/>
        <w:spacing w:before="120" w:after="120"/>
        <w:ind w:firstLine="480" w:firstLineChars="200"/>
        <w:rPr>
          <w:rFonts w:hAnsi="宋体"/>
        </w:rPr>
      </w:pPr>
      <w:r>
        <w:rPr>
          <w:rFonts w:hAnsi="宋体"/>
        </w:rPr>
        <w:t>1</w:t>
      </w:r>
      <w:r>
        <w:rPr>
          <w:rFonts w:hint="eastAsia" w:hAnsi="宋体"/>
        </w:rPr>
        <w:t>．乙方应按招标文件规定向甲方提供服务。</w:t>
      </w:r>
    </w:p>
    <w:p>
      <w:pPr>
        <w:pStyle w:val="27"/>
        <w:snapToGrid w:val="0"/>
        <w:spacing w:before="120" w:after="120"/>
        <w:ind w:firstLine="480" w:firstLineChars="200"/>
        <w:rPr>
          <w:rFonts w:hAnsi="宋体"/>
        </w:rPr>
      </w:pPr>
      <w:r>
        <w:rPr>
          <w:rFonts w:hAnsi="宋体"/>
        </w:rPr>
        <w:t>2</w:t>
      </w:r>
      <w:r>
        <w:rPr>
          <w:rFonts w:hint="eastAsia" w:hAnsi="宋体"/>
        </w:rPr>
        <w:t>．乙方提供的服务成果在服务质量保证期内发生故障，乙方应负责免费提供后续服务。对达不到要求者，根据实际情况，经双方协商，可按以下办法处理：</w:t>
      </w:r>
    </w:p>
    <w:p>
      <w:pPr>
        <w:pStyle w:val="27"/>
        <w:snapToGrid w:val="0"/>
        <w:spacing w:before="120" w:after="120"/>
        <w:ind w:firstLine="480" w:firstLineChars="200"/>
        <w:rPr>
          <w:rFonts w:hAnsi="宋体"/>
        </w:rPr>
      </w:pPr>
      <w:r>
        <w:rPr>
          <w:rFonts w:hint="eastAsia" w:hAnsi="宋体"/>
        </w:rPr>
        <w:t>⑴重做：由乙方承担所发生的全部费用。</w:t>
      </w:r>
    </w:p>
    <w:p>
      <w:pPr>
        <w:pStyle w:val="27"/>
        <w:snapToGrid w:val="0"/>
        <w:spacing w:before="120" w:after="120"/>
        <w:ind w:firstLine="480" w:firstLineChars="200"/>
        <w:rPr>
          <w:rFonts w:hAnsi="宋体"/>
        </w:rPr>
      </w:pPr>
      <w:r>
        <w:rPr>
          <w:rFonts w:hint="eastAsia" w:hAnsi="宋体"/>
        </w:rPr>
        <w:t>⑵贬值处理：由甲乙双方合议定价。</w:t>
      </w:r>
    </w:p>
    <w:p>
      <w:pPr>
        <w:pStyle w:val="27"/>
        <w:snapToGrid w:val="0"/>
        <w:spacing w:before="120" w:after="120"/>
        <w:ind w:firstLine="480" w:firstLineChars="200"/>
        <w:rPr>
          <w:rFonts w:hAnsi="宋体"/>
        </w:rPr>
      </w:pPr>
      <w:r>
        <w:rPr>
          <w:rFonts w:hint="eastAsia" w:hAnsi="宋体"/>
        </w:rPr>
        <w:t>⑶解除合同。</w:t>
      </w:r>
    </w:p>
    <w:p>
      <w:pPr>
        <w:pStyle w:val="27"/>
        <w:snapToGrid w:val="0"/>
        <w:spacing w:before="120" w:after="120"/>
        <w:ind w:firstLine="480" w:firstLineChars="200"/>
        <w:rPr>
          <w:rFonts w:hAnsi="宋体"/>
        </w:rPr>
      </w:pPr>
      <w:r>
        <w:rPr>
          <w:rFonts w:hAnsi="宋体"/>
        </w:rPr>
        <w:t>3</w:t>
      </w:r>
      <w:r>
        <w:rPr>
          <w:rFonts w:hint="eastAsia" w:hAnsi="宋体"/>
        </w:rPr>
        <w:t>．如在使用过程中发生问题，乙方在接到甲方通知后在</w:t>
      </w:r>
      <w:r>
        <w:rPr>
          <w:rFonts w:hAnsi="宋体"/>
        </w:rPr>
        <w:t>2</w:t>
      </w:r>
      <w:r>
        <w:rPr>
          <w:rFonts w:hint="eastAsia" w:hAnsi="宋体"/>
        </w:rPr>
        <w:t>小时内到达甲方现场。</w:t>
      </w:r>
    </w:p>
    <w:p>
      <w:pPr>
        <w:pStyle w:val="27"/>
        <w:snapToGrid w:val="0"/>
        <w:spacing w:before="120" w:after="120"/>
        <w:ind w:firstLine="480" w:firstLineChars="200"/>
        <w:rPr>
          <w:rFonts w:hAnsi="宋体"/>
        </w:rPr>
      </w:pPr>
      <w:r>
        <w:rPr>
          <w:rFonts w:hAnsi="宋体"/>
        </w:rPr>
        <w:t>4.</w:t>
      </w:r>
      <w:r>
        <w:rPr>
          <w:rFonts w:hint="eastAsia" w:hAnsi="宋体"/>
        </w:rPr>
        <w:t>在</w:t>
      </w:r>
      <w:r>
        <w:rPr>
          <w:rFonts w:hint="eastAsia" w:hAnsi="宋体"/>
          <w:b/>
          <w:bCs/>
        </w:rPr>
        <w:t>服务质量保证期</w:t>
      </w:r>
      <w:r>
        <w:rPr>
          <w:rFonts w:hint="eastAsia" w:hAnsi="宋体"/>
        </w:rPr>
        <w:t>内，乙方应对出现的质量及安全问题负责处理解决并承担一切费用。</w:t>
      </w:r>
    </w:p>
    <w:p>
      <w:pPr>
        <w:pStyle w:val="27"/>
        <w:snapToGrid w:val="0"/>
        <w:spacing w:before="120" w:after="120"/>
        <w:ind w:firstLine="482" w:firstLineChars="200"/>
        <w:rPr>
          <w:rFonts w:hAnsi="宋体"/>
          <w:b/>
          <w:bCs/>
        </w:rPr>
      </w:pPr>
      <w:r>
        <w:rPr>
          <w:rFonts w:hint="eastAsia" w:hAnsi="宋体"/>
          <w:b/>
          <w:bCs/>
        </w:rPr>
        <w:t>十二、违约责任</w:t>
      </w:r>
    </w:p>
    <w:p>
      <w:pPr>
        <w:pStyle w:val="27"/>
        <w:snapToGrid w:val="0"/>
        <w:spacing w:before="120" w:after="120"/>
        <w:ind w:firstLine="480" w:firstLineChars="200"/>
        <w:rPr>
          <w:rFonts w:hAnsi="宋体"/>
        </w:rPr>
      </w:pPr>
      <w:r>
        <w:rPr>
          <w:rFonts w:hAnsi="宋体"/>
        </w:rPr>
        <w:t>1</w:t>
      </w:r>
      <w:r>
        <w:rPr>
          <w:rFonts w:hint="eastAsia" w:hAnsi="宋体"/>
        </w:rPr>
        <w:t>．甲方无正当理由拒收接受服务的，甲方向乙方偿付合同款项百分之五作为违约金。</w:t>
      </w:r>
    </w:p>
    <w:p>
      <w:pPr>
        <w:pStyle w:val="27"/>
        <w:snapToGrid w:val="0"/>
        <w:spacing w:before="120" w:after="120"/>
        <w:ind w:firstLine="480" w:firstLineChars="200"/>
        <w:rPr>
          <w:rFonts w:hAnsi="宋体"/>
        </w:rPr>
      </w:pPr>
      <w:r>
        <w:rPr>
          <w:rFonts w:hAnsi="宋体"/>
        </w:rPr>
        <w:t>2</w:t>
      </w:r>
      <w:r>
        <w:rPr>
          <w:rFonts w:hint="eastAsia" w:hAnsi="宋体"/>
        </w:rPr>
        <w:t>．甲方无故逾期验收和办理款项支付手续的</w:t>
      </w:r>
      <w:r>
        <w:rPr>
          <w:rFonts w:hAnsi="宋体"/>
        </w:rPr>
        <w:t>,</w:t>
      </w:r>
      <w:r>
        <w:rPr>
          <w:rFonts w:hint="eastAsia" w:hAnsi="宋体"/>
        </w:rPr>
        <w:t>甲方应按逾期付款总额每日万分之</w:t>
      </w:r>
    </w:p>
    <w:p>
      <w:pPr>
        <w:pStyle w:val="27"/>
        <w:snapToGrid w:val="0"/>
        <w:spacing w:before="120" w:after="120"/>
        <w:ind w:firstLine="480" w:firstLineChars="200"/>
        <w:rPr>
          <w:rFonts w:hAnsi="宋体"/>
        </w:rPr>
      </w:pPr>
      <w:r>
        <w:rPr>
          <w:rFonts w:hint="eastAsia" w:hAnsi="宋体"/>
        </w:rPr>
        <w:t>五向乙方支付违约金。</w:t>
      </w:r>
    </w:p>
    <w:p>
      <w:pPr>
        <w:pStyle w:val="27"/>
        <w:snapToGrid w:val="0"/>
        <w:spacing w:before="120" w:after="120"/>
        <w:ind w:firstLine="480" w:firstLineChars="200"/>
        <w:rPr>
          <w:rFonts w:hAnsi="宋体"/>
        </w:rPr>
      </w:pPr>
      <w:r>
        <w:rPr>
          <w:rFonts w:hAnsi="宋体"/>
        </w:rPr>
        <w:t>3</w:t>
      </w:r>
      <w:r>
        <w:rPr>
          <w:rFonts w:hint="eastAsia" w:hAnsi="宋体"/>
        </w:rPr>
        <w:t>．乙方未能如期提供服务的，每日向甲方支付合同款项的千分之六作为违约金。乙方超过约定日期</w:t>
      </w:r>
      <w:r>
        <w:rPr>
          <w:rFonts w:hAnsi="宋体"/>
        </w:rPr>
        <w:t>10</w:t>
      </w:r>
      <w:r>
        <w:rPr>
          <w:rFonts w:hint="eastAsia" w:hAnsi="宋体"/>
        </w:rPr>
        <w:t>个工作日仍不能提供服务的，甲方可解除本合同。乙方因未能如期提供服务或因其他违约行为导致甲方解除合同的，乙方应向甲方支付合同总值</w:t>
      </w:r>
      <w:r>
        <w:rPr>
          <w:rFonts w:hAnsi="宋体"/>
        </w:rPr>
        <w:t>5%</w:t>
      </w:r>
      <w:r>
        <w:rPr>
          <w:rFonts w:hint="eastAsia" w:hAnsi="宋体"/>
        </w:rPr>
        <w:t>的违约金，如造成甲方损失超过违约金的，超出部分由乙方继续承担赔偿责任。</w:t>
      </w:r>
      <w:r>
        <w:rPr>
          <w:rFonts w:hAnsi="宋体"/>
        </w:rPr>
        <w:t xml:space="preserve"> </w:t>
      </w:r>
    </w:p>
    <w:p>
      <w:pPr>
        <w:pStyle w:val="27"/>
        <w:snapToGrid w:val="0"/>
        <w:spacing w:before="120" w:after="120"/>
        <w:ind w:firstLine="482" w:firstLineChars="200"/>
        <w:rPr>
          <w:rFonts w:hAnsi="宋体"/>
          <w:b/>
          <w:bCs/>
        </w:rPr>
      </w:pPr>
      <w:r>
        <w:rPr>
          <w:rFonts w:hint="eastAsia" w:hAnsi="宋体"/>
          <w:b/>
          <w:bCs/>
        </w:rPr>
        <w:t>十三、不可抗力事件处理</w:t>
      </w:r>
    </w:p>
    <w:p>
      <w:pPr>
        <w:pStyle w:val="27"/>
        <w:snapToGrid w:val="0"/>
        <w:spacing w:before="120" w:after="120"/>
        <w:ind w:firstLine="480" w:firstLineChars="200"/>
        <w:rPr>
          <w:rFonts w:hAnsi="宋体"/>
        </w:rPr>
      </w:pPr>
      <w:r>
        <w:rPr>
          <w:rFonts w:hAnsi="宋体"/>
        </w:rPr>
        <w:t>1</w:t>
      </w:r>
      <w:r>
        <w:rPr>
          <w:rFonts w:hint="eastAsia" w:hAnsi="宋体"/>
        </w:rPr>
        <w:t>．在合同有效期内，任何一方因不可抗力事件导致不能履行合同，则合同履行期可延长，其延长期与不可抗力影响期相同。</w:t>
      </w:r>
    </w:p>
    <w:p>
      <w:pPr>
        <w:pStyle w:val="27"/>
        <w:snapToGrid w:val="0"/>
        <w:spacing w:before="120" w:after="120"/>
        <w:ind w:firstLine="480" w:firstLineChars="200"/>
        <w:rPr>
          <w:rFonts w:hAnsi="宋体"/>
        </w:rPr>
      </w:pPr>
      <w:r>
        <w:rPr>
          <w:rFonts w:hAnsi="宋体"/>
        </w:rPr>
        <w:t>2</w:t>
      </w:r>
      <w:r>
        <w:rPr>
          <w:rFonts w:hint="eastAsia" w:hAnsi="宋体"/>
        </w:rPr>
        <w:t>．不可抗力事件发生后，应立即通知对方，并寄送有关权威机构出具的证明。</w:t>
      </w:r>
    </w:p>
    <w:p>
      <w:pPr>
        <w:pStyle w:val="27"/>
        <w:snapToGrid w:val="0"/>
        <w:spacing w:before="120" w:after="120"/>
        <w:ind w:firstLine="480" w:firstLineChars="200"/>
        <w:rPr>
          <w:rFonts w:hAnsi="宋体"/>
        </w:rPr>
      </w:pPr>
      <w:r>
        <w:rPr>
          <w:rFonts w:hAnsi="宋体"/>
        </w:rPr>
        <w:t>3</w:t>
      </w:r>
      <w:r>
        <w:rPr>
          <w:rFonts w:hint="eastAsia" w:hAnsi="宋体"/>
        </w:rPr>
        <w:t>．不可抗力事件延续</w:t>
      </w:r>
      <w:r>
        <w:rPr>
          <w:rFonts w:hAnsi="宋体"/>
        </w:rPr>
        <w:t>120</w:t>
      </w:r>
      <w:r>
        <w:rPr>
          <w:rFonts w:hint="eastAsia" w:hAnsi="宋体"/>
        </w:rPr>
        <w:t>天以上，双方应通过友好协商，确定是否继续履行合</w:t>
      </w:r>
    </w:p>
    <w:p>
      <w:pPr>
        <w:pStyle w:val="27"/>
        <w:snapToGrid w:val="0"/>
        <w:spacing w:before="120" w:after="120"/>
        <w:ind w:firstLine="480" w:firstLineChars="200"/>
        <w:rPr>
          <w:rFonts w:hAnsi="宋体"/>
        </w:rPr>
      </w:pPr>
      <w:r>
        <w:rPr>
          <w:rFonts w:hint="eastAsia" w:hAnsi="宋体"/>
        </w:rPr>
        <w:t>同。</w:t>
      </w:r>
    </w:p>
    <w:p>
      <w:pPr>
        <w:pStyle w:val="27"/>
        <w:snapToGrid w:val="0"/>
        <w:spacing w:before="120" w:after="120"/>
        <w:ind w:firstLine="482" w:firstLineChars="200"/>
        <w:rPr>
          <w:rFonts w:hAnsi="宋体"/>
          <w:b/>
          <w:bCs/>
        </w:rPr>
      </w:pPr>
      <w:r>
        <w:rPr>
          <w:rFonts w:hint="eastAsia" w:hAnsi="宋体"/>
          <w:b/>
          <w:bCs/>
        </w:rPr>
        <w:t>十四、诉讼</w:t>
      </w:r>
    </w:p>
    <w:p>
      <w:pPr>
        <w:pStyle w:val="27"/>
        <w:snapToGrid w:val="0"/>
        <w:spacing w:before="120" w:after="120"/>
        <w:ind w:firstLine="480" w:firstLineChars="200"/>
        <w:rPr>
          <w:rFonts w:hAnsi="宋体"/>
        </w:rPr>
      </w:pPr>
      <w:r>
        <w:rPr>
          <w:rFonts w:hAnsi="宋体"/>
        </w:rPr>
        <w:t xml:space="preserve"> </w:t>
      </w:r>
      <w:r>
        <w:rPr>
          <w:rFonts w:hint="eastAsia" w:hAnsi="宋体"/>
        </w:rPr>
        <w:t>双方在执行合同中所发生的一切争议，应通过协商解决。如协商不成，可向甲方所在地法院起诉。</w:t>
      </w:r>
    </w:p>
    <w:p>
      <w:pPr>
        <w:pStyle w:val="27"/>
        <w:snapToGrid w:val="0"/>
        <w:spacing w:before="120" w:after="120" w:line="240" w:lineRule="auto"/>
        <w:rPr>
          <w:rFonts w:hAnsi="宋体"/>
          <w:b/>
        </w:rPr>
      </w:pPr>
      <w:r>
        <w:rPr>
          <w:rFonts w:hint="eastAsia" w:hAnsi="宋体"/>
          <w:b/>
        </w:rPr>
        <w:t>十五、合同生效及其它</w:t>
      </w:r>
    </w:p>
    <w:p>
      <w:pPr>
        <w:pStyle w:val="27"/>
        <w:snapToGrid w:val="0"/>
        <w:spacing w:before="120" w:after="120" w:line="360" w:lineRule="auto"/>
        <w:ind w:firstLine="480" w:firstLineChars="200"/>
        <w:rPr>
          <w:rFonts w:hAnsi="宋体"/>
        </w:rPr>
      </w:pPr>
      <w:r>
        <w:rPr>
          <w:rFonts w:hAnsi="宋体"/>
        </w:rPr>
        <w:t>1.</w:t>
      </w:r>
      <w:r>
        <w:rPr>
          <w:rFonts w:hint="eastAsia" w:hAnsi="宋体"/>
        </w:rPr>
        <w:t>合同经双方法定代表人或授权代表签字并加盖单位公章后，报金华市公共资源交易中心东阳分中心鉴证、东阳市财政局采购办备案后生效。</w:t>
      </w:r>
    </w:p>
    <w:p>
      <w:pPr>
        <w:pStyle w:val="27"/>
        <w:snapToGrid w:val="0"/>
        <w:spacing w:before="120" w:after="120" w:line="360" w:lineRule="auto"/>
        <w:ind w:firstLine="480" w:firstLineChars="200"/>
        <w:rPr>
          <w:rFonts w:hAnsi="宋体"/>
        </w:rPr>
      </w:pPr>
      <w:r>
        <w:rPr>
          <w:rFonts w:hAnsi="宋体"/>
        </w:rPr>
        <w:t>2.</w:t>
      </w:r>
      <w:r>
        <w:rPr>
          <w:rFonts w:hint="eastAsia" w:hAnsi="宋体"/>
        </w:rPr>
        <w:t>合同执行中涉及采购资金和采购内容修改或补充的，须经财政部门审批，并签书面补充协议报政府采购监督管理部门备案，方可作为主合同不可分割的一部分。</w:t>
      </w:r>
    </w:p>
    <w:p>
      <w:pPr>
        <w:pStyle w:val="27"/>
        <w:snapToGrid w:val="0"/>
        <w:spacing w:before="120" w:after="120" w:line="360" w:lineRule="auto"/>
        <w:ind w:firstLine="480" w:firstLineChars="200"/>
        <w:rPr>
          <w:rFonts w:hAnsi="宋体"/>
        </w:rPr>
      </w:pPr>
      <w:r>
        <w:rPr>
          <w:rFonts w:hAnsi="宋体"/>
        </w:rPr>
        <w:t>3.</w:t>
      </w:r>
      <w:r>
        <w:rPr>
          <w:rFonts w:hint="eastAsia" w:hAnsi="宋体"/>
        </w:rPr>
        <w:t>本合同未尽事宜，遵照《民法典》有关条文执行。</w:t>
      </w:r>
    </w:p>
    <w:p>
      <w:pPr>
        <w:pStyle w:val="27"/>
        <w:snapToGrid w:val="0"/>
        <w:spacing w:before="120" w:after="120" w:line="360" w:lineRule="auto"/>
        <w:ind w:firstLine="480" w:firstLineChars="200"/>
        <w:rPr>
          <w:rFonts w:hAnsi="宋体"/>
        </w:rPr>
      </w:pPr>
      <w:r>
        <w:rPr>
          <w:rFonts w:hAnsi="宋体"/>
        </w:rPr>
        <w:t>4.</w:t>
      </w:r>
      <w:r>
        <w:rPr>
          <w:rFonts w:hint="eastAsia" w:hAnsi="宋体"/>
        </w:rPr>
        <w:t>本合同正本一式五份，甲方两份，金华市公共资源交易中心东阳分中心、乙方、东阳市财政局采购办各执一份，具有同等法律效力。</w:t>
      </w:r>
    </w:p>
    <w:p>
      <w:pPr>
        <w:pStyle w:val="27"/>
        <w:snapToGrid w:val="0"/>
        <w:spacing w:before="120" w:after="120" w:line="360" w:lineRule="auto"/>
        <w:ind w:firstLine="480" w:firstLineChars="200"/>
      </w:pPr>
      <w:r>
        <w:t>5</w:t>
      </w:r>
      <w:r>
        <w:rPr>
          <w:rFonts w:hint="eastAsia"/>
        </w:rPr>
        <w:t>、声明：本合同样本仅供参考，甲乙双方可就招标文件的非实质性条款进行修改，但不能修改项目的工期、单价、付款方式、品牌型号、质保期等实质性条款，甲乙双方对合同的真实性负责，鉴证方只负责鉴证项目招标的真实性。</w:t>
      </w:r>
    </w:p>
    <w:p>
      <w:pPr>
        <w:snapToGrid w:val="0"/>
        <w:spacing w:line="360" w:lineRule="auto"/>
        <w:rPr>
          <w:rFonts w:ascii="宋体"/>
          <w:sz w:val="24"/>
        </w:rPr>
      </w:pPr>
      <w:r>
        <w:rPr>
          <w:rFonts w:hint="eastAsia" w:ascii="宋体" w:hAnsi="宋体"/>
          <w:b/>
          <w:sz w:val="24"/>
        </w:rPr>
        <w:t>甲方（公章）：</w:t>
      </w:r>
      <w:r>
        <w:rPr>
          <w:rFonts w:ascii="宋体" w:hAnsi="宋体"/>
          <w:b/>
          <w:sz w:val="24"/>
        </w:rPr>
        <w:t xml:space="preserve">        </w:t>
      </w:r>
      <w:r>
        <w:rPr>
          <w:rFonts w:hint="eastAsia" w:ascii="宋体" w:hAnsi="宋体"/>
          <w:b/>
          <w:sz w:val="24"/>
        </w:rPr>
        <w:t>乙方（公章）：</w:t>
      </w:r>
    </w:p>
    <w:p>
      <w:pPr>
        <w:snapToGrid w:val="0"/>
        <w:spacing w:line="360" w:lineRule="auto"/>
        <w:rPr>
          <w:rFonts w:ascii="宋体"/>
          <w:sz w:val="24"/>
        </w:rPr>
      </w:pPr>
      <w:r>
        <w:rPr>
          <w:rFonts w:hint="eastAsia" w:ascii="宋体" w:hAnsi="宋体"/>
          <w:sz w:val="24"/>
        </w:rPr>
        <w:t>法定代表人或受委托人</w:t>
      </w:r>
      <w:r>
        <w:rPr>
          <w:rFonts w:ascii="宋体" w:hAnsi="宋体"/>
          <w:sz w:val="24"/>
        </w:rPr>
        <w:t xml:space="preserve">               </w:t>
      </w:r>
      <w:r>
        <w:rPr>
          <w:rFonts w:hint="eastAsia" w:ascii="宋体" w:hAnsi="宋体"/>
          <w:sz w:val="24"/>
        </w:rPr>
        <w:t>法定代表人或受委托人</w:t>
      </w:r>
    </w:p>
    <w:p>
      <w:pPr>
        <w:snapToGrid w:val="0"/>
        <w:spacing w:line="360" w:lineRule="auto"/>
        <w:rPr>
          <w:rFonts w:ascii="宋体"/>
          <w:sz w:val="24"/>
        </w:rPr>
      </w:pPr>
      <w:r>
        <w:rPr>
          <w:rFonts w:hint="eastAsia" w:ascii="宋体" w:hAnsi="宋体"/>
          <w:sz w:val="24"/>
        </w:rPr>
        <w:t>（签字）</w:t>
      </w:r>
      <w:r>
        <w:rPr>
          <w:rFonts w:ascii="宋体" w:hAnsi="宋体"/>
          <w:sz w:val="24"/>
        </w:rPr>
        <w:t xml:space="preserve">                            </w:t>
      </w:r>
      <w:r>
        <w:rPr>
          <w:rFonts w:hint="eastAsia" w:ascii="宋体" w:hAnsi="宋体"/>
          <w:sz w:val="24"/>
        </w:rPr>
        <w:t>（签字）</w:t>
      </w:r>
    </w:p>
    <w:p>
      <w:pPr>
        <w:snapToGrid w:val="0"/>
        <w:spacing w:line="360" w:lineRule="auto"/>
        <w:rPr>
          <w:rFonts w:ascii="宋体"/>
          <w:sz w:val="24"/>
        </w:rPr>
      </w:pPr>
      <w:r>
        <w:rPr>
          <w:rFonts w:hint="eastAsia" w:ascii="宋体" w:hAnsi="宋体"/>
          <w:sz w:val="24"/>
        </w:rPr>
        <w:t>地址：</w:t>
      </w:r>
      <w:r>
        <w:rPr>
          <w:rFonts w:ascii="宋体" w:hAnsi="宋体"/>
          <w:sz w:val="24"/>
        </w:rPr>
        <w:t xml:space="preserve">                             </w:t>
      </w:r>
      <w:r>
        <w:rPr>
          <w:rFonts w:hint="eastAsia" w:ascii="宋体" w:hAnsi="宋体"/>
          <w:sz w:val="24"/>
        </w:rPr>
        <w:t>地址：</w:t>
      </w:r>
    </w:p>
    <w:p>
      <w:pPr>
        <w:snapToGrid w:val="0"/>
        <w:spacing w:line="360" w:lineRule="auto"/>
        <w:rPr>
          <w:rFonts w:ascii="宋体"/>
          <w:sz w:val="24"/>
        </w:rPr>
      </w:pPr>
      <w:r>
        <w:rPr>
          <w:rFonts w:hint="eastAsia" w:ascii="宋体" w:hAnsi="宋体"/>
          <w:sz w:val="24"/>
        </w:rPr>
        <w:t>邮编：</w:t>
      </w:r>
      <w:r>
        <w:rPr>
          <w:rFonts w:ascii="宋体" w:hAnsi="宋体"/>
          <w:sz w:val="24"/>
        </w:rPr>
        <w:t xml:space="preserve">                             </w:t>
      </w:r>
      <w:r>
        <w:rPr>
          <w:rFonts w:hint="eastAsia" w:ascii="宋体" w:hAnsi="宋体"/>
          <w:sz w:val="24"/>
        </w:rPr>
        <w:t>邮编：</w:t>
      </w:r>
    </w:p>
    <w:p>
      <w:pPr>
        <w:snapToGrid w:val="0"/>
        <w:spacing w:line="360" w:lineRule="auto"/>
        <w:rPr>
          <w:rFonts w:ascii="宋体"/>
          <w:sz w:val="24"/>
        </w:rPr>
      </w:pPr>
      <w:r>
        <w:rPr>
          <w:rFonts w:hint="eastAsia" w:ascii="宋体" w:hAnsi="宋体"/>
          <w:sz w:val="24"/>
        </w:rPr>
        <w:t>电话：</w:t>
      </w:r>
      <w:r>
        <w:rPr>
          <w:rFonts w:ascii="宋体" w:hAnsi="宋体"/>
          <w:sz w:val="24"/>
        </w:rPr>
        <w:t xml:space="preserve">                             </w:t>
      </w:r>
      <w:r>
        <w:rPr>
          <w:rFonts w:hint="eastAsia" w:ascii="宋体" w:hAnsi="宋体"/>
          <w:sz w:val="24"/>
        </w:rPr>
        <w:t>电话：</w:t>
      </w:r>
    </w:p>
    <w:p>
      <w:pPr>
        <w:snapToGrid w:val="0"/>
        <w:spacing w:line="360" w:lineRule="auto"/>
        <w:rPr>
          <w:rFonts w:ascii="宋体"/>
          <w:sz w:val="24"/>
        </w:rPr>
      </w:pPr>
      <w:r>
        <w:rPr>
          <w:rFonts w:hint="eastAsia" w:ascii="宋体" w:hAnsi="宋体"/>
          <w:sz w:val="24"/>
        </w:rPr>
        <w:t>传真：</w:t>
      </w:r>
      <w:r>
        <w:rPr>
          <w:rFonts w:ascii="宋体" w:hAnsi="宋体"/>
          <w:sz w:val="24"/>
        </w:rPr>
        <w:t xml:space="preserve">                             </w:t>
      </w:r>
      <w:r>
        <w:rPr>
          <w:rFonts w:hint="eastAsia" w:ascii="宋体" w:hAnsi="宋体"/>
          <w:sz w:val="24"/>
        </w:rPr>
        <w:t>传真：</w:t>
      </w:r>
    </w:p>
    <w:p>
      <w:pPr>
        <w:snapToGrid w:val="0"/>
        <w:spacing w:line="360" w:lineRule="auto"/>
        <w:rPr>
          <w:rFonts w:ascii="宋体"/>
          <w:b/>
          <w:bCs/>
          <w:szCs w:val="21"/>
        </w:rPr>
      </w:pPr>
      <w:r>
        <w:rPr>
          <w:rFonts w:hint="eastAsia" w:ascii="宋体" w:hAnsi="宋体"/>
          <w:sz w:val="24"/>
        </w:rPr>
        <w:t>户名：</w:t>
      </w:r>
      <w:r>
        <w:rPr>
          <w:rFonts w:ascii="宋体" w:hAnsi="宋体"/>
          <w:sz w:val="24"/>
        </w:rPr>
        <w:t xml:space="preserve">                             </w:t>
      </w:r>
      <w:r>
        <w:rPr>
          <w:rFonts w:hint="eastAsia" w:ascii="宋体" w:hAnsi="宋体"/>
          <w:sz w:val="24"/>
        </w:rPr>
        <w:t>户名：</w:t>
      </w:r>
    </w:p>
    <w:p>
      <w:pPr>
        <w:snapToGrid w:val="0"/>
        <w:spacing w:line="360" w:lineRule="auto"/>
        <w:rPr>
          <w:rFonts w:asci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pPr>
        <w:snapToGrid w:val="0"/>
        <w:spacing w:line="360" w:lineRule="auto"/>
        <w:rPr>
          <w:rFonts w:hAnsi="宋体" w:cs="宋体"/>
        </w:rPr>
      </w:pPr>
      <w:r>
        <w:rPr>
          <w:rFonts w:hint="eastAsia" w:ascii="宋体" w:hAnsi="宋体"/>
          <w:sz w:val="24"/>
        </w:rPr>
        <w:t>帐号：</w:t>
      </w:r>
      <w:r>
        <w:rPr>
          <w:rFonts w:ascii="宋体" w:hAnsi="宋体"/>
          <w:sz w:val="24"/>
        </w:rPr>
        <w:t xml:space="preserve">                             </w:t>
      </w:r>
      <w:r>
        <w:rPr>
          <w:rFonts w:hint="eastAsia" w:ascii="宋体" w:hAnsi="宋体"/>
          <w:sz w:val="24"/>
        </w:rPr>
        <w:t>帐号：</w:t>
      </w:r>
    </w:p>
    <w:p>
      <w:pPr>
        <w:snapToGrid w:val="0"/>
        <w:spacing w:line="276" w:lineRule="auto"/>
        <w:rPr>
          <w:rFonts w:ascii="宋体"/>
          <w:sz w:val="24"/>
        </w:rPr>
      </w:pPr>
    </w:p>
    <w:p>
      <w:pPr>
        <w:snapToGrid w:val="0"/>
        <w:spacing w:line="276" w:lineRule="auto"/>
        <w:rPr>
          <w:rFonts w:hint="eastAsia" w:ascii="黑体" w:hAnsi="宋体" w:eastAsia="黑体"/>
          <w:sz w:val="32"/>
          <w:szCs w:val="32"/>
        </w:rPr>
      </w:pPr>
      <w:r>
        <w:rPr>
          <w:rFonts w:ascii="宋体" w:hAnsi="宋体"/>
          <w:sz w:val="24"/>
        </w:rPr>
        <w:t xml:space="preserve">   </w:t>
      </w:r>
      <w:r>
        <w:rPr>
          <w:rFonts w:hint="eastAsia" w:ascii="宋体" w:hAnsi="宋体"/>
          <w:sz w:val="24"/>
        </w:rPr>
        <w:t>签约地点：</w:t>
      </w:r>
      <w:r>
        <w:rPr>
          <w:rFonts w:ascii="宋体" w:hAnsi="宋体"/>
          <w:sz w:val="24"/>
        </w:rPr>
        <w:t xml:space="preserve">                            </w:t>
      </w:r>
      <w:r>
        <w:rPr>
          <w:rFonts w:hint="eastAsia" w:ascii="宋体" w:hAnsi="宋体"/>
          <w:sz w:val="24"/>
        </w:rPr>
        <w:t>签约时间：</w:t>
      </w:r>
    </w:p>
    <w:p>
      <w:pPr>
        <w:snapToGrid w:val="0"/>
        <w:spacing w:line="276" w:lineRule="auto"/>
        <w:rPr>
          <w:rFonts w:hint="eastAsia" w:ascii="宋体" w:hAnsi="宋体" w:cs="宋体"/>
          <w:sz w:val="32"/>
          <w:szCs w:val="32"/>
        </w:rPr>
      </w:pPr>
    </w:p>
    <w:p>
      <w:pPr>
        <w:tabs>
          <w:tab w:val="left" w:pos="1154"/>
        </w:tabs>
        <w:spacing w:line="360" w:lineRule="auto"/>
        <w:jc w:val="center"/>
        <w:rPr>
          <w:rFonts w:hint="eastAsia" w:ascii="宋体" w:hAnsi="宋体" w:cs="宋体"/>
          <w:b/>
          <w:sz w:val="32"/>
          <w:szCs w:val="28"/>
        </w:rPr>
      </w:pPr>
      <w:r>
        <w:rPr>
          <w:rFonts w:hint="eastAsia" w:ascii="宋体" w:hAnsi="宋体" w:cs="宋体"/>
          <w:sz w:val="32"/>
          <w:szCs w:val="32"/>
        </w:rPr>
        <w:br w:type="page"/>
      </w:r>
      <w:r>
        <w:rPr>
          <w:rFonts w:hint="eastAsia" w:ascii="宋体" w:hAnsi="宋体" w:cs="宋体"/>
          <w:b/>
          <w:sz w:val="32"/>
          <w:szCs w:val="28"/>
        </w:rPr>
        <w:t>东阳市政府采购合同（货物样本）</w:t>
      </w:r>
    </w:p>
    <w:p>
      <w:pPr>
        <w:tabs>
          <w:tab w:val="left" w:pos="1154"/>
        </w:tabs>
        <w:spacing w:line="360" w:lineRule="auto"/>
        <w:ind w:firstLine="960" w:firstLineChars="300"/>
        <w:rPr>
          <w:rFonts w:hint="eastAsia"/>
        </w:rPr>
      </w:pPr>
      <w:r>
        <w:rPr>
          <w:rFonts w:hint="eastAsia" w:ascii="黑体" w:hAnsi="宋体" w:eastAsia="黑体"/>
          <w:sz w:val="32"/>
          <w:szCs w:val="32"/>
        </w:rPr>
        <w:t xml:space="preserve">       </w:t>
      </w:r>
    </w:p>
    <w:p>
      <w:pPr>
        <w:pStyle w:val="27"/>
        <w:snapToGrid w:val="0"/>
        <w:spacing w:before="120" w:after="120" w:line="336" w:lineRule="auto"/>
        <w:rPr>
          <w:rFonts w:hint="eastAsia" w:hAnsi="宋体" w:cs="宋体"/>
        </w:rPr>
      </w:pPr>
      <w:r>
        <w:rPr>
          <w:rFonts w:hint="eastAsia" w:hAnsi="宋体" w:cs="宋体"/>
        </w:rPr>
        <w:t>项目名称：                    项目编号：                     合同号：</w:t>
      </w:r>
    </w:p>
    <w:p>
      <w:pPr>
        <w:pStyle w:val="27"/>
        <w:snapToGrid w:val="0"/>
        <w:spacing w:before="120" w:after="120" w:line="336" w:lineRule="auto"/>
        <w:rPr>
          <w:rFonts w:hint="eastAsia" w:hAnsi="宋体" w:cs="宋体"/>
        </w:rPr>
      </w:pPr>
      <w:r>
        <w:rPr>
          <w:rFonts w:hint="eastAsia" w:hAnsi="宋体" w:cs="宋体"/>
        </w:rPr>
        <w:t>甲方（买方）：</w:t>
      </w:r>
    </w:p>
    <w:p>
      <w:pPr>
        <w:pStyle w:val="27"/>
        <w:snapToGrid w:val="0"/>
        <w:spacing w:before="120" w:after="120" w:line="336" w:lineRule="auto"/>
        <w:rPr>
          <w:rFonts w:hint="eastAsia" w:hAnsi="宋体" w:cs="宋体"/>
        </w:rPr>
      </w:pPr>
      <w:r>
        <w:rPr>
          <w:rFonts w:hint="eastAsia" w:hAnsi="宋体" w:cs="宋体"/>
        </w:rPr>
        <w:t>乙方（卖方）：</w:t>
      </w:r>
    </w:p>
    <w:p>
      <w:pPr>
        <w:pStyle w:val="27"/>
        <w:snapToGrid w:val="0"/>
        <w:spacing w:beforeLines="0" w:afterLines="0" w:line="336" w:lineRule="auto"/>
        <w:ind w:firstLine="480" w:firstLineChars="200"/>
        <w:rPr>
          <w:rFonts w:hint="eastAsia" w:hAnsi="宋体" w:cs="宋体"/>
          <w:b/>
        </w:rPr>
      </w:pPr>
      <w:r>
        <w:rPr>
          <w:rFonts w:hint="eastAsia" w:hAnsi="宋体" w:cs="宋体"/>
        </w:rPr>
        <w:t>甲、乙双方根据</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日金华市公共资源交易中心东阳分中心关于</w:t>
      </w:r>
      <w:r>
        <w:rPr>
          <w:rFonts w:hint="eastAsia" w:hAnsi="宋体" w:cs="宋体"/>
          <w:u w:val="single"/>
        </w:rPr>
        <w:t xml:space="preserve">     </w:t>
      </w:r>
      <w:r>
        <w:rPr>
          <w:rFonts w:hint="eastAsia" w:hAnsi="宋体" w:cs="宋体"/>
        </w:rPr>
        <w:t>项目公开招标的结果，签署本合同。</w:t>
      </w:r>
    </w:p>
    <w:p>
      <w:pPr>
        <w:pStyle w:val="27"/>
        <w:snapToGrid w:val="0"/>
        <w:spacing w:beforeLines="0" w:afterLines="0" w:line="336" w:lineRule="auto"/>
        <w:rPr>
          <w:rFonts w:hint="eastAsia" w:hAnsi="宋体" w:cs="宋体"/>
          <w:b/>
        </w:rPr>
      </w:pPr>
      <w:r>
        <w:rPr>
          <w:rFonts w:hint="eastAsia" w:hAnsi="宋体" w:cs="宋体"/>
          <w:b/>
        </w:rPr>
        <w:t>一、货物内容</w:t>
      </w:r>
    </w:p>
    <w:p>
      <w:pPr>
        <w:pStyle w:val="27"/>
        <w:snapToGrid w:val="0"/>
        <w:spacing w:beforeLines="0" w:afterLines="0" w:line="336" w:lineRule="auto"/>
        <w:ind w:firstLine="480" w:firstLineChars="200"/>
        <w:rPr>
          <w:rFonts w:hint="eastAsia" w:hAnsi="宋体" w:cs="宋体"/>
        </w:rPr>
      </w:pPr>
      <w:r>
        <w:rPr>
          <w:rFonts w:hint="eastAsia" w:hAnsi="宋体" w:cs="宋体"/>
        </w:rPr>
        <w:t>1.货物名称：</w:t>
      </w:r>
    </w:p>
    <w:p>
      <w:pPr>
        <w:pStyle w:val="27"/>
        <w:snapToGrid w:val="0"/>
        <w:spacing w:beforeLines="0" w:afterLines="0" w:line="336" w:lineRule="auto"/>
        <w:ind w:firstLine="480" w:firstLineChars="200"/>
        <w:rPr>
          <w:rFonts w:hint="eastAsia" w:hAnsi="宋体" w:cs="宋体"/>
        </w:rPr>
      </w:pPr>
      <w:r>
        <w:rPr>
          <w:rFonts w:hint="eastAsia" w:hAnsi="宋体" w:cs="宋体"/>
        </w:rPr>
        <w:t>2.型号规格：</w:t>
      </w:r>
    </w:p>
    <w:p>
      <w:pPr>
        <w:pStyle w:val="27"/>
        <w:snapToGrid w:val="0"/>
        <w:spacing w:beforeLines="0" w:afterLines="0" w:line="336" w:lineRule="auto"/>
        <w:ind w:firstLine="480" w:firstLineChars="200"/>
        <w:rPr>
          <w:rFonts w:hint="eastAsia" w:hAnsi="宋体" w:cs="宋体"/>
        </w:rPr>
      </w:pPr>
      <w:r>
        <w:rPr>
          <w:rFonts w:hint="eastAsia" w:hAnsi="宋体" w:cs="宋体"/>
        </w:rPr>
        <w:t>3.技术参数：</w:t>
      </w:r>
    </w:p>
    <w:p>
      <w:pPr>
        <w:pStyle w:val="27"/>
        <w:snapToGrid w:val="0"/>
        <w:spacing w:beforeLines="0" w:afterLines="0" w:line="336" w:lineRule="auto"/>
        <w:ind w:firstLine="480" w:firstLineChars="200"/>
        <w:rPr>
          <w:rFonts w:hint="eastAsia" w:hAnsi="宋体" w:cs="宋体"/>
        </w:rPr>
      </w:pPr>
      <w:r>
        <w:rPr>
          <w:rFonts w:hint="eastAsia" w:hAnsi="宋体" w:cs="宋体"/>
        </w:rPr>
        <w:t>4.数量（单位）：</w:t>
      </w:r>
    </w:p>
    <w:p>
      <w:pPr>
        <w:pStyle w:val="27"/>
        <w:snapToGrid w:val="0"/>
        <w:spacing w:beforeLines="0" w:afterLines="0" w:line="336" w:lineRule="auto"/>
        <w:rPr>
          <w:rFonts w:hint="eastAsia" w:hAnsi="宋体" w:cs="宋体"/>
          <w:b/>
        </w:rPr>
      </w:pPr>
      <w:r>
        <w:rPr>
          <w:rFonts w:hint="eastAsia" w:hAnsi="宋体" w:cs="宋体"/>
          <w:b/>
        </w:rPr>
        <w:t>二、合同金额</w:t>
      </w:r>
    </w:p>
    <w:p>
      <w:pPr>
        <w:pStyle w:val="27"/>
        <w:snapToGrid w:val="0"/>
        <w:spacing w:beforeLines="0" w:afterLines="0" w:line="336" w:lineRule="auto"/>
        <w:ind w:firstLine="480" w:firstLineChars="200"/>
        <w:rPr>
          <w:rFonts w:hint="eastAsia" w:hAnsi="宋体" w:cs="宋体"/>
        </w:rPr>
      </w:pPr>
      <w:r>
        <w:rPr>
          <w:rFonts w:hint="eastAsia" w:hAnsi="宋体" w:cs="宋体"/>
        </w:rPr>
        <w:t>本合同金额为（大写）：_______________________元（￥_________元）人民币。</w:t>
      </w:r>
    </w:p>
    <w:p>
      <w:pPr>
        <w:pStyle w:val="27"/>
        <w:snapToGrid w:val="0"/>
        <w:spacing w:beforeLines="0" w:afterLines="0" w:line="336" w:lineRule="auto"/>
        <w:rPr>
          <w:rFonts w:hint="eastAsia" w:hAnsi="宋体" w:cs="宋体"/>
          <w:b/>
        </w:rPr>
      </w:pPr>
      <w:r>
        <w:rPr>
          <w:rFonts w:hint="eastAsia" w:hAnsi="宋体" w:cs="宋体"/>
          <w:b/>
        </w:rPr>
        <w:t>三、技术资料</w:t>
      </w:r>
    </w:p>
    <w:p>
      <w:pPr>
        <w:pStyle w:val="27"/>
        <w:snapToGrid w:val="0"/>
        <w:spacing w:beforeLines="0" w:afterLines="0" w:line="336" w:lineRule="auto"/>
        <w:ind w:firstLine="480" w:firstLineChars="200"/>
        <w:rPr>
          <w:rFonts w:hint="eastAsia" w:hAnsi="宋体" w:cs="宋体"/>
        </w:rPr>
      </w:pPr>
      <w:r>
        <w:rPr>
          <w:rFonts w:hint="eastAsia" w:hAnsi="宋体" w:cs="宋体"/>
        </w:rPr>
        <w:t>1.乙方应按招标文件规定的时间向甲方提供使用货物的有关技术资料。</w:t>
      </w:r>
    </w:p>
    <w:p>
      <w:pPr>
        <w:pStyle w:val="27"/>
        <w:snapToGrid w:val="0"/>
        <w:spacing w:beforeLines="0" w:afterLines="0" w:line="336" w:lineRule="auto"/>
        <w:ind w:firstLine="480" w:firstLineChars="200"/>
        <w:rPr>
          <w:rFonts w:hint="eastAsia" w:hAnsi="宋体" w:cs="宋体"/>
        </w:rPr>
      </w:pPr>
      <w:r>
        <w:rPr>
          <w:rFonts w:hint="eastAsia" w:hAnsi="宋体" w:cs="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7"/>
        <w:snapToGrid w:val="0"/>
        <w:spacing w:beforeLines="0" w:afterLines="0" w:line="336" w:lineRule="auto"/>
        <w:rPr>
          <w:rFonts w:hint="eastAsia" w:hAnsi="宋体" w:cs="宋体"/>
          <w:b/>
        </w:rPr>
      </w:pPr>
      <w:r>
        <w:rPr>
          <w:rFonts w:hint="eastAsia" w:hAnsi="宋体" w:cs="宋体"/>
          <w:b/>
        </w:rPr>
        <w:t>四、知识产权</w:t>
      </w:r>
    </w:p>
    <w:p>
      <w:pPr>
        <w:pStyle w:val="27"/>
        <w:snapToGrid w:val="0"/>
        <w:spacing w:beforeLines="0" w:afterLines="0" w:line="336" w:lineRule="auto"/>
        <w:ind w:firstLine="480" w:firstLineChars="200"/>
        <w:rPr>
          <w:rFonts w:hint="eastAsia" w:hAnsi="宋体" w:cs="宋体"/>
          <w:bCs/>
        </w:rPr>
      </w:pPr>
      <w:r>
        <w:rPr>
          <w:rFonts w:hint="eastAsia" w:hAnsi="宋体" w:cs="宋体"/>
        </w:rPr>
        <w:t>乙方应保证所提供的货物或其任何一部分均不会侵犯任何第三方的知识产权</w:t>
      </w:r>
      <w:r>
        <w:rPr>
          <w:rFonts w:hint="eastAsia" w:hAnsi="宋体" w:cs="宋体"/>
          <w:bCs/>
        </w:rPr>
        <w:t>。</w:t>
      </w:r>
    </w:p>
    <w:p>
      <w:pPr>
        <w:pStyle w:val="27"/>
        <w:snapToGrid w:val="0"/>
        <w:spacing w:beforeLines="0" w:afterLines="0" w:line="336" w:lineRule="auto"/>
        <w:rPr>
          <w:rFonts w:hint="eastAsia" w:hAnsi="宋体" w:cs="宋体"/>
          <w:u w:val="single"/>
        </w:rPr>
      </w:pPr>
      <w:r>
        <w:rPr>
          <w:rFonts w:hint="eastAsia" w:hAnsi="宋体" w:cs="宋体"/>
          <w:b/>
        </w:rPr>
        <w:t>五、产权担保</w:t>
      </w:r>
    </w:p>
    <w:p>
      <w:pPr>
        <w:pStyle w:val="27"/>
        <w:snapToGrid w:val="0"/>
        <w:spacing w:beforeLines="0" w:afterLines="0" w:line="336" w:lineRule="auto"/>
        <w:ind w:firstLine="480" w:firstLineChars="200"/>
        <w:rPr>
          <w:rFonts w:hint="eastAsia" w:hAnsi="宋体" w:cs="宋体"/>
          <w:u w:val="single"/>
        </w:rPr>
      </w:pPr>
      <w:r>
        <w:rPr>
          <w:rFonts w:hint="eastAsia" w:hAnsi="宋体" w:cs="宋体"/>
        </w:rPr>
        <w:t>乙方保证所交付的货物的所有权完全属于乙方且无任何抵押、查封等产权瑕疵。</w:t>
      </w:r>
    </w:p>
    <w:p>
      <w:pPr>
        <w:pStyle w:val="27"/>
        <w:snapToGrid w:val="0"/>
        <w:spacing w:beforeLines="0" w:afterLines="0" w:line="336" w:lineRule="auto"/>
        <w:rPr>
          <w:rFonts w:hint="eastAsia" w:hAnsi="宋体" w:cs="宋体"/>
          <w:b/>
        </w:rPr>
      </w:pPr>
      <w:r>
        <w:rPr>
          <w:rFonts w:hint="eastAsia" w:hAnsi="宋体" w:cs="宋体"/>
          <w:b/>
        </w:rPr>
        <w:t>六、转包或分包</w:t>
      </w:r>
    </w:p>
    <w:p>
      <w:pPr>
        <w:snapToGrid w:val="0"/>
        <w:spacing w:line="360" w:lineRule="auto"/>
        <w:ind w:firstLine="480" w:firstLineChars="200"/>
        <w:rPr>
          <w:rFonts w:hint="eastAsia" w:ascii="宋体" w:hAnsi="宋体" w:cs="宋体"/>
          <w:sz w:val="24"/>
        </w:rPr>
      </w:pPr>
      <w:r>
        <w:rPr>
          <w:rFonts w:hint="eastAsia" w:ascii="宋体" w:hAnsi="宋体" w:cs="宋体"/>
          <w:sz w:val="24"/>
        </w:rPr>
        <w:t>1.本合同范围的货物，应由乙方直接供应，不得转让他人供应。</w:t>
      </w:r>
    </w:p>
    <w:p>
      <w:pPr>
        <w:snapToGrid w:val="0"/>
        <w:spacing w:line="360" w:lineRule="auto"/>
        <w:ind w:firstLine="480" w:firstLineChars="200"/>
        <w:rPr>
          <w:rFonts w:hint="eastAsia" w:ascii="宋体" w:hAnsi="宋体" w:cs="宋体"/>
          <w:sz w:val="24"/>
        </w:rPr>
      </w:pPr>
      <w:r>
        <w:rPr>
          <w:rFonts w:hint="eastAsia" w:ascii="宋体" w:hAnsi="宋体" w:cs="宋体"/>
          <w:sz w:val="24"/>
        </w:rPr>
        <w:t>2.如有转让和未经甲方同意的分包行为，甲方有权解除合同，追究乙方的违约责任。</w:t>
      </w:r>
    </w:p>
    <w:p>
      <w:pPr>
        <w:pStyle w:val="27"/>
        <w:snapToGrid w:val="0"/>
        <w:spacing w:beforeLines="0" w:afterLines="0" w:line="360" w:lineRule="auto"/>
        <w:rPr>
          <w:rFonts w:hint="eastAsia" w:hAnsi="宋体" w:cs="宋体"/>
        </w:rPr>
      </w:pPr>
      <w:r>
        <w:rPr>
          <w:rFonts w:hint="eastAsia" w:hAnsi="宋体" w:cs="宋体"/>
          <w:b/>
        </w:rPr>
        <w:t>七、质保期</w:t>
      </w:r>
    </w:p>
    <w:p>
      <w:pPr>
        <w:pStyle w:val="27"/>
        <w:snapToGrid w:val="0"/>
        <w:spacing w:beforeLines="0" w:afterLines="0" w:line="360" w:lineRule="auto"/>
        <w:ind w:firstLine="480" w:firstLineChars="200"/>
        <w:rPr>
          <w:rFonts w:hint="eastAsia" w:hAnsi="宋体" w:cs="宋体"/>
        </w:rPr>
      </w:pPr>
      <w:r>
        <w:rPr>
          <w:rFonts w:hint="eastAsia" w:hAnsi="宋体" w:cs="宋体"/>
        </w:rPr>
        <w:t>质保期</w:t>
      </w:r>
      <w:r>
        <w:rPr>
          <w:rFonts w:hint="eastAsia" w:hAnsi="宋体" w:cs="宋体"/>
          <w:u w:val="single"/>
        </w:rPr>
        <w:t xml:space="preserve">          </w:t>
      </w:r>
      <w:r>
        <w:rPr>
          <w:rFonts w:hint="eastAsia" w:hAnsi="宋体" w:cs="宋体"/>
        </w:rPr>
        <w:t>年。（自交货验收合格之日起计）</w:t>
      </w:r>
    </w:p>
    <w:p>
      <w:pPr>
        <w:pStyle w:val="27"/>
        <w:snapToGrid w:val="0"/>
        <w:spacing w:beforeLines="0" w:afterLines="0" w:line="360" w:lineRule="auto"/>
        <w:rPr>
          <w:rFonts w:hint="eastAsia" w:hAnsi="宋体" w:cs="宋体"/>
          <w:b/>
        </w:rPr>
      </w:pPr>
      <w:r>
        <w:rPr>
          <w:rFonts w:hint="eastAsia" w:hAnsi="宋体" w:cs="宋体"/>
          <w:b/>
        </w:rPr>
        <w:t>八、交货期、交货地点</w:t>
      </w:r>
    </w:p>
    <w:p>
      <w:pPr>
        <w:pStyle w:val="27"/>
        <w:snapToGrid w:val="0"/>
        <w:spacing w:beforeLines="0" w:afterLines="0" w:line="360" w:lineRule="auto"/>
        <w:ind w:firstLine="480" w:firstLineChars="200"/>
        <w:rPr>
          <w:rFonts w:hint="eastAsia" w:hAnsi="宋体" w:cs="宋体"/>
          <w:bCs/>
        </w:rPr>
      </w:pPr>
      <w:r>
        <w:rPr>
          <w:rFonts w:hint="eastAsia" w:hAnsi="宋体" w:cs="宋体"/>
          <w:bCs/>
        </w:rPr>
        <w:t>1.工期：                                    2.交货地点：</w:t>
      </w:r>
    </w:p>
    <w:p>
      <w:pPr>
        <w:pStyle w:val="27"/>
        <w:snapToGrid w:val="0"/>
        <w:spacing w:beforeLines="0" w:afterLines="0" w:line="240" w:lineRule="auto"/>
        <w:rPr>
          <w:rFonts w:hint="eastAsia" w:hAnsi="宋体" w:cs="宋体"/>
          <w:b/>
        </w:rPr>
      </w:pPr>
      <w:r>
        <w:rPr>
          <w:rFonts w:hint="eastAsia" w:hAnsi="宋体" w:cs="宋体"/>
          <w:b/>
        </w:rPr>
        <w:t>九、货款支付</w:t>
      </w:r>
    </w:p>
    <w:p>
      <w:pPr>
        <w:pStyle w:val="27"/>
        <w:snapToGrid w:val="0"/>
        <w:spacing w:beforeLines="0" w:afterLines="0" w:line="360" w:lineRule="auto"/>
        <w:ind w:firstLine="480" w:firstLineChars="200"/>
        <w:rPr>
          <w:rFonts w:hint="eastAsia" w:hAnsi="宋体" w:cs="宋体"/>
          <w:bCs/>
        </w:rPr>
      </w:pPr>
      <w:r>
        <w:rPr>
          <w:rFonts w:hint="eastAsia" w:hAnsi="宋体" w:cs="宋体"/>
          <w:bCs/>
        </w:rPr>
        <w:t>1.付款方式：</w:t>
      </w:r>
    </w:p>
    <w:p>
      <w:pPr>
        <w:snapToGrid w:val="0"/>
        <w:rPr>
          <w:rFonts w:hint="eastAsia" w:ascii="宋体" w:hAnsi="宋体" w:cs="宋体"/>
          <w:b/>
          <w:sz w:val="24"/>
          <w:szCs w:val="20"/>
        </w:rPr>
      </w:pPr>
      <w:r>
        <w:rPr>
          <w:rFonts w:hint="eastAsia" w:ascii="宋体" w:hAnsi="宋体" w:cs="宋体"/>
          <w:b/>
          <w:sz w:val="24"/>
        </w:rPr>
        <w:t>十、税费</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本合同执行中相关的一切税费均由乙方负担。</w:t>
      </w:r>
    </w:p>
    <w:p>
      <w:pPr>
        <w:pStyle w:val="27"/>
        <w:snapToGrid w:val="0"/>
        <w:spacing w:beforeLines="0" w:afterLines="0" w:line="240" w:lineRule="auto"/>
        <w:rPr>
          <w:rFonts w:hint="eastAsia" w:hAnsi="宋体" w:cs="宋体"/>
        </w:rPr>
      </w:pPr>
      <w:r>
        <w:rPr>
          <w:rFonts w:hint="eastAsia" w:hAnsi="宋体" w:cs="宋体"/>
          <w:b/>
        </w:rPr>
        <w:t>十一、质量保证及售后服务</w:t>
      </w:r>
    </w:p>
    <w:p>
      <w:pPr>
        <w:pStyle w:val="27"/>
        <w:snapToGrid w:val="0"/>
        <w:spacing w:beforeLines="0" w:afterLines="0" w:line="360" w:lineRule="auto"/>
        <w:ind w:firstLine="480" w:firstLineChars="200"/>
        <w:rPr>
          <w:rFonts w:hint="eastAsia" w:hAnsi="宋体" w:cs="宋体"/>
        </w:rPr>
      </w:pPr>
      <w:r>
        <w:rPr>
          <w:rFonts w:hint="eastAsia" w:hAnsi="宋体" w:cs="宋体"/>
        </w:rPr>
        <w:t>1.乙方应按招标文件规定的货物性能、技术要求、质量标准向甲方提供未经使用的全新产品。</w:t>
      </w:r>
    </w:p>
    <w:p>
      <w:pPr>
        <w:pStyle w:val="27"/>
        <w:snapToGrid w:val="0"/>
        <w:spacing w:beforeLines="0" w:afterLines="0" w:line="360" w:lineRule="auto"/>
        <w:ind w:firstLine="480" w:firstLineChars="200"/>
        <w:rPr>
          <w:rFonts w:hint="eastAsia" w:hAnsi="宋体" w:cs="宋体"/>
        </w:rPr>
      </w:pPr>
      <w:r>
        <w:rPr>
          <w:rFonts w:hint="eastAsia" w:hAnsi="宋体" w:cs="宋体"/>
        </w:rPr>
        <w:t>2.乙方提供的货物在质保期内因货物本身的质量问题发生故障，乙方应负责免费更换。对达不到技术要求者，根据实际情况，经双方协商，可按以下办法处理：</w:t>
      </w:r>
    </w:p>
    <w:p>
      <w:pPr>
        <w:pStyle w:val="27"/>
        <w:snapToGrid w:val="0"/>
        <w:spacing w:beforeLines="0" w:afterLines="0" w:line="360" w:lineRule="auto"/>
        <w:ind w:firstLine="480" w:firstLineChars="200"/>
        <w:rPr>
          <w:rFonts w:hint="eastAsia" w:hAnsi="宋体" w:cs="宋体"/>
        </w:rPr>
      </w:pPr>
      <w:r>
        <w:rPr>
          <w:rFonts w:hint="eastAsia" w:hAnsi="宋体" w:cs="宋体"/>
        </w:rPr>
        <w:t>⑴更换：由乙方承担所发生的全部费用。</w:t>
      </w:r>
    </w:p>
    <w:p>
      <w:pPr>
        <w:pStyle w:val="27"/>
        <w:snapToGrid w:val="0"/>
        <w:spacing w:beforeLines="0" w:afterLines="0" w:line="360" w:lineRule="auto"/>
        <w:ind w:firstLine="480" w:firstLineChars="200"/>
        <w:rPr>
          <w:rFonts w:hint="eastAsia" w:hAnsi="宋体" w:cs="宋体"/>
        </w:rPr>
      </w:pPr>
      <w:r>
        <w:rPr>
          <w:rFonts w:hint="eastAsia" w:hAnsi="宋体" w:cs="宋体"/>
        </w:rPr>
        <w:t>⑵贬值处理：由甲乙双方合议定价。</w:t>
      </w:r>
    </w:p>
    <w:p>
      <w:pPr>
        <w:pStyle w:val="27"/>
        <w:snapToGrid w:val="0"/>
        <w:spacing w:beforeLines="0" w:afterLines="0" w:line="360" w:lineRule="auto"/>
        <w:ind w:firstLine="480" w:firstLineChars="200"/>
        <w:rPr>
          <w:rFonts w:hint="eastAsia" w:hAnsi="宋体" w:cs="宋体"/>
        </w:rPr>
      </w:pPr>
      <w:r>
        <w:rPr>
          <w:rFonts w:hint="eastAsia" w:hAnsi="宋体" w:cs="宋体"/>
        </w:rPr>
        <w:t>⑶退货处理：乙方应退还甲方支付的合同款，同时应承担该货物的直接费用（运输、保险、检验、货款利息及银行手续费等）。</w:t>
      </w:r>
    </w:p>
    <w:p>
      <w:pPr>
        <w:pStyle w:val="27"/>
        <w:snapToGrid w:val="0"/>
        <w:spacing w:beforeLines="0" w:afterLines="0" w:line="360" w:lineRule="auto"/>
        <w:ind w:firstLine="480" w:firstLineChars="200"/>
        <w:rPr>
          <w:rFonts w:hint="eastAsia" w:hAnsi="宋体" w:cs="宋体"/>
        </w:rPr>
      </w:pPr>
      <w:r>
        <w:rPr>
          <w:rFonts w:hint="eastAsia" w:hAnsi="宋体" w:cs="宋体"/>
        </w:rPr>
        <w:t>3.如在使用过程中发生质量问题，乙方在接到甲方通知后在小时内到达甲方现场。</w:t>
      </w:r>
    </w:p>
    <w:p>
      <w:pPr>
        <w:pStyle w:val="27"/>
        <w:snapToGrid w:val="0"/>
        <w:spacing w:beforeLines="0" w:afterLines="0" w:line="360" w:lineRule="auto"/>
        <w:ind w:firstLine="480" w:firstLineChars="200"/>
        <w:rPr>
          <w:rFonts w:hint="eastAsia" w:hAnsi="宋体" w:cs="宋体"/>
        </w:rPr>
      </w:pPr>
      <w:r>
        <w:rPr>
          <w:rFonts w:hint="eastAsia" w:hAnsi="宋体" w:cs="宋体"/>
        </w:rPr>
        <w:t>4.在质保期内，乙方应对货物出现的质量及安全问题负责处理解决并承担一切费用。</w:t>
      </w:r>
    </w:p>
    <w:p>
      <w:pPr>
        <w:pStyle w:val="27"/>
        <w:snapToGrid w:val="0"/>
        <w:spacing w:beforeLines="0" w:afterLines="0" w:line="360" w:lineRule="auto"/>
        <w:ind w:firstLine="480" w:firstLineChars="200"/>
        <w:rPr>
          <w:rFonts w:hint="eastAsia" w:hAnsi="宋体" w:cs="宋体"/>
        </w:rPr>
      </w:pPr>
      <w:r>
        <w:rPr>
          <w:rFonts w:hint="eastAsia" w:hAnsi="宋体" w:cs="宋体"/>
        </w:rPr>
        <w:t>5.上述的货物免费保修期内，因人为因素出现的故障不在免费保修范围内。超过保修期的机器设备，终生维修，维修时只收部件成本费。</w:t>
      </w:r>
    </w:p>
    <w:p>
      <w:pPr>
        <w:pStyle w:val="27"/>
        <w:snapToGrid w:val="0"/>
        <w:spacing w:beforeLines="0" w:afterLines="0" w:line="360" w:lineRule="auto"/>
        <w:rPr>
          <w:rFonts w:hint="eastAsia" w:hAnsi="宋体" w:cs="宋体"/>
          <w:b/>
        </w:rPr>
      </w:pPr>
      <w:r>
        <w:rPr>
          <w:rFonts w:hint="eastAsia" w:hAnsi="宋体" w:cs="宋体"/>
          <w:b/>
        </w:rPr>
        <w:t>十二、调试和验收</w:t>
      </w:r>
    </w:p>
    <w:p>
      <w:pPr>
        <w:pStyle w:val="27"/>
        <w:snapToGrid w:val="0"/>
        <w:spacing w:beforeLines="0" w:afterLines="0" w:line="360" w:lineRule="auto"/>
        <w:ind w:firstLine="480" w:firstLineChars="200"/>
        <w:jc w:val="left"/>
        <w:rPr>
          <w:rFonts w:hint="eastAsia" w:hAnsi="宋体" w:cs="宋体"/>
        </w:rPr>
      </w:pPr>
      <w:r>
        <w:rPr>
          <w:rFonts w:hint="eastAsia" w:hAnsi="宋体" w:cs="宋体"/>
        </w:rPr>
        <w:t>1.甲方对乙方提交的货物依据招标文件上的技术规格要求和国家有关质量标准进行现场初步验收，外观、说明书符合招标文件技术要求的，给予签收，初步验收不合格的不予签收。货到后，甲方需在七个工作日内组织验收。</w:t>
      </w:r>
    </w:p>
    <w:p>
      <w:pPr>
        <w:pStyle w:val="27"/>
        <w:snapToGrid w:val="0"/>
        <w:spacing w:beforeLines="0" w:afterLines="0" w:line="360" w:lineRule="auto"/>
        <w:ind w:firstLine="480" w:firstLineChars="200"/>
        <w:rPr>
          <w:rFonts w:hint="eastAsia" w:hAnsi="宋体" w:cs="宋体"/>
        </w:rPr>
      </w:pPr>
      <w:r>
        <w:rPr>
          <w:rFonts w:hint="eastAsia" w:hAnsi="宋体" w:cs="宋体"/>
        </w:rPr>
        <w:t>2.乙方交货前应对产品作出全面检查和对验收文件进行整理，并列出清单，作为甲方收货验收和使用的技术条件依据，检验的结果应随货物交甲方。</w:t>
      </w:r>
    </w:p>
    <w:p>
      <w:pPr>
        <w:pStyle w:val="27"/>
        <w:snapToGrid w:val="0"/>
        <w:spacing w:beforeLines="0" w:afterLines="0" w:line="360" w:lineRule="auto"/>
        <w:ind w:firstLine="480" w:firstLineChars="200"/>
        <w:rPr>
          <w:rFonts w:hint="eastAsia" w:hAnsi="宋体" w:cs="宋体"/>
          <w:u w:val="single"/>
        </w:rPr>
      </w:pPr>
      <w:r>
        <w:rPr>
          <w:rFonts w:hint="eastAsia" w:hAnsi="宋体" w:cs="宋体"/>
        </w:rPr>
        <w:t>3.甲方对乙方提供的货物在使用前进行调试时，乙方需负责安装并培训甲方的使用操作人员，并协助甲方一起调试，直到符合技术要求，甲方才做最终验收。</w:t>
      </w:r>
    </w:p>
    <w:p>
      <w:pPr>
        <w:pStyle w:val="27"/>
        <w:snapToGrid w:val="0"/>
        <w:spacing w:beforeLines="0" w:afterLines="0" w:line="360" w:lineRule="auto"/>
        <w:ind w:firstLine="480" w:firstLineChars="200"/>
        <w:rPr>
          <w:rFonts w:hint="eastAsia" w:hAnsi="宋体" w:cs="宋体"/>
        </w:rPr>
      </w:pPr>
      <w:r>
        <w:rPr>
          <w:rFonts w:hint="eastAsia" w:hAnsi="宋体" w:cs="宋体"/>
        </w:rPr>
        <w:t>4.</w:t>
      </w:r>
      <w:r>
        <w:rPr>
          <w:rFonts w:hint="eastAsia" w:hAnsi="宋体" w:cs="宋体"/>
          <w:szCs w:val="21"/>
        </w:rPr>
        <w:t>项目终验：甲方按照招标文件要求，自行组织验收,交易中心或市采购办抽验，</w:t>
      </w:r>
      <w:r>
        <w:rPr>
          <w:rFonts w:hint="eastAsia" w:hAnsi="宋体" w:cs="宋体"/>
        </w:rPr>
        <w:t>验收时乙方必须在现场。</w:t>
      </w:r>
    </w:p>
    <w:p>
      <w:pPr>
        <w:pStyle w:val="27"/>
        <w:snapToGrid w:val="0"/>
        <w:spacing w:beforeLines="0" w:afterLines="0" w:line="240" w:lineRule="auto"/>
        <w:rPr>
          <w:rFonts w:hint="eastAsia" w:hAnsi="宋体" w:cs="宋体"/>
          <w:b/>
        </w:rPr>
      </w:pPr>
      <w:r>
        <w:rPr>
          <w:rFonts w:hint="eastAsia" w:hAnsi="宋体" w:cs="宋体"/>
          <w:b/>
        </w:rPr>
        <w:t>十三、货物包装、发运及运输</w:t>
      </w:r>
    </w:p>
    <w:p>
      <w:pPr>
        <w:pStyle w:val="27"/>
        <w:snapToGrid w:val="0"/>
        <w:spacing w:beforeLines="0" w:afterLines="0" w:line="360" w:lineRule="auto"/>
        <w:ind w:firstLine="480" w:firstLineChars="200"/>
        <w:rPr>
          <w:rFonts w:hint="eastAsia" w:hAnsi="宋体" w:cs="宋体"/>
        </w:rPr>
      </w:pPr>
      <w:r>
        <w:rPr>
          <w:rFonts w:hint="eastAsia" w:hAnsi="宋体" w:cs="宋体"/>
        </w:rPr>
        <w:t>1.乙方应在货物发运前对其进行满足运输距离、防潮、防震、防锈和防破损装卸等要求包装，以保证货物安全运达甲方指定地点。</w:t>
      </w:r>
    </w:p>
    <w:p>
      <w:pPr>
        <w:pStyle w:val="27"/>
        <w:snapToGrid w:val="0"/>
        <w:spacing w:beforeLines="0" w:afterLines="0" w:line="360" w:lineRule="auto"/>
        <w:ind w:firstLine="480" w:firstLineChars="200"/>
        <w:rPr>
          <w:rFonts w:hint="eastAsia" w:hAnsi="宋体" w:cs="宋体"/>
        </w:rPr>
      </w:pPr>
      <w:r>
        <w:rPr>
          <w:rFonts w:hint="eastAsia" w:hAnsi="宋体" w:cs="宋体"/>
        </w:rPr>
        <w:t>2.使用说明书、质量检验证明书、随配附件和工具以及清单一并附于货物内。</w:t>
      </w:r>
    </w:p>
    <w:p>
      <w:pPr>
        <w:pStyle w:val="27"/>
        <w:snapToGrid w:val="0"/>
        <w:spacing w:beforeLines="0" w:afterLines="0" w:line="360" w:lineRule="auto"/>
        <w:ind w:firstLine="480" w:firstLineChars="200"/>
        <w:rPr>
          <w:rFonts w:hint="eastAsia" w:hAnsi="宋体" w:cs="宋体"/>
        </w:rPr>
      </w:pPr>
      <w:r>
        <w:rPr>
          <w:rFonts w:hint="eastAsia" w:hAnsi="宋体" w:cs="宋体"/>
        </w:rPr>
        <w:t>3.乙方在货物发运手续办理完毕后24小时内或货到甲方48小时前通知甲方，以准备接货。</w:t>
      </w:r>
    </w:p>
    <w:p>
      <w:pPr>
        <w:pStyle w:val="27"/>
        <w:snapToGrid w:val="0"/>
        <w:spacing w:beforeLines="0" w:afterLines="0" w:line="360" w:lineRule="auto"/>
        <w:ind w:firstLine="480" w:firstLineChars="200"/>
        <w:rPr>
          <w:rFonts w:hint="eastAsia" w:hAnsi="宋体" w:cs="宋体"/>
        </w:rPr>
      </w:pPr>
      <w:r>
        <w:rPr>
          <w:rFonts w:hint="eastAsia" w:hAnsi="宋体" w:cs="宋体"/>
        </w:rPr>
        <w:t>4.货物在交付甲方前发生的风险均由乙方负责。</w:t>
      </w:r>
    </w:p>
    <w:p>
      <w:pPr>
        <w:pStyle w:val="27"/>
        <w:snapToGrid w:val="0"/>
        <w:spacing w:beforeLines="0" w:afterLines="0" w:line="360" w:lineRule="auto"/>
        <w:ind w:firstLine="480" w:firstLineChars="200"/>
        <w:rPr>
          <w:rFonts w:hint="eastAsia" w:hAnsi="宋体" w:cs="宋体"/>
        </w:rPr>
      </w:pPr>
      <w:r>
        <w:rPr>
          <w:rFonts w:hint="eastAsia" w:hAnsi="宋体" w:cs="宋体"/>
        </w:rPr>
        <w:t>5.货物在规定的交付期限内由乙方送达甲方指定的地点视为交付，乙方同时需通知甲方货物已送达。</w:t>
      </w:r>
    </w:p>
    <w:p>
      <w:pPr>
        <w:pStyle w:val="27"/>
        <w:snapToGrid w:val="0"/>
        <w:spacing w:beforeLines="0" w:afterLines="0" w:line="240" w:lineRule="auto"/>
        <w:rPr>
          <w:rFonts w:hint="eastAsia" w:hAnsi="宋体" w:cs="宋体"/>
          <w:b/>
        </w:rPr>
      </w:pPr>
      <w:r>
        <w:rPr>
          <w:rFonts w:hint="eastAsia" w:hAnsi="宋体" w:cs="宋体"/>
          <w:b/>
        </w:rPr>
        <w:t>十四、违约责任</w:t>
      </w:r>
    </w:p>
    <w:p>
      <w:pPr>
        <w:pStyle w:val="27"/>
        <w:snapToGrid w:val="0"/>
        <w:spacing w:beforeLines="0" w:afterLines="0" w:line="360" w:lineRule="auto"/>
        <w:ind w:firstLine="480" w:firstLineChars="200"/>
        <w:rPr>
          <w:rFonts w:hint="eastAsia" w:hAnsi="宋体" w:cs="宋体"/>
        </w:rPr>
      </w:pPr>
      <w:r>
        <w:rPr>
          <w:rFonts w:hint="eastAsia" w:hAnsi="宋体" w:cs="宋体"/>
        </w:rPr>
        <w:t>1.甲方无正当理由拒收货物的，甲方向乙方偿付拒收货款总值的百分之五违约金。</w:t>
      </w:r>
    </w:p>
    <w:p>
      <w:pPr>
        <w:pStyle w:val="27"/>
        <w:snapToGrid w:val="0"/>
        <w:spacing w:beforeLines="0" w:afterLines="0" w:line="360" w:lineRule="auto"/>
        <w:ind w:firstLine="480" w:firstLineChars="200"/>
        <w:rPr>
          <w:rFonts w:hint="eastAsia" w:hAnsi="宋体" w:cs="宋体"/>
        </w:rPr>
      </w:pPr>
      <w:r>
        <w:rPr>
          <w:rFonts w:hint="eastAsia" w:hAnsi="宋体" w:cs="宋体"/>
        </w:rPr>
        <w:t>2.甲方无故逾期验收和办理货款支付手续的,甲方应按逾期付款总额每日万分之五向乙方支付违约金。</w:t>
      </w:r>
    </w:p>
    <w:p>
      <w:pPr>
        <w:pStyle w:val="27"/>
        <w:snapToGrid w:val="0"/>
        <w:spacing w:beforeLines="0" w:afterLines="0" w:line="360" w:lineRule="auto"/>
        <w:ind w:firstLine="480" w:firstLineChars="200"/>
        <w:rPr>
          <w:rFonts w:hint="eastAsia" w:hAnsi="宋体" w:cs="宋体"/>
        </w:rPr>
      </w:pPr>
      <w:r>
        <w:rPr>
          <w:rFonts w:hint="eastAsia" w:hAnsi="宋体" w:cs="宋体"/>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pStyle w:val="27"/>
        <w:snapToGrid w:val="0"/>
        <w:spacing w:beforeLines="0" w:afterLines="0" w:line="360" w:lineRule="auto"/>
        <w:ind w:firstLine="480" w:firstLineChars="200"/>
        <w:rPr>
          <w:rFonts w:hint="eastAsia" w:hAnsi="宋体" w:cs="宋体"/>
        </w:rPr>
      </w:pPr>
      <w:r>
        <w:rPr>
          <w:rFonts w:hint="eastAsia" w:hAnsi="宋体" w:cs="宋体"/>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7"/>
        <w:snapToGrid w:val="0"/>
        <w:spacing w:beforeLines="0" w:afterLines="0" w:line="240" w:lineRule="auto"/>
        <w:rPr>
          <w:rFonts w:hint="eastAsia" w:hAnsi="宋体" w:cs="宋体"/>
          <w:b/>
        </w:rPr>
      </w:pPr>
      <w:r>
        <w:rPr>
          <w:rFonts w:hint="eastAsia" w:hAnsi="宋体" w:cs="宋体"/>
          <w:b/>
        </w:rPr>
        <w:t>十五、不可抗力事件处理</w:t>
      </w:r>
    </w:p>
    <w:p>
      <w:pPr>
        <w:pStyle w:val="27"/>
        <w:snapToGrid w:val="0"/>
        <w:spacing w:beforeLines="0" w:afterLines="0" w:line="360" w:lineRule="auto"/>
        <w:ind w:firstLine="480" w:firstLineChars="200"/>
        <w:rPr>
          <w:rFonts w:hint="eastAsia" w:hAnsi="宋体" w:cs="宋体"/>
        </w:rPr>
      </w:pPr>
      <w:r>
        <w:rPr>
          <w:rFonts w:hint="eastAsia" w:hAnsi="宋体" w:cs="宋体"/>
        </w:rPr>
        <w:t>1.在合同有效期内，任何一方因不可抗力事件导致不能履行合同，则合同履行期可延长，其延长期与不可抗力影响期相同。</w:t>
      </w:r>
    </w:p>
    <w:p>
      <w:pPr>
        <w:pStyle w:val="27"/>
        <w:snapToGrid w:val="0"/>
        <w:spacing w:beforeLines="0" w:afterLines="0" w:line="360" w:lineRule="auto"/>
        <w:ind w:firstLine="480" w:firstLineChars="200"/>
        <w:rPr>
          <w:rFonts w:hint="eastAsia" w:hAnsi="宋体" w:cs="宋体"/>
        </w:rPr>
      </w:pPr>
      <w:r>
        <w:rPr>
          <w:rFonts w:hint="eastAsia" w:hAnsi="宋体" w:cs="宋体"/>
        </w:rPr>
        <w:t>2.不可抗力事件发生后，应立即通知对方，并寄送有关权威机构出具的证明。</w:t>
      </w:r>
    </w:p>
    <w:p>
      <w:pPr>
        <w:pStyle w:val="27"/>
        <w:snapToGrid w:val="0"/>
        <w:spacing w:beforeLines="0" w:afterLines="0" w:line="360" w:lineRule="auto"/>
        <w:ind w:firstLine="480" w:firstLineChars="200"/>
        <w:rPr>
          <w:rFonts w:hint="eastAsia" w:hAnsi="宋体" w:cs="宋体"/>
        </w:rPr>
      </w:pPr>
      <w:r>
        <w:rPr>
          <w:rFonts w:hint="eastAsia" w:hAnsi="宋体" w:cs="宋体"/>
        </w:rPr>
        <w:t>3.不可抗力事件延续120天以上，双方应通过友好协商，确定是否继续履行合同。</w:t>
      </w:r>
    </w:p>
    <w:p>
      <w:pPr>
        <w:pStyle w:val="27"/>
        <w:snapToGrid w:val="0"/>
        <w:spacing w:beforeLines="0" w:afterLines="0" w:line="240" w:lineRule="auto"/>
        <w:rPr>
          <w:rFonts w:hint="eastAsia" w:hAnsi="宋体" w:cs="宋体"/>
          <w:b/>
        </w:rPr>
      </w:pPr>
      <w:r>
        <w:rPr>
          <w:rFonts w:hint="eastAsia" w:hAnsi="宋体" w:cs="宋体"/>
          <w:b/>
        </w:rPr>
        <w:t>十六、诉讼</w:t>
      </w:r>
    </w:p>
    <w:p>
      <w:pPr>
        <w:pStyle w:val="27"/>
        <w:snapToGrid w:val="0"/>
        <w:spacing w:beforeLines="0" w:afterLines="0" w:line="360" w:lineRule="auto"/>
        <w:ind w:firstLine="480" w:firstLineChars="200"/>
        <w:rPr>
          <w:rFonts w:hint="eastAsia" w:hAnsi="宋体" w:cs="宋体"/>
        </w:rPr>
      </w:pPr>
      <w:r>
        <w:rPr>
          <w:rFonts w:hint="eastAsia" w:hAnsi="宋体" w:cs="宋体"/>
        </w:rPr>
        <w:t>双方在执行合同中所发生的一切争议，应通过协商解决。如协商不成，可向甲方所在地法院起诉。</w:t>
      </w:r>
    </w:p>
    <w:p>
      <w:pPr>
        <w:pStyle w:val="27"/>
        <w:snapToGrid w:val="0"/>
        <w:spacing w:beforeLines="0" w:afterLines="0" w:line="240" w:lineRule="auto"/>
        <w:rPr>
          <w:rFonts w:hint="eastAsia" w:hAnsi="宋体" w:cs="宋体"/>
          <w:b/>
        </w:rPr>
      </w:pPr>
      <w:r>
        <w:rPr>
          <w:rFonts w:hint="eastAsia" w:hAnsi="宋体" w:cs="宋体"/>
          <w:b/>
        </w:rPr>
        <w:t>十七、合同生效及其它</w:t>
      </w:r>
    </w:p>
    <w:p>
      <w:pPr>
        <w:pStyle w:val="27"/>
        <w:snapToGrid w:val="0"/>
        <w:spacing w:beforeLines="0" w:afterLines="0" w:line="360" w:lineRule="auto"/>
        <w:ind w:firstLine="480" w:firstLineChars="200"/>
        <w:rPr>
          <w:rFonts w:hint="eastAsia" w:hAnsi="宋体" w:cs="宋体"/>
        </w:rPr>
      </w:pPr>
      <w:r>
        <w:rPr>
          <w:rFonts w:hint="eastAsia" w:hAnsi="宋体" w:cs="宋体"/>
        </w:rPr>
        <w:t>1.合同经双方法定代表人或授权代表签字并加盖单位公章后，报金华市公共资源交易中心东阳分中心鉴证、东阳市财政局采购办备案后生效。</w:t>
      </w:r>
    </w:p>
    <w:p>
      <w:pPr>
        <w:pStyle w:val="27"/>
        <w:snapToGrid w:val="0"/>
        <w:spacing w:beforeLines="0" w:afterLines="0" w:line="360" w:lineRule="auto"/>
        <w:ind w:firstLine="480" w:firstLineChars="200"/>
        <w:rPr>
          <w:rFonts w:hint="eastAsia" w:hAnsi="宋体" w:cs="宋体"/>
        </w:rPr>
      </w:pPr>
      <w:r>
        <w:rPr>
          <w:rFonts w:hint="eastAsia" w:hAnsi="宋体" w:cs="宋体"/>
        </w:rPr>
        <w:t>2.合同执行中涉及采购资金和采购内容修改或补充的，须经财政部门审批，并签书面补充协议报政府采购监督管理部门备案，方可作为主合同不可分割的一部分。</w:t>
      </w:r>
    </w:p>
    <w:p>
      <w:pPr>
        <w:pStyle w:val="27"/>
        <w:snapToGrid w:val="0"/>
        <w:spacing w:beforeLines="0" w:afterLines="0" w:line="360" w:lineRule="auto"/>
        <w:ind w:firstLine="480" w:firstLineChars="200"/>
        <w:rPr>
          <w:rFonts w:hint="eastAsia" w:hAnsi="宋体" w:cs="宋体"/>
        </w:rPr>
      </w:pPr>
      <w:r>
        <w:rPr>
          <w:rFonts w:hint="eastAsia" w:hAnsi="宋体" w:cs="宋体"/>
        </w:rPr>
        <w:t>3.本合同未尽事宜，遵照《民法典》有关条文执行。</w:t>
      </w:r>
    </w:p>
    <w:p>
      <w:pPr>
        <w:pStyle w:val="27"/>
        <w:snapToGrid w:val="0"/>
        <w:spacing w:beforeLines="0" w:afterLines="0" w:line="360" w:lineRule="auto"/>
        <w:ind w:firstLine="480" w:firstLineChars="200"/>
        <w:rPr>
          <w:rFonts w:hint="eastAsia" w:hAnsi="宋体" w:cs="宋体"/>
        </w:rPr>
      </w:pPr>
      <w:r>
        <w:rPr>
          <w:rFonts w:hint="eastAsia" w:hAnsi="宋体" w:cs="宋体"/>
        </w:rPr>
        <w:t>4.本合同正本一式五份，甲方两份，金华市公共资源交易中心东阳分中心、乙方、东阳市财政局采购办各执一份，具有同等法律效力。</w:t>
      </w:r>
    </w:p>
    <w:p>
      <w:pPr>
        <w:pStyle w:val="27"/>
        <w:snapToGrid w:val="0"/>
        <w:spacing w:beforeLines="0" w:afterLines="0" w:line="360" w:lineRule="auto"/>
        <w:ind w:firstLine="480" w:firstLineChars="200"/>
        <w:rPr>
          <w:rFonts w:hint="eastAsia" w:hAnsi="宋体" w:cs="宋体"/>
        </w:rPr>
      </w:pPr>
      <w:r>
        <w:rPr>
          <w:rFonts w:hint="eastAsia" w:hAnsi="宋体" w:cs="宋体"/>
        </w:rPr>
        <w:t>5、声明：本合同样本仅供参考，甲乙双方可就招标文件的非实质性条款进行修改，但不能修改项目的工期、单价、付款方式、品牌型号、质保期等实质性条款，甲乙双方对合同的真实性负责，鉴证方只负责见证项目招标的真实性。</w:t>
      </w:r>
    </w:p>
    <w:p>
      <w:pPr>
        <w:snapToGrid w:val="0"/>
        <w:spacing w:line="360" w:lineRule="auto"/>
        <w:rPr>
          <w:rFonts w:hint="eastAsia" w:ascii="宋体" w:hAnsi="宋体" w:cs="宋体"/>
          <w:sz w:val="24"/>
        </w:rPr>
      </w:pPr>
      <w:r>
        <w:rPr>
          <w:rFonts w:hint="eastAsia" w:ascii="宋体" w:hAnsi="宋体" w:cs="宋体"/>
          <w:b/>
          <w:sz w:val="24"/>
        </w:rPr>
        <w:t>甲方（公章）：        乙方（公章）：</w:t>
      </w:r>
    </w:p>
    <w:p>
      <w:pPr>
        <w:snapToGrid w:val="0"/>
        <w:spacing w:line="360" w:lineRule="auto"/>
        <w:rPr>
          <w:rFonts w:hint="eastAsia" w:ascii="宋体" w:hAnsi="宋体" w:cs="宋体"/>
          <w:sz w:val="24"/>
        </w:rPr>
      </w:pPr>
      <w:r>
        <w:rPr>
          <w:rFonts w:hint="eastAsia" w:ascii="宋体" w:hAnsi="宋体" w:cs="宋体"/>
          <w:sz w:val="24"/>
        </w:rPr>
        <w:t>法定代表人或受委托人               法定代表人或受委托人</w:t>
      </w:r>
    </w:p>
    <w:p>
      <w:pPr>
        <w:snapToGrid w:val="0"/>
        <w:spacing w:line="360" w:lineRule="auto"/>
        <w:rPr>
          <w:rFonts w:hint="eastAsia" w:ascii="宋体" w:hAnsi="宋体" w:cs="宋体"/>
          <w:sz w:val="24"/>
        </w:rPr>
      </w:pPr>
      <w:r>
        <w:rPr>
          <w:rFonts w:hint="eastAsia" w:ascii="宋体" w:hAnsi="宋体" w:cs="宋体"/>
          <w:sz w:val="24"/>
        </w:rPr>
        <w:t>（签字）                            （签字）</w:t>
      </w:r>
    </w:p>
    <w:p>
      <w:pPr>
        <w:snapToGrid w:val="0"/>
        <w:spacing w:line="360" w:lineRule="auto"/>
        <w:rPr>
          <w:rFonts w:hint="eastAsia" w:ascii="宋体" w:hAnsi="宋体" w:cs="宋体"/>
          <w:sz w:val="24"/>
        </w:rPr>
      </w:pPr>
      <w:r>
        <w:rPr>
          <w:rFonts w:hint="eastAsia" w:ascii="宋体" w:hAnsi="宋体" w:cs="宋体"/>
          <w:sz w:val="24"/>
        </w:rPr>
        <w:t>地址：                             地址：</w:t>
      </w:r>
    </w:p>
    <w:p>
      <w:pPr>
        <w:snapToGrid w:val="0"/>
        <w:spacing w:line="360" w:lineRule="auto"/>
        <w:rPr>
          <w:rFonts w:hint="eastAsia" w:ascii="宋体" w:hAnsi="宋体" w:cs="宋体"/>
          <w:sz w:val="24"/>
        </w:rPr>
      </w:pPr>
      <w:r>
        <w:rPr>
          <w:rFonts w:hint="eastAsia" w:ascii="宋体" w:hAnsi="宋体" w:cs="宋体"/>
          <w:sz w:val="24"/>
        </w:rPr>
        <w:t>邮编：                             邮编：</w:t>
      </w:r>
    </w:p>
    <w:p>
      <w:pPr>
        <w:snapToGrid w:val="0"/>
        <w:spacing w:line="360" w:lineRule="auto"/>
        <w:rPr>
          <w:rFonts w:hint="eastAsia" w:ascii="宋体" w:hAnsi="宋体" w:cs="宋体"/>
          <w:sz w:val="24"/>
        </w:rPr>
      </w:pPr>
      <w:r>
        <w:rPr>
          <w:rFonts w:hint="eastAsia" w:ascii="宋体" w:hAnsi="宋体" w:cs="宋体"/>
          <w:sz w:val="24"/>
        </w:rPr>
        <w:t>电话：                             电话：</w:t>
      </w:r>
    </w:p>
    <w:p>
      <w:pPr>
        <w:snapToGrid w:val="0"/>
        <w:spacing w:line="360" w:lineRule="auto"/>
        <w:rPr>
          <w:rFonts w:hint="eastAsia" w:ascii="宋体" w:hAnsi="宋体" w:cs="宋体"/>
          <w:sz w:val="24"/>
        </w:rPr>
      </w:pPr>
      <w:r>
        <w:rPr>
          <w:rFonts w:hint="eastAsia" w:ascii="宋体" w:hAnsi="宋体" w:cs="宋体"/>
          <w:sz w:val="24"/>
        </w:rPr>
        <w:t>传真：                             传真：</w:t>
      </w:r>
    </w:p>
    <w:p>
      <w:pPr>
        <w:snapToGrid w:val="0"/>
        <w:spacing w:line="360" w:lineRule="auto"/>
        <w:rPr>
          <w:rFonts w:hint="eastAsia" w:ascii="宋体" w:hAnsi="宋体" w:cs="宋体"/>
          <w:b/>
          <w:bCs/>
          <w:szCs w:val="21"/>
        </w:rPr>
      </w:pPr>
      <w:r>
        <w:rPr>
          <w:rFonts w:hint="eastAsia" w:ascii="宋体" w:hAnsi="宋体" w:cs="宋体"/>
          <w:sz w:val="24"/>
        </w:rPr>
        <w:t>户名：                             户名：</w:t>
      </w:r>
    </w:p>
    <w:p>
      <w:pPr>
        <w:snapToGrid w:val="0"/>
        <w:spacing w:line="360" w:lineRule="auto"/>
        <w:rPr>
          <w:rFonts w:hint="eastAsia" w:ascii="宋体" w:hAnsi="宋体" w:cs="宋体"/>
          <w:sz w:val="24"/>
        </w:rPr>
      </w:pPr>
      <w:r>
        <w:rPr>
          <w:rFonts w:hint="eastAsia" w:ascii="宋体" w:hAnsi="宋体" w:cs="宋体"/>
          <w:sz w:val="24"/>
        </w:rPr>
        <w:t>开户银行：                         开户银行：</w:t>
      </w:r>
    </w:p>
    <w:p>
      <w:pPr>
        <w:snapToGrid w:val="0"/>
        <w:spacing w:line="360" w:lineRule="auto"/>
        <w:rPr>
          <w:rFonts w:hint="eastAsia" w:ascii="宋体" w:hAnsi="宋体" w:cs="宋体"/>
        </w:rPr>
      </w:pPr>
      <w:r>
        <w:rPr>
          <w:rFonts w:hint="eastAsia" w:ascii="宋体" w:hAnsi="宋体" w:cs="宋体"/>
          <w:sz w:val="24"/>
        </w:rPr>
        <w:t>帐号：                             帐号：</w:t>
      </w:r>
    </w:p>
    <w:p>
      <w:pPr>
        <w:snapToGrid w:val="0"/>
        <w:spacing w:line="276" w:lineRule="auto"/>
        <w:rPr>
          <w:rFonts w:hint="eastAsia" w:ascii="宋体" w:hAnsi="宋体" w:cs="宋体"/>
          <w:sz w:val="24"/>
        </w:rPr>
      </w:pPr>
    </w:p>
    <w:p>
      <w:pPr>
        <w:snapToGrid w:val="0"/>
        <w:spacing w:line="276" w:lineRule="auto"/>
        <w:rPr>
          <w:rFonts w:hint="eastAsia" w:ascii="宋体" w:hAnsi="宋体" w:cs="宋体"/>
          <w:sz w:val="24"/>
        </w:rPr>
      </w:pPr>
      <w:r>
        <w:rPr>
          <w:rFonts w:hint="eastAsia" w:ascii="宋体" w:hAnsi="宋体" w:cs="宋体"/>
          <w:sz w:val="24"/>
        </w:rPr>
        <w:t xml:space="preserve">   签约地点：                            签约时间：</w:t>
      </w:r>
    </w:p>
    <w:p>
      <w:pPr>
        <w:spacing w:line="360" w:lineRule="auto"/>
        <w:rPr>
          <w:rFonts w:hint="eastAsia" w:ascii="宋体" w:hAnsi="宋体" w:cs="宋体"/>
        </w:rPr>
      </w:pPr>
    </w:p>
    <w:p>
      <w:pPr>
        <w:spacing w:line="360" w:lineRule="auto"/>
        <w:jc w:val="center"/>
        <w:rPr>
          <w:rFonts w:hint="eastAsia" w:ascii="宋体" w:hAnsi="宋体" w:cs="宋体"/>
          <w:sz w:val="32"/>
          <w:szCs w:val="32"/>
        </w:rPr>
      </w:pPr>
    </w:p>
    <w:p>
      <w:pPr>
        <w:snapToGrid w:val="0"/>
        <w:spacing w:line="276" w:lineRule="auto"/>
        <w:rPr>
          <w:rFonts w:hint="eastAsia" w:ascii="宋体" w:hAnsi="宋体" w:cs="宋体"/>
          <w:sz w:val="32"/>
          <w:szCs w:val="32"/>
        </w:rPr>
      </w:pPr>
    </w:p>
    <w:p>
      <w:pPr>
        <w:spacing w:line="360" w:lineRule="auto"/>
        <w:rPr>
          <w:rFonts w:hint="eastAsia" w:ascii="宋体" w:hAnsi="宋体" w:cs="宋体"/>
          <w:sz w:val="32"/>
          <w:szCs w:val="32"/>
        </w:rPr>
      </w:pPr>
    </w:p>
    <w:p>
      <w:pPr>
        <w:pStyle w:val="22"/>
        <w:rPr>
          <w:rFonts w:hint="eastAsia" w:ascii="宋体" w:hAnsi="宋体" w:cs="宋体"/>
          <w:sz w:val="32"/>
          <w:szCs w:val="32"/>
        </w:rPr>
      </w:pPr>
    </w:p>
    <w:p>
      <w:pPr>
        <w:rPr>
          <w:rFonts w:hint="eastAsia" w:ascii="宋体" w:hAnsi="宋体" w:cs="宋体"/>
          <w:sz w:val="32"/>
          <w:szCs w:val="32"/>
        </w:rPr>
      </w:pPr>
    </w:p>
    <w:p>
      <w:pPr>
        <w:spacing w:line="360" w:lineRule="auto"/>
        <w:jc w:val="center"/>
        <w:rPr>
          <w:rFonts w:hint="eastAsia" w:ascii="宋体" w:hAnsi="宋体" w:cs="宋体"/>
          <w:sz w:val="32"/>
          <w:szCs w:val="32"/>
        </w:rPr>
      </w:pPr>
    </w:p>
    <w:p>
      <w:pPr>
        <w:spacing w:line="360" w:lineRule="auto"/>
        <w:jc w:val="center"/>
        <w:rPr>
          <w:rFonts w:hint="eastAsia" w:ascii="宋体" w:hAnsi="宋体" w:cs="宋体"/>
          <w:sz w:val="32"/>
          <w:szCs w:val="32"/>
        </w:rPr>
      </w:pPr>
    </w:p>
    <w:p>
      <w:pPr>
        <w:spacing w:line="360" w:lineRule="auto"/>
        <w:jc w:val="center"/>
        <w:rPr>
          <w:rFonts w:hint="eastAsia" w:ascii="宋体" w:hAnsi="宋体" w:cs="宋体"/>
          <w:sz w:val="32"/>
          <w:szCs w:val="32"/>
        </w:rPr>
      </w:pPr>
    </w:p>
    <w:p>
      <w:pPr>
        <w:spacing w:line="360" w:lineRule="auto"/>
        <w:jc w:val="center"/>
        <w:rPr>
          <w:rFonts w:hint="eastAsia" w:ascii="宋体" w:hAnsi="宋体" w:cs="宋体"/>
          <w:sz w:val="32"/>
          <w:szCs w:val="32"/>
        </w:rPr>
      </w:pPr>
    </w:p>
    <w:p>
      <w:pPr>
        <w:spacing w:line="360" w:lineRule="auto"/>
        <w:jc w:val="center"/>
        <w:rPr>
          <w:rFonts w:hint="eastAsia" w:ascii="宋体" w:hAnsi="宋体" w:cs="宋体"/>
          <w:sz w:val="32"/>
          <w:szCs w:val="32"/>
        </w:rPr>
      </w:pPr>
    </w:p>
    <w:p>
      <w:pPr>
        <w:spacing w:line="360" w:lineRule="auto"/>
        <w:jc w:val="center"/>
        <w:rPr>
          <w:rFonts w:hint="eastAsia" w:ascii="宋体" w:hAnsi="宋体" w:cs="宋体"/>
          <w:sz w:val="32"/>
          <w:szCs w:val="32"/>
        </w:rPr>
      </w:pPr>
    </w:p>
    <w:p>
      <w:pPr>
        <w:spacing w:line="360" w:lineRule="auto"/>
        <w:jc w:val="center"/>
        <w:rPr>
          <w:rFonts w:hint="eastAsia" w:ascii="宋体" w:hAnsi="宋体" w:cs="宋体"/>
          <w:sz w:val="32"/>
          <w:szCs w:val="32"/>
        </w:rPr>
      </w:pPr>
    </w:p>
    <w:p>
      <w:pPr>
        <w:spacing w:line="360" w:lineRule="auto"/>
        <w:jc w:val="center"/>
        <w:rPr>
          <w:rFonts w:hint="eastAsia" w:ascii="宋体" w:hAnsi="宋体" w:cs="宋体"/>
        </w:rPr>
      </w:pPr>
      <w:r>
        <w:rPr>
          <w:rFonts w:hint="eastAsia" w:ascii="宋体" w:hAnsi="宋体" w:cs="宋体"/>
          <w:sz w:val="32"/>
          <w:szCs w:val="32"/>
        </w:rPr>
        <w:t>第六章　投标文件格式</w:t>
      </w:r>
    </w:p>
    <w:p>
      <w:pPr>
        <w:snapToGrid w:val="0"/>
        <w:spacing w:before="50" w:after="50" w:line="360" w:lineRule="auto"/>
        <w:outlineLvl w:val="1"/>
        <w:rPr>
          <w:rFonts w:hint="eastAsia" w:ascii="宋体" w:hAnsi="宋体" w:cs="宋体"/>
          <w:b/>
          <w:sz w:val="24"/>
        </w:rPr>
      </w:pPr>
      <w:r>
        <w:rPr>
          <w:rFonts w:hint="eastAsia" w:ascii="宋体" w:hAnsi="宋体" w:cs="宋体"/>
          <w:b/>
          <w:sz w:val="24"/>
        </w:rPr>
        <w:t>附件1：</w:t>
      </w:r>
    </w:p>
    <w:p>
      <w:pPr>
        <w:snapToGrid w:val="0"/>
        <w:spacing w:before="120" w:beforeLines="50" w:after="50" w:line="360" w:lineRule="auto"/>
        <w:jc w:val="center"/>
        <w:outlineLvl w:val="1"/>
        <w:rPr>
          <w:rFonts w:hint="eastAsia" w:ascii="宋体" w:hAnsi="宋体" w:cs="宋体"/>
        </w:rPr>
      </w:pPr>
    </w:p>
    <w:p>
      <w:pPr>
        <w:snapToGrid w:val="0"/>
        <w:spacing w:before="120" w:beforeLines="50" w:after="50" w:line="360" w:lineRule="auto"/>
        <w:rPr>
          <w:rFonts w:hint="eastAsia" w:ascii="宋体" w:hAnsi="宋体" w:cs="宋体"/>
          <w:b/>
          <w:sz w:val="24"/>
          <w:szCs w:val="20"/>
        </w:rPr>
      </w:pPr>
      <w:r>
        <w:rPr>
          <w:rFonts w:hint="eastAsia" w:ascii="宋体" w:hAnsi="宋体" w:cs="宋体"/>
          <w:b/>
          <w:sz w:val="24"/>
        </w:rPr>
        <w:t>1.所有投标文件封面格式：</w:t>
      </w:r>
    </w:p>
    <w:p>
      <w:pPr>
        <w:snapToGrid w:val="0"/>
        <w:spacing w:before="120" w:beforeLines="50" w:after="50" w:line="360" w:lineRule="auto"/>
        <w:rPr>
          <w:rFonts w:hint="eastAsia" w:ascii="宋体" w:hAnsi="宋体" w:cs="宋体"/>
          <w:b/>
          <w:bCs/>
          <w:sz w:val="32"/>
          <w:szCs w:val="20"/>
        </w:rPr>
      </w:pPr>
      <w:r>
        <w:rPr>
          <w:rFonts w:hint="eastAsia" w:ascii="宋体" w:hAnsi="宋体" w:cs="宋体"/>
          <w:b/>
          <w:bCs/>
        </w:rPr>
        <w:t>正本/或副本</w:t>
      </w:r>
    </w:p>
    <w:p>
      <w:pPr>
        <w:snapToGrid w:val="0"/>
        <w:spacing w:before="120" w:beforeLines="50" w:after="50" w:line="360" w:lineRule="auto"/>
        <w:jc w:val="center"/>
        <w:rPr>
          <w:rFonts w:hint="eastAsia" w:ascii="宋体" w:hAnsi="宋体" w:cs="宋体"/>
          <w:bCs/>
          <w:sz w:val="24"/>
          <w:szCs w:val="20"/>
        </w:rPr>
      </w:pPr>
    </w:p>
    <w:p>
      <w:pPr>
        <w:snapToGrid w:val="0"/>
        <w:spacing w:before="120" w:beforeLines="50" w:after="50" w:line="360" w:lineRule="auto"/>
        <w:jc w:val="center"/>
        <w:rPr>
          <w:rFonts w:hint="eastAsia" w:ascii="宋体" w:hAnsi="宋体" w:cs="宋体"/>
          <w:bCs/>
          <w:sz w:val="24"/>
          <w:szCs w:val="20"/>
        </w:rPr>
      </w:pPr>
      <w:r>
        <w:rPr>
          <w:rFonts w:hint="eastAsia" w:ascii="宋体" w:hAnsi="宋体" w:cs="宋体"/>
          <w:b/>
          <w:bCs/>
          <w:sz w:val="24"/>
        </w:rPr>
        <w:t>资格响应文件、报价要求响应文件、商务技术响应文件</w:t>
      </w:r>
    </w:p>
    <w:p>
      <w:pPr>
        <w:snapToGrid w:val="0"/>
        <w:spacing w:before="120" w:beforeLines="50" w:after="50" w:line="360" w:lineRule="auto"/>
        <w:ind w:left="2267" w:leftChars="508" w:hanging="1200" w:hangingChars="500"/>
        <w:rPr>
          <w:rFonts w:hint="eastAsia" w:ascii="宋体" w:hAnsi="宋体" w:cs="宋体"/>
          <w:bCs/>
          <w:sz w:val="24"/>
        </w:rPr>
      </w:pPr>
      <w:r>
        <w:rPr>
          <w:rFonts w:hint="eastAsia" w:ascii="宋体" w:hAnsi="宋体" w:cs="宋体"/>
          <w:bCs/>
          <w:sz w:val="24"/>
        </w:rPr>
        <w:t>项目名称：</w:t>
      </w:r>
    </w:p>
    <w:p>
      <w:pPr>
        <w:snapToGrid w:val="0"/>
        <w:spacing w:before="120" w:beforeLines="50" w:after="50" w:line="360" w:lineRule="auto"/>
        <w:ind w:firstLine="1068" w:firstLineChars="445"/>
        <w:rPr>
          <w:rFonts w:hint="eastAsia" w:ascii="宋体" w:hAnsi="宋体" w:cs="宋体"/>
          <w:bCs/>
          <w:sz w:val="24"/>
        </w:rPr>
      </w:pPr>
      <w:r>
        <w:rPr>
          <w:rFonts w:hint="eastAsia" w:ascii="宋体" w:hAnsi="宋体" w:cs="宋体"/>
          <w:bCs/>
          <w:sz w:val="24"/>
        </w:rPr>
        <w:t>项目编号：DYCG2022-</w:t>
      </w:r>
    </w:p>
    <w:p>
      <w:pPr>
        <w:snapToGrid w:val="0"/>
        <w:spacing w:before="120" w:beforeLines="50" w:after="50" w:line="360" w:lineRule="auto"/>
        <w:ind w:firstLine="1068" w:firstLineChars="445"/>
        <w:rPr>
          <w:rFonts w:hint="eastAsia" w:ascii="宋体" w:hAnsi="宋体" w:cs="宋体"/>
          <w:bCs/>
          <w:sz w:val="24"/>
        </w:rPr>
      </w:pPr>
      <w:r>
        <w:rPr>
          <w:rFonts w:hint="eastAsia" w:ascii="宋体" w:hAnsi="宋体" w:cs="宋体"/>
          <w:bCs/>
          <w:sz w:val="24"/>
        </w:rPr>
        <w:t>投标人名称：</w:t>
      </w:r>
    </w:p>
    <w:p>
      <w:pPr>
        <w:snapToGrid w:val="0"/>
        <w:spacing w:before="120" w:beforeLines="50" w:after="50" w:line="360" w:lineRule="auto"/>
        <w:ind w:firstLine="1068" w:firstLineChars="445"/>
        <w:rPr>
          <w:rFonts w:hint="eastAsia" w:ascii="宋体" w:hAnsi="宋体" w:cs="宋体"/>
          <w:bCs/>
          <w:sz w:val="24"/>
        </w:rPr>
      </w:pPr>
      <w:r>
        <w:rPr>
          <w:rFonts w:hint="eastAsia" w:ascii="宋体" w:hAnsi="宋体" w:cs="宋体"/>
          <w:bCs/>
          <w:sz w:val="24"/>
        </w:rPr>
        <w:t>投标人地址：</w:t>
      </w:r>
    </w:p>
    <w:p>
      <w:pPr>
        <w:snapToGrid w:val="0"/>
        <w:spacing w:before="120" w:beforeLines="50" w:after="50" w:line="360" w:lineRule="auto"/>
        <w:ind w:firstLine="645"/>
        <w:jc w:val="center"/>
        <w:rPr>
          <w:rFonts w:hint="eastAsia" w:ascii="宋体" w:hAnsi="宋体" w:cs="宋体"/>
          <w:sz w:val="24"/>
        </w:rPr>
      </w:pPr>
      <w:r>
        <w:rPr>
          <w:rFonts w:hint="eastAsia" w:ascii="宋体" w:hAnsi="宋体" w:cs="宋体"/>
          <w:sz w:val="24"/>
        </w:rPr>
        <w:t xml:space="preserve">                          年  月   日</w:t>
      </w:r>
    </w:p>
    <w:p>
      <w:pPr>
        <w:pStyle w:val="6"/>
        <w:rPr>
          <w:rFonts w:hint="eastAsia" w:ascii="宋体" w:hAnsi="宋体" w:cs="宋体"/>
          <w:sz w:val="24"/>
        </w:rPr>
      </w:pPr>
      <w:r>
        <w:rPr>
          <w:rFonts w:hint="eastAsia" w:ascii="宋体" w:hAnsi="宋体" w:cs="宋体"/>
          <w:sz w:val="24"/>
        </w:rPr>
        <w:br w:type="page"/>
      </w:r>
      <w:r>
        <w:rPr>
          <w:rFonts w:hint="eastAsia" w:ascii="宋体" w:hAnsi="宋体" w:cs="宋体"/>
          <w:bCs w:val="0"/>
          <w:kern w:val="2"/>
          <w:sz w:val="24"/>
          <w:szCs w:val="24"/>
          <w:lang w:val="en-US" w:eastAsia="zh-CN"/>
        </w:rPr>
        <w:t>附件2：投标人具有良好的商业信誉和健全的财务会计制度声明函</w:t>
      </w:r>
    </w:p>
    <w:p>
      <w:pPr>
        <w:pStyle w:val="6"/>
        <w:jc w:val="center"/>
        <w:rPr>
          <w:rFonts w:hint="eastAsia" w:ascii="宋体" w:hAnsi="宋体" w:cs="宋体"/>
          <w:bCs w:val="0"/>
          <w:sz w:val="30"/>
          <w:szCs w:val="30"/>
        </w:rPr>
      </w:pPr>
      <w:r>
        <w:rPr>
          <w:rFonts w:hint="eastAsia" w:ascii="宋体" w:hAnsi="宋体" w:cs="宋体"/>
          <w:bCs w:val="0"/>
          <w:sz w:val="30"/>
          <w:szCs w:val="30"/>
        </w:rPr>
        <w:t>投标人具有良好的商业信誉和健全的财务会计制度声明函</w:t>
      </w:r>
    </w:p>
    <w:p>
      <w:pPr>
        <w:snapToGrid w:val="0"/>
        <w:spacing w:line="360" w:lineRule="auto"/>
        <w:rPr>
          <w:rFonts w:hint="eastAsia" w:ascii="宋体" w:hAnsi="宋体" w:cs="宋体"/>
          <w:sz w:val="24"/>
        </w:rPr>
      </w:pPr>
      <w:r>
        <w:rPr>
          <w:rFonts w:hint="eastAsia" w:ascii="宋体" w:hAnsi="宋体" w:cs="宋体"/>
          <w:sz w:val="24"/>
        </w:rPr>
        <w:t>致：采购人</w:t>
      </w:r>
    </w:p>
    <w:p>
      <w:pPr>
        <w:pStyle w:val="6"/>
        <w:ind w:firstLine="480" w:firstLineChars="200"/>
        <w:rPr>
          <w:rFonts w:hint="eastAsia" w:ascii="宋体" w:hAnsi="宋体" w:cs="宋体"/>
          <w:b w:val="0"/>
          <w:bCs w:val="0"/>
          <w:sz w:val="24"/>
          <w:szCs w:val="24"/>
        </w:rPr>
      </w:pPr>
      <w:r>
        <w:rPr>
          <w:rFonts w:hint="eastAsia" w:ascii="宋体" w:hAnsi="宋体" w:cs="宋体"/>
          <w:b w:val="0"/>
          <w:bCs w:val="0"/>
          <w:sz w:val="24"/>
          <w:szCs w:val="24"/>
        </w:rPr>
        <w:t>本公司（单位）在参加采购编号为            ，项目名称为         的政府采购活动前，在生产经营活动中始终做到遵纪守法，诚实守信，并具有良好的履约业绩，严格执行现行的财务会计管理制度，财务管理制度健全，账务清晰，能够按规定真实、全面地反映企业的生产经营活动。</w:t>
      </w:r>
    </w:p>
    <w:p>
      <w:pPr>
        <w:pStyle w:val="6"/>
        <w:ind w:firstLine="480" w:firstLineChars="200"/>
        <w:rPr>
          <w:rFonts w:hint="eastAsia" w:ascii="宋体" w:hAnsi="宋体" w:cs="宋体"/>
          <w:b w:val="0"/>
          <w:bCs w:val="0"/>
          <w:sz w:val="24"/>
          <w:szCs w:val="24"/>
        </w:rPr>
      </w:pPr>
      <w:r>
        <w:rPr>
          <w:rFonts w:hint="eastAsia" w:ascii="宋体" w:hAnsi="宋体" w:cs="宋体"/>
          <w:b w:val="0"/>
          <w:bCs w:val="0"/>
          <w:sz w:val="24"/>
          <w:szCs w:val="24"/>
        </w:rPr>
        <w:t>特此声明。</w:t>
      </w:r>
    </w:p>
    <w:p>
      <w:pPr>
        <w:snapToGrid w:val="0"/>
        <w:spacing w:line="360" w:lineRule="auto"/>
        <w:ind w:firstLine="5520" w:firstLineChars="2300"/>
        <w:rPr>
          <w:rFonts w:hint="eastAsia"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pPr>
        <w:snapToGrid w:val="0"/>
        <w:spacing w:line="360" w:lineRule="auto"/>
        <w:ind w:firstLine="5520" w:firstLineChars="2300"/>
        <w:rPr>
          <w:rFonts w:hint="eastAsia" w:ascii="宋体" w:hAnsi="宋体" w:cs="宋体"/>
          <w:b/>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rPr>
        <w:br w:type="page"/>
      </w:r>
      <w:r>
        <w:rPr>
          <w:rFonts w:hint="eastAsia" w:ascii="宋体" w:hAnsi="宋体" w:cs="宋体"/>
          <w:b/>
          <w:sz w:val="24"/>
        </w:rPr>
        <w:t>附件3：具有履行合同所必需的的设备和专业技术能力的承诺函</w:t>
      </w:r>
    </w:p>
    <w:p>
      <w:pPr>
        <w:pStyle w:val="6"/>
        <w:jc w:val="center"/>
        <w:rPr>
          <w:rFonts w:hint="eastAsia" w:ascii="宋体" w:hAnsi="宋体" w:cs="宋体"/>
          <w:bCs w:val="0"/>
          <w:sz w:val="30"/>
          <w:szCs w:val="30"/>
        </w:rPr>
      </w:pPr>
      <w:r>
        <w:rPr>
          <w:rFonts w:hint="eastAsia" w:ascii="宋体" w:hAnsi="宋体" w:cs="宋体"/>
          <w:bCs w:val="0"/>
          <w:sz w:val="30"/>
          <w:szCs w:val="30"/>
        </w:rPr>
        <w:t>具有履行合同所必需的的设备和专业技术能力的承诺函</w:t>
      </w:r>
    </w:p>
    <w:p>
      <w:pPr>
        <w:snapToGrid w:val="0"/>
        <w:spacing w:line="360" w:lineRule="auto"/>
        <w:ind w:firstLine="720" w:firstLineChars="300"/>
        <w:rPr>
          <w:rFonts w:hint="eastAsia" w:ascii="宋体" w:hAnsi="宋体" w:cs="宋体"/>
          <w:sz w:val="24"/>
        </w:rPr>
      </w:pPr>
      <w:r>
        <w:rPr>
          <w:rFonts w:hint="eastAsia" w:ascii="宋体" w:hAnsi="宋体" w:cs="宋体"/>
          <w:sz w:val="24"/>
        </w:rPr>
        <w:t>我公司（单位）具备履行合同所需的设备和专业技术能力，具体情况介绍如下：</w:t>
      </w:r>
    </w:p>
    <w:p>
      <w:pPr>
        <w:pStyle w:val="6"/>
        <w:rPr>
          <w:rFonts w:hint="eastAsia" w:ascii="宋体" w:hAnsi="宋体" w:cs="宋体"/>
          <w:bCs w:val="0"/>
          <w:sz w:val="24"/>
        </w:rPr>
      </w:pPr>
      <w:r>
        <w:rPr>
          <w:rFonts w:hint="eastAsia" w:ascii="宋体" w:hAnsi="宋体" w:cs="宋体"/>
          <w:bCs w:val="0"/>
          <w:sz w:val="24"/>
        </w:rPr>
        <w:t>（内容包括：主要设备、专业技术人员、公司资质等）</w:t>
      </w:r>
    </w:p>
    <w:p>
      <w:pPr>
        <w:rPr>
          <w:rFonts w:hint="eastAsia" w:ascii="宋体" w:hAnsi="宋体" w:cs="宋体"/>
        </w:rPr>
      </w:pPr>
      <w:r>
        <w:rPr>
          <w:rFonts w:hint="eastAsia" w:ascii="宋体" w:hAnsi="宋体" w:cs="宋体"/>
        </w:rPr>
        <w:t>……</w:t>
      </w:r>
    </w:p>
    <w:p>
      <w:pPr>
        <w:snapToGrid w:val="0"/>
        <w:spacing w:line="360" w:lineRule="auto"/>
        <w:ind w:firstLine="720" w:firstLineChars="300"/>
        <w:rPr>
          <w:rFonts w:hint="eastAsia" w:ascii="宋体" w:hAnsi="宋体" w:cs="宋体"/>
          <w:sz w:val="24"/>
        </w:rPr>
      </w:pPr>
      <w:r>
        <w:rPr>
          <w:rFonts w:hint="eastAsia" w:ascii="宋体" w:hAnsi="宋体" w:cs="宋体"/>
          <w:sz w:val="24"/>
        </w:rPr>
        <w:t>特此承诺。</w:t>
      </w:r>
    </w:p>
    <w:p>
      <w:pPr>
        <w:snapToGrid w:val="0"/>
        <w:spacing w:line="360" w:lineRule="auto"/>
        <w:ind w:firstLine="5520" w:firstLineChars="2300"/>
        <w:rPr>
          <w:rFonts w:hint="eastAsia"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pPr>
        <w:snapToGrid w:val="0"/>
        <w:spacing w:line="360" w:lineRule="auto"/>
        <w:ind w:firstLine="5520" w:firstLineChars="230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pPr>
        <w:snapToGrid w:val="0"/>
        <w:spacing w:line="360" w:lineRule="auto"/>
        <w:ind w:firstLine="5520" w:firstLineChars="2300"/>
        <w:rPr>
          <w:rFonts w:hint="eastAsia" w:ascii="宋体" w:hAnsi="宋体" w:cs="宋体"/>
          <w:sz w:val="24"/>
        </w:rPr>
      </w:pPr>
    </w:p>
    <w:p>
      <w:pPr>
        <w:snapToGrid w:val="0"/>
        <w:spacing w:line="360" w:lineRule="auto"/>
        <w:ind w:firstLine="5520" w:firstLineChars="2300"/>
        <w:rPr>
          <w:rFonts w:hint="eastAsia" w:ascii="宋体" w:hAnsi="宋体" w:cs="宋体"/>
          <w:sz w:val="24"/>
        </w:rPr>
      </w:pPr>
      <w:r>
        <w:rPr>
          <w:rFonts w:hint="eastAsia" w:ascii="宋体" w:hAnsi="宋体" w:cs="宋体"/>
          <w:sz w:val="24"/>
        </w:rPr>
        <w:t xml:space="preserve">                                        </w:t>
      </w:r>
    </w:p>
    <w:p>
      <w:pPr>
        <w:pStyle w:val="6"/>
        <w:rPr>
          <w:rFonts w:hint="eastAsia" w:ascii="宋体" w:hAnsi="宋体" w:cs="宋体"/>
          <w:sz w:val="24"/>
        </w:rPr>
      </w:pPr>
    </w:p>
    <w:p>
      <w:pPr>
        <w:pStyle w:val="6"/>
        <w:rPr>
          <w:rFonts w:hint="eastAsia" w:ascii="宋体" w:hAnsi="宋体" w:cs="宋体"/>
        </w:rPr>
      </w:pPr>
    </w:p>
    <w:p>
      <w:pPr>
        <w:pStyle w:val="6"/>
        <w:rPr>
          <w:rFonts w:hint="eastAsia" w:ascii="宋体" w:hAnsi="宋体" w:cs="宋体"/>
          <w:b w:val="0"/>
          <w:sz w:val="24"/>
        </w:rPr>
      </w:pPr>
    </w:p>
    <w:p>
      <w:pPr>
        <w:rPr>
          <w:rFonts w:hint="eastAsia" w:ascii="宋体" w:hAnsi="宋体" w:cs="宋体"/>
          <w:b/>
          <w:sz w:val="24"/>
        </w:rPr>
      </w:pPr>
    </w:p>
    <w:p>
      <w:pPr>
        <w:pStyle w:val="6"/>
        <w:rPr>
          <w:rFonts w:hint="eastAsia" w:ascii="宋体" w:hAnsi="宋体" w:cs="宋体"/>
          <w:b w:val="0"/>
          <w:sz w:val="24"/>
        </w:rPr>
      </w:pPr>
    </w:p>
    <w:p>
      <w:pPr>
        <w:rPr>
          <w:rFonts w:hint="eastAsia" w:ascii="宋体" w:hAnsi="宋体" w:cs="宋体"/>
          <w:b/>
          <w:sz w:val="24"/>
        </w:rPr>
      </w:pPr>
    </w:p>
    <w:p>
      <w:pPr>
        <w:pStyle w:val="6"/>
        <w:rPr>
          <w:rFonts w:hint="eastAsia" w:ascii="宋体" w:hAnsi="宋体" w:cs="宋体"/>
          <w:b w:val="0"/>
          <w:sz w:val="24"/>
        </w:rPr>
      </w:pPr>
    </w:p>
    <w:p>
      <w:pPr>
        <w:rPr>
          <w:rFonts w:hint="eastAsia" w:ascii="宋体" w:hAnsi="宋体" w:cs="宋体"/>
          <w:b/>
          <w:sz w:val="24"/>
        </w:rPr>
      </w:pPr>
    </w:p>
    <w:p>
      <w:pPr>
        <w:pStyle w:val="6"/>
        <w:rPr>
          <w:rFonts w:hint="eastAsia" w:ascii="宋体" w:hAnsi="宋体" w:cs="宋体"/>
          <w:sz w:val="24"/>
          <w:szCs w:val="24"/>
        </w:rPr>
      </w:pPr>
    </w:p>
    <w:p>
      <w:pPr>
        <w:rPr>
          <w:rFonts w:hint="eastAsia"/>
        </w:rPr>
      </w:pPr>
    </w:p>
    <w:p>
      <w:pPr>
        <w:pStyle w:val="6"/>
        <w:rPr>
          <w:rFonts w:hint="eastAsia" w:ascii="宋体" w:hAnsi="宋体" w:cs="宋体"/>
          <w:sz w:val="24"/>
          <w:szCs w:val="24"/>
        </w:rPr>
      </w:pPr>
      <w:r>
        <w:rPr>
          <w:rFonts w:hint="eastAsia" w:ascii="宋体" w:hAnsi="宋体" w:cs="宋体"/>
          <w:sz w:val="24"/>
          <w:szCs w:val="24"/>
        </w:rPr>
        <w:t>附件4：投标声明书格式：</w:t>
      </w:r>
    </w:p>
    <w:p>
      <w:pPr>
        <w:snapToGrid w:val="0"/>
        <w:spacing w:before="120" w:beforeLines="50" w:after="50" w:line="360" w:lineRule="auto"/>
        <w:jc w:val="center"/>
        <w:rPr>
          <w:rFonts w:ascii="宋体" w:hAnsi="宋体"/>
          <w:sz w:val="24"/>
          <w:szCs w:val="20"/>
        </w:rPr>
      </w:pPr>
      <w:r>
        <w:rPr>
          <w:rFonts w:hint="eastAsia" w:ascii="宋体" w:hAnsi="宋体"/>
          <w:sz w:val="30"/>
        </w:rPr>
        <w:t>投标声明书</w:t>
      </w:r>
    </w:p>
    <w:p>
      <w:pPr>
        <w:snapToGrid w:val="0"/>
        <w:spacing w:before="120" w:beforeLines="50" w:after="50"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pPr>
        <w:snapToGrid w:val="0"/>
        <w:spacing w:before="120" w:beforeLines="50" w:after="50"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（投标人名称）系中华人民共和国合法企业，经营地址。</w:t>
      </w:r>
    </w:p>
    <w:p>
      <w:pPr>
        <w:snapToGrid w:val="0"/>
        <w:spacing w:before="120" w:beforeLines="50" w:after="50"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___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pPr>
        <w:snapToGrid w:val="0"/>
        <w:spacing w:line="360" w:lineRule="auto"/>
        <w:ind w:firstLine="480" w:firstLineChars="200"/>
        <w:rPr>
          <w:rFonts w:hint="eastAsia"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pPr>
        <w:snapToGrid w:val="0"/>
        <w:spacing w:before="120" w:beforeLines="50"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w:t>
      </w:r>
    </w:p>
    <w:p>
      <w:pPr>
        <w:snapToGrid w:val="0"/>
        <w:spacing w:before="120" w:beforeLines="50" w:line="360" w:lineRule="auto"/>
        <w:ind w:firstLine="480" w:firstLineChars="200"/>
        <w:rPr>
          <w:rFonts w:ascii="宋体" w:hAnsi="宋体"/>
          <w:sz w:val="24"/>
          <w:szCs w:val="20"/>
        </w:rPr>
      </w:pPr>
      <w:r>
        <w:rPr>
          <w:rFonts w:ascii="宋体" w:hAnsi="宋体"/>
          <w:sz w:val="24"/>
        </w:rPr>
        <w:t>在获知本项目采购信息后，与采购人聘请的为此项目提供咨询服务的公司及其附属机构没有任何联系。</w:t>
      </w:r>
    </w:p>
    <w:p>
      <w:pPr>
        <w:snapToGrid w:val="0"/>
        <w:spacing w:before="120" w:beforeLines="50" w:line="360" w:lineRule="auto"/>
        <w:ind w:firstLine="480" w:firstLineChars="200"/>
        <w:rPr>
          <w:rFonts w:hint="eastAsia" w:ascii="宋体" w:hAnsi="宋体"/>
          <w:sz w:val="24"/>
        </w:rPr>
      </w:pPr>
      <w:r>
        <w:rPr>
          <w:rFonts w:ascii="宋体" w:hAnsi="宋体"/>
          <w:sz w:val="24"/>
        </w:rPr>
        <w:t>3</w:t>
      </w:r>
      <w:r>
        <w:rPr>
          <w:rFonts w:hint="eastAsia" w:ascii="宋体" w:hAnsi="宋体"/>
          <w:sz w:val="24"/>
        </w:rPr>
        <w:t>.</w:t>
      </w:r>
      <w:r>
        <w:rPr>
          <w:rFonts w:ascii="宋体" w:hAnsi="宋体"/>
          <w:sz w:val="24"/>
        </w:rPr>
        <w:t>我方此次向贵方提供的产品名称为：</w:t>
      </w:r>
    </w:p>
    <w:p>
      <w:pPr>
        <w:snapToGrid w:val="0"/>
        <w:spacing w:before="120" w:beforeLines="50" w:line="360" w:lineRule="auto"/>
        <w:ind w:firstLine="480" w:firstLineChars="200"/>
        <w:rPr>
          <w:rFonts w:hint="eastAsia" w:ascii="宋体" w:hAnsi="宋体"/>
          <w:sz w:val="24"/>
        </w:rPr>
      </w:pPr>
      <w:r>
        <w:rPr>
          <w:rFonts w:hint="eastAsia" w:ascii="宋体" w:hAnsi="宋体"/>
          <w:sz w:val="24"/>
        </w:rPr>
        <w:t>规格型号：</w:t>
      </w:r>
    </w:p>
    <w:p>
      <w:pPr>
        <w:snapToGrid w:val="0"/>
        <w:spacing w:before="120" w:beforeLines="50" w:line="360" w:lineRule="auto"/>
        <w:ind w:firstLine="480" w:firstLineChars="200"/>
        <w:rPr>
          <w:rFonts w:ascii="宋体" w:hAnsi="宋体"/>
          <w:sz w:val="24"/>
          <w:szCs w:val="20"/>
        </w:rPr>
      </w:pPr>
      <w:r>
        <w:rPr>
          <w:rFonts w:hint="eastAsia" w:ascii="宋体" w:hAnsi="宋体"/>
          <w:sz w:val="24"/>
        </w:rPr>
        <w:t>该型号产品我方有现货可供，并已于年月生产完工或向</w:t>
      </w:r>
      <w:r>
        <w:rPr>
          <w:rFonts w:hint="eastAsia" w:ascii="宋体" w:hAnsi="宋体"/>
          <w:sz w:val="24"/>
          <w:u w:val="single"/>
        </w:rPr>
        <w:t>　　</w:t>
      </w:r>
      <w:r>
        <w:rPr>
          <w:rFonts w:hint="eastAsia" w:ascii="宋体" w:hAnsi="宋体"/>
          <w:sz w:val="24"/>
        </w:rPr>
        <w:t>（制造商名称）购进［</w:t>
      </w:r>
      <w:r>
        <w:rPr>
          <w:rFonts w:hint="eastAsia" w:ascii="宋体" w:hAnsi="宋体"/>
          <w:b/>
          <w:bCs/>
          <w:sz w:val="24"/>
        </w:rPr>
        <w:t>或</w:t>
      </w:r>
      <w:r>
        <w:rPr>
          <w:rFonts w:hint="eastAsia" w:ascii="宋体" w:hAnsi="宋体"/>
          <w:sz w:val="24"/>
        </w:rPr>
        <w:t>需在中标后向订购］。</w:t>
      </w:r>
    </w:p>
    <w:p>
      <w:pPr>
        <w:snapToGrid w:val="0"/>
        <w:spacing w:before="120" w:beforeLines="50" w:line="360" w:lineRule="auto"/>
        <w:ind w:firstLine="480" w:firstLineChars="200"/>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我方诚意提请贵方关注：</w:t>
      </w:r>
      <w:r>
        <w:rPr>
          <w:rFonts w:hint="eastAsia" w:ascii="宋体" w:hAnsi="宋体"/>
          <w:sz w:val="24"/>
        </w:rPr>
        <w:t>近期</w:t>
      </w:r>
      <w:r>
        <w:rPr>
          <w:rFonts w:ascii="宋体" w:hAnsi="宋体"/>
          <w:sz w:val="24"/>
        </w:rPr>
        <w:t>有关该型号产品的</w:t>
      </w:r>
      <w:r>
        <w:rPr>
          <w:rFonts w:hint="eastAsia" w:ascii="宋体" w:hAnsi="宋体"/>
          <w:sz w:val="24"/>
        </w:rPr>
        <w:t>生产、供货、售后服务以及性能等方面的重大决策和事项有：</w:t>
      </w:r>
    </w:p>
    <w:p>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w:t>
      </w:r>
    </w:p>
    <w:p>
      <w:pPr>
        <w:pStyle w:val="3"/>
        <w:snapToGrid w:val="0"/>
        <w:spacing w:line="360" w:lineRule="auto"/>
        <w:ind w:firstLine="464" w:firstLineChars="200"/>
        <w:rPr>
          <w:rFonts w:hAnsi="宋体"/>
          <w:sz w:val="24"/>
        </w:rPr>
      </w:pPr>
      <w:r>
        <w:rPr>
          <w:rFonts w:hAnsi="宋体"/>
          <w:sz w:val="24"/>
        </w:rPr>
        <w:t>5</w:t>
      </w:r>
      <w:r>
        <w:rPr>
          <w:rFonts w:hint="eastAsia" w:hAnsi="宋体"/>
          <w:sz w:val="24"/>
        </w:rPr>
        <w:t>.我方及由本人担任法定代表人的其他机构</w:t>
      </w:r>
      <w:r>
        <w:rPr>
          <w:rFonts w:hAnsi="宋体"/>
          <w:sz w:val="24"/>
        </w:rPr>
        <w:t>最近三年内被</w:t>
      </w:r>
      <w:r>
        <w:rPr>
          <w:rFonts w:hint="eastAsia" w:hAnsi="宋体"/>
          <w:sz w:val="24"/>
        </w:rPr>
        <w:t>通报、被处罚的</w:t>
      </w:r>
      <w:r>
        <w:rPr>
          <w:rFonts w:hAnsi="宋体"/>
          <w:sz w:val="24"/>
        </w:rPr>
        <w:t>违法行为</w:t>
      </w:r>
      <w:r>
        <w:rPr>
          <w:rFonts w:hint="eastAsia" w:hAnsi="宋体"/>
          <w:sz w:val="24"/>
        </w:rPr>
        <w:t>或者可认定为不良行为的</w:t>
      </w:r>
      <w:r>
        <w:rPr>
          <w:rFonts w:hAnsi="宋体"/>
          <w:sz w:val="24"/>
        </w:rPr>
        <w:t>有：</w:t>
      </w:r>
    </w:p>
    <w:p>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line="360" w:lineRule="auto"/>
        <w:ind w:firstLine="464" w:firstLineChars="200"/>
        <w:rPr>
          <w:rFonts w:hint="eastAsia" w:ascii="宋体" w:hAnsi="宋体"/>
          <w:spacing w:val="-4"/>
          <w:sz w:val="24"/>
          <w:szCs w:val="20"/>
        </w:rPr>
      </w:pPr>
      <w:r>
        <w:rPr>
          <w:rFonts w:hint="eastAsia" w:ascii="宋体" w:hAnsi="宋体"/>
          <w:spacing w:val="-4"/>
          <w:sz w:val="24"/>
          <w:szCs w:val="20"/>
        </w:rPr>
        <w:t>6.以上事项如有虚假或隐瞒，我方愿意承担一切后果，并不再寻求任何旨在减轻或免除法律责任的辩解。</w:t>
      </w:r>
    </w:p>
    <w:p>
      <w:pPr>
        <w:snapToGrid w:val="0"/>
        <w:spacing w:before="120" w:beforeLines="50" w:after="50" w:line="360" w:lineRule="auto"/>
        <w:ind w:firstLine="360" w:firstLineChars="150"/>
        <w:rPr>
          <w:rFonts w:hint="eastAsia" w:ascii="宋体" w:hAnsi="宋体"/>
          <w:sz w:val="24"/>
        </w:rPr>
      </w:pPr>
      <w:r>
        <w:rPr>
          <w:rFonts w:hint="eastAsia" w:ascii="宋体" w:hAnsi="宋体"/>
          <w:sz w:val="24"/>
        </w:rPr>
        <w:t>投标人公章：</w:t>
      </w:r>
    </w:p>
    <w:p>
      <w:pPr>
        <w:snapToGrid w:val="0"/>
        <w:spacing w:before="120" w:beforeLines="50" w:after="50" w:line="360" w:lineRule="auto"/>
        <w:ind w:firstLine="5460" w:firstLineChars="2600"/>
        <w:rPr>
          <w:rFonts w:hint="eastAsia" w:ascii="宋体" w:hAnsi="宋体" w:cs="宋体"/>
          <w:sz w:val="30"/>
          <w:szCs w:val="20"/>
        </w:rPr>
      </w:pPr>
      <w:r>
        <w:t>年</w:t>
      </w:r>
      <w:r>
        <w:rPr>
          <w:rFonts w:hint="eastAsia"/>
        </w:rPr>
        <w:t xml:space="preserve">   </w:t>
      </w:r>
      <w:r>
        <w:t>月</w:t>
      </w:r>
      <w:r>
        <w:rPr>
          <w:rFonts w:hint="eastAsia"/>
        </w:rPr>
        <w:t xml:space="preserve">   </w:t>
      </w:r>
      <w:r>
        <w:t>日</w:t>
      </w:r>
      <w:r>
        <w:rPr>
          <w:rFonts w:ascii="宋体" w:hAnsi="宋体"/>
        </w:rPr>
        <w:br w:type="page"/>
      </w:r>
      <w:r>
        <w:rPr>
          <w:rFonts w:hint="eastAsia" w:ascii="宋体" w:hAnsi="宋体" w:cs="宋体"/>
          <w:b/>
          <w:sz w:val="24"/>
        </w:rPr>
        <w:t>附件5：法定代表人授权委托书格式：</w:t>
      </w:r>
    </w:p>
    <w:p>
      <w:pPr>
        <w:snapToGrid w:val="0"/>
        <w:spacing w:before="120" w:beforeLines="50" w:after="50" w:line="360" w:lineRule="auto"/>
        <w:jc w:val="center"/>
        <w:rPr>
          <w:rFonts w:hint="eastAsia" w:ascii="宋体" w:hAnsi="宋体" w:cs="宋体"/>
          <w:b/>
          <w:sz w:val="24"/>
          <w:szCs w:val="20"/>
        </w:rPr>
      </w:pPr>
      <w:r>
        <w:rPr>
          <w:rFonts w:hint="eastAsia" w:ascii="宋体" w:hAnsi="宋体" w:cs="宋体"/>
          <w:b/>
          <w:sz w:val="24"/>
        </w:rPr>
        <w:t>法定代表人授权委托书</w:t>
      </w:r>
    </w:p>
    <w:p>
      <w:pPr>
        <w:snapToGrid w:val="0"/>
        <w:spacing w:before="120" w:beforeLines="50" w:after="50" w:line="360" w:lineRule="auto"/>
        <w:rPr>
          <w:rFonts w:hint="eastAsia" w:ascii="宋体" w:hAnsi="宋体" w:cs="宋体"/>
          <w:bCs/>
          <w:sz w:val="24"/>
        </w:rPr>
      </w:pPr>
    </w:p>
    <w:p>
      <w:pPr>
        <w:snapToGrid w:val="0"/>
        <w:spacing w:before="120" w:beforeLines="50" w:after="50" w:line="360" w:lineRule="auto"/>
        <w:rPr>
          <w:rFonts w:hint="eastAsia" w:ascii="宋体" w:hAnsi="宋体" w:cs="宋体"/>
          <w:b/>
          <w:bCs/>
          <w:sz w:val="24"/>
          <w:szCs w:val="20"/>
        </w:rPr>
      </w:pPr>
      <w:r>
        <w:rPr>
          <w:rFonts w:hint="eastAsia" w:ascii="宋体" w:hAnsi="宋体" w:cs="宋体"/>
          <w:bCs/>
          <w:sz w:val="24"/>
        </w:rPr>
        <w:t>致：</w:t>
      </w:r>
      <w:r>
        <w:rPr>
          <w:rFonts w:hint="eastAsia" w:ascii="宋体" w:hAnsi="宋体" w:cs="宋体"/>
          <w:sz w:val="24"/>
        </w:rPr>
        <w:t>______</w:t>
      </w:r>
      <w:r>
        <w:rPr>
          <w:rFonts w:hint="eastAsia" w:ascii="宋体" w:hAnsi="宋体" w:cs="宋体"/>
          <w:sz w:val="24"/>
          <w:u w:val="single"/>
        </w:rPr>
        <w:t>__</w:t>
      </w:r>
      <w:r>
        <w:rPr>
          <w:rFonts w:hint="eastAsia" w:ascii="宋体" w:hAnsi="宋体" w:cs="宋体"/>
          <w:sz w:val="24"/>
        </w:rPr>
        <w:t>_（招标采购单位名称）：</w:t>
      </w:r>
    </w:p>
    <w:p>
      <w:pPr>
        <w:snapToGrid w:val="0"/>
        <w:spacing w:before="120" w:beforeLines="50" w:after="50" w:line="360" w:lineRule="auto"/>
        <w:ind w:firstLine="720" w:firstLineChars="300"/>
        <w:rPr>
          <w:rFonts w:hint="eastAsia" w:ascii="宋体" w:hAnsi="宋体" w:cs="宋体"/>
          <w:sz w:val="24"/>
        </w:rPr>
      </w:pPr>
      <w:r>
        <w:rPr>
          <w:rFonts w:hint="eastAsia" w:ascii="宋体" w:hAnsi="宋体" w:cs="宋体"/>
          <w:sz w:val="24"/>
        </w:rPr>
        <w:t>我______</w:t>
      </w:r>
      <w:r>
        <w:rPr>
          <w:rFonts w:hint="eastAsia" w:ascii="宋体" w:hAnsi="宋体" w:cs="宋体"/>
          <w:sz w:val="24"/>
          <w:u w:val="single"/>
        </w:rPr>
        <w:t>__</w:t>
      </w:r>
      <w:r>
        <w:rPr>
          <w:rFonts w:hint="eastAsia" w:ascii="宋体" w:hAnsi="宋体" w:cs="宋体"/>
          <w:sz w:val="24"/>
        </w:rPr>
        <w:t>_（姓名）系______</w:t>
      </w:r>
      <w:r>
        <w:rPr>
          <w:rFonts w:hint="eastAsia" w:ascii="宋体" w:hAnsi="宋体" w:cs="宋体"/>
          <w:sz w:val="24"/>
          <w:u w:val="single"/>
        </w:rPr>
        <w:t>__</w:t>
      </w:r>
      <w:r>
        <w:rPr>
          <w:rFonts w:hint="eastAsia" w:ascii="宋体" w:hAnsi="宋体" w:cs="宋体"/>
          <w:sz w:val="24"/>
        </w:rPr>
        <w:t>_（投标人名称）的法定代表人，现授权委托本单位在职职工（姓名）以我方的名义参加</w:t>
      </w:r>
      <w:r>
        <w:rPr>
          <w:rFonts w:hint="eastAsia" w:ascii="宋体" w:hAnsi="宋体" w:cs="宋体"/>
          <w:b/>
          <w:sz w:val="24"/>
        </w:rPr>
        <w:t>东阳市</w:t>
      </w:r>
      <w:r>
        <w:rPr>
          <w:rFonts w:hint="eastAsia" w:ascii="宋体" w:hAnsi="宋体" w:cs="宋体"/>
          <w:b/>
          <w:sz w:val="24"/>
          <w:u w:val="single"/>
        </w:rPr>
        <w:t xml:space="preserve">                 </w:t>
      </w:r>
      <w:r>
        <w:rPr>
          <w:rFonts w:hint="eastAsia" w:ascii="宋体" w:hAnsi="宋体" w:cs="宋体"/>
          <w:b/>
          <w:sz w:val="24"/>
        </w:rPr>
        <w:t>采购项目</w:t>
      </w:r>
      <w:r>
        <w:rPr>
          <w:rFonts w:hint="eastAsia" w:ascii="宋体" w:hAnsi="宋体" w:cs="宋体"/>
          <w:sz w:val="24"/>
        </w:rPr>
        <w:t>的投标活动，并代表我方全权办理针对上述项目的投标、开标、评标、签约等具体事务和签署相关文件。</w:t>
      </w:r>
    </w:p>
    <w:p>
      <w:pPr>
        <w:snapToGrid w:val="0"/>
        <w:spacing w:before="120" w:beforeLines="50" w:after="50" w:line="360" w:lineRule="auto"/>
        <w:rPr>
          <w:rFonts w:hint="eastAsia" w:ascii="宋体" w:hAnsi="宋体" w:cs="宋体"/>
          <w:sz w:val="24"/>
        </w:rPr>
      </w:pPr>
      <w:r>
        <w:rPr>
          <w:rFonts w:hint="eastAsia" w:ascii="宋体" w:hAnsi="宋体" w:cs="宋体"/>
          <w:sz w:val="24"/>
        </w:rPr>
        <w:t>我方对被授权人的签名事项负全部责任。</w:t>
      </w:r>
    </w:p>
    <w:p>
      <w:pPr>
        <w:snapToGrid w:val="0"/>
        <w:spacing w:before="120" w:beforeLines="50" w:after="50" w:line="360" w:lineRule="auto"/>
        <w:ind w:firstLine="480"/>
        <w:rPr>
          <w:rFonts w:hint="eastAsia" w:ascii="宋体" w:hAnsi="宋体" w:cs="宋体"/>
          <w:sz w:val="24"/>
          <w:szCs w:val="20"/>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pPr>
        <w:snapToGrid w:val="0"/>
        <w:spacing w:before="120" w:beforeLines="50" w:after="50" w:line="360" w:lineRule="auto"/>
        <w:ind w:firstLine="480"/>
        <w:rPr>
          <w:rFonts w:hint="eastAsia" w:ascii="宋体" w:hAnsi="宋体" w:cs="宋体"/>
          <w:sz w:val="24"/>
          <w:szCs w:val="20"/>
        </w:rPr>
      </w:pPr>
      <w:r>
        <w:rPr>
          <w:rFonts w:hint="eastAsia" w:ascii="宋体" w:hAnsi="宋体" w:cs="宋体"/>
          <w:sz w:val="24"/>
        </w:rPr>
        <w:t>被授权人无转委托权，特此委托。</w:t>
      </w:r>
    </w:p>
    <w:p>
      <w:pPr>
        <w:snapToGrid w:val="0"/>
        <w:spacing w:before="120" w:beforeLines="50" w:after="50" w:line="360" w:lineRule="auto"/>
        <w:rPr>
          <w:rFonts w:hint="eastAsia" w:ascii="宋体" w:hAnsi="宋体" w:cs="宋体"/>
          <w:sz w:val="24"/>
          <w:szCs w:val="20"/>
        </w:rPr>
      </w:pPr>
    </w:p>
    <w:p>
      <w:pPr>
        <w:snapToGrid w:val="0"/>
        <w:spacing w:before="120" w:beforeLines="50" w:after="50" w:line="360" w:lineRule="auto"/>
        <w:rPr>
          <w:rFonts w:hint="eastAsia" w:ascii="宋体" w:hAnsi="宋体" w:cs="宋体"/>
          <w:sz w:val="24"/>
          <w:szCs w:val="20"/>
          <w:u w:val="single"/>
        </w:rPr>
      </w:pPr>
      <w:r>
        <w:rPr>
          <w:rFonts w:hint="eastAsia" w:ascii="宋体" w:hAnsi="宋体" w:cs="宋体"/>
          <w:sz w:val="24"/>
        </w:rPr>
        <w:t>被授权人签名：                                   法定代表人签名：</w:t>
      </w:r>
    </w:p>
    <w:p>
      <w:pPr>
        <w:snapToGrid w:val="0"/>
        <w:spacing w:before="120" w:beforeLines="50" w:after="50" w:line="360" w:lineRule="auto"/>
        <w:rPr>
          <w:rFonts w:hint="eastAsia" w:ascii="宋体" w:hAnsi="宋体" w:cs="宋体"/>
          <w:sz w:val="24"/>
          <w:szCs w:val="20"/>
        </w:rPr>
      </w:pPr>
      <w:r>
        <w:rPr>
          <w:rFonts w:hint="eastAsia" w:ascii="宋体" w:hAnsi="宋体" w:cs="宋体"/>
          <w:sz w:val="24"/>
        </w:rPr>
        <w:t>职务：                                           职务：</w:t>
      </w:r>
    </w:p>
    <w:p>
      <w:pPr>
        <w:snapToGrid w:val="0"/>
        <w:spacing w:before="120" w:beforeLines="50" w:after="50" w:line="360" w:lineRule="auto"/>
        <w:rPr>
          <w:rFonts w:hint="eastAsia" w:ascii="宋体" w:hAnsi="宋体" w:cs="宋体"/>
          <w:sz w:val="24"/>
        </w:rPr>
      </w:pPr>
      <w:r>
        <w:rPr>
          <w:rFonts w:hint="eastAsia" w:ascii="宋体" w:hAnsi="宋体" w:cs="宋体"/>
          <w:sz w:val="24"/>
        </w:rPr>
        <w:t>被授权人身份证复印件：</w:t>
      </w:r>
    </w:p>
    <w:p>
      <w:pPr>
        <w:snapToGrid w:val="0"/>
        <w:spacing w:before="120" w:beforeLines="50" w:after="50" w:line="360" w:lineRule="auto"/>
        <w:rPr>
          <w:rFonts w:hint="eastAsia" w:ascii="宋体" w:hAnsi="宋体" w:cs="宋体"/>
          <w:sz w:val="24"/>
        </w:rPr>
      </w:pPr>
    </w:p>
    <w:p>
      <w:pPr>
        <w:snapToGrid w:val="0"/>
        <w:spacing w:before="120" w:beforeLines="50" w:after="50" w:line="360" w:lineRule="auto"/>
        <w:rPr>
          <w:rFonts w:hint="eastAsia" w:ascii="宋体" w:hAnsi="宋体" w:cs="宋体"/>
          <w:sz w:val="24"/>
          <w:szCs w:val="20"/>
        </w:rPr>
      </w:pPr>
    </w:p>
    <w:p>
      <w:pPr>
        <w:snapToGrid w:val="0"/>
        <w:spacing w:before="120" w:beforeLines="50" w:after="50" w:line="360" w:lineRule="auto"/>
        <w:rPr>
          <w:rFonts w:hint="eastAsia" w:ascii="宋体" w:hAnsi="宋体" w:cs="宋体"/>
          <w:sz w:val="24"/>
          <w:szCs w:val="20"/>
        </w:rPr>
      </w:pPr>
      <w:r>
        <w:rPr>
          <w:rFonts w:hint="eastAsia" w:ascii="宋体" w:hAnsi="宋体" w:cs="宋体"/>
          <w:sz w:val="24"/>
        </w:rPr>
        <w:t>投标人公章：</w:t>
      </w:r>
    </w:p>
    <w:p>
      <w:pPr>
        <w:snapToGrid w:val="0"/>
        <w:spacing w:before="120" w:beforeLines="50" w:after="50" w:line="360" w:lineRule="auto"/>
        <w:jc w:val="center"/>
        <w:rPr>
          <w:rFonts w:hint="eastAsia" w:ascii="宋体" w:hAnsi="宋体" w:cs="宋体"/>
          <w:sz w:val="24"/>
        </w:rPr>
      </w:pPr>
      <w:r>
        <w:rPr>
          <w:rFonts w:hint="eastAsia" w:ascii="宋体" w:hAnsi="宋体" w:cs="宋体"/>
          <w:sz w:val="24"/>
        </w:rPr>
        <w:t xml:space="preserve">                                年   月     日</w:t>
      </w:r>
    </w:p>
    <w:p>
      <w:pPr>
        <w:snapToGrid w:val="0"/>
        <w:spacing w:before="120" w:beforeLines="50" w:after="50" w:line="360" w:lineRule="auto"/>
        <w:rPr>
          <w:rFonts w:hint="eastAsia" w:ascii="宋体" w:hAnsi="宋体" w:cs="宋体"/>
          <w:sz w:val="24"/>
        </w:rPr>
      </w:pPr>
    </w:p>
    <w:p>
      <w:pPr>
        <w:snapToGrid w:val="0"/>
        <w:spacing w:before="120" w:beforeLines="50" w:after="50" w:line="360" w:lineRule="auto"/>
        <w:jc w:val="center"/>
        <w:rPr>
          <w:rFonts w:hint="eastAsia" w:ascii="宋体" w:hAnsi="宋体" w:cs="宋体"/>
        </w:rPr>
      </w:pPr>
    </w:p>
    <w:p>
      <w:pPr>
        <w:pStyle w:val="2"/>
        <w:rPr>
          <w:rFonts w:hint="eastAsia" w:ascii="宋体" w:hAnsi="宋体" w:cs="宋体"/>
        </w:rPr>
      </w:pPr>
    </w:p>
    <w:p>
      <w:pPr>
        <w:pStyle w:val="4"/>
        <w:rPr>
          <w:rFonts w:hint="eastAsia" w:ascii="宋体" w:hAnsi="宋体" w:cs="宋体"/>
        </w:rPr>
      </w:pPr>
    </w:p>
    <w:p>
      <w:pPr>
        <w:rPr>
          <w:rFonts w:hint="eastAsia" w:ascii="宋体" w:hAnsi="宋体" w:cs="宋体"/>
        </w:rPr>
      </w:pPr>
    </w:p>
    <w:p>
      <w:pPr>
        <w:pStyle w:val="2"/>
        <w:rPr>
          <w:rFonts w:hint="eastAsia" w:ascii="宋体" w:hAnsi="宋体" w:cs="宋体"/>
        </w:rPr>
      </w:pPr>
    </w:p>
    <w:p>
      <w:pPr>
        <w:pStyle w:val="4"/>
        <w:rPr>
          <w:rFonts w:hint="eastAsia" w:ascii="宋体" w:hAnsi="宋体" w:cs="宋体"/>
        </w:rPr>
      </w:pPr>
    </w:p>
    <w:p>
      <w:pPr>
        <w:rPr>
          <w:rFonts w:hint="eastAsia"/>
        </w:rPr>
        <w:sectPr>
          <w:footerReference r:id="rId12" w:type="first"/>
          <w:footerReference r:id="rId11" w:type="default"/>
          <w:pgSz w:w="11906" w:h="16838"/>
          <w:pgMar w:top="1587" w:right="907" w:bottom="850" w:left="1644" w:header="851" w:footer="850" w:gutter="0"/>
          <w:cols w:space="720" w:num="1"/>
          <w:titlePg/>
          <w:docGrid w:linePitch="312" w:charSpace="0"/>
        </w:sectPr>
      </w:pPr>
    </w:p>
    <w:p>
      <w:pPr>
        <w:snapToGrid w:val="0"/>
        <w:spacing w:before="50" w:after="120" w:afterLines="50" w:line="360" w:lineRule="auto"/>
        <w:jc w:val="left"/>
        <w:rPr>
          <w:rFonts w:hint="eastAsia" w:ascii="宋体" w:hAnsi="宋体" w:cs="宋体"/>
          <w:b/>
          <w:sz w:val="24"/>
        </w:rPr>
      </w:pPr>
      <w:r>
        <w:rPr>
          <w:rFonts w:hint="eastAsia" w:ascii="宋体" w:hAnsi="宋体" w:cs="宋体"/>
          <w:b/>
          <w:sz w:val="24"/>
        </w:rPr>
        <w:t>附件6：投标单位情况表：</w:t>
      </w:r>
    </w:p>
    <w:p>
      <w:pPr>
        <w:snapToGrid w:val="0"/>
        <w:spacing w:before="120" w:beforeLines="50" w:after="50" w:line="360" w:lineRule="auto"/>
        <w:jc w:val="center"/>
        <w:rPr>
          <w:rFonts w:hint="eastAsia" w:ascii="宋体" w:hAnsi="宋体" w:cs="宋体"/>
          <w:b/>
          <w:sz w:val="24"/>
        </w:rPr>
      </w:pPr>
      <w:r>
        <w:rPr>
          <w:rFonts w:hint="eastAsia" w:ascii="宋体" w:hAnsi="宋体" w:cs="宋体"/>
          <w:b/>
          <w:sz w:val="24"/>
        </w:rPr>
        <w:t>投标单位情况表</w:t>
      </w:r>
    </w:p>
    <w:p>
      <w:pPr>
        <w:pStyle w:val="27"/>
        <w:spacing w:before="120" w:after="120" w:line="360" w:lineRule="auto"/>
        <w:rPr>
          <w:rFonts w:hint="eastAsia" w:hAnsi="宋体" w:cs="宋体"/>
        </w:rPr>
      </w:pPr>
      <w:r>
        <w:rPr>
          <w:rFonts w:hint="eastAsia" w:hAnsi="宋体" w:cs="宋体"/>
        </w:rPr>
        <w:t>投标单位：                                      填表日期：</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104" w:type="dxa"/>
            <w:gridSpan w:val="2"/>
            <w:noWrap w:val="0"/>
            <w:vAlign w:val="center"/>
          </w:tcPr>
          <w:p>
            <w:pPr>
              <w:pStyle w:val="27"/>
              <w:spacing w:before="120" w:after="120" w:line="360" w:lineRule="auto"/>
              <w:rPr>
                <w:rFonts w:hint="eastAsia" w:hAnsi="宋体" w:cs="宋体"/>
              </w:rPr>
            </w:pPr>
            <w:r>
              <w:rPr>
                <w:rFonts w:hint="eastAsia" w:hAnsi="宋体" w:cs="宋体"/>
              </w:rPr>
              <w:t>单位名称</w:t>
            </w:r>
          </w:p>
        </w:tc>
        <w:tc>
          <w:tcPr>
            <w:tcW w:w="2887" w:type="dxa"/>
            <w:noWrap w:val="0"/>
            <w:vAlign w:val="center"/>
          </w:tcPr>
          <w:p>
            <w:pPr>
              <w:widowControl/>
              <w:spacing w:line="360" w:lineRule="auto"/>
              <w:jc w:val="center"/>
              <w:rPr>
                <w:rFonts w:hint="eastAsia" w:ascii="宋体" w:hAnsi="宋体" w:cs="宋体"/>
                <w:sz w:val="24"/>
              </w:rPr>
            </w:pPr>
          </w:p>
        </w:tc>
        <w:tc>
          <w:tcPr>
            <w:tcW w:w="1388" w:type="dxa"/>
            <w:gridSpan w:val="2"/>
            <w:noWrap w:val="0"/>
            <w:vAlign w:val="center"/>
          </w:tcPr>
          <w:p>
            <w:pPr>
              <w:pStyle w:val="27"/>
              <w:spacing w:before="120" w:after="120" w:line="360" w:lineRule="auto"/>
              <w:rPr>
                <w:rFonts w:hint="eastAsia" w:hAnsi="宋体" w:cs="宋体"/>
              </w:rPr>
            </w:pPr>
            <w:r>
              <w:rPr>
                <w:rFonts w:hint="eastAsia" w:hAnsi="宋体" w:cs="宋体"/>
              </w:rPr>
              <w:t>电话</w:t>
            </w:r>
          </w:p>
        </w:tc>
        <w:tc>
          <w:tcPr>
            <w:tcW w:w="2534" w:type="dxa"/>
            <w:noWrap w:val="0"/>
            <w:vAlign w:val="center"/>
          </w:tcPr>
          <w:p>
            <w:pPr>
              <w:pStyle w:val="27"/>
              <w:spacing w:before="120" w:after="120" w:line="360" w:lineRule="auto"/>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jc w:val="center"/>
        </w:trPr>
        <w:tc>
          <w:tcPr>
            <w:tcW w:w="2104" w:type="dxa"/>
            <w:gridSpan w:val="2"/>
            <w:noWrap w:val="0"/>
            <w:vAlign w:val="center"/>
          </w:tcPr>
          <w:p>
            <w:pPr>
              <w:pStyle w:val="27"/>
              <w:spacing w:before="120" w:after="120" w:line="360" w:lineRule="auto"/>
              <w:rPr>
                <w:rFonts w:hint="eastAsia" w:hAnsi="宋体" w:cs="宋体"/>
              </w:rPr>
            </w:pPr>
            <w:r>
              <w:rPr>
                <w:rFonts w:hint="eastAsia" w:hAnsi="宋体" w:cs="宋体"/>
              </w:rPr>
              <w:t>地址</w:t>
            </w:r>
          </w:p>
        </w:tc>
        <w:tc>
          <w:tcPr>
            <w:tcW w:w="2887" w:type="dxa"/>
            <w:noWrap w:val="0"/>
            <w:vAlign w:val="center"/>
          </w:tcPr>
          <w:p>
            <w:pPr>
              <w:pStyle w:val="27"/>
              <w:spacing w:before="120" w:after="120" w:line="360" w:lineRule="auto"/>
              <w:jc w:val="center"/>
              <w:rPr>
                <w:rFonts w:hint="eastAsia" w:hAnsi="宋体" w:cs="宋体"/>
              </w:rPr>
            </w:pPr>
          </w:p>
        </w:tc>
        <w:tc>
          <w:tcPr>
            <w:tcW w:w="1388" w:type="dxa"/>
            <w:gridSpan w:val="2"/>
            <w:noWrap w:val="0"/>
            <w:vAlign w:val="center"/>
          </w:tcPr>
          <w:p>
            <w:pPr>
              <w:pStyle w:val="27"/>
              <w:spacing w:before="120" w:after="120" w:line="360" w:lineRule="auto"/>
              <w:rPr>
                <w:rFonts w:hint="eastAsia" w:hAnsi="宋体" w:cs="宋体"/>
              </w:rPr>
            </w:pPr>
            <w:r>
              <w:rPr>
                <w:rFonts w:hint="eastAsia" w:hAnsi="宋体" w:cs="宋体"/>
              </w:rPr>
              <w:t>传真</w:t>
            </w:r>
          </w:p>
        </w:tc>
        <w:tc>
          <w:tcPr>
            <w:tcW w:w="2534" w:type="dxa"/>
            <w:noWrap w:val="0"/>
            <w:vAlign w:val="center"/>
          </w:tcPr>
          <w:p>
            <w:pPr>
              <w:pStyle w:val="27"/>
              <w:spacing w:before="120" w:after="120" w:line="360" w:lineRule="auto"/>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noWrap w:val="0"/>
            <w:vAlign w:val="center"/>
          </w:tcPr>
          <w:p>
            <w:pPr>
              <w:pStyle w:val="27"/>
              <w:spacing w:before="120" w:after="120" w:line="360" w:lineRule="auto"/>
              <w:rPr>
                <w:rFonts w:hint="eastAsia" w:hAnsi="宋体" w:cs="宋体"/>
              </w:rPr>
            </w:pPr>
            <w:r>
              <w:rPr>
                <w:rFonts w:hint="eastAsia" w:hAnsi="宋体" w:cs="宋体"/>
              </w:rPr>
              <w:t>主管部门</w:t>
            </w:r>
          </w:p>
        </w:tc>
        <w:tc>
          <w:tcPr>
            <w:tcW w:w="2887" w:type="dxa"/>
            <w:noWrap w:val="0"/>
            <w:vAlign w:val="center"/>
          </w:tcPr>
          <w:p>
            <w:pPr>
              <w:pStyle w:val="27"/>
              <w:spacing w:before="120" w:after="120" w:line="360" w:lineRule="auto"/>
              <w:jc w:val="center"/>
              <w:rPr>
                <w:rFonts w:hint="eastAsia" w:hAnsi="宋体" w:cs="宋体"/>
              </w:rPr>
            </w:pPr>
          </w:p>
        </w:tc>
        <w:tc>
          <w:tcPr>
            <w:tcW w:w="1388" w:type="dxa"/>
            <w:gridSpan w:val="2"/>
            <w:noWrap w:val="0"/>
            <w:vAlign w:val="center"/>
          </w:tcPr>
          <w:p>
            <w:pPr>
              <w:pStyle w:val="27"/>
              <w:spacing w:before="120" w:after="120" w:line="360" w:lineRule="auto"/>
              <w:rPr>
                <w:rFonts w:hint="eastAsia" w:hAnsi="宋体" w:cs="宋体"/>
              </w:rPr>
            </w:pPr>
            <w:r>
              <w:rPr>
                <w:rFonts w:hint="eastAsia" w:hAnsi="宋体" w:cs="宋体"/>
              </w:rPr>
              <w:t>企业性质</w:t>
            </w:r>
          </w:p>
        </w:tc>
        <w:tc>
          <w:tcPr>
            <w:tcW w:w="2534" w:type="dxa"/>
            <w:noWrap w:val="0"/>
            <w:vAlign w:val="center"/>
          </w:tcPr>
          <w:p>
            <w:pPr>
              <w:pStyle w:val="27"/>
              <w:spacing w:before="120" w:after="120" w:line="360" w:lineRule="auto"/>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noWrap w:val="0"/>
            <w:vAlign w:val="center"/>
          </w:tcPr>
          <w:p>
            <w:pPr>
              <w:pStyle w:val="27"/>
              <w:spacing w:before="120" w:after="120" w:line="360" w:lineRule="auto"/>
              <w:rPr>
                <w:rFonts w:hint="eastAsia" w:hAnsi="宋体" w:cs="宋体"/>
              </w:rPr>
            </w:pPr>
            <w:r>
              <w:rPr>
                <w:rFonts w:hint="eastAsia" w:hAnsi="宋体" w:cs="宋体"/>
              </w:rPr>
              <w:t>企业法人</w:t>
            </w:r>
          </w:p>
        </w:tc>
        <w:tc>
          <w:tcPr>
            <w:tcW w:w="2887" w:type="dxa"/>
            <w:noWrap w:val="0"/>
            <w:vAlign w:val="center"/>
          </w:tcPr>
          <w:p>
            <w:pPr>
              <w:pStyle w:val="27"/>
              <w:spacing w:before="120" w:after="120" w:line="360" w:lineRule="auto"/>
              <w:jc w:val="center"/>
              <w:rPr>
                <w:rFonts w:hint="eastAsia" w:hAnsi="宋体" w:cs="宋体"/>
              </w:rPr>
            </w:pPr>
          </w:p>
        </w:tc>
        <w:tc>
          <w:tcPr>
            <w:tcW w:w="1388" w:type="dxa"/>
            <w:gridSpan w:val="2"/>
            <w:noWrap w:val="0"/>
            <w:vAlign w:val="center"/>
          </w:tcPr>
          <w:p>
            <w:pPr>
              <w:pStyle w:val="27"/>
              <w:spacing w:before="120" w:after="120" w:line="360" w:lineRule="auto"/>
              <w:rPr>
                <w:rFonts w:hint="eastAsia" w:hAnsi="宋体" w:cs="宋体"/>
              </w:rPr>
            </w:pPr>
            <w:r>
              <w:rPr>
                <w:rFonts w:hint="eastAsia" w:hAnsi="宋体" w:cs="宋体"/>
              </w:rPr>
              <w:t>资质等级</w:t>
            </w:r>
          </w:p>
        </w:tc>
        <w:tc>
          <w:tcPr>
            <w:tcW w:w="2534" w:type="dxa"/>
            <w:noWrap w:val="0"/>
            <w:vAlign w:val="center"/>
          </w:tcPr>
          <w:p>
            <w:pPr>
              <w:pStyle w:val="27"/>
              <w:spacing w:before="120" w:after="120" w:line="360" w:lineRule="auto"/>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104" w:type="dxa"/>
            <w:gridSpan w:val="2"/>
            <w:noWrap w:val="0"/>
            <w:vAlign w:val="center"/>
          </w:tcPr>
          <w:p>
            <w:pPr>
              <w:pStyle w:val="27"/>
              <w:spacing w:before="120" w:after="120" w:line="360" w:lineRule="auto"/>
              <w:rPr>
                <w:rFonts w:hint="eastAsia" w:hAnsi="宋体" w:cs="宋体"/>
              </w:rPr>
            </w:pPr>
            <w:r>
              <w:rPr>
                <w:rFonts w:hint="eastAsia" w:hAnsi="宋体" w:cs="宋体"/>
              </w:rPr>
              <w:t>授权代表</w:t>
            </w:r>
          </w:p>
        </w:tc>
        <w:tc>
          <w:tcPr>
            <w:tcW w:w="2887" w:type="dxa"/>
            <w:noWrap w:val="0"/>
            <w:vAlign w:val="center"/>
          </w:tcPr>
          <w:p>
            <w:pPr>
              <w:pStyle w:val="27"/>
              <w:spacing w:before="120" w:after="120" w:line="360" w:lineRule="auto"/>
              <w:jc w:val="center"/>
              <w:rPr>
                <w:rFonts w:hint="eastAsia" w:hAnsi="宋体" w:cs="宋体"/>
              </w:rPr>
            </w:pPr>
          </w:p>
        </w:tc>
        <w:tc>
          <w:tcPr>
            <w:tcW w:w="1388" w:type="dxa"/>
            <w:gridSpan w:val="2"/>
            <w:noWrap w:val="0"/>
            <w:vAlign w:val="center"/>
          </w:tcPr>
          <w:p>
            <w:pPr>
              <w:pStyle w:val="27"/>
              <w:spacing w:before="120" w:after="120" w:line="360" w:lineRule="auto"/>
              <w:rPr>
                <w:rFonts w:hint="eastAsia" w:hAnsi="宋体" w:cs="宋体"/>
              </w:rPr>
            </w:pPr>
            <w:r>
              <w:rPr>
                <w:rFonts w:hint="eastAsia" w:hAnsi="宋体" w:cs="宋体"/>
              </w:rPr>
              <w:t>职务</w:t>
            </w:r>
          </w:p>
        </w:tc>
        <w:tc>
          <w:tcPr>
            <w:tcW w:w="2534" w:type="dxa"/>
            <w:noWrap w:val="0"/>
            <w:vAlign w:val="center"/>
          </w:tcPr>
          <w:p>
            <w:pPr>
              <w:pStyle w:val="27"/>
              <w:spacing w:before="120" w:after="120" w:line="360" w:lineRule="auto"/>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844" w:type="dxa"/>
            <w:vMerge w:val="restart"/>
            <w:noWrap w:val="0"/>
            <w:vAlign w:val="center"/>
          </w:tcPr>
          <w:p>
            <w:pPr>
              <w:pStyle w:val="27"/>
              <w:spacing w:before="120" w:after="120" w:line="360" w:lineRule="auto"/>
              <w:ind w:firstLine="720" w:firstLineChars="300"/>
              <w:jc w:val="center"/>
              <w:rPr>
                <w:rFonts w:hint="eastAsia" w:hAnsi="宋体" w:cs="宋体"/>
              </w:rPr>
            </w:pPr>
          </w:p>
          <w:p>
            <w:pPr>
              <w:pStyle w:val="27"/>
              <w:spacing w:before="120" w:after="120" w:line="360" w:lineRule="auto"/>
              <w:jc w:val="center"/>
              <w:rPr>
                <w:rFonts w:hint="eastAsia" w:hAnsi="宋体" w:cs="宋体"/>
              </w:rPr>
            </w:pPr>
            <w:r>
              <w:rPr>
                <w:rFonts w:hint="eastAsia" w:hAnsi="宋体" w:cs="宋体"/>
              </w:rPr>
              <w:t>单位概况</w:t>
            </w:r>
          </w:p>
          <w:p>
            <w:pPr>
              <w:pStyle w:val="27"/>
              <w:spacing w:before="120" w:after="120" w:line="360" w:lineRule="auto"/>
              <w:ind w:firstLine="720" w:firstLineChars="300"/>
              <w:jc w:val="center"/>
              <w:rPr>
                <w:rFonts w:hint="eastAsia" w:hAnsi="宋体" w:cs="宋体"/>
              </w:rPr>
            </w:pPr>
          </w:p>
          <w:p>
            <w:pPr>
              <w:pStyle w:val="27"/>
              <w:spacing w:before="120" w:after="120" w:line="360" w:lineRule="auto"/>
              <w:ind w:firstLine="720" w:firstLineChars="300"/>
              <w:jc w:val="center"/>
              <w:rPr>
                <w:rFonts w:hint="eastAsia" w:hAnsi="宋体" w:cs="宋体"/>
              </w:rPr>
            </w:pPr>
          </w:p>
          <w:p>
            <w:pPr>
              <w:pStyle w:val="27"/>
              <w:spacing w:before="120" w:after="120" w:line="360" w:lineRule="auto"/>
              <w:ind w:firstLine="720" w:firstLineChars="300"/>
              <w:jc w:val="center"/>
              <w:rPr>
                <w:rFonts w:hint="eastAsia" w:hAnsi="宋体" w:cs="宋体"/>
              </w:rPr>
            </w:pPr>
          </w:p>
          <w:p>
            <w:pPr>
              <w:pStyle w:val="27"/>
              <w:spacing w:before="120" w:after="120" w:line="360" w:lineRule="auto"/>
              <w:ind w:firstLine="720" w:firstLineChars="300"/>
              <w:jc w:val="center"/>
              <w:rPr>
                <w:rFonts w:hint="eastAsia" w:hAnsi="宋体" w:cs="宋体"/>
              </w:rPr>
            </w:pPr>
          </w:p>
        </w:tc>
        <w:tc>
          <w:tcPr>
            <w:tcW w:w="1260" w:type="dxa"/>
            <w:vMerge w:val="restart"/>
            <w:noWrap w:val="0"/>
            <w:vAlign w:val="center"/>
          </w:tcPr>
          <w:p>
            <w:pPr>
              <w:spacing w:line="360" w:lineRule="auto"/>
              <w:jc w:val="center"/>
              <w:rPr>
                <w:rFonts w:hint="eastAsia" w:ascii="宋体" w:hAnsi="宋体" w:cs="宋体"/>
                <w:sz w:val="24"/>
              </w:rPr>
            </w:pPr>
            <w:r>
              <w:rPr>
                <w:rFonts w:hint="eastAsia" w:ascii="宋体" w:hAnsi="宋体" w:cs="宋体"/>
                <w:sz w:val="24"/>
              </w:rPr>
              <w:t>职工总数</w:t>
            </w:r>
          </w:p>
        </w:tc>
        <w:tc>
          <w:tcPr>
            <w:tcW w:w="2887" w:type="dxa"/>
            <w:noWrap w:val="0"/>
            <w:vAlign w:val="center"/>
          </w:tcPr>
          <w:p>
            <w:pPr>
              <w:pStyle w:val="27"/>
              <w:spacing w:before="120" w:after="120" w:line="360" w:lineRule="auto"/>
              <w:rPr>
                <w:rFonts w:hint="eastAsia" w:hAnsi="宋体" w:cs="宋体"/>
              </w:rPr>
            </w:pPr>
            <w:r>
              <w:rPr>
                <w:rFonts w:hint="eastAsia" w:hAnsi="宋体" w:cs="宋体"/>
              </w:rPr>
              <w:t>员工（包括技术工人、高级技师、工程师）： 人</w:t>
            </w:r>
          </w:p>
        </w:tc>
        <w:tc>
          <w:tcPr>
            <w:tcW w:w="3922" w:type="dxa"/>
            <w:gridSpan w:val="3"/>
            <w:noWrap w:val="0"/>
            <w:vAlign w:val="center"/>
          </w:tcPr>
          <w:p>
            <w:pPr>
              <w:pStyle w:val="27"/>
              <w:spacing w:before="120" w:after="120" w:line="360" w:lineRule="auto"/>
              <w:rPr>
                <w:rFonts w:hint="eastAsia" w:hAnsi="宋体" w:cs="宋体"/>
              </w:rPr>
            </w:pPr>
            <w:r>
              <w:rPr>
                <w:rFonts w:hint="eastAsia" w:hAnsi="宋体" w:cs="宋体"/>
              </w:rPr>
              <w:t>技术工人：人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noWrap w:val="0"/>
            <w:vAlign w:val="center"/>
          </w:tcPr>
          <w:p>
            <w:pPr>
              <w:pStyle w:val="27"/>
              <w:spacing w:before="120" w:after="120" w:line="360" w:lineRule="auto"/>
              <w:ind w:firstLine="720" w:firstLineChars="300"/>
              <w:jc w:val="center"/>
              <w:rPr>
                <w:rFonts w:hint="eastAsia" w:hAnsi="宋体" w:cs="宋体"/>
              </w:rPr>
            </w:pPr>
          </w:p>
        </w:tc>
        <w:tc>
          <w:tcPr>
            <w:tcW w:w="1260" w:type="dxa"/>
            <w:vMerge w:val="continue"/>
            <w:noWrap w:val="0"/>
            <w:vAlign w:val="center"/>
          </w:tcPr>
          <w:p>
            <w:pPr>
              <w:widowControl/>
              <w:spacing w:line="360" w:lineRule="auto"/>
              <w:jc w:val="center"/>
              <w:rPr>
                <w:rFonts w:hint="eastAsia" w:ascii="宋体" w:hAnsi="宋体" w:cs="宋体"/>
                <w:sz w:val="24"/>
              </w:rPr>
            </w:pPr>
          </w:p>
        </w:tc>
        <w:tc>
          <w:tcPr>
            <w:tcW w:w="2887" w:type="dxa"/>
            <w:noWrap w:val="0"/>
            <w:vAlign w:val="center"/>
          </w:tcPr>
          <w:p>
            <w:pPr>
              <w:pStyle w:val="27"/>
              <w:spacing w:before="120" w:after="120" w:line="360" w:lineRule="auto"/>
              <w:rPr>
                <w:rFonts w:hint="eastAsia" w:hAnsi="宋体" w:cs="宋体"/>
              </w:rPr>
            </w:pPr>
            <w:r>
              <w:rPr>
                <w:rFonts w:hint="eastAsia" w:hAnsi="宋体" w:cs="宋体"/>
              </w:rPr>
              <w:t>高级技师：人</w:t>
            </w:r>
          </w:p>
        </w:tc>
        <w:tc>
          <w:tcPr>
            <w:tcW w:w="3922" w:type="dxa"/>
            <w:gridSpan w:val="3"/>
            <w:noWrap w:val="0"/>
            <w:vAlign w:val="center"/>
          </w:tcPr>
          <w:p>
            <w:pPr>
              <w:pStyle w:val="27"/>
              <w:spacing w:before="120" w:after="120" w:line="360" w:lineRule="auto"/>
              <w:rPr>
                <w:rFonts w:hint="eastAsia" w:hAnsi="宋体" w:cs="宋体"/>
              </w:rPr>
            </w:pPr>
            <w:r>
              <w:rPr>
                <w:rFonts w:hint="eastAsia" w:hAnsi="宋体" w:cs="宋体"/>
              </w:rPr>
              <w:t>工程师：人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noWrap w:val="0"/>
            <w:vAlign w:val="center"/>
          </w:tcPr>
          <w:p>
            <w:pPr>
              <w:pStyle w:val="27"/>
              <w:spacing w:before="120" w:after="120" w:line="360" w:lineRule="auto"/>
              <w:ind w:firstLine="720" w:firstLineChars="300"/>
              <w:jc w:val="center"/>
              <w:rPr>
                <w:rFonts w:hint="eastAsia" w:hAnsi="宋体" w:cs="宋体"/>
              </w:rPr>
            </w:pPr>
          </w:p>
        </w:tc>
        <w:tc>
          <w:tcPr>
            <w:tcW w:w="1260" w:type="dxa"/>
            <w:noWrap w:val="0"/>
            <w:vAlign w:val="center"/>
          </w:tcPr>
          <w:p>
            <w:pPr>
              <w:pStyle w:val="27"/>
              <w:spacing w:before="120" w:after="120" w:line="360" w:lineRule="auto"/>
              <w:jc w:val="center"/>
              <w:rPr>
                <w:rFonts w:hint="eastAsia" w:hAnsi="宋体" w:cs="宋体"/>
              </w:rPr>
            </w:pPr>
            <w:r>
              <w:rPr>
                <w:rFonts w:hint="eastAsia" w:hAnsi="宋体" w:cs="宋体"/>
              </w:rPr>
              <w:t>流动资金</w:t>
            </w:r>
          </w:p>
        </w:tc>
        <w:tc>
          <w:tcPr>
            <w:tcW w:w="2887" w:type="dxa"/>
            <w:noWrap w:val="0"/>
            <w:vAlign w:val="center"/>
          </w:tcPr>
          <w:p>
            <w:pPr>
              <w:pStyle w:val="27"/>
              <w:spacing w:before="120" w:after="120" w:line="360" w:lineRule="auto"/>
              <w:jc w:val="center"/>
              <w:rPr>
                <w:rFonts w:hint="eastAsia" w:hAnsi="宋体" w:cs="宋体"/>
              </w:rPr>
            </w:pPr>
          </w:p>
        </w:tc>
        <w:tc>
          <w:tcPr>
            <w:tcW w:w="1222" w:type="dxa"/>
            <w:noWrap w:val="0"/>
            <w:vAlign w:val="center"/>
          </w:tcPr>
          <w:p>
            <w:pPr>
              <w:pStyle w:val="27"/>
              <w:spacing w:before="120" w:after="120" w:line="360" w:lineRule="auto"/>
              <w:jc w:val="center"/>
              <w:rPr>
                <w:rFonts w:hint="eastAsia" w:hAnsi="宋体" w:cs="宋体"/>
              </w:rPr>
            </w:pPr>
            <w:r>
              <w:rPr>
                <w:rFonts w:hint="eastAsia" w:hAnsi="宋体" w:cs="宋体"/>
              </w:rPr>
              <w:t>营业面积</w:t>
            </w:r>
          </w:p>
        </w:tc>
        <w:tc>
          <w:tcPr>
            <w:tcW w:w="2700" w:type="dxa"/>
            <w:gridSpan w:val="2"/>
            <w:noWrap w:val="0"/>
            <w:vAlign w:val="center"/>
          </w:tcPr>
          <w:p>
            <w:pPr>
              <w:pStyle w:val="27"/>
              <w:spacing w:before="120" w:after="120" w:line="360" w:lineRule="auto"/>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noWrap w:val="0"/>
            <w:vAlign w:val="center"/>
          </w:tcPr>
          <w:p>
            <w:pPr>
              <w:pStyle w:val="27"/>
              <w:spacing w:before="120" w:after="120" w:line="360" w:lineRule="auto"/>
              <w:ind w:firstLine="720" w:firstLineChars="300"/>
              <w:jc w:val="center"/>
              <w:rPr>
                <w:rFonts w:hint="eastAsia" w:hAnsi="宋体" w:cs="宋体"/>
              </w:rPr>
            </w:pPr>
          </w:p>
        </w:tc>
        <w:tc>
          <w:tcPr>
            <w:tcW w:w="1260" w:type="dxa"/>
            <w:noWrap w:val="0"/>
            <w:vAlign w:val="center"/>
          </w:tcPr>
          <w:p>
            <w:pPr>
              <w:pStyle w:val="27"/>
              <w:spacing w:before="120" w:after="120" w:line="360" w:lineRule="auto"/>
              <w:jc w:val="center"/>
              <w:rPr>
                <w:rFonts w:hint="eastAsia" w:hAnsi="宋体" w:cs="宋体"/>
              </w:rPr>
            </w:pPr>
            <w:r>
              <w:rPr>
                <w:rFonts w:hint="eastAsia" w:hAnsi="宋体" w:cs="宋体"/>
              </w:rPr>
              <w:t>固定资金</w:t>
            </w:r>
          </w:p>
        </w:tc>
        <w:tc>
          <w:tcPr>
            <w:tcW w:w="2887" w:type="dxa"/>
            <w:noWrap w:val="0"/>
            <w:vAlign w:val="center"/>
          </w:tcPr>
          <w:p>
            <w:pPr>
              <w:widowControl/>
              <w:spacing w:line="360" w:lineRule="auto"/>
              <w:jc w:val="center"/>
              <w:rPr>
                <w:rFonts w:hint="eastAsia" w:ascii="宋体" w:hAnsi="宋体" w:cs="宋体"/>
                <w:sz w:val="24"/>
              </w:rPr>
            </w:pPr>
          </w:p>
        </w:tc>
        <w:tc>
          <w:tcPr>
            <w:tcW w:w="1222" w:type="dxa"/>
            <w:noWrap w:val="0"/>
            <w:vAlign w:val="center"/>
          </w:tcPr>
          <w:p>
            <w:pPr>
              <w:pStyle w:val="27"/>
              <w:spacing w:before="120" w:after="120" w:line="360" w:lineRule="auto"/>
              <w:jc w:val="center"/>
              <w:rPr>
                <w:rFonts w:hint="eastAsia" w:hAnsi="宋体" w:cs="宋体"/>
              </w:rPr>
            </w:pPr>
            <w:r>
              <w:rPr>
                <w:rFonts w:hint="eastAsia" w:hAnsi="宋体" w:cs="宋体"/>
              </w:rPr>
              <w:t>维修网点</w:t>
            </w:r>
          </w:p>
        </w:tc>
        <w:tc>
          <w:tcPr>
            <w:tcW w:w="2700" w:type="dxa"/>
            <w:gridSpan w:val="2"/>
            <w:noWrap w:val="0"/>
            <w:vAlign w:val="center"/>
          </w:tcPr>
          <w:p>
            <w:pPr>
              <w:widowControl/>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noWrap w:val="0"/>
            <w:vAlign w:val="center"/>
          </w:tcPr>
          <w:p>
            <w:pPr>
              <w:pStyle w:val="27"/>
              <w:spacing w:before="120" w:after="120" w:line="360" w:lineRule="auto"/>
              <w:jc w:val="center"/>
              <w:rPr>
                <w:rFonts w:hint="eastAsia" w:hAnsi="宋体" w:cs="宋体"/>
              </w:rPr>
            </w:pPr>
            <w:r>
              <w:rPr>
                <w:rFonts w:hint="eastAsia" w:hAnsi="宋体" w:cs="宋体"/>
              </w:rPr>
              <w:t>单位简历</w:t>
            </w:r>
          </w:p>
        </w:tc>
        <w:tc>
          <w:tcPr>
            <w:tcW w:w="8069" w:type="dxa"/>
            <w:gridSpan w:val="5"/>
            <w:noWrap w:val="0"/>
            <w:vAlign w:val="top"/>
          </w:tcPr>
          <w:p>
            <w:pPr>
              <w:spacing w:line="360" w:lineRule="auto"/>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noWrap w:val="0"/>
            <w:vAlign w:val="center"/>
          </w:tcPr>
          <w:p>
            <w:pPr>
              <w:pStyle w:val="27"/>
              <w:spacing w:before="120" w:after="120" w:line="360" w:lineRule="auto"/>
              <w:jc w:val="center"/>
              <w:rPr>
                <w:rFonts w:hint="eastAsia" w:hAnsi="宋体" w:cs="宋体"/>
              </w:rPr>
            </w:pPr>
            <w:r>
              <w:rPr>
                <w:rFonts w:hint="eastAsia" w:hAnsi="宋体" w:cs="宋体"/>
              </w:rPr>
              <w:t>优势及特长</w:t>
            </w:r>
          </w:p>
        </w:tc>
        <w:tc>
          <w:tcPr>
            <w:tcW w:w="8069" w:type="dxa"/>
            <w:gridSpan w:val="5"/>
            <w:noWrap w:val="0"/>
            <w:vAlign w:val="top"/>
          </w:tcPr>
          <w:p>
            <w:pPr>
              <w:spacing w:line="360" w:lineRule="auto"/>
              <w:jc w:val="left"/>
              <w:rPr>
                <w:rFonts w:hint="eastAsia" w:ascii="宋体" w:hAnsi="宋体" w:cs="宋体"/>
                <w:sz w:val="24"/>
              </w:rPr>
            </w:pPr>
          </w:p>
        </w:tc>
      </w:tr>
    </w:tbl>
    <w:p>
      <w:pPr>
        <w:snapToGrid w:val="0"/>
        <w:spacing w:before="50" w:after="120" w:afterLines="50"/>
        <w:jc w:val="left"/>
        <w:rPr>
          <w:rFonts w:hint="eastAsia" w:ascii="宋体" w:hAnsi="宋体" w:cs="宋体"/>
          <w:b/>
          <w:sz w:val="24"/>
        </w:rPr>
      </w:pPr>
    </w:p>
    <w:p>
      <w:pPr>
        <w:pStyle w:val="6"/>
        <w:rPr>
          <w:rFonts w:hint="eastAsia" w:ascii="宋体" w:hAnsi="宋体" w:cs="宋体"/>
          <w:bCs w:val="0"/>
          <w:kern w:val="2"/>
          <w:sz w:val="24"/>
          <w:szCs w:val="24"/>
          <w:lang w:val="en-US" w:eastAsia="zh-CN"/>
        </w:rPr>
      </w:pPr>
      <w:r>
        <w:rPr>
          <w:rFonts w:hint="eastAsia" w:ascii="宋体" w:hAnsi="宋体" w:cs="宋体"/>
          <w:bCs w:val="0"/>
          <w:kern w:val="2"/>
          <w:sz w:val="24"/>
          <w:szCs w:val="24"/>
          <w:lang w:val="en-US" w:eastAsia="zh-CN"/>
        </w:rPr>
        <w:t>附件7：投标人依法缴纳税收和社保费、无失信行为的声明函</w:t>
      </w:r>
    </w:p>
    <w:p>
      <w:pPr>
        <w:pStyle w:val="6"/>
        <w:jc w:val="center"/>
        <w:rPr>
          <w:rFonts w:hint="eastAsia" w:ascii="宋体" w:hAnsi="宋体" w:cs="宋体"/>
          <w:bCs w:val="0"/>
          <w:sz w:val="30"/>
          <w:szCs w:val="30"/>
          <w:lang w:val="en-US" w:eastAsia="zh-CN"/>
        </w:rPr>
      </w:pPr>
      <w:r>
        <w:rPr>
          <w:rFonts w:hint="eastAsia" w:ascii="宋体" w:hAnsi="宋体" w:cs="宋体"/>
          <w:bCs w:val="0"/>
          <w:sz w:val="30"/>
          <w:szCs w:val="30"/>
        </w:rPr>
        <w:t>投标人</w:t>
      </w:r>
      <w:r>
        <w:rPr>
          <w:rFonts w:hint="eastAsia" w:ascii="宋体" w:hAnsi="宋体" w:cs="宋体"/>
          <w:bCs w:val="0"/>
          <w:sz w:val="30"/>
          <w:szCs w:val="30"/>
          <w:lang w:val="en-US" w:eastAsia="zh-CN"/>
        </w:rPr>
        <w:t>依法缴纳税收和社保费、无失信行为的声明函</w:t>
      </w:r>
    </w:p>
    <w:p>
      <w:pPr>
        <w:pStyle w:val="6"/>
        <w:jc w:val="center"/>
        <w:rPr>
          <w:rFonts w:hint="eastAsia" w:ascii="宋体" w:hAnsi="宋体" w:cs="宋体"/>
          <w:bCs w:val="0"/>
          <w:sz w:val="30"/>
          <w:szCs w:val="30"/>
        </w:rPr>
      </w:pPr>
    </w:p>
    <w:p>
      <w:pPr>
        <w:snapToGrid w:val="0"/>
        <w:spacing w:line="360" w:lineRule="auto"/>
        <w:rPr>
          <w:rFonts w:hint="eastAsia" w:ascii="宋体" w:hAnsi="宋体" w:cs="宋体"/>
          <w:sz w:val="24"/>
        </w:rPr>
      </w:pPr>
      <w:r>
        <w:rPr>
          <w:rFonts w:hint="eastAsia" w:ascii="宋体" w:hAnsi="宋体" w:cs="宋体"/>
          <w:sz w:val="24"/>
        </w:rPr>
        <w:t>致：采购人</w:t>
      </w:r>
    </w:p>
    <w:p>
      <w:pPr>
        <w:pStyle w:val="6"/>
        <w:ind w:firstLine="480" w:firstLineChars="200"/>
        <w:rPr>
          <w:rFonts w:hint="eastAsia" w:ascii="宋体" w:hAnsi="宋体" w:cs="宋体"/>
          <w:b w:val="0"/>
          <w:bCs w:val="0"/>
          <w:sz w:val="24"/>
          <w:szCs w:val="24"/>
        </w:rPr>
      </w:pPr>
      <w:r>
        <w:rPr>
          <w:rFonts w:hint="eastAsia" w:ascii="宋体" w:hAnsi="宋体" w:cs="宋体"/>
          <w:b w:val="0"/>
          <w:bCs w:val="0"/>
          <w:sz w:val="24"/>
          <w:szCs w:val="24"/>
        </w:rPr>
        <w:t>本公司（单位）在参加采购编号为            ，项目名称为         的政府采购活动前，在生产经营活动中始终</w:t>
      </w:r>
      <w:r>
        <w:rPr>
          <w:rFonts w:hint="eastAsia" w:ascii="宋体" w:hAnsi="宋体" w:cs="宋体"/>
          <w:b w:val="0"/>
          <w:bCs w:val="0"/>
          <w:sz w:val="24"/>
          <w:szCs w:val="24"/>
          <w:lang w:val="en-US" w:eastAsia="zh-CN"/>
        </w:rPr>
        <w:t>依法缴纳税收和社保费。</w:t>
      </w:r>
      <w:r>
        <w:rPr>
          <w:rFonts w:hint="eastAsia" w:ascii="宋体" w:hAnsi="宋体" w:cs="宋体"/>
          <w:b w:val="0"/>
          <w:bCs w:val="0"/>
          <w:sz w:val="24"/>
          <w:szCs w:val="24"/>
        </w:rPr>
        <w:t>截至公告发布日止，相关主体在“信用中国”网站(www.creditchina.gov.cn)及中国政府采购网(www.ccgp.gov.cn)</w:t>
      </w:r>
      <w:r>
        <w:rPr>
          <w:rFonts w:hint="eastAsia" w:ascii="宋体" w:hAnsi="宋体" w:cs="宋体"/>
          <w:b w:val="0"/>
          <w:bCs w:val="0"/>
          <w:sz w:val="24"/>
          <w:szCs w:val="24"/>
          <w:lang w:eastAsia="zh-CN"/>
        </w:rPr>
        <w:t>无</w:t>
      </w:r>
      <w:r>
        <w:rPr>
          <w:rFonts w:hint="eastAsia" w:ascii="宋体" w:hAnsi="宋体" w:cs="宋体"/>
          <w:b w:val="0"/>
          <w:bCs w:val="0"/>
          <w:sz w:val="24"/>
          <w:szCs w:val="24"/>
        </w:rPr>
        <w:t>有失信行为。</w:t>
      </w:r>
    </w:p>
    <w:p>
      <w:pPr>
        <w:pStyle w:val="6"/>
        <w:ind w:firstLine="480" w:firstLineChars="200"/>
        <w:rPr>
          <w:rFonts w:hint="eastAsia" w:ascii="宋体" w:hAnsi="宋体" w:cs="宋体"/>
          <w:b w:val="0"/>
          <w:bCs w:val="0"/>
          <w:sz w:val="24"/>
          <w:szCs w:val="24"/>
        </w:rPr>
      </w:pPr>
      <w:r>
        <w:rPr>
          <w:rFonts w:hint="eastAsia" w:ascii="宋体" w:hAnsi="宋体" w:cs="宋体"/>
          <w:b w:val="0"/>
          <w:bCs w:val="0"/>
          <w:sz w:val="24"/>
          <w:szCs w:val="24"/>
        </w:rPr>
        <w:t>特此声明。</w:t>
      </w:r>
    </w:p>
    <w:p>
      <w:pPr>
        <w:snapToGrid w:val="0"/>
        <w:spacing w:line="360" w:lineRule="auto"/>
        <w:ind w:firstLine="4320" w:firstLineChars="1800"/>
        <w:rPr>
          <w:rFonts w:hint="eastAsia"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pPr>
        <w:pStyle w:val="6"/>
        <w:ind w:firstLine="4320" w:firstLineChars="1800"/>
        <w:rPr>
          <w:rFonts w:hint="eastAsia" w:ascii="宋体" w:hAnsi="宋体" w:cs="宋体"/>
          <w:b w:val="0"/>
          <w:bCs w:val="0"/>
          <w:kern w:val="2"/>
          <w:sz w:val="24"/>
          <w:szCs w:val="24"/>
          <w:lang w:val="en-US" w:eastAsia="zh-CN"/>
        </w:rPr>
      </w:pPr>
      <w:r>
        <w:rPr>
          <w:rFonts w:hint="eastAsia" w:ascii="宋体" w:hAnsi="宋体" w:cs="宋体"/>
          <w:b w:val="0"/>
          <w:bCs w:val="0"/>
          <w:kern w:val="2"/>
          <w:sz w:val="24"/>
          <w:szCs w:val="24"/>
          <w:lang w:val="en-US" w:eastAsia="zh-CN"/>
        </w:rPr>
        <w:t>日    期：</w:t>
      </w:r>
      <w:r>
        <w:rPr>
          <w:rFonts w:hint="eastAsia" w:ascii="宋体" w:hAnsi="宋体" w:cs="宋体"/>
          <w:b w:val="0"/>
          <w:bCs w:val="0"/>
          <w:kern w:val="2"/>
          <w:sz w:val="24"/>
          <w:szCs w:val="24"/>
          <w:u w:val="single"/>
          <w:lang w:val="en-US" w:eastAsia="zh-CN"/>
        </w:rPr>
        <w:t xml:space="preserve">    </w:t>
      </w:r>
      <w:r>
        <w:rPr>
          <w:rFonts w:hint="eastAsia" w:ascii="宋体" w:hAnsi="宋体" w:cs="宋体"/>
          <w:b w:val="0"/>
          <w:bCs w:val="0"/>
          <w:kern w:val="2"/>
          <w:sz w:val="24"/>
          <w:szCs w:val="24"/>
          <w:lang w:val="en-US" w:eastAsia="zh-CN"/>
        </w:rPr>
        <w:t>年</w:t>
      </w:r>
      <w:r>
        <w:rPr>
          <w:rFonts w:hint="eastAsia" w:ascii="宋体" w:hAnsi="宋体" w:cs="宋体"/>
          <w:b w:val="0"/>
          <w:bCs w:val="0"/>
          <w:kern w:val="2"/>
          <w:sz w:val="24"/>
          <w:szCs w:val="24"/>
          <w:u w:val="single"/>
          <w:lang w:val="en-US" w:eastAsia="zh-CN"/>
        </w:rPr>
        <w:t xml:space="preserve">   </w:t>
      </w:r>
      <w:r>
        <w:rPr>
          <w:rFonts w:hint="eastAsia" w:ascii="宋体" w:hAnsi="宋体" w:cs="宋体"/>
          <w:b w:val="0"/>
          <w:bCs w:val="0"/>
          <w:kern w:val="2"/>
          <w:sz w:val="24"/>
          <w:szCs w:val="24"/>
          <w:lang w:val="en-US" w:eastAsia="zh-CN"/>
        </w:rPr>
        <w:t>月</w:t>
      </w:r>
      <w:r>
        <w:rPr>
          <w:rFonts w:hint="eastAsia" w:ascii="宋体" w:hAnsi="宋体" w:cs="宋体"/>
          <w:b w:val="0"/>
          <w:bCs w:val="0"/>
          <w:kern w:val="2"/>
          <w:sz w:val="24"/>
          <w:szCs w:val="24"/>
          <w:u w:val="single"/>
          <w:lang w:val="en-US" w:eastAsia="zh-CN"/>
        </w:rPr>
        <w:t xml:space="preserve">    </w:t>
      </w:r>
      <w:r>
        <w:rPr>
          <w:rFonts w:hint="eastAsia" w:ascii="宋体" w:hAnsi="宋体" w:cs="宋体"/>
          <w:b w:val="0"/>
          <w:bCs w:val="0"/>
          <w:kern w:val="2"/>
          <w:sz w:val="24"/>
          <w:szCs w:val="24"/>
          <w:lang w:val="en-US" w:eastAsia="zh-CN"/>
        </w:rPr>
        <w:t>日</w:t>
      </w:r>
    </w:p>
    <w:p>
      <w:pPr>
        <w:snapToGrid w:val="0"/>
        <w:spacing w:before="50" w:after="120" w:afterLines="50"/>
        <w:jc w:val="left"/>
        <w:rPr>
          <w:rFonts w:hint="eastAsia" w:ascii="宋体" w:hAnsi="宋体" w:cs="宋体"/>
          <w:b/>
          <w:sz w:val="24"/>
        </w:rPr>
      </w:pPr>
    </w:p>
    <w:p>
      <w:pPr>
        <w:pStyle w:val="22"/>
        <w:rPr>
          <w:rFonts w:hint="eastAsia" w:ascii="宋体" w:hAnsi="宋体" w:cs="宋体"/>
          <w:b/>
          <w:sz w:val="24"/>
        </w:rPr>
      </w:pPr>
    </w:p>
    <w:p>
      <w:pPr>
        <w:pStyle w:val="23"/>
        <w:rPr>
          <w:rFonts w:hint="eastAsia" w:ascii="宋体" w:hAnsi="宋体" w:cs="宋体"/>
          <w:b/>
          <w:sz w:val="24"/>
        </w:rPr>
      </w:pPr>
    </w:p>
    <w:p>
      <w:pPr>
        <w:rPr>
          <w:rFonts w:hint="eastAsia" w:ascii="宋体" w:hAnsi="宋体" w:cs="宋体"/>
          <w:b/>
          <w:sz w:val="24"/>
        </w:rPr>
      </w:pPr>
    </w:p>
    <w:p>
      <w:pPr>
        <w:pStyle w:val="22"/>
        <w:rPr>
          <w:rFonts w:hint="eastAsia" w:ascii="宋体" w:hAnsi="宋体" w:cs="宋体"/>
          <w:b/>
          <w:sz w:val="24"/>
        </w:rPr>
      </w:pPr>
    </w:p>
    <w:p>
      <w:pPr>
        <w:pStyle w:val="23"/>
        <w:rPr>
          <w:rFonts w:hint="eastAsia" w:ascii="宋体" w:hAnsi="宋体" w:cs="宋体"/>
          <w:b/>
          <w:sz w:val="24"/>
        </w:rPr>
      </w:pPr>
    </w:p>
    <w:p>
      <w:pPr>
        <w:rPr>
          <w:rFonts w:hint="eastAsia" w:ascii="宋体" w:hAnsi="宋体" w:cs="宋体"/>
          <w:b/>
          <w:sz w:val="24"/>
        </w:rPr>
      </w:pPr>
    </w:p>
    <w:p>
      <w:pPr>
        <w:pStyle w:val="22"/>
        <w:rPr>
          <w:rFonts w:hint="eastAsia" w:ascii="宋体" w:hAnsi="宋体" w:cs="宋体"/>
          <w:b/>
          <w:sz w:val="24"/>
        </w:rPr>
      </w:pPr>
    </w:p>
    <w:p>
      <w:pPr>
        <w:pStyle w:val="23"/>
        <w:rPr>
          <w:rFonts w:hint="eastAsia" w:ascii="宋体" w:hAnsi="宋体" w:cs="宋体"/>
          <w:b/>
          <w:sz w:val="24"/>
        </w:rPr>
      </w:pPr>
    </w:p>
    <w:p>
      <w:pPr>
        <w:rPr>
          <w:rFonts w:hint="eastAsia" w:ascii="宋体" w:hAnsi="宋体" w:cs="宋体"/>
          <w:b/>
          <w:sz w:val="24"/>
        </w:rPr>
      </w:pPr>
    </w:p>
    <w:p>
      <w:pPr>
        <w:pStyle w:val="22"/>
        <w:rPr>
          <w:rFonts w:hint="eastAsia" w:ascii="宋体" w:hAnsi="宋体" w:cs="宋体"/>
          <w:b/>
          <w:sz w:val="24"/>
        </w:rPr>
      </w:pPr>
    </w:p>
    <w:p>
      <w:pPr>
        <w:pStyle w:val="23"/>
        <w:rPr>
          <w:rFonts w:hint="eastAsia" w:ascii="宋体" w:hAnsi="宋体" w:cs="宋体"/>
          <w:b/>
          <w:sz w:val="24"/>
        </w:rPr>
      </w:pPr>
    </w:p>
    <w:p>
      <w:pPr>
        <w:rPr>
          <w:rFonts w:hint="eastAsia" w:ascii="宋体" w:hAnsi="宋体" w:cs="宋体"/>
          <w:b/>
          <w:sz w:val="24"/>
        </w:rPr>
      </w:pPr>
    </w:p>
    <w:p>
      <w:pPr>
        <w:pStyle w:val="22"/>
        <w:rPr>
          <w:rFonts w:hint="eastAsia" w:ascii="宋体" w:hAnsi="宋体" w:cs="宋体"/>
          <w:b/>
          <w:sz w:val="24"/>
        </w:rPr>
      </w:pPr>
    </w:p>
    <w:p>
      <w:pPr>
        <w:pStyle w:val="23"/>
        <w:rPr>
          <w:rFonts w:hint="eastAsia" w:ascii="宋体" w:hAnsi="宋体" w:cs="宋体"/>
          <w:b/>
          <w:sz w:val="24"/>
        </w:rPr>
      </w:pPr>
    </w:p>
    <w:p>
      <w:pPr>
        <w:rPr>
          <w:rFonts w:hint="eastAsia"/>
        </w:rPr>
      </w:pPr>
    </w:p>
    <w:p>
      <w:pPr>
        <w:snapToGrid w:val="0"/>
        <w:spacing w:before="50" w:after="120" w:afterLines="50"/>
        <w:jc w:val="left"/>
        <w:rPr>
          <w:rFonts w:hint="eastAsia" w:ascii="宋体" w:hAnsi="宋体" w:cs="宋体"/>
          <w:b/>
          <w:sz w:val="24"/>
        </w:rPr>
      </w:pPr>
      <w:r>
        <w:rPr>
          <w:rFonts w:hint="eastAsia" w:ascii="宋体" w:hAnsi="宋体" w:cs="宋体"/>
          <w:b/>
          <w:sz w:val="24"/>
        </w:rPr>
        <w:t>附件8：评分响应表格式：</w:t>
      </w:r>
    </w:p>
    <w:p>
      <w:pPr>
        <w:snapToGrid w:val="0"/>
        <w:spacing w:before="50" w:after="50"/>
        <w:jc w:val="center"/>
        <w:rPr>
          <w:rFonts w:ascii="宋体" w:hAnsi="宋体"/>
          <w:b/>
          <w:sz w:val="36"/>
          <w:szCs w:val="36"/>
        </w:rPr>
      </w:pPr>
      <w:r>
        <w:rPr>
          <w:rFonts w:hint="eastAsia" w:ascii="宋体" w:hAnsi="宋体"/>
          <w:b/>
          <w:sz w:val="36"/>
          <w:szCs w:val="36"/>
        </w:rPr>
        <w:t>评分响应及自评表</w:t>
      </w:r>
    </w:p>
    <w:p>
      <w:pPr>
        <w:snapToGrid w:val="0"/>
        <w:spacing w:before="50" w:after="50"/>
        <w:rPr>
          <w:rFonts w:ascii="宋体" w:hAnsi="宋体"/>
          <w:b/>
          <w:sz w:val="24"/>
        </w:rPr>
      </w:pPr>
    </w:p>
    <w:p>
      <w:pPr>
        <w:snapToGrid w:val="0"/>
        <w:spacing w:before="50" w:after="50" w:line="360" w:lineRule="auto"/>
        <w:rPr>
          <w:rFonts w:ascii="宋体" w:hAnsi="宋体"/>
          <w:b/>
          <w:sz w:val="24"/>
          <w:u w:val="single"/>
        </w:rPr>
      </w:pPr>
      <w:r>
        <w:rPr>
          <w:rFonts w:hint="eastAsia" w:ascii="宋体" w:hAnsi="宋体"/>
          <w:b/>
          <w:sz w:val="24"/>
        </w:rPr>
        <w:t>投标单位名称：                             标项：</w:t>
      </w: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1276"/>
        <w:gridCol w:w="1276"/>
        <w:gridCol w:w="1076"/>
        <w:gridCol w:w="859"/>
        <w:gridCol w:w="1042"/>
        <w:gridCol w:w="1134"/>
        <w:gridCol w:w="2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b/>
                <w:bCs/>
                <w:color w:val="auto"/>
              </w:rPr>
            </w:pPr>
            <w:r>
              <w:rPr>
                <w:rFonts w:hint="eastAsia" w:ascii="宋体" w:eastAsia="宋体"/>
                <w:b/>
                <w:bCs/>
                <w:color w:val="auto"/>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b/>
                <w:bCs/>
                <w:color w:val="auto"/>
              </w:rPr>
            </w:pPr>
            <w:r>
              <w:rPr>
                <w:rFonts w:hint="eastAsia" w:ascii="宋体" w:eastAsia="宋体"/>
                <w:b/>
                <w:bCs/>
                <w:color w:val="auto"/>
              </w:rPr>
              <w:t>评审内容</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rPr>
                <w:rFonts w:ascii="宋体" w:eastAsia="宋体"/>
                <w:b/>
                <w:bCs/>
                <w:color w:val="auto"/>
              </w:rPr>
            </w:pPr>
            <w:r>
              <w:rPr>
                <w:rFonts w:hint="eastAsia" w:ascii="宋体" w:eastAsia="宋体"/>
                <w:b/>
                <w:bCs/>
                <w:color w:val="auto"/>
              </w:rPr>
              <w:t>评分标准</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b/>
                <w:bCs/>
                <w:color w:val="auto"/>
              </w:rPr>
            </w:pPr>
            <w:r>
              <w:rPr>
                <w:rFonts w:hint="eastAsia" w:ascii="宋体" w:eastAsia="宋体"/>
                <w:b/>
                <w:bCs/>
                <w:color w:val="auto"/>
              </w:rPr>
              <w:t>评分标准分值</w:t>
            </w:r>
          </w:p>
        </w:tc>
        <w:tc>
          <w:tcPr>
            <w:tcW w:w="859"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b/>
                <w:bCs/>
                <w:color w:val="auto"/>
              </w:rPr>
            </w:pPr>
            <w:r>
              <w:rPr>
                <w:rFonts w:hint="eastAsia" w:ascii="宋体" w:eastAsia="宋体"/>
                <w:b/>
                <w:bCs/>
                <w:color w:val="auto"/>
              </w:rPr>
              <w:t>自评得分</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b/>
                <w:bCs/>
                <w:color w:val="auto"/>
                <w:sz w:val="21"/>
                <w:szCs w:val="21"/>
              </w:rPr>
            </w:pPr>
            <w:r>
              <w:rPr>
                <w:rFonts w:hint="eastAsia" w:ascii="宋体" w:eastAsia="宋体"/>
                <w:b/>
                <w:bCs/>
                <w:color w:val="auto"/>
                <w:sz w:val="21"/>
                <w:szCs w:val="21"/>
              </w:rPr>
              <w:t>其中肯定能得分分值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b/>
                <w:bCs/>
                <w:color w:val="auto"/>
                <w:sz w:val="21"/>
                <w:szCs w:val="21"/>
              </w:rPr>
            </w:pPr>
            <w:r>
              <w:rPr>
                <w:rFonts w:hint="eastAsia" w:ascii="宋体" w:eastAsia="宋体"/>
                <w:b/>
                <w:bCs/>
                <w:color w:val="auto"/>
                <w:sz w:val="21"/>
                <w:szCs w:val="21"/>
              </w:rPr>
              <w:t>可能可以得分分值</w:t>
            </w:r>
          </w:p>
        </w:tc>
        <w:tc>
          <w:tcPr>
            <w:tcW w:w="2404"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b/>
                <w:bCs/>
                <w:color w:val="auto"/>
              </w:rPr>
            </w:pPr>
            <w:r>
              <w:rPr>
                <w:rFonts w:hint="eastAsia" w:ascii="宋体" w:eastAsia="宋体"/>
                <w:b/>
                <w:bCs/>
                <w:color w:val="auto"/>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b/>
                <w:bCs/>
                <w:color w:val="auto"/>
              </w:rPr>
            </w:pPr>
            <w:r>
              <w:rPr>
                <w:rFonts w:hint="eastAsia" w:ascii="宋体" w:eastAsia="宋体"/>
                <w:b/>
                <w:bCs/>
                <w:color w:val="auto"/>
              </w:rPr>
              <w:t>一</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b/>
                <w:bCs/>
                <w:color w:val="auto"/>
              </w:rPr>
            </w:pPr>
            <w:r>
              <w:rPr>
                <w:rFonts w:hint="eastAsia" w:ascii="宋体" w:eastAsia="宋体"/>
                <w:b/>
                <w:bCs/>
                <w:color w:val="auto"/>
              </w:rPr>
              <w:t>技术分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39"/>
              <w:ind w:firstLine="482"/>
              <w:jc w:val="center"/>
              <w:rPr>
                <w:rFonts w:ascii="宋体" w:eastAsia="宋体"/>
                <w:b/>
                <w:bCs/>
                <w:color w:val="auto"/>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b/>
                <w:bCs/>
                <w:color w:val="auto"/>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b/>
                <w:bCs/>
                <w:color w:val="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b/>
                <w:bCs/>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bCs/>
                <w:color w:val="auto"/>
                <w:sz w:val="15"/>
                <w:szCs w:val="15"/>
              </w:rPr>
            </w:pPr>
            <w:r>
              <w:rPr>
                <w:rFonts w:hint="eastAsia" w:ascii="宋体" w:eastAsia="宋体"/>
                <w:bCs/>
                <w:color w:val="auto"/>
                <w:sz w:val="15"/>
                <w:szCs w:val="15"/>
              </w:rPr>
              <w:t>如类似业绩、参数偏离等</w:t>
            </w:r>
          </w:p>
        </w:tc>
        <w:tc>
          <w:tcPr>
            <w:tcW w:w="2404"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sz w:val="24"/>
              </w:rPr>
            </w:pPr>
            <w:r>
              <w:rPr>
                <w:rFonts w:hint="eastAsia" w:ascii="宋体" w:hAnsi="宋体"/>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tc>
        <w:tc>
          <w:tcPr>
            <w:tcW w:w="1276" w:type="dxa"/>
            <w:tcBorders>
              <w:top w:val="single" w:color="auto" w:sz="4" w:space="0"/>
              <w:left w:val="single" w:color="auto" w:sz="4" w:space="0"/>
              <w:right w:val="single" w:color="auto" w:sz="4" w:space="0"/>
            </w:tcBorders>
            <w:noWrap w:val="0"/>
            <w:vAlign w:val="center"/>
          </w:tcPr>
          <w:p>
            <w:pPr>
              <w:rPr>
                <w:rFonts w:ascii="宋体" w:hAnsi="宋体"/>
                <w:sz w:val="24"/>
              </w:rPr>
            </w:pPr>
          </w:p>
        </w:tc>
        <w:tc>
          <w:tcPr>
            <w:tcW w:w="1076" w:type="dxa"/>
            <w:tcBorders>
              <w:top w:val="single" w:color="auto" w:sz="4" w:space="0"/>
              <w:left w:val="single" w:color="auto" w:sz="4" w:space="0"/>
              <w:right w:val="single" w:color="auto" w:sz="4" w:space="0"/>
            </w:tcBorders>
            <w:noWrap w:val="0"/>
            <w:vAlign w:val="center"/>
          </w:tcPr>
          <w:p>
            <w:pPr>
              <w:jc w:val="center"/>
              <w:rPr>
                <w:rFonts w:ascii="宋体" w:hAnsi="宋体"/>
                <w:bCs/>
                <w:sz w:val="24"/>
              </w:rPr>
            </w:pPr>
          </w:p>
        </w:tc>
        <w:tc>
          <w:tcPr>
            <w:tcW w:w="859" w:type="dxa"/>
            <w:tcBorders>
              <w:top w:val="single" w:color="auto" w:sz="4" w:space="0"/>
              <w:left w:val="single" w:color="auto" w:sz="4" w:space="0"/>
              <w:right w:val="single" w:color="auto" w:sz="4" w:space="0"/>
            </w:tcBorders>
            <w:noWrap w:val="0"/>
            <w:vAlign w:val="center"/>
          </w:tcPr>
          <w:p>
            <w:pPr>
              <w:jc w:val="center"/>
              <w:rPr>
                <w:rFonts w:ascii="宋体" w:hAnsi="宋体"/>
                <w:bCs/>
                <w:sz w:val="24"/>
              </w:rPr>
            </w:pPr>
          </w:p>
        </w:tc>
        <w:tc>
          <w:tcPr>
            <w:tcW w:w="1042" w:type="dxa"/>
            <w:tcBorders>
              <w:top w:val="single" w:color="auto" w:sz="4" w:space="0"/>
              <w:left w:val="single" w:color="auto" w:sz="4" w:space="0"/>
              <w:right w:val="single" w:color="auto" w:sz="4" w:space="0"/>
            </w:tcBorders>
            <w:noWrap w:val="0"/>
            <w:vAlign w:val="center"/>
          </w:tcPr>
          <w:p>
            <w:pPr>
              <w:jc w:val="center"/>
              <w:rPr>
                <w:rFonts w:ascii="宋体" w:hAnsi="宋体"/>
                <w:bCs/>
                <w:sz w:val="24"/>
              </w:rPr>
            </w:pPr>
          </w:p>
        </w:tc>
        <w:tc>
          <w:tcPr>
            <w:tcW w:w="1134" w:type="dxa"/>
            <w:tcBorders>
              <w:top w:val="single" w:color="auto" w:sz="4" w:space="0"/>
              <w:left w:val="single" w:color="auto" w:sz="4" w:space="0"/>
              <w:right w:val="single" w:color="auto" w:sz="4" w:space="0"/>
            </w:tcBorders>
            <w:noWrap w:val="0"/>
            <w:vAlign w:val="center"/>
          </w:tcPr>
          <w:p>
            <w:pPr>
              <w:jc w:val="center"/>
              <w:rPr>
                <w:rFonts w:ascii="宋体" w:hAnsi="宋体"/>
                <w:bCs/>
                <w:sz w:val="24"/>
              </w:rPr>
            </w:pPr>
          </w:p>
        </w:tc>
        <w:tc>
          <w:tcPr>
            <w:tcW w:w="2404" w:type="dxa"/>
            <w:tcBorders>
              <w:top w:val="single" w:color="auto" w:sz="4" w:space="0"/>
              <w:left w:val="single" w:color="auto" w:sz="4" w:space="0"/>
              <w:right w:val="single" w:color="auto" w:sz="4" w:space="0"/>
            </w:tcBorders>
            <w:noWrap w:val="0"/>
            <w:vAlign w:val="center"/>
          </w:tcPr>
          <w:p>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r>
              <w:rPr>
                <w:rFonts w:hint="eastAsia" w:ascii="宋体" w:hAnsi="宋体"/>
                <w:bCs/>
                <w:sz w:val="24"/>
              </w:rPr>
              <w:t>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sz w:val="24"/>
              </w:rPr>
            </w:pPr>
            <w:r>
              <w:rPr>
                <w:rFonts w:hint="eastAsia" w:ascii="宋体" w:hAnsi="宋体"/>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sz w:val="24"/>
              </w:rPr>
            </w:pPr>
          </w:p>
        </w:tc>
        <w:tc>
          <w:tcPr>
            <w:tcW w:w="1276" w:type="dxa"/>
            <w:tcBorders>
              <w:top w:val="single" w:color="auto" w:sz="4" w:space="0"/>
              <w:left w:val="single" w:color="auto" w:sz="4" w:space="0"/>
              <w:right w:val="single" w:color="auto" w:sz="4" w:space="0"/>
            </w:tcBorders>
            <w:noWrap w:val="0"/>
            <w:vAlign w:val="center"/>
          </w:tcPr>
          <w:p>
            <w:pPr>
              <w:widowControl/>
              <w:rPr>
                <w:rFonts w:ascii="宋体" w:hAnsi="宋体" w:cs="宋体"/>
                <w:kern w:val="0"/>
                <w:sz w:val="24"/>
              </w:rPr>
            </w:pPr>
          </w:p>
        </w:tc>
        <w:tc>
          <w:tcPr>
            <w:tcW w:w="1076" w:type="dxa"/>
            <w:tcBorders>
              <w:top w:val="single" w:color="auto" w:sz="4" w:space="0"/>
              <w:left w:val="single" w:color="auto" w:sz="4" w:space="0"/>
              <w:right w:val="single" w:color="auto" w:sz="4" w:space="0"/>
            </w:tcBorders>
            <w:noWrap w:val="0"/>
            <w:vAlign w:val="center"/>
          </w:tcPr>
          <w:p>
            <w:pPr>
              <w:spacing w:line="320" w:lineRule="exact"/>
              <w:jc w:val="center"/>
              <w:rPr>
                <w:rFonts w:ascii="宋体" w:hAnsi="宋体"/>
                <w:bCs/>
                <w:sz w:val="24"/>
              </w:rPr>
            </w:pPr>
          </w:p>
        </w:tc>
        <w:tc>
          <w:tcPr>
            <w:tcW w:w="859" w:type="dxa"/>
            <w:tcBorders>
              <w:top w:val="single" w:color="auto" w:sz="4" w:space="0"/>
              <w:left w:val="single" w:color="auto" w:sz="4" w:space="0"/>
              <w:right w:val="single" w:color="auto" w:sz="4" w:space="0"/>
            </w:tcBorders>
            <w:noWrap w:val="0"/>
            <w:vAlign w:val="center"/>
          </w:tcPr>
          <w:p>
            <w:pPr>
              <w:spacing w:line="320" w:lineRule="exact"/>
              <w:jc w:val="center"/>
              <w:rPr>
                <w:rFonts w:ascii="宋体" w:hAnsi="宋体"/>
                <w:bCs/>
                <w:sz w:val="24"/>
              </w:rPr>
            </w:pPr>
          </w:p>
        </w:tc>
        <w:tc>
          <w:tcPr>
            <w:tcW w:w="1042" w:type="dxa"/>
            <w:tcBorders>
              <w:top w:val="single" w:color="auto" w:sz="4" w:space="0"/>
              <w:left w:val="single" w:color="auto" w:sz="4" w:space="0"/>
              <w:right w:val="single" w:color="auto" w:sz="4" w:space="0"/>
            </w:tcBorders>
            <w:noWrap w:val="0"/>
            <w:vAlign w:val="center"/>
          </w:tcPr>
          <w:p>
            <w:pPr>
              <w:spacing w:line="320" w:lineRule="exact"/>
              <w:jc w:val="center"/>
              <w:rPr>
                <w:rFonts w:ascii="宋体" w:hAnsi="宋体"/>
                <w:bCs/>
                <w:sz w:val="24"/>
              </w:rPr>
            </w:pPr>
          </w:p>
        </w:tc>
        <w:tc>
          <w:tcPr>
            <w:tcW w:w="1134" w:type="dxa"/>
            <w:tcBorders>
              <w:top w:val="single" w:color="auto" w:sz="4" w:space="0"/>
              <w:left w:val="single" w:color="auto" w:sz="4" w:space="0"/>
              <w:right w:val="single" w:color="auto" w:sz="4" w:space="0"/>
            </w:tcBorders>
            <w:noWrap w:val="0"/>
            <w:vAlign w:val="center"/>
          </w:tcPr>
          <w:p>
            <w:pPr>
              <w:spacing w:line="320" w:lineRule="exact"/>
              <w:jc w:val="center"/>
              <w:rPr>
                <w:rFonts w:ascii="宋体" w:hAnsi="宋体"/>
                <w:bCs/>
                <w:sz w:val="24"/>
              </w:rPr>
            </w:pPr>
          </w:p>
        </w:tc>
        <w:tc>
          <w:tcPr>
            <w:tcW w:w="2404" w:type="dxa"/>
            <w:tcBorders>
              <w:top w:val="single" w:color="auto" w:sz="4" w:space="0"/>
              <w:left w:val="single" w:color="auto" w:sz="4" w:space="0"/>
              <w:right w:val="single" w:color="auto" w:sz="4" w:space="0"/>
            </w:tcBorders>
            <w:noWrap w:val="0"/>
            <w:vAlign w:val="center"/>
          </w:tcPr>
          <w:p>
            <w:pPr>
              <w:jc w:val="center"/>
              <w:rPr>
                <w:rFonts w:ascii="宋体" w:hAnsi="宋体"/>
                <w:bCs/>
                <w:sz w:val="24"/>
              </w:rPr>
            </w:pP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62" w:type="dxa"/>
            <w:tcBorders>
              <w:left w:val="single" w:color="auto" w:sz="4" w:space="0"/>
              <w:bottom w:val="single" w:color="auto" w:sz="4" w:space="0"/>
              <w:right w:val="single" w:color="auto" w:sz="4" w:space="0"/>
            </w:tcBorders>
            <w:noWrap w:val="0"/>
            <w:vAlign w:val="center"/>
          </w:tcPr>
          <w:p>
            <w:pPr>
              <w:widowControl/>
              <w:rPr>
                <w:rFonts w:ascii="宋体" w:hAnsi="宋体"/>
                <w:sz w:val="24"/>
              </w:rPr>
            </w:pPr>
            <w:r>
              <w:rPr>
                <w:rFonts w:hint="eastAsia" w:ascii="宋体" w:hAnsi="宋体"/>
                <w:sz w:val="24"/>
              </w:rPr>
              <w:t>……</w:t>
            </w:r>
          </w:p>
        </w:tc>
        <w:tc>
          <w:tcPr>
            <w:tcW w:w="1276" w:type="dxa"/>
            <w:tcBorders>
              <w:left w:val="single" w:color="auto" w:sz="4" w:space="0"/>
              <w:bottom w:val="single" w:color="auto" w:sz="4" w:space="0"/>
              <w:right w:val="single" w:color="auto" w:sz="4" w:space="0"/>
            </w:tcBorders>
            <w:noWrap w:val="0"/>
            <w:vAlign w:val="center"/>
          </w:tcPr>
          <w:p>
            <w:pPr>
              <w:widowControl/>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ind w:left="55" w:leftChars="26"/>
              <w:rPr>
                <w:rFonts w:ascii="宋体" w:hAnsi="宋体" w:cs="宋体"/>
                <w:kern w:val="0"/>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b/>
                <w:sz w:val="24"/>
              </w:rPr>
            </w:pPr>
            <w:r>
              <w:rPr>
                <w:rFonts w:hint="eastAsia" w:ascii="宋体" w:hAnsi="宋体"/>
                <w:b/>
                <w:sz w:val="24"/>
              </w:rPr>
              <w:t>二</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b/>
                <w:sz w:val="24"/>
              </w:rPr>
            </w:pPr>
            <w:r>
              <w:rPr>
                <w:rFonts w:hint="eastAsia" w:ascii="宋体" w:hAnsi="宋体"/>
                <w:b/>
                <w:sz w:val="24"/>
              </w:rPr>
              <w:t>商务分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both"/>
              <w:rPr>
                <w:rFonts w:ascii="宋体" w:eastAsia="宋体"/>
                <w:b/>
                <w:color w:val="auto"/>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b/>
                <w:color w:val="auto"/>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b/>
                <w:color w:val="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b/>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b/>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b/>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kern w:val="0"/>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kern w:val="0"/>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p>
          <w:p>
            <w:pPr>
              <w:jc w:val="center"/>
              <w:rPr>
                <w:rFonts w:ascii="宋体" w:hAnsi="宋体"/>
                <w:bCs/>
                <w:sz w:val="24"/>
              </w:rPr>
            </w:pPr>
            <w:r>
              <w:rPr>
                <w:rFonts w:hint="eastAsia" w:ascii="宋体" w:hAnsi="宋体"/>
                <w:bCs/>
                <w:sz w:val="24"/>
              </w:rPr>
              <w:t>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color w:val="auto"/>
              </w:rPr>
            </w:pPr>
            <w:r>
              <w:rPr>
                <w:rFonts w:hint="eastAsia" w:ascii="宋体" w:eastAsia="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center"/>
              <w:rPr>
                <w:rFonts w:ascii="宋体" w:eastAsia="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62" w:type="dxa"/>
            <w:tcBorders>
              <w:left w:val="single" w:color="auto" w:sz="4" w:space="0"/>
              <w:bottom w:val="single" w:color="auto" w:sz="4" w:space="0"/>
              <w:right w:val="single" w:color="auto" w:sz="4" w:space="0"/>
            </w:tcBorders>
            <w:noWrap w:val="0"/>
            <w:vAlign w:val="center"/>
          </w:tcPr>
          <w:p>
            <w:pPr>
              <w:widowControl/>
              <w:rPr>
                <w:rFonts w:ascii="宋体" w:hAnsi="宋体"/>
                <w:sz w:val="24"/>
              </w:rPr>
            </w:pPr>
            <w:r>
              <w:rPr>
                <w:rFonts w:hint="eastAsia" w:ascii="宋体" w:hAnsi="宋体"/>
                <w:sz w:val="24"/>
              </w:rPr>
              <w:t>三</w:t>
            </w:r>
          </w:p>
        </w:tc>
        <w:tc>
          <w:tcPr>
            <w:tcW w:w="1276" w:type="dxa"/>
            <w:tcBorders>
              <w:left w:val="single" w:color="auto" w:sz="4" w:space="0"/>
              <w:bottom w:val="single" w:color="auto" w:sz="4" w:space="0"/>
              <w:right w:val="single" w:color="auto" w:sz="4" w:space="0"/>
            </w:tcBorders>
            <w:noWrap w:val="0"/>
            <w:vAlign w:val="center"/>
          </w:tcPr>
          <w:p>
            <w:pPr>
              <w:widowControl/>
              <w:rPr>
                <w:rFonts w:ascii="宋体" w:hAnsi="宋体"/>
                <w:b/>
                <w:sz w:val="24"/>
              </w:rPr>
            </w:pPr>
            <w:r>
              <w:rPr>
                <w:rFonts w:hint="eastAsia" w:ascii="宋体" w:hAnsi="宋体"/>
                <w:b/>
                <w:sz w:val="24"/>
              </w:rPr>
              <w:t>资信及其他分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39"/>
              <w:ind w:firstLine="0" w:firstLineChars="0"/>
              <w:jc w:val="both"/>
              <w:rPr>
                <w:rFonts w:ascii="宋体" w:eastAsia="宋体"/>
                <w:color w:val="auto"/>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sz w:val="24"/>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left w:val="single" w:color="auto" w:sz="4" w:space="0"/>
              <w:bottom w:val="single" w:color="auto" w:sz="4" w:space="0"/>
              <w:right w:val="single" w:color="auto" w:sz="4" w:space="0"/>
            </w:tcBorders>
            <w:noWrap w:val="0"/>
            <w:vAlign w:val="center"/>
          </w:tcPr>
          <w:p>
            <w:pPr>
              <w:widowControl/>
              <w:rPr>
                <w:rFonts w:ascii="宋体" w:hAnsi="宋体"/>
                <w:sz w:val="24"/>
              </w:rPr>
            </w:pPr>
          </w:p>
        </w:tc>
        <w:tc>
          <w:tcPr>
            <w:tcW w:w="1276" w:type="dxa"/>
            <w:tcBorders>
              <w:left w:val="single" w:color="auto" w:sz="4" w:space="0"/>
              <w:bottom w:val="single" w:color="auto" w:sz="4" w:space="0"/>
              <w:right w:val="single" w:color="auto" w:sz="4" w:space="0"/>
            </w:tcBorders>
            <w:noWrap w:val="0"/>
            <w:vAlign w:val="center"/>
          </w:tcPr>
          <w:p>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p>
          <w:p>
            <w:pPr>
              <w:jc w:val="center"/>
              <w:rPr>
                <w:rFonts w:ascii="宋体" w:hAnsi="宋体"/>
                <w:bCs/>
                <w:sz w:val="24"/>
              </w:rPr>
            </w:pPr>
            <w:r>
              <w:rPr>
                <w:rFonts w:hint="eastAsia" w:ascii="宋体" w:hAnsi="宋体"/>
                <w:bCs/>
                <w:sz w:val="24"/>
              </w:rPr>
              <w:t>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rPr>
            </w:pPr>
            <w:r>
              <w:rPr>
                <w:rFonts w:hint="eastAsia" w:ascii="宋体" w:hAnsi="宋体"/>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sz w:val="24"/>
              </w:rPr>
            </w:pPr>
          </w:p>
        </w:tc>
        <w:tc>
          <w:tcPr>
            <w:tcW w:w="1076" w:type="dxa"/>
            <w:tcBorders>
              <w:top w:val="single" w:color="auto" w:sz="4" w:space="0"/>
              <w:left w:val="single" w:color="auto" w:sz="4" w:space="0"/>
              <w:right w:val="single" w:color="auto" w:sz="4" w:space="0"/>
            </w:tcBorders>
            <w:noWrap w:val="0"/>
            <w:vAlign w:val="center"/>
          </w:tcPr>
          <w:p>
            <w:pPr>
              <w:spacing w:line="320" w:lineRule="exact"/>
              <w:jc w:val="center"/>
              <w:rPr>
                <w:rFonts w:ascii="宋体" w:hAnsi="宋体"/>
                <w:bCs/>
                <w:sz w:val="24"/>
              </w:rPr>
            </w:pPr>
          </w:p>
        </w:tc>
        <w:tc>
          <w:tcPr>
            <w:tcW w:w="859" w:type="dxa"/>
            <w:tcBorders>
              <w:top w:val="single" w:color="auto" w:sz="4" w:space="0"/>
              <w:left w:val="single" w:color="auto" w:sz="4" w:space="0"/>
              <w:right w:val="single" w:color="auto" w:sz="4" w:space="0"/>
            </w:tcBorders>
            <w:noWrap w:val="0"/>
            <w:vAlign w:val="center"/>
          </w:tcPr>
          <w:p>
            <w:pPr>
              <w:spacing w:line="320" w:lineRule="exact"/>
              <w:jc w:val="center"/>
              <w:rPr>
                <w:rFonts w:ascii="宋体" w:hAnsi="宋体"/>
                <w:bCs/>
                <w:sz w:val="24"/>
              </w:rPr>
            </w:pPr>
          </w:p>
        </w:tc>
        <w:tc>
          <w:tcPr>
            <w:tcW w:w="1042" w:type="dxa"/>
            <w:tcBorders>
              <w:top w:val="single" w:color="auto" w:sz="4" w:space="0"/>
              <w:left w:val="single" w:color="auto" w:sz="4" w:space="0"/>
              <w:right w:val="single" w:color="auto" w:sz="4" w:space="0"/>
            </w:tcBorders>
            <w:noWrap w:val="0"/>
            <w:vAlign w:val="center"/>
          </w:tcPr>
          <w:p>
            <w:pPr>
              <w:spacing w:line="320" w:lineRule="exact"/>
              <w:jc w:val="center"/>
              <w:rPr>
                <w:rFonts w:ascii="宋体" w:hAnsi="宋体"/>
                <w:bCs/>
                <w:sz w:val="24"/>
              </w:rPr>
            </w:pPr>
          </w:p>
        </w:tc>
        <w:tc>
          <w:tcPr>
            <w:tcW w:w="1134" w:type="dxa"/>
            <w:tcBorders>
              <w:top w:val="single" w:color="auto" w:sz="4" w:space="0"/>
              <w:left w:val="single" w:color="auto" w:sz="4" w:space="0"/>
              <w:right w:val="single" w:color="auto" w:sz="4" w:space="0"/>
            </w:tcBorders>
            <w:noWrap w:val="0"/>
            <w:vAlign w:val="center"/>
          </w:tcPr>
          <w:p>
            <w:pPr>
              <w:spacing w:line="320" w:lineRule="exact"/>
              <w:jc w:val="center"/>
              <w:rPr>
                <w:rFonts w:ascii="宋体" w:hAnsi="宋体"/>
                <w:bCs/>
                <w:sz w:val="24"/>
              </w:rPr>
            </w:pPr>
          </w:p>
        </w:tc>
        <w:tc>
          <w:tcPr>
            <w:tcW w:w="2404" w:type="dxa"/>
            <w:tcBorders>
              <w:top w:val="single" w:color="auto" w:sz="4" w:space="0"/>
              <w:left w:val="single" w:color="auto" w:sz="4" w:space="0"/>
              <w:right w:val="single" w:color="auto" w:sz="4" w:space="0"/>
            </w:tcBorders>
            <w:noWrap w:val="0"/>
            <w:vAlign w:val="center"/>
          </w:tcPr>
          <w:p>
            <w:pPr>
              <w:jc w:val="center"/>
              <w:rPr>
                <w:rFonts w:ascii="宋体" w:hAnsi="宋体"/>
                <w:bCs/>
                <w:sz w:val="24"/>
              </w:rPr>
            </w:pPr>
          </w:p>
        </w:tc>
      </w:tr>
    </w:tbl>
    <w:p>
      <w:pPr>
        <w:snapToGrid w:val="0"/>
        <w:spacing w:before="50" w:after="50"/>
        <w:rPr>
          <w:rFonts w:ascii="宋体" w:hAnsi="宋体"/>
          <w:sz w:val="24"/>
        </w:rPr>
      </w:pPr>
    </w:p>
    <w:p>
      <w:pPr>
        <w:snapToGrid w:val="0"/>
        <w:rPr>
          <w:rFonts w:hint="eastAsia" w:ascii="宋体" w:hAnsi="宋体"/>
          <w:sz w:val="24"/>
        </w:rPr>
      </w:pPr>
      <w:r>
        <w:rPr>
          <w:rFonts w:hint="eastAsia" w:ascii="宋体" w:hAnsi="宋体"/>
          <w:sz w:val="24"/>
        </w:rPr>
        <w:t>注：1、投标单位根据所投标项的评分表内容，按此格式提供评分响应表置于商务技术响应文件第1页。</w:t>
      </w:r>
    </w:p>
    <w:p>
      <w:pPr>
        <w:pStyle w:val="22"/>
        <w:ind w:firstLine="482" w:firstLineChars="200"/>
        <w:rPr>
          <w:rFonts w:hint="eastAsia" w:ascii="宋体" w:hAnsi="宋体"/>
          <w:b/>
          <w:bCs/>
          <w:sz w:val="24"/>
        </w:rPr>
      </w:pPr>
      <w:r>
        <w:rPr>
          <w:rFonts w:hint="eastAsia" w:ascii="宋体" w:hAnsi="宋体"/>
          <w:b/>
          <w:bCs/>
          <w:sz w:val="24"/>
        </w:rPr>
        <w:t>2、自评得分=其中肯定能得分分值+可能可以得分分值</w:t>
      </w:r>
    </w:p>
    <w:p>
      <w:pPr>
        <w:pStyle w:val="39"/>
        <w:jc w:val="both"/>
        <w:rPr>
          <w:rFonts w:hint="eastAsia" w:ascii="宋体" w:eastAsia="宋体"/>
          <w:color w:val="auto"/>
        </w:rPr>
      </w:pPr>
      <w:r>
        <w:rPr>
          <w:rFonts w:hint="eastAsia" w:ascii="宋体" w:eastAsia="宋体"/>
          <w:color w:val="auto"/>
        </w:rPr>
        <w:t>3、上表中客观分得分分值须认真填写，如故意作假夸大自评得分，且与专家评分分值相差较大的，其将在“实施方案”评分中被适当扣分。</w:t>
      </w:r>
    </w:p>
    <w:p/>
    <w:p>
      <w:pPr>
        <w:pStyle w:val="22"/>
      </w:pPr>
    </w:p>
    <w:p>
      <w:pPr>
        <w:snapToGrid w:val="0"/>
        <w:spacing w:before="50" w:after="120" w:afterLines="50" w:line="360" w:lineRule="auto"/>
        <w:jc w:val="left"/>
        <w:rPr>
          <w:rFonts w:hint="eastAsia" w:ascii="宋体" w:hAnsi="宋体" w:cs="宋体"/>
          <w:b/>
          <w:sz w:val="24"/>
          <w:szCs w:val="20"/>
        </w:rPr>
      </w:pPr>
      <w:r>
        <w:rPr>
          <w:rFonts w:hint="eastAsia" w:ascii="宋体" w:hAnsi="宋体" w:cs="宋体"/>
          <w:b/>
          <w:sz w:val="24"/>
        </w:rPr>
        <w:t>附件9：货物具体配置表：</w:t>
      </w:r>
    </w:p>
    <w:p>
      <w:pPr>
        <w:snapToGrid w:val="0"/>
        <w:spacing w:before="120" w:beforeLines="50" w:after="50" w:line="360" w:lineRule="auto"/>
        <w:jc w:val="center"/>
        <w:rPr>
          <w:rFonts w:hint="eastAsia" w:ascii="宋体" w:hAnsi="宋体" w:cs="宋体"/>
          <w:b/>
          <w:sz w:val="24"/>
        </w:rPr>
      </w:pPr>
      <w:r>
        <w:rPr>
          <w:rFonts w:hint="eastAsia" w:ascii="宋体" w:hAnsi="宋体" w:cs="宋体"/>
          <w:b/>
          <w:sz w:val="24"/>
        </w:rPr>
        <w:t>货物具体配置表</w:t>
      </w:r>
    </w:p>
    <w:p>
      <w:pPr>
        <w:pStyle w:val="27"/>
        <w:spacing w:before="120" w:after="120" w:line="360" w:lineRule="auto"/>
        <w:ind w:right="904"/>
        <w:rPr>
          <w:rFonts w:hint="eastAsia" w:hAnsi="宋体" w:cs="宋体"/>
        </w:rPr>
      </w:pPr>
      <w:r>
        <w:rPr>
          <w:rFonts w:hint="eastAsia" w:hAnsi="宋体" w:cs="宋体"/>
        </w:rPr>
        <w:t>项目名称：                       标项：              招标编号：</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noWrap w:val="0"/>
            <w:vAlign w:val="center"/>
          </w:tcPr>
          <w:p>
            <w:pPr>
              <w:jc w:val="center"/>
              <w:rPr>
                <w:rFonts w:hint="eastAsia" w:ascii="宋体" w:hAnsi="宋体" w:cs="宋体"/>
                <w:sz w:val="24"/>
              </w:rPr>
            </w:pPr>
            <w:r>
              <w:rPr>
                <w:rFonts w:hint="eastAsia" w:ascii="宋体" w:hAnsi="宋体" w:cs="宋体"/>
                <w:sz w:val="24"/>
              </w:rPr>
              <w:t>品牌型号</w:t>
            </w:r>
          </w:p>
        </w:tc>
        <w:tc>
          <w:tcPr>
            <w:tcW w:w="596" w:type="dxa"/>
            <w:tcBorders>
              <w:bottom w:val="nil"/>
            </w:tcBorders>
            <w:noWrap w:val="0"/>
            <w:vAlign w:val="center"/>
          </w:tcPr>
          <w:p>
            <w:pPr>
              <w:jc w:val="center"/>
              <w:rPr>
                <w:rFonts w:hint="eastAsia" w:ascii="宋体" w:hAnsi="宋体" w:cs="宋体"/>
                <w:sz w:val="24"/>
              </w:rPr>
            </w:pPr>
            <w:r>
              <w:rPr>
                <w:rFonts w:hint="eastAsia" w:ascii="宋体" w:hAnsi="宋体" w:cs="宋体"/>
                <w:sz w:val="24"/>
              </w:rPr>
              <w:t>序号</w:t>
            </w:r>
          </w:p>
        </w:tc>
        <w:tc>
          <w:tcPr>
            <w:tcW w:w="1260" w:type="dxa"/>
            <w:tcBorders>
              <w:bottom w:val="nil"/>
            </w:tcBorders>
            <w:noWrap w:val="0"/>
            <w:vAlign w:val="center"/>
          </w:tcPr>
          <w:p>
            <w:pPr>
              <w:jc w:val="center"/>
              <w:rPr>
                <w:rFonts w:hint="eastAsia" w:ascii="宋体" w:hAnsi="宋体" w:cs="宋体"/>
                <w:sz w:val="24"/>
              </w:rPr>
            </w:pPr>
            <w:r>
              <w:rPr>
                <w:rFonts w:hint="eastAsia" w:ascii="宋体" w:hAnsi="宋体" w:cs="宋体"/>
                <w:sz w:val="24"/>
              </w:rPr>
              <w:t>配件名称型号</w:t>
            </w:r>
          </w:p>
        </w:tc>
        <w:tc>
          <w:tcPr>
            <w:tcW w:w="1260" w:type="dxa"/>
            <w:noWrap w:val="0"/>
            <w:vAlign w:val="center"/>
          </w:tcPr>
          <w:p>
            <w:pPr>
              <w:jc w:val="center"/>
              <w:rPr>
                <w:rFonts w:hint="eastAsia" w:ascii="宋体" w:hAnsi="宋体" w:cs="宋体"/>
                <w:sz w:val="24"/>
              </w:rPr>
            </w:pPr>
            <w:r>
              <w:rPr>
                <w:rFonts w:hint="eastAsia" w:ascii="宋体" w:hAnsi="宋体" w:cs="宋体"/>
                <w:sz w:val="24"/>
              </w:rPr>
              <w:t>配件品牌</w:t>
            </w:r>
          </w:p>
        </w:tc>
        <w:tc>
          <w:tcPr>
            <w:tcW w:w="3348" w:type="dxa"/>
            <w:noWrap w:val="0"/>
            <w:vAlign w:val="center"/>
          </w:tcPr>
          <w:p>
            <w:pPr>
              <w:ind w:right="54"/>
              <w:jc w:val="center"/>
              <w:rPr>
                <w:rFonts w:hint="eastAsia" w:ascii="宋体" w:hAnsi="宋体" w:cs="宋体"/>
                <w:sz w:val="24"/>
              </w:rPr>
            </w:pPr>
            <w:r>
              <w:rPr>
                <w:rFonts w:hint="eastAsia" w:ascii="宋体" w:hAnsi="宋体" w:cs="宋体"/>
                <w:sz w:val="24"/>
              </w:rPr>
              <w:t>技术指标、功能及配置描述</w:t>
            </w:r>
          </w:p>
        </w:tc>
        <w:tc>
          <w:tcPr>
            <w:tcW w:w="1080" w:type="dxa"/>
            <w:noWrap w:val="0"/>
            <w:vAlign w:val="center"/>
          </w:tcPr>
          <w:p>
            <w:pPr>
              <w:ind w:right="54"/>
              <w:jc w:val="center"/>
              <w:rPr>
                <w:rFonts w:hint="eastAsia" w:ascii="宋体" w:hAnsi="宋体" w:cs="宋体"/>
                <w:sz w:val="24"/>
              </w:rPr>
            </w:pPr>
            <w:r>
              <w:rPr>
                <w:rFonts w:hint="eastAsia" w:ascii="宋体" w:hAnsi="宋体" w:cs="宋体"/>
                <w:sz w:val="24"/>
              </w:rPr>
              <w:t>产地</w:t>
            </w:r>
          </w:p>
        </w:tc>
        <w:tc>
          <w:tcPr>
            <w:tcW w:w="1080" w:type="dxa"/>
            <w:noWrap w:val="0"/>
            <w:vAlign w:val="center"/>
          </w:tcPr>
          <w:p>
            <w:pPr>
              <w:ind w:right="54"/>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restart"/>
            <w:noWrap w:val="0"/>
            <w:vAlign w:val="center"/>
          </w:tcPr>
          <w:p>
            <w:pPr>
              <w:spacing w:line="360" w:lineRule="auto"/>
              <w:jc w:val="center"/>
              <w:rPr>
                <w:rFonts w:hint="eastAsia" w:ascii="宋体" w:hAnsi="宋体" w:cs="宋体"/>
                <w:sz w:val="24"/>
              </w:rPr>
            </w:pPr>
          </w:p>
        </w:tc>
        <w:tc>
          <w:tcPr>
            <w:tcW w:w="596" w:type="dxa"/>
            <w:noWrap w:val="0"/>
            <w:vAlign w:val="center"/>
          </w:tcPr>
          <w:p>
            <w:pPr>
              <w:spacing w:line="360" w:lineRule="auto"/>
              <w:jc w:val="center"/>
              <w:rPr>
                <w:rFonts w:hint="eastAsia" w:ascii="宋体" w:hAnsi="宋体" w:cs="宋体"/>
                <w:sz w:val="24"/>
              </w:rPr>
            </w:pPr>
          </w:p>
        </w:tc>
        <w:tc>
          <w:tcPr>
            <w:tcW w:w="1260" w:type="dxa"/>
            <w:noWrap w:val="0"/>
            <w:vAlign w:val="center"/>
          </w:tcPr>
          <w:p>
            <w:pPr>
              <w:spacing w:line="360" w:lineRule="auto"/>
              <w:jc w:val="center"/>
              <w:rPr>
                <w:rFonts w:hint="eastAsia" w:ascii="宋体" w:hAnsi="宋体" w:cs="宋体"/>
                <w:sz w:val="24"/>
              </w:rPr>
            </w:pPr>
          </w:p>
        </w:tc>
        <w:tc>
          <w:tcPr>
            <w:tcW w:w="1260" w:type="dxa"/>
            <w:noWrap w:val="0"/>
            <w:vAlign w:val="center"/>
          </w:tcPr>
          <w:p>
            <w:pPr>
              <w:spacing w:line="360" w:lineRule="auto"/>
              <w:jc w:val="center"/>
              <w:rPr>
                <w:rFonts w:hint="eastAsia" w:ascii="宋体" w:hAnsi="宋体" w:cs="宋体"/>
                <w:sz w:val="24"/>
              </w:rPr>
            </w:pPr>
          </w:p>
        </w:tc>
        <w:tc>
          <w:tcPr>
            <w:tcW w:w="3348" w:type="dxa"/>
            <w:noWrap w:val="0"/>
            <w:vAlign w:val="center"/>
          </w:tcPr>
          <w:p>
            <w:pPr>
              <w:spacing w:line="360" w:lineRule="auto"/>
              <w:ind w:right="54"/>
              <w:jc w:val="center"/>
              <w:rPr>
                <w:rFonts w:hint="eastAsia" w:ascii="宋体" w:hAnsi="宋体" w:cs="宋体"/>
                <w:sz w:val="24"/>
              </w:rPr>
            </w:pPr>
          </w:p>
        </w:tc>
        <w:tc>
          <w:tcPr>
            <w:tcW w:w="1080" w:type="dxa"/>
            <w:noWrap w:val="0"/>
            <w:vAlign w:val="center"/>
          </w:tcPr>
          <w:p>
            <w:pPr>
              <w:spacing w:line="360" w:lineRule="auto"/>
              <w:ind w:right="54"/>
              <w:jc w:val="center"/>
              <w:rPr>
                <w:rFonts w:hint="eastAsia" w:ascii="宋体" w:hAnsi="宋体" w:cs="宋体"/>
                <w:sz w:val="24"/>
              </w:rPr>
            </w:pPr>
          </w:p>
        </w:tc>
        <w:tc>
          <w:tcPr>
            <w:tcW w:w="1080" w:type="dxa"/>
            <w:noWrap w:val="0"/>
            <w:vAlign w:val="center"/>
          </w:tcPr>
          <w:p>
            <w:pPr>
              <w:spacing w:line="360" w:lineRule="auto"/>
              <w:ind w:right="54"/>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hint="eastAsia" w:ascii="宋体" w:hAnsi="宋体" w:cs="宋体"/>
                <w:sz w:val="24"/>
              </w:rPr>
            </w:pPr>
          </w:p>
        </w:tc>
        <w:tc>
          <w:tcPr>
            <w:tcW w:w="596" w:type="dxa"/>
            <w:noWrap w:val="0"/>
            <w:vAlign w:val="center"/>
          </w:tcPr>
          <w:p>
            <w:pPr>
              <w:spacing w:line="360" w:lineRule="auto"/>
              <w:jc w:val="center"/>
              <w:rPr>
                <w:rFonts w:hint="eastAsia" w:ascii="宋体" w:hAnsi="宋体" w:cs="宋体"/>
                <w:sz w:val="24"/>
              </w:rPr>
            </w:pPr>
          </w:p>
        </w:tc>
        <w:tc>
          <w:tcPr>
            <w:tcW w:w="1260" w:type="dxa"/>
            <w:noWrap w:val="0"/>
            <w:vAlign w:val="center"/>
          </w:tcPr>
          <w:p>
            <w:pPr>
              <w:spacing w:line="360" w:lineRule="auto"/>
              <w:jc w:val="center"/>
              <w:rPr>
                <w:rFonts w:hint="eastAsia" w:ascii="宋体" w:hAnsi="宋体" w:cs="宋体"/>
                <w:sz w:val="24"/>
              </w:rPr>
            </w:pPr>
          </w:p>
        </w:tc>
        <w:tc>
          <w:tcPr>
            <w:tcW w:w="1260" w:type="dxa"/>
            <w:noWrap w:val="0"/>
            <w:vAlign w:val="center"/>
          </w:tcPr>
          <w:p>
            <w:pPr>
              <w:spacing w:line="360" w:lineRule="auto"/>
              <w:jc w:val="center"/>
              <w:rPr>
                <w:rFonts w:hint="eastAsia" w:ascii="宋体" w:hAnsi="宋体" w:cs="宋体"/>
                <w:sz w:val="24"/>
              </w:rPr>
            </w:pPr>
          </w:p>
        </w:tc>
        <w:tc>
          <w:tcPr>
            <w:tcW w:w="3348" w:type="dxa"/>
            <w:noWrap w:val="0"/>
            <w:vAlign w:val="center"/>
          </w:tcPr>
          <w:p>
            <w:pPr>
              <w:spacing w:line="360" w:lineRule="auto"/>
              <w:ind w:right="54"/>
              <w:jc w:val="center"/>
              <w:rPr>
                <w:rFonts w:hint="eastAsia" w:ascii="宋体" w:hAnsi="宋体" w:cs="宋体"/>
                <w:sz w:val="24"/>
              </w:rPr>
            </w:pPr>
          </w:p>
        </w:tc>
        <w:tc>
          <w:tcPr>
            <w:tcW w:w="1080" w:type="dxa"/>
            <w:noWrap w:val="0"/>
            <w:vAlign w:val="center"/>
          </w:tcPr>
          <w:p>
            <w:pPr>
              <w:spacing w:line="360" w:lineRule="auto"/>
              <w:ind w:right="54"/>
              <w:jc w:val="center"/>
              <w:rPr>
                <w:rFonts w:hint="eastAsia" w:ascii="宋体" w:hAnsi="宋体" w:cs="宋体"/>
                <w:sz w:val="24"/>
              </w:rPr>
            </w:pPr>
          </w:p>
        </w:tc>
        <w:tc>
          <w:tcPr>
            <w:tcW w:w="1080" w:type="dxa"/>
            <w:noWrap w:val="0"/>
            <w:vAlign w:val="center"/>
          </w:tcPr>
          <w:p>
            <w:pPr>
              <w:spacing w:line="360" w:lineRule="auto"/>
              <w:ind w:right="54"/>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hint="eastAsia" w:ascii="宋体" w:hAnsi="宋体" w:cs="宋体"/>
                <w:sz w:val="24"/>
              </w:rPr>
            </w:pPr>
          </w:p>
        </w:tc>
        <w:tc>
          <w:tcPr>
            <w:tcW w:w="596" w:type="dxa"/>
            <w:noWrap w:val="0"/>
            <w:vAlign w:val="center"/>
          </w:tcPr>
          <w:p>
            <w:pPr>
              <w:spacing w:line="360" w:lineRule="auto"/>
              <w:jc w:val="center"/>
              <w:rPr>
                <w:rFonts w:hint="eastAsia" w:ascii="宋体" w:hAnsi="宋体" w:cs="宋体"/>
                <w:sz w:val="24"/>
              </w:rPr>
            </w:pPr>
          </w:p>
        </w:tc>
        <w:tc>
          <w:tcPr>
            <w:tcW w:w="1260" w:type="dxa"/>
            <w:noWrap w:val="0"/>
            <w:vAlign w:val="center"/>
          </w:tcPr>
          <w:p>
            <w:pPr>
              <w:spacing w:line="360" w:lineRule="auto"/>
              <w:jc w:val="center"/>
              <w:rPr>
                <w:rFonts w:hint="eastAsia" w:ascii="宋体" w:hAnsi="宋体" w:cs="宋体"/>
                <w:sz w:val="24"/>
              </w:rPr>
            </w:pPr>
          </w:p>
        </w:tc>
        <w:tc>
          <w:tcPr>
            <w:tcW w:w="1260" w:type="dxa"/>
            <w:noWrap w:val="0"/>
            <w:vAlign w:val="center"/>
          </w:tcPr>
          <w:p>
            <w:pPr>
              <w:spacing w:line="360" w:lineRule="auto"/>
              <w:jc w:val="center"/>
              <w:rPr>
                <w:rFonts w:hint="eastAsia" w:ascii="宋体" w:hAnsi="宋体" w:cs="宋体"/>
                <w:sz w:val="24"/>
              </w:rPr>
            </w:pPr>
          </w:p>
        </w:tc>
        <w:tc>
          <w:tcPr>
            <w:tcW w:w="3348" w:type="dxa"/>
            <w:noWrap w:val="0"/>
            <w:vAlign w:val="center"/>
          </w:tcPr>
          <w:p>
            <w:pPr>
              <w:spacing w:line="360" w:lineRule="auto"/>
              <w:ind w:right="54"/>
              <w:jc w:val="center"/>
              <w:rPr>
                <w:rFonts w:hint="eastAsia" w:ascii="宋体" w:hAnsi="宋体" w:cs="宋体"/>
                <w:sz w:val="24"/>
              </w:rPr>
            </w:pPr>
          </w:p>
        </w:tc>
        <w:tc>
          <w:tcPr>
            <w:tcW w:w="1080" w:type="dxa"/>
            <w:noWrap w:val="0"/>
            <w:vAlign w:val="center"/>
          </w:tcPr>
          <w:p>
            <w:pPr>
              <w:spacing w:line="360" w:lineRule="auto"/>
              <w:ind w:right="54"/>
              <w:jc w:val="center"/>
              <w:rPr>
                <w:rFonts w:hint="eastAsia" w:ascii="宋体" w:hAnsi="宋体" w:cs="宋体"/>
                <w:sz w:val="24"/>
              </w:rPr>
            </w:pPr>
          </w:p>
        </w:tc>
        <w:tc>
          <w:tcPr>
            <w:tcW w:w="1080" w:type="dxa"/>
            <w:noWrap w:val="0"/>
            <w:vAlign w:val="center"/>
          </w:tcPr>
          <w:p>
            <w:pPr>
              <w:spacing w:line="360" w:lineRule="auto"/>
              <w:ind w:right="54"/>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hint="eastAsia" w:ascii="宋体" w:hAnsi="宋体" w:cs="宋体"/>
                <w:sz w:val="24"/>
              </w:rPr>
            </w:pPr>
          </w:p>
        </w:tc>
        <w:tc>
          <w:tcPr>
            <w:tcW w:w="596" w:type="dxa"/>
            <w:noWrap w:val="0"/>
            <w:vAlign w:val="center"/>
          </w:tcPr>
          <w:p>
            <w:pPr>
              <w:spacing w:line="360" w:lineRule="auto"/>
              <w:jc w:val="center"/>
              <w:rPr>
                <w:rFonts w:hint="eastAsia" w:ascii="宋体" w:hAnsi="宋体" w:cs="宋体"/>
                <w:sz w:val="24"/>
              </w:rPr>
            </w:pPr>
          </w:p>
        </w:tc>
        <w:tc>
          <w:tcPr>
            <w:tcW w:w="1260" w:type="dxa"/>
            <w:noWrap w:val="0"/>
            <w:vAlign w:val="center"/>
          </w:tcPr>
          <w:p>
            <w:pPr>
              <w:spacing w:line="360" w:lineRule="auto"/>
              <w:jc w:val="center"/>
              <w:rPr>
                <w:rFonts w:hint="eastAsia" w:ascii="宋体" w:hAnsi="宋体" w:cs="宋体"/>
                <w:sz w:val="24"/>
              </w:rPr>
            </w:pPr>
          </w:p>
        </w:tc>
        <w:tc>
          <w:tcPr>
            <w:tcW w:w="1260" w:type="dxa"/>
            <w:noWrap w:val="0"/>
            <w:vAlign w:val="center"/>
          </w:tcPr>
          <w:p>
            <w:pPr>
              <w:spacing w:line="360" w:lineRule="auto"/>
              <w:jc w:val="center"/>
              <w:rPr>
                <w:rFonts w:hint="eastAsia" w:ascii="宋体" w:hAnsi="宋体" w:cs="宋体"/>
                <w:sz w:val="24"/>
              </w:rPr>
            </w:pPr>
          </w:p>
        </w:tc>
        <w:tc>
          <w:tcPr>
            <w:tcW w:w="3348" w:type="dxa"/>
            <w:noWrap w:val="0"/>
            <w:vAlign w:val="center"/>
          </w:tcPr>
          <w:p>
            <w:pPr>
              <w:spacing w:line="360" w:lineRule="auto"/>
              <w:ind w:right="54"/>
              <w:jc w:val="center"/>
              <w:rPr>
                <w:rFonts w:hint="eastAsia" w:ascii="宋体" w:hAnsi="宋体" w:cs="宋体"/>
                <w:sz w:val="24"/>
              </w:rPr>
            </w:pPr>
          </w:p>
        </w:tc>
        <w:tc>
          <w:tcPr>
            <w:tcW w:w="1080" w:type="dxa"/>
            <w:noWrap w:val="0"/>
            <w:vAlign w:val="center"/>
          </w:tcPr>
          <w:p>
            <w:pPr>
              <w:spacing w:line="360" w:lineRule="auto"/>
              <w:ind w:right="54"/>
              <w:jc w:val="center"/>
              <w:rPr>
                <w:rFonts w:hint="eastAsia" w:ascii="宋体" w:hAnsi="宋体" w:cs="宋体"/>
                <w:sz w:val="24"/>
              </w:rPr>
            </w:pPr>
          </w:p>
        </w:tc>
        <w:tc>
          <w:tcPr>
            <w:tcW w:w="1080" w:type="dxa"/>
            <w:noWrap w:val="0"/>
            <w:vAlign w:val="center"/>
          </w:tcPr>
          <w:p>
            <w:pPr>
              <w:spacing w:line="360" w:lineRule="auto"/>
              <w:ind w:right="54"/>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hint="eastAsia" w:ascii="宋体" w:hAnsi="宋体" w:cs="宋体"/>
                <w:sz w:val="24"/>
              </w:rPr>
            </w:pPr>
          </w:p>
        </w:tc>
        <w:tc>
          <w:tcPr>
            <w:tcW w:w="596" w:type="dxa"/>
            <w:noWrap w:val="0"/>
            <w:vAlign w:val="center"/>
          </w:tcPr>
          <w:p>
            <w:pPr>
              <w:spacing w:line="360" w:lineRule="auto"/>
              <w:jc w:val="center"/>
              <w:rPr>
                <w:rFonts w:hint="eastAsia" w:ascii="宋体" w:hAnsi="宋体" w:cs="宋体"/>
                <w:sz w:val="24"/>
              </w:rPr>
            </w:pPr>
          </w:p>
        </w:tc>
        <w:tc>
          <w:tcPr>
            <w:tcW w:w="1260" w:type="dxa"/>
            <w:noWrap w:val="0"/>
            <w:vAlign w:val="center"/>
          </w:tcPr>
          <w:p>
            <w:pPr>
              <w:spacing w:line="360" w:lineRule="auto"/>
              <w:jc w:val="center"/>
              <w:rPr>
                <w:rFonts w:hint="eastAsia" w:ascii="宋体" w:hAnsi="宋体" w:cs="宋体"/>
                <w:sz w:val="24"/>
              </w:rPr>
            </w:pPr>
          </w:p>
        </w:tc>
        <w:tc>
          <w:tcPr>
            <w:tcW w:w="1260" w:type="dxa"/>
            <w:noWrap w:val="0"/>
            <w:vAlign w:val="center"/>
          </w:tcPr>
          <w:p>
            <w:pPr>
              <w:spacing w:line="360" w:lineRule="auto"/>
              <w:jc w:val="center"/>
              <w:rPr>
                <w:rFonts w:hint="eastAsia" w:ascii="宋体" w:hAnsi="宋体" w:cs="宋体"/>
                <w:sz w:val="24"/>
              </w:rPr>
            </w:pPr>
          </w:p>
        </w:tc>
        <w:tc>
          <w:tcPr>
            <w:tcW w:w="3348" w:type="dxa"/>
            <w:noWrap w:val="0"/>
            <w:vAlign w:val="center"/>
          </w:tcPr>
          <w:p>
            <w:pPr>
              <w:spacing w:line="360" w:lineRule="auto"/>
              <w:ind w:right="54"/>
              <w:jc w:val="center"/>
              <w:rPr>
                <w:rFonts w:hint="eastAsia" w:ascii="宋体" w:hAnsi="宋体" w:cs="宋体"/>
                <w:sz w:val="24"/>
              </w:rPr>
            </w:pPr>
          </w:p>
        </w:tc>
        <w:tc>
          <w:tcPr>
            <w:tcW w:w="1080" w:type="dxa"/>
            <w:noWrap w:val="0"/>
            <w:vAlign w:val="center"/>
          </w:tcPr>
          <w:p>
            <w:pPr>
              <w:spacing w:line="360" w:lineRule="auto"/>
              <w:ind w:right="54"/>
              <w:jc w:val="center"/>
              <w:rPr>
                <w:rFonts w:hint="eastAsia" w:ascii="宋体" w:hAnsi="宋体" w:cs="宋体"/>
                <w:sz w:val="24"/>
              </w:rPr>
            </w:pPr>
          </w:p>
        </w:tc>
        <w:tc>
          <w:tcPr>
            <w:tcW w:w="1080" w:type="dxa"/>
            <w:noWrap w:val="0"/>
            <w:vAlign w:val="center"/>
          </w:tcPr>
          <w:p>
            <w:pPr>
              <w:spacing w:line="360" w:lineRule="auto"/>
              <w:ind w:right="54"/>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hint="eastAsia" w:ascii="宋体" w:hAnsi="宋体" w:cs="宋体"/>
                <w:sz w:val="24"/>
              </w:rPr>
            </w:pPr>
          </w:p>
        </w:tc>
        <w:tc>
          <w:tcPr>
            <w:tcW w:w="596" w:type="dxa"/>
            <w:noWrap w:val="0"/>
            <w:vAlign w:val="center"/>
          </w:tcPr>
          <w:p>
            <w:pPr>
              <w:spacing w:line="360" w:lineRule="auto"/>
              <w:jc w:val="center"/>
              <w:rPr>
                <w:rFonts w:hint="eastAsia" w:ascii="宋体" w:hAnsi="宋体" w:cs="宋体"/>
                <w:sz w:val="24"/>
              </w:rPr>
            </w:pPr>
          </w:p>
        </w:tc>
        <w:tc>
          <w:tcPr>
            <w:tcW w:w="1260" w:type="dxa"/>
            <w:noWrap w:val="0"/>
            <w:vAlign w:val="center"/>
          </w:tcPr>
          <w:p>
            <w:pPr>
              <w:spacing w:line="360" w:lineRule="auto"/>
              <w:jc w:val="center"/>
              <w:rPr>
                <w:rFonts w:hint="eastAsia" w:ascii="宋体" w:hAnsi="宋体" w:cs="宋体"/>
                <w:sz w:val="24"/>
              </w:rPr>
            </w:pPr>
          </w:p>
        </w:tc>
        <w:tc>
          <w:tcPr>
            <w:tcW w:w="1260" w:type="dxa"/>
            <w:noWrap w:val="0"/>
            <w:vAlign w:val="center"/>
          </w:tcPr>
          <w:p>
            <w:pPr>
              <w:spacing w:line="360" w:lineRule="auto"/>
              <w:jc w:val="center"/>
              <w:rPr>
                <w:rFonts w:hint="eastAsia" w:ascii="宋体" w:hAnsi="宋体" w:cs="宋体"/>
                <w:sz w:val="24"/>
              </w:rPr>
            </w:pPr>
          </w:p>
        </w:tc>
        <w:tc>
          <w:tcPr>
            <w:tcW w:w="3348" w:type="dxa"/>
            <w:noWrap w:val="0"/>
            <w:vAlign w:val="center"/>
          </w:tcPr>
          <w:p>
            <w:pPr>
              <w:spacing w:line="360" w:lineRule="auto"/>
              <w:ind w:right="54"/>
              <w:jc w:val="center"/>
              <w:rPr>
                <w:rFonts w:hint="eastAsia" w:ascii="宋体" w:hAnsi="宋体" w:cs="宋体"/>
                <w:sz w:val="24"/>
              </w:rPr>
            </w:pPr>
          </w:p>
        </w:tc>
        <w:tc>
          <w:tcPr>
            <w:tcW w:w="1080" w:type="dxa"/>
            <w:noWrap w:val="0"/>
            <w:vAlign w:val="center"/>
          </w:tcPr>
          <w:p>
            <w:pPr>
              <w:spacing w:line="360" w:lineRule="auto"/>
              <w:ind w:right="54"/>
              <w:jc w:val="center"/>
              <w:rPr>
                <w:rFonts w:hint="eastAsia" w:ascii="宋体" w:hAnsi="宋体" w:cs="宋体"/>
                <w:sz w:val="24"/>
              </w:rPr>
            </w:pPr>
          </w:p>
        </w:tc>
        <w:tc>
          <w:tcPr>
            <w:tcW w:w="1080" w:type="dxa"/>
            <w:noWrap w:val="0"/>
            <w:vAlign w:val="center"/>
          </w:tcPr>
          <w:p>
            <w:pPr>
              <w:spacing w:line="360" w:lineRule="auto"/>
              <w:ind w:right="54"/>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hint="eastAsia" w:ascii="宋体" w:hAnsi="宋体" w:cs="宋体"/>
                <w:sz w:val="24"/>
              </w:rPr>
            </w:pPr>
          </w:p>
        </w:tc>
        <w:tc>
          <w:tcPr>
            <w:tcW w:w="596" w:type="dxa"/>
            <w:noWrap w:val="0"/>
            <w:vAlign w:val="center"/>
          </w:tcPr>
          <w:p>
            <w:pPr>
              <w:spacing w:line="360" w:lineRule="auto"/>
              <w:jc w:val="center"/>
              <w:rPr>
                <w:rFonts w:hint="eastAsia" w:ascii="宋体" w:hAnsi="宋体" w:cs="宋体"/>
                <w:sz w:val="24"/>
              </w:rPr>
            </w:pPr>
          </w:p>
        </w:tc>
        <w:tc>
          <w:tcPr>
            <w:tcW w:w="1260" w:type="dxa"/>
            <w:noWrap w:val="0"/>
            <w:vAlign w:val="center"/>
          </w:tcPr>
          <w:p>
            <w:pPr>
              <w:spacing w:line="360" w:lineRule="auto"/>
              <w:jc w:val="center"/>
              <w:rPr>
                <w:rFonts w:hint="eastAsia" w:ascii="宋体" w:hAnsi="宋体" w:cs="宋体"/>
                <w:sz w:val="24"/>
              </w:rPr>
            </w:pPr>
          </w:p>
        </w:tc>
        <w:tc>
          <w:tcPr>
            <w:tcW w:w="1260" w:type="dxa"/>
            <w:noWrap w:val="0"/>
            <w:vAlign w:val="center"/>
          </w:tcPr>
          <w:p>
            <w:pPr>
              <w:spacing w:line="360" w:lineRule="auto"/>
              <w:jc w:val="center"/>
              <w:rPr>
                <w:rFonts w:hint="eastAsia" w:ascii="宋体" w:hAnsi="宋体" w:cs="宋体"/>
                <w:sz w:val="24"/>
              </w:rPr>
            </w:pPr>
          </w:p>
        </w:tc>
        <w:tc>
          <w:tcPr>
            <w:tcW w:w="3348" w:type="dxa"/>
            <w:noWrap w:val="0"/>
            <w:vAlign w:val="center"/>
          </w:tcPr>
          <w:p>
            <w:pPr>
              <w:spacing w:line="360" w:lineRule="auto"/>
              <w:ind w:right="54"/>
              <w:jc w:val="center"/>
              <w:rPr>
                <w:rFonts w:hint="eastAsia" w:ascii="宋体" w:hAnsi="宋体" w:cs="宋体"/>
                <w:sz w:val="24"/>
              </w:rPr>
            </w:pPr>
          </w:p>
        </w:tc>
        <w:tc>
          <w:tcPr>
            <w:tcW w:w="1080" w:type="dxa"/>
            <w:noWrap w:val="0"/>
            <w:vAlign w:val="center"/>
          </w:tcPr>
          <w:p>
            <w:pPr>
              <w:spacing w:line="360" w:lineRule="auto"/>
              <w:ind w:right="54"/>
              <w:jc w:val="center"/>
              <w:rPr>
                <w:rFonts w:hint="eastAsia" w:ascii="宋体" w:hAnsi="宋体" w:cs="宋体"/>
                <w:sz w:val="24"/>
              </w:rPr>
            </w:pPr>
          </w:p>
        </w:tc>
        <w:tc>
          <w:tcPr>
            <w:tcW w:w="1080" w:type="dxa"/>
            <w:noWrap w:val="0"/>
            <w:vAlign w:val="center"/>
          </w:tcPr>
          <w:p>
            <w:pPr>
              <w:spacing w:line="360" w:lineRule="auto"/>
              <w:ind w:right="54"/>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hint="eastAsia" w:ascii="宋体" w:hAnsi="宋体" w:cs="宋体"/>
                <w:sz w:val="24"/>
              </w:rPr>
            </w:pPr>
          </w:p>
        </w:tc>
        <w:tc>
          <w:tcPr>
            <w:tcW w:w="596" w:type="dxa"/>
            <w:noWrap w:val="0"/>
            <w:vAlign w:val="center"/>
          </w:tcPr>
          <w:p>
            <w:pPr>
              <w:spacing w:line="360" w:lineRule="auto"/>
              <w:jc w:val="center"/>
              <w:rPr>
                <w:rFonts w:hint="eastAsia" w:ascii="宋体" w:hAnsi="宋体" w:cs="宋体"/>
                <w:sz w:val="24"/>
              </w:rPr>
            </w:pPr>
          </w:p>
        </w:tc>
        <w:tc>
          <w:tcPr>
            <w:tcW w:w="1260" w:type="dxa"/>
            <w:noWrap w:val="0"/>
            <w:vAlign w:val="center"/>
          </w:tcPr>
          <w:p>
            <w:pPr>
              <w:spacing w:line="360" w:lineRule="auto"/>
              <w:jc w:val="center"/>
              <w:rPr>
                <w:rFonts w:hint="eastAsia" w:ascii="宋体" w:hAnsi="宋体" w:cs="宋体"/>
                <w:sz w:val="24"/>
              </w:rPr>
            </w:pPr>
          </w:p>
        </w:tc>
        <w:tc>
          <w:tcPr>
            <w:tcW w:w="1260" w:type="dxa"/>
            <w:noWrap w:val="0"/>
            <w:vAlign w:val="center"/>
          </w:tcPr>
          <w:p>
            <w:pPr>
              <w:spacing w:line="360" w:lineRule="auto"/>
              <w:jc w:val="center"/>
              <w:rPr>
                <w:rFonts w:hint="eastAsia" w:ascii="宋体" w:hAnsi="宋体" w:cs="宋体"/>
                <w:sz w:val="24"/>
              </w:rPr>
            </w:pPr>
          </w:p>
        </w:tc>
        <w:tc>
          <w:tcPr>
            <w:tcW w:w="3348" w:type="dxa"/>
            <w:noWrap w:val="0"/>
            <w:vAlign w:val="center"/>
          </w:tcPr>
          <w:p>
            <w:pPr>
              <w:spacing w:line="360" w:lineRule="auto"/>
              <w:ind w:right="54"/>
              <w:jc w:val="center"/>
              <w:rPr>
                <w:rFonts w:hint="eastAsia" w:ascii="宋体" w:hAnsi="宋体" w:cs="宋体"/>
                <w:sz w:val="24"/>
              </w:rPr>
            </w:pPr>
          </w:p>
        </w:tc>
        <w:tc>
          <w:tcPr>
            <w:tcW w:w="1080" w:type="dxa"/>
            <w:noWrap w:val="0"/>
            <w:vAlign w:val="center"/>
          </w:tcPr>
          <w:p>
            <w:pPr>
              <w:spacing w:line="360" w:lineRule="auto"/>
              <w:ind w:right="54"/>
              <w:jc w:val="center"/>
              <w:rPr>
                <w:rFonts w:hint="eastAsia" w:ascii="宋体" w:hAnsi="宋体" w:cs="宋体"/>
                <w:sz w:val="24"/>
              </w:rPr>
            </w:pPr>
          </w:p>
        </w:tc>
        <w:tc>
          <w:tcPr>
            <w:tcW w:w="1080" w:type="dxa"/>
            <w:noWrap w:val="0"/>
            <w:vAlign w:val="center"/>
          </w:tcPr>
          <w:p>
            <w:pPr>
              <w:spacing w:line="360" w:lineRule="auto"/>
              <w:ind w:right="54"/>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pPr>
              <w:spacing w:line="360" w:lineRule="auto"/>
              <w:jc w:val="center"/>
              <w:rPr>
                <w:rFonts w:hint="eastAsia" w:ascii="宋体" w:hAnsi="宋体" w:cs="宋体"/>
                <w:sz w:val="24"/>
              </w:rPr>
            </w:pPr>
          </w:p>
        </w:tc>
        <w:tc>
          <w:tcPr>
            <w:tcW w:w="596" w:type="dxa"/>
            <w:noWrap w:val="0"/>
            <w:vAlign w:val="center"/>
          </w:tcPr>
          <w:p>
            <w:pPr>
              <w:spacing w:line="360" w:lineRule="auto"/>
              <w:jc w:val="center"/>
              <w:rPr>
                <w:rFonts w:hint="eastAsia" w:ascii="宋体" w:hAnsi="宋体" w:cs="宋体"/>
                <w:sz w:val="24"/>
              </w:rPr>
            </w:pPr>
          </w:p>
        </w:tc>
        <w:tc>
          <w:tcPr>
            <w:tcW w:w="1260" w:type="dxa"/>
            <w:noWrap w:val="0"/>
            <w:vAlign w:val="center"/>
          </w:tcPr>
          <w:p>
            <w:pPr>
              <w:spacing w:line="360" w:lineRule="auto"/>
              <w:jc w:val="center"/>
              <w:rPr>
                <w:rFonts w:hint="eastAsia" w:ascii="宋体" w:hAnsi="宋体" w:cs="宋体"/>
                <w:sz w:val="24"/>
              </w:rPr>
            </w:pPr>
          </w:p>
        </w:tc>
        <w:tc>
          <w:tcPr>
            <w:tcW w:w="1260" w:type="dxa"/>
            <w:noWrap w:val="0"/>
            <w:vAlign w:val="center"/>
          </w:tcPr>
          <w:p>
            <w:pPr>
              <w:spacing w:line="360" w:lineRule="auto"/>
              <w:jc w:val="center"/>
              <w:rPr>
                <w:rFonts w:hint="eastAsia" w:ascii="宋体" w:hAnsi="宋体" w:cs="宋体"/>
                <w:sz w:val="24"/>
              </w:rPr>
            </w:pPr>
          </w:p>
        </w:tc>
        <w:tc>
          <w:tcPr>
            <w:tcW w:w="3348" w:type="dxa"/>
            <w:noWrap w:val="0"/>
            <w:vAlign w:val="center"/>
          </w:tcPr>
          <w:p>
            <w:pPr>
              <w:spacing w:line="360" w:lineRule="auto"/>
              <w:ind w:right="54"/>
              <w:jc w:val="center"/>
              <w:rPr>
                <w:rFonts w:hint="eastAsia" w:ascii="宋体" w:hAnsi="宋体" w:cs="宋体"/>
                <w:sz w:val="24"/>
              </w:rPr>
            </w:pPr>
          </w:p>
        </w:tc>
        <w:tc>
          <w:tcPr>
            <w:tcW w:w="1080" w:type="dxa"/>
            <w:noWrap w:val="0"/>
            <w:vAlign w:val="center"/>
          </w:tcPr>
          <w:p>
            <w:pPr>
              <w:spacing w:line="360" w:lineRule="auto"/>
              <w:ind w:right="54"/>
              <w:jc w:val="center"/>
              <w:rPr>
                <w:rFonts w:hint="eastAsia" w:ascii="宋体" w:hAnsi="宋体" w:cs="宋体"/>
                <w:sz w:val="24"/>
              </w:rPr>
            </w:pPr>
          </w:p>
        </w:tc>
        <w:tc>
          <w:tcPr>
            <w:tcW w:w="1080" w:type="dxa"/>
            <w:noWrap w:val="0"/>
            <w:vAlign w:val="center"/>
          </w:tcPr>
          <w:p>
            <w:pPr>
              <w:spacing w:line="360" w:lineRule="auto"/>
              <w:ind w:right="54"/>
              <w:jc w:val="center"/>
              <w:rPr>
                <w:rFonts w:hint="eastAsia" w:ascii="宋体" w:hAnsi="宋体" w:cs="宋体"/>
                <w:sz w:val="24"/>
              </w:rPr>
            </w:pPr>
          </w:p>
        </w:tc>
      </w:tr>
    </w:tbl>
    <w:p>
      <w:pPr>
        <w:pStyle w:val="27"/>
        <w:tabs>
          <w:tab w:val="left" w:pos="4312"/>
        </w:tabs>
        <w:spacing w:before="120" w:after="120" w:line="360" w:lineRule="auto"/>
        <w:rPr>
          <w:rFonts w:hint="eastAsia" w:hAnsi="宋体" w:cs="宋体"/>
        </w:rPr>
      </w:pPr>
    </w:p>
    <w:p>
      <w:pPr>
        <w:pStyle w:val="27"/>
        <w:tabs>
          <w:tab w:val="left" w:pos="4312"/>
        </w:tabs>
        <w:spacing w:before="120" w:after="120" w:line="360" w:lineRule="auto"/>
        <w:rPr>
          <w:rFonts w:hint="eastAsia" w:hAnsi="宋体" w:cs="宋体"/>
        </w:rPr>
      </w:pPr>
      <w:r>
        <w:rPr>
          <w:rFonts w:hint="eastAsia" w:hAnsi="宋体" w:cs="宋体"/>
        </w:rPr>
        <w:t>投标单位（公章）：</w:t>
      </w:r>
    </w:p>
    <w:p>
      <w:pPr>
        <w:pStyle w:val="27"/>
        <w:tabs>
          <w:tab w:val="left" w:pos="4312"/>
        </w:tabs>
        <w:spacing w:before="120" w:after="120" w:line="360" w:lineRule="auto"/>
        <w:ind w:firstLine="360" w:firstLineChars="150"/>
        <w:rPr>
          <w:rFonts w:hint="eastAsia" w:hAnsi="宋体" w:cs="宋体"/>
        </w:rPr>
      </w:pPr>
      <w:r>
        <w:rPr>
          <w:rFonts w:hint="eastAsia" w:hAnsi="宋体" w:cs="宋体"/>
        </w:rPr>
        <w:t>日期：</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注：此表在不改变投标内容的情况下可自行制作</w:t>
      </w:r>
    </w:p>
    <w:p>
      <w:pPr>
        <w:pStyle w:val="27"/>
        <w:spacing w:before="120" w:after="120" w:line="360" w:lineRule="auto"/>
        <w:rPr>
          <w:rFonts w:hint="eastAsia" w:hAnsi="宋体" w:cs="宋体"/>
        </w:rPr>
      </w:pPr>
    </w:p>
    <w:p>
      <w:pPr>
        <w:rPr>
          <w:rFonts w:hint="eastAsia"/>
        </w:rPr>
      </w:pPr>
    </w:p>
    <w:p>
      <w:pPr>
        <w:snapToGrid w:val="0"/>
        <w:spacing w:before="50" w:after="120" w:afterLines="50" w:line="360" w:lineRule="auto"/>
        <w:jc w:val="left"/>
        <w:rPr>
          <w:rFonts w:hint="eastAsia" w:ascii="宋体" w:hAnsi="宋体" w:cs="宋体"/>
          <w:b/>
          <w:sz w:val="24"/>
        </w:rPr>
      </w:pPr>
    </w:p>
    <w:p>
      <w:pPr>
        <w:snapToGrid w:val="0"/>
        <w:spacing w:before="50" w:after="120" w:afterLines="50" w:line="360" w:lineRule="auto"/>
        <w:jc w:val="left"/>
        <w:rPr>
          <w:rFonts w:hint="eastAsia" w:ascii="宋体" w:hAnsi="宋体" w:cs="宋体"/>
          <w:b/>
          <w:sz w:val="24"/>
        </w:rPr>
      </w:pPr>
      <w:r>
        <w:rPr>
          <w:rFonts w:hint="eastAsia" w:ascii="宋体" w:hAnsi="宋体" w:cs="宋体"/>
          <w:b/>
          <w:sz w:val="24"/>
        </w:rPr>
        <w:t>附件10：技术偏离表格式：</w:t>
      </w:r>
    </w:p>
    <w:p>
      <w:pPr>
        <w:snapToGrid w:val="0"/>
        <w:spacing w:before="50" w:after="120" w:afterLines="50" w:line="360" w:lineRule="auto"/>
        <w:jc w:val="center"/>
        <w:rPr>
          <w:rFonts w:hint="eastAsia" w:ascii="宋体" w:hAnsi="宋体" w:cs="宋体"/>
          <w:b/>
          <w:sz w:val="32"/>
          <w:szCs w:val="32"/>
        </w:rPr>
      </w:pPr>
      <w:r>
        <w:rPr>
          <w:rFonts w:hint="eastAsia" w:ascii="宋体" w:hAnsi="宋体" w:cs="宋体"/>
          <w:b/>
          <w:sz w:val="32"/>
          <w:szCs w:val="32"/>
        </w:rPr>
        <w:t>技术偏离表</w:t>
      </w:r>
    </w:p>
    <w:p>
      <w:pPr>
        <w:pStyle w:val="22"/>
        <w:rPr>
          <w:rFonts w:hint="eastAsia" w:ascii="宋体" w:hAnsi="宋体" w:cs="宋体"/>
          <w:sz w:val="24"/>
        </w:rPr>
      </w:pPr>
      <w:r>
        <w:rPr>
          <w:rFonts w:hint="eastAsia" w:ascii="宋体" w:hAnsi="宋体" w:cs="宋体"/>
          <w:sz w:val="24"/>
        </w:rPr>
        <w:t>标项：</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1855" w:type="dxa"/>
            <w:tcBorders>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内容</w:t>
            </w:r>
          </w:p>
        </w:tc>
        <w:tc>
          <w:tcPr>
            <w:tcW w:w="1957" w:type="dxa"/>
            <w:tcBorders>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招标文件</w:t>
            </w:r>
          </w:p>
          <w:p>
            <w:pPr>
              <w:jc w:val="center"/>
              <w:rPr>
                <w:rFonts w:hint="eastAsia" w:ascii="宋体" w:hAnsi="宋体" w:cs="宋体"/>
                <w:sz w:val="24"/>
              </w:rPr>
            </w:pPr>
            <w:r>
              <w:rPr>
                <w:rFonts w:hint="eastAsia" w:ascii="宋体" w:hAnsi="宋体" w:cs="宋体"/>
                <w:sz w:val="24"/>
              </w:rPr>
              <w:t>规范要求</w:t>
            </w:r>
          </w:p>
        </w:tc>
        <w:tc>
          <w:tcPr>
            <w:tcW w:w="1620" w:type="dxa"/>
            <w:tcBorders>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投标文件</w:t>
            </w:r>
          </w:p>
          <w:p>
            <w:pPr>
              <w:jc w:val="center"/>
              <w:rPr>
                <w:rFonts w:hint="eastAsia" w:ascii="宋体" w:hAnsi="宋体" w:cs="宋体"/>
                <w:sz w:val="24"/>
              </w:rPr>
            </w:pPr>
            <w:r>
              <w:rPr>
                <w:rFonts w:hint="eastAsia" w:ascii="宋体" w:hAnsi="宋体" w:cs="宋体"/>
                <w:sz w:val="24"/>
              </w:rPr>
              <w:t>对应规范</w:t>
            </w:r>
          </w:p>
        </w:tc>
        <w:tc>
          <w:tcPr>
            <w:tcW w:w="2328" w:type="dxa"/>
            <w:tcBorders>
              <w:bottom w:val="single" w:color="auto" w:sz="4" w:space="0"/>
            </w:tcBorders>
            <w:noWrap w:val="0"/>
            <w:vAlign w:val="center"/>
          </w:tcPr>
          <w:p>
            <w:pPr>
              <w:jc w:val="center"/>
              <w:rPr>
                <w:rFonts w:hint="eastAsia" w:ascii="宋体" w:hAnsi="宋体" w:cs="宋体"/>
                <w:sz w:val="24"/>
              </w:rPr>
            </w:pPr>
            <w:r>
              <w:rPr>
                <w:rFonts w:hint="eastAsia" w:ascii="宋体" w:hAnsi="宋体" w:cs="宋体"/>
                <w:sz w:val="24"/>
              </w:rPr>
              <w:t>偏离情况</w:t>
            </w:r>
          </w:p>
          <w:p>
            <w:pPr>
              <w:jc w:val="center"/>
              <w:rPr>
                <w:rFonts w:hint="eastAsia" w:ascii="宋体" w:hAnsi="宋体" w:cs="宋体"/>
                <w:sz w:val="24"/>
              </w:rPr>
            </w:pPr>
            <w:r>
              <w:rPr>
                <w:rFonts w:hint="eastAsia" w:ascii="宋体" w:hAnsi="宋体" w:cs="宋体"/>
                <w:sz w:val="24"/>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78" w:type="dxa"/>
            <w:noWrap w:val="0"/>
            <w:vAlign w:val="top"/>
          </w:tcPr>
          <w:p>
            <w:pPr>
              <w:jc w:val="center"/>
              <w:rPr>
                <w:rFonts w:hint="eastAsia" w:ascii="宋体" w:hAnsi="宋体" w:cs="宋体"/>
                <w:sz w:val="24"/>
              </w:rPr>
            </w:pPr>
          </w:p>
        </w:tc>
        <w:tc>
          <w:tcPr>
            <w:tcW w:w="1855" w:type="dxa"/>
            <w:noWrap w:val="0"/>
            <w:vAlign w:val="top"/>
          </w:tcPr>
          <w:p>
            <w:pPr>
              <w:rPr>
                <w:rFonts w:hint="eastAsia" w:ascii="宋体" w:hAnsi="宋体" w:cs="宋体"/>
                <w:sz w:val="24"/>
              </w:rPr>
            </w:pPr>
          </w:p>
        </w:tc>
        <w:tc>
          <w:tcPr>
            <w:tcW w:w="1957" w:type="dxa"/>
            <w:noWrap w:val="0"/>
            <w:vAlign w:val="top"/>
          </w:tcPr>
          <w:p>
            <w:pPr>
              <w:rPr>
                <w:rFonts w:hint="eastAsia" w:ascii="宋体" w:hAnsi="宋体" w:cs="宋体"/>
                <w:sz w:val="24"/>
              </w:rPr>
            </w:pPr>
          </w:p>
        </w:tc>
        <w:tc>
          <w:tcPr>
            <w:tcW w:w="1620" w:type="dxa"/>
            <w:noWrap w:val="0"/>
            <w:vAlign w:val="top"/>
          </w:tcPr>
          <w:p>
            <w:pPr>
              <w:rPr>
                <w:rFonts w:hint="eastAsia" w:ascii="宋体" w:hAnsi="宋体" w:cs="宋体"/>
                <w:sz w:val="24"/>
              </w:rPr>
            </w:pPr>
          </w:p>
        </w:tc>
        <w:tc>
          <w:tcPr>
            <w:tcW w:w="2328"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78" w:type="dxa"/>
            <w:noWrap w:val="0"/>
            <w:vAlign w:val="top"/>
          </w:tcPr>
          <w:p>
            <w:pPr>
              <w:rPr>
                <w:rFonts w:hint="eastAsia" w:ascii="宋体" w:hAnsi="宋体" w:cs="宋体"/>
                <w:sz w:val="24"/>
              </w:rPr>
            </w:pPr>
          </w:p>
        </w:tc>
        <w:tc>
          <w:tcPr>
            <w:tcW w:w="1855" w:type="dxa"/>
            <w:noWrap w:val="0"/>
            <w:vAlign w:val="top"/>
          </w:tcPr>
          <w:p>
            <w:pPr>
              <w:rPr>
                <w:rFonts w:hint="eastAsia" w:ascii="宋体" w:hAnsi="宋体" w:cs="宋体"/>
                <w:sz w:val="24"/>
              </w:rPr>
            </w:pPr>
          </w:p>
        </w:tc>
        <w:tc>
          <w:tcPr>
            <w:tcW w:w="1957" w:type="dxa"/>
            <w:noWrap w:val="0"/>
            <w:vAlign w:val="top"/>
          </w:tcPr>
          <w:p>
            <w:pPr>
              <w:rPr>
                <w:rFonts w:hint="eastAsia" w:ascii="宋体" w:hAnsi="宋体" w:cs="宋体"/>
                <w:sz w:val="24"/>
              </w:rPr>
            </w:pPr>
          </w:p>
        </w:tc>
        <w:tc>
          <w:tcPr>
            <w:tcW w:w="1620" w:type="dxa"/>
            <w:noWrap w:val="0"/>
            <w:vAlign w:val="top"/>
          </w:tcPr>
          <w:p>
            <w:pPr>
              <w:rPr>
                <w:rFonts w:hint="eastAsia" w:ascii="宋体" w:hAnsi="宋体" w:cs="宋体"/>
                <w:sz w:val="24"/>
              </w:rPr>
            </w:pPr>
          </w:p>
        </w:tc>
        <w:tc>
          <w:tcPr>
            <w:tcW w:w="2328"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78" w:type="dxa"/>
            <w:noWrap w:val="0"/>
            <w:vAlign w:val="top"/>
          </w:tcPr>
          <w:p>
            <w:pPr>
              <w:rPr>
                <w:rFonts w:hint="eastAsia" w:ascii="宋体" w:hAnsi="宋体" w:cs="宋体"/>
                <w:sz w:val="24"/>
              </w:rPr>
            </w:pPr>
          </w:p>
        </w:tc>
        <w:tc>
          <w:tcPr>
            <w:tcW w:w="1855" w:type="dxa"/>
            <w:noWrap w:val="0"/>
            <w:vAlign w:val="top"/>
          </w:tcPr>
          <w:p>
            <w:pPr>
              <w:rPr>
                <w:rFonts w:hint="eastAsia" w:ascii="宋体" w:hAnsi="宋体" w:cs="宋体"/>
                <w:sz w:val="24"/>
              </w:rPr>
            </w:pPr>
          </w:p>
        </w:tc>
        <w:tc>
          <w:tcPr>
            <w:tcW w:w="1957" w:type="dxa"/>
            <w:noWrap w:val="0"/>
            <w:vAlign w:val="top"/>
          </w:tcPr>
          <w:p>
            <w:pPr>
              <w:rPr>
                <w:rFonts w:hint="eastAsia" w:ascii="宋体" w:hAnsi="宋体" w:cs="宋体"/>
                <w:sz w:val="24"/>
              </w:rPr>
            </w:pPr>
          </w:p>
        </w:tc>
        <w:tc>
          <w:tcPr>
            <w:tcW w:w="1620" w:type="dxa"/>
            <w:noWrap w:val="0"/>
            <w:vAlign w:val="top"/>
          </w:tcPr>
          <w:p>
            <w:pPr>
              <w:rPr>
                <w:rFonts w:hint="eastAsia" w:ascii="宋体" w:hAnsi="宋体" w:cs="宋体"/>
                <w:sz w:val="24"/>
              </w:rPr>
            </w:pPr>
          </w:p>
        </w:tc>
        <w:tc>
          <w:tcPr>
            <w:tcW w:w="2328"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78" w:type="dxa"/>
            <w:noWrap w:val="0"/>
            <w:vAlign w:val="top"/>
          </w:tcPr>
          <w:p>
            <w:pPr>
              <w:rPr>
                <w:rFonts w:hint="eastAsia" w:ascii="宋体" w:hAnsi="宋体" w:cs="宋体"/>
                <w:sz w:val="24"/>
              </w:rPr>
            </w:pPr>
          </w:p>
        </w:tc>
        <w:tc>
          <w:tcPr>
            <w:tcW w:w="1855" w:type="dxa"/>
            <w:noWrap w:val="0"/>
            <w:vAlign w:val="top"/>
          </w:tcPr>
          <w:p>
            <w:pPr>
              <w:rPr>
                <w:rFonts w:hint="eastAsia" w:ascii="宋体" w:hAnsi="宋体" w:cs="宋体"/>
                <w:sz w:val="24"/>
              </w:rPr>
            </w:pPr>
          </w:p>
        </w:tc>
        <w:tc>
          <w:tcPr>
            <w:tcW w:w="1957" w:type="dxa"/>
            <w:noWrap w:val="0"/>
            <w:vAlign w:val="top"/>
          </w:tcPr>
          <w:p>
            <w:pPr>
              <w:rPr>
                <w:rFonts w:hint="eastAsia" w:ascii="宋体" w:hAnsi="宋体" w:cs="宋体"/>
                <w:sz w:val="24"/>
              </w:rPr>
            </w:pPr>
          </w:p>
        </w:tc>
        <w:tc>
          <w:tcPr>
            <w:tcW w:w="1620" w:type="dxa"/>
            <w:noWrap w:val="0"/>
            <w:vAlign w:val="top"/>
          </w:tcPr>
          <w:p>
            <w:pPr>
              <w:rPr>
                <w:rFonts w:hint="eastAsia" w:ascii="宋体" w:hAnsi="宋体" w:cs="宋体"/>
                <w:sz w:val="24"/>
              </w:rPr>
            </w:pPr>
          </w:p>
        </w:tc>
        <w:tc>
          <w:tcPr>
            <w:tcW w:w="2328"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8" w:type="dxa"/>
            <w:noWrap w:val="0"/>
            <w:vAlign w:val="top"/>
          </w:tcPr>
          <w:p>
            <w:pPr>
              <w:rPr>
                <w:rFonts w:hint="eastAsia" w:ascii="宋体" w:hAnsi="宋体" w:cs="宋体"/>
                <w:sz w:val="24"/>
              </w:rPr>
            </w:pPr>
          </w:p>
        </w:tc>
        <w:tc>
          <w:tcPr>
            <w:tcW w:w="1855" w:type="dxa"/>
            <w:noWrap w:val="0"/>
            <w:vAlign w:val="top"/>
          </w:tcPr>
          <w:p>
            <w:pPr>
              <w:rPr>
                <w:rFonts w:hint="eastAsia" w:ascii="宋体" w:hAnsi="宋体" w:cs="宋体"/>
                <w:sz w:val="24"/>
              </w:rPr>
            </w:pPr>
          </w:p>
        </w:tc>
        <w:tc>
          <w:tcPr>
            <w:tcW w:w="1957" w:type="dxa"/>
            <w:noWrap w:val="0"/>
            <w:vAlign w:val="top"/>
          </w:tcPr>
          <w:p>
            <w:pPr>
              <w:rPr>
                <w:rFonts w:hint="eastAsia" w:ascii="宋体" w:hAnsi="宋体" w:cs="宋体"/>
                <w:sz w:val="24"/>
              </w:rPr>
            </w:pPr>
          </w:p>
        </w:tc>
        <w:tc>
          <w:tcPr>
            <w:tcW w:w="1620" w:type="dxa"/>
            <w:noWrap w:val="0"/>
            <w:vAlign w:val="top"/>
          </w:tcPr>
          <w:p>
            <w:pPr>
              <w:rPr>
                <w:rFonts w:hint="eastAsia" w:ascii="宋体" w:hAnsi="宋体" w:cs="宋体"/>
                <w:sz w:val="24"/>
              </w:rPr>
            </w:pPr>
          </w:p>
        </w:tc>
        <w:tc>
          <w:tcPr>
            <w:tcW w:w="2328"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 w:type="dxa"/>
            <w:noWrap w:val="0"/>
            <w:vAlign w:val="top"/>
          </w:tcPr>
          <w:p>
            <w:pPr>
              <w:rPr>
                <w:rFonts w:hint="eastAsia" w:ascii="宋体" w:hAnsi="宋体" w:cs="宋体"/>
                <w:sz w:val="24"/>
              </w:rPr>
            </w:pPr>
          </w:p>
        </w:tc>
        <w:tc>
          <w:tcPr>
            <w:tcW w:w="1855" w:type="dxa"/>
            <w:noWrap w:val="0"/>
            <w:vAlign w:val="top"/>
          </w:tcPr>
          <w:p>
            <w:pPr>
              <w:rPr>
                <w:rFonts w:hint="eastAsia" w:ascii="宋体" w:hAnsi="宋体" w:cs="宋体"/>
                <w:sz w:val="24"/>
              </w:rPr>
            </w:pPr>
          </w:p>
        </w:tc>
        <w:tc>
          <w:tcPr>
            <w:tcW w:w="1957" w:type="dxa"/>
            <w:noWrap w:val="0"/>
            <w:vAlign w:val="top"/>
          </w:tcPr>
          <w:p>
            <w:pPr>
              <w:rPr>
                <w:rFonts w:hint="eastAsia" w:ascii="宋体" w:hAnsi="宋体" w:cs="宋体"/>
                <w:sz w:val="24"/>
              </w:rPr>
            </w:pPr>
          </w:p>
        </w:tc>
        <w:tc>
          <w:tcPr>
            <w:tcW w:w="1620" w:type="dxa"/>
            <w:noWrap w:val="0"/>
            <w:vAlign w:val="top"/>
          </w:tcPr>
          <w:p>
            <w:pPr>
              <w:rPr>
                <w:rFonts w:hint="eastAsia" w:ascii="宋体" w:hAnsi="宋体" w:cs="宋体"/>
                <w:sz w:val="24"/>
              </w:rPr>
            </w:pPr>
          </w:p>
        </w:tc>
        <w:tc>
          <w:tcPr>
            <w:tcW w:w="2328"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8" w:type="dxa"/>
            <w:noWrap w:val="0"/>
            <w:vAlign w:val="top"/>
          </w:tcPr>
          <w:p>
            <w:pPr>
              <w:rPr>
                <w:rFonts w:hint="eastAsia" w:ascii="宋体" w:hAnsi="宋体" w:cs="宋体"/>
                <w:sz w:val="24"/>
              </w:rPr>
            </w:pPr>
          </w:p>
        </w:tc>
        <w:tc>
          <w:tcPr>
            <w:tcW w:w="1855" w:type="dxa"/>
            <w:noWrap w:val="0"/>
            <w:vAlign w:val="top"/>
          </w:tcPr>
          <w:p>
            <w:pPr>
              <w:rPr>
                <w:rFonts w:hint="eastAsia" w:ascii="宋体" w:hAnsi="宋体" w:cs="宋体"/>
                <w:sz w:val="24"/>
              </w:rPr>
            </w:pPr>
          </w:p>
        </w:tc>
        <w:tc>
          <w:tcPr>
            <w:tcW w:w="1957" w:type="dxa"/>
            <w:noWrap w:val="0"/>
            <w:vAlign w:val="top"/>
          </w:tcPr>
          <w:p>
            <w:pPr>
              <w:rPr>
                <w:rFonts w:hint="eastAsia" w:ascii="宋体" w:hAnsi="宋体" w:cs="宋体"/>
                <w:sz w:val="24"/>
              </w:rPr>
            </w:pPr>
          </w:p>
        </w:tc>
        <w:tc>
          <w:tcPr>
            <w:tcW w:w="1620" w:type="dxa"/>
            <w:noWrap w:val="0"/>
            <w:vAlign w:val="top"/>
          </w:tcPr>
          <w:p>
            <w:pPr>
              <w:rPr>
                <w:rFonts w:hint="eastAsia" w:ascii="宋体" w:hAnsi="宋体" w:cs="宋体"/>
                <w:sz w:val="24"/>
              </w:rPr>
            </w:pPr>
          </w:p>
        </w:tc>
        <w:tc>
          <w:tcPr>
            <w:tcW w:w="2328"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78" w:type="dxa"/>
            <w:noWrap w:val="0"/>
            <w:vAlign w:val="top"/>
          </w:tcPr>
          <w:p>
            <w:pPr>
              <w:rPr>
                <w:rFonts w:hint="eastAsia" w:ascii="宋体" w:hAnsi="宋体" w:cs="宋体"/>
                <w:sz w:val="24"/>
              </w:rPr>
            </w:pPr>
          </w:p>
        </w:tc>
        <w:tc>
          <w:tcPr>
            <w:tcW w:w="1855" w:type="dxa"/>
            <w:noWrap w:val="0"/>
            <w:vAlign w:val="top"/>
          </w:tcPr>
          <w:p>
            <w:pPr>
              <w:rPr>
                <w:rFonts w:hint="eastAsia" w:ascii="宋体" w:hAnsi="宋体" w:cs="宋体"/>
                <w:sz w:val="24"/>
              </w:rPr>
            </w:pPr>
          </w:p>
        </w:tc>
        <w:tc>
          <w:tcPr>
            <w:tcW w:w="1957" w:type="dxa"/>
            <w:noWrap w:val="0"/>
            <w:vAlign w:val="top"/>
          </w:tcPr>
          <w:p>
            <w:pPr>
              <w:rPr>
                <w:rFonts w:hint="eastAsia" w:ascii="宋体" w:hAnsi="宋体" w:cs="宋体"/>
                <w:sz w:val="24"/>
              </w:rPr>
            </w:pPr>
          </w:p>
        </w:tc>
        <w:tc>
          <w:tcPr>
            <w:tcW w:w="1620" w:type="dxa"/>
            <w:noWrap w:val="0"/>
            <w:vAlign w:val="top"/>
          </w:tcPr>
          <w:p>
            <w:pPr>
              <w:rPr>
                <w:rFonts w:hint="eastAsia" w:ascii="宋体" w:hAnsi="宋体" w:cs="宋体"/>
                <w:sz w:val="24"/>
              </w:rPr>
            </w:pPr>
          </w:p>
        </w:tc>
        <w:tc>
          <w:tcPr>
            <w:tcW w:w="2328"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78" w:type="dxa"/>
            <w:noWrap w:val="0"/>
            <w:vAlign w:val="top"/>
          </w:tcPr>
          <w:p>
            <w:pPr>
              <w:rPr>
                <w:rFonts w:hint="eastAsia" w:ascii="宋体" w:hAnsi="宋体" w:cs="宋体"/>
                <w:sz w:val="24"/>
              </w:rPr>
            </w:pPr>
          </w:p>
        </w:tc>
        <w:tc>
          <w:tcPr>
            <w:tcW w:w="1855" w:type="dxa"/>
            <w:noWrap w:val="0"/>
            <w:vAlign w:val="top"/>
          </w:tcPr>
          <w:p>
            <w:pPr>
              <w:rPr>
                <w:rFonts w:hint="eastAsia" w:ascii="宋体" w:hAnsi="宋体" w:cs="宋体"/>
                <w:sz w:val="24"/>
              </w:rPr>
            </w:pPr>
          </w:p>
        </w:tc>
        <w:tc>
          <w:tcPr>
            <w:tcW w:w="1957" w:type="dxa"/>
            <w:noWrap w:val="0"/>
            <w:vAlign w:val="top"/>
          </w:tcPr>
          <w:p>
            <w:pPr>
              <w:rPr>
                <w:rFonts w:hint="eastAsia" w:ascii="宋体" w:hAnsi="宋体" w:cs="宋体"/>
                <w:sz w:val="24"/>
              </w:rPr>
            </w:pPr>
          </w:p>
        </w:tc>
        <w:tc>
          <w:tcPr>
            <w:tcW w:w="1620" w:type="dxa"/>
            <w:noWrap w:val="0"/>
            <w:vAlign w:val="top"/>
          </w:tcPr>
          <w:p>
            <w:pPr>
              <w:rPr>
                <w:rFonts w:hint="eastAsia" w:ascii="宋体" w:hAnsi="宋体" w:cs="宋体"/>
                <w:sz w:val="24"/>
              </w:rPr>
            </w:pPr>
          </w:p>
        </w:tc>
        <w:tc>
          <w:tcPr>
            <w:tcW w:w="2328"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78" w:type="dxa"/>
            <w:noWrap w:val="0"/>
            <w:vAlign w:val="top"/>
          </w:tcPr>
          <w:p>
            <w:pPr>
              <w:rPr>
                <w:rFonts w:hint="eastAsia" w:ascii="宋体" w:hAnsi="宋体" w:cs="宋体"/>
                <w:sz w:val="24"/>
              </w:rPr>
            </w:pPr>
          </w:p>
        </w:tc>
        <w:tc>
          <w:tcPr>
            <w:tcW w:w="1855" w:type="dxa"/>
            <w:noWrap w:val="0"/>
            <w:vAlign w:val="top"/>
          </w:tcPr>
          <w:p>
            <w:pPr>
              <w:rPr>
                <w:rFonts w:hint="eastAsia" w:ascii="宋体" w:hAnsi="宋体" w:cs="宋体"/>
                <w:sz w:val="24"/>
              </w:rPr>
            </w:pPr>
          </w:p>
        </w:tc>
        <w:tc>
          <w:tcPr>
            <w:tcW w:w="1957" w:type="dxa"/>
            <w:noWrap w:val="0"/>
            <w:vAlign w:val="top"/>
          </w:tcPr>
          <w:p>
            <w:pPr>
              <w:rPr>
                <w:rFonts w:hint="eastAsia" w:ascii="宋体" w:hAnsi="宋体" w:cs="宋体"/>
                <w:sz w:val="24"/>
              </w:rPr>
            </w:pPr>
          </w:p>
        </w:tc>
        <w:tc>
          <w:tcPr>
            <w:tcW w:w="1620" w:type="dxa"/>
            <w:noWrap w:val="0"/>
            <w:vAlign w:val="top"/>
          </w:tcPr>
          <w:p>
            <w:pPr>
              <w:rPr>
                <w:rFonts w:hint="eastAsia" w:ascii="宋体" w:hAnsi="宋体" w:cs="宋体"/>
                <w:sz w:val="24"/>
              </w:rPr>
            </w:pPr>
          </w:p>
        </w:tc>
        <w:tc>
          <w:tcPr>
            <w:tcW w:w="2328" w:type="dxa"/>
            <w:noWrap w:val="0"/>
            <w:vAlign w:val="top"/>
          </w:tcPr>
          <w:p>
            <w:pPr>
              <w:rPr>
                <w:rFonts w:hint="eastAsia" w:ascii="宋体" w:hAnsi="宋体" w:cs="宋体"/>
                <w:sz w:val="24"/>
              </w:rPr>
            </w:pPr>
          </w:p>
        </w:tc>
      </w:tr>
    </w:tbl>
    <w:p>
      <w:pPr>
        <w:pStyle w:val="21"/>
        <w:spacing w:line="360" w:lineRule="auto"/>
        <w:rPr>
          <w:rFonts w:hint="eastAsia"/>
        </w:rPr>
      </w:pPr>
      <w:r>
        <w:t>注：投标人应根据投标设备的性能指标、对照招标文件要求在“偏离情况”栏</w:t>
      </w:r>
      <w:r>
        <w:rPr>
          <w:rFonts w:hint="eastAsia"/>
        </w:rPr>
        <w:t>如实</w:t>
      </w:r>
      <w:r>
        <w:t>注明“正偏离”、“负偏离”或“无偏离”</w:t>
      </w:r>
      <w:r>
        <w:rPr>
          <w:rFonts w:hint="eastAsia"/>
        </w:rPr>
        <w:t>，如有发现本表填写的偏离情况与厂品彩页、产品样本等厂家提供的证明参数不一致的，作虚假应标处理，情节严重的，上报财政主管部门依规处理</w:t>
      </w:r>
      <w:r>
        <w:t>。</w:t>
      </w:r>
    </w:p>
    <w:p>
      <w:pPr>
        <w:snapToGrid w:val="0"/>
        <w:spacing w:before="50" w:after="50" w:line="360" w:lineRule="auto"/>
        <w:rPr>
          <w:rFonts w:hint="eastAsia" w:ascii="宋体" w:hAnsi="宋体" w:cs="宋体"/>
          <w:spacing w:val="20"/>
          <w:sz w:val="24"/>
        </w:rPr>
      </w:pPr>
      <w:r>
        <w:rPr>
          <w:rFonts w:hint="eastAsia" w:ascii="宋体" w:hAnsi="宋体" w:cs="宋体"/>
          <w:spacing w:val="20"/>
          <w:sz w:val="24"/>
        </w:rPr>
        <w:t>投标人盖章：</w:t>
      </w:r>
    </w:p>
    <w:p>
      <w:pPr>
        <w:snapToGrid w:val="0"/>
        <w:spacing w:before="50" w:after="50" w:line="360" w:lineRule="auto"/>
        <w:rPr>
          <w:rFonts w:hint="eastAsia" w:ascii="宋体" w:hAnsi="宋体" w:cs="宋体"/>
          <w:sz w:val="24"/>
          <w:szCs w:val="20"/>
        </w:rPr>
      </w:pPr>
      <w:r>
        <w:rPr>
          <w:rFonts w:hint="eastAsia" w:ascii="宋体" w:hAnsi="宋体" w:cs="宋体"/>
          <w:spacing w:val="20"/>
          <w:sz w:val="24"/>
        </w:rPr>
        <w:t>日期：</w:t>
      </w:r>
    </w:p>
    <w:p>
      <w:pPr>
        <w:snapToGrid w:val="0"/>
        <w:spacing w:before="50" w:after="120" w:afterLines="50" w:line="360" w:lineRule="auto"/>
        <w:jc w:val="left"/>
        <w:rPr>
          <w:rFonts w:hint="eastAsia" w:ascii="宋体" w:hAnsi="宋体" w:cs="宋体"/>
          <w:sz w:val="24"/>
          <w:szCs w:val="20"/>
        </w:rPr>
      </w:pPr>
    </w:p>
    <w:p>
      <w:pPr>
        <w:snapToGrid w:val="0"/>
        <w:spacing w:before="50" w:after="120" w:afterLines="50"/>
        <w:jc w:val="left"/>
        <w:rPr>
          <w:rFonts w:hint="eastAsia" w:ascii="宋体" w:hAnsi="宋体" w:cs="宋体"/>
          <w:b/>
          <w:bCs/>
          <w:kern w:val="0"/>
          <w:sz w:val="28"/>
          <w:szCs w:val="32"/>
        </w:rPr>
      </w:pPr>
    </w:p>
    <w:p>
      <w:pPr>
        <w:snapToGrid w:val="0"/>
        <w:spacing w:before="50" w:after="120" w:afterLines="50"/>
        <w:jc w:val="left"/>
        <w:rPr>
          <w:rFonts w:hint="eastAsia" w:ascii="宋体" w:hAnsi="宋体" w:cs="宋体"/>
          <w:b/>
          <w:sz w:val="24"/>
        </w:rPr>
      </w:pPr>
    </w:p>
    <w:p>
      <w:pPr>
        <w:snapToGrid w:val="0"/>
        <w:spacing w:before="50" w:after="120" w:afterLines="50"/>
        <w:jc w:val="left"/>
        <w:rPr>
          <w:rFonts w:hint="eastAsia" w:ascii="宋体" w:hAnsi="宋体" w:cs="宋体"/>
          <w:b/>
          <w:sz w:val="24"/>
        </w:rPr>
      </w:pPr>
    </w:p>
    <w:p>
      <w:pPr>
        <w:snapToGrid w:val="0"/>
        <w:spacing w:before="50" w:after="120" w:afterLines="50" w:line="360" w:lineRule="auto"/>
        <w:jc w:val="left"/>
        <w:rPr>
          <w:rFonts w:ascii="宋体" w:hAnsi="宋体"/>
          <w:b/>
          <w:sz w:val="24"/>
        </w:rPr>
      </w:pPr>
      <w:r>
        <w:rPr>
          <w:rFonts w:hint="eastAsia" w:ascii="宋体" w:hAnsi="宋体" w:cs="宋体"/>
          <w:b/>
          <w:sz w:val="24"/>
        </w:rPr>
        <w:t>附件11：</w:t>
      </w:r>
      <w:r>
        <w:rPr>
          <w:rFonts w:hint="eastAsia" w:ascii="宋体" w:hAnsi="宋体"/>
          <w:b/>
          <w:sz w:val="24"/>
        </w:rPr>
        <w:t>投标产品服务计划表：</w:t>
      </w:r>
    </w:p>
    <w:p>
      <w:pPr>
        <w:snapToGrid w:val="0"/>
        <w:spacing w:before="120" w:beforeLines="50" w:after="50" w:line="360" w:lineRule="auto"/>
        <w:jc w:val="center"/>
        <w:rPr>
          <w:rFonts w:hint="eastAsia" w:ascii="宋体" w:hAnsi="宋体"/>
          <w:b/>
          <w:sz w:val="24"/>
        </w:rPr>
      </w:pPr>
      <w:r>
        <w:rPr>
          <w:rFonts w:hint="eastAsia" w:ascii="宋体" w:hAnsi="宋体"/>
          <w:b/>
          <w:sz w:val="24"/>
        </w:rPr>
        <w:t>投标产品服务计划表</w:t>
      </w:r>
    </w:p>
    <w:p>
      <w:pPr>
        <w:snapToGrid w:val="0"/>
        <w:spacing w:before="120" w:beforeLines="50" w:after="50" w:line="360" w:lineRule="auto"/>
        <w:jc w:val="center"/>
        <w:rPr>
          <w:rFonts w:ascii="宋体" w:hAnsi="宋体"/>
          <w:b/>
          <w:sz w:val="24"/>
        </w:rPr>
      </w:pPr>
      <w:r>
        <w:rPr>
          <w:rFonts w:hint="eastAsia" w:ascii="宋体" w:hAnsi="宋体"/>
          <w:b/>
          <w:sz w:val="24"/>
        </w:rPr>
        <w:t xml:space="preserve">                              标项：</w:t>
      </w:r>
    </w:p>
    <w:tbl>
      <w:tblPr>
        <w:tblStyle w:val="4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500"/>
        <w:gridCol w:w="2064"/>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pPr>
              <w:pStyle w:val="27"/>
              <w:spacing w:before="120" w:after="120" w:line="360" w:lineRule="auto"/>
              <w:jc w:val="center"/>
              <w:rPr>
                <w:rFonts w:hint="eastAsia" w:hAnsi="宋体"/>
              </w:rPr>
            </w:pPr>
            <w:r>
              <w:rPr>
                <w:rFonts w:hint="eastAsia" w:hAnsi="宋体"/>
              </w:rPr>
              <w:t>序号</w:t>
            </w:r>
          </w:p>
        </w:tc>
        <w:tc>
          <w:tcPr>
            <w:tcW w:w="4500" w:type="dxa"/>
            <w:noWrap w:val="0"/>
            <w:vAlign w:val="center"/>
          </w:tcPr>
          <w:p>
            <w:pPr>
              <w:pStyle w:val="27"/>
              <w:spacing w:before="120" w:after="120" w:line="360" w:lineRule="auto"/>
              <w:jc w:val="center"/>
              <w:rPr>
                <w:rFonts w:hint="eastAsia" w:hAnsi="宋体"/>
              </w:rPr>
            </w:pPr>
            <w:r>
              <w:rPr>
                <w:rFonts w:hint="eastAsia" w:hAnsi="宋体"/>
              </w:rPr>
              <w:t>质量保障措施及服务内容</w:t>
            </w:r>
          </w:p>
        </w:tc>
        <w:tc>
          <w:tcPr>
            <w:tcW w:w="2064" w:type="dxa"/>
            <w:noWrap w:val="0"/>
            <w:vAlign w:val="center"/>
          </w:tcPr>
          <w:p>
            <w:pPr>
              <w:pStyle w:val="27"/>
              <w:spacing w:before="120" w:after="120" w:line="360" w:lineRule="auto"/>
              <w:jc w:val="center"/>
              <w:rPr>
                <w:rFonts w:hint="eastAsia" w:hAnsi="宋体"/>
              </w:rPr>
            </w:pPr>
            <w:r>
              <w:rPr>
                <w:rFonts w:hint="eastAsia" w:hAnsi="宋体"/>
              </w:rPr>
              <w:t>承诺</w:t>
            </w:r>
          </w:p>
        </w:tc>
        <w:tc>
          <w:tcPr>
            <w:tcW w:w="1896" w:type="dxa"/>
            <w:noWrap w:val="0"/>
            <w:vAlign w:val="center"/>
          </w:tcPr>
          <w:p>
            <w:pPr>
              <w:pStyle w:val="27"/>
              <w:spacing w:before="120" w:after="120" w:line="360" w:lineRule="auto"/>
              <w:jc w:val="center"/>
              <w:rPr>
                <w:rFonts w:hint="eastAsia"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pPr>
              <w:pStyle w:val="27"/>
              <w:spacing w:before="120" w:after="120" w:line="360" w:lineRule="auto"/>
              <w:jc w:val="center"/>
              <w:rPr>
                <w:rFonts w:hint="eastAsia" w:hAnsi="宋体"/>
              </w:rPr>
            </w:pPr>
            <w:r>
              <w:rPr>
                <w:rFonts w:hint="eastAsia" w:hAnsi="宋体"/>
              </w:rPr>
              <w:t>1</w:t>
            </w:r>
          </w:p>
        </w:tc>
        <w:tc>
          <w:tcPr>
            <w:tcW w:w="4500" w:type="dxa"/>
            <w:noWrap w:val="0"/>
            <w:vAlign w:val="center"/>
          </w:tcPr>
          <w:p>
            <w:pPr>
              <w:pStyle w:val="27"/>
              <w:spacing w:before="120" w:after="120" w:line="360" w:lineRule="auto"/>
              <w:rPr>
                <w:rFonts w:hint="eastAsia" w:hAnsi="宋体"/>
              </w:rPr>
            </w:pPr>
            <w:r>
              <w:rPr>
                <w:rFonts w:hint="eastAsia" w:hAnsi="宋体"/>
              </w:rPr>
              <w:t>质保期</w:t>
            </w:r>
          </w:p>
        </w:tc>
        <w:tc>
          <w:tcPr>
            <w:tcW w:w="2064" w:type="dxa"/>
            <w:noWrap w:val="0"/>
            <w:vAlign w:val="top"/>
          </w:tcPr>
          <w:p>
            <w:pPr>
              <w:pStyle w:val="27"/>
              <w:spacing w:before="120" w:after="120" w:line="360" w:lineRule="auto"/>
              <w:rPr>
                <w:rFonts w:hint="eastAsia" w:hAnsi="宋体"/>
              </w:rPr>
            </w:pPr>
          </w:p>
        </w:tc>
        <w:tc>
          <w:tcPr>
            <w:tcW w:w="1896" w:type="dxa"/>
            <w:noWrap w:val="0"/>
            <w:vAlign w:val="top"/>
          </w:tcPr>
          <w:p>
            <w:pPr>
              <w:pStyle w:val="27"/>
              <w:spacing w:before="120" w:after="120" w:line="360" w:lineRule="auto"/>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pPr>
              <w:pStyle w:val="27"/>
              <w:spacing w:before="120" w:after="120" w:line="360" w:lineRule="auto"/>
              <w:jc w:val="center"/>
              <w:rPr>
                <w:rFonts w:hint="eastAsia" w:hAnsi="宋体"/>
              </w:rPr>
            </w:pPr>
            <w:r>
              <w:rPr>
                <w:rFonts w:hint="eastAsia" w:hAnsi="宋体"/>
              </w:rPr>
              <w:t>2</w:t>
            </w:r>
          </w:p>
        </w:tc>
        <w:tc>
          <w:tcPr>
            <w:tcW w:w="4500" w:type="dxa"/>
            <w:noWrap w:val="0"/>
            <w:vAlign w:val="center"/>
          </w:tcPr>
          <w:p>
            <w:pPr>
              <w:pStyle w:val="27"/>
              <w:spacing w:before="120" w:after="120" w:line="360" w:lineRule="auto"/>
              <w:rPr>
                <w:rFonts w:hint="eastAsia" w:hAnsi="宋体"/>
              </w:rPr>
            </w:pPr>
            <w:r>
              <w:rPr>
                <w:rFonts w:hint="eastAsia" w:hAnsi="宋体"/>
              </w:rPr>
              <w:t>有关技术人员现场免费提供安装、调试服务</w:t>
            </w:r>
          </w:p>
        </w:tc>
        <w:tc>
          <w:tcPr>
            <w:tcW w:w="2064" w:type="dxa"/>
            <w:noWrap w:val="0"/>
            <w:vAlign w:val="top"/>
          </w:tcPr>
          <w:p>
            <w:pPr>
              <w:pStyle w:val="27"/>
              <w:spacing w:before="120" w:after="120" w:line="360" w:lineRule="auto"/>
              <w:rPr>
                <w:rFonts w:hint="eastAsia" w:hAnsi="宋体"/>
              </w:rPr>
            </w:pPr>
          </w:p>
        </w:tc>
        <w:tc>
          <w:tcPr>
            <w:tcW w:w="1896" w:type="dxa"/>
            <w:noWrap w:val="0"/>
            <w:vAlign w:val="top"/>
          </w:tcPr>
          <w:p>
            <w:pPr>
              <w:pStyle w:val="27"/>
              <w:spacing w:before="120" w:after="120" w:line="360" w:lineRule="auto"/>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pPr>
              <w:pStyle w:val="27"/>
              <w:spacing w:before="120" w:after="120" w:line="360" w:lineRule="auto"/>
              <w:jc w:val="center"/>
              <w:rPr>
                <w:rFonts w:hint="eastAsia" w:hAnsi="宋体"/>
              </w:rPr>
            </w:pPr>
            <w:r>
              <w:rPr>
                <w:rFonts w:hint="eastAsia" w:hAnsi="宋体"/>
              </w:rPr>
              <w:t>3</w:t>
            </w:r>
          </w:p>
        </w:tc>
        <w:tc>
          <w:tcPr>
            <w:tcW w:w="4500" w:type="dxa"/>
            <w:noWrap w:val="0"/>
            <w:vAlign w:val="center"/>
          </w:tcPr>
          <w:p>
            <w:pPr>
              <w:pStyle w:val="27"/>
              <w:spacing w:before="120" w:after="120" w:line="360" w:lineRule="auto"/>
              <w:rPr>
                <w:rFonts w:hint="eastAsia" w:hAnsi="宋体"/>
              </w:rPr>
            </w:pPr>
            <w:r>
              <w:rPr>
                <w:rFonts w:hint="eastAsia" w:hAnsi="宋体"/>
              </w:rPr>
              <w:t>整机免费换货期限</w:t>
            </w:r>
          </w:p>
        </w:tc>
        <w:tc>
          <w:tcPr>
            <w:tcW w:w="2064" w:type="dxa"/>
            <w:noWrap w:val="0"/>
            <w:vAlign w:val="top"/>
          </w:tcPr>
          <w:p>
            <w:pPr>
              <w:pStyle w:val="27"/>
              <w:spacing w:before="120" w:after="120" w:line="360" w:lineRule="auto"/>
              <w:rPr>
                <w:rFonts w:hint="eastAsia" w:hAnsi="宋体"/>
              </w:rPr>
            </w:pPr>
          </w:p>
        </w:tc>
        <w:tc>
          <w:tcPr>
            <w:tcW w:w="1896" w:type="dxa"/>
            <w:noWrap w:val="0"/>
            <w:vAlign w:val="top"/>
          </w:tcPr>
          <w:p>
            <w:pPr>
              <w:pStyle w:val="27"/>
              <w:spacing w:before="120" w:after="120" w:line="360" w:lineRule="auto"/>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pPr>
              <w:pStyle w:val="27"/>
              <w:spacing w:before="120" w:after="120" w:line="360" w:lineRule="auto"/>
              <w:jc w:val="center"/>
              <w:rPr>
                <w:rFonts w:hint="eastAsia" w:hAnsi="宋体"/>
              </w:rPr>
            </w:pPr>
            <w:r>
              <w:rPr>
                <w:rFonts w:hint="eastAsia" w:hAnsi="宋体"/>
              </w:rPr>
              <w:t>4</w:t>
            </w:r>
          </w:p>
        </w:tc>
        <w:tc>
          <w:tcPr>
            <w:tcW w:w="4500" w:type="dxa"/>
            <w:noWrap w:val="0"/>
            <w:vAlign w:val="center"/>
          </w:tcPr>
          <w:p>
            <w:pPr>
              <w:pStyle w:val="27"/>
              <w:spacing w:before="120" w:after="120" w:line="360" w:lineRule="auto"/>
              <w:rPr>
                <w:rFonts w:hint="eastAsia" w:hAnsi="宋体"/>
              </w:rPr>
            </w:pPr>
            <w:r>
              <w:rPr>
                <w:rFonts w:hint="eastAsia" w:hAnsi="宋体"/>
              </w:rPr>
              <w:t>免费上门服务期限</w:t>
            </w:r>
          </w:p>
        </w:tc>
        <w:tc>
          <w:tcPr>
            <w:tcW w:w="2064" w:type="dxa"/>
            <w:noWrap w:val="0"/>
            <w:vAlign w:val="top"/>
          </w:tcPr>
          <w:p>
            <w:pPr>
              <w:pStyle w:val="27"/>
              <w:spacing w:before="120" w:after="120" w:line="360" w:lineRule="auto"/>
              <w:rPr>
                <w:rFonts w:hint="eastAsia" w:hAnsi="宋体"/>
              </w:rPr>
            </w:pPr>
          </w:p>
        </w:tc>
        <w:tc>
          <w:tcPr>
            <w:tcW w:w="1896" w:type="dxa"/>
            <w:noWrap w:val="0"/>
            <w:vAlign w:val="top"/>
          </w:tcPr>
          <w:p>
            <w:pPr>
              <w:pStyle w:val="27"/>
              <w:spacing w:before="120" w:after="120" w:line="360" w:lineRule="auto"/>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pPr>
              <w:pStyle w:val="27"/>
              <w:spacing w:before="120" w:after="120" w:line="360" w:lineRule="auto"/>
              <w:jc w:val="center"/>
              <w:rPr>
                <w:rFonts w:hint="eastAsia" w:hAnsi="宋体"/>
              </w:rPr>
            </w:pPr>
            <w:r>
              <w:rPr>
                <w:rFonts w:hint="eastAsia" w:hAnsi="宋体"/>
              </w:rPr>
              <w:t>5</w:t>
            </w:r>
          </w:p>
        </w:tc>
        <w:tc>
          <w:tcPr>
            <w:tcW w:w="4500" w:type="dxa"/>
            <w:noWrap w:val="0"/>
            <w:vAlign w:val="center"/>
          </w:tcPr>
          <w:p>
            <w:pPr>
              <w:pStyle w:val="27"/>
              <w:spacing w:before="120" w:after="120" w:line="360" w:lineRule="auto"/>
              <w:rPr>
                <w:rFonts w:hint="eastAsia" w:hAnsi="宋体"/>
              </w:rPr>
            </w:pPr>
            <w:r>
              <w:rPr>
                <w:rFonts w:hint="eastAsia" w:hAnsi="宋体"/>
              </w:rPr>
              <w:t>质保期内产品故障服务响应时限</w:t>
            </w:r>
          </w:p>
        </w:tc>
        <w:tc>
          <w:tcPr>
            <w:tcW w:w="2064" w:type="dxa"/>
            <w:noWrap w:val="0"/>
            <w:vAlign w:val="top"/>
          </w:tcPr>
          <w:p>
            <w:pPr>
              <w:pStyle w:val="27"/>
              <w:spacing w:before="120" w:after="120" w:line="360" w:lineRule="auto"/>
              <w:rPr>
                <w:rFonts w:hint="eastAsia" w:hAnsi="宋体"/>
              </w:rPr>
            </w:pPr>
          </w:p>
        </w:tc>
        <w:tc>
          <w:tcPr>
            <w:tcW w:w="1896" w:type="dxa"/>
            <w:noWrap w:val="0"/>
            <w:vAlign w:val="top"/>
          </w:tcPr>
          <w:p>
            <w:pPr>
              <w:pStyle w:val="27"/>
              <w:spacing w:before="120" w:after="120" w:line="360" w:lineRule="auto"/>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pPr>
              <w:pStyle w:val="27"/>
              <w:spacing w:before="120" w:after="120" w:line="360" w:lineRule="auto"/>
              <w:jc w:val="center"/>
              <w:rPr>
                <w:rFonts w:hint="eastAsia" w:hAnsi="宋体"/>
              </w:rPr>
            </w:pPr>
            <w:r>
              <w:rPr>
                <w:rFonts w:hint="eastAsia" w:hAnsi="宋体"/>
              </w:rPr>
              <w:t>6</w:t>
            </w:r>
          </w:p>
        </w:tc>
        <w:tc>
          <w:tcPr>
            <w:tcW w:w="4500" w:type="dxa"/>
            <w:noWrap w:val="0"/>
            <w:vAlign w:val="center"/>
          </w:tcPr>
          <w:p>
            <w:pPr>
              <w:pStyle w:val="27"/>
              <w:spacing w:before="120" w:after="120" w:line="360" w:lineRule="auto"/>
              <w:rPr>
                <w:rFonts w:hint="eastAsia" w:hAnsi="宋体"/>
              </w:rPr>
            </w:pPr>
            <w:r>
              <w:rPr>
                <w:rFonts w:hint="eastAsia" w:hAnsi="宋体"/>
              </w:rPr>
              <w:t>服务时间响应</w:t>
            </w:r>
          </w:p>
        </w:tc>
        <w:tc>
          <w:tcPr>
            <w:tcW w:w="2064" w:type="dxa"/>
            <w:noWrap w:val="0"/>
            <w:vAlign w:val="top"/>
          </w:tcPr>
          <w:p>
            <w:pPr>
              <w:pStyle w:val="27"/>
              <w:spacing w:before="120" w:after="120" w:line="360" w:lineRule="auto"/>
              <w:rPr>
                <w:rFonts w:hint="eastAsia" w:hAnsi="宋体"/>
              </w:rPr>
            </w:pPr>
          </w:p>
        </w:tc>
        <w:tc>
          <w:tcPr>
            <w:tcW w:w="1896" w:type="dxa"/>
            <w:noWrap w:val="0"/>
            <w:vAlign w:val="top"/>
          </w:tcPr>
          <w:p>
            <w:pPr>
              <w:pStyle w:val="27"/>
              <w:spacing w:before="120" w:after="120" w:line="360" w:lineRule="auto"/>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pPr>
              <w:pStyle w:val="27"/>
              <w:spacing w:before="120" w:after="120" w:line="360" w:lineRule="auto"/>
              <w:jc w:val="center"/>
              <w:rPr>
                <w:rFonts w:hint="eastAsia" w:hAnsi="宋体"/>
              </w:rPr>
            </w:pPr>
            <w:r>
              <w:rPr>
                <w:rFonts w:hint="eastAsia" w:hAnsi="宋体"/>
              </w:rPr>
              <w:t>7</w:t>
            </w:r>
          </w:p>
        </w:tc>
        <w:tc>
          <w:tcPr>
            <w:tcW w:w="4500" w:type="dxa"/>
            <w:noWrap w:val="0"/>
            <w:vAlign w:val="center"/>
          </w:tcPr>
          <w:p>
            <w:pPr>
              <w:pStyle w:val="27"/>
              <w:spacing w:before="120" w:after="120" w:line="360" w:lineRule="auto"/>
              <w:rPr>
                <w:rFonts w:hint="eastAsia" w:hAnsi="宋体"/>
              </w:rPr>
            </w:pPr>
            <w:r>
              <w:rPr>
                <w:rFonts w:hint="eastAsia" w:hAnsi="宋体"/>
              </w:rPr>
              <w:t>质保期满的保修服务费用</w:t>
            </w:r>
          </w:p>
        </w:tc>
        <w:tc>
          <w:tcPr>
            <w:tcW w:w="2064" w:type="dxa"/>
            <w:noWrap w:val="0"/>
            <w:vAlign w:val="top"/>
          </w:tcPr>
          <w:p>
            <w:pPr>
              <w:pStyle w:val="27"/>
              <w:spacing w:before="120" w:after="120" w:line="360" w:lineRule="auto"/>
              <w:rPr>
                <w:rFonts w:hint="eastAsia" w:hAnsi="宋体"/>
              </w:rPr>
            </w:pPr>
          </w:p>
        </w:tc>
        <w:tc>
          <w:tcPr>
            <w:tcW w:w="1896" w:type="dxa"/>
            <w:noWrap w:val="0"/>
            <w:vAlign w:val="top"/>
          </w:tcPr>
          <w:p>
            <w:pPr>
              <w:pStyle w:val="27"/>
              <w:spacing w:before="120" w:after="120" w:line="360" w:lineRule="auto"/>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pPr>
              <w:pStyle w:val="27"/>
              <w:spacing w:before="120" w:after="120" w:line="360" w:lineRule="auto"/>
              <w:jc w:val="center"/>
              <w:rPr>
                <w:rFonts w:hint="eastAsia" w:hAnsi="宋体"/>
              </w:rPr>
            </w:pPr>
            <w:r>
              <w:rPr>
                <w:rFonts w:hint="eastAsia" w:hAnsi="宋体"/>
              </w:rPr>
              <w:t>8</w:t>
            </w:r>
          </w:p>
        </w:tc>
        <w:tc>
          <w:tcPr>
            <w:tcW w:w="4500" w:type="dxa"/>
            <w:noWrap w:val="0"/>
            <w:vAlign w:val="center"/>
          </w:tcPr>
          <w:p>
            <w:pPr>
              <w:pStyle w:val="27"/>
              <w:spacing w:before="120" w:after="120" w:line="360" w:lineRule="auto"/>
              <w:rPr>
                <w:rFonts w:hint="eastAsia" w:hAnsi="宋体"/>
              </w:rPr>
            </w:pPr>
            <w:r>
              <w:rPr>
                <w:rFonts w:hint="eastAsia" w:hAnsi="宋体"/>
              </w:rPr>
              <w:t>交货时间</w:t>
            </w:r>
          </w:p>
        </w:tc>
        <w:tc>
          <w:tcPr>
            <w:tcW w:w="2064" w:type="dxa"/>
            <w:noWrap w:val="0"/>
            <w:vAlign w:val="top"/>
          </w:tcPr>
          <w:p>
            <w:pPr>
              <w:pStyle w:val="27"/>
              <w:spacing w:before="120" w:after="120" w:line="360" w:lineRule="auto"/>
              <w:rPr>
                <w:rFonts w:hint="eastAsia" w:hAnsi="宋体"/>
              </w:rPr>
            </w:pPr>
          </w:p>
        </w:tc>
        <w:tc>
          <w:tcPr>
            <w:tcW w:w="1896" w:type="dxa"/>
            <w:noWrap w:val="0"/>
            <w:vAlign w:val="top"/>
          </w:tcPr>
          <w:p>
            <w:pPr>
              <w:pStyle w:val="27"/>
              <w:spacing w:before="120" w:after="120" w:line="360" w:lineRule="auto"/>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noWrap w:val="0"/>
            <w:vAlign w:val="center"/>
          </w:tcPr>
          <w:p>
            <w:pPr>
              <w:pStyle w:val="27"/>
              <w:spacing w:before="120" w:after="120" w:line="360" w:lineRule="auto"/>
              <w:jc w:val="center"/>
              <w:rPr>
                <w:rFonts w:hint="eastAsia" w:hAnsi="宋体"/>
              </w:rPr>
            </w:pPr>
            <w:r>
              <w:rPr>
                <w:rFonts w:hint="eastAsia" w:hAnsi="宋体"/>
              </w:rPr>
              <w:t>9</w:t>
            </w:r>
          </w:p>
        </w:tc>
        <w:tc>
          <w:tcPr>
            <w:tcW w:w="4500" w:type="dxa"/>
            <w:noWrap w:val="0"/>
            <w:vAlign w:val="center"/>
          </w:tcPr>
          <w:p>
            <w:pPr>
              <w:pStyle w:val="27"/>
              <w:spacing w:before="120" w:after="120" w:line="360" w:lineRule="auto"/>
              <w:rPr>
                <w:rFonts w:hint="eastAsia" w:hAnsi="宋体"/>
              </w:rPr>
            </w:pPr>
            <w:r>
              <w:rPr>
                <w:rFonts w:hint="eastAsia" w:hAnsi="宋体"/>
              </w:rPr>
              <w:t>付款方式</w:t>
            </w:r>
          </w:p>
        </w:tc>
        <w:tc>
          <w:tcPr>
            <w:tcW w:w="2064" w:type="dxa"/>
            <w:noWrap w:val="0"/>
            <w:vAlign w:val="top"/>
          </w:tcPr>
          <w:p>
            <w:pPr>
              <w:pStyle w:val="27"/>
              <w:spacing w:before="120" w:after="120" w:line="360" w:lineRule="auto"/>
              <w:rPr>
                <w:rFonts w:hint="eastAsia" w:hAnsi="宋体"/>
              </w:rPr>
            </w:pPr>
          </w:p>
        </w:tc>
        <w:tc>
          <w:tcPr>
            <w:tcW w:w="1896" w:type="dxa"/>
            <w:noWrap w:val="0"/>
            <w:vAlign w:val="top"/>
          </w:tcPr>
          <w:p>
            <w:pPr>
              <w:pStyle w:val="27"/>
              <w:spacing w:before="120" w:after="120" w:line="360" w:lineRule="auto"/>
              <w:rPr>
                <w:rFonts w:hint="eastAsia" w:hAnsi="宋体"/>
              </w:rPr>
            </w:pPr>
          </w:p>
        </w:tc>
      </w:tr>
    </w:tbl>
    <w:p>
      <w:pPr>
        <w:pStyle w:val="27"/>
        <w:spacing w:before="120" w:after="120" w:line="360" w:lineRule="auto"/>
        <w:ind w:firstLine="720" w:firstLineChars="300"/>
        <w:rPr>
          <w:rFonts w:hint="eastAsia" w:ascii="Times New Roman" w:hAnsi="Times New Roman"/>
        </w:rPr>
      </w:pPr>
    </w:p>
    <w:p>
      <w:pPr>
        <w:pStyle w:val="27"/>
        <w:spacing w:before="120" w:after="120" w:line="360" w:lineRule="auto"/>
        <w:ind w:firstLine="720" w:firstLineChars="300"/>
        <w:rPr>
          <w:rFonts w:hint="eastAsia" w:ascii="Times New Roman" w:hAnsi="Times New Roman"/>
        </w:rPr>
      </w:pPr>
    </w:p>
    <w:p>
      <w:pPr>
        <w:pStyle w:val="27"/>
        <w:spacing w:before="120" w:after="120" w:line="360" w:lineRule="auto"/>
        <w:ind w:firstLine="3960" w:firstLineChars="1650"/>
        <w:rPr>
          <w:rFonts w:hint="eastAsia" w:ascii="Times New Roman" w:hAnsi="Times New Roman"/>
        </w:rPr>
      </w:pPr>
      <w:r>
        <w:rPr>
          <w:rFonts w:hint="eastAsia" w:ascii="Times New Roman" w:hAnsi="Times New Roman"/>
        </w:rPr>
        <w:t>投标方（公章）：</w:t>
      </w:r>
    </w:p>
    <w:p>
      <w:pPr>
        <w:pStyle w:val="27"/>
        <w:spacing w:before="120" w:after="120" w:line="360" w:lineRule="auto"/>
        <w:ind w:firstLine="4680" w:firstLineChars="1950"/>
        <w:rPr>
          <w:rFonts w:hint="eastAsia" w:ascii="Times New Roman" w:hAnsi="Times New Roman"/>
        </w:rPr>
      </w:pPr>
      <w:r>
        <w:rPr>
          <w:rFonts w:hint="eastAsia" w:ascii="Times New Roman" w:hAnsi="Times New Roman"/>
        </w:rPr>
        <w:t>日期：</w:t>
      </w:r>
    </w:p>
    <w:p>
      <w:pPr>
        <w:snapToGrid w:val="0"/>
        <w:spacing w:before="50" w:after="120" w:afterLines="50"/>
        <w:rPr>
          <w:rFonts w:hint="eastAsia" w:ascii="宋体" w:hAnsi="宋体" w:cs="宋体"/>
          <w:b/>
          <w:sz w:val="24"/>
        </w:rPr>
      </w:pPr>
    </w:p>
    <w:p>
      <w:pPr>
        <w:snapToGrid w:val="0"/>
        <w:spacing w:before="50" w:after="120" w:afterLines="50"/>
        <w:rPr>
          <w:rFonts w:hint="eastAsia" w:ascii="宋体" w:hAnsi="宋体" w:cs="宋体"/>
          <w:b/>
          <w:sz w:val="24"/>
        </w:rPr>
      </w:pPr>
    </w:p>
    <w:p>
      <w:pPr>
        <w:pStyle w:val="2"/>
        <w:rPr>
          <w:rFonts w:hint="eastAsia" w:ascii="宋体" w:hAnsi="宋体" w:cs="宋体"/>
          <w:b/>
          <w:sz w:val="24"/>
        </w:rPr>
      </w:pPr>
    </w:p>
    <w:p>
      <w:pPr>
        <w:pStyle w:val="4"/>
        <w:rPr>
          <w:rFonts w:hint="eastAsia"/>
        </w:rPr>
      </w:pPr>
    </w:p>
    <w:p>
      <w:pPr>
        <w:widowControl/>
        <w:spacing w:before="100" w:beforeAutospacing="1" w:after="190"/>
        <w:rPr>
          <w:rFonts w:hint="eastAsia" w:ascii="宋体" w:hAnsi="宋体"/>
          <w:sz w:val="24"/>
        </w:rPr>
      </w:pPr>
      <w:r>
        <w:rPr>
          <w:rFonts w:hint="eastAsia" w:ascii="宋体" w:hAnsi="宋体" w:cs="宋体"/>
          <w:b/>
          <w:sz w:val="24"/>
        </w:rPr>
        <w:t>附件12：</w:t>
      </w:r>
      <w:r>
        <w:rPr>
          <w:rFonts w:hint="eastAsia" w:ascii="宋体" w:hAnsi="宋体"/>
          <w:b/>
          <w:sz w:val="24"/>
        </w:rPr>
        <w:t xml:space="preserve">府采购供应商诚信承诺书 </w:t>
      </w:r>
      <w:r>
        <w:rPr>
          <w:rFonts w:hint="eastAsia" w:ascii="宋体" w:hAnsi="宋体"/>
          <w:sz w:val="24"/>
        </w:rPr>
        <w:t xml:space="preserve">                </w:t>
      </w:r>
    </w:p>
    <w:p>
      <w:pPr>
        <w:widowControl/>
        <w:spacing w:before="100" w:beforeAutospacing="1" w:after="190"/>
        <w:jc w:val="center"/>
        <w:rPr>
          <w:rFonts w:ascii="Arial" w:hAnsi="Arial" w:cs="Arial"/>
          <w:kern w:val="0"/>
          <w:sz w:val="30"/>
          <w:szCs w:val="30"/>
        </w:rPr>
      </w:pPr>
      <w:r>
        <w:rPr>
          <w:rFonts w:ascii="Arial" w:hAnsi="Arial" w:cs="Arial"/>
          <w:b/>
          <w:bCs/>
          <w:kern w:val="0"/>
          <w:sz w:val="30"/>
          <w:szCs w:val="30"/>
        </w:rPr>
        <w:t>政府采购供应商诚信承诺书</w:t>
      </w:r>
    </w:p>
    <w:p>
      <w:pPr>
        <w:widowControl/>
        <w:spacing w:before="100" w:beforeAutospacing="1" w:after="190"/>
        <w:jc w:val="left"/>
        <w:rPr>
          <w:rFonts w:ascii="Arial" w:hAnsi="Arial" w:cs="Arial"/>
          <w:b/>
          <w:kern w:val="0"/>
          <w:sz w:val="24"/>
        </w:rPr>
      </w:pPr>
      <w:r>
        <w:rPr>
          <w:rFonts w:hint="eastAsia" w:ascii="Arial" w:hAnsi="Arial" w:cs="Arial"/>
          <w:b/>
          <w:kern w:val="0"/>
          <w:sz w:val="24"/>
        </w:rPr>
        <w:t>金华市公共资源交易</w:t>
      </w:r>
      <w:r>
        <w:rPr>
          <w:rFonts w:ascii="Arial" w:hAnsi="Arial" w:cs="Arial"/>
          <w:b/>
          <w:kern w:val="0"/>
          <w:sz w:val="24"/>
        </w:rPr>
        <w:t>中心</w:t>
      </w:r>
      <w:r>
        <w:rPr>
          <w:rFonts w:hint="eastAsia" w:ascii="Arial" w:hAnsi="Arial" w:cs="Arial"/>
          <w:b/>
          <w:kern w:val="0"/>
          <w:sz w:val="24"/>
        </w:rPr>
        <w:t>东阳分中心</w:t>
      </w:r>
      <w:r>
        <w:rPr>
          <w:rFonts w:ascii="Arial" w:hAnsi="Arial" w:cs="Arial"/>
          <w:b/>
          <w:kern w:val="0"/>
          <w:sz w:val="24"/>
        </w:rPr>
        <w:t>：</w:t>
      </w:r>
    </w:p>
    <w:p>
      <w:pPr>
        <w:ind w:firstLine="480" w:firstLineChars="200"/>
        <w:rPr>
          <w:sz w:val="24"/>
        </w:rPr>
      </w:pPr>
      <w:r>
        <w:rPr>
          <w:kern w:val="0"/>
          <w:sz w:val="24"/>
        </w:rPr>
        <w:t>我公司自愿参与贵中心组织的</w:t>
      </w:r>
      <w:r>
        <w:rPr>
          <w:rFonts w:hint="eastAsia"/>
          <w:kern w:val="0"/>
          <w:sz w:val="24"/>
          <w:u w:val="single"/>
        </w:rPr>
        <w:t xml:space="preserve">    </w:t>
      </w:r>
      <w:r>
        <w:rPr>
          <w:b/>
          <w:kern w:val="0"/>
          <w:sz w:val="24"/>
          <w:u w:val="single"/>
        </w:rPr>
        <w:t>项目</w:t>
      </w:r>
      <w:r>
        <w:rPr>
          <w:rFonts w:hint="eastAsia"/>
          <w:b/>
          <w:kern w:val="0"/>
          <w:sz w:val="24"/>
          <w:u w:val="single"/>
        </w:rPr>
        <w:t>（招标编号：DYCG2022-  ）</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288" w:lineRule="auto"/>
        <w:ind w:firstLine="480" w:firstLineChars="200"/>
        <w:rPr>
          <w:sz w:val="24"/>
        </w:rPr>
      </w:pPr>
      <w:r>
        <w:rPr>
          <w:sz w:val="24"/>
        </w:rPr>
        <w:t>（一）提供虚假材料谋取中标的；</w:t>
      </w:r>
    </w:p>
    <w:p>
      <w:pPr>
        <w:spacing w:line="288" w:lineRule="auto"/>
        <w:ind w:firstLine="480" w:firstLineChars="200"/>
        <w:rPr>
          <w:sz w:val="24"/>
        </w:rPr>
      </w:pPr>
      <w:r>
        <w:rPr>
          <w:sz w:val="24"/>
        </w:rPr>
        <w:t>（二）采取不正当手段诋毁、排挤</w:t>
      </w:r>
      <w:r>
        <w:fldChar w:fldCharType="begin"/>
      </w:r>
      <w:r>
        <w:instrText xml:space="preserve"> HYPERLINK "http://www.oh100.com/qita/" \t "_blank" </w:instrText>
      </w:r>
      <w:r>
        <w:fldChar w:fldCharType="separate"/>
      </w:r>
      <w:r>
        <w:rPr>
          <w:rStyle w:val="54"/>
          <w:color w:val="auto"/>
          <w:sz w:val="24"/>
        </w:rPr>
        <w:t>其他</w:t>
      </w:r>
      <w:r>
        <w:rPr>
          <w:sz w:val="24"/>
        </w:rPr>
        <w:fldChar w:fldCharType="end"/>
      </w:r>
      <w:r>
        <w:rPr>
          <w:sz w:val="24"/>
        </w:rPr>
        <w:t>供应商的；</w:t>
      </w:r>
    </w:p>
    <w:p>
      <w:pPr>
        <w:spacing w:line="288" w:lineRule="auto"/>
        <w:ind w:firstLine="480" w:firstLineChars="200"/>
        <w:rPr>
          <w:sz w:val="24"/>
        </w:rPr>
      </w:pPr>
      <w:r>
        <w:rPr>
          <w:sz w:val="24"/>
        </w:rPr>
        <w:t>（三）与招标采购单位、其他投标人恶意串通的；</w:t>
      </w:r>
    </w:p>
    <w:p>
      <w:pPr>
        <w:spacing w:line="288" w:lineRule="auto"/>
        <w:ind w:firstLine="480" w:firstLineChars="200"/>
        <w:rPr>
          <w:sz w:val="24"/>
        </w:rPr>
      </w:pPr>
      <w:r>
        <w:rPr>
          <w:sz w:val="24"/>
        </w:rPr>
        <w:t>（四）向招标采购单位行贿或提供其他不正当利益的；</w:t>
      </w:r>
    </w:p>
    <w:p>
      <w:pPr>
        <w:spacing w:line="288" w:lineRule="auto"/>
        <w:ind w:firstLine="480" w:firstLineChars="200"/>
        <w:rPr>
          <w:sz w:val="24"/>
        </w:rPr>
      </w:pPr>
      <w:r>
        <w:rPr>
          <w:sz w:val="24"/>
        </w:rPr>
        <w:t>（五）在招标过程中与招标采购单位进行协商谈判、不按照招标文件和投标文件订立合同，或者与采购人另立背离合同实质性内容协议的；</w:t>
      </w:r>
    </w:p>
    <w:p>
      <w:pPr>
        <w:spacing w:line="288" w:lineRule="auto"/>
        <w:ind w:firstLine="600" w:firstLineChars="250"/>
        <w:rPr>
          <w:sz w:val="24"/>
        </w:rPr>
      </w:pPr>
      <w:r>
        <w:rPr>
          <w:sz w:val="24"/>
        </w:rPr>
        <w:t>（</w:t>
      </w:r>
      <w:r>
        <w:rPr>
          <w:rFonts w:hint="eastAsia"/>
          <w:sz w:val="24"/>
        </w:rPr>
        <w:t>六</w:t>
      </w:r>
      <w:r>
        <w:rPr>
          <w:sz w:val="24"/>
        </w:rPr>
        <w:t>）中标后无正当理由，在规定时间内不与采购单位签订合同的；</w:t>
      </w:r>
    </w:p>
    <w:p>
      <w:pPr>
        <w:spacing w:line="288" w:lineRule="auto"/>
        <w:ind w:firstLine="600" w:firstLineChars="250"/>
        <w:rPr>
          <w:sz w:val="24"/>
        </w:rPr>
      </w:pPr>
      <w:r>
        <w:rPr>
          <w:sz w:val="24"/>
        </w:rPr>
        <w:t>（</w:t>
      </w:r>
      <w:r>
        <w:rPr>
          <w:rFonts w:hint="eastAsia"/>
          <w:sz w:val="24"/>
        </w:rPr>
        <w:t>七</w:t>
      </w:r>
      <w:r>
        <w:rPr>
          <w:sz w:val="24"/>
        </w:rPr>
        <w:t>）将中标项目转让给他人或非法分包他人的；</w:t>
      </w:r>
    </w:p>
    <w:p>
      <w:pPr>
        <w:spacing w:line="288" w:lineRule="auto"/>
        <w:ind w:firstLine="600" w:firstLineChars="250"/>
        <w:rPr>
          <w:sz w:val="24"/>
        </w:rPr>
      </w:pPr>
      <w:r>
        <w:rPr>
          <w:sz w:val="24"/>
        </w:rPr>
        <w:t>（</w:t>
      </w:r>
      <w:r>
        <w:rPr>
          <w:rFonts w:hint="eastAsia"/>
          <w:sz w:val="24"/>
        </w:rPr>
        <w:t>八</w:t>
      </w:r>
      <w:r>
        <w:rPr>
          <w:sz w:val="24"/>
        </w:rPr>
        <w:t>）无正当理由，拒绝履行合同义务的；</w:t>
      </w:r>
    </w:p>
    <w:p>
      <w:pPr>
        <w:spacing w:line="288" w:lineRule="auto"/>
        <w:ind w:firstLine="600" w:firstLineChars="250"/>
        <w:rPr>
          <w:sz w:val="24"/>
        </w:rPr>
      </w:pPr>
      <w:r>
        <w:rPr>
          <w:sz w:val="24"/>
        </w:rPr>
        <w:t>（</w:t>
      </w:r>
      <w:r>
        <w:rPr>
          <w:rFonts w:hint="eastAsia"/>
          <w:sz w:val="24"/>
        </w:rPr>
        <w:t>九</w:t>
      </w:r>
      <w:r>
        <w:rPr>
          <w:sz w:val="24"/>
        </w:rPr>
        <w:t>）无正当理由放弃中标（成交）项目的；</w:t>
      </w:r>
    </w:p>
    <w:p>
      <w:pPr>
        <w:spacing w:line="288" w:lineRule="auto"/>
        <w:ind w:firstLine="600" w:firstLineChars="250"/>
        <w:rPr>
          <w:sz w:val="24"/>
        </w:rPr>
      </w:pPr>
      <w:r>
        <w:rPr>
          <w:sz w:val="24"/>
        </w:rPr>
        <w:t>（十）擅自或与采购人串通或接受采购人要求，在履约合同中通过减少货物数量，更换品牌、降低配置、技术要求、质量和服务标准等，却仍按原合同进行虚假验收或终止政府采购合同的；</w:t>
      </w:r>
    </w:p>
    <w:p>
      <w:pPr>
        <w:spacing w:line="288" w:lineRule="auto"/>
        <w:ind w:firstLine="480" w:firstLineChars="200"/>
        <w:rPr>
          <w:sz w:val="24"/>
        </w:rPr>
      </w:pPr>
      <w:r>
        <w:rPr>
          <w:sz w:val="24"/>
        </w:rPr>
        <w:t>（十</w:t>
      </w:r>
      <w:r>
        <w:rPr>
          <w:rFonts w:hint="eastAsia"/>
          <w:sz w:val="24"/>
        </w:rPr>
        <w:t>一</w:t>
      </w:r>
      <w:r>
        <w:rPr>
          <w:sz w:val="24"/>
        </w:rPr>
        <w:t>）与采购人串通，对尚未履约完毕的采购项目出具虚假验收报告的；</w:t>
      </w:r>
    </w:p>
    <w:p>
      <w:pPr>
        <w:spacing w:line="288" w:lineRule="auto"/>
        <w:ind w:firstLine="480" w:firstLineChars="200"/>
        <w:rPr>
          <w:sz w:val="24"/>
        </w:rPr>
      </w:pPr>
      <w:r>
        <w:rPr>
          <w:sz w:val="24"/>
        </w:rPr>
        <w:t>（十</w:t>
      </w:r>
      <w:r>
        <w:rPr>
          <w:rFonts w:hint="eastAsia"/>
          <w:sz w:val="24"/>
        </w:rPr>
        <w:t>二</w:t>
      </w:r>
      <w:r>
        <w:rPr>
          <w:sz w:val="24"/>
        </w:rPr>
        <w:t>）无不可抗力因素，拒绝提供售后服务、售后服务态度恶劣、故意提高维修配件价格（高于市场平均价）的；</w:t>
      </w:r>
    </w:p>
    <w:p>
      <w:pPr>
        <w:spacing w:line="288" w:lineRule="auto"/>
        <w:ind w:firstLine="480" w:firstLineChars="200"/>
        <w:rPr>
          <w:sz w:val="24"/>
        </w:rPr>
      </w:pPr>
      <w:r>
        <w:rPr>
          <w:sz w:val="24"/>
        </w:rPr>
        <w:t>（十</w:t>
      </w:r>
      <w:r>
        <w:rPr>
          <w:rFonts w:hint="eastAsia"/>
          <w:sz w:val="24"/>
        </w:rPr>
        <w:t>三</w:t>
      </w:r>
      <w:r>
        <w:rPr>
          <w:sz w:val="24"/>
        </w:rPr>
        <w:t>）开标后对招标文件的相关内容再进行质疑的；</w:t>
      </w:r>
    </w:p>
    <w:p>
      <w:pPr>
        <w:spacing w:line="288" w:lineRule="auto"/>
        <w:ind w:firstLine="480" w:firstLineChars="200"/>
        <w:rPr>
          <w:sz w:val="24"/>
        </w:rPr>
      </w:pPr>
      <w:r>
        <w:rPr>
          <w:sz w:val="24"/>
        </w:rPr>
        <w:t>（十</w:t>
      </w:r>
      <w:r>
        <w:rPr>
          <w:rFonts w:hint="eastAsia"/>
          <w:sz w:val="24"/>
        </w:rPr>
        <w:t>四</w:t>
      </w:r>
      <w:r>
        <w:rPr>
          <w:sz w:val="24"/>
        </w:rPr>
        <w:t>）恶意投诉的行为：投诉经查无实据的、捏造事实或者提供虚假投诉材料的；</w:t>
      </w:r>
    </w:p>
    <w:p>
      <w:pPr>
        <w:spacing w:line="288" w:lineRule="auto"/>
        <w:ind w:firstLine="480" w:firstLineChars="200"/>
        <w:rPr>
          <w:sz w:val="24"/>
        </w:rPr>
      </w:pPr>
      <w:r>
        <w:rPr>
          <w:sz w:val="24"/>
        </w:rPr>
        <w:t>（十</w:t>
      </w:r>
      <w:r>
        <w:rPr>
          <w:rFonts w:hint="eastAsia"/>
          <w:sz w:val="24"/>
        </w:rPr>
        <w:t>五</w:t>
      </w:r>
      <w:r>
        <w:rPr>
          <w:sz w:val="24"/>
        </w:rPr>
        <w:t>）拒绝有关部门监督检查或者提供虚假情况的；</w:t>
      </w:r>
    </w:p>
    <w:p>
      <w:pPr>
        <w:spacing w:line="288" w:lineRule="auto"/>
        <w:ind w:firstLine="480" w:firstLineChars="200"/>
        <w:rPr>
          <w:sz w:val="24"/>
        </w:rPr>
      </w:pPr>
      <w:r>
        <w:rPr>
          <w:sz w:val="24"/>
        </w:rPr>
        <w:t>（十</w:t>
      </w:r>
      <w:r>
        <w:rPr>
          <w:rFonts w:hint="eastAsia"/>
          <w:sz w:val="24"/>
        </w:rPr>
        <w:t>六</w:t>
      </w:r>
      <w:r>
        <w:rPr>
          <w:sz w:val="24"/>
        </w:rPr>
        <w:t>）财政、监察部门认定的其他不诚信行为。</w:t>
      </w:r>
    </w:p>
    <w:p>
      <w:pPr>
        <w:spacing w:line="288" w:lineRule="auto"/>
        <w:ind w:firstLine="480" w:firstLineChars="200"/>
        <w:rPr>
          <w:sz w:val="24"/>
        </w:rPr>
      </w:pPr>
      <w:r>
        <w:rPr>
          <w:rFonts w:hint="eastAsia"/>
          <w:sz w:val="24"/>
        </w:rPr>
        <w:t>（十七）招标文件规定的其他不诚信行为。</w:t>
      </w:r>
    </w:p>
    <w:p>
      <w:pPr>
        <w:spacing w:line="288" w:lineRule="auto"/>
        <w:ind w:firstLine="5760" w:firstLineChars="2400"/>
        <w:rPr>
          <w:sz w:val="24"/>
        </w:rPr>
      </w:pPr>
      <w:r>
        <w:rPr>
          <w:sz w:val="24"/>
        </w:rPr>
        <w:t>公司名称</w:t>
      </w:r>
      <w:r>
        <w:rPr>
          <w:rFonts w:hint="eastAsia"/>
          <w:sz w:val="24"/>
        </w:rPr>
        <w:t>：</w:t>
      </w:r>
      <w:r>
        <w:rPr>
          <w:sz w:val="24"/>
        </w:rPr>
        <w:t>（盖章）</w:t>
      </w:r>
    </w:p>
    <w:p>
      <w:pPr>
        <w:spacing w:line="288" w:lineRule="auto"/>
        <w:ind w:firstLine="5760" w:firstLineChars="2400"/>
        <w:rPr>
          <w:rFonts w:ascii="宋体" w:hAnsi="宋体"/>
          <w:b/>
          <w:sz w:val="24"/>
        </w:rPr>
      </w:pPr>
      <w:r>
        <w:rPr>
          <w:sz w:val="24"/>
        </w:rPr>
        <w:t>年 月 日</w:t>
      </w:r>
    </w:p>
    <w:p>
      <w:pPr>
        <w:snapToGrid w:val="0"/>
        <w:spacing w:before="50" w:after="120" w:afterLines="50" w:line="360" w:lineRule="auto"/>
        <w:jc w:val="left"/>
        <w:rPr>
          <w:rFonts w:hint="eastAsia" w:ascii="宋体" w:hAnsi="宋体"/>
          <w:b/>
          <w:sz w:val="24"/>
        </w:rPr>
      </w:pPr>
    </w:p>
    <w:p>
      <w:pPr>
        <w:pStyle w:val="2"/>
        <w:rPr>
          <w:rFonts w:hint="eastAsia"/>
        </w:rPr>
      </w:pPr>
    </w:p>
    <w:p>
      <w:pPr>
        <w:snapToGrid w:val="0"/>
        <w:spacing w:before="50" w:after="120" w:afterLines="50" w:line="360" w:lineRule="auto"/>
        <w:jc w:val="left"/>
        <w:rPr>
          <w:rFonts w:hint="eastAsia" w:ascii="宋体" w:hAnsi="宋体"/>
          <w:b/>
          <w:sz w:val="24"/>
        </w:rPr>
      </w:pPr>
    </w:p>
    <w:p>
      <w:pPr>
        <w:snapToGrid w:val="0"/>
        <w:spacing w:before="50" w:after="120" w:afterLines="50"/>
        <w:jc w:val="left"/>
        <w:rPr>
          <w:rFonts w:hint="eastAsia" w:ascii="宋体" w:hAnsi="宋体" w:cs="宋体"/>
          <w:sz w:val="24"/>
          <w:szCs w:val="20"/>
        </w:rPr>
      </w:pPr>
      <w:r>
        <w:rPr>
          <w:rFonts w:hint="eastAsia" w:ascii="宋体" w:hAnsi="宋体" w:cs="宋体"/>
          <w:b/>
          <w:sz w:val="24"/>
        </w:rPr>
        <w:t>附件13：距采购人最近或者能为本项目提供最优服务的网点情况表格式：</w:t>
      </w:r>
    </w:p>
    <w:p>
      <w:pPr>
        <w:pStyle w:val="37"/>
        <w:snapToGrid w:val="0"/>
        <w:ind w:left="480" w:hanging="480"/>
        <w:rPr>
          <w:rFonts w:hint="eastAsia" w:ascii="宋体" w:hAnsi="宋体" w:cs="宋体"/>
          <w:sz w:val="24"/>
        </w:rPr>
      </w:pPr>
    </w:p>
    <w:p>
      <w:pPr>
        <w:pStyle w:val="37"/>
        <w:snapToGrid w:val="0"/>
        <w:ind w:left="482" w:hanging="482"/>
        <w:jc w:val="center"/>
        <w:rPr>
          <w:rFonts w:hint="eastAsia" w:ascii="宋体" w:hAnsi="宋体" w:cs="宋体"/>
          <w:b/>
          <w:sz w:val="24"/>
        </w:rPr>
      </w:pPr>
      <w:r>
        <w:rPr>
          <w:rFonts w:hint="eastAsia" w:ascii="宋体" w:hAnsi="宋体" w:cs="宋体"/>
          <w:b/>
          <w:sz w:val="24"/>
        </w:rPr>
        <w:t>距采购人最近或者能为本项目提供最优服务的网点情况表</w:t>
      </w:r>
    </w:p>
    <w:p>
      <w:pPr>
        <w:pStyle w:val="37"/>
        <w:snapToGrid w:val="0"/>
        <w:ind w:left="480" w:hanging="480"/>
        <w:jc w:val="center"/>
        <w:rPr>
          <w:rFonts w:hint="eastAsia" w:ascii="宋体" w:hAnsi="宋体" w:cs="宋体"/>
          <w:sz w:val="24"/>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8"/>
        <w:gridCol w:w="1622"/>
        <w:gridCol w:w="191"/>
        <w:gridCol w:w="1439"/>
        <w:gridCol w:w="888"/>
        <w:gridCol w:w="21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210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服务网点名称</w:t>
            </w:r>
          </w:p>
        </w:tc>
        <w:tc>
          <w:tcPr>
            <w:tcW w:w="6311"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210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地址</w:t>
            </w:r>
          </w:p>
        </w:tc>
        <w:tc>
          <w:tcPr>
            <w:tcW w:w="6311"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注册资本金</w:t>
            </w:r>
          </w:p>
        </w:tc>
        <w:tc>
          <w:tcPr>
            <w:tcW w:w="162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其中：投标人出资比例</w:t>
            </w:r>
          </w:p>
        </w:tc>
        <w:tc>
          <w:tcPr>
            <w:tcW w:w="217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员工总人数</w:t>
            </w:r>
          </w:p>
        </w:tc>
        <w:tc>
          <w:tcPr>
            <w:tcW w:w="162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ind w:left="60"/>
              <w:jc w:val="left"/>
              <w:rPr>
                <w:rFonts w:hint="eastAsia" w:ascii="宋体" w:hAnsi="宋体" w:cs="宋体"/>
                <w:sz w:val="24"/>
                <w:szCs w:val="20"/>
              </w:rPr>
            </w:pPr>
            <w:r>
              <w:rPr>
                <w:rFonts w:hint="eastAsia" w:ascii="宋体" w:hAnsi="宋体" w:cs="宋体"/>
                <w:sz w:val="24"/>
              </w:rPr>
              <w:t>其中：技术人员数</w:t>
            </w:r>
          </w:p>
        </w:tc>
        <w:tc>
          <w:tcPr>
            <w:tcW w:w="217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经营期限</w:t>
            </w:r>
          </w:p>
        </w:tc>
        <w:tc>
          <w:tcPr>
            <w:tcW w:w="6311"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售后服务协议</w:t>
            </w:r>
          </w:p>
        </w:tc>
        <w:tc>
          <w:tcPr>
            <w:tcW w:w="6311"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售后服务内容</w:t>
            </w:r>
          </w:p>
        </w:tc>
        <w:tc>
          <w:tcPr>
            <w:tcW w:w="6311"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工作业绩</w:t>
            </w:r>
          </w:p>
        </w:tc>
        <w:tc>
          <w:tcPr>
            <w:tcW w:w="6311"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服务承诺</w:t>
            </w:r>
          </w:p>
        </w:tc>
        <w:tc>
          <w:tcPr>
            <w:tcW w:w="6311"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业务咨询电话</w:t>
            </w:r>
          </w:p>
        </w:tc>
        <w:tc>
          <w:tcPr>
            <w:tcW w:w="1813"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cs="宋体"/>
                <w:sz w:val="24"/>
                <w:szCs w:val="20"/>
              </w:rPr>
            </w:pPr>
          </w:p>
        </w:tc>
        <w:tc>
          <w:tcPr>
            <w:tcW w:w="1439"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ind w:firstLine="240" w:firstLineChars="100"/>
              <w:jc w:val="left"/>
              <w:rPr>
                <w:rFonts w:hint="eastAsia" w:ascii="宋体" w:hAnsi="宋体" w:cs="宋体"/>
                <w:sz w:val="24"/>
                <w:szCs w:val="20"/>
              </w:rPr>
            </w:pPr>
            <w:r>
              <w:rPr>
                <w:rFonts w:hint="eastAsia" w:ascii="宋体" w:hAnsi="宋体" w:cs="宋体"/>
                <w:sz w:val="24"/>
              </w:rPr>
              <w:t>传 真</w:t>
            </w:r>
          </w:p>
        </w:tc>
        <w:tc>
          <w:tcPr>
            <w:tcW w:w="3059" w:type="dxa"/>
            <w:gridSpan w:val="2"/>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负责人</w:t>
            </w:r>
          </w:p>
        </w:tc>
        <w:tc>
          <w:tcPr>
            <w:tcW w:w="1813" w:type="dxa"/>
            <w:gridSpan w:val="2"/>
            <w:tcBorders>
              <w:top w:val="single" w:color="auto" w:sz="4" w:space="0"/>
              <w:left w:val="single" w:color="auto" w:sz="4"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cs="宋体"/>
                <w:sz w:val="24"/>
                <w:szCs w:val="20"/>
              </w:rPr>
            </w:pPr>
          </w:p>
        </w:tc>
        <w:tc>
          <w:tcPr>
            <w:tcW w:w="1439" w:type="dxa"/>
            <w:tcBorders>
              <w:top w:val="single" w:color="auto" w:sz="4" w:space="0"/>
              <w:left w:val="single" w:color="auto" w:sz="2" w:space="0"/>
              <w:bottom w:val="single" w:color="auto" w:sz="4" w:space="0"/>
              <w:right w:val="single" w:color="auto" w:sz="2" w:space="0"/>
            </w:tcBorders>
            <w:noWrap w:val="0"/>
            <w:vAlign w:val="top"/>
          </w:tcPr>
          <w:p>
            <w:pPr>
              <w:snapToGrid w:val="0"/>
              <w:spacing w:before="50" w:after="120" w:afterLines="50" w:line="400" w:lineRule="exact"/>
              <w:jc w:val="left"/>
              <w:rPr>
                <w:rFonts w:hint="eastAsia" w:ascii="宋体" w:hAnsi="宋体" w:cs="宋体"/>
                <w:sz w:val="24"/>
                <w:szCs w:val="20"/>
              </w:rPr>
            </w:pPr>
            <w:r>
              <w:rPr>
                <w:rFonts w:hint="eastAsia" w:ascii="宋体" w:hAnsi="宋体" w:cs="宋体"/>
                <w:sz w:val="24"/>
              </w:rPr>
              <w:t>联系电话</w:t>
            </w:r>
          </w:p>
        </w:tc>
        <w:tc>
          <w:tcPr>
            <w:tcW w:w="3059" w:type="dxa"/>
            <w:gridSpan w:val="2"/>
            <w:tcBorders>
              <w:top w:val="single" w:color="auto" w:sz="4" w:space="0"/>
              <w:left w:val="single" w:color="auto" w:sz="2"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19"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s="宋体"/>
                <w:sz w:val="24"/>
                <w:szCs w:val="20"/>
              </w:rPr>
            </w:pPr>
            <w:r>
              <w:rPr>
                <w:rFonts w:hint="eastAsia" w:ascii="宋体" w:hAnsi="宋体" w:cs="宋体"/>
                <w:sz w:val="24"/>
                <w:szCs w:val="20"/>
              </w:rPr>
              <w:t>本表后需附售后服务机构营业执照</w:t>
            </w:r>
          </w:p>
        </w:tc>
      </w:tr>
    </w:tbl>
    <w:p>
      <w:pPr>
        <w:pStyle w:val="16"/>
        <w:snapToGrid w:val="0"/>
        <w:rPr>
          <w:rFonts w:hint="eastAsia" w:ascii="宋体" w:hAnsi="宋体" w:eastAsia="宋体" w:cs="宋体"/>
          <w:sz w:val="24"/>
          <w:u w:val="single"/>
        </w:rPr>
      </w:pPr>
      <w:r>
        <w:rPr>
          <w:rFonts w:hint="eastAsia" w:ascii="宋体" w:hAnsi="宋体" w:eastAsia="宋体" w:cs="宋体"/>
          <w:sz w:val="24"/>
        </w:rPr>
        <w:t>法定代表人或授权代表签字：</w:t>
      </w:r>
      <w:r>
        <w:rPr>
          <w:rFonts w:hint="eastAsia" w:ascii="宋体" w:hAnsi="宋体" w:eastAsia="宋体" w:cs="宋体"/>
          <w:sz w:val="24"/>
          <w:u w:val="single"/>
        </w:rPr>
        <w:t>　　　　　</w:t>
      </w:r>
    </w:p>
    <w:p>
      <w:pPr>
        <w:pStyle w:val="22"/>
        <w:snapToGrid w:val="0"/>
        <w:rPr>
          <w:rFonts w:hint="eastAsia" w:ascii="宋体" w:hAnsi="宋体" w:cs="宋体"/>
          <w:sz w:val="24"/>
        </w:rPr>
      </w:pPr>
      <w:r>
        <w:rPr>
          <w:rFonts w:hint="eastAsia" w:ascii="宋体" w:hAnsi="宋体" w:cs="宋体"/>
          <w:sz w:val="24"/>
        </w:rPr>
        <w:t>投标人公章：</w:t>
      </w:r>
      <w:r>
        <w:rPr>
          <w:rFonts w:hint="eastAsia" w:ascii="宋体" w:hAnsi="宋体" w:cs="宋体"/>
          <w:sz w:val="24"/>
          <w:u w:val="single"/>
        </w:rPr>
        <w:t xml:space="preserve">               </w:t>
      </w:r>
      <w:r>
        <w:rPr>
          <w:rFonts w:hint="eastAsia" w:ascii="宋体" w:hAnsi="宋体" w:cs="宋体"/>
          <w:sz w:val="24"/>
        </w:rPr>
        <w:t xml:space="preserve">                　 年    月　 日</w:t>
      </w:r>
    </w:p>
    <w:p>
      <w:pPr>
        <w:snapToGrid w:val="0"/>
        <w:spacing w:before="50" w:after="120" w:afterLines="50"/>
        <w:jc w:val="left"/>
        <w:rPr>
          <w:rFonts w:hint="eastAsia" w:ascii="宋体" w:hAnsi="宋体" w:cs="宋体"/>
          <w:sz w:val="24"/>
          <w:szCs w:val="20"/>
        </w:rPr>
      </w:pPr>
    </w:p>
    <w:p>
      <w:pPr>
        <w:snapToGrid w:val="0"/>
        <w:spacing w:before="50"/>
        <w:ind w:firstLine="480" w:firstLineChars="200"/>
        <w:jc w:val="left"/>
        <w:rPr>
          <w:rFonts w:hint="eastAsia" w:ascii="宋体" w:hAnsi="宋体" w:cs="宋体"/>
          <w:sz w:val="24"/>
          <w:szCs w:val="20"/>
        </w:rPr>
      </w:pPr>
    </w:p>
    <w:p>
      <w:pPr>
        <w:widowControl/>
        <w:spacing w:before="100" w:beforeAutospacing="1" w:after="190"/>
        <w:rPr>
          <w:rFonts w:hint="eastAsia" w:ascii="宋体" w:hAnsi="宋体" w:cs="宋体"/>
          <w:b/>
          <w:sz w:val="24"/>
        </w:rPr>
      </w:pPr>
    </w:p>
    <w:p>
      <w:pPr>
        <w:rPr>
          <w:rFonts w:hint="eastAsia" w:ascii="宋体" w:hAnsi="宋体" w:cs="宋体"/>
          <w:b/>
          <w:sz w:val="24"/>
        </w:rPr>
      </w:pPr>
      <w:r>
        <w:rPr>
          <w:rFonts w:hint="eastAsia" w:ascii="宋体" w:hAnsi="宋体" w:cs="宋体"/>
          <w:sz w:val="24"/>
        </w:rPr>
        <w:br w:type="page"/>
      </w:r>
      <w:r>
        <w:rPr>
          <w:rFonts w:hint="eastAsia" w:ascii="宋体" w:hAnsi="宋体" w:cs="宋体"/>
          <w:b/>
          <w:sz w:val="24"/>
        </w:rPr>
        <w:t>附件14：投标函格式：</w:t>
      </w:r>
    </w:p>
    <w:p>
      <w:pPr>
        <w:snapToGrid w:val="0"/>
        <w:spacing w:before="120" w:beforeLines="50" w:after="50" w:line="360" w:lineRule="auto"/>
        <w:jc w:val="center"/>
        <w:rPr>
          <w:rFonts w:hint="eastAsia" w:ascii="宋体" w:hAnsi="宋体" w:cs="宋体"/>
          <w:b/>
          <w:sz w:val="24"/>
          <w:szCs w:val="20"/>
        </w:rPr>
      </w:pPr>
      <w:r>
        <w:rPr>
          <w:rFonts w:hint="eastAsia" w:ascii="宋体" w:hAnsi="宋体" w:cs="宋体"/>
          <w:b/>
          <w:sz w:val="24"/>
        </w:rPr>
        <w:t>投标函</w:t>
      </w:r>
    </w:p>
    <w:p>
      <w:pPr>
        <w:snapToGrid w:val="0"/>
        <w:spacing w:line="360" w:lineRule="auto"/>
        <w:rPr>
          <w:rFonts w:hint="eastAsia" w:ascii="宋体" w:hAnsi="宋体" w:cs="宋体"/>
          <w:sz w:val="24"/>
          <w:szCs w:val="20"/>
        </w:rPr>
      </w:pPr>
      <w:r>
        <w:rPr>
          <w:rFonts w:hint="eastAsia" w:ascii="宋体" w:hAnsi="宋体" w:cs="宋体"/>
          <w:sz w:val="24"/>
        </w:rPr>
        <w:t>致：______</w:t>
      </w:r>
      <w:r>
        <w:rPr>
          <w:rFonts w:hint="eastAsia" w:ascii="宋体" w:hAnsi="宋体" w:cs="宋体"/>
          <w:sz w:val="24"/>
          <w:u w:val="single"/>
        </w:rPr>
        <w:t>__</w:t>
      </w:r>
      <w:r>
        <w:rPr>
          <w:rFonts w:hint="eastAsia" w:ascii="宋体" w:hAnsi="宋体" w:cs="宋体"/>
          <w:sz w:val="24"/>
        </w:rPr>
        <w:t>_（招标采购单位名称）：</w:t>
      </w:r>
    </w:p>
    <w:p>
      <w:pPr>
        <w:snapToGrid w:val="0"/>
        <w:spacing w:line="360" w:lineRule="auto"/>
        <w:ind w:firstLine="480"/>
        <w:rPr>
          <w:rFonts w:hint="eastAsia" w:ascii="宋体" w:hAnsi="宋体" w:cs="宋体"/>
          <w:sz w:val="24"/>
          <w:szCs w:val="20"/>
        </w:rPr>
      </w:pPr>
      <w:r>
        <w:rPr>
          <w:rFonts w:hint="eastAsia" w:ascii="宋体" w:hAnsi="宋体" w:cs="宋体"/>
          <w:sz w:val="24"/>
        </w:rPr>
        <w:t>根据贵方为项目的招标公告/投标邀请书</w:t>
      </w:r>
    </w:p>
    <w:p>
      <w:pPr>
        <w:snapToGrid w:val="0"/>
        <w:spacing w:line="360" w:lineRule="auto"/>
        <w:rPr>
          <w:rFonts w:hint="eastAsia" w:ascii="宋体" w:hAnsi="宋体" w:cs="宋体"/>
          <w:sz w:val="24"/>
          <w:szCs w:val="20"/>
        </w:rPr>
      </w:pPr>
      <w:r>
        <w:rPr>
          <w:rFonts w:hint="eastAsia" w:ascii="宋体" w:hAnsi="宋体" w:cs="宋体"/>
          <w:sz w:val="24"/>
        </w:rPr>
        <w:t>（项目编号：____</w:t>
      </w:r>
      <w:r>
        <w:rPr>
          <w:rFonts w:hint="eastAsia" w:ascii="宋体" w:hAnsi="宋体" w:cs="宋体"/>
          <w:sz w:val="24"/>
          <w:u w:val="single"/>
        </w:rPr>
        <w:t>__</w:t>
      </w:r>
      <w:r>
        <w:rPr>
          <w:rFonts w:hint="eastAsia" w:ascii="宋体" w:hAnsi="宋体" w:cs="宋体"/>
          <w:sz w:val="24"/>
        </w:rPr>
        <w:t>_），签字代表______</w:t>
      </w:r>
      <w:r>
        <w:rPr>
          <w:rFonts w:hint="eastAsia" w:ascii="宋体" w:hAnsi="宋体" w:cs="宋体"/>
          <w:sz w:val="24"/>
          <w:u w:val="single"/>
        </w:rPr>
        <w:t>_</w:t>
      </w:r>
      <w:r>
        <w:rPr>
          <w:rFonts w:hint="eastAsia" w:ascii="宋体" w:hAnsi="宋体" w:cs="宋体"/>
          <w:sz w:val="24"/>
        </w:rPr>
        <w:t>（全名）经正式授权并代表投标人_____</w:t>
      </w:r>
      <w:r>
        <w:rPr>
          <w:rFonts w:hint="eastAsia" w:ascii="宋体" w:hAnsi="宋体" w:cs="宋体"/>
          <w:sz w:val="24"/>
          <w:u w:val="single"/>
        </w:rPr>
        <w:t>____</w:t>
      </w:r>
      <w:r>
        <w:rPr>
          <w:rFonts w:hint="eastAsia" w:ascii="宋体" w:hAnsi="宋体" w:cs="宋体"/>
          <w:sz w:val="24"/>
        </w:rPr>
        <w:t>（投标人名称）提交电子投标文件一份，中标后提供资格响应文件、报价要求响应文件、商务技术响应文件正本各一份，副本各两份。</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据此函，签字代表宣布同意如下：</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3.本投标有效期自开标日起______天。</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5.投标人同意按照贵方要求提供与投标有关的一切数据或资料。</w:t>
      </w:r>
    </w:p>
    <w:p>
      <w:pPr>
        <w:snapToGrid w:val="0"/>
        <w:spacing w:line="360" w:lineRule="auto"/>
        <w:ind w:firstLine="480" w:firstLineChars="200"/>
        <w:rPr>
          <w:rFonts w:hint="eastAsia" w:ascii="宋体" w:hAnsi="宋体" w:cs="宋体"/>
          <w:sz w:val="24"/>
          <w:szCs w:val="20"/>
        </w:rPr>
      </w:pPr>
      <w:r>
        <w:rPr>
          <w:rFonts w:hint="eastAsia" w:ascii="宋体" w:hAnsi="宋体" w:cs="宋体"/>
          <w:sz w:val="24"/>
        </w:rPr>
        <w:t>6.与本投标有关的一切正式往来信函请寄：</w:t>
      </w:r>
    </w:p>
    <w:p>
      <w:pPr>
        <w:snapToGrid w:val="0"/>
        <w:spacing w:line="360" w:lineRule="auto"/>
        <w:rPr>
          <w:rFonts w:hint="eastAsia" w:ascii="宋体" w:hAnsi="宋体" w:cs="宋体"/>
          <w:sz w:val="24"/>
          <w:szCs w:val="20"/>
        </w:rPr>
      </w:pPr>
      <w:r>
        <w:rPr>
          <w:rFonts w:hint="eastAsia" w:ascii="宋体" w:hAnsi="宋体" w:cs="宋体"/>
          <w:sz w:val="24"/>
        </w:rPr>
        <w:t>地址：__________</w:t>
      </w:r>
      <w:r>
        <w:rPr>
          <w:rFonts w:hint="eastAsia" w:ascii="宋体" w:hAnsi="宋体" w:cs="宋体"/>
          <w:sz w:val="24"/>
          <w:u w:val="single"/>
        </w:rPr>
        <w:t>_</w:t>
      </w:r>
      <w:r>
        <w:rPr>
          <w:rFonts w:hint="eastAsia" w:ascii="宋体" w:hAnsi="宋体" w:cs="宋体"/>
          <w:sz w:val="24"/>
        </w:rPr>
        <w:t>____邮编：__________电话：______________</w:t>
      </w:r>
    </w:p>
    <w:p>
      <w:pPr>
        <w:snapToGrid w:val="0"/>
        <w:spacing w:line="360" w:lineRule="auto"/>
        <w:rPr>
          <w:rFonts w:hint="eastAsia" w:ascii="宋体" w:hAnsi="宋体" w:cs="宋体"/>
          <w:sz w:val="24"/>
          <w:szCs w:val="20"/>
        </w:rPr>
      </w:pPr>
      <w:r>
        <w:rPr>
          <w:rFonts w:hint="eastAsia" w:ascii="宋体" w:hAnsi="宋体" w:cs="宋体"/>
          <w:sz w:val="24"/>
        </w:rPr>
        <w:t>传真：______________投标人代表姓名___________职务：_____________</w:t>
      </w:r>
    </w:p>
    <w:p>
      <w:pPr>
        <w:snapToGrid w:val="0"/>
        <w:spacing w:line="360" w:lineRule="auto"/>
        <w:rPr>
          <w:rFonts w:hint="eastAsia" w:ascii="宋体" w:hAnsi="宋体" w:cs="宋体"/>
          <w:sz w:val="24"/>
          <w:szCs w:val="20"/>
        </w:rPr>
      </w:pPr>
      <w:r>
        <w:rPr>
          <w:rFonts w:hint="eastAsia" w:ascii="宋体" w:hAnsi="宋体" w:cs="宋体"/>
          <w:sz w:val="24"/>
        </w:rPr>
        <w:t>投标人名称(公章):___________________</w:t>
      </w:r>
    </w:p>
    <w:p>
      <w:pPr>
        <w:snapToGrid w:val="0"/>
        <w:spacing w:line="360" w:lineRule="auto"/>
        <w:rPr>
          <w:rFonts w:hint="eastAsia" w:ascii="宋体" w:hAnsi="宋体" w:cs="宋体"/>
          <w:b/>
          <w:sz w:val="24"/>
        </w:rPr>
      </w:pPr>
      <w:r>
        <w:rPr>
          <w:rFonts w:hint="eastAsia" w:ascii="宋体" w:hAnsi="宋体" w:cs="宋体"/>
          <w:sz w:val="24"/>
        </w:rPr>
        <w:t>授权代表签字:___________日期:_____年___月___日</w:t>
      </w:r>
    </w:p>
    <w:p>
      <w:pPr>
        <w:snapToGrid w:val="0"/>
        <w:spacing w:before="50" w:after="50" w:line="360" w:lineRule="auto"/>
        <w:ind w:left="-2" w:leftChars="-72" w:right="-817" w:rightChars="-389" w:hanging="149" w:hangingChars="62"/>
        <w:rPr>
          <w:rFonts w:hint="eastAsia" w:ascii="宋体" w:hAnsi="宋体" w:cs="宋体"/>
          <w:b/>
          <w:sz w:val="24"/>
        </w:rPr>
      </w:pPr>
    </w:p>
    <w:p>
      <w:pPr>
        <w:snapToGrid w:val="0"/>
        <w:spacing w:before="50" w:after="50" w:line="360" w:lineRule="auto"/>
        <w:ind w:left="-2" w:leftChars="-72" w:right="-817" w:rightChars="-389" w:hanging="149" w:hangingChars="62"/>
        <w:rPr>
          <w:rFonts w:hint="eastAsia" w:ascii="宋体" w:hAnsi="宋体" w:cs="宋体"/>
          <w:b/>
          <w:sz w:val="24"/>
        </w:rPr>
      </w:pPr>
    </w:p>
    <w:p>
      <w:pPr>
        <w:snapToGrid w:val="0"/>
        <w:spacing w:before="50" w:after="50" w:line="360" w:lineRule="auto"/>
        <w:ind w:left="-2" w:leftChars="-72" w:right="-817" w:rightChars="-389" w:hanging="149" w:hangingChars="62"/>
        <w:rPr>
          <w:rFonts w:hint="eastAsia" w:ascii="宋体" w:hAnsi="宋体" w:cs="宋体"/>
          <w:b/>
          <w:sz w:val="24"/>
        </w:rPr>
      </w:pPr>
    </w:p>
    <w:p>
      <w:pPr>
        <w:snapToGrid w:val="0"/>
        <w:spacing w:before="50" w:after="50" w:line="360" w:lineRule="auto"/>
        <w:ind w:left="-2" w:leftChars="-72" w:right="-817" w:rightChars="-389" w:hanging="149" w:hangingChars="62"/>
        <w:rPr>
          <w:rFonts w:hint="eastAsia" w:ascii="宋体" w:hAnsi="宋体" w:cs="宋体"/>
          <w:b/>
          <w:sz w:val="24"/>
        </w:rPr>
      </w:pPr>
    </w:p>
    <w:p>
      <w:pPr>
        <w:snapToGrid w:val="0"/>
        <w:spacing w:before="50" w:after="50" w:line="360" w:lineRule="auto"/>
        <w:ind w:left="-2" w:leftChars="-72" w:right="-817" w:rightChars="-389" w:hanging="149" w:hangingChars="62"/>
        <w:rPr>
          <w:rFonts w:hint="eastAsia" w:ascii="宋体" w:hAnsi="宋体" w:cs="宋体"/>
          <w:b/>
          <w:sz w:val="24"/>
        </w:rPr>
      </w:pPr>
    </w:p>
    <w:p>
      <w:pPr>
        <w:snapToGrid w:val="0"/>
        <w:spacing w:before="50" w:after="50" w:line="360" w:lineRule="auto"/>
        <w:ind w:left="-2" w:leftChars="-72" w:right="-817" w:rightChars="-389" w:hanging="149" w:hangingChars="62"/>
        <w:rPr>
          <w:rFonts w:hint="eastAsia" w:ascii="宋体" w:hAnsi="宋体" w:cs="宋体"/>
          <w:b/>
          <w:sz w:val="24"/>
        </w:rPr>
      </w:pPr>
    </w:p>
    <w:p>
      <w:pPr>
        <w:snapToGrid w:val="0"/>
        <w:spacing w:before="50" w:after="50" w:line="360" w:lineRule="auto"/>
        <w:ind w:left="-2" w:leftChars="-72" w:right="-817" w:rightChars="-389" w:hanging="149" w:hangingChars="62"/>
        <w:rPr>
          <w:rFonts w:hint="eastAsia" w:ascii="宋体" w:hAnsi="宋体" w:cs="宋体"/>
          <w:b/>
          <w:sz w:val="24"/>
        </w:rPr>
      </w:pPr>
    </w:p>
    <w:p>
      <w:pPr>
        <w:snapToGrid w:val="0"/>
        <w:spacing w:before="50" w:after="50" w:line="360" w:lineRule="auto"/>
        <w:ind w:left="-2" w:leftChars="-72" w:right="-817" w:rightChars="-389" w:hanging="149" w:hangingChars="62"/>
        <w:rPr>
          <w:rFonts w:hint="eastAsia" w:ascii="宋体" w:hAnsi="宋体" w:cs="宋体"/>
          <w:sz w:val="24"/>
        </w:rPr>
      </w:pPr>
      <w:r>
        <w:rPr>
          <w:rFonts w:hint="eastAsia" w:ascii="宋体" w:hAnsi="宋体" w:cs="宋体"/>
          <w:b/>
          <w:sz w:val="24"/>
        </w:rPr>
        <w:t>附件15：开标一览表</w:t>
      </w:r>
    </w:p>
    <w:p>
      <w:pPr>
        <w:snapToGrid w:val="0"/>
        <w:spacing w:before="50" w:after="50" w:line="360" w:lineRule="auto"/>
        <w:jc w:val="center"/>
        <w:rPr>
          <w:rFonts w:hint="eastAsia" w:ascii="宋体" w:hAnsi="宋体"/>
          <w:b/>
          <w:sz w:val="30"/>
          <w:szCs w:val="20"/>
        </w:rPr>
      </w:pPr>
      <w:r>
        <w:rPr>
          <w:rFonts w:hint="eastAsia" w:ascii="宋体" w:hAnsi="宋体"/>
          <w:b/>
          <w:sz w:val="30"/>
        </w:rPr>
        <w:t>开标一览表</w:t>
      </w:r>
    </w:p>
    <w:p>
      <w:pPr>
        <w:snapToGrid w:val="0"/>
        <w:spacing w:before="50" w:after="50" w:line="360" w:lineRule="auto"/>
        <w:rPr>
          <w:rFonts w:hint="eastAsia" w:ascii="宋体" w:hAnsi="宋体"/>
          <w:sz w:val="24"/>
        </w:rPr>
      </w:pPr>
    </w:p>
    <w:p>
      <w:pPr>
        <w:snapToGrid w:val="0"/>
        <w:spacing w:before="50" w:after="50" w:line="360" w:lineRule="auto"/>
        <w:rPr>
          <w:rFonts w:hint="eastAsia" w:ascii="宋体" w:hAnsi="宋体"/>
          <w:sz w:val="24"/>
          <w:szCs w:val="20"/>
        </w:rPr>
      </w:pPr>
      <w:r>
        <w:rPr>
          <w:rFonts w:hint="eastAsia" w:ascii="宋体" w:hAnsi="宋体"/>
          <w:sz w:val="24"/>
        </w:rPr>
        <w:t>招标编号：                                 单位：元</w:t>
      </w:r>
    </w:p>
    <w:tbl>
      <w:tblPr>
        <w:tblStyle w:val="46"/>
        <w:tblW w:w="89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942"/>
        <w:gridCol w:w="546"/>
        <w:gridCol w:w="552"/>
        <w:gridCol w:w="1440"/>
        <w:gridCol w:w="1079"/>
        <w:gridCol w:w="718"/>
        <w:gridCol w:w="1261"/>
        <w:gridCol w:w="7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30"/>
              </w:rPr>
            </w:pPr>
            <w:r>
              <w:rPr>
                <w:rFonts w:hint="eastAsia" w:ascii="宋体" w:hAnsi="宋体"/>
                <w:b/>
                <w:szCs w:val="30"/>
              </w:rPr>
              <w:t>序号</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30"/>
              </w:rPr>
            </w:pPr>
            <w:r>
              <w:rPr>
                <w:rFonts w:hint="eastAsia" w:ascii="宋体" w:hAnsi="宋体"/>
                <w:b/>
                <w:szCs w:val="30"/>
              </w:rPr>
              <w:t>货物（项目）名称</w:t>
            </w:r>
          </w:p>
        </w:tc>
        <w:tc>
          <w:tcPr>
            <w:tcW w:w="5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30"/>
              </w:rPr>
            </w:pPr>
            <w:r>
              <w:rPr>
                <w:rFonts w:hint="eastAsia" w:ascii="宋体" w:hAnsi="宋体"/>
                <w:b/>
                <w:szCs w:val="30"/>
              </w:rPr>
              <w:t>数量</w:t>
            </w:r>
          </w:p>
        </w:tc>
        <w:tc>
          <w:tcPr>
            <w:tcW w:w="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30"/>
              </w:rPr>
            </w:pPr>
            <w:r>
              <w:rPr>
                <w:rFonts w:hint="eastAsia" w:ascii="宋体" w:hAnsi="宋体"/>
                <w:b/>
                <w:szCs w:val="30"/>
              </w:rPr>
              <w:t>产地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30"/>
              </w:rPr>
            </w:pPr>
            <w:r>
              <w:rPr>
                <w:rFonts w:hint="eastAsia" w:ascii="宋体" w:hAnsi="宋体"/>
                <w:b/>
                <w:szCs w:val="30"/>
              </w:rPr>
              <w:t>品牌及厂家</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30"/>
              </w:rPr>
            </w:pPr>
            <w:r>
              <w:rPr>
                <w:rFonts w:hint="eastAsia" w:ascii="宋体" w:hAnsi="宋体"/>
                <w:b/>
                <w:szCs w:val="30"/>
              </w:rPr>
              <w:t>规格型号</w:t>
            </w: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r>
              <w:rPr>
                <w:rFonts w:hint="eastAsia" w:ascii="宋体" w:hAnsi="宋体"/>
                <w:b/>
                <w:szCs w:val="30"/>
              </w:rPr>
              <w:t>单价</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szCs w:val="30"/>
              </w:rPr>
            </w:pPr>
            <w:r>
              <w:rPr>
                <w:rFonts w:hint="eastAsia" w:ascii="宋体" w:hAnsi="宋体"/>
                <w:b/>
                <w:szCs w:val="30"/>
              </w:rPr>
              <w:t>投标报价</w:t>
            </w: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r>
              <w:rPr>
                <w:rFonts w:hint="eastAsia" w:ascii="宋体" w:hAnsi="宋体"/>
                <w:b/>
                <w:szCs w:val="3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5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8979"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 w:val="24"/>
                <w:szCs w:val="21"/>
              </w:rPr>
            </w:pPr>
            <w:r>
              <w:rPr>
                <w:rFonts w:hint="eastAsia" w:ascii="宋体" w:hAnsi="宋体"/>
                <w:sz w:val="24"/>
                <w:szCs w:val="21"/>
              </w:rPr>
              <w:t>合计金额大写（人民币）：                      ￥：</w:t>
            </w:r>
          </w:p>
        </w:tc>
      </w:tr>
    </w:tbl>
    <w:p>
      <w:pPr>
        <w:snapToGrid w:val="0"/>
        <w:spacing w:before="50" w:after="50" w:line="360" w:lineRule="auto"/>
        <w:jc w:val="left"/>
        <w:rPr>
          <w:rFonts w:ascii="宋体" w:hAnsi="宋体"/>
          <w:sz w:val="24"/>
          <w:szCs w:val="20"/>
        </w:rPr>
      </w:pPr>
      <w:r>
        <w:rPr>
          <w:rFonts w:hint="eastAsia" w:ascii="宋体" w:hAnsi="宋体"/>
          <w:sz w:val="24"/>
        </w:rPr>
        <w:t>注</w:t>
      </w:r>
      <w:r>
        <w:rPr>
          <w:rFonts w:ascii="宋体" w:hAnsi="宋体"/>
          <w:sz w:val="24"/>
        </w:rPr>
        <w:t>:1</w:t>
      </w:r>
      <w:r>
        <w:rPr>
          <w:rFonts w:hint="eastAsia" w:ascii="宋体" w:hAnsi="宋体"/>
          <w:sz w:val="24"/>
        </w:rPr>
        <w:t>、报价一经涂改，应在涂改处加盖单位公章或者由法定代表人或授权委托人签字或盖章，否则其投标作无效标处理。</w:t>
      </w:r>
    </w:p>
    <w:p>
      <w:pPr>
        <w:snapToGrid w:val="0"/>
        <w:spacing w:before="50" w:after="50" w:line="360" w:lineRule="auto"/>
        <w:ind w:firstLine="480" w:firstLineChars="200"/>
        <w:jc w:val="left"/>
        <w:rPr>
          <w:rFonts w:hint="eastAsia" w:ascii="宋体" w:hAnsi="宋体"/>
          <w:sz w:val="24"/>
        </w:rPr>
      </w:pPr>
      <w:r>
        <w:rPr>
          <w:rFonts w:hint="eastAsia" w:ascii="宋体" w:hAnsi="宋体"/>
          <w:sz w:val="24"/>
        </w:rPr>
        <w:t>2、投标费用包括项目实施所需的</w:t>
      </w:r>
      <w:r>
        <w:rPr>
          <w:rFonts w:hint="eastAsia" w:ascii="宋体" w:hAnsi="宋体" w:cs="宋体"/>
          <w:b/>
          <w:bCs/>
          <w:sz w:val="24"/>
        </w:rPr>
        <w:t>产品购置费、运输费、培训费、安装调试费、技术支持、质保期内的服务费和税金</w:t>
      </w:r>
      <w:r>
        <w:rPr>
          <w:rFonts w:hint="eastAsia" w:ascii="宋体" w:hAnsi="宋体"/>
          <w:sz w:val="24"/>
        </w:rPr>
        <w:t>及其他一切费用。</w:t>
      </w:r>
    </w:p>
    <w:p>
      <w:pPr>
        <w:snapToGrid w:val="0"/>
        <w:spacing w:before="50" w:after="50" w:line="360" w:lineRule="auto"/>
        <w:ind w:firstLine="480" w:firstLineChars="200"/>
        <w:jc w:val="left"/>
        <w:rPr>
          <w:rFonts w:hint="eastAsia" w:ascii="宋体" w:hAnsi="宋体"/>
          <w:sz w:val="24"/>
        </w:rPr>
      </w:pPr>
      <w:r>
        <w:rPr>
          <w:rFonts w:hint="eastAsia" w:ascii="宋体" w:hAnsi="宋体"/>
          <w:sz w:val="24"/>
        </w:rPr>
        <w:t>3、本表格式不允许修改，否则作无效标处理。</w:t>
      </w:r>
    </w:p>
    <w:p>
      <w:pPr>
        <w:snapToGrid w:val="0"/>
        <w:spacing w:before="50" w:after="50" w:line="360" w:lineRule="auto"/>
        <w:ind w:firstLine="480" w:firstLineChars="200"/>
        <w:jc w:val="left"/>
        <w:rPr>
          <w:rFonts w:ascii="宋体" w:hAnsi="宋体"/>
          <w:sz w:val="24"/>
          <w:szCs w:val="20"/>
        </w:rPr>
      </w:pPr>
    </w:p>
    <w:p>
      <w:pPr>
        <w:snapToGrid w:val="0"/>
        <w:spacing w:before="50" w:after="50" w:line="360" w:lineRule="auto"/>
        <w:ind w:left="-3" w:leftChars="-72" w:right="-817" w:rightChars="-389" w:hanging="148" w:hangingChars="62"/>
        <w:rPr>
          <w:rFonts w:hint="eastAsia" w:ascii="宋体" w:hAnsi="宋体"/>
          <w:sz w:val="24"/>
        </w:rPr>
      </w:pPr>
    </w:p>
    <w:p>
      <w:pPr>
        <w:snapToGrid w:val="0"/>
        <w:spacing w:before="50" w:after="50" w:line="360" w:lineRule="auto"/>
        <w:ind w:left="-3" w:leftChars="-72" w:right="-817" w:rightChars="-389" w:hanging="148" w:hangingChars="62"/>
        <w:rPr>
          <w:rFonts w:ascii="宋体" w:hAnsi="宋体"/>
          <w:sz w:val="24"/>
          <w:szCs w:val="20"/>
        </w:rPr>
      </w:pPr>
      <w:r>
        <w:rPr>
          <w:rFonts w:hint="eastAsia" w:ascii="宋体" w:hAnsi="宋体"/>
          <w:sz w:val="24"/>
        </w:rPr>
        <w:t>法定代表人或授权代表（签字或盖章）：</w:t>
      </w:r>
    </w:p>
    <w:p>
      <w:pPr>
        <w:snapToGrid w:val="0"/>
        <w:spacing w:before="50" w:after="50" w:line="360" w:lineRule="auto"/>
        <w:ind w:left="-3" w:leftChars="-72" w:right="-817" w:rightChars="-389" w:hanging="148" w:hangingChars="62"/>
        <w:rPr>
          <w:rFonts w:hint="eastAsia" w:ascii="宋体" w:hAnsi="宋体"/>
          <w:sz w:val="24"/>
        </w:rPr>
      </w:pPr>
      <w:r>
        <w:rPr>
          <w:rFonts w:hint="eastAsia" w:ascii="宋体" w:hAnsi="宋体"/>
          <w:sz w:val="24"/>
        </w:rPr>
        <w:t>投标人名称（盖章）：</w:t>
      </w:r>
    </w:p>
    <w:p>
      <w:pPr>
        <w:snapToGrid w:val="0"/>
        <w:spacing w:before="50" w:after="50" w:line="360" w:lineRule="auto"/>
        <w:ind w:left="-3" w:leftChars="-72" w:right="-817" w:rightChars="-389" w:hanging="148" w:hangingChars="62"/>
        <w:rPr>
          <w:rFonts w:hint="eastAsia" w:ascii="宋体" w:hAnsi="宋体"/>
          <w:sz w:val="24"/>
          <w:u w:val="single"/>
        </w:rPr>
      </w:pPr>
    </w:p>
    <w:p>
      <w:pPr>
        <w:pStyle w:val="22"/>
        <w:rPr>
          <w:rFonts w:hint="eastAsia" w:ascii="宋体" w:hAnsi="宋体"/>
          <w:sz w:val="24"/>
          <w:u w:val="single"/>
        </w:rPr>
      </w:pPr>
    </w:p>
    <w:p>
      <w:pPr>
        <w:pStyle w:val="23"/>
        <w:rPr>
          <w:rFonts w:hint="eastAsia" w:ascii="宋体" w:hAnsi="宋体"/>
          <w:sz w:val="24"/>
          <w:u w:val="single"/>
        </w:rPr>
      </w:pPr>
    </w:p>
    <w:p>
      <w:pPr>
        <w:rPr>
          <w:rFonts w:hint="eastAsia" w:ascii="宋体" w:hAnsi="宋体"/>
          <w:sz w:val="24"/>
          <w:u w:val="single"/>
        </w:rPr>
      </w:pPr>
    </w:p>
    <w:p>
      <w:pPr>
        <w:pStyle w:val="22"/>
        <w:rPr>
          <w:rFonts w:hint="eastAsia" w:ascii="宋体" w:hAnsi="宋体"/>
          <w:sz w:val="24"/>
          <w:u w:val="single"/>
        </w:rPr>
      </w:pPr>
    </w:p>
    <w:p>
      <w:pPr>
        <w:pStyle w:val="23"/>
        <w:rPr>
          <w:rFonts w:hint="eastAsia" w:ascii="宋体" w:hAnsi="宋体"/>
          <w:sz w:val="24"/>
          <w:u w:val="single"/>
        </w:rPr>
      </w:pPr>
    </w:p>
    <w:p>
      <w:pPr>
        <w:rPr>
          <w:rFonts w:hint="eastAsia" w:ascii="宋体" w:hAnsi="宋体"/>
          <w:sz w:val="24"/>
          <w:u w:val="single"/>
        </w:rPr>
      </w:pPr>
    </w:p>
    <w:p>
      <w:pPr>
        <w:pStyle w:val="23"/>
        <w:ind w:left="0" w:leftChars="0"/>
        <w:rPr>
          <w:rFonts w:hint="eastAsia" w:ascii="宋体" w:hAnsi="宋体"/>
          <w:sz w:val="24"/>
          <w:u w:val="single"/>
        </w:rPr>
      </w:pPr>
    </w:p>
    <w:p>
      <w:pPr>
        <w:snapToGrid w:val="0"/>
        <w:spacing w:before="120" w:beforeLines="50" w:after="50"/>
        <w:rPr>
          <w:rFonts w:hint="eastAsia" w:ascii="宋体" w:hAnsi="宋体" w:cs="宋体"/>
          <w:b/>
          <w:sz w:val="24"/>
        </w:rPr>
      </w:pPr>
      <w:r>
        <w:rPr>
          <w:rFonts w:hint="eastAsia" w:ascii="宋体" w:hAnsi="宋体" w:cs="宋体"/>
          <w:b/>
          <w:sz w:val="24"/>
        </w:rPr>
        <w:t>附件16：中小企业声明函：</w:t>
      </w:r>
    </w:p>
    <w:p>
      <w:pPr>
        <w:tabs>
          <w:tab w:val="left" w:pos="420"/>
        </w:tabs>
        <w:ind w:firstLine="482" w:firstLineChars="200"/>
        <w:jc w:val="center"/>
        <w:rPr>
          <w:rFonts w:hint="eastAsia" w:ascii="宋体" w:hAnsi="宋体" w:cs="Arial"/>
          <w:b/>
          <w:bCs/>
          <w:kern w:val="0"/>
          <w:sz w:val="24"/>
        </w:rPr>
      </w:pPr>
      <w:bookmarkStart w:id="6" w:name="OLE_LINK13"/>
      <w:bookmarkStart w:id="7" w:name="OLE_LINK14"/>
      <w:r>
        <w:rPr>
          <w:rFonts w:hint="eastAsia" w:ascii="宋体" w:hAnsi="宋体" w:cs="Arial"/>
          <w:b/>
          <w:bCs/>
          <w:kern w:val="0"/>
          <w:sz w:val="24"/>
        </w:rPr>
        <w:t>中小企业声明函（服务、工程适用）</w:t>
      </w:r>
    </w:p>
    <w:p>
      <w:pPr>
        <w:rPr>
          <w:rFonts w:hint="eastAsia"/>
        </w:rPr>
      </w:pPr>
    </w:p>
    <w:p>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1. （标的名称） ，属于 （采购文件中明确的所属行业）行业 ；承接企业为____</w:t>
      </w:r>
      <w:r>
        <w:rPr>
          <w:rFonts w:hint="eastAsia" w:ascii="宋体" w:hAnsi="宋体" w:cs="Arial"/>
          <w:bCs/>
          <w:kern w:val="0"/>
          <w:sz w:val="24"/>
          <w:u w:val="single"/>
        </w:rPr>
        <w:t xml:space="preserve">      </w:t>
      </w:r>
      <w:r>
        <w:rPr>
          <w:rFonts w:hint="eastAsia" w:ascii="宋体" w:hAnsi="宋体" w:cs="Arial"/>
          <w:bCs/>
          <w:kern w:val="0"/>
          <w:sz w:val="24"/>
        </w:rPr>
        <w:t>_（企业名称） ，从业人员_____人，营业收入为_____万元，资产总额为_____万元，属于__</w:t>
      </w:r>
      <w:r>
        <w:rPr>
          <w:rFonts w:hint="eastAsia" w:ascii="宋体" w:hAnsi="宋体" w:cs="Arial"/>
          <w:bCs/>
          <w:kern w:val="0"/>
          <w:sz w:val="24"/>
          <w:u w:val="single"/>
        </w:rPr>
        <w:t xml:space="preserve">             </w:t>
      </w:r>
      <w:r>
        <w:rPr>
          <w:rFonts w:hint="eastAsia" w:ascii="宋体" w:hAnsi="宋体" w:cs="Arial"/>
          <w:bCs/>
          <w:kern w:val="0"/>
          <w:sz w:val="24"/>
        </w:rPr>
        <w:t>（中型企业、小型企业、微型企业） ；</w:t>
      </w:r>
    </w:p>
    <w:p>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2. （标的名称） ，属于 （采购文件中明确的所属行业）行业 ；承接企业为____</w:t>
      </w:r>
      <w:r>
        <w:rPr>
          <w:rFonts w:hint="eastAsia" w:ascii="宋体" w:hAnsi="宋体" w:cs="Arial"/>
          <w:bCs/>
          <w:kern w:val="0"/>
          <w:sz w:val="24"/>
          <w:u w:val="single"/>
        </w:rPr>
        <w:t xml:space="preserve">      </w:t>
      </w:r>
      <w:r>
        <w:rPr>
          <w:rFonts w:hint="eastAsia" w:ascii="宋体" w:hAnsi="宋体" w:cs="Arial"/>
          <w:bCs/>
          <w:kern w:val="0"/>
          <w:sz w:val="24"/>
        </w:rPr>
        <w:t>_（企业名称） ，从业人员_____人，营业收入为_____万元，资产总额为_____元，属于__</w:t>
      </w:r>
      <w:r>
        <w:rPr>
          <w:rFonts w:hint="eastAsia" w:ascii="宋体" w:hAnsi="宋体" w:cs="Arial"/>
          <w:bCs/>
          <w:kern w:val="0"/>
          <w:sz w:val="24"/>
          <w:u w:val="single"/>
        </w:rPr>
        <w:t xml:space="preserve">             </w:t>
      </w:r>
      <w:r>
        <w:rPr>
          <w:rFonts w:hint="eastAsia" w:ascii="宋体" w:hAnsi="宋体" w:cs="Arial"/>
          <w:bCs/>
          <w:kern w:val="0"/>
          <w:sz w:val="24"/>
        </w:rPr>
        <w:t xml:space="preserve"> （中型企业、小型企业、微型企业） ；以上企业，不属于大企业的分支机构，不存在控股股东为大企业的情形，也不存在与大企业的负责人为同一人的情形。</w:t>
      </w:r>
    </w:p>
    <w:p>
      <w:pPr>
        <w:pStyle w:val="260"/>
        <w:rPr>
          <w:rFonts w:hint="eastAsia"/>
        </w:rPr>
      </w:pPr>
      <w:r>
        <w:rPr>
          <w:rFonts w:hint="eastAsia" w:cs="Arial"/>
          <w:bCs/>
          <w:kern w:val="0"/>
          <w:sz w:val="24"/>
        </w:rPr>
        <w:t>……</w:t>
      </w:r>
    </w:p>
    <w:p>
      <w:pPr>
        <w:tabs>
          <w:tab w:val="left" w:pos="420"/>
        </w:tabs>
        <w:spacing w:line="360" w:lineRule="auto"/>
        <w:ind w:firstLine="480" w:firstLineChars="200"/>
        <w:jc w:val="left"/>
        <w:rPr>
          <w:rFonts w:hint="eastAsia" w:ascii="宋体" w:hAnsi="宋体" w:cs="Arial"/>
          <w:bCs/>
          <w:kern w:val="0"/>
          <w:sz w:val="24"/>
        </w:rPr>
      </w:pPr>
      <w:r>
        <w:rPr>
          <w:rFonts w:hint="eastAsia" w:ascii="宋体" w:hAnsi="宋体" w:cs="Arial"/>
          <w:bCs/>
          <w:kern w:val="0"/>
          <w:sz w:val="24"/>
        </w:rPr>
        <w:t>本企业对上述声明内容的真实性负责。如有虚假，将依法承担相应责任。</w:t>
      </w:r>
    </w:p>
    <w:p>
      <w:pPr>
        <w:tabs>
          <w:tab w:val="left" w:pos="420"/>
        </w:tabs>
        <w:spacing w:line="360" w:lineRule="auto"/>
        <w:ind w:firstLine="480" w:firstLineChars="200"/>
        <w:jc w:val="left"/>
        <w:rPr>
          <w:rFonts w:hint="eastAsia" w:ascii="宋体" w:hAnsi="宋体" w:cs="Arial"/>
          <w:bCs/>
          <w:kern w:val="0"/>
          <w:sz w:val="24"/>
        </w:rPr>
      </w:pPr>
    </w:p>
    <w:p>
      <w:pPr>
        <w:tabs>
          <w:tab w:val="left" w:pos="420"/>
        </w:tabs>
        <w:spacing w:line="360" w:lineRule="auto"/>
        <w:ind w:firstLine="480" w:firstLineChars="200"/>
        <w:jc w:val="right"/>
        <w:rPr>
          <w:rFonts w:hint="eastAsia" w:ascii="宋体" w:hAnsi="宋体" w:cs="Arial"/>
          <w:bCs/>
          <w:kern w:val="0"/>
          <w:sz w:val="24"/>
        </w:rPr>
      </w:pPr>
      <w:r>
        <w:rPr>
          <w:rFonts w:hint="eastAsia" w:ascii="宋体" w:hAnsi="宋体" w:cs="Arial"/>
          <w:bCs/>
          <w:kern w:val="0"/>
          <w:sz w:val="24"/>
        </w:rPr>
        <w:t>企业名称（盖章）：</w:t>
      </w:r>
    </w:p>
    <w:p>
      <w:pPr>
        <w:tabs>
          <w:tab w:val="left" w:pos="420"/>
        </w:tabs>
        <w:spacing w:before="100" w:beforeAutospacing="1" w:after="100" w:afterAutospacing="1" w:line="360" w:lineRule="auto"/>
        <w:ind w:firstLine="480" w:firstLineChars="200"/>
        <w:jc w:val="right"/>
        <w:rPr>
          <w:rFonts w:hint="eastAsia" w:ascii="宋体" w:hAnsi="宋体" w:cs="Arial"/>
          <w:bCs/>
          <w:kern w:val="0"/>
          <w:sz w:val="24"/>
        </w:rPr>
      </w:pPr>
      <w:r>
        <w:rPr>
          <w:rFonts w:hint="eastAsia" w:ascii="宋体" w:hAnsi="宋体" w:cs="Arial"/>
          <w:bCs/>
          <w:kern w:val="0"/>
          <w:sz w:val="24"/>
        </w:rPr>
        <w:t>日 期：</w:t>
      </w:r>
    </w:p>
    <w:p>
      <w:pPr>
        <w:tabs>
          <w:tab w:val="left" w:pos="420"/>
        </w:tabs>
        <w:spacing w:before="100" w:beforeAutospacing="1" w:after="100" w:afterAutospacing="1"/>
        <w:rPr>
          <w:rFonts w:hint="eastAsia" w:ascii="宋体" w:hAnsi="宋体" w:cs="Arial"/>
          <w:b/>
          <w:bCs/>
          <w:kern w:val="0"/>
          <w:sz w:val="24"/>
        </w:rPr>
      </w:pPr>
      <w:r>
        <w:rPr>
          <w:rFonts w:hint="eastAsia" w:ascii="宋体" w:hAnsi="宋体" w:cs="Arial"/>
          <w:b/>
          <w:bCs/>
          <w:kern w:val="0"/>
          <w:sz w:val="24"/>
        </w:rPr>
        <w:t>注：</w:t>
      </w:r>
    </w:p>
    <w:p>
      <w:pPr>
        <w:tabs>
          <w:tab w:val="left" w:pos="420"/>
        </w:tabs>
        <w:spacing w:before="100" w:beforeAutospacing="1" w:after="100" w:afterAutospacing="1"/>
        <w:rPr>
          <w:rFonts w:hint="eastAsia" w:ascii="宋体" w:hAnsi="宋体"/>
          <w:b/>
          <w:szCs w:val="21"/>
        </w:rPr>
      </w:pPr>
      <w:r>
        <w:rPr>
          <w:rFonts w:hint="eastAsia" w:ascii="宋体" w:hAnsi="宋体" w:cs="Arial"/>
          <w:b/>
          <w:bCs/>
          <w:kern w:val="0"/>
          <w:sz w:val="24"/>
        </w:rPr>
        <w:t>1、</w:t>
      </w:r>
      <w:r>
        <w:rPr>
          <w:rFonts w:hint="eastAsia" w:ascii="宋体" w:hAnsi="宋体"/>
          <w:b/>
          <w:szCs w:val="21"/>
        </w:rPr>
        <w:t>如投标人为中小微企业，则需提供中小企业声明函。</w:t>
      </w:r>
    </w:p>
    <w:p>
      <w:pPr>
        <w:tabs>
          <w:tab w:val="left" w:pos="420"/>
        </w:tabs>
        <w:spacing w:before="100" w:beforeAutospacing="1" w:after="100" w:afterAutospacing="1"/>
        <w:rPr>
          <w:rFonts w:ascii="宋体" w:hAnsi="宋体"/>
          <w:b/>
          <w:szCs w:val="21"/>
        </w:rPr>
      </w:pPr>
      <w:r>
        <w:rPr>
          <w:rFonts w:hint="eastAsia" w:ascii="宋体" w:hAnsi="宋体"/>
          <w:b/>
          <w:szCs w:val="21"/>
        </w:rPr>
        <w:t>2、如中标人声明为中小微企业，本声明函将随中标结果同时公告，接受社会监督。</w:t>
      </w:r>
    </w:p>
    <w:p>
      <w:pPr>
        <w:widowControl/>
        <w:spacing w:before="100" w:beforeAutospacing="1" w:after="190"/>
        <w:jc w:val="center"/>
        <w:rPr>
          <w:rFonts w:hint="eastAsia" w:ascii="宋体" w:hAnsi="宋体" w:cs="宋体"/>
          <w:b/>
          <w:bCs/>
          <w:kern w:val="0"/>
          <w:sz w:val="30"/>
          <w:szCs w:val="30"/>
        </w:rPr>
      </w:pPr>
    </w:p>
    <w:p>
      <w:pPr>
        <w:pStyle w:val="2"/>
        <w:ind w:firstLine="602"/>
        <w:rPr>
          <w:rFonts w:hint="eastAsia" w:ascii="宋体" w:hAnsi="宋体" w:cs="宋体"/>
          <w:b/>
          <w:bCs/>
          <w:kern w:val="0"/>
          <w:sz w:val="30"/>
          <w:szCs w:val="30"/>
        </w:rPr>
      </w:pPr>
    </w:p>
    <w:p>
      <w:pPr>
        <w:pStyle w:val="4"/>
        <w:rPr>
          <w:rFonts w:hint="eastAsia" w:ascii="宋体" w:hAnsi="宋体" w:cs="宋体"/>
          <w:bCs/>
          <w:kern w:val="0"/>
          <w:sz w:val="30"/>
          <w:szCs w:val="30"/>
        </w:rPr>
      </w:pPr>
    </w:p>
    <w:p>
      <w:pPr>
        <w:rPr>
          <w:rFonts w:hint="eastAsia"/>
        </w:rPr>
      </w:pPr>
    </w:p>
    <w:p>
      <w:pPr>
        <w:widowControl/>
        <w:spacing w:before="100" w:beforeAutospacing="1" w:after="190"/>
        <w:jc w:val="center"/>
        <w:rPr>
          <w:rFonts w:hint="eastAsia" w:ascii="宋体" w:hAnsi="宋体" w:cs="宋体"/>
          <w:b/>
          <w:spacing w:val="6"/>
          <w:sz w:val="30"/>
          <w:szCs w:val="30"/>
        </w:rPr>
      </w:pPr>
      <w:r>
        <w:rPr>
          <w:rFonts w:hint="eastAsia" w:ascii="宋体" w:hAnsi="宋体" w:cs="宋体"/>
          <w:b/>
          <w:bCs/>
          <w:kern w:val="0"/>
          <w:sz w:val="30"/>
          <w:szCs w:val="30"/>
        </w:rPr>
        <w:t>残疾人福利性单位声明函</w:t>
      </w:r>
      <w:bookmarkEnd w:id="6"/>
      <w:bookmarkEnd w:id="7"/>
    </w:p>
    <w:p>
      <w:pPr>
        <w:spacing w:line="588" w:lineRule="exact"/>
        <w:ind w:firstLine="420" w:firstLineChars="20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hint="eastAsia" w:ascii="宋体" w:hAnsi="宋体" w:cs="宋体"/>
        </w:rPr>
      </w:pPr>
      <w:r>
        <w:rPr>
          <w:rFonts w:hint="eastAsia" w:ascii="宋体" w:hAnsi="宋体" w:cs="宋体"/>
        </w:rPr>
        <w:t>本单位对上述声明的真实性负责。如有虚假，将依法承担相应责任。</w:t>
      </w:r>
    </w:p>
    <w:p>
      <w:pPr>
        <w:spacing w:line="588" w:lineRule="exact"/>
        <w:ind w:firstLine="624" w:firstLineChars="200"/>
        <w:rPr>
          <w:rFonts w:hint="eastAsia" w:ascii="宋体" w:hAnsi="宋体" w:cs="宋体"/>
          <w:spacing w:val="6"/>
          <w:sz w:val="30"/>
          <w:szCs w:val="30"/>
        </w:rPr>
      </w:pPr>
    </w:p>
    <w:p>
      <w:pPr>
        <w:spacing w:line="588" w:lineRule="exact"/>
        <w:ind w:firstLine="624" w:firstLineChars="200"/>
        <w:rPr>
          <w:rFonts w:hint="eastAsia" w:ascii="宋体" w:hAnsi="宋体" w:cs="宋体"/>
          <w:spacing w:val="6"/>
          <w:sz w:val="30"/>
          <w:szCs w:val="30"/>
        </w:rPr>
      </w:pPr>
    </w:p>
    <w:p>
      <w:pPr>
        <w:tabs>
          <w:tab w:val="left" w:pos="4860"/>
        </w:tabs>
        <w:spacing w:line="588" w:lineRule="exact"/>
        <w:ind w:right="1560" w:firstLine="420" w:firstLineChars="200"/>
        <w:jc w:val="center"/>
        <w:rPr>
          <w:rFonts w:hint="eastAsia" w:ascii="宋体" w:hAnsi="宋体" w:cs="宋体"/>
        </w:rPr>
      </w:pPr>
      <w:r>
        <w:rPr>
          <w:rFonts w:hint="eastAsia" w:ascii="宋体" w:hAnsi="宋体" w:cs="宋体"/>
        </w:rPr>
        <w:t xml:space="preserve">                                             单位名称（盖章）：</w:t>
      </w:r>
    </w:p>
    <w:p>
      <w:pPr>
        <w:rPr>
          <w:rFonts w:hint="eastAsia" w:ascii="宋体" w:hAnsi="宋体" w:cs="宋体"/>
        </w:rPr>
      </w:pPr>
      <w:r>
        <w:rPr>
          <w:rFonts w:hint="eastAsia" w:ascii="宋体" w:hAnsi="宋体" w:cs="宋体"/>
        </w:rPr>
        <w:t xml:space="preserve">                                                 日期：</w:t>
      </w:r>
    </w:p>
    <w:p>
      <w:pPr>
        <w:rPr>
          <w:rFonts w:hint="eastAsia" w:ascii="宋体" w:hAnsi="宋体" w:cs="宋体"/>
        </w:rPr>
      </w:pPr>
    </w:p>
    <w:p>
      <w:pPr>
        <w:rPr>
          <w:rFonts w:hint="eastAsia" w:ascii="宋体" w:hAnsi="宋体" w:cs="宋体"/>
        </w:rPr>
      </w:pPr>
    </w:p>
    <w:p>
      <w:pPr>
        <w:rPr>
          <w:rFonts w:hint="eastAsia" w:ascii="宋体" w:hAnsi="宋体" w:cs="宋体"/>
        </w:rPr>
      </w:pPr>
    </w:p>
    <w:p>
      <w:pPr>
        <w:numPr>
          <w:ilvl w:val="0"/>
          <w:numId w:val="14"/>
        </w:numPr>
        <w:tabs>
          <w:tab w:val="left" w:pos="420"/>
          <w:tab w:val="clear" w:pos="1244"/>
        </w:tabs>
        <w:spacing w:before="100" w:beforeAutospacing="1" w:after="100" w:afterAutospacing="1" w:line="432" w:lineRule="auto"/>
        <w:ind w:hanging="1244"/>
        <w:rPr>
          <w:rFonts w:hint="eastAsia" w:ascii="宋体" w:hAnsi="宋体" w:cs="宋体"/>
          <w:b/>
          <w:szCs w:val="21"/>
        </w:rPr>
      </w:pPr>
      <w:r>
        <w:rPr>
          <w:rFonts w:hint="eastAsia" w:ascii="宋体" w:hAnsi="宋体" w:cs="宋体"/>
          <w:b/>
          <w:szCs w:val="21"/>
        </w:rPr>
        <w:t>残疾人福利性单位视同小型、微型企业，享受价格扣除。</w:t>
      </w:r>
    </w:p>
    <w:p>
      <w:pPr>
        <w:numPr>
          <w:ilvl w:val="0"/>
          <w:numId w:val="14"/>
        </w:numPr>
        <w:tabs>
          <w:tab w:val="left" w:pos="420"/>
          <w:tab w:val="clear" w:pos="1244"/>
        </w:tabs>
        <w:spacing w:before="100" w:beforeAutospacing="1" w:after="100" w:afterAutospacing="1" w:line="432" w:lineRule="auto"/>
        <w:ind w:hanging="1244"/>
        <w:rPr>
          <w:rFonts w:hint="eastAsia" w:ascii="宋体" w:hAnsi="宋体" w:cs="宋体"/>
          <w:b/>
          <w:szCs w:val="21"/>
        </w:rPr>
      </w:pPr>
      <w:r>
        <w:rPr>
          <w:rFonts w:hint="eastAsia" w:ascii="宋体" w:hAnsi="宋体" w:cs="宋体"/>
          <w:b/>
          <w:szCs w:val="21"/>
        </w:rPr>
        <w:t>残疾人福利性单位属于小型、微型企业的，不重复享受政策。</w:t>
      </w:r>
    </w:p>
    <w:p>
      <w:pPr>
        <w:numPr>
          <w:ilvl w:val="0"/>
          <w:numId w:val="14"/>
        </w:numPr>
        <w:tabs>
          <w:tab w:val="left" w:pos="420"/>
          <w:tab w:val="clear" w:pos="1244"/>
        </w:tabs>
        <w:spacing w:before="100" w:beforeAutospacing="1" w:after="100" w:afterAutospacing="1" w:line="432" w:lineRule="auto"/>
        <w:ind w:hanging="1244"/>
        <w:rPr>
          <w:rFonts w:hint="eastAsia" w:ascii="宋体" w:hAnsi="宋体" w:cs="宋体"/>
          <w:b/>
          <w:szCs w:val="21"/>
        </w:rPr>
      </w:pPr>
      <w:r>
        <w:rPr>
          <w:rFonts w:hint="eastAsia" w:ascii="宋体" w:hAnsi="宋体" w:cs="宋体"/>
          <w:b/>
          <w:szCs w:val="21"/>
        </w:rPr>
        <w:t>如中标人声明为残疾人福利性单位，本声明函将随中标结果同时公告，接受社会监督。</w:t>
      </w:r>
    </w:p>
    <w:p>
      <w:pPr>
        <w:spacing w:line="360" w:lineRule="auto"/>
        <w:ind w:right="6" w:firstLine="211" w:firstLineChars="100"/>
        <w:rPr>
          <w:rFonts w:hint="eastAsia" w:ascii="宋体" w:hAnsi="宋体" w:cs="宋体"/>
          <w:b/>
        </w:rPr>
      </w:pPr>
    </w:p>
    <w:p>
      <w:pPr>
        <w:spacing w:line="360" w:lineRule="auto"/>
        <w:ind w:right="6" w:firstLine="211" w:firstLineChars="100"/>
        <w:rPr>
          <w:rFonts w:hint="eastAsia" w:ascii="宋体" w:hAnsi="宋体" w:cs="宋体"/>
          <w:b/>
        </w:rPr>
      </w:pPr>
    </w:p>
    <w:p>
      <w:pPr>
        <w:spacing w:line="360" w:lineRule="auto"/>
        <w:ind w:right="6" w:firstLine="211" w:firstLineChars="100"/>
        <w:rPr>
          <w:rFonts w:hint="eastAsia" w:ascii="宋体" w:hAnsi="宋体" w:cs="宋体"/>
          <w:b/>
        </w:rPr>
      </w:pPr>
    </w:p>
    <w:p>
      <w:pPr>
        <w:spacing w:line="360" w:lineRule="auto"/>
        <w:ind w:right="6" w:firstLine="211" w:firstLineChars="100"/>
        <w:rPr>
          <w:rFonts w:hint="eastAsia" w:ascii="宋体" w:hAnsi="宋体" w:cs="宋体"/>
          <w:b/>
        </w:rPr>
      </w:pPr>
    </w:p>
    <w:p>
      <w:pPr>
        <w:spacing w:line="360" w:lineRule="auto"/>
        <w:ind w:right="6" w:firstLine="211" w:firstLineChars="100"/>
        <w:rPr>
          <w:rFonts w:hint="eastAsia" w:ascii="宋体" w:hAnsi="宋体" w:cs="宋体"/>
          <w:b/>
        </w:rPr>
      </w:pPr>
    </w:p>
    <w:p>
      <w:pPr>
        <w:spacing w:line="360" w:lineRule="auto"/>
        <w:ind w:right="6"/>
        <w:rPr>
          <w:rFonts w:hint="eastAsia" w:ascii="宋体" w:hAnsi="宋体" w:cs="宋体"/>
          <w:b/>
        </w:rPr>
      </w:pPr>
    </w:p>
    <w:p>
      <w:pPr>
        <w:spacing w:line="360" w:lineRule="auto"/>
        <w:ind w:right="6"/>
        <w:rPr>
          <w:rFonts w:hint="eastAsia" w:ascii="宋体" w:hAnsi="宋体" w:cs="宋体"/>
          <w:b/>
        </w:rPr>
      </w:pPr>
    </w:p>
    <w:p>
      <w:pPr>
        <w:snapToGrid w:val="0"/>
        <w:spacing w:before="120" w:beforeLines="50" w:after="50"/>
        <w:jc w:val="center"/>
        <w:rPr>
          <w:rFonts w:hint="eastAsia" w:ascii="宋体" w:hAnsi="宋体" w:cs="宋体"/>
          <w:b/>
          <w:sz w:val="30"/>
          <w:szCs w:val="30"/>
        </w:rPr>
      </w:pPr>
    </w:p>
    <w:p>
      <w:pPr>
        <w:pStyle w:val="2"/>
        <w:ind w:firstLine="602"/>
        <w:rPr>
          <w:rFonts w:hint="eastAsia" w:ascii="宋体" w:hAnsi="宋体" w:cs="宋体"/>
          <w:b/>
          <w:sz w:val="30"/>
          <w:szCs w:val="30"/>
          <w:lang w:eastAsia="zh-CN"/>
        </w:rPr>
      </w:pPr>
    </w:p>
    <w:p>
      <w:pPr>
        <w:pStyle w:val="4"/>
        <w:rPr>
          <w:rFonts w:hint="eastAsia" w:ascii="宋体" w:hAnsi="宋体" w:cs="宋体"/>
          <w:sz w:val="30"/>
          <w:szCs w:val="30"/>
        </w:rPr>
      </w:pPr>
    </w:p>
    <w:p>
      <w:pPr>
        <w:rPr>
          <w:rFonts w:hint="eastAsia"/>
        </w:rPr>
      </w:pPr>
    </w:p>
    <w:p>
      <w:pPr>
        <w:snapToGrid w:val="0"/>
        <w:spacing w:before="120" w:beforeLines="50" w:after="50"/>
        <w:jc w:val="center"/>
        <w:rPr>
          <w:rFonts w:hint="eastAsia" w:ascii="宋体" w:hAnsi="宋体" w:cs="宋体"/>
          <w:b/>
          <w:sz w:val="30"/>
          <w:szCs w:val="30"/>
        </w:rPr>
      </w:pPr>
      <w:r>
        <w:rPr>
          <w:rFonts w:hint="eastAsia" w:ascii="宋体" w:hAnsi="宋体" w:cs="宋体"/>
          <w:b/>
          <w:sz w:val="30"/>
          <w:szCs w:val="30"/>
        </w:rPr>
        <w:t>残疾人福利性单位残疾人聘用情况表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305"/>
        <w:gridCol w:w="2168"/>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cs="宋体"/>
                <w:b/>
                <w:i/>
                <w:sz w:val="24"/>
                <w:u w:val="single"/>
              </w:rPr>
            </w:pPr>
            <w:r>
              <w:rPr>
                <w:rFonts w:hint="eastAsia" w:ascii="宋体" w:hAnsi="宋体" w:cs="宋体"/>
                <w:b/>
                <w:i/>
                <w:sz w:val="24"/>
                <w:u w:val="single"/>
              </w:rPr>
              <w:t>序号</w:t>
            </w:r>
          </w:p>
        </w:tc>
        <w:tc>
          <w:tcPr>
            <w:tcW w:w="2305" w:type="dxa"/>
            <w:noWrap w:val="0"/>
            <w:vAlign w:val="top"/>
          </w:tcPr>
          <w:p>
            <w:pPr>
              <w:snapToGrid w:val="0"/>
              <w:spacing w:before="120" w:beforeLines="50" w:after="50" w:line="360" w:lineRule="auto"/>
              <w:jc w:val="center"/>
              <w:rPr>
                <w:rFonts w:hint="eastAsia" w:ascii="宋体" w:hAnsi="宋体" w:cs="宋体"/>
                <w:b/>
                <w:i/>
                <w:sz w:val="24"/>
                <w:u w:val="single"/>
              </w:rPr>
            </w:pPr>
            <w:r>
              <w:rPr>
                <w:rFonts w:hint="eastAsia" w:ascii="宋体" w:hAnsi="宋体" w:cs="宋体"/>
                <w:b/>
                <w:i/>
                <w:sz w:val="24"/>
                <w:u w:val="single"/>
              </w:rPr>
              <w:t>姓名</w:t>
            </w:r>
          </w:p>
        </w:tc>
        <w:tc>
          <w:tcPr>
            <w:tcW w:w="2168" w:type="dxa"/>
            <w:noWrap w:val="0"/>
            <w:vAlign w:val="top"/>
          </w:tcPr>
          <w:p>
            <w:pPr>
              <w:snapToGrid w:val="0"/>
              <w:spacing w:before="120" w:beforeLines="50" w:after="50" w:line="360" w:lineRule="auto"/>
              <w:jc w:val="center"/>
              <w:rPr>
                <w:rFonts w:hint="eastAsia" w:ascii="宋体" w:hAnsi="宋体" w:cs="宋体"/>
                <w:b/>
                <w:i/>
                <w:sz w:val="24"/>
                <w:u w:val="single"/>
              </w:rPr>
            </w:pPr>
            <w:r>
              <w:rPr>
                <w:rFonts w:hint="eastAsia" w:ascii="宋体" w:hAnsi="宋体" w:cs="宋体"/>
                <w:b/>
                <w:i/>
                <w:sz w:val="24"/>
                <w:u w:val="single"/>
              </w:rPr>
              <w:t>残疾人证号</w:t>
            </w:r>
          </w:p>
        </w:tc>
        <w:tc>
          <w:tcPr>
            <w:tcW w:w="1882" w:type="dxa"/>
            <w:noWrap w:val="0"/>
            <w:vAlign w:val="top"/>
          </w:tcPr>
          <w:p>
            <w:pPr>
              <w:snapToGrid w:val="0"/>
              <w:spacing w:before="120" w:beforeLines="50" w:after="50" w:line="360" w:lineRule="auto"/>
              <w:jc w:val="center"/>
              <w:rPr>
                <w:rFonts w:hint="eastAsia" w:ascii="宋体" w:hAnsi="宋体" w:cs="宋体"/>
                <w:b/>
                <w:i/>
                <w:sz w:val="24"/>
                <w:u w:val="single"/>
              </w:rPr>
            </w:pPr>
            <w:r>
              <w:rPr>
                <w:rFonts w:hint="eastAsia" w:ascii="宋体" w:hAnsi="宋体" w:cs="宋体"/>
                <w:b/>
                <w:i/>
                <w:sz w:val="24"/>
                <w:u w:val="single"/>
              </w:rPr>
              <w:t>聘用时间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cs="宋体"/>
                <w:b/>
                <w:i/>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305"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2168" w:type="dxa"/>
            <w:noWrap w:val="0"/>
            <w:vAlign w:val="top"/>
          </w:tcPr>
          <w:p>
            <w:pPr>
              <w:snapToGrid w:val="0"/>
              <w:spacing w:before="120" w:beforeLines="50" w:after="50" w:line="360" w:lineRule="auto"/>
              <w:jc w:val="center"/>
              <w:rPr>
                <w:rFonts w:hint="eastAsia" w:ascii="宋体" w:hAnsi="宋体" w:cs="宋体"/>
                <w:b/>
                <w:i/>
                <w:sz w:val="24"/>
                <w:u w:val="single"/>
              </w:rPr>
            </w:pPr>
          </w:p>
        </w:tc>
        <w:tc>
          <w:tcPr>
            <w:tcW w:w="1882" w:type="dxa"/>
            <w:noWrap w:val="0"/>
            <w:vAlign w:val="top"/>
          </w:tcPr>
          <w:p>
            <w:pPr>
              <w:snapToGrid w:val="0"/>
              <w:spacing w:before="120" w:beforeLines="50" w:after="50" w:line="360" w:lineRule="auto"/>
              <w:jc w:val="center"/>
              <w:rPr>
                <w:rFonts w:hint="eastAsia" w:ascii="宋体" w:hAnsi="宋体" w:cs="宋体"/>
                <w:b/>
                <w:i/>
                <w:sz w:val="24"/>
                <w:u w:val="single"/>
              </w:rPr>
            </w:pPr>
          </w:p>
        </w:tc>
      </w:tr>
    </w:tbl>
    <w:p>
      <w:pPr>
        <w:snapToGrid w:val="0"/>
        <w:spacing w:before="120" w:beforeLines="50" w:after="50"/>
        <w:rPr>
          <w:rFonts w:hint="eastAsia" w:ascii="宋体" w:hAnsi="宋体" w:cs="宋体"/>
          <w:b/>
          <w:sz w:val="24"/>
        </w:rPr>
        <w:sectPr>
          <w:headerReference r:id="rId13" w:type="default"/>
          <w:footerReference r:id="rId14" w:type="default"/>
          <w:type w:val="continuous"/>
          <w:pgSz w:w="11906" w:h="16838"/>
          <w:pgMar w:top="1440" w:right="1803" w:bottom="1440" w:left="1803" w:header="851" w:footer="992" w:gutter="0"/>
          <w:cols w:space="720" w:num="1"/>
          <w:docGrid w:linePitch="312" w:charSpace="0"/>
        </w:sectPr>
      </w:pPr>
      <w:r>
        <w:rPr>
          <w:rFonts w:hint="eastAsia" w:ascii="宋体" w:hAnsi="宋体" w:cs="宋体"/>
          <w:b/>
          <w:sz w:val="24"/>
        </w:rPr>
        <w:t>备注：本表后须附上所聘用残疾人员的残疾证、劳动合同、残疾人银行工资发放清单及足额缴纳的社会保险清单复印件，否则，视为非残疾人福利性单位不享受政策优惠。</w:t>
      </w:r>
    </w:p>
    <w:p>
      <w:pPr>
        <w:snapToGrid w:val="0"/>
        <w:spacing w:before="50" w:after="50"/>
        <w:ind w:right="-817" w:rightChars="-389"/>
        <w:rPr>
          <w:rFonts w:hint="eastAsia" w:ascii="宋体" w:hAnsi="宋体" w:cs="宋体"/>
          <w:b/>
          <w:sz w:val="24"/>
        </w:rPr>
      </w:pPr>
      <w:r>
        <w:rPr>
          <w:rFonts w:hint="eastAsia" w:ascii="宋体" w:hAnsi="宋体" w:cs="宋体"/>
          <w:b/>
          <w:sz w:val="24"/>
        </w:rPr>
        <w:t xml:space="preserve">附件18：项目验收单及附件格式： </w:t>
      </w:r>
    </w:p>
    <w:p>
      <w:pPr>
        <w:jc w:val="center"/>
        <w:rPr>
          <w:rFonts w:hint="eastAsia" w:ascii="宋体" w:hAnsi="宋体" w:cs="宋体"/>
          <w:b/>
          <w:sz w:val="44"/>
          <w:szCs w:val="44"/>
        </w:rPr>
      </w:pPr>
      <w:r>
        <w:rPr>
          <w:rFonts w:hint="eastAsia" w:ascii="宋体" w:hAnsi="宋体" w:cs="宋体"/>
          <w:b/>
          <w:sz w:val="44"/>
          <w:szCs w:val="44"/>
        </w:rPr>
        <w:t>东阳市政府采购验收报告</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1"/>
        <w:gridCol w:w="1973"/>
        <w:gridCol w:w="907"/>
        <w:gridCol w:w="924"/>
        <w:gridCol w:w="63"/>
        <w:gridCol w:w="1017"/>
        <w:gridCol w:w="900"/>
        <w:gridCol w:w="36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50" w:type="dxa"/>
            <w:gridSpan w:val="2"/>
            <w:tcBorders>
              <w:top w:val="single" w:color="auto" w:sz="6" w:space="0"/>
              <w:left w:val="single" w:color="auto" w:sz="6" w:space="0"/>
              <w:right w:val="single" w:color="auto" w:sz="6" w:space="0"/>
            </w:tcBorders>
            <w:noWrap w:val="0"/>
            <w:vAlign w:val="center"/>
          </w:tcPr>
          <w:p>
            <w:pPr>
              <w:rPr>
                <w:rFonts w:hint="eastAsia" w:ascii="宋体" w:hAnsi="宋体" w:cs="宋体"/>
                <w:b/>
                <w:szCs w:val="21"/>
              </w:rPr>
            </w:pPr>
            <w:r>
              <w:rPr>
                <w:rFonts w:hint="eastAsia" w:ascii="宋体" w:hAnsi="宋体" w:cs="宋体"/>
                <w:b/>
                <w:szCs w:val="21"/>
              </w:rPr>
              <w:t>采购项目名称</w:t>
            </w:r>
          </w:p>
        </w:tc>
        <w:tc>
          <w:tcPr>
            <w:tcW w:w="2880" w:type="dxa"/>
            <w:gridSpan w:val="2"/>
            <w:tcBorders>
              <w:top w:val="single" w:color="auto" w:sz="6" w:space="0"/>
              <w:left w:val="single" w:color="auto" w:sz="6" w:space="0"/>
              <w:right w:val="single" w:color="auto" w:sz="6" w:space="0"/>
            </w:tcBorders>
            <w:noWrap w:val="0"/>
            <w:vAlign w:val="center"/>
          </w:tcPr>
          <w:p>
            <w:pPr>
              <w:jc w:val="center"/>
              <w:rPr>
                <w:rFonts w:hint="eastAsia" w:ascii="宋体" w:hAnsi="宋体" w:cs="宋体"/>
                <w:sz w:val="18"/>
                <w:szCs w:val="18"/>
              </w:rPr>
            </w:pPr>
          </w:p>
        </w:tc>
        <w:tc>
          <w:tcPr>
            <w:tcW w:w="2004" w:type="dxa"/>
            <w:gridSpan w:val="3"/>
            <w:tcBorders>
              <w:top w:val="single" w:color="auto" w:sz="6" w:space="0"/>
              <w:left w:val="single" w:color="auto" w:sz="6"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采购项目编号</w:t>
            </w:r>
          </w:p>
        </w:tc>
        <w:tc>
          <w:tcPr>
            <w:tcW w:w="2440" w:type="dxa"/>
            <w:gridSpan w:val="3"/>
            <w:tcBorders>
              <w:top w:val="single" w:color="auto" w:sz="6" w:space="0"/>
              <w:left w:val="single" w:color="auto" w:sz="4" w:space="0"/>
              <w:right w:val="single" w:color="auto" w:sz="6"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noWrap w:val="0"/>
            <w:vAlign w:val="center"/>
          </w:tcPr>
          <w:p>
            <w:pPr>
              <w:jc w:val="center"/>
              <w:rPr>
                <w:rFonts w:hint="eastAsia" w:ascii="宋体" w:hAnsi="宋体" w:cs="宋体"/>
                <w:b/>
                <w:szCs w:val="21"/>
              </w:rPr>
            </w:pPr>
            <w:r>
              <w:rPr>
                <w:rFonts w:hint="eastAsia" w:ascii="宋体" w:hAnsi="宋体" w:cs="宋体"/>
                <w:b/>
                <w:szCs w:val="21"/>
              </w:rPr>
              <w:t>开标时间</w:t>
            </w:r>
          </w:p>
        </w:tc>
        <w:tc>
          <w:tcPr>
            <w:tcW w:w="2880" w:type="dxa"/>
            <w:gridSpan w:val="2"/>
            <w:tcBorders>
              <w:top w:val="single" w:color="auto" w:sz="6" w:space="0"/>
              <w:left w:val="single" w:color="auto" w:sz="6" w:space="0"/>
              <w:right w:val="single" w:color="auto" w:sz="6" w:space="0"/>
            </w:tcBorders>
            <w:noWrap w:val="0"/>
            <w:vAlign w:val="center"/>
          </w:tcPr>
          <w:p>
            <w:pPr>
              <w:jc w:val="center"/>
              <w:rPr>
                <w:rFonts w:hint="eastAsia" w:ascii="宋体" w:hAnsi="宋体" w:cs="宋体"/>
                <w:szCs w:val="21"/>
              </w:rPr>
            </w:pPr>
          </w:p>
        </w:tc>
        <w:tc>
          <w:tcPr>
            <w:tcW w:w="2004" w:type="dxa"/>
            <w:gridSpan w:val="3"/>
            <w:tcBorders>
              <w:top w:val="dotted" w:color="auto" w:sz="4" w:space="0"/>
              <w:left w:val="single" w:color="auto" w:sz="6" w:space="0"/>
              <w:right w:val="single" w:color="auto" w:sz="6" w:space="0"/>
            </w:tcBorders>
            <w:noWrap w:val="0"/>
            <w:vAlign w:val="center"/>
          </w:tcPr>
          <w:p>
            <w:pPr>
              <w:jc w:val="center"/>
              <w:rPr>
                <w:rFonts w:hint="eastAsia" w:ascii="宋体" w:hAnsi="宋体" w:cs="宋体"/>
                <w:b/>
                <w:szCs w:val="21"/>
              </w:rPr>
            </w:pPr>
            <w:r>
              <w:rPr>
                <w:rFonts w:hint="eastAsia" w:ascii="宋体" w:hAnsi="宋体" w:cs="宋体"/>
                <w:b/>
                <w:szCs w:val="21"/>
              </w:rPr>
              <w:t>验收时间</w:t>
            </w:r>
          </w:p>
        </w:tc>
        <w:tc>
          <w:tcPr>
            <w:tcW w:w="2440" w:type="dxa"/>
            <w:gridSpan w:val="3"/>
            <w:tcBorders>
              <w:top w:val="dotted" w:color="auto" w:sz="4" w:space="0"/>
              <w:left w:val="single" w:color="auto" w:sz="6" w:space="0"/>
              <w:right w:val="single" w:color="auto" w:sz="6" w:space="0"/>
            </w:tcBorders>
            <w:noWrap w:val="0"/>
            <w:vAlign w:val="center"/>
          </w:tcPr>
          <w:p>
            <w:pPr>
              <w:ind w:firstLine="105" w:firstLineChar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noWrap w:val="0"/>
            <w:vAlign w:val="center"/>
          </w:tcPr>
          <w:p>
            <w:pPr>
              <w:jc w:val="center"/>
              <w:rPr>
                <w:rFonts w:hint="eastAsia" w:ascii="宋体" w:hAnsi="宋体" w:cs="宋体"/>
                <w:b/>
                <w:szCs w:val="21"/>
              </w:rPr>
            </w:pPr>
            <w:r>
              <w:rPr>
                <w:rFonts w:hint="eastAsia" w:ascii="宋体" w:hAnsi="宋体" w:cs="宋体"/>
                <w:b/>
                <w:szCs w:val="21"/>
              </w:rPr>
              <w:t>采购人名称</w:t>
            </w:r>
          </w:p>
        </w:tc>
        <w:tc>
          <w:tcPr>
            <w:tcW w:w="2880" w:type="dxa"/>
            <w:gridSpan w:val="2"/>
            <w:tcBorders>
              <w:top w:val="single" w:color="auto" w:sz="6" w:space="0"/>
              <w:left w:val="single" w:color="auto" w:sz="6" w:space="0"/>
              <w:right w:val="single" w:color="auto" w:sz="4" w:space="0"/>
            </w:tcBorders>
            <w:noWrap w:val="0"/>
            <w:vAlign w:val="center"/>
          </w:tcPr>
          <w:p>
            <w:pPr>
              <w:jc w:val="center"/>
              <w:rPr>
                <w:rFonts w:hint="eastAsia" w:ascii="宋体" w:hAnsi="宋体" w:cs="宋体"/>
                <w:szCs w:val="21"/>
              </w:rPr>
            </w:pPr>
          </w:p>
        </w:tc>
        <w:tc>
          <w:tcPr>
            <w:tcW w:w="987" w:type="dxa"/>
            <w:gridSpan w:val="2"/>
            <w:tcBorders>
              <w:top w:val="single" w:color="auto" w:sz="6" w:space="0"/>
              <w:left w:val="single" w:color="auto" w:sz="4" w:space="0"/>
              <w:right w:val="single" w:color="auto" w:sz="4" w:space="0"/>
            </w:tcBorders>
            <w:noWrap w:val="0"/>
            <w:vAlign w:val="center"/>
          </w:tcPr>
          <w:p>
            <w:pPr>
              <w:ind w:firstLine="105" w:firstLineChars="50"/>
              <w:rPr>
                <w:rFonts w:hint="eastAsia" w:ascii="宋体" w:hAnsi="宋体" w:cs="宋体"/>
                <w:b/>
                <w:szCs w:val="21"/>
              </w:rPr>
            </w:pPr>
            <w:r>
              <w:rPr>
                <w:rFonts w:hint="eastAsia" w:ascii="宋体" w:hAnsi="宋体" w:cs="宋体"/>
                <w:b/>
                <w:szCs w:val="21"/>
              </w:rPr>
              <w:t>联系人</w:t>
            </w:r>
          </w:p>
        </w:tc>
        <w:tc>
          <w:tcPr>
            <w:tcW w:w="1017" w:type="dxa"/>
            <w:tcBorders>
              <w:top w:val="single" w:color="auto" w:sz="6" w:space="0"/>
              <w:left w:val="single" w:color="auto" w:sz="4" w:space="0"/>
              <w:right w:val="single" w:color="auto" w:sz="4" w:space="0"/>
            </w:tcBorders>
            <w:noWrap w:val="0"/>
            <w:vAlign w:val="center"/>
          </w:tcPr>
          <w:p>
            <w:pPr>
              <w:ind w:firstLine="105" w:firstLineChars="50"/>
              <w:rPr>
                <w:rFonts w:hint="eastAsia" w:ascii="宋体" w:hAnsi="宋体" w:cs="宋体"/>
                <w:szCs w:val="21"/>
              </w:rPr>
            </w:pPr>
          </w:p>
        </w:tc>
        <w:tc>
          <w:tcPr>
            <w:tcW w:w="900" w:type="dxa"/>
            <w:tcBorders>
              <w:top w:val="single" w:color="auto" w:sz="6" w:space="0"/>
              <w:left w:val="single" w:color="auto" w:sz="4" w:space="0"/>
              <w:right w:val="single" w:color="auto" w:sz="4" w:space="0"/>
            </w:tcBorders>
            <w:noWrap w:val="0"/>
            <w:vAlign w:val="center"/>
          </w:tcPr>
          <w:p>
            <w:pPr>
              <w:ind w:firstLine="105" w:firstLineChars="50"/>
              <w:rPr>
                <w:rFonts w:hint="eastAsia" w:ascii="宋体" w:hAnsi="宋体" w:cs="宋体"/>
                <w:b/>
                <w:szCs w:val="21"/>
              </w:rPr>
            </w:pPr>
            <w:r>
              <w:rPr>
                <w:rFonts w:hint="eastAsia" w:ascii="宋体" w:hAnsi="宋体" w:cs="宋体"/>
                <w:b/>
                <w:szCs w:val="21"/>
              </w:rPr>
              <w:t>电话</w:t>
            </w:r>
          </w:p>
        </w:tc>
        <w:tc>
          <w:tcPr>
            <w:tcW w:w="1540" w:type="dxa"/>
            <w:gridSpan w:val="2"/>
            <w:tcBorders>
              <w:top w:val="single" w:color="auto" w:sz="6" w:space="0"/>
              <w:left w:val="single" w:color="auto" w:sz="4" w:space="0"/>
              <w:right w:val="single" w:color="auto" w:sz="6" w:space="0"/>
            </w:tcBorders>
            <w:noWrap w:val="0"/>
            <w:vAlign w:val="center"/>
          </w:tcPr>
          <w:p>
            <w:pPr>
              <w:ind w:firstLine="105" w:firstLineChars="5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noWrap w:val="0"/>
            <w:vAlign w:val="center"/>
          </w:tcPr>
          <w:p>
            <w:pPr>
              <w:jc w:val="center"/>
              <w:rPr>
                <w:rFonts w:hint="eastAsia" w:ascii="宋体" w:hAnsi="宋体" w:cs="宋体"/>
                <w:b/>
                <w:szCs w:val="21"/>
              </w:rPr>
            </w:pPr>
            <w:r>
              <w:rPr>
                <w:rFonts w:hint="eastAsia" w:ascii="宋体" w:hAnsi="宋体" w:cs="宋体"/>
                <w:b/>
                <w:szCs w:val="21"/>
              </w:rPr>
              <w:t>供应商名称</w:t>
            </w:r>
          </w:p>
        </w:tc>
        <w:tc>
          <w:tcPr>
            <w:tcW w:w="2880" w:type="dxa"/>
            <w:gridSpan w:val="2"/>
            <w:tcBorders>
              <w:top w:val="single" w:color="auto" w:sz="6" w:space="0"/>
              <w:left w:val="single" w:color="auto" w:sz="6" w:space="0"/>
              <w:right w:val="single" w:color="auto" w:sz="4" w:space="0"/>
            </w:tcBorders>
            <w:noWrap w:val="0"/>
            <w:vAlign w:val="center"/>
          </w:tcPr>
          <w:p>
            <w:pPr>
              <w:jc w:val="center"/>
              <w:rPr>
                <w:rFonts w:hint="eastAsia" w:ascii="宋体" w:hAnsi="宋体" w:cs="宋体"/>
                <w:szCs w:val="21"/>
              </w:rPr>
            </w:pPr>
          </w:p>
        </w:tc>
        <w:tc>
          <w:tcPr>
            <w:tcW w:w="987" w:type="dxa"/>
            <w:gridSpan w:val="2"/>
            <w:tcBorders>
              <w:top w:val="single" w:color="auto" w:sz="6" w:space="0"/>
              <w:left w:val="single" w:color="auto" w:sz="4" w:space="0"/>
              <w:right w:val="single" w:color="auto" w:sz="4" w:space="0"/>
            </w:tcBorders>
            <w:noWrap w:val="0"/>
            <w:vAlign w:val="center"/>
          </w:tcPr>
          <w:p>
            <w:pPr>
              <w:ind w:firstLine="105" w:firstLineChars="50"/>
              <w:rPr>
                <w:rFonts w:hint="eastAsia" w:ascii="宋体" w:hAnsi="宋体" w:cs="宋体"/>
                <w:b/>
                <w:szCs w:val="21"/>
              </w:rPr>
            </w:pPr>
            <w:r>
              <w:rPr>
                <w:rFonts w:hint="eastAsia" w:ascii="宋体" w:hAnsi="宋体" w:cs="宋体"/>
                <w:b/>
                <w:szCs w:val="21"/>
              </w:rPr>
              <w:t>联系人</w:t>
            </w:r>
          </w:p>
        </w:tc>
        <w:tc>
          <w:tcPr>
            <w:tcW w:w="1017" w:type="dxa"/>
            <w:tcBorders>
              <w:top w:val="single" w:color="auto" w:sz="6" w:space="0"/>
              <w:left w:val="single" w:color="auto" w:sz="4" w:space="0"/>
              <w:right w:val="single" w:color="auto" w:sz="4" w:space="0"/>
            </w:tcBorders>
            <w:noWrap w:val="0"/>
            <w:vAlign w:val="center"/>
          </w:tcPr>
          <w:p>
            <w:pPr>
              <w:ind w:firstLine="105" w:firstLineChars="50"/>
              <w:rPr>
                <w:rFonts w:hint="eastAsia" w:ascii="宋体" w:hAnsi="宋体" w:cs="宋体"/>
                <w:szCs w:val="21"/>
              </w:rPr>
            </w:pPr>
          </w:p>
        </w:tc>
        <w:tc>
          <w:tcPr>
            <w:tcW w:w="900" w:type="dxa"/>
            <w:tcBorders>
              <w:top w:val="single" w:color="auto" w:sz="6" w:space="0"/>
              <w:left w:val="single" w:color="auto" w:sz="4" w:space="0"/>
              <w:right w:val="single" w:color="auto" w:sz="4" w:space="0"/>
            </w:tcBorders>
            <w:noWrap w:val="0"/>
            <w:vAlign w:val="center"/>
          </w:tcPr>
          <w:p>
            <w:pPr>
              <w:ind w:firstLine="105" w:firstLineChars="50"/>
              <w:rPr>
                <w:rFonts w:hint="eastAsia" w:ascii="宋体" w:hAnsi="宋体" w:cs="宋体"/>
                <w:b/>
                <w:szCs w:val="21"/>
              </w:rPr>
            </w:pPr>
            <w:r>
              <w:rPr>
                <w:rFonts w:hint="eastAsia" w:ascii="宋体" w:hAnsi="宋体" w:cs="宋体"/>
                <w:b/>
                <w:szCs w:val="21"/>
              </w:rPr>
              <w:t>电话</w:t>
            </w:r>
          </w:p>
        </w:tc>
        <w:tc>
          <w:tcPr>
            <w:tcW w:w="1540" w:type="dxa"/>
            <w:gridSpan w:val="2"/>
            <w:tcBorders>
              <w:top w:val="single" w:color="auto" w:sz="6" w:space="0"/>
              <w:left w:val="single" w:color="auto" w:sz="4" w:space="0"/>
              <w:right w:val="single" w:color="auto" w:sz="6" w:space="0"/>
            </w:tcBorders>
            <w:noWrap w:val="0"/>
            <w:vAlign w:val="center"/>
          </w:tcPr>
          <w:p>
            <w:pPr>
              <w:ind w:firstLine="105" w:firstLineChars="5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left w:val="single" w:color="auto" w:sz="6" w:space="0"/>
              <w:right w:val="single" w:color="auto" w:sz="6" w:space="0"/>
            </w:tcBorders>
            <w:noWrap w:val="0"/>
            <w:vAlign w:val="center"/>
          </w:tcPr>
          <w:p>
            <w:pPr>
              <w:jc w:val="center"/>
              <w:rPr>
                <w:rFonts w:hint="eastAsia" w:ascii="宋体" w:hAnsi="宋体" w:cs="宋体"/>
                <w:b/>
                <w:szCs w:val="21"/>
              </w:rPr>
            </w:pPr>
            <w:r>
              <w:rPr>
                <w:rFonts w:hint="eastAsia" w:ascii="宋体" w:hAnsi="宋体" w:cs="宋体"/>
                <w:b/>
                <w:szCs w:val="21"/>
              </w:rPr>
              <w:t>采购内容</w:t>
            </w:r>
          </w:p>
        </w:tc>
        <w:tc>
          <w:tcPr>
            <w:tcW w:w="2880" w:type="dxa"/>
            <w:gridSpan w:val="2"/>
            <w:tcBorders>
              <w:top w:val="single" w:color="auto" w:sz="6" w:space="0"/>
              <w:left w:val="single" w:color="auto" w:sz="6" w:space="0"/>
              <w:right w:val="single" w:color="auto" w:sz="4" w:space="0"/>
            </w:tcBorders>
            <w:noWrap w:val="0"/>
            <w:vAlign w:val="center"/>
          </w:tcPr>
          <w:p>
            <w:pPr>
              <w:jc w:val="center"/>
              <w:rPr>
                <w:rFonts w:hint="eastAsia" w:ascii="宋体" w:hAnsi="宋体" w:cs="宋体"/>
                <w:szCs w:val="21"/>
              </w:rPr>
            </w:pPr>
          </w:p>
        </w:tc>
        <w:tc>
          <w:tcPr>
            <w:tcW w:w="924" w:type="dxa"/>
            <w:tcBorders>
              <w:top w:val="single" w:color="auto" w:sz="6" w:space="0"/>
              <w:left w:val="single" w:color="auto" w:sz="4" w:space="0"/>
              <w:right w:val="single" w:color="auto" w:sz="6" w:space="0"/>
            </w:tcBorders>
            <w:noWrap w:val="0"/>
            <w:vAlign w:val="center"/>
          </w:tcPr>
          <w:p>
            <w:pPr>
              <w:rPr>
                <w:rFonts w:hint="eastAsia" w:ascii="宋体" w:hAnsi="宋体" w:cs="宋体"/>
                <w:b/>
                <w:szCs w:val="21"/>
              </w:rPr>
            </w:pPr>
            <w:r>
              <w:rPr>
                <w:rFonts w:hint="eastAsia" w:ascii="宋体" w:hAnsi="宋体" w:cs="宋体"/>
                <w:b/>
                <w:szCs w:val="21"/>
              </w:rPr>
              <w:t>金 额</w:t>
            </w:r>
          </w:p>
        </w:tc>
        <w:tc>
          <w:tcPr>
            <w:tcW w:w="1080" w:type="dxa"/>
            <w:gridSpan w:val="2"/>
            <w:tcBorders>
              <w:top w:val="single" w:color="auto" w:sz="6" w:space="0"/>
              <w:left w:val="single" w:color="auto" w:sz="4" w:space="0"/>
              <w:right w:val="single" w:color="auto" w:sz="6" w:space="0"/>
            </w:tcBorders>
            <w:noWrap w:val="0"/>
            <w:vAlign w:val="center"/>
          </w:tcPr>
          <w:p>
            <w:pPr>
              <w:ind w:firstLine="105" w:firstLineChars="50"/>
              <w:rPr>
                <w:rFonts w:hint="eastAsia" w:ascii="宋体" w:hAnsi="宋体" w:cs="宋体"/>
                <w:szCs w:val="21"/>
              </w:rPr>
            </w:pPr>
          </w:p>
        </w:tc>
        <w:tc>
          <w:tcPr>
            <w:tcW w:w="1260" w:type="dxa"/>
            <w:gridSpan w:val="2"/>
            <w:tcBorders>
              <w:top w:val="single" w:color="auto" w:sz="6" w:space="0"/>
              <w:left w:val="single" w:color="auto" w:sz="4" w:space="0"/>
              <w:right w:val="single" w:color="auto" w:sz="6" w:space="0"/>
            </w:tcBorders>
            <w:noWrap w:val="0"/>
            <w:vAlign w:val="center"/>
          </w:tcPr>
          <w:p>
            <w:pPr>
              <w:ind w:firstLine="105" w:firstLineChars="50"/>
              <w:rPr>
                <w:rFonts w:hint="eastAsia" w:ascii="宋体" w:hAnsi="宋体" w:cs="宋体"/>
                <w:b/>
                <w:szCs w:val="21"/>
              </w:rPr>
            </w:pPr>
            <w:r>
              <w:rPr>
                <w:rFonts w:hint="eastAsia" w:ascii="宋体" w:hAnsi="宋体" w:cs="宋体"/>
                <w:b/>
                <w:szCs w:val="21"/>
              </w:rPr>
              <w:t>验收方式</w:t>
            </w:r>
          </w:p>
        </w:tc>
        <w:tc>
          <w:tcPr>
            <w:tcW w:w="1180" w:type="dxa"/>
            <w:tcBorders>
              <w:top w:val="single" w:color="auto" w:sz="6" w:space="0"/>
              <w:left w:val="single" w:color="auto" w:sz="4" w:space="0"/>
              <w:right w:val="single" w:color="auto" w:sz="6" w:space="0"/>
            </w:tcBorders>
            <w:noWrap w:val="0"/>
            <w:vAlign w:val="center"/>
          </w:tcPr>
          <w:p>
            <w:pPr>
              <w:ind w:firstLine="105" w:firstLineChars="50"/>
              <w:rPr>
                <w:rFonts w:hint="eastAsia" w:ascii="宋体" w:hAnsi="宋体" w:cs="宋体"/>
                <w:szCs w:val="21"/>
              </w:rPr>
            </w:pPr>
            <w:r>
              <w:rPr>
                <w:rFonts w:hint="eastAsia" w:ascii="宋体" w:hAnsi="宋体" w:cs="宋体"/>
                <w:szCs w:val="21"/>
              </w:rPr>
              <w:t>全验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29" w:type="dxa"/>
            <w:vMerge w:val="restart"/>
            <w:tcBorders>
              <w:top w:val="single" w:color="auto" w:sz="6" w:space="0"/>
              <w:left w:val="single" w:color="auto" w:sz="6" w:space="0"/>
              <w:right w:val="single" w:color="auto" w:sz="4" w:space="0"/>
            </w:tcBorders>
            <w:noWrap w:val="0"/>
            <w:vAlign w:val="center"/>
          </w:tcPr>
          <w:p>
            <w:pPr>
              <w:jc w:val="center"/>
              <w:rPr>
                <w:rFonts w:hint="eastAsia" w:ascii="宋体" w:hAnsi="宋体" w:cs="宋体"/>
                <w:b/>
                <w:szCs w:val="21"/>
              </w:rPr>
            </w:pPr>
            <w:r>
              <w:rPr>
                <w:rFonts w:hint="eastAsia" w:ascii="宋体" w:hAnsi="宋体" w:cs="宋体"/>
                <w:b/>
                <w:szCs w:val="21"/>
              </w:rPr>
              <w:t>对照投标文件合同等</w:t>
            </w:r>
          </w:p>
          <w:p>
            <w:pPr>
              <w:jc w:val="center"/>
              <w:rPr>
                <w:rFonts w:hint="eastAsia" w:ascii="宋体" w:hAnsi="宋体" w:cs="宋体"/>
                <w:b/>
                <w:szCs w:val="21"/>
              </w:rPr>
            </w:pPr>
            <w:r>
              <w:rPr>
                <w:rFonts w:hint="eastAsia" w:ascii="宋体" w:hAnsi="宋体" w:cs="宋体"/>
                <w:b/>
                <w:szCs w:val="21"/>
              </w:rPr>
              <w:t>验收</w:t>
            </w:r>
          </w:p>
          <w:p>
            <w:pPr>
              <w:jc w:val="center"/>
              <w:rPr>
                <w:rFonts w:hint="eastAsia" w:ascii="宋体" w:hAnsi="宋体" w:cs="宋体"/>
                <w:b/>
                <w:szCs w:val="21"/>
              </w:rPr>
            </w:pPr>
            <w:r>
              <w:rPr>
                <w:rFonts w:hint="eastAsia" w:ascii="宋体" w:hAnsi="宋体" w:cs="宋体"/>
                <w:b/>
                <w:szCs w:val="21"/>
              </w:rPr>
              <w:t>情况</w:t>
            </w:r>
          </w:p>
        </w:tc>
        <w:tc>
          <w:tcPr>
            <w:tcW w:w="2794" w:type="dxa"/>
            <w:gridSpan w:val="2"/>
            <w:tcBorders>
              <w:top w:val="single" w:color="auto" w:sz="6" w:space="0"/>
              <w:left w:val="single" w:color="auto" w:sz="4" w:space="0"/>
              <w:bottom w:val="dotted" w:color="auto" w:sz="4" w:space="0"/>
              <w:right w:val="dotted" w:color="auto" w:sz="4" w:space="0"/>
            </w:tcBorders>
            <w:noWrap w:val="0"/>
            <w:vAlign w:val="center"/>
          </w:tcPr>
          <w:p>
            <w:pPr>
              <w:jc w:val="center"/>
              <w:rPr>
                <w:rFonts w:hint="eastAsia" w:ascii="宋体" w:hAnsi="宋体" w:cs="宋体"/>
                <w:szCs w:val="21"/>
              </w:rPr>
            </w:pPr>
            <w:r>
              <w:rPr>
                <w:rFonts w:hint="eastAsia" w:ascii="宋体" w:hAnsi="宋体" w:cs="宋体"/>
                <w:szCs w:val="21"/>
              </w:rPr>
              <w:t>交货数量</w:t>
            </w:r>
          </w:p>
        </w:tc>
        <w:tc>
          <w:tcPr>
            <w:tcW w:w="5351" w:type="dxa"/>
            <w:gridSpan w:val="7"/>
            <w:tcBorders>
              <w:top w:val="single" w:color="auto" w:sz="6" w:space="0"/>
              <w:left w:val="dotted" w:color="auto" w:sz="4" w:space="0"/>
              <w:bottom w:val="dotted" w:color="auto" w:sz="4" w:space="0"/>
              <w:right w:val="single" w:color="auto" w:sz="6" w:space="0"/>
            </w:tcBorders>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29" w:type="dxa"/>
            <w:vMerge w:val="continue"/>
            <w:tcBorders>
              <w:left w:val="single" w:color="auto" w:sz="6" w:space="0"/>
              <w:right w:val="single" w:color="auto" w:sz="4" w:space="0"/>
            </w:tcBorders>
            <w:noWrap w:val="0"/>
            <w:vAlign w:val="center"/>
          </w:tcPr>
          <w:p>
            <w:pPr>
              <w:jc w:val="center"/>
              <w:rPr>
                <w:rFonts w:hint="eastAsia" w:ascii="宋体" w:hAnsi="宋体" w:cs="宋体"/>
                <w:szCs w:val="21"/>
              </w:rPr>
            </w:pPr>
          </w:p>
        </w:tc>
        <w:tc>
          <w:tcPr>
            <w:tcW w:w="2794" w:type="dxa"/>
            <w:gridSpan w:val="2"/>
            <w:tcBorders>
              <w:top w:val="dotted" w:color="auto" w:sz="4" w:space="0"/>
              <w:left w:val="single" w:color="auto" w:sz="4" w:space="0"/>
              <w:bottom w:val="dotted" w:color="auto" w:sz="4" w:space="0"/>
              <w:right w:val="dotted" w:color="auto" w:sz="4" w:space="0"/>
            </w:tcBorders>
            <w:noWrap w:val="0"/>
            <w:vAlign w:val="center"/>
          </w:tcPr>
          <w:p>
            <w:pPr>
              <w:jc w:val="center"/>
              <w:rPr>
                <w:rFonts w:hint="eastAsia" w:ascii="宋体" w:hAnsi="宋体" w:cs="宋体"/>
                <w:szCs w:val="21"/>
              </w:rPr>
            </w:pPr>
            <w:r>
              <w:rPr>
                <w:rFonts w:hint="eastAsia" w:ascii="宋体" w:hAnsi="宋体" w:cs="宋体"/>
                <w:szCs w:val="21"/>
              </w:rPr>
              <w:t xml:space="preserve">  产品设备的技术参数、</w:t>
            </w:r>
          </w:p>
          <w:p>
            <w:pPr>
              <w:jc w:val="center"/>
              <w:rPr>
                <w:rFonts w:hint="eastAsia" w:ascii="宋体" w:hAnsi="宋体" w:cs="宋体"/>
                <w:szCs w:val="21"/>
              </w:rPr>
            </w:pPr>
            <w:r>
              <w:rPr>
                <w:rFonts w:hint="eastAsia" w:ascii="宋体" w:hAnsi="宋体" w:cs="宋体"/>
                <w:szCs w:val="21"/>
              </w:rPr>
              <w:t>型号规格、和产地</w:t>
            </w:r>
          </w:p>
        </w:tc>
        <w:tc>
          <w:tcPr>
            <w:tcW w:w="5351" w:type="dxa"/>
            <w:gridSpan w:val="7"/>
            <w:tcBorders>
              <w:top w:val="dotted" w:color="auto" w:sz="4" w:space="0"/>
              <w:left w:val="dotted" w:color="auto" w:sz="4" w:space="0"/>
              <w:bottom w:val="dotted" w:color="auto" w:sz="4" w:space="0"/>
              <w:right w:val="single" w:color="auto" w:sz="6"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29" w:type="dxa"/>
            <w:vMerge w:val="continue"/>
            <w:tcBorders>
              <w:left w:val="single" w:color="auto" w:sz="6" w:space="0"/>
              <w:right w:val="single" w:color="auto" w:sz="4" w:space="0"/>
            </w:tcBorders>
            <w:noWrap w:val="0"/>
            <w:vAlign w:val="center"/>
          </w:tcPr>
          <w:p>
            <w:pPr>
              <w:jc w:val="center"/>
              <w:rPr>
                <w:rFonts w:hint="eastAsia" w:ascii="宋体" w:hAnsi="宋体" w:cs="宋体"/>
                <w:szCs w:val="21"/>
              </w:rPr>
            </w:pPr>
          </w:p>
        </w:tc>
        <w:tc>
          <w:tcPr>
            <w:tcW w:w="2794" w:type="dxa"/>
            <w:gridSpan w:val="2"/>
            <w:tcBorders>
              <w:top w:val="dotted" w:color="auto" w:sz="4" w:space="0"/>
              <w:left w:val="single" w:color="auto" w:sz="4" w:space="0"/>
              <w:bottom w:val="dotted" w:color="auto" w:sz="4" w:space="0"/>
              <w:right w:val="dotted" w:color="auto" w:sz="4" w:space="0"/>
            </w:tcBorders>
            <w:noWrap w:val="0"/>
            <w:vAlign w:val="center"/>
          </w:tcPr>
          <w:p>
            <w:pPr>
              <w:jc w:val="center"/>
              <w:rPr>
                <w:rFonts w:hint="eastAsia" w:ascii="宋体" w:hAnsi="宋体" w:cs="宋体"/>
                <w:szCs w:val="21"/>
              </w:rPr>
            </w:pPr>
            <w:r>
              <w:rPr>
                <w:rFonts w:hint="eastAsia" w:ascii="宋体" w:hAnsi="宋体" w:cs="宋体"/>
                <w:szCs w:val="21"/>
              </w:rPr>
              <w:t>实现的功能、指标、效果</w:t>
            </w:r>
          </w:p>
          <w:p>
            <w:pPr>
              <w:jc w:val="center"/>
              <w:rPr>
                <w:rFonts w:hint="eastAsia" w:ascii="宋体" w:hAnsi="宋体" w:cs="宋体"/>
                <w:szCs w:val="21"/>
              </w:rPr>
            </w:pPr>
            <w:r>
              <w:rPr>
                <w:rFonts w:hint="eastAsia" w:ascii="宋体" w:hAnsi="宋体" w:cs="宋体"/>
                <w:szCs w:val="21"/>
              </w:rPr>
              <w:t>或约定的验收标准</w:t>
            </w:r>
          </w:p>
        </w:tc>
        <w:tc>
          <w:tcPr>
            <w:tcW w:w="5351" w:type="dxa"/>
            <w:gridSpan w:val="7"/>
            <w:tcBorders>
              <w:top w:val="dotted" w:color="auto" w:sz="4" w:space="0"/>
              <w:left w:val="dotted" w:color="auto" w:sz="4" w:space="0"/>
              <w:bottom w:val="dotted"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29" w:type="dxa"/>
            <w:vMerge w:val="continue"/>
            <w:tcBorders>
              <w:left w:val="single" w:color="auto" w:sz="6" w:space="0"/>
              <w:right w:val="single" w:color="auto" w:sz="4" w:space="0"/>
            </w:tcBorders>
            <w:noWrap w:val="0"/>
            <w:vAlign w:val="center"/>
          </w:tcPr>
          <w:p>
            <w:pPr>
              <w:jc w:val="center"/>
              <w:rPr>
                <w:rFonts w:hint="eastAsia" w:ascii="宋体" w:hAnsi="宋体" w:cs="宋体"/>
                <w:szCs w:val="21"/>
              </w:rPr>
            </w:pPr>
          </w:p>
        </w:tc>
        <w:tc>
          <w:tcPr>
            <w:tcW w:w="2794" w:type="dxa"/>
            <w:gridSpan w:val="2"/>
            <w:tcBorders>
              <w:top w:val="dotted" w:color="auto" w:sz="4" w:space="0"/>
              <w:left w:val="single" w:color="auto" w:sz="4" w:space="0"/>
              <w:bottom w:val="dotted" w:color="auto" w:sz="4" w:space="0"/>
              <w:right w:val="dotted" w:color="auto" w:sz="4" w:space="0"/>
            </w:tcBorders>
            <w:noWrap w:val="0"/>
            <w:vAlign w:val="center"/>
          </w:tcPr>
          <w:p>
            <w:pPr>
              <w:jc w:val="center"/>
              <w:rPr>
                <w:rFonts w:hint="eastAsia" w:ascii="宋体" w:hAnsi="宋体" w:cs="宋体"/>
                <w:szCs w:val="21"/>
              </w:rPr>
            </w:pPr>
            <w:r>
              <w:rPr>
                <w:rFonts w:hint="eastAsia" w:ascii="宋体" w:hAnsi="宋体" w:cs="宋体"/>
                <w:szCs w:val="21"/>
              </w:rPr>
              <w:t>技术培训与使用须知指引</w:t>
            </w:r>
          </w:p>
        </w:tc>
        <w:tc>
          <w:tcPr>
            <w:tcW w:w="5351" w:type="dxa"/>
            <w:gridSpan w:val="7"/>
            <w:tcBorders>
              <w:top w:val="dotted" w:color="auto" w:sz="4" w:space="0"/>
              <w:left w:val="dotted" w:color="auto" w:sz="4" w:space="0"/>
              <w:bottom w:val="dotted" w:color="auto" w:sz="4"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9" w:type="dxa"/>
            <w:vMerge w:val="continue"/>
            <w:tcBorders>
              <w:left w:val="single" w:color="auto" w:sz="6" w:space="0"/>
              <w:right w:val="single" w:color="auto" w:sz="4" w:space="0"/>
            </w:tcBorders>
            <w:noWrap w:val="0"/>
            <w:vAlign w:val="center"/>
          </w:tcPr>
          <w:p>
            <w:pPr>
              <w:jc w:val="center"/>
              <w:rPr>
                <w:rFonts w:hint="eastAsia" w:ascii="宋体" w:hAnsi="宋体" w:cs="宋体"/>
                <w:szCs w:val="21"/>
              </w:rPr>
            </w:pPr>
          </w:p>
        </w:tc>
        <w:tc>
          <w:tcPr>
            <w:tcW w:w="2794" w:type="dxa"/>
            <w:gridSpan w:val="2"/>
            <w:tcBorders>
              <w:top w:val="dotted" w:color="auto" w:sz="4" w:space="0"/>
              <w:left w:val="single" w:color="auto" w:sz="4" w:space="0"/>
              <w:bottom w:val="single" w:color="auto" w:sz="6" w:space="0"/>
              <w:right w:val="dotted" w:color="auto" w:sz="4" w:space="0"/>
            </w:tcBorders>
            <w:noWrap w:val="0"/>
            <w:vAlign w:val="center"/>
          </w:tcPr>
          <w:p>
            <w:pPr>
              <w:jc w:val="center"/>
              <w:rPr>
                <w:rFonts w:hint="eastAsia" w:ascii="宋体" w:hAnsi="宋体" w:cs="宋体"/>
                <w:szCs w:val="21"/>
              </w:rPr>
            </w:pPr>
            <w:r>
              <w:rPr>
                <w:rFonts w:hint="eastAsia" w:ascii="宋体" w:hAnsi="宋体" w:cs="宋体"/>
                <w:szCs w:val="21"/>
              </w:rPr>
              <w:t>技术资料、售后服务资料等档案清点移交</w:t>
            </w:r>
          </w:p>
        </w:tc>
        <w:tc>
          <w:tcPr>
            <w:tcW w:w="5351" w:type="dxa"/>
            <w:gridSpan w:val="7"/>
            <w:tcBorders>
              <w:top w:val="dotted" w:color="auto" w:sz="4" w:space="0"/>
              <w:left w:val="dotted" w:color="auto" w:sz="4" w:space="0"/>
              <w:bottom w:val="single" w:color="auto" w:sz="6" w:space="0"/>
              <w:right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6" w:hRule="atLeast"/>
          <w:jc w:val="center"/>
        </w:trPr>
        <w:tc>
          <w:tcPr>
            <w:tcW w:w="8974" w:type="dxa"/>
            <w:gridSpan w:val="10"/>
            <w:tcBorders>
              <w:left w:val="single" w:color="auto" w:sz="6" w:space="0"/>
              <w:bottom w:val="single" w:color="auto" w:sz="6" w:space="0"/>
              <w:right w:val="single" w:color="auto" w:sz="4" w:space="0"/>
            </w:tcBorders>
            <w:noWrap w:val="0"/>
            <w:vAlign w:val="top"/>
          </w:tcPr>
          <w:p>
            <w:pPr>
              <w:spacing w:line="480" w:lineRule="auto"/>
              <w:rPr>
                <w:rFonts w:hint="eastAsia" w:ascii="宋体" w:hAnsi="宋体" w:cs="宋体"/>
                <w:szCs w:val="21"/>
              </w:rPr>
            </w:pPr>
            <w:r>
              <w:rPr>
                <w:rFonts w:hint="eastAsia" w:ascii="宋体" w:hAnsi="宋体" w:cs="宋体"/>
                <w:b/>
                <w:szCs w:val="21"/>
              </w:rPr>
              <w:t>对项目整体实施质量、售后服务等综合验收结果：</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spacing w:line="480" w:lineRule="auto"/>
              <w:rPr>
                <w:rFonts w:hint="eastAsia" w:ascii="宋体" w:hAnsi="宋体" w:cs="宋体"/>
                <w:b/>
                <w:szCs w:val="21"/>
                <w:u w:val="single"/>
              </w:rPr>
            </w:pPr>
            <w:r>
              <w:rPr>
                <w:rFonts w:hint="eastAsia" w:ascii="宋体" w:hAnsi="宋体" w:cs="宋体"/>
                <w:b/>
                <w:szCs w:val="21"/>
              </w:rPr>
              <w:t>整改事项：</w:t>
            </w:r>
          </w:p>
          <w:p>
            <w:pPr>
              <w:spacing w:line="480" w:lineRule="auto"/>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8974" w:type="dxa"/>
            <w:gridSpan w:val="10"/>
            <w:tcBorders>
              <w:top w:val="single" w:color="auto" w:sz="6" w:space="0"/>
              <w:left w:val="single" w:color="auto" w:sz="6" w:space="0"/>
              <w:right w:val="single" w:color="auto" w:sz="6" w:space="0"/>
            </w:tcBorders>
            <w:noWrap w:val="0"/>
            <w:vAlign w:val="top"/>
          </w:tcPr>
          <w:p>
            <w:pPr>
              <w:spacing w:line="360" w:lineRule="auto"/>
              <w:rPr>
                <w:rFonts w:hint="eastAsia" w:ascii="宋体" w:hAnsi="宋体" w:cs="宋体"/>
                <w:b/>
                <w:szCs w:val="21"/>
              </w:rPr>
            </w:pPr>
            <w:r>
              <w:rPr>
                <w:rFonts w:hint="eastAsia" w:ascii="宋体" w:hAnsi="宋体" w:cs="宋体"/>
                <w:b/>
                <w:szCs w:val="21"/>
              </w:rPr>
              <w:t>验收人员签名：</w:t>
            </w:r>
          </w:p>
          <w:p>
            <w:pPr>
              <w:spacing w:line="360" w:lineRule="auto"/>
              <w:rPr>
                <w:rFonts w:hint="eastAsia" w:ascii="宋体" w:hAnsi="宋体" w:cs="宋体"/>
                <w:b/>
                <w:szCs w:val="21"/>
              </w:rPr>
            </w:pPr>
          </w:p>
          <w:p>
            <w:pPr>
              <w:spacing w:line="360" w:lineRule="auto"/>
              <w:rPr>
                <w:rFonts w:hint="eastAsia" w:ascii="宋体" w:hAnsi="宋体" w:cs="宋体"/>
                <w:b/>
                <w:szCs w:val="21"/>
              </w:rPr>
            </w:pPr>
            <w:r>
              <w:rPr>
                <w:rFonts w:hint="eastAsia" w:ascii="宋体" w:hAnsi="宋体" w:cs="宋体"/>
                <w:b/>
                <w:szCs w:val="21"/>
              </w:rPr>
              <w:t xml:space="preserve">                                              单位（盖章）：</w:t>
            </w:r>
          </w:p>
          <w:p>
            <w:pPr>
              <w:spacing w:line="360" w:lineRule="auto"/>
              <w:rPr>
                <w:rFonts w:hint="eastAsia" w:ascii="宋体" w:hAnsi="宋体" w:cs="宋体"/>
                <w:b/>
                <w:szCs w:val="21"/>
              </w:rPr>
            </w:pPr>
            <w:r>
              <w:rPr>
                <w:rFonts w:hint="eastAsia" w:ascii="宋体" w:hAnsi="宋体" w:cs="宋体"/>
                <w:b/>
                <w:szCs w:val="21"/>
              </w:rPr>
              <w:t xml:space="preserve">                                              法人或委托人签名：</w:t>
            </w:r>
          </w:p>
          <w:p>
            <w:pPr>
              <w:spacing w:line="360" w:lineRule="auto"/>
              <w:ind w:firstLine="4889" w:firstLineChars="2319"/>
              <w:rPr>
                <w:rFonts w:hint="eastAsia" w:ascii="宋体" w:hAnsi="宋体" w:cs="宋体"/>
                <w:b/>
                <w:szCs w:val="21"/>
              </w:rPr>
            </w:pPr>
            <w:r>
              <w:rPr>
                <w:rFonts w:hint="eastAsia" w:ascii="宋体" w:hAnsi="宋体" w:cs="宋体"/>
                <w:b/>
                <w:szCs w:val="21"/>
              </w:rPr>
              <w:t>验收日期：</w:t>
            </w:r>
          </w:p>
        </w:tc>
      </w:tr>
    </w:tbl>
    <w:p>
      <w:pPr>
        <w:rPr>
          <w:rFonts w:hint="eastAsia" w:ascii="宋体" w:hAnsi="宋体" w:cs="宋体"/>
        </w:rPr>
      </w:pPr>
      <w:r>
        <w:rPr>
          <w:rFonts w:hint="eastAsia" w:ascii="宋体" w:hAnsi="宋体" w:cs="宋体"/>
        </w:rPr>
        <w:t>1、验收执行标准：采购文件、投标文件、合同、双方确认的一切补充文件。</w:t>
      </w:r>
    </w:p>
    <w:p>
      <w:pPr>
        <w:ind w:left="315" w:hanging="315" w:hangingChars="150"/>
        <w:rPr>
          <w:rFonts w:hint="eastAsia" w:ascii="宋体" w:hAnsi="宋体" w:cs="宋体"/>
        </w:rPr>
      </w:pPr>
      <w:r>
        <w:rPr>
          <w:rFonts w:hint="eastAsia" w:ascii="宋体" w:hAnsi="宋体" w:cs="宋体"/>
        </w:rPr>
        <w:t>2、150万以上项目初验合格后，将本报告送公共资源交易中心，由中心组织相关部门对项</w:t>
      </w:r>
    </w:p>
    <w:p>
      <w:pPr>
        <w:ind w:left="315" w:hanging="315" w:hangingChars="150"/>
        <w:rPr>
          <w:rFonts w:hint="eastAsia" w:ascii="宋体" w:hAnsi="宋体" w:cs="宋体"/>
        </w:rPr>
        <w:sectPr>
          <w:headerReference r:id="rId16" w:type="first"/>
          <w:footerReference r:id="rId19" w:type="first"/>
          <w:headerReference r:id="rId15" w:type="default"/>
          <w:footerReference r:id="rId17" w:type="default"/>
          <w:footerReference r:id="rId18" w:type="even"/>
          <w:pgSz w:w="11906" w:h="16838"/>
          <w:pgMar w:top="1440" w:right="1800" w:bottom="1440" w:left="1800" w:header="851" w:footer="992" w:gutter="0"/>
          <w:cols w:space="720" w:num="1"/>
          <w:docGrid w:type="lines" w:linePitch="312" w:charSpace="0"/>
        </w:sectPr>
      </w:pPr>
      <w:r>
        <w:rPr>
          <w:rFonts w:hint="eastAsia" w:ascii="宋体" w:hAnsi="宋体" w:cs="宋体"/>
        </w:rPr>
        <w:t>目进行抽查。 3、此表后应附验收货物清单。 4、以上空白处如不够填写，可另附纸张。</w:t>
      </w:r>
    </w:p>
    <w:tbl>
      <w:tblPr>
        <w:tblStyle w:val="46"/>
        <w:tblpPr w:leftFromText="180" w:rightFromText="180" w:horzAnchor="margin" w:tblpY="93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5746"/>
        <w:gridCol w:w="3780"/>
        <w:gridCol w:w="720"/>
        <w:gridCol w:w="720"/>
        <w:gridCol w:w="71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exact"/>
        </w:trPr>
        <w:tc>
          <w:tcPr>
            <w:tcW w:w="919" w:type="dxa"/>
            <w:noWrap w:val="0"/>
            <w:vAlign w:val="center"/>
          </w:tcPr>
          <w:p>
            <w:pPr>
              <w:pStyle w:val="27"/>
              <w:snapToGrid w:val="0"/>
              <w:spacing w:before="120" w:after="120"/>
              <w:ind w:left="-108"/>
              <w:jc w:val="center"/>
              <w:rPr>
                <w:rFonts w:hint="eastAsia" w:hAnsi="宋体" w:cs="宋体"/>
              </w:rPr>
            </w:pPr>
            <w:r>
              <w:rPr>
                <w:rFonts w:hint="eastAsia" w:hAnsi="宋体" w:cs="宋体"/>
              </w:rPr>
              <w:t>序号</w:t>
            </w:r>
          </w:p>
        </w:tc>
        <w:tc>
          <w:tcPr>
            <w:tcW w:w="5746" w:type="dxa"/>
            <w:noWrap w:val="0"/>
            <w:vAlign w:val="top"/>
          </w:tcPr>
          <w:p>
            <w:pPr>
              <w:pStyle w:val="27"/>
              <w:snapToGrid w:val="0"/>
              <w:spacing w:before="120" w:after="120"/>
              <w:ind w:left="-108"/>
              <w:jc w:val="center"/>
              <w:rPr>
                <w:rFonts w:hint="eastAsia" w:hAnsi="宋体" w:cs="宋体"/>
              </w:rPr>
            </w:pPr>
            <w:r>
              <w:rPr>
                <w:rFonts w:hint="eastAsia" w:hAnsi="宋体" w:cs="宋体"/>
              </w:rPr>
              <w:t>货物名称</w:t>
            </w:r>
          </w:p>
        </w:tc>
        <w:tc>
          <w:tcPr>
            <w:tcW w:w="3780" w:type="dxa"/>
            <w:noWrap w:val="0"/>
            <w:vAlign w:val="center"/>
          </w:tcPr>
          <w:p>
            <w:pPr>
              <w:pStyle w:val="27"/>
              <w:snapToGrid w:val="0"/>
              <w:spacing w:before="120" w:after="120"/>
              <w:ind w:left="-108"/>
              <w:jc w:val="center"/>
              <w:rPr>
                <w:rFonts w:hint="eastAsia" w:hAnsi="宋体" w:cs="宋体"/>
              </w:rPr>
            </w:pPr>
            <w:r>
              <w:rPr>
                <w:rFonts w:hint="eastAsia" w:hAnsi="宋体" w:cs="宋体"/>
              </w:rPr>
              <w:t>品牌型号</w:t>
            </w:r>
          </w:p>
        </w:tc>
        <w:tc>
          <w:tcPr>
            <w:tcW w:w="720" w:type="dxa"/>
            <w:noWrap w:val="0"/>
            <w:vAlign w:val="center"/>
          </w:tcPr>
          <w:p>
            <w:pPr>
              <w:pStyle w:val="27"/>
              <w:snapToGrid w:val="0"/>
              <w:spacing w:before="120" w:after="120"/>
              <w:jc w:val="center"/>
              <w:rPr>
                <w:rFonts w:hint="eastAsia" w:hAnsi="宋体" w:cs="宋体"/>
              </w:rPr>
            </w:pPr>
            <w:r>
              <w:rPr>
                <w:rFonts w:hint="eastAsia" w:hAnsi="宋体" w:cs="宋体"/>
              </w:rPr>
              <w:t>符合  与否</w:t>
            </w:r>
          </w:p>
        </w:tc>
        <w:tc>
          <w:tcPr>
            <w:tcW w:w="720" w:type="dxa"/>
            <w:noWrap w:val="0"/>
            <w:vAlign w:val="center"/>
          </w:tcPr>
          <w:p>
            <w:pPr>
              <w:pStyle w:val="27"/>
              <w:snapToGrid w:val="0"/>
              <w:spacing w:before="120" w:after="120"/>
              <w:jc w:val="center"/>
              <w:rPr>
                <w:rFonts w:hint="eastAsia" w:hAnsi="宋体" w:cs="宋体"/>
              </w:rPr>
            </w:pPr>
            <w:r>
              <w:rPr>
                <w:rFonts w:hint="eastAsia" w:hAnsi="宋体" w:cs="宋体"/>
              </w:rPr>
              <w:t>数量</w:t>
            </w:r>
          </w:p>
        </w:tc>
        <w:tc>
          <w:tcPr>
            <w:tcW w:w="718" w:type="dxa"/>
            <w:noWrap w:val="0"/>
            <w:vAlign w:val="center"/>
          </w:tcPr>
          <w:p>
            <w:pPr>
              <w:pStyle w:val="27"/>
              <w:snapToGrid w:val="0"/>
              <w:spacing w:before="120" w:after="120"/>
              <w:ind w:left="-108"/>
              <w:jc w:val="center"/>
              <w:rPr>
                <w:rFonts w:hint="eastAsia" w:hAnsi="宋体" w:cs="宋体"/>
              </w:rPr>
            </w:pPr>
            <w:r>
              <w:rPr>
                <w:rFonts w:hint="eastAsia" w:hAnsi="宋体" w:cs="宋体"/>
              </w:rPr>
              <w:t>符合   与否</w:t>
            </w:r>
          </w:p>
        </w:tc>
        <w:tc>
          <w:tcPr>
            <w:tcW w:w="1262" w:type="dxa"/>
            <w:noWrap w:val="0"/>
            <w:vAlign w:val="center"/>
          </w:tcPr>
          <w:p>
            <w:pPr>
              <w:pStyle w:val="27"/>
              <w:snapToGrid w:val="0"/>
              <w:spacing w:before="120" w:after="120"/>
              <w:jc w:val="center"/>
              <w:rPr>
                <w:rFonts w:hint="eastAsia" w:hAnsi="宋体" w:cs="宋体"/>
              </w:rPr>
            </w:pPr>
            <w:r>
              <w:rPr>
                <w:rFonts w:hint="eastAsia" w:hAnsi="宋体" w:cs="宋体"/>
              </w:rPr>
              <w:t>验收人员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noWrap w:val="0"/>
            <w:vAlign w:val="center"/>
          </w:tcPr>
          <w:p>
            <w:pPr>
              <w:pStyle w:val="27"/>
              <w:snapToGrid w:val="0"/>
              <w:spacing w:before="120" w:after="120"/>
              <w:ind w:left="-108"/>
              <w:jc w:val="center"/>
              <w:rPr>
                <w:rFonts w:hint="eastAsia" w:hAnsi="宋体" w:cs="宋体"/>
              </w:rPr>
            </w:pPr>
            <w:r>
              <w:rPr>
                <w:rFonts w:hint="eastAsia" w:hAnsi="宋体" w:cs="宋体"/>
              </w:rPr>
              <w:t>1</w:t>
            </w:r>
          </w:p>
        </w:tc>
        <w:tc>
          <w:tcPr>
            <w:tcW w:w="5746" w:type="dxa"/>
            <w:noWrap w:val="0"/>
            <w:vAlign w:val="top"/>
          </w:tcPr>
          <w:p>
            <w:pPr>
              <w:pStyle w:val="27"/>
              <w:snapToGrid w:val="0"/>
              <w:spacing w:before="120" w:after="120"/>
              <w:ind w:left="-108"/>
              <w:jc w:val="center"/>
              <w:rPr>
                <w:rFonts w:hint="eastAsia" w:hAnsi="宋体" w:cs="宋体"/>
              </w:rPr>
            </w:pPr>
          </w:p>
        </w:tc>
        <w:tc>
          <w:tcPr>
            <w:tcW w:w="3780" w:type="dxa"/>
            <w:noWrap w:val="0"/>
            <w:vAlign w:val="center"/>
          </w:tcPr>
          <w:p>
            <w:pPr>
              <w:pStyle w:val="27"/>
              <w:snapToGrid w:val="0"/>
              <w:spacing w:before="120" w:after="120"/>
              <w:ind w:left="-108"/>
              <w:jc w:val="center"/>
              <w:rPr>
                <w:rFonts w:hint="eastAsia" w:hAnsi="宋体" w:cs="宋体"/>
              </w:rPr>
            </w:pPr>
          </w:p>
        </w:tc>
        <w:tc>
          <w:tcPr>
            <w:tcW w:w="720" w:type="dxa"/>
            <w:noWrap w:val="0"/>
            <w:vAlign w:val="center"/>
          </w:tcPr>
          <w:p>
            <w:pPr>
              <w:pStyle w:val="27"/>
              <w:snapToGrid w:val="0"/>
              <w:spacing w:before="120" w:after="120"/>
              <w:ind w:left="-108"/>
              <w:jc w:val="center"/>
              <w:rPr>
                <w:rFonts w:hint="eastAsia" w:hAnsi="宋体" w:cs="宋体"/>
              </w:rPr>
            </w:pPr>
          </w:p>
        </w:tc>
        <w:tc>
          <w:tcPr>
            <w:tcW w:w="720" w:type="dxa"/>
            <w:noWrap w:val="0"/>
            <w:vAlign w:val="center"/>
          </w:tcPr>
          <w:p>
            <w:pPr>
              <w:pStyle w:val="27"/>
              <w:snapToGrid w:val="0"/>
              <w:spacing w:before="120" w:after="120"/>
              <w:ind w:left="-108"/>
              <w:jc w:val="center"/>
              <w:rPr>
                <w:rFonts w:hint="eastAsia" w:hAnsi="宋体" w:cs="宋体"/>
              </w:rPr>
            </w:pPr>
          </w:p>
        </w:tc>
        <w:tc>
          <w:tcPr>
            <w:tcW w:w="718" w:type="dxa"/>
            <w:noWrap w:val="0"/>
            <w:vAlign w:val="center"/>
          </w:tcPr>
          <w:p>
            <w:pPr>
              <w:pStyle w:val="27"/>
              <w:snapToGrid w:val="0"/>
              <w:spacing w:before="120" w:after="120"/>
              <w:ind w:left="-108"/>
              <w:jc w:val="center"/>
              <w:rPr>
                <w:rFonts w:hint="eastAsia" w:hAnsi="宋体" w:cs="宋体"/>
              </w:rPr>
            </w:pPr>
          </w:p>
        </w:tc>
        <w:tc>
          <w:tcPr>
            <w:tcW w:w="1262" w:type="dxa"/>
            <w:noWrap w:val="0"/>
            <w:vAlign w:val="center"/>
          </w:tcPr>
          <w:p>
            <w:pPr>
              <w:pStyle w:val="27"/>
              <w:snapToGrid w:val="0"/>
              <w:spacing w:before="120" w:after="120"/>
              <w:ind w:left="-108"/>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noWrap w:val="0"/>
            <w:vAlign w:val="center"/>
          </w:tcPr>
          <w:p>
            <w:pPr>
              <w:pStyle w:val="27"/>
              <w:snapToGrid w:val="0"/>
              <w:spacing w:before="120" w:after="120"/>
              <w:ind w:left="-108"/>
              <w:jc w:val="center"/>
              <w:rPr>
                <w:rFonts w:hint="eastAsia" w:hAnsi="宋体" w:cs="宋体"/>
              </w:rPr>
            </w:pPr>
            <w:r>
              <w:rPr>
                <w:rFonts w:hint="eastAsia" w:hAnsi="宋体" w:cs="宋体"/>
              </w:rPr>
              <w:t>2</w:t>
            </w:r>
          </w:p>
        </w:tc>
        <w:tc>
          <w:tcPr>
            <w:tcW w:w="5746" w:type="dxa"/>
            <w:noWrap w:val="0"/>
            <w:vAlign w:val="top"/>
          </w:tcPr>
          <w:p>
            <w:pPr>
              <w:pStyle w:val="27"/>
              <w:snapToGrid w:val="0"/>
              <w:spacing w:before="120" w:after="120"/>
              <w:ind w:left="-108"/>
              <w:jc w:val="center"/>
              <w:rPr>
                <w:rFonts w:hint="eastAsia" w:hAnsi="宋体" w:cs="宋体"/>
              </w:rPr>
            </w:pPr>
          </w:p>
        </w:tc>
        <w:tc>
          <w:tcPr>
            <w:tcW w:w="3780" w:type="dxa"/>
            <w:noWrap w:val="0"/>
            <w:vAlign w:val="center"/>
          </w:tcPr>
          <w:p>
            <w:pPr>
              <w:pStyle w:val="27"/>
              <w:snapToGrid w:val="0"/>
              <w:spacing w:before="120" w:after="120"/>
              <w:ind w:left="-108"/>
              <w:jc w:val="center"/>
              <w:rPr>
                <w:rFonts w:hint="eastAsia" w:hAnsi="宋体" w:cs="宋体"/>
              </w:rPr>
            </w:pPr>
          </w:p>
        </w:tc>
        <w:tc>
          <w:tcPr>
            <w:tcW w:w="720" w:type="dxa"/>
            <w:noWrap w:val="0"/>
            <w:vAlign w:val="center"/>
          </w:tcPr>
          <w:p>
            <w:pPr>
              <w:pStyle w:val="27"/>
              <w:snapToGrid w:val="0"/>
              <w:spacing w:before="120" w:after="120"/>
              <w:ind w:left="-108"/>
              <w:jc w:val="center"/>
              <w:rPr>
                <w:rFonts w:hint="eastAsia" w:hAnsi="宋体" w:cs="宋体"/>
              </w:rPr>
            </w:pPr>
          </w:p>
        </w:tc>
        <w:tc>
          <w:tcPr>
            <w:tcW w:w="720" w:type="dxa"/>
            <w:noWrap w:val="0"/>
            <w:vAlign w:val="center"/>
          </w:tcPr>
          <w:p>
            <w:pPr>
              <w:pStyle w:val="27"/>
              <w:snapToGrid w:val="0"/>
              <w:spacing w:before="120" w:after="120"/>
              <w:ind w:left="-108"/>
              <w:jc w:val="center"/>
              <w:rPr>
                <w:rFonts w:hint="eastAsia" w:hAnsi="宋体" w:cs="宋体"/>
              </w:rPr>
            </w:pPr>
          </w:p>
        </w:tc>
        <w:tc>
          <w:tcPr>
            <w:tcW w:w="718" w:type="dxa"/>
            <w:noWrap w:val="0"/>
            <w:vAlign w:val="center"/>
          </w:tcPr>
          <w:p>
            <w:pPr>
              <w:pStyle w:val="27"/>
              <w:snapToGrid w:val="0"/>
              <w:spacing w:before="120" w:after="120"/>
              <w:ind w:left="-108"/>
              <w:jc w:val="center"/>
              <w:rPr>
                <w:rFonts w:hint="eastAsia" w:hAnsi="宋体" w:cs="宋体"/>
              </w:rPr>
            </w:pPr>
          </w:p>
        </w:tc>
        <w:tc>
          <w:tcPr>
            <w:tcW w:w="1262" w:type="dxa"/>
            <w:noWrap w:val="0"/>
            <w:vAlign w:val="center"/>
          </w:tcPr>
          <w:p>
            <w:pPr>
              <w:pStyle w:val="27"/>
              <w:snapToGrid w:val="0"/>
              <w:spacing w:before="120" w:after="120"/>
              <w:ind w:left="-108"/>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noWrap w:val="0"/>
            <w:vAlign w:val="center"/>
          </w:tcPr>
          <w:p>
            <w:pPr>
              <w:pStyle w:val="27"/>
              <w:snapToGrid w:val="0"/>
              <w:spacing w:before="120" w:after="120"/>
              <w:ind w:left="-108"/>
              <w:jc w:val="center"/>
              <w:rPr>
                <w:rFonts w:hint="eastAsia" w:hAnsi="宋体" w:cs="宋体"/>
              </w:rPr>
            </w:pPr>
            <w:r>
              <w:rPr>
                <w:rFonts w:hint="eastAsia" w:hAnsi="宋体" w:cs="宋体"/>
              </w:rPr>
              <w:t>3</w:t>
            </w:r>
          </w:p>
        </w:tc>
        <w:tc>
          <w:tcPr>
            <w:tcW w:w="5746" w:type="dxa"/>
            <w:noWrap w:val="0"/>
            <w:vAlign w:val="top"/>
          </w:tcPr>
          <w:p>
            <w:pPr>
              <w:pStyle w:val="27"/>
              <w:snapToGrid w:val="0"/>
              <w:spacing w:before="120" w:after="120"/>
              <w:ind w:left="-108"/>
              <w:jc w:val="center"/>
              <w:rPr>
                <w:rFonts w:hint="eastAsia" w:hAnsi="宋体" w:cs="宋体"/>
              </w:rPr>
            </w:pPr>
          </w:p>
        </w:tc>
        <w:tc>
          <w:tcPr>
            <w:tcW w:w="3780" w:type="dxa"/>
            <w:noWrap w:val="0"/>
            <w:vAlign w:val="center"/>
          </w:tcPr>
          <w:p>
            <w:pPr>
              <w:pStyle w:val="27"/>
              <w:snapToGrid w:val="0"/>
              <w:spacing w:before="120" w:after="120"/>
              <w:ind w:left="-108"/>
              <w:jc w:val="center"/>
              <w:rPr>
                <w:rFonts w:hint="eastAsia" w:hAnsi="宋体" w:cs="宋体"/>
              </w:rPr>
            </w:pPr>
          </w:p>
        </w:tc>
        <w:tc>
          <w:tcPr>
            <w:tcW w:w="720" w:type="dxa"/>
            <w:noWrap w:val="0"/>
            <w:vAlign w:val="center"/>
          </w:tcPr>
          <w:p>
            <w:pPr>
              <w:pStyle w:val="27"/>
              <w:snapToGrid w:val="0"/>
              <w:spacing w:before="120" w:after="120"/>
              <w:ind w:left="-108"/>
              <w:jc w:val="center"/>
              <w:rPr>
                <w:rFonts w:hint="eastAsia" w:hAnsi="宋体" w:cs="宋体"/>
              </w:rPr>
            </w:pPr>
          </w:p>
        </w:tc>
        <w:tc>
          <w:tcPr>
            <w:tcW w:w="720" w:type="dxa"/>
            <w:noWrap w:val="0"/>
            <w:vAlign w:val="center"/>
          </w:tcPr>
          <w:p>
            <w:pPr>
              <w:pStyle w:val="27"/>
              <w:snapToGrid w:val="0"/>
              <w:spacing w:before="120" w:after="120"/>
              <w:ind w:left="-108"/>
              <w:jc w:val="center"/>
              <w:rPr>
                <w:rFonts w:hint="eastAsia" w:hAnsi="宋体" w:cs="宋体"/>
              </w:rPr>
            </w:pPr>
          </w:p>
        </w:tc>
        <w:tc>
          <w:tcPr>
            <w:tcW w:w="718" w:type="dxa"/>
            <w:noWrap w:val="0"/>
            <w:vAlign w:val="center"/>
          </w:tcPr>
          <w:p>
            <w:pPr>
              <w:pStyle w:val="27"/>
              <w:snapToGrid w:val="0"/>
              <w:spacing w:before="120" w:after="120"/>
              <w:ind w:left="-108"/>
              <w:jc w:val="center"/>
              <w:rPr>
                <w:rFonts w:hint="eastAsia" w:hAnsi="宋体" w:cs="宋体"/>
              </w:rPr>
            </w:pPr>
          </w:p>
        </w:tc>
        <w:tc>
          <w:tcPr>
            <w:tcW w:w="1262" w:type="dxa"/>
            <w:noWrap w:val="0"/>
            <w:vAlign w:val="center"/>
          </w:tcPr>
          <w:p>
            <w:pPr>
              <w:pStyle w:val="27"/>
              <w:snapToGrid w:val="0"/>
              <w:spacing w:before="120" w:after="120"/>
              <w:ind w:left="-108"/>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noWrap w:val="0"/>
            <w:vAlign w:val="center"/>
          </w:tcPr>
          <w:p>
            <w:pPr>
              <w:pStyle w:val="27"/>
              <w:snapToGrid w:val="0"/>
              <w:spacing w:before="120" w:after="120"/>
              <w:ind w:left="-108"/>
              <w:jc w:val="center"/>
              <w:rPr>
                <w:rFonts w:hint="eastAsia" w:hAnsi="宋体" w:cs="宋体"/>
              </w:rPr>
            </w:pPr>
            <w:r>
              <w:rPr>
                <w:rFonts w:hint="eastAsia" w:hAnsi="宋体" w:cs="宋体"/>
              </w:rPr>
              <w:t>4</w:t>
            </w:r>
          </w:p>
        </w:tc>
        <w:tc>
          <w:tcPr>
            <w:tcW w:w="5746" w:type="dxa"/>
            <w:noWrap w:val="0"/>
            <w:vAlign w:val="top"/>
          </w:tcPr>
          <w:p>
            <w:pPr>
              <w:pStyle w:val="27"/>
              <w:snapToGrid w:val="0"/>
              <w:spacing w:before="120" w:after="120"/>
              <w:ind w:left="-108"/>
              <w:jc w:val="center"/>
              <w:rPr>
                <w:rFonts w:hint="eastAsia" w:hAnsi="宋体" w:cs="宋体"/>
              </w:rPr>
            </w:pPr>
          </w:p>
        </w:tc>
        <w:tc>
          <w:tcPr>
            <w:tcW w:w="3780" w:type="dxa"/>
            <w:noWrap w:val="0"/>
            <w:vAlign w:val="center"/>
          </w:tcPr>
          <w:p>
            <w:pPr>
              <w:pStyle w:val="27"/>
              <w:snapToGrid w:val="0"/>
              <w:spacing w:before="120" w:after="120"/>
              <w:ind w:left="-108"/>
              <w:jc w:val="center"/>
              <w:rPr>
                <w:rFonts w:hint="eastAsia" w:hAnsi="宋体" w:cs="宋体"/>
              </w:rPr>
            </w:pPr>
          </w:p>
        </w:tc>
        <w:tc>
          <w:tcPr>
            <w:tcW w:w="720" w:type="dxa"/>
            <w:noWrap w:val="0"/>
            <w:vAlign w:val="center"/>
          </w:tcPr>
          <w:p>
            <w:pPr>
              <w:pStyle w:val="27"/>
              <w:snapToGrid w:val="0"/>
              <w:spacing w:before="120" w:after="120"/>
              <w:ind w:left="-108"/>
              <w:jc w:val="center"/>
              <w:rPr>
                <w:rFonts w:hint="eastAsia" w:hAnsi="宋体" w:cs="宋体"/>
              </w:rPr>
            </w:pPr>
          </w:p>
        </w:tc>
        <w:tc>
          <w:tcPr>
            <w:tcW w:w="720" w:type="dxa"/>
            <w:noWrap w:val="0"/>
            <w:vAlign w:val="center"/>
          </w:tcPr>
          <w:p>
            <w:pPr>
              <w:pStyle w:val="27"/>
              <w:snapToGrid w:val="0"/>
              <w:spacing w:before="120" w:after="120"/>
              <w:ind w:left="-108"/>
              <w:jc w:val="center"/>
              <w:rPr>
                <w:rFonts w:hint="eastAsia" w:hAnsi="宋体" w:cs="宋体"/>
              </w:rPr>
            </w:pPr>
          </w:p>
        </w:tc>
        <w:tc>
          <w:tcPr>
            <w:tcW w:w="718" w:type="dxa"/>
            <w:noWrap w:val="0"/>
            <w:vAlign w:val="center"/>
          </w:tcPr>
          <w:p>
            <w:pPr>
              <w:pStyle w:val="27"/>
              <w:snapToGrid w:val="0"/>
              <w:spacing w:before="120" w:after="120"/>
              <w:ind w:left="-108"/>
              <w:jc w:val="center"/>
              <w:rPr>
                <w:rFonts w:hint="eastAsia" w:hAnsi="宋体" w:cs="宋体"/>
              </w:rPr>
            </w:pPr>
          </w:p>
        </w:tc>
        <w:tc>
          <w:tcPr>
            <w:tcW w:w="1262" w:type="dxa"/>
            <w:noWrap w:val="0"/>
            <w:vAlign w:val="center"/>
          </w:tcPr>
          <w:p>
            <w:pPr>
              <w:pStyle w:val="27"/>
              <w:snapToGrid w:val="0"/>
              <w:spacing w:before="120" w:after="120"/>
              <w:ind w:left="-108"/>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noWrap w:val="0"/>
            <w:vAlign w:val="center"/>
          </w:tcPr>
          <w:p>
            <w:pPr>
              <w:pStyle w:val="27"/>
              <w:snapToGrid w:val="0"/>
              <w:spacing w:before="120" w:after="120"/>
              <w:ind w:left="-108"/>
              <w:jc w:val="center"/>
              <w:rPr>
                <w:rFonts w:hint="eastAsia" w:hAnsi="宋体" w:cs="宋体"/>
              </w:rPr>
            </w:pPr>
            <w:r>
              <w:rPr>
                <w:rFonts w:hint="eastAsia" w:hAnsi="宋体" w:cs="宋体"/>
              </w:rPr>
              <w:t>5</w:t>
            </w:r>
          </w:p>
        </w:tc>
        <w:tc>
          <w:tcPr>
            <w:tcW w:w="5746" w:type="dxa"/>
            <w:noWrap w:val="0"/>
            <w:vAlign w:val="top"/>
          </w:tcPr>
          <w:p>
            <w:pPr>
              <w:pStyle w:val="27"/>
              <w:snapToGrid w:val="0"/>
              <w:spacing w:before="120" w:after="120"/>
              <w:ind w:left="-108"/>
              <w:jc w:val="center"/>
              <w:rPr>
                <w:rFonts w:hint="eastAsia" w:hAnsi="宋体" w:cs="宋体"/>
              </w:rPr>
            </w:pPr>
          </w:p>
        </w:tc>
        <w:tc>
          <w:tcPr>
            <w:tcW w:w="3780" w:type="dxa"/>
            <w:noWrap w:val="0"/>
            <w:vAlign w:val="center"/>
          </w:tcPr>
          <w:p>
            <w:pPr>
              <w:pStyle w:val="27"/>
              <w:snapToGrid w:val="0"/>
              <w:spacing w:before="120" w:after="120"/>
              <w:ind w:left="-108"/>
              <w:jc w:val="center"/>
              <w:rPr>
                <w:rFonts w:hint="eastAsia" w:hAnsi="宋体" w:cs="宋体"/>
              </w:rPr>
            </w:pPr>
          </w:p>
        </w:tc>
        <w:tc>
          <w:tcPr>
            <w:tcW w:w="720" w:type="dxa"/>
            <w:noWrap w:val="0"/>
            <w:vAlign w:val="center"/>
          </w:tcPr>
          <w:p>
            <w:pPr>
              <w:pStyle w:val="27"/>
              <w:snapToGrid w:val="0"/>
              <w:spacing w:before="120" w:after="120"/>
              <w:ind w:left="-108"/>
              <w:jc w:val="center"/>
              <w:rPr>
                <w:rFonts w:hint="eastAsia" w:hAnsi="宋体" w:cs="宋体"/>
              </w:rPr>
            </w:pPr>
          </w:p>
        </w:tc>
        <w:tc>
          <w:tcPr>
            <w:tcW w:w="720" w:type="dxa"/>
            <w:noWrap w:val="0"/>
            <w:vAlign w:val="center"/>
          </w:tcPr>
          <w:p>
            <w:pPr>
              <w:pStyle w:val="27"/>
              <w:snapToGrid w:val="0"/>
              <w:spacing w:before="120" w:after="120"/>
              <w:ind w:left="-108"/>
              <w:jc w:val="center"/>
              <w:rPr>
                <w:rFonts w:hint="eastAsia" w:hAnsi="宋体" w:cs="宋体"/>
              </w:rPr>
            </w:pPr>
          </w:p>
        </w:tc>
        <w:tc>
          <w:tcPr>
            <w:tcW w:w="718" w:type="dxa"/>
            <w:noWrap w:val="0"/>
            <w:vAlign w:val="center"/>
          </w:tcPr>
          <w:p>
            <w:pPr>
              <w:pStyle w:val="27"/>
              <w:snapToGrid w:val="0"/>
              <w:spacing w:before="120" w:after="120"/>
              <w:ind w:left="-108"/>
              <w:jc w:val="center"/>
              <w:rPr>
                <w:rFonts w:hint="eastAsia" w:hAnsi="宋体" w:cs="宋体"/>
              </w:rPr>
            </w:pPr>
          </w:p>
        </w:tc>
        <w:tc>
          <w:tcPr>
            <w:tcW w:w="1262" w:type="dxa"/>
            <w:noWrap w:val="0"/>
            <w:vAlign w:val="center"/>
          </w:tcPr>
          <w:p>
            <w:pPr>
              <w:pStyle w:val="27"/>
              <w:snapToGrid w:val="0"/>
              <w:spacing w:before="120" w:after="120"/>
              <w:ind w:left="-108"/>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noWrap w:val="0"/>
            <w:vAlign w:val="center"/>
          </w:tcPr>
          <w:p>
            <w:pPr>
              <w:pStyle w:val="27"/>
              <w:snapToGrid w:val="0"/>
              <w:spacing w:before="120" w:after="120"/>
              <w:ind w:left="-108"/>
              <w:jc w:val="center"/>
              <w:rPr>
                <w:rFonts w:hint="eastAsia" w:hAnsi="宋体" w:cs="宋体"/>
              </w:rPr>
            </w:pPr>
            <w:r>
              <w:rPr>
                <w:rFonts w:hint="eastAsia" w:hAnsi="宋体" w:cs="宋体"/>
              </w:rPr>
              <w:t>6</w:t>
            </w:r>
          </w:p>
        </w:tc>
        <w:tc>
          <w:tcPr>
            <w:tcW w:w="5746" w:type="dxa"/>
            <w:noWrap w:val="0"/>
            <w:vAlign w:val="top"/>
          </w:tcPr>
          <w:p>
            <w:pPr>
              <w:pStyle w:val="27"/>
              <w:snapToGrid w:val="0"/>
              <w:spacing w:before="120" w:after="120"/>
              <w:ind w:left="-108"/>
              <w:jc w:val="center"/>
              <w:rPr>
                <w:rFonts w:hint="eastAsia" w:hAnsi="宋体" w:cs="宋体"/>
              </w:rPr>
            </w:pPr>
          </w:p>
        </w:tc>
        <w:tc>
          <w:tcPr>
            <w:tcW w:w="3780" w:type="dxa"/>
            <w:noWrap w:val="0"/>
            <w:vAlign w:val="center"/>
          </w:tcPr>
          <w:p>
            <w:pPr>
              <w:pStyle w:val="27"/>
              <w:snapToGrid w:val="0"/>
              <w:spacing w:before="120" w:after="120"/>
              <w:ind w:left="-108"/>
              <w:jc w:val="center"/>
              <w:rPr>
                <w:rFonts w:hint="eastAsia" w:hAnsi="宋体" w:cs="宋体"/>
              </w:rPr>
            </w:pPr>
          </w:p>
        </w:tc>
        <w:tc>
          <w:tcPr>
            <w:tcW w:w="720" w:type="dxa"/>
            <w:noWrap w:val="0"/>
            <w:vAlign w:val="center"/>
          </w:tcPr>
          <w:p>
            <w:pPr>
              <w:pStyle w:val="27"/>
              <w:snapToGrid w:val="0"/>
              <w:spacing w:before="120" w:after="120"/>
              <w:ind w:left="-108"/>
              <w:jc w:val="center"/>
              <w:rPr>
                <w:rFonts w:hint="eastAsia" w:hAnsi="宋体" w:cs="宋体"/>
              </w:rPr>
            </w:pPr>
          </w:p>
        </w:tc>
        <w:tc>
          <w:tcPr>
            <w:tcW w:w="720" w:type="dxa"/>
            <w:noWrap w:val="0"/>
            <w:vAlign w:val="center"/>
          </w:tcPr>
          <w:p>
            <w:pPr>
              <w:pStyle w:val="27"/>
              <w:snapToGrid w:val="0"/>
              <w:spacing w:before="120" w:after="120"/>
              <w:ind w:left="-108"/>
              <w:jc w:val="center"/>
              <w:rPr>
                <w:rFonts w:hint="eastAsia" w:hAnsi="宋体" w:cs="宋体"/>
              </w:rPr>
            </w:pPr>
          </w:p>
        </w:tc>
        <w:tc>
          <w:tcPr>
            <w:tcW w:w="718" w:type="dxa"/>
            <w:noWrap w:val="0"/>
            <w:vAlign w:val="center"/>
          </w:tcPr>
          <w:p>
            <w:pPr>
              <w:pStyle w:val="27"/>
              <w:snapToGrid w:val="0"/>
              <w:spacing w:before="120" w:after="120"/>
              <w:ind w:left="-108"/>
              <w:jc w:val="center"/>
              <w:rPr>
                <w:rFonts w:hint="eastAsia" w:hAnsi="宋体" w:cs="宋体"/>
              </w:rPr>
            </w:pPr>
          </w:p>
        </w:tc>
        <w:tc>
          <w:tcPr>
            <w:tcW w:w="1262" w:type="dxa"/>
            <w:noWrap w:val="0"/>
            <w:vAlign w:val="center"/>
          </w:tcPr>
          <w:p>
            <w:pPr>
              <w:pStyle w:val="27"/>
              <w:snapToGrid w:val="0"/>
              <w:spacing w:before="120" w:after="120"/>
              <w:ind w:left="-108"/>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noWrap w:val="0"/>
            <w:vAlign w:val="center"/>
          </w:tcPr>
          <w:p>
            <w:pPr>
              <w:pStyle w:val="27"/>
              <w:snapToGrid w:val="0"/>
              <w:spacing w:before="120" w:after="120"/>
              <w:ind w:left="-108"/>
              <w:jc w:val="center"/>
              <w:rPr>
                <w:rFonts w:hint="eastAsia" w:hAnsi="宋体" w:cs="宋体"/>
              </w:rPr>
            </w:pPr>
            <w:r>
              <w:rPr>
                <w:rFonts w:hint="eastAsia" w:hAnsi="宋体" w:cs="宋体"/>
              </w:rPr>
              <w:t>7</w:t>
            </w:r>
          </w:p>
        </w:tc>
        <w:tc>
          <w:tcPr>
            <w:tcW w:w="5746" w:type="dxa"/>
            <w:noWrap w:val="0"/>
            <w:vAlign w:val="top"/>
          </w:tcPr>
          <w:p>
            <w:pPr>
              <w:pStyle w:val="27"/>
              <w:snapToGrid w:val="0"/>
              <w:spacing w:before="120" w:after="120"/>
              <w:ind w:left="-108"/>
              <w:jc w:val="center"/>
              <w:rPr>
                <w:rFonts w:hint="eastAsia" w:hAnsi="宋体" w:cs="宋体"/>
              </w:rPr>
            </w:pPr>
          </w:p>
        </w:tc>
        <w:tc>
          <w:tcPr>
            <w:tcW w:w="3780" w:type="dxa"/>
            <w:noWrap w:val="0"/>
            <w:vAlign w:val="center"/>
          </w:tcPr>
          <w:p>
            <w:pPr>
              <w:pStyle w:val="27"/>
              <w:snapToGrid w:val="0"/>
              <w:spacing w:before="120" w:after="120"/>
              <w:ind w:left="-108"/>
              <w:jc w:val="center"/>
              <w:rPr>
                <w:rFonts w:hint="eastAsia" w:hAnsi="宋体" w:cs="宋体"/>
              </w:rPr>
            </w:pPr>
          </w:p>
        </w:tc>
        <w:tc>
          <w:tcPr>
            <w:tcW w:w="720" w:type="dxa"/>
            <w:noWrap w:val="0"/>
            <w:vAlign w:val="center"/>
          </w:tcPr>
          <w:p>
            <w:pPr>
              <w:pStyle w:val="27"/>
              <w:snapToGrid w:val="0"/>
              <w:spacing w:before="120" w:after="120"/>
              <w:ind w:left="-108"/>
              <w:jc w:val="center"/>
              <w:rPr>
                <w:rFonts w:hint="eastAsia" w:hAnsi="宋体" w:cs="宋体"/>
              </w:rPr>
            </w:pPr>
          </w:p>
        </w:tc>
        <w:tc>
          <w:tcPr>
            <w:tcW w:w="720" w:type="dxa"/>
            <w:noWrap w:val="0"/>
            <w:vAlign w:val="center"/>
          </w:tcPr>
          <w:p>
            <w:pPr>
              <w:pStyle w:val="27"/>
              <w:snapToGrid w:val="0"/>
              <w:spacing w:before="120" w:after="120"/>
              <w:ind w:left="-108"/>
              <w:jc w:val="center"/>
              <w:rPr>
                <w:rFonts w:hint="eastAsia" w:hAnsi="宋体" w:cs="宋体"/>
              </w:rPr>
            </w:pPr>
          </w:p>
        </w:tc>
        <w:tc>
          <w:tcPr>
            <w:tcW w:w="718" w:type="dxa"/>
            <w:noWrap w:val="0"/>
            <w:vAlign w:val="center"/>
          </w:tcPr>
          <w:p>
            <w:pPr>
              <w:pStyle w:val="27"/>
              <w:snapToGrid w:val="0"/>
              <w:spacing w:before="120" w:after="120"/>
              <w:ind w:left="-108"/>
              <w:jc w:val="center"/>
              <w:rPr>
                <w:rFonts w:hint="eastAsia" w:hAnsi="宋体" w:cs="宋体"/>
              </w:rPr>
            </w:pPr>
          </w:p>
        </w:tc>
        <w:tc>
          <w:tcPr>
            <w:tcW w:w="1262" w:type="dxa"/>
            <w:noWrap w:val="0"/>
            <w:vAlign w:val="center"/>
          </w:tcPr>
          <w:p>
            <w:pPr>
              <w:pStyle w:val="27"/>
              <w:snapToGrid w:val="0"/>
              <w:spacing w:before="120" w:after="120"/>
              <w:ind w:left="-108"/>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3865" w:type="dxa"/>
            <w:gridSpan w:val="7"/>
            <w:noWrap w:val="0"/>
            <w:vAlign w:val="center"/>
          </w:tcPr>
          <w:p>
            <w:pPr>
              <w:pStyle w:val="27"/>
              <w:snapToGrid w:val="0"/>
              <w:spacing w:before="120" w:after="120"/>
              <w:ind w:left="-107" w:leftChars="-51" w:firstLine="240" w:firstLineChars="100"/>
              <w:rPr>
                <w:rFonts w:hint="eastAsia" w:hAnsi="宋体" w:cs="宋体"/>
              </w:rPr>
            </w:pPr>
            <w:r>
              <w:rPr>
                <w:rFonts w:hint="eastAsia" w:hAnsi="宋体" w:cs="宋体"/>
              </w:rPr>
              <w:t>备注：</w:t>
            </w:r>
          </w:p>
        </w:tc>
      </w:tr>
    </w:tbl>
    <w:p>
      <w:pPr>
        <w:jc w:val="center"/>
        <w:rPr>
          <w:rFonts w:hint="eastAsia" w:ascii="宋体" w:hAnsi="宋体" w:cs="宋体"/>
          <w:b/>
          <w:sz w:val="30"/>
          <w:szCs w:val="30"/>
        </w:rPr>
        <w:sectPr>
          <w:pgSz w:w="16838" w:h="11906" w:orient="landscape"/>
          <w:pgMar w:top="1440" w:right="1440" w:bottom="1106" w:left="1440" w:header="851" w:footer="992" w:gutter="0"/>
          <w:cols w:space="720" w:num="1"/>
          <w:docGrid w:linePitch="312" w:charSpace="0"/>
        </w:sectPr>
      </w:pPr>
      <w:r>
        <w:rPr>
          <w:rFonts w:hint="eastAsia" w:ascii="宋体" w:hAnsi="宋体" w:cs="宋体"/>
          <w:b/>
          <w:sz w:val="30"/>
          <w:szCs w:val="30"/>
        </w:rPr>
        <w:t>验收货物清单</w:t>
      </w:r>
    </w:p>
    <w:p>
      <w:pPr>
        <w:snapToGrid w:val="0"/>
        <w:spacing w:before="50" w:after="50"/>
        <w:ind w:right="-816" w:rightChars="-389"/>
        <w:rPr>
          <w:rFonts w:hint="eastAsia" w:ascii="宋体" w:hAnsi="宋体" w:cs="宋体"/>
        </w:rPr>
      </w:pPr>
    </w:p>
    <w:p>
      <w:pPr>
        <w:snapToGrid w:val="0"/>
        <w:spacing w:before="50" w:after="50"/>
        <w:ind w:left="-3" w:leftChars="-72" w:right="-816" w:rightChars="-389" w:hanging="148" w:hangingChars="62"/>
        <w:rPr>
          <w:rFonts w:hint="eastAsia" w:ascii="宋体" w:hAnsi="宋体" w:cs="宋体"/>
          <w:sz w:val="24"/>
          <w:u w:val="single"/>
        </w:rPr>
      </w:pPr>
    </w:p>
    <w:p>
      <w:pPr>
        <w:snapToGrid w:val="0"/>
        <w:spacing w:before="50" w:after="50"/>
        <w:ind w:left="-3" w:leftChars="-72" w:right="-816" w:rightChars="-389" w:hanging="148" w:hangingChars="62"/>
        <w:rPr>
          <w:rFonts w:hint="eastAsia" w:ascii="宋体" w:hAnsi="宋体" w:cs="宋体"/>
          <w:sz w:val="24"/>
          <w:u w:val="single"/>
        </w:rPr>
      </w:pPr>
      <w:r>
        <w:rPr>
          <w:rFonts w:hint="eastAsia" w:ascii="宋体" w:hAnsi="宋体" w:cs="宋体"/>
          <w:sz w:val="24"/>
          <w:u w:val="single"/>
        </w:rPr>
        <w:t xml:space="preserve">                                                                                                       </w:t>
      </w:r>
    </w:p>
    <w:p>
      <w:pPr>
        <w:spacing w:before="100" w:line="300" w:lineRule="auto"/>
        <w:ind w:right="-147" w:rightChars="-70"/>
        <w:jc w:val="left"/>
        <w:rPr>
          <w:rFonts w:hint="eastAsia" w:ascii="宋体" w:hAnsi="宋体" w:cs="宋体"/>
        </w:rPr>
        <w:sectPr>
          <w:headerReference r:id="rId21" w:type="first"/>
          <w:footerReference r:id="rId24" w:type="first"/>
          <w:headerReference r:id="rId20" w:type="default"/>
          <w:footerReference r:id="rId22" w:type="default"/>
          <w:footerReference r:id="rId23" w:type="even"/>
          <w:type w:val="continuous"/>
          <w:pgSz w:w="16838" w:h="11906" w:orient="landscape"/>
          <w:pgMar w:top="1797" w:right="1440" w:bottom="1797" w:left="1440" w:header="851" w:footer="992" w:gutter="0"/>
          <w:cols w:space="720" w:num="1"/>
          <w:docGrid w:type="linesAndChars" w:linePitch="312" w:charSpace="0"/>
        </w:sectPr>
      </w:pPr>
      <w:r>
        <w:rPr>
          <w:rFonts w:hint="eastAsia" w:ascii="宋体" w:hAnsi="宋体" w:cs="宋体"/>
          <w:sz w:val="24"/>
        </w:rPr>
        <w:t>抄送：中共东阳市纪律检查委员会、东阳市公共资源交易管理委员会办公室、东阳市财政局政府采购管理办公室</w:t>
      </w:r>
    </w:p>
    <w:p>
      <w:pPr>
        <w:snapToGrid w:val="0"/>
        <w:spacing w:before="50" w:after="50"/>
        <w:ind w:right="-828" w:rightChars="-389"/>
        <w:rPr>
          <w:rFonts w:hint="eastAsia" w:ascii="宋体" w:hAnsi="宋体" w:cs="宋体"/>
          <w:b/>
          <w:sz w:val="24"/>
        </w:rPr>
      </w:pPr>
      <w:r>
        <w:rPr>
          <w:rFonts w:hint="eastAsia" w:ascii="宋体" w:hAnsi="宋体" w:cs="宋体"/>
          <w:b/>
          <w:sz w:val="24"/>
        </w:rPr>
        <w:t>附件19：质疑函范本</w:t>
      </w:r>
    </w:p>
    <w:p>
      <w:pPr>
        <w:jc w:val="center"/>
        <w:rPr>
          <w:rFonts w:hint="eastAsia" w:ascii="宋体" w:hAnsi="宋体" w:cs="宋体"/>
          <w:b/>
          <w:bCs/>
          <w:sz w:val="44"/>
          <w:szCs w:val="44"/>
        </w:rPr>
      </w:pPr>
      <w:r>
        <w:rPr>
          <w:rFonts w:hint="eastAsia" w:ascii="宋体" w:hAnsi="宋体" w:cs="宋体"/>
          <w:b/>
          <w:bCs/>
          <w:sz w:val="44"/>
          <w:szCs w:val="44"/>
        </w:rPr>
        <w:t>质疑函范本</w:t>
      </w:r>
    </w:p>
    <w:p>
      <w:pPr>
        <w:adjustRightInd w:val="0"/>
        <w:snapToGrid w:val="0"/>
        <w:spacing w:before="312" w:beforeLines="100" w:line="360" w:lineRule="auto"/>
        <w:rPr>
          <w:rFonts w:hint="eastAsia" w:ascii="宋体" w:hAnsi="宋体" w:cs="宋体"/>
          <w:bCs/>
          <w:sz w:val="32"/>
          <w:szCs w:val="32"/>
        </w:rPr>
      </w:pPr>
      <w:r>
        <w:rPr>
          <w:rFonts w:hint="eastAsia" w:ascii="宋体" w:hAnsi="宋体" w:cs="宋体"/>
          <w:bCs/>
          <w:sz w:val="32"/>
          <w:szCs w:val="32"/>
        </w:rPr>
        <w:t>一、质疑供应商基本信息</w:t>
      </w:r>
    </w:p>
    <w:p>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质疑供应商：</w:t>
      </w:r>
      <w:r>
        <w:rPr>
          <w:rFonts w:hint="eastAsia" w:ascii="宋体" w:hAnsi="宋体" w:cs="宋体"/>
          <w:sz w:val="32"/>
          <w:szCs w:val="32"/>
          <w:u w:val="dotted"/>
        </w:rPr>
        <w:t xml:space="preserve">                                        </w:t>
      </w:r>
    </w:p>
    <w:p>
      <w:pPr>
        <w:adjustRightInd w:val="0"/>
        <w:snapToGrid w:val="0"/>
        <w:spacing w:line="360" w:lineRule="auto"/>
        <w:rPr>
          <w:rFonts w:hint="eastAsia" w:ascii="宋体" w:hAnsi="宋体" w:cs="宋体"/>
          <w:sz w:val="32"/>
          <w:szCs w:val="32"/>
        </w:rPr>
      </w:pPr>
      <w:r>
        <w:rPr>
          <w:rFonts w:hint="eastAsia" w:ascii="宋体" w:hAnsi="宋体" w:cs="宋体"/>
          <w:sz w:val="32"/>
          <w:szCs w:val="32"/>
        </w:rPr>
        <w:t>地址：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pPr>
        <w:adjustRightInd w:val="0"/>
        <w:snapToGrid w:val="0"/>
        <w:spacing w:line="360" w:lineRule="auto"/>
        <w:rPr>
          <w:rFonts w:hint="eastAsia" w:ascii="宋体" w:hAnsi="宋体" w:cs="宋体"/>
          <w:sz w:val="32"/>
          <w:szCs w:val="32"/>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p>
    <w:p>
      <w:pPr>
        <w:adjustRightInd w:val="0"/>
        <w:snapToGrid w:val="0"/>
        <w:spacing w:line="360" w:lineRule="auto"/>
        <w:rPr>
          <w:rFonts w:hint="eastAsia" w:ascii="宋体" w:hAnsi="宋体" w:cs="宋体"/>
          <w:sz w:val="32"/>
          <w:szCs w:val="32"/>
        </w:rPr>
      </w:pP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rPr>
        <w:t xml:space="preserve"> </w:t>
      </w:r>
    </w:p>
    <w:p>
      <w:pPr>
        <w:adjustRightInd w:val="0"/>
        <w:snapToGrid w:val="0"/>
        <w:spacing w:line="360" w:lineRule="auto"/>
        <w:rPr>
          <w:rFonts w:hint="eastAsia" w:ascii="宋体" w:hAnsi="宋体" w:cs="宋体"/>
          <w:sz w:val="32"/>
          <w:szCs w:val="32"/>
        </w:rPr>
      </w:pPr>
      <w:r>
        <w:rPr>
          <w:rFonts w:hint="eastAsia" w:ascii="宋体" w:hAnsi="宋体" w:cs="宋体"/>
          <w:sz w:val="32"/>
          <w:szCs w:val="32"/>
        </w:rPr>
        <w:t xml:space="preserve">地址： </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pPr>
        <w:adjustRightInd w:val="0"/>
        <w:snapToGrid w:val="0"/>
        <w:spacing w:line="360" w:lineRule="auto"/>
        <w:rPr>
          <w:rFonts w:hint="eastAsia" w:ascii="宋体" w:hAnsi="宋体" w:cs="宋体"/>
          <w:bCs/>
          <w:sz w:val="32"/>
          <w:szCs w:val="32"/>
        </w:rPr>
      </w:pPr>
      <w:r>
        <w:rPr>
          <w:rFonts w:hint="eastAsia" w:ascii="宋体" w:hAnsi="宋体" w:cs="宋体"/>
          <w:bCs/>
          <w:sz w:val="32"/>
          <w:szCs w:val="32"/>
        </w:rPr>
        <w:t>二、质疑项目基本情况</w:t>
      </w:r>
    </w:p>
    <w:p>
      <w:pPr>
        <w:adjustRightInd w:val="0"/>
        <w:snapToGrid w:val="0"/>
        <w:spacing w:line="360" w:lineRule="auto"/>
        <w:rPr>
          <w:rFonts w:hint="eastAsia" w:ascii="宋体" w:hAnsi="宋体" w:cs="宋体"/>
          <w:sz w:val="32"/>
          <w:szCs w:val="32"/>
        </w:rPr>
      </w:pPr>
      <w:r>
        <w:rPr>
          <w:rFonts w:hint="eastAsia" w:ascii="宋体" w:hAnsi="宋体" w:cs="宋体"/>
          <w:sz w:val="32"/>
          <w:szCs w:val="32"/>
        </w:rPr>
        <w:t>质疑项目的名称：</w:t>
      </w:r>
      <w:r>
        <w:rPr>
          <w:rFonts w:hint="eastAsia" w:ascii="宋体" w:hAnsi="宋体" w:cs="宋体"/>
          <w:sz w:val="32"/>
          <w:szCs w:val="32"/>
          <w:u w:val="dotted"/>
        </w:rPr>
        <w:t xml:space="preserve">                                      </w:t>
      </w:r>
    </w:p>
    <w:p>
      <w:pPr>
        <w:adjustRightInd w:val="0"/>
        <w:snapToGrid w:val="0"/>
        <w:spacing w:line="360" w:lineRule="auto"/>
        <w:rPr>
          <w:rFonts w:hint="eastAsia" w:ascii="宋体" w:hAnsi="宋体" w:cs="宋体"/>
          <w:sz w:val="32"/>
          <w:szCs w:val="32"/>
        </w:rPr>
      </w:pPr>
      <w:r>
        <w:rPr>
          <w:rFonts w:hint="eastAsia" w:ascii="宋体" w:hAnsi="宋体" w:cs="宋体"/>
          <w:sz w:val="32"/>
          <w:szCs w:val="32"/>
        </w:rPr>
        <w:t>质疑项目的编号：</w:t>
      </w:r>
      <w:r>
        <w:rPr>
          <w:rFonts w:hint="eastAsia" w:ascii="宋体" w:hAnsi="宋体" w:cs="宋体"/>
          <w:sz w:val="32"/>
          <w:szCs w:val="32"/>
          <w:u w:val="dotted"/>
        </w:rPr>
        <w:t xml:space="preserve">               </w:t>
      </w:r>
      <w:r>
        <w:rPr>
          <w:rFonts w:hint="eastAsia" w:ascii="宋体" w:hAnsi="宋体" w:cs="宋体"/>
          <w:sz w:val="32"/>
          <w:szCs w:val="32"/>
        </w:rPr>
        <w:t>包号：</w:t>
      </w:r>
      <w:r>
        <w:rPr>
          <w:rFonts w:hint="eastAsia" w:ascii="宋体" w:hAnsi="宋体" w:cs="宋体"/>
          <w:sz w:val="32"/>
          <w:szCs w:val="32"/>
          <w:u w:val="dotted"/>
        </w:rPr>
        <w:t xml:space="preserve">                 </w:t>
      </w:r>
    </w:p>
    <w:p>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采购人名称：</w:t>
      </w:r>
      <w:r>
        <w:rPr>
          <w:rFonts w:hint="eastAsia" w:ascii="宋体" w:hAnsi="宋体" w:cs="宋体"/>
          <w:sz w:val="32"/>
          <w:szCs w:val="32"/>
          <w:u w:val="dotted"/>
        </w:rPr>
        <w:t xml:space="preserve">                                         </w:t>
      </w:r>
    </w:p>
    <w:p>
      <w:pPr>
        <w:adjustRightInd w:val="0"/>
        <w:snapToGrid w:val="0"/>
        <w:spacing w:line="360" w:lineRule="auto"/>
        <w:rPr>
          <w:rFonts w:hint="eastAsia" w:ascii="宋体" w:hAnsi="宋体" w:cs="宋体"/>
          <w:sz w:val="32"/>
          <w:szCs w:val="32"/>
        </w:rPr>
      </w:pPr>
      <w:r>
        <w:rPr>
          <w:rFonts w:hint="eastAsia" w:ascii="宋体" w:hAnsi="宋体" w:cs="宋体"/>
          <w:sz w:val="32"/>
          <w:szCs w:val="32"/>
        </w:rPr>
        <w:t>采购文件获取日期：</w:t>
      </w:r>
      <w:r>
        <w:rPr>
          <w:rFonts w:hint="eastAsia" w:ascii="宋体" w:hAnsi="宋体" w:cs="宋体"/>
          <w:sz w:val="32"/>
          <w:szCs w:val="32"/>
          <w:u w:val="dotted"/>
        </w:rPr>
        <w:t xml:space="preserve">                                           </w:t>
      </w:r>
    </w:p>
    <w:p>
      <w:pPr>
        <w:adjustRightInd w:val="0"/>
        <w:snapToGrid w:val="0"/>
        <w:spacing w:line="360" w:lineRule="auto"/>
        <w:rPr>
          <w:rFonts w:hint="eastAsia" w:ascii="宋体" w:hAnsi="宋体" w:cs="宋体"/>
          <w:bCs/>
          <w:sz w:val="32"/>
          <w:szCs w:val="32"/>
        </w:rPr>
      </w:pPr>
      <w:r>
        <w:rPr>
          <w:rFonts w:hint="eastAsia" w:ascii="宋体" w:hAnsi="宋体" w:cs="宋体"/>
          <w:bCs/>
          <w:sz w:val="32"/>
          <w:szCs w:val="32"/>
        </w:rPr>
        <w:t>三、质疑事项具体内容</w:t>
      </w:r>
    </w:p>
    <w:p>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质疑事项1：</w:t>
      </w:r>
      <w:r>
        <w:rPr>
          <w:rFonts w:hint="eastAsia" w:ascii="宋体" w:hAnsi="宋体" w:cs="宋体"/>
          <w:sz w:val="32"/>
          <w:szCs w:val="32"/>
          <w:u w:val="dotted"/>
        </w:rPr>
        <w:t xml:space="preserve">                                         </w:t>
      </w:r>
    </w:p>
    <w:p>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事实依据：</w:t>
      </w:r>
      <w:r>
        <w:rPr>
          <w:rFonts w:hint="eastAsia" w:ascii="宋体" w:hAnsi="宋体" w:cs="宋体"/>
          <w:sz w:val="32"/>
          <w:szCs w:val="32"/>
          <w:u w:val="dotted"/>
        </w:rPr>
        <w:t xml:space="preserve">                                          </w:t>
      </w:r>
    </w:p>
    <w:p>
      <w:pPr>
        <w:adjustRightInd w:val="0"/>
        <w:snapToGrid w:val="0"/>
        <w:spacing w:line="360" w:lineRule="auto"/>
        <w:rPr>
          <w:rFonts w:hint="eastAsia" w:ascii="宋体" w:hAnsi="宋体" w:cs="宋体"/>
          <w:sz w:val="32"/>
          <w:szCs w:val="32"/>
        </w:rPr>
      </w:pPr>
      <w:r>
        <w:rPr>
          <w:rFonts w:hint="eastAsia" w:ascii="宋体" w:hAnsi="宋体" w:cs="宋体"/>
          <w:sz w:val="32"/>
          <w:szCs w:val="32"/>
          <w:u w:val="dotted"/>
        </w:rPr>
        <w:t xml:space="preserve">                                                       </w:t>
      </w:r>
    </w:p>
    <w:p>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法律依据：</w:t>
      </w:r>
      <w:r>
        <w:rPr>
          <w:rFonts w:hint="eastAsia" w:ascii="宋体" w:hAnsi="宋体" w:cs="宋体"/>
          <w:sz w:val="32"/>
          <w:szCs w:val="32"/>
          <w:u w:val="dotted"/>
        </w:rPr>
        <w:t xml:space="preserve">                                          </w:t>
      </w:r>
    </w:p>
    <w:p>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u w:val="dotted"/>
        </w:rPr>
        <w:t xml:space="preserve">                                                     </w:t>
      </w:r>
    </w:p>
    <w:p>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质疑事项2</w:t>
      </w:r>
    </w:p>
    <w:p>
      <w:pPr>
        <w:adjustRightInd w:val="0"/>
        <w:snapToGrid w:val="0"/>
        <w:spacing w:line="360" w:lineRule="auto"/>
        <w:rPr>
          <w:rFonts w:hint="eastAsia" w:ascii="宋体" w:hAnsi="宋体" w:cs="宋体"/>
          <w:sz w:val="32"/>
          <w:szCs w:val="32"/>
        </w:rPr>
      </w:pPr>
      <w:r>
        <w:rPr>
          <w:rFonts w:hint="eastAsia" w:ascii="宋体" w:hAnsi="宋体" w:cs="宋体"/>
          <w:sz w:val="32"/>
          <w:szCs w:val="32"/>
        </w:rPr>
        <w:t>……</w:t>
      </w:r>
    </w:p>
    <w:p>
      <w:pPr>
        <w:adjustRightInd w:val="0"/>
        <w:snapToGrid w:val="0"/>
        <w:spacing w:line="360" w:lineRule="auto"/>
        <w:rPr>
          <w:rFonts w:hint="eastAsia" w:ascii="宋体" w:hAnsi="宋体" w:cs="宋体"/>
          <w:bCs/>
          <w:sz w:val="32"/>
          <w:szCs w:val="32"/>
        </w:rPr>
      </w:pPr>
      <w:r>
        <w:rPr>
          <w:rFonts w:hint="eastAsia" w:ascii="宋体" w:hAnsi="宋体" w:cs="宋体"/>
          <w:bCs/>
          <w:sz w:val="32"/>
          <w:szCs w:val="32"/>
        </w:rPr>
        <w:t>四、与质疑事项相关的质疑请求</w:t>
      </w:r>
    </w:p>
    <w:p>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请求：</w:t>
      </w:r>
      <w:r>
        <w:rPr>
          <w:rFonts w:hint="eastAsia" w:ascii="宋体" w:hAnsi="宋体" w:cs="宋体"/>
          <w:sz w:val="32"/>
          <w:szCs w:val="32"/>
          <w:u w:val="dotted"/>
        </w:rPr>
        <w:t xml:space="preserve">                                               </w:t>
      </w:r>
    </w:p>
    <w:p>
      <w:pPr>
        <w:rPr>
          <w:rFonts w:hint="eastAsia" w:ascii="宋体" w:hAnsi="宋体" w:cs="宋体"/>
          <w:sz w:val="30"/>
          <w:szCs w:val="30"/>
        </w:rPr>
      </w:pPr>
      <w:r>
        <w:rPr>
          <w:rFonts w:hint="eastAsia" w:ascii="宋体" w:hAnsi="宋体" w:cs="宋体"/>
          <w:sz w:val="30"/>
          <w:szCs w:val="30"/>
        </w:rPr>
        <w:t xml:space="preserve">签字(签章)：                   公章：                      </w:t>
      </w:r>
    </w:p>
    <w:p>
      <w:pPr>
        <w:rPr>
          <w:rFonts w:hint="eastAsia" w:ascii="宋体" w:hAnsi="宋体" w:cs="宋体"/>
          <w:sz w:val="30"/>
          <w:szCs w:val="30"/>
        </w:rPr>
      </w:pPr>
      <w:r>
        <w:rPr>
          <w:rFonts w:hint="eastAsia" w:ascii="宋体" w:hAnsi="宋体" w:cs="宋体"/>
          <w:sz w:val="30"/>
          <w:szCs w:val="30"/>
        </w:rPr>
        <w:t xml:space="preserve">日期：    </w:t>
      </w:r>
    </w:p>
    <w:p>
      <w:pPr>
        <w:rPr>
          <w:rFonts w:hint="eastAsia" w:ascii="宋体" w:hAnsi="宋体" w:cs="宋体"/>
          <w:b/>
          <w:sz w:val="32"/>
          <w:szCs w:val="32"/>
        </w:rPr>
      </w:pPr>
      <w:r>
        <w:rPr>
          <w:rFonts w:hint="eastAsia" w:ascii="宋体" w:hAnsi="宋体" w:cs="宋体"/>
          <w:b/>
          <w:sz w:val="32"/>
          <w:szCs w:val="32"/>
        </w:rPr>
        <w:t>质疑函制作说明：</w:t>
      </w:r>
    </w:p>
    <w:p>
      <w:pPr>
        <w:widowControl/>
        <w:ind w:firstLine="646" w:firstLineChars="200"/>
        <w:jc w:val="left"/>
        <w:rPr>
          <w:rFonts w:hint="eastAsia" w:ascii="宋体" w:hAnsi="宋体" w:cs="宋体"/>
          <w:sz w:val="32"/>
          <w:szCs w:val="32"/>
        </w:rPr>
      </w:pPr>
      <w:r>
        <w:rPr>
          <w:rFonts w:hint="eastAsia" w:ascii="宋体" w:hAnsi="宋体" w:cs="宋体"/>
          <w:sz w:val="32"/>
          <w:szCs w:val="32"/>
        </w:rPr>
        <w:t>1.供应商提出质疑时，应提交质疑函和必要的证明材料。</w:t>
      </w:r>
    </w:p>
    <w:p>
      <w:pPr>
        <w:widowControl/>
        <w:ind w:firstLine="646" w:firstLineChars="200"/>
        <w:jc w:val="left"/>
        <w:rPr>
          <w:rFonts w:hint="eastAsia" w:ascii="宋体" w:hAnsi="宋体" w:cs="宋体"/>
          <w:sz w:val="32"/>
          <w:szCs w:val="32"/>
        </w:rPr>
      </w:pPr>
      <w:r>
        <w:rPr>
          <w:rFonts w:hint="eastAsia" w:ascii="宋体" w:hAnsi="宋体" w:cs="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pPr>
        <w:widowControl/>
        <w:ind w:firstLine="646" w:firstLineChars="200"/>
        <w:jc w:val="left"/>
        <w:rPr>
          <w:rFonts w:hint="eastAsia" w:ascii="宋体" w:hAnsi="宋体" w:cs="宋体"/>
          <w:sz w:val="32"/>
          <w:szCs w:val="32"/>
        </w:rPr>
      </w:pPr>
      <w:r>
        <w:rPr>
          <w:rFonts w:hint="eastAsia" w:ascii="宋体" w:hAnsi="宋体" w:cs="宋体"/>
          <w:sz w:val="32"/>
          <w:szCs w:val="32"/>
        </w:rPr>
        <w:t>3.质疑供应商若对项目的某一分包进行质疑，质疑函中应列明具体分包号。</w:t>
      </w:r>
    </w:p>
    <w:p>
      <w:pPr>
        <w:widowControl/>
        <w:ind w:firstLine="646" w:firstLineChars="200"/>
        <w:jc w:val="left"/>
        <w:rPr>
          <w:rFonts w:hint="eastAsia" w:ascii="宋体" w:hAnsi="宋体" w:cs="宋体"/>
          <w:sz w:val="32"/>
          <w:szCs w:val="32"/>
        </w:rPr>
      </w:pPr>
      <w:r>
        <w:rPr>
          <w:rFonts w:hint="eastAsia" w:ascii="宋体" w:hAnsi="宋体" w:cs="宋体"/>
          <w:sz w:val="32"/>
          <w:szCs w:val="32"/>
        </w:rPr>
        <w:t>4.质疑函的质疑事项应具体、明确，并有必要的事实依据和法律依据。</w:t>
      </w:r>
    </w:p>
    <w:p>
      <w:pPr>
        <w:widowControl/>
        <w:ind w:firstLine="646" w:firstLineChars="200"/>
        <w:jc w:val="left"/>
        <w:rPr>
          <w:rFonts w:hint="eastAsia" w:ascii="宋体" w:hAnsi="宋体" w:cs="宋体"/>
          <w:sz w:val="32"/>
          <w:szCs w:val="32"/>
        </w:rPr>
      </w:pPr>
      <w:r>
        <w:rPr>
          <w:rFonts w:hint="eastAsia" w:ascii="宋体" w:hAnsi="宋体" w:cs="宋体"/>
          <w:sz w:val="32"/>
          <w:szCs w:val="32"/>
        </w:rPr>
        <w:t>5.质疑函的质疑请求应与质疑事项相关。</w:t>
      </w:r>
    </w:p>
    <w:p>
      <w:pPr>
        <w:widowControl/>
        <w:ind w:firstLine="646" w:firstLineChars="200"/>
        <w:jc w:val="left"/>
        <w:rPr>
          <w:rFonts w:hint="eastAsia" w:ascii="宋体" w:hAnsi="宋体" w:cs="宋体"/>
          <w:sz w:val="32"/>
          <w:szCs w:val="32"/>
        </w:rPr>
      </w:pPr>
      <w:r>
        <w:rPr>
          <w:rFonts w:hint="eastAsia" w:ascii="宋体" w:hAnsi="宋体" w:cs="宋体"/>
          <w:sz w:val="32"/>
          <w:szCs w:val="32"/>
        </w:rPr>
        <w:t>6.质疑供应商为自然人的，质疑函应由本人签字；质疑供应商为法人或者其他组织的，质疑函应由法定代表人、主要负责人，或者其授权代表签字或者盖章，并加盖公章。</w:t>
      </w:r>
    </w:p>
    <w:p>
      <w:pPr>
        <w:widowControl/>
        <w:ind w:firstLine="606" w:firstLineChars="200"/>
        <w:jc w:val="left"/>
        <w:rPr>
          <w:rFonts w:hint="eastAsia" w:ascii="宋体" w:hAnsi="宋体" w:cs="宋体"/>
          <w:sz w:val="30"/>
          <w:szCs w:val="30"/>
        </w:rPr>
      </w:pPr>
    </w:p>
    <w:p>
      <w:pPr>
        <w:pStyle w:val="2"/>
        <w:ind w:left="426" w:firstLine="426"/>
        <w:rPr>
          <w:rFonts w:hint="eastAsia" w:ascii="宋体" w:hAnsi="宋体" w:cs="宋体"/>
        </w:rPr>
      </w:pPr>
    </w:p>
    <w:p>
      <w:pPr>
        <w:pStyle w:val="2"/>
        <w:ind w:left="426" w:firstLine="426"/>
        <w:rPr>
          <w:rFonts w:hint="eastAsia" w:ascii="宋体" w:hAnsi="宋体" w:cs="宋体"/>
        </w:rPr>
      </w:pPr>
    </w:p>
    <w:p>
      <w:pPr>
        <w:pStyle w:val="2"/>
        <w:ind w:left="0" w:leftChars="0" w:firstLine="0" w:firstLineChars="0"/>
        <w:rPr>
          <w:rFonts w:hint="eastAsia" w:ascii="宋体" w:hAnsi="宋体" w:cs="宋体"/>
        </w:rPr>
      </w:pPr>
    </w:p>
    <w:p>
      <w:pPr>
        <w:snapToGrid w:val="0"/>
        <w:spacing w:before="50" w:after="50"/>
        <w:ind w:right="-828" w:rightChars="-389"/>
        <w:rPr>
          <w:rFonts w:hint="eastAsia" w:ascii="宋体" w:hAnsi="宋体" w:cs="宋体"/>
          <w:b/>
          <w:sz w:val="24"/>
        </w:rPr>
      </w:pPr>
      <w:r>
        <w:rPr>
          <w:rFonts w:hint="eastAsia" w:ascii="宋体" w:hAnsi="宋体" w:cs="宋体"/>
          <w:b/>
          <w:sz w:val="24"/>
        </w:rPr>
        <w:br w:type="page"/>
      </w:r>
      <w:r>
        <w:rPr>
          <w:rFonts w:hint="eastAsia" w:ascii="宋体" w:hAnsi="宋体" w:cs="宋体"/>
          <w:b/>
          <w:sz w:val="24"/>
        </w:rPr>
        <w:t>附件20：投诉书范本</w:t>
      </w:r>
    </w:p>
    <w:p>
      <w:pPr>
        <w:jc w:val="center"/>
        <w:rPr>
          <w:rFonts w:hint="eastAsia" w:ascii="宋体" w:hAnsi="宋体" w:cs="宋体"/>
          <w:b/>
          <w:sz w:val="44"/>
          <w:szCs w:val="44"/>
        </w:rPr>
      </w:pPr>
      <w:r>
        <w:rPr>
          <w:rFonts w:hint="eastAsia" w:ascii="宋体" w:hAnsi="宋体" w:cs="宋体"/>
          <w:b/>
          <w:sz w:val="44"/>
          <w:szCs w:val="44"/>
        </w:rPr>
        <w:t>投诉书范本</w:t>
      </w:r>
    </w:p>
    <w:p>
      <w:pPr>
        <w:rPr>
          <w:rFonts w:hint="eastAsia" w:ascii="宋体" w:hAnsi="宋体" w:cs="宋体"/>
          <w:sz w:val="32"/>
          <w:szCs w:val="32"/>
        </w:rPr>
      </w:pPr>
      <w:r>
        <w:rPr>
          <w:rFonts w:hint="eastAsia" w:ascii="宋体" w:hAnsi="宋体" w:cs="宋体"/>
          <w:sz w:val="32"/>
          <w:szCs w:val="32"/>
        </w:rPr>
        <w:t>一、投诉相关主体基本情况</w:t>
      </w:r>
    </w:p>
    <w:p>
      <w:pPr>
        <w:rPr>
          <w:rFonts w:hint="eastAsia" w:ascii="宋体" w:hAnsi="宋体" w:cs="宋体"/>
          <w:sz w:val="32"/>
          <w:szCs w:val="32"/>
          <w:u w:val="dotted"/>
        </w:rPr>
      </w:pPr>
      <w:r>
        <w:rPr>
          <w:rFonts w:hint="eastAsia" w:ascii="宋体" w:hAnsi="宋体" w:cs="宋体"/>
          <w:sz w:val="32"/>
          <w:szCs w:val="32"/>
        </w:rPr>
        <w:t>投诉人：</w:t>
      </w:r>
      <w:r>
        <w:rPr>
          <w:rFonts w:hint="eastAsia" w:ascii="宋体" w:hAnsi="宋体" w:cs="宋体"/>
          <w:sz w:val="32"/>
          <w:szCs w:val="32"/>
          <w:u w:val="dotted"/>
        </w:rPr>
        <w:t xml:space="preserve">                                               </w:t>
      </w:r>
    </w:p>
    <w:p>
      <w:pPr>
        <w:rPr>
          <w:rFonts w:hint="eastAsia"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tabs>
          <w:tab w:val="left" w:pos="6510"/>
        </w:tabs>
        <w:jc w:val="left"/>
        <w:rPr>
          <w:rFonts w:hint="eastAsia" w:ascii="宋体" w:hAnsi="宋体" w:cs="宋体"/>
          <w:sz w:val="32"/>
          <w:szCs w:val="32"/>
        </w:rPr>
      </w:pPr>
      <w:r>
        <w:rPr>
          <w:rFonts w:hint="eastAsia" w:ascii="宋体" w:hAnsi="宋体" w:cs="宋体"/>
          <w:sz w:val="32"/>
          <w:szCs w:val="32"/>
        </w:rPr>
        <w:t>法定代表人/主要负责人：</w:t>
      </w:r>
      <w:r>
        <w:rPr>
          <w:rFonts w:hint="eastAsia" w:ascii="宋体" w:hAnsi="宋体" w:cs="宋体"/>
          <w:sz w:val="32"/>
          <w:szCs w:val="32"/>
          <w:u w:val="dotted"/>
        </w:rPr>
        <w:t xml:space="preserve">                                   </w:t>
      </w:r>
      <w:r>
        <w:rPr>
          <w:rFonts w:hint="eastAsia" w:ascii="宋体" w:hAnsi="宋体" w:cs="宋体"/>
          <w:sz w:val="32"/>
          <w:szCs w:val="32"/>
        </w:rPr>
        <w:t xml:space="preserve">  </w:t>
      </w:r>
    </w:p>
    <w:p>
      <w:pPr>
        <w:tabs>
          <w:tab w:val="left" w:pos="6510"/>
        </w:tabs>
        <w:rPr>
          <w:rFonts w:hint="eastAsia" w:ascii="宋体" w:hAnsi="宋体" w:cs="宋体"/>
          <w:sz w:val="32"/>
          <w:szCs w:val="32"/>
          <w:u w:val="dotted"/>
        </w:rPr>
      </w:pPr>
      <w:r>
        <w:rPr>
          <w:rFonts w:hint="eastAsia" w:ascii="宋体" w:hAnsi="宋体" w:cs="宋体"/>
          <w:sz w:val="32"/>
          <w:szCs w:val="32"/>
        </w:rPr>
        <w:t>联系电话：</w:t>
      </w:r>
      <w:r>
        <w:rPr>
          <w:rFonts w:hint="eastAsia" w:ascii="宋体" w:hAnsi="宋体" w:cs="宋体"/>
          <w:sz w:val="32"/>
          <w:szCs w:val="32"/>
          <w:u w:val="dotted"/>
        </w:rPr>
        <w:t xml:space="preserve">                                             </w:t>
      </w:r>
    </w:p>
    <w:p>
      <w:pPr>
        <w:rPr>
          <w:rFonts w:hint="eastAsia"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pPr>
        <w:rPr>
          <w:rFonts w:hint="eastAsia" w:ascii="宋体" w:hAnsi="宋体" w:cs="宋体"/>
          <w:sz w:val="32"/>
          <w:szCs w:val="32"/>
          <w:u w:val="dotted"/>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r>
        <w:rPr>
          <w:rFonts w:hint="eastAsia" w:ascii="宋体" w:hAnsi="宋体" w:cs="宋体"/>
          <w:sz w:val="32"/>
          <w:szCs w:val="32"/>
          <w:u w:val="dotted"/>
        </w:rPr>
        <w:t xml:space="preserve">                   </w:t>
      </w:r>
    </w:p>
    <w:p>
      <w:pPr>
        <w:rPr>
          <w:rFonts w:hint="eastAsia" w:ascii="宋体" w:hAnsi="宋体" w:cs="宋体"/>
          <w:sz w:val="32"/>
          <w:szCs w:val="32"/>
          <w:u w:val="single"/>
        </w:rPr>
      </w:pPr>
      <w:r>
        <w:rPr>
          <w:rFonts w:hint="eastAsia" w:ascii="宋体" w:hAnsi="宋体" w:cs="宋体"/>
          <w:sz w:val="32"/>
          <w:szCs w:val="32"/>
        </w:rPr>
        <w:t>被投诉人1：</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rPr>
          <w:rFonts w:hint="eastAsia"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rPr>
          <w:rFonts w:hint="eastAsia"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rPr>
          <w:rFonts w:hint="eastAsia" w:ascii="宋体" w:hAnsi="宋体" w:cs="宋体"/>
          <w:sz w:val="32"/>
          <w:szCs w:val="32"/>
        </w:rPr>
      </w:pPr>
      <w:r>
        <w:rPr>
          <w:rFonts w:hint="eastAsia" w:ascii="宋体" w:hAnsi="宋体" w:cs="宋体"/>
          <w:sz w:val="32"/>
          <w:szCs w:val="32"/>
        </w:rPr>
        <w:t>被投诉人2</w:t>
      </w:r>
    </w:p>
    <w:p>
      <w:pPr>
        <w:rPr>
          <w:rFonts w:hint="eastAsia" w:ascii="宋体" w:hAnsi="宋体" w:cs="宋体"/>
          <w:sz w:val="32"/>
          <w:szCs w:val="32"/>
          <w:u w:val="dotted"/>
        </w:rPr>
      </w:pPr>
      <w:r>
        <w:rPr>
          <w:rFonts w:hint="eastAsia" w:ascii="宋体" w:hAnsi="宋体" w:cs="宋体"/>
          <w:sz w:val="32"/>
          <w:szCs w:val="32"/>
        </w:rPr>
        <w:t>……</w:t>
      </w:r>
    </w:p>
    <w:p>
      <w:pPr>
        <w:rPr>
          <w:rFonts w:hint="eastAsia" w:ascii="宋体" w:hAnsi="宋体" w:cs="宋体"/>
          <w:sz w:val="32"/>
          <w:szCs w:val="32"/>
          <w:u w:val="single"/>
        </w:rPr>
      </w:pPr>
      <w:r>
        <w:rPr>
          <w:rFonts w:hint="eastAsia" w:ascii="宋体" w:hAnsi="宋体" w:cs="宋体"/>
          <w:sz w:val="32"/>
          <w:szCs w:val="32"/>
        </w:rPr>
        <w:t>相关供应商：</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rPr>
          <w:rFonts w:hint="eastAsia"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rPr>
          <w:rFonts w:hint="eastAsia"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rPr>
          <w:rFonts w:hint="eastAsia" w:ascii="宋体" w:hAnsi="宋体" w:cs="宋体"/>
          <w:sz w:val="32"/>
          <w:szCs w:val="32"/>
        </w:rPr>
      </w:pPr>
      <w:r>
        <w:rPr>
          <w:rFonts w:hint="eastAsia" w:ascii="宋体" w:hAnsi="宋体" w:cs="宋体"/>
          <w:sz w:val="32"/>
          <w:szCs w:val="32"/>
        </w:rPr>
        <w:t>二、投诉项目基本情况</w:t>
      </w:r>
    </w:p>
    <w:p>
      <w:pPr>
        <w:rPr>
          <w:rFonts w:hint="eastAsia" w:ascii="宋体" w:hAnsi="宋体" w:cs="宋体"/>
          <w:sz w:val="32"/>
          <w:szCs w:val="32"/>
          <w:u w:val="dotted"/>
        </w:rPr>
      </w:pPr>
      <w:r>
        <w:rPr>
          <w:rFonts w:hint="eastAsia" w:ascii="宋体" w:hAnsi="宋体" w:cs="宋体"/>
          <w:sz w:val="32"/>
          <w:szCs w:val="32"/>
        </w:rPr>
        <w:t>采购项目名称：</w:t>
      </w:r>
      <w:r>
        <w:rPr>
          <w:rFonts w:hint="eastAsia" w:ascii="宋体" w:hAnsi="宋体" w:cs="宋体"/>
          <w:sz w:val="32"/>
          <w:szCs w:val="32"/>
          <w:u w:val="dotted"/>
        </w:rPr>
        <w:t xml:space="preserve">                                        </w:t>
      </w:r>
    </w:p>
    <w:p>
      <w:pPr>
        <w:rPr>
          <w:rFonts w:hint="eastAsia" w:ascii="宋体" w:hAnsi="宋体" w:cs="宋体"/>
          <w:sz w:val="32"/>
          <w:szCs w:val="32"/>
          <w:u w:val="single"/>
        </w:rPr>
      </w:pPr>
      <w:r>
        <w:rPr>
          <w:rFonts w:hint="eastAsia" w:ascii="宋体" w:hAnsi="宋体" w:cs="宋体"/>
          <w:sz w:val="32"/>
          <w:szCs w:val="32"/>
        </w:rPr>
        <w:t>采购项目编号：</w:t>
      </w:r>
      <w:r>
        <w:rPr>
          <w:rFonts w:hint="eastAsia" w:ascii="宋体" w:hAnsi="宋体" w:cs="宋体"/>
          <w:sz w:val="32"/>
          <w:szCs w:val="32"/>
          <w:u w:val="dotted"/>
        </w:rPr>
        <w:t xml:space="preserve">                 </w:t>
      </w:r>
      <w:r>
        <w:rPr>
          <w:rFonts w:hint="eastAsia" w:ascii="宋体" w:hAnsi="宋体" w:cs="宋体"/>
          <w:sz w:val="32"/>
          <w:szCs w:val="32"/>
        </w:rPr>
        <w:t>包号：</w:t>
      </w:r>
      <w:r>
        <w:rPr>
          <w:rFonts w:hint="eastAsia" w:ascii="宋体" w:hAnsi="宋体" w:cs="宋体"/>
          <w:sz w:val="32"/>
          <w:szCs w:val="32"/>
          <w:u w:val="dotted"/>
        </w:rPr>
        <w:t xml:space="preserve">              </w:t>
      </w:r>
    </w:p>
    <w:p>
      <w:pPr>
        <w:rPr>
          <w:rFonts w:hint="eastAsia" w:ascii="宋体" w:hAnsi="宋体" w:cs="宋体"/>
          <w:sz w:val="32"/>
          <w:szCs w:val="32"/>
        </w:rPr>
      </w:pPr>
      <w:r>
        <w:rPr>
          <w:rFonts w:hint="eastAsia" w:ascii="宋体" w:hAnsi="宋体" w:cs="宋体"/>
          <w:sz w:val="32"/>
          <w:szCs w:val="32"/>
        </w:rPr>
        <w:t>采购人名称：</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pPr>
        <w:rPr>
          <w:rFonts w:hint="eastAsia" w:ascii="宋体" w:hAnsi="宋体" w:cs="宋体"/>
          <w:sz w:val="32"/>
          <w:szCs w:val="32"/>
          <w:u w:val="single"/>
        </w:rPr>
      </w:pPr>
      <w:r>
        <w:rPr>
          <w:rFonts w:hint="eastAsia" w:ascii="宋体" w:hAnsi="宋体" w:cs="宋体"/>
          <w:sz w:val="32"/>
          <w:szCs w:val="32"/>
        </w:rPr>
        <w:t>代理机构名称：</w:t>
      </w:r>
      <w:r>
        <w:rPr>
          <w:rFonts w:hint="eastAsia" w:ascii="宋体" w:hAnsi="宋体" w:cs="宋体"/>
          <w:sz w:val="32"/>
          <w:szCs w:val="32"/>
          <w:u w:val="dotted"/>
        </w:rPr>
        <w:t xml:space="preserve">                                         </w:t>
      </w:r>
    </w:p>
    <w:p>
      <w:pPr>
        <w:rPr>
          <w:rFonts w:hint="eastAsia" w:ascii="宋体" w:hAnsi="宋体" w:cs="宋体"/>
          <w:sz w:val="32"/>
          <w:szCs w:val="32"/>
          <w:u w:val="dotted"/>
        </w:rPr>
      </w:pPr>
      <w:r>
        <w:rPr>
          <w:rFonts w:hint="eastAsia" w:ascii="宋体" w:hAnsi="宋体" w:cs="宋体"/>
          <w:sz w:val="32"/>
          <w:szCs w:val="32"/>
        </w:rPr>
        <w:t>采购文件公告: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pPr>
        <w:rPr>
          <w:rFonts w:hint="eastAsia" w:ascii="宋体" w:hAnsi="宋体" w:cs="宋体"/>
          <w:sz w:val="32"/>
          <w:szCs w:val="32"/>
          <w:u w:val="single"/>
        </w:rPr>
      </w:pPr>
      <w:r>
        <w:rPr>
          <w:rFonts w:hint="eastAsia" w:ascii="宋体" w:hAnsi="宋体" w:cs="宋体"/>
          <w:sz w:val="32"/>
          <w:szCs w:val="32"/>
        </w:rPr>
        <w:t>采购结果公告: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pPr>
        <w:rPr>
          <w:rFonts w:hint="eastAsia" w:ascii="宋体" w:hAnsi="宋体" w:cs="宋体"/>
          <w:sz w:val="32"/>
          <w:szCs w:val="32"/>
        </w:rPr>
      </w:pPr>
      <w:r>
        <w:rPr>
          <w:rFonts w:hint="eastAsia" w:ascii="宋体" w:hAnsi="宋体" w:cs="宋体"/>
          <w:sz w:val="32"/>
          <w:szCs w:val="32"/>
        </w:rPr>
        <w:t>三、质疑基本情况</w:t>
      </w:r>
    </w:p>
    <w:p>
      <w:pPr>
        <w:ind w:firstLine="646" w:firstLineChars="200"/>
        <w:rPr>
          <w:rFonts w:hint="eastAsia" w:ascii="宋体" w:hAnsi="宋体" w:cs="宋体"/>
          <w:sz w:val="32"/>
          <w:szCs w:val="32"/>
          <w:u w:val="dotted"/>
        </w:rPr>
      </w:pPr>
      <w:r>
        <w:rPr>
          <w:rFonts w:hint="eastAsia" w:ascii="宋体" w:hAnsi="宋体" w:cs="宋体"/>
          <w:sz w:val="32"/>
          <w:szCs w:val="32"/>
        </w:rPr>
        <w:t>投诉人于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日,向</w:t>
      </w:r>
      <w:r>
        <w:rPr>
          <w:rFonts w:hint="eastAsia" w:ascii="宋体" w:hAnsi="宋体" w:cs="宋体"/>
          <w:sz w:val="32"/>
          <w:szCs w:val="32"/>
          <w:u w:val="dotted"/>
        </w:rPr>
        <w:t xml:space="preserve">                   </w:t>
      </w:r>
      <w:r>
        <w:rPr>
          <w:rFonts w:hint="eastAsia" w:ascii="宋体" w:hAnsi="宋体" w:cs="宋体"/>
          <w:sz w:val="32"/>
          <w:szCs w:val="32"/>
        </w:rPr>
        <w:t>提出质疑，质疑事项为：</w:t>
      </w:r>
      <w:r>
        <w:rPr>
          <w:rFonts w:hint="eastAsia" w:ascii="宋体" w:hAnsi="宋体" w:cs="宋体"/>
          <w:sz w:val="32"/>
          <w:szCs w:val="32"/>
          <w:u w:val="dotted"/>
        </w:rPr>
        <w:t xml:space="preserve">                                </w:t>
      </w:r>
    </w:p>
    <w:p>
      <w:pPr>
        <w:rPr>
          <w:rFonts w:hint="eastAsia" w:ascii="宋体" w:hAnsi="宋体" w:cs="宋体"/>
          <w:sz w:val="32"/>
          <w:szCs w:val="32"/>
          <w:u w:val="dotted"/>
        </w:rPr>
      </w:pPr>
      <w:r>
        <w:rPr>
          <w:rFonts w:hint="eastAsia" w:ascii="宋体" w:hAnsi="宋体" w:cs="宋体"/>
          <w:sz w:val="32"/>
          <w:szCs w:val="32"/>
          <w:u w:val="dotted"/>
        </w:rPr>
        <w:t xml:space="preserve">                                                     </w:t>
      </w:r>
      <w:r>
        <w:rPr>
          <w:rFonts w:hint="eastAsia" w:ascii="宋体" w:hAnsi="宋体" w:cs="宋体"/>
          <w:sz w:val="32"/>
          <w:szCs w:val="32"/>
        </w:rPr>
        <w:t xml:space="preserve">  </w:t>
      </w:r>
    </w:p>
    <w:p>
      <w:pPr>
        <w:ind w:firstLine="484" w:firstLineChars="150"/>
        <w:rPr>
          <w:rFonts w:hint="eastAsia" w:ascii="宋体" w:hAnsi="宋体" w:cs="宋体"/>
          <w:sz w:val="32"/>
          <w:szCs w:val="32"/>
        </w:rPr>
      </w:pPr>
      <w:r>
        <w:rPr>
          <w:rFonts w:hint="eastAsia" w:ascii="宋体" w:hAnsi="宋体" w:cs="宋体"/>
          <w:sz w:val="32"/>
          <w:szCs w:val="32"/>
          <w:u w:val="dotted"/>
        </w:rPr>
        <w:t>采购人/代理机构</w:t>
      </w:r>
      <w:r>
        <w:rPr>
          <w:rFonts w:hint="eastAsia" w:ascii="宋体" w:hAnsi="宋体" w:cs="宋体"/>
          <w:sz w:val="32"/>
          <w:szCs w:val="32"/>
        </w:rPr>
        <w:t>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日,就质疑事项作出了答复/没有在法定期限内作出答复。</w:t>
      </w:r>
    </w:p>
    <w:p>
      <w:pPr>
        <w:rPr>
          <w:rFonts w:hint="eastAsia" w:ascii="宋体" w:hAnsi="宋体" w:cs="宋体"/>
          <w:sz w:val="32"/>
          <w:szCs w:val="32"/>
        </w:rPr>
      </w:pPr>
      <w:r>
        <w:rPr>
          <w:rFonts w:hint="eastAsia" w:ascii="宋体" w:hAnsi="宋体" w:cs="宋体"/>
          <w:sz w:val="32"/>
          <w:szCs w:val="32"/>
        </w:rPr>
        <w:t>四、投诉事项具体内容</w:t>
      </w:r>
    </w:p>
    <w:p>
      <w:pPr>
        <w:rPr>
          <w:rFonts w:hint="eastAsia" w:ascii="宋体" w:hAnsi="宋体" w:cs="宋体"/>
          <w:sz w:val="32"/>
          <w:szCs w:val="32"/>
          <w:u w:val="single"/>
        </w:rPr>
      </w:pPr>
      <w:r>
        <w:rPr>
          <w:rFonts w:hint="eastAsia" w:ascii="宋体" w:hAnsi="宋体" w:cs="宋体"/>
          <w:sz w:val="32"/>
          <w:szCs w:val="32"/>
        </w:rPr>
        <w:t>投诉事项 1：</w:t>
      </w:r>
      <w:r>
        <w:rPr>
          <w:rFonts w:hint="eastAsia" w:ascii="宋体" w:hAnsi="宋体" w:cs="宋体"/>
          <w:sz w:val="32"/>
          <w:szCs w:val="32"/>
          <w:u w:val="dotted"/>
        </w:rPr>
        <w:t xml:space="preserve">                                       </w:t>
      </w:r>
    </w:p>
    <w:p>
      <w:pPr>
        <w:rPr>
          <w:rFonts w:hint="eastAsia" w:ascii="宋体" w:hAnsi="宋体" w:cs="宋体"/>
          <w:sz w:val="32"/>
          <w:szCs w:val="32"/>
        </w:rPr>
      </w:pPr>
      <w:r>
        <w:rPr>
          <w:rFonts w:hint="eastAsia" w:ascii="宋体" w:hAnsi="宋体" w:cs="宋体"/>
          <w:sz w:val="32"/>
          <w:szCs w:val="32"/>
        </w:rPr>
        <w:t>事实依据：</w:t>
      </w:r>
      <w:r>
        <w:rPr>
          <w:rFonts w:hint="eastAsia" w:ascii="宋体" w:hAnsi="宋体" w:cs="宋体"/>
          <w:sz w:val="32"/>
          <w:szCs w:val="32"/>
          <w:u w:val="dotted"/>
        </w:rPr>
        <w:t xml:space="preserve">                                         </w:t>
      </w:r>
    </w:p>
    <w:p>
      <w:pPr>
        <w:rPr>
          <w:rFonts w:hint="eastAsia" w:ascii="宋体" w:hAnsi="宋体" w:cs="宋体"/>
          <w:sz w:val="32"/>
          <w:szCs w:val="32"/>
          <w:u w:val="dotted"/>
        </w:rPr>
      </w:pPr>
      <w:r>
        <w:rPr>
          <w:rFonts w:hint="eastAsia" w:ascii="宋体" w:hAnsi="宋体" w:cs="宋体"/>
          <w:sz w:val="32"/>
          <w:szCs w:val="32"/>
          <w:u w:val="dotted"/>
        </w:rPr>
        <w:t xml:space="preserve">                                                      </w:t>
      </w:r>
    </w:p>
    <w:p>
      <w:pPr>
        <w:rPr>
          <w:rFonts w:hint="eastAsia" w:ascii="宋体" w:hAnsi="宋体" w:cs="宋体"/>
          <w:sz w:val="32"/>
          <w:szCs w:val="32"/>
          <w:u w:val="single"/>
        </w:rPr>
      </w:pPr>
      <w:r>
        <w:rPr>
          <w:rFonts w:hint="eastAsia" w:ascii="宋体" w:hAnsi="宋体" w:cs="宋体"/>
          <w:sz w:val="32"/>
          <w:szCs w:val="32"/>
        </w:rPr>
        <w:t>法律依据：</w:t>
      </w:r>
      <w:r>
        <w:rPr>
          <w:rFonts w:hint="eastAsia" w:ascii="宋体" w:hAnsi="宋体" w:cs="宋体"/>
          <w:sz w:val="32"/>
          <w:szCs w:val="32"/>
          <w:u w:val="dotted"/>
        </w:rPr>
        <w:t xml:space="preserve">                                          </w:t>
      </w:r>
    </w:p>
    <w:p>
      <w:pPr>
        <w:rPr>
          <w:rFonts w:hint="eastAsia" w:ascii="宋体" w:hAnsi="宋体" w:cs="宋体"/>
          <w:sz w:val="32"/>
          <w:szCs w:val="32"/>
          <w:u w:val="dotted"/>
        </w:rPr>
      </w:pPr>
      <w:r>
        <w:rPr>
          <w:rFonts w:hint="eastAsia" w:ascii="宋体" w:hAnsi="宋体" w:cs="宋体"/>
          <w:sz w:val="32"/>
          <w:szCs w:val="32"/>
          <w:u w:val="dotted"/>
        </w:rPr>
        <w:t xml:space="preserve">                                                      </w:t>
      </w:r>
    </w:p>
    <w:p>
      <w:pPr>
        <w:rPr>
          <w:rFonts w:hint="eastAsia" w:ascii="宋体" w:hAnsi="宋体" w:cs="宋体"/>
          <w:sz w:val="32"/>
          <w:szCs w:val="32"/>
        </w:rPr>
      </w:pPr>
      <w:r>
        <w:rPr>
          <w:rFonts w:hint="eastAsia" w:ascii="宋体" w:hAnsi="宋体" w:cs="宋体"/>
          <w:sz w:val="32"/>
          <w:szCs w:val="32"/>
        </w:rPr>
        <w:t>投诉事项2</w:t>
      </w:r>
    </w:p>
    <w:p>
      <w:pPr>
        <w:rPr>
          <w:rFonts w:hint="eastAsia" w:ascii="宋体" w:hAnsi="宋体" w:cs="宋体"/>
          <w:sz w:val="32"/>
          <w:szCs w:val="32"/>
          <w:u w:val="dotted"/>
        </w:rPr>
      </w:pPr>
      <w:r>
        <w:rPr>
          <w:rFonts w:hint="eastAsia" w:ascii="宋体" w:hAnsi="宋体" w:cs="宋体"/>
          <w:sz w:val="32"/>
          <w:szCs w:val="32"/>
        </w:rPr>
        <w:t>……</w:t>
      </w:r>
    </w:p>
    <w:p>
      <w:pPr>
        <w:rPr>
          <w:rFonts w:hint="eastAsia" w:ascii="宋体" w:hAnsi="宋体" w:cs="宋体"/>
          <w:sz w:val="32"/>
          <w:szCs w:val="32"/>
        </w:rPr>
      </w:pPr>
      <w:r>
        <w:rPr>
          <w:rFonts w:hint="eastAsia" w:ascii="宋体" w:hAnsi="宋体" w:cs="宋体"/>
          <w:sz w:val="32"/>
          <w:szCs w:val="32"/>
        </w:rPr>
        <w:t>五、与投诉事项相关的投诉请求</w:t>
      </w:r>
    </w:p>
    <w:p>
      <w:pPr>
        <w:rPr>
          <w:rFonts w:hint="eastAsia" w:ascii="宋体" w:hAnsi="宋体" w:cs="宋体"/>
          <w:sz w:val="32"/>
          <w:szCs w:val="32"/>
        </w:rPr>
      </w:pPr>
      <w:r>
        <w:rPr>
          <w:rFonts w:hint="eastAsia" w:ascii="宋体" w:hAnsi="宋体" w:cs="宋体"/>
          <w:sz w:val="32"/>
          <w:szCs w:val="32"/>
        </w:rPr>
        <w:t>请求：</w:t>
      </w:r>
      <w:r>
        <w:rPr>
          <w:rFonts w:hint="eastAsia" w:ascii="宋体" w:hAnsi="宋体" w:cs="宋体"/>
          <w:sz w:val="32"/>
          <w:szCs w:val="32"/>
          <w:u w:val="dotted"/>
        </w:rPr>
        <w:t xml:space="preserve">                                              </w:t>
      </w:r>
      <w:r>
        <w:rPr>
          <w:rFonts w:hint="eastAsia" w:ascii="宋体" w:hAnsi="宋体" w:cs="宋体"/>
          <w:sz w:val="32"/>
          <w:szCs w:val="32"/>
        </w:rPr>
        <w:t xml:space="preserve"> </w:t>
      </w:r>
    </w:p>
    <w:p>
      <w:pPr>
        <w:rPr>
          <w:rFonts w:hint="eastAsia" w:ascii="宋体" w:hAnsi="宋体" w:cs="宋体"/>
          <w:sz w:val="32"/>
          <w:szCs w:val="32"/>
          <w:u w:val="single"/>
        </w:rPr>
      </w:pPr>
      <w:r>
        <w:rPr>
          <w:rFonts w:hint="eastAsia" w:ascii="宋体" w:hAnsi="宋体" w:cs="宋体"/>
          <w:sz w:val="32"/>
          <w:szCs w:val="32"/>
        </w:rPr>
        <w:t xml:space="preserve">                                                                                                    </w:t>
      </w:r>
    </w:p>
    <w:p>
      <w:pPr>
        <w:rPr>
          <w:rFonts w:hint="eastAsia" w:ascii="宋体" w:hAnsi="宋体" w:cs="宋体"/>
          <w:sz w:val="32"/>
          <w:szCs w:val="32"/>
        </w:rPr>
      </w:pPr>
      <w:r>
        <w:rPr>
          <w:rFonts w:hint="eastAsia" w:ascii="宋体" w:hAnsi="宋体" w:cs="宋体"/>
          <w:sz w:val="32"/>
          <w:szCs w:val="32"/>
        </w:rPr>
        <w:t xml:space="preserve">签字(签章)：                   公章：                      </w:t>
      </w:r>
    </w:p>
    <w:p>
      <w:pPr>
        <w:rPr>
          <w:rFonts w:hint="eastAsia" w:ascii="宋体" w:hAnsi="宋体" w:cs="宋体"/>
          <w:sz w:val="32"/>
          <w:szCs w:val="32"/>
        </w:rPr>
      </w:pPr>
      <w:r>
        <w:rPr>
          <w:rFonts w:hint="eastAsia" w:ascii="宋体" w:hAnsi="宋体" w:cs="宋体"/>
          <w:sz w:val="32"/>
          <w:szCs w:val="32"/>
        </w:rPr>
        <w:t xml:space="preserve">日期：    </w:t>
      </w:r>
    </w:p>
    <w:p>
      <w:pPr>
        <w:rPr>
          <w:rFonts w:hint="eastAsia" w:ascii="宋体" w:hAnsi="宋体" w:cs="宋体"/>
          <w:b/>
          <w:sz w:val="32"/>
          <w:szCs w:val="32"/>
        </w:rPr>
      </w:pPr>
    </w:p>
    <w:p>
      <w:pPr>
        <w:rPr>
          <w:rFonts w:hint="eastAsia" w:ascii="宋体" w:hAnsi="宋体" w:cs="宋体"/>
          <w:b/>
          <w:sz w:val="32"/>
          <w:szCs w:val="32"/>
        </w:rPr>
      </w:pPr>
      <w:r>
        <w:rPr>
          <w:rFonts w:hint="eastAsia" w:ascii="宋体" w:hAnsi="宋体" w:cs="宋体"/>
          <w:b/>
          <w:sz w:val="32"/>
          <w:szCs w:val="32"/>
        </w:rPr>
        <w:t>投诉书制作说明：</w:t>
      </w:r>
    </w:p>
    <w:p>
      <w:pPr>
        <w:widowControl/>
        <w:ind w:firstLine="646" w:firstLineChars="200"/>
        <w:rPr>
          <w:rFonts w:hint="eastAsia" w:ascii="宋体" w:hAnsi="宋体" w:cs="宋体"/>
          <w:kern w:val="0"/>
          <w:sz w:val="32"/>
          <w:szCs w:val="32"/>
        </w:rPr>
      </w:pPr>
      <w:r>
        <w:rPr>
          <w:rFonts w:hint="eastAsia" w:ascii="宋体" w:hAnsi="宋体" w:cs="宋体"/>
          <w:sz w:val="32"/>
          <w:szCs w:val="32"/>
        </w:rPr>
        <w:t>1.投诉人提起投诉时，应当提交投诉书和必要的证明材料，并按照被投诉人和与投诉事项有关的供应商数量提供投诉书副本。</w:t>
      </w:r>
    </w:p>
    <w:p>
      <w:pPr>
        <w:widowControl/>
        <w:ind w:firstLine="646" w:firstLineChars="200"/>
        <w:jc w:val="left"/>
        <w:rPr>
          <w:rFonts w:hint="eastAsia" w:ascii="宋体" w:hAnsi="宋体" w:cs="宋体"/>
          <w:kern w:val="0"/>
          <w:sz w:val="32"/>
          <w:szCs w:val="32"/>
        </w:rPr>
      </w:pPr>
      <w:r>
        <w:rPr>
          <w:rFonts w:hint="eastAsia" w:ascii="宋体" w:hAnsi="宋体" w:cs="宋体"/>
          <w:sz w:val="32"/>
          <w:szCs w:val="32"/>
        </w:rPr>
        <w:t>2.投诉人若委托代理人进行投诉的，投诉书应按照要求列明“授权代表”的有关内容，并在附件中提交由</w:t>
      </w:r>
      <w:r>
        <w:rPr>
          <w:rFonts w:hint="eastAsia" w:ascii="宋体" w:hAnsi="宋体" w:cs="宋体"/>
          <w:kern w:val="0"/>
          <w:sz w:val="32"/>
          <w:szCs w:val="32"/>
        </w:rPr>
        <w:t>投诉人签署的授权委托书。授权委托书应当载明代理人的姓名或者名称、代理事项、具体权限、期限和相关事项。</w:t>
      </w:r>
    </w:p>
    <w:p>
      <w:pPr>
        <w:widowControl/>
        <w:ind w:firstLine="646" w:firstLineChars="200"/>
        <w:jc w:val="left"/>
        <w:rPr>
          <w:rFonts w:hint="eastAsia" w:ascii="宋体" w:hAnsi="宋体" w:cs="宋体"/>
          <w:sz w:val="32"/>
          <w:szCs w:val="32"/>
        </w:rPr>
      </w:pPr>
      <w:r>
        <w:rPr>
          <w:rFonts w:hint="eastAsia" w:ascii="宋体" w:hAnsi="宋体" w:cs="宋体"/>
          <w:sz w:val="32"/>
          <w:szCs w:val="32"/>
        </w:rPr>
        <w:t>3.投诉人若对项目的某一分包进行投诉，投诉书应列明具体分包号。</w:t>
      </w:r>
    </w:p>
    <w:p>
      <w:pPr>
        <w:widowControl/>
        <w:ind w:firstLine="646" w:firstLineChars="200"/>
        <w:jc w:val="left"/>
        <w:rPr>
          <w:rFonts w:hint="eastAsia" w:ascii="宋体" w:hAnsi="宋体" w:cs="宋体"/>
          <w:sz w:val="32"/>
          <w:szCs w:val="32"/>
        </w:rPr>
      </w:pPr>
      <w:r>
        <w:rPr>
          <w:rFonts w:hint="eastAsia" w:ascii="宋体" w:hAnsi="宋体" w:cs="宋体"/>
          <w:sz w:val="32"/>
          <w:szCs w:val="32"/>
        </w:rPr>
        <w:t>4.投诉书应简要列明质疑事项，质疑函、质疑答复等作为附件材料提供。</w:t>
      </w:r>
    </w:p>
    <w:p>
      <w:pPr>
        <w:widowControl/>
        <w:ind w:firstLine="646" w:firstLineChars="200"/>
        <w:jc w:val="left"/>
        <w:rPr>
          <w:rFonts w:hint="eastAsia" w:ascii="宋体" w:hAnsi="宋体" w:cs="宋体"/>
          <w:sz w:val="32"/>
          <w:szCs w:val="32"/>
        </w:rPr>
      </w:pPr>
      <w:r>
        <w:rPr>
          <w:rFonts w:hint="eastAsia" w:ascii="宋体" w:hAnsi="宋体" w:cs="宋体"/>
          <w:sz w:val="32"/>
          <w:szCs w:val="32"/>
        </w:rPr>
        <w:t>5.投诉书的投诉事项应具体、明确，并有必要的事实依据和法律依据。</w:t>
      </w:r>
    </w:p>
    <w:p>
      <w:pPr>
        <w:widowControl/>
        <w:ind w:firstLine="646" w:firstLineChars="200"/>
        <w:jc w:val="left"/>
        <w:rPr>
          <w:rFonts w:hint="eastAsia" w:ascii="宋体" w:hAnsi="宋体" w:cs="宋体"/>
          <w:sz w:val="32"/>
          <w:szCs w:val="32"/>
        </w:rPr>
      </w:pPr>
      <w:r>
        <w:rPr>
          <w:rFonts w:hint="eastAsia" w:ascii="宋体" w:hAnsi="宋体" w:cs="宋体"/>
          <w:sz w:val="32"/>
          <w:szCs w:val="32"/>
        </w:rPr>
        <w:t>6.投诉书的投诉请求应与投诉事项相关。</w:t>
      </w:r>
    </w:p>
    <w:p>
      <w:pPr>
        <w:widowControl/>
        <w:ind w:firstLine="646" w:firstLineChars="200"/>
        <w:jc w:val="left"/>
        <w:rPr>
          <w:rFonts w:hint="eastAsia" w:ascii="宋体" w:hAnsi="宋体" w:cs="宋体"/>
          <w:kern w:val="0"/>
          <w:sz w:val="32"/>
          <w:szCs w:val="32"/>
        </w:rPr>
      </w:pPr>
      <w:r>
        <w:rPr>
          <w:rFonts w:hint="eastAsia" w:ascii="宋体" w:hAnsi="宋体" w:cs="宋体"/>
          <w:sz w:val="32"/>
          <w:szCs w:val="32"/>
        </w:rPr>
        <w:t>7.投诉人为自然人的，投诉书应当由本人签字；投诉人为法人或者其他组织的，投诉书应当由法定代表人、主要负责人，或者其授权代表签字或者盖章，并加盖公章。</w:t>
      </w:r>
    </w:p>
    <w:p>
      <w:pPr>
        <w:jc w:val="left"/>
        <w:rPr>
          <w:rFonts w:hint="eastAsia" w:ascii="宋体" w:hAnsi="宋体" w:cs="宋体"/>
          <w:b/>
          <w:sz w:val="30"/>
          <w:szCs w:val="30"/>
        </w:rPr>
      </w:pPr>
      <w:r>
        <w:rPr>
          <w:rFonts w:hint="eastAsia" w:ascii="宋体" w:hAnsi="宋体" w:cs="宋体"/>
          <w:sz w:val="30"/>
          <w:szCs w:val="30"/>
        </w:rPr>
        <w:t xml:space="preserve">         </w:t>
      </w:r>
      <w:r>
        <w:rPr>
          <w:rFonts w:hint="eastAsia" w:ascii="宋体" w:hAnsi="宋体" w:cs="宋体"/>
          <w:b/>
          <w:sz w:val="30"/>
          <w:szCs w:val="30"/>
        </w:rPr>
        <w:t xml:space="preserve"> </w:t>
      </w:r>
    </w:p>
    <w:p>
      <w:pPr>
        <w:pStyle w:val="5"/>
        <w:rPr>
          <w:rFonts w:hint="eastAsia" w:ascii="宋体" w:hAnsi="宋体" w:cs="宋体"/>
        </w:rPr>
      </w:pPr>
    </w:p>
    <w:p>
      <w:pPr>
        <w:rPr>
          <w:rFonts w:hint="eastAsia" w:ascii="宋体" w:hAnsi="宋体" w:cs="宋体"/>
          <w:b/>
          <w:sz w:val="24"/>
        </w:rPr>
      </w:pPr>
    </w:p>
    <w:p>
      <w:pPr>
        <w:rPr>
          <w:rFonts w:hint="eastAsia" w:ascii="宋体" w:hAnsi="宋体" w:cs="宋体"/>
          <w:b/>
          <w:sz w:val="24"/>
        </w:rPr>
      </w:pPr>
    </w:p>
    <w:p>
      <w:pPr>
        <w:rPr>
          <w:rFonts w:ascii="宋体" w:hAnsi="宋体"/>
          <w:color w:val="000000"/>
          <w:kern w:val="0"/>
          <w:sz w:val="24"/>
        </w:rPr>
      </w:pPr>
      <w:r>
        <w:rPr>
          <w:rFonts w:hint="eastAsia" w:ascii="宋体" w:hAnsi="宋体" w:cs="宋体"/>
          <w:b/>
          <w:sz w:val="24"/>
        </w:rPr>
        <w:t>附件21：</w:t>
      </w:r>
      <w:r>
        <w:rPr>
          <w:rFonts w:ascii="宋体" w:hAnsi="宋体"/>
          <w:color w:val="000000"/>
          <w:kern w:val="0"/>
          <w:sz w:val="24"/>
        </w:rPr>
        <w:t>联合投标协议书格式（</w:t>
      </w:r>
      <w:r>
        <w:rPr>
          <w:rFonts w:ascii="宋体" w:hAnsi="宋体"/>
          <w:b/>
          <w:bCs/>
          <w:color w:val="000000"/>
          <w:kern w:val="0"/>
          <w:sz w:val="24"/>
        </w:rPr>
        <w:t>本表联合体投标时适用</w:t>
      </w:r>
      <w:r>
        <w:rPr>
          <w:rFonts w:ascii="宋体" w:hAnsi="宋体"/>
          <w:color w:val="000000"/>
          <w:kern w:val="0"/>
          <w:sz w:val="24"/>
        </w:rPr>
        <w:t>）</w:t>
      </w:r>
    </w:p>
    <w:p>
      <w:pPr>
        <w:snapToGrid w:val="0"/>
        <w:spacing w:line="460" w:lineRule="atLeast"/>
        <w:ind w:firstLine="542" w:firstLineChars="200"/>
        <w:jc w:val="center"/>
        <w:rPr>
          <w:rFonts w:ascii="宋体" w:hAnsi="宋体"/>
          <w:b/>
          <w:bCs/>
          <w:color w:val="000000"/>
          <w:spacing w:val="14"/>
          <w:kern w:val="24"/>
          <w:sz w:val="24"/>
        </w:rPr>
      </w:pPr>
      <w:r>
        <w:rPr>
          <w:rFonts w:ascii="宋体" w:hAnsi="宋体"/>
          <w:b/>
          <w:bCs/>
          <w:color w:val="000000"/>
          <w:spacing w:val="14"/>
          <w:kern w:val="24"/>
          <w:sz w:val="24"/>
        </w:rPr>
        <w:t>联合投标协议书</w:t>
      </w:r>
    </w:p>
    <w:p>
      <w:pPr>
        <w:snapToGrid w:val="0"/>
        <w:spacing w:line="460" w:lineRule="atLeast"/>
        <w:ind w:firstLine="542" w:firstLineChars="200"/>
        <w:rPr>
          <w:rFonts w:ascii="宋体" w:hAnsi="宋体"/>
          <w:color w:val="000000"/>
          <w:spacing w:val="14"/>
          <w:kern w:val="24"/>
          <w:sz w:val="24"/>
        </w:rPr>
      </w:pPr>
      <w:r>
        <w:rPr>
          <w:rFonts w:ascii="宋体" w:hAnsi="宋体"/>
          <w:color w:val="000000"/>
          <w:spacing w:val="14"/>
          <w:kern w:val="24"/>
          <w:sz w:val="24"/>
        </w:rPr>
        <w:t>甲方：</w:t>
      </w:r>
    </w:p>
    <w:p>
      <w:pPr>
        <w:snapToGrid w:val="0"/>
        <w:spacing w:line="460" w:lineRule="atLeast"/>
        <w:ind w:firstLine="542" w:firstLineChars="200"/>
        <w:rPr>
          <w:rFonts w:ascii="宋体" w:hAnsi="宋体"/>
          <w:color w:val="000000"/>
          <w:spacing w:val="14"/>
          <w:kern w:val="24"/>
          <w:sz w:val="24"/>
        </w:rPr>
      </w:pPr>
      <w:r>
        <w:rPr>
          <w:rFonts w:ascii="宋体" w:hAnsi="宋体"/>
          <w:color w:val="000000"/>
          <w:spacing w:val="14"/>
          <w:kern w:val="24"/>
          <w:sz w:val="24"/>
        </w:rPr>
        <w:t>乙方：</w:t>
      </w:r>
    </w:p>
    <w:p>
      <w:pPr>
        <w:snapToGrid w:val="0"/>
        <w:spacing w:line="460" w:lineRule="atLeast"/>
        <w:ind w:firstLine="542" w:firstLineChars="200"/>
        <w:rPr>
          <w:rFonts w:ascii="宋体" w:hAnsi="宋体"/>
          <w:color w:val="000000"/>
          <w:spacing w:val="14"/>
          <w:kern w:val="24"/>
          <w:sz w:val="24"/>
        </w:rPr>
      </w:pPr>
      <w:r>
        <w:rPr>
          <w:rFonts w:ascii="宋体" w:hAnsi="宋体"/>
          <w:color w:val="000000"/>
          <w:spacing w:val="14"/>
          <w:kern w:val="24"/>
          <w:sz w:val="24"/>
        </w:rPr>
        <w:t>（如果有的话，可按甲、乙、丙、丁…序列增加）</w:t>
      </w:r>
    </w:p>
    <w:p>
      <w:pPr>
        <w:snapToGrid w:val="0"/>
        <w:spacing w:line="460" w:lineRule="atLeast"/>
        <w:ind w:firstLine="542" w:firstLineChars="200"/>
        <w:rPr>
          <w:rFonts w:ascii="宋体" w:hAnsi="宋体"/>
          <w:color w:val="000000"/>
          <w:spacing w:val="14"/>
          <w:kern w:val="24"/>
          <w:sz w:val="24"/>
        </w:rPr>
      </w:pPr>
      <w:r>
        <w:rPr>
          <w:rFonts w:ascii="宋体" w:hAnsi="宋体"/>
          <w:color w:val="000000"/>
          <w:spacing w:val="14"/>
          <w:kern w:val="24"/>
          <w:sz w:val="24"/>
        </w:rPr>
        <w:t xml:space="preserve">各方经协商，就响应 </w:t>
      </w:r>
      <w:r>
        <w:rPr>
          <w:rFonts w:ascii="宋体" w:hAnsi="宋体"/>
          <w:color w:val="000000"/>
          <w:spacing w:val="14"/>
          <w:kern w:val="24"/>
          <w:sz w:val="24"/>
          <w:u w:val="single"/>
        </w:rPr>
        <w:t xml:space="preserve">                </w:t>
      </w:r>
      <w:r>
        <w:rPr>
          <w:rFonts w:ascii="宋体" w:hAnsi="宋体"/>
          <w:color w:val="000000"/>
          <w:spacing w:val="14"/>
          <w:kern w:val="24"/>
          <w:sz w:val="24"/>
        </w:rPr>
        <w:t>组织实施的编号为</w:t>
      </w:r>
      <w:r>
        <w:rPr>
          <w:rFonts w:ascii="宋体" w:hAnsi="宋体"/>
          <w:color w:val="000000"/>
          <w:spacing w:val="14"/>
          <w:kern w:val="24"/>
          <w:sz w:val="24"/>
          <w:u w:val="single"/>
        </w:rPr>
        <w:t xml:space="preserve">           </w:t>
      </w:r>
      <w:r>
        <w:rPr>
          <w:rFonts w:ascii="宋体" w:hAnsi="宋体"/>
          <w:color w:val="000000"/>
          <w:spacing w:val="14"/>
          <w:kern w:val="24"/>
          <w:sz w:val="24"/>
        </w:rPr>
        <w:t>号的招标活动联合进行投标之事宜，达成如下协议：</w:t>
      </w:r>
    </w:p>
    <w:p>
      <w:pPr>
        <w:snapToGrid w:val="0"/>
        <w:spacing w:line="460" w:lineRule="atLeast"/>
        <w:ind w:firstLine="542" w:firstLineChars="200"/>
        <w:rPr>
          <w:rFonts w:ascii="宋体" w:hAnsi="宋体"/>
          <w:color w:val="000000"/>
          <w:spacing w:val="14"/>
          <w:kern w:val="24"/>
          <w:sz w:val="24"/>
        </w:rPr>
      </w:pPr>
      <w:r>
        <w:rPr>
          <w:rFonts w:ascii="宋体" w:hAnsi="宋体"/>
          <w:color w:val="000000"/>
          <w:spacing w:val="14"/>
          <w:kern w:val="24"/>
          <w:sz w:val="24"/>
        </w:rPr>
        <w:t xml:space="preserve">一、各方一致决定，以 </w:t>
      </w:r>
      <w:r>
        <w:rPr>
          <w:rFonts w:ascii="宋体" w:hAnsi="宋体"/>
          <w:color w:val="000000"/>
          <w:spacing w:val="14"/>
          <w:kern w:val="24"/>
          <w:sz w:val="24"/>
          <w:u w:val="single"/>
        </w:rPr>
        <w:t xml:space="preserve">                           </w:t>
      </w:r>
      <w:r>
        <w:rPr>
          <w:rFonts w:ascii="宋体" w:hAnsi="宋体"/>
          <w:color w:val="000000"/>
          <w:spacing w:val="14"/>
          <w:kern w:val="24"/>
          <w:sz w:val="24"/>
        </w:rPr>
        <w:t xml:space="preserve"> 为主办人进行投标，并按照招标文件的规定分别提交资格文件。</w:t>
      </w:r>
    </w:p>
    <w:p>
      <w:pPr>
        <w:snapToGrid w:val="0"/>
        <w:spacing w:line="460" w:lineRule="atLeast"/>
        <w:ind w:firstLine="542" w:firstLineChars="200"/>
        <w:rPr>
          <w:rFonts w:ascii="宋体" w:hAnsi="宋体"/>
          <w:color w:val="000000"/>
          <w:spacing w:val="14"/>
          <w:kern w:val="24"/>
          <w:sz w:val="24"/>
        </w:rPr>
      </w:pPr>
      <w:r>
        <w:rPr>
          <w:rFonts w:ascii="宋体" w:hAnsi="宋体"/>
          <w:color w:val="000000"/>
          <w:spacing w:val="14"/>
          <w:kern w:val="24"/>
          <w:sz w:val="24"/>
        </w:rPr>
        <w:t>二、在本次投标过程中，主办人的</w:t>
      </w:r>
      <w:r>
        <w:rPr>
          <w:rFonts w:ascii="宋体" w:hAnsi="宋体"/>
          <w:color w:val="000000"/>
          <w:spacing w:val="14"/>
          <w:kern w:val="24"/>
          <w:sz w:val="24"/>
          <w:u w:val="single"/>
        </w:rPr>
        <w:t>法定代表人或授权代理人</w:t>
      </w:r>
      <w:r>
        <w:rPr>
          <w:rFonts w:ascii="宋体" w:hAnsi="宋体"/>
          <w:color w:val="000000"/>
          <w:spacing w:val="14"/>
          <w:kern w:val="24"/>
          <w:sz w:val="24"/>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snapToGrid w:val="0"/>
        <w:spacing w:line="460" w:lineRule="atLeast"/>
        <w:ind w:firstLine="542" w:firstLineChars="200"/>
        <w:rPr>
          <w:rFonts w:ascii="宋体" w:hAnsi="宋体"/>
          <w:color w:val="000000"/>
          <w:spacing w:val="14"/>
          <w:kern w:val="24"/>
          <w:sz w:val="24"/>
        </w:rPr>
      </w:pPr>
      <w:r>
        <w:rPr>
          <w:rFonts w:ascii="宋体" w:hAnsi="宋体"/>
          <w:color w:val="000000"/>
          <w:spacing w:val="14"/>
          <w:kern w:val="24"/>
          <w:sz w:val="24"/>
        </w:rPr>
        <w:t>三、联合投标其余各方保证对主办人为响应本次招标而提供的产品和服务提供全部质量保证及售后服务支持。</w:t>
      </w:r>
    </w:p>
    <w:p>
      <w:pPr>
        <w:snapToGrid w:val="0"/>
        <w:spacing w:line="460" w:lineRule="atLeast"/>
        <w:ind w:firstLine="542" w:firstLineChars="200"/>
        <w:rPr>
          <w:rFonts w:ascii="宋体" w:hAnsi="宋体"/>
          <w:color w:val="000000"/>
          <w:spacing w:val="14"/>
          <w:kern w:val="24"/>
          <w:sz w:val="24"/>
        </w:rPr>
      </w:pPr>
      <w:r>
        <w:rPr>
          <w:rFonts w:ascii="宋体" w:hAnsi="宋体"/>
          <w:color w:val="000000"/>
          <w:spacing w:val="14"/>
          <w:kern w:val="24"/>
          <w:sz w:val="24"/>
        </w:rPr>
        <w:t>四、本次联合投标中，甲方承担的工作</w:t>
      </w:r>
      <w:r>
        <w:rPr>
          <w:rFonts w:hint="eastAsia" w:ascii="宋体" w:hAnsi="宋体"/>
          <w:color w:val="000000"/>
          <w:spacing w:val="14"/>
          <w:kern w:val="24"/>
          <w:sz w:val="24"/>
        </w:rPr>
        <w:t>和提供的标的</w:t>
      </w:r>
      <w:r>
        <w:rPr>
          <w:rFonts w:ascii="宋体" w:hAnsi="宋体"/>
          <w:color w:val="000000"/>
          <w:spacing w:val="14"/>
          <w:kern w:val="24"/>
          <w:sz w:val="24"/>
        </w:rPr>
        <w:t>为:</w:t>
      </w:r>
    </w:p>
    <w:p>
      <w:pPr>
        <w:snapToGrid w:val="0"/>
        <w:spacing w:line="460" w:lineRule="atLeast"/>
        <w:rPr>
          <w:rFonts w:ascii="宋体" w:hAnsi="宋体"/>
          <w:color w:val="000000"/>
          <w:spacing w:val="14"/>
          <w:sz w:val="24"/>
        </w:rPr>
      </w:pPr>
    </w:p>
    <w:p>
      <w:pPr>
        <w:snapToGrid w:val="0"/>
        <w:spacing w:line="460" w:lineRule="atLeast"/>
        <w:ind w:firstLine="542" w:firstLineChars="200"/>
        <w:rPr>
          <w:rFonts w:ascii="宋体" w:hAnsi="宋体"/>
          <w:color w:val="000000"/>
          <w:spacing w:val="14"/>
          <w:kern w:val="24"/>
          <w:sz w:val="24"/>
        </w:rPr>
      </w:pPr>
      <w:r>
        <w:rPr>
          <w:rFonts w:ascii="宋体" w:hAnsi="宋体"/>
          <w:color w:val="000000"/>
          <w:spacing w:val="14"/>
          <w:kern w:val="24"/>
          <w:sz w:val="24"/>
        </w:rPr>
        <w:t xml:space="preserve">   乙方承担的工作</w:t>
      </w:r>
      <w:r>
        <w:rPr>
          <w:rFonts w:hint="eastAsia" w:ascii="宋体" w:hAnsi="宋体"/>
          <w:color w:val="000000"/>
          <w:spacing w:val="14"/>
          <w:kern w:val="24"/>
          <w:sz w:val="24"/>
        </w:rPr>
        <w:t>和提供的标的</w:t>
      </w:r>
      <w:r>
        <w:rPr>
          <w:rFonts w:ascii="宋体" w:hAnsi="宋体"/>
          <w:color w:val="000000"/>
          <w:spacing w:val="14"/>
          <w:kern w:val="24"/>
          <w:sz w:val="24"/>
        </w:rPr>
        <w:t>为：</w:t>
      </w:r>
    </w:p>
    <w:p>
      <w:pPr>
        <w:snapToGrid w:val="0"/>
        <w:spacing w:line="460" w:lineRule="atLeast"/>
        <w:rPr>
          <w:rFonts w:ascii="宋体" w:hAnsi="宋体"/>
          <w:color w:val="000000"/>
          <w:spacing w:val="14"/>
          <w:sz w:val="24"/>
        </w:rPr>
      </w:pPr>
    </w:p>
    <w:p>
      <w:pPr>
        <w:snapToGrid w:val="0"/>
        <w:spacing w:line="460" w:lineRule="atLeast"/>
        <w:ind w:firstLine="542" w:firstLineChars="200"/>
        <w:rPr>
          <w:rFonts w:ascii="宋体" w:hAnsi="宋体"/>
          <w:color w:val="000000"/>
          <w:spacing w:val="14"/>
          <w:kern w:val="24"/>
          <w:sz w:val="24"/>
        </w:rPr>
      </w:pPr>
      <w:r>
        <w:rPr>
          <w:rFonts w:hint="eastAsia" w:ascii="宋体" w:hAnsi="宋体"/>
          <w:color w:val="000000"/>
          <w:spacing w:val="14"/>
          <w:kern w:val="24"/>
          <w:sz w:val="24"/>
          <w:u w:val="single"/>
        </w:rPr>
        <w:t xml:space="preserve">    </w:t>
      </w:r>
      <w:r>
        <w:rPr>
          <w:rFonts w:hint="eastAsia" w:ascii="宋体" w:hAnsi="宋体"/>
          <w:color w:val="000000"/>
          <w:spacing w:val="14"/>
          <w:kern w:val="24"/>
          <w:sz w:val="24"/>
        </w:rPr>
        <w:t>方为</w:t>
      </w:r>
      <w:r>
        <w:rPr>
          <w:rFonts w:hint="eastAsia" w:ascii="宋体" w:hAnsi="宋体"/>
          <w:color w:val="000000"/>
          <w:spacing w:val="14"/>
          <w:kern w:val="24"/>
          <w:sz w:val="24"/>
          <w:u w:val="single"/>
        </w:rPr>
        <w:t xml:space="preserve">     </w:t>
      </w:r>
      <w:r>
        <w:rPr>
          <w:rFonts w:hint="eastAsia" w:ascii="宋体" w:hAnsi="宋体"/>
          <w:color w:val="000000"/>
          <w:spacing w:val="14"/>
          <w:kern w:val="24"/>
          <w:sz w:val="24"/>
        </w:rPr>
        <w:t>企业（此处填中型、小型、微型）；预计承当的合同金额为</w:t>
      </w:r>
      <w:r>
        <w:rPr>
          <w:rFonts w:hint="eastAsia" w:ascii="宋体" w:hAnsi="宋体"/>
          <w:color w:val="000000"/>
          <w:spacing w:val="14"/>
          <w:kern w:val="24"/>
          <w:sz w:val="24"/>
          <w:u w:val="single"/>
        </w:rPr>
        <w:t xml:space="preserve">   </w:t>
      </w:r>
      <w:r>
        <w:rPr>
          <w:rFonts w:hint="eastAsia" w:ascii="宋体" w:hAnsi="宋体"/>
          <w:color w:val="000000"/>
          <w:spacing w:val="14"/>
          <w:kern w:val="24"/>
          <w:sz w:val="24"/>
        </w:rPr>
        <w:t>%。</w:t>
      </w:r>
    </w:p>
    <w:p>
      <w:pPr>
        <w:snapToGrid w:val="0"/>
        <w:spacing w:line="460" w:lineRule="atLeast"/>
        <w:ind w:firstLine="542" w:firstLineChars="200"/>
        <w:rPr>
          <w:rFonts w:ascii="宋体" w:hAnsi="宋体"/>
          <w:color w:val="000000"/>
          <w:spacing w:val="14"/>
          <w:kern w:val="24"/>
          <w:sz w:val="24"/>
        </w:rPr>
      </w:pPr>
      <w:r>
        <w:rPr>
          <w:rFonts w:ascii="宋体" w:hAnsi="宋体"/>
          <w:color w:val="000000"/>
          <w:spacing w:val="14"/>
          <w:kern w:val="24"/>
          <w:sz w:val="24"/>
        </w:rPr>
        <w:t>五、有关本次联合投标的其他事宜：</w:t>
      </w:r>
    </w:p>
    <w:p>
      <w:pPr>
        <w:snapToGrid w:val="0"/>
        <w:spacing w:line="460" w:lineRule="atLeast"/>
        <w:ind w:firstLine="542" w:firstLineChars="200"/>
        <w:rPr>
          <w:rFonts w:ascii="宋体" w:hAnsi="宋体"/>
          <w:color w:val="000000"/>
          <w:spacing w:val="14"/>
          <w:kern w:val="24"/>
          <w:sz w:val="24"/>
        </w:rPr>
      </w:pPr>
      <w:r>
        <w:rPr>
          <w:rFonts w:ascii="宋体" w:hAnsi="宋体"/>
          <w:color w:val="000000"/>
          <w:spacing w:val="14"/>
          <w:kern w:val="24"/>
          <w:sz w:val="24"/>
        </w:rPr>
        <w:t>六、本协议提交招标方后，联合投标各方不得以任何形式对上述实质内容进行修改或撤销。</w:t>
      </w:r>
    </w:p>
    <w:tbl>
      <w:tblPr>
        <w:tblStyle w:val="46"/>
        <w:tblpPr w:leftFromText="180" w:rightFromText="180" w:vertAnchor="text" w:horzAnchor="page" w:tblpX="1772" w:tblpY="9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060"/>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060" w:type="dxa"/>
            <w:tcBorders>
              <w:top w:val="nil"/>
              <w:left w:val="nil"/>
              <w:bottom w:val="nil"/>
              <w:right w:val="nil"/>
            </w:tcBorders>
            <w:noWrap w:val="0"/>
            <w:vAlign w:val="center"/>
          </w:tcPr>
          <w:p>
            <w:pPr>
              <w:snapToGrid w:val="0"/>
              <w:spacing w:line="460" w:lineRule="atLeast"/>
              <w:rPr>
                <w:rFonts w:ascii="宋体" w:hAnsi="宋体"/>
                <w:color w:val="000000"/>
                <w:spacing w:val="14"/>
                <w:kern w:val="24"/>
                <w:sz w:val="24"/>
              </w:rPr>
            </w:pPr>
            <w:r>
              <w:rPr>
                <w:rFonts w:ascii="宋体" w:hAnsi="宋体"/>
                <w:color w:val="000000"/>
                <w:spacing w:val="14"/>
                <w:kern w:val="24"/>
                <w:sz w:val="24"/>
              </w:rPr>
              <w:t>甲方单位：          （公章）</w:t>
            </w:r>
          </w:p>
          <w:p>
            <w:pPr>
              <w:snapToGrid w:val="0"/>
              <w:spacing w:line="460" w:lineRule="atLeast"/>
              <w:ind w:firstLine="542" w:firstLineChars="200"/>
              <w:rPr>
                <w:rFonts w:ascii="宋体" w:hAnsi="宋体"/>
                <w:color w:val="000000"/>
                <w:spacing w:val="14"/>
                <w:kern w:val="24"/>
                <w:sz w:val="24"/>
              </w:rPr>
            </w:pPr>
            <w:r>
              <w:rPr>
                <w:rFonts w:ascii="宋体" w:hAnsi="宋体"/>
                <w:color w:val="000000"/>
                <w:spacing w:val="14"/>
                <w:kern w:val="24"/>
                <w:sz w:val="24"/>
              </w:rPr>
              <w:t>法定代表人：（签章）</w:t>
            </w:r>
          </w:p>
          <w:p>
            <w:pPr>
              <w:snapToGrid w:val="0"/>
              <w:spacing w:line="460" w:lineRule="atLeast"/>
              <w:ind w:firstLine="542" w:firstLineChars="200"/>
              <w:rPr>
                <w:rFonts w:ascii="宋体" w:hAnsi="宋体"/>
                <w:color w:val="000000"/>
                <w:spacing w:val="14"/>
                <w:kern w:val="24"/>
                <w:sz w:val="24"/>
              </w:rPr>
            </w:pPr>
            <w:r>
              <w:rPr>
                <w:rFonts w:ascii="宋体" w:hAnsi="宋体"/>
                <w:color w:val="000000"/>
                <w:spacing w:val="14"/>
                <w:kern w:val="24"/>
                <w:sz w:val="24"/>
              </w:rPr>
              <w:t>日期：    年   月   日</w:t>
            </w:r>
          </w:p>
        </w:tc>
        <w:tc>
          <w:tcPr>
            <w:tcW w:w="4060" w:type="dxa"/>
            <w:tcBorders>
              <w:top w:val="nil"/>
              <w:left w:val="nil"/>
              <w:bottom w:val="nil"/>
              <w:right w:val="nil"/>
            </w:tcBorders>
            <w:noWrap w:val="0"/>
            <w:vAlign w:val="center"/>
          </w:tcPr>
          <w:p>
            <w:pPr>
              <w:snapToGrid w:val="0"/>
              <w:spacing w:line="460" w:lineRule="atLeast"/>
              <w:ind w:firstLine="200"/>
              <w:rPr>
                <w:rFonts w:ascii="宋体" w:hAnsi="宋体"/>
                <w:color w:val="000000"/>
                <w:spacing w:val="14"/>
                <w:kern w:val="24"/>
                <w:sz w:val="24"/>
              </w:rPr>
            </w:pPr>
            <w:r>
              <w:rPr>
                <w:rFonts w:ascii="宋体" w:hAnsi="宋体"/>
                <w:color w:val="000000"/>
                <w:spacing w:val="14"/>
                <w:kern w:val="24"/>
                <w:sz w:val="24"/>
              </w:rPr>
              <w:t>乙方单位：           （公章）</w:t>
            </w:r>
          </w:p>
          <w:p>
            <w:pPr>
              <w:snapToGrid w:val="0"/>
              <w:spacing w:line="460" w:lineRule="atLeast"/>
              <w:ind w:firstLine="542" w:firstLineChars="200"/>
              <w:rPr>
                <w:rFonts w:ascii="宋体" w:hAnsi="宋体"/>
                <w:color w:val="000000"/>
                <w:spacing w:val="14"/>
                <w:kern w:val="24"/>
                <w:sz w:val="24"/>
              </w:rPr>
            </w:pPr>
            <w:r>
              <w:rPr>
                <w:rFonts w:ascii="宋体" w:hAnsi="宋体"/>
                <w:color w:val="000000"/>
                <w:spacing w:val="14"/>
                <w:kern w:val="24"/>
                <w:sz w:val="24"/>
              </w:rPr>
              <w:t>法定代表人：（签章）</w:t>
            </w:r>
          </w:p>
          <w:p>
            <w:pPr>
              <w:snapToGrid w:val="0"/>
              <w:spacing w:line="460" w:lineRule="atLeast"/>
              <w:ind w:firstLine="542" w:firstLineChars="200"/>
              <w:rPr>
                <w:rFonts w:ascii="宋体" w:hAnsi="宋体"/>
                <w:color w:val="000000"/>
                <w:spacing w:val="14"/>
                <w:kern w:val="24"/>
                <w:sz w:val="24"/>
              </w:rPr>
            </w:pPr>
            <w:r>
              <w:rPr>
                <w:rFonts w:ascii="宋体" w:hAnsi="宋体"/>
                <w:color w:val="000000"/>
                <w:spacing w:val="14"/>
                <w:kern w:val="24"/>
                <w:sz w:val="24"/>
              </w:rPr>
              <w:t>日期：   年   月   日</w:t>
            </w:r>
          </w:p>
        </w:tc>
      </w:tr>
    </w:tbl>
    <w:p>
      <w:pPr>
        <w:snapToGrid w:val="0"/>
        <w:spacing w:line="460" w:lineRule="atLeast"/>
        <w:ind w:firstLine="542" w:firstLineChars="200"/>
        <w:rPr>
          <w:rFonts w:ascii="宋体" w:hAnsi="宋体"/>
          <w:color w:val="000000"/>
          <w:spacing w:val="14"/>
          <w:kern w:val="24"/>
          <w:sz w:val="24"/>
        </w:rPr>
      </w:pPr>
      <w:r>
        <w:rPr>
          <w:rFonts w:ascii="宋体" w:hAnsi="宋体"/>
          <w:color w:val="000000"/>
          <w:spacing w:val="14"/>
          <w:kern w:val="24"/>
          <w:sz w:val="24"/>
        </w:rPr>
        <w:t>七、本协议一式肆份，签约各方各持一份，交政府采购管理部门及招标机构各一份。</w: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pStyle w:val="260"/>
        <w:rPr>
          <w:rFonts w:hint="eastAsia"/>
        </w:rPr>
      </w:pPr>
    </w:p>
    <w:p>
      <w:pPr>
        <w:rPr>
          <w:rFonts w:hint="eastAsia" w:ascii="宋体" w:hAnsi="宋体"/>
          <w:b/>
          <w:sz w:val="24"/>
        </w:rPr>
      </w:pPr>
      <w:r>
        <w:rPr>
          <w:rFonts w:hint="eastAsia" w:ascii="宋体" w:hAnsi="宋体" w:cs="宋体"/>
          <w:b/>
          <w:sz w:val="24"/>
        </w:rPr>
        <w:t>附件22：</w:t>
      </w:r>
      <w:r>
        <w:rPr>
          <w:rFonts w:hint="eastAsia" w:ascii="宋体" w:hAnsi="宋体"/>
          <w:b/>
          <w:sz w:val="24"/>
        </w:rPr>
        <w:t>分包意向协议格式（本表分包</w:t>
      </w:r>
      <w:r>
        <w:rPr>
          <w:rFonts w:ascii="宋体" w:hAnsi="宋体"/>
          <w:b/>
          <w:bCs/>
          <w:color w:val="000000"/>
          <w:kern w:val="0"/>
          <w:sz w:val="24"/>
        </w:rPr>
        <w:t>时适用</w:t>
      </w:r>
      <w:r>
        <w:rPr>
          <w:rFonts w:hint="eastAsia" w:ascii="宋体" w:hAnsi="宋体"/>
          <w:b/>
          <w:sz w:val="24"/>
        </w:rPr>
        <w:t>）</w:t>
      </w:r>
    </w:p>
    <w:p>
      <w:pPr>
        <w:snapToGrid w:val="0"/>
        <w:spacing w:before="156" w:beforeLines="50" w:after="50"/>
        <w:rPr>
          <w:rFonts w:ascii="Arial" w:hAnsi="Arial"/>
          <w:b/>
          <w:bCs/>
          <w:sz w:val="28"/>
          <w:szCs w:val="32"/>
        </w:rPr>
      </w:pPr>
    </w:p>
    <w:p>
      <w:pPr>
        <w:snapToGrid w:val="0"/>
        <w:spacing w:line="360" w:lineRule="auto"/>
        <w:ind w:firstLine="3553"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1"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left="788" w:leftChars="342" w:hanging="60" w:hangingChars="25"/>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（某分包供应商名称1）</w:t>
      </w:r>
      <w:r>
        <w:rPr>
          <w:rFonts w:hint="eastAsia" w:ascii="仿宋_GB2312" w:hAnsi="仿宋" w:eastAsia="仿宋_GB2312" w:cs="仿宋_GB2312"/>
          <w:kern w:val="0"/>
          <w:sz w:val="24"/>
          <w:lang w:val="zh-CN"/>
        </w:rPr>
        <w:t>，</w:t>
      </w:r>
      <w:r>
        <w:rPr>
          <w:rFonts w:hint="eastAsia" w:ascii="仿宋_GB2312" w:hAnsi="仿宋_GB2312" w:eastAsia="仿宋_GB2312" w:cs="仿宋_GB2312"/>
          <w:kern w:val="0"/>
          <w:sz w:val="24"/>
          <w:lang w:val="zh-CN"/>
        </w:rPr>
        <w:t>该企业为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color w:val="000000"/>
          <w:spacing w:val="14"/>
          <w:kern w:val="24"/>
          <w:sz w:val="24"/>
          <w:u w:val="single"/>
        </w:rPr>
        <w:t xml:space="preserve"> </w:t>
      </w:r>
      <w:r>
        <w:rPr>
          <w:rFonts w:hint="eastAsia" w:ascii="仿宋_GB2312" w:hAnsi="仿宋_GB2312" w:eastAsia="仿宋_GB2312" w:cs="仿宋_GB2312"/>
          <w:color w:val="000000"/>
          <w:spacing w:val="14"/>
          <w:kern w:val="24"/>
          <w:sz w:val="24"/>
        </w:rPr>
        <w:t>企业（此处填中型、小型、微型）</w:t>
      </w:r>
      <w:r>
        <w:rPr>
          <w:rFonts w:hint="eastAsia" w:ascii="仿宋_GB2312" w:hAnsi="仿宋_GB2312" w:eastAsia="仿宋_GB2312" w:cs="仿宋_GB2312"/>
          <w:kern w:val="0"/>
          <w:sz w:val="24"/>
        </w:rPr>
        <w:t>，</w:t>
      </w:r>
      <w:r>
        <w:rPr>
          <w:rFonts w:hint="eastAsia" w:ascii="仿宋_GB2312" w:hAnsi="仿宋" w:eastAsia="仿宋_GB2312" w:cs="仿宋_GB2312"/>
          <w:kern w:val="0"/>
          <w:sz w:val="24"/>
          <w:u w:val="single"/>
        </w:rPr>
        <w:t>（某分包供应商名称1），</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6"/>
        <w:tabs>
          <w:tab w:val="left" w:pos="432"/>
        </w:tabs>
        <w:ind w:left="673" w:leftChars="316" w:firstLine="230" w:firstLineChars="95"/>
        <w:rPr>
          <w:rFonts w:cs="仿宋_GB2312"/>
          <w:sz w:val="24"/>
          <w:szCs w:val="24"/>
        </w:rPr>
      </w:pPr>
      <w:r>
        <w:rPr>
          <w:rFonts w:hint="eastAsia" w:cs="仿宋_GB2312"/>
          <w:sz w:val="24"/>
          <w:szCs w:val="24"/>
        </w:rPr>
        <w:t>……</w:t>
      </w:r>
    </w:p>
    <w:p>
      <w:pPr>
        <w:snapToGrid w:val="0"/>
        <w:spacing w:line="360" w:lineRule="auto"/>
        <w:ind w:left="788" w:leftChars="342" w:hanging="60" w:hangingChars="25"/>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（某分包供应商名称2）</w:t>
      </w:r>
      <w:r>
        <w:rPr>
          <w:rFonts w:hint="eastAsia" w:ascii="仿宋_GB2312" w:hAnsi="仿宋" w:eastAsia="仿宋_GB2312" w:cs="仿宋_GB2312"/>
          <w:kern w:val="0"/>
          <w:sz w:val="24"/>
          <w:lang w:val="zh-CN"/>
        </w:rPr>
        <w:t>，</w:t>
      </w:r>
      <w:r>
        <w:rPr>
          <w:rFonts w:hint="eastAsia" w:ascii="仿宋_GB2312" w:hAnsi="仿宋_GB2312" w:eastAsia="仿宋_GB2312" w:cs="仿宋_GB2312"/>
          <w:kern w:val="0"/>
          <w:sz w:val="24"/>
          <w:lang w:val="zh-CN"/>
        </w:rPr>
        <w:t>该企业为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color w:val="000000"/>
          <w:spacing w:val="14"/>
          <w:kern w:val="24"/>
          <w:sz w:val="24"/>
          <w:u w:val="single"/>
        </w:rPr>
        <w:t xml:space="preserve"> </w:t>
      </w:r>
      <w:r>
        <w:rPr>
          <w:rFonts w:hint="eastAsia" w:ascii="仿宋_GB2312" w:hAnsi="仿宋_GB2312" w:eastAsia="仿宋_GB2312" w:cs="仿宋_GB2312"/>
          <w:color w:val="000000"/>
          <w:spacing w:val="14"/>
          <w:kern w:val="24"/>
          <w:sz w:val="24"/>
        </w:rPr>
        <w:t>企业（此处填中型、小型、微型）</w:t>
      </w:r>
      <w:r>
        <w:rPr>
          <w:rFonts w:hint="eastAsia" w:ascii="仿宋_GB2312" w:hAnsi="仿宋_GB2312" w:eastAsia="仿宋_GB2312" w:cs="仿宋_GB2312"/>
          <w:kern w:val="0"/>
          <w:sz w:val="24"/>
        </w:rPr>
        <w:t>，</w:t>
      </w:r>
      <w:r>
        <w:rPr>
          <w:rFonts w:hint="eastAsia" w:ascii="仿宋_GB2312" w:hAnsi="仿宋" w:eastAsia="仿宋_GB2312" w:cs="仿宋_GB2312"/>
          <w:kern w:val="0"/>
          <w:sz w:val="24"/>
          <w:u w:val="single"/>
        </w:rPr>
        <w:t>（某分包供应商名称2），</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6"/>
        <w:tabs>
          <w:tab w:val="left" w:pos="432"/>
        </w:tabs>
        <w:ind w:left="673" w:leftChars="316" w:firstLine="230" w:firstLineChars="95"/>
      </w:pPr>
      <w:r>
        <w:rPr>
          <w:rFonts w:hint="eastAsia" w:cs="仿宋_GB2312"/>
          <w:sz w:val="24"/>
          <w:szCs w:val="24"/>
        </w:rPr>
        <w:t>……</w:t>
      </w:r>
    </w:p>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81"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81"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831" w:leftChars="342" w:hanging="5103" w:hangingChars="2100"/>
        <w:rPr>
          <w:rFonts w:ascii="仿宋_GB2312" w:hAnsi="仿宋" w:eastAsia="仿宋_GB2312" w:cs="仿宋_GB2312"/>
          <w:kern w:val="0"/>
          <w:sz w:val="24"/>
          <w:lang w:val="zh-CN"/>
        </w:rPr>
      </w:pPr>
      <w:r>
        <w:rPr>
          <w:rFonts w:hint="eastAsia" w:ascii="仿宋_GB2312" w:hAnsi="仿宋" w:eastAsia="仿宋_GB2312"/>
          <w:sz w:val="24"/>
        </w:rPr>
        <w:t>分包合同1合同金额达到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w:t>
      </w:r>
    </w:p>
    <w:p>
      <w:pPr>
        <w:snapToGrid w:val="0"/>
        <w:spacing w:line="360" w:lineRule="auto"/>
        <w:ind w:left="5831" w:leftChars="342" w:hanging="5103" w:hangingChars="2100"/>
        <w:rPr>
          <w:rFonts w:ascii="仿宋_GB2312" w:hAnsi="仿宋" w:eastAsia="仿宋_GB2312" w:cs="仿宋_GB2312"/>
          <w:kern w:val="0"/>
          <w:sz w:val="24"/>
          <w:lang w:val="zh-CN"/>
        </w:rPr>
      </w:pPr>
      <w:r>
        <w:rPr>
          <w:rFonts w:hint="eastAsia" w:ascii="仿宋_GB2312" w:hAnsi="仿宋" w:eastAsia="仿宋_GB2312"/>
          <w:sz w:val="24"/>
        </w:rPr>
        <w:t>分包合同2合同金额达到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w:t>
      </w:r>
    </w:p>
    <w:p>
      <w:pPr>
        <w:snapToGrid w:val="0"/>
        <w:spacing w:line="360" w:lineRule="auto"/>
        <w:ind w:left="5827" w:leftChars="2622" w:hanging="243" w:hangingChars="100"/>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w:t>
      </w:r>
    </w:p>
    <w:p>
      <w:pPr>
        <w:snapToGrid w:val="0"/>
        <w:spacing w:line="360" w:lineRule="auto"/>
        <w:ind w:firstLine="571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832"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rPr>
          <w:rFonts w:ascii="宋体" w:hAnsi="宋体"/>
          <w:color w:val="000000"/>
          <w:kern w:val="0"/>
          <w:sz w:val="24"/>
        </w:rPr>
      </w:pPr>
    </w:p>
    <w:p>
      <w:pPr>
        <w:snapToGrid w:val="0"/>
        <w:rPr>
          <w:rFonts w:ascii="宋体" w:hAnsi="宋体"/>
          <w:color w:val="000000"/>
          <w:kern w:val="0"/>
          <w:sz w:val="24"/>
        </w:rPr>
      </w:pPr>
    </w:p>
    <w:p>
      <w:pPr>
        <w:pStyle w:val="6"/>
        <w:rPr>
          <w:rFonts w:ascii="宋体" w:hAnsi="宋体"/>
          <w:color w:val="000000"/>
          <w:sz w:val="24"/>
          <w:szCs w:val="24"/>
        </w:rPr>
      </w:pPr>
    </w:p>
    <w:p>
      <w:pPr>
        <w:rPr>
          <w:rFonts w:ascii="宋体" w:hAnsi="宋体"/>
          <w:color w:val="000000"/>
          <w:kern w:val="0"/>
          <w:sz w:val="24"/>
        </w:rPr>
      </w:pPr>
    </w:p>
    <w:p>
      <w:pPr>
        <w:pStyle w:val="261"/>
        <w:ind w:left="426"/>
        <w:rPr>
          <w:rFonts w:hint="eastAsia"/>
        </w:rPr>
      </w:pPr>
    </w:p>
    <w:sectPr>
      <w:headerReference r:id="rId25" w:type="default"/>
      <w:footerReference r:id="rId26" w:type="default"/>
      <w:type w:val="continuous"/>
      <w:pgSz w:w="11906" w:h="16838"/>
      <w:pgMar w:top="1440" w:right="1169" w:bottom="1440" w:left="1797" w:header="851" w:footer="992" w:gutter="0"/>
      <w:cols w:space="720" w:num="1"/>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E0002AFF" w:usb1="C0007843" w:usb2="00000009" w:usb3="00000000" w:csb0="000001FF" w:csb1="00000000"/>
  </w:font>
  <w:font w:name="Century">
    <w:panose1 w:val="02040604050505020304"/>
    <w:charset w:val="00"/>
    <w:family w:val="roman"/>
    <w:pitch w:val="default"/>
    <w:sig w:usb0="00000287" w:usb1="00000000" w:usb2="00000000" w:usb3="00000000" w:csb0="2000009F" w:csb1="DFD70000"/>
  </w:font>
  <w:font w:name="Arial Unicode MS">
    <w:altName w:val="宋体"/>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4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p>
                      </w:txbxContent>
                    </wps:txbx>
                    <wps:bodyPr wrap="none" lIns="0" tIns="0" rIns="0" bIns="0" upright="0">
                      <a:spAutoFit/>
                    </wps:bodyPr>
                  </wps:wsp>
                </a:graphicData>
              </a:graphic>
            </wp:anchor>
          </w:drawing>
        </mc:Choice>
        <mc:Fallback>
          <w:pict>
            <v:shape id="文本框 411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Q3vig8sBAACdAwAADgAAAGRycy9lMm9Eb2MueG1srVPNjtMwEL4j8Q6W 79RpBasqaroCVYuQECAtPIDr2I0l/8njNukLwBtw4sKd5+pzMHaSLiyXPXBxxjPjb+b7ZrK5Hawh JxlBe9fQ5aKiRDrhW+0ODf3y+e7FmhJI3LXceCcbepZAb7fPn236UMuV77xpZSQI4qDuQ0O7lELN GIhOWg4LH6TDoPLR8oTXeGBt5D2iW8NWVXXDeh/bEL2QAOjdjUE6IcanAHqltJA7L45WujSiRml4 QkrQ6QB0W7pVSor0USmQiZiGItNUTiyC9j6fbLvh9SHy0GkxtcCf0sIjTpZrh0WvUDueODlG/Q+U 1SJ68CothLdsJFIUQRbL6pE29x0PsnBBqSFcRYf/Bys+nD5FolvchFeUOG5x4pfv3y4/fl1+fiUv l8ubLFEfoMbM+4C5aXjjB0yf/YDOzHxQ0eYvciIYR4HPV4HlkIjIj9ar9brCkMDYfEF89vA8REhv pbckGw2NOMEiLD+9hzSmzim5mvN32pgyReP+ciBm9rDc+9hjttKwHyZCe9+ekU+Pw2+ow12nxLxz qG3ek9mIs7GfjWOI+tCVRcr1ILw+Jmyi9JYrjLBTYZxaYTdtWF6LP+8l6+Gv2v4G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EN74oPLAQAAnQMAAA4AAAAAAAAAAQAgAAAAHgEAAGRycy9lMm9E b2MueG1sUEsFBgAAAAAGAAYAWQEAAFsFAAAAAA== ">
              <v:fill on="f" focussize="0,0"/>
              <v:stroke on="f"/>
              <v:imagedata o:title=""/>
              <o:lock v:ext="edit" aspectratio="f"/>
              <v:textbox inset="0mm,0mm,0mm,0mm" style="mso-fit-shape-to-text:t;">
                <w:txbxContent>
                  <w:p>
                    <w:pPr>
                      <w:pStyle w:val="32"/>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outside" w:yAlign="top"/>
      <w:rPr>
        <w:rStyle w:val="51"/>
      </w:rPr>
    </w:pPr>
    <w:r>
      <w:fldChar w:fldCharType="begin"/>
    </w:r>
    <w:r>
      <w:rPr>
        <w:rStyle w:val="51"/>
      </w:rPr>
      <w:instrText xml:space="preserve">PAGE  </w:instrText>
    </w:r>
    <w:r>
      <w:fldChar w:fldCharType="separate"/>
    </w:r>
    <w:r>
      <w:rPr>
        <w:rStyle w:val="51"/>
      </w:rPr>
      <w:t>32</w:t>
    </w:r>
    <w:r>
      <w:fldChar w:fldCharType="end"/>
    </w:r>
  </w:p>
  <w:p>
    <w:pPr>
      <w:pStyle w:val="32"/>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outside" w:yAlign="top"/>
      <w:rPr>
        <w:rStyle w:val="51"/>
        <w:rFonts w:hint="eastAsia" w:ascii="宋体" w:hAnsi="宋体" w:eastAsia="宋体"/>
        <w:sz w:val="28"/>
        <w:szCs w:val="28"/>
      </w:rPr>
    </w:pPr>
    <w:r>
      <w:rPr>
        <w:rStyle w:val="51"/>
        <w:rFonts w:hint="eastAsia" w:ascii="宋体" w:hAnsi="宋体" w:eastAsia="宋体"/>
        <w:sz w:val="28"/>
        <w:szCs w:val="28"/>
      </w:rPr>
      <w:t xml:space="preserve">— </w:t>
    </w:r>
    <w:r>
      <w:rPr>
        <w:rFonts w:ascii="宋体" w:hAnsi="宋体" w:eastAsia="宋体"/>
        <w:sz w:val="28"/>
        <w:szCs w:val="28"/>
      </w:rPr>
      <w:fldChar w:fldCharType="begin"/>
    </w:r>
    <w:r>
      <w:rPr>
        <w:rStyle w:val="51"/>
        <w:rFonts w:ascii="宋体" w:hAnsi="宋体" w:eastAsia="宋体"/>
        <w:sz w:val="28"/>
        <w:szCs w:val="28"/>
      </w:rPr>
      <w:instrText xml:space="preserve">PAGE  </w:instrText>
    </w:r>
    <w:r>
      <w:rPr>
        <w:rFonts w:ascii="宋体" w:hAnsi="宋体" w:eastAsia="宋体"/>
        <w:sz w:val="28"/>
        <w:szCs w:val="28"/>
      </w:rPr>
      <w:fldChar w:fldCharType="separate"/>
    </w:r>
    <w:r>
      <w:rPr>
        <w:rStyle w:val="51"/>
        <w:rFonts w:ascii="宋体" w:hAnsi="宋体" w:eastAsia="宋体"/>
        <w:sz w:val="28"/>
        <w:szCs w:val="28"/>
      </w:rPr>
      <w:t>39</w:t>
    </w:r>
    <w:r>
      <w:rPr>
        <w:rFonts w:ascii="宋体" w:hAnsi="宋体" w:eastAsia="宋体"/>
        <w:sz w:val="28"/>
        <w:szCs w:val="28"/>
      </w:rPr>
      <w:fldChar w:fldCharType="end"/>
    </w:r>
    <w:r>
      <w:rPr>
        <w:rStyle w:val="51"/>
        <w:rFonts w:hint="eastAsia" w:ascii="宋体" w:hAnsi="宋体" w:eastAsia="宋体"/>
        <w:sz w:val="28"/>
        <w:szCs w:val="28"/>
      </w:rPr>
      <w:t xml:space="preserve"> —</w:t>
    </w:r>
  </w:p>
  <w:p>
    <w:pPr>
      <w:pStyle w:val="32"/>
      <w:ind w:right="720" w:firstLine="180" w:firstLineChars="100"/>
      <w:jc w:val="both"/>
      <w:rPr>
        <w:rFonts w:hint="eastAsia"/>
      </w:rPr>
    </w:pPr>
    <w:r>
      <w:rPr>
        <w:rFonts w:hint="eastAsia"/>
      </w:rPr>
      <w:t xml:space="preserve">                                                           东阳市公共资源交易中心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720" w:firstLine="180" w:firstLineChars="100"/>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4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wps:txbx>
                    <wps:bodyPr wrap="none" lIns="0" tIns="0" rIns="0" bIns="0" upright="0">
                      <a:spAutoFit/>
                    </wps:bodyPr>
                  </wps:wsp>
                </a:graphicData>
              </a:graphic>
            </wp:anchor>
          </w:drawing>
        </mc:Choice>
        <mc:Fallback>
          <w:pict>
            <v:shape id="文本框 4110"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iHMMn8kBAACcAwAADgAAAGRycy9lMm9Eb2MueG1srVNNrtMwEN4jcQfL e+q0QqiKmj6BqoeQECA9OIDr2I0l/8njNukF4Aas2LDnXD0HYydp4bF5CzbOeGb8zXzfTDZ3gzXk JCNo7xq6XFSUSCd8q92hoV8+379YUwKJu5Yb72RDzxLo3fb5s00farnynTetjARBHNR9aGiXUqgZ A9FJy2Hhg3QYVD5anvAaD6yNvEd0a9iqql6x3sc2RC8kAHp3Y5BOiPEpgF4pLeTOi6OVLo2oURqe kBJ0OgDdlm6VkiJ9VApkIqahyDSVE4ugvc8n2254fYg8dFpMLfCntPCIk+XaYdEr1I4nTo5R/wNl tYgevEoL4S0biRRFkMWyeqTNQ8eDLFxQaghX0eH/wYoPp0+R6LahOHbHLQ788v3b5cevy8+v5OVy WRTqA9SY+BAwNQ1v/IB7k5XLfkBnJj6oaPMXKRGMo77nq75ySETkR+vVel1hSGBsviAOuz0PEdJb 6S3JRkMjDrDoyk/vIY2pc0qu5vy9NqYM0bi/HIiZPezWY7bSsB+mxve+PSOfHmffUIerTol551Da vCazEWdjPxvHEPWhK3uU60F4fUzYROktVxhhp8I4tMJuWrC8FX/eS9btp9r+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CIcwyfyQEAAJwDAAAOAAAAAAAAAAEAIAAAAB4BAABkcnMvZTJvRG9j LnhtbFBLBQYAAAAABgAGAFkBAABZBQAAAAA= ">
              <v:fill on="f" focussize="0,0"/>
              <v:stroke on="f"/>
              <v:imagedata o:title=""/>
              <o:lock v:ext="edit" aspectratio="f"/>
              <v:textbox inset="0mm,0mm,0mm,0mm" style="mso-fit-shape-to-text:t;">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v:textbox>
            </v:shape>
          </w:pict>
        </mc:Fallback>
      </mc:AlternateContent>
    </w:r>
    <w:r>
      <w:rPr>
        <w:rFonts w:hint="eastAsia"/>
      </w:rPr>
      <w:t>金华市公共资源交易中心东阳分中心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outside" w:yAlign="top"/>
      <w:rPr>
        <w:rStyle w:val="51"/>
      </w:rPr>
    </w:pPr>
    <w:r>
      <w:fldChar w:fldCharType="begin"/>
    </w:r>
    <w:r>
      <w:rPr>
        <w:rStyle w:val="51"/>
      </w:rPr>
      <w:instrText xml:space="preserve">PAGE  </w:instrText>
    </w:r>
    <w:r>
      <w:fldChar w:fldCharType="separate"/>
    </w:r>
    <w:r>
      <w:rPr>
        <w:rStyle w:val="51"/>
      </w:rPr>
      <w:t>32</w:t>
    </w:r>
    <w:r>
      <w:fldChar w:fldCharType="end"/>
    </w:r>
  </w:p>
  <w:p>
    <w:pPr>
      <w:pStyle w:val="32"/>
      <w:ind w:right="360"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outside" w:yAlign="top"/>
      <w:rPr>
        <w:rStyle w:val="51"/>
        <w:rFonts w:hint="eastAsia" w:ascii="宋体" w:hAnsi="宋体" w:eastAsia="宋体"/>
        <w:sz w:val="28"/>
        <w:szCs w:val="28"/>
      </w:rPr>
    </w:pPr>
    <w:r>
      <w:rPr>
        <w:rStyle w:val="51"/>
        <w:rFonts w:hint="eastAsia" w:ascii="宋体" w:hAnsi="宋体" w:eastAsia="宋体"/>
        <w:sz w:val="28"/>
        <w:szCs w:val="28"/>
      </w:rPr>
      <w:t xml:space="preserve">— </w:t>
    </w:r>
    <w:r>
      <w:rPr>
        <w:rFonts w:ascii="宋体" w:hAnsi="宋体" w:eastAsia="宋体"/>
        <w:sz w:val="28"/>
        <w:szCs w:val="28"/>
      </w:rPr>
      <w:fldChar w:fldCharType="begin"/>
    </w:r>
    <w:r>
      <w:rPr>
        <w:rStyle w:val="51"/>
        <w:rFonts w:ascii="宋体" w:hAnsi="宋体" w:eastAsia="宋体"/>
        <w:sz w:val="28"/>
        <w:szCs w:val="28"/>
      </w:rPr>
      <w:instrText xml:space="preserve">PAGE  </w:instrText>
    </w:r>
    <w:r>
      <w:rPr>
        <w:rFonts w:ascii="宋体" w:hAnsi="宋体" w:eastAsia="宋体"/>
        <w:sz w:val="28"/>
        <w:szCs w:val="28"/>
      </w:rPr>
      <w:fldChar w:fldCharType="separate"/>
    </w:r>
    <w:r>
      <w:rPr>
        <w:rStyle w:val="51"/>
        <w:rFonts w:ascii="宋体" w:hAnsi="宋体" w:eastAsia="宋体"/>
        <w:sz w:val="28"/>
        <w:szCs w:val="28"/>
      </w:rPr>
      <w:t>39</w:t>
    </w:r>
    <w:r>
      <w:rPr>
        <w:rFonts w:ascii="宋体" w:hAnsi="宋体" w:eastAsia="宋体"/>
        <w:sz w:val="28"/>
        <w:szCs w:val="28"/>
      </w:rPr>
      <w:fldChar w:fldCharType="end"/>
    </w:r>
    <w:r>
      <w:rPr>
        <w:rStyle w:val="51"/>
        <w:rFonts w:hint="eastAsia" w:ascii="宋体" w:hAnsi="宋体" w:eastAsia="宋体"/>
        <w:sz w:val="28"/>
        <w:szCs w:val="28"/>
      </w:rPr>
      <w:t xml:space="preserve"> —</w:t>
    </w:r>
  </w:p>
  <w:p>
    <w:pPr>
      <w:pStyle w:val="32"/>
      <w:ind w:right="720" w:firstLine="180" w:firstLineChars="100"/>
      <w:jc w:val="both"/>
      <w:rPr>
        <w:rFonts w:hint="eastAsia"/>
      </w:rPr>
    </w:pPr>
    <w:r>
      <w:rPr>
        <w:rFonts w:hint="eastAsia"/>
      </w:rPr>
      <w:t xml:space="preserve">                                                           东阳市公共资源交易中心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720" w:firstLine="180" w:firstLineChars="100"/>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4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79</w:t>
                          </w:r>
                          <w:r>
                            <w:rPr>
                              <w:rFonts w:hint="eastAsia"/>
                            </w:rPr>
                            <w:fldChar w:fldCharType="end"/>
                          </w:r>
                        </w:p>
                      </w:txbxContent>
                    </wps:txbx>
                    <wps:bodyPr wrap="none" lIns="0" tIns="0" rIns="0" bIns="0" upright="0">
                      <a:spAutoFit/>
                    </wps:bodyPr>
                  </wps:wsp>
                </a:graphicData>
              </a:graphic>
            </wp:anchor>
          </w:drawing>
        </mc:Choice>
        <mc:Fallback>
          <w:pict>
            <v:shape id="文本框 4101"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kR2LXsoBAACcAwAADgAAAGRycy9lMm9Eb2MueG1srVPNjtMwEL4j8Q6W 79RphVCJmq5A1SIkBEjLPoDr2I0l/8njNukLwBtw4sKd5+pzMHaSLiyXPXBxxjPjb+b7ZrK5Gawh JxlBe9fQ5aKiRDrhW+0ODb3/cvtiTQkk7lpuvJMNPUugN9vnzzZ9qOXKd960MhIEcVD3oaFdSqFm DEQnLYeFD9JhUPloecJrPLA28h7RrWGrqnrFeh/bEL2QAOjdjUE6IcanAHqltJA7L45WujSiRml4 QkrQ6QB0W7pVSor0SSmQiZiGItNUTiyC9j6fbLvh9SHy0GkxtcCf0sIjTpZrh0WvUDueODlG/Q+U 1SJ68CothLdsJFIUQRbL6pE2dx0PsnBBqSFcRYf/Bys+nj5HotuGvqbEcYsDv3z/dvnx6/LzK3m5 rJZZoT5AjYl3AVPT8NYPuDezH9CZiQ8q2vxFSgTjqO/5qq8cEhH50Xq1XlcYEhibL4jPHp6HCOmd 9JZko6ERB1h05acPkMbUOSVXc/5WG1OGaNxfDsTMHpZ7H3vMVhr2w0Ro79sz8ulx9g11uOqUmPcO pc1rMhtxNvazcQxRH7qyR7kehDfHhE2U3nKFEXYqjEMr7KYFy1vx571kPfxU299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kR2LXsoBAACcAwAADgAAAAAAAAABACAAAAAeAQAAZHJzL2Uyb0Rv Yy54bWxQSwUGAAAAAAYABgBZAQAAWgUAAAAA ">
              <v:fill on="f" focussize="0,0"/>
              <v:stroke on="f"/>
              <v:imagedata o:title=""/>
              <o:lock v:ext="edit" aspectratio="f"/>
              <v:textbox inset="0mm,0mm,0mm,0mm" style="mso-fit-shape-to-text:t;">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79</w:t>
                    </w:r>
                    <w:r>
                      <w:rPr>
                        <w:rFonts w:hint="eastAsia"/>
                      </w:rPr>
                      <w:fldChar w:fldCharType="end"/>
                    </w:r>
                  </w:p>
                </w:txbxContent>
              </v:textbox>
            </v:shape>
          </w:pict>
        </mc:Fallback>
      </mc:AlternateContent>
    </w:r>
    <w:r>
      <w:rPr>
        <w:rFonts w:hint="eastAsia"/>
      </w:rPr>
      <w:t>金华市公共资源交易中心东阳分中心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center"/>
      <w:rPr>
        <w:rFonts w:hint="eastAsia"/>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4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wps:txbx>
                    <wps:bodyPr wrap="none" lIns="0" tIns="0" rIns="0" bIns="0" upright="0">
                      <a:spAutoFit/>
                    </wps:bodyPr>
                  </wps:wsp>
                </a:graphicData>
              </a:graphic>
            </wp:anchor>
          </w:drawing>
        </mc:Choice>
        <mc:Fallback>
          <w:pict>
            <v:shape id="文本框 4102"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G3J7soBAACdAwAADgAAAGRycy9lMm9Eb2MueG1srVPNjtMwEL4j8Q6W 79RphVAVNV3tqlqEhABp4QFcx24s+U8et0lfAN6AExfuPFefg7GTdGG57IGLM54ZfzPfN5PNzWAN OckI2ruGLhcVJdIJ32p3aOiXz/ev1pRA4q7lxjvZ0LMEerN9+WLTh1qufOdNKyNBEAd1HxrapRRq xkB00nJY+CAdBpWPlie8xgNrI+8R3Rq2qqo3rPexDdELCYDe3RikE2J8DqBXSgu58+JopUsjapSG J6QEnQ5At6VbpaRIH5UCmYhpKDJN5cQiaO/zybYbXh8iD50WUwv8OS084WS5dlj0CrXjiZNj1P9A WS2iB6/SQnjLRiJFEWSxrJ5o89DxIAsXlBrCVXT4f7Diw+lTJLrFTUBJHLc48cv3b5cfvy4/v5LX y2qVJeoD1Jj5EDA3DXd+wPTZD+jMzAcVbf4iJ4JxRDtfBZZDIiI/Wq/W6wpDAmPzBfHZ4/MQIb2V 3pJsNDTiBIuw/PQe0pg6p+Rqzt9rY8oUjfvLgZjZw3LvY4/ZSsN+mAjtfXtGPj0Ov6EOd50S886h tthfmo04G/vZOIaoD11ZpFwPwu0xYROlt1xhhJ0K49QKu2nD8lr8eS9Zj3/V9jd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sG3J7soBAACdAwAADgAAAAAAAAABACAAAAAeAQAAZHJzL2Uyb0Rv Yy54bWxQSwUGAAAAAAYABgBZAQAAWgUAAAAA ">
              <v:fill on="f" focussize="0,0"/>
              <v:stroke on="f"/>
              <v:imagedata o:title=""/>
              <o:lock v:ext="edit" aspectratio="f"/>
              <v:textbox inset="0mm,0mm,0mm,0mm" style="mso-fit-shape-to-text:t;">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v:textbox>
            </v:shape>
          </w:pict>
        </mc:Fallback>
      </mc:AlternateContent>
    </w:r>
    <w:r>
      <w:rPr>
        <w:rFonts w:hint="eastAsia"/>
      </w:rPr>
      <w:t>金华市公共资源交易中心东阳分中心</w:t>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center"/>
      <w:rPr>
        <w:rFonts w:hint="eastAsia"/>
      </w:rPr>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4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r>
                            <w:fldChar w:fldCharType="begin"/>
                          </w:r>
                          <w:r>
                            <w:instrText xml:space="preserve"> PAGE  \* MERGEFORMAT </w:instrText>
                          </w:r>
                          <w:r>
                            <w:fldChar w:fldCharType="separate"/>
                          </w:r>
                          <w:r>
                            <w:rPr>
                              <w:lang/>
                            </w:rPr>
                            <w:t>7</w:t>
                          </w:r>
                          <w:r>
                            <w:fldChar w:fldCharType="end"/>
                          </w:r>
                        </w:p>
                      </w:txbxContent>
                    </wps:txbx>
                    <wps:bodyPr wrap="none" lIns="0" tIns="0" rIns="0" bIns="0" upright="0">
                      <a:spAutoFit/>
                    </wps:bodyPr>
                  </wps:wsp>
                </a:graphicData>
              </a:graphic>
            </wp:anchor>
          </w:drawing>
        </mc:Choice>
        <mc:Fallback>
          <w:pict>
            <v:shape id="文本框 4115"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i/zfA8sBAACdAwAADgAAAGRycy9lMm9Eb2MueG1srVPNjtMwEL4j8Q6W 79RptaAqaroCVYuQECAtPIDr2I0l/8njNukLwBtw4sKd5+pzMHaSLiyXPXBxxjPjb+b7ZrK5Hawh JxlBe9fQ5aKiRDrhW+0ODf3y+e7FmhJI3LXceCcbepZAb7fPn236UMuV77xpZSQI4qDuQ0O7lELN GIhOWg4LH6TDoPLR8oTXeGBt5D2iW8NWVfWK9T62IXohAdC7G4N0QoxPAfRKaSF3XhytdGlEjdLw hJSg0wHotnSrlBTpo1IgEzENRaapnFgE7X0+2XbD60PkodNiaoE/pYVHnCzXDoteoXY8cXKM+h8o q0X04FVaCG/ZSKQogiyW1SNt7jseZOGCUkO4ig7/D1Z8OH2KRLe4CTeUOG5x4pfv3y4/fl1+fiU3 y+XLLFEfoMbM+4C5aXjjB0yf/YDOzHxQ0eYvciIYR4HPV4HlkIjIj9ar9brCkMDYfEF89vA8REhv pbckGw2NOMEiLD+9hzSmzim5mvN32pgyReP+ciBm9rDc+9hjttKwHyZCe9+ekU+Pw2+ow12nxLxz qG3ek9mIs7GfjWOI+tCVRcr1ILw+Jmyi9JYrjLBTYZxaYTdtWF6LP+8l6+Gv2v4G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Iv83wPLAQAAnQMAAA4AAAAAAAAAAQAgAAAAHgEAAGRycy9lMm9E b2MueG1sUEsFBgAAAAAGAAYAWQEAAFsFAAAAAA== ">
              <v:fill on="f" focussize="0,0"/>
              <v:stroke on="f"/>
              <v:imagedata o:title=""/>
              <o:lock v:ext="edit" aspectratio="f"/>
              <v:textbox inset="0mm,0mm,0mm,0mm" style="mso-fit-shape-to-text:t;">
                <w:txbxContent>
                  <w:p>
                    <w:pPr>
                      <w:pStyle w:val="32"/>
                    </w:pPr>
                    <w:r>
                      <w:fldChar w:fldCharType="begin"/>
                    </w:r>
                    <w:r>
                      <w:instrText xml:space="preserve"> PAGE  \* MERGEFORMAT </w:instrText>
                    </w:r>
                    <w:r>
                      <w:fldChar w:fldCharType="separate"/>
                    </w:r>
                    <w:r>
                      <w:rPr>
                        <w:lang/>
                      </w:rPr>
                      <w:t>7</w:t>
                    </w:r>
                    <w:r>
                      <w:fldChar w:fldCharType="end"/>
                    </w:r>
                  </w:p>
                </w:txbxContent>
              </v:textbox>
            </v:shape>
          </w:pict>
        </mc:Fallback>
      </mc:AlternateContent>
    </w:r>
    <w:r>
      <w:rPr>
        <w:rFonts w:hint="eastAsia"/>
      </w:rPr>
      <w:t>金华市公共资源交易中心东阳分中心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outside" w:yAlign="top"/>
      <w:rPr>
        <w:rStyle w:val="51"/>
      </w:rPr>
    </w:pPr>
    <w:r>
      <w:fldChar w:fldCharType="begin"/>
    </w:r>
    <w:r>
      <w:rPr>
        <w:rStyle w:val="51"/>
      </w:rPr>
      <w:instrText xml:space="preserve">PAGE  </w:instrText>
    </w:r>
    <w:r>
      <w:fldChar w:fldCharType="separate"/>
    </w:r>
    <w:r>
      <w:rPr>
        <w:rStyle w:val="51"/>
      </w:rPr>
      <w:t>26</w:t>
    </w:r>
    <w:r>
      <w:fldChar w:fldCharType="end"/>
    </w:r>
  </w:p>
  <w:p>
    <w:pPr>
      <w:pStyle w:val="3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center"/>
      <w:rPr>
        <w:rFonts w:hint="eastAsia"/>
      </w:rP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文本框 410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zFMLssBAACdAwAADgAAAGRycy9lMm9Eb2MueG1srVPNjtMwEL4j8Q6W 79RphVZV1HQFqhYhIUBaeADXsRtL/pPHbdIXgDfgxIU7z9XnYOwk3WW57IGLM54ZfzPfN5PN7WAN OckI2ruGLhcVJdIJ32p3aOjXL3ev1pRA4q7lxjvZ0LMEert9+WLTh1qufOdNKyNBEAd1HxrapRRq xkB00nJY+CAdBpWPlie8xgNrI+8R3Rq2qqob1vvYhuiFBEDvbgzSCTE+B9ArpYXceXG00qURNUrD E1KCTgeg29KtUlKkT0qBTMQ0FJmmcmIRtPf5ZNsNrw+Rh06LqQX+nBaecLJcOyx6hdrxxMkx6n+g rBbRg1dpIbxlI5GiCLJYVk+0ue94kIULSg3hKjr8P1jx8fQ5Et3iJiwpcdzixC8/vl9+/r78+kZe L6ubLFEfoMbM+4C5aXjrB0yf/YDOzHxQ0eYvciIYR4HPV4HlkIjIj9ar9brCkMDYfEF89vA8REjv pLckGw2NOMEiLD99gDSmzim5mvN32pgyReP+ciBm9rDc+9hjttKwHyZCe9+ekU+Pw2+ow12nxLx3 qG3ek9mIs7GfjWOI+tCVRcr1ILw5Jmyi9JYrjLBTYZxaYTdtWF6Lx/eS9fBXbf8A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H8xTC7LAQAAnQMAAA4AAAAAAAAAAQAgAAAAHgEAAGRycy9lMm9E b2MueG1sUEsFBgAAAAAGAAYAWQEAAFsFAAAAAA== ">
              <v:fill on="f" focussize="0,0"/>
              <v:stroke on="f"/>
              <v:imagedata o:title=""/>
              <o:lock v:ext="edit" aspectratio="f"/>
              <v:textbox inset="0mm,0mm,0mm,0mm" style="mso-fit-shape-to-text:t;">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r>
      <w:rPr>
        <w:rFonts w:hint="eastAsia"/>
      </w:rPr>
      <w:t>金华市公共资源交易中心东阳分中心</w:t>
    </w:r>
  </w:p>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center"/>
      <w:rPr>
        <w:rFonts w:hint="eastAsia"/>
      </w:rPr>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4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r>
                            <w:fldChar w:fldCharType="begin"/>
                          </w:r>
                          <w:r>
                            <w:instrText xml:space="preserve"> PAGE  \* MERGEFORMAT </w:instrText>
                          </w:r>
                          <w:r>
                            <w:fldChar w:fldCharType="separate"/>
                          </w:r>
                          <w:r>
                            <w:rPr>
                              <w:lang/>
                            </w:rPr>
                            <w:t>44</w:t>
                          </w:r>
                          <w:r>
                            <w:fldChar w:fldCharType="end"/>
                          </w:r>
                        </w:p>
                      </w:txbxContent>
                    </wps:txbx>
                    <wps:bodyPr wrap="none" lIns="0" tIns="0" rIns="0" bIns="0" upright="0">
                      <a:spAutoFit/>
                    </wps:bodyPr>
                  </wps:wsp>
                </a:graphicData>
              </a:graphic>
            </wp:anchor>
          </w:drawing>
        </mc:Choice>
        <mc:Fallback>
          <w:pict>
            <v:shape id="文本框 4112"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9H8tMsBAACdAwAADgAAAGRycy9lMm9Eb2MueG1srVPNjtMwEL4j8Q6W 79RpQaiKmq5A1SIkBEjLPoDr2I0l/8njNukLwBtw4sKd5+pzMHaSLiyXPXBxxjPjb+b7ZrK5Gawh JxlBe9fQ5aKiRDrhW+0ODb3/cvtiTQkk7lpuvJMNPUugN9vnzzZ9qOXKd960MhIEcVD3oaFdSqFm DEQnLYeFD9JhUPloecJrPLA28h7RrWGrqnrNeh/bEL2QAOjdjUE6IcanAHqltJA7L45WujSiRml4 QkrQ6QB0W7pVSor0SSmQiZiGItNUTiyC9j6fbLvh9SHy0GkxtcCf0sIjTpZrh0WvUDueODlG/Q+U 1SJ68CothLdsJFIUQRbL6pE2dx0PsnBBqSFcRYf/Bys+nj5HolvchJeUOG5x4pfv3y4/fl1+fiWv lstVlqgPUGPmXcDcNLz1A6bPfkBnZj6oaPMXORGMo8Dnq8BySETkR+vVel1hSGBsviA+e3geIqR3 0luSjYZGnGARlp8+QBpT55RczflbbUyZonF/ORAze1jufewxW2nYDxOhvW/PyKfH4TfU4a5TYt47 1DbvyWzE2djPxjFEfejKIuV6EN4cEzZRessVRtipME6tsJs2LK/Fn/eS9fBXbX8D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H/R/LTLAQAAnQMAAA4AAAAAAAAAAQAgAAAAHgEAAGRycy9lMm9E b2MueG1sUEsFBgAAAAAGAAYAWQEAAFsFAAAAAA== ">
              <v:fill on="f" focussize="0,0"/>
              <v:stroke on="f"/>
              <v:imagedata o:title=""/>
              <o:lock v:ext="edit" aspectratio="f"/>
              <v:textbox inset="0mm,0mm,0mm,0mm" style="mso-fit-shape-to-text:t;">
                <w:txbxContent>
                  <w:p>
                    <w:pPr>
                      <w:pStyle w:val="32"/>
                    </w:pPr>
                    <w:r>
                      <w:fldChar w:fldCharType="begin"/>
                    </w:r>
                    <w:r>
                      <w:instrText xml:space="preserve"> PAGE  \* MERGEFORMAT </w:instrText>
                    </w:r>
                    <w:r>
                      <w:fldChar w:fldCharType="separate"/>
                    </w:r>
                    <w:r>
                      <w:rPr>
                        <w:lang/>
                      </w:rPr>
                      <w:t>44</w:t>
                    </w:r>
                    <w:r>
                      <w:fldChar w:fldCharType="end"/>
                    </w:r>
                  </w:p>
                </w:txbxContent>
              </v:textbox>
            </v:shape>
          </w:pict>
        </mc:Fallback>
      </mc:AlternateContent>
    </w:r>
    <w:r>
      <w:rPr>
        <w:rFonts w:hint="eastAsia"/>
      </w:rPr>
      <w:t>金华市公共资源交易中心东阳分中心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center"/>
      <w:rPr>
        <w:rFonts w:hint="eastAsia"/>
      </w:rPr>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209550" cy="217170"/>
              <wp:effectExtent l="0" t="0" r="0" b="0"/>
              <wp:wrapNone/>
              <wp:docPr id="12" name="文本框 4111"/>
              <wp:cNvGraphicFramePr/>
              <a:graphic xmlns:a="http://schemas.openxmlformats.org/drawingml/2006/main">
                <a:graphicData uri="http://schemas.microsoft.com/office/word/2010/wordprocessingShape">
                  <wps:wsp>
                    <wps:cNvSpPr txBox="1"/>
                    <wps:spPr>
                      <a:xfrm>
                        <a:off x="0" y="0"/>
                        <a:ext cx="209550" cy="217170"/>
                      </a:xfrm>
                      <a:prstGeom prst="rect">
                        <a:avLst/>
                      </a:prstGeom>
                      <a:noFill/>
                      <a:ln>
                        <a:noFill/>
                      </a:ln>
                    </wps:spPr>
                    <wps:txbx>
                      <w:txbxContent>
                        <w:p>
                          <w:pPr>
                            <w:pStyle w:val="32"/>
                            <w:ind w:firstLine="180" w:firstLineChars="10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8</w:t>
                          </w:r>
                          <w:r>
                            <w:rPr>
                              <w:rFonts w:hint="eastAsia"/>
                            </w:rPr>
                            <w:fldChar w:fldCharType="end"/>
                          </w:r>
                        </w:p>
                      </w:txbxContent>
                    </wps:txbx>
                    <wps:bodyPr wrap="square" lIns="0" tIns="0" rIns="0" bIns="0" upright="0"/>
                  </wps:wsp>
                </a:graphicData>
              </a:graphic>
            </wp:anchor>
          </w:drawing>
        </mc:Choice>
        <mc:Fallback>
          <w:pict>
            <v:shape id="文本框 4111" o:spid="_x0000_s1026" o:spt="202" type="#_x0000_t202" style="position:absolute;left:0pt;margin-top:0pt;height:17.1pt;width:16.5pt;mso-position-horizontal:right;mso-position-horizontal-relative:margin;z-index:251665408;mso-width-relative:page;mso-height-relative:page;" filled="f" stroked="f" coordsize="21600,21600" o:gfxdata="UEsDBAoAAAAAAIdO4kAAAAAAAAAAAAAAAAAEAAAAZHJzL1BLAwQUAAAACACHTuJAUiyD0NMAAAAD AQAADwAAAGRycy9kb3ducmV2LnhtbE2PzU7DMBCE70i8g7VIvVG7LaogxKkQak+VEGk4cHTibWI1 XofY/eHtWbjQy65Gs5r9Jl9dfC9OOEYXSMNsqkAgNcE6ajV8VJv7RxAxGbKmD4QavjHCqri9yU1m w5lKPO1SKziEYmY0dCkNmZSx6dCbOA0DEnv7MHqTWI6ttKM5c7jv5VyppfTGEX/ozICvHTaH3dFr ePmkcu2+3ur3cl+6qnpStF0etJ7czdQziISX9H8Mv/iMDgUz1eFINopeAxdJf5O9xYJVzfthDrLI 5TV78QNQSwMEFAAAAAgAh07iQHvwtmPGAQAAgwMAAA4AAABkcnMvZTJvRG9jLnhtbK1TS47TQBDd I3GHVu+JP2IYsOKMhKJBSAiQBg7QabfjlvpHVSd2LgA3YMWGPefKOajuxBkYNrNg0y5XlV+/96q8 vJmsYXsFqL1rebUoOVNO+k67bcs/f7p99pIzjMJ1wninWn5QyG9WT58sx9Co2g/edAoYgThsxtDy IcbQFAXKQVmBCx+Uo2LvwYpIr7AtOhAjoVtT1GX5ohg9dAG8VIiUXZ+K/IwIjwH0fa+lWnu5s8rF EyooIyJJwkEH5KvMtu+VjB/6HlVkpuWkNOaTLqF4k85itRTNFkQYtDxTEI+h8ECTFdrRpReotYiC 7UD/A2W1BI++jwvpbXESkh0hFVX5wJu7QQSVtZDVGC6m4/+Dle/3H4Hpjjah5swJSxM/fv92/PHr +PMre15VVbJoDNhQ512g3ji99hO1z3mkZFI+9WDTkzQxqpPBh4vBaopMUrIuX11dUUVSqa6uq+s8 gOL+4wAY3yhvWQpaDjS/bKvYv8NIRKh1bkl3OX+rjckzNO6vBDWmTJGYnximKE6b6Sxn47sDqRlp 9C3HLzsBijPz1pG3aU/mAOZgMwe7AHo75EVKhBIszSZTO+9RGv6f77nr/t9Z/QZ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BSLIPQ0wAAAAMBAAAPAAAAAAAAAAEAIAAAACIAAABkcnMvZG93bnJldi54 bWxQSwECFAAUAAAACACHTuJAe/C2Y8YBAACDAwAADgAAAAAAAAABACAAAAAiAQAAZHJzL2Uyb0Rv Yy54bWxQSwUGAAAAAAYABgBZAQAAWgUAAAAA ">
              <v:fill on="f" focussize="0,0"/>
              <v:stroke on="f"/>
              <v:imagedata o:title=""/>
              <o:lock v:ext="edit" aspectratio="f"/>
              <v:textbox inset="0mm,0mm,0mm,0mm">
                <w:txbxContent>
                  <w:p>
                    <w:pPr>
                      <w:pStyle w:val="32"/>
                      <w:ind w:firstLine="180" w:firstLineChars="10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8</w:t>
                    </w:r>
                    <w:r>
                      <w:rPr>
                        <w:rFonts w:hint="eastAsia"/>
                      </w:rPr>
                      <w:fldChar w:fldCharType="end"/>
                    </w:r>
                  </w:p>
                </w:txbxContent>
              </v:textbox>
            </v:shape>
          </w:pict>
        </mc:Fallback>
      </mc:AlternateContent>
    </w:r>
    <w:r>
      <w:rPr>
        <w:rFonts w:hint="eastAsia"/>
      </w:rPr>
      <w:t>金华市公共资源交易中心东阳分中心</w:t>
    </w:r>
  </w:p>
  <w:p>
    <w:pPr>
      <w:pStyle w:val="3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720" w:rightChars="343"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4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69</w:t>
                          </w:r>
                          <w:r>
                            <w:rPr>
                              <w:rFonts w:hint="eastAsia"/>
                            </w:rPr>
                            <w:fldChar w:fldCharType="end"/>
                          </w:r>
                        </w:p>
                      </w:txbxContent>
                    </wps:txbx>
                    <wps:bodyPr wrap="none" lIns="0" tIns="0" rIns="0" bIns="0" upright="0">
                      <a:spAutoFit/>
                    </wps:bodyPr>
                  </wps:wsp>
                </a:graphicData>
              </a:graphic>
            </wp:anchor>
          </w:drawing>
        </mc:Choice>
        <mc:Fallback>
          <w:pict>
            <v:shape id="文本框 4108"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9NPMBssBAACcAwAADgAAAGRycy9lMm9Eb2MueG1srVNLbtswEN0XyB0I 7mPKRhAIguWghZEiQNEWSHsAmqIsAvyBQ1vyBdobdNVN9z2Xz9EhJTlpusmiG2o4M3wz781ofTcY TY4ygHK2pstFQYm0wjXK7mv69cv9dUkJRG4brp2VNT1JoHebqzfr3ldy5TqnGxkIglioel/TLkZf MQaik4bDwnlpMdi6YHjEa9izJvAe0Y1mq6K4Zb0LjQ9OSAD0bscgnRDDawBd2yoht04cjLRxRA1S 84iUoFMe6CZ327ZSxE9tCzISXVNkGvOJRdDepZNt1rzaB+47JaYW+GtaeMHJcGWx6AVqyyMnh6D+ gTJKBAeujQvhDBuJZEWQxbJ4oc1jx73MXFBq8BfR4f/Bio/Hz4Gopqa3lFhucODnH9/PP3+ff30j N8uiTAr1HipMfPSYGod3bsC9mf2AzkR8aINJX6REMI76ni76yiESkR6Vq7IsMCQwNl8Qnz099wHi e+kMSUZNAw4w68qPHyCOqXNKqmbdvdI6D1HbvxyImTws9T72mKw47IaJ0M41J+TT4+xranHVKdEP FqVNazIbYTZ2s3HwQe27vEepHvi3h4hN5N5ShRF2KoxDy+ymBUtb8fyes55+qs0f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PTTzAbLAQAAnAMAAA4AAAAAAAAAAQAgAAAAHgEAAGRycy9lMm9E b2MueG1sUEsFBgAAAAAGAAYAWQEAAFsFAAAAAA== ">
              <v:fill on="f" focussize="0,0"/>
              <v:stroke on="f"/>
              <v:imagedata o:title=""/>
              <o:lock v:ext="edit" aspectratio="f"/>
              <v:textbox inset="0mm,0mm,0mm,0mm" style="mso-fit-shape-to-text:t;">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69</w:t>
                    </w:r>
                    <w:r>
                      <w:rPr>
                        <w:rFonts w:hint="eastAsia"/>
                      </w:rPr>
                      <w:fldChar w:fldCharType="end"/>
                    </w:r>
                  </w:p>
                </w:txbxContent>
              </v:textbox>
            </v:shape>
          </w:pict>
        </mc:Fallback>
      </mc:AlternateContent>
    </w:r>
    <w:r>
      <w:rPr>
        <w:rFonts w:hint="eastAsia"/>
      </w:rPr>
      <w:t>金华市公共资源交易中心东阳分中心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720" w:rightChars="343" w:firstLine="180" w:firstLineChars="100"/>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4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71</w:t>
                          </w:r>
                          <w:r>
                            <w:rPr>
                              <w:rFonts w:hint="eastAsia"/>
                            </w:rPr>
                            <w:fldChar w:fldCharType="end"/>
                          </w:r>
                        </w:p>
                      </w:txbxContent>
                    </wps:txbx>
                    <wps:bodyPr wrap="none" lIns="0" tIns="0" rIns="0" bIns="0" upright="0">
                      <a:spAutoFit/>
                    </wps:bodyPr>
                  </wps:wsp>
                </a:graphicData>
              </a:graphic>
            </wp:anchor>
          </w:drawing>
        </mc:Choice>
        <mc:Fallback>
          <w:pict>
            <v:shape id="文本框 4109"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t5XsMoBAACcAwAADgAAAGRycy9lMm9Eb2MueG1srVNNrtMwEN4jcQfL e+q0QlCipk+g6iEkBEgPDuA6dmPJf/K4TXoBuAErNuw5V8/B2En64LF5CzbOeGb8zXzfTDY3gzXk JCNo7xq6XFSUSCd8q92hoV8+3z5bUwKJu5Yb72RDzxLozfbpk00farnynTetjARBHNR9aGiXUqgZ A9FJy2Hhg3QYVD5anvAaD6yNvEd0a9iqql6w3sc2RC8kAHp3Y5BOiPExgF4pLeTOi6OVLo2oURqe kBJ0OgDdlm6VkiJ9VApkIqahyDSVE4ugvc8n2254fYg8dFpMLfDHtPCAk+XaYdEr1I4nTo5R/wNl tYgevEoL4S0biRRFkMWyeqDNXceDLFxQaghX0eH/wYoPp0+R6LahLylx3OLAL9+/XX78uvz8Sp4v q1dZoT5AjYl3AVPT8MYPuDezH9CZiQ8q2vxFSgTjqO/5qq8cEhH50Xq1XlcYEhibL4jP7p+HCOmt 9JZko6ERB1h05af3kMbUOSVXc/5WG1OGaNxfDsTMHpZ7H3vMVhr2w0Ro79sz8ulx9g11uOqUmHcO pc1rMhtxNvazcQxRH7qyR7kehNfHhE2U3nKFEXYqjEMr7KYFy1vx571k3f9U299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Pt5XsMoBAACcAwAADgAAAAAAAAABACAAAAAeAQAAZHJzL2Uyb0Rv Yy54bWxQSwUGAAAAAAYABgBZAQAAWgUAAAAA ">
              <v:fill on="f" focussize="0,0"/>
              <v:stroke on="f"/>
              <v:imagedata o:title=""/>
              <o:lock v:ext="edit" aspectratio="f"/>
              <v:textbox inset="0mm,0mm,0mm,0mm" style="mso-fit-shape-to-text:t;">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71</w:t>
                    </w:r>
                    <w:r>
                      <w:rPr>
                        <w:rFonts w:hint="eastAsia"/>
                      </w:rPr>
                      <w:fldChar w:fldCharType="end"/>
                    </w:r>
                  </w:p>
                </w:txbxContent>
              </v:textbox>
            </v:shape>
          </w:pict>
        </mc:Fallback>
      </mc:AlternateContent>
    </w:r>
    <w:r>
      <w:rPr>
        <w:rFonts w:hint="eastAsia"/>
      </w:rPr>
      <w:t>金华市公共资源交易中心东阳分中心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hint="eastAsia" w:ascii="宋体" w:hAnsi="宋体" w:cs="宋体"/>
        <w:b/>
        <w:bCs/>
        <w:sz w:val="21"/>
        <w:szCs w:val="21"/>
      </w:rPr>
    </w:pPr>
    <w:r>
      <w:rPr>
        <w:rFonts w:hint="eastAsia" w:ascii="宋体" w:hAnsi="宋体" w:cs="宋体"/>
        <w:b/>
        <w:bCs/>
        <w:sz w:val="21"/>
        <w:szCs w:val="21"/>
      </w:rPr>
      <w:t>东阳市六歌健康生物产业园信息化系统提升项目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hint="eastAsia" w:ascii="宋体" w:hAnsi="宋体" w:eastAsia="宋体" w:cs="宋体"/>
        <w:b/>
        <w:bCs/>
        <w:sz w:val="24"/>
        <w:u w:val="single"/>
      </w:rPr>
    </w:pPr>
    <w:r>
      <w:rPr>
        <w:rFonts w:hint="eastAsia" w:ascii="宋体" w:hAnsi="宋体" w:cs="宋体"/>
        <w:b/>
        <w:bCs/>
        <w:sz w:val="21"/>
        <w:szCs w:val="21"/>
      </w:rPr>
      <w:t>东阳市六歌健康生物产业园信息化系统提升项目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hint="eastAsia" w:ascii="宋体" w:hAnsi="宋体" w:cs="宋体"/>
        <w:b/>
        <w:bCs/>
        <w:sz w:val="21"/>
        <w:szCs w:val="21"/>
      </w:rPr>
    </w:pPr>
    <w:r>
      <w:rPr>
        <w:rFonts w:hint="eastAsia" w:ascii="宋体" w:hAnsi="宋体" w:cs="宋体"/>
        <w:b/>
        <w:bCs/>
        <w:sz w:val="21"/>
        <w:szCs w:val="21"/>
      </w:rPr>
      <w:t>东阳市六歌健康生物产业园信息化系统提升项目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hint="eastAsia" w:ascii="宋体" w:hAnsi="宋体" w:cs="宋体"/>
        <w:b/>
        <w:bCs/>
        <w:sz w:val="21"/>
        <w:szCs w:val="21"/>
      </w:rPr>
    </w:pPr>
    <w:r>
      <w:rPr>
        <w:rFonts w:hint="eastAsia" w:ascii="宋体" w:hAnsi="宋体" w:cs="宋体"/>
        <w:b/>
        <w:bCs/>
        <w:sz w:val="21"/>
        <w:szCs w:val="21"/>
      </w:rPr>
      <w:t>东阳市六歌健康生物产业园信息化系统提升项目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hint="eastAsia" w:ascii="宋体" w:hAnsi="宋体" w:cs="宋体"/>
        <w:b/>
        <w:bCs/>
        <w:sz w:val="21"/>
        <w:szCs w:val="21"/>
      </w:rPr>
    </w:pPr>
    <w:r>
      <w:rPr>
        <w:rFonts w:hint="eastAsia" w:ascii="宋体" w:hAnsi="宋体" w:cs="宋体"/>
        <w:b/>
        <w:bCs/>
        <w:sz w:val="21"/>
        <w:szCs w:val="21"/>
      </w:rPr>
      <w:t>东阳市六歌健康生物产业园信息化系统提升项目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jc w:val="both"/>
      <w:rPr>
        <w:rFonts w:hint="eastAsia"/>
        <w:u w:val="single"/>
      </w:rPr>
    </w:pPr>
    <w:r>
      <w:rPr>
        <w:rFonts w:hint="eastAsia"/>
        <w:u w:val="single"/>
      </w:rPr>
      <w:t xml:space="preserve">东阳市人民医院、东阳市中医院医疗设备项目                                             </w:t>
    </w:r>
  </w:p>
  <w:p>
    <w:pP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8620"/>
        <w:tab w:val="clear" w:pos="8306"/>
      </w:tabs>
      <w:ind w:right="-313" w:rightChars="-149"/>
      <w:rPr>
        <w:rFonts w:hint="eastAsia"/>
      </w:rPr>
    </w:pPr>
    <w:r>
      <w:rPr>
        <w:rFonts w:hint="eastAsia" w:ascii="宋体" w:hAnsi="宋体" w:cs="宋体"/>
        <w:b/>
        <w:bCs/>
        <w:sz w:val="21"/>
        <w:szCs w:val="21"/>
      </w:rPr>
      <w:t>东阳市中医院护理床（带床垫）、妇保院口腔全景CT采购项目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jc w:val="both"/>
      <w:rPr>
        <w:rFonts w:hint="eastAsia"/>
        <w:u w:val="single"/>
      </w:rPr>
    </w:pPr>
    <w:r>
      <w:rPr>
        <w:rFonts w:hint="eastAsia"/>
        <w:u w:val="single"/>
      </w:rPr>
      <w:t xml:space="preserve">东阳市人民医院、东阳市中医院医疗设备项目                                             </w:t>
    </w:r>
  </w:p>
  <w:p>
    <w:pPr>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hint="eastAsia" w:ascii="宋体" w:hAnsi="宋体" w:cs="宋体"/>
        <w:b/>
        <w:bCs/>
        <w:sz w:val="21"/>
        <w:szCs w:val="21"/>
      </w:rPr>
    </w:pPr>
    <w:r>
      <w:rPr>
        <w:rFonts w:hint="eastAsia" w:ascii="宋体" w:hAnsi="宋体" w:cs="宋体"/>
        <w:b/>
        <w:bCs/>
        <w:sz w:val="21"/>
        <w:szCs w:val="21"/>
      </w:rPr>
      <w:t>东阳市六歌健康生物产业园信息化系统提升项目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2694F"/>
    <w:multiLevelType w:val="singleLevel"/>
    <w:tmpl w:val="9272694F"/>
    <w:lvl w:ilvl="0" w:tentative="0">
      <w:start w:val="2"/>
      <w:numFmt w:val="chineseCounting"/>
      <w:suff w:val="nothing"/>
      <w:lvlText w:val="%1、"/>
      <w:lvlJc w:val="left"/>
      <w:rPr>
        <w:rFonts w:hint="eastAsia"/>
      </w:rPr>
    </w:lvl>
  </w:abstractNum>
  <w:abstractNum w:abstractNumId="1">
    <w:nsid w:val="953FD98B"/>
    <w:multiLevelType w:val="singleLevel"/>
    <w:tmpl w:val="953FD98B"/>
    <w:lvl w:ilvl="0" w:tentative="0">
      <w:start w:val="1"/>
      <w:numFmt w:val="chineseCounting"/>
      <w:suff w:val="nothing"/>
      <w:lvlText w:val="%1、"/>
      <w:lvlJc w:val="left"/>
      <w:rPr>
        <w:rFonts w:hint="eastAsia"/>
      </w:rPr>
    </w:lvl>
  </w:abstractNum>
  <w:abstractNum w:abstractNumId="2">
    <w:nsid w:val="D62A6862"/>
    <w:multiLevelType w:val="singleLevel"/>
    <w:tmpl w:val="D62A6862"/>
    <w:lvl w:ilvl="0" w:tentative="0">
      <w:start w:val="1"/>
      <w:numFmt w:val="decimal"/>
      <w:suff w:val="nothing"/>
      <w:lvlText w:val="（%1）"/>
      <w:lvlJc w:val="left"/>
    </w:lvl>
  </w:abstractNum>
  <w:abstractNum w:abstractNumId="3">
    <w:nsid w:val="EB4BE631"/>
    <w:multiLevelType w:val="singleLevel"/>
    <w:tmpl w:val="EB4BE631"/>
    <w:lvl w:ilvl="0" w:tentative="0">
      <w:start w:val="1"/>
      <w:numFmt w:val="decimal"/>
      <w:lvlText w:val="%1."/>
      <w:lvlJc w:val="left"/>
      <w:pPr>
        <w:tabs>
          <w:tab w:val="left" w:pos="312"/>
        </w:tabs>
      </w:pPr>
    </w:lvl>
  </w:abstractNum>
  <w:abstractNum w:abstractNumId="4">
    <w:nsid w:val="FFFFFFFB"/>
    <w:multiLevelType w:val="multilevel"/>
    <w:tmpl w:val="FFFFFFFB"/>
    <w:lvl w:ilvl="0" w:tentative="0">
      <w:start w:val="1"/>
      <w:numFmt w:val="chineseCountingThousand"/>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11"/>
      <w:suff w:val="nothing"/>
      <w:lvlText w:val=""/>
      <w:lvlJc w:val="left"/>
    </w:lvl>
    <w:lvl w:ilvl="7" w:tentative="0">
      <w:start w:val="1"/>
      <w:numFmt w:val="none"/>
      <w:pStyle w:val="12"/>
      <w:suff w:val="nothing"/>
      <w:lvlText w:val=""/>
      <w:lvlJc w:val="left"/>
    </w:lvl>
    <w:lvl w:ilvl="8" w:tentative="0">
      <w:start w:val="1"/>
      <w:numFmt w:val="none"/>
      <w:pStyle w:val="13"/>
      <w:suff w:val="nothing"/>
      <w:lvlText w:val=""/>
      <w:lvlJc w:val="left"/>
    </w:lvl>
  </w:abstractNum>
  <w:abstractNum w:abstractNumId="5">
    <w:nsid w:val="00000005"/>
    <w:multiLevelType w:val="multilevel"/>
    <w:tmpl w:val="00000005"/>
    <w:lvl w:ilvl="0" w:tentative="0">
      <w:start w:val="1"/>
      <w:numFmt w:val="japaneseCounting"/>
      <w:pStyle w:val="265"/>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DB26767"/>
    <w:multiLevelType w:val="singleLevel"/>
    <w:tmpl w:val="1DB26767"/>
    <w:lvl w:ilvl="0" w:tentative="0">
      <w:start w:val="2"/>
      <w:numFmt w:val="decimal"/>
      <w:suff w:val="nothing"/>
      <w:lvlText w:val="%1、"/>
      <w:lvlJc w:val="left"/>
    </w:lvl>
  </w:abstractNum>
  <w:abstractNum w:abstractNumId="7">
    <w:nsid w:val="254ADFFF"/>
    <w:multiLevelType w:val="singleLevel"/>
    <w:tmpl w:val="254ADFFF"/>
    <w:lvl w:ilvl="0" w:tentative="0">
      <w:start w:val="2"/>
      <w:numFmt w:val="decimal"/>
      <w:lvlText w:val="%1."/>
      <w:lvlJc w:val="left"/>
      <w:pPr>
        <w:tabs>
          <w:tab w:val="left" w:pos="312"/>
        </w:tabs>
      </w:pPr>
    </w:lvl>
  </w:abstractNum>
  <w:abstractNum w:abstractNumId="8">
    <w:nsid w:val="3F0B64FB"/>
    <w:multiLevelType w:val="singleLevel"/>
    <w:tmpl w:val="3F0B64FB"/>
    <w:lvl w:ilvl="0" w:tentative="0">
      <w:start w:val="3"/>
      <w:numFmt w:val="decimal"/>
      <w:lvlText w:val="%1."/>
      <w:lvlJc w:val="left"/>
      <w:pPr>
        <w:tabs>
          <w:tab w:val="left" w:pos="312"/>
        </w:tabs>
        <w:ind w:left="481" w:firstLine="0"/>
      </w:pPr>
    </w:lvl>
  </w:abstractNum>
  <w:abstractNum w:abstractNumId="9">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0">
    <w:nsid w:val="725A60E5"/>
    <w:multiLevelType w:val="singleLevel"/>
    <w:tmpl w:val="725A60E5"/>
    <w:lvl w:ilvl="0" w:tentative="0">
      <w:start w:val="2"/>
      <w:numFmt w:val="chineseCounting"/>
      <w:suff w:val="space"/>
      <w:lvlText w:val="第%1章"/>
      <w:lvlJc w:val="left"/>
      <w:rPr>
        <w:rFonts w:hint="eastAsia"/>
      </w:rPr>
    </w:lvl>
  </w:abstractNum>
  <w:abstractNum w:abstractNumId="11">
    <w:nsid w:val="743E34F4"/>
    <w:multiLevelType w:val="multilevel"/>
    <w:tmpl w:val="743E34F4"/>
    <w:lvl w:ilvl="0" w:tentative="0">
      <w:start w:val="1"/>
      <w:numFmt w:val="japaneseCounting"/>
      <w:lvlText w:val="（%1）"/>
      <w:lvlJc w:val="left"/>
      <w:pPr>
        <w:ind w:left="1452" w:hanging="885"/>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763060DB"/>
    <w:multiLevelType w:val="multilevel"/>
    <w:tmpl w:val="763060DB"/>
    <w:lvl w:ilvl="0" w:tentative="0">
      <w:start w:val="1"/>
      <w:numFmt w:val="japaneseCounting"/>
      <w:pStyle w:val="191"/>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3">
    <w:nsid w:val="7F9B255B"/>
    <w:multiLevelType w:val="multilevel"/>
    <w:tmpl w:val="7F9B255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0"/>
  </w:num>
  <w:num w:numId="6">
    <w:abstractNumId w:val="1"/>
  </w:num>
  <w:num w:numId="7">
    <w:abstractNumId w:val="2"/>
  </w:num>
  <w:num w:numId="8">
    <w:abstractNumId w:val="3"/>
  </w:num>
  <w:num w:numId="9">
    <w:abstractNumId w:val="7"/>
  </w:num>
  <w:num w:numId="10">
    <w:abstractNumId w:val="11"/>
  </w:num>
  <w:num w:numId="11">
    <w:abstractNumId w:val="8"/>
  </w:num>
  <w:num w:numId="12">
    <w:abstractNumId w:val="6"/>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N2I2NDNhNGVlYWI3NTNlYTVkMzM2YTJhYTVhZmUifQ=="/>
  </w:docVars>
  <w:rsids>
    <w:rsidRoot w:val="00172A27"/>
    <w:rsid w:val="004E464B"/>
    <w:rsid w:val="007B18DC"/>
    <w:rsid w:val="00A52786"/>
    <w:rsid w:val="00B95CDD"/>
    <w:rsid w:val="00C553B1"/>
    <w:rsid w:val="01602EAB"/>
    <w:rsid w:val="018F26CA"/>
    <w:rsid w:val="01F77319"/>
    <w:rsid w:val="03517257"/>
    <w:rsid w:val="05E4312D"/>
    <w:rsid w:val="062C1654"/>
    <w:rsid w:val="093305F6"/>
    <w:rsid w:val="0D7D62E4"/>
    <w:rsid w:val="0E650BD4"/>
    <w:rsid w:val="0E7543EB"/>
    <w:rsid w:val="0F8F3F26"/>
    <w:rsid w:val="0FA11296"/>
    <w:rsid w:val="12914DAB"/>
    <w:rsid w:val="131274CE"/>
    <w:rsid w:val="14745359"/>
    <w:rsid w:val="157A002F"/>
    <w:rsid w:val="16105F47"/>
    <w:rsid w:val="16D424CC"/>
    <w:rsid w:val="1AE6196C"/>
    <w:rsid w:val="1AF5086F"/>
    <w:rsid w:val="1AF71484"/>
    <w:rsid w:val="1D444728"/>
    <w:rsid w:val="1D753980"/>
    <w:rsid w:val="1EB35308"/>
    <w:rsid w:val="1F026649"/>
    <w:rsid w:val="1F617AAB"/>
    <w:rsid w:val="200C3EF7"/>
    <w:rsid w:val="20400C00"/>
    <w:rsid w:val="20A15CB6"/>
    <w:rsid w:val="21A34ECE"/>
    <w:rsid w:val="22E62219"/>
    <w:rsid w:val="23825FAA"/>
    <w:rsid w:val="24415DDB"/>
    <w:rsid w:val="24BD5002"/>
    <w:rsid w:val="25EC0D13"/>
    <w:rsid w:val="27F74C1F"/>
    <w:rsid w:val="292B51B2"/>
    <w:rsid w:val="29DA24B9"/>
    <w:rsid w:val="29F850D5"/>
    <w:rsid w:val="2A1C2CB5"/>
    <w:rsid w:val="2A3C5D92"/>
    <w:rsid w:val="2C041C52"/>
    <w:rsid w:val="2C1969D4"/>
    <w:rsid w:val="2CA62D0A"/>
    <w:rsid w:val="2CE43832"/>
    <w:rsid w:val="2D1660E1"/>
    <w:rsid w:val="2E315852"/>
    <w:rsid w:val="2F3E6048"/>
    <w:rsid w:val="303074BA"/>
    <w:rsid w:val="309B1158"/>
    <w:rsid w:val="31361403"/>
    <w:rsid w:val="334373AD"/>
    <w:rsid w:val="33544410"/>
    <w:rsid w:val="346F3FA1"/>
    <w:rsid w:val="38765082"/>
    <w:rsid w:val="395074C4"/>
    <w:rsid w:val="3AD55C60"/>
    <w:rsid w:val="3EA66BF1"/>
    <w:rsid w:val="3EDE5D3C"/>
    <w:rsid w:val="442E1B0B"/>
    <w:rsid w:val="444F55DD"/>
    <w:rsid w:val="45127E47"/>
    <w:rsid w:val="47225057"/>
    <w:rsid w:val="49376BEF"/>
    <w:rsid w:val="4BCC5222"/>
    <w:rsid w:val="4CED0DC7"/>
    <w:rsid w:val="4F1813ED"/>
    <w:rsid w:val="517704C4"/>
    <w:rsid w:val="51864049"/>
    <w:rsid w:val="52091B85"/>
    <w:rsid w:val="52BE22AC"/>
    <w:rsid w:val="52F77BF6"/>
    <w:rsid w:val="548B52CB"/>
    <w:rsid w:val="567F76F4"/>
    <w:rsid w:val="57F65AD2"/>
    <w:rsid w:val="5A9F0B52"/>
    <w:rsid w:val="5AC62190"/>
    <w:rsid w:val="5BE57CA1"/>
    <w:rsid w:val="5C533A65"/>
    <w:rsid w:val="5E1101A7"/>
    <w:rsid w:val="5F641301"/>
    <w:rsid w:val="6158711A"/>
    <w:rsid w:val="624E205A"/>
    <w:rsid w:val="62B92A90"/>
    <w:rsid w:val="64186C98"/>
    <w:rsid w:val="660A1AE2"/>
    <w:rsid w:val="67141D0B"/>
    <w:rsid w:val="69CA42B8"/>
    <w:rsid w:val="6B1E7934"/>
    <w:rsid w:val="6D28132E"/>
    <w:rsid w:val="6EB13BD5"/>
    <w:rsid w:val="6F502086"/>
    <w:rsid w:val="6F5422E6"/>
    <w:rsid w:val="701C0B17"/>
    <w:rsid w:val="70AB5A4E"/>
    <w:rsid w:val="72071122"/>
    <w:rsid w:val="745E64BA"/>
    <w:rsid w:val="74F03099"/>
    <w:rsid w:val="756920F3"/>
    <w:rsid w:val="758111EB"/>
    <w:rsid w:val="769043E9"/>
    <w:rsid w:val="77F009C7"/>
    <w:rsid w:val="7C572CA5"/>
    <w:rsid w:val="7C5A013A"/>
    <w:rsid w:val="7CF6426C"/>
    <w:rsid w:val="7E462FD2"/>
    <w:rsid w:val="7E9E465F"/>
    <w:rsid w:val="7EA768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59" w:semiHidden="0" w:name="Table Grid"/>
    <w:lsdException w:unhideWhenUsed="0" w:uiPriority="0" w:semiHidden="0" w:name="Table Theme"/>
    <w:lsdException w:qFormat="1" w:unhideWhenUsed="0" w:uiPriority="0" w:semiHidden="0" w:name="No Spacing"/>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uiPriority="99" w:semiHidden="0" w:name=""/>
    <w:lsdException w:qFormat="1" w:unhideWhenUsed="0" w:uiPriority="99" w:semiHidden="0" w:name="List Paragraph"/>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5">
    <w:name w:val="heading 1"/>
    <w:basedOn w:val="1"/>
    <w:next w:val="1"/>
    <w:link w:val="57"/>
    <w:qFormat/>
    <w:uiPriority w:val="9"/>
    <w:pPr>
      <w:keepNext/>
      <w:keepLines/>
      <w:spacing w:before="340" w:after="330" w:line="578" w:lineRule="auto"/>
      <w:outlineLvl w:val="0"/>
    </w:pPr>
    <w:rPr>
      <w:b/>
      <w:bCs/>
      <w:kern w:val="44"/>
      <w:sz w:val="44"/>
      <w:szCs w:val="44"/>
    </w:rPr>
  </w:style>
  <w:style w:type="paragraph" w:styleId="6">
    <w:name w:val="heading 2"/>
    <w:basedOn w:val="5"/>
    <w:next w:val="1"/>
    <w:link w:val="58"/>
    <w:qFormat/>
    <w:uiPriority w:val="0"/>
    <w:pPr>
      <w:keepNext/>
      <w:keepLines/>
      <w:spacing w:before="260" w:after="260" w:line="416" w:lineRule="auto"/>
      <w:outlineLvl w:val="1"/>
    </w:pPr>
    <w:rPr>
      <w:rFonts w:ascii="Arial" w:hAnsi="Arial"/>
      <w:kern w:val="0"/>
      <w:sz w:val="28"/>
      <w:szCs w:val="32"/>
    </w:rPr>
  </w:style>
  <w:style w:type="paragraph" w:styleId="7">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after="64" w:line="320" w:lineRule="auto"/>
      <w:outlineLvl w:val="5"/>
    </w:pPr>
    <w:rPr>
      <w:rFonts w:ascii="Arial" w:hAnsi="Arial" w:eastAsia="黑体"/>
      <w:b/>
      <w:bCs/>
      <w:sz w:val="24"/>
      <w:szCs w:val="20"/>
    </w:rPr>
  </w:style>
  <w:style w:type="paragraph" w:styleId="11">
    <w:name w:val="heading 7"/>
    <w:basedOn w:val="1"/>
    <w:next w:val="1"/>
    <w:qFormat/>
    <w:uiPriority w:val="0"/>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12">
    <w:name w:val="heading 8"/>
    <w:basedOn w:val="1"/>
    <w:next w:val="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49">
    <w:name w:val="Default Paragraph Font"/>
    <w:semiHidden/>
    <w:uiPriority w:val="0"/>
  </w:style>
  <w:style w:type="table" w:default="1" w:styleId="46">
    <w:name w:val="Normal Table"/>
    <w:semiHidden/>
    <w:uiPriority w:val="0"/>
    <w:tblPr>
      <w:tblStyle w:val="46"/>
      <w:tblCellMar>
        <w:top w:w="0" w:type="dxa"/>
        <w:left w:w="108" w:type="dxa"/>
        <w:bottom w:w="0" w:type="dxa"/>
        <w:right w:w="108" w:type="dxa"/>
      </w:tblCellMar>
    </w:tblPr>
  </w:style>
  <w:style w:type="paragraph" w:styleId="2">
    <w:name w:val="Body Text First Indent 2"/>
    <w:basedOn w:val="3"/>
    <w:next w:val="4"/>
    <w:qFormat/>
    <w:uiPriority w:val="0"/>
    <w:pPr>
      <w:spacing w:after="120" w:line="240" w:lineRule="auto"/>
      <w:ind w:left="420" w:leftChars="200" w:firstLine="420" w:firstLineChars="200"/>
    </w:pPr>
    <w:rPr>
      <w:rFonts w:ascii="Times New Roman" w:hAnsi="Times New Roman"/>
      <w:spacing w:val="0"/>
      <w:sz w:val="21"/>
      <w:szCs w:val="24"/>
    </w:rPr>
  </w:style>
  <w:style w:type="paragraph" w:styleId="3">
    <w:name w:val="Body Text Indent"/>
    <w:basedOn w:val="1"/>
    <w:next w:val="2"/>
    <w:link w:val="56"/>
    <w:qFormat/>
    <w:uiPriority w:val="0"/>
    <w:pPr>
      <w:spacing w:line="200" w:lineRule="exact"/>
      <w:ind w:firstLine="301"/>
    </w:pPr>
    <w:rPr>
      <w:rFonts w:ascii="宋体" w:hAnsi="Courier New"/>
      <w:spacing w:val="-4"/>
      <w:sz w:val="18"/>
      <w:szCs w:val="20"/>
    </w:rPr>
  </w:style>
  <w:style w:type="paragraph" w:customStyle="1" w:styleId="4">
    <w:name w:val="xl53"/>
    <w:basedOn w:val="1"/>
    <w:next w:val="1"/>
    <w:qFormat/>
    <w:uiPriority w:val="0"/>
    <w:pPr>
      <w:spacing w:before="280" w:after="280" w:line="100" w:lineRule="exact"/>
      <w:jc w:val="center"/>
    </w:pPr>
    <w:rPr>
      <w:b/>
    </w:rPr>
  </w:style>
  <w:style w:type="paragraph" w:styleId="14">
    <w:name w:val="List Number"/>
    <w:basedOn w:val="1"/>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next w:val="3"/>
    <w:link w:val="59"/>
    <w:uiPriority w:val="0"/>
    <w:pPr>
      <w:ind w:firstLine="420"/>
    </w:pPr>
    <w:rPr>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uiPriority w:val="0"/>
    <w:pPr>
      <w:widowControl/>
      <w:tabs>
        <w:tab w:val="left" w:pos="900"/>
      </w:tabs>
      <w:spacing w:before="100" w:beforeAutospacing="1" w:afterLines="50" w:afterAutospacing="1"/>
      <w:ind w:left="900" w:hanging="420"/>
      <w:jc w:val="left"/>
    </w:pPr>
    <w:rPr>
      <w:kern w:val="0"/>
      <w:szCs w:val="20"/>
    </w:rPr>
  </w:style>
  <w:style w:type="paragraph" w:styleId="18">
    <w:name w:val="Document Map"/>
    <w:basedOn w:val="1"/>
    <w:semiHidden/>
    <w:uiPriority w:val="0"/>
    <w:pPr>
      <w:shd w:val="clear" w:color="auto" w:fill="000080"/>
    </w:pPr>
  </w:style>
  <w:style w:type="paragraph" w:styleId="19">
    <w:name w:val="annotation text"/>
    <w:basedOn w:val="1"/>
    <w:link w:val="60"/>
    <w:semiHidden/>
    <w:uiPriority w:val="0"/>
    <w:pPr>
      <w:jc w:val="left"/>
    </w:pPr>
  </w:style>
  <w:style w:type="paragraph" w:styleId="20">
    <w:name w:val="Salutation"/>
    <w:basedOn w:val="1"/>
    <w:next w:val="1"/>
    <w:uiPriority w:val="0"/>
    <w:rPr>
      <w:sz w:val="24"/>
    </w:rPr>
  </w:style>
  <w:style w:type="paragraph" w:styleId="21">
    <w:name w:val="Body Text 3"/>
    <w:basedOn w:val="1"/>
    <w:uiPriority w:val="0"/>
    <w:pPr>
      <w:snapToGrid w:val="0"/>
      <w:spacing w:before="50" w:after="50"/>
    </w:pPr>
    <w:rPr>
      <w:rFonts w:hAnsi="宋体" w:eastAsia="仿宋_GB2312"/>
      <w:b/>
      <w:bCs/>
      <w:sz w:val="24"/>
      <w:szCs w:val="20"/>
    </w:rPr>
  </w:style>
  <w:style w:type="paragraph" w:styleId="22">
    <w:name w:val="Body Text"/>
    <w:basedOn w:val="1"/>
    <w:next w:val="23"/>
    <w:link w:val="61"/>
    <w:uiPriority w:val="0"/>
    <w:pPr>
      <w:spacing w:after="120"/>
    </w:pPr>
    <w:rPr>
      <w:sz w:val="28"/>
    </w:rPr>
  </w:style>
  <w:style w:type="paragraph" w:styleId="23">
    <w:name w:val="toc 2"/>
    <w:basedOn w:val="1"/>
    <w:next w:val="1"/>
    <w:qFormat/>
    <w:uiPriority w:val="0"/>
    <w:pPr>
      <w:ind w:left="420" w:leftChars="200"/>
    </w:pPr>
  </w:style>
  <w:style w:type="paragraph" w:styleId="24">
    <w:name w:val="List Number 3"/>
    <w:basedOn w:val="1"/>
    <w:uiPriority w:val="0"/>
    <w:pPr>
      <w:tabs>
        <w:tab w:val="left" w:pos="1200"/>
      </w:tabs>
      <w:ind w:left="1200" w:leftChars="400" w:hanging="360" w:hangingChars="200"/>
    </w:pPr>
  </w:style>
  <w:style w:type="paragraph" w:styleId="25">
    <w:name w:val="List 2"/>
    <w:basedOn w:val="1"/>
    <w:uiPriority w:val="0"/>
    <w:pPr>
      <w:ind w:left="100" w:leftChars="200" w:hanging="200" w:hangingChars="200"/>
    </w:pPr>
    <w:rPr>
      <w:sz w:val="28"/>
    </w:rPr>
  </w:style>
  <w:style w:type="paragraph" w:styleId="26">
    <w:name w:val="List Bullet 2"/>
    <w:basedOn w:val="1"/>
    <w:uiPriority w:val="0"/>
    <w:pPr>
      <w:tabs>
        <w:tab w:val="left" w:pos="360"/>
        <w:tab w:val="left" w:pos="1191"/>
      </w:tabs>
      <w:snapToGrid w:val="0"/>
      <w:spacing w:line="360" w:lineRule="auto"/>
      <w:ind w:left="482" w:hanging="482" w:hangingChars="200"/>
      <w:jc w:val="left"/>
    </w:pPr>
    <w:rPr>
      <w:b/>
      <w:bCs/>
      <w:sz w:val="24"/>
      <w:szCs w:val="32"/>
    </w:rPr>
  </w:style>
  <w:style w:type="paragraph" w:styleId="27">
    <w:name w:val="Plain Text"/>
    <w:basedOn w:val="1"/>
    <w:next w:val="1"/>
    <w:link w:val="62"/>
    <w:qFormat/>
    <w:uiPriority w:val="0"/>
    <w:pPr>
      <w:spacing w:beforeLines="50" w:afterLines="50" w:line="400" w:lineRule="exact"/>
    </w:pPr>
    <w:rPr>
      <w:rFonts w:ascii="宋体" w:hAnsi="Courier New"/>
      <w:sz w:val="24"/>
    </w:rPr>
  </w:style>
  <w:style w:type="paragraph" w:styleId="28">
    <w:name w:val="Date"/>
    <w:basedOn w:val="1"/>
    <w:next w:val="1"/>
    <w:uiPriority w:val="0"/>
    <w:pPr>
      <w:ind w:leftChars="2500"/>
    </w:pPr>
    <w:rPr>
      <w:rFonts w:eastAsia="楷体_GB2312"/>
      <w:sz w:val="32"/>
      <w:szCs w:val="20"/>
    </w:rPr>
  </w:style>
  <w:style w:type="paragraph" w:styleId="29">
    <w:name w:val="Body Text Indent 2"/>
    <w:basedOn w:val="1"/>
    <w:qFormat/>
    <w:uiPriority w:val="0"/>
    <w:pPr>
      <w:snapToGrid w:val="0"/>
      <w:ind w:firstLine="542" w:firstLineChars="225"/>
    </w:pPr>
    <w:rPr>
      <w:rFonts w:ascii="仿宋_GB2312" w:hAnsi="宋体" w:cs="Arial"/>
      <w:b/>
      <w:bCs/>
      <w:color w:val="000000"/>
      <w:sz w:val="24"/>
    </w:rPr>
  </w:style>
  <w:style w:type="paragraph" w:styleId="30">
    <w:name w:val="endnote text"/>
    <w:basedOn w:val="1"/>
    <w:semiHidden/>
    <w:uiPriority w:val="0"/>
    <w:pPr>
      <w:snapToGrid w:val="0"/>
      <w:spacing w:afterLines="50"/>
      <w:jc w:val="left"/>
    </w:pPr>
    <w:rPr>
      <w:rFonts w:ascii="宋体"/>
      <w:snapToGrid w:val="0"/>
      <w:kern w:val="0"/>
      <w:szCs w:val="20"/>
    </w:rPr>
  </w:style>
  <w:style w:type="paragraph" w:styleId="31">
    <w:name w:val="Balloon Text"/>
    <w:basedOn w:val="1"/>
    <w:semiHidden/>
    <w:uiPriority w:val="0"/>
    <w:rPr>
      <w:sz w:val="18"/>
      <w:szCs w:val="18"/>
    </w:rPr>
  </w:style>
  <w:style w:type="paragraph" w:styleId="32">
    <w:name w:val="footer"/>
    <w:basedOn w:val="1"/>
    <w:uiPriority w:val="0"/>
    <w:pPr>
      <w:tabs>
        <w:tab w:val="center" w:pos="4153"/>
        <w:tab w:val="right" w:pos="8306"/>
      </w:tabs>
      <w:snapToGrid w:val="0"/>
      <w:jc w:val="left"/>
    </w:pPr>
    <w:rPr>
      <w:rFonts w:eastAsia="黑体"/>
      <w:snapToGrid w:val="0"/>
      <w:kern w:val="0"/>
      <w:sz w:val="18"/>
      <w:szCs w:val="18"/>
    </w:rPr>
  </w:style>
  <w:style w:type="paragraph" w:styleId="33">
    <w:name w:val="envelope return"/>
    <w:basedOn w:val="1"/>
    <w:unhideWhenUsed/>
    <w:qFormat/>
    <w:uiPriority w:val="99"/>
    <w:pPr>
      <w:snapToGrid w:val="0"/>
    </w:pPr>
    <w:rPr>
      <w:rFonts w:ascii="Cambria" w:hAnsi="Cambria" w:eastAsia="宋体" w:cs="Times New Roman"/>
    </w:rPr>
  </w:style>
  <w:style w:type="paragraph" w:styleId="34">
    <w:name w:val="header"/>
    <w:basedOn w:val="1"/>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5">
    <w:name w:val="toc 1"/>
    <w:basedOn w:val="1"/>
    <w:next w:val="1"/>
    <w:semiHidden/>
    <w:uiPriority w:val="0"/>
  </w:style>
  <w:style w:type="paragraph" w:styleId="36">
    <w:name w:val="Subtitle"/>
    <w:basedOn w:val="1"/>
    <w:qFormat/>
    <w:uiPriority w:val="0"/>
    <w:pPr>
      <w:spacing w:afterLines="50"/>
      <w:jc w:val="center"/>
    </w:pPr>
    <w:rPr>
      <w:rFonts w:ascii="宋体"/>
      <w:i/>
      <w:snapToGrid w:val="0"/>
      <w:kern w:val="0"/>
      <w:sz w:val="36"/>
      <w:szCs w:val="20"/>
      <w:lang w:val="en-AU"/>
    </w:rPr>
  </w:style>
  <w:style w:type="paragraph" w:styleId="37">
    <w:name w:val="List"/>
    <w:basedOn w:val="1"/>
    <w:uiPriority w:val="0"/>
    <w:pPr>
      <w:ind w:left="200" w:hanging="200" w:hangingChars="200"/>
    </w:pPr>
    <w:rPr>
      <w:sz w:val="28"/>
    </w:rPr>
  </w:style>
  <w:style w:type="paragraph" w:styleId="38">
    <w:name w:val="toc 6"/>
    <w:basedOn w:val="1"/>
    <w:next w:val="1"/>
    <w:qFormat/>
    <w:uiPriority w:val="39"/>
    <w:pPr>
      <w:widowControl/>
      <w:ind w:left="1000"/>
      <w:jc w:val="left"/>
    </w:pPr>
    <w:rPr>
      <w:kern w:val="0"/>
      <w:sz w:val="18"/>
      <w:szCs w:val="20"/>
    </w:rPr>
  </w:style>
  <w:style w:type="paragraph" w:styleId="39">
    <w:name w:val="Body Text Indent 3"/>
    <w:basedOn w:val="1"/>
    <w:link w:val="63"/>
    <w:uiPriority w:val="0"/>
    <w:pPr>
      <w:snapToGrid w:val="0"/>
      <w:ind w:firstLine="480" w:firstLineChars="200"/>
      <w:jc w:val="left"/>
    </w:pPr>
    <w:rPr>
      <w:rFonts w:ascii="仿宋_GB2312" w:hAnsi="宋体" w:eastAsia="仿宋_GB2312"/>
      <w:color w:val="000000"/>
      <w:sz w:val="24"/>
    </w:rPr>
  </w:style>
  <w:style w:type="paragraph" w:styleId="40">
    <w:name w:val="Body Text 2"/>
    <w:basedOn w:val="1"/>
    <w:uiPriority w:val="0"/>
    <w:pPr>
      <w:widowControl/>
      <w:snapToGrid w:val="0"/>
      <w:spacing w:before="50" w:afterLines="50" w:line="400" w:lineRule="exact"/>
      <w:jc w:val="left"/>
    </w:pPr>
    <w:rPr>
      <w:rFonts w:ascii="宋体" w:hAnsi="宋体"/>
      <w:color w:val="000000"/>
      <w:sz w:val="24"/>
    </w:rPr>
  </w:style>
  <w:style w:type="paragraph" w:styleId="41">
    <w:name w:val="HTML Preformatted"/>
    <w:basedOn w:val="1"/>
    <w:uiPriority w:val="0"/>
    <w:rPr>
      <w:rFonts w:ascii="Courier New" w:hAnsi="Courier New" w:cs="Courier New"/>
      <w:sz w:val="20"/>
      <w:szCs w:val="20"/>
    </w:rPr>
  </w:style>
  <w:style w:type="paragraph" w:styleId="42">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3">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44">
    <w:name w:val="annotation subject"/>
    <w:basedOn w:val="19"/>
    <w:next w:val="19"/>
    <w:link w:val="64"/>
    <w:uiPriority w:val="0"/>
    <w:rPr>
      <w:b/>
      <w:bCs/>
    </w:rPr>
  </w:style>
  <w:style w:type="paragraph" w:styleId="45">
    <w:name w:val="Body Text First Indent"/>
    <w:basedOn w:val="22"/>
    <w:uiPriority w:val="0"/>
    <w:pPr>
      <w:spacing w:line="360" w:lineRule="auto"/>
      <w:ind w:firstLine="200" w:firstLineChars="200"/>
      <w:jc w:val="left"/>
    </w:pPr>
    <w:rPr>
      <w:bCs/>
      <w:sz w:val="24"/>
    </w:rPr>
  </w:style>
  <w:style w:type="table" w:styleId="47">
    <w:name w:val="Table Grid"/>
    <w:basedOn w:val="46"/>
    <w:uiPriority w:val="59"/>
    <w:pPr>
      <w:widowControl w:val="0"/>
      <w:jc w:val="both"/>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Elegant"/>
    <w:basedOn w:val="46"/>
    <w:qFormat/>
    <w:uiPriority w:val="0"/>
    <w:pPr>
      <w:widowControl w:val="0"/>
      <w:jc w:val="both"/>
    </w:pPr>
    <w:rPr>
      <w:rFonts w:ascii="Times New Roman" w:hAnsi="Times New Roman" w:eastAsia="宋体" w:cs="Times New Roman"/>
      <w:kern w:val="0"/>
      <w:sz w:val="20"/>
      <w:szCs w:val="20"/>
    </w:rPr>
    <w:tblPr>
      <w:tblStyle w:val="46"/>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blStyle w:val="46"/>
      </w:tblPr>
      <w:tcPr>
        <w:tcBorders>
          <w:top w:val="nil"/>
          <w:left w:val="nil"/>
          <w:bottom w:val="nil"/>
          <w:right w:val="nil"/>
          <w:insideH w:val="nil"/>
          <w:insideV w:val="nil"/>
          <w:tl2br w:val="nil"/>
          <w:tr2bl w:val="nil"/>
        </w:tcBorders>
      </w:tcPr>
    </w:tblStylePr>
  </w:style>
  <w:style w:type="character" w:styleId="50">
    <w:name w:val="Strong"/>
    <w:qFormat/>
    <w:uiPriority w:val="22"/>
    <w:rPr>
      <w:b/>
      <w:bCs/>
    </w:rPr>
  </w:style>
  <w:style w:type="character" w:styleId="51">
    <w:name w:val="page number"/>
    <w:uiPriority w:val="0"/>
  </w:style>
  <w:style w:type="character" w:styleId="52">
    <w:name w:val="FollowedHyperlink"/>
    <w:uiPriority w:val="0"/>
    <w:rPr>
      <w:color w:val="800080"/>
      <w:u w:val="single"/>
    </w:rPr>
  </w:style>
  <w:style w:type="character" w:styleId="53">
    <w:name w:val="Emphasis"/>
    <w:qFormat/>
    <w:uiPriority w:val="0"/>
    <w:rPr>
      <w:i/>
      <w:iCs/>
    </w:rPr>
  </w:style>
  <w:style w:type="character" w:styleId="54">
    <w:name w:val="Hyperlink"/>
    <w:uiPriority w:val="0"/>
    <w:rPr>
      <w:color w:val="0000FF"/>
      <w:u w:val="single"/>
    </w:rPr>
  </w:style>
  <w:style w:type="character" w:styleId="55">
    <w:name w:val="annotation reference"/>
    <w:uiPriority w:val="0"/>
    <w:rPr>
      <w:sz w:val="21"/>
      <w:szCs w:val="21"/>
    </w:rPr>
  </w:style>
  <w:style w:type="character" w:customStyle="1" w:styleId="56">
    <w:name w:val="正文文本缩进 Char"/>
    <w:link w:val="3"/>
    <w:uiPriority w:val="0"/>
    <w:rPr>
      <w:rFonts w:ascii="宋体" w:hAnsi="Courier New"/>
      <w:spacing w:val="-4"/>
      <w:kern w:val="2"/>
      <w:sz w:val="18"/>
    </w:rPr>
  </w:style>
  <w:style w:type="character" w:customStyle="1" w:styleId="57">
    <w:name w:val="标题 1 Char"/>
    <w:link w:val="5"/>
    <w:qFormat/>
    <w:uiPriority w:val="9"/>
    <w:rPr>
      <w:b/>
      <w:bCs/>
      <w:kern w:val="44"/>
      <w:sz w:val="44"/>
      <w:szCs w:val="44"/>
    </w:rPr>
  </w:style>
  <w:style w:type="character" w:customStyle="1" w:styleId="58">
    <w:name w:val="标题 2 Char2"/>
    <w:link w:val="6"/>
    <w:qFormat/>
    <w:uiPriority w:val="0"/>
    <w:rPr>
      <w:rFonts w:ascii="Arial" w:hAnsi="Arial"/>
      <w:b/>
      <w:bCs/>
      <w:sz w:val="28"/>
      <w:szCs w:val="32"/>
    </w:rPr>
  </w:style>
  <w:style w:type="character" w:customStyle="1" w:styleId="59">
    <w:name w:val="正文缩进 Char"/>
    <w:link w:val="15"/>
    <w:uiPriority w:val="0"/>
    <w:rPr>
      <w:rFonts w:eastAsia="宋体"/>
      <w:kern w:val="2"/>
      <w:sz w:val="21"/>
      <w:lang w:val="en-US" w:eastAsia="zh-CN" w:bidi="ar-SA"/>
    </w:rPr>
  </w:style>
  <w:style w:type="character" w:customStyle="1" w:styleId="60">
    <w:name w:val="批注文字 Char"/>
    <w:link w:val="19"/>
    <w:uiPriority w:val="0"/>
    <w:rPr>
      <w:rFonts w:eastAsia="宋体"/>
      <w:kern w:val="2"/>
      <w:sz w:val="21"/>
      <w:szCs w:val="24"/>
      <w:lang w:val="en-US" w:eastAsia="zh-CN" w:bidi="ar-SA"/>
    </w:rPr>
  </w:style>
  <w:style w:type="character" w:customStyle="1" w:styleId="61">
    <w:name w:val="正文文本 Char"/>
    <w:link w:val="22"/>
    <w:uiPriority w:val="0"/>
    <w:rPr>
      <w:rFonts w:eastAsia="宋体"/>
      <w:kern w:val="2"/>
      <w:sz w:val="28"/>
      <w:szCs w:val="24"/>
      <w:lang w:val="en-US" w:eastAsia="zh-CN" w:bidi="ar-SA"/>
    </w:rPr>
  </w:style>
  <w:style w:type="character" w:customStyle="1" w:styleId="62">
    <w:name w:val="纯文本 Char"/>
    <w:link w:val="27"/>
    <w:qFormat/>
    <w:uiPriority w:val="0"/>
    <w:rPr>
      <w:rFonts w:ascii="宋体" w:hAnsi="Courier New" w:eastAsia="宋体"/>
      <w:kern w:val="2"/>
      <w:sz w:val="24"/>
      <w:szCs w:val="24"/>
      <w:lang w:val="en-US" w:eastAsia="zh-CN" w:bidi="ar-SA"/>
    </w:rPr>
  </w:style>
  <w:style w:type="character" w:customStyle="1" w:styleId="63">
    <w:name w:val="正文文本缩进 3 Char"/>
    <w:link w:val="39"/>
    <w:uiPriority w:val="0"/>
    <w:rPr>
      <w:rFonts w:ascii="仿宋_GB2312" w:hAnsi="宋体" w:eastAsia="仿宋_GB2312"/>
      <w:color w:val="000000"/>
      <w:kern w:val="2"/>
      <w:sz w:val="24"/>
      <w:szCs w:val="24"/>
      <w:lang w:val="en-US" w:eastAsia="zh-CN" w:bidi="ar-SA"/>
    </w:rPr>
  </w:style>
  <w:style w:type="character" w:customStyle="1" w:styleId="64">
    <w:name w:val="批注主题 Char"/>
    <w:link w:val="44"/>
    <w:uiPriority w:val="0"/>
    <w:rPr>
      <w:rFonts w:eastAsia="宋体"/>
      <w:b/>
      <w:bCs/>
      <w:kern w:val="2"/>
      <w:sz w:val="21"/>
      <w:szCs w:val="24"/>
      <w:lang w:val="en-US" w:eastAsia="zh-CN" w:bidi="ar-SA"/>
    </w:rPr>
  </w:style>
  <w:style w:type="character" w:customStyle="1" w:styleId="65">
    <w:name w:val="标题 2 Char"/>
    <w:uiPriority w:val="0"/>
    <w:rPr>
      <w:rFonts w:ascii="Arial" w:hAnsi="Arial" w:eastAsia="黑体"/>
      <w:b/>
      <w:bCs/>
      <w:kern w:val="2"/>
      <w:sz w:val="32"/>
      <w:szCs w:val="32"/>
      <w:lang w:val="en-US" w:eastAsia="zh-CN" w:bidi="ar-SA"/>
    </w:rPr>
  </w:style>
  <w:style w:type="character" w:customStyle="1" w:styleId="66">
    <w:name w:val="font3"/>
    <w:uiPriority w:val="0"/>
  </w:style>
  <w:style w:type="character" w:customStyle="1" w:styleId="67">
    <w:name w:val="fontblank12"/>
    <w:uiPriority w:val="0"/>
  </w:style>
  <w:style w:type="character" w:customStyle="1" w:styleId="68">
    <w:name w:val="money"/>
    <w:uiPriority w:val="0"/>
  </w:style>
  <w:style w:type="character" w:customStyle="1" w:styleId="69">
    <w:name w:val="无"/>
    <w:qFormat/>
    <w:uiPriority w:val="0"/>
  </w:style>
  <w:style w:type="character" w:customStyle="1" w:styleId="70">
    <w:name w:val="large1"/>
    <w:uiPriority w:val="0"/>
    <w:rPr>
      <w:rFonts w:hint="eastAsia" w:ascii="宋体" w:hAnsi="宋体" w:eastAsia="宋体"/>
      <w:sz w:val="21"/>
      <w:szCs w:val="21"/>
    </w:rPr>
  </w:style>
  <w:style w:type="character" w:customStyle="1" w:styleId="71">
    <w:name w:val=" Char Char21"/>
    <w:qFormat/>
    <w:uiPriority w:val="0"/>
    <w:rPr>
      <w:rFonts w:ascii="Arial" w:hAnsi="Arial" w:eastAsia="宋体"/>
      <w:b/>
      <w:bCs/>
      <w:kern w:val="2"/>
      <w:sz w:val="28"/>
      <w:szCs w:val="32"/>
      <w:lang w:val="en-US" w:eastAsia="zh-CN" w:bidi="ar-SA"/>
    </w:rPr>
  </w:style>
  <w:style w:type="character" w:customStyle="1" w:styleId="72">
    <w:name w:val="标题 2 Char1"/>
    <w:qFormat/>
    <w:uiPriority w:val="0"/>
    <w:rPr>
      <w:rFonts w:ascii="Arial" w:hAnsi="Arial" w:eastAsia="宋体" w:cs="Times New Roman"/>
      <w:b/>
      <w:bCs/>
      <w:sz w:val="28"/>
      <w:szCs w:val="32"/>
    </w:rPr>
  </w:style>
  <w:style w:type="character" w:customStyle="1" w:styleId="73">
    <w:name w:val="tw4winExternal"/>
    <w:uiPriority w:val="0"/>
    <w:rPr>
      <w:rFonts w:ascii="Courier New" w:hAnsi="Courier New"/>
      <w:color w:val="808080"/>
    </w:rPr>
  </w:style>
  <w:style w:type="character" w:customStyle="1" w:styleId="74">
    <w:name w:val="font31"/>
    <w:uiPriority w:val="0"/>
    <w:rPr>
      <w:rFonts w:hint="eastAsia" w:ascii="宋体" w:hAnsi="宋体" w:eastAsia="宋体" w:cs="宋体"/>
      <w:color w:val="FF0000"/>
      <w:sz w:val="22"/>
      <w:szCs w:val="22"/>
      <w:u w:val="none"/>
    </w:rPr>
  </w:style>
  <w:style w:type="character" w:customStyle="1" w:styleId="75">
    <w:name w:val="tw4winPopup"/>
    <w:uiPriority w:val="0"/>
    <w:rPr>
      <w:rFonts w:ascii="Courier New" w:hAnsi="Courier New"/>
      <w:color w:val="008000"/>
    </w:rPr>
  </w:style>
  <w:style w:type="character" w:customStyle="1" w:styleId="76">
    <w:name w:val="fontstyle01"/>
    <w:qFormat/>
    <w:uiPriority w:val="0"/>
    <w:rPr>
      <w:rFonts w:hint="eastAsia" w:ascii="宋体" w:hAnsi="宋体" w:eastAsia="宋体"/>
      <w:color w:val="000000"/>
      <w:sz w:val="20"/>
      <w:szCs w:val="20"/>
    </w:rPr>
  </w:style>
  <w:style w:type="character" w:customStyle="1" w:styleId="77">
    <w:name w:val="UserStyle_1"/>
    <w:semiHidden/>
    <w:uiPriority w:val="0"/>
    <w:rPr>
      <w:kern w:val="2"/>
      <w:sz w:val="21"/>
      <w:szCs w:val="24"/>
      <w:lang w:val="en-US" w:eastAsia="zh-CN" w:bidi="ar-SA"/>
    </w:rPr>
  </w:style>
  <w:style w:type="character" w:customStyle="1" w:styleId="78">
    <w:name w:val="pagetitle"/>
    <w:uiPriority w:val="0"/>
  </w:style>
  <w:style w:type="character" w:customStyle="1" w:styleId="79">
    <w:name w:val="样式 样式3 + 宋体 五号 Char Char Char Char"/>
    <w:uiPriority w:val="0"/>
    <w:rPr>
      <w:rFonts w:hint="eastAsia" w:ascii="宋体" w:hAnsi="宋体" w:eastAsia="宋体"/>
      <w:b/>
      <w:bCs/>
      <w:kern w:val="2"/>
      <w:sz w:val="21"/>
      <w:szCs w:val="24"/>
      <w:lang w:val="en-US" w:eastAsia="zh-CN" w:bidi="ar-SA"/>
    </w:rPr>
  </w:style>
  <w:style w:type="character" w:customStyle="1" w:styleId="80">
    <w:name w:val="font21"/>
    <w:uiPriority w:val="0"/>
    <w:rPr>
      <w:rFonts w:hint="default" w:ascii="Arial" w:hAnsi="Arial" w:cs="Arial"/>
      <w:color w:val="000000"/>
      <w:sz w:val="22"/>
      <w:szCs w:val="22"/>
      <w:u w:val="none"/>
    </w:rPr>
  </w:style>
  <w:style w:type="character" w:customStyle="1" w:styleId="81">
    <w:name w:val="font121"/>
    <w:uiPriority w:val="0"/>
    <w:rPr>
      <w:rFonts w:hint="default" w:ascii="Arial" w:hAnsi="Arial" w:cs="Arial"/>
      <w:color w:val="000000"/>
      <w:sz w:val="22"/>
      <w:szCs w:val="22"/>
      <w:u w:val="none"/>
    </w:rPr>
  </w:style>
  <w:style w:type="character" w:customStyle="1" w:styleId="82">
    <w:name w:val="font81"/>
    <w:uiPriority w:val="0"/>
    <w:rPr>
      <w:rFonts w:hint="default" w:ascii="Arial" w:hAnsi="Arial" w:cs="Arial"/>
      <w:color w:val="000000"/>
      <w:sz w:val="22"/>
      <w:szCs w:val="22"/>
      <w:u w:val="none"/>
    </w:rPr>
  </w:style>
  <w:style w:type="character" w:customStyle="1" w:styleId="83">
    <w:name w:val="font51"/>
    <w:uiPriority w:val="0"/>
    <w:rPr>
      <w:rFonts w:hint="eastAsia" w:ascii="宋体" w:hAnsi="宋体" w:eastAsia="宋体" w:cs="宋体"/>
      <w:b/>
      <w:color w:val="000000"/>
      <w:sz w:val="22"/>
      <w:szCs w:val="22"/>
      <w:u w:val="none"/>
    </w:rPr>
  </w:style>
  <w:style w:type="character" w:customStyle="1" w:styleId="84">
    <w:name w:val=" Char Char3"/>
    <w:uiPriority w:val="0"/>
    <w:rPr>
      <w:rFonts w:ascii="仿宋_GB2312" w:hAnsi="宋体" w:eastAsia="仿宋_GB2312"/>
      <w:color w:val="000000"/>
      <w:sz w:val="24"/>
      <w:szCs w:val="24"/>
      <w:lang w:bidi="ar-SA"/>
    </w:rPr>
  </w:style>
  <w:style w:type="character" w:customStyle="1" w:styleId="85">
    <w:name w:val="样式 小四"/>
    <w:uiPriority w:val="0"/>
    <w:rPr>
      <w:sz w:val="21"/>
    </w:rPr>
  </w:style>
  <w:style w:type="character" w:customStyle="1" w:styleId="86">
    <w:name w:val="UserStyle_0"/>
    <w:semiHidden/>
    <w:qFormat/>
    <w:uiPriority w:val="0"/>
    <w:rPr>
      <w:rFonts w:ascii="Calibri" w:hAnsi="Calibri" w:eastAsia="宋体"/>
      <w:kern w:val="2"/>
      <w:sz w:val="21"/>
      <w:szCs w:val="24"/>
      <w:lang w:val="en-US" w:eastAsia="zh-CN" w:bidi="ar-SA"/>
    </w:rPr>
  </w:style>
  <w:style w:type="character" w:customStyle="1" w:styleId="87">
    <w:name w:val="!我的正文 Ctr+Q Char"/>
    <w:link w:val="88"/>
    <w:uiPriority w:val="0"/>
    <w:rPr>
      <w:rFonts w:ascii="Arial" w:hAnsi="Arial" w:eastAsia="宋体"/>
      <w:kern w:val="2"/>
      <w:sz w:val="24"/>
      <w:szCs w:val="21"/>
      <w:lang w:val="en-US" w:eastAsia="zh-CN" w:bidi="ar-SA"/>
    </w:rPr>
  </w:style>
  <w:style w:type="paragraph" w:customStyle="1" w:styleId="88">
    <w:name w:val="!我的正文 Ctr+Q"/>
    <w:basedOn w:val="1"/>
    <w:link w:val="87"/>
    <w:uiPriority w:val="0"/>
    <w:pPr>
      <w:adjustRightInd w:val="0"/>
      <w:snapToGrid w:val="0"/>
      <w:spacing w:line="360" w:lineRule="auto"/>
      <w:ind w:firstLine="480" w:firstLineChars="200"/>
    </w:pPr>
    <w:rPr>
      <w:rFonts w:ascii="Arial" w:hAnsi="Arial"/>
      <w:sz w:val="24"/>
      <w:szCs w:val="21"/>
    </w:rPr>
  </w:style>
  <w:style w:type="character" w:customStyle="1" w:styleId="89">
    <w:name w:val="font01"/>
    <w:uiPriority w:val="0"/>
    <w:rPr>
      <w:rFonts w:ascii="Arial" w:hAnsi="Arial" w:cs="Arial"/>
      <w:color w:val="000000"/>
      <w:sz w:val="22"/>
      <w:szCs w:val="22"/>
      <w:u w:val="none"/>
    </w:rPr>
  </w:style>
  <w:style w:type="character" w:customStyle="1" w:styleId="90">
    <w:name w:val=" Char Char27"/>
    <w:uiPriority w:val="0"/>
    <w:rPr>
      <w:rFonts w:ascii="宋体" w:hAnsi="Courier New" w:eastAsia="宋体"/>
      <w:kern w:val="2"/>
      <w:sz w:val="24"/>
      <w:szCs w:val="24"/>
      <w:lang w:val="en-US" w:eastAsia="zh-CN" w:bidi="ar-SA"/>
    </w:rPr>
  </w:style>
  <w:style w:type="character" w:customStyle="1" w:styleId="91">
    <w:name w:val="font71"/>
    <w:uiPriority w:val="0"/>
    <w:rPr>
      <w:rFonts w:hint="default" w:ascii="Arial" w:hAnsi="Arial" w:cs="Arial"/>
      <w:color w:val="FF0000"/>
      <w:sz w:val="22"/>
      <w:szCs w:val="22"/>
      <w:u w:val="none"/>
    </w:rPr>
  </w:style>
  <w:style w:type="character" w:customStyle="1" w:styleId="92">
    <w:name w:val="unnamed11"/>
    <w:uiPriority w:val="0"/>
    <w:rPr>
      <w:sz w:val="20"/>
      <w:szCs w:val="20"/>
    </w:rPr>
  </w:style>
  <w:style w:type="character" w:customStyle="1" w:styleId="93">
    <w:name w:val="tw4winError"/>
    <w:uiPriority w:val="0"/>
    <w:rPr>
      <w:rFonts w:ascii="Courier New" w:hAnsi="Courier New"/>
      <w:color w:val="00FF00"/>
      <w:sz w:val="40"/>
    </w:rPr>
  </w:style>
  <w:style w:type="character" w:customStyle="1" w:styleId="94">
    <w:name w:val="tw4winMark"/>
    <w:uiPriority w:val="0"/>
    <w:rPr>
      <w:rFonts w:ascii="Courier New" w:hAnsi="Courier New"/>
      <w:vanish/>
      <w:color w:val="800080"/>
      <w:vertAlign w:val="subscript"/>
    </w:rPr>
  </w:style>
  <w:style w:type="character" w:customStyle="1" w:styleId="95">
    <w:name w:val="line1"/>
    <w:uiPriority w:val="0"/>
    <w:rPr>
      <w:u w:val="none"/>
    </w:rPr>
  </w:style>
  <w:style w:type="character" w:customStyle="1" w:styleId="96">
    <w:name w:val="A C"/>
    <w:uiPriority w:val="0"/>
    <w:rPr>
      <w:rFonts w:ascii="仿宋_GB2312"/>
      <w:bCs/>
      <w:iCs/>
      <w:sz w:val="24"/>
    </w:rPr>
  </w:style>
  <w:style w:type="character" w:customStyle="1" w:styleId="97">
    <w:name w:val="style11"/>
    <w:uiPriority w:val="0"/>
    <w:rPr>
      <w:rFonts w:eastAsia="宋体"/>
      <w:kern w:val="2"/>
      <w:sz w:val="21"/>
      <w:szCs w:val="21"/>
      <w:lang w:val="en-US" w:eastAsia="zh-CN"/>
    </w:rPr>
  </w:style>
  <w:style w:type="character" w:customStyle="1" w:styleId="98">
    <w:name w:val="style101"/>
    <w:uiPriority w:val="0"/>
    <w:rPr>
      <w:color w:val="FFFFFF"/>
    </w:rPr>
  </w:style>
  <w:style w:type="character" w:customStyle="1" w:styleId="99">
    <w:name w:val=" Char Char17"/>
    <w:uiPriority w:val="0"/>
    <w:rPr>
      <w:rFonts w:ascii="宋体" w:hAnsi="Courier New" w:eastAsia="宋体"/>
      <w:kern w:val="2"/>
      <w:sz w:val="24"/>
      <w:szCs w:val="24"/>
      <w:lang w:val="en-US" w:eastAsia="zh-CN" w:bidi="ar-SA"/>
    </w:rPr>
  </w:style>
  <w:style w:type="character" w:customStyle="1" w:styleId="100">
    <w:name w:val="style31"/>
    <w:uiPriority w:val="0"/>
    <w:rPr>
      <w:color w:val="4B4B4B"/>
    </w:rPr>
  </w:style>
  <w:style w:type="character" w:customStyle="1" w:styleId="101">
    <w:name w:val="纯文本 Char2"/>
    <w:aliases w:val="普通文字 Char Char1,纯文本 Char Char Char,纯文本 Char Char1,普通文字 Char Char Char1,普通文字 Char Char Char Char1,普通文字 Char Char Char Char Char,普通文字 Char1,0921 Char,Texte Char,小 Char,正 文 1 Char,Plain Text Char,普通文字1 Char,普通文字2 Char,普通文字3 Char,普通文字4 Char"/>
    <w:locked/>
    <w:uiPriority w:val="0"/>
    <w:rPr>
      <w:rFonts w:ascii="宋体" w:hAnsi="Courier New" w:eastAsia="宋体"/>
      <w:kern w:val="2"/>
      <w:sz w:val="21"/>
      <w:lang w:val="en-US" w:eastAsia="zh-CN" w:bidi="ar-SA"/>
    </w:rPr>
  </w:style>
  <w:style w:type="character" w:customStyle="1" w:styleId="102">
    <w:name w:val="标题 1 Char Char"/>
    <w:uiPriority w:val="0"/>
    <w:rPr>
      <w:rFonts w:eastAsia="宋体"/>
      <w:b/>
      <w:spacing w:val="-2"/>
      <w:sz w:val="24"/>
      <w:lang w:val="en-US" w:eastAsia="zh-CN" w:bidi="ar-SA"/>
    </w:rPr>
  </w:style>
  <w:style w:type="character" w:customStyle="1" w:styleId="103">
    <w:name w:val="b titlename wangputoptitle"/>
    <w:uiPriority w:val="0"/>
  </w:style>
  <w:style w:type="character" w:customStyle="1" w:styleId="104">
    <w:name w:val="标题 2 Char3"/>
    <w:qFormat/>
    <w:uiPriority w:val="0"/>
    <w:rPr>
      <w:rFonts w:ascii="Arial" w:hAnsi="Arial" w:eastAsia="宋体"/>
      <w:b/>
      <w:bCs/>
      <w:kern w:val="2"/>
      <w:sz w:val="28"/>
      <w:szCs w:val="32"/>
      <w:lang w:val="en-US" w:eastAsia="zh-CN" w:bidi="ar-SA"/>
    </w:rPr>
  </w:style>
  <w:style w:type="character" w:customStyle="1" w:styleId="105">
    <w:name w:val="font112"/>
    <w:uiPriority w:val="0"/>
    <w:rPr>
      <w:rFonts w:hint="eastAsia" w:ascii="宋体" w:hAnsi="宋体" w:eastAsia="宋体" w:cs="宋体"/>
      <w:color w:val="000000"/>
      <w:sz w:val="22"/>
      <w:szCs w:val="22"/>
      <w:u w:val="none"/>
    </w:rPr>
  </w:style>
  <w:style w:type="character" w:customStyle="1" w:styleId="106">
    <w:name w:val="font131"/>
    <w:uiPriority w:val="0"/>
    <w:rPr>
      <w:rFonts w:hint="eastAsia" w:ascii="宋体" w:hAnsi="宋体" w:eastAsia="宋体" w:cs="宋体"/>
      <w:color w:val="000000"/>
      <w:sz w:val="22"/>
      <w:szCs w:val="22"/>
      <w:u w:val="none"/>
    </w:rPr>
  </w:style>
  <w:style w:type="character" w:customStyle="1" w:styleId="107">
    <w:name w:val="Normal Indent Char1 Char1 Char2 Char Char Char Char Char Char Char Char Char Char Char Char Char Char"/>
    <w:uiPriority w:val="0"/>
    <w:rPr>
      <w:rFonts w:eastAsia="仿宋_GB2312"/>
      <w:kern w:val="2"/>
      <w:sz w:val="22"/>
      <w:szCs w:val="24"/>
      <w:lang w:val="en-US" w:eastAsia="zh-CN" w:bidi="ar-SA"/>
    </w:rPr>
  </w:style>
  <w:style w:type="character" w:customStyle="1" w:styleId="108">
    <w:name w:val="font101"/>
    <w:uiPriority w:val="0"/>
    <w:rPr>
      <w:rFonts w:hint="eastAsia" w:ascii="宋体" w:hAnsi="宋体" w:eastAsia="宋体" w:cs="宋体"/>
      <w:color w:val="000000"/>
      <w:sz w:val="22"/>
      <w:szCs w:val="22"/>
      <w:u w:val="none"/>
    </w:rPr>
  </w:style>
  <w:style w:type="character" w:customStyle="1" w:styleId="109">
    <w:name w:val="font41"/>
    <w:uiPriority w:val="0"/>
    <w:rPr>
      <w:rFonts w:hint="eastAsia" w:ascii="宋体" w:hAnsi="宋体" w:eastAsia="宋体" w:cs="宋体"/>
      <w:b/>
      <w:color w:val="000000"/>
      <w:sz w:val="22"/>
      <w:szCs w:val="22"/>
      <w:u w:val="none"/>
    </w:rPr>
  </w:style>
  <w:style w:type="character" w:customStyle="1" w:styleId="110">
    <w:name w:val="text11"/>
    <w:uiPriority w:val="0"/>
    <w:rPr>
      <w:rFonts w:hint="default" w:ascii="Verdana" w:hAnsi="Verdana"/>
      <w:color w:val="4E4E4E"/>
      <w:sz w:val="18"/>
      <w:szCs w:val="18"/>
    </w:rPr>
  </w:style>
  <w:style w:type="character" w:customStyle="1" w:styleId="111">
    <w:name w:val="font151"/>
    <w:uiPriority w:val="0"/>
    <w:rPr>
      <w:rFonts w:hint="eastAsia" w:ascii="宋体" w:hAnsi="宋体" w:eastAsia="宋体" w:cs="宋体"/>
      <w:color w:val="000000"/>
      <w:sz w:val="22"/>
      <w:szCs w:val="22"/>
      <w:u w:val="none"/>
    </w:rPr>
  </w:style>
  <w:style w:type="character" w:customStyle="1" w:styleId="112">
    <w:name w:val="tw4winInternal"/>
    <w:uiPriority w:val="0"/>
    <w:rPr>
      <w:rFonts w:ascii="Courier New" w:hAnsi="Courier New"/>
      <w:color w:val="FF0000"/>
    </w:rPr>
  </w:style>
  <w:style w:type="character" w:customStyle="1" w:styleId="113">
    <w:name w:val="Hyperlink.0"/>
    <w:qFormat/>
    <w:uiPriority w:val="0"/>
    <w:rPr>
      <w:lang w:val="en-US"/>
    </w:rPr>
  </w:style>
  <w:style w:type="character" w:customStyle="1" w:styleId="114">
    <w:name w:val="font2"/>
    <w:uiPriority w:val="0"/>
    <w:rPr>
      <w:rFonts w:hint="default" w:ascii="Arial" w:hAnsi="Arial" w:cs="Arial"/>
      <w:color w:val="333333"/>
      <w:spacing w:val="0"/>
      <w:sz w:val="18"/>
      <w:szCs w:val="18"/>
    </w:rPr>
  </w:style>
  <w:style w:type="character" w:customStyle="1" w:styleId="115">
    <w:name w:val="tw4winJump"/>
    <w:uiPriority w:val="0"/>
    <w:rPr>
      <w:rFonts w:ascii="Courier New" w:hAnsi="Courier New"/>
      <w:color w:val="008080"/>
    </w:rPr>
  </w:style>
  <w:style w:type="character" w:customStyle="1" w:styleId="116">
    <w:name w:val="font61"/>
    <w:uiPriority w:val="0"/>
    <w:rPr>
      <w:rFonts w:hint="default" w:ascii="Arial" w:hAnsi="Arial" w:cs="Arial"/>
      <w:b/>
      <w:color w:val="000000"/>
      <w:sz w:val="22"/>
      <w:szCs w:val="22"/>
      <w:u w:val="none"/>
    </w:rPr>
  </w:style>
  <w:style w:type="character" w:customStyle="1" w:styleId="117">
    <w:name w:val="tw4winTerm"/>
    <w:uiPriority w:val="0"/>
    <w:rPr>
      <w:color w:val="0000FF"/>
    </w:rPr>
  </w:style>
  <w:style w:type="character" w:customStyle="1" w:styleId="118">
    <w:name w:val=" Char Char7"/>
    <w:uiPriority w:val="0"/>
    <w:rPr>
      <w:rFonts w:ascii="宋体" w:hAnsi="Courier New" w:eastAsia="宋体"/>
      <w:spacing w:val="-4"/>
      <w:kern w:val="2"/>
      <w:sz w:val="18"/>
      <w:lang w:val="en-US" w:eastAsia="zh-CN" w:bidi="ar-SA"/>
    </w:rPr>
  </w:style>
  <w:style w:type="character" w:customStyle="1" w:styleId="119">
    <w:name w:val="标题 3 Char"/>
    <w:aliases w:val="Heading 3 - old Char,h3 Char,ISO2 Char,L3 Char,heading 3 Char,H3 Char,l3 Char,CT Char,BOD 0 Char,3rd level Char,3 Char,Head 3 Char,level_3 Char,PIM 3 Char,Level 3 Head Char,二级节名 Char,sect1.2.3 Char,sect1.2.31 Char,sect1.2.32 Char,sl3 Char"/>
    <w:uiPriority w:val="0"/>
    <w:rPr>
      <w:rFonts w:eastAsia="宋体"/>
      <w:b/>
      <w:kern w:val="2"/>
      <w:sz w:val="32"/>
      <w:lang w:val="en-US" w:eastAsia="zh-CN"/>
    </w:rPr>
  </w:style>
  <w:style w:type="character" w:customStyle="1" w:styleId="120">
    <w:name w:val="huide001"/>
    <w:uiPriority w:val="0"/>
    <w:rPr>
      <w:rFonts w:hint="default" w:ascii="Arial" w:hAnsi="Arial" w:cs="Arial"/>
      <w:color w:val="666666"/>
      <w:sz w:val="18"/>
      <w:szCs w:val="18"/>
    </w:rPr>
  </w:style>
  <w:style w:type="character" w:customStyle="1" w:styleId="121">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122">
    <w:name w:val="point_normal1"/>
    <w:uiPriority w:val="0"/>
    <w:rPr>
      <w:rFonts w:hint="default" w:ascii="Arial" w:hAnsi="Arial" w:cs="Arial"/>
      <w:sz w:val="18"/>
      <w:szCs w:val="18"/>
    </w:rPr>
  </w:style>
  <w:style w:type="character" w:customStyle="1" w:styleId="123">
    <w:name w:val="font91"/>
    <w:uiPriority w:val="0"/>
    <w:rPr>
      <w:rFonts w:hint="default" w:ascii="Times New Roman" w:hAnsi="Times New Roman" w:cs="Times New Roman"/>
      <w:color w:val="000000"/>
      <w:sz w:val="22"/>
      <w:szCs w:val="22"/>
      <w:u w:val="none"/>
    </w:rPr>
  </w:style>
  <w:style w:type="character" w:customStyle="1" w:styleId="124">
    <w:name w:val="para"/>
    <w:uiPriority w:val="0"/>
  </w:style>
  <w:style w:type="paragraph" w:customStyle="1" w:styleId="125">
    <w:name w:val="样式 样式3 + 宋体 五号 Char Char Char"/>
    <w:basedOn w:val="1"/>
    <w:uiPriority w:val="0"/>
    <w:pPr>
      <w:keepNext/>
      <w:keepLines/>
      <w:tabs>
        <w:tab w:val="left" w:pos="1050"/>
      </w:tabs>
      <w:ind w:left="1050" w:hanging="450"/>
      <w:jc w:val="left"/>
      <w:outlineLvl w:val="7"/>
    </w:pPr>
    <w:rPr>
      <w:rFonts w:ascii="宋体" w:hAnsi="宋体"/>
      <w:b/>
      <w:bCs/>
    </w:rPr>
  </w:style>
  <w:style w:type="paragraph" w:customStyle="1" w:styleId="126">
    <w:name w:val="章正文"/>
    <w:basedOn w:val="1"/>
    <w:uiPriority w:val="0"/>
    <w:pPr>
      <w:spacing w:beforeLines="50" w:after="120" w:line="300" w:lineRule="auto"/>
      <w:ind w:firstLine="480"/>
    </w:pPr>
    <w:rPr>
      <w:rFonts w:ascii="Helvetica" w:hAnsi="Helvetica"/>
      <w:kern w:val="0"/>
      <w:sz w:val="24"/>
    </w:rPr>
  </w:style>
  <w:style w:type="paragraph" w:customStyle="1" w:styleId="127">
    <w:name w:val="S4-L15-C"/>
    <w:basedOn w:val="1"/>
    <w:uiPriority w:val="0"/>
    <w:pPr>
      <w:spacing w:after="120" w:line="360" w:lineRule="auto"/>
      <w:jc w:val="center"/>
    </w:pPr>
    <w:rPr>
      <w:szCs w:val="21"/>
    </w:rPr>
  </w:style>
  <w:style w:type="paragraph" w:customStyle="1" w:styleId="128">
    <w:name w:val="List Paragraph"/>
    <w:basedOn w:val="1"/>
    <w:qFormat/>
    <w:uiPriority w:val="34"/>
    <w:pPr>
      <w:ind w:firstLine="420" w:firstLineChars="200"/>
    </w:pPr>
  </w:style>
  <w:style w:type="paragraph" w:customStyle="1" w:styleId="129">
    <w:name w:val="Char"/>
    <w:basedOn w:val="1"/>
    <w:uiPriority w:val="0"/>
    <w:rPr>
      <w:szCs w:val="20"/>
    </w:rPr>
  </w:style>
  <w:style w:type="paragraph" w:customStyle="1" w:styleId="130">
    <w:name w:val="样式　标题4"/>
    <w:basedOn w:val="131"/>
    <w:next w:val="1"/>
    <w:uiPriority w:val="0"/>
  </w:style>
  <w:style w:type="paragraph" w:customStyle="1" w:styleId="131">
    <w:name w:val="样式 标题 4Chapter X.X.X. + 段后: 0.5 行1"/>
    <w:basedOn w:val="8"/>
    <w:next w:val="8"/>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132">
    <w:name w:val="最新标题3"/>
    <w:basedOn w:val="133"/>
    <w:next w:val="134"/>
    <w:uiPriority w:val="0"/>
    <w:pPr>
      <w:spacing w:after="120"/>
    </w:pPr>
  </w:style>
  <w:style w:type="paragraph" w:customStyle="1" w:styleId="133">
    <w:name w:val="样式 标题 3"/>
    <w:basedOn w:val="7"/>
    <w:next w:val="134"/>
    <w:uiPriority w:val="0"/>
    <w:pPr>
      <w:keepLines w:val="0"/>
      <w:autoSpaceDE/>
      <w:autoSpaceDN/>
      <w:adjustRightInd/>
      <w:spacing w:before="120" w:afterLines="50"/>
    </w:pPr>
    <w:rPr>
      <w:rFonts w:cs="宋体"/>
      <w:bCs/>
      <w:snapToGrid w:val="0"/>
      <w:u w:val="none"/>
    </w:rPr>
  </w:style>
  <w:style w:type="paragraph" w:customStyle="1" w:styleId="134">
    <w:name w:val="最新标题4"/>
    <w:basedOn w:val="135"/>
    <w:next w:val="1"/>
    <w:uiPriority w:val="0"/>
    <w:pPr>
      <w:spacing w:after="120"/>
      <w:ind w:left="0" w:firstLine="0"/>
    </w:pPr>
  </w:style>
  <w:style w:type="paragraph" w:customStyle="1" w:styleId="135">
    <w:name w:val="样式 标题 4"/>
    <w:basedOn w:val="136"/>
    <w:next w:val="138"/>
    <w:uiPriority w:val="0"/>
    <w:pPr>
      <w:tabs>
        <w:tab w:val="left" w:pos="2100"/>
      </w:tabs>
      <w:spacing w:after="50"/>
      <w:ind w:left="2100" w:hanging="420"/>
    </w:pPr>
  </w:style>
  <w:style w:type="paragraph" w:customStyle="1" w:styleId="136">
    <w:name w:val="样式 标题 4Chapter X.X.X.X. + 段后: 0.5 行1"/>
    <w:basedOn w:val="137"/>
    <w:uiPriority w:val="0"/>
    <w:pPr>
      <w:spacing w:after="120"/>
    </w:pPr>
  </w:style>
  <w:style w:type="paragraph" w:customStyle="1" w:styleId="137">
    <w:name w:val="样式 标题 4 + 段后: 0.5 行"/>
    <w:basedOn w:val="8"/>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138">
    <w:name w:val="样式 正文"/>
    <w:basedOn w:val="1"/>
    <w:next w:val="1"/>
    <w:uiPriority w:val="0"/>
    <w:pPr>
      <w:spacing w:afterLines="50"/>
      <w:jc w:val="left"/>
    </w:pPr>
    <w:rPr>
      <w:rFonts w:ascii="宋体" w:cs="宋体"/>
      <w:snapToGrid w:val="0"/>
      <w:kern w:val="0"/>
      <w:szCs w:val="20"/>
    </w:rPr>
  </w:style>
  <w:style w:type="paragraph" w:customStyle="1" w:styleId="139">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styleId="140">
    <w:name w:val=""/>
    <w:unhideWhenUsed/>
    <w:uiPriority w:val="99"/>
    <w:rPr>
      <w:kern w:val="2"/>
      <w:sz w:val="21"/>
      <w:szCs w:val="24"/>
      <w:lang w:val="en-US" w:eastAsia="zh-CN" w:bidi="ar-SA"/>
    </w:rPr>
  </w:style>
  <w:style w:type="paragraph" w:customStyle="1" w:styleId="141">
    <w:name w:val="S4-I-U-L15-No-dot"/>
    <w:basedOn w:val="1"/>
    <w:uiPriority w:val="0"/>
    <w:pPr>
      <w:tabs>
        <w:tab w:val="left" w:pos="1112"/>
      </w:tabs>
      <w:spacing w:after="120" w:line="360" w:lineRule="auto"/>
      <w:ind w:left="1112" w:hanging="420"/>
    </w:pPr>
    <w:rPr>
      <w:i/>
      <w:sz w:val="24"/>
      <w:u w:val="single"/>
    </w:rPr>
  </w:style>
  <w:style w:type="paragraph" w:customStyle="1" w:styleId="142">
    <w:name w:val="标题1"/>
    <w:basedOn w:val="27"/>
    <w:uiPriority w:val="0"/>
    <w:pPr>
      <w:spacing w:before="0" w:after="0" w:line="360" w:lineRule="auto"/>
    </w:pPr>
    <w:rPr>
      <w:b/>
      <w:sz w:val="30"/>
      <w:szCs w:val="20"/>
    </w:rPr>
  </w:style>
  <w:style w:type="paragraph" w:customStyle="1" w:styleId="143">
    <w:name w:val="Char Char3 Char Char Char Char"/>
    <w:basedOn w:val="1"/>
    <w:uiPriority w:val="0"/>
    <w:pPr>
      <w:widowControl/>
      <w:spacing w:after="160" w:line="360" w:lineRule="auto"/>
      <w:jc w:val="left"/>
    </w:pPr>
    <w:rPr>
      <w:rFonts w:ascii="Verdana" w:hAnsi="Verdana"/>
      <w:kern w:val="0"/>
      <w:sz w:val="24"/>
      <w:szCs w:val="20"/>
      <w:lang w:eastAsia="en-US"/>
    </w:rPr>
  </w:style>
  <w:style w:type="paragraph" w:customStyle="1" w:styleId="144">
    <w:name w:val="P2"/>
    <w:basedOn w:val="1"/>
    <w:uiPriority w:val="0"/>
    <w:pPr>
      <w:widowControl/>
      <w:spacing w:before="240" w:line="240" w:lineRule="atLeast"/>
      <w:ind w:left="578"/>
      <w:jc w:val="left"/>
    </w:pPr>
    <w:rPr>
      <w:b/>
      <w:kern w:val="0"/>
      <w:szCs w:val="21"/>
      <w:lang w:val="en-AU" w:eastAsia="en-US"/>
    </w:rPr>
  </w:style>
  <w:style w:type="paragraph" w:customStyle="1" w:styleId="145">
    <w:name w:val="样式 标题 3Chapter X.X.X. + 五号 段后: 0.5 行"/>
    <w:basedOn w:val="7"/>
    <w:uiPriority w:val="0"/>
    <w:pPr>
      <w:keepLines w:val="0"/>
      <w:autoSpaceDE/>
      <w:autoSpaceDN/>
      <w:adjustRightInd/>
      <w:spacing w:before="120" w:afterLines="50"/>
    </w:pPr>
    <w:rPr>
      <w:rFonts w:cs="宋体"/>
      <w:bCs/>
      <w:snapToGrid w:val="0"/>
      <w:sz w:val="21"/>
      <w:u w:val="none"/>
    </w:rPr>
  </w:style>
  <w:style w:type="paragraph" w:customStyle="1" w:styleId="146">
    <w:name w:val="样式 标题 1 + 段后: 0.5 行"/>
    <w:basedOn w:val="5"/>
    <w:uiPriority w:val="0"/>
    <w:pPr>
      <w:keepLines w:val="0"/>
      <w:spacing w:before="120" w:afterLines="50" w:line="240" w:lineRule="auto"/>
      <w:jc w:val="left"/>
    </w:pPr>
    <w:rPr>
      <w:rFonts w:ascii="宋体" w:cs="宋体"/>
      <w:snapToGrid w:val="0"/>
      <w:kern w:val="0"/>
      <w:sz w:val="28"/>
      <w:szCs w:val="20"/>
    </w:rPr>
  </w:style>
  <w:style w:type="paragraph" w:customStyle="1" w:styleId="147">
    <w:name w:val="页面边线"/>
    <w:basedOn w:val="1"/>
    <w:uiPriority w:val="0"/>
    <w:pPr>
      <w:adjustRightInd w:val="0"/>
      <w:spacing w:line="360" w:lineRule="atLeast"/>
      <w:textAlignment w:val="baseline"/>
    </w:pPr>
    <w:rPr>
      <w:rFonts w:ascii="Century" w:hAnsi="Century"/>
      <w:kern w:val="0"/>
      <w:szCs w:val="20"/>
      <w:lang w:eastAsia="ja-JP"/>
    </w:rPr>
  </w:style>
  <w:style w:type="paragraph" w:styleId="148">
    <w:name w:val="No Spacing"/>
    <w:qFormat/>
    <w:uiPriority w:val="0"/>
    <w:pPr>
      <w:widowControl w:val="0"/>
      <w:jc w:val="both"/>
    </w:pPr>
    <w:rPr>
      <w:rFonts w:ascii="Calibri" w:hAnsi="Calibri"/>
      <w:kern w:val="2"/>
      <w:sz w:val="21"/>
      <w:szCs w:val="22"/>
      <w:lang w:val="en-US" w:eastAsia="zh-CN" w:bidi="ar-SA"/>
    </w:rPr>
  </w:style>
  <w:style w:type="paragraph" w:customStyle="1" w:styleId="149">
    <w:name w:val="纯文本1"/>
    <w:qFormat/>
    <w:uiPriority w:val="0"/>
    <w:rPr>
      <w:rFonts w:hint="eastAsia" w:ascii="Arial Unicode MS" w:hAnsi="Arial Unicode MS" w:eastAsia="Courier New" w:cs="Arial Unicode MS"/>
      <w:color w:val="000000"/>
      <w:u w:val="none" w:color="000000"/>
      <w:lang w:val="fr-FR" w:eastAsia="zh-CN" w:bidi="ar-SA"/>
    </w:rPr>
  </w:style>
  <w:style w:type="paragraph" w:customStyle="1" w:styleId="150">
    <w:name w:val="列出段落21"/>
    <w:basedOn w:val="1"/>
    <w:qFormat/>
    <w:uiPriority w:val="99"/>
    <w:pPr>
      <w:ind w:firstLine="420" w:firstLineChars="200"/>
    </w:pPr>
    <w:rPr>
      <w:rFonts w:ascii="Calibri" w:hAnsi="Calibri"/>
      <w:szCs w:val="22"/>
    </w:rPr>
  </w:style>
  <w:style w:type="paragraph" w:customStyle="1" w:styleId="151">
    <w:name w:val="正文段"/>
    <w:basedOn w:val="1"/>
    <w:qFormat/>
    <w:uiPriority w:val="0"/>
    <w:pPr>
      <w:widowControl/>
      <w:snapToGrid w:val="0"/>
      <w:spacing w:afterLines="50"/>
      <w:ind w:firstLine="200" w:firstLineChars="200"/>
    </w:pPr>
    <w:rPr>
      <w:kern w:val="0"/>
      <w:sz w:val="24"/>
      <w:szCs w:val="20"/>
    </w:rPr>
  </w:style>
  <w:style w:type="paragraph" w:customStyle="1" w:styleId="152">
    <w:name w:val="标准标题3"/>
    <w:basedOn w:val="7"/>
    <w:uiPriority w:val="0"/>
    <w:pPr>
      <w:tabs>
        <w:tab w:val="left" w:pos="1050"/>
      </w:tabs>
      <w:autoSpaceDE/>
      <w:autoSpaceDN/>
      <w:adjustRightInd/>
      <w:spacing w:before="260" w:after="260"/>
      <w:ind w:leftChars="-258"/>
      <w:jc w:val="both"/>
    </w:pPr>
    <w:rPr>
      <w:rFonts w:ascii="Times New Roman" w:eastAsia="仿宋_GB2312"/>
      <w:bCs/>
      <w:kern w:val="2"/>
      <w:sz w:val="28"/>
      <w:szCs w:val="32"/>
      <w:u w:val="none"/>
    </w:rPr>
  </w:style>
  <w:style w:type="paragraph" w:customStyle="1" w:styleId="153">
    <w:name w:val="样式 左侧:  1 厘米 段后: 0.5 行"/>
    <w:basedOn w:val="1"/>
    <w:uiPriority w:val="0"/>
    <w:pPr>
      <w:spacing w:afterLines="50"/>
      <w:ind w:firstLine="425"/>
      <w:jc w:val="left"/>
    </w:pPr>
    <w:rPr>
      <w:rFonts w:ascii="宋体" w:cs="宋体"/>
      <w:snapToGrid w:val="0"/>
      <w:kern w:val="0"/>
      <w:szCs w:val="20"/>
    </w:rPr>
  </w:style>
  <w:style w:type="paragraph" w:customStyle="1" w:styleId="154">
    <w:name w:val="Item List"/>
    <w:uiPriority w:val="0"/>
    <w:pPr>
      <w:tabs>
        <w:tab w:val="left" w:pos="2126"/>
      </w:tabs>
      <w:spacing w:line="300" w:lineRule="auto"/>
      <w:ind w:left="2126" w:hanging="425"/>
      <w:jc w:val="both"/>
    </w:pPr>
    <w:rPr>
      <w:rFonts w:ascii="Arial" w:hAnsi="Arial"/>
      <w:sz w:val="21"/>
      <w:lang w:val="en-US" w:eastAsia="en-US" w:bidi="ar-SA"/>
    </w:rPr>
  </w:style>
  <w:style w:type="paragraph" w:customStyle="1" w:styleId="155">
    <w:name w:val="Char Char Char Char Char"/>
    <w:basedOn w:val="1"/>
    <w:uiPriority w:val="0"/>
    <w:pPr>
      <w:widowControl/>
      <w:adjustRightInd w:val="0"/>
      <w:ind w:firstLine="200" w:firstLineChars="200"/>
      <w:jc w:val="left"/>
      <w:textAlignment w:val="baseline"/>
    </w:pPr>
  </w:style>
  <w:style w:type="paragraph" w:customStyle="1" w:styleId="156">
    <w:name w:val="Figure Description"/>
    <w:next w:val="1"/>
    <w:uiPriority w:val="0"/>
    <w:pPr>
      <w:snapToGrid w:val="0"/>
      <w:spacing w:before="80" w:after="320"/>
      <w:ind w:left="1701"/>
      <w:jc w:val="center"/>
    </w:pPr>
    <w:rPr>
      <w:rFonts w:ascii="Arial" w:hAnsi="Arial" w:eastAsia="黑体"/>
      <w:sz w:val="18"/>
      <w:lang w:val="en-US" w:eastAsia="en-US" w:bidi="ar-SA"/>
    </w:rPr>
  </w:style>
  <w:style w:type="paragraph" w:customStyle="1" w:styleId="157">
    <w:name w:val="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58">
    <w:name w:val="普通(网站)1"/>
    <w:qFormat/>
    <w:uiPriority w:val="0"/>
    <w:pPr>
      <w:spacing w:before="100" w:after="100"/>
    </w:pPr>
    <w:rPr>
      <w:rFonts w:hint="eastAsia" w:ascii="Arial Unicode MS" w:hAnsi="Arial Unicode MS" w:cs="Arial Unicode MS"/>
      <w:color w:val="000000"/>
      <w:sz w:val="24"/>
      <w:szCs w:val="24"/>
      <w:u w:val="none" w:color="000000"/>
      <w:lang w:val="en-US" w:eastAsia="zh-CN" w:bidi="ar-SA"/>
    </w:rPr>
  </w:style>
  <w:style w:type="paragraph" w:customStyle="1" w:styleId="159">
    <w:name w:val="样式 样式 标题 4 + 段后: 0.5 行 + 段后: 0.5 行"/>
    <w:basedOn w:val="137"/>
    <w:uiPriority w:val="0"/>
  </w:style>
  <w:style w:type="paragraph" w:customStyle="1" w:styleId="160">
    <w:name w:val="最新标题1"/>
    <w:basedOn w:val="161"/>
    <w:next w:val="162"/>
    <w:uiPriority w:val="0"/>
    <w:pPr>
      <w:tabs>
        <w:tab w:val="left" w:pos="1140"/>
      </w:tabs>
      <w:spacing w:after="120"/>
    </w:pPr>
    <w:rPr>
      <w:bCs/>
    </w:rPr>
  </w:style>
  <w:style w:type="paragraph" w:customStyle="1" w:styleId="161">
    <w:name w:val="样式 标题1"/>
    <w:basedOn w:val="146"/>
    <w:next w:val="162"/>
    <w:uiPriority w:val="0"/>
    <w:pPr>
      <w:tabs>
        <w:tab w:val="left" w:pos="1140"/>
      </w:tabs>
      <w:spacing w:after="50"/>
      <w:ind w:left="1140" w:hanging="720"/>
    </w:pPr>
    <w:rPr>
      <w:bCs w:val="0"/>
      <w:sz w:val="32"/>
    </w:rPr>
  </w:style>
  <w:style w:type="paragraph" w:customStyle="1" w:styleId="162">
    <w:name w:val="最新标题2"/>
    <w:basedOn w:val="163"/>
    <w:next w:val="132"/>
    <w:uiPriority w:val="0"/>
    <w:pPr>
      <w:spacing w:after="120"/>
    </w:pPr>
  </w:style>
  <w:style w:type="paragraph" w:customStyle="1" w:styleId="163">
    <w:name w:val="样式 标题 2"/>
    <w:basedOn w:val="6"/>
    <w:next w:val="132"/>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164">
    <w:name w:val="Char Char Char"/>
    <w:basedOn w:val="1"/>
    <w:uiPriority w:val="0"/>
    <w:rPr>
      <w:rFonts w:ascii="Tahoma" w:hAnsi="Tahoma"/>
      <w:sz w:val="24"/>
      <w:szCs w:val="20"/>
    </w:rPr>
  </w:style>
  <w:style w:type="paragraph" w:customStyle="1" w:styleId="165">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66">
    <w:name w:val=" Char"/>
    <w:basedOn w:val="1"/>
    <w:uiPriority w:val="0"/>
  </w:style>
  <w:style w:type="paragraph" w:customStyle="1" w:styleId="167">
    <w:name w:val="Table - Col. Head"/>
    <w:basedOn w:val="1"/>
    <w:uiPriority w:val="0"/>
    <w:pPr>
      <w:keepNext/>
      <w:widowControl/>
      <w:spacing w:before="60" w:afterLines="50"/>
      <w:jc w:val="left"/>
    </w:pPr>
    <w:rPr>
      <w:rFonts w:ascii="Arial" w:hAnsi="Arial"/>
      <w:b/>
      <w:kern w:val="0"/>
      <w:sz w:val="18"/>
      <w:szCs w:val="20"/>
      <w:lang w:eastAsia="en-US"/>
    </w:rPr>
  </w:style>
  <w:style w:type="paragraph" w:customStyle="1" w:styleId="168">
    <w:name w:val="列出段落2"/>
    <w:basedOn w:val="1"/>
    <w:unhideWhenUsed/>
    <w:qFormat/>
    <w:uiPriority w:val="99"/>
    <w:pPr>
      <w:ind w:firstLine="420" w:firstLineChars="200"/>
    </w:pPr>
    <w:rPr>
      <w:rFonts w:ascii="Calibri" w:hAnsi="Calibri" w:eastAsia="宋体" w:cs="Times New Roman"/>
      <w:szCs w:val="24"/>
    </w:rPr>
  </w:style>
  <w:style w:type="paragraph" w:customStyle="1" w:styleId="169">
    <w:name w:val="IBM 正文"/>
    <w:basedOn w:val="1"/>
    <w:uiPriority w:val="0"/>
    <w:pPr>
      <w:spacing w:line="360" w:lineRule="atLeast"/>
    </w:pPr>
    <w:rPr>
      <w:sz w:val="24"/>
      <w:szCs w:val="20"/>
    </w:rPr>
  </w:style>
  <w:style w:type="paragraph" w:customStyle="1" w:styleId="170">
    <w:name w:val="样式 样式 标题 4 + 段后: 0.5 行1"/>
    <w:basedOn w:val="137"/>
    <w:next w:val="30"/>
    <w:uiPriority w:val="0"/>
    <w:pPr>
      <w:spacing w:after="120"/>
    </w:pPr>
  </w:style>
  <w:style w:type="paragraph" w:customStyle="1" w:styleId="171">
    <w:name w:val="列出段落1"/>
    <w:basedOn w:val="1"/>
    <w:qFormat/>
    <w:uiPriority w:val="0"/>
    <w:pPr>
      <w:spacing w:line="360" w:lineRule="auto"/>
      <w:ind w:firstLine="420" w:firstLineChars="200"/>
      <w:jc w:val="left"/>
    </w:pPr>
    <w:rPr>
      <w:rFonts w:ascii="Calibri" w:hAnsi="Calibri"/>
      <w:sz w:val="24"/>
      <w:szCs w:val="22"/>
    </w:rPr>
  </w:style>
  <w:style w:type="paragraph" w:customStyle="1" w:styleId="172">
    <w:name w:val="样式 标题 1 + 五号1 Char Char Char Char Char Char Char Char Char Char Char Char Char Char Char Char Char"/>
    <w:basedOn w:val="5"/>
    <w:uiPriority w:val="0"/>
    <w:pPr>
      <w:spacing w:before="0" w:after="0" w:line="480" w:lineRule="auto"/>
    </w:pPr>
    <w:rPr>
      <w:sz w:val="21"/>
    </w:rPr>
  </w:style>
  <w:style w:type="paragraph" w:customStyle="1" w:styleId="173">
    <w:name w:val=" Char2"/>
    <w:basedOn w:val="1"/>
    <w:uiPriority w:val="0"/>
    <w:pPr>
      <w:tabs>
        <w:tab w:val="left" w:pos="432"/>
      </w:tabs>
      <w:spacing w:beforeLines="50" w:afterLines="50"/>
      <w:ind w:left="432" w:hanging="432"/>
    </w:pPr>
    <w:rPr>
      <w:sz w:val="24"/>
    </w:rPr>
  </w:style>
  <w:style w:type="paragraph" w:customStyle="1" w:styleId="174">
    <w:name w:val="样式 标题 3Chapter X.X.X"/>
    <w:basedOn w:val="175"/>
    <w:uiPriority w:val="0"/>
    <w:pPr>
      <w:spacing w:after="120"/>
    </w:pPr>
  </w:style>
  <w:style w:type="paragraph" w:customStyle="1" w:styleId="175">
    <w:name w:val="标题 3Chapter X.X.X. + 段后: 0.5 行 + 段后: 0.5 行 + 段后: 0.5 行1"/>
    <w:basedOn w:val="176"/>
    <w:uiPriority w:val="0"/>
  </w:style>
  <w:style w:type="paragraph" w:customStyle="1" w:styleId="176">
    <w:name w:val="样式 样式 标题 3Chapter X.X.X. + 段后: 0.5 行 + 段后: 0.5 行"/>
    <w:basedOn w:val="177"/>
    <w:uiPriority w:val="0"/>
  </w:style>
  <w:style w:type="paragraph" w:customStyle="1" w:styleId="177">
    <w:name w:val="样式 标题 3Chapter X.X.X. + 段后: 0.5 行"/>
    <w:basedOn w:val="7"/>
    <w:uiPriority w:val="0"/>
    <w:pPr>
      <w:keepLines w:val="0"/>
      <w:autoSpaceDE/>
      <w:autoSpaceDN/>
      <w:adjustRightInd/>
      <w:spacing w:before="120" w:afterLines="50"/>
    </w:pPr>
    <w:rPr>
      <w:rFonts w:cs="宋体"/>
      <w:bCs/>
      <w:snapToGrid w:val="0"/>
      <w:u w:val="none"/>
    </w:rPr>
  </w:style>
  <w:style w:type="paragraph" w:customStyle="1" w:styleId="178">
    <w:name w:val="文本框内文字"/>
    <w:basedOn w:val="1"/>
    <w:uiPriority w:val="0"/>
    <w:pPr>
      <w:spacing w:line="0" w:lineRule="atLeast"/>
    </w:pPr>
    <w:rPr>
      <w:rFonts w:eastAsia="仿宋_GB2312"/>
      <w:sz w:val="22"/>
    </w:rPr>
  </w:style>
  <w:style w:type="paragraph" w:customStyle="1" w:styleId="179">
    <w:name w:val="列表段落1"/>
    <w:basedOn w:val="1"/>
    <w:qFormat/>
    <w:uiPriority w:val="34"/>
    <w:pPr>
      <w:widowControl/>
      <w:spacing w:after="200" w:line="276" w:lineRule="auto"/>
      <w:ind w:left="720"/>
      <w:contextualSpacing/>
      <w:jc w:val="left"/>
    </w:pPr>
    <w:rPr>
      <w:rFonts w:ascii="Calibri" w:hAnsi="Calibri" w:eastAsia="宋体" w:cs="Times New Roman"/>
      <w:kern w:val="0"/>
      <w:sz w:val="22"/>
      <w:szCs w:val="22"/>
    </w:rPr>
  </w:style>
  <w:style w:type="paragraph" w:customStyle="1" w:styleId="180">
    <w:name w:val=" Char Char8"/>
    <w:basedOn w:val="1"/>
    <w:uiPriority w:val="0"/>
    <w:pPr>
      <w:tabs>
        <w:tab w:val="left" w:pos="360"/>
      </w:tabs>
    </w:pPr>
  </w:style>
  <w:style w:type="paragraph" w:customStyle="1" w:styleId="181">
    <w:name w:val="首行缩进"/>
    <w:basedOn w:val="1"/>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182">
    <w:name w:val="样式2"/>
    <w:basedOn w:val="6"/>
    <w:uiPriority w:val="0"/>
    <w:pPr>
      <w:tabs>
        <w:tab w:val="left" w:pos="600"/>
      </w:tabs>
      <w:ind w:left="600" w:hanging="600"/>
    </w:pPr>
    <w:rPr>
      <w:rFonts w:eastAsia="宋体"/>
    </w:rPr>
  </w:style>
  <w:style w:type="paragraph" w:customStyle="1" w:styleId="183">
    <w:name w:val="样式 标题 2 + 五号"/>
    <w:basedOn w:val="6"/>
    <w:uiPriority w:val="0"/>
    <w:pPr>
      <w:spacing w:before="0" w:after="0" w:line="240" w:lineRule="auto"/>
    </w:pPr>
    <w:rPr>
      <w:rFonts w:ascii="宋体" w:hAnsi="宋体" w:eastAsia="宋体"/>
      <w:sz w:val="21"/>
    </w:rPr>
  </w:style>
  <w:style w:type="paragraph" w:customStyle="1" w:styleId="184">
    <w:name w:val="Table Description"/>
    <w:next w:val="1"/>
    <w:uiPriority w:val="0"/>
    <w:pPr>
      <w:keepNext/>
      <w:snapToGrid w:val="0"/>
      <w:spacing w:before="160" w:after="80"/>
      <w:ind w:left="1701"/>
      <w:jc w:val="center"/>
    </w:pPr>
    <w:rPr>
      <w:rFonts w:ascii="Arial" w:hAnsi="Arial" w:eastAsia="黑体"/>
      <w:sz w:val="18"/>
      <w:lang w:val="en-US" w:eastAsia="en-US" w:bidi="ar-SA"/>
    </w:rPr>
  </w:style>
  <w:style w:type="paragraph" w:customStyle="1" w:styleId="185">
    <w:name w:val="Body"/>
    <w:basedOn w:val="1"/>
    <w:uiPriority w:val="0"/>
    <w:pPr>
      <w:widowControl/>
      <w:spacing w:before="120" w:afterLines="50"/>
    </w:pPr>
    <w:rPr>
      <w:rFonts w:ascii="宋体"/>
      <w:snapToGrid w:val="0"/>
      <w:kern w:val="0"/>
      <w:szCs w:val="20"/>
    </w:rPr>
  </w:style>
  <w:style w:type="paragraph" w:customStyle="1" w:styleId="186">
    <w:name w:val="封面标准文稿编辑信息"/>
    <w:uiPriority w:val="0"/>
    <w:pPr>
      <w:spacing w:before="180" w:line="180" w:lineRule="exact"/>
      <w:jc w:val="center"/>
    </w:pPr>
    <w:rPr>
      <w:rFonts w:ascii="宋体"/>
      <w:sz w:val="21"/>
      <w:lang w:val="en-US" w:eastAsia="zh-CN" w:bidi="ar-SA"/>
    </w:rPr>
  </w:style>
  <w:style w:type="paragraph" w:customStyle="1" w:styleId="187">
    <w:name w:val="huide00"/>
    <w:basedOn w:val="1"/>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188">
    <w:name w:val=" Char1 Char Char Char Char Char Char"/>
    <w:basedOn w:val="1"/>
    <w:uiPriority w:val="0"/>
    <w:rPr>
      <w:rFonts w:ascii="Tahoma" w:hAnsi="Tahoma"/>
      <w:sz w:val="24"/>
      <w:szCs w:val="20"/>
    </w:rPr>
  </w:style>
  <w:style w:type="paragraph" w:customStyle="1" w:styleId="189">
    <w:name w:val="Paragraph2"/>
    <w:basedOn w:val="1"/>
    <w:uiPriority w:val="0"/>
    <w:pPr>
      <w:spacing w:before="80" w:afterLines="50"/>
      <w:ind w:left="720"/>
    </w:pPr>
    <w:rPr>
      <w:rFonts w:ascii="宋体"/>
      <w:snapToGrid w:val="0"/>
      <w:color w:val="000000"/>
      <w:kern w:val="0"/>
      <w:szCs w:val="20"/>
      <w:lang w:val="en-AU"/>
    </w:rPr>
  </w:style>
  <w:style w:type="paragraph" w:customStyle="1" w:styleId="190">
    <w:name w:val="无间隔1"/>
    <w:uiPriority w:val="99"/>
    <w:rPr>
      <w:sz w:val="22"/>
      <w:szCs w:val="22"/>
      <w:lang w:val="en-US" w:eastAsia="zh-CN" w:bidi="ar-SA"/>
    </w:rPr>
  </w:style>
  <w:style w:type="paragraph" w:customStyle="1" w:styleId="191">
    <w:name w:val=" Char3 Char Char Char"/>
    <w:basedOn w:val="1"/>
    <w:uiPriority w:val="0"/>
    <w:pPr>
      <w:numPr>
        <w:ilvl w:val="0"/>
        <w:numId w:val="2"/>
      </w:numPr>
    </w:pPr>
    <w:rPr>
      <w:sz w:val="24"/>
    </w:rPr>
  </w:style>
  <w:style w:type="paragraph" w:customStyle="1" w:styleId="192">
    <w:name w:val=" Char Char Char Char Char Char Char Char Char Char"/>
    <w:basedOn w:val="18"/>
    <w:uiPriority w:val="0"/>
    <w:rPr>
      <w:rFonts w:ascii="Tahoma" w:hAnsi="Tahoma"/>
      <w:sz w:val="24"/>
    </w:rPr>
  </w:style>
  <w:style w:type="paragraph" w:customStyle="1" w:styleId="193">
    <w:name w:val="样式 标题 3Chapter X.X.X. + 段后: 0.5 行1"/>
    <w:basedOn w:val="7"/>
    <w:next w:val="1"/>
    <w:uiPriority w:val="0"/>
    <w:pPr>
      <w:keepLines w:val="0"/>
      <w:autoSpaceDE/>
      <w:autoSpaceDN/>
      <w:adjustRightInd/>
      <w:spacing w:before="120" w:afterLines="50"/>
    </w:pPr>
    <w:rPr>
      <w:rFonts w:cs="宋体"/>
      <w:bCs/>
      <w:snapToGrid w:val="0"/>
      <w:u w:val="none"/>
    </w:rPr>
  </w:style>
  <w:style w:type="paragraph" w:customStyle="1" w:styleId="194">
    <w:name w:val="Paragraph1"/>
    <w:basedOn w:val="1"/>
    <w:uiPriority w:val="0"/>
    <w:pPr>
      <w:spacing w:before="80" w:afterLines="50"/>
    </w:pPr>
    <w:rPr>
      <w:rFonts w:ascii="宋体"/>
      <w:snapToGrid w:val="0"/>
      <w:kern w:val="0"/>
      <w:szCs w:val="20"/>
    </w:rPr>
  </w:style>
  <w:style w:type="paragraph" w:customStyle="1" w:styleId="195">
    <w:name w:val=" Char Char"/>
    <w:basedOn w:val="1"/>
    <w:uiPriority w:val="0"/>
    <w:pPr>
      <w:spacing w:line="240" w:lineRule="atLeast"/>
      <w:ind w:left="420" w:firstLine="420"/>
    </w:pPr>
    <w:rPr>
      <w:kern w:val="0"/>
      <w:szCs w:val="21"/>
    </w:rPr>
  </w:style>
  <w:style w:type="paragraph" w:customStyle="1" w:styleId="196">
    <w:name w:val="样式 样式 正文文本缩进 + 仿宋_GB2312 小四 首行缩进:  0 厘米 行距: 1.5 倍行距 + (中文) 仿宋_GB..."/>
    <w:basedOn w:val="197"/>
    <w:uiPriority w:val="0"/>
    <w:pPr>
      <w:ind w:firstLine="480" w:firstLineChars="200"/>
    </w:pPr>
  </w:style>
  <w:style w:type="paragraph" w:customStyle="1" w:styleId="197">
    <w:name w:val="样式 正文文本缩进 + 仿宋_GB2312 小四 首行缩进:  0 厘米 行距: 1.5 倍行距"/>
    <w:basedOn w:val="3"/>
    <w:uiPriority w:val="0"/>
    <w:pPr>
      <w:spacing w:line="360" w:lineRule="auto"/>
      <w:ind w:firstLine="0"/>
    </w:pPr>
    <w:rPr>
      <w:rFonts w:ascii="仿宋_GB2312" w:hAnsi="Times New Roman" w:eastAsia="新宋体"/>
      <w:spacing w:val="0"/>
      <w:sz w:val="24"/>
    </w:rPr>
  </w:style>
  <w:style w:type="paragraph" w:customStyle="1" w:styleId="198">
    <w:name w:val="样式 标题 4Chapter X.X.X. + 段后: 0.5 行1 + 段后: 0.5 行"/>
    <w:basedOn w:val="131"/>
    <w:uiPriority w:val="0"/>
    <w:rPr>
      <w:szCs w:val="21"/>
    </w:rPr>
  </w:style>
  <w:style w:type="paragraph" w:customStyle="1" w:styleId="199">
    <w:name w:val="Char Char Char Char1 Char Char"/>
    <w:basedOn w:val="1"/>
    <w:uiPriority w:val="0"/>
    <w:pPr>
      <w:widowControl/>
      <w:spacing w:after="160" w:line="240" w:lineRule="exact"/>
      <w:jc w:val="left"/>
    </w:pPr>
    <w:rPr>
      <w:rFonts w:ascii="Verdana" w:hAnsi="Verdana"/>
      <w:kern w:val="0"/>
      <w:sz w:val="20"/>
      <w:szCs w:val="20"/>
      <w:lang w:eastAsia="en-US"/>
    </w:rPr>
  </w:style>
  <w:style w:type="paragraph" w:customStyle="1" w:styleId="200">
    <w:name w:val="样式7"/>
    <w:basedOn w:val="1"/>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201">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202">
    <w:name w:val="Paragraph3"/>
    <w:basedOn w:val="1"/>
    <w:uiPriority w:val="0"/>
    <w:pPr>
      <w:spacing w:before="80" w:afterLines="50"/>
      <w:ind w:left="1530"/>
    </w:pPr>
    <w:rPr>
      <w:rFonts w:ascii="宋体"/>
      <w:snapToGrid w:val="0"/>
      <w:kern w:val="0"/>
      <w:szCs w:val="20"/>
    </w:rPr>
  </w:style>
  <w:style w:type="paragraph" w:customStyle="1" w:styleId="203">
    <w:name w:val="样式 样式 正文文本缩进 + 仿宋_GB2312 小四 首行缩进:  0 厘米 行距: 1.5 倍行距 + (中文) 仿宋_GB... Char Char"/>
    <w:basedOn w:val="197"/>
    <w:uiPriority w:val="0"/>
    <w:pPr>
      <w:ind w:firstLine="480" w:firstLineChars="200"/>
    </w:pPr>
  </w:style>
  <w:style w:type="paragraph" w:customStyle="1" w:styleId="204">
    <w:name w:val="此正文"/>
    <w:basedOn w:val="1"/>
    <w:uiPriority w:val="0"/>
    <w:pPr>
      <w:spacing w:line="360" w:lineRule="auto"/>
      <w:ind w:firstLine="200" w:firstLineChars="200"/>
    </w:pPr>
    <w:rPr>
      <w:sz w:val="24"/>
      <w:szCs w:val="20"/>
    </w:rPr>
  </w:style>
  <w:style w:type="paragraph" w:customStyle="1" w:styleId="205">
    <w:name w:val="表格正文"/>
    <w:basedOn w:val="1"/>
    <w:uiPriority w:val="0"/>
    <w:pPr>
      <w:adjustRightInd w:val="0"/>
      <w:snapToGrid w:val="0"/>
      <w:spacing w:before="60" w:after="60"/>
      <w:jc w:val="center"/>
      <w:textAlignment w:val="baseline"/>
    </w:pPr>
    <w:rPr>
      <w:kern w:val="0"/>
      <w:sz w:val="24"/>
      <w:szCs w:val="20"/>
    </w:rPr>
  </w:style>
  <w:style w:type="paragraph" w:customStyle="1" w:styleId="206">
    <w:name w:val="标准标题1"/>
    <w:basedOn w:val="5"/>
    <w:uiPriority w:val="0"/>
    <w:pPr>
      <w:pageBreakBefore/>
      <w:tabs>
        <w:tab w:val="left" w:pos="1080"/>
      </w:tabs>
      <w:ind w:left="425" w:hanging="425"/>
    </w:pPr>
    <w:rPr>
      <w:rFonts w:eastAsia="仿宋_GB2312"/>
      <w:sz w:val="32"/>
    </w:rPr>
  </w:style>
  <w:style w:type="paragraph" w:customStyle="1" w:styleId="207">
    <w:name w:val="text"/>
    <w:basedOn w:val="1"/>
    <w:uiPriority w:val="0"/>
    <w:pPr>
      <w:adjustRightInd w:val="0"/>
      <w:spacing w:before="120" w:line="360" w:lineRule="auto"/>
      <w:ind w:firstLine="425"/>
      <w:jc w:val="left"/>
      <w:textAlignment w:val="baseline"/>
    </w:pPr>
    <w:rPr>
      <w:rFonts w:ascii="宋体" w:hAnsi="Arial" w:cs="Arial"/>
      <w:bCs/>
      <w:kern w:val="0"/>
      <w:sz w:val="26"/>
      <w:szCs w:val="32"/>
      <w:lang/>
    </w:rPr>
  </w:style>
  <w:style w:type="paragraph" w:customStyle="1" w:styleId="208">
    <w:name w:val=" Char Char Char Char1 Char Char"/>
    <w:basedOn w:val="1"/>
    <w:uiPriority w:val="0"/>
    <w:pPr>
      <w:widowControl/>
      <w:spacing w:after="160" w:line="240" w:lineRule="exact"/>
      <w:jc w:val="left"/>
    </w:pPr>
    <w:rPr>
      <w:rFonts w:ascii="Verdana" w:hAnsi="Verdana"/>
      <w:kern w:val="0"/>
      <w:sz w:val="20"/>
      <w:szCs w:val="20"/>
      <w:lang w:eastAsia="en-US"/>
    </w:rPr>
  </w:style>
  <w:style w:type="paragraph" w:customStyle="1" w:styleId="209">
    <w:name w:val="沈标题四"/>
    <w:basedOn w:val="8"/>
    <w:next w:val="1"/>
    <w:uiPriority w:val="0"/>
    <w:pPr>
      <w:keepNext w:val="0"/>
      <w:keepLines w:val="0"/>
      <w:spacing w:line="377" w:lineRule="auto"/>
    </w:pPr>
    <w:rPr>
      <w:rFonts w:ascii="Arial Narrow" w:hAnsi="Arial Narrow" w:eastAsia="方正姚体"/>
      <w:b w:val="0"/>
      <w:sz w:val="24"/>
      <w:szCs w:val="24"/>
    </w:rPr>
  </w:style>
  <w:style w:type="paragraph" w:styleId="210">
    <w:name w:val="List Paragraph"/>
    <w:basedOn w:val="1"/>
    <w:qFormat/>
    <w:uiPriority w:val="99"/>
    <w:pPr>
      <w:ind w:firstLine="420" w:firstLineChars="200"/>
    </w:pPr>
    <w:rPr>
      <w:rFonts w:ascii="Calibri" w:hAnsi="Calibri"/>
      <w:szCs w:val="22"/>
    </w:rPr>
  </w:style>
  <w:style w:type="paragraph" w:customStyle="1" w:styleId="211">
    <w:name w:val="标准标题2"/>
    <w:basedOn w:val="6"/>
    <w:uiPriority w:val="0"/>
    <w:pPr>
      <w:spacing w:line="360" w:lineRule="auto"/>
    </w:pPr>
    <w:rPr>
      <w:rFonts w:eastAsia="仿宋_GB2312"/>
      <w:bCs w:val="0"/>
      <w:sz w:val="28"/>
    </w:rPr>
  </w:style>
  <w:style w:type="paragraph" w:customStyle="1" w:styleId="212">
    <w:name w:val=" Char Char Char Char Char Char Char Char Char Char Char Char Char Char Char Char Char Char Char"/>
    <w:basedOn w:val="1"/>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213">
    <w:name w:val="段(正文）"/>
    <w:uiPriority w:val="0"/>
    <w:pPr>
      <w:autoSpaceDE w:val="0"/>
      <w:autoSpaceDN w:val="0"/>
      <w:ind w:firstLine="420"/>
      <w:jc w:val="both"/>
    </w:pPr>
    <w:rPr>
      <w:rFonts w:ascii="宋体"/>
      <w:sz w:val="21"/>
      <w:lang w:val="en-US" w:eastAsia="zh-CN" w:bidi="ar-SA"/>
    </w:rPr>
  </w:style>
  <w:style w:type="paragraph" w:customStyle="1" w:styleId="214">
    <w:name w:val="默认段落字体 Para Char Char Char Char Char Char Char Char Char1 Char Char Char Char"/>
    <w:basedOn w:val="1"/>
    <w:uiPriority w:val="0"/>
    <w:rPr>
      <w:rFonts w:ascii="Tahoma" w:hAnsi="Tahoma"/>
      <w:sz w:val="24"/>
      <w:szCs w:val="20"/>
    </w:rPr>
  </w:style>
  <w:style w:type="paragraph" w:customStyle="1" w:styleId="215">
    <w:name w:val="标准有序列表（L1）"/>
    <w:basedOn w:val="15"/>
    <w:uiPriority w:val="0"/>
    <w:pPr>
      <w:tabs>
        <w:tab w:val="left" w:pos="0"/>
      </w:tabs>
      <w:spacing w:line="360" w:lineRule="auto"/>
      <w:ind w:firstLine="0"/>
    </w:pPr>
    <w:rPr>
      <w:rFonts w:ascii="黑体" w:eastAsia="黑体"/>
      <w:color w:val="000000"/>
      <w:sz w:val="24"/>
    </w:rPr>
  </w:style>
  <w:style w:type="paragraph" w:customStyle="1" w:styleId="216">
    <w:name w:val="InfoBlue"/>
    <w:basedOn w:val="1"/>
    <w:next w:val="22"/>
    <w:uiPriority w:val="0"/>
    <w:pPr>
      <w:spacing w:afterLines="50"/>
      <w:ind w:left="720"/>
      <w:jc w:val="left"/>
    </w:pPr>
    <w:rPr>
      <w:rFonts w:ascii="宋体"/>
      <w:i/>
      <w:snapToGrid w:val="0"/>
      <w:color w:val="0000FF"/>
      <w:kern w:val="0"/>
      <w:szCs w:val="20"/>
    </w:rPr>
  </w:style>
  <w:style w:type="paragraph" w:customStyle="1" w:styleId="217">
    <w:name w:val="P1"/>
    <w:basedOn w:val="1"/>
    <w:uiPriority w:val="0"/>
    <w:pPr>
      <w:widowControl/>
      <w:spacing w:before="240" w:line="240" w:lineRule="atLeast"/>
      <w:jc w:val="left"/>
    </w:pPr>
    <w:rPr>
      <w:b/>
      <w:kern w:val="0"/>
      <w:szCs w:val="21"/>
      <w:lang w:val="en-AU" w:eastAsia="en-US"/>
    </w:rPr>
  </w:style>
  <w:style w:type="paragraph" w:customStyle="1" w:styleId="218">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219">
    <w:name w:val="表格标题"/>
    <w:basedOn w:val="220"/>
    <w:uiPriority w:val="0"/>
    <w:pPr>
      <w:jc w:val="center"/>
    </w:pPr>
    <w:rPr>
      <w:b/>
      <w:bCs/>
      <w:i/>
      <w:iCs/>
    </w:rPr>
  </w:style>
  <w:style w:type="paragraph" w:customStyle="1" w:styleId="220">
    <w:name w:val="表格内容"/>
    <w:basedOn w:val="22"/>
    <w:uiPriority w:val="0"/>
    <w:pPr>
      <w:suppressLineNumbers/>
      <w:suppressAutoHyphens/>
    </w:pPr>
    <w:rPr>
      <w:kern w:val="1"/>
      <w:sz w:val="21"/>
      <w:lang w:eastAsia="ar-SA"/>
    </w:rPr>
  </w:style>
  <w:style w:type="paragraph" w:customStyle="1" w:styleId="221">
    <w:name w:val="样式 模板描述"/>
    <w:basedOn w:val="1"/>
    <w:next w:val="138"/>
    <w:uiPriority w:val="0"/>
    <w:pPr>
      <w:spacing w:afterLines="50"/>
      <w:jc w:val="left"/>
    </w:pPr>
    <w:rPr>
      <w:rFonts w:ascii="宋体" w:cs="宋体"/>
      <w:i/>
      <w:iCs/>
      <w:snapToGrid w:val="0"/>
      <w:color w:val="0000FF"/>
      <w:kern w:val="0"/>
      <w:szCs w:val="21"/>
    </w:rPr>
  </w:style>
  <w:style w:type="paragraph" w:customStyle="1" w:styleId="222">
    <w:name w:val="正文_13"/>
    <w:qFormat/>
    <w:uiPriority w:val="0"/>
    <w:pPr>
      <w:widowControl w:val="0"/>
      <w:jc w:val="both"/>
    </w:pPr>
    <w:rPr>
      <w:kern w:val="2"/>
      <w:sz w:val="21"/>
      <w:szCs w:val="24"/>
      <w:lang w:val="en-US" w:eastAsia="zh-CN" w:bidi="ar-SA"/>
    </w:rPr>
  </w:style>
  <w:style w:type="paragraph" w:customStyle="1" w:styleId="223">
    <w:name w:val="文档正文"/>
    <w:basedOn w:val="1"/>
    <w:uiPriority w:val="0"/>
    <w:pPr>
      <w:adjustRightInd w:val="0"/>
      <w:spacing w:line="440" w:lineRule="exact"/>
      <w:ind w:firstLine="567"/>
      <w:textAlignment w:val="baseline"/>
    </w:pPr>
    <w:rPr>
      <w:rFonts w:ascii="Arial Narrow" w:hAnsi="Arial Narrow"/>
      <w:kern w:val="0"/>
      <w:sz w:val="24"/>
    </w:rPr>
  </w:style>
  <w:style w:type="paragraph" w:customStyle="1" w:styleId="224">
    <w:name w:val="ÕýÎÄ"/>
    <w:uiPriority w:val="0"/>
    <w:pPr>
      <w:widowControl w:val="0"/>
      <w:overflowPunct w:val="0"/>
      <w:autoSpaceDE w:val="0"/>
      <w:autoSpaceDN w:val="0"/>
      <w:adjustRightInd w:val="0"/>
      <w:spacing w:line="351" w:lineRule="atLeast"/>
      <w:ind w:firstLine="419"/>
      <w:jc w:val="both"/>
      <w:textAlignment w:val="baseline"/>
    </w:pPr>
    <w:rPr>
      <w:color w:val="000000"/>
      <w:sz w:val="21"/>
      <w:lang w:val="en-US" w:eastAsia="zh-CN" w:bidi="ar-SA"/>
    </w:rPr>
  </w:style>
  <w:style w:type="paragraph" w:customStyle="1" w:styleId="225">
    <w:name w:val="表格标题(居中)"/>
    <w:basedOn w:val="1"/>
    <w:uiPriority w:val="0"/>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226">
    <w:name w:val="样式 标题 2Chapter X.X. Statementh22Header 2l2Level 2 Headhea..."/>
    <w:basedOn w:val="6"/>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227">
    <w:name w:val=" Char Char Char Char Char Char Char Char Char"/>
    <w:basedOn w:val="1"/>
    <w:uiPriority w:val="0"/>
    <w:rPr>
      <w:rFonts w:ascii="Tahoma" w:hAnsi="Tahoma" w:eastAsia="仿宋_GB2312"/>
      <w:sz w:val="24"/>
      <w:szCs w:val="20"/>
    </w:rPr>
  </w:style>
  <w:style w:type="paragraph" w:customStyle="1" w:styleId="228">
    <w:name w:val="样式6"/>
    <w:basedOn w:val="1"/>
    <w:uiPriority w:val="0"/>
    <w:pPr>
      <w:adjustRightInd w:val="0"/>
      <w:spacing w:beforeLines="50" w:afterLines="50"/>
      <w:ind w:firstLine="669"/>
      <w:textAlignment w:val="baseline"/>
    </w:pPr>
    <w:rPr>
      <w:rFonts w:ascii="宋体" w:hAnsi="宋体"/>
      <w:kern w:val="0"/>
      <w:sz w:val="28"/>
      <w:szCs w:val="20"/>
    </w:rPr>
  </w:style>
  <w:style w:type="paragraph" w:customStyle="1" w:styleId="229">
    <w:name w:val=" Char Char Char1 Char Char Char Char"/>
    <w:basedOn w:val="1"/>
    <w:uiPriority w:val="0"/>
    <w:rPr>
      <w:rFonts w:ascii="仿宋_GB2312" w:eastAsia="仿宋_GB2312"/>
      <w:b/>
      <w:sz w:val="32"/>
      <w:szCs w:val="32"/>
    </w:rPr>
  </w:style>
  <w:style w:type="paragraph" w:customStyle="1" w:styleId="230">
    <w:name w:val=" Char Char Char Char Char Char Char Char Char Char Char Char Char Char Char Char"/>
    <w:basedOn w:val="1"/>
    <w:uiPriority w:val="0"/>
    <w:pPr>
      <w:tabs>
        <w:tab w:val="left" w:pos="360"/>
      </w:tabs>
    </w:pPr>
    <w:rPr>
      <w:sz w:val="24"/>
    </w:rPr>
  </w:style>
  <w:style w:type="paragraph" w:customStyle="1" w:styleId="231">
    <w:name w:val="Table Paragraph"/>
    <w:basedOn w:val="1"/>
    <w:qFormat/>
    <w:uiPriority w:val="1"/>
    <w:rPr>
      <w:rFonts w:ascii="宋体" w:hAnsi="宋体" w:eastAsia="宋体" w:cs="宋体"/>
      <w:lang w:val="zh-CN" w:eastAsia="zh-CN" w:bidi="zh-CN"/>
    </w:rPr>
  </w:style>
  <w:style w:type="paragraph" w:customStyle="1" w:styleId="232">
    <w:name w:val="S4-L15"/>
    <w:basedOn w:val="1"/>
    <w:uiPriority w:val="0"/>
    <w:pPr>
      <w:spacing w:after="120" w:line="360" w:lineRule="auto"/>
      <w:ind w:left="720" w:firstLine="392"/>
    </w:pPr>
    <w:rPr>
      <w:szCs w:val="21"/>
      <w:lang w:val="fr-FR"/>
    </w:rPr>
  </w:style>
  <w:style w:type="paragraph" w:customStyle="1" w:styleId="233">
    <w:name w:val="S4-L15-No"/>
    <w:basedOn w:val="232"/>
    <w:uiPriority w:val="0"/>
    <w:pPr>
      <w:tabs>
        <w:tab w:val="left" w:pos="720"/>
      </w:tabs>
      <w:ind w:hanging="720"/>
    </w:pPr>
  </w:style>
  <w:style w:type="paragraph" w:customStyle="1" w:styleId="234">
    <w:name w:val="Style-正文"/>
    <w:basedOn w:val="1"/>
    <w:uiPriority w:val="0"/>
    <w:pPr>
      <w:spacing w:line="360" w:lineRule="auto"/>
      <w:ind w:firstLine="420"/>
    </w:pPr>
    <w:rPr>
      <w:rFonts w:ascii="宋体" w:hAnsi="宋体"/>
      <w:sz w:val="24"/>
    </w:rPr>
  </w:style>
  <w:style w:type="paragraph" w:customStyle="1" w:styleId="235">
    <w:name w:val="S4-I-L15-U"/>
    <w:basedOn w:val="1"/>
    <w:uiPriority w:val="0"/>
    <w:pPr>
      <w:spacing w:line="360" w:lineRule="auto"/>
    </w:pPr>
    <w:rPr>
      <w:b/>
      <w:i/>
      <w:sz w:val="24"/>
      <w:u w:val="single"/>
    </w:rPr>
  </w:style>
  <w:style w:type="paragraph" w:customStyle="1" w:styleId="236">
    <w:name w:val="图"/>
    <w:basedOn w:val="1"/>
    <w:uiPriority w:val="0"/>
    <w:pPr>
      <w:keepNext/>
      <w:adjustRightInd w:val="0"/>
      <w:snapToGrid w:val="0"/>
      <w:spacing w:before="60" w:after="60" w:line="300" w:lineRule="auto"/>
      <w:jc w:val="center"/>
    </w:pPr>
    <w:rPr>
      <w:spacing w:val="20"/>
      <w:kern w:val="0"/>
      <w:sz w:val="24"/>
      <w:szCs w:val="20"/>
    </w:rPr>
  </w:style>
  <w:style w:type="paragraph" w:customStyle="1" w:styleId="237">
    <w:name w:val="S4-B-L15"/>
    <w:basedOn w:val="1"/>
    <w:uiPriority w:val="0"/>
    <w:pPr>
      <w:spacing w:line="360" w:lineRule="auto"/>
    </w:pPr>
    <w:rPr>
      <w:b/>
      <w:bCs/>
      <w:sz w:val="24"/>
    </w:rPr>
  </w:style>
  <w:style w:type="paragraph" w:customStyle="1" w:styleId="238">
    <w:name w:val="样式 标题 1 + 五号"/>
    <w:basedOn w:val="5"/>
    <w:uiPriority w:val="0"/>
    <w:pPr>
      <w:spacing w:before="0" w:after="0" w:line="240" w:lineRule="auto"/>
      <w:jc w:val="center"/>
    </w:pPr>
    <w:rPr>
      <w:sz w:val="32"/>
      <w:szCs w:val="32"/>
    </w:rPr>
  </w:style>
  <w:style w:type="paragraph" w:customStyle="1" w:styleId="239">
    <w:name w:val="二级项目符号"/>
    <w:basedOn w:val="1"/>
    <w:uiPriority w:val="0"/>
    <w:pPr>
      <w:widowControl/>
      <w:tabs>
        <w:tab w:val="left" w:pos="964"/>
      </w:tabs>
      <w:spacing w:line="360" w:lineRule="auto"/>
      <w:ind w:left="964" w:hanging="482"/>
    </w:pPr>
    <w:rPr>
      <w:kern w:val="0"/>
      <w:sz w:val="24"/>
      <w:szCs w:val="20"/>
    </w:rPr>
  </w:style>
  <w:style w:type="paragraph" w:customStyle="1" w:styleId="240">
    <w:name w:val="Bullet2"/>
    <w:basedOn w:val="1"/>
    <w:uiPriority w:val="0"/>
    <w:pPr>
      <w:numPr>
        <w:ilvl w:val="0"/>
        <w:numId w:val="0"/>
      </w:numPr>
      <w:spacing w:afterLines="50"/>
      <w:ind w:left="1440" w:hanging="360"/>
      <w:jc w:val="left"/>
    </w:pPr>
    <w:rPr>
      <w:rFonts w:ascii="宋体"/>
      <w:snapToGrid w:val="0"/>
      <w:color w:val="000080"/>
      <w:kern w:val="0"/>
      <w:szCs w:val="20"/>
    </w:rPr>
  </w:style>
  <w:style w:type="paragraph" w:customStyle="1" w:styleId="241">
    <w:name w:val="Main Title"/>
    <w:basedOn w:val="1"/>
    <w:uiPriority w:val="0"/>
    <w:pPr>
      <w:spacing w:before="480" w:afterLines="50"/>
      <w:jc w:val="center"/>
    </w:pPr>
    <w:rPr>
      <w:rFonts w:ascii="宋体"/>
      <w:b/>
      <w:snapToGrid w:val="0"/>
      <w:kern w:val="28"/>
      <w:sz w:val="32"/>
      <w:szCs w:val="20"/>
    </w:rPr>
  </w:style>
  <w:style w:type="paragraph" w:customStyle="1" w:styleId="242">
    <w:name w:val="样式 三号 加粗 段后: 0.5 行"/>
    <w:basedOn w:val="1"/>
    <w:uiPriority w:val="0"/>
    <w:pPr>
      <w:spacing w:afterLines="50"/>
      <w:jc w:val="left"/>
    </w:pPr>
    <w:rPr>
      <w:rFonts w:ascii="宋体" w:cs="宋体"/>
      <w:b/>
      <w:bCs/>
      <w:snapToGrid w:val="0"/>
      <w:kern w:val="0"/>
      <w:sz w:val="32"/>
      <w:szCs w:val="20"/>
    </w:rPr>
  </w:style>
  <w:style w:type="paragraph" w:customStyle="1" w:styleId="243">
    <w:name w:val="Paragraph4"/>
    <w:basedOn w:val="1"/>
    <w:uiPriority w:val="0"/>
    <w:pPr>
      <w:spacing w:before="80" w:afterLines="50"/>
      <w:ind w:left="2250"/>
    </w:pPr>
    <w:rPr>
      <w:rFonts w:ascii="宋体"/>
      <w:snapToGrid w:val="0"/>
      <w:kern w:val="0"/>
      <w:szCs w:val="20"/>
    </w:rPr>
  </w:style>
  <w:style w:type="paragraph" w:customStyle="1" w:styleId="244">
    <w:name w:val="正文 A"/>
    <w:next w:val="1"/>
    <w:qFormat/>
    <w:uiPriority w:val="0"/>
    <w:pPr>
      <w:widowControl w:val="0"/>
      <w:jc w:val="both"/>
    </w:pPr>
    <w:rPr>
      <w:rFonts w:eastAsia="Times New Roman"/>
      <w:color w:val="000000"/>
      <w:kern w:val="2"/>
      <w:sz w:val="21"/>
      <w:szCs w:val="21"/>
      <w:u w:val="none" w:color="000000"/>
      <w:lang w:val="en-US" w:eastAsia="zh-CN" w:bidi="ar-SA"/>
    </w:rPr>
  </w:style>
  <w:style w:type="paragraph" w:customStyle="1" w:styleId="245">
    <w:name w:val="Bullet1"/>
    <w:basedOn w:val="1"/>
    <w:uiPriority w:val="0"/>
    <w:pPr>
      <w:numPr>
        <w:ilvl w:val="0"/>
        <w:numId w:val="0"/>
      </w:numPr>
      <w:spacing w:afterLines="50"/>
      <w:ind w:left="720" w:hanging="432"/>
      <w:jc w:val="left"/>
    </w:pPr>
    <w:rPr>
      <w:rFonts w:ascii="宋体"/>
      <w:snapToGrid w:val="0"/>
      <w:kern w:val="0"/>
      <w:szCs w:val="20"/>
    </w:rPr>
  </w:style>
  <w:style w:type="paragraph" w:customStyle="1" w:styleId="246">
    <w:name w:val="样式 标题 2Chapter X.X. Statementh22Header 2l2Level 2 Headhea...1"/>
    <w:basedOn w:val="7"/>
    <w:uiPriority w:val="0"/>
    <w:pPr>
      <w:keepLines w:val="0"/>
      <w:autoSpaceDE/>
      <w:autoSpaceDN/>
      <w:adjustRightInd/>
      <w:spacing w:before="120" w:afterLines="50"/>
    </w:pPr>
    <w:rPr>
      <w:rFonts w:cs="宋体"/>
      <w:bCs/>
      <w:snapToGrid w:val="0"/>
      <w:u w:val="none"/>
    </w:rPr>
  </w:style>
  <w:style w:type="paragraph" w:customStyle="1" w:styleId="247">
    <w:name w:val="Plain Text1"/>
    <w:basedOn w:val="1"/>
    <w:uiPriority w:val="0"/>
    <w:pPr>
      <w:autoSpaceDE w:val="0"/>
      <w:autoSpaceDN w:val="0"/>
      <w:adjustRightInd w:val="0"/>
      <w:spacing w:line="360" w:lineRule="auto"/>
    </w:pPr>
    <w:rPr>
      <w:rFonts w:hint="eastAsia" w:ascii="宋体" w:hAnsi="宋体"/>
      <w:sz w:val="24"/>
      <w:szCs w:val="20"/>
    </w:rPr>
  </w:style>
  <w:style w:type="paragraph" w:customStyle="1" w:styleId="248">
    <w:name w:val="List Paragraph1"/>
    <w:basedOn w:val="1"/>
    <w:qFormat/>
    <w:uiPriority w:val="0"/>
    <w:pPr>
      <w:ind w:firstLine="420" w:firstLineChars="200"/>
    </w:pPr>
    <w:rPr>
      <w:rFonts w:cs="黑体"/>
    </w:rPr>
  </w:style>
  <w:style w:type="paragraph" w:customStyle="1" w:styleId="249">
    <w:name w:val="paragraph1"/>
    <w:basedOn w:val="1"/>
    <w:uiPriority w:val="0"/>
    <w:pPr>
      <w:spacing w:afterLines="30" w:line="360" w:lineRule="auto"/>
      <w:ind w:firstLine="420" w:firstLineChars="200"/>
    </w:pPr>
    <w:rPr>
      <w:rFonts w:eastAsia="楷体_GB2312"/>
      <w:sz w:val="24"/>
      <w:szCs w:val="20"/>
    </w:rPr>
  </w:style>
  <w:style w:type="paragraph" w:customStyle="1" w:styleId="250">
    <w:name w:val="Bullet"/>
    <w:basedOn w:val="1"/>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51">
    <w:name w:val="表格(五号)"/>
    <w:basedOn w:val="1"/>
    <w:uiPriority w:val="0"/>
    <w:pPr>
      <w:adjustRightInd w:val="0"/>
      <w:snapToGrid w:val="0"/>
      <w:spacing w:line="300" w:lineRule="auto"/>
      <w:jc w:val="center"/>
    </w:pPr>
    <w:rPr>
      <w:snapToGrid w:val="0"/>
      <w:kern w:val="0"/>
      <w:sz w:val="18"/>
      <w:szCs w:val="20"/>
      <w:lang/>
    </w:rPr>
  </w:style>
  <w:style w:type="paragraph" w:customStyle="1" w:styleId="252">
    <w:name w:val="正文2"/>
    <w:basedOn w:val="1"/>
    <w:uiPriority w:val="0"/>
    <w:pPr>
      <w:spacing w:beforeLines="50" w:afterLines="50" w:line="360" w:lineRule="auto"/>
      <w:ind w:firstLine="480" w:firstLineChars="200"/>
    </w:pPr>
    <w:rPr>
      <w:rFonts w:ascii="仿宋_GB2312"/>
      <w:sz w:val="24"/>
      <w:szCs w:val="20"/>
    </w:rPr>
  </w:style>
  <w:style w:type="paragraph" w:customStyle="1" w:styleId="253">
    <w:name w:val="样式 样式 样式 标题 3Chapter X.X.X. + 段后: 0.5 行 + 段后: 0.5 行 + 段后: 0.5 行"/>
    <w:basedOn w:val="176"/>
    <w:uiPriority w:val="0"/>
    <w:pPr>
      <w:spacing w:after="120"/>
    </w:pPr>
  </w:style>
  <w:style w:type="paragraph" w:customStyle="1" w:styleId="254">
    <w:name w:val=" Char1"/>
    <w:basedOn w:val="1"/>
    <w:uiPriority w:val="0"/>
    <w:pPr>
      <w:tabs>
        <w:tab w:val="left" w:pos="432"/>
      </w:tabs>
      <w:spacing w:beforeLines="50" w:afterLines="50"/>
      <w:ind w:left="432" w:hanging="432"/>
    </w:pPr>
    <w:rPr>
      <w:sz w:val="24"/>
    </w:rPr>
  </w:style>
  <w:style w:type="paragraph" w:customStyle="1" w:styleId="255">
    <w:name w:val="Table - Text"/>
    <w:basedOn w:val="1"/>
    <w:uiPriority w:val="0"/>
    <w:pPr>
      <w:widowControl/>
      <w:spacing w:before="60" w:afterLines="50"/>
      <w:jc w:val="left"/>
    </w:pPr>
    <w:rPr>
      <w:kern w:val="0"/>
      <w:szCs w:val="20"/>
      <w:lang w:eastAsia="en-US"/>
    </w:rPr>
  </w:style>
  <w:style w:type="paragraph" w:customStyle="1" w:styleId="256">
    <w:name w:val="段"/>
    <w:uiPriority w:val="0"/>
    <w:pPr>
      <w:autoSpaceDE w:val="0"/>
      <w:autoSpaceDN w:val="0"/>
      <w:ind w:firstLine="200" w:firstLineChars="200"/>
      <w:jc w:val="both"/>
    </w:pPr>
    <w:rPr>
      <w:rFonts w:ascii="宋体"/>
      <w:sz w:val="21"/>
      <w:lang w:val="en-US" w:eastAsia="zh-CN" w:bidi="ar-SA"/>
    </w:rPr>
  </w:style>
  <w:style w:type="paragraph" w:customStyle="1" w:styleId="257">
    <w:name w:val="Blockquote"/>
    <w:basedOn w:val="1"/>
    <w:uiPriority w:val="0"/>
    <w:pPr>
      <w:widowControl/>
      <w:spacing w:before="100" w:afterLines="50"/>
      <w:ind w:left="360" w:right="360"/>
      <w:jc w:val="left"/>
    </w:pPr>
    <w:rPr>
      <w:rFonts w:ascii="宋体"/>
      <w:snapToGrid w:val="0"/>
      <w:kern w:val="0"/>
      <w:sz w:val="24"/>
      <w:szCs w:val="20"/>
      <w:lang w:val="en-CA"/>
    </w:rPr>
  </w:style>
  <w:style w:type="paragraph" w:customStyle="1" w:styleId="258">
    <w:name w:val=" Char Char7 Char"/>
    <w:basedOn w:val="1"/>
    <w:uiPriority w:val="0"/>
    <w:pPr>
      <w:tabs>
        <w:tab w:val="left" w:pos="425"/>
      </w:tabs>
      <w:ind w:left="420" w:leftChars="200" w:firstLine="270" w:firstLineChars="150"/>
    </w:pPr>
    <w:rPr>
      <w:szCs w:val="20"/>
    </w:rPr>
  </w:style>
  <w:style w:type="paragraph" w:customStyle="1" w:styleId="259">
    <w:name w:val="BodyText1I"/>
    <w:basedOn w:val="260"/>
    <w:qFormat/>
    <w:uiPriority w:val="0"/>
    <w:pPr>
      <w:ind w:firstLine="420" w:firstLineChars="100"/>
      <w:jc w:val="both"/>
      <w:textAlignment w:val="baseline"/>
    </w:pPr>
  </w:style>
  <w:style w:type="paragraph" w:customStyle="1" w:styleId="260">
    <w:name w:val="BodyText"/>
    <w:basedOn w:val="1"/>
    <w:next w:val="261"/>
    <w:qFormat/>
    <w:uiPriority w:val="0"/>
    <w:pPr>
      <w:jc w:val="both"/>
      <w:textAlignment w:val="baseline"/>
    </w:pPr>
    <w:rPr>
      <w:rFonts w:ascii="宋体" w:hAnsi="宋体" w:eastAsia="宋体"/>
      <w:kern w:val="2"/>
      <w:sz w:val="21"/>
      <w:szCs w:val="21"/>
      <w:lang w:val="zh-CN" w:eastAsia="zh-CN" w:bidi="zh-CN"/>
    </w:rPr>
  </w:style>
  <w:style w:type="paragraph" w:customStyle="1" w:styleId="261">
    <w:name w:val="TOC2"/>
    <w:basedOn w:val="1"/>
    <w:next w:val="1"/>
    <w:qFormat/>
    <w:uiPriority w:val="0"/>
    <w:pPr>
      <w:ind w:left="420" w:leftChars="200"/>
      <w:jc w:val="both"/>
      <w:textAlignment w:val="baseline"/>
    </w:pPr>
  </w:style>
  <w:style w:type="paragraph" w:customStyle="1" w:styleId="262">
    <w:name w:val="Char Char Char Char"/>
    <w:basedOn w:val="1"/>
    <w:uiPriority w:val="0"/>
  </w:style>
  <w:style w:type="paragraph" w:customStyle="1" w:styleId="263">
    <w:name w:val="Default"/>
    <w:qFormat/>
    <w:uiPriority w:val="99"/>
    <w:pPr>
      <w:widowControl w:val="0"/>
      <w:autoSpaceDE w:val="0"/>
      <w:autoSpaceDN w:val="0"/>
      <w:adjustRightInd w:val="0"/>
    </w:pPr>
    <w:rPr>
      <w:rFonts w:ascii="宋体" w:cs="宋体"/>
      <w:color w:val="000000"/>
      <w:sz w:val="24"/>
      <w:szCs w:val="24"/>
      <w:lang w:val="en-US" w:eastAsia="zh-CN" w:bidi="ar-SA"/>
    </w:rPr>
  </w:style>
  <w:style w:type="paragraph" w:customStyle="1" w:styleId="264">
    <w:name w:val="样式 标题 3(A-3)sect1.2.3h3H3level_3PIM 3Level 3 HeadHeading..."/>
    <w:basedOn w:val="7"/>
    <w:uiPriority w:val="0"/>
    <w:pPr>
      <w:numPr>
        <w:ilvl w:val="2"/>
        <w:numId w:val="0"/>
      </w:numPr>
      <w:autoSpaceDE/>
      <w:autoSpaceDN/>
      <w:adjustRightInd/>
      <w:spacing w:before="260" w:after="260" w:line="416" w:lineRule="auto"/>
      <w:jc w:val="both"/>
    </w:pPr>
    <w:rPr>
      <w:rFonts w:ascii="Arial" w:hAnsi="Arial"/>
      <w:bCs/>
      <w:kern w:val="2"/>
      <w:sz w:val="30"/>
      <w:szCs w:val="32"/>
      <w:u w:val="none"/>
    </w:rPr>
  </w:style>
  <w:style w:type="paragraph" w:customStyle="1" w:styleId="265">
    <w:name w:val="样式3"/>
    <w:basedOn w:val="1"/>
    <w:qFormat/>
    <w:uiPriority w:val="0"/>
    <w:pPr>
      <w:numPr>
        <w:ilvl w:val="0"/>
        <w:numId w:val="3"/>
      </w:numPr>
      <w:tabs>
        <w:tab w:val="left" w:pos="420"/>
      </w:tabs>
      <w:spacing w:line="360" w:lineRule="auto"/>
      <w:ind w:left="0" w:firstLine="883" w:firstLineChars="200"/>
      <w:jc w:val="left"/>
    </w:pPr>
    <w:rPr>
      <w:sz w:val="28"/>
      <w:szCs w:val="22"/>
    </w:rPr>
  </w:style>
  <w:style w:type="paragraph" w:customStyle="1" w:styleId="266">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67">
    <w:name w:val="P3"/>
    <w:basedOn w:val="1"/>
    <w:uiPriority w:val="0"/>
    <w:pPr>
      <w:widowControl/>
      <w:spacing w:before="240" w:line="240" w:lineRule="atLeast"/>
      <w:ind w:left="1152"/>
      <w:jc w:val="left"/>
    </w:pPr>
    <w:rPr>
      <w:b/>
      <w:kern w:val="0"/>
      <w:szCs w:val="21"/>
      <w:lang w:val="en-AU" w:eastAsia="en-US"/>
    </w:rPr>
  </w:style>
  <w:style w:type="paragraph" w:customStyle="1" w:styleId="268">
    <w:name w:val="p0"/>
    <w:basedOn w:val="1"/>
    <w:uiPriority w:val="0"/>
    <w:pPr>
      <w:widowControl/>
      <w:spacing w:after="50"/>
    </w:pPr>
    <w:rPr>
      <w:kern w:val="0"/>
      <w:szCs w:val="21"/>
    </w:rPr>
  </w:style>
  <w:style w:type="paragraph" w:customStyle="1" w:styleId="269">
    <w:name w:val="Tabletext"/>
    <w:basedOn w:val="1"/>
    <w:uiPriority w:val="0"/>
    <w:pPr>
      <w:keepLines/>
      <w:spacing w:afterLines="50"/>
      <w:jc w:val="left"/>
    </w:pPr>
    <w:rPr>
      <w:rFonts w:ascii="宋体"/>
      <w:snapToGrid w:val="0"/>
      <w:kern w:val="0"/>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header4.xml" Type="http://schemas.openxmlformats.org/officeDocument/2006/relationships/header"/><Relationship Id="rId14" Target="footer8.xml" Type="http://schemas.openxmlformats.org/officeDocument/2006/relationships/footer"/><Relationship Id="rId15" Target="header5.xml" Type="http://schemas.openxmlformats.org/officeDocument/2006/relationships/header"/><Relationship Id="rId16" Target="header6.xml" Type="http://schemas.openxmlformats.org/officeDocument/2006/relationships/header"/><Relationship Id="rId17" Target="footer9.xml" Type="http://schemas.openxmlformats.org/officeDocument/2006/relationships/footer"/><Relationship Id="rId18" Target="footer10.xml" Type="http://schemas.openxmlformats.org/officeDocument/2006/relationships/footer"/><Relationship Id="rId19" Target="footer11.xml" Type="http://schemas.openxmlformats.org/officeDocument/2006/relationships/footer"/><Relationship Id="rId2" Target="settings.xml" Type="http://schemas.openxmlformats.org/officeDocument/2006/relationships/settings"/><Relationship Id="rId20" Target="header7.xml" Type="http://schemas.openxmlformats.org/officeDocument/2006/relationships/header"/><Relationship Id="rId21" Target="header8.xml" Type="http://schemas.openxmlformats.org/officeDocument/2006/relationships/header"/><Relationship Id="rId22" Target="footer12.xml" Type="http://schemas.openxmlformats.org/officeDocument/2006/relationships/footer"/><Relationship Id="rId23" Target="footer13.xml" Type="http://schemas.openxmlformats.org/officeDocument/2006/relationships/footer"/><Relationship Id="rId24" Target="footer14.xml" Type="http://schemas.openxmlformats.org/officeDocument/2006/relationships/footer"/><Relationship Id="rId25" Target="header9.xml" Type="http://schemas.openxmlformats.org/officeDocument/2006/relationships/header"/><Relationship Id="rId26" Target="footer15.xml" Type="http://schemas.openxmlformats.org/officeDocument/2006/relationships/footer"/><Relationship Id="rId27" Target="theme/theme1.xml" Type="http://schemas.openxmlformats.org/officeDocument/2006/relationships/theme"/><Relationship Id="rId28" Target="media/image1.png" Type="http://schemas.openxmlformats.org/officeDocument/2006/relationships/image"/><Relationship Id="rId29" Target="../customXml/item1.xml" Type="http://schemas.openxmlformats.org/officeDocument/2006/relationships/customXml"/><Relationship Id="rId3" Target="header1.xml" Type="http://schemas.openxmlformats.org/officeDocument/2006/relationships/header"/><Relationship Id="rId30" Target="numbering.xml" Type="http://schemas.openxmlformats.org/officeDocument/2006/relationships/numbering"/><Relationship Id="rId31"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80</Pages>
  <Words>49119</Words>
  <Characters>52710</Characters>
  <Lines>439</Lines>
  <Paragraphs>123</Paragraphs>
  <TotalTime>66</TotalTime>
  <ScaleCrop>false</ScaleCrop>
  <LinksUpToDate>false</LinksUpToDate>
  <CharactersWithSpaces>57640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2021-10-09T07:22:00Z</dcterms:created>
  <dc:creator>厉先光</dc:creator>
  <cp:lastModifiedBy>WPS_1701756769</cp:lastModifiedBy>
  <cp:lastPrinted>2022-06-23T08:27:00Z</cp:lastPrinted>
  <dcterms:modified xsi:type="dcterms:W3CDTF">2024-02-22T10:38:00Z</dcterms:modified>
  <cp:revision>2</cp:revision>
  <dc:title>浙江省政府采购招标文件范本（试行）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A6FF42457D164C7DA5FB1CD0E6DC488E_13</vt:lpwstr>
  </property>
  <property fmtid="{D5CDD505-2E9C-101B-9397-08002B2CF9AE}" pid="4" name="commondata">
    <vt:lpwstr>eyJoZGlkIjoiNzQ3N2I2NDNhNGVlYWI3NTNlYTVkMzM2YTJhYTVhZmUifQ==</vt:lpwstr>
  </property>
</Properties>
</file>