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360" w:lineRule="auto"/>
        <w:jc w:val="center"/>
        <w:rPr>
          <w:rFonts w:ascii="宋体" w:hAnsi="宋体"/>
          <w:b/>
          <w:spacing w:val="-20"/>
          <w:sz w:val="72"/>
          <w:szCs w:val="72"/>
        </w:rPr>
      </w:pPr>
    </w:p>
    <w:p>
      <w:pPr>
        <w:jc w:val="center"/>
        <w:rPr>
          <w:rFonts w:cs="黑体"/>
          <w:b/>
          <w:bCs/>
          <w:sz w:val="52"/>
          <w:szCs w:val="52"/>
        </w:rPr>
      </w:pPr>
      <w:bookmarkStart w:id="0" w:name="_Hlk56517847"/>
      <w:bookmarkStart w:id="1" w:name="_Toc303756353"/>
      <w:bookmarkStart w:id="2" w:name="_Toc499904867"/>
      <w:bookmarkStart w:id="3" w:name="_Toc301187513"/>
      <w:r>
        <w:rPr>
          <w:rFonts w:hint="eastAsia" w:cs="黑体"/>
          <w:b/>
          <w:bCs/>
          <w:sz w:val="52"/>
          <w:szCs w:val="52"/>
        </w:rPr>
        <w:t>东阳市南马镇西区污水处理厂一期</w:t>
      </w:r>
    </w:p>
    <w:p>
      <w:pPr>
        <w:tabs>
          <w:tab w:val="center" w:pos="4706"/>
          <w:tab w:val="left" w:pos="7630"/>
        </w:tabs>
        <w:jc w:val="left"/>
        <w:rPr>
          <w:rFonts w:cs="黑体"/>
          <w:b/>
          <w:bCs/>
          <w:sz w:val="52"/>
          <w:szCs w:val="52"/>
        </w:rPr>
      </w:pPr>
      <w:r>
        <w:rPr>
          <w:rFonts w:cs="黑体"/>
          <w:b/>
          <w:bCs/>
          <w:sz w:val="52"/>
          <w:szCs w:val="52"/>
        </w:rPr>
        <w:tab/>
      </w:r>
      <w:r>
        <w:rPr>
          <w:rFonts w:hint="eastAsia" w:cs="黑体"/>
          <w:b/>
          <w:bCs/>
          <w:sz w:val="52"/>
          <w:szCs w:val="52"/>
        </w:rPr>
        <w:t>改扩建工程PPP项目</w:t>
      </w:r>
      <w:r>
        <w:rPr>
          <w:rFonts w:cs="黑体"/>
          <w:b/>
          <w:bCs/>
          <w:sz w:val="52"/>
          <w:szCs w:val="52"/>
        </w:rPr>
        <w:tab/>
      </w:r>
    </w:p>
    <w:bookmarkEnd w:id="0"/>
    <w:p>
      <w:pPr>
        <w:pStyle w:val="2"/>
      </w:pPr>
    </w:p>
    <w:p>
      <w:pPr>
        <w:jc w:val="center"/>
        <w:rPr>
          <w:rFonts w:ascii="宋体" w:hAnsi="宋体" w:cs="宋体"/>
          <w:bCs/>
          <w:sz w:val="84"/>
          <w:szCs w:val="84"/>
        </w:rPr>
      </w:pPr>
      <w:r>
        <w:rPr>
          <w:rFonts w:hint="eastAsia" w:ascii="宋体" w:hAnsi="宋体" w:cs="宋体"/>
          <w:bCs/>
          <w:sz w:val="84"/>
          <w:szCs w:val="84"/>
        </w:rPr>
        <w:t>采购文件</w:t>
      </w:r>
    </w:p>
    <w:p>
      <w:pPr>
        <w:jc w:val="center"/>
        <w:rPr>
          <w:rFonts w:ascii="宋体" w:hAnsi="宋体" w:cs="宋体"/>
          <w:bCs/>
          <w:sz w:val="44"/>
          <w:szCs w:val="84"/>
        </w:rPr>
      </w:pPr>
      <w:r>
        <w:rPr>
          <w:rFonts w:hint="eastAsia" w:ascii="宋体" w:hAnsi="宋体" w:cs="宋体"/>
          <w:bCs/>
          <w:sz w:val="44"/>
          <w:szCs w:val="84"/>
        </w:rPr>
        <w:t>（卷一/共两卷）</w:t>
      </w:r>
    </w:p>
    <w:p>
      <w:pPr>
        <w:rPr>
          <w:rFonts w:ascii="宋体" w:hAnsi="宋体" w:cs="宋体"/>
          <w:bCs/>
          <w:sz w:val="32"/>
          <w:szCs w:val="32"/>
        </w:rPr>
      </w:pPr>
    </w:p>
    <w:p>
      <w:pPr>
        <w:rPr>
          <w:rFonts w:ascii="宋体" w:hAnsi="宋体" w:cs="宋体"/>
          <w:bCs/>
          <w:sz w:val="32"/>
          <w:szCs w:val="32"/>
        </w:rPr>
      </w:pPr>
    </w:p>
    <w:p>
      <w:pPr>
        <w:rPr>
          <w:rFonts w:ascii="宋体" w:hAnsi="宋体" w:cs="宋体"/>
          <w:bCs/>
          <w:sz w:val="32"/>
          <w:szCs w:val="32"/>
        </w:rPr>
      </w:pPr>
    </w:p>
    <w:p>
      <w:pPr>
        <w:ind w:firstLine="1035" w:firstLineChars="345"/>
        <w:rPr>
          <w:rFonts w:ascii="宋体" w:hAnsi="宋体" w:cs="宋体"/>
          <w:bCs/>
          <w:sz w:val="30"/>
          <w:szCs w:val="30"/>
        </w:rPr>
      </w:pPr>
    </w:p>
    <w:p>
      <w:pPr>
        <w:ind w:firstLine="1035" w:firstLineChars="345"/>
        <w:rPr>
          <w:rFonts w:ascii="宋体" w:hAnsi="宋体" w:cs="宋体"/>
          <w:bCs/>
          <w:sz w:val="30"/>
          <w:szCs w:val="30"/>
        </w:rPr>
      </w:pPr>
    </w:p>
    <w:p>
      <w:pPr>
        <w:ind w:firstLine="1035" w:firstLineChars="345"/>
        <w:rPr>
          <w:rFonts w:ascii="宋体" w:hAnsi="宋体" w:cs="宋体"/>
          <w:bCs/>
          <w:sz w:val="30"/>
          <w:szCs w:val="30"/>
        </w:rPr>
      </w:pPr>
    </w:p>
    <w:p>
      <w:pPr>
        <w:pStyle w:val="21"/>
        <w:spacing w:before="120" w:after="120" w:line="360" w:lineRule="auto"/>
        <w:ind w:left="-567" w:leftChars="-270" w:firstLine="1276" w:firstLineChars="410"/>
        <w:rPr>
          <w:rFonts w:hAnsi="宋体"/>
          <w:b/>
          <w:sz w:val="31"/>
          <w:szCs w:val="31"/>
          <w:highlight w:val="none"/>
        </w:rPr>
      </w:pPr>
      <w:r>
        <w:rPr>
          <w:rFonts w:hint="eastAsia" w:hAnsi="宋体"/>
          <w:b/>
          <w:sz w:val="31"/>
          <w:szCs w:val="31"/>
          <w:highlight w:val="none"/>
        </w:rPr>
        <w:t>采购项目</w:t>
      </w:r>
      <w:r>
        <w:rPr>
          <w:rFonts w:hAnsi="宋体"/>
          <w:b/>
          <w:sz w:val="31"/>
          <w:szCs w:val="31"/>
          <w:highlight w:val="none"/>
        </w:rPr>
        <w:t>编号</w:t>
      </w:r>
      <w:r>
        <w:rPr>
          <w:rFonts w:hint="eastAsia" w:hAnsi="宋体"/>
          <w:b/>
          <w:sz w:val="31"/>
          <w:szCs w:val="31"/>
          <w:highlight w:val="none"/>
        </w:rPr>
        <w:t>：</w:t>
      </w:r>
      <w:r>
        <w:rPr>
          <w:rFonts w:hAnsi="宋体"/>
          <w:b/>
          <w:sz w:val="31"/>
          <w:szCs w:val="31"/>
          <w:highlight w:val="none"/>
        </w:rPr>
        <w:t>DYCG2020-CS-B107</w:t>
      </w:r>
    </w:p>
    <w:p>
      <w:pPr>
        <w:pStyle w:val="21"/>
        <w:spacing w:before="120" w:after="120" w:line="360" w:lineRule="auto"/>
        <w:ind w:left="1948" w:leftChars="335" w:hanging="1245" w:hangingChars="400"/>
        <w:rPr>
          <w:rFonts w:hAnsi="宋体"/>
          <w:b/>
          <w:sz w:val="31"/>
          <w:szCs w:val="31"/>
        </w:rPr>
      </w:pPr>
      <w:r>
        <w:rPr>
          <w:rFonts w:hAnsi="宋体"/>
          <w:b/>
          <w:sz w:val="31"/>
          <w:szCs w:val="31"/>
          <w:highlight w:val="none"/>
        </w:rPr>
        <w:t>采购人：</w:t>
      </w:r>
      <w:r>
        <w:rPr>
          <w:rFonts w:hint="eastAsia" w:hAnsi="宋体"/>
          <w:b/>
          <w:sz w:val="31"/>
          <w:szCs w:val="31"/>
          <w:highlight w:val="none"/>
        </w:rPr>
        <w:t>东阳市水务</w:t>
      </w:r>
      <w:r>
        <w:rPr>
          <w:rFonts w:hint="eastAsia" w:hAnsi="宋体"/>
          <w:b/>
          <w:sz w:val="31"/>
          <w:szCs w:val="31"/>
        </w:rPr>
        <w:t>局</w:t>
      </w:r>
    </w:p>
    <w:p>
      <w:pPr>
        <w:pStyle w:val="21"/>
        <w:spacing w:before="120" w:after="120" w:line="360" w:lineRule="auto"/>
        <w:ind w:left="-567" w:leftChars="-270" w:firstLine="1276" w:firstLineChars="410"/>
        <w:rPr>
          <w:rFonts w:hAnsi="宋体"/>
          <w:b/>
          <w:sz w:val="31"/>
          <w:szCs w:val="31"/>
        </w:rPr>
      </w:pPr>
      <w:r>
        <w:rPr>
          <w:rFonts w:hAnsi="宋体"/>
          <w:b/>
          <w:sz w:val="31"/>
          <w:szCs w:val="31"/>
        </w:rPr>
        <w:t>采购代理机构：</w:t>
      </w:r>
      <w:r>
        <w:rPr>
          <w:rFonts w:hint="eastAsia" w:hAnsi="宋体"/>
          <w:b/>
          <w:sz w:val="31"/>
          <w:szCs w:val="31"/>
        </w:rPr>
        <w:t>金华市公共资源交易中心东阳分中心</w:t>
      </w:r>
    </w:p>
    <w:p>
      <w:pPr>
        <w:pStyle w:val="21"/>
        <w:spacing w:before="120" w:after="120" w:line="360" w:lineRule="auto"/>
        <w:ind w:left="-567" w:leftChars="-270" w:firstLine="1276" w:firstLineChars="410"/>
      </w:pPr>
      <w:r>
        <w:rPr>
          <w:rFonts w:hAnsi="宋体"/>
          <w:b/>
          <w:sz w:val="31"/>
          <w:szCs w:val="31"/>
        </w:rPr>
        <w:t>时    间：二〇</w:t>
      </w:r>
      <w:r>
        <w:rPr>
          <w:rFonts w:hint="eastAsia" w:hAnsi="宋体"/>
          <w:b/>
          <w:sz w:val="31"/>
          <w:szCs w:val="31"/>
        </w:rPr>
        <w:t>二一</w:t>
      </w:r>
      <w:r>
        <w:rPr>
          <w:rFonts w:hAnsi="宋体"/>
          <w:b/>
          <w:sz w:val="31"/>
          <w:szCs w:val="31"/>
        </w:rPr>
        <w:t>年</w:t>
      </w:r>
      <w:r>
        <w:rPr>
          <w:rFonts w:hint="eastAsia" w:hAnsi="宋体"/>
          <w:b/>
          <w:sz w:val="31"/>
          <w:szCs w:val="31"/>
        </w:rPr>
        <w:t>一</w:t>
      </w:r>
      <w:r>
        <w:rPr>
          <w:rFonts w:hAnsi="宋体"/>
          <w:b/>
          <w:sz w:val="31"/>
          <w:szCs w:val="31"/>
        </w:rPr>
        <w:t>月</w:t>
      </w:r>
    </w:p>
    <w:p>
      <w:pPr>
        <w:pStyle w:val="134"/>
        <w:widowControl w:val="0"/>
        <w:spacing w:afterLines="0" w:line="340" w:lineRule="exact"/>
        <w:ind w:firstLine="0" w:firstLineChars="0"/>
        <w:jc w:val="center"/>
        <w:rPr>
          <w:b/>
          <w:sz w:val="30"/>
          <w:szCs w:val="30"/>
        </w:rPr>
      </w:pPr>
      <w:r>
        <w:rPr>
          <w:rFonts w:hint="eastAsia" w:ascii="宋体" w:hAnsi="宋体" w:cs="宋体"/>
          <w:bCs/>
          <w:sz w:val="32"/>
          <w:szCs w:val="32"/>
        </w:rPr>
        <w:br w:type="page"/>
      </w:r>
      <w:r>
        <w:rPr>
          <w:rFonts w:hint="eastAsia"/>
          <w:b/>
          <w:sz w:val="30"/>
          <w:szCs w:val="30"/>
        </w:rPr>
        <w:t>目录</w:t>
      </w:r>
    </w:p>
    <w:p>
      <w:pPr>
        <w:pStyle w:val="134"/>
        <w:widowControl w:val="0"/>
        <w:spacing w:afterLines="0" w:line="340" w:lineRule="exact"/>
        <w:ind w:firstLine="0" w:firstLineChars="0"/>
        <w:jc w:val="center"/>
        <w:rPr>
          <w:b/>
          <w:sz w:val="30"/>
          <w:szCs w:val="30"/>
        </w:rPr>
      </w:pPr>
    </w:p>
    <w:bookmarkEnd w:id="1"/>
    <w:bookmarkEnd w:id="2"/>
    <w:bookmarkEnd w:id="3"/>
    <w:p>
      <w:pPr>
        <w:pStyle w:val="28"/>
        <w:rPr>
          <w:rFonts w:asciiTheme="minorHAnsi" w:hAnsiTheme="minorHAnsi" w:eastAsiaTheme="minorEastAsia" w:cstheme="minorBidi"/>
          <w:szCs w:val="22"/>
        </w:rPr>
      </w:pPr>
      <w:bookmarkStart w:id="4" w:name="_Toc301187514"/>
      <w:bookmarkStart w:id="5" w:name="_Toc303756354"/>
      <w:r>
        <w:rPr>
          <w:rFonts w:hint="eastAsia" w:ascii="宋体" w:hAnsi="宋体"/>
        </w:rPr>
        <w:fldChar w:fldCharType="begin"/>
      </w:r>
      <w:r>
        <w:rPr>
          <w:rFonts w:hint="eastAsia" w:ascii="宋体" w:hAnsi="宋体"/>
        </w:rPr>
        <w:instrText xml:space="preserve">TOC \o "1-3" \h \u </w:instrText>
      </w:r>
      <w:r>
        <w:rPr>
          <w:rFonts w:hint="eastAsia" w:ascii="宋体" w:hAnsi="宋体"/>
        </w:rPr>
        <w:fldChar w:fldCharType="separate"/>
      </w:r>
      <w:r>
        <w:fldChar w:fldCharType="begin"/>
      </w:r>
      <w:r>
        <w:instrText xml:space="preserve"> HYPERLINK \l "_Toc59530104" </w:instrText>
      </w:r>
      <w:r>
        <w:fldChar w:fldCharType="separate"/>
      </w:r>
      <w:r>
        <w:rPr>
          <w:rStyle w:val="47"/>
        </w:rPr>
        <w:t>第一章竞争性磋商公告</w:t>
      </w:r>
      <w:r>
        <w:tab/>
      </w:r>
      <w:r>
        <w:fldChar w:fldCharType="begin"/>
      </w:r>
      <w:r>
        <w:instrText xml:space="preserve"> PAGEREF _Toc59530104 \h </w:instrText>
      </w:r>
      <w:r>
        <w:fldChar w:fldCharType="separate"/>
      </w:r>
      <w:r>
        <w:t>5</w:t>
      </w:r>
      <w:r>
        <w:fldChar w:fldCharType="end"/>
      </w:r>
      <w:r>
        <w:fldChar w:fldCharType="end"/>
      </w:r>
    </w:p>
    <w:p>
      <w:pPr>
        <w:pStyle w:val="34"/>
        <w:rPr>
          <w:rFonts w:asciiTheme="minorHAnsi" w:hAnsiTheme="minorHAnsi" w:eastAsiaTheme="minorEastAsia" w:cstheme="minorBidi"/>
          <w:szCs w:val="22"/>
        </w:rPr>
      </w:pPr>
      <w:r>
        <w:fldChar w:fldCharType="begin"/>
      </w:r>
      <w:r>
        <w:instrText xml:space="preserve"> HYPERLINK \l "_Toc59530105" </w:instrText>
      </w:r>
      <w:r>
        <w:fldChar w:fldCharType="separate"/>
      </w:r>
      <w:r>
        <w:rPr>
          <w:rStyle w:val="47"/>
          <w:rFonts w:ascii="宋体" w:hAnsi="宋体"/>
        </w:rPr>
        <w:t>一、项目基本情况</w:t>
      </w:r>
      <w:r>
        <w:tab/>
      </w:r>
      <w:r>
        <w:fldChar w:fldCharType="begin"/>
      </w:r>
      <w:r>
        <w:instrText xml:space="preserve"> PAGEREF _Toc59530105 \h </w:instrText>
      </w:r>
      <w:r>
        <w:fldChar w:fldCharType="separate"/>
      </w:r>
      <w:r>
        <w:t>5</w:t>
      </w:r>
      <w:r>
        <w:fldChar w:fldCharType="end"/>
      </w:r>
      <w:r>
        <w:fldChar w:fldCharType="end"/>
      </w:r>
    </w:p>
    <w:p>
      <w:pPr>
        <w:pStyle w:val="34"/>
        <w:rPr>
          <w:rFonts w:asciiTheme="minorHAnsi" w:hAnsiTheme="minorHAnsi" w:eastAsiaTheme="minorEastAsia" w:cstheme="minorBidi"/>
          <w:szCs w:val="22"/>
        </w:rPr>
      </w:pPr>
      <w:r>
        <w:fldChar w:fldCharType="begin"/>
      </w:r>
      <w:r>
        <w:instrText xml:space="preserve"> HYPERLINK \l "_Toc59530106" </w:instrText>
      </w:r>
      <w:r>
        <w:fldChar w:fldCharType="separate"/>
      </w:r>
      <w:r>
        <w:rPr>
          <w:rStyle w:val="47"/>
          <w:rFonts w:ascii="宋体" w:hAnsi="宋体"/>
        </w:rPr>
        <w:t>二、申请人的资格要求：</w:t>
      </w:r>
      <w:r>
        <w:tab/>
      </w:r>
      <w:r>
        <w:fldChar w:fldCharType="begin"/>
      </w:r>
      <w:r>
        <w:instrText xml:space="preserve"> PAGEREF _Toc59530106 \h </w:instrText>
      </w:r>
      <w:r>
        <w:fldChar w:fldCharType="separate"/>
      </w:r>
      <w:r>
        <w:t>6</w:t>
      </w:r>
      <w:r>
        <w:fldChar w:fldCharType="end"/>
      </w:r>
      <w:r>
        <w:fldChar w:fldCharType="end"/>
      </w:r>
    </w:p>
    <w:p>
      <w:pPr>
        <w:pStyle w:val="34"/>
        <w:rPr>
          <w:rFonts w:asciiTheme="minorHAnsi" w:hAnsiTheme="minorHAnsi" w:eastAsiaTheme="minorEastAsia" w:cstheme="minorBidi"/>
          <w:szCs w:val="22"/>
        </w:rPr>
      </w:pPr>
      <w:r>
        <w:fldChar w:fldCharType="begin"/>
      </w:r>
      <w:r>
        <w:instrText xml:space="preserve"> HYPERLINK \l "_Toc59530107" </w:instrText>
      </w:r>
      <w:r>
        <w:fldChar w:fldCharType="separate"/>
      </w:r>
      <w:r>
        <w:rPr>
          <w:rStyle w:val="47"/>
          <w:rFonts w:ascii="宋体" w:hAnsi="宋体"/>
        </w:rPr>
        <w:t>三、获取采购文件</w:t>
      </w:r>
      <w:r>
        <w:tab/>
      </w:r>
      <w:r>
        <w:fldChar w:fldCharType="begin"/>
      </w:r>
      <w:r>
        <w:instrText xml:space="preserve"> PAGEREF _Toc59530107 \h </w:instrText>
      </w:r>
      <w:r>
        <w:fldChar w:fldCharType="separate"/>
      </w:r>
      <w:r>
        <w:t>6</w:t>
      </w:r>
      <w:r>
        <w:fldChar w:fldCharType="end"/>
      </w:r>
      <w:r>
        <w:fldChar w:fldCharType="end"/>
      </w:r>
    </w:p>
    <w:p>
      <w:pPr>
        <w:pStyle w:val="34"/>
        <w:rPr>
          <w:rFonts w:asciiTheme="minorHAnsi" w:hAnsiTheme="minorHAnsi" w:eastAsiaTheme="minorEastAsia" w:cstheme="minorBidi"/>
          <w:szCs w:val="22"/>
        </w:rPr>
      </w:pPr>
      <w:r>
        <w:fldChar w:fldCharType="begin"/>
      </w:r>
      <w:r>
        <w:instrText xml:space="preserve"> HYPERLINK \l "_Toc59530108" </w:instrText>
      </w:r>
      <w:r>
        <w:fldChar w:fldCharType="separate"/>
      </w:r>
      <w:r>
        <w:rPr>
          <w:rStyle w:val="47"/>
          <w:rFonts w:ascii="宋体" w:hAnsi="宋体"/>
        </w:rPr>
        <w:t>四、响应文件提交</w:t>
      </w:r>
      <w:r>
        <w:tab/>
      </w:r>
      <w:r>
        <w:fldChar w:fldCharType="begin"/>
      </w:r>
      <w:r>
        <w:instrText xml:space="preserve"> PAGEREF _Toc59530108 \h </w:instrText>
      </w:r>
      <w:r>
        <w:fldChar w:fldCharType="separate"/>
      </w:r>
      <w:r>
        <w:t>6</w:t>
      </w:r>
      <w:r>
        <w:fldChar w:fldCharType="end"/>
      </w:r>
      <w:r>
        <w:fldChar w:fldCharType="end"/>
      </w:r>
    </w:p>
    <w:p>
      <w:pPr>
        <w:pStyle w:val="34"/>
        <w:rPr>
          <w:rFonts w:asciiTheme="minorHAnsi" w:hAnsiTheme="minorHAnsi" w:eastAsiaTheme="minorEastAsia" w:cstheme="minorBidi"/>
          <w:szCs w:val="22"/>
        </w:rPr>
      </w:pPr>
      <w:r>
        <w:fldChar w:fldCharType="begin"/>
      </w:r>
      <w:r>
        <w:instrText xml:space="preserve"> HYPERLINK \l "_Toc59530109" </w:instrText>
      </w:r>
      <w:r>
        <w:fldChar w:fldCharType="separate"/>
      </w:r>
      <w:r>
        <w:rPr>
          <w:rStyle w:val="47"/>
          <w:rFonts w:ascii="宋体" w:hAnsi="宋体"/>
        </w:rPr>
        <w:t>五、开启</w:t>
      </w:r>
      <w:r>
        <w:tab/>
      </w:r>
      <w:r>
        <w:fldChar w:fldCharType="begin"/>
      </w:r>
      <w:r>
        <w:instrText xml:space="preserve"> PAGEREF _Toc59530109 \h </w:instrText>
      </w:r>
      <w:r>
        <w:fldChar w:fldCharType="separate"/>
      </w:r>
      <w:r>
        <w:t>7</w:t>
      </w:r>
      <w:r>
        <w:fldChar w:fldCharType="end"/>
      </w:r>
      <w:r>
        <w:fldChar w:fldCharType="end"/>
      </w:r>
    </w:p>
    <w:p>
      <w:pPr>
        <w:pStyle w:val="34"/>
        <w:rPr>
          <w:rFonts w:asciiTheme="minorHAnsi" w:hAnsiTheme="minorHAnsi" w:eastAsiaTheme="minorEastAsia" w:cstheme="minorBidi"/>
          <w:szCs w:val="22"/>
        </w:rPr>
      </w:pPr>
      <w:r>
        <w:fldChar w:fldCharType="begin"/>
      </w:r>
      <w:r>
        <w:instrText xml:space="preserve"> HYPERLINK \l "_Toc59530110" </w:instrText>
      </w:r>
      <w:r>
        <w:fldChar w:fldCharType="separate"/>
      </w:r>
      <w:r>
        <w:rPr>
          <w:rStyle w:val="47"/>
          <w:rFonts w:ascii="宋体" w:hAnsi="宋体"/>
        </w:rPr>
        <w:t>六、公告期限</w:t>
      </w:r>
      <w:r>
        <w:tab/>
      </w:r>
      <w:r>
        <w:fldChar w:fldCharType="begin"/>
      </w:r>
      <w:r>
        <w:instrText xml:space="preserve"> PAGEREF _Toc59530110 \h </w:instrText>
      </w:r>
      <w:r>
        <w:fldChar w:fldCharType="separate"/>
      </w:r>
      <w:r>
        <w:t>7</w:t>
      </w:r>
      <w:r>
        <w:fldChar w:fldCharType="end"/>
      </w:r>
      <w:r>
        <w:fldChar w:fldCharType="end"/>
      </w:r>
    </w:p>
    <w:p>
      <w:pPr>
        <w:pStyle w:val="34"/>
        <w:rPr>
          <w:rFonts w:asciiTheme="minorHAnsi" w:hAnsiTheme="minorHAnsi" w:eastAsiaTheme="minorEastAsia" w:cstheme="minorBidi"/>
          <w:szCs w:val="22"/>
        </w:rPr>
      </w:pPr>
      <w:r>
        <w:fldChar w:fldCharType="begin"/>
      </w:r>
      <w:r>
        <w:instrText xml:space="preserve"> HYPERLINK \l "_Toc59530111" </w:instrText>
      </w:r>
      <w:r>
        <w:fldChar w:fldCharType="separate"/>
      </w:r>
      <w:r>
        <w:rPr>
          <w:rStyle w:val="47"/>
          <w:rFonts w:ascii="宋体" w:hAnsi="宋体"/>
        </w:rPr>
        <w:t>七、其他补充事宜</w:t>
      </w:r>
      <w:r>
        <w:tab/>
      </w:r>
      <w:r>
        <w:fldChar w:fldCharType="begin"/>
      </w:r>
      <w:r>
        <w:instrText xml:space="preserve"> PAGEREF _Toc59530111 \h </w:instrText>
      </w:r>
      <w:r>
        <w:fldChar w:fldCharType="separate"/>
      </w:r>
      <w:r>
        <w:t>7</w:t>
      </w:r>
      <w:r>
        <w:fldChar w:fldCharType="end"/>
      </w:r>
      <w:r>
        <w:fldChar w:fldCharType="end"/>
      </w:r>
    </w:p>
    <w:p>
      <w:pPr>
        <w:pStyle w:val="34"/>
        <w:rPr>
          <w:rFonts w:asciiTheme="minorHAnsi" w:hAnsiTheme="minorHAnsi" w:eastAsiaTheme="minorEastAsia" w:cstheme="minorBidi"/>
          <w:szCs w:val="22"/>
        </w:rPr>
      </w:pPr>
      <w:r>
        <w:fldChar w:fldCharType="begin"/>
      </w:r>
      <w:r>
        <w:instrText xml:space="preserve"> HYPERLINK \l "_Toc59530112" </w:instrText>
      </w:r>
      <w:r>
        <w:fldChar w:fldCharType="separate"/>
      </w:r>
      <w:r>
        <w:rPr>
          <w:rStyle w:val="47"/>
          <w:rFonts w:ascii="宋体" w:hAnsi="宋体"/>
        </w:rPr>
        <w:t>八、凡对本次采购提出询问，请按以下方式联系。</w:t>
      </w:r>
      <w:r>
        <w:tab/>
      </w:r>
      <w:r>
        <w:fldChar w:fldCharType="begin"/>
      </w:r>
      <w:r>
        <w:instrText xml:space="preserve"> PAGEREF _Toc59530112 \h </w:instrText>
      </w:r>
      <w:r>
        <w:fldChar w:fldCharType="separate"/>
      </w:r>
      <w:r>
        <w:t>8</w:t>
      </w:r>
      <w:r>
        <w:fldChar w:fldCharType="end"/>
      </w:r>
      <w:r>
        <w:fldChar w:fldCharType="end"/>
      </w:r>
    </w:p>
    <w:p>
      <w:pPr>
        <w:pStyle w:val="28"/>
        <w:rPr>
          <w:rFonts w:asciiTheme="minorHAnsi" w:hAnsiTheme="minorHAnsi" w:eastAsiaTheme="minorEastAsia" w:cstheme="minorBidi"/>
          <w:szCs w:val="22"/>
        </w:rPr>
      </w:pPr>
      <w:r>
        <w:fldChar w:fldCharType="begin"/>
      </w:r>
      <w:r>
        <w:instrText xml:space="preserve"> HYPERLINK \l "_Toc59530113" </w:instrText>
      </w:r>
      <w:r>
        <w:fldChar w:fldCharType="separate"/>
      </w:r>
      <w:r>
        <w:rPr>
          <w:rStyle w:val="47"/>
          <w:b/>
          <w:bCs/>
          <w:kern w:val="44"/>
        </w:rPr>
        <w:t>第二章采购需求</w:t>
      </w:r>
      <w:r>
        <w:tab/>
      </w:r>
      <w:r>
        <w:fldChar w:fldCharType="begin"/>
      </w:r>
      <w:r>
        <w:instrText xml:space="preserve"> PAGEREF _Toc59530113 \h </w:instrText>
      </w:r>
      <w:r>
        <w:fldChar w:fldCharType="separate"/>
      </w:r>
      <w:r>
        <w:t>10</w:t>
      </w:r>
      <w:r>
        <w:fldChar w:fldCharType="end"/>
      </w:r>
      <w:r>
        <w:fldChar w:fldCharType="end"/>
      </w:r>
    </w:p>
    <w:p>
      <w:pPr>
        <w:pStyle w:val="28"/>
        <w:rPr>
          <w:rFonts w:asciiTheme="minorHAnsi" w:hAnsiTheme="minorHAnsi" w:eastAsiaTheme="minorEastAsia" w:cstheme="minorBidi"/>
          <w:szCs w:val="22"/>
        </w:rPr>
      </w:pPr>
      <w:r>
        <w:fldChar w:fldCharType="begin"/>
      </w:r>
      <w:r>
        <w:instrText xml:space="preserve"> HYPERLINK \l "_Toc59530114" </w:instrText>
      </w:r>
      <w:r>
        <w:fldChar w:fldCharType="separate"/>
      </w:r>
      <w:r>
        <w:rPr>
          <w:rStyle w:val="47"/>
          <w:b/>
          <w:bCs/>
          <w:kern w:val="44"/>
        </w:rPr>
        <w:t>第三章供应商须知</w:t>
      </w:r>
      <w:r>
        <w:tab/>
      </w:r>
      <w:r>
        <w:fldChar w:fldCharType="begin"/>
      </w:r>
      <w:r>
        <w:instrText xml:space="preserve"> PAGEREF _Toc59530114 \h </w:instrText>
      </w:r>
      <w:r>
        <w:fldChar w:fldCharType="separate"/>
      </w:r>
      <w:r>
        <w:t>15</w:t>
      </w:r>
      <w:r>
        <w:fldChar w:fldCharType="end"/>
      </w:r>
      <w:r>
        <w:fldChar w:fldCharType="end"/>
      </w:r>
    </w:p>
    <w:p>
      <w:pPr>
        <w:pStyle w:val="34"/>
        <w:rPr>
          <w:rFonts w:asciiTheme="minorHAnsi" w:hAnsiTheme="minorHAnsi" w:eastAsiaTheme="minorEastAsia" w:cstheme="minorBidi"/>
          <w:szCs w:val="22"/>
        </w:rPr>
      </w:pPr>
      <w:r>
        <w:fldChar w:fldCharType="begin"/>
      </w:r>
      <w:r>
        <w:instrText xml:space="preserve"> HYPERLINK \l "_Toc59530115" </w:instrText>
      </w:r>
      <w:r>
        <w:fldChar w:fldCharType="separate"/>
      </w:r>
      <w:r>
        <w:rPr>
          <w:rStyle w:val="47"/>
          <w:rFonts w:ascii="宋体" w:hAnsi="宋体"/>
        </w:rPr>
        <w:t>一   总则</w:t>
      </w:r>
      <w:r>
        <w:tab/>
      </w:r>
      <w:r>
        <w:fldChar w:fldCharType="begin"/>
      </w:r>
      <w:r>
        <w:instrText xml:space="preserve"> PAGEREF _Toc59530115 \h </w:instrText>
      </w:r>
      <w:r>
        <w:fldChar w:fldCharType="separate"/>
      </w:r>
      <w:r>
        <w:t>20</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"_Toc59530116" </w:instrText>
      </w:r>
      <w:r>
        <w:fldChar w:fldCharType="separate"/>
      </w:r>
      <w:r>
        <w:rPr>
          <w:rStyle w:val="47"/>
        </w:rPr>
        <w:t>1. 适用范围</w:t>
      </w:r>
      <w:r>
        <w:tab/>
      </w:r>
      <w:r>
        <w:fldChar w:fldCharType="begin"/>
      </w:r>
      <w:r>
        <w:instrText xml:space="preserve"> PAGEREF _Toc59530116 \h </w:instrText>
      </w:r>
      <w:r>
        <w:fldChar w:fldCharType="separate"/>
      </w:r>
      <w:r>
        <w:t>20</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"_Toc59530117" </w:instrText>
      </w:r>
      <w:r>
        <w:fldChar w:fldCharType="separate"/>
      </w:r>
      <w:r>
        <w:rPr>
          <w:rStyle w:val="47"/>
        </w:rPr>
        <w:t>2. 定义</w:t>
      </w:r>
      <w:r>
        <w:tab/>
      </w:r>
      <w:r>
        <w:fldChar w:fldCharType="begin"/>
      </w:r>
      <w:r>
        <w:instrText xml:space="preserve"> PAGEREF _Toc59530117 \h </w:instrText>
      </w:r>
      <w:r>
        <w:fldChar w:fldCharType="separate"/>
      </w:r>
      <w:r>
        <w:t>20</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"_Toc59530118" </w:instrText>
      </w:r>
      <w:r>
        <w:fldChar w:fldCharType="separate"/>
      </w:r>
      <w:r>
        <w:rPr>
          <w:rStyle w:val="47"/>
        </w:rPr>
        <w:t>3.供应商基本要求</w:t>
      </w:r>
      <w:r>
        <w:tab/>
      </w:r>
      <w:r>
        <w:fldChar w:fldCharType="begin"/>
      </w:r>
      <w:r>
        <w:instrText xml:space="preserve"> PAGEREF _Toc59530118 \h </w:instrText>
      </w:r>
      <w:r>
        <w:fldChar w:fldCharType="separate"/>
      </w:r>
      <w:r>
        <w:t>20</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"_Toc59530119" </w:instrText>
      </w:r>
      <w:r>
        <w:fldChar w:fldCharType="separate"/>
      </w:r>
      <w:r>
        <w:rPr>
          <w:rStyle w:val="47"/>
        </w:rPr>
        <w:t>4.联合体说明</w:t>
      </w:r>
      <w:r>
        <w:tab/>
      </w:r>
      <w:r>
        <w:fldChar w:fldCharType="begin"/>
      </w:r>
      <w:r>
        <w:instrText xml:space="preserve"> PAGEREF _Toc59530119 \h </w:instrText>
      </w:r>
      <w:r>
        <w:fldChar w:fldCharType="separate"/>
      </w:r>
      <w:r>
        <w:t>20</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"_Toc59530120" </w:instrText>
      </w:r>
      <w:r>
        <w:fldChar w:fldCharType="separate"/>
      </w:r>
      <w:r>
        <w:rPr>
          <w:rStyle w:val="47"/>
        </w:rPr>
        <w:t>5.特别说明</w:t>
      </w:r>
      <w:r>
        <w:tab/>
      </w:r>
      <w:r>
        <w:fldChar w:fldCharType="begin"/>
      </w:r>
      <w:r>
        <w:instrText xml:space="preserve"> PAGEREF _Toc59530120 \h </w:instrText>
      </w:r>
      <w:r>
        <w:fldChar w:fldCharType="separate"/>
      </w:r>
      <w:r>
        <w:t>20</w:t>
      </w:r>
      <w:r>
        <w:fldChar w:fldCharType="end"/>
      </w:r>
      <w:r>
        <w:fldChar w:fldCharType="end"/>
      </w:r>
    </w:p>
    <w:p>
      <w:pPr>
        <w:pStyle w:val="34"/>
        <w:rPr>
          <w:rFonts w:asciiTheme="minorHAnsi" w:hAnsiTheme="minorHAnsi" w:eastAsiaTheme="minorEastAsia" w:cstheme="minorBidi"/>
          <w:szCs w:val="22"/>
        </w:rPr>
      </w:pPr>
      <w:r>
        <w:fldChar w:fldCharType="begin"/>
      </w:r>
      <w:r>
        <w:instrText xml:space="preserve"> HYPERLINK \l "_Toc59530121" </w:instrText>
      </w:r>
      <w:r>
        <w:fldChar w:fldCharType="separate"/>
      </w:r>
      <w:r>
        <w:rPr>
          <w:rStyle w:val="47"/>
          <w:rFonts w:ascii="宋体" w:hAnsi="宋体"/>
        </w:rPr>
        <w:t>二   磋商响应文件说明</w:t>
      </w:r>
      <w:r>
        <w:tab/>
      </w:r>
      <w:r>
        <w:fldChar w:fldCharType="begin"/>
      </w:r>
      <w:r>
        <w:instrText xml:space="preserve"> PAGEREF _Toc59530121 \h </w:instrText>
      </w:r>
      <w:r>
        <w:fldChar w:fldCharType="separate"/>
      </w:r>
      <w:r>
        <w:t>20</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"_Toc59530122" </w:instrText>
      </w:r>
      <w:r>
        <w:fldChar w:fldCharType="separate"/>
      </w:r>
      <w:r>
        <w:rPr>
          <w:rStyle w:val="47"/>
        </w:rPr>
        <w:t>6. 响应文件的构成</w:t>
      </w:r>
      <w:r>
        <w:tab/>
      </w:r>
      <w:r>
        <w:fldChar w:fldCharType="begin"/>
      </w:r>
      <w:r>
        <w:instrText xml:space="preserve"> PAGEREF _Toc59530122 \h </w:instrText>
      </w:r>
      <w:r>
        <w:fldChar w:fldCharType="separate"/>
      </w:r>
      <w:r>
        <w:t>20</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"_Toc59530123" </w:instrText>
      </w:r>
      <w:r>
        <w:fldChar w:fldCharType="separate"/>
      </w:r>
      <w:r>
        <w:rPr>
          <w:rStyle w:val="47"/>
        </w:rPr>
        <w:t>7.供应商的风险</w:t>
      </w:r>
      <w:r>
        <w:tab/>
      </w:r>
      <w:r>
        <w:fldChar w:fldCharType="begin"/>
      </w:r>
      <w:r>
        <w:instrText xml:space="preserve"> PAGEREF _Toc59530123 \h </w:instrText>
      </w:r>
      <w:r>
        <w:fldChar w:fldCharType="separate"/>
      </w:r>
      <w:r>
        <w:t>21</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"_Toc59530124" </w:instrText>
      </w:r>
      <w:r>
        <w:fldChar w:fldCharType="separate"/>
      </w:r>
      <w:r>
        <w:rPr>
          <w:rStyle w:val="47"/>
        </w:rPr>
        <w:t>8. 磋商文件的澄清和修改</w:t>
      </w:r>
      <w:r>
        <w:tab/>
      </w:r>
      <w:r>
        <w:fldChar w:fldCharType="begin"/>
      </w:r>
      <w:r>
        <w:instrText xml:space="preserve"> PAGEREF _Toc59530124 \h </w:instrText>
      </w:r>
      <w:r>
        <w:fldChar w:fldCharType="separate"/>
      </w:r>
      <w:r>
        <w:t>21</w:t>
      </w:r>
      <w:r>
        <w:fldChar w:fldCharType="end"/>
      </w:r>
      <w:r>
        <w:fldChar w:fldCharType="end"/>
      </w:r>
    </w:p>
    <w:p>
      <w:pPr>
        <w:pStyle w:val="34"/>
        <w:rPr>
          <w:rFonts w:asciiTheme="minorHAnsi" w:hAnsiTheme="minorHAnsi" w:eastAsiaTheme="minorEastAsia" w:cstheme="minorBidi"/>
          <w:szCs w:val="22"/>
        </w:rPr>
      </w:pPr>
      <w:r>
        <w:fldChar w:fldCharType="begin"/>
      </w:r>
      <w:r>
        <w:instrText xml:space="preserve"> HYPERLINK \l "_Toc59530125" </w:instrText>
      </w:r>
      <w:r>
        <w:fldChar w:fldCharType="separate"/>
      </w:r>
      <w:r>
        <w:rPr>
          <w:rStyle w:val="47"/>
          <w:rFonts w:ascii="宋体" w:hAnsi="宋体"/>
        </w:rPr>
        <w:t>三   响应文件的编制</w:t>
      </w:r>
      <w:r>
        <w:tab/>
      </w:r>
      <w:r>
        <w:fldChar w:fldCharType="begin"/>
      </w:r>
      <w:r>
        <w:instrText xml:space="preserve"> PAGEREF _Toc59530125 \h </w:instrText>
      </w:r>
      <w:r>
        <w:fldChar w:fldCharType="separate"/>
      </w:r>
      <w:r>
        <w:t>21</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"_Toc59530126" </w:instrText>
      </w:r>
      <w:r>
        <w:fldChar w:fldCharType="separate"/>
      </w:r>
      <w:r>
        <w:rPr>
          <w:rStyle w:val="47"/>
        </w:rPr>
        <w:t>9.要求</w:t>
      </w:r>
      <w:r>
        <w:tab/>
      </w:r>
      <w:r>
        <w:fldChar w:fldCharType="begin"/>
      </w:r>
      <w:r>
        <w:instrText xml:space="preserve"> PAGEREF _Toc59530126 \h </w:instrText>
      </w:r>
      <w:r>
        <w:fldChar w:fldCharType="separate"/>
      </w:r>
      <w:r>
        <w:t>21</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"_Toc59530127" </w:instrText>
      </w:r>
      <w:r>
        <w:fldChar w:fldCharType="separate"/>
      </w:r>
      <w:r>
        <w:rPr>
          <w:rStyle w:val="47"/>
        </w:rPr>
        <w:t>10.响应文件的组成</w:t>
      </w:r>
      <w:r>
        <w:tab/>
      </w:r>
      <w:r>
        <w:fldChar w:fldCharType="begin"/>
      </w:r>
      <w:r>
        <w:instrText xml:space="preserve"> PAGEREF _Toc59530127 \h </w:instrText>
      </w:r>
      <w:r>
        <w:fldChar w:fldCharType="separate"/>
      </w:r>
      <w:r>
        <w:t>22</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"_Toc59530128" </w:instrText>
      </w:r>
      <w:r>
        <w:fldChar w:fldCharType="separate"/>
      </w:r>
      <w:r>
        <w:rPr>
          <w:rStyle w:val="47"/>
        </w:rPr>
        <w:t>11.响应文件编制的内容和要求。</w:t>
      </w:r>
      <w:r>
        <w:tab/>
      </w:r>
      <w:r>
        <w:fldChar w:fldCharType="begin"/>
      </w:r>
      <w:r>
        <w:instrText xml:space="preserve"> PAGEREF _Toc59530128 \h </w:instrText>
      </w:r>
      <w:r>
        <w:fldChar w:fldCharType="separate"/>
      </w:r>
      <w:r>
        <w:t>22</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"_Toc59530129" </w:instrText>
      </w:r>
      <w:r>
        <w:fldChar w:fldCharType="separate"/>
      </w:r>
      <w:r>
        <w:rPr>
          <w:rStyle w:val="47"/>
        </w:rPr>
        <w:t>12.响应文件格式</w:t>
      </w:r>
      <w:r>
        <w:tab/>
      </w:r>
      <w:r>
        <w:fldChar w:fldCharType="begin"/>
      </w:r>
      <w:r>
        <w:instrText xml:space="preserve"> PAGEREF _Toc59530129 \h </w:instrText>
      </w:r>
      <w:r>
        <w:fldChar w:fldCharType="separate"/>
      </w:r>
      <w:r>
        <w:t>22</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"_Toc59530130" </w:instrText>
      </w:r>
      <w:r>
        <w:fldChar w:fldCharType="separate"/>
      </w:r>
      <w:r>
        <w:rPr>
          <w:rStyle w:val="47"/>
        </w:rPr>
        <w:t>13.竞争性磋商有效期</w:t>
      </w:r>
      <w:r>
        <w:tab/>
      </w:r>
      <w:r>
        <w:fldChar w:fldCharType="begin"/>
      </w:r>
      <w:r>
        <w:instrText xml:space="preserve"> PAGEREF _Toc59530130 \h </w:instrText>
      </w:r>
      <w:r>
        <w:fldChar w:fldCharType="separate"/>
      </w:r>
      <w:r>
        <w:t>22</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"_Toc59530131" </w:instrText>
      </w:r>
      <w:r>
        <w:fldChar w:fldCharType="separate"/>
      </w:r>
      <w:r>
        <w:rPr>
          <w:rStyle w:val="47"/>
        </w:rPr>
        <w:t>14.响应文件的签署及规定</w:t>
      </w:r>
      <w:r>
        <w:tab/>
      </w:r>
      <w:r>
        <w:fldChar w:fldCharType="begin"/>
      </w:r>
      <w:r>
        <w:instrText xml:space="preserve"> PAGEREF _Toc59530131 \h </w:instrText>
      </w:r>
      <w:r>
        <w:fldChar w:fldCharType="separate"/>
      </w:r>
      <w:r>
        <w:t>22</w:t>
      </w:r>
      <w:r>
        <w:fldChar w:fldCharType="end"/>
      </w:r>
      <w:r>
        <w:fldChar w:fldCharType="end"/>
      </w:r>
    </w:p>
    <w:p>
      <w:pPr>
        <w:pStyle w:val="34"/>
        <w:rPr>
          <w:rFonts w:asciiTheme="minorHAnsi" w:hAnsiTheme="minorHAnsi" w:eastAsiaTheme="minorEastAsia" w:cstheme="minorBidi"/>
          <w:szCs w:val="22"/>
        </w:rPr>
      </w:pPr>
      <w:r>
        <w:fldChar w:fldCharType="begin"/>
      </w:r>
      <w:r>
        <w:instrText xml:space="preserve"> HYPERLINK \l "_Toc59530132" </w:instrText>
      </w:r>
      <w:r>
        <w:fldChar w:fldCharType="separate"/>
      </w:r>
      <w:r>
        <w:rPr>
          <w:rStyle w:val="47"/>
          <w:rFonts w:ascii="宋体" w:hAnsi="宋体"/>
        </w:rPr>
        <w:t>四   响应文件的加密、提交、修改和撤回</w:t>
      </w:r>
      <w:r>
        <w:tab/>
      </w:r>
      <w:r>
        <w:fldChar w:fldCharType="begin"/>
      </w:r>
      <w:r>
        <w:instrText xml:space="preserve"> PAGEREF _Toc59530132 \h </w:instrText>
      </w:r>
      <w:r>
        <w:fldChar w:fldCharType="separate"/>
      </w:r>
      <w:r>
        <w:t>22</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"_Toc59530133" </w:instrText>
      </w:r>
      <w:r>
        <w:fldChar w:fldCharType="separate"/>
      </w:r>
      <w:r>
        <w:rPr>
          <w:rStyle w:val="47"/>
        </w:rPr>
        <w:t>15.响应文件的加密</w:t>
      </w:r>
      <w:r>
        <w:tab/>
      </w:r>
      <w:r>
        <w:fldChar w:fldCharType="begin"/>
      </w:r>
      <w:r>
        <w:instrText xml:space="preserve"> PAGEREF _Toc59530133 \h </w:instrText>
      </w:r>
      <w:r>
        <w:fldChar w:fldCharType="separate"/>
      </w:r>
      <w:r>
        <w:t>22</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"_Toc59530134" </w:instrText>
      </w:r>
      <w:r>
        <w:fldChar w:fldCharType="separate"/>
      </w:r>
      <w:r>
        <w:rPr>
          <w:rStyle w:val="47"/>
        </w:rPr>
        <w:t>16.响应文件的提交</w:t>
      </w:r>
      <w:r>
        <w:tab/>
      </w:r>
      <w:r>
        <w:fldChar w:fldCharType="begin"/>
      </w:r>
      <w:r>
        <w:instrText xml:space="preserve"> PAGEREF _Toc59530134 \h </w:instrText>
      </w:r>
      <w:r>
        <w:fldChar w:fldCharType="separate"/>
      </w:r>
      <w:r>
        <w:t>22</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"_Toc59530135" </w:instrText>
      </w:r>
      <w:r>
        <w:fldChar w:fldCharType="separate"/>
      </w:r>
      <w:r>
        <w:rPr>
          <w:rStyle w:val="47"/>
        </w:rPr>
        <w:t>17.响应文件的修改和撤回</w:t>
      </w:r>
      <w:r>
        <w:tab/>
      </w:r>
      <w:r>
        <w:fldChar w:fldCharType="begin"/>
      </w:r>
      <w:r>
        <w:instrText xml:space="preserve"> PAGEREF _Toc59530135 \h </w:instrText>
      </w:r>
      <w:r>
        <w:fldChar w:fldCharType="separate"/>
      </w:r>
      <w:r>
        <w:t>23</w:t>
      </w:r>
      <w:r>
        <w:fldChar w:fldCharType="end"/>
      </w:r>
      <w:r>
        <w:fldChar w:fldCharType="end"/>
      </w:r>
    </w:p>
    <w:p>
      <w:pPr>
        <w:pStyle w:val="34"/>
        <w:rPr>
          <w:rFonts w:asciiTheme="minorHAnsi" w:hAnsiTheme="minorHAnsi" w:eastAsiaTheme="minorEastAsia" w:cstheme="minorBidi"/>
          <w:szCs w:val="22"/>
        </w:rPr>
      </w:pPr>
      <w:r>
        <w:fldChar w:fldCharType="begin"/>
      </w:r>
      <w:r>
        <w:instrText xml:space="preserve"> HYPERLINK \l "_Toc59530136" </w:instrText>
      </w:r>
      <w:r>
        <w:fldChar w:fldCharType="separate"/>
      </w:r>
      <w:r>
        <w:rPr>
          <w:rStyle w:val="47"/>
          <w:rFonts w:ascii="宋体" w:hAnsi="宋体"/>
        </w:rPr>
        <w:t>五   磋商会议和磋商评审</w:t>
      </w:r>
      <w:r>
        <w:tab/>
      </w:r>
      <w:r>
        <w:fldChar w:fldCharType="begin"/>
      </w:r>
      <w:r>
        <w:instrText xml:space="preserve"> PAGEREF _Toc59530136 \h </w:instrText>
      </w:r>
      <w:r>
        <w:fldChar w:fldCharType="separate"/>
      </w:r>
      <w:r>
        <w:t>23</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"_Toc59530137" </w:instrText>
      </w:r>
      <w:r>
        <w:fldChar w:fldCharType="separate"/>
      </w:r>
      <w:r>
        <w:rPr>
          <w:rStyle w:val="47"/>
        </w:rPr>
        <w:t>18．磋商会议</w:t>
      </w:r>
      <w:r>
        <w:tab/>
      </w:r>
      <w:r>
        <w:fldChar w:fldCharType="begin"/>
      </w:r>
      <w:r>
        <w:instrText xml:space="preserve"> PAGEREF _Toc59530137 \h </w:instrText>
      </w:r>
      <w:r>
        <w:fldChar w:fldCharType="separate"/>
      </w:r>
      <w:r>
        <w:t>23</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"_Toc59530138" </w:instrText>
      </w:r>
      <w:r>
        <w:fldChar w:fldCharType="separate"/>
      </w:r>
      <w:r>
        <w:rPr>
          <w:rStyle w:val="47"/>
        </w:rPr>
        <w:t>19. 资格审查</w:t>
      </w:r>
      <w:r>
        <w:tab/>
      </w:r>
      <w:r>
        <w:fldChar w:fldCharType="begin"/>
      </w:r>
      <w:r>
        <w:instrText xml:space="preserve"> PAGEREF _Toc59530138 \h </w:instrText>
      </w:r>
      <w:r>
        <w:fldChar w:fldCharType="separate"/>
      </w:r>
      <w:r>
        <w:t>24</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"_Toc59530139" </w:instrText>
      </w:r>
      <w:r>
        <w:fldChar w:fldCharType="separate"/>
      </w:r>
      <w:r>
        <w:rPr>
          <w:rStyle w:val="47"/>
        </w:rPr>
        <w:t>20. 磋商评分办法：详见第六章。</w:t>
      </w:r>
      <w:r>
        <w:tab/>
      </w:r>
      <w:r>
        <w:fldChar w:fldCharType="begin"/>
      </w:r>
      <w:r>
        <w:instrText xml:space="preserve"> PAGEREF _Toc59530139 \h </w:instrText>
      </w:r>
      <w:r>
        <w:fldChar w:fldCharType="separate"/>
      </w:r>
      <w:r>
        <w:t>24</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"_Toc59530140" </w:instrText>
      </w:r>
      <w:r>
        <w:fldChar w:fldCharType="separate"/>
      </w:r>
      <w:r>
        <w:rPr>
          <w:rStyle w:val="47"/>
        </w:rPr>
        <w:t>21.响应文件的澄清</w:t>
      </w:r>
      <w:r>
        <w:tab/>
      </w:r>
      <w:r>
        <w:fldChar w:fldCharType="begin"/>
      </w:r>
      <w:r>
        <w:instrText xml:space="preserve"> PAGEREF _Toc59530140 \h </w:instrText>
      </w:r>
      <w:r>
        <w:fldChar w:fldCharType="separate"/>
      </w:r>
      <w:r>
        <w:t>24</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"_Toc59530141" </w:instrText>
      </w:r>
      <w:r>
        <w:fldChar w:fldCharType="separate"/>
      </w:r>
      <w:r>
        <w:rPr>
          <w:rStyle w:val="47"/>
        </w:rPr>
        <w:t>22.对响应文件的比较和评估</w:t>
      </w:r>
      <w:r>
        <w:tab/>
      </w:r>
      <w:r>
        <w:fldChar w:fldCharType="begin"/>
      </w:r>
      <w:r>
        <w:instrText xml:space="preserve"> PAGEREF _Toc59530141 \h </w:instrText>
      </w:r>
      <w:r>
        <w:fldChar w:fldCharType="separate"/>
      </w:r>
      <w:r>
        <w:t>25</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"_Toc59530142" </w:instrText>
      </w:r>
      <w:r>
        <w:fldChar w:fldCharType="separate"/>
      </w:r>
      <w:r>
        <w:rPr>
          <w:rStyle w:val="47"/>
        </w:rPr>
        <w:t>23．评审报告</w:t>
      </w:r>
      <w:r>
        <w:tab/>
      </w:r>
      <w:r>
        <w:fldChar w:fldCharType="begin"/>
      </w:r>
      <w:r>
        <w:instrText xml:space="preserve"> PAGEREF _Toc59530142 \h </w:instrText>
      </w:r>
      <w:r>
        <w:fldChar w:fldCharType="separate"/>
      </w:r>
      <w:r>
        <w:t>25</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"_Toc59530143" </w:instrText>
      </w:r>
      <w:r>
        <w:fldChar w:fldCharType="separate"/>
      </w:r>
      <w:r>
        <w:rPr>
          <w:rStyle w:val="47"/>
        </w:rPr>
        <w:t>24.采购过程中出现以下情形，导致电子交易平台无法正常运行，或者无法保证电子交易的公平、公正和安全时，可中止电子交易活动：</w:t>
      </w:r>
      <w:r>
        <w:tab/>
      </w:r>
      <w:r>
        <w:fldChar w:fldCharType="begin"/>
      </w:r>
      <w:r>
        <w:instrText xml:space="preserve"> PAGEREF _Toc59530143 \h </w:instrText>
      </w:r>
      <w:r>
        <w:fldChar w:fldCharType="separate"/>
      </w:r>
      <w:r>
        <w:t>25</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"_Toc59530144" </w:instrText>
      </w:r>
      <w:r>
        <w:fldChar w:fldCharType="separate"/>
      </w:r>
      <w:r>
        <w:rPr>
          <w:rStyle w:val="47"/>
        </w:rPr>
        <w:t>25. 采购代理机构或评审小组因不可抗力（不可抗力包括但不限于自然灾害、断电、传播疫病等）原因造成电子交易活动无法正常运行的，将采取以下措施：</w:t>
      </w:r>
      <w:r>
        <w:tab/>
      </w:r>
      <w:r>
        <w:fldChar w:fldCharType="begin"/>
      </w:r>
      <w:r>
        <w:instrText xml:space="preserve"> PAGEREF _Toc59530144 \h </w:instrText>
      </w:r>
      <w:r>
        <w:fldChar w:fldCharType="separate"/>
      </w:r>
      <w:r>
        <w:t>26</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"_Toc59530145" </w:instrText>
      </w:r>
      <w:r>
        <w:fldChar w:fldCharType="separate"/>
      </w:r>
      <w:r>
        <w:rPr>
          <w:rStyle w:val="47"/>
        </w:rPr>
        <w:t>26.保密和磋商过程的监控</w:t>
      </w:r>
      <w:r>
        <w:tab/>
      </w:r>
      <w:r>
        <w:fldChar w:fldCharType="begin"/>
      </w:r>
      <w:r>
        <w:instrText xml:space="preserve"> PAGEREF _Toc59530145 \h </w:instrText>
      </w:r>
      <w:r>
        <w:fldChar w:fldCharType="separate"/>
      </w:r>
      <w:r>
        <w:t>26</w:t>
      </w:r>
      <w:r>
        <w:fldChar w:fldCharType="end"/>
      </w:r>
      <w:r>
        <w:fldChar w:fldCharType="end"/>
      </w:r>
    </w:p>
    <w:p>
      <w:pPr>
        <w:pStyle w:val="34"/>
        <w:rPr>
          <w:rFonts w:asciiTheme="minorHAnsi" w:hAnsiTheme="minorHAnsi" w:eastAsiaTheme="minorEastAsia" w:cstheme="minorBidi"/>
          <w:szCs w:val="22"/>
        </w:rPr>
      </w:pPr>
      <w:r>
        <w:fldChar w:fldCharType="begin"/>
      </w:r>
      <w:r>
        <w:instrText xml:space="preserve"> HYPERLINK \l "_Toc59530146" </w:instrText>
      </w:r>
      <w:r>
        <w:fldChar w:fldCharType="separate"/>
      </w:r>
      <w:r>
        <w:rPr>
          <w:rStyle w:val="47"/>
          <w:rFonts w:ascii="宋体" w:hAnsi="宋体"/>
        </w:rPr>
        <w:t>六   磋商无效的情形</w:t>
      </w:r>
      <w:r>
        <w:tab/>
      </w:r>
      <w:r>
        <w:fldChar w:fldCharType="begin"/>
      </w:r>
      <w:r>
        <w:instrText xml:space="preserve"> PAGEREF _Toc59530146 \h </w:instrText>
      </w:r>
      <w:r>
        <w:fldChar w:fldCharType="separate"/>
      </w:r>
      <w:r>
        <w:t>26</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"_Toc59530147" </w:instrText>
      </w:r>
      <w:r>
        <w:fldChar w:fldCharType="separate"/>
      </w:r>
      <w:r>
        <w:rPr>
          <w:rStyle w:val="47"/>
        </w:rPr>
        <w:t>27. 实质上没有响应磋商文件要求的响应文件将被视为无效。供应商如有下列情形之一的，其磋商将被拒绝，响应文件无效：</w:t>
      </w:r>
      <w:r>
        <w:tab/>
      </w:r>
      <w:r>
        <w:fldChar w:fldCharType="begin"/>
      </w:r>
      <w:r>
        <w:instrText xml:space="preserve"> PAGEREF _Toc59530147 \h </w:instrText>
      </w:r>
      <w:r>
        <w:fldChar w:fldCharType="separate"/>
      </w:r>
      <w:r>
        <w:t>26</w:t>
      </w:r>
      <w:r>
        <w:fldChar w:fldCharType="end"/>
      </w:r>
      <w:r>
        <w:fldChar w:fldCharType="end"/>
      </w:r>
    </w:p>
    <w:p>
      <w:pPr>
        <w:pStyle w:val="34"/>
        <w:rPr>
          <w:rFonts w:asciiTheme="minorHAnsi" w:hAnsiTheme="minorHAnsi" w:eastAsiaTheme="minorEastAsia" w:cstheme="minorBidi"/>
          <w:szCs w:val="22"/>
        </w:rPr>
      </w:pPr>
      <w:r>
        <w:fldChar w:fldCharType="begin"/>
      </w:r>
      <w:r>
        <w:instrText xml:space="preserve"> HYPERLINK \l "_Toc59530148" </w:instrText>
      </w:r>
      <w:r>
        <w:fldChar w:fldCharType="separate"/>
      </w:r>
      <w:r>
        <w:rPr>
          <w:rStyle w:val="47"/>
          <w:rFonts w:ascii="宋体" w:hAnsi="宋体"/>
        </w:rPr>
        <w:t>七   法律责任</w:t>
      </w:r>
      <w:r>
        <w:tab/>
      </w:r>
      <w:r>
        <w:fldChar w:fldCharType="begin"/>
      </w:r>
      <w:r>
        <w:instrText xml:space="preserve"> PAGEREF _Toc59530148 \h </w:instrText>
      </w:r>
      <w:r>
        <w:fldChar w:fldCharType="separate"/>
      </w:r>
      <w:r>
        <w:t>27</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"_Toc59530149" </w:instrText>
      </w:r>
      <w:r>
        <w:fldChar w:fldCharType="separate"/>
      </w:r>
      <w:r>
        <w:rPr>
          <w:rStyle w:val="47"/>
        </w:rPr>
        <w:t>28. 供应商有下列情形之一的，处以政府采购项目成交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r>
        <w:tab/>
      </w:r>
      <w:r>
        <w:fldChar w:fldCharType="begin"/>
      </w:r>
      <w:r>
        <w:instrText xml:space="preserve"> PAGEREF _Toc59530149 \h </w:instrText>
      </w:r>
      <w:r>
        <w:fldChar w:fldCharType="separate"/>
      </w:r>
      <w:r>
        <w:t>27</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"_Toc59530150" </w:instrText>
      </w:r>
      <w:r>
        <w:fldChar w:fldCharType="separate"/>
      </w:r>
      <w:r>
        <w:rPr>
          <w:rStyle w:val="47"/>
        </w:rPr>
        <w:t>29. 供应商有下列情形之一的，依照政府采购法第七十七条第一款的规定追究法律责任：</w:t>
      </w:r>
      <w:r>
        <w:tab/>
      </w:r>
      <w:r>
        <w:fldChar w:fldCharType="begin"/>
      </w:r>
      <w:r>
        <w:instrText xml:space="preserve"> PAGEREF _Toc59530150 \h </w:instrText>
      </w:r>
      <w:r>
        <w:fldChar w:fldCharType="separate"/>
      </w:r>
      <w:r>
        <w:t>27</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"_Toc59530151" </w:instrText>
      </w:r>
      <w:r>
        <w:fldChar w:fldCharType="separate"/>
      </w:r>
      <w:r>
        <w:rPr>
          <w:rStyle w:val="47"/>
        </w:rPr>
        <w:t>30. 供应商捏造事实、提供虚假材料或者以非法手段取得证明材料进行投诉的，由财政部门列入不良行为记录名单，禁止其1至3年内参加政府采购活动。</w:t>
      </w:r>
      <w:r>
        <w:tab/>
      </w:r>
      <w:r>
        <w:fldChar w:fldCharType="begin"/>
      </w:r>
      <w:r>
        <w:instrText xml:space="preserve"> PAGEREF _Toc59530151 \h </w:instrText>
      </w:r>
      <w:r>
        <w:fldChar w:fldCharType="separate"/>
      </w:r>
      <w:r>
        <w:t>28</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"_Toc59530152" </w:instrText>
      </w:r>
      <w:r>
        <w:fldChar w:fldCharType="separate"/>
      </w:r>
      <w:r>
        <w:rPr>
          <w:rStyle w:val="47"/>
        </w:rPr>
        <w:t>31. 有下列情形之一的，属于恶意串通，对供应商依照政府采购法第七十七条第一款的规定追究法律责任，对采购人、采购代理机构及其工作人员依照政府采购法第七十二条的规定追究法律责任：</w:t>
      </w:r>
      <w:r>
        <w:tab/>
      </w:r>
      <w:r>
        <w:fldChar w:fldCharType="begin"/>
      </w:r>
      <w:r>
        <w:instrText xml:space="preserve"> PAGEREF _Toc59530152 \h </w:instrText>
      </w:r>
      <w:r>
        <w:fldChar w:fldCharType="separate"/>
      </w:r>
      <w:r>
        <w:t>28</w:t>
      </w:r>
      <w:r>
        <w:fldChar w:fldCharType="end"/>
      </w:r>
      <w:r>
        <w:fldChar w:fldCharType="end"/>
      </w:r>
    </w:p>
    <w:p>
      <w:pPr>
        <w:pStyle w:val="34"/>
        <w:rPr>
          <w:rFonts w:asciiTheme="minorHAnsi" w:hAnsiTheme="minorHAnsi" w:eastAsiaTheme="minorEastAsia" w:cstheme="minorBidi"/>
          <w:szCs w:val="22"/>
        </w:rPr>
      </w:pPr>
      <w:r>
        <w:fldChar w:fldCharType="begin"/>
      </w:r>
      <w:r>
        <w:instrText xml:space="preserve"> HYPERLINK \l "_Toc59530153" </w:instrText>
      </w:r>
      <w:r>
        <w:fldChar w:fldCharType="separate"/>
      </w:r>
      <w:r>
        <w:rPr>
          <w:rStyle w:val="47"/>
          <w:rFonts w:ascii="宋体" w:hAnsi="宋体"/>
        </w:rPr>
        <w:t>八   澄清、修改发布媒体</w:t>
      </w:r>
      <w:r>
        <w:tab/>
      </w:r>
      <w:r>
        <w:fldChar w:fldCharType="begin"/>
      </w:r>
      <w:r>
        <w:instrText xml:space="preserve"> PAGEREF _Toc59530153 \h </w:instrText>
      </w:r>
      <w:r>
        <w:fldChar w:fldCharType="separate"/>
      </w:r>
      <w:r>
        <w:t>28</w:t>
      </w:r>
      <w:r>
        <w:fldChar w:fldCharType="end"/>
      </w:r>
      <w:r>
        <w:fldChar w:fldCharType="end"/>
      </w:r>
    </w:p>
    <w:p>
      <w:pPr>
        <w:pStyle w:val="34"/>
        <w:rPr>
          <w:rFonts w:asciiTheme="minorHAnsi" w:hAnsiTheme="minorHAnsi" w:eastAsiaTheme="minorEastAsia" w:cstheme="minorBidi"/>
          <w:szCs w:val="22"/>
        </w:rPr>
      </w:pPr>
      <w:r>
        <w:fldChar w:fldCharType="begin"/>
      </w:r>
      <w:r>
        <w:instrText xml:space="preserve"> HYPERLINK \l "_Toc59530154" </w:instrText>
      </w:r>
      <w:r>
        <w:fldChar w:fldCharType="separate"/>
      </w:r>
      <w:r>
        <w:rPr>
          <w:rStyle w:val="47"/>
          <w:rFonts w:ascii="宋体" w:hAnsi="宋体"/>
        </w:rPr>
        <w:t>九   质疑</w:t>
      </w:r>
      <w:r>
        <w:tab/>
      </w:r>
      <w:r>
        <w:fldChar w:fldCharType="begin"/>
      </w:r>
      <w:r>
        <w:instrText xml:space="preserve"> PAGEREF _Toc59530154 \h </w:instrText>
      </w:r>
      <w:r>
        <w:fldChar w:fldCharType="separate"/>
      </w:r>
      <w:r>
        <w:t>28</w:t>
      </w:r>
      <w:r>
        <w:fldChar w:fldCharType="end"/>
      </w:r>
      <w:r>
        <w:fldChar w:fldCharType="end"/>
      </w:r>
    </w:p>
    <w:p>
      <w:pPr>
        <w:pStyle w:val="34"/>
        <w:rPr>
          <w:rFonts w:asciiTheme="minorHAnsi" w:hAnsiTheme="minorHAnsi" w:eastAsiaTheme="minorEastAsia" w:cstheme="minorBidi"/>
          <w:szCs w:val="22"/>
        </w:rPr>
      </w:pPr>
      <w:r>
        <w:fldChar w:fldCharType="begin"/>
      </w:r>
      <w:r>
        <w:instrText xml:space="preserve"> HYPERLINK \l "_Toc59530155" </w:instrText>
      </w:r>
      <w:r>
        <w:fldChar w:fldCharType="separate"/>
      </w:r>
      <w:r>
        <w:rPr>
          <w:rStyle w:val="47"/>
          <w:rFonts w:ascii="宋体" w:hAnsi="宋体"/>
        </w:rPr>
        <w:t>十   投诉</w:t>
      </w:r>
      <w:r>
        <w:tab/>
      </w:r>
      <w:r>
        <w:fldChar w:fldCharType="begin"/>
      </w:r>
      <w:r>
        <w:instrText xml:space="preserve"> PAGEREF _Toc59530155 \h </w:instrText>
      </w:r>
      <w:r>
        <w:fldChar w:fldCharType="separate"/>
      </w:r>
      <w:r>
        <w:t>29</w:t>
      </w:r>
      <w:r>
        <w:fldChar w:fldCharType="end"/>
      </w:r>
      <w:r>
        <w:fldChar w:fldCharType="end"/>
      </w:r>
    </w:p>
    <w:p>
      <w:pPr>
        <w:pStyle w:val="34"/>
        <w:rPr>
          <w:rFonts w:asciiTheme="minorHAnsi" w:hAnsiTheme="minorHAnsi" w:eastAsiaTheme="minorEastAsia" w:cstheme="minorBidi"/>
          <w:szCs w:val="22"/>
        </w:rPr>
      </w:pPr>
      <w:r>
        <w:fldChar w:fldCharType="begin"/>
      </w:r>
      <w:r>
        <w:instrText xml:space="preserve"> HYPERLINK \l "_Toc59530156" </w:instrText>
      </w:r>
      <w:r>
        <w:fldChar w:fldCharType="separate"/>
      </w:r>
      <w:r>
        <w:rPr>
          <w:rStyle w:val="47"/>
          <w:rFonts w:ascii="宋体" w:hAnsi="宋体"/>
        </w:rPr>
        <w:t>十一  成交和合同</w:t>
      </w:r>
      <w:r>
        <w:tab/>
      </w:r>
      <w:r>
        <w:fldChar w:fldCharType="begin"/>
      </w:r>
      <w:r>
        <w:instrText xml:space="preserve"> PAGEREF _Toc59530156 \h </w:instrText>
      </w:r>
      <w:r>
        <w:fldChar w:fldCharType="separate"/>
      </w:r>
      <w:r>
        <w:t>29</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"_Toc59530157" </w:instrText>
      </w:r>
      <w:r>
        <w:fldChar w:fldCharType="separate"/>
      </w:r>
      <w:r>
        <w:rPr>
          <w:rStyle w:val="47"/>
        </w:rPr>
        <w:t>35.成交</w:t>
      </w:r>
      <w:r>
        <w:tab/>
      </w:r>
      <w:r>
        <w:fldChar w:fldCharType="begin"/>
      </w:r>
      <w:r>
        <w:instrText xml:space="preserve"> PAGEREF _Toc59530157 \h </w:instrText>
      </w:r>
      <w:r>
        <w:fldChar w:fldCharType="separate"/>
      </w:r>
      <w:r>
        <w:t>29</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"_Toc59530158" </w:instrText>
      </w:r>
      <w:r>
        <w:fldChar w:fldCharType="separate"/>
      </w:r>
      <w:r>
        <w:rPr>
          <w:rStyle w:val="47"/>
        </w:rPr>
        <w:t>36成交结果</w:t>
      </w:r>
      <w:r>
        <w:tab/>
      </w:r>
      <w:r>
        <w:fldChar w:fldCharType="begin"/>
      </w:r>
      <w:r>
        <w:instrText xml:space="preserve"> PAGEREF _Toc59530158 \h </w:instrText>
      </w:r>
      <w:r>
        <w:fldChar w:fldCharType="separate"/>
      </w:r>
      <w:r>
        <w:t>29</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"_Toc59530159" </w:instrText>
      </w:r>
      <w:r>
        <w:fldChar w:fldCharType="separate"/>
      </w:r>
      <w:r>
        <w:rPr>
          <w:rStyle w:val="47"/>
        </w:rPr>
        <w:t>37合同签订</w:t>
      </w:r>
      <w:r>
        <w:tab/>
      </w:r>
      <w:r>
        <w:fldChar w:fldCharType="begin"/>
      </w:r>
      <w:r>
        <w:instrText xml:space="preserve"> PAGEREF _Toc59530159 \h </w:instrText>
      </w:r>
      <w:r>
        <w:fldChar w:fldCharType="separate"/>
      </w:r>
      <w:r>
        <w:t>30</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"_Toc59530160" </w:instrText>
      </w:r>
      <w:r>
        <w:fldChar w:fldCharType="separate"/>
      </w:r>
      <w:r>
        <w:rPr>
          <w:rStyle w:val="47"/>
        </w:rPr>
        <w:t>38履约保函</w:t>
      </w:r>
      <w:r>
        <w:tab/>
      </w:r>
      <w:r>
        <w:fldChar w:fldCharType="begin"/>
      </w:r>
      <w:r>
        <w:instrText xml:space="preserve"> PAGEREF _Toc59530160 \h </w:instrText>
      </w:r>
      <w:r>
        <w:fldChar w:fldCharType="separate"/>
      </w:r>
      <w:r>
        <w:t>30</w:t>
      </w:r>
      <w:r>
        <w:fldChar w:fldCharType="end"/>
      </w:r>
      <w:r>
        <w:fldChar w:fldCharType="end"/>
      </w:r>
    </w:p>
    <w:p>
      <w:pPr>
        <w:pStyle w:val="34"/>
        <w:rPr>
          <w:rFonts w:asciiTheme="minorHAnsi" w:hAnsiTheme="minorHAnsi" w:eastAsiaTheme="minorEastAsia" w:cstheme="minorBidi"/>
          <w:szCs w:val="22"/>
        </w:rPr>
      </w:pPr>
      <w:r>
        <w:fldChar w:fldCharType="begin"/>
      </w:r>
      <w:r>
        <w:instrText xml:space="preserve"> HYPERLINK \l "_Toc59530161" </w:instrText>
      </w:r>
      <w:r>
        <w:fldChar w:fldCharType="separate"/>
      </w:r>
      <w:r>
        <w:rPr>
          <w:rStyle w:val="47"/>
          <w:rFonts w:ascii="宋体" w:hAnsi="宋体"/>
        </w:rPr>
        <w:t>九．其他事项</w:t>
      </w:r>
      <w:r>
        <w:tab/>
      </w:r>
      <w:r>
        <w:fldChar w:fldCharType="begin"/>
      </w:r>
      <w:r>
        <w:instrText xml:space="preserve"> PAGEREF _Toc59530161 \h </w:instrText>
      </w:r>
      <w:r>
        <w:fldChar w:fldCharType="separate"/>
      </w:r>
      <w:r>
        <w:t>30</w:t>
      </w:r>
      <w:r>
        <w:fldChar w:fldCharType="end"/>
      </w:r>
      <w:r>
        <w:fldChar w:fldCharType="end"/>
      </w:r>
    </w:p>
    <w:p>
      <w:pPr>
        <w:pStyle w:val="28"/>
        <w:rPr>
          <w:rFonts w:asciiTheme="minorHAnsi" w:hAnsiTheme="minorHAnsi" w:eastAsiaTheme="minorEastAsia" w:cstheme="minorBidi"/>
          <w:szCs w:val="22"/>
        </w:rPr>
      </w:pPr>
      <w:r>
        <w:fldChar w:fldCharType="begin"/>
      </w:r>
      <w:r>
        <w:instrText xml:space="preserve"> HYPERLINK \l "_Toc59530162" </w:instrText>
      </w:r>
      <w:r>
        <w:fldChar w:fldCharType="separate"/>
      </w:r>
      <w:r>
        <w:rPr>
          <w:rStyle w:val="47"/>
        </w:rPr>
        <w:t>第四章合同条款</w:t>
      </w:r>
      <w:r>
        <w:tab/>
      </w:r>
      <w:r>
        <w:fldChar w:fldCharType="begin"/>
      </w:r>
      <w:r>
        <w:instrText xml:space="preserve"> PAGEREF _Toc59530162 \h </w:instrText>
      </w:r>
      <w:r>
        <w:fldChar w:fldCharType="separate"/>
      </w:r>
      <w:r>
        <w:t>31</w:t>
      </w:r>
      <w:r>
        <w:fldChar w:fldCharType="end"/>
      </w:r>
      <w:r>
        <w:fldChar w:fldCharType="end"/>
      </w:r>
    </w:p>
    <w:p>
      <w:pPr>
        <w:pStyle w:val="28"/>
        <w:rPr>
          <w:rFonts w:asciiTheme="minorHAnsi" w:hAnsiTheme="minorHAnsi" w:eastAsiaTheme="minorEastAsia" w:cstheme="minorBidi"/>
          <w:szCs w:val="22"/>
        </w:rPr>
      </w:pPr>
      <w:r>
        <w:fldChar w:fldCharType="begin"/>
      </w:r>
      <w:r>
        <w:instrText xml:space="preserve"> HYPERLINK \l "_Toc59530163" </w:instrText>
      </w:r>
      <w:r>
        <w:fldChar w:fldCharType="separate"/>
      </w:r>
      <w:r>
        <w:rPr>
          <w:rStyle w:val="47"/>
        </w:rPr>
        <w:t>第五章响应文件格式</w:t>
      </w:r>
      <w:r>
        <w:tab/>
      </w:r>
      <w:r>
        <w:fldChar w:fldCharType="begin"/>
      </w:r>
      <w:r>
        <w:instrText xml:space="preserve"> PAGEREF _Toc59530163 \h </w:instrText>
      </w:r>
      <w:r>
        <w:fldChar w:fldCharType="separate"/>
      </w:r>
      <w:r>
        <w:t>32</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"_Toc59530164" </w:instrText>
      </w:r>
      <w:r>
        <w:fldChar w:fldCharType="separate"/>
      </w:r>
      <w:r>
        <w:rPr>
          <w:rStyle w:val="47"/>
          <w:rFonts w:ascii="宋体" w:hAnsi="宋体"/>
        </w:rPr>
        <w:t>一  资格审查文件格式</w:t>
      </w:r>
      <w:r>
        <w:tab/>
      </w:r>
      <w:r>
        <w:fldChar w:fldCharType="begin"/>
      </w:r>
      <w:r>
        <w:instrText xml:space="preserve"> PAGEREF _Toc59530164 \h </w:instrText>
      </w:r>
      <w:r>
        <w:fldChar w:fldCharType="separate"/>
      </w:r>
      <w:r>
        <w:t>32</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"_Toc59530165" </w:instrText>
      </w:r>
      <w:r>
        <w:fldChar w:fldCharType="separate"/>
      </w:r>
      <w:r>
        <w:rPr>
          <w:rStyle w:val="47"/>
          <w:rFonts w:hAnsi="宋体"/>
          <w:b/>
        </w:rPr>
        <w:t>▲1、公司有效营业执照</w:t>
      </w:r>
      <w:r>
        <w:tab/>
      </w:r>
      <w:r>
        <w:fldChar w:fldCharType="begin"/>
      </w:r>
      <w:r>
        <w:instrText xml:space="preserve"> PAGEREF _Toc59530165 \h </w:instrText>
      </w:r>
      <w:r>
        <w:fldChar w:fldCharType="separate"/>
      </w:r>
      <w:r>
        <w:t>32</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"_Toc59530166" </w:instrText>
      </w:r>
      <w:r>
        <w:fldChar w:fldCharType="separate"/>
      </w:r>
      <w:r>
        <w:rPr>
          <w:rStyle w:val="47"/>
          <w:rFonts w:hAnsi="宋体"/>
          <w:b/>
        </w:rPr>
        <w:t>▲2、授权委托书</w:t>
      </w:r>
      <w:r>
        <w:tab/>
      </w:r>
      <w:r>
        <w:fldChar w:fldCharType="begin"/>
      </w:r>
      <w:r>
        <w:instrText xml:space="preserve"> PAGEREF _Toc59530166 \h </w:instrText>
      </w:r>
      <w:r>
        <w:fldChar w:fldCharType="separate"/>
      </w:r>
      <w:r>
        <w:t>33</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"_Toc59530167" </w:instrText>
      </w:r>
      <w:r>
        <w:fldChar w:fldCharType="separate"/>
      </w:r>
      <w:r>
        <w:rPr>
          <w:rStyle w:val="47"/>
          <w:rFonts w:ascii="宋体" w:hAnsi="宋体"/>
        </w:rPr>
        <w:t>二  资信商务及技术文件格式</w:t>
      </w:r>
      <w:r>
        <w:tab/>
      </w:r>
      <w:r>
        <w:fldChar w:fldCharType="begin"/>
      </w:r>
      <w:r>
        <w:instrText xml:space="preserve"> PAGEREF _Toc59530167 \h </w:instrText>
      </w:r>
      <w:r>
        <w:fldChar w:fldCharType="separate"/>
      </w:r>
      <w:r>
        <w:t>35</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"_Toc59530168" </w:instrText>
      </w:r>
      <w:r>
        <w:fldChar w:fldCharType="separate"/>
      </w:r>
      <w:r>
        <w:rPr>
          <w:rStyle w:val="47"/>
          <w:rFonts w:ascii="宋体" w:hAnsi="宋体" w:cs="宋体"/>
          <w:b/>
        </w:rPr>
        <w:t>（一）资信商务文件格式</w:t>
      </w:r>
      <w:r>
        <w:tab/>
      </w:r>
      <w:r>
        <w:fldChar w:fldCharType="begin"/>
      </w:r>
      <w:r>
        <w:instrText xml:space="preserve"> PAGEREF _Toc59530168 \h </w:instrText>
      </w:r>
      <w:r>
        <w:fldChar w:fldCharType="separate"/>
      </w:r>
      <w:r>
        <w:t>35</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"_Toc59530169" </w:instrText>
      </w:r>
      <w:r>
        <w:fldChar w:fldCharType="separate"/>
      </w:r>
      <w:r>
        <w:rPr>
          <w:rStyle w:val="47"/>
          <w:rFonts w:ascii="宋体" w:hAnsi="宋体" w:cs="宋体"/>
          <w:b/>
        </w:rPr>
        <w:t>1、磋商函</w:t>
      </w:r>
      <w:r>
        <w:tab/>
      </w:r>
      <w:r>
        <w:fldChar w:fldCharType="begin"/>
      </w:r>
      <w:r>
        <w:instrText xml:space="preserve"> PAGEREF _Toc59530169 \h </w:instrText>
      </w:r>
      <w:r>
        <w:fldChar w:fldCharType="separate"/>
      </w:r>
      <w:r>
        <w:t>35</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"_Toc59530170" </w:instrText>
      </w:r>
      <w:r>
        <w:fldChar w:fldCharType="separate"/>
      </w:r>
      <w:r>
        <w:rPr>
          <w:rStyle w:val="47"/>
          <w:rFonts w:ascii="宋体" w:hAnsi="宋体" w:cs="宋体"/>
          <w:b/>
        </w:rPr>
        <w:t>2、供应商基本情况表</w:t>
      </w:r>
      <w:r>
        <w:tab/>
      </w:r>
      <w:r>
        <w:fldChar w:fldCharType="begin"/>
      </w:r>
      <w:r>
        <w:instrText xml:space="preserve"> PAGEREF _Toc59530170 \h </w:instrText>
      </w:r>
      <w:r>
        <w:fldChar w:fldCharType="separate"/>
      </w:r>
      <w:r>
        <w:t>36</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"_Toc59530171" </w:instrText>
      </w:r>
      <w:r>
        <w:fldChar w:fldCharType="separate"/>
      </w:r>
      <w:r>
        <w:rPr>
          <w:rStyle w:val="47"/>
          <w:rFonts w:ascii="宋体" w:hAnsi="宋体" w:cs="宋体"/>
          <w:b/>
        </w:rPr>
        <w:t>3、供应商业绩情况表</w:t>
      </w:r>
      <w:r>
        <w:tab/>
      </w:r>
      <w:r>
        <w:fldChar w:fldCharType="begin"/>
      </w:r>
      <w:r>
        <w:instrText xml:space="preserve"> PAGEREF _Toc59530171 \h </w:instrText>
      </w:r>
      <w:r>
        <w:fldChar w:fldCharType="separate"/>
      </w:r>
      <w:r>
        <w:t>37</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"_Toc59530172" </w:instrText>
      </w:r>
      <w:r>
        <w:fldChar w:fldCharType="separate"/>
      </w:r>
      <w:r>
        <w:rPr>
          <w:rStyle w:val="47"/>
          <w:rFonts w:ascii="宋体" w:hAnsi="宋体" w:cs="宋体"/>
          <w:b/>
        </w:rPr>
        <w:t>4、供应商财务状况表</w:t>
      </w:r>
      <w:r>
        <w:tab/>
      </w:r>
      <w:r>
        <w:fldChar w:fldCharType="begin"/>
      </w:r>
      <w:r>
        <w:instrText xml:space="preserve"> PAGEREF _Toc59530172 \h </w:instrText>
      </w:r>
      <w:r>
        <w:fldChar w:fldCharType="separate"/>
      </w:r>
      <w:r>
        <w:t>38</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"_Toc59530173" </w:instrText>
      </w:r>
      <w:r>
        <w:fldChar w:fldCharType="separate"/>
      </w:r>
      <w:r>
        <w:rPr>
          <w:rStyle w:val="47"/>
          <w:rFonts w:ascii="宋体" w:hAnsi="宋体" w:cs="宋体"/>
          <w:b/>
        </w:rPr>
        <w:t>5、供应商存款证明</w:t>
      </w:r>
      <w:r>
        <w:tab/>
      </w:r>
      <w:r>
        <w:fldChar w:fldCharType="begin"/>
      </w:r>
      <w:r>
        <w:instrText xml:space="preserve"> PAGEREF _Toc59530173 \h </w:instrText>
      </w:r>
      <w:r>
        <w:fldChar w:fldCharType="separate"/>
      </w:r>
      <w:r>
        <w:t>39</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"_Toc59530174" </w:instrText>
      </w:r>
      <w:r>
        <w:fldChar w:fldCharType="separate"/>
      </w:r>
      <w:r>
        <w:rPr>
          <w:rStyle w:val="47"/>
          <w:rFonts w:ascii="宋体" w:hAnsi="宋体" w:cs="宋体"/>
          <w:b/>
        </w:rPr>
        <w:t>6、商务响应表</w:t>
      </w:r>
      <w:r>
        <w:tab/>
      </w:r>
      <w:r>
        <w:fldChar w:fldCharType="begin"/>
      </w:r>
      <w:r>
        <w:instrText xml:space="preserve"> PAGEREF _Toc59530174 \h </w:instrText>
      </w:r>
      <w:r>
        <w:fldChar w:fldCharType="separate"/>
      </w:r>
      <w:r>
        <w:t>40</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"_Toc59530175" </w:instrText>
      </w:r>
      <w:r>
        <w:fldChar w:fldCharType="separate"/>
      </w:r>
      <w:r>
        <w:rPr>
          <w:rStyle w:val="47"/>
          <w:rFonts w:ascii="宋体" w:hAnsi="宋体" w:cs="宋体"/>
          <w:b/>
        </w:rPr>
        <w:t>7、供应商认为有利于本次磋商的其他材料</w:t>
      </w:r>
      <w:r>
        <w:tab/>
      </w:r>
      <w:r>
        <w:fldChar w:fldCharType="begin"/>
      </w:r>
      <w:r>
        <w:instrText xml:space="preserve"> PAGEREF _Toc59530175 \h </w:instrText>
      </w:r>
      <w:r>
        <w:fldChar w:fldCharType="separate"/>
      </w:r>
      <w:r>
        <w:t>41</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"_Toc59530176" </w:instrText>
      </w:r>
      <w:r>
        <w:fldChar w:fldCharType="separate"/>
      </w:r>
      <w:r>
        <w:rPr>
          <w:rStyle w:val="47"/>
          <w:rFonts w:ascii="宋体" w:hAnsi="宋体" w:cs="宋体"/>
          <w:b/>
        </w:rPr>
        <w:t>（二）技术文件格式</w:t>
      </w:r>
      <w:r>
        <w:tab/>
      </w:r>
      <w:r>
        <w:fldChar w:fldCharType="begin"/>
      </w:r>
      <w:r>
        <w:instrText xml:space="preserve"> PAGEREF _Toc59530176 \h </w:instrText>
      </w:r>
      <w:r>
        <w:fldChar w:fldCharType="separate"/>
      </w:r>
      <w:r>
        <w:t>42</w:t>
      </w:r>
      <w:r>
        <w:fldChar w:fldCharType="end"/>
      </w:r>
      <w:r>
        <w:fldChar w:fldCharType="end"/>
      </w:r>
    </w:p>
    <w:p>
      <w:pPr>
        <w:pStyle w:val="34"/>
        <w:rPr>
          <w:rFonts w:asciiTheme="minorHAnsi" w:hAnsiTheme="minorHAnsi" w:eastAsiaTheme="minorEastAsia" w:cstheme="minorBidi"/>
          <w:szCs w:val="22"/>
        </w:rPr>
      </w:pPr>
      <w:r>
        <w:fldChar w:fldCharType="begin"/>
      </w:r>
      <w:r>
        <w:instrText xml:space="preserve"> HYPERLINK \l "_Toc59530177" </w:instrText>
      </w:r>
      <w:r>
        <w:fldChar w:fldCharType="separate"/>
      </w:r>
      <w:r>
        <w:rPr>
          <w:rStyle w:val="47"/>
          <w:rFonts w:ascii="宋体" w:hAnsi="宋体"/>
        </w:rPr>
        <w:t>三、报价文件格式</w:t>
      </w:r>
      <w:r>
        <w:tab/>
      </w:r>
      <w:r>
        <w:fldChar w:fldCharType="begin"/>
      </w:r>
      <w:r>
        <w:instrText xml:space="preserve"> PAGEREF _Toc59530177 \h </w:instrText>
      </w:r>
      <w:r>
        <w:fldChar w:fldCharType="separate"/>
      </w:r>
      <w:r>
        <w:t>43</w:t>
      </w:r>
      <w:r>
        <w:fldChar w:fldCharType="end"/>
      </w:r>
      <w:r>
        <w:fldChar w:fldCharType="end"/>
      </w:r>
    </w:p>
    <w:p>
      <w:pPr>
        <w:pStyle w:val="28"/>
        <w:rPr>
          <w:rFonts w:asciiTheme="minorHAnsi" w:hAnsiTheme="minorHAnsi" w:eastAsiaTheme="minorEastAsia" w:cstheme="minorBidi"/>
          <w:szCs w:val="22"/>
        </w:rPr>
      </w:pPr>
      <w:r>
        <w:fldChar w:fldCharType="begin"/>
      </w:r>
      <w:r>
        <w:instrText xml:space="preserve"> HYPERLINK \l "_Toc59530178" </w:instrText>
      </w:r>
      <w:r>
        <w:fldChar w:fldCharType="separate"/>
      </w:r>
      <w:r>
        <w:rPr>
          <w:rStyle w:val="47"/>
        </w:rPr>
        <w:t>第六章磋商评审办法及评分标准</w:t>
      </w:r>
      <w:r>
        <w:tab/>
      </w:r>
      <w:r>
        <w:fldChar w:fldCharType="begin"/>
      </w:r>
      <w:r>
        <w:instrText xml:space="preserve"> PAGEREF _Toc59530178 \h </w:instrText>
      </w:r>
      <w:r>
        <w:fldChar w:fldCharType="separate"/>
      </w:r>
      <w:r>
        <w:t>44</w:t>
      </w:r>
      <w:r>
        <w:fldChar w:fldCharType="end"/>
      </w:r>
      <w:r>
        <w:fldChar w:fldCharType="end"/>
      </w:r>
    </w:p>
    <w:p>
      <w:pPr>
        <w:pStyle w:val="34"/>
        <w:rPr>
          <w:rFonts w:asciiTheme="minorHAnsi" w:hAnsiTheme="minorHAnsi" w:eastAsiaTheme="minorEastAsia" w:cstheme="minorBidi"/>
          <w:szCs w:val="22"/>
        </w:rPr>
      </w:pPr>
      <w:r>
        <w:fldChar w:fldCharType="begin"/>
      </w:r>
      <w:r>
        <w:instrText xml:space="preserve"> HYPERLINK \l "_Toc59530179" </w:instrText>
      </w:r>
      <w:r>
        <w:fldChar w:fldCharType="separate"/>
      </w:r>
      <w:r>
        <w:rPr>
          <w:rStyle w:val="47"/>
        </w:rPr>
        <w:t>一、总则</w:t>
      </w:r>
      <w:r>
        <w:tab/>
      </w:r>
      <w:r>
        <w:fldChar w:fldCharType="begin"/>
      </w:r>
      <w:r>
        <w:instrText xml:space="preserve"> PAGEREF _Toc59530179 \h </w:instrText>
      </w:r>
      <w:r>
        <w:fldChar w:fldCharType="separate"/>
      </w:r>
      <w:r>
        <w:t>44</w:t>
      </w:r>
      <w:r>
        <w:fldChar w:fldCharType="end"/>
      </w:r>
      <w:r>
        <w:fldChar w:fldCharType="end"/>
      </w:r>
    </w:p>
    <w:p>
      <w:pPr>
        <w:pStyle w:val="34"/>
        <w:rPr>
          <w:rFonts w:asciiTheme="minorHAnsi" w:hAnsiTheme="minorHAnsi" w:eastAsiaTheme="minorEastAsia" w:cstheme="minorBidi"/>
          <w:szCs w:val="22"/>
        </w:rPr>
      </w:pPr>
      <w:r>
        <w:fldChar w:fldCharType="begin"/>
      </w:r>
      <w:r>
        <w:instrText xml:space="preserve"> HYPERLINK \l "_Toc59530180" </w:instrText>
      </w:r>
      <w:r>
        <w:fldChar w:fldCharType="separate"/>
      </w:r>
      <w:r>
        <w:rPr>
          <w:rStyle w:val="47"/>
        </w:rPr>
        <w:t>二、磋商评审内容及标准</w:t>
      </w:r>
      <w:r>
        <w:tab/>
      </w:r>
      <w:r>
        <w:fldChar w:fldCharType="begin"/>
      </w:r>
      <w:r>
        <w:instrText xml:space="preserve"> PAGEREF _Toc59530180 \h </w:instrText>
      </w:r>
      <w:r>
        <w:fldChar w:fldCharType="separate"/>
      </w:r>
      <w:r>
        <w:t>44</w:t>
      </w:r>
      <w:r>
        <w:fldChar w:fldCharType="end"/>
      </w:r>
      <w:r>
        <w:fldChar w:fldCharType="end"/>
      </w:r>
    </w:p>
    <w:p>
      <w:pPr>
        <w:pStyle w:val="28"/>
        <w:rPr>
          <w:rFonts w:asciiTheme="minorHAnsi" w:hAnsiTheme="minorHAnsi" w:eastAsiaTheme="minorEastAsia" w:cstheme="minorBidi"/>
          <w:szCs w:val="22"/>
        </w:rPr>
      </w:pPr>
      <w:r>
        <w:fldChar w:fldCharType="begin"/>
      </w:r>
      <w:r>
        <w:instrText xml:space="preserve"> HYPERLINK \l "_Toc59530181" </w:instrText>
      </w:r>
      <w:r>
        <w:fldChar w:fldCharType="separate"/>
      </w:r>
      <w:r>
        <w:rPr>
          <w:rStyle w:val="47"/>
        </w:rPr>
        <w:t>第七章附件</w:t>
      </w:r>
      <w:r>
        <w:tab/>
      </w:r>
      <w:r>
        <w:fldChar w:fldCharType="begin"/>
      </w:r>
      <w:r>
        <w:instrText xml:space="preserve"> PAGEREF _Toc59530181 \h </w:instrText>
      </w:r>
      <w:r>
        <w:fldChar w:fldCharType="separate"/>
      </w:r>
      <w:r>
        <w:t>47</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"_Toc59530182" </w:instrText>
      </w:r>
      <w:r>
        <w:fldChar w:fldCharType="separate"/>
      </w:r>
      <w:r>
        <w:rPr>
          <w:rStyle w:val="47"/>
        </w:rPr>
        <w:t>附件1、实施方案（电子稿，至公告附件下载）</w:t>
      </w:r>
      <w:r>
        <w:tab/>
      </w:r>
      <w:r>
        <w:fldChar w:fldCharType="begin"/>
      </w:r>
      <w:r>
        <w:instrText xml:space="preserve"> PAGEREF _Toc59530182 \h </w:instrText>
      </w:r>
      <w:r>
        <w:fldChar w:fldCharType="separate"/>
      </w:r>
      <w:r>
        <w:t>47</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"_Toc59530183" </w:instrText>
      </w:r>
      <w:r>
        <w:fldChar w:fldCharType="separate"/>
      </w:r>
      <w:r>
        <w:rPr>
          <w:rStyle w:val="47"/>
        </w:rPr>
        <w:t>附件2、可行性研究报告（电子稿，至公告附件下载）</w:t>
      </w:r>
      <w:r>
        <w:tab/>
      </w:r>
      <w:r>
        <w:fldChar w:fldCharType="begin"/>
      </w:r>
      <w:r>
        <w:instrText xml:space="preserve"> PAGEREF _Toc59530183 \h </w:instrText>
      </w:r>
      <w:r>
        <w:fldChar w:fldCharType="separate"/>
      </w:r>
      <w:r>
        <w:t>47</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"_Toc59530184" </w:instrText>
      </w:r>
      <w:r>
        <w:fldChar w:fldCharType="separate"/>
      </w:r>
      <w:r>
        <w:rPr>
          <w:rStyle w:val="47"/>
        </w:rPr>
        <w:t>附件3：中小企业声明函（</w:t>
      </w:r>
      <w:r>
        <w:rPr>
          <w:rStyle w:val="47"/>
          <w:rFonts w:ascii="宋体" w:hAnsi="宋体"/>
        </w:rPr>
        <w:t>小微企业投标时适用，提供中小企业名录查询结果截图http://xwqy.gsxt.gov.cn，不提供不予抵扣</w:t>
      </w:r>
      <w:r>
        <w:rPr>
          <w:rStyle w:val="47"/>
        </w:rPr>
        <w:t>）</w:t>
      </w:r>
      <w:r>
        <w:tab/>
      </w:r>
      <w:r>
        <w:fldChar w:fldCharType="begin"/>
      </w:r>
      <w:r>
        <w:instrText xml:space="preserve"> PAGEREF _Toc59530184 \h </w:instrText>
      </w:r>
      <w:r>
        <w:fldChar w:fldCharType="separate"/>
      </w:r>
      <w:r>
        <w:t>48</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"_Toc59530185" </w:instrText>
      </w:r>
      <w:r>
        <w:fldChar w:fldCharType="separate"/>
      </w:r>
      <w:r>
        <w:rPr>
          <w:rStyle w:val="47"/>
        </w:rPr>
        <w:t>附件4：残疾人福利性单位声明函及残疾人福利性单位残疾人聘用情况表（</w:t>
      </w:r>
      <w:r>
        <w:rPr>
          <w:rStyle w:val="47"/>
          <w:rFonts w:ascii="宋体" w:hAnsi="宋体"/>
        </w:rPr>
        <w:t>残疾人福利性单位投标时适用）</w:t>
      </w:r>
      <w:r>
        <w:tab/>
      </w:r>
      <w:r>
        <w:fldChar w:fldCharType="begin"/>
      </w:r>
      <w:r>
        <w:instrText xml:space="preserve"> PAGEREF _Toc59530185 \h </w:instrText>
      </w:r>
      <w:r>
        <w:fldChar w:fldCharType="separate"/>
      </w:r>
      <w:r>
        <w:t>49</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"_Toc59530186" </w:instrText>
      </w:r>
      <w:r>
        <w:fldChar w:fldCharType="separate"/>
      </w:r>
      <w:r>
        <w:rPr>
          <w:rStyle w:val="47"/>
        </w:rPr>
        <w:t>附件5：政府采购政策情况表（</w:t>
      </w:r>
      <w:r>
        <w:rPr>
          <w:rStyle w:val="47"/>
          <w:rFonts w:ascii="宋体" w:hAnsi="宋体"/>
        </w:rPr>
        <w:t>小微企业、残疾人福利性单位、监狱企业投标时适用）</w:t>
      </w:r>
      <w:r>
        <w:tab/>
      </w:r>
      <w:r>
        <w:fldChar w:fldCharType="begin"/>
      </w:r>
      <w:r>
        <w:instrText xml:space="preserve"> PAGEREF _Toc59530186 \h </w:instrText>
      </w:r>
      <w:r>
        <w:fldChar w:fldCharType="separate"/>
      </w:r>
      <w:r>
        <w:t>51</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"_Toc59530187" </w:instrText>
      </w:r>
      <w:r>
        <w:fldChar w:fldCharType="separate"/>
      </w:r>
      <w:r>
        <w:rPr>
          <w:rStyle w:val="47"/>
        </w:rPr>
        <w:t>附件6：制造企业情况表（</w:t>
      </w:r>
      <w:r>
        <w:rPr>
          <w:rStyle w:val="47"/>
          <w:rFonts w:ascii="宋体" w:hAnsi="宋体"/>
        </w:rPr>
        <w:t>小微企业提供其他小微企业生产的产品时适用,提供中小企业名录查询结果截图http://xwqy.gsxt.gov.cn，不提供不予抵扣</w:t>
      </w:r>
      <w:r>
        <w:rPr>
          <w:rStyle w:val="47"/>
        </w:rPr>
        <w:t>）</w:t>
      </w:r>
      <w:r>
        <w:tab/>
      </w:r>
      <w:r>
        <w:fldChar w:fldCharType="begin"/>
      </w:r>
      <w:r>
        <w:instrText xml:space="preserve"> PAGEREF _Toc59530187 \h </w:instrText>
      </w:r>
      <w:r>
        <w:fldChar w:fldCharType="separate"/>
      </w:r>
      <w:r>
        <w:t>52</w:t>
      </w:r>
      <w:r>
        <w:fldChar w:fldCharType="end"/>
      </w:r>
      <w:r>
        <w:fldChar w:fldCharType="end"/>
      </w:r>
    </w:p>
    <w:p>
      <w:pPr>
        <w:pStyle w:val="20"/>
        <w:tabs>
          <w:tab w:val="right" w:leader="dot" w:pos="8296"/>
        </w:tabs>
        <w:rPr>
          <w:rFonts w:asciiTheme="minorHAnsi" w:hAnsiTheme="minorHAnsi" w:eastAsiaTheme="minorEastAsia" w:cstheme="minorBidi"/>
          <w:szCs w:val="22"/>
        </w:rPr>
      </w:pPr>
      <w:r>
        <w:fldChar w:fldCharType="begin"/>
      </w:r>
      <w:r>
        <w:instrText xml:space="preserve"> HYPERLINK \l "_Toc59530188" </w:instrText>
      </w:r>
      <w:r>
        <w:fldChar w:fldCharType="separate"/>
      </w:r>
      <w:r>
        <w:rPr>
          <w:rStyle w:val="47"/>
        </w:rPr>
        <w:t>附件7：政府采购支持中小企业信用融资相关事项通知</w:t>
      </w:r>
      <w:r>
        <w:tab/>
      </w:r>
      <w:r>
        <w:fldChar w:fldCharType="begin"/>
      </w:r>
      <w:r>
        <w:instrText xml:space="preserve"> PAGEREF _Toc59530188 \h </w:instrText>
      </w:r>
      <w:r>
        <w:fldChar w:fldCharType="separate"/>
      </w:r>
      <w:r>
        <w:t>53</w:t>
      </w:r>
      <w:r>
        <w:fldChar w:fldCharType="end"/>
      </w:r>
      <w:r>
        <w:fldChar w:fldCharType="end"/>
      </w:r>
    </w:p>
    <w:p>
      <w:pPr>
        <w:pStyle w:val="154"/>
      </w:pPr>
      <w:r>
        <w:rPr>
          <w:rFonts w:hint="eastAsia"/>
        </w:rPr>
        <w:fldChar w:fldCharType="end"/>
      </w:r>
    </w:p>
    <w:p/>
    <w:p/>
    <w:p/>
    <w:p/>
    <w:p/>
    <w:p/>
    <w:p/>
    <w:p/>
    <w:p/>
    <w:p/>
    <w:p/>
    <w:p/>
    <w:p>
      <w:r>
        <w:br w:type="page"/>
      </w:r>
    </w:p>
    <w:p>
      <w:pPr>
        <w:pStyle w:val="3"/>
        <w:snapToGrid w:val="0"/>
        <w:spacing w:line="240" w:lineRule="auto"/>
        <w:rPr>
          <w:rStyle w:val="89"/>
          <w:b w:val="0"/>
          <w:bCs w:val="0"/>
        </w:rPr>
      </w:pPr>
      <w:bookmarkStart w:id="6" w:name="_Toc59530104"/>
      <w:r>
        <w:rPr>
          <w:rStyle w:val="89"/>
          <w:rFonts w:hint="eastAsia"/>
          <w:b w:val="0"/>
          <w:bCs w:val="0"/>
        </w:rPr>
        <w:t>第一章</w:t>
      </w:r>
      <w:bookmarkEnd w:id="4"/>
      <w:bookmarkEnd w:id="5"/>
      <w:r>
        <w:rPr>
          <w:rFonts w:hint="eastAsia"/>
        </w:rPr>
        <w:t>竞争性磋商</w:t>
      </w:r>
      <w:r>
        <w:rPr>
          <w:rStyle w:val="89"/>
          <w:rFonts w:hint="eastAsia"/>
          <w:b w:val="0"/>
          <w:bCs w:val="0"/>
        </w:rPr>
        <w:t>公告</w:t>
      </w:r>
      <w:bookmarkEnd w:id="6"/>
    </w:p>
    <w:p>
      <w:pPr>
        <w:pBdr>
          <w:top w:val="single" w:color="auto" w:sz="4" w:space="1"/>
          <w:left w:val="single" w:color="auto" w:sz="4" w:space="4"/>
          <w:bottom w:val="single" w:color="auto" w:sz="4" w:space="1"/>
          <w:right w:val="single" w:color="auto" w:sz="4" w:space="4"/>
        </w:pBdr>
        <w:snapToGrid w:val="0"/>
        <w:spacing w:line="360" w:lineRule="auto"/>
        <w:ind w:firstLine="420" w:firstLineChars="200"/>
      </w:pPr>
      <w:bookmarkStart w:id="7" w:name="_Toc301187515"/>
      <w:bookmarkStart w:id="8" w:name="_Toc342654505"/>
      <w:bookmarkStart w:id="9" w:name="_Toc303756355"/>
      <w:bookmarkStart w:id="10" w:name="_Toc22550"/>
      <w:r>
        <w:rPr>
          <w:rFonts w:hint="eastAsia"/>
        </w:rPr>
        <w:t>项目概况</w:t>
      </w:r>
    </w:p>
    <w:p>
      <w:pPr>
        <w:pBdr>
          <w:top w:val="single" w:color="auto" w:sz="4" w:space="1"/>
          <w:left w:val="single" w:color="auto" w:sz="4" w:space="4"/>
          <w:bottom w:val="single" w:color="auto" w:sz="4" w:space="1"/>
          <w:right w:val="single" w:color="auto" w:sz="4" w:space="4"/>
        </w:pBdr>
        <w:snapToGrid w:val="0"/>
        <w:spacing w:line="360" w:lineRule="auto"/>
        <w:ind w:firstLine="420" w:firstLineChars="200"/>
        <w:rPr>
          <w:highlight w:val="none"/>
          <w:u w:val="single"/>
        </w:rPr>
      </w:pPr>
      <w:r>
        <w:rPr>
          <w:rFonts w:hint="eastAsia"/>
          <w:u w:val="single"/>
        </w:rPr>
        <w:t>东阳市南马镇西区污水</w:t>
      </w:r>
      <w:r>
        <w:rPr>
          <w:rFonts w:hint="eastAsia"/>
          <w:highlight w:val="none"/>
          <w:u w:val="single"/>
        </w:rPr>
        <w:t>处理厂一期改扩建工程PPP项目</w:t>
      </w:r>
      <w:r>
        <w:rPr>
          <w:rFonts w:hint="eastAsia"/>
          <w:highlight w:val="none"/>
        </w:rPr>
        <w:t>的通过资格预审的供应商应在东阳市公共资源交易网或浙江政府采购网上下载电子版竞争性磋商文件，并于2</w:t>
      </w:r>
      <w:r>
        <w:rPr>
          <w:highlight w:val="none"/>
        </w:rPr>
        <w:t>02</w:t>
      </w:r>
      <w:r>
        <w:rPr>
          <w:rFonts w:hint="eastAsia"/>
          <w:highlight w:val="none"/>
        </w:rPr>
        <w:t>1</w:t>
      </w:r>
      <w:r>
        <w:rPr>
          <w:rFonts w:hint="eastAsia"/>
          <w:bCs/>
          <w:highlight w:val="none"/>
          <w:u w:val="single"/>
        </w:rPr>
        <w:t>年2月4日</w:t>
      </w:r>
      <w:bookmarkStart w:id="11" w:name="_Hlk61963213"/>
      <w:r>
        <w:rPr>
          <w:rFonts w:hint="eastAsia"/>
          <w:bCs/>
          <w:highlight w:val="none"/>
          <w:u w:val="single"/>
        </w:rPr>
        <w:t>上午9点30分</w:t>
      </w:r>
      <w:bookmarkEnd w:id="11"/>
      <w:r>
        <w:rPr>
          <w:rFonts w:hint="eastAsia"/>
          <w:bCs/>
          <w:highlight w:val="none"/>
        </w:rPr>
        <w:t>（北京时间）前提交（上传）响应</w:t>
      </w:r>
      <w:r>
        <w:rPr>
          <w:bCs/>
          <w:highlight w:val="none"/>
        </w:rPr>
        <w:t>文件</w:t>
      </w:r>
      <w:r>
        <w:rPr>
          <w:rFonts w:hint="eastAsia"/>
          <w:highlight w:val="none"/>
        </w:rPr>
        <w:t>。</w:t>
      </w:r>
    </w:p>
    <w:p>
      <w:pPr>
        <w:spacing w:line="500" w:lineRule="exact"/>
        <w:ind w:firstLine="420" w:firstLineChars="200"/>
        <w:rPr>
          <w:rFonts w:ascii="宋体" w:hAnsi="宋体" w:cs="宋体"/>
          <w:bCs/>
          <w:highlight w:val="none"/>
        </w:rPr>
      </w:pPr>
    </w:p>
    <w:p>
      <w:pPr>
        <w:pStyle w:val="4"/>
        <w:adjustRightInd w:val="0"/>
        <w:snapToGrid w:val="0"/>
        <w:spacing w:before="120" w:beforeLines="50" w:after="120" w:afterLines="50" w:line="360" w:lineRule="auto"/>
        <w:rPr>
          <w:rFonts w:ascii="宋体" w:hAnsi="宋体"/>
          <w:sz w:val="24"/>
          <w:szCs w:val="24"/>
          <w:highlight w:val="none"/>
        </w:rPr>
      </w:pPr>
      <w:bookmarkStart w:id="12" w:name="_Toc35393629"/>
      <w:bookmarkStart w:id="13" w:name="_Toc28359012"/>
      <w:bookmarkStart w:id="14" w:name="_Toc28359089"/>
      <w:bookmarkStart w:id="15" w:name="_Toc35393798"/>
      <w:bookmarkStart w:id="16" w:name="_Toc59530105"/>
      <w:r>
        <w:rPr>
          <w:rFonts w:hint="eastAsia" w:ascii="宋体" w:hAnsi="宋体"/>
          <w:sz w:val="24"/>
          <w:szCs w:val="24"/>
          <w:highlight w:val="none"/>
        </w:rPr>
        <w:t>一、项目基本情况</w:t>
      </w:r>
      <w:bookmarkEnd w:id="12"/>
      <w:bookmarkEnd w:id="13"/>
      <w:bookmarkEnd w:id="14"/>
      <w:bookmarkEnd w:id="15"/>
      <w:bookmarkEnd w:id="16"/>
    </w:p>
    <w:p>
      <w:pPr>
        <w:spacing w:line="500" w:lineRule="exact"/>
        <w:ind w:firstLine="420" w:firstLineChars="200"/>
        <w:rPr>
          <w:rFonts w:ascii="宋体" w:hAnsi="宋体" w:cs="宋体"/>
          <w:bCs/>
          <w:highlight w:val="none"/>
        </w:rPr>
      </w:pPr>
      <w:r>
        <w:rPr>
          <w:rFonts w:hint="eastAsia" w:ascii="宋体" w:hAnsi="宋体" w:cs="宋体"/>
          <w:bCs/>
          <w:highlight w:val="none"/>
        </w:rPr>
        <w:t>项目编号：</w:t>
      </w:r>
      <w:r>
        <w:rPr>
          <w:rFonts w:ascii="宋体" w:hAnsi="宋体" w:cs="宋体"/>
          <w:bCs/>
          <w:highlight w:val="none"/>
        </w:rPr>
        <w:t>DYCG2020-CS-B107</w:t>
      </w:r>
    </w:p>
    <w:p>
      <w:pPr>
        <w:spacing w:line="500" w:lineRule="exact"/>
        <w:ind w:firstLine="420" w:firstLineChars="200"/>
        <w:rPr>
          <w:rFonts w:ascii="宋体" w:hAnsi="宋体" w:cs="宋体"/>
          <w:bCs/>
          <w:highlight w:val="none"/>
        </w:rPr>
      </w:pPr>
      <w:r>
        <w:rPr>
          <w:rFonts w:hint="eastAsia" w:ascii="宋体" w:hAnsi="宋体" w:cs="宋体"/>
          <w:bCs/>
          <w:highlight w:val="none"/>
        </w:rPr>
        <w:t>项目名称：东阳市南马镇西区污水处理厂一期改扩建工程PPP项目</w:t>
      </w:r>
    </w:p>
    <w:p>
      <w:pPr>
        <w:spacing w:line="500" w:lineRule="exact"/>
        <w:ind w:firstLine="420" w:firstLineChars="200"/>
        <w:rPr>
          <w:rFonts w:ascii="宋体" w:hAnsi="宋体" w:cs="宋体"/>
          <w:bCs/>
          <w:highlight w:val="none"/>
        </w:rPr>
      </w:pPr>
      <w:r>
        <w:rPr>
          <w:rFonts w:hint="eastAsia" w:ascii="宋体" w:hAnsi="宋体" w:cs="宋体"/>
          <w:bCs/>
          <w:highlight w:val="none"/>
        </w:rPr>
        <w:t>采购方式：资格预审+竞争性磋商</w:t>
      </w:r>
    </w:p>
    <w:p>
      <w:pPr>
        <w:spacing w:line="500" w:lineRule="exact"/>
        <w:ind w:firstLine="420" w:firstLineChars="200"/>
        <w:rPr>
          <w:rFonts w:ascii="宋体" w:hAnsi="宋体" w:cs="宋体"/>
          <w:bCs/>
          <w:highlight w:val="none"/>
        </w:rPr>
      </w:pPr>
      <w:r>
        <w:rPr>
          <w:rFonts w:hint="eastAsia" w:ascii="宋体" w:hAnsi="宋体" w:cs="宋体"/>
          <w:bCs/>
          <w:highlight w:val="none"/>
        </w:rPr>
        <w:t>项目投资：根据《东阳市发展和改革局关于南马镇西区污水处理厂一期改扩建工程可行性研究报告的批复》（东发改审批〔2020〕172号），项目总投资为8220万元。</w:t>
      </w:r>
    </w:p>
    <w:p>
      <w:pPr>
        <w:spacing w:line="500" w:lineRule="exact"/>
        <w:ind w:firstLine="420" w:firstLineChars="200"/>
        <w:rPr>
          <w:rFonts w:ascii="宋体" w:hAnsi="宋体" w:cs="宋体"/>
          <w:bCs/>
          <w:highlight w:val="none"/>
        </w:rPr>
      </w:pPr>
      <w:r>
        <w:rPr>
          <w:rFonts w:hint="eastAsia" w:ascii="宋体" w:hAnsi="宋体" w:cs="宋体"/>
          <w:bCs/>
          <w:highlight w:val="none"/>
        </w:rPr>
        <w:t>计划工期：详见《PPP项目合同》。</w:t>
      </w:r>
    </w:p>
    <w:p>
      <w:pPr>
        <w:spacing w:line="500" w:lineRule="exact"/>
        <w:ind w:firstLine="420" w:firstLineChars="200"/>
        <w:rPr>
          <w:rFonts w:ascii="宋体" w:hAnsi="宋体" w:cs="宋体"/>
          <w:bCs/>
          <w:highlight w:val="none"/>
        </w:rPr>
      </w:pPr>
      <w:r>
        <w:rPr>
          <w:rFonts w:hint="eastAsia" w:ascii="宋体" w:hAnsi="宋体" w:cs="宋体"/>
          <w:bCs/>
          <w:highlight w:val="none"/>
        </w:rPr>
        <w:t>最高限价：2</w:t>
      </w:r>
      <w:r>
        <w:rPr>
          <w:rFonts w:ascii="宋体" w:hAnsi="宋体" w:cs="宋体"/>
          <w:bCs/>
          <w:highlight w:val="none"/>
        </w:rPr>
        <w:t>.210</w:t>
      </w:r>
      <w:r>
        <w:rPr>
          <w:rFonts w:hint="eastAsia" w:ascii="宋体" w:hAnsi="宋体" w:cs="宋体"/>
          <w:bCs/>
          <w:highlight w:val="none"/>
        </w:rPr>
        <w:t>元/m³</w:t>
      </w:r>
    </w:p>
    <w:p>
      <w:pPr>
        <w:spacing w:line="500" w:lineRule="exact"/>
        <w:ind w:firstLine="420" w:firstLineChars="200"/>
        <w:rPr>
          <w:rFonts w:ascii="宋体" w:hAnsi="宋体" w:cs="宋体"/>
          <w:bCs/>
        </w:rPr>
      </w:pPr>
      <w:r>
        <w:rPr>
          <w:rFonts w:hint="eastAsia" w:ascii="宋体" w:hAnsi="宋体" w:cs="宋体"/>
          <w:bCs/>
        </w:rPr>
        <w:t>采购需求：</w:t>
      </w:r>
    </w:p>
    <w:p>
      <w:pPr>
        <w:spacing w:line="500" w:lineRule="exact"/>
        <w:ind w:firstLine="420" w:firstLineChars="200"/>
        <w:rPr>
          <w:rFonts w:ascii="宋体" w:hAnsi="宋体" w:cs="宋体"/>
          <w:bCs/>
        </w:rPr>
      </w:pPr>
      <w:r>
        <w:rPr>
          <w:rFonts w:hint="eastAsia" w:ascii="宋体" w:hAnsi="宋体" w:cs="宋体"/>
          <w:bCs/>
        </w:rPr>
        <w:t>1、建设地址：位于东阳市南马镇上安恬村，南至南江边，北至山脚下，西至南江边，东至525县道。</w:t>
      </w:r>
    </w:p>
    <w:p>
      <w:pPr>
        <w:spacing w:line="500" w:lineRule="exact"/>
        <w:ind w:firstLine="420" w:firstLineChars="200"/>
        <w:rPr>
          <w:rFonts w:ascii="宋体" w:hAnsi="宋体" w:cs="宋体"/>
          <w:bCs/>
        </w:rPr>
      </w:pPr>
      <w:r>
        <w:rPr>
          <w:rFonts w:hint="eastAsia" w:ascii="宋体" w:hAnsi="宋体" w:cs="宋体"/>
          <w:bCs/>
        </w:rPr>
        <w:t>2、服务范围：南马镇镇区、千祥部分片区以及防军片区。</w:t>
      </w:r>
    </w:p>
    <w:p>
      <w:pPr>
        <w:spacing w:line="500" w:lineRule="exact"/>
        <w:ind w:firstLine="420" w:firstLineChars="200"/>
        <w:rPr>
          <w:rFonts w:ascii="宋体" w:hAnsi="宋体" w:cs="宋体"/>
          <w:bCs/>
        </w:rPr>
      </w:pPr>
      <w:r>
        <w:rPr>
          <w:rFonts w:hint="eastAsia" w:ascii="宋体" w:hAnsi="宋体" w:cs="宋体"/>
          <w:bCs/>
        </w:rPr>
        <w:t>3、建设标准：本项目出水水质的化学需氧量、氨氮、总氮、总磷等4项水污染物基本控制项目达到《城镇污水处理厂主要水污染物排放标准》(DB33/2169-2018)中表1标准，其余控制项目仍按《城镇污水处理厂污染物排放标准》(GB18918-2002)中的一级A标准执行。</w:t>
      </w:r>
    </w:p>
    <w:p>
      <w:pPr>
        <w:spacing w:line="500" w:lineRule="exact"/>
        <w:ind w:firstLine="420" w:firstLineChars="200"/>
        <w:rPr>
          <w:rFonts w:ascii="宋体" w:hAnsi="宋体" w:cs="宋体"/>
          <w:bCs/>
        </w:rPr>
      </w:pPr>
      <w:r>
        <w:rPr>
          <w:rFonts w:hint="eastAsia" w:ascii="宋体" w:hAnsi="宋体" w:cs="宋体"/>
          <w:bCs/>
        </w:rPr>
        <w:t>4、运作方式：项目采用ROT模式运作，总合作期限为24年（其中建设期1年），收益回报机制为使用者付费；本项目资产归政府或其指定机构所有，PPP项目公司在项目合作期内享有项目经营权；合作期满本项目设施及相关权益无偿移交给政府。</w:t>
      </w:r>
    </w:p>
    <w:p>
      <w:pPr>
        <w:spacing w:line="500" w:lineRule="exact"/>
        <w:ind w:firstLine="420" w:firstLineChars="200"/>
        <w:rPr>
          <w:rFonts w:ascii="宋体" w:hAnsi="宋体" w:cs="宋体"/>
          <w:bCs/>
        </w:rPr>
      </w:pPr>
      <w:r>
        <w:rPr>
          <w:rFonts w:hint="eastAsia" w:ascii="宋体" w:hAnsi="宋体" w:cs="宋体"/>
          <w:bCs/>
        </w:rPr>
        <w:t>5、合作内容：</w:t>
      </w:r>
    </w:p>
    <w:p>
      <w:pPr>
        <w:spacing w:line="500" w:lineRule="exact"/>
        <w:ind w:firstLine="420" w:firstLineChars="200"/>
        <w:rPr>
          <w:rFonts w:ascii="宋体" w:hAnsi="宋体" w:cs="宋体"/>
          <w:bCs/>
        </w:rPr>
      </w:pPr>
      <w:r>
        <w:rPr>
          <w:rFonts w:hint="eastAsia" w:ascii="宋体" w:hAnsi="宋体" w:cs="宋体"/>
          <w:bCs/>
        </w:rPr>
        <w:t>本项目合作内容包括东阳市南马镇西区污水处理厂一期工程的投融资、拆除新建、运营及移交，设计规模为2万m3/d，设计出水水质达到浙江省《城镇污水处理厂主要水污染物排放标准》（DB33/2169-2018），尾水排至南江。详见项目《实施方案》。</w:t>
      </w:r>
    </w:p>
    <w:p>
      <w:pPr>
        <w:pStyle w:val="4"/>
        <w:adjustRightInd w:val="0"/>
        <w:snapToGrid w:val="0"/>
        <w:spacing w:before="120" w:beforeLines="50" w:after="120" w:afterLines="50" w:line="360" w:lineRule="auto"/>
        <w:rPr>
          <w:rFonts w:ascii="宋体" w:hAnsi="宋体"/>
          <w:sz w:val="24"/>
          <w:szCs w:val="24"/>
        </w:rPr>
      </w:pPr>
      <w:bookmarkStart w:id="17" w:name="_Toc59530106"/>
      <w:r>
        <w:rPr>
          <w:rFonts w:hint="eastAsia" w:ascii="宋体" w:hAnsi="宋体"/>
          <w:sz w:val="24"/>
          <w:szCs w:val="24"/>
        </w:rPr>
        <w:t>二、申请人的资格要求：</w:t>
      </w:r>
      <w:bookmarkEnd w:id="17"/>
    </w:p>
    <w:p>
      <w:pPr>
        <w:spacing w:line="500" w:lineRule="exact"/>
        <w:ind w:firstLine="420" w:firstLineChars="200"/>
        <w:rPr>
          <w:rFonts w:ascii="宋体" w:hAnsi="宋体" w:cs="宋体"/>
          <w:bCs/>
        </w:rPr>
      </w:pPr>
      <w:r>
        <w:rPr>
          <w:rFonts w:hint="eastAsia" w:ascii="宋体" w:hAnsi="宋体" w:cs="宋体"/>
          <w:bCs/>
        </w:rPr>
        <w:t>通过本项目资格预审的合格供应商。</w:t>
      </w:r>
    </w:p>
    <w:p>
      <w:pPr>
        <w:spacing w:line="500" w:lineRule="exact"/>
        <w:ind w:firstLine="420" w:firstLineChars="200"/>
        <w:rPr>
          <w:rFonts w:ascii="宋体" w:hAnsi="宋体" w:cs="宋体"/>
          <w:bCs/>
        </w:rPr>
      </w:pPr>
      <w:r>
        <w:rPr>
          <w:rFonts w:hint="eastAsia" w:ascii="宋体" w:hAnsi="宋体" w:cs="宋体"/>
          <w:bCs/>
        </w:rPr>
        <w:t>注：本次采购采用资格预审，未参与本项目资格预审的或资格预审未通过的潜在供应商递交的磋商材料将被拒收。</w:t>
      </w:r>
    </w:p>
    <w:p>
      <w:pPr>
        <w:pStyle w:val="4"/>
        <w:adjustRightInd w:val="0"/>
        <w:snapToGrid w:val="0"/>
        <w:spacing w:before="120" w:beforeLines="50" w:after="120" w:afterLines="50" w:line="360" w:lineRule="auto"/>
        <w:rPr>
          <w:rFonts w:ascii="宋体" w:hAnsi="宋体"/>
          <w:sz w:val="24"/>
          <w:szCs w:val="24"/>
        </w:rPr>
      </w:pPr>
      <w:bookmarkStart w:id="18" w:name="_Toc59530107"/>
      <w:r>
        <w:rPr>
          <w:rFonts w:hint="eastAsia" w:ascii="宋体" w:hAnsi="宋体"/>
          <w:sz w:val="24"/>
          <w:szCs w:val="24"/>
        </w:rPr>
        <w:t>三、获取采购文件</w:t>
      </w:r>
      <w:bookmarkEnd w:id="18"/>
    </w:p>
    <w:p>
      <w:pPr>
        <w:spacing w:line="500" w:lineRule="exact"/>
        <w:ind w:firstLine="422" w:firstLineChars="200"/>
        <w:rPr>
          <w:rFonts w:ascii="宋体" w:hAnsi="宋体" w:cs="宋体"/>
          <w:b/>
        </w:rPr>
      </w:pPr>
      <w:r>
        <w:rPr>
          <w:rFonts w:hint="eastAsia" w:ascii="宋体" w:hAnsi="宋体" w:cs="宋体"/>
          <w:b/>
        </w:rPr>
        <w:t>（1）网上获取：</w:t>
      </w:r>
    </w:p>
    <w:p>
      <w:pPr>
        <w:spacing w:line="500" w:lineRule="exact"/>
        <w:ind w:firstLine="420" w:firstLineChars="200"/>
        <w:rPr>
          <w:rFonts w:ascii="宋体" w:hAnsi="宋体" w:cs="宋体"/>
          <w:bCs/>
          <w:highlight w:val="none"/>
        </w:rPr>
      </w:pPr>
      <w:r>
        <w:rPr>
          <w:rFonts w:hint="eastAsia" w:ascii="宋体" w:hAnsi="宋体" w:cs="宋体"/>
          <w:bCs/>
        </w:rPr>
        <w:t>A、由供应商通过浙江省政府采购网(</w:t>
      </w:r>
      <w:r>
        <w:rPr>
          <w:rFonts w:hint="eastAsia" w:ascii="宋体" w:hAnsi="宋体" w:cs="宋体"/>
          <w:bCs/>
        </w:rPr>
        <w:fldChar w:fldCharType="begin"/>
      </w:r>
      <w:r>
        <w:rPr>
          <w:rFonts w:hint="eastAsia" w:ascii="宋体" w:hAnsi="宋体" w:cs="宋体"/>
          <w:bCs/>
        </w:rPr>
        <w:instrText xml:space="preserve">INCLUDEPICTURE \d "C:\\Users\\Administrator\\AppData\\Roaming\\Tencent\\QQ\\Temp\\%W@GJ$ACOF(TYDYECOKVDYB.png" \* MERGEFORMATINET </w:instrText>
      </w:r>
      <w:r>
        <w:rPr>
          <w:rFonts w:hint="eastAsia"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INCLUDEPICTURE  "C:\\Users\\Administrator\\AppData\\Roaming\\Tencent\\QQ\\Temp\\%W@GJ$ACOF(TYDYECOKVDYB.png" \* MERGEFORMATINET</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"C:\\Users\\chend\\AppData\\Roaming\\Tencent\\QQ\\Temp\\%W@GJ$ACOF(TYDYECOKVDYB.png"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"C:\\Users\\chend\\AppData\\Roaming\\Tencent\\QQ\\Temp\\%W@GJ$ACOF(TYDYECOKVDYB.png"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"D:\\chend\\AppData\\Roaming\\Tencent\\QQ\\Temp\\%W@GJ$ACOF(TYDYECOKVDYB.png"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"D:\\chend\\AppData\\Roaming\\Tencent\\QQ\\Temp\\%W@GJ$ACOF(TYDYECOKVDYB.png"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"D:\\chend\\AppData\\Roaming\\Tencent\\QQ\\Temp\\%W@GJ$ACOF(TYDYECOKVDYB.png"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"C:\\Users\\chend\\AppData\\Roaming\\Tencent\\QQ\\Temp\\%W@GJ$ACOF(TYDYECOKVDYB.png"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"C:\\Users\\chend\\Documents\\WeChat Files\\xun599218189\\chend\\AppData\\Roaming\\Tencent\\QQ\\Temp\\%W@GJ$ACOF(TYDYECOKVDYB.png"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"C:\\Users\\chend\\Documents\\WeChat Files\\xun599218189\\chend\\AppData\\Roaming\\Tencent\\QQ\\Temp\\%W@GJ$ACOF(TYDYECOKVDYB.png"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"C:\\Users\\chend\\Documents\\WeChat Files\\xun599218189\\chend\\AppData\\Roaming\\Tencent\\QQ\\Temp\\%W@GJ$ACOF(TYDYECOKVDYB.png" \* MERGEFORMATINET </w:instrText>
      </w:r>
      <w:r>
        <w:rPr>
          <w:rFonts w:ascii="宋体" w:hAnsi="宋体" w:cs="宋体"/>
          <w:bCs/>
        </w:rPr>
        <w:fldChar w:fldCharType="separate"/>
      </w:r>
      <w:r>
        <w:rPr>
          <w:rFonts w:ascii="宋体" w:hAnsi="宋体" w:cs="宋体"/>
          <w:bCs/>
        </w:rPr>
        <w:pict>
          <v:shape id="_x0000_i1025" o:spt="75" type="#_x0000_t75" style="height:11.65pt;width:15pt;" filled="f" o:preferrelative="t" stroked="f" coordsize="21600,21600">
            <v:path/>
            <v:fill on="f" focussize="0,0"/>
            <v:stroke on="f" joinstyle="miter"/>
            <v:imagedata r:id="rId5" r:href="rId6" o:title=""/>
            <o:lock v:ext="edit" aspectratio="t"/>
            <w10:wrap type="none"/>
            <w10:anchorlock/>
          </v:shape>
        </w:pict>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hint="eastAsia" w:ascii="宋体" w:hAnsi="宋体" w:cs="宋体"/>
          <w:bCs/>
        </w:rPr>
        <w:fldChar w:fldCharType="end"/>
      </w:r>
      <w:r>
        <w:rPr>
          <w:rFonts w:hint="eastAsia" w:ascii="宋体" w:hAnsi="宋体" w:cs="宋体"/>
          <w:bCs/>
        </w:rPr>
        <w:t>http://zfcg.czt.zj.gov.cn/)上的登录系统进行获取（首次参加磋商的单位应先登录浙江省政府采购网(</w:t>
      </w:r>
      <w:r>
        <w:rPr>
          <w:rFonts w:hint="eastAsia" w:ascii="宋体" w:hAnsi="宋体" w:cs="宋体"/>
          <w:bCs/>
        </w:rPr>
        <w:fldChar w:fldCharType="begin"/>
      </w:r>
      <w:r>
        <w:rPr>
          <w:rFonts w:hint="eastAsia" w:ascii="宋体" w:hAnsi="宋体" w:cs="宋体"/>
          <w:bCs/>
        </w:rPr>
        <w:instrText xml:space="preserve">INCLUDEPICTURE \d "C:\\Users\\Administrator\\AppData\\Roaming\\Tencent\\QQ\\Temp\\%W@GJ$ACOF(TYDYECOKVDYB.png" \* MERGEFORMATINET </w:instrText>
      </w:r>
      <w:r>
        <w:rPr>
          <w:rFonts w:hint="eastAsia"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INCLUDEPICTURE  "C:\\Users\\Administrator\\AppData\\Roaming\\Tencent\\QQ\\Temp\\%W@GJ$ACOF(TYDYECOKVDYB.png" \* MERGEFORMATINET</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"C:\\Users\\chend\\AppData\\Roaming\\Tencent\\QQ\\Temp\\%W@GJ$ACOF(TYDYECOKVDYB.png"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"C:\\Users\\chend\\AppData\\Roaming\\Tencent\\QQ\\Temp\\%W@GJ$ACOF(TYDYECOKVDYB.png"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"D:\\chend\\AppData\\Roaming\\Tencent\\QQ\\Temp\\%W@GJ$ACOF(TYDYECOKVDYB.png"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"D:\\chend\\AppData\\Roaming\\Tencent\\QQ\\Temp\\%W@GJ$ACOF(TYDYECOKVDYB.png"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"D:\\chend\\AppData\\Roaming\\Tencent\\QQ\\Temp\\%W@GJ$ACOF(TYDYECOKVDYB.png"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"C:\\Users\\chend\\AppData\\Roaming\\Tencent\\QQ\\Temp\\%W@GJ$ACOF(TYDYECOKVDYB.png"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"C:\\Users\\chend\\Documents\\WeChat Files\\xun599218189\\chend\\AppData\\Roaming\\Tencent\\QQ\\Temp\\%W@GJ$ACOF(TYDYECOKVDYB.png"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"C:\\Users\\chend\\Documents\\WeChat Files\\xun599218189\\chend\\AppData\\Roaming\\Tencent\\QQ\\Temp\\%W@GJ$ACOF(TYDYECOKVDYB.png"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"C:\\Users\\chend\\Documents\\WeChat Files\\xun599218189\\chend\\AppData\\Roaming\\Tencent\\QQ\\Temp\\%W@GJ$ACOF(TYDYECOKVDYB.png" \* MERGEFORMATINET </w:instrText>
      </w:r>
      <w:r>
        <w:rPr>
          <w:rFonts w:ascii="宋体" w:hAnsi="宋体" w:cs="宋体"/>
          <w:bCs/>
        </w:rPr>
        <w:fldChar w:fldCharType="separate"/>
      </w:r>
      <w:r>
        <w:rPr>
          <w:rFonts w:ascii="宋体" w:hAnsi="宋体" w:cs="宋体"/>
          <w:bCs/>
        </w:rPr>
        <w:pict>
          <v:shape id="_x0000_i1026" o:spt="75" type="#_x0000_t75" style="height:11.65pt;width:15pt;" filled="f" o:preferrelative="t" stroked="f" coordsize="21600,21600">
            <v:path/>
            <v:fill on="f" focussize="0,0"/>
            <v:stroke on="f" joinstyle="miter"/>
            <v:imagedata r:id="rId5" r:href="rId6" o:title=""/>
            <o:lock v:ext="edit" aspectratio="t"/>
            <w10:wrap type="none"/>
            <w10:anchorlock/>
          </v:shape>
        </w:pict>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hint="eastAsia" w:ascii="宋体" w:hAnsi="宋体" w:cs="宋体"/>
          <w:bCs/>
        </w:rPr>
        <w:fldChar w:fldCharType="end"/>
      </w:r>
      <w:r>
        <w:rPr>
          <w:rFonts w:hint="eastAsia" w:ascii="宋体" w:hAnsi="宋体" w:cs="宋体"/>
          <w:bCs/>
        </w:rPr>
        <w:t>http://zfcg.czt.zj.gov.cn/)进行账户注册，注册完毕待审核成功后方可登录获取，注册咨询电话：400-881-7190；注册流程见网址</w:t>
      </w:r>
      <w:r>
        <w:rPr>
          <w:rFonts w:hint="eastAsia" w:ascii="宋体" w:hAnsi="宋体" w:cs="宋体"/>
          <w:bCs/>
        </w:rPr>
        <w:fldChar w:fldCharType="begin"/>
      </w:r>
      <w:r>
        <w:rPr>
          <w:rFonts w:hint="eastAsia" w:ascii="宋体" w:hAnsi="宋体" w:cs="宋体"/>
          <w:bCs/>
        </w:rPr>
        <w:instrText xml:space="preserve">INCLUDEPICTURE \d "C:\\Users\\Administrator\\AppData\\Roaming\\Tencent\\QQ\\Temp\\%W@GJ$ACOF(TYDYECOKVDYB.png" \* MERGEFORMATINET </w:instrText>
      </w:r>
      <w:r>
        <w:rPr>
          <w:rFonts w:hint="eastAsia"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INCLUDEPICTURE  "C:\\Users\\Administrator\\AppData\\Roaming\\Tencent\\QQ\\Temp\\%W@GJ$ACOF(TYDYECOKVDYB.png" \* MERGEFORMATINET</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"C:\\Users\\chend\\AppData\\Roaming\\Tencent\\QQ\\Temp\\%W@GJ$ACOF(TYDYECOKVDYB.png"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"C:\\Users\\chend\\AppData\\Roaming\\Tencent\\QQ\\Temp\\%W@GJ$ACOF(TYDYECOKVDYB.png"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"D:\\chend\\AppData\\Roaming\\Tencent\\QQ\\Temp\\%W@GJ$ACOF(TYDYECOKVDYB.png"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"D:\\chend\\AppData\\Roaming\\Tencent\\QQ\\Temp\\%W@GJ$ACOF(TYDYECOKVDYB.png"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"D:\\chend\\AppData\\Roaming\\Tencent\\QQ\\Temp\\%W@GJ$ACOF(TYDYECOKVDYB.png"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"C:\\Users\\chend\\AppData\\Roaming\\Tencent\\QQ\\Temp\\%W@GJ$ACOF(TYDYECOKVDYB.png"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"C:\\Users\\chend\\Documents\\WeChat Files\\xun599218189\\chend\\AppData\\Roaming\\Tencent\\QQ\\Temp\\%W@GJ$ACOF(TYDYECOKVDYB.png"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"C:\\Users\\chend\\Documents\\WeChat Files\\xun599218189\\chend\\AppData\\Roaming\\Tencent\\QQ\\Temp\\%W@GJ$ACOF(TYDYECOKVDYB.png"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"C:\\Users\\chend\\Documents\\WeChat Files\\xun599218189\\chend\\AppData\\Roaming\\Tencent\\QQ\\Temp\\%W@GJ$ACOF(TYDYECOKVDYB.png" \* MERGEFORMATINET </w:instrText>
      </w:r>
      <w:r>
        <w:rPr>
          <w:rFonts w:ascii="宋体" w:hAnsi="宋体" w:cs="宋体"/>
          <w:bCs/>
        </w:rPr>
        <w:fldChar w:fldCharType="separate"/>
      </w:r>
      <w:r>
        <w:rPr>
          <w:rFonts w:ascii="宋体" w:hAnsi="宋体" w:cs="宋体"/>
          <w:bCs/>
        </w:rPr>
        <w:pict>
          <v:shape id="_x0000_i1027" o:spt="75" type="#_x0000_t75" style="height:11.65pt;width:15pt;" filled="f" o:preferrelative="t" stroked="f" coordsize="21600,21600">
            <v:path/>
            <v:fill on="f" focussize="0,0"/>
            <v:stroke on="f" joinstyle="miter"/>
            <v:imagedata r:id="rId5" r:href="rId6" o:title=""/>
            <o:lock v:ext="edit" aspectratio="t"/>
            <w10:wrap type="none"/>
            <w10:anchorlock/>
          </v:shape>
        </w:pict>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hint="eastAsia" w:ascii="宋体" w:hAnsi="宋体" w:cs="宋体"/>
          <w:bCs/>
        </w:rPr>
        <w:fldChar w:fldCharType="end"/>
      </w:r>
      <w:r>
        <w:rPr>
          <w:highlight w:val="none"/>
        </w:rPr>
        <w:fldChar w:fldCharType="begin"/>
      </w:r>
      <w:r>
        <w:rPr>
          <w:highlight w:val="none"/>
        </w:rPr>
        <w:instrText xml:space="preserve"> HYPERLINK "http://zfcg.czt.zj.gov.cn/register/2017-07-24/6728.html?" </w:instrText>
      </w:r>
      <w:r>
        <w:rPr>
          <w:highlight w:val="none"/>
        </w:rPr>
        <w:fldChar w:fldCharType="separate"/>
      </w:r>
      <w:r>
        <w:rPr>
          <w:bCs/>
          <w:highlight w:val="none"/>
        </w:rPr>
        <w:t>http://zfcg.czt.zj.gov.cn/register/2017-07-24/6728.html?</w:t>
      </w:r>
      <w:r>
        <w:rPr>
          <w:bCs/>
          <w:highlight w:val="none"/>
        </w:rPr>
        <w:fldChar w:fldCharType="end"/>
      </w:r>
      <w:r>
        <w:rPr>
          <w:rFonts w:hint="eastAsia" w:ascii="宋体" w:hAnsi="宋体" w:cs="宋体"/>
          <w:bCs/>
          <w:highlight w:val="none"/>
        </w:rPr>
        <w:t>；）</w:t>
      </w:r>
    </w:p>
    <w:p>
      <w:pPr>
        <w:spacing w:line="500" w:lineRule="exact"/>
        <w:ind w:firstLine="420" w:firstLineChars="200"/>
        <w:rPr>
          <w:rFonts w:ascii="宋体" w:hAnsi="宋体" w:cs="宋体"/>
          <w:bCs/>
          <w:highlight w:val="none"/>
        </w:rPr>
      </w:pPr>
      <w:r>
        <w:rPr>
          <w:rFonts w:hint="eastAsia" w:ascii="宋体" w:hAnsi="宋体" w:cs="宋体"/>
          <w:bCs/>
          <w:highlight w:val="none"/>
        </w:rPr>
        <w:t>B、网上获取截止日期：2021年2月4日上午9点30分止；若截止时间后仍欲获取请按以下（3）执行。</w:t>
      </w:r>
    </w:p>
    <w:p>
      <w:pPr>
        <w:spacing w:line="500" w:lineRule="exact"/>
        <w:ind w:firstLine="420" w:firstLineChars="200"/>
        <w:rPr>
          <w:rFonts w:ascii="宋体" w:hAnsi="宋体" w:cs="宋体"/>
          <w:bCs/>
          <w:highlight w:val="none"/>
        </w:rPr>
      </w:pPr>
      <w:r>
        <w:rPr>
          <w:rFonts w:hint="eastAsia" w:ascii="宋体" w:hAnsi="宋体" w:cs="宋体"/>
          <w:bCs/>
          <w:highlight w:val="none"/>
        </w:rPr>
        <w:t>C、网上获取成功后（获取流程：项目采购-获取采购文件—申请获取采购文件），供应商须按磋商确认函的要求进行磋商确认（格式见附件）磋商确认为依法获取采购文件的方式，未按规定进行磋商确认的视为自动放弃磋商。</w:t>
      </w:r>
    </w:p>
    <w:p>
      <w:pPr>
        <w:spacing w:line="500" w:lineRule="exact"/>
        <w:ind w:firstLine="420" w:firstLineChars="200"/>
        <w:rPr>
          <w:rFonts w:ascii="宋体" w:hAnsi="宋体" w:cs="宋体"/>
          <w:bCs/>
        </w:rPr>
      </w:pPr>
      <w:r>
        <w:rPr>
          <w:rFonts w:hint="eastAsia" w:ascii="宋体" w:hAnsi="宋体" w:cs="宋体"/>
          <w:bCs/>
          <w:highlight w:val="none"/>
        </w:rPr>
        <w:t>（2）在网上获取截止时间之后至2021年2月4日上午9点30分止，仍允许供应商继续获取采购文件，但在“供应商澄清时间”截止之后获取采购文件的潜在供应商如对采购文件有异议的，金华市公共资源交易中心东阳分中心可不予受理、答复。网上获取截止时间后获取采购文件的供应商仍须按“（1）网上获取”此款规定进行磋商确认。</w:t>
      </w:r>
    </w:p>
    <w:p>
      <w:pPr>
        <w:spacing w:line="500" w:lineRule="exact"/>
        <w:ind w:firstLine="420" w:firstLineChars="200"/>
        <w:rPr>
          <w:rFonts w:ascii="宋体" w:hAnsi="宋体" w:cs="宋体"/>
          <w:bCs/>
        </w:rPr>
      </w:pPr>
      <w:r>
        <w:rPr>
          <w:rFonts w:hint="eastAsia" w:ascii="宋体" w:hAnsi="宋体" w:cs="宋体"/>
          <w:bCs/>
        </w:rPr>
        <w:t>（3）采购文件的获取方式：采购人不再向供应商提供纸质采购文件，请供应商自行在下列网址下载电子版的采购文件，采购文件不收工本费。</w:t>
      </w:r>
    </w:p>
    <w:p>
      <w:pPr>
        <w:spacing w:line="500" w:lineRule="exact"/>
        <w:ind w:firstLine="420" w:firstLineChars="200"/>
        <w:rPr>
          <w:rFonts w:ascii="宋体" w:hAnsi="宋体" w:cs="宋体"/>
          <w:bCs/>
        </w:rPr>
      </w:pPr>
      <w:r>
        <w:rPr>
          <w:rFonts w:hint="eastAsia" w:ascii="宋体" w:hAnsi="宋体" w:cs="宋体"/>
          <w:bCs/>
        </w:rPr>
        <w:t>浙江省政府采购网(</w:t>
      </w:r>
      <w:r>
        <w:rPr>
          <w:rFonts w:hint="eastAsia" w:ascii="宋体" w:hAnsi="宋体" w:cs="宋体"/>
          <w:bCs/>
        </w:rPr>
        <w:fldChar w:fldCharType="begin"/>
      </w:r>
      <w:r>
        <w:rPr>
          <w:rFonts w:hint="eastAsia" w:ascii="宋体" w:hAnsi="宋体" w:cs="宋体"/>
          <w:bCs/>
        </w:rPr>
        <w:instrText xml:space="preserve">INCLUDEPICTURE \d "C:\\Users\\Administrator\\AppData\\Roaming\\Tencent\\QQ\\Temp\\%W@GJ$ACOF(TYDYECOKVDYB.png" \* MERGEFORMATINET </w:instrText>
      </w:r>
      <w:r>
        <w:rPr>
          <w:rFonts w:hint="eastAsia"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INCLUDEPICTURE  "C:\\Users\\Administrator\\AppData\\Roaming\\Tencent\\QQ\\Temp\\%W@GJ$ACOF(TYDYECOKVDYB.png" \* MERGEFORMATINET</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"C:\\Users\\chend\\AppData\\Roaming\\Tencent\\QQ\\Temp\\%W@GJ$ACOF(TYDYECOKVDYB.png"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"C:\\Users\\chend\\AppData\\Roaming\\Tencent\\QQ\\Temp\\%W@GJ$ACOF(TYDYECOKVDYB.png"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"D:\\chend\\AppData\\Roaming\\Tencent\\QQ\\Temp\\%W@GJ$ACOF(TYDYECOKVDYB.png"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"D:\\chend\\AppData\\Roaming\\Tencent\\QQ\\Temp\\%W@GJ$ACOF(TYDYECOKVDYB.png"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"D:\\chend\\AppData\\Roaming\\Tencent\\QQ\\Temp\\%W@GJ$ACOF(TYDYECOKVDYB.png"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"C:\\Users\\chend\\AppData\\Roaming\\Tencent\\QQ\\Temp\\%W@GJ$ACOF(TYDYECOKVDYB.png"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"C:\\Users\\chend\\Documents\\WeChat Files\\xun599218189\\chend\\AppData\\Roaming\\Tencent\\QQ\\Temp\\%W@GJ$ACOF(TYDYECOKVDYB.png"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"C:\\Users\\chend\\Documents\\WeChat Files\\xun599218189\\chend\\AppData\\Roaming\\Tencent\\QQ\\Temp\\%W@GJ$ACOF(TYDYECOKVDYB.png"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"C:\\Users\\chend\\Documents\\WeChat Files\\xun599218189\\chend\\AppData\\Roaming\\Tencent\\QQ\\Temp\\%W@GJ$ACOF(TYDYECOKVDYB.png" \* MERGEFORMATINET </w:instrText>
      </w:r>
      <w:r>
        <w:rPr>
          <w:rFonts w:ascii="宋体" w:hAnsi="宋体" w:cs="宋体"/>
          <w:bCs/>
        </w:rPr>
        <w:fldChar w:fldCharType="separate"/>
      </w:r>
      <w:r>
        <w:rPr>
          <w:rFonts w:ascii="宋体" w:hAnsi="宋体" w:cs="宋体"/>
          <w:bCs/>
        </w:rPr>
        <w:pict>
          <v:shape id="_x0000_i1028" o:spt="75" type="#_x0000_t75" style="height:11.65pt;width:15pt;" filled="f" o:preferrelative="t" stroked="f" coordsize="21600,21600">
            <v:path/>
            <v:fill on="f" focussize="0,0"/>
            <v:stroke on="f" joinstyle="miter"/>
            <v:imagedata r:id="rId5" r:href="rId6" o:title=""/>
            <o:lock v:ext="edit" aspectratio="t"/>
            <w10:wrap type="none"/>
            <w10:anchorlock/>
          </v:shape>
        </w:pict>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hint="eastAsia" w:ascii="宋体" w:hAnsi="宋体" w:cs="宋体"/>
          <w:bCs/>
        </w:rPr>
        <w:fldChar w:fldCharType="end"/>
      </w:r>
      <w:r>
        <w:rPr>
          <w:rFonts w:hint="eastAsia" w:ascii="宋体" w:hAnsi="宋体" w:cs="宋体"/>
          <w:bCs/>
        </w:rPr>
        <w:t>http://zfcg.czt.zj.gov.cn/)；东阳市公共资源交易网(</w:t>
      </w:r>
      <w:r>
        <w:rPr>
          <w:rFonts w:hint="eastAsia" w:ascii="宋体" w:hAnsi="宋体" w:cs="宋体"/>
          <w:bCs/>
        </w:rPr>
        <w:fldChar w:fldCharType="begin"/>
      </w:r>
      <w:r>
        <w:rPr>
          <w:rFonts w:hint="eastAsia" w:ascii="宋体" w:hAnsi="宋体" w:cs="宋体"/>
          <w:bCs/>
        </w:rPr>
        <w:instrText xml:space="preserve">INCLUDEPICTURE \d "C:\\Users\\Administrator\\AppData\\Roaming\\Tencent\\QQ\\Temp\\%W@GJ$ACOF(TYDYECOKVDYB.png" \* MERGEFORMATINET </w:instrText>
      </w:r>
      <w:r>
        <w:rPr>
          <w:rFonts w:hint="eastAsia"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"C:\\Users\\Administrator\\AppData\\Roaming\\Tencent\\QQ\\Temp\\%W@GJ$ACOF(TYDYECOKVDYB.png"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INCLUDEPICTURE  "C:\\Users\\Administrator\\AppData\\Roaming\\Tencent\\QQ\\Temp\\%W@GJ$ACOF(TYDYECOKVDYB.png" \* MERGEFORMATINET</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"C:\\Users\\chend\\AppData\\Roaming\\Tencent\\QQ\\Temp\\%W@GJ$ACOF(TYDYECOKVDYB.png"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"C:\\Users\\chend\\AppData\\Roaming\\Tencent\\QQ\\Temp\\%W@GJ$ACOF(TYDYECOKVDYB.png"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"D:\\chend\\AppData\\Roaming\\Tencent\\QQ\\Temp\\%W@GJ$ACOF(TYDYECOKVDYB.png"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"D:\\chend\\AppData\\Roaming\\Tencent\\QQ\\Temp\\%W@GJ$ACOF(TYDYECOKVDYB.png"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"D:\\chend\\AppData\\Roaming\\Tencent\\QQ\\Temp\\%W@GJ$ACOF(TYDYECOKVDYB.png"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"C:\\Users\\chend\\AppData\\Roaming\\Tencent\\QQ\\Temp\\%W@GJ$ACOF(TYDYECOKVDYB.png"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"C:\\Users\\chend\\Documents\\WeChat Files\\xun599218189\\chend\\AppData\\Roaming\\Tencent\\QQ\\Temp\\%W@GJ$ACOF(TYDYECOKVDYB.png"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"C:\\Users\\chend\\Documents\\WeChat Files\\xun599218189\\chend\\AppData\\Roaming\\Tencent\\QQ\\Temp\\%W@GJ$ACOF(TYDYECOKVDYB.png" \* MERGEFORMATINET </w:instrText>
      </w:r>
      <w:r>
        <w:rPr>
          <w:rFonts w:ascii="宋体" w:hAnsi="宋体" w:cs="宋体"/>
          <w:bCs/>
        </w:rPr>
        <w:fldChar w:fldCharType="separate"/>
      </w:r>
      <w:r>
        <w:rPr>
          <w:rFonts w:ascii="宋体" w:hAnsi="宋体" w:cs="宋体"/>
          <w:bCs/>
        </w:rPr>
        <w:fldChar w:fldCharType="begin"/>
      </w:r>
      <w:r>
        <w:rPr>
          <w:rFonts w:ascii="宋体" w:hAnsi="宋体" w:cs="宋体"/>
          <w:bCs/>
        </w:rPr>
        <w:instrText xml:space="preserve"> INCLUDEPICTURE  "C:\\Users\\chend\\Documents\\WeChat Files\\xun599218189\\chend\\AppData\\Roaming\\Tencent\\QQ\\Temp\\%W@GJ$ACOF(TYDYECOKVDYB.png" \* MERGEFORMATINET </w:instrText>
      </w:r>
      <w:r>
        <w:rPr>
          <w:rFonts w:ascii="宋体" w:hAnsi="宋体" w:cs="宋体"/>
          <w:bCs/>
        </w:rPr>
        <w:fldChar w:fldCharType="separate"/>
      </w:r>
      <w:r>
        <w:rPr>
          <w:rFonts w:ascii="宋体" w:hAnsi="宋体" w:cs="宋体"/>
          <w:bCs/>
        </w:rPr>
        <w:pict>
          <v:shape id="_x0000_i1029" o:spt="75" type="#_x0000_t75" style="height:11.65pt;width:15pt;" filled="f" o:preferrelative="t" stroked="f" coordsize="21600,21600">
            <v:path/>
            <v:fill on="f" focussize="0,0"/>
            <v:stroke on="f" joinstyle="miter"/>
            <v:imagedata r:id="rId5" r:href="rId6" o:title=""/>
            <o:lock v:ext="edit" aspectratio="t"/>
            <w10:wrap type="none"/>
            <w10:anchorlock/>
          </v:shape>
        </w:pict>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ascii="宋体" w:hAnsi="宋体" w:cs="宋体"/>
          <w:bCs/>
        </w:rPr>
        <w:fldChar w:fldCharType="end"/>
      </w:r>
      <w:r>
        <w:rPr>
          <w:rFonts w:hint="eastAsia" w:ascii="宋体" w:hAnsi="宋体" w:cs="宋体"/>
          <w:bCs/>
        </w:rPr>
        <w:fldChar w:fldCharType="end"/>
      </w:r>
      <w:r>
        <w:rPr>
          <w:rFonts w:ascii="宋体" w:hAnsi="宋体" w:cs="宋体"/>
          <w:bCs/>
        </w:rPr>
        <w:t>http://www.dongyang.gov.cn/col/col1229357149/index.html</w:t>
      </w:r>
      <w:r>
        <w:rPr>
          <w:rFonts w:hint="eastAsia" w:ascii="宋体" w:hAnsi="宋体" w:cs="宋体"/>
          <w:bCs/>
        </w:rPr>
        <w:t>)</w:t>
      </w:r>
    </w:p>
    <w:p>
      <w:pPr>
        <w:spacing w:line="500" w:lineRule="exact"/>
        <w:ind w:firstLine="420" w:firstLineChars="200"/>
        <w:rPr>
          <w:rFonts w:ascii="宋体" w:hAnsi="宋体" w:cs="宋体"/>
          <w:bCs/>
          <w:highlight w:val="none"/>
        </w:rPr>
      </w:pPr>
    </w:p>
    <w:p>
      <w:pPr>
        <w:pStyle w:val="4"/>
        <w:adjustRightInd w:val="0"/>
        <w:snapToGrid w:val="0"/>
        <w:spacing w:before="120" w:beforeLines="50" w:after="120" w:afterLines="50" w:line="360" w:lineRule="auto"/>
        <w:rPr>
          <w:rFonts w:ascii="宋体" w:hAnsi="宋体"/>
          <w:sz w:val="24"/>
          <w:szCs w:val="24"/>
          <w:highlight w:val="none"/>
        </w:rPr>
      </w:pPr>
      <w:bookmarkStart w:id="19" w:name="_Toc59530108"/>
      <w:bookmarkStart w:id="20" w:name="_Toc28359092"/>
      <w:bookmarkStart w:id="21" w:name="_Toc28359015"/>
      <w:bookmarkStart w:id="22" w:name="_Toc35393632"/>
      <w:bookmarkStart w:id="23" w:name="_Toc35393801"/>
      <w:r>
        <w:rPr>
          <w:rFonts w:hint="eastAsia" w:ascii="宋体" w:hAnsi="宋体"/>
          <w:sz w:val="24"/>
          <w:szCs w:val="24"/>
          <w:highlight w:val="none"/>
        </w:rPr>
        <w:t>四、响应文件提交</w:t>
      </w:r>
      <w:bookmarkEnd w:id="19"/>
      <w:bookmarkEnd w:id="20"/>
      <w:bookmarkEnd w:id="21"/>
      <w:bookmarkEnd w:id="22"/>
      <w:bookmarkEnd w:id="23"/>
    </w:p>
    <w:p>
      <w:pPr>
        <w:spacing w:line="500" w:lineRule="exact"/>
        <w:ind w:firstLine="420" w:firstLineChars="200"/>
        <w:rPr>
          <w:rFonts w:ascii="宋体" w:hAnsi="宋体" w:cs="宋体"/>
          <w:bCs/>
          <w:highlight w:val="none"/>
        </w:rPr>
      </w:pPr>
      <w:r>
        <w:rPr>
          <w:rFonts w:hint="eastAsia" w:ascii="宋体" w:hAnsi="宋体" w:cs="宋体"/>
          <w:bCs/>
          <w:highlight w:val="none"/>
        </w:rPr>
        <w:t>磋商截止时间2021年2月4日上午9点30分。供应商应当在磋商截止时间前完成电子响应文件的传输递交，磋商截止时间前可以补充、修改或者撤回电子响应文件。补充或者修改电子响应文件的，应当先行撤回原电子响应文件，补充、修改后重新传输递交。磋商截止时间前未完成传输的，视为撤回响应文件。</w:t>
      </w:r>
    </w:p>
    <w:p>
      <w:pPr>
        <w:spacing w:line="500" w:lineRule="exact"/>
        <w:ind w:firstLine="420" w:firstLineChars="200"/>
        <w:rPr>
          <w:rFonts w:ascii="宋体" w:hAnsi="宋体" w:cs="宋体"/>
          <w:bCs/>
          <w:highlight w:val="none"/>
        </w:rPr>
      </w:pPr>
      <w:r>
        <w:rPr>
          <w:rFonts w:hint="eastAsia" w:ascii="宋体" w:hAnsi="宋体" w:cs="宋体"/>
          <w:bCs/>
          <w:highlight w:val="none"/>
        </w:rPr>
        <w:t>供应商可以在磋商截止时间前将电子备份响应文件（经政采云电子交易客户端和CA驱动制作出的后缀名为“bfbs”的电子备份响应文件）发送至邮箱：</w:t>
      </w:r>
      <w:bookmarkStart w:id="24" w:name="_Hlk46347525"/>
      <w:r>
        <w:rPr>
          <w:rFonts w:hint="eastAsia" w:ascii="宋体" w:hAnsi="宋体" w:cs="宋体"/>
          <w:bCs/>
          <w:highlight w:val="none"/>
        </w:rPr>
        <w:t>961424781@qq.com，</w:t>
      </w:r>
      <w:bookmarkEnd w:id="24"/>
      <w:r>
        <w:rPr>
          <w:rFonts w:hint="eastAsia" w:ascii="宋体" w:hAnsi="宋体" w:cs="宋体"/>
          <w:bCs/>
          <w:highlight w:val="none"/>
        </w:rPr>
        <w:t>逾期发送或发错后缀名的备份响应文件将被视为无效；电子备份响应文件的提交不作强制要求。</w:t>
      </w:r>
    </w:p>
    <w:p>
      <w:pPr>
        <w:pStyle w:val="4"/>
        <w:adjustRightInd w:val="0"/>
        <w:snapToGrid w:val="0"/>
        <w:spacing w:before="120" w:beforeLines="50" w:after="120" w:afterLines="50" w:line="360" w:lineRule="auto"/>
        <w:rPr>
          <w:rFonts w:ascii="宋体" w:hAnsi="宋体"/>
          <w:sz w:val="24"/>
          <w:szCs w:val="24"/>
          <w:highlight w:val="none"/>
        </w:rPr>
      </w:pPr>
      <w:bookmarkStart w:id="25" w:name="_Toc59530109"/>
      <w:bookmarkStart w:id="26" w:name="_Toc28359016"/>
      <w:bookmarkStart w:id="27" w:name="_Toc35393802"/>
      <w:bookmarkStart w:id="28" w:name="_Toc28359093"/>
      <w:bookmarkStart w:id="29" w:name="_Toc35393633"/>
      <w:r>
        <w:rPr>
          <w:rFonts w:hint="eastAsia" w:ascii="宋体" w:hAnsi="宋体"/>
          <w:sz w:val="24"/>
          <w:szCs w:val="24"/>
          <w:highlight w:val="none"/>
        </w:rPr>
        <w:t>五、开启</w:t>
      </w:r>
      <w:bookmarkEnd w:id="25"/>
      <w:bookmarkEnd w:id="26"/>
      <w:bookmarkEnd w:id="27"/>
      <w:bookmarkEnd w:id="28"/>
      <w:bookmarkEnd w:id="29"/>
    </w:p>
    <w:p>
      <w:pPr>
        <w:spacing w:line="500" w:lineRule="exact"/>
        <w:ind w:firstLine="420" w:firstLineChars="200"/>
        <w:rPr>
          <w:rFonts w:ascii="宋体" w:hAnsi="宋体" w:cs="宋体"/>
          <w:bCs/>
        </w:rPr>
      </w:pPr>
      <w:r>
        <w:rPr>
          <w:rFonts w:hint="eastAsia" w:ascii="宋体" w:hAnsi="宋体" w:cs="宋体"/>
          <w:bCs/>
          <w:highlight w:val="none"/>
        </w:rPr>
        <w:t>本项目开标时间：2021年2月4日上午9点30分。本项目不要求供应商到开标现场开标，但供应商应派法定代表人或委托代理人【委托代理人应当是供应商的在职正式职工（以社保网站拉具的含授权代表的磋商单位社保清单为准，无社保网站拉具的磋商单位社保清单</w:t>
      </w:r>
      <w:r>
        <w:rPr>
          <w:rFonts w:hint="eastAsia" w:ascii="宋体" w:hAnsi="宋体" w:cs="宋体"/>
          <w:bCs/>
        </w:rPr>
        <w:t>的，可以提供供应商注册所在地社保部门出具的供应商本单位缴纳社保花名册）】准时在线出席电子开标会议，随时关注开标进度，如在开标过程中有电子询标，应在规定的时间内对电子询标函进行澄清、答复。供应商未按采购文件要求派代表参加电子开标会议的，视同认可开标结果，不得对开标过程及开标结果提出质疑。</w:t>
      </w:r>
    </w:p>
    <w:p>
      <w:pPr>
        <w:spacing w:line="500" w:lineRule="exact"/>
        <w:ind w:firstLine="420" w:firstLineChars="200"/>
        <w:rPr>
          <w:rFonts w:ascii="宋体" w:hAnsi="宋体" w:cs="宋体"/>
          <w:bCs/>
        </w:rPr>
      </w:pPr>
      <w:r>
        <w:rPr>
          <w:rFonts w:hint="eastAsia" w:ascii="宋体" w:hAnsi="宋体" w:cs="宋体"/>
          <w:bCs/>
        </w:rPr>
        <w:t>磋商截止时间后，政采云（电子交易平台）自动提取所有在磋商截止时间前上传好的响应文件，供应商须在磋商截止时间后30分钟内对上传政采云的响应文件进行解密（为防止解密失败，政采云建议采用制作响应文件的电脑进行解密），所有供应商在规定的解密时限内完成解密或解密时限到后，由采购代理机构开启响应文件。</w:t>
      </w:r>
    </w:p>
    <w:p>
      <w:pPr>
        <w:pStyle w:val="4"/>
        <w:adjustRightInd w:val="0"/>
        <w:snapToGrid w:val="0"/>
        <w:spacing w:before="120" w:beforeLines="50" w:after="120" w:afterLines="50" w:line="360" w:lineRule="auto"/>
        <w:rPr>
          <w:rFonts w:ascii="宋体" w:hAnsi="宋体"/>
          <w:sz w:val="24"/>
          <w:szCs w:val="24"/>
        </w:rPr>
      </w:pPr>
      <w:bookmarkStart w:id="30" w:name="_Toc59530110"/>
      <w:bookmarkStart w:id="31" w:name="_Toc35393803"/>
      <w:bookmarkStart w:id="32" w:name="_Toc35393634"/>
      <w:bookmarkStart w:id="33" w:name="_Toc28359017"/>
      <w:bookmarkStart w:id="34" w:name="_Toc28359094"/>
      <w:r>
        <w:rPr>
          <w:rFonts w:hint="eastAsia" w:ascii="宋体" w:hAnsi="宋体"/>
          <w:sz w:val="24"/>
          <w:szCs w:val="24"/>
        </w:rPr>
        <w:t>六、公告期限</w:t>
      </w:r>
      <w:bookmarkEnd w:id="30"/>
      <w:bookmarkEnd w:id="31"/>
      <w:bookmarkEnd w:id="32"/>
      <w:bookmarkEnd w:id="33"/>
      <w:bookmarkEnd w:id="34"/>
    </w:p>
    <w:p>
      <w:pPr>
        <w:spacing w:line="500" w:lineRule="exact"/>
        <w:ind w:firstLine="420" w:firstLineChars="200"/>
        <w:rPr>
          <w:rFonts w:ascii="宋体" w:hAnsi="宋体" w:cs="宋体"/>
          <w:bCs/>
        </w:rPr>
      </w:pPr>
      <w:r>
        <w:rPr>
          <w:rFonts w:hint="eastAsia" w:ascii="宋体" w:hAnsi="宋体" w:cs="宋体"/>
          <w:bCs/>
        </w:rPr>
        <w:t>自本公告发布之日起3个工作日。</w:t>
      </w:r>
    </w:p>
    <w:p>
      <w:pPr>
        <w:pStyle w:val="4"/>
        <w:adjustRightInd w:val="0"/>
        <w:snapToGrid w:val="0"/>
        <w:spacing w:before="120" w:beforeLines="50" w:after="120" w:afterLines="50" w:line="360" w:lineRule="auto"/>
        <w:rPr>
          <w:rFonts w:ascii="宋体" w:hAnsi="宋体"/>
          <w:sz w:val="24"/>
          <w:szCs w:val="24"/>
        </w:rPr>
      </w:pPr>
      <w:bookmarkStart w:id="35" w:name="_Toc59530111"/>
      <w:bookmarkStart w:id="36" w:name="_Toc35393804"/>
      <w:bookmarkStart w:id="37" w:name="_Toc35393635"/>
      <w:r>
        <w:rPr>
          <w:rFonts w:hint="eastAsia" w:ascii="宋体" w:hAnsi="宋体"/>
          <w:sz w:val="24"/>
          <w:szCs w:val="24"/>
        </w:rPr>
        <w:t>七、其他补充事宜</w:t>
      </w:r>
      <w:bookmarkEnd w:id="35"/>
      <w:bookmarkEnd w:id="36"/>
      <w:bookmarkEnd w:id="37"/>
    </w:p>
    <w:p>
      <w:pPr>
        <w:spacing w:line="500" w:lineRule="exact"/>
        <w:ind w:firstLine="420" w:firstLineChars="200"/>
        <w:rPr>
          <w:rFonts w:ascii="宋体" w:hAnsi="宋体" w:cs="宋体"/>
          <w:bCs/>
        </w:rPr>
      </w:pPr>
      <w:r>
        <w:rPr>
          <w:rFonts w:hint="eastAsia" w:ascii="宋体" w:hAnsi="宋体" w:cs="宋体"/>
          <w:bCs/>
        </w:rPr>
        <w:t>1、本项目采用电子投标，各潜在供应商应按照本项目的采购文件和政采云平台的要求编制、加密并递交响应文件。供应商在使用系统进行投标的过程中遇到的涉及平台使用的任何问题，可致电政采云平台技术支持热线，联系方式：400-881-7190。</w:t>
      </w:r>
    </w:p>
    <w:p>
      <w:pPr>
        <w:spacing w:line="500" w:lineRule="exact"/>
        <w:ind w:firstLine="420" w:firstLineChars="200"/>
        <w:rPr>
          <w:rFonts w:ascii="宋体" w:hAnsi="宋体" w:cs="宋体"/>
          <w:bCs/>
        </w:rPr>
      </w:pPr>
      <w:r>
        <w:rPr>
          <w:rFonts w:hint="eastAsia" w:ascii="宋体" w:hAnsi="宋体" w:cs="宋体"/>
          <w:bCs/>
        </w:rPr>
        <w:t>2、各潜在供应商应在开标前完成CA数字证书办理。（办理流程详见http://zfcg.czt.zj.gov.cn/bidClientTemplate/2019-05-27/12945.html）。CA数字证书申请后至办理成功预计需一周左右的时间，请各潜在供应商预留好相应的时间，抓紧办理。</w:t>
      </w:r>
    </w:p>
    <w:p>
      <w:pPr>
        <w:spacing w:line="500" w:lineRule="exact"/>
        <w:ind w:firstLine="420" w:firstLineChars="200"/>
        <w:rPr>
          <w:rFonts w:ascii="宋体" w:hAnsi="宋体" w:cs="宋体"/>
          <w:bCs/>
        </w:rPr>
      </w:pPr>
      <w:r>
        <w:rPr>
          <w:rFonts w:hint="eastAsia" w:ascii="宋体" w:hAnsi="宋体" w:cs="宋体"/>
          <w:bCs/>
        </w:rPr>
        <w:t>3、供应商通过政采云平台电子投标工具制作响应文件，电子投标工具请各潜在供应商自行前往浙江省政府采购网下载并安装（下载网址：http://zfcg.czt.zj.gov.cn/bidClientTemplate/2019-05-27/12946.html），电子投标具体的流程文档详见网址：</w:t>
      </w:r>
      <w:r>
        <w:fldChar w:fldCharType="begin"/>
      </w:r>
      <w:r>
        <w:instrText xml:space="preserve"> HYPERLINK "https://help.zcygov.cn/web/site_2/2018/12-28/2573.html" </w:instrText>
      </w:r>
      <w:r>
        <w:fldChar w:fldCharType="separate"/>
      </w:r>
      <w:r>
        <w:rPr>
          <w:rStyle w:val="47"/>
          <w:rFonts w:hint="eastAsia" w:ascii="宋体" w:hAnsi="宋体" w:cs="宋体"/>
          <w:bCs/>
          <w:color w:val="auto"/>
        </w:rPr>
        <w:t>https://help.zcygov.cn/web/site_2/2018/12-28/2573.html</w:t>
      </w:r>
      <w:r>
        <w:rPr>
          <w:rStyle w:val="47"/>
          <w:rFonts w:hint="eastAsia" w:ascii="宋体" w:hAnsi="宋体" w:cs="宋体"/>
          <w:bCs/>
          <w:color w:val="auto"/>
        </w:rPr>
        <w:fldChar w:fldCharType="end"/>
      </w:r>
      <w:r>
        <w:rPr>
          <w:rFonts w:hint="eastAsia" w:ascii="宋体" w:hAnsi="宋体" w:cs="宋体"/>
          <w:bCs/>
        </w:rPr>
        <w:t>。</w:t>
      </w:r>
    </w:p>
    <w:p>
      <w:pPr>
        <w:spacing w:line="500" w:lineRule="exact"/>
        <w:ind w:firstLine="420" w:firstLineChars="200"/>
        <w:rPr>
          <w:rFonts w:ascii="宋体" w:hAnsi="宋体" w:cs="宋体"/>
          <w:bCs/>
        </w:rPr>
      </w:pPr>
      <w:r>
        <w:rPr>
          <w:rFonts w:ascii="宋体" w:hAnsi="宋体" w:cs="宋体"/>
          <w:bCs/>
        </w:rPr>
        <w:t>4</w:t>
      </w:r>
      <w:r>
        <w:rPr>
          <w:rFonts w:hint="eastAsia" w:ascii="宋体" w:hAnsi="宋体" w:cs="宋体"/>
          <w:bCs/>
        </w:rPr>
        <w:t>、质疑：供应商认为采购文件、采购过程和成交结果使自己的权益受到损害的，可以在知道或者应知其权益受到损害之日起七个工作日内，以书面形式（纸质）一次性向采购代理机构或采购人提出质疑。</w:t>
      </w:r>
    </w:p>
    <w:p>
      <w:pPr>
        <w:spacing w:line="500" w:lineRule="exact"/>
        <w:ind w:firstLine="420" w:firstLineChars="200"/>
        <w:rPr>
          <w:rFonts w:ascii="宋体" w:hAnsi="宋体" w:cs="宋体"/>
          <w:bCs/>
        </w:rPr>
      </w:pPr>
      <w:r>
        <w:rPr>
          <w:rFonts w:hint="eastAsia" w:ascii="宋体" w:hAnsi="宋体" w:cs="宋体"/>
          <w:bCs/>
        </w:rPr>
        <w:t>质疑联系人：马沈良   联系方式：0579-86691729</w:t>
      </w:r>
    </w:p>
    <w:p>
      <w:pPr>
        <w:spacing w:line="500" w:lineRule="exact"/>
        <w:ind w:firstLine="420" w:firstLineChars="200"/>
        <w:rPr>
          <w:rFonts w:ascii="宋体" w:hAnsi="宋体" w:cs="宋体"/>
          <w:bCs/>
        </w:rPr>
      </w:pPr>
      <w:r>
        <w:rPr>
          <w:rFonts w:hint="eastAsia" w:ascii="宋体" w:hAnsi="宋体" w:cs="宋体"/>
          <w:bCs/>
        </w:rPr>
        <w:t>供应商应知其权益受到损害之日，是指：</w:t>
      </w:r>
    </w:p>
    <w:p>
      <w:pPr>
        <w:spacing w:line="500" w:lineRule="exact"/>
        <w:ind w:firstLine="420" w:firstLineChars="200"/>
        <w:rPr>
          <w:rFonts w:ascii="宋体" w:hAnsi="宋体" w:cs="宋体"/>
          <w:bCs/>
        </w:rPr>
      </w:pPr>
      <w:r>
        <w:rPr>
          <w:rFonts w:hint="eastAsia" w:ascii="宋体" w:hAnsi="宋体" w:cs="宋体"/>
          <w:bCs/>
        </w:rPr>
        <w:t>（1）对可以质疑的采购文件提出质疑的，为获取采购文件之日（采购公告期限届满之日后获取采购文件的为采购公告期限届满之日）。</w:t>
      </w:r>
    </w:p>
    <w:p>
      <w:pPr>
        <w:spacing w:line="500" w:lineRule="exact"/>
        <w:ind w:firstLine="420" w:firstLineChars="200"/>
        <w:rPr>
          <w:rFonts w:ascii="宋体" w:hAnsi="宋体" w:cs="宋体"/>
          <w:bCs/>
        </w:rPr>
      </w:pPr>
      <w:r>
        <w:rPr>
          <w:rFonts w:hint="eastAsia" w:ascii="宋体" w:hAnsi="宋体" w:cs="宋体"/>
          <w:bCs/>
        </w:rPr>
        <w:t>（2）对采购过程提出质疑的，为各采购程序环节结束之日。</w:t>
      </w:r>
    </w:p>
    <w:p>
      <w:pPr>
        <w:spacing w:line="500" w:lineRule="exact"/>
        <w:ind w:firstLine="420" w:firstLineChars="200"/>
        <w:rPr>
          <w:rFonts w:ascii="宋体" w:hAnsi="宋体" w:cs="宋体"/>
          <w:bCs/>
        </w:rPr>
      </w:pPr>
      <w:r>
        <w:rPr>
          <w:rFonts w:hint="eastAsia" w:ascii="宋体" w:hAnsi="宋体" w:cs="宋体"/>
          <w:bCs/>
        </w:rPr>
        <w:t>（3）对成交结果提出质疑的，为成交结果公告期限届满之日。</w:t>
      </w:r>
    </w:p>
    <w:p>
      <w:pPr>
        <w:pStyle w:val="4"/>
        <w:adjustRightInd w:val="0"/>
        <w:snapToGrid w:val="0"/>
        <w:spacing w:before="120" w:beforeLines="50" w:after="120" w:afterLines="50" w:line="360" w:lineRule="auto"/>
        <w:rPr>
          <w:rFonts w:ascii="宋体" w:hAnsi="宋体"/>
          <w:sz w:val="24"/>
          <w:szCs w:val="24"/>
        </w:rPr>
      </w:pPr>
      <w:bookmarkStart w:id="38" w:name="_Toc59530112"/>
      <w:bookmarkStart w:id="39" w:name="_Toc35393805"/>
      <w:bookmarkStart w:id="40" w:name="_Toc35393636"/>
      <w:bookmarkStart w:id="41" w:name="_Toc28359095"/>
      <w:bookmarkStart w:id="42" w:name="_Toc28359018"/>
      <w:r>
        <w:rPr>
          <w:rFonts w:hint="eastAsia" w:ascii="宋体" w:hAnsi="宋体"/>
          <w:sz w:val="24"/>
          <w:szCs w:val="24"/>
        </w:rPr>
        <w:t>八、凡对本次采购提出询问，请按</w:t>
      </w:r>
      <w:r>
        <w:rPr>
          <w:rFonts w:ascii="宋体" w:hAnsi="宋体"/>
          <w:sz w:val="24"/>
          <w:szCs w:val="24"/>
        </w:rPr>
        <w:t>以下方式</w:t>
      </w:r>
      <w:r>
        <w:rPr>
          <w:rFonts w:hint="eastAsia" w:ascii="宋体" w:hAnsi="宋体"/>
          <w:sz w:val="24"/>
          <w:szCs w:val="24"/>
        </w:rPr>
        <w:t>联系。</w:t>
      </w:r>
      <w:bookmarkEnd w:id="38"/>
      <w:bookmarkEnd w:id="39"/>
      <w:bookmarkEnd w:id="40"/>
      <w:bookmarkEnd w:id="41"/>
      <w:bookmarkEnd w:id="42"/>
    </w:p>
    <w:p>
      <w:pPr>
        <w:adjustRightInd w:val="0"/>
        <w:snapToGrid w:val="0"/>
        <w:spacing w:line="360" w:lineRule="auto"/>
        <w:ind w:firstLine="422" w:firstLineChars="200"/>
        <w:rPr>
          <w:b/>
          <w:bCs/>
        </w:rPr>
      </w:pPr>
      <w:r>
        <w:rPr>
          <w:rFonts w:hint="eastAsia"/>
          <w:b/>
          <w:bCs/>
        </w:rPr>
        <w:t>采购人：东阳市水务局</w:t>
      </w:r>
    </w:p>
    <w:p>
      <w:pPr>
        <w:adjustRightInd w:val="0"/>
        <w:snapToGrid w:val="0"/>
        <w:spacing w:line="360" w:lineRule="auto"/>
        <w:ind w:firstLine="420" w:firstLineChars="200"/>
      </w:pPr>
      <w:r>
        <w:t>地址：</w:t>
      </w:r>
      <w:r>
        <w:rPr>
          <w:rFonts w:hint="eastAsia"/>
        </w:rPr>
        <w:t>东阳市行政中心五楼</w:t>
      </w:r>
    </w:p>
    <w:p>
      <w:pPr>
        <w:adjustRightInd w:val="0"/>
        <w:snapToGrid w:val="0"/>
        <w:spacing w:line="360" w:lineRule="auto"/>
        <w:ind w:firstLine="420" w:firstLineChars="200"/>
      </w:pPr>
      <w:r>
        <w:rPr>
          <w:rFonts w:hint="eastAsia"/>
        </w:rPr>
        <w:t>联系人：王先生</w:t>
      </w:r>
    </w:p>
    <w:p>
      <w:pPr>
        <w:adjustRightInd w:val="0"/>
        <w:snapToGrid w:val="0"/>
        <w:spacing w:line="360" w:lineRule="auto"/>
        <w:ind w:firstLine="420" w:firstLineChars="200"/>
      </w:pPr>
      <w:r>
        <w:rPr>
          <w:rFonts w:hint="eastAsia"/>
        </w:rPr>
        <w:t>联系电话：</w:t>
      </w:r>
      <w:r>
        <w:t>0579-86768895</w:t>
      </w:r>
    </w:p>
    <w:p>
      <w:pPr>
        <w:adjustRightInd w:val="0"/>
        <w:snapToGrid w:val="0"/>
        <w:spacing w:line="360" w:lineRule="auto"/>
        <w:ind w:firstLine="420" w:firstLineChars="200"/>
      </w:pPr>
      <w:r>
        <w:rPr>
          <w:rFonts w:hint="eastAsia"/>
        </w:rPr>
        <w:t>质疑联系人：王先生</w:t>
      </w:r>
    </w:p>
    <w:p>
      <w:pPr>
        <w:adjustRightInd w:val="0"/>
        <w:snapToGrid w:val="0"/>
        <w:spacing w:line="360" w:lineRule="auto"/>
        <w:ind w:firstLine="420" w:firstLineChars="200"/>
      </w:pPr>
      <w:r>
        <w:rPr>
          <w:rFonts w:hint="eastAsia"/>
        </w:rPr>
        <w:t>联系电话：</w:t>
      </w:r>
      <w:r>
        <w:t>0579-86768895</w:t>
      </w:r>
    </w:p>
    <w:p>
      <w:pPr>
        <w:adjustRightInd w:val="0"/>
        <w:snapToGrid w:val="0"/>
        <w:spacing w:line="360" w:lineRule="auto"/>
        <w:ind w:firstLine="422" w:firstLineChars="200"/>
        <w:rPr>
          <w:b/>
          <w:bCs/>
        </w:rPr>
      </w:pPr>
      <w:r>
        <w:rPr>
          <w:rFonts w:hint="eastAsia"/>
          <w:b/>
          <w:bCs/>
        </w:rPr>
        <w:t>采购代理机构名称：金华市公共资源交易中心东阳分中心</w:t>
      </w:r>
    </w:p>
    <w:p>
      <w:pPr>
        <w:adjustRightInd w:val="0"/>
        <w:snapToGrid w:val="0"/>
        <w:spacing w:line="360" w:lineRule="auto"/>
        <w:ind w:firstLine="420" w:firstLineChars="200"/>
      </w:pPr>
      <w:r>
        <w:rPr>
          <w:rFonts w:hint="eastAsia"/>
        </w:rPr>
        <w:t>地点：浙江省东阳市艺海北路338号总部中心B幢西区14楼（金华市公共资源交易中心东阳分中心）</w:t>
      </w:r>
    </w:p>
    <w:p>
      <w:pPr>
        <w:adjustRightInd w:val="0"/>
        <w:snapToGrid w:val="0"/>
        <w:spacing w:line="360" w:lineRule="auto"/>
        <w:ind w:firstLine="420" w:firstLineChars="200"/>
      </w:pPr>
      <w:r>
        <w:rPr>
          <w:rFonts w:hint="eastAsia"/>
        </w:rPr>
        <w:t>联系人：徐女士、贾女士</w:t>
      </w:r>
    </w:p>
    <w:p>
      <w:pPr>
        <w:adjustRightInd w:val="0"/>
        <w:snapToGrid w:val="0"/>
        <w:spacing w:line="360" w:lineRule="auto"/>
        <w:ind w:firstLine="420" w:firstLineChars="200"/>
      </w:pPr>
      <w:r>
        <w:rPr>
          <w:rFonts w:hint="eastAsia"/>
        </w:rPr>
        <w:t>联系电话：0579-86691</w:t>
      </w:r>
      <w:r>
        <w:t>535</w:t>
      </w:r>
    </w:p>
    <w:p>
      <w:pPr>
        <w:adjustRightInd w:val="0"/>
        <w:snapToGrid w:val="0"/>
        <w:spacing w:line="360" w:lineRule="auto"/>
        <w:ind w:firstLine="420" w:firstLineChars="200"/>
      </w:pPr>
      <w:r>
        <w:rPr>
          <w:rFonts w:hint="eastAsia"/>
        </w:rPr>
        <w:t>传真：0579-86691</w:t>
      </w:r>
      <w:r>
        <w:t>535</w:t>
      </w:r>
    </w:p>
    <w:p>
      <w:pPr>
        <w:adjustRightInd w:val="0"/>
        <w:snapToGrid w:val="0"/>
        <w:spacing w:line="360" w:lineRule="auto"/>
        <w:ind w:firstLine="420" w:firstLineChars="200"/>
      </w:pPr>
      <w:r>
        <w:rPr>
          <w:rFonts w:hint="eastAsia"/>
        </w:rPr>
        <w:t>质疑联系人：马先生</w:t>
      </w:r>
    </w:p>
    <w:p>
      <w:pPr>
        <w:adjustRightInd w:val="0"/>
        <w:snapToGrid w:val="0"/>
        <w:spacing w:line="360" w:lineRule="auto"/>
        <w:ind w:firstLine="420" w:firstLineChars="200"/>
      </w:pPr>
      <w:r>
        <w:rPr>
          <w:rFonts w:hint="eastAsia"/>
        </w:rPr>
        <w:t>联系电话：0</w:t>
      </w:r>
      <w:r>
        <w:t>579-86691729</w:t>
      </w:r>
    </w:p>
    <w:p>
      <w:pPr>
        <w:adjustRightInd w:val="0"/>
        <w:snapToGrid w:val="0"/>
        <w:spacing w:line="360" w:lineRule="auto"/>
        <w:ind w:firstLine="422" w:firstLineChars="200"/>
        <w:rPr>
          <w:b/>
          <w:bCs/>
        </w:rPr>
      </w:pPr>
      <w:r>
        <w:rPr>
          <w:rFonts w:hint="eastAsia"/>
          <w:b/>
          <w:bCs/>
        </w:rPr>
        <w:t>咨询机构：上海同济工程咨询有限公司</w:t>
      </w:r>
    </w:p>
    <w:p>
      <w:pPr>
        <w:adjustRightInd w:val="0"/>
        <w:snapToGrid w:val="0"/>
        <w:spacing w:line="360" w:lineRule="auto"/>
        <w:ind w:firstLine="420" w:firstLineChars="200"/>
      </w:pPr>
      <w:r>
        <w:t>地址：</w:t>
      </w:r>
      <w:r>
        <w:rPr>
          <w:rFonts w:hint="eastAsia"/>
        </w:rPr>
        <w:t>上海市杨浦区四平路1</w:t>
      </w:r>
      <w:r>
        <w:t>398</w:t>
      </w:r>
      <w:r>
        <w:rPr>
          <w:rFonts w:hint="eastAsia"/>
        </w:rPr>
        <w:t>号同济联合广场1</w:t>
      </w:r>
      <w:r>
        <w:t>8</w:t>
      </w:r>
      <w:r>
        <w:rPr>
          <w:rFonts w:hint="eastAsia"/>
        </w:rPr>
        <w:t>楼</w:t>
      </w:r>
    </w:p>
    <w:p>
      <w:pPr>
        <w:adjustRightInd w:val="0"/>
        <w:snapToGrid w:val="0"/>
        <w:spacing w:line="360" w:lineRule="auto"/>
        <w:ind w:firstLine="420" w:firstLineChars="200"/>
      </w:pPr>
      <w:r>
        <w:t>联系人：</w:t>
      </w:r>
      <w:r>
        <w:rPr>
          <w:rFonts w:hint="eastAsia"/>
        </w:rPr>
        <w:t>陈工</w:t>
      </w:r>
    </w:p>
    <w:p>
      <w:pPr>
        <w:adjustRightInd w:val="0"/>
        <w:snapToGrid w:val="0"/>
        <w:spacing w:line="360" w:lineRule="auto"/>
        <w:ind w:firstLine="420" w:firstLineChars="200"/>
      </w:pPr>
      <w:r>
        <w:t>联系电话</w:t>
      </w:r>
      <w:r>
        <w:rPr>
          <w:rFonts w:hint="eastAsia"/>
        </w:rPr>
        <w:t>：</w:t>
      </w:r>
      <w:r>
        <w:t>15021867973</w:t>
      </w:r>
    </w:p>
    <w:p>
      <w:pPr>
        <w:adjustRightInd w:val="0"/>
        <w:snapToGrid w:val="0"/>
        <w:spacing w:line="360" w:lineRule="auto"/>
        <w:ind w:firstLine="422" w:firstLineChars="200"/>
        <w:rPr>
          <w:b/>
          <w:bCs/>
        </w:rPr>
      </w:pPr>
      <w:r>
        <w:rPr>
          <w:rFonts w:hint="eastAsia"/>
          <w:b/>
          <w:bCs/>
        </w:rPr>
        <w:t>政府采购行政监管及投诉受理部门：东阳市财政局采购办</w:t>
      </w:r>
    </w:p>
    <w:p>
      <w:pPr>
        <w:adjustRightInd w:val="0"/>
        <w:snapToGrid w:val="0"/>
        <w:spacing w:line="360" w:lineRule="auto"/>
        <w:ind w:firstLine="420" w:firstLineChars="200"/>
      </w:pPr>
      <w:r>
        <w:rPr>
          <w:rFonts w:hint="eastAsia"/>
        </w:rPr>
        <w:t>地址：东阳市人民北路8号</w:t>
      </w:r>
    </w:p>
    <w:p>
      <w:pPr>
        <w:adjustRightInd w:val="0"/>
        <w:snapToGrid w:val="0"/>
        <w:spacing w:line="360" w:lineRule="auto"/>
        <w:ind w:firstLine="420" w:firstLineChars="200"/>
      </w:pPr>
      <w:r>
        <w:rPr>
          <w:rFonts w:hint="eastAsia"/>
        </w:rPr>
        <w:t>联系电话：0579-86662677</w:t>
      </w:r>
    </w:p>
    <w:p>
      <w:pPr>
        <w:spacing w:line="500" w:lineRule="exact"/>
        <w:rPr>
          <w:rStyle w:val="89"/>
          <w:szCs w:val="22"/>
        </w:rPr>
      </w:pPr>
      <w:r>
        <w:rPr>
          <w:rFonts w:hint="eastAsia" w:ascii="宋体" w:hAnsi="宋体" w:cs="宋体"/>
          <w:bCs/>
        </w:rPr>
        <w:br w:type="page"/>
      </w:r>
    </w:p>
    <w:p>
      <w:pPr>
        <w:pStyle w:val="134"/>
        <w:widowControl w:val="0"/>
        <w:spacing w:afterLines="0" w:line="340" w:lineRule="exact"/>
        <w:ind w:firstLine="0" w:firstLineChars="0"/>
        <w:jc w:val="center"/>
        <w:outlineLvl w:val="0"/>
        <w:rPr>
          <w:b/>
          <w:sz w:val="30"/>
          <w:szCs w:val="30"/>
        </w:rPr>
      </w:pPr>
      <w:bookmarkStart w:id="43" w:name="_Toc59530113"/>
      <w:r>
        <w:rPr>
          <w:rStyle w:val="89"/>
          <w:rFonts w:hint="eastAsia"/>
          <w:szCs w:val="22"/>
        </w:rPr>
        <w:t>第二章</w:t>
      </w:r>
      <w:bookmarkEnd w:id="7"/>
      <w:bookmarkEnd w:id="8"/>
      <w:bookmarkEnd w:id="9"/>
      <w:bookmarkEnd w:id="10"/>
      <w:r>
        <w:rPr>
          <w:rStyle w:val="89"/>
          <w:rFonts w:hint="eastAsia"/>
          <w:szCs w:val="22"/>
        </w:rPr>
        <w:t>采购需求</w:t>
      </w:r>
      <w:bookmarkEnd w:id="43"/>
    </w:p>
    <w:p>
      <w:pPr>
        <w:spacing w:line="500" w:lineRule="exact"/>
        <w:ind w:firstLine="420" w:firstLineChars="200"/>
        <w:rPr>
          <w:rFonts w:ascii="宋体" w:hAnsi="宋体" w:cs="宋体"/>
          <w:bCs/>
        </w:rPr>
      </w:pPr>
      <w:bookmarkStart w:id="44" w:name="_Toc4892"/>
      <w:bookmarkStart w:id="45" w:name="_Toc496275144"/>
      <w:bookmarkStart w:id="46" w:name="_Toc498703363"/>
      <w:bookmarkStart w:id="47" w:name="_Toc359934557"/>
      <w:bookmarkStart w:id="48" w:name="_Toc301187521"/>
      <w:bookmarkStart w:id="49" w:name="_Toc303756362"/>
    </w:p>
    <w:p>
      <w:pPr>
        <w:spacing w:line="500" w:lineRule="exact"/>
        <w:ind w:firstLine="420" w:firstLineChars="200"/>
        <w:rPr>
          <w:rFonts w:ascii="宋体" w:hAnsi="宋体" w:cs="宋体"/>
          <w:bCs/>
        </w:rPr>
      </w:pPr>
      <w:r>
        <w:rPr>
          <w:rFonts w:hint="eastAsia" w:ascii="宋体" w:hAnsi="宋体" w:cs="宋体"/>
          <w:bCs/>
        </w:rPr>
        <w:t>本项目要求成交社会资本在确保工程建设质量与运行安全可靠的基础上，与东阳市的城市发展需要相适应，满足国家有关污水处理的技术标准和规范的各项要求。</w:t>
      </w:r>
    </w:p>
    <w:p>
      <w:pPr>
        <w:spacing w:line="500" w:lineRule="exact"/>
        <w:ind w:firstLine="420" w:firstLineChars="200"/>
        <w:rPr>
          <w:rFonts w:ascii="宋体" w:hAnsi="宋体" w:cs="宋体"/>
          <w:bCs/>
        </w:rPr>
      </w:pPr>
      <w:r>
        <w:rPr>
          <w:rFonts w:hint="eastAsia" w:ascii="宋体" w:hAnsi="宋体" w:cs="宋体"/>
          <w:bCs/>
        </w:rPr>
        <w:t>本项目应采用在国内外有成功工程实例的、先进的、成熟的污水处理的工艺技术及设备，本项目鼓励社会资本方在本章要求的基础上采用更先进的技术工艺方案。即使本章要求未述及，涉及国家相关技术标准、技术规范规定或本项目功能所需，供应商亦应予以考虑和说明。</w:t>
      </w:r>
    </w:p>
    <w:p>
      <w:pPr>
        <w:spacing w:line="500" w:lineRule="exact"/>
        <w:ind w:firstLine="420" w:firstLineChars="200"/>
        <w:rPr>
          <w:rFonts w:ascii="宋体" w:hAnsi="宋体" w:cs="宋体"/>
          <w:bCs/>
        </w:rPr>
      </w:pPr>
      <w:r>
        <w:rPr>
          <w:rFonts w:hint="eastAsia" w:ascii="宋体" w:hAnsi="宋体" w:cs="宋体"/>
          <w:bCs/>
        </w:rPr>
        <w:t>本项目主要采购需求概述如下，具体实施要求详见本项目《实施方案》：</w:t>
      </w:r>
    </w:p>
    <w:p>
      <w:pPr>
        <w:spacing w:line="500" w:lineRule="exact"/>
        <w:ind w:firstLine="420" w:firstLineChars="200"/>
        <w:rPr>
          <w:rFonts w:ascii="宋体" w:hAnsi="宋体" w:cs="宋体"/>
          <w:bCs/>
        </w:rPr>
      </w:pPr>
      <w:r>
        <w:rPr>
          <w:rFonts w:hint="eastAsia" w:ascii="宋体" w:hAnsi="宋体" w:cs="宋体"/>
          <w:bCs/>
        </w:rPr>
        <w:t>1、项目概况</w:t>
      </w:r>
    </w:p>
    <w:p>
      <w:pPr>
        <w:spacing w:line="500" w:lineRule="exact"/>
        <w:ind w:firstLine="420" w:firstLineChars="200"/>
        <w:rPr>
          <w:rFonts w:ascii="宋体" w:hAnsi="宋体" w:cs="宋体"/>
          <w:bCs/>
        </w:rPr>
      </w:pPr>
      <w:r>
        <w:rPr>
          <w:rFonts w:hint="eastAsia" w:ascii="宋体" w:hAnsi="宋体" w:cs="宋体"/>
          <w:bCs/>
        </w:rPr>
        <w:t>建设地址位于东阳市南马镇上安恬村，南至南江边，北至山脚下，西至南江边，东至525县道。服务范围包括南马镇镇区、千祥部分片区以及防军片区。合作内容包括东阳市南马镇西区污水处理厂一期工程的投融资、拆除新建、运营及移交，设计规模为2万m3/d，设计出水水质达到浙江省《城镇污水处理厂主要水污染物排放标准》（DB33/2169-2018），尾水排至南江。</w:t>
      </w:r>
    </w:p>
    <w:p>
      <w:pPr>
        <w:spacing w:line="500" w:lineRule="exact"/>
        <w:ind w:firstLine="420" w:firstLineChars="200"/>
        <w:rPr>
          <w:rFonts w:ascii="宋体" w:hAnsi="宋体" w:cs="宋体"/>
          <w:bCs/>
        </w:rPr>
      </w:pPr>
      <w:r>
        <w:rPr>
          <w:rFonts w:hint="eastAsia" w:ascii="宋体" w:hAnsi="宋体" w:cs="宋体"/>
          <w:bCs/>
        </w:rPr>
        <w:t>2、项目投资及控制价</w:t>
      </w:r>
    </w:p>
    <w:p>
      <w:pPr>
        <w:spacing w:line="500" w:lineRule="exact"/>
        <w:ind w:firstLine="420" w:firstLineChars="200"/>
        <w:rPr>
          <w:rFonts w:ascii="宋体" w:hAnsi="宋体" w:cs="宋体"/>
          <w:bCs/>
          <w:highlight w:val="none"/>
        </w:rPr>
      </w:pPr>
      <w:r>
        <w:rPr>
          <w:rFonts w:hint="eastAsia" w:ascii="宋体" w:hAnsi="宋体" w:cs="宋体"/>
          <w:bCs/>
        </w:rPr>
        <w:t>根据《东阳市发展和改革局关于南马镇西区污水处理厂一期改扩建工程可行性研究报告</w:t>
      </w:r>
      <w:r>
        <w:rPr>
          <w:rFonts w:hint="eastAsia" w:ascii="宋体" w:hAnsi="宋体" w:cs="宋体"/>
          <w:bCs/>
          <w:highlight w:val="none"/>
        </w:rPr>
        <w:t>的批复》，项目总投资为8220万元。</w:t>
      </w:r>
    </w:p>
    <w:p>
      <w:pPr>
        <w:spacing w:line="500" w:lineRule="exact"/>
        <w:ind w:firstLine="420" w:firstLineChars="200"/>
        <w:rPr>
          <w:rFonts w:ascii="宋体" w:hAnsi="宋体" w:cs="宋体"/>
          <w:bCs/>
          <w:highlight w:val="none"/>
        </w:rPr>
      </w:pPr>
      <w:r>
        <w:rPr>
          <w:rFonts w:hint="eastAsia" w:ascii="宋体" w:hAnsi="宋体" w:cs="宋体"/>
          <w:bCs/>
          <w:highlight w:val="none"/>
        </w:rPr>
        <w:t>本项目的控制价为2</w:t>
      </w:r>
      <w:r>
        <w:rPr>
          <w:rFonts w:ascii="宋体" w:hAnsi="宋体" w:cs="宋体"/>
          <w:bCs/>
          <w:highlight w:val="none"/>
        </w:rPr>
        <w:t>.210</w:t>
      </w:r>
      <w:r>
        <w:rPr>
          <w:rFonts w:hint="eastAsia" w:ascii="宋体" w:hAnsi="宋体" w:cs="宋体"/>
          <w:bCs/>
          <w:highlight w:val="none"/>
        </w:rPr>
        <w:t>元/m³。</w:t>
      </w:r>
    </w:p>
    <w:p>
      <w:pPr>
        <w:spacing w:line="500" w:lineRule="exact"/>
        <w:ind w:firstLine="420" w:firstLineChars="200"/>
        <w:rPr>
          <w:rFonts w:ascii="宋体" w:hAnsi="宋体" w:cs="宋体"/>
          <w:bCs/>
          <w:highlight w:val="none"/>
        </w:rPr>
      </w:pPr>
      <w:r>
        <w:rPr>
          <w:rFonts w:hint="eastAsia" w:ascii="宋体" w:hAnsi="宋体" w:cs="宋体"/>
          <w:bCs/>
          <w:highlight w:val="none"/>
        </w:rPr>
        <w:t>3、项目资金及融资</w:t>
      </w:r>
    </w:p>
    <w:p>
      <w:pPr>
        <w:spacing w:line="500" w:lineRule="exact"/>
        <w:ind w:firstLine="420" w:firstLineChars="200"/>
        <w:rPr>
          <w:rFonts w:ascii="宋体" w:hAnsi="宋体" w:cs="宋体"/>
          <w:bCs/>
          <w:highlight w:val="none"/>
        </w:rPr>
      </w:pPr>
      <w:r>
        <w:rPr>
          <w:rFonts w:hint="eastAsia" w:ascii="宋体" w:hAnsi="宋体" w:cs="宋体"/>
          <w:bCs/>
          <w:highlight w:val="none"/>
        </w:rPr>
        <w:t>本项目由PPP项目公司负责融资，融资成本由PPP项目公司承担。</w:t>
      </w:r>
    </w:p>
    <w:p>
      <w:pPr>
        <w:spacing w:line="500" w:lineRule="exact"/>
        <w:ind w:firstLine="420" w:firstLineChars="200"/>
        <w:rPr>
          <w:rFonts w:ascii="宋体" w:hAnsi="宋体" w:cs="宋体"/>
          <w:bCs/>
        </w:rPr>
      </w:pPr>
      <w:r>
        <w:rPr>
          <w:rFonts w:hint="eastAsia" w:ascii="宋体" w:hAnsi="宋体" w:cs="宋体"/>
          <w:bCs/>
          <w:highlight w:val="none"/>
        </w:rPr>
        <w:t>为确保本项目的建设、运营，PPP项目公司确需以收益权质押方式融资的，须经实施机构书面同意。PPP项目公司通过收益权质押方式融资获取的资金仅限于本项目使用。本项目</w:t>
      </w:r>
      <w:r>
        <w:rPr>
          <w:rFonts w:hint="eastAsia" w:ascii="宋体" w:hAnsi="宋体" w:cs="宋体"/>
          <w:bCs/>
        </w:rPr>
        <w:t>建设期内，PPP项目公司应自行根据项目建设进度、融资要求及相关约定安排本项目的项目资本金、债务资金的到位计划，保证为本项目筹措的资金能够满足本项目资金使用需要。PPP项目公司应在项目公司成立后180日内完成项目融资，若PPP项目公司不能如期完成本项目融资，社会资本方有义务采取股东借款、补充担保等措施支持本项目融资。</w:t>
      </w:r>
    </w:p>
    <w:p>
      <w:pPr>
        <w:spacing w:line="500" w:lineRule="exact"/>
        <w:ind w:firstLine="420" w:firstLineChars="200"/>
        <w:rPr>
          <w:rFonts w:ascii="宋体" w:hAnsi="宋体" w:cs="宋体"/>
          <w:bCs/>
        </w:rPr>
      </w:pPr>
      <w:r>
        <w:rPr>
          <w:rFonts w:hint="eastAsia" w:ascii="宋体" w:hAnsi="宋体" w:cs="宋体"/>
          <w:bCs/>
        </w:rPr>
        <w:t>4、根据《可行性研究报告》，本项目工艺如下：</w:t>
      </w:r>
    </w:p>
    <w:p>
      <w:pPr>
        <w:spacing w:line="500" w:lineRule="exact"/>
        <w:ind w:firstLine="420" w:firstLineChars="200"/>
        <w:rPr>
          <w:rFonts w:ascii="宋体" w:hAnsi="宋体" w:cs="宋体"/>
          <w:bCs/>
        </w:rPr>
      </w:pPr>
      <w:r>
        <w:rPr>
          <w:rFonts w:hint="eastAsia" w:ascii="宋体" w:hAnsi="宋体" w:cs="宋体"/>
          <w:bCs/>
        </w:rPr>
        <w:t>预处理工艺：粗格柵+调节池+细格柵+旋流沉砂；</w:t>
      </w:r>
    </w:p>
    <w:p>
      <w:pPr>
        <w:spacing w:line="500" w:lineRule="exact"/>
        <w:ind w:firstLine="420" w:firstLineChars="200"/>
        <w:rPr>
          <w:rFonts w:ascii="宋体" w:hAnsi="宋体" w:cs="宋体"/>
          <w:bCs/>
        </w:rPr>
      </w:pPr>
      <w:r>
        <w:rPr>
          <w:rFonts w:hint="eastAsia" w:ascii="宋体" w:hAnsi="宋体" w:cs="宋体"/>
          <w:bCs/>
        </w:rPr>
        <w:t>二级生化处理：水解池+分点进水倒置AAO；</w:t>
      </w:r>
    </w:p>
    <w:p>
      <w:pPr>
        <w:spacing w:line="500" w:lineRule="exact"/>
        <w:ind w:firstLine="420" w:firstLineChars="200"/>
        <w:rPr>
          <w:rFonts w:ascii="宋体" w:hAnsi="宋体" w:cs="宋体"/>
          <w:bCs/>
        </w:rPr>
      </w:pPr>
      <w:r>
        <w:rPr>
          <w:rFonts w:hint="eastAsia" w:ascii="宋体" w:hAnsi="宋体" w:cs="宋体"/>
          <w:bCs/>
        </w:rPr>
        <w:t>深度处理：高效絮凝沉淀池+纤维转盘滤池；</w:t>
      </w:r>
    </w:p>
    <w:p>
      <w:pPr>
        <w:spacing w:line="500" w:lineRule="exact"/>
        <w:ind w:firstLine="420" w:firstLineChars="200"/>
        <w:rPr>
          <w:rFonts w:ascii="宋体" w:hAnsi="宋体" w:cs="宋体"/>
          <w:bCs/>
        </w:rPr>
      </w:pPr>
      <w:r>
        <w:rPr>
          <w:rFonts w:hint="eastAsia" w:ascii="宋体" w:hAnsi="宋体" w:cs="宋体"/>
          <w:bCs/>
        </w:rPr>
        <w:t>消毒：紫外线消毒；</w:t>
      </w:r>
    </w:p>
    <w:p>
      <w:pPr>
        <w:spacing w:line="500" w:lineRule="exact"/>
        <w:ind w:firstLine="420" w:firstLineChars="200"/>
        <w:rPr>
          <w:rFonts w:ascii="宋体" w:hAnsi="宋体" w:cs="宋体"/>
          <w:bCs/>
        </w:rPr>
      </w:pPr>
      <w:r>
        <w:rPr>
          <w:rFonts w:hint="eastAsia" w:ascii="宋体" w:hAnsi="宋体" w:cs="宋体"/>
          <w:bCs/>
        </w:rPr>
        <w:t>污泥处理：高压隔膜板框压滤系统；</w:t>
      </w:r>
    </w:p>
    <w:p>
      <w:pPr>
        <w:spacing w:line="500" w:lineRule="exact"/>
        <w:ind w:firstLine="420" w:firstLineChars="200"/>
        <w:rPr>
          <w:rFonts w:ascii="宋体" w:hAnsi="宋体" w:cs="宋体"/>
          <w:bCs/>
        </w:rPr>
      </w:pPr>
      <w:r>
        <w:rPr>
          <w:rFonts w:hint="eastAsia" w:ascii="宋体" w:hAnsi="宋体" w:cs="宋体"/>
          <w:bCs/>
        </w:rPr>
        <w:t>除臭：活性氧除臭技术。</w:t>
      </w:r>
    </w:p>
    <w:p>
      <w:pPr>
        <w:spacing w:line="500" w:lineRule="exact"/>
        <w:ind w:firstLine="420" w:firstLineChars="200"/>
        <w:rPr>
          <w:rFonts w:ascii="宋体" w:hAnsi="宋体" w:cs="宋体"/>
          <w:bCs/>
        </w:rPr>
      </w:pPr>
      <w:r>
        <w:rPr>
          <w:rFonts w:hint="eastAsia" w:ascii="宋体" w:hAnsi="宋体" w:cs="宋体"/>
          <w:bCs/>
        </w:rPr>
        <w:t>污泥处置：近期产生污泥送至垃圾填埋场填埋或用于建筑制品，远期生活垃圾焚烧厂建成后，与垃圾一起焚烧。</w:t>
      </w:r>
    </w:p>
    <w:p>
      <w:pPr>
        <w:spacing w:line="500" w:lineRule="exact"/>
        <w:ind w:firstLine="420" w:firstLineChars="200"/>
        <w:rPr>
          <w:rFonts w:ascii="宋体" w:hAnsi="宋体" w:cs="宋体"/>
          <w:bCs/>
        </w:rPr>
      </w:pPr>
      <w:r>
        <w:rPr>
          <w:rFonts w:hint="eastAsia" w:ascii="宋体" w:hAnsi="宋体" w:cs="宋体"/>
          <w:bCs/>
        </w:rPr>
        <w:t>工艺流程见下图：</w:t>
      </w:r>
    </w:p>
    <w:p>
      <w:pPr>
        <w:spacing w:line="500" w:lineRule="exact"/>
        <w:ind w:firstLine="420" w:firstLineChars="200"/>
        <w:rPr>
          <w:rFonts w:ascii="宋体" w:hAnsi="宋体" w:cs="宋体"/>
          <w:bCs/>
        </w:rPr>
      </w:pPr>
      <w:r>
        <w:drawing>
          <wp:anchor distT="0" distB="0" distL="114300" distR="114300" simplePos="0" relativeHeight="251660288" behindDoc="1" locked="0" layoutInCell="1" allowOverlap="1">
            <wp:simplePos x="0" y="0"/>
            <wp:positionH relativeFrom="column">
              <wp:posOffset>0</wp:posOffset>
            </wp:positionH>
            <wp:positionV relativeFrom="paragraph">
              <wp:posOffset>314325</wp:posOffset>
            </wp:positionV>
            <wp:extent cx="5274310" cy="2622550"/>
            <wp:effectExtent l="0" t="0" r="2540" b="635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274310" cy="2622550"/>
                    </a:xfrm>
                    <a:prstGeom prst="rect">
                      <a:avLst/>
                    </a:prstGeom>
                    <a:noFill/>
                  </pic:spPr>
                </pic:pic>
              </a:graphicData>
            </a:graphic>
          </wp:anchor>
        </w:drawing>
      </w:r>
    </w:p>
    <w:p>
      <w:pPr>
        <w:spacing w:line="500" w:lineRule="exact"/>
        <w:ind w:firstLine="420" w:firstLineChars="200"/>
        <w:rPr>
          <w:rFonts w:ascii="宋体" w:hAnsi="宋体" w:cs="宋体"/>
          <w:bCs/>
        </w:rPr>
      </w:pPr>
      <w:r>
        <w:rPr>
          <w:rFonts w:hint="eastAsia" w:ascii="宋体" w:hAnsi="宋体" w:cs="宋体"/>
          <w:bCs/>
        </w:rPr>
        <w:t>本工艺部分设备与项目二期合用，中标社会资本应自行与二期运营商协商进行运营管理，本项目允许社会资本在征得采购人同意的前提下对工艺进行优化。</w:t>
      </w:r>
    </w:p>
    <w:p>
      <w:pPr>
        <w:spacing w:line="500" w:lineRule="exact"/>
        <w:ind w:firstLine="420" w:firstLineChars="200"/>
        <w:rPr>
          <w:rFonts w:ascii="宋体" w:hAnsi="宋体" w:cs="宋体"/>
          <w:bCs/>
        </w:rPr>
      </w:pPr>
      <w:r>
        <w:rPr>
          <w:rFonts w:hint="eastAsia" w:ascii="宋体" w:hAnsi="宋体" w:cs="宋体"/>
          <w:bCs/>
        </w:rPr>
        <w:t>5、出水标准</w:t>
      </w:r>
    </w:p>
    <w:p>
      <w:pPr>
        <w:spacing w:line="500" w:lineRule="exact"/>
        <w:ind w:firstLine="420" w:firstLineChars="200"/>
        <w:rPr>
          <w:rFonts w:ascii="宋体" w:hAnsi="宋体" w:cs="宋体"/>
          <w:bCs/>
        </w:rPr>
      </w:pPr>
      <w:r>
        <w:rPr>
          <w:rFonts w:hint="eastAsia" w:ascii="宋体" w:hAnsi="宋体" w:cs="宋体"/>
          <w:bCs/>
        </w:rPr>
        <w:t>本项目出水水质的化学需氧量、氨氮、总氮、总磷等4项水污染物基本控制项目达到《城镇污水处理厂主要水污染物排放标准》(DB33/2169-2018)中表1标准，其余控制项目仍按《城镇污水处理厂污染物排放标准》(GB18918-2002)中的一级A标准执行。主要出水水质指标详见下表。详见下表。</w:t>
      </w:r>
    </w:p>
    <w:p>
      <w:pPr>
        <w:spacing w:line="500" w:lineRule="exact"/>
        <w:ind w:firstLine="420" w:firstLineChars="200"/>
        <w:jc w:val="center"/>
        <w:rPr>
          <w:rFonts w:ascii="宋体" w:hAnsi="宋体" w:cs="宋体"/>
          <w:bCs/>
        </w:rPr>
      </w:pPr>
      <w:r>
        <w:rPr>
          <w:rFonts w:hint="eastAsia" w:ascii="宋体" w:hAnsi="宋体" w:cs="宋体"/>
          <w:bCs/>
        </w:rPr>
        <w:t>南马镇西区污水处理厂一期改扩建工程出水指标表</w:t>
      </w:r>
    </w:p>
    <w:tbl>
      <w:tblPr>
        <w:tblStyle w:val="41"/>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47"/>
        <w:gridCol w:w="873"/>
        <w:gridCol w:w="1023"/>
        <w:gridCol w:w="874"/>
        <w:gridCol w:w="876"/>
        <w:gridCol w:w="1316"/>
        <w:gridCol w:w="1348"/>
        <w:gridCol w:w="7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9" w:hRule="atLeast"/>
        </w:trPr>
        <w:tc>
          <w:tcPr>
            <w:tcW w:w="849" w:type="pct"/>
            <w:tcBorders>
              <w:top w:val="single" w:color="auto" w:sz="12" w:space="0"/>
              <w:left w:val="single" w:color="auto" w:sz="12" w:space="0"/>
              <w:bottom w:val="single" w:color="auto" w:sz="4" w:space="0"/>
              <w:right w:val="single" w:color="auto" w:sz="4" w:space="0"/>
            </w:tcBorders>
            <w:vAlign w:val="center"/>
          </w:tcPr>
          <w:p>
            <w:pPr>
              <w:spacing w:line="360" w:lineRule="auto"/>
            </w:pPr>
            <w:r>
              <w:rPr>
                <w:rFonts w:hint="eastAsia"/>
              </w:rPr>
              <w:t>水质参数</w:t>
            </w:r>
          </w:p>
        </w:tc>
        <w:tc>
          <w:tcPr>
            <w:tcW w:w="512" w:type="pct"/>
            <w:tcBorders>
              <w:top w:val="single" w:color="auto" w:sz="12" w:space="0"/>
              <w:left w:val="single" w:color="auto" w:sz="4" w:space="0"/>
              <w:bottom w:val="single" w:color="auto" w:sz="4" w:space="0"/>
              <w:right w:val="single" w:color="auto" w:sz="4" w:space="0"/>
            </w:tcBorders>
            <w:vAlign w:val="center"/>
          </w:tcPr>
          <w:p>
            <w:pPr>
              <w:spacing w:line="360" w:lineRule="auto"/>
            </w:pPr>
            <w:r>
              <w:t>PH</w:t>
            </w:r>
          </w:p>
        </w:tc>
        <w:tc>
          <w:tcPr>
            <w:tcW w:w="600" w:type="pct"/>
            <w:tcBorders>
              <w:top w:val="single" w:color="auto" w:sz="12" w:space="0"/>
              <w:left w:val="single" w:color="auto" w:sz="4" w:space="0"/>
              <w:bottom w:val="single" w:color="auto" w:sz="4" w:space="0"/>
              <w:right w:val="single" w:color="auto" w:sz="4" w:space="0"/>
            </w:tcBorders>
            <w:vAlign w:val="center"/>
          </w:tcPr>
          <w:p>
            <w:pPr>
              <w:spacing w:line="360" w:lineRule="auto"/>
            </w:pPr>
            <w:r>
              <w:t>CODcr</w:t>
            </w:r>
          </w:p>
        </w:tc>
        <w:tc>
          <w:tcPr>
            <w:tcW w:w="513" w:type="pct"/>
            <w:tcBorders>
              <w:top w:val="single" w:color="auto" w:sz="12" w:space="0"/>
              <w:left w:val="single" w:color="auto" w:sz="4" w:space="0"/>
              <w:bottom w:val="single" w:color="auto" w:sz="4" w:space="0"/>
              <w:right w:val="single" w:color="auto" w:sz="4" w:space="0"/>
            </w:tcBorders>
            <w:vAlign w:val="center"/>
          </w:tcPr>
          <w:p>
            <w:pPr>
              <w:spacing w:line="360" w:lineRule="auto"/>
            </w:pPr>
            <w:r>
              <w:t>BOD</w:t>
            </w:r>
            <w:r>
              <w:rPr>
                <w:vertAlign w:val="subscript"/>
              </w:rPr>
              <w:t>5</w:t>
            </w:r>
          </w:p>
        </w:tc>
        <w:tc>
          <w:tcPr>
            <w:tcW w:w="514" w:type="pct"/>
            <w:tcBorders>
              <w:top w:val="single" w:color="auto" w:sz="12" w:space="0"/>
              <w:left w:val="single" w:color="auto" w:sz="4" w:space="0"/>
              <w:bottom w:val="single" w:color="auto" w:sz="4" w:space="0"/>
              <w:right w:val="single" w:color="auto" w:sz="4" w:space="0"/>
            </w:tcBorders>
            <w:vAlign w:val="center"/>
          </w:tcPr>
          <w:p>
            <w:pPr>
              <w:spacing w:line="360" w:lineRule="auto"/>
            </w:pPr>
            <w:r>
              <w:t>SS</w:t>
            </w:r>
          </w:p>
        </w:tc>
        <w:tc>
          <w:tcPr>
            <w:tcW w:w="772" w:type="pct"/>
            <w:tcBorders>
              <w:top w:val="single" w:color="auto" w:sz="12" w:space="0"/>
              <w:left w:val="single" w:color="auto" w:sz="4" w:space="0"/>
              <w:bottom w:val="single" w:color="auto" w:sz="4" w:space="0"/>
              <w:right w:val="single" w:color="auto" w:sz="4" w:space="0"/>
            </w:tcBorders>
            <w:vAlign w:val="center"/>
          </w:tcPr>
          <w:p>
            <w:pPr>
              <w:spacing w:line="360" w:lineRule="auto"/>
            </w:pPr>
            <w:r>
              <w:t>NH</w:t>
            </w:r>
            <w:r>
              <w:rPr>
                <w:vertAlign w:val="subscript"/>
              </w:rPr>
              <w:t>3</w:t>
            </w:r>
            <w:r>
              <w:t>-N</w:t>
            </w:r>
          </w:p>
        </w:tc>
        <w:tc>
          <w:tcPr>
            <w:tcW w:w="791" w:type="pct"/>
            <w:tcBorders>
              <w:top w:val="single" w:color="auto" w:sz="12" w:space="0"/>
              <w:left w:val="single" w:color="auto" w:sz="4" w:space="0"/>
              <w:bottom w:val="single" w:color="auto" w:sz="4" w:space="0"/>
              <w:right w:val="single" w:color="auto" w:sz="4" w:space="0"/>
            </w:tcBorders>
            <w:vAlign w:val="center"/>
          </w:tcPr>
          <w:p>
            <w:pPr>
              <w:spacing w:line="360" w:lineRule="auto"/>
            </w:pPr>
            <w:r>
              <w:t>TN</w:t>
            </w:r>
          </w:p>
        </w:tc>
        <w:tc>
          <w:tcPr>
            <w:tcW w:w="449" w:type="pct"/>
            <w:tcBorders>
              <w:top w:val="single" w:color="auto" w:sz="12" w:space="0"/>
              <w:left w:val="single" w:color="auto" w:sz="4" w:space="0"/>
              <w:bottom w:val="single" w:color="auto" w:sz="4" w:space="0"/>
              <w:right w:val="single" w:color="auto" w:sz="12" w:space="0"/>
            </w:tcBorders>
            <w:vAlign w:val="center"/>
          </w:tcPr>
          <w:p>
            <w:pPr>
              <w:spacing w:line="360" w:lineRule="auto"/>
            </w:pPr>
            <w:r>
              <w:t>TP</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849" w:type="pct"/>
            <w:tcBorders>
              <w:top w:val="single" w:color="auto" w:sz="4" w:space="0"/>
              <w:left w:val="single" w:color="auto" w:sz="12" w:space="0"/>
              <w:bottom w:val="single" w:color="auto" w:sz="12" w:space="0"/>
              <w:right w:val="single" w:color="auto" w:sz="4" w:space="0"/>
            </w:tcBorders>
            <w:vAlign w:val="center"/>
          </w:tcPr>
          <w:p>
            <w:pPr>
              <w:spacing w:line="360" w:lineRule="auto"/>
            </w:pPr>
            <w:r>
              <w:rPr>
                <w:rFonts w:hint="eastAsia"/>
              </w:rPr>
              <w:t>出水水质</w:t>
            </w:r>
          </w:p>
        </w:tc>
        <w:tc>
          <w:tcPr>
            <w:tcW w:w="512" w:type="pct"/>
            <w:tcBorders>
              <w:top w:val="single" w:color="auto" w:sz="4" w:space="0"/>
              <w:left w:val="single" w:color="auto" w:sz="4" w:space="0"/>
              <w:bottom w:val="single" w:color="auto" w:sz="12" w:space="0"/>
              <w:right w:val="single" w:color="auto" w:sz="4" w:space="0"/>
            </w:tcBorders>
            <w:vAlign w:val="center"/>
          </w:tcPr>
          <w:p>
            <w:pPr>
              <w:spacing w:line="360" w:lineRule="auto"/>
            </w:pPr>
            <w:r>
              <w:t>6</w:t>
            </w:r>
            <w:r>
              <w:rPr>
                <w:rFonts w:hint="eastAsia"/>
              </w:rPr>
              <w:t>～</w:t>
            </w:r>
            <w:r>
              <w:t>9</w:t>
            </w:r>
          </w:p>
        </w:tc>
        <w:tc>
          <w:tcPr>
            <w:tcW w:w="600" w:type="pct"/>
            <w:tcBorders>
              <w:top w:val="single" w:color="auto" w:sz="4" w:space="0"/>
              <w:left w:val="single" w:color="auto" w:sz="4" w:space="0"/>
              <w:bottom w:val="single" w:color="auto" w:sz="12" w:space="0"/>
              <w:right w:val="single" w:color="auto" w:sz="4" w:space="0"/>
            </w:tcBorders>
            <w:vAlign w:val="center"/>
          </w:tcPr>
          <w:p>
            <w:pPr>
              <w:spacing w:line="360" w:lineRule="auto"/>
            </w:pPr>
            <w:r>
              <w:t>≤40</w:t>
            </w:r>
          </w:p>
        </w:tc>
        <w:tc>
          <w:tcPr>
            <w:tcW w:w="513" w:type="pct"/>
            <w:tcBorders>
              <w:top w:val="single" w:color="auto" w:sz="4" w:space="0"/>
              <w:left w:val="single" w:color="auto" w:sz="4" w:space="0"/>
              <w:bottom w:val="single" w:color="auto" w:sz="12" w:space="0"/>
              <w:right w:val="single" w:color="auto" w:sz="4" w:space="0"/>
            </w:tcBorders>
            <w:vAlign w:val="center"/>
          </w:tcPr>
          <w:p>
            <w:pPr>
              <w:spacing w:line="360" w:lineRule="auto"/>
            </w:pPr>
            <w:r>
              <w:t>≤10</w:t>
            </w:r>
          </w:p>
        </w:tc>
        <w:tc>
          <w:tcPr>
            <w:tcW w:w="514" w:type="pct"/>
            <w:tcBorders>
              <w:top w:val="single" w:color="auto" w:sz="4" w:space="0"/>
              <w:left w:val="single" w:color="auto" w:sz="4" w:space="0"/>
              <w:bottom w:val="single" w:color="auto" w:sz="12" w:space="0"/>
              <w:right w:val="single" w:color="auto" w:sz="4" w:space="0"/>
            </w:tcBorders>
            <w:vAlign w:val="center"/>
          </w:tcPr>
          <w:p>
            <w:pPr>
              <w:spacing w:line="360" w:lineRule="auto"/>
            </w:pPr>
            <w:r>
              <w:t>≤10</w:t>
            </w:r>
          </w:p>
        </w:tc>
        <w:tc>
          <w:tcPr>
            <w:tcW w:w="772" w:type="pct"/>
            <w:tcBorders>
              <w:top w:val="single" w:color="auto" w:sz="4" w:space="0"/>
              <w:left w:val="single" w:color="auto" w:sz="4" w:space="0"/>
              <w:bottom w:val="single" w:color="auto" w:sz="12" w:space="0"/>
              <w:right w:val="single" w:color="auto" w:sz="4" w:space="0"/>
            </w:tcBorders>
            <w:vAlign w:val="center"/>
          </w:tcPr>
          <w:p>
            <w:pPr>
              <w:spacing w:line="360" w:lineRule="auto"/>
            </w:pPr>
            <w:r>
              <w:t>≤2</w:t>
            </w:r>
            <w:r>
              <w:rPr>
                <w:rFonts w:hint="eastAsia"/>
              </w:rPr>
              <w:t>（</w:t>
            </w:r>
            <w:r>
              <w:t>4</w:t>
            </w:r>
            <w:r>
              <w:rPr>
                <w:rFonts w:hint="eastAsia"/>
              </w:rPr>
              <w:t>）</w:t>
            </w:r>
          </w:p>
        </w:tc>
        <w:tc>
          <w:tcPr>
            <w:tcW w:w="791" w:type="pct"/>
            <w:tcBorders>
              <w:top w:val="single" w:color="auto" w:sz="4" w:space="0"/>
              <w:left w:val="single" w:color="auto" w:sz="4" w:space="0"/>
              <w:bottom w:val="single" w:color="auto" w:sz="12" w:space="0"/>
              <w:right w:val="single" w:color="auto" w:sz="4" w:space="0"/>
            </w:tcBorders>
            <w:vAlign w:val="center"/>
          </w:tcPr>
          <w:p>
            <w:pPr>
              <w:spacing w:line="360" w:lineRule="auto"/>
            </w:pPr>
            <w:r>
              <w:t>≤12</w:t>
            </w:r>
            <w:r>
              <w:rPr>
                <w:rFonts w:hint="eastAsia"/>
              </w:rPr>
              <w:t>（</w:t>
            </w:r>
            <w:r>
              <w:t>15</w:t>
            </w:r>
            <w:r>
              <w:rPr>
                <w:rFonts w:hint="eastAsia"/>
              </w:rPr>
              <w:t>）</w:t>
            </w:r>
          </w:p>
        </w:tc>
        <w:tc>
          <w:tcPr>
            <w:tcW w:w="449" w:type="pct"/>
            <w:tcBorders>
              <w:top w:val="single" w:color="auto" w:sz="4" w:space="0"/>
              <w:left w:val="single" w:color="auto" w:sz="4" w:space="0"/>
              <w:bottom w:val="single" w:color="auto" w:sz="12" w:space="0"/>
              <w:right w:val="single" w:color="auto" w:sz="12" w:space="0"/>
            </w:tcBorders>
            <w:vAlign w:val="center"/>
          </w:tcPr>
          <w:p>
            <w:pPr>
              <w:spacing w:line="360" w:lineRule="auto"/>
            </w:pPr>
            <w:r>
              <w:t>≤0.3</w:t>
            </w:r>
          </w:p>
        </w:tc>
      </w:tr>
    </w:tbl>
    <w:p>
      <w:pPr>
        <w:spacing w:line="500" w:lineRule="exact"/>
        <w:ind w:firstLine="420" w:firstLineChars="200"/>
        <w:rPr>
          <w:rFonts w:ascii="宋体" w:hAnsi="宋体" w:cs="宋体"/>
          <w:bCs/>
        </w:rPr>
      </w:pPr>
      <w:r>
        <w:rPr>
          <w:rFonts w:hint="eastAsia" w:ascii="宋体" w:hAnsi="宋体" w:cs="宋体"/>
          <w:bCs/>
        </w:rPr>
        <w:t>注：括号内数值为每年11月1日至次年3月31日执行。</w:t>
      </w:r>
    </w:p>
    <w:p>
      <w:pPr>
        <w:spacing w:line="500" w:lineRule="exact"/>
        <w:ind w:firstLine="420" w:firstLineChars="200"/>
        <w:rPr>
          <w:rFonts w:ascii="宋体" w:hAnsi="宋体" w:cs="宋体"/>
          <w:bCs/>
        </w:rPr>
      </w:pPr>
      <w:r>
        <w:rPr>
          <w:rFonts w:hint="eastAsia" w:ascii="宋体" w:hAnsi="宋体" w:cs="宋体"/>
          <w:bCs/>
        </w:rPr>
        <w:t>6、运维内容及要求：主要包括东阳市南马镇西区污水处理厂一期的运行和日常维护，具体指厂区围墙内和门口的场地上附着的所有为实施本项目范围内的正常运行所需用的设备、建筑物、绿化配套设施的运营维护和必要的设备更换，并承担相关费用，提供污水处理服务，以确保本项目出水标准提标至浙江省《城镇污水处理厂主要水污染物排放标准》（DB33/2169-2018）。在执行以上运营标准的基础上，污水处理厂运营应遵守《城镇污水处理厂污染物排放标准》（GB18918-2002）、《污水排入城市下水道水质标准》（GB/T31962-2015）、《城镇排水及污水处理条例》（国务院令第641号）、《浙江省城镇污水集中处理管理办法》、《浙江省城镇污水处理厂运行管理考核办法》（试行）、《城镇污水处理厂运行、维护及安全技术规程》（CJJ60-2011）、《城镇污水处理厂污泥处理技术规程》（CJJ131-2009）等相关标准规范的要求。</w:t>
      </w:r>
    </w:p>
    <w:p>
      <w:pPr>
        <w:spacing w:line="500" w:lineRule="exact"/>
        <w:ind w:firstLine="420" w:firstLineChars="200"/>
        <w:rPr>
          <w:rFonts w:ascii="宋体" w:hAnsi="宋体" w:cs="宋体"/>
          <w:bCs/>
        </w:rPr>
      </w:pPr>
      <w:r>
        <w:rPr>
          <w:rFonts w:hint="eastAsia" w:ascii="宋体" w:hAnsi="宋体" w:cs="宋体"/>
          <w:bCs/>
        </w:rPr>
        <w:t>7、运作模式</w:t>
      </w:r>
    </w:p>
    <w:p>
      <w:pPr>
        <w:spacing w:line="500" w:lineRule="exact"/>
        <w:ind w:firstLine="420" w:firstLineChars="200"/>
        <w:rPr>
          <w:rFonts w:ascii="宋体" w:hAnsi="宋体" w:cs="宋体"/>
          <w:bCs/>
        </w:rPr>
      </w:pPr>
      <w:r>
        <w:rPr>
          <w:rFonts w:hint="eastAsia" w:ascii="宋体" w:hAnsi="宋体" w:cs="宋体"/>
          <w:bCs/>
        </w:rPr>
        <w:t>项目采用ROT模式运作，总合作期限为24年（其中建设期1年），收益回报机制为使用者付费；本项目资产归政府或其指定机构所有，PPP项目公司在项目合作期内享有项目经营权；合作期满本项目设施及相关权益无偿移交给政府。</w:t>
      </w:r>
    </w:p>
    <w:p>
      <w:pPr>
        <w:spacing w:line="500" w:lineRule="exact"/>
        <w:ind w:firstLine="420" w:firstLineChars="200"/>
        <w:rPr>
          <w:rFonts w:ascii="宋体" w:hAnsi="宋体" w:cs="宋体"/>
          <w:bCs/>
        </w:rPr>
      </w:pPr>
      <w:r>
        <w:rPr>
          <w:rFonts w:hint="eastAsia" w:ascii="宋体" w:hAnsi="宋体" w:cs="宋体"/>
          <w:bCs/>
        </w:rPr>
        <w:t>在合作期限内，东阳市人民政府授权东阳市水务局作为本项目的实施机构，负责项目准备、采购、执行、移交及全生命周期的监管等工作；由中选社会资本设立PPP项目公司。PPP项目公司具体负责本项目的投（融）资、设计、建设、运营、维护、移交。</w:t>
      </w:r>
    </w:p>
    <w:p>
      <w:pPr>
        <w:spacing w:line="500" w:lineRule="exact"/>
        <w:ind w:firstLine="420" w:firstLineChars="200"/>
        <w:rPr>
          <w:rFonts w:ascii="宋体" w:hAnsi="宋体" w:cs="宋体"/>
          <w:bCs/>
        </w:rPr>
      </w:pPr>
      <w:r>
        <w:rPr>
          <w:rFonts w:ascii="宋体" w:hAnsi="宋体" w:cs="宋体"/>
          <w:bCs/>
        </w:rPr>
        <w:t>8</w:t>
      </w:r>
      <w:r>
        <w:rPr>
          <w:rFonts w:hint="eastAsia" w:ascii="宋体" w:hAnsi="宋体" w:cs="宋体"/>
          <w:bCs/>
        </w:rPr>
        <w:t>、监管</w:t>
      </w:r>
    </w:p>
    <w:p>
      <w:pPr>
        <w:spacing w:line="500" w:lineRule="exact"/>
        <w:ind w:firstLine="420" w:firstLineChars="200"/>
        <w:rPr>
          <w:rFonts w:ascii="宋体" w:hAnsi="宋体" w:cs="宋体"/>
          <w:bCs/>
        </w:rPr>
      </w:pPr>
      <w:r>
        <w:rPr>
          <w:rFonts w:hint="eastAsia" w:ascii="宋体" w:hAnsi="宋体" w:cs="宋体"/>
          <w:bCs/>
        </w:rPr>
        <w:t>项目实施机构或政府指定的其他机构对项目公司在经营期内的合同履行情况进行监督管理，定期对项目公司经营情况进行评估和考核。重点管理以下几个方面：</w:t>
      </w:r>
    </w:p>
    <w:p>
      <w:pPr>
        <w:spacing w:line="500" w:lineRule="exact"/>
        <w:ind w:firstLine="420" w:firstLineChars="200"/>
        <w:rPr>
          <w:rFonts w:ascii="宋体" w:hAnsi="宋体" w:cs="宋体"/>
          <w:bCs/>
        </w:rPr>
      </w:pPr>
      <w:r>
        <w:rPr>
          <w:rFonts w:hint="eastAsia" w:ascii="宋体" w:hAnsi="宋体" w:cs="宋体"/>
          <w:bCs/>
        </w:rPr>
        <w:t>（1）建设管理</w:t>
      </w:r>
    </w:p>
    <w:p>
      <w:pPr>
        <w:spacing w:line="500" w:lineRule="exact"/>
        <w:ind w:firstLine="420" w:firstLineChars="200"/>
        <w:rPr>
          <w:rFonts w:ascii="宋体" w:hAnsi="宋体" w:cs="宋体"/>
          <w:bCs/>
        </w:rPr>
      </w:pPr>
      <w:r>
        <w:rPr>
          <w:rFonts w:hint="eastAsia" w:ascii="宋体" w:hAnsi="宋体" w:cs="宋体"/>
          <w:bCs/>
        </w:rPr>
        <w:t>本项目由项目公司主要负责项目建设管理工作。项目公司施工方、材料供应商或劳务分包商签订供应或承包合同，须向项目实施机构进行备案，重大事项需要经项目实施机构同意。</w:t>
      </w:r>
    </w:p>
    <w:p>
      <w:pPr>
        <w:spacing w:line="500" w:lineRule="exact"/>
        <w:ind w:firstLine="420" w:firstLineChars="200"/>
        <w:rPr>
          <w:rFonts w:ascii="宋体" w:hAnsi="宋体" w:cs="宋体"/>
          <w:bCs/>
        </w:rPr>
      </w:pPr>
      <w:r>
        <w:rPr>
          <w:rFonts w:hint="eastAsia" w:ascii="宋体" w:hAnsi="宋体" w:cs="宋体"/>
          <w:bCs/>
        </w:rPr>
        <w:t>（2）质量与安全监管</w:t>
      </w:r>
    </w:p>
    <w:p>
      <w:pPr>
        <w:spacing w:line="500" w:lineRule="exact"/>
        <w:ind w:firstLine="420" w:firstLineChars="200"/>
        <w:rPr>
          <w:rFonts w:ascii="宋体" w:hAnsi="宋体" w:cs="宋体"/>
          <w:bCs/>
        </w:rPr>
      </w:pPr>
      <w:r>
        <w:rPr>
          <w:rFonts w:hint="eastAsia" w:ascii="宋体" w:hAnsi="宋体" w:cs="宋体"/>
          <w:bCs/>
        </w:rPr>
        <w:t>项目实施机构在不影响项目建设和正常运营的情况下，可以进场监督、检查项目设施的建设、运营和维护状况，检查项目的工程质量、安全及施工情况，检验项目公司的运营管理效果和效率。</w:t>
      </w:r>
    </w:p>
    <w:p>
      <w:pPr>
        <w:spacing w:line="500" w:lineRule="exact"/>
        <w:ind w:firstLine="420" w:firstLineChars="200"/>
        <w:rPr>
          <w:rFonts w:ascii="宋体" w:hAnsi="宋体" w:cs="宋体"/>
          <w:bCs/>
        </w:rPr>
      </w:pPr>
      <w:r>
        <w:rPr>
          <w:rFonts w:hint="eastAsia" w:ascii="宋体" w:hAnsi="宋体" w:cs="宋体"/>
          <w:bCs/>
        </w:rPr>
        <w:t>（3）绩效考核</w:t>
      </w:r>
    </w:p>
    <w:p>
      <w:pPr>
        <w:spacing w:line="500" w:lineRule="exact"/>
        <w:ind w:firstLine="420" w:firstLineChars="200"/>
        <w:rPr>
          <w:rFonts w:ascii="宋体" w:hAnsi="宋体" w:cs="宋体"/>
          <w:bCs/>
        </w:rPr>
      </w:pPr>
      <w:r>
        <w:rPr>
          <w:rFonts w:hint="eastAsia" w:ascii="宋体" w:hAnsi="宋体" w:cs="宋体"/>
          <w:bCs/>
        </w:rPr>
        <w:t>本项目需按照合同约定的绩效评价标准，由项目实施机构或其指定机构定期对项目公司进行绩效考核，按照绩效考核结果付费。</w:t>
      </w:r>
    </w:p>
    <w:p>
      <w:pPr>
        <w:spacing w:line="500" w:lineRule="exact"/>
        <w:ind w:firstLine="420" w:firstLineChars="200"/>
        <w:rPr>
          <w:rFonts w:ascii="宋体" w:hAnsi="宋体" w:cs="宋体"/>
          <w:bCs/>
        </w:rPr>
      </w:pPr>
      <w:r>
        <w:rPr>
          <w:rFonts w:hint="eastAsia" w:ascii="宋体" w:hAnsi="宋体" w:cs="宋体"/>
          <w:bCs/>
        </w:rPr>
        <w:t>（4）成本费用监管</w:t>
      </w:r>
    </w:p>
    <w:p>
      <w:pPr>
        <w:spacing w:line="500" w:lineRule="exact"/>
        <w:ind w:firstLine="420" w:firstLineChars="200"/>
        <w:rPr>
          <w:rFonts w:ascii="宋体" w:hAnsi="宋体" w:cs="宋体"/>
          <w:bCs/>
        </w:rPr>
      </w:pPr>
      <w:r>
        <w:rPr>
          <w:rFonts w:hint="eastAsia" w:ascii="宋体" w:hAnsi="宋体" w:cs="宋体"/>
          <w:bCs/>
        </w:rPr>
        <w:t>项目公司应定期如实向项目实施机构提交年度财务报告等财务资料，便于项目实施机构对项目公司的成本费用进行监管。</w:t>
      </w:r>
    </w:p>
    <w:p>
      <w:pPr>
        <w:spacing w:line="500" w:lineRule="exact"/>
        <w:ind w:firstLine="420" w:firstLineChars="200"/>
        <w:rPr>
          <w:rFonts w:ascii="宋体" w:hAnsi="宋体" w:cs="宋体"/>
          <w:bCs/>
        </w:rPr>
      </w:pPr>
      <w:r>
        <w:rPr>
          <w:rFonts w:hint="eastAsia" w:ascii="宋体" w:hAnsi="宋体" w:cs="宋体"/>
          <w:bCs/>
        </w:rPr>
        <w:t>（5）计划、统计报表和报告制度</w:t>
      </w:r>
    </w:p>
    <w:p>
      <w:pPr>
        <w:spacing w:line="500" w:lineRule="exact"/>
        <w:ind w:firstLine="420" w:firstLineChars="200"/>
        <w:rPr>
          <w:rFonts w:ascii="宋体" w:hAnsi="宋体" w:cs="宋体"/>
          <w:bCs/>
        </w:rPr>
      </w:pPr>
      <w:r>
        <w:rPr>
          <w:rFonts w:hint="eastAsia" w:ascii="宋体" w:hAnsi="宋体" w:cs="宋体"/>
          <w:bCs/>
        </w:rPr>
        <w:t>项目公司应按照国家相关规定执行计划、统计报表和报告制度，将相关报表、报告按月、年完成并报相关主管部门审核。项目实施机构对项目公司运营期内的履约情况进行监督管理。</w:t>
      </w:r>
    </w:p>
    <w:p>
      <w:pPr>
        <w:spacing w:line="500" w:lineRule="exact"/>
        <w:ind w:firstLine="420" w:firstLineChars="200"/>
        <w:rPr>
          <w:rFonts w:ascii="宋体" w:hAnsi="宋体" w:cs="宋体"/>
          <w:bCs/>
        </w:rPr>
      </w:pPr>
      <w:r>
        <w:rPr>
          <w:rFonts w:hint="eastAsia" w:ascii="宋体" w:hAnsi="宋体" w:cs="宋体"/>
          <w:bCs/>
        </w:rPr>
        <w:t>（6）合法合规监管</w:t>
      </w:r>
    </w:p>
    <w:p>
      <w:pPr>
        <w:spacing w:line="500" w:lineRule="exact"/>
        <w:ind w:firstLine="420" w:firstLineChars="200"/>
        <w:rPr>
          <w:rFonts w:ascii="宋体" w:hAnsi="宋体" w:cs="宋体"/>
          <w:bCs/>
        </w:rPr>
      </w:pPr>
      <w:r>
        <w:rPr>
          <w:rFonts w:hint="eastAsia" w:ascii="宋体" w:hAnsi="宋体" w:cs="宋体"/>
          <w:bCs/>
        </w:rPr>
        <w:t>项目公司应按照合同的约定就行政审批、采购、保险等相关文件向项目实施机构备案。</w:t>
      </w:r>
    </w:p>
    <w:p>
      <w:pPr>
        <w:spacing w:line="500" w:lineRule="exact"/>
        <w:ind w:firstLine="420" w:firstLineChars="200"/>
        <w:rPr>
          <w:rFonts w:ascii="宋体" w:hAnsi="宋体" w:cs="宋体"/>
          <w:bCs/>
        </w:rPr>
      </w:pPr>
      <w:r>
        <w:rPr>
          <w:rFonts w:ascii="宋体" w:hAnsi="宋体" w:cs="宋体"/>
          <w:bCs/>
        </w:rPr>
        <w:t>9</w:t>
      </w:r>
      <w:r>
        <w:rPr>
          <w:rFonts w:hint="eastAsia" w:ascii="宋体" w:hAnsi="宋体" w:cs="宋体"/>
          <w:bCs/>
        </w:rPr>
        <w:t>.财务测算</w:t>
      </w:r>
    </w:p>
    <w:p>
      <w:pPr>
        <w:spacing w:line="500" w:lineRule="exact"/>
        <w:ind w:firstLine="420" w:firstLineChars="200"/>
        <w:rPr>
          <w:rFonts w:ascii="宋体" w:hAnsi="宋体" w:cs="宋体"/>
          <w:bCs/>
        </w:rPr>
      </w:pPr>
      <w:r>
        <w:rPr>
          <w:rFonts w:hint="eastAsia" w:ascii="宋体" w:hAnsi="宋体" w:cs="宋体"/>
          <w:bCs/>
        </w:rPr>
        <w:t>供应商提交基于财务模型的项目财务分析，提供的表格尽可能按照《建设项目经济评价方法与参数》(第三版)附表及污水处理行业相关标准规范编制。</w:t>
      </w:r>
    </w:p>
    <w:p>
      <w:pPr>
        <w:spacing w:line="500" w:lineRule="exact"/>
        <w:ind w:firstLine="420" w:firstLineChars="200"/>
        <w:rPr>
          <w:rFonts w:ascii="宋体" w:hAnsi="宋体" w:cs="宋体"/>
          <w:bCs/>
        </w:rPr>
      </w:pPr>
      <w:r>
        <w:rPr>
          <w:rFonts w:hint="eastAsia" w:ascii="宋体" w:hAnsi="宋体" w:cs="宋体"/>
          <w:bCs/>
        </w:rPr>
        <w:t>财务分析应提供财务测算说明及相关表格，例如：项目经济指标汇总表、投资估算表、流动资金估算表、项目总投资使用计划与资金筹措表、营业收入、营业税金及附加和增值税计算表、总成本估算表、现金流量表等，以及依据上述财务分析而得出的项目内含内部收益率及投资回收期等财务指标。供应商需要提供每吨污水的单位营运成本构成，例如药剂等消耗成本、人工成本及设备日常维修维护成本等。</w:t>
      </w:r>
    </w:p>
    <w:p>
      <w:pPr>
        <w:spacing w:line="500" w:lineRule="exact"/>
        <w:ind w:firstLine="420" w:firstLineChars="200"/>
        <w:rPr>
          <w:rFonts w:ascii="宋体" w:hAnsi="宋体" w:cs="宋体"/>
          <w:bCs/>
        </w:rPr>
      </w:pPr>
      <w:r>
        <w:rPr>
          <w:rFonts w:hint="eastAsia" w:ascii="宋体" w:hAnsi="宋体" w:cs="宋体"/>
          <w:bCs/>
        </w:rPr>
        <w:t>供应商应被视为有经验的，并完全了解编制上述方案所需的所有内容。在编制本方案的过程中，如果有任何遗漏，均被视为供应商已经在其财务方案中考虑了上述遗漏。供应商在采购期间，以及在《PPP项目合同》谈判及执行期间不得要求采购人对上述遗漏做出任何补偿和/或赔偿，和/或对污水处理服务费做出调整。</w:t>
      </w:r>
    </w:p>
    <w:p>
      <w:pPr>
        <w:spacing w:line="500" w:lineRule="exact"/>
        <w:ind w:firstLine="420" w:firstLineChars="200"/>
        <w:rPr>
          <w:rFonts w:ascii="宋体" w:hAnsi="宋体" w:cs="宋体"/>
          <w:bCs/>
        </w:rPr>
      </w:pPr>
      <w:r>
        <w:rPr>
          <w:rFonts w:hint="eastAsia" w:ascii="宋体" w:hAnsi="宋体" w:cs="宋体"/>
          <w:bCs/>
        </w:rPr>
        <w:t>供应商应根据其磋商方案列出污水处理费的构成，其模板如下（仅为示意、供参考，可依据供应商企业方案和需要，自行调整或增减）</w:t>
      </w:r>
    </w:p>
    <w:p>
      <w:pPr>
        <w:spacing w:line="500" w:lineRule="exact"/>
        <w:ind w:firstLine="420" w:firstLineChars="200"/>
        <w:jc w:val="center"/>
        <w:rPr>
          <w:rFonts w:ascii="宋体" w:hAnsi="宋体" w:cs="宋体"/>
          <w:bCs/>
        </w:rPr>
      </w:pPr>
      <w:r>
        <w:rPr>
          <w:rFonts w:hint="eastAsia" w:ascii="宋体" w:hAnsi="宋体" w:cs="宋体"/>
          <w:bCs/>
        </w:rPr>
        <w:t>污水处理服务费单价组成明细表</w:t>
      </w:r>
    </w:p>
    <w:tbl>
      <w:tblPr>
        <w:tblStyle w:val="41"/>
        <w:tblW w:w="5000" w:type="pct"/>
        <w:tblInd w:w="0" w:type="dxa"/>
        <w:tblLayout w:type="autofit"/>
        <w:tblCellMar>
          <w:top w:w="15" w:type="dxa"/>
          <w:left w:w="15" w:type="dxa"/>
          <w:bottom w:w="15" w:type="dxa"/>
          <w:right w:w="15" w:type="dxa"/>
        </w:tblCellMar>
      </w:tblPr>
      <w:tblGrid>
        <w:gridCol w:w="1702"/>
        <w:gridCol w:w="3559"/>
        <w:gridCol w:w="1707"/>
        <w:gridCol w:w="1368"/>
      </w:tblGrid>
      <w:tr>
        <w:tblPrEx>
          <w:tblCellMar>
            <w:top w:w="15" w:type="dxa"/>
            <w:left w:w="15" w:type="dxa"/>
            <w:bottom w:w="15" w:type="dxa"/>
            <w:right w:w="15" w:type="dxa"/>
          </w:tblCellMar>
        </w:tblPrEx>
        <w:trPr>
          <w:trHeight w:val="255" w:hRule="atLeast"/>
        </w:trPr>
        <w:tc>
          <w:tcPr>
            <w:tcW w:w="1021" w:type="pct"/>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r>
              <w:rPr>
                <w:rFonts w:hint="eastAsia" w:ascii="宋体" w:hAnsi="宋体" w:cs="宋体"/>
                <w:bCs/>
              </w:rPr>
              <w:t>序号</w:t>
            </w:r>
          </w:p>
        </w:tc>
        <w:tc>
          <w:tcPr>
            <w:tcW w:w="2135" w:type="pct"/>
            <w:tcBorders>
              <w:top w:val="single" w:color="000000" w:sz="4" w:space="0"/>
              <w:left w:val="nil"/>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r>
              <w:rPr>
                <w:rFonts w:hint="eastAsia" w:ascii="宋体" w:hAnsi="宋体" w:cs="宋体"/>
                <w:bCs/>
              </w:rPr>
              <w:t>项目</w:t>
            </w:r>
          </w:p>
        </w:tc>
        <w:tc>
          <w:tcPr>
            <w:tcW w:w="1024" w:type="pct"/>
            <w:tcBorders>
              <w:top w:val="single" w:color="000000" w:sz="4" w:space="0"/>
              <w:left w:val="nil"/>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r>
              <w:rPr>
                <w:rFonts w:hint="eastAsia" w:ascii="宋体" w:hAnsi="宋体" w:cs="宋体"/>
                <w:bCs/>
              </w:rPr>
              <w:t>单价</w:t>
            </w:r>
          </w:p>
        </w:tc>
        <w:tc>
          <w:tcPr>
            <w:tcW w:w="820" w:type="pct"/>
            <w:tcBorders>
              <w:top w:val="single" w:color="000000" w:sz="4" w:space="0"/>
              <w:left w:val="nil"/>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r>
              <w:rPr>
                <w:rFonts w:hint="eastAsia" w:ascii="宋体" w:hAnsi="宋体" w:cs="宋体"/>
                <w:bCs/>
              </w:rPr>
              <w:t>占比</w:t>
            </w:r>
          </w:p>
        </w:tc>
      </w:tr>
      <w:tr>
        <w:tblPrEx>
          <w:tblCellMar>
            <w:top w:w="15" w:type="dxa"/>
            <w:left w:w="15" w:type="dxa"/>
            <w:bottom w:w="15" w:type="dxa"/>
            <w:right w:w="15" w:type="dxa"/>
          </w:tblCellMar>
        </w:tblPrEx>
        <w:trPr>
          <w:trHeight w:val="255" w:hRule="atLeast"/>
        </w:trPr>
        <w:tc>
          <w:tcPr>
            <w:tcW w:w="1021" w:type="pct"/>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r>
              <w:rPr>
                <w:rFonts w:hint="eastAsia" w:ascii="宋体" w:hAnsi="宋体" w:cs="宋体"/>
                <w:bCs/>
              </w:rPr>
              <w:t>1</w:t>
            </w:r>
          </w:p>
        </w:tc>
        <w:tc>
          <w:tcPr>
            <w:tcW w:w="2135" w:type="pct"/>
            <w:tcBorders>
              <w:top w:val="single" w:color="000000" w:sz="4" w:space="0"/>
              <w:left w:val="nil"/>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r>
              <w:rPr>
                <w:rFonts w:hint="eastAsia" w:ascii="宋体" w:hAnsi="宋体" w:cs="宋体"/>
                <w:bCs/>
              </w:rPr>
              <w:t>药剂费用</w:t>
            </w:r>
          </w:p>
        </w:tc>
        <w:tc>
          <w:tcPr>
            <w:tcW w:w="1024" w:type="pct"/>
            <w:tcBorders>
              <w:top w:val="single" w:color="000000" w:sz="4" w:space="0"/>
              <w:left w:val="nil"/>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p>
        </w:tc>
        <w:tc>
          <w:tcPr>
            <w:tcW w:w="820" w:type="pct"/>
            <w:tcBorders>
              <w:top w:val="single" w:color="000000" w:sz="4" w:space="0"/>
              <w:left w:val="nil"/>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p>
        </w:tc>
      </w:tr>
      <w:tr>
        <w:tblPrEx>
          <w:tblCellMar>
            <w:top w:w="15" w:type="dxa"/>
            <w:left w:w="15" w:type="dxa"/>
            <w:bottom w:w="15" w:type="dxa"/>
            <w:right w:w="15" w:type="dxa"/>
          </w:tblCellMar>
        </w:tblPrEx>
        <w:trPr>
          <w:trHeight w:val="255" w:hRule="atLeast"/>
        </w:trPr>
        <w:tc>
          <w:tcPr>
            <w:tcW w:w="1021" w:type="pct"/>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r>
              <w:rPr>
                <w:rFonts w:hint="eastAsia" w:ascii="宋体" w:hAnsi="宋体" w:cs="宋体"/>
                <w:bCs/>
              </w:rPr>
              <w:t>2</w:t>
            </w:r>
          </w:p>
        </w:tc>
        <w:tc>
          <w:tcPr>
            <w:tcW w:w="2135" w:type="pct"/>
            <w:tcBorders>
              <w:top w:val="single" w:color="000000" w:sz="4" w:space="0"/>
              <w:left w:val="nil"/>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r>
              <w:rPr>
                <w:rFonts w:hint="eastAsia" w:ascii="宋体" w:hAnsi="宋体" w:cs="宋体"/>
                <w:bCs/>
              </w:rPr>
              <w:t>动力费用</w:t>
            </w:r>
          </w:p>
        </w:tc>
        <w:tc>
          <w:tcPr>
            <w:tcW w:w="1024" w:type="pct"/>
            <w:tcBorders>
              <w:top w:val="single" w:color="000000" w:sz="4" w:space="0"/>
              <w:left w:val="nil"/>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p>
        </w:tc>
        <w:tc>
          <w:tcPr>
            <w:tcW w:w="820" w:type="pct"/>
            <w:tcBorders>
              <w:top w:val="single" w:color="000000" w:sz="4" w:space="0"/>
              <w:left w:val="nil"/>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p>
        </w:tc>
      </w:tr>
      <w:tr>
        <w:tblPrEx>
          <w:tblCellMar>
            <w:top w:w="15" w:type="dxa"/>
            <w:left w:w="15" w:type="dxa"/>
            <w:bottom w:w="15" w:type="dxa"/>
            <w:right w:w="15" w:type="dxa"/>
          </w:tblCellMar>
        </w:tblPrEx>
        <w:trPr>
          <w:trHeight w:val="255" w:hRule="atLeast"/>
        </w:trPr>
        <w:tc>
          <w:tcPr>
            <w:tcW w:w="1021" w:type="pct"/>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r>
              <w:rPr>
                <w:rFonts w:hint="eastAsia" w:ascii="宋体" w:hAnsi="宋体" w:cs="宋体"/>
                <w:bCs/>
              </w:rPr>
              <w:t>3</w:t>
            </w:r>
          </w:p>
        </w:tc>
        <w:tc>
          <w:tcPr>
            <w:tcW w:w="2135" w:type="pct"/>
            <w:tcBorders>
              <w:top w:val="single" w:color="000000" w:sz="4" w:space="0"/>
              <w:left w:val="nil"/>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r>
              <w:rPr>
                <w:rFonts w:hint="eastAsia" w:ascii="宋体" w:hAnsi="宋体" w:cs="宋体"/>
                <w:bCs/>
              </w:rPr>
              <w:t>污泥处置费</w:t>
            </w:r>
          </w:p>
        </w:tc>
        <w:tc>
          <w:tcPr>
            <w:tcW w:w="1024" w:type="pct"/>
            <w:tcBorders>
              <w:top w:val="single" w:color="000000" w:sz="4" w:space="0"/>
              <w:left w:val="nil"/>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p>
        </w:tc>
        <w:tc>
          <w:tcPr>
            <w:tcW w:w="820" w:type="pct"/>
            <w:tcBorders>
              <w:top w:val="single" w:color="000000" w:sz="4" w:space="0"/>
              <w:left w:val="nil"/>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p>
        </w:tc>
      </w:tr>
      <w:tr>
        <w:tblPrEx>
          <w:tblCellMar>
            <w:top w:w="15" w:type="dxa"/>
            <w:left w:w="15" w:type="dxa"/>
            <w:bottom w:w="15" w:type="dxa"/>
            <w:right w:w="15" w:type="dxa"/>
          </w:tblCellMar>
        </w:tblPrEx>
        <w:trPr>
          <w:trHeight w:val="255" w:hRule="atLeast"/>
        </w:trPr>
        <w:tc>
          <w:tcPr>
            <w:tcW w:w="1021" w:type="pct"/>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r>
              <w:rPr>
                <w:rFonts w:hint="eastAsia" w:ascii="宋体" w:hAnsi="宋体" w:cs="宋体"/>
                <w:bCs/>
              </w:rPr>
              <w:t>4</w:t>
            </w:r>
          </w:p>
        </w:tc>
        <w:tc>
          <w:tcPr>
            <w:tcW w:w="2135" w:type="pct"/>
            <w:tcBorders>
              <w:top w:val="single" w:color="000000" w:sz="4" w:space="0"/>
              <w:left w:val="nil"/>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r>
              <w:rPr>
                <w:rFonts w:hint="eastAsia" w:ascii="宋体" w:hAnsi="宋体" w:cs="宋体"/>
                <w:bCs/>
              </w:rPr>
              <w:t>自来水水费</w:t>
            </w:r>
          </w:p>
        </w:tc>
        <w:tc>
          <w:tcPr>
            <w:tcW w:w="1024" w:type="pct"/>
            <w:tcBorders>
              <w:top w:val="single" w:color="000000" w:sz="4" w:space="0"/>
              <w:left w:val="nil"/>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p>
        </w:tc>
        <w:tc>
          <w:tcPr>
            <w:tcW w:w="820" w:type="pct"/>
            <w:tcBorders>
              <w:top w:val="single" w:color="000000" w:sz="4" w:space="0"/>
              <w:left w:val="nil"/>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p>
        </w:tc>
      </w:tr>
      <w:tr>
        <w:tblPrEx>
          <w:tblCellMar>
            <w:top w:w="15" w:type="dxa"/>
            <w:left w:w="15" w:type="dxa"/>
            <w:bottom w:w="15" w:type="dxa"/>
            <w:right w:w="15" w:type="dxa"/>
          </w:tblCellMar>
        </w:tblPrEx>
        <w:trPr>
          <w:trHeight w:val="255" w:hRule="atLeast"/>
        </w:trPr>
        <w:tc>
          <w:tcPr>
            <w:tcW w:w="1021" w:type="pct"/>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r>
              <w:rPr>
                <w:rFonts w:hint="eastAsia" w:ascii="宋体" w:hAnsi="宋体" w:cs="宋体"/>
                <w:bCs/>
              </w:rPr>
              <w:t>5</w:t>
            </w:r>
          </w:p>
        </w:tc>
        <w:tc>
          <w:tcPr>
            <w:tcW w:w="2135" w:type="pct"/>
            <w:tcBorders>
              <w:top w:val="single" w:color="000000" w:sz="4" w:space="0"/>
              <w:left w:val="nil"/>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r>
              <w:rPr>
                <w:rFonts w:hint="eastAsia" w:ascii="宋体" w:hAnsi="宋体" w:cs="宋体"/>
                <w:bCs/>
              </w:rPr>
              <w:t>人员工资</w:t>
            </w:r>
          </w:p>
        </w:tc>
        <w:tc>
          <w:tcPr>
            <w:tcW w:w="1024" w:type="pct"/>
            <w:tcBorders>
              <w:top w:val="single" w:color="000000" w:sz="4" w:space="0"/>
              <w:left w:val="nil"/>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p>
        </w:tc>
        <w:tc>
          <w:tcPr>
            <w:tcW w:w="820" w:type="pct"/>
            <w:tcBorders>
              <w:top w:val="single" w:color="000000" w:sz="4" w:space="0"/>
              <w:left w:val="nil"/>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p>
        </w:tc>
      </w:tr>
      <w:tr>
        <w:tblPrEx>
          <w:tblCellMar>
            <w:top w:w="15" w:type="dxa"/>
            <w:left w:w="15" w:type="dxa"/>
            <w:bottom w:w="15" w:type="dxa"/>
            <w:right w:w="15" w:type="dxa"/>
          </w:tblCellMar>
        </w:tblPrEx>
        <w:trPr>
          <w:trHeight w:val="255" w:hRule="atLeast"/>
        </w:trPr>
        <w:tc>
          <w:tcPr>
            <w:tcW w:w="1021" w:type="pct"/>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r>
              <w:rPr>
                <w:rFonts w:hint="eastAsia" w:ascii="宋体" w:hAnsi="宋体" w:cs="宋体"/>
                <w:bCs/>
              </w:rPr>
              <w:t>6</w:t>
            </w:r>
          </w:p>
        </w:tc>
        <w:tc>
          <w:tcPr>
            <w:tcW w:w="2135" w:type="pct"/>
            <w:tcBorders>
              <w:top w:val="single" w:color="000000" w:sz="4" w:space="0"/>
              <w:left w:val="nil"/>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r>
              <w:rPr>
                <w:rFonts w:hint="eastAsia" w:ascii="宋体" w:hAnsi="宋体" w:cs="宋体"/>
                <w:bCs/>
              </w:rPr>
              <w:t>大修重置费用</w:t>
            </w:r>
          </w:p>
        </w:tc>
        <w:tc>
          <w:tcPr>
            <w:tcW w:w="1024" w:type="pct"/>
            <w:tcBorders>
              <w:top w:val="single" w:color="000000" w:sz="4" w:space="0"/>
              <w:left w:val="nil"/>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p>
        </w:tc>
        <w:tc>
          <w:tcPr>
            <w:tcW w:w="820" w:type="pct"/>
            <w:tcBorders>
              <w:top w:val="single" w:color="000000" w:sz="4" w:space="0"/>
              <w:left w:val="nil"/>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p>
        </w:tc>
      </w:tr>
      <w:tr>
        <w:tblPrEx>
          <w:tblCellMar>
            <w:top w:w="15" w:type="dxa"/>
            <w:left w:w="15" w:type="dxa"/>
            <w:bottom w:w="15" w:type="dxa"/>
            <w:right w:w="15" w:type="dxa"/>
          </w:tblCellMar>
        </w:tblPrEx>
        <w:trPr>
          <w:trHeight w:val="255" w:hRule="atLeast"/>
        </w:trPr>
        <w:tc>
          <w:tcPr>
            <w:tcW w:w="1021" w:type="pct"/>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r>
              <w:rPr>
                <w:rFonts w:hint="eastAsia" w:ascii="宋体" w:hAnsi="宋体" w:cs="宋体"/>
                <w:bCs/>
              </w:rPr>
              <w:t>7</w:t>
            </w:r>
          </w:p>
        </w:tc>
        <w:tc>
          <w:tcPr>
            <w:tcW w:w="2135" w:type="pct"/>
            <w:tcBorders>
              <w:top w:val="single" w:color="000000" w:sz="4" w:space="0"/>
              <w:left w:val="nil"/>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r>
              <w:rPr>
                <w:rFonts w:hint="eastAsia" w:ascii="宋体" w:hAnsi="宋体" w:cs="宋体"/>
                <w:bCs/>
              </w:rPr>
              <w:t>日常检修维护费</w:t>
            </w:r>
          </w:p>
        </w:tc>
        <w:tc>
          <w:tcPr>
            <w:tcW w:w="1024" w:type="pct"/>
            <w:tcBorders>
              <w:top w:val="single" w:color="000000" w:sz="4" w:space="0"/>
              <w:left w:val="nil"/>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p>
        </w:tc>
        <w:tc>
          <w:tcPr>
            <w:tcW w:w="820" w:type="pct"/>
            <w:tcBorders>
              <w:top w:val="single" w:color="000000" w:sz="4" w:space="0"/>
              <w:left w:val="nil"/>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p>
        </w:tc>
      </w:tr>
      <w:tr>
        <w:tblPrEx>
          <w:tblCellMar>
            <w:top w:w="15" w:type="dxa"/>
            <w:left w:w="15" w:type="dxa"/>
            <w:bottom w:w="15" w:type="dxa"/>
            <w:right w:w="15" w:type="dxa"/>
          </w:tblCellMar>
        </w:tblPrEx>
        <w:trPr>
          <w:trHeight w:val="255" w:hRule="atLeast"/>
        </w:trPr>
        <w:tc>
          <w:tcPr>
            <w:tcW w:w="1021" w:type="pct"/>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r>
              <w:rPr>
                <w:rFonts w:hint="eastAsia" w:ascii="宋体" w:hAnsi="宋体" w:cs="宋体"/>
                <w:bCs/>
              </w:rPr>
              <w:t>8</w:t>
            </w:r>
          </w:p>
        </w:tc>
        <w:tc>
          <w:tcPr>
            <w:tcW w:w="2135" w:type="pct"/>
            <w:tcBorders>
              <w:top w:val="single" w:color="000000" w:sz="4" w:space="0"/>
              <w:left w:val="nil"/>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r>
              <w:rPr>
                <w:rFonts w:hint="eastAsia" w:ascii="宋体" w:hAnsi="宋体" w:cs="宋体"/>
                <w:bCs/>
              </w:rPr>
              <w:t>办公管理费</w:t>
            </w:r>
          </w:p>
        </w:tc>
        <w:tc>
          <w:tcPr>
            <w:tcW w:w="1024" w:type="pct"/>
            <w:tcBorders>
              <w:top w:val="single" w:color="000000" w:sz="4" w:space="0"/>
              <w:left w:val="nil"/>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p>
        </w:tc>
        <w:tc>
          <w:tcPr>
            <w:tcW w:w="820" w:type="pct"/>
            <w:tcBorders>
              <w:top w:val="single" w:color="000000" w:sz="4" w:space="0"/>
              <w:left w:val="nil"/>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p>
        </w:tc>
      </w:tr>
      <w:tr>
        <w:tblPrEx>
          <w:tblCellMar>
            <w:top w:w="15" w:type="dxa"/>
            <w:left w:w="15" w:type="dxa"/>
            <w:bottom w:w="15" w:type="dxa"/>
            <w:right w:w="15" w:type="dxa"/>
          </w:tblCellMar>
        </w:tblPrEx>
        <w:trPr>
          <w:trHeight w:val="255" w:hRule="atLeast"/>
        </w:trPr>
        <w:tc>
          <w:tcPr>
            <w:tcW w:w="1021" w:type="pct"/>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r>
              <w:rPr>
                <w:rFonts w:hint="eastAsia" w:ascii="宋体" w:hAnsi="宋体" w:cs="宋体"/>
                <w:bCs/>
              </w:rPr>
              <w:t>9</w:t>
            </w:r>
          </w:p>
        </w:tc>
        <w:tc>
          <w:tcPr>
            <w:tcW w:w="2135" w:type="pct"/>
            <w:tcBorders>
              <w:top w:val="single" w:color="000000" w:sz="4" w:space="0"/>
              <w:left w:val="nil"/>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r>
              <w:rPr>
                <w:rFonts w:hint="eastAsia" w:ascii="宋体" w:hAnsi="宋体" w:cs="宋体"/>
                <w:bCs/>
              </w:rPr>
              <w:t>利息支出</w:t>
            </w:r>
          </w:p>
        </w:tc>
        <w:tc>
          <w:tcPr>
            <w:tcW w:w="1024" w:type="pct"/>
            <w:tcBorders>
              <w:top w:val="single" w:color="000000" w:sz="4" w:space="0"/>
              <w:left w:val="nil"/>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p>
        </w:tc>
        <w:tc>
          <w:tcPr>
            <w:tcW w:w="820" w:type="pct"/>
            <w:tcBorders>
              <w:top w:val="single" w:color="000000" w:sz="4" w:space="0"/>
              <w:left w:val="nil"/>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p>
        </w:tc>
      </w:tr>
      <w:tr>
        <w:tblPrEx>
          <w:tblCellMar>
            <w:top w:w="15" w:type="dxa"/>
            <w:left w:w="15" w:type="dxa"/>
            <w:bottom w:w="15" w:type="dxa"/>
            <w:right w:w="15" w:type="dxa"/>
          </w:tblCellMar>
        </w:tblPrEx>
        <w:trPr>
          <w:trHeight w:val="255" w:hRule="atLeast"/>
        </w:trPr>
        <w:tc>
          <w:tcPr>
            <w:tcW w:w="1021" w:type="pct"/>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r>
              <w:rPr>
                <w:rFonts w:hint="eastAsia" w:ascii="宋体" w:hAnsi="宋体" w:cs="宋体"/>
                <w:bCs/>
              </w:rPr>
              <w:t>10</w:t>
            </w:r>
          </w:p>
        </w:tc>
        <w:tc>
          <w:tcPr>
            <w:tcW w:w="2135" w:type="pct"/>
            <w:tcBorders>
              <w:top w:val="single" w:color="000000" w:sz="4" w:space="0"/>
              <w:left w:val="nil"/>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r>
              <w:rPr>
                <w:rFonts w:hint="eastAsia" w:ascii="宋体" w:hAnsi="宋体" w:cs="宋体"/>
                <w:bCs/>
              </w:rPr>
              <w:t>摊销</w:t>
            </w:r>
          </w:p>
        </w:tc>
        <w:tc>
          <w:tcPr>
            <w:tcW w:w="1024" w:type="pct"/>
            <w:tcBorders>
              <w:top w:val="single" w:color="000000" w:sz="4" w:space="0"/>
              <w:left w:val="nil"/>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p>
        </w:tc>
        <w:tc>
          <w:tcPr>
            <w:tcW w:w="820" w:type="pct"/>
            <w:tcBorders>
              <w:top w:val="single" w:color="000000" w:sz="4" w:space="0"/>
              <w:left w:val="nil"/>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p>
        </w:tc>
      </w:tr>
      <w:tr>
        <w:tblPrEx>
          <w:tblCellMar>
            <w:top w:w="15" w:type="dxa"/>
            <w:left w:w="15" w:type="dxa"/>
            <w:bottom w:w="15" w:type="dxa"/>
            <w:right w:w="15" w:type="dxa"/>
          </w:tblCellMar>
        </w:tblPrEx>
        <w:trPr>
          <w:trHeight w:val="255" w:hRule="atLeast"/>
        </w:trPr>
        <w:tc>
          <w:tcPr>
            <w:tcW w:w="1021" w:type="pct"/>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r>
              <w:rPr>
                <w:rFonts w:hint="eastAsia" w:ascii="宋体" w:hAnsi="宋体" w:cs="宋体"/>
                <w:bCs/>
              </w:rPr>
              <w:t>11</w:t>
            </w:r>
          </w:p>
        </w:tc>
        <w:tc>
          <w:tcPr>
            <w:tcW w:w="2135" w:type="pct"/>
            <w:tcBorders>
              <w:top w:val="single" w:color="000000" w:sz="4" w:space="0"/>
              <w:left w:val="nil"/>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r>
              <w:rPr>
                <w:rFonts w:hint="eastAsia" w:ascii="宋体" w:hAnsi="宋体" w:cs="宋体"/>
                <w:bCs/>
              </w:rPr>
              <w:t>增值税及附加</w:t>
            </w:r>
          </w:p>
        </w:tc>
        <w:tc>
          <w:tcPr>
            <w:tcW w:w="1024" w:type="pct"/>
            <w:tcBorders>
              <w:top w:val="single" w:color="000000" w:sz="4" w:space="0"/>
              <w:left w:val="nil"/>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p>
        </w:tc>
        <w:tc>
          <w:tcPr>
            <w:tcW w:w="820" w:type="pct"/>
            <w:tcBorders>
              <w:top w:val="single" w:color="000000" w:sz="4" w:space="0"/>
              <w:left w:val="nil"/>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p>
        </w:tc>
      </w:tr>
      <w:tr>
        <w:tblPrEx>
          <w:tblCellMar>
            <w:top w:w="15" w:type="dxa"/>
            <w:left w:w="15" w:type="dxa"/>
            <w:bottom w:w="15" w:type="dxa"/>
            <w:right w:w="15" w:type="dxa"/>
          </w:tblCellMar>
        </w:tblPrEx>
        <w:trPr>
          <w:trHeight w:val="255" w:hRule="atLeast"/>
        </w:trPr>
        <w:tc>
          <w:tcPr>
            <w:tcW w:w="1021" w:type="pct"/>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r>
              <w:rPr>
                <w:rFonts w:hint="eastAsia" w:ascii="宋体" w:hAnsi="宋体" w:cs="宋体"/>
                <w:bCs/>
              </w:rPr>
              <w:t>12</w:t>
            </w:r>
          </w:p>
        </w:tc>
        <w:tc>
          <w:tcPr>
            <w:tcW w:w="2135" w:type="pct"/>
            <w:tcBorders>
              <w:top w:val="single" w:color="000000" w:sz="4" w:space="0"/>
              <w:left w:val="nil"/>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r>
              <w:rPr>
                <w:rFonts w:hint="eastAsia" w:ascii="宋体" w:hAnsi="宋体" w:cs="宋体"/>
                <w:bCs/>
              </w:rPr>
              <w:t>所得税</w:t>
            </w:r>
          </w:p>
        </w:tc>
        <w:tc>
          <w:tcPr>
            <w:tcW w:w="1024" w:type="pct"/>
            <w:tcBorders>
              <w:top w:val="single" w:color="000000" w:sz="4" w:space="0"/>
              <w:left w:val="nil"/>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p>
        </w:tc>
        <w:tc>
          <w:tcPr>
            <w:tcW w:w="820" w:type="pct"/>
            <w:tcBorders>
              <w:top w:val="single" w:color="000000" w:sz="4" w:space="0"/>
              <w:left w:val="nil"/>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p>
        </w:tc>
      </w:tr>
      <w:tr>
        <w:tblPrEx>
          <w:tblCellMar>
            <w:top w:w="15" w:type="dxa"/>
            <w:left w:w="15" w:type="dxa"/>
            <w:bottom w:w="15" w:type="dxa"/>
            <w:right w:w="15" w:type="dxa"/>
          </w:tblCellMar>
        </w:tblPrEx>
        <w:trPr>
          <w:trHeight w:val="255" w:hRule="atLeast"/>
        </w:trPr>
        <w:tc>
          <w:tcPr>
            <w:tcW w:w="1021" w:type="pct"/>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r>
              <w:rPr>
                <w:rFonts w:hint="eastAsia" w:ascii="宋体" w:hAnsi="宋体" w:cs="宋体"/>
                <w:bCs/>
              </w:rPr>
              <w:t>13</w:t>
            </w:r>
          </w:p>
        </w:tc>
        <w:tc>
          <w:tcPr>
            <w:tcW w:w="2135" w:type="pct"/>
            <w:tcBorders>
              <w:top w:val="single" w:color="000000" w:sz="4" w:space="0"/>
              <w:left w:val="nil"/>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r>
              <w:rPr>
                <w:rFonts w:hint="eastAsia" w:ascii="宋体" w:hAnsi="宋体" w:cs="宋体"/>
                <w:bCs/>
              </w:rPr>
              <w:t>税后利润</w:t>
            </w:r>
          </w:p>
        </w:tc>
        <w:tc>
          <w:tcPr>
            <w:tcW w:w="1024" w:type="pct"/>
            <w:tcBorders>
              <w:top w:val="single" w:color="000000" w:sz="4" w:space="0"/>
              <w:left w:val="nil"/>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p>
        </w:tc>
        <w:tc>
          <w:tcPr>
            <w:tcW w:w="820" w:type="pct"/>
            <w:tcBorders>
              <w:top w:val="single" w:color="000000" w:sz="4" w:space="0"/>
              <w:left w:val="nil"/>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p>
        </w:tc>
      </w:tr>
      <w:tr>
        <w:tblPrEx>
          <w:tblCellMar>
            <w:top w:w="15" w:type="dxa"/>
            <w:left w:w="15" w:type="dxa"/>
            <w:bottom w:w="15" w:type="dxa"/>
            <w:right w:w="15" w:type="dxa"/>
          </w:tblCellMar>
        </w:tblPrEx>
        <w:trPr>
          <w:trHeight w:val="255" w:hRule="atLeast"/>
        </w:trPr>
        <w:tc>
          <w:tcPr>
            <w:tcW w:w="1021" w:type="pct"/>
            <w:tcBorders>
              <w:top w:val="single" w:color="000000" w:sz="4" w:space="0"/>
              <w:left w:val="single" w:color="000000" w:sz="4" w:space="0"/>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r>
              <w:rPr>
                <w:rFonts w:hint="eastAsia" w:ascii="宋体" w:hAnsi="宋体" w:cs="宋体"/>
                <w:bCs/>
              </w:rPr>
              <w:t>14</w:t>
            </w:r>
          </w:p>
        </w:tc>
        <w:tc>
          <w:tcPr>
            <w:tcW w:w="2135" w:type="pct"/>
            <w:tcBorders>
              <w:top w:val="single" w:color="000000" w:sz="4" w:space="0"/>
              <w:left w:val="nil"/>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r>
              <w:rPr>
                <w:rFonts w:hint="eastAsia" w:ascii="宋体" w:hAnsi="宋体" w:cs="宋体"/>
                <w:bCs/>
              </w:rPr>
              <w:t>水价（含税）</w:t>
            </w:r>
          </w:p>
        </w:tc>
        <w:tc>
          <w:tcPr>
            <w:tcW w:w="1024" w:type="pct"/>
            <w:tcBorders>
              <w:top w:val="single" w:color="000000" w:sz="4" w:space="0"/>
              <w:left w:val="nil"/>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p>
        </w:tc>
        <w:tc>
          <w:tcPr>
            <w:tcW w:w="820" w:type="pct"/>
            <w:tcBorders>
              <w:top w:val="single" w:color="000000" w:sz="4" w:space="0"/>
              <w:left w:val="nil"/>
              <w:bottom w:val="single" w:color="000000" w:sz="4" w:space="0"/>
              <w:right w:val="single" w:color="000000" w:sz="4" w:space="0"/>
            </w:tcBorders>
            <w:vAlign w:val="center"/>
          </w:tcPr>
          <w:p>
            <w:pPr>
              <w:spacing w:line="500" w:lineRule="exact"/>
              <w:ind w:firstLine="420" w:firstLineChars="200"/>
              <w:jc w:val="center"/>
              <w:rPr>
                <w:rFonts w:ascii="宋体" w:hAnsi="宋体" w:cs="宋体"/>
                <w:bCs/>
              </w:rPr>
            </w:pPr>
            <w:r>
              <w:rPr>
                <w:rFonts w:hint="eastAsia" w:ascii="宋体" w:hAnsi="宋体" w:cs="宋体"/>
                <w:bCs/>
              </w:rPr>
              <w:t>100.00%</w:t>
            </w:r>
          </w:p>
        </w:tc>
      </w:tr>
    </w:tbl>
    <w:p>
      <w:pPr>
        <w:spacing w:line="500" w:lineRule="exact"/>
        <w:ind w:firstLine="420" w:firstLineChars="200"/>
        <w:rPr>
          <w:rFonts w:ascii="宋体" w:hAnsi="宋体" w:cs="宋体"/>
          <w:bCs/>
        </w:rPr>
      </w:pPr>
      <w:r>
        <w:rPr>
          <w:rFonts w:hint="eastAsia" w:ascii="宋体" w:hAnsi="宋体" w:cs="宋体"/>
          <w:bCs/>
        </w:rPr>
        <w:t>其余未附模板的财务表格，供应商依据企业方案和需要，自行编制。</w:t>
      </w:r>
    </w:p>
    <w:p>
      <w:pPr>
        <w:spacing w:line="500" w:lineRule="exact"/>
        <w:ind w:firstLine="420" w:firstLineChars="200"/>
      </w:pPr>
      <w:r>
        <w:rPr>
          <w:rFonts w:ascii="宋体" w:hAnsi="宋体" w:cs="宋体"/>
          <w:bCs/>
        </w:rPr>
        <w:t>10</w:t>
      </w:r>
      <w:r>
        <w:rPr>
          <w:rFonts w:hint="eastAsia" w:ascii="宋体" w:hAnsi="宋体" w:cs="宋体"/>
          <w:bCs/>
        </w:rPr>
        <w:t>其余内容详见本项目《实施方案》、《PPP项目合同》；《PPP项目合同》与《实施方案》不一致处，以《PPP项目合同》为准。</w:t>
      </w:r>
    </w:p>
    <w:p>
      <w:pPr>
        <w:pStyle w:val="134"/>
        <w:widowControl w:val="0"/>
        <w:spacing w:afterLines="0" w:line="340" w:lineRule="exact"/>
        <w:ind w:firstLine="0" w:firstLineChars="0"/>
        <w:jc w:val="center"/>
        <w:outlineLvl w:val="0"/>
        <w:rPr>
          <w:rStyle w:val="89"/>
          <w:szCs w:val="22"/>
        </w:rPr>
      </w:pPr>
      <w:r>
        <w:br w:type="page"/>
      </w:r>
      <w:bookmarkEnd w:id="44"/>
      <w:bookmarkEnd w:id="45"/>
      <w:bookmarkEnd w:id="46"/>
      <w:bookmarkStart w:id="50" w:name="_Toc59530114"/>
      <w:bookmarkStart w:id="51" w:name="_Toc5219"/>
      <w:r>
        <w:rPr>
          <w:rStyle w:val="89"/>
          <w:rFonts w:hint="eastAsia"/>
          <w:szCs w:val="22"/>
        </w:rPr>
        <w:t>第三章供应商须知</w:t>
      </w:r>
      <w:bookmarkEnd w:id="47"/>
      <w:bookmarkEnd w:id="48"/>
      <w:bookmarkEnd w:id="49"/>
      <w:bookmarkEnd w:id="50"/>
      <w:bookmarkEnd w:id="51"/>
    </w:p>
    <w:p>
      <w:pPr>
        <w:jc w:val="center"/>
        <w:rPr>
          <w:b/>
          <w:bCs/>
          <w:sz w:val="24"/>
        </w:rPr>
      </w:pPr>
    </w:p>
    <w:p>
      <w:pPr>
        <w:jc w:val="center"/>
        <w:rPr>
          <w:rFonts w:ascii="宋体" w:hAnsi="宋体" w:cs="宋体"/>
          <w:bCs/>
          <w:sz w:val="30"/>
          <w:szCs w:val="30"/>
        </w:rPr>
      </w:pPr>
      <w:bookmarkStart w:id="52" w:name="_Toc24183"/>
      <w:bookmarkStart w:id="53" w:name="_Toc498327005"/>
      <w:bookmarkStart w:id="54" w:name="_Toc499128550"/>
      <w:bookmarkStart w:id="55" w:name="_Toc301187598"/>
      <w:r>
        <w:rPr>
          <w:rFonts w:hint="eastAsia" w:ascii="宋体" w:hAnsi="宋体" w:cs="宋体"/>
          <w:bCs/>
          <w:sz w:val="30"/>
          <w:szCs w:val="30"/>
        </w:rPr>
        <w:t>供应商须知前附表</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984"/>
        <w:gridCol w:w="2081"/>
        <w:gridCol w:w="5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86" w:hRule="atLeast"/>
        </w:trPr>
        <w:tc>
          <w:tcPr>
            <w:tcW w:w="984" w:type="dxa"/>
            <w:shd w:val="clear" w:color="auto" w:fill="FFFFFF"/>
            <w:vAlign w:val="center"/>
          </w:tcPr>
          <w:p>
            <w:pPr>
              <w:spacing w:line="360" w:lineRule="exact"/>
              <w:jc w:val="center"/>
              <w:rPr>
                <w:rFonts w:ascii="宋体" w:hAnsi="宋体" w:cs="宋体"/>
                <w:bCs/>
              </w:rPr>
            </w:pPr>
            <w:r>
              <w:rPr>
                <w:rFonts w:hint="eastAsia" w:ascii="宋体" w:hAnsi="宋体" w:cs="宋体"/>
                <w:bCs/>
              </w:rPr>
              <w:t>条款号</w:t>
            </w:r>
          </w:p>
        </w:tc>
        <w:tc>
          <w:tcPr>
            <w:tcW w:w="2081" w:type="dxa"/>
            <w:shd w:val="clear" w:color="auto" w:fill="FFFFFF"/>
            <w:vAlign w:val="center"/>
          </w:tcPr>
          <w:p>
            <w:pPr>
              <w:spacing w:line="360" w:lineRule="exact"/>
              <w:jc w:val="center"/>
              <w:rPr>
                <w:rFonts w:ascii="宋体" w:hAnsi="宋体" w:cs="宋体"/>
                <w:bCs/>
              </w:rPr>
            </w:pPr>
            <w:r>
              <w:rPr>
                <w:rFonts w:hint="eastAsia" w:ascii="宋体" w:hAnsi="宋体" w:cs="宋体"/>
                <w:bCs/>
              </w:rPr>
              <w:t>条款名称</w:t>
            </w:r>
          </w:p>
        </w:tc>
        <w:tc>
          <w:tcPr>
            <w:tcW w:w="5457" w:type="dxa"/>
            <w:shd w:val="clear" w:color="auto" w:fill="FFFFFF"/>
            <w:vAlign w:val="center"/>
          </w:tcPr>
          <w:p>
            <w:pPr>
              <w:spacing w:line="360" w:lineRule="exact"/>
              <w:jc w:val="center"/>
              <w:rPr>
                <w:rFonts w:ascii="宋体" w:hAnsi="宋体" w:cs="宋体"/>
                <w:bCs/>
              </w:rPr>
            </w:pPr>
            <w:r>
              <w:rPr>
                <w:rFonts w:hint="eastAsia" w:ascii="宋体" w:hAnsi="宋体" w:cs="宋体"/>
                <w:bCs/>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984" w:type="dxa"/>
            <w:shd w:val="clear" w:color="auto" w:fill="FFFFFF"/>
            <w:vAlign w:val="center"/>
          </w:tcPr>
          <w:p>
            <w:pPr>
              <w:spacing w:line="360" w:lineRule="exact"/>
              <w:jc w:val="center"/>
              <w:rPr>
                <w:rFonts w:ascii="宋体" w:hAnsi="宋体" w:cs="宋体"/>
                <w:bCs/>
              </w:rPr>
            </w:pPr>
            <w:r>
              <w:rPr>
                <w:rFonts w:hint="eastAsia" w:ascii="宋体" w:hAnsi="宋体" w:cs="宋体"/>
                <w:bCs/>
              </w:rPr>
              <w:t>1</w:t>
            </w:r>
          </w:p>
        </w:tc>
        <w:tc>
          <w:tcPr>
            <w:tcW w:w="2081" w:type="dxa"/>
            <w:shd w:val="clear" w:color="auto" w:fill="FFFFFF"/>
            <w:vAlign w:val="center"/>
          </w:tcPr>
          <w:p>
            <w:pPr>
              <w:spacing w:line="360" w:lineRule="exact"/>
              <w:rPr>
                <w:rFonts w:ascii="宋体" w:hAnsi="宋体" w:cs="宋体"/>
                <w:bCs/>
              </w:rPr>
            </w:pPr>
            <w:r>
              <w:rPr>
                <w:rFonts w:hint="eastAsia" w:ascii="宋体" w:hAnsi="宋体" w:cs="宋体"/>
                <w:bCs/>
              </w:rPr>
              <w:t>采购人</w:t>
            </w:r>
          </w:p>
        </w:tc>
        <w:tc>
          <w:tcPr>
            <w:tcW w:w="5457" w:type="dxa"/>
            <w:shd w:val="clear" w:color="auto" w:fill="FFFFFF"/>
            <w:vAlign w:val="center"/>
          </w:tcPr>
          <w:p>
            <w:pPr>
              <w:widowControl/>
              <w:shd w:val="clear" w:color="auto" w:fill="FFFFFF"/>
              <w:spacing w:line="360" w:lineRule="exact"/>
              <w:rPr>
                <w:rFonts w:ascii="宋体" w:hAnsi="宋体" w:cs="宋体"/>
                <w:bCs/>
                <w:kern w:val="0"/>
              </w:rPr>
            </w:pPr>
            <w:r>
              <w:rPr>
                <w:rFonts w:hint="eastAsia" w:ascii="宋体" w:hAnsi="宋体" w:cs="宋体"/>
                <w:bCs/>
                <w:kern w:val="0"/>
              </w:rPr>
              <w:t>采购人：东阳市水务局</w:t>
            </w:r>
          </w:p>
          <w:p>
            <w:pPr>
              <w:adjustRightInd w:val="0"/>
              <w:snapToGrid w:val="0"/>
              <w:spacing w:line="360" w:lineRule="auto"/>
            </w:pPr>
            <w:r>
              <w:t>地址：</w:t>
            </w:r>
            <w:r>
              <w:rPr>
                <w:rFonts w:hint="eastAsia"/>
              </w:rPr>
              <w:t>东阳市行政中心五楼</w:t>
            </w:r>
          </w:p>
          <w:p>
            <w:pPr>
              <w:adjustRightInd w:val="0"/>
              <w:snapToGrid w:val="0"/>
              <w:spacing w:line="360" w:lineRule="auto"/>
            </w:pPr>
            <w:r>
              <w:rPr>
                <w:rFonts w:hint="eastAsia"/>
              </w:rPr>
              <w:t>联系人：王先生</w:t>
            </w:r>
          </w:p>
          <w:p>
            <w:pPr>
              <w:adjustRightInd w:val="0"/>
              <w:snapToGrid w:val="0"/>
              <w:spacing w:line="360" w:lineRule="auto"/>
            </w:pPr>
            <w:r>
              <w:rPr>
                <w:rFonts w:hint="eastAsia"/>
              </w:rPr>
              <w:t>联系电话：</w:t>
            </w:r>
            <w:r>
              <w:t>0579-86768895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984" w:type="dxa"/>
            <w:shd w:val="clear" w:color="auto" w:fill="FFFFFF"/>
            <w:vAlign w:val="center"/>
          </w:tcPr>
          <w:p>
            <w:pPr>
              <w:spacing w:line="360" w:lineRule="exact"/>
              <w:jc w:val="center"/>
              <w:rPr>
                <w:rFonts w:ascii="宋体" w:hAnsi="宋体" w:cs="宋体"/>
                <w:bCs/>
              </w:rPr>
            </w:pPr>
            <w:r>
              <w:rPr>
                <w:rFonts w:hint="eastAsia" w:ascii="宋体" w:hAnsi="宋体" w:cs="宋体"/>
                <w:bCs/>
              </w:rPr>
              <w:t>2</w:t>
            </w:r>
          </w:p>
        </w:tc>
        <w:tc>
          <w:tcPr>
            <w:tcW w:w="2081" w:type="dxa"/>
            <w:shd w:val="clear" w:color="auto" w:fill="FFFFFF"/>
            <w:vAlign w:val="center"/>
          </w:tcPr>
          <w:p>
            <w:pPr>
              <w:spacing w:line="360" w:lineRule="exact"/>
              <w:rPr>
                <w:rFonts w:ascii="宋体" w:hAnsi="宋体" w:cs="宋体"/>
                <w:bCs/>
              </w:rPr>
            </w:pPr>
            <w:r>
              <w:rPr>
                <w:rFonts w:hint="eastAsia" w:ascii="宋体" w:hAnsi="宋体" w:cs="宋体"/>
                <w:bCs/>
              </w:rPr>
              <w:t>采购代理机构</w:t>
            </w:r>
          </w:p>
        </w:tc>
        <w:tc>
          <w:tcPr>
            <w:tcW w:w="5457" w:type="dxa"/>
            <w:shd w:val="clear" w:color="auto" w:fill="FFFFFF"/>
            <w:vAlign w:val="center"/>
          </w:tcPr>
          <w:p>
            <w:pPr>
              <w:spacing w:line="360" w:lineRule="exact"/>
              <w:rPr>
                <w:rFonts w:ascii="宋体" w:hAnsi="宋体" w:cs="宋体"/>
                <w:bCs/>
              </w:rPr>
            </w:pPr>
            <w:r>
              <w:rPr>
                <w:rFonts w:hint="eastAsia" w:ascii="宋体" w:hAnsi="宋体" w:cs="宋体"/>
                <w:bCs/>
              </w:rPr>
              <w:t>采购代理机构名称：金华市公共资源交易中心东阳分中心</w:t>
            </w:r>
          </w:p>
          <w:p>
            <w:pPr>
              <w:spacing w:line="360" w:lineRule="exact"/>
              <w:rPr>
                <w:rFonts w:ascii="宋体" w:hAnsi="宋体" w:cs="宋体"/>
                <w:bCs/>
              </w:rPr>
            </w:pPr>
            <w:r>
              <w:rPr>
                <w:rFonts w:hint="eastAsia" w:ascii="宋体" w:hAnsi="宋体" w:cs="宋体"/>
                <w:bCs/>
              </w:rPr>
              <w:t>地点：浙江省东阳市艺海北路338号总部中心B幢西区14楼（金华市公共资源交易中心东阳分中心）</w:t>
            </w:r>
          </w:p>
          <w:p>
            <w:pPr>
              <w:spacing w:line="360" w:lineRule="exact"/>
              <w:rPr>
                <w:rFonts w:ascii="宋体" w:hAnsi="宋体" w:cs="宋体"/>
                <w:bCs/>
              </w:rPr>
            </w:pPr>
            <w:r>
              <w:rPr>
                <w:rFonts w:hint="eastAsia" w:ascii="宋体" w:hAnsi="宋体" w:cs="宋体"/>
                <w:bCs/>
              </w:rPr>
              <w:t>联系人：徐女士、贾女士</w:t>
            </w:r>
          </w:p>
          <w:p>
            <w:pPr>
              <w:spacing w:line="360" w:lineRule="exact"/>
              <w:rPr>
                <w:rFonts w:ascii="宋体" w:hAnsi="宋体" w:cs="宋体"/>
                <w:bCs/>
              </w:rPr>
            </w:pPr>
            <w:r>
              <w:rPr>
                <w:rFonts w:hint="eastAsia" w:ascii="宋体" w:hAnsi="宋体" w:cs="宋体"/>
                <w:bCs/>
              </w:rPr>
              <w:t>联系电话：0579-86691</w:t>
            </w:r>
            <w:r>
              <w:rPr>
                <w:rFonts w:ascii="宋体" w:hAnsi="宋体" w:cs="宋体"/>
                <w:bCs/>
              </w:rPr>
              <w:t>535</w:t>
            </w:r>
          </w:p>
          <w:p>
            <w:pPr>
              <w:spacing w:line="360" w:lineRule="exact"/>
              <w:rPr>
                <w:rFonts w:ascii="宋体" w:hAnsi="宋体" w:cs="宋体"/>
                <w:bCs/>
              </w:rPr>
            </w:pPr>
            <w:r>
              <w:rPr>
                <w:rFonts w:hint="eastAsia" w:ascii="宋体" w:hAnsi="宋体" w:cs="宋体"/>
                <w:bCs/>
              </w:rPr>
              <w:t>传真：0579-86691</w:t>
            </w:r>
            <w:r>
              <w:rPr>
                <w:rFonts w:ascii="宋体" w:hAnsi="宋体" w:cs="宋体"/>
                <w:bCs/>
              </w:rPr>
              <w:t>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84" w:type="dxa"/>
            <w:shd w:val="clear" w:color="auto" w:fill="FFFFFF"/>
            <w:vAlign w:val="center"/>
          </w:tcPr>
          <w:p>
            <w:pPr>
              <w:spacing w:line="360" w:lineRule="exact"/>
              <w:jc w:val="center"/>
              <w:rPr>
                <w:rFonts w:ascii="宋体" w:hAnsi="宋体" w:cs="宋体"/>
                <w:bCs/>
              </w:rPr>
            </w:pPr>
            <w:r>
              <w:rPr>
                <w:rFonts w:hint="eastAsia" w:ascii="宋体" w:hAnsi="宋体" w:cs="宋体"/>
                <w:bCs/>
              </w:rPr>
              <w:t>3</w:t>
            </w:r>
          </w:p>
        </w:tc>
        <w:tc>
          <w:tcPr>
            <w:tcW w:w="2081" w:type="dxa"/>
            <w:shd w:val="clear" w:color="auto" w:fill="FFFFFF"/>
            <w:vAlign w:val="center"/>
          </w:tcPr>
          <w:p>
            <w:pPr>
              <w:spacing w:line="360" w:lineRule="exact"/>
            </w:pPr>
            <w:r>
              <w:rPr>
                <w:rFonts w:hint="eastAsia"/>
              </w:rPr>
              <w:t>咨询机构</w:t>
            </w:r>
          </w:p>
        </w:tc>
        <w:tc>
          <w:tcPr>
            <w:tcW w:w="5457" w:type="dxa"/>
            <w:shd w:val="clear" w:color="auto" w:fill="FFFFFF"/>
            <w:vAlign w:val="center"/>
          </w:tcPr>
          <w:p>
            <w:pPr>
              <w:spacing w:line="360" w:lineRule="exact"/>
              <w:rPr>
                <w:rFonts w:ascii="宋体" w:hAnsi="宋体" w:cs="宋体"/>
                <w:bCs/>
              </w:rPr>
            </w:pPr>
            <w:r>
              <w:rPr>
                <w:rFonts w:hint="eastAsia" w:ascii="宋体" w:hAnsi="宋体" w:cs="宋体"/>
                <w:bCs/>
              </w:rPr>
              <w:t>名称：上海同济工程咨询有限公司</w:t>
            </w:r>
          </w:p>
          <w:p>
            <w:pPr>
              <w:spacing w:line="360" w:lineRule="exact"/>
              <w:rPr>
                <w:rFonts w:ascii="宋体" w:hAnsi="宋体" w:cs="宋体"/>
                <w:bCs/>
              </w:rPr>
            </w:pPr>
            <w:r>
              <w:rPr>
                <w:rFonts w:hint="eastAsia" w:ascii="宋体" w:hAnsi="宋体" w:cs="宋体"/>
                <w:bCs/>
              </w:rPr>
              <w:t>地址：上海市杨浦区四平路1398号同济联合广场18楼</w:t>
            </w:r>
          </w:p>
          <w:p>
            <w:pPr>
              <w:spacing w:line="360" w:lineRule="exact"/>
              <w:rPr>
                <w:rFonts w:ascii="宋体" w:hAnsi="宋体" w:cs="宋体"/>
                <w:bCs/>
              </w:rPr>
            </w:pPr>
            <w:r>
              <w:rPr>
                <w:rFonts w:hint="eastAsia" w:ascii="宋体" w:hAnsi="宋体" w:cs="宋体"/>
                <w:bCs/>
              </w:rPr>
              <w:t>联系人：陈工</w:t>
            </w:r>
          </w:p>
          <w:p>
            <w:pPr>
              <w:spacing w:line="360" w:lineRule="exact"/>
              <w:rPr>
                <w:rFonts w:ascii="宋体" w:hAnsi="宋体" w:cs="宋体"/>
                <w:bCs/>
              </w:rPr>
            </w:pPr>
            <w:r>
              <w:rPr>
                <w:rFonts w:hint="eastAsia" w:ascii="宋体" w:hAnsi="宋体" w:cs="宋体"/>
                <w:bCs/>
              </w:rPr>
              <w:t>联系电话：15021867973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984" w:type="dxa"/>
            <w:shd w:val="clear" w:color="auto" w:fill="FFFFFF"/>
            <w:vAlign w:val="center"/>
          </w:tcPr>
          <w:p>
            <w:pPr>
              <w:spacing w:line="360" w:lineRule="exact"/>
              <w:jc w:val="center"/>
              <w:rPr>
                <w:rFonts w:ascii="宋体" w:hAnsi="宋体" w:cs="宋体"/>
                <w:bCs/>
              </w:rPr>
            </w:pPr>
            <w:r>
              <w:rPr>
                <w:rFonts w:hint="eastAsia" w:ascii="宋体" w:hAnsi="宋体" w:cs="宋体"/>
                <w:bCs/>
              </w:rPr>
              <w:t>4</w:t>
            </w:r>
          </w:p>
        </w:tc>
        <w:tc>
          <w:tcPr>
            <w:tcW w:w="2081" w:type="dxa"/>
            <w:shd w:val="clear" w:color="auto" w:fill="FFFFFF"/>
            <w:vAlign w:val="center"/>
          </w:tcPr>
          <w:p>
            <w:pPr>
              <w:spacing w:line="360" w:lineRule="exact"/>
              <w:rPr>
                <w:rFonts w:ascii="宋体" w:hAnsi="宋体" w:cs="宋体"/>
                <w:bCs/>
              </w:rPr>
            </w:pPr>
            <w:r>
              <w:rPr>
                <w:rFonts w:hint="eastAsia" w:ascii="宋体" w:hAnsi="宋体" w:cs="宋体"/>
                <w:bCs/>
              </w:rPr>
              <w:t>项目名称</w:t>
            </w:r>
          </w:p>
        </w:tc>
        <w:tc>
          <w:tcPr>
            <w:tcW w:w="5457" w:type="dxa"/>
            <w:shd w:val="clear" w:color="auto" w:fill="FFFFFF"/>
            <w:vAlign w:val="center"/>
          </w:tcPr>
          <w:p>
            <w:pPr>
              <w:spacing w:line="360" w:lineRule="exact"/>
              <w:rPr>
                <w:rFonts w:ascii="宋体" w:hAnsi="宋体" w:cs="宋体"/>
                <w:bCs/>
              </w:rPr>
            </w:pPr>
            <w:r>
              <w:rPr>
                <w:rFonts w:hint="eastAsia" w:ascii="宋体" w:hAnsi="宋体" w:cs="宋体"/>
                <w:bCs/>
              </w:rPr>
              <w:t>东阳市南马镇西区污水处理厂一期改扩建工程PPP项目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984" w:type="dxa"/>
            <w:shd w:val="clear" w:color="auto" w:fill="FFFFFF"/>
            <w:vAlign w:val="center"/>
          </w:tcPr>
          <w:p>
            <w:pPr>
              <w:spacing w:line="360" w:lineRule="exact"/>
              <w:jc w:val="center"/>
              <w:rPr>
                <w:rFonts w:ascii="宋体" w:hAnsi="宋体" w:cs="宋体"/>
                <w:bCs/>
              </w:rPr>
            </w:pPr>
            <w:r>
              <w:rPr>
                <w:rFonts w:hint="eastAsia" w:ascii="宋体" w:hAnsi="宋体" w:cs="宋体"/>
                <w:bCs/>
              </w:rPr>
              <w:t>5</w:t>
            </w:r>
          </w:p>
        </w:tc>
        <w:tc>
          <w:tcPr>
            <w:tcW w:w="2081" w:type="dxa"/>
            <w:shd w:val="clear" w:color="auto" w:fill="FFFFFF"/>
            <w:vAlign w:val="center"/>
          </w:tcPr>
          <w:p>
            <w:pPr>
              <w:spacing w:line="360" w:lineRule="exact"/>
              <w:rPr>
                <w:rFonts w:ascii="宋体" w:hAnsi="宋体" w:cs="宋体"/>
                <w:bCs/>
              </w:rPr>
            </w:pPr>
            <w:r>
              <w:rPr>
                <w:rFonts w:hint="eastAsia" w:ascii="宋体" w:hAnsi="宋体" w:cs="宋体"/>
                <w:bCs/>
              </w:rPr>
              <w:t>建设地点</w:t>
            </w:r>
          </w:p>
        </w:tc>
        <w:tc>
          <w:tcPr>
            <w:tcW w:w="5457" w:type="dxa"/>
            <w:shd w:val="clear" w:color="auto" w:fill="FFFFFF"/>
            <w:vAlign w:val="center"/>
          </w:tcPr>
          <w:p>
            <w:pPr>
              <w:spacing w:line="360" w:lineRule="exact"/>
              <w:rPr>
                <w:rFonts w:ascii="宋体" w:hAnsi="宋体" w:cs="宋体"/>
                <w:bCs/>
              </w:rPr>
            </w:pPr>
            <w:r>
              <w:rPr>
                <w:rFonts w:hint="eastAsia" w:ascii="宋体" w:hAnsi="宋体" w:cs="宋体"/>
                <w:bCs/>
              </w:rPr>
              <w:t>东阳市南马镇上安恬村，南至南江边，北至山脚下，西至南江边，东至525县道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984" w:type="dxa"/>
            <w:shd w:val="clear" w:color="auto" w:fill="FFFFFF"/>
            <w:vAlign w:val="center"/>
          </w:tcPr>
          <w:p>
            <w:pPr>
              <w:spacing w:line="360" w:lineRule="exact"/>
              <w:jc w:val="center"/>
              <w:rPr>
                <w:rFonts w:ascii="宋体" w:hAnsi="宋体" w:cs="宋体"/>
                <w:bCs/>
              </w:rPr>
            </w:pPr>
            <w:r>
              <w:rPr>
                <w:rFonts w:hint="eastAsia" w:ascii="宋体" w:hAnsi="宋体" w:cs="宋体"/>
                <w:bCs/>
              </w:rPr>
              <w:t>6</w:t>
            </w:r>
          </w:p>
        </w:tc>
        <w:tc>
          <w:tcPr>
            <w:tcW w:w="2081" w:type="dxa"/>
            <w:shd w:val="clear" w:color="auto" w:fill="FFFFFF"/>
            <w:vAlign w:val="center"/>
          </w:tcPr>
          <w:p>
            <w:pPr>
              <w:spacing w:line="360" w:lineRule="exact"/>
              <w:rPr>
                <w:rFonts w:ascii="宋体" w:hAnsi="宋体" w:cs="宋体"/>
                <w:bCs/>
              </w:rPr>
            </w:pPr>
            <w:r>
              <w:rPr>
                <w:rFonts w:hint="eastAsia" w:ascii="宋体" w:hAnsi="宋体" w:cs="宋体"/>
                <w:bCs/>
              </w:rPr>
              <w:t>建设内容</w:t>
            </w:r>
          </w:p>
        </w:tc>
        <w:tc>
          <w:tcPr>
            <w:tcW w:w="5457" w:type="dxa"/>
            <w:shd w:val="clear" w:color="auto" w:fill="FFFFFF"/>
            <w:vAlign w:val="center"/>
          </w:tcPr>
          <w:p>
            <w:pPr>
              <w:spacing w:line="360" w:lineRule="exact"/>
              <w:rPr>
                <w:rFonts w:ascii="宋体" w:hAnsi="宋体" w:cs="宋体"/>
                <w:bCs/>
              </w:rPr>
            </w:pPr>
            <w:r>
              <w:rPr>
                <w:rFonts w:hint="eastAsia" w:ascii="宋体" w:hAnsi="宋体" w:cs="宋体"/>
                <w:bCs/>
              </w:rPr>
              <w:t>包括东阳市南马镇西区污水处理厂一期工程的投融资、拆除新建、运营及移交，设计规模为2万m3/d，设计出水水质达到浙江省《城镇污水处理厂主要水污染物排放标准》（DB33/2169-2018），尾水排至南江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984" w:type="dxa"/>
            <w:shd w:val="clear" w:color="auto" w:fill="FFFFFF"/>
            <w:vAlign w:val="center"/>
          </w:tcPr>
          <w:p>
            <w:pPr>
              <w:spacing w:line="360" w:lineRule="exact"/>
              <w:jc w:val="center"/>
              <w:rPr>
                <w:rFonts w:ascii="宋体" w:hAnsi="宋体" w:cs="宋体"/>
                <w:bCs/>
              </w:rPr>
            </w:pPr>
            <w:r>
              <w:rPr>
                <w:rFonts w:hint="eastAsia" w:ascii="宋体" w:hAnsi="宋体" w:cs="宋体"/>
                <w:bCs/>
              </w:rPr>
              <w:t>7</w:t>
            </w:r>
          </w:p>
        </w:tc>
        <w:tc>
          <w:tcPr>
            <w:tcW w:w="2081" w:type="dxa"/>
            <w:shd w:val="clear" w:color="auto" w:fill="FFFFFF"/>
            <w:vAlign w:val="center"/>
          </w:tcPr>
          <w:p>
            <w:pPr>
              <w:spacing w:line="360" w:lineRule="exact"/>
              <w:rPr>
                <w:rFonts w:ascii="宋体" w:hAnsi="宋体" w:cs="宋体"/>
                <w:bCs/>
              </w:rPr>
            </w:pPr>
            <w:r>
              <w:rPr>
                <w:rFonts w:hint="eastAsia" w:ascii="宋体" w:hAnsi="宋体" w:cs="宋体"/>
                <w:bCs/>
              </w:rPr>
              <w:t>建设投资</w:t>
            </w:r>
          </w:p>
        </w:tc>
        <w:tc>
          <w:tcPr>
            <w:tcW w:w="5457" w:type="dxa"/>
            <w:shd w:val="clear" w:color="auto" w:fill="FFFFFF"/>
            <w:vAlign w:val="center"/>
          </w:tcPr>
          <w:p>
            <w:pPr>
              <w:spacing w:line="360" w:lineRule="exact"/>
              <w:rPr>
                <w:rFonts w:ascii="宋体" w:hAnsi="宋体" w:cs="宋体"/>
                <w:bCs/>
              </w:rPr>
            </w:pPr>
            <w:r>
              <w:rPr>
                <w:rFonts w:hint="eastAsia" w:ascii="宋体" w:hAnsi="宋体" w:cs="宋体"/>
                <w:bCs/>
              </w:rPr>
              <w:t>根据《东阳市发展和改革局关于南马镇西区污水处理厂一期改扩建工程可行性研究报告的批复》（东发改审批〔2020〕172号），项目总投资为</w:t>
            </w:r>
            <w:r>
              <w:rPr>
                <w:rFonts w:ascii="宋体" w:hAnsi="宋体" w:cs="宋体"/>
                <w:bCs/>
              </w:rPr>
              <w:t>8220</w:t>
            </w:r>
            <w:r>
              <w:rPr>
                <w:rFonts w:hint="eastAsia" w:ascii="宋体" w:hAnsi="宋体" w:cs="宋体"/>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984" w:type="dxa"/>
            <w:shd w:val="clear" w:color="auto" w:fill="FFFFFF"/>
            <w:vAlign w:val="center"/>
          </w:tcPr>
          <w:p>
            <w:pPr>
              <w:spacing w:line="360" w:lineRule="exact"/>
              <w:jc w:val="center"/>
              <w:rPr>
                <w:rFonts w:ascii="宋体" w:hAnsi="宋体" w:cs="宋体"/>
                <w:bCs/>
              </w:rPr>
            </w:pPr>
            <w:r>
              <w:rPr>
                <w:rFonts w:ascii="宋体" w:hAnsi="宋体" w:cs="宋体"/>
                <w:bCs/>
              </w:rPr>
              <w:t>8</w:t>
            </w:r>
          </w:p>
        </w:tc>
        <w:tc>
          <w:tcPr>
            <w:tcW w:w="2081" w:type="dxa"/>
            <w:shd w:val="clear" w:color="auto" w:fill="FFFFFF"/>
            <w:vAlign w:val="center"/>
          </w:tcPr>
          <w:p>
            <w:pPr>
              <w:spacing w:line="360" w:lineRule="exact"/>
              <w:rPr>
                <w:rFonts w:ascii="宋体" w:hAnsi="宋体" w:cs="宋体"/>
                <w:bCs/>
              </w:rPr>
            </w:pPr>
            <w:r>
              <w:rPr>
                <w:rFonts w:hint="eastAsia" w:ascii="宋体" w:hAnsi="宋体" w:cs="宋体"/>
                <w:bCs/>
              </w:rPr>
              <w:t>合作模式</w:t>
            </w:r>
          </w:p>
        </w:tc>
        <w:tc>
          <w:tcPr>
            <w:tcW w:w="5457" w:type="dxa"/>
            <w:shd w:val="clear" w:color="auto" w:fill="FFFFFF"/>
            <w:vAlign w:val="center"/>
          </w:tcPr>
          <w:p>
            <w:pPr>
              <w:spacing w:line="360" w:lineRule="exact"/>
              <w:rPr>
                <w:rFonts w:ascii="宋体" w:hAnsi="宋体" w:cs="宋体"/>
                <w:bCs/>
              </w:rPr>
            </w:pPr>
            <w:r>
              <w:rPr>
                <w:rFonts w:hint="eastAsia" w:ascii="宋体" w:hAnsi="宋体" w:cs="宋体"/>
                <w:bCs/>
              </w:rPr>
              <w:t>ROT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984" w:type="dxa"/>
            <w:shd w:val="clear" w:color="auto" w:fill="FFFFFF"/>
            <w:vAlign w:val="center"/>
          </w:tcPr>
          <w:p>
            <w:pPr>
              <w:spacing w:line="360" w:lineRule="exact"/>
              <w:jc w:val="center"/>
              <w:rPr>
                <w:rFonts w:ascii="宋体" w:hAnsi="宋体" w:cs="宋体"/>
                <w:bCs/>
              </w:rPr>
            </w:pPr>
            <w:r>
              <w:rPr>
                <w:rFonts w:hint="eastAsia" w:ascii="宋体" w:hAnsi="宋体" w:cs="宋体"/>
                <w:bCs/>
              </w:rPr>
              <w:t>9</w:t>
            </w:r>
          </w:p>
        </w:tc>
        <w:tc>
          <w:tcPr>
            <w:tcW w:w="2081" w:type="dxa"/>
            <w:shd w:val="clear" w:color="auto" w:fill="FFFFFF"/>
            <w:vAlign w:val="center"/>
          </w:tcPr>
          <w:p>
            <w:pPr>
              <w:spacing w:line="360" w:lineRule="exact"/>
              <w:rPr>
                <w:rFonts w:ascii="宋体" w:hAnsi="宋体" w:cs="宋体"/>
                <w:bCs/>
              </w:rPr>
            </w:pPr>
            <w:r>
              <w:rPr>
                <w:rFonts w:ascii="宋体" w:hAnsi="宋体" w:cs="宋体"/>
                <w:bCs/>
              </w:rPr>
              <w:t>合作期限</w:t>
            </w:r>
          </w:p>
        </w:tc>
        <w:tc>
          <w:tcPr>
            <w:tcW w:w="5457" w:type="dxa"/>
            <w:shd w:val="clear" w:color="auto" w:fill="FFFFFF"/>
            <w:vAlign w:val="center"/>
          </w:tcPr>
          <w:p>
            <w:pPr>
              <w:spacing w:line="360" w:lineRule="exact"/>
              <w:rPr>
                <w:rFonts w:ascii="宋体" w:hAnsi="宋体" w:cs="宋体"/>
                <w:bCs/>
              </w:rPr>
            </w:pPr>
            <w:r>
              <w:rPr>
                <w:rFonts w:hint="eastAsia" w:ascii="宋体" w:hAnsi="宋体" w:cs="宋体"/>
                <w:bCs/>
              </w:rPr>
              <w:t>本项目政府与社会资本总合作期限为24年（其中建设期1年）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4" w:type="dxa"/>
            <w:shd w:val="clear" w:color="auto" w:fill="FFFFFF"/>
            <w:vAlign w:val="center"/>
          </w:tcPr>
          <w:p>
            <w:pPr>
              <w:spacing w:line="360" w:lineRule="exact"/>
              <w:jc w:val="center"/>
              <w:rPr>
                <w:rFonts w:ascii="宋体" w:hAnsi="宋体" w:cs="宋体"/>
                <w:bCs/>
              </w:rPr>
            </w:pPr>
            <w:r>
              <w:rPr>
                <w:rFonts w:ascii="宋体" w:hAnsi="宋体" w:cs="宋体"/>
                <w:bCs/>
              </w:rPr>
              <w:t>10</w:t>
            </w:r>
          </w:p>
        </w:tc>
        <w:tc>
          <w:tcPr>
            <w:tcW w:w="2081" w:type="dxa"/>
            <w:shd w:val="clear" w:color="auto" w:fill="FFFFFF"/>
            <w:vAlign w:val="center"/>
          </w:tcPr>
          <w:p>
            <w:pPr>
              <w:spacing w:line="360" w:lineRule="exact"/>
              <w:rPr>
                <w:rFonts w:ascii="宋体" w:hAnsi="宋体" w:cs="宋体"/>
                <w:bCs/>
              </w:rPr>
            </w:pPr>
            <w:r>
              <w:rPr>
                <w:rFonts w:hint="eastAsia" w:ascii="宋体" w:hAnsi="宋体" w:cs="宋体"/>
                <w:bCs/>
              </w:rPr>
              <w:t>采购内容</w:t>
            </w:r>
          </w:p>
        </w:tc>
        <w:tc>
          <w:tcPr>
            <w:tcW w:w="5457" w:type="dxa"/>
            <w:shd w:val="clear" w:color="auto" w:fill="FFFFFF"/>
            <w:vAlign w:val="center"/>
          </w:tcPr>
          <w:p>
            <w:pPr>
              <w:spacing w:line="360" w:lineRule="exact"/>
              <w:rPr>
                <w:rFonts w:ascii="宋体" w:hAnsi="宋体" w:cs="宋体"/>
                <w:bCs/>
              </w:rPr>
            </w:pPr>
            <w:r>
              <w:rPr>
                <w:rFonts w:hint="eastAsia" w:ascii="宋体" w:hAnsi="宋体" w:cs="宋体"/>
                <w:bCs/>
              </w:rPr>
              <w:t>本项目的改扩建、运营及移交（ROT）的政府合作社会资本。在合作期限内，东阳市人民政府授权东阳市水务局作为本项目的实施机构，负责项目准备、采购、执行、移交及全生命周期的监管等工作；中选社会资本设立PPP项目公司。PPP项目公司具体负责本项目的投（融）资、设计、建设、运营、维护、移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984" w:type="dxa"/>
            <w:shd w:val="clear" w:color="auto" w:fill="FFFFFF"/>
            <w:vAlign w:val="center"/>
          </w:tcPr>
          <w:p>
            <w:pPr>
              <w:spacing w:line="360" w:lineRule="exact"/>
              <w:jc w:val="center"/>
              <w:rPr>
                <w:rFonts w:ascii="宋体" w:hAnsi="宋体" w:cs="宋体"/>
                <w:bCs/>
              </w:rPr>
            </w:pPr>
            <w:r>
              <w:rPr>
                <w:rFonts w:hint="eastAsia" w:ascii="宋体" w:hAnsi="宋体" w:cs="宋体"/>
                <w:bCs/>
              </w:rPr>
              <w:t>1</w:t>
            </w:r>
            <w:r>
              <w:rPr>
                <w:rFonts w:ascii="宋体" w:hAnsi="宋体" w:cs="宋体"/>
                <w:bCs/>
              </w:rPr>
              <w:t>1</w:t>
            </w:r>
          </w:p>
        </w:tc>
        <w:tc>
          <w:tcPr>
            <w:tcW w:w="2081" w:type="dxa"/>
            <w:shd w:val="clear" w:color="auto" w:fill="FFFFFF"/>
            <w:vAlign w:val="center"/>
          </w:tcPr>
          <w:p>
            <w:pPr>
              <w:spacing w:line="360" w:lineRule="exact"/>
              <w:rPr>
                <w:rFonts w:ascii="宋体" w:hAnsi="宋体" w:cs="宋体"/>
                <w:bCs/>
              </w:rPr>
            </w:pPr>
            <w:r>
              <w:rPr>
                <w:rFonts w:hint="eastAsia" w:ascii="宋体" w:hAnsi="宋体" w:cs="宋体"/>
                <w:bCs/>
              </w:rPr>
              <w:t>标段划分</w:t>
            </w:r>
          </w:p>
        </w:tc>
        <w:tc>
          <w:tcPr>
            <w:tcW w:w="5457" w:type="dxa"/>
            <w:shd w:val="clear" w:color="auto" w:fill="FFFFFF"/>
            <w:vAlign w:val="center"/>
          </w:tcPr>
          <w:p>
            <w:pPr>
              <w:spacing w:line="360" w:lineRule="exact"/>
              <w:rPr>
                <w:rFonts w:ascii="宋体" w:hAnsi="宋体" w:cs="宋体"/>
                <w:bCs/>
                <w:u w:val="single"/>
              </w:rPr>
            </w:pPr>
            <w:r>
              <w:rPr>
                <w:rFonts w:hint="eastAsia" w:ascii="宋体" w:hAnsi="宋体" w:cs="宋体"/>
                <w:bCs/>
              </w:rPr>
              <w:t>本项目不划分标段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4" w:type="dxa"/>
            <w:shd w:val="clear" w:color="auto" w:fill="FFFFFF"/>
            <w:vAlign w:val="center"/>
          </w:tcPr>
          <w:p>
            <w:pPr>
              <w:spacing w:line="360" w:lineRule="exact"/>
              <w:jc w:val="center"/>
              <w:rPr>
                <w:rFonts w:ascii="宋体" w:hAnsi="宋体" w:cs="宋体"/>
                <w:bCs/>
              </w:rPr>
            </w:pPr>
            <w:r>
              <w:rPr>
                <w:rFonts w:hint="eastAsia" w:ascii="宋体" w:hAnsi="宋体" w:cs="宋体"/>
                <w:bCs/>
              </w:rPr>
              <w:t>1</w:t>
            </w:r>
            <w:r>
              <w:rPr>
                <w:rFonts w:ascii="宋体" w:hAnsi="宋体" w:cs="宋体"/>
                <w:bCs/>
              </w:rPr>
              <w:t>2</w:t>
            </w:r>
          </w:p>
        </w:tc>
        <w:tc>
          <w:tcPr>
            <w:tcW w:w="2081" w:type="dxa"/>
            <w:shd w:val="clear" w:color="auto" w:fill="FFFFFF"/>
            <w:vAlign w:val="center"/>
          </w:tcPr>
          <w:p>
            <w:pPr>
              <w:spacing w:line="360" w:lineRule="exact"/>
              <w:rPr>
                <w:rFonts w:ascii="宋体" w:hAnsi="宋体" w:cs="宋体"/>
                <w:bCs/>
              </w:rPr>
            </w:pPr>
            <w:r>
              <w:rPr>
                <w:rFonts w:hint="eastAsia" w:ascii="宋体" w:hAnsi="宋体" w:cs="宋体"/>
                <w:bCs/>
              </w:rPr>
              <w:t>计划工期</w:t>
            </w:r>
          </w:p>
        </w:tc>
        <w:tc>
          <w:tcPr>
            <w:tcW w:w="5457" w:type="dxa"/>
            <w:shd w:val="clear" w:color="auto" w:fill="FFFFFF"/>
            <w:vAlign w:val="center"/>
          </w:tcPr>
          <w:p>
            <w:pPr>
              <w:spacing w:line="360" w:lineRule="exact"/>
              <w:rPr>
                <w:rFonts w:ascii="宋体" w:hAnsi="宋体" w:cs="宋体"/>
                <w:bCs/>
              </w:rPr>
            </w:pPr>
            <w:r>
              <w:rPr>
                <w:rFonts w:hint="eastAsia" w:ascii="宋体" w:hAnsi="宋体" w:cs="宋体"/>
                <w:bCs/>
                <w:u w:val="single"/>
              </w:rPr>
              <w:t>在合同中具体约定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984" w:type="dxa"/>
            <w:shd w:val="clear" w:color="auto" w:fill="FFFFFF"/>
            <w:vAlign w:val="center"/>
          </w:tcPr>
          <w:p>
            <w:pPr>
              <w:spacing w:line="360" w:lineRule="exact"/>
              <w:jc w:val="center"/>
              <w:rPr>
                <w:rFonts w:ascii="宋体" w:hAnsi="宋体" w:cs="宋体"/>
                <w:bCs/>
              </w:rPr>
            </w:pPr>
            <w:r>
              <w:rPr>
                <w:rFonts w:hint="eastAsia" w:ascii="宋体" w:hAnsi="宋体" w:cs="宋体"/>
                <w:bCs/>
              </w:rPr>
              <w:t>1</w:t>
            </w:r>
            <w:r>
              <w:rPr>
                <w:rFonts w:ascii="宋体" w:hAnsi="宋体" w:cs="宋体"/>
                <w:bCs/>
              </w:rPr>
              <w:t>3</w:t>
            </w:r>
          </w:p>
        </w:tc>
        <w:tc>
          <w:tcPr>
            <w:tcW w:w="2081" w:type="dxa"/>
            <w:shd w:val="clear" w:color="auto" w:fill="FFFFFF"/>
            <w:vAlign w:val="center"/>
          </w:tcPr>
          <w:p>
            <w:pPr>
              <w:spacing w:line="360" w:lineRule="exact"/>
              <w:rPr>
                <w:rFonts w:ascii="宋体" w:hAnsi="宋体" w:cs="宋体"/>
                <w:bCs/>
              </w:rPr>
            </w:pPr>
            <w:r>
              <w:rPr>
                <w:rFonts w:hint="eastAsia" w:ascii="宋体" w:hAnsi="宋体" w:cs="宋体"/>
                <w:bCs/>
              </w:rPr>
              <w:t>质量要求</w:t>
            </w:r>
          </w:p>
        </w:tc>
        <w:tc>
          <w:tcPr>
            <w:tcW w:w="5457" w:type="dxa"/>
            <w:shd w:val="clear" w:color="auto" w:fill="FFFFFF"/>
            <w:vAlign w:val="center"/>
          </w:tcPr>
          <w:p>
            <w:pPr>
              <w:spacing w:line="360" w:lineRule="exact"/>
              <w:rPr>
                <w:rFonts w:ascii="宋体" w:hAnsi="宋体" w:cs="宋体"/>
                <w:bCs/>
              </w:rPr>
            </w:pPr>
            <w:r>
              <w:rPr>
                <w:rFonts w:hint="eastAsia" w:ascii="宋体" w:hAnsi="宋体" w:cs="宋体"/>
                <w:bCs/>
              </w:rPr>
              <w:t>本项目出水水质的化学需氧量、氨氮、总氮、总磷等4项水污染物基本控制项目达到《城镇污水处理厂主要水污染物排放标准》(DB33/2169-2018)中表1标准，其余控制项目仍按《城镇污水处理厂污染物排放标准》(GB18918-2002)中的一级A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984" w:type="dxa"/>
            <w:shd w:val="clear" w:color="auto" w:fill="FFFFFF"/>
            <w:vAlign w:val="center"/>
          </w:tcPr>
          <w:p>
            <w:pPr>
              <w:spacing w:line="360" w:lineRule="exact"/>
              <w:jc w:val="center"/>
              <w:rPr>
                <w:rFonts w:ascii="宋体" w:hAnsi="宋体" w:cs="宋体"/>
                <w:bCs/>
              </w:rPr>
            </w:pPr>
            <w:r>
              <w:rPr>
                <w:rFonts w:hint="eastAsia" w:ascii="宋体" w:hAnsi="宋体" w:cs="宋体"/>
                <w:bCs/>
              </w:rPr>
              <w:t>1</w:t>
            </w:r>
            <w:r>
              <w:rPr>
                <w:rFonts w:ascii="宋体" w:hAnsi="宋体" w:cs="宋体"/>
                <w:bCs/>
              </w:rPr>
              <w:t>4</w:t>
            </w:r>
          </w:p>
        </w:tc>
        <w:tc>
          <w:tcPr>
            <w:tcW w:w="2081" w:type="dxa"/>
            <w:shd w:val="clear" w:color="auto" w:fill="FFFFFF"/>
            <w:vAlign w:val="center"/>
          </w:tcPr>
          <w:p>
            <w:pPr>
              <w:spacing w:line="360" w:lineRule="exact"/>
              <w:rPr>
                <w:rFonts w:ascii="宋体" w:hAnsi="宋体" w:cs="宋体"/>
                <w:bCs/>
              </w:rPr>
            </w:pPr>
            <w:r>
              <w:rPr>
                <w:rFonts w:hint="eastAsia" w:ascii="宋体" w:hAnsi="宋体" w:cs="宋体"/>
                <w:bCs/>
              </w:rPr>
              <w:t>供应商资格要求</w:t>
            </w:r>
          </w:p>
        </w:tc>
        <w:tc>
          <w:tcPr>
            <w:tcW w:w="5457" w:type="dxa"/>
            <w:shd w:val="clear" w:color="auto" w:fill="FFFFFF"/>
            <w:vAlign w:val="center"/>
          </w:tcPr>
          <w:p>
            <w:pPr>
              <w:spacing w:line="360" w:lineRule="exact"/>
              <w:rPr>
                <w:rFonts w:ascii="宋体" w:hAnsi="宋体" w:cs="宋体"/>
                <w:bCs/>
              </w:rPr>
            </w:pPr>
            <w:r>
              <w:rPr>
                <w:rFonts w:hint="eastAsia" w:ascii="宋体" w:hAnsi="宋体" w:cs="宋体"/>
                <w:bCs/>
              </w:rPr>
              <w:t>通过本项目资格预审的合格供应商。</w:t>
            </w:r>
          </w:p>
          <w:p>
            <w:pPr>
              <w:spacing w:line="360" w:lineRule="exact"/>
              <w:rPr>
                <w:rFonts w:ascii="宋体" w:hAnsi="宋体" w:cs="宋体"/>
                <w:bCs/>
              </w:rPr>
            </w:pPr>
            <w:r>
              <w:rPr>
                <w:rFonts w:hint="eastAsia" w:ascii="宋体" w:hAnsi="宋体" w:cs="宋体"/>
                <w:bCs/>
              </w:rPr>
              <w:t>注：本次采购采用资格预审，未参与本项目资格预审的或资格预审未通过的潜在供应商递交的磋商材料将被拒收。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84" w:type="dxa"/>
            <w:shd w:val="clear" w:color="auto" w:fill="FFFFFF"/>
            <w:vAlign w:val="center"/>
          </w:tcPr>
          <w:p>
            <w:pPr>
              <w:spacing w:line="360" w:lineRule="exact"/>
              <w:jc w:val="center"/>
              <w:rPr>
                <w:rFonts w:ascii="宋体" w:hAnsi="宋体" w:cs="宋体"/>
                <w:bCs/>
              </w:rPr>
            </w:pPr>
            <w:r>
              <w:rPr>
                <w:rFonts w:hint="eastAsia" w:ascii="宋体" w:hAnsi="宋体" w:cs="宋体"/>
                <w:bCs/>
              </w:rPr>
              <w:t>1</w:t>
            </w:r>
            <w:r>
              <w:rPr>
                <w:rFonts w:ascii="宋体" w:hAnsi="宋体" w:cs="宋体"/>
                <w:bCs/>
              </w:rPr>
              <w:t>5</w:t>
            </w:r>
          </w:p>
        </w:tc>
        <w:tc>
          <w:tcPr>
            <w:tcW w:w="2081" w:type="dxa"/>
            <w:shd w:val="clear" w:color="auto" w:fill="FFFFFF"/>
            <w:vAlign w:val="center"/>
          </w:tcPr>
          <w:p>
            <w:pPr>
              <w:spacing w:line="360" w:lineRule="exact"/>
              <w:rPr>
                <w:rFonts w:ascii="宋体" w:hAnsi="宋体" w:cs="宋体"/>
                <w:bCs/>
              </w:rPr>
            </w:pPr>
            <w:r>
              <w:rPr>
                <w:rFonts w:hint="eastAsia" w:ascii="宋体" w:hAnsi="宋体" w:cs="宋体"/>
                <w:bCs/>
              </w:rPr>
              <w:t>质疑与投诉</w:t>
            </w:r>
          </w:p>
        </w:tc>
        <w:tc>
          <w:tcPr>
            <w:tcW w:w="5457" w:type="dxa"/>
            <w:shd w:val="clear" w:color="auto" w:fill="FFFFFF"/>
            <w:vAlign w:val="center"/>
          </w:tcPr>
          <w:p>
            <w:pPr>
              <w:spacing w:line="360" w:lineRule="exact"/>
              <w:rPr>
                <w:rFonts w:ascii="宋体" w:hAnsi="宋体" w:cs="宋体"/>
                <w:bCs/>
              </w:rPr>
            </w:pPr>
            <w:r>
              <w:rPr>
                <w:rFonts w:hint="eastAsia" w:ascii="宋体" w:hAnsi="宋体" w:cs="宋体"/>
                <w:bCs/>
              </w:rPr>
              <w:t>（1）参加磋商的供应商认为磋商文件、采购过程和采购结果使自己的权益受到损害的，可以在7个工作日内，以书面形式向采购代理机构或采购人提出质疑。</w:t>
            </w:r>
          </w:p>
          <w:p>
            <w:pPr>
              <w:spacing w:line="360" w:lineRule="exact"/>
              <w:rPr>
                <w:rFonts w:ascii="宋体" w:hAnsi="宋体" w:cs="宋体"/>
                <w:bCs/>
              </w:rPr>
            </w:pPr>
            <w:r>
              <w:rPr>
                <w:rFonts w:hint="eastAsia" w:ascii="宋体" w:hAnsi="宋体" w:cs="宋体"/>
                <w:bCs/>
              </w:rPr>
              <w:t>（a）对可以质疑的磋商文件提出质疑的，为收到磋商文件之日或者磋商文件公告期限届满之日；</w:t>
            </w:r>
          </w:p>
          <w:p>
            <w:pPr>
              <w:spacing w:line="360" w:lineRule="exact"/>
              <w:rPr>
                <w:rFonts w:ascii="宋体" w:hAnsi="宋体" w:cs="宋体"/>
                <w:bCs/>
              </w:rPr>
            </w:pPr>
            <w:r>
              <w:rPr>
                <w:rFonts w:hint="eastAsia" w:ascii="宋体" w:hAnsi="宋体" w:cs="宋体"/>
                <w:bCs/>
              </w:rPr>
              <w:t>（b）对采购过程提出质疑的，为各采购程序环节结束之日；</w:t>
            </w:r>
          </w:p>
          <w:p>
            <w:pPr>
              <w:spacing w:line="360" w:lineRule="exact"/>
              <w:rPr>
                <w:rFonts w:ascii="宋体" w:hAnsi="宋体" w:cs="宋体"/>
                <w:bCs/>
              </w:rPr>
            </w:pPr>
            <w:r>
              <w:rPr>
                <w:rFonts w:hint="eastAsia" w:ascii="宋体" w:hAnsi="宋体" w:cs="宋体"/>
                <w:bCs/>
              </w:rPr>
              <w:t>（c）对中标或者成交结果提出质疑的，为中标或者成交结果公告期限届满之日。</w:t>
            </w:r>
          </w:p>
          <w:p>
            <w:pPr>
              <w:spacing w:line="360" w:lineRule="exact"/>
              <w:rPr>
                <w:rFonts w:ascii="宋体" w:hAnsi="宋体" w:cs="宋体"/>
                <w:bCs/>
              </w:rPr>
            </w:pPr>
            <w:r>
              <w:rPr>
                <w:rFonts w:hint="eastAsia" w:ascii="宋体" w:hAnsi="宋体" w:cs="宋体"/>
                <w:bCs/>
              </w:rPr>
              <w:t>（2）质疑必须以参加投标供应商法定代表人或授权代表（响应文件中所确定的）原件送达的方式提交，未按上述要求提交的质疑函（含传真、电子邮件等）采购代理机构有权不予受理。</w:t>
            </w:r>
          </w:p>
          <w:p>
            <w:pPr>
              <w:spacing w:line="360" w:lineRule="exact"/>
              <w:rPr>
                <w:rFonts w:ascii="宋体" w:hAnsi="宋体" w:cs="宋体"/>
                <w:bCs/>
              </w:rPr>
            </w:pPr>
            <w:r>
              <w:rPr>
                <w:rFonts w:hint="eastAsia" w:ascii="宋体" w:hAnsi="宋体" w:cs="宋体"/>
                <w:bCs/>
              </w:rPr>
              <w:t>（3）未参加投标活动的供应商或在投标活动中自身权益未受到损害的供应商所提出的质疑不予受理。</w:t>
            </w:r>
          </w:p>
          <w:p>
            <w:pPr>
              <w:spacing w:line="360" w:lineRule="exact"/>
              <w:rPr>
                <w:rFonts w:ascii="宋体" w:hAnsi="宋体" w:cs="宋体"/>
                <w:bCs/>
              </w:rPr>
            </w:pPr>
            <w:r>
              <w:rPr>
                <w:rFonts w:hint="eastAsia" w:ascii="宋体" w:hAnsi="宋体" w:cs="宋体"/>
                <w:bCs/>
              </w:rPr>
              <w:t>（4）质疑函应当包括下列内容：</w:t>
            </w:r>
          </w:p>
          <w:p>
            <w:pPr>
              <w:spacing w:line="360" w:lineRule="exact"/>
              <w:rPr>
                <w:rFonts w:ascii="宋体" w:hAnsi="宋体" w:cs="宋体"/>
                <w:bCs/>
              </w:rPr>
            </w:pPr>
            <w:r>
              <w:rPr>
                <w:rFonts w:hint="eastAsia" w:ascii="宋体" w:hAnsi="宋体" w:cs="宋体"/>
                <w:bCs/>
              </w:rPr>
              <w:t>（a）质疑供应商的名称、地址、邮编、联系人、联系电话；</w:t>
            </w:r>
          </w:p>
          <w:p>
            <w:pPr>
              <w:spacing w:line="360" w:lineRule="exact"/>
              <w:rPr>
                <w:rFonts w:ascii="宋体" w:hAnsi="宋体" w:cs="宋体"/>
                <w:bCs/>
              </w:rPr>
            </w:pPr>
            <w:r>
              <w:rPr>
                <w:rFonts w:hint="eastAsia" w:ascii="宋体" w:hAnsi="宋体" w:cs="宋体"/>
                <w:bCs/>
              </w:rPr>
              <w:t>（b）具体的质疑事项及明确的请求；</w:t>
            </w:r>
          </w:p>
          <w:p>
            <w:pPr>
              <w:spacing w:line="360" w:lineRule="exact"/>
              <w:rPr>
                <w:rFonts w:ascii="宋体" w:hAnsi="宋体" w:cs="宋体"/>
                <w:bCs/>
              </w:rPr>
            </w:pPr>
            <w:r>
              <w:rPr>
                <w:rFonts w:hint="eastAsia" w:ascii="宋体" w:hAnsi="宋体" w:cs="宋体"/>
                <w:bCs/>
              </w:rPr>
              <w:t>（c）认为自己合法权益受到损害或可能受到损害的相关证据材料；</w:t>
            </w:r>
          </w:p>
          <w:p>
            <w:pPr>
              <w:spacing w:line="360" w:lineRule="exact"/>
              <w:rPr>
                <w:rFonts w:ascii="宋体" w:hAnsi="宋体" w:cs="宋体"/>
                <w:bCs/>
              </w:rPr>
            </w:pPr>
            <w:r>
              <w:rPr>
                <w:rFonts w:hint="eastAsia" w:ascii="宋体" w:hAnsi="宋体" w:cs="宋体"/>
                <w:bCs/>
              </w:rPr>
              <w:t>（d）提起质疑的日期；</w:t>
            </w:r>
          </w:p>
          <w:p>
            <w:pPr>
              <w:spacing w:line="360" w:lineRule="exact"/>
              <w:rPr>
                <w:rFonts w:ascii="宋体" w:hAnsi="宋体" w:cs="宋体"/>
                <w:bCs/>
              </w:rPr>
            </w:pPr>
            <w:r>
              <w:rPr>
                <w:rFonts w:hint="eastAsia" w:ascii="宋体" w:hAnsi="宋体" w:cs="宋体"/>
                <w:bCs/>
              </w:rPr>
              <w:t>（e）质疑函应当署名：质疑人为自然人的，应当由本人签字并附有效身份证明；质疑人为法人或其他组织的，应当由法定代表人签字并加盖单位公章。质疑人委托代理质疑的，应当向采购代理机构提交授权委托书，并载明委托代理的具体权限和事项。</w:t>
            </w:r>
          </w:p>
          <w:p>
            <w:pPr>
              <w:spacing w:line="360" w:lineRule="exact"/>
              <w:rPr>
                <w:rFonts w:ascii="宋体" w:hAnsi="宋体" w:cs="宋体"/>
                <w:bCs/>
              </w:rPr>
            </w:pPr>
            <w:r>
              <w:rPr>
                <w:rFonts w:hint="eastAsia" w:ascii="宋体" w:hAnsi="宋体" w:cs="宋体"/>
                <w:bCs/>
              </w:rPr>
              <w:t>（5）采购代理机构收到质疑函后，将对质疑的形式和内容进行审查，如质疑函内容、格式不符合规定，采购代理机构将告知质疑人进行补正。</w:t>
            </w:r>
          </w:p>
          <w:p>
            <w:pPr>
              <w:spacing w:line="360" w:lineRule="exact"/>
              <w:rPr>
                <w:rFonts w:ascii="宋体" w:hAnsi="宋体" w:cs="宋体"/>
                <w:bCs/>
              </w:rPr>
            </w:pPr>
            <w:r>
              <w:rPr>
                <w:rFonts w:hint="eastAsia" w:ascii="宋体" w:hAnsi="宋体" w:cs="宋体"/>
                <w:bCs/>
              </w:rPr>
              <w:t>（6）质疑人应当在法定质疑期限内进行补正并重新提交质疑函，拒不补正或者在法定期限内未重新提交质疑函的，为无效质疑，采购代理机构有权不予受理。</w:t>
            </w:r>
          </w:p>
          <w:p>
            <w:pPr>
              <w:spacing w:line="360" w:lineRule="exact"/>
              <w:rPr>
                <w:rFonts w:ascii="宋体" w:hAnsi="宋体" w:cs="宋体"/>
                <w:bCs/>
              </w:rPr>
            </w:pPr>
            <w:r>
              <w:rPr>
                <w:rFonts w:hint="eastAsia" w:ascii="宋体" w:hAnsi="宋体" w:cs="宋体"/>
                <w:bCs/>
              </w:rPr>
              <w:t>（7）对于内容、格式符合规定的质疑函，采购代理机构应当在收到投标供应商的书面质疑后7个工作日内作出答复，并以书面形式通知质疑供应商和其他有关供应商，但答复的内容不得涉及商业秘密。</w:t>
            </w:r>
          </w:p>
          <w:p>
            <w:pPr>
              <w:spacing w:line="360" w:lineRule="exact"/>
              <w:rPr>
                <w:rFonts w:ascii="宋体" w:hAnsi="宋体" w:cs="宋体"/>
                <w:bCs/>
              </w:rPr>
            </w:pPr>
            <w:r>
              <w:rPr>
                <w:rFonts w:hint="eastAsia" w:ascii="宋体" w:hAnsi="宋体" w:cs="宋体"/>
                <w:bCs/>
              </w:rPr>
              <w:t>（8）供应商提出书面质疑必须有理、有据，不得恶意质疑或提交虚假质疑。否则，一经查实，采购代理机构有权依据政府采购的有关规定，报请政府采购监管部门对该供应商进行相应的行政处罚。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984" w:type="dxa"/>
            <w:shd w:val="clear" w:color="auto" w:fill="FFFFFF"/>
            <w:vAlign w:val="center"/>
          </w:tcPr>
          <w:p>
            <w:pPr>
              <w:spacing w:line="360" w:lineRule="exact"/>
              <w:jc w:val="center"/>
              <w:rPr>
                <w:rFonts w:ascii="宋体" w:hAnsi="宋体" w:cs="宋体"/>
                <w:bCs/>
              </w:rPr>
            </w:pPr>
            <w:r>
              <w:rPr>
                <w:rFonts w:hint="eastAsia" w:ascii="宋体" w:hAnsi="宋体" w:cs="宋体"/>
                <w:bCs/>
              </w:rPr>
              <w:t>1</w:t>
            </w:r>
            <w:r>
              <w:rPr>
                <w:rFonts w:ascii="宋体" w:hAnsi="宋体" w:cs="宋体"/>
                <w:bCs/>
              </w:rPr>
              <w:t>6</w:t>
            </w:r>
          </w:p>
        </w:tc>
        <w:tc>
          <w:tcPr>
            <w:tcW w:w="2081" w:type="dxa"/>
            <w:shd w:val="clear" w:color="auto" w:fill="FFFFFF"/>
            <w:vAlign w:val="center"/>
          </w:tcPr>
          <w:p>
            <w:pPr>
              <w:spacing w:line="360" w:lineRule="exact"/>
              <w:rPr>
                <w:rFonts w:ascii="宋体" w:hAnsi="宋体" w:cs="宋体"/>
                <w:bCs/>
              </w:rPr>
            </w:pPr>
            <w:r>
              <w:rPr>
                <w:rFonts w:hint="eastAsia" w:ascii="宋体" w:hAnsi="宋体" w:cs="宋体"/>
                <w:bCs/>
              </w:rPr>
              <w:t>踏勘现场</w:t>
            </w:r>
          </w:p>
        </w:tc>
        <w:tc>
          <w:tcPr>
            <w:tcW w:w="5457" w:type="dxa"/>
            <w:shd w:val="clear" w:color="auto" w:fill="FFFFFF"/>
            <w:vAlign w:val="center"/>
          </w:tcPr>
          <w:p>
            <w:pPr>
              <w:spacing w:line="360" w:lineRule="exact"/>
              <w:rPr>
                <w:rFonts w:ascii="宋体" w:hAnsi="宋体" w:cs="宋体"/>
                <w:bCs/>
              </w:rPr>
            </w:pPr>
            <w:r>
              <w:rPr>
                <w:rFonts w:hint="eastAsia" w:ascii="宋体" w:hAnsi="宋体" w:cs="宋体"/>
                <w:bCs/>
              </w:rPr>
              <w:t>(1)</w:t>
            </w:r>
            <w:r>
              <w:rPr>
                <w:rFonts w:hint="eastAsia" w:ascii="宋体" w:hAnsi="宋体" w:cs="宋体"/>
                <w:bCs/>
              </w:rPr>
              <w:tab/>
            </w:r>
            <w:r>
              <w:rPr>
                <w:rFonts w:hint="eastAsia" w:ascii="宋体" w:hAnsi="宋体" w:cs="宋体"/>
                <w:bCs/>
              </w:rPr>
              <w:t>供应商在认真研究磋商文件中的有关资料和附件后可自行前往项目场地进行踏勘。</w:t>
            </w:r>
          </w:p>
          <w:p>
            <w:pPr>
              <w:spacing w:line="360" w:lineRule="exact"/>
              <w:rPr>
                <w:rFonts w:ascii="宋体" w:hAnsi="宋体" w:cs="宋体"/>
                <w:bCs/>
                <w:w w:val="90"/>
              </w:rPr>
            </w:pPr>
            <w:r>
              <w:rPr>
                <w:rFonts w:hint="eastAsia" w:ascii="宋体" w:hAnsi="宋体" w:cs="宋体"/>
                <w:bCs/>
              </w:rPr>
              <w:t>(2)</w:t>
            </w:r>
            <w:r>
              <w:rPr>
                <w:rFonts w:hint="eastAsia" w:ascii="宋体" w:hAnsi="宋体" w:cs="宋体"/>
                <w:bCs/>
              </w:rPr>
              <w:tab/>
            </w:r>
            <w:r>
              <w:rPr>
                <w:rFonts w:hint="eastAsia" w:ascii="宋体" w:hAnsi="宋体" w:cs="宋体"/>
                <w:bCs/>
              </w:rPr>
              <w:t>供应商须自行验证在磋商文件中由采购人提供的信息和材料，并承担因此发生的一切费用。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984" w:type="dxa"/>
            <w:shd w:val="clear" w:color="auto" w:fill="FFFFFF"/>
            <w:vAlign w:val="center"/>
          </w:tcPr>
          <w:p>
            <w:pPr>
              <w:spacing w:line="360" w:lineRule="exact"/>
              <w:jc w:val="center"/>
              <w:rPr>
                <w:rFonts w:ascii="宋体" w:hAnsi="宋体" w:cs="宋体"/>
                <w:bCs/>
              </w:rPr>
            </w:pPr>
            <w:r>
              <w:rPr>
                <w:rFonts w:hint="eastAsia" w:ascii="宋体" w:hAnsi="宋体" w:cs="宋体"/>
                <w:bCs/>
              </w:rPr>
              <w:t>1</w:t>
            </w:r>
            <w:r>
              <w:rPr>
                <w:rFonts w:ascii="宋体" w:hAnsi="宋体" w:cs="宋体"/>
                <w:bCs/>
              </w:rPr>
              <w:t>7</w:t>
            </w:r>
          </w:p>
        </w:tc>
        <w:tc>
          <w:tcPr>
            <w:tcW w:w="2081" w:type="dxa"/>
            <w:shd w:val="clear" w:color="auto" w:fill="FFFFFF"/>
            <w:vAlign w:val="center"/>
          </w:tcPr>
          <w:p>
            <w:pPr>
              <w:spacing w:line="360" w:lineRule="exact"/>
              <w:rPr>
                <w:rFonts w:ascii="宋体" w:hAnsi="宋体" w:cs="宋体"/>
                <w:bCs/>
              </w:rPr>
            </w:pPr>
            <w:r>
              <w:rPr>
                <w:rFonts w:hint="eastAsia" w:ascii="宋体" w:hAnsi="宋体" w:cs="宋体"/>
                <w:bCs/>
              </w:rPr>
              <w:t>磋商文件获得方式及获取截止时间</w:t>
            </w:r>
          </w:p>
        </w:tc>
        <w:tc>
          <w:tcPr>
            <w:tcW w:w="5457" w:type="dxa"/>
            <w:shd w:val="clear" w:color="auto" w:fill="FFFFFF"/>
            <w:vAlign w:val="center"/>
          </w:tcPr>
          <w:p>
            <w:pPr>
              <w:spacing w:line="360" w:lineRule="exact"/>
              <w:rPr>
                <w:rFonts w:ascii="宋体" w:hAnsi="宋体" w:cs="宋体"/>
                <w:bCs/>
              </w:rPr>
            </w:pPr>
            <w:r>
              <w:rPr>
                <w:rFonts w:hint="eastAsia" w:ascii="宋体" w:hAnsi="宋体" w:cs="宋体"/>
                <w:bCs/>
              </w:rPr>
              <w:t>详见公告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984" w:type="dxa"/>
            <w:shd w:val="clear" w:color="auto" w:fill="FFFFFF"/>
            <w:vAlign w:val="center"/>
          </w:tcPr>
          <w:p>
            <w:pPr>
              <w:spacing w:line="360" w:lineRule="exact"/>
              <w:jc w:val="center"/>
              <w:rPr>
                <w:rFonts w:ascii="宋体" w:hAnsi="宋体" w:cs="宋体"/>
                <w:bCs/>
              </w:rPr>
            </w:pPr>
            <w:r>
              <w:rPr>
                <w:rFonts w:hint="eastAsia" w:ascii="宋体" w:hAnsi="宋体" w:cs="宋体"/>
                <w:bCs/>
              </w:rPr>
              <w:t>1</w:t>
            </w:r>
            <w:r>
              <w:rPr>
                <w:rFonts w:ascii="宋体" w:hAnsi="宋体" w:cs="宋体"/>
                <w:bCs/>
              </w:rPr>
              <w:t>8</w:t>
            </w:r>
          </w:p>
        </w:tc>
        <w:tc>
          <w:tcPr>
            <w:tcW w:w="2081" w:type="dxa"/>
            <w:shd w:val="clear" w:color="auto" w:fill="FFFFFF"/>
            <w:vAlign w:val="center"/>
          </w:tcPr>
          <w:p>
            <w:pPr>
              <w:spacing w:line="360" w:lineRule="exact"/>
              <w:rPr>
                <w:rFonts w:ascii="宋体" w:hAnsi="宋体" w:cs="宋体"/>
                <w:bCs/>
              </w:rPr>
            </w:pPr>
            <w:r>
              <w:rPr>
                <w:rFonts w:hint="eastAsia" w:ascii="宋体" w:hAnsi="宋体" w:cs="宋体"/>
                <w:bCs/>
              </w:rPr>
              <w:t>采购前答疑</w:t>
            </w:r>
          </w:p>
        </w:tc>
        <w:tc>
          <w:tcPr>
            <w:tcW w:w="5457" w:type="dxa"/>
            <w:shd w:val="clear" w:color="auto" w:fill="FFFFFF"/>
            <w:vAlign w:val="center"/>
          </w:tcPr>
          <w:p>
            <w:pPr>
              <w:spacing w:line="360" w:lineRule="exact"/>
              <w:rPr>
                <w:rFonts w:ascii="宋体" w:hAnsi="宋体" w:cs="宋体"/>
                <w:bCs/>
              </w:rPr>
            </w:pPr>
            <w:r>
              <w:rPr>
                <w:rFonts w:hint="eastAsia" w:ascii="宋体" w:hAnsi="宋体" w:cs="宋体"/>
                <w:bCs/>
              </w:rPr>
              <w:t>(1)</w:t>
            </w:r>
            <w:r>
              <w:rPr>
                <w:rFonts w:hint="eastAsia" w:ascii="宋体" w:hAnsi="宋体" w:cs="宋体"/>
                <w:bCs/>
              </w:rPr>
              <w:tab/>
            </w:r>
            <w:r>
              <w:rPr>
                <w:rFonts w:hint="eastAsia" w:ascii="宋体" w:hAnsi="宋体" w:cs="宋体"/>
                <w:bCs/>
              </w:rPr>
              <w:t>供应商须应于提交响应文件的截止时间5日前将需要澄清的问题必须以书面形式传真至采购代理机构。</w:t>
            </w:r>
          </w:p>
          <w:p>
            <w:pPr>
              <w:spacing w:line="360" w:lineRule="exact"/>
              <w:rPr>
                <w:rFonts w:ascii="宋体" w:hAnsi="宋体" w:cs="宋体"/>
                <w:bCs/>
              </w:rPr>
            </w:pPr>
            <w:r>
              <w:rPr>
                <w:rFonts w:hint="eastAsia" w:ascii="宋体" w:hAnsi="宋体" w:cs="宋体"/>
                <w:bCs/>
              </w:rPr>
              <w:t>(2)</w:t>
            </w:r>
            <w:r>
              <w:rPr>
                <w:rFonts w:hint="eastAsia" w:ascii="宋体" w:hAnsi="宋体" w:cs="宋体"/>
                <w:bCs/>
              </w:rPr>
              <w:tab/>
            </w:r>
            <w:r>
              <w:rPr>
                <w:rFonts w:hint="eastAsia" w:ascii="宋体" w:hAnsi="宋体" w:cs="宋体"/>
                <w:bCs/>
              </w:rPr>
              <w:t>采购人及采购代理机构将对磋商文件的相关规定、要求做出澄清，并对供应商提出的澄清要求做出书面答复。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4" w:type="dxa"/>
            <w:shd w:val="clear" w:color="auto" w:fill="FFFFFF"/>
            <w:vAlign w:val="center"/>
          </w:tcPr>
          <w:p>
            <w:pPr>
              <w:spacing w:line="360" w:lineRule="exact"/>
              <w:jc w:val="center"/>
              <w:rPr>
                <w:rFonts w:ascii="宋体" w:hAnsi="宋体" w:cs="宋体"/>
                <w:bCs/>
              </w:rPr>
            </w:pPr>
            <w:r>
              <w:rPr>
                <w:rFonts w:ascii="宋体" w:hAnsi="宋体" w:cs="宋体"/>
                <w:bCs/>
              </w:rPr>
              <w:t>19</w:t>
            </w:r>
          </w:p>
        </w:tc>
        <w:tc>
          <w:tcPr>
            <w:tcW w:w="2081" w:type="dxa"/>
            <w:shd w:val="clear" w:color="auto" w:fill="FFFFFF"/>
            <w:vAlign w:val="center"/>
          </w:tcPr>
          <w:p>
            <w:pPr>
              <w:spacing w:line="360" w:lineRule="exact"/>
              <w:rPr>
                <w:rFonts w:ascii="宋体" w:hAnsi="宋体" w:cs="宋体"/>
                <w:bCs/>
              </w:rPr>
            </w:pPr>
            <w:r>
              <w:rPr>
                <w:rFonts w:hint="eastAsia" w:ascii="宋体" w:hAnsi="宋体" w:cs="宋体"/>
                <w:bCs/>
              </w:rPr>
              <w:t>构成磋商文件</w:t>
            </w:r>
          </w:p>
          <w:p>
            <w:pPr>
              <w:spacing w:line="360" w:lineRule="exact"/>
              <w:rPr>
                <w:rFonts w:ascii="宋体" w:hAnsi="宋体" w:cs="宋体"/>
                <w:bCs/>
              </w:rPr>
            </w:pPr>
            <w:r>
              <w:rPr>
                <w:rFonts w:hint="eastAsia" w:ascii="宋体" w:hAnsi="宋体" w:cs="宋体"/>
                <w:bCs/>
              </w:rPr>
              <w:t>的其他材料</w:t>
            </w:r>
          </w:p>
        </w:tc>
        <w:tc>
          <w:tcPr>
            <w:tcW w:w="5457" w:type="dxa"/>
            <w:shd w:val="clear" w:color="auto" w:fill="FFFFFF"/>
            <w:vAlign w:val="center"/>
          </w:tcPr>
          <w:p>
            <w:pPr>
              <w:spacing w:line="360" w:lineRule="exact"/>
              <w:rPr>
                <w:rFonts w:ascii="宋体" w:hAnsi="宋体" w:cs="宋体"/>
                <w:bCs/>
              </w:rPr>
            </w:pPr>
            <w:r>
              <w:rPr>
                <w:rFonts w:hint="eastAsia" w:ascii="宋体" w:hAnsi="宋体" w:cs="宋体"/>
                <w:bCs/>
              </w:rPr>
              <w:t>答疑文件等相关配套文件（如有）及本项目实施方案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4" w:type="dxa"/>
            <w:shd w:val="clear" w:color="auto" w:fill="FFFFFF"/>
            <w:vAlign w:val="center"/>
          </w:tcPr>
          <w:p>
            <w:pPr>
              <w:spacing w:line="360" w:lineRule="exact"/>
              <w:jc w:val="center"/>
              <w:rPr>
                <w:rFonts w:ascii="宋体" w:hAnsi="宋体" w:cs="宋体"/>
                <w:bCs/>
              </w:rPr>
            </w:pPr>
            <w:r>
              <w:rPr>
                <w:rFonts w:hint="eastAsia" w:ascii="宋体" w:hAnsi="宋体" w:cs="宋体"/>
                <w:bCs/>
              </w:rPr>
              <w:t>2</w:t>
            </w:r>
            <w:r>
              <w:rPr>
                <w:rFonts w:ascii="宋体" w:hAnsi="宋体" w:cs="宋体"/>
                <w:bCs/>
              </w:rPr>
              <w:t>0</w:t>
            </w:r>
          </w:p>
        </w:tc>
        <w:tc>
          <w:tcPr>
            <w:tcW w:w="2081" w:type="dxa"/>
            <w:shd w:val="clear" w:color="auto" w:fill="FFFFFF"/>
            <w:vAlign w:val="center"/>
          </w:tcPr>
          <w:p>
            <w:pPr>
              <w:spacing w:line="360" w:lineRule="exact"/>
              <w:rPr>
                <w:rFonts w:ascii="宋体" w:hAnsi="宋体" w:cs="宋体"/>
                <w:bCs/>
              </w:rPr>
            </w:pPr>
            <w:r>
              <w:rPr>
                <w:rFonts w:hint="eastAsia" w:ascii="宋体" w:hAnsi="宋体" w:cs="宋体"/>
                <w:bCs/>
              </w:rPr>
              <w:t>磋商有效期</w:t>
            </w:r>
          </w:p>
        </w:tc>
        <w:tc>
          <w:tcPr>
            <w:tcW w:w="5457" w:type="dxa"/>
            <w:shd w:val="clear" w:color="auto" w:fill="FFFFFF"/>
            <w:vAlign w:val="center"/>
          </w:tcPr>
          <w:p>
            <w:pPr>
              <w:spacing w:line="360" w:lineRule="exact"/>
              <w:rPr>
                <w:rFonts w:ascii="宋体" w:hAnsi="宋体" w:cs="宋体"/>
                <w:bCs/>
              </w:rPr>
            </w:pPr>
            <w:bookmarkStart w:id="56" w:name="_Toc220319100"/>
            <w:r>
              <w:rPr>
                <w:rFonts w:ascii="宋体" w:hAnsi="宋体" w:cs="宋体"/>
                <w:bCs/>
              </w:rPr>
              <w:t>90个</w:t>
            </w:r>
            <w:r>
              <w:rPr>
                <w:rFonts w:hint="eastAsia" w:ascii="宋体" w:hAnsi="宋体" w:cs="宋体"/>
                <w:bCs/>
              </w:rPr>
              <w:t>日历天（从磋商截止之日算起）</w:t>
            </w:r>
            <w:bookmarkEnd w:id="5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984" w:type="dxa"/>
            <w:shd w:val="clear" w:color="auto" w:fill="FFFFFF"/>
            <w:vAlign w:val="center"/>
          </w:tcPr>
          <w:p>
            <w:pPr>
              <w:spacing w:line="360" w:lineRule="exact"/>
              <w:jc w:val="center"/>
              <w:rPr>
                <w:rFonts w:ascii="宋体" w:hAnsi="宋体" w:cs="宋体"/>
                <w:bCs/>
              </w:rPr>
            </w:pPr>
            <w:r>
              <w:rPr>
                <w:rFonts w:hint="eastAsia" w:ascii="宋体" w:hAnsi="宋体" w:cs="宋体"/>
                <w:bCs/>
              </w:rPr>
              <w:t>2</w:t>
            </w:r>
            <w:r>
              <w:rPr>
                <w:rFonts w:ascii="宋体" w:hAnsi="宋体" w:cs="宋体"/>
                <w:bCs/>
              </w:rPr>
              <w:t>1</w:t>
            </w:r>
          </w:p>
        </w:tc>
        <w:tc>
          <w:tcPr>
            <w:tcW w:w="2081" w:type="dxa"/>
            <w:shd w:val="clear" w:color="auto" w:fill="FFFFFF"/>
            <w:vAlign w:val="center"/>
          </w:tcPr>
          <w:p>
            <w:pPr>
              <w:spacing w:line="360" w:lineRule="exact"/>
              <w:rPr>
                <w:rFonts w:ascii="宋体" w:hAnsi="宋体" w:cs="宋体"/>
                <w:bCs/>
              </w:rPr>
            </w:pPr>
            <w:r>
              <w:rPr>
                <w:rFonts w:hint="eastAsia" w:ascii="宋体" w:hAnsi="宋体" w:cs="宋体"/>
                <w:bCs/>
              </w:rPr>
              <w:t>响应文件的递交</w:t>
            </w:r>
          </w:p>
          <w:p>
            <w:pPr>
              <w:spacing w:line="360" w:lineRule="exact"/>
              <w:rPr>
                <w:rFonts w:ascii="宋体" w:hAnsi="宋体" w:cs="宋体"/>
                <w:bCs/>
              </w:rPr>
            </w:pPr>
          </w:p>
        </w:tc>
        <w:tc>
          <w:tcPr>
            <w:tcW w:w="5457" w:type="dxa"/>
            <w:shd w:val="clear" w:color="auto" w:fill="FFFFFF"/>
          </w:tcPr>
          <w:p>
            <w:pPr>
              <w:spacing w:line="360" w:lineRule="exact"/>
              <w:rPr>
                <w:rFonts w:ascii="宋体" w:hAnsi="宋体" w:cs="宋体"/>
                <w:bCs/>
              </w:rPr>
            </w:pPr>
            <w:r>
              <w:rPr>
                <w:rFonts w:hint="eastAsia" w:ascii="宋体" w:hAnsi="宋体" w:cs="宋体"/>
                <w:bCs/>
              </w:rPr>
              <w:t>本项目响应文件由资格审查文件、资信商务及技术文件、报价文件三部分组成。供应商应按以下方式递交响应文件：</w:t>
            </w:r>
          </w:p>
          <w:p>
            <w:pPr>
              <w:spacing w:line="360" w:lineRule="exact"/>
              <w:rPr>
                <w:rFonts w:ascii="宋体" w:hAnsi="宋体" w:cs="宋体"/>
                <w:bCs/>
              </w:rPr>
            </w:pPr>
            <w:r>
              <w:rPr>
                <w:rFonts w:hint="eastAsia" w:ascii="宋体" w:hAnsi="宋体" w:cs="宋体"/>
                <w:bCs/>
              </w:rPr>
              <w:t>▲1、本项目实行“网上磋商、电子评标”，供应商应于磋商截止时间前在“政采云”（电子交易平台）上传输、递交电子版响应文件（包括资格审查文件、资信商务及技术文件、报价文件）；</w:t>
            </w:r>
          </w:p>
          <w:p>
            <w:pPr>
              <w:spacing w:line="360" w:lineRule="exact"/>
              <w:rPr>
                <w:rFonts w:ascii="宋体" w:hAnsi="宋体" w:cs="宋体"/>
                <w:bCs/>
              </w:rPr>
            </w:pPr>
            <w:r>
              <w:rPr>
                <w:rFonts w:hint="eastAsia" w:ascii="宋体" w:hAnsi="宋体" w:cs="宋体"/>
                <w:bCs/>
              </w:rPr>
              <w:t>2、为了避免由于电子交易平台无法正常运行等技术、安全故障原因造成响应文件无法解密或解密失败，导致磋商无效的情况，供应商可以在磋商截止时间前将电子备份响应文件（经政采云电子交易客户端和CA驱动制作出的后缀名为“bfbs”的电子备份响应文件）发送至邮箱961424781@qq.com，逾期发送或发错后缀名的备份响应文件将被视为无效；</w:t>
            </w:r>
          </w:p>
          <w:p>
            <w:pPr>
              <w:spacing w:line="360" w:lineRule="exact"/>
              <w:rPr>
                <w:rFonts w:ascii="宋体" w:hAnsi="宋体" w:cs="宋体"/>
                <w:bCs/>
              </w:rPr>
            </w:pPr>
            <w:r>
              <w:rPr>
                <w:rFonts w:hint="eastAsia" w:ascii="宋体" w:hAnsi="宋体" w:cs="宋体"/>
                <w:bCs/>
              </w:rPr>
              <w:t>3、供应商仅提交电子备份响应文件的，磋商无效；</w:t>
            </w:r>
          </w:p>
          <w:p>
            <w:pPr>
              <w:spacing w:line="360" w:lineRule="exact"/>
              <w:rPr>
                <w:rFonts w:ascii="宋体" w:hAnsi="宋体" w:cs="宋体"/>
                <w:bCs/>
              </w:rPr>
            </w:pPr>
            <w:r>
              <w:rPr>
                <w:rFonts w:hint="eastAsia" w:ascii="宋体" w:hAnsi="宋体" w:cs="宋体"/>
                <w:bCs/>
              </w:rPr>
              <w:t>4、本项目不强制供应商提交电子备份响应文件；如在开评标时出现电子响应文件无法解密或解密失败等情况，因供应商未提供电子备份响应文件而造成磋商无效等一切后果和风险由供应商自行承担。</w:t>
            </w:r>
          </w:p>
          <w:p>
            <w:pPr>
              <w:spacing w:line="360" w:lineRule="exact"/>
              <w:rPr>
                <w:rFonts w:ascii="宋体" w:hAnsi="宋体" w:cs="宋体"/>
                <w:bCs/>
              </w:rPr>
            </w:pPr>
            <w:r>
              <w:rPr>
                <w:rFonts w:hint="eastAsia" w:ascii="宋体" w:hAnsi="宋体" w:cs="宋体"/>
                <w:bCs/>
              </w:rPr>
              <w:t>5、中标方应在领取中标通知书前，向金华市公共资源交易中心东阳分中心提供与电子响应文件一致的纸质响应文件（一正四副）。</w:t>
            </w:r>
          </w:p>
          <w:p>
            <w:pPr>
              <w:spacing w:line="360" w:lineRule="exact"/>
              <w:rPr>
                <w:rFonts w:ascii="宋体" w:hAnsi="宋体" w:cs="宋体"/>
                <w:bCs/>
              </w:rPr>
            </w:pPr>
            <w:r>
              <w:rPr>
                <w:rFonts w:hint="eastAsia" w:ascii="宋体" w:hAnsi="宋体" w:cs="宋体"/>
                <w:bCs/>
              </w:rPr>
              <w:t>（收件人：徐女士、贾女士   电话：0579-86691535</w:t>
            </w:r>
          </w:p>
          <w:p>
            <w:pPr>
              <w:spacing w:line="360" w:lineRule="exact"/>
              <w:rPr>
                <w:rFonts w:ascii="宋体" w:hAnsi="宋体" w:cs="宋体"/>
                <w:bCs/>
              </w:rPr>
            </w:pPr>
            <w:r>
              <w:rPr>
                <w:rFonts w:hint="eastAsia" w:ascii="宋体" w:hAnsi="宋体" w:cs="宋体"/>
                <w:bCs/>
              </w:rPr>
              <w:t>收件单位: 金华市公共资源交易中心东阳分中心</w:t>
            </w:r>
          </w:p>
          <w:p>
            <w:pPr>
              <w:spacing w:line="360" w:lineRule="exact"/>
              <w:rPr>
                <w:rFonts w:ascii="宋体" w:hAnsi="宋体" w:cs="宋体"/>
                <w:bCs/>
              </w:rPr>
            </w:pPr>
            <w:r>
              <w:rPr>
                <w:rFonts w:hint="eastAsia" w:ascii="宋体" w:hAnsi="宋体" w:cs="宋体"/>
                <w:bCs/>
              </w:rPr>
              <w:t>收件地址：东阳市艺海北路388号B幢西区14楼办事大厅）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4" w:type="dxa"/>
            <w:shd w:val="clear" w:color="auto" w:fill="FFFFFF"/>
            <w:vAlign w:val="center"/>
          </w:tcPr>
          <w:p>
            <w:pPr>
              <w:spacing w:line="360" w:lineRule="exact"/>
              <w:jc w:val="center"/>
              <w:rPr>
                <w:rFonts w:ascii="宋体" w:hAnsi="宋体" w:cs="宋体"/>
                <w:bCs/>
              </w:rPr>
            </w:pPr>
            <w:r>
              <w:rPr>
                <w:rFonts w:hint="eastAsia" w:ascii="宋体" w:hAnsi="宋体" w:cs="宋体"/>
                <w:bCs/>
              </w:rPr>
              <w:t>2</w:t>
            </w:r>
            <w:r>
              <w:rPr>
                <w:rFonts w:ascii="宋体" w:hAnsi="宋体" w:cs="宋体"/>
                <w:bCs/>
              </w:rPr>
              <w:t>2</w:t>
            </w:r>
          </w:p>
        </w:tc>
        <w:tc>
          <w:tcPr>
            <w:tcW w:w="2081" w:type="dxa"/>
            <w:shd w:val="clear" w:color="auto" w:fill="FFFFFF"/>
            <w:vAlign w:val="center"/>
          </w:tcPr>
          <w:p>
            <w:pPr>
              <w:spacing w:line="360" w:lineRule="exact"/>
              <w:rPr>
                <w:rFonts w:ascii="宋体" w:hAnsi="宋体" w:cs="宋体"/>
                <w:bCs/>
                <w:highlight w:val="none"/>
              </w:rPr>
            </w:pPr>
            <w:r>
              <w:rPr>
                <w:rFonts w:hint="eastAsia" w:ascii="宋体" w:hAnsi="宋体" w:cs="宋体"/>
                <w:bCs/>
                <w:highlight w:val="none"/>
              </w:rPr>
              <w:t>截止时间</w:t>
            </w:r>
          </w:p>
        </w:tc>
        <w:tc>
          <w:tcPr>
            <w:tcW w:w="5457" w:type="dxa"/>
            <w:shd w:val="clear" w:color="auto" w:fill="FFFFFF"/>
            <w:vAlign w:val="center"/>
          </w:tcPr>
          <w:p>
            <w:pPr>
              <w:spacing w:line="360" w:lineRule="exact"/>
              <w:rPr>
                <w:rFonts w:ascii="宋体" w:hAnsi="宋体" w:cs="宋体"/>
                <w:bCs/>
                <w:szCs w:val="21"/>
                <w:highlight w:val="none"/>
              </w:rPr>
            </w:pPr>
            <w:r>
              <w:rPr>
                <w:rFonts w:hint="eastAsia" w:ascii="宋体" w:hAnsi="宋体" w:cs="宋体"/>
                <w:bCs/>
                <w:szCs w:val="21"/>
                <w:highlight w:val="none"/>
              </w:rPr>
              <w:t>供应商应当在</w:t>
            </w:r>
            <w:r>
              <w:rPr>
                <w:rFonts w:hint="eastAsia" w:ascii="宋体" w:hAnsi="宋体" w:cs="宋体"/>
                <w:bCs/>
                <w:highlight w:val="none"/>
              </w:rPr>
              <w:t>2021年2月4日上午9点30分</w:t>
            </w:r>
            <w:r>
              <w:rPr>
                <w:rFonts w:hint="eastAsia" w:ascii="宋体" w:hAnsi="宋体" w:cs="宋体"/>
                <w:bCs/>
                <w:szCs w:val="21"/>
                <w:highlight w:val="none"/>
              </w:rPr>
              <w:t>前在“政采云”（电子交易平台）上自行上传加密的电子响应文件。磋商截止时间后递交的电子响应文件，将被政采云平台拒收。</w:t>
            </w:r>
          </w:p>
          <w:p>
            <w:pPr>
              <w:spacing w:line="360" w:lineRule="exact"/>
              <w:ind w:left="0" w:leftChars="0" w:firstLine="0" w:firstLineChars="0"/>
              <w:jc w:val="left"/>
              <w:rPr>
                <w:rFonts w:ascii="宋体" w:hAnsi="宋体" w:cs="宋体"/>
                <w:bCs/>
                <w:highlight w:val="none"/>
              </w:rPr>
            </w:pPr>
            <w:r>
              <w:rPr>
                <w:rFonts w:hint="eastAsia" w:ascii="宋体" w:hAnsi="宋体" w:cs="宋体"/>
                <w:bCs/>
                <w:szCs w:val="21"/>
                <w:highlight w:val="none"/>
              </w:rPr>
              <w:t>电子备份响应文件的递交时间：供应商应当在</w:t>
            </w:r>
            <w:r>
              <w:rPr>
                <w:rFonts w:hint="eastAsia" w:ascii="宋体" w:hAnsi="宋体" w:cs="宋体"/>
                <w:bCs/>
                <w:highlight w:val="none"/>
              </w:rPr>
              <w:t>2021年2</w:t>
            </w:r>
            <w:bookmarkStart w:id="189" w:name="_GoBack"/>
            <w:bookmarkEnd w:id="189"/>
            <w:r>
              <w:rPr>
                <w:rFonts w:hint="eastAsia" w:ascii="宋体" w:hAnsi="宋体" w:cs="宋体"/>
                <w:bCs/>
                <w:highlight w:val="none"/>
              </w:rPr>
              <w:t>月4日上午9点30分</w:t>
            </w:r>
            <w:r>
              <w:rPr>
                <w:rFonts w:hint="eastAsia" w:ascii="宋体" w:hAnsi="宋体" w:cs="宋体"/>
                <w:bCs/>
                <w:szCs w:val="21"/>
                <w:highlight w:val="none"/>
              </w:rPr>
              <w:t>前，逾期未递交的视为自动放弃。</w:t>
            </w:r>
          </w:p>
          <w:p>
            <w:pPr>
              <w:spacing w:line="360" w:lineRule="exact"/>
              <w:rPr>
                <w:rFonts w:ascii="宋体" w:hAnsi="宋体" w:cs="宋体"/>
                <w:bCs/>
                <w:szCs w:val="21"/>
                <w:highlight w:val="none"/>
              </w:rPr>
            </w:pPr>
            <w:r>
              <w:rPr>
                <w:rFonts w:hint="eastAsia" w:ascii="宋体" w:hAnsi="宋体" w:cs="宋体"/>
                <w:bCs/>
                <w:szCs w:val="21"/>
                <w:highlight w:val="none"/>
              </w:rPr>
              <w:t>开标时间：</w:t>
            </w:r>
            <w:r>
              <w:rPr>
                <w:rFonts w:hint="eastAsia" w:ascii="宋体" w:hAnsi="宋体" w:cs="宋体"/>
                <w:bCs/>
                <w:highlight w:val="none"/>
              </w:rPr>
              <w:t>2021年2月4日上午9点30分</w:t>
            </w:r>
          </w:p>
          <w:p>
            <w:pPr>
              <w:spacing w:line="360" w:lineRule="exact"/>
              <w:rPr>
                <w:rFonts w:ascii="宋体" w:hAnsi="宋体" w:cs="宋体"/>
                <w:bCs/>
                <w:szCs w:val="21"/>
                <w:highlight w:val="none"/>
              </w:rPr>
            </w:pPr>
            <w:r>
              <w:rPr>
                <w:rFonts w:hint="eastAsia" w:ascii="宋体" w:hAnsi="宋体" w:cs="宋体"/>
                <w:bCs/>
                <w:szCs w:val="21"/>
                <w:highlight w:val="none"/>
              </w:rPr>
              <w:t>截止开标时间，政采云（电子交易平台）自动提取所有响应文件，供应商须在开标时间截止后</w:t>
            </w:r>
            <w:r>
              <w:rPr>
                <w:rFonts w:ascii="宋体" w:hAnsi="宋体" w:cs="宋体"/>
                <w:bCs/>
                <w:szCs w:val="21"/>
                <w:highlight w:val="none"/>
              </w:rPr>
              <w:t>30</w:t>
            </w:r>
            <w:r>
              <w:rPr>
                <w:rFonts w:hint="eastAsia" w:ascii="宋体" w:hAnsi="宋体" w:cs="宋体"/>
                <w:bCs/>
                <w:szCs w:val="21"/>
                <w:highlight w:val="none"/>
              </w:rPr>
              <w:t xml:space="preserve">分钟内对上传政采云的响应文件进行解密，所有供应商在规定的解密时限内解密完成或解密时限到后，采购代理机构开启响应文件；供应商超过解密时限的，系统默认自动放弃。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84" w:type="dxa"/>
            <w:shd w:val="clear" w:color="auto" w:fill="FFFFFF"/>
            <w:vAlign w:val="center"/>
          </w:tcPr>
          <w:p>
            <w:pPr>
              <w:spacing w:line="360" w:lineRule="exact"/>
              <w:jc w:val="center"/>
              <w:rPr>
                <w:rFonts w:ascii="宋体" w:hAnsi="宋体" w:cs="宋体"/>
                <w:bCs/>
              </w:rPr>
            </w:pPr>
            <w:r>
              <w:rPr>
                <w:rFonts w:hint="eastAsia" w:ascii="宋体" w:hAnsi="宋体" w:cs="宋体"/>
                <w:bCs/>
              </w:rPr>
              <w:t>2</w:t>
            </w:r>
            <w:r>
              <w:rPr>
                <w:rFonts w:ascii="宋体" w:hAnsi="宋体" w:cs="宋体"/>
                <w:bCs/>
              </w:rPr>
              <w:t>3</w:t>
            </w:r>
          </w:p>
        </w:tc>
        <w:tc>
          <w:tcPr>
            <w:tcW w:w="2081" w:type="dxa"/>
            <w:shd w:val="clear" w:color="auto" w:fill="FFFFFF"/>
            <w:vAlign w:val="center"/>
          </w:tcPr>
          <w:p>
            <w:pPr>
              <w:spacing w:line="360" w:lineRule="exact"/>
              <w:rPr>
                <w:rFonts w:ascii="宋体" w:hAnsi="宋体" w:cs="宋体"/>
                <w:bCs/>
              </w:rPr>
            </w:pPr>
            <w:r>
              <w:rPr>
                <w:rFonts w:hint="eastAsia" w:ascii="宋体" w:hAnsi="宋体" w:cs="宋体"/>
                <w:bCs/>
              </w:rPr>
              <w:t>签字或盖章</w:t>
            </w:r>
          </w:p>
        </w:tc>
        <w:tc>
          <w:tcPr>
            <w:tcW w:w="5457" w:type="dxa"/>
            <w:shd w:val="clear" w:color="auto" w:fill="FFFFFF"/>
            <w:vAlign w:val="center"/>
          </w:tcPr>
          <w:p>
            <w:pPr>
              <w:spacing w:line="360" w:lineRule="exact"/>
              <w:rPr>
                <w:rFonts w:ascii="宋体" w:hAnsi="宋体" w:cs="宋体"/>
                <w:bCs/>
                <w:szCs w:val="21"/>
              </w:rPr>
            </w:pPr>
            <w:r>
              <w:rPr>
                <w:rFonts w:hint="eastAsia" w:ascii="宋体" w:hAnsi="宋体" w:cs="宋体"/>
                <w:bCs/>
                <w:szCs w:val="21"/>
              </w:rPr>
              <w:t>磋商文件中注明需要签字或盖章的位置，供应商应在电子响应文件中盖电子签章；格式中需要负责人、法定代表人或委托代理人等签字或盖章的位置，供应商无法通过电子签章实现的，可以采用纸质签字或盖章完成后再扫描上传政采云平台电子磋商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4" w:type="dxa"/>
            <w:shd w:val="clear" w:color="auto" w:fill="FFFFFF"/>
            <w:vAlign w:val="center"/>
          </w:tcPr>
          <w:p>
            <w:pPr>
              <w:spacing w:line="360" w:lineRule="exact"/>
              <w:jc w:val="center"/>
              <w:rPr>
                <w:rFonts w:ascii="宋体" w:hAnsi="宋体" w:cs="宋体"/>
                <w:bCs/>
              </w:rPr>
            </w:pPr>
            <w:r>
              <w:rPr>
                <w:rFonts w:hint="eastAsia" w:ascii="宋体" w:hAnsi="宋体" w:cs="宋体"/>
                <w:bCs/>
              </w:rPr>
              <w:t>2</w:t>
            </w:r>
            <w:r>
              <w:rPr>
                <w:rFonts w:ascii="宋体" w:hAnsi="宋体" w:cs="宋体"/>
                <w:bCs/>
              </w:rPr>
              <w:t>4</w:t>
            </w:r>
          </w:p>
        </w:tc>
        <w:tc>
          <w:tcPr>
            <w:tcW w:w="2081" w:type="dxa"/>
            <w:shd w:val="clear" w:color="auto" w:fill="FFFFFF"/>
            <w:vAlign w:val="center"/>
          </w:tcPr>
          <w:p>
            <w:pPr>
              <w:spacing w:line="360" w:lineRule="exact"/>
              <w:rPr>
                <w:rFonts w:ascii="宋体" w:hAnsi="宋体" w:cs="宋体"/>
                <w:bCs/>
              </w:rPr>
            </w:pPr>
            <w:r>
              <w:rPr>
                <w:rFonts w:hint="eastAsia" w:ascii="宋体" w:hAnsi="宋体" w:cs="宋体"/>
                <w:bCs/>
              </w:rPr>
              <w:t>磋商小组的组建</w:t>
            </w:r>
          </w:p>
        </w:tc>
        <w:tc>
          <w:tcPr>
            <w:tcW w:w="5457" w:type="dxa"/>
            <w:shd w:val="clear" w:color="auto" w:fill="FFFFFF"/>
            <w:vAlign w:val="center"/>
          </w:tcPr>
          <w:p>
            <w:pPr>
              <w:spacing w:line="360" w:lineRule="exact"/>
              <w:rPr>
                <w:rFonts w:ascii="宋体" w:hAnsi="宋体" w:cs="宋体"/>
                <w:bCs/>
              </w:rPr>
            </w:pPr>
            <w:r>
              <w:rPr>
                <w:rFonts w:hint="eastAsia" w:ascii="宋体" w:hAnsi="宋体" w:cs="宋体"/>
                <w:bCs/>
              </w:rPr>
              <w:t>磋商小组共7人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984" w:type="dxa"/>
            <w:shd w:val="clear" w:color="auto" w:fill="FFFFFF"/>
            <w:vAlign w:val="center"/>
          </w:tcPr>
          <w:p>
            <w:pPr>
              <w:spacing w:line="360" w:lineRule="exact"/>
              <w:jc w:val="center"/>
              <w:rPr>
                <w:rFonts w:ascii="宋体" w:hAnsi="宋体" w:cs="宋体"/>
                <w:bCs/>
              </w:rPr>
            </w:pPr>
            <w:r>
              <w:rPr>
                <w:rFonts w:ascii="宋体" w:hAnsi="宋体" w:cs="宋体"/>
                <w:bCs/>
              </w:rPr>
              <w:t>25</w:t>
            </w:r>
          </w:p>
        </w:tc>
        <w:tc>
          <w:tcPr>
            <w:tcW w:w="2081" w:type="dxa"/>
            <w:shd w:val="clear" w:color="auto" w:fill="FFFFFF"/>
            <w:vAlign w:val="center"/>
          </w:tcPr>
          <w:p>
            <w:pPr>
              <w:spacing w:line="360" w:lineRule="exact"/>
              <w:rPr>
                <w:rFonts w:ascii="宋体" w:hAnsi="宋体" w:cs="宋体"/>
                <w:bCs/>
              </w:rPr>
            </w:pPr>
            <w:r>
              <w:rPr>
                <w:rFonts w:hint="eastAsia" w:ascii="宋体" w:hAnsi="宋体" w:cs="宋体"/>
                <w:bCs/>
              </w:rPr>
              <w:t>评分办法</w:t>
            </w:r>
          </w:p>
        </w:tc>
        <w:tc>
          <w:tcPr>
            <w:tcW w:w="5457" w:type="dxa"/>
            <w:shd w:val="clear" w:color="auto" w:fill="FFFFFF"/>
            <w:vAlign w:val="center"/>
          </w:tcPr>
          <w:p>
            <w:pPr>
              <w:spacing w:line="360" w:lineRule="exact"/>
              <w:rPr>
                <w:rFonts w:ascii="宋体" w:hAnsi="宋体" w:cs="宋体"/>
                <w:bCs/>
              </w:rPr>
            </w:pPr>
            <w:r>
              <w:rPr>
                <w:rFonts w:hint="eastAsia" w:ascii="宋体" w:hAnsi="宋体" w:cs="宋体"/>
                <w:bCs/>
              </w:rPr>
              <w:t>综合评分法，其中报价分为两轮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4" w:type="dxa"/>
            <w:shd w:val="clear" w:color="auto" w:fill="FFFFFF"/>
            <w:vAlign w:val="center"/>
          </w:tcPr>
          <w:p>
            <w:pPr>
              <w:spacing w:line="360" w:lineRule="exact"/>
              <w:jc w:val="center"/>
              <w:rPr>
                <w:rFonts w:ascii="宋体" w:hAnsi="宋体" w:cs="宋体"/>
                <w:bCs/>
              </w:rPr>
            </w:pPr>
            <w:r>
              <w:rPr>
                <w:rFonts w:ascii="宋体" w:hAnsi="宋体" w:cs="宋体"/>
                <w:bCs/>
              </w:rPr>
              <w:t>26</w:t>
            </w:r>
          </w:p>
        </w:tc>
        <w:tc>
          <w:tcPr>
            <w:tcW w:w="2081" w:type="dxa"/>
            <w:shd w:val="clear" w:color="auto" w:fill="FFFFFF"/>
            <w:vAlign w:val="center"/>
          </w:tcPr>
          <w:p>
            <w:pPr>
              <w:spacing w:line="360" w:lineRule="exact"/>
              <w:rPr>
                <w:rFonts w:ascii="宋体" w:hAnsi="宋体" w:cs="宋体"/>
                <w:bCs/>
              </w:rPr>
            </w:pPr>
            <w:r>
              <w:rPr>
                <w:rFonts w:hint="eastAsia" w:ascii="宋体" w:hAnsi="宋体" w:cs="宋体"/>
                <w:bCs/>
              </w:rPr>
              <w:t>成交供应商</w:t>
            </w:r>
          </w:p>
        </w:tc>
        <w:tc>
          <w:tcPr>
            <w:tcW w:w="5457" w:type="dxa"/>
            <w:shd w:val="clear" w:color="auto" w:fill="FFFFFF"/>
            <w:vAlign w:val="center"/>
          </w:tcPr>
          <w:p>
            <w:pPr>
              <w:spacing w:line="360" w:lineRule="exact"/>
              <w:rPr>
                <w:rFonts w:ascii="宋体" w:hAnsi="宋体" w:cs="宋体"/>
                <w:bCs/>
              </w:rPr>
            </w:pPr>
            <w:r>
              <w:rPr>
                <w:rFonts w:hint="eastAsia" w:ascii="宋体" w:hAnsi="宋体" w:cs="宋体"/>
                <w:bCs/>
              </w:rPr>
              <w:t>采购人按规定成立采购结果确认谈判工作组。采购结果确认谈判工作组按照评审报告推荐的成交候选供应商排名，依次与成交候选供应商就项目合同中可变的细节问题进行项目合同签署前的确认谈判，率先达成一致的成交候选供应商即为预成交供应商；并与预成交供应商签署确认谈判备忘录，经公示期满无异议的，为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4" w:type="dxa"/>
            <w:shd w:val="clear" w:color="auto" w:fill="FFFFFF"/>
            <w:vAlign w:val="center"/>
          </w:tcPr>
          <w:p>
            <w:pPr>
              <w:spacing w:line="360" w:lineRule="exact"/>
              <w:jc w:val="center"/>
              <w:rPr>
                <w:rFonts w:ascii="宋体" w:hAnsi="宋体" w:cs="宋体"/>
                <w:bCs/>
              </w:rPr>
            </w:pPr>
            <w:r>
              <w:rPr>
                <w:rFonts w:hint="eastAsia" w:ascii="宋体" w:hAnsi="宋体" w:cs="宋体"/>
                <w:bCs/>
              </w:rPr>
              <w:t>2</w:t>
            </w:r>
            <w:r>
              <w:rPr>
                <w:rFonts w:ascii="宋体" w:hAnsi="宋体" w:cs="宋体"/>
                <w:bCs/>
              </w:rPr>
              <w:t>7</w:t>
            </w:r>
          </w:p>
        </w:tc>
        <w:tc>
          <w:tcPr>
            <w:tcW w:w="2081" w:type="dxa"/>
            <w:shd w:val="clear" w:color="auto" w:fill="FFFFFF"/>
            <w:vAlign w:val="center"/>
          </w:tcPr>
          <w:p>
            <w:pPr>
              <w:spacing w:line="360" w:lineRule="exact"/>
              <w:rPr>
                <w:rFonts w:ascii="宋体" w:hAnsi="宋体" w:cs="宋体"/>
                <w:bCs/>
              </w:rPr>
            </w:pPr>
            <w:r>
              <w:rPr>
                <w:rFonts w:hint="eastAsia" w:ascii="宋体" w:hAnsi="宋体" w:cs="宋体"/>
                <w:bCs/>
              </w:rPr>
              <w:t>政采贷</w:t>
            </w:r>
          </w:p>
        </w:tc>
        <w:tc>
          <w:tcPr>
            <w:tcW w:w="5457" w:type="dxa"/>
            <w:shd w:val="clear" w:color="auto" w:fill="FFFFFF"/>
            <w:vAlign w:val="center"/>
          </w:tcPr>
          <w:p>
            <w:pPr>
              <w:spacing w:line="360" w:lineRule="exact"/>
              <w:rPr>
                <w:rFonts w:ascii="宋体" w:hAnsi="宋体" w:cs="宋体"/>
                <w:bCs/>
              </w:rPr>
            </w:pPr>
            <w:r>
              <w:rPr>
                <w:rFonts w:hint="eastAsia" w:ascii="宋体" w:hAnsi="宋体" w:cs="宋体"/>
                <w:bCs/>
              </w:rPr>
              <w:t>本采购项目，中标单位与采购单位签订的政府采购合同适用于政府采购贷款政策，简称“政采贷”，具体内容详见附件十二《政府采购支持中小企业信用融资相关事项通知》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4" w:type="dxa"/>
            <w:shd w:val="clear" w:color="auto" w:fill="FFFFFF"/>
            <w:vAlign w:val="center"/>
          </w:tcPr>
          <w:p>
            <w:pPr>
              <w:spacing w:line="360" w:lineRule="exact"/>
              <w:jc w:val="center"/>
              <w:rPr>
                <w:rFonts w:ascii="宋体" w:hAnsi="宋体" w:cs="宋体"/>
                <w:bCs/>
              </w:rPr>
            </w:pPr>
            <w:r>
              <w:rPr>
                <w:rFonts w:ascii="宋体" w:hAnsi="宋体" w:cs="宋体"/>
                <w:bCs/>
              </w:rPr>
              <w:t>27</w:t>
            </w:r>
          </w:p>
        </w:tc>
        <w:tc>
          <w:tcPr>
            <w:tcW w:w="2081" w:type="dxa"/>
            <w:shd w:val="clear" w:color="auto" w:fill="FFFFFF"/>
            <w:vAlign w:val="center"/>
          </w:tcPr>
          <w:p>
            <w:pPr>
              <w:spacing w:line="360" w:lineRule="exact"/>
              <w:rPr>
                <w:rFonts w:ascii="宋体" w:hAnsi="宋体" w:cs="宋体"/>
                <w:bCs/>
              </w:rPr>
            </w:pPr>
            <w:r>
              <w:rPr>
                <w:rFonts w:hint="eastAsia" w:ascii="宋体" w:hAnsi="宋体" w:cs="宋体"/>
                <w:bCs/>
              </w:rPr>
              <w:t>补充条款</w:t>
            </w:r>
          </w:p>
        </w:tc>
        <w:tc>
          <w:tcPr>
            <w:tcW w:w="5457" w:type="dxa"/>
            <w:shd w:val="clear" w:color="auto" w:fill="FFFFFF"/>
          </w:tcPr>
          <w:p>
            <w:pPr>
              <w:spacing w:line="360" w:lineRule="exact"/>
              <w:rPr>
                <w:rFonts w:ascii="宋体" w:hAnsi="宋体" w:cs="宋体"/>
                <w:bCs/>
              </w:rPr>
            </w:pPr>
            <w:r>
              <w:rPr>
                <w:rFonts w:hint="eastAsia" w:ascii="宋体" w:hAnsi="宋体" w:cs="宋体"/>
                <w:bCs/>
              </w:rPr>
              <w:t>采购人对本磋商文件有最终解释权。</w:t>
            </w:r>
          </w:p>
        </w:tc>
      </w:tr>
    </w:tbl>
    <w:p>
      <w:pPr>
        <w:spacing w:line="360" w:lineRule="exact"/>
        <w:rPr>
          <w:rFonts w:ascii="宋体" w:hAnsi="宋体" w:cs="宋体"/>
          <w:bCs/>
        </w:rPr>
      </w:pPr>
      <w:r>
        <w:rPr>
          <w:rFonts w:hint="eastAsia" w:ascii="宋体" w:hAnsi="宋体" w:cs="宋体"/>
          <w:bCs/>
        </w:rPr>
        <w:t>注：供应商应仔细阅读本磋商文件，并在响应文件中完全响应磋商文件的所有要求。供应商一旦参加本项目磋商，即视作对本磋商文件已经仔细研读，完全清楚磋商文件各项要求。</w:t>
      </w:r>
    </w:p>
    <w:p>
      <w:pPr>
        <w:pStyle w:val="4"/>
        <w:spacing w:line="360" w:lineRule="auto"/>
        <w:rPr>
          <w:rFonts w:ascii="宋体" w:hAnsi="宋体" w:cs="宋体"/>
        </w:rPr>
      </w:pPr>
      <w:r>
        <w:rPr>
          <w:rFonts w:hint="eastAsia" w:ascii="宋体" w:hAnsi="宋体" w:cs="宋体"/>
          <w:bCs w:val="0"/>
        </w:rPr>
        <w:br w:type="page"/>
      </w:r>
      <w:bookmarkStart w:id="57" w:name="_Toc59530115"/>
      <w:r>
        <w:rPr>
          <w:rFonts w:hint="eastAsia" w:ascii="宋体" w:hAnsi="宋体"/>
          <w:sz w:val="24"/>
          <w:szCs w:val="24"/>
        </w:rPr>
        <w:t>一   总则</w:t>
      </w:r>
      <w:bookmarkEnd w:id="57"/>
    </w:p>
    <w:p>
      <w:pPr>
        <w:pStyle w:val="5"/>
        <w:rPr>
          <w:rFonts w:ascii="宋体" w:hAnsi="宋体" w:cs="宋体"/>
        </w:rPr>
      </w:pPr>
      <w:bookmarkStart w:id="58" w:name="_Toc59530116"/>
      <w:r>
        <w:rPr>
          <w:rFonts w:hint="eastAsia"/>
        </w:rPr>
        <w:t>1. 适用范围</w:t>
      </w:r>
      <w:bookmarkEnd w:id="58"/>
    </w:p>
    <w:p>
      <w:pPr>
        <w:spacing w:line="360" w:lineRule="auto"/>
        <w:ind w:firstLine="525" w:firstLineChars="250"/>
        <w:rPr>
          <w:rFonts w:ascii="宋体" w:hAnsi="宋体" w:cs="宋体"/>
          <w:bCs/>
        </w:rPr>
      </w:pPr>
      <w:r>
        <w:rPr>
          <w:rFonts w:hint="eastAsia" w:ascii="宋体" w:hAnsi="宋体" w:cs="宋体"/>
          <w:bCs/>
        </w:rPr>
        <w:t>1.1 磋商文件适用于本次所述项目的采购行为（法律、法规另有规定的，从其规定）。</w:t>
      </w:r>
    </w:p>
    <w:p>
      <w:pPr>
        <w:pStyle w:val="5"/>
      </w:pPr>
      <w:bookmarkStart w:id="59" w:name="_Toc59530117"/>
      <w:r>
        <w:rPr>
          <w:rFonts w:hint="eastAsia"/>
        </w:rPr>
        <w:t>2. 定义</w:t>
      </w:r>
      <w:bookmarkEnd w:id="59"/>
    </w:p>
    <w:p>
      <w:pPr>
        <w:spacing w:line="360" w:lineRule="auto"/>
        <w:ind w:firstLine="525" w:firstLineChars="250"/>
        <w:rPr>
          <w:rFonts w:ascii="宋体" w:hAnsi="宋体" w:cs="宋体"/>
          <w:bCs/>
        </w:rPr>
      </w:pPr>
      <w:r>
        <w:rPr>
          <w:rFonts w:hint="eastAsia" w:ascii="宋体" w:hAnsi="宋体" w:cs="宋体"/>
          <w:bCs/>
        </w:rPr>
        <w:t>2.1.1 “采购人”见前附表。</w:t>
      </w:r>
    </w:p>
    <w:p>
      <w:pPr>
        <w:spacing w:line="360" w:lineRule="auto"/>
        <w:ind w:firstLine="525" w:firstLineChars="250"/>
        <w:rPr>
          <w:rFonts w:ascii="宋体" w:hAnsi="宋体" w:cs="宋体"/>
          <w:bCs/>
        </w:rPr>
      </w:pPr>
      <w:r>
        <w:rPr>
          <w:rFonts w:hint="eastAsia" w:ascii="宋体" w:hAnsi="宋体" w:cs="宋体"/>
          <w:bCs/>
        </w:rPr>
        <w:t>2.1.2 “采购代理机构”见前附表。</w:t>
      </w:r>
    </w:p>
    <w:p>
      <w:pPr>
        <w:spacing w:line="360" w:lineRule="auto"/>
        <w:ind w:firstLine="525" w:firstLineChars="250"/>
        <w:rPr>
          <w:rFonts w:ascii="宋体" w:hAnsi="宋体" w:cs="宋体"/>
          <w:bCs/>
        </w:rPr>
      </w:pPr>
      <w:r>
        <w:rPr>
          <w:rFonts w:hint="eastAsia" w:ascii="宋体" w:hAnsi="宋体" w:cs="宋体"/>
          <w:bCs/>
        </w:rPr>
        <w:t>2.1.3 “供应商”系指符合本项目供应商应具备的资格要求的供应商，依法获取采购文件并参与项目磋商的供应商。“供应商代表”系指响应文件中的负责人或其授权的委托代理人。</w:t>
      </w:r>
    </w:p>
    <w:p>
      <w:pPr>
        <w:spacing w:line="360" w:lineRule="auto"/>
        <w:ind w:firstLine="525" w:firstLineChars="250"/>
        <w:rPr>
          <w:rFonts w:ascii="宋体" w:hAnsi="宋体" w:cs="宋体"/>
          <w:bCs/>
        </w:rPr>
      </w:pPr>
      <w:r>
        <w:rPr>
          <w:rFonts w:hint="eastAsia" w:ascii="宋体" w:hAnsi="宋体" w:cs="宋体"/>
          <w:bCs/>
        </w:rPr>
        <w:t>2.1.4 “负责人”系指法人企业的法定代表人，或其他组织为法律、行政法规规定代表单位行使职权的主要负责人。</w:t>
      </w:r>
    </w:p>
    <w:p>
      <w:pPr>
        <w:spacing w:line="360" w:lineRule="auto"/>
        <w:ind w:firstLine="525" w:firstLineChars="250"/>
        <w:rPr>
          <w:rFonts w:ascii="宋体" w:hAnsi="宋体" w:cs="宋体"/>
          <w:bCs/>
        </w:rPr>
      </w:pPr>
      <w:r>
        <w:rPr>
          <w:rFonts w:hint="eastAsia" w:ascii="宋体" w:hAnsi="宋体" w:cs="宋体"/>
          <w:bCs/>
        </w:rPr>
        <w:t>2.1.5 “合同”系指采购人与成交人双方签署的规定双方权利与义务的协议，以及所有附件、附录、磋商文件和响应文件所提到的构成合同的所有文件。</w:t>
      </w:r>
    </w:p>
    <w:p>
      <w:pPr>
        <w:spacing w:line="360" w:lineRule="auto"/>
        <w:ind w:firstLine="525" w:firstLineChars="250"/>
        <w:rPr>
          <w:rFonts w:ascii="宋体" w:hAnsi="宋体" w:cs="宋体"/>
          <w:bCs/>
        </w:rPr>
      </w:pPr>
      <w:r>
        <w:rPr>
          <w:rFonts w:hint="eastAsia" w:ascii="宋体" w:hAnsi="宋体" w:cs="宋体"/>
          <w:bCs/>
        </w:rPr>
        <w:t>2.1.6 “产品”系指供应商按磋商文件规定，须向采购人提供的一切产品（包括：虚拟产品），以及产品相关的保险、税金、备品备件、附件、耗材、工具、手册及其它有关技术资料和材料等。</w:t>
      </w:r>
    </w:p>
    <w:p>
      <w:pPr>
        <w:spacing w:line="360" w:lineRule="auto"/>
        <w:ind w:firstLine="525" w:firstLineChars="250"/>
        <w:rPr>
          <w:rFonts w:ascii="宋体" w:hAnsi="宋体" w:cs="宋体"/>
          <w:bCs/>
        </w:rPr>
      </w:pPr>
      <w:r>
        <w:rPr>
          <w:rFonts w:hint="eastAsia" w:ascii="宋体" w:hAnsi="宋体" w:cs="宋体"/>
          <w:bCs/>
        </w:rPr>
        <w:t>2.1.7 “服务”系指供应商按磋商文件规定应承担的送货上门、安装、调试、技术协助、校准、培训、技术指导以及其他类似的附随义务。</w:t>
      </w:r>
    </w:p>
    <w:p>
      <w:pPr>
        <w:spacing w:line="360" w:lineRule="auto"/>
        <w:ind w:firstLine="525" w:firstLineChars="250"/>
        <w:rPr>
          <w:rFonts w:ascii="宋体" w:hAnsi="宋体" w:cs="宋体"/>
          <w:bCs/>
        </w:rPr>
      </w:pPr>
      <w:r>
        <w:rPr>
          <w:rFonts w:hint="eastAsia" w:ascii="宋体" w:hAnsi="宋体" w:cs="宋体"/>
          <w:bCs/>
        </w:rPr>
        <w:t>2.1.8本文件所指的公章均指与供应商名称相一致的CA电子章。</w:t>
      </w:r>
    </w:p>
    <w:p>
      <w:pPr>
        <w:spacing w:line="360" w:lineRule="auto"/>
        <w:ind w:firstLine="525" w:firstLineChars="250"/>
        <w:rPr>
          <w:rFonts w:ascii="宋体" w:hAnsi="宋体" w:cs="宋体"/>
          <w:bCs/>
        </w:rPr>
      </w:pPr>
      <w:r>
        <w:rPr>
          <w:rFonts w:hint="eastAsia" w:ascii="宋体" w:hAnsi="宋体" w:cs="宋体"/>
          <w:bCs/>
        </w:rPr>
        <w:t>2.1.9 “▲” 系指实质性要求条款。</w:t>
      </w:r>
    </w:p>
    <w:p>
      <w:pPr>
        <w:pStyle w:val="5"/>
      </w:pPr>
      <w:bookmarkStart w:id="60" w:name="_Toc59530118"/>
      <w:r>
        <w:rPr>
          <w:rFonts w:hint="eastAsia"/>
        </w:rPr>
        <w:t>3.供应商基本要求</w:t>
      </w:r>
      <w:bookmarkEnd w:id="60"/>
    </w:p>
    <w:p>
      <w:pPr>
        <w:spacing w:line="360" w:lineRule="auto"/>
        <w:ind w:firstLine="525" w:firstLineChars="250"/>
        <w:rPr>
          <w:rFonts w:ascii="宋体" w:hAnsi="宋体" w:cs="宋体"/>
          <w:bCs/>
        </w:rPr>
      </w:pPr>
      <w:r>
        <w:rPr>
          <w:rFonts w:hint="eastAsia" w:ascii="宋体" w:hAnsi="宋体" w:cs="宋体"/>
          <w:bCs/>
        </w:rPr>
        <w:t>3.1 符合本文件第一章 采购公告规定；</w:t>
      </w:r>
    </w:p>
    <w:p>
      <w:pPr>
        <w:spacing w:line="360" w:lineRule="auto"/>
        <w:ind w:firstLine="525" w:firstLineChars="250"/>
        <w:rPr>
          <w:rFonts w:ascii="宋体" w:hAnsi="宋体" w:cs="宋体"/>
          <w:bCs/>
        </w:rPr>
      </w:pPr>
      <w:r>
        <w:rPr>
          <w:rFonts w:hint="eastAsia" w:ascii="宋体" w:hAnsi="宋体" w:cs="宋体"/>
          <w:bCs/>
        </w:rPr>
        <w:t>3.2 供应商应遵守有关的法律、法规和规章条例。</w:t>
      </w:r>
    </w:p>
    <w:p>
      <w:pPr>
        <w:pStyle w:val="5"/>
      </w:pPr>
      <w:bookmarkStart w:id="61" w:name="_Toc59530119"/>
      <w:r>
        <w:rPr>
          <w:rFonts w:hint="eastAsia"/>
        </w:rPr>
        <w:t>4.联合体说明</w:t>
      </w:r>
      <w:bookmarkEnd w:id="61"/>
    </w:p>
    <w:p>
      <w:pPr>
        <w:spacing w:line="360" w:lineRule="auto"/>
        <w:ind w:firstLine="525" w:firstLineChars="250"/>
        <w:rPr>
          <w:rFonts w:ascii="宋体" w:hAnsi="宋体" w:cs="宋体"/>
          <w:bCs/>
        </w:rPr>
      </w:pPr>
      <w:r>
        <w:rPr>
          <w:rFonts w:hint="eastAsia" w:ascii="宋体" w:hAnsi="宋体" w:cs="宋体"/>
          <w:bCs/>
        </w:rPr>
        <w:t>4.1本项目不接受联合体参加磋商。</w:t>
      </w:r>
    </w:p>
    <w:p>
      <w:pPr>
        <w:pStyle w:val="5"/>
      </w:pPr>
      <w:bookmarkStart w:id="62" w:name="_Toc59530120"/>
      <w:r>
        <w:t>5</w:t>
      </w:r>
      <w:r>
        <w:rPr>
          <w:rFonts w:hint="eastAsia"/>
        </w:rPr>
        <w:t>.特别说明</w:t>
      </w:r>
      <w:bookmarkEnd w:id="62"/>
    </w:p>
    <w:p>
      <w:pPr>
        <w:spacing w:line="360" w:lineRule="auto"/>
        <w:ind w:firstLine="525" w:firstLineChars="250"/>
        <w:rPr>
          <w:rFonts w:ascii="宋体" w:hAnsi="宋体" w:cs="宋体"/>
          <w:bCs/>
        </w:rPr>
      </w:pPr>
      <w:r>
        <w:rPr>
          <w:rFonts w:hint="eastAsia" w:ascii="宋体" w:hAnsi="宋体" w:cs="宋体"/>
          <w:bCs/>
        </w:rPr>
        <w:t>▲</w:t>
      </w:r>
      <w:r>
        <w:rPr>
          <w:rFonts w:ascii="宋体" w:hAnsi="宋体" w:cs="宋体"/>
          <w:bCs/>
        </w:rPr>
        <w:t>5</w:t>
      </w:r>
      <w:r>
        <w:rPr>
          <w:rFonts w:hint="eastAsia" w:ascii="宋体" w:hAnsi="宋体" w:cs="宋体"/>
          <w:bCs/>
        </w:rPr>
        <w:t>.1单位负责人为同一人或者存在直接控股、管理关系的不同供应商，不得参加同一合同项下的政府采购活动。</w:t>
      </w:r>
    </w:p>
    <w:p>
      <w:pPr>
        <w:spacing w:line="360" w:lineRule="auto"/>
        <w:ind w:firstLine="525" w:firstLineChars="250"/>
        <w:rPr>
          <w:rFonts w:ascii="宋体" w:hAnsi="宋体" w:cs="宋体"/>
          <w:bCs/>
        </w:rPr>
      </w:pPr>
      <w:r>
        <w:rPr>
          <w:rFonts w:ascii="宋体" w:hAnsi="宋体" w:cs="宋体"/>
          <w:bCs/>
        </w:rPr>
        <w:t>5</w:t>
      </w:r>
      <w:r>
        <w:rPr>
          <w:rFonts w:hint="eastAsia" w:ascii="宋体" w:hAnsi="宋体" w:cs="宋体"/>
          <w:bCs/>
        </w:rPr>
        <w:t>.</w:t>
      </w:r>
      <w:r>
        <w:rPr>
          <w:rFonts w:ascii="宋体" w:hAnsi="宋体" w:cs="宋体"/>
          <w:bCs/>
        </w:rPr>
        <w:t>2</w:t>
      </w:r>
      <w:r>
        <w:rPr>
          <w:rFonts w:hint="eastAsia" w:ascii="宋体" w:hAnsi="宋体" w:cs="宋体"/>
          <w:bCs/>
        </w:rPr>
        <w:t xml:space="preserve"> 供应商自行承担所有与磋商有关的全部费用。</w:t>
      </w:r>
    </w:p>
    <w:p>
      <w:pPr>
        <w:pStyle w:val="4"/>
        <w:spacing w:line="360" w:lineRule="auto"/>
        <w:rPr>
          <w:rFonts w:ascii="宋体" w:hAnsi="宋体"/>
          <w:sz w:val="24"/>
          <w:szCs w:val="24"/>
        </w:rPr>
      </w:pPr>
      <w:bookmarkStart w:id="63" w:name="_Toc59530121"/>
      <w:r>
        <w:rPr>
          <w:rFonts w:hint="eastAsia" w:ascii="宋体" w:hAnsi="宋体"/>
          <w:sz w:val="24"/>
          <w:szCs w:val="24"/>
        </w:rPr>
        <w:t>二   磋商响应文件说明</w:t>
      </w:r>
      <w:bookmarkEnd w:id="63"/>
    </w:p>
    <w:p>
      <w:pPr>
        <w:pStyle w:val="5"/>
        <w:rPr>
          <w:rFonts w:ascii="宋体" w:hAnsi="宋体" w:cs="宋体"/>
        </w:rPr>
      </w:pPr>
      <w:bookmarkStart w:id="64" w:name="_Toc59530122"/>
      <w:r>
        <w:rPr>
          <w:rFonts w:hint="eastAsia"/>
        </w:rPr>
        <w:t>6. 响应文件的构成</w:t>
      </w:r>
      <w:bookmarkEnd w:id="64"/>
    </w:p>
    <w:p>
      <w:pPr>
        <w:spacing w:line="360" w:lineRule="auto"/>
        <w:ind w:firstLine="525" w:firstLineChars="250"/>
        <w:rPr>
          <w:rFonts w:ascii="宋体" w:hAnsi="宋体" w:cs="宋体"/>
          <w:bCs/>
        </w:rPr>
      </w:pPr>
      <w:r>
        <w:rPr>
          <w:rFonts w:hint="eastAsia" w:ascii="宋体" w:hAnsi="宋体" w:cs="宋体"/>
          <w:bCs/>
        </w:rPr>
        <w:t>6.1磋商文件用以阐明所需货物及服务、磋商、磋商程序和合同条款等。本磋商文件由下述部分组成：</w:t>
      </w:r>
    </w:p>
    <w:p>
      <w:pPr>
        <w:spacing w:line="360" w:lineRule="auto"/>
        <w:ind w:firstLine="525" w:firstLineChars="250"/>
        <w:rPr>
          <w:rFonts w:ascii="宋体" w:hAnsi="宋体" w:cs="宋体"/>
          <w:bCs/>
        </w:rPr>
      </w:pPr>
      <w:r>
        <w:rPr>
          <w:rFonts w:hint="eastAsia" w:ascii="宋体" w:hAnsi="宋体" w:cs="宋体"/>
          <w:bCs/>
        </w:rPr>
        <w:t>6.1.1竞争性磋商公告</w:t>
      </w:r>
    </w:p>
    <w:p>
      <w:pPr>
        <w:spacing w:line="360" w:lineRule="auto"/>
        <w:ind w:firstLine="525" w:firstLineChars="250"/>
        <w:rPr>
          <w:rFonts w:ascii="宋体" w:hAnsi="宋体" w:cs="宋体"/>
          <w:bCs/>
        </w:rPr>
      </w:pPr>
      <w:r>
        <w:rPr>
          <w:rFonts w:hint="eastAsia" w:ascii="宋体" w:hAnsi="宋体" w:cs="宋体"/>
          <w:bCs/>
        </w:rPr>
        <w:t>6.1.2采购需求</w:t>
      </w:r>
    </w:p>
    <w:p>
      <w:pPr>
        <w:spacing w:line="360" w:lineRule="auto"/>
        <w:ind w:firstLine="525" w:firstLineChars="250"/>
        <w:rPr>
          <w:rFonts w:ascii="宋体" w:hAnsi="宋体" w:cs="宋体"/>
          <w:bCs/>
        </w:rPr>
      </w:pPr>
      <w:r>
        <w:rPr>
          <w:rFonts w:hint="eastAsia" w:ascii="宋体" w:hAnsi="宋体" w:cs="宋体"/>
          <w:bCs/>
        </w:rPr>
        <w:t>6.1.3供应商须知</w:t>
      </w:r>
    </w:p>
    <w:p>
      <w:pPr>
        <w:spacing w:line="360" w:lineRule="auto"/>
        <w:ind w:firstLine="525" w:firstLineChars="250"/>
        <w:rPr>
          <w:rFonts w:ascii="宋体" w:hAnsi="宋体" w:cs="宋体"/>
          <w:bCs/>
        </w:rPr>
      </w:pPr>
      <w:r>
        <w:rPr>
          <w:rFonts w:hint="eastAsia" w:ascii="宋体" w:hAnsi="宋体" w:cs="宋体"/>
          <w:bCs/>
        </w:rPr>
        <w:t>6.1.4合同条款</w:t>
      </w:r>
    </w:p>
    <w:p>
      <w:pPr>
        <w:spacing w:line="360" w:lineRule="auto"/>
        <w:ind w:firstLine="525" w:firstLineChars="250"/>
        <w:rPr>
          <w:rFonts w:ascii="宋体" w:hAnsi="宋体" w:cs="宋体"/>
          <w:bCs/>
        </w:rPr>
      </w:pPr>
      <w:r>
        <w:rPr>
          <w:rFonts w:hint="eastAsia" w:ascii="宋体" w:hAnsi="宋体" w:cs="宋体"/>
          <w:bCs/>
        </w:rPr>
        <w:t>6.1.5响应文件格式</w:t>
      </w:r>
    </w:p>
    <w:p>
      <w:pPr>
        <w:spacing w:line="360" w:lineRule="auto"/>
        <w:ind w:firstLine="525" w:firstLineChars="250"/>
        <w:rPr>
          <w:rFonts w:ascii="宋体" w:hAnsi="宋体" w:cs="宋体"/>
          <w:bCs/>
        </w:rPr>
      </w:pPr>
      <w:r>
        <w:rPr>
          <w:rFonts w:hint="eastAsia" w:ascii="宋体" w:hAnsi="宋体" w:cs="宋体"/>
          <w:bCs/>
        </w:rPr>
        <w:t>6.1.6磋商评审办法及评分标准</w:t>
      </w:r>
    </w:p>
    <w:p>
      <w:pPr>
        <w:spacing w:line="360" w:lineRule="auto"/>
        <w:ind w:firstLine="525" w:firstLineChars="250"/>
        <w:rPr>
          <w:rFonts w:ascii="宋体" w:hAnsi="宋体" w:cs="宋体"/>
          <w:bCs/>
        </w:rPr>
      </w:pPr>
      <w:r>
        <w:rPr>
          <w:rFonts w:hint="eastAsia" w:ascii="宋体" w:hAnsi="宋体" w:cs="宋体"/>
          <w:bCs/>
        </w:rPr>
        <w:t>6.1.7与本项目有关的磋商文件澄清、答复、更正、补充的内容</w:t>
      </w:r>
    </w:p>
    <w:p>
      <w:pPr>
        <w:pStyle w:val="5"/>
      </w:pPr>
      <w:bookmarkStart w:id="65" w:name="_Toc59530123"/>
      <w:r>
        <w:rPr>
          <w:rFonts w:hint="eastAsia"/>
        </w:rPr>
        <w:t>7.供应商的风险</w:t>
      </w:r>
      <w:bookmarkEnd w:id="65"/>
    </w:p>
    <w:p>
      <w:pPr>
        <w:spacing w:line="360" w:lineRule="auto"/>
        <w:ind w:firstLine="525" w:firstLineChars="250"/>
        <w:rPr>
          <w:rFonts w:ascii="宋体" w:hAnsi="宋体" w:cs="宋体"/>
          <w:bCs/>
        </w:rPr>
      </w:pPr>
      <w:r>
        <w:rPr>
          <w:rFonts w:hint="eastAsia" w:ascii="宋体" w:hAnsi="宋体" w:cs="宋体"/>
          <w:bCs/>
        </w:rPr>
        <w:t>7.1 供应商应认真阅读磋商文件中的所有条款。供应商没有按照磋商文件的要求提供全部资料，或者供应商没有对磋商文件在各方面作出实质性响应是供应商的风险，并可能导致其磋商被拒绝。</w:t>
      </w:r>
    </w:p>
    <w:p>
      <w:pPr>
        <w:pStyle w:val="5"/>
      </w:pPr>
      <w:bookmarkStart w:id="66" w:name="_Toc59530124"/>
      <w:r>
        <w:rPr>
          <w:rFonts w:hint="eastAsia"/>
        </w:rPr>
        <w:t>8. 磋商文件的澄清和修改</w:t>
      </w:r>
      <w:bookmarkEnd w:id="66"/>
    </w:p>
    <w:p>
      <w:pPr>
        <w:spacing w:line="360" w:lineRule="auto"/>
        <w:ind w:firstLine="525" w:firstLineChars="250"/>
        <w:rPr>
          <w:rFonts w:ascii="宋体" w:hAnsi="宋体" w:cs="宋体"/>
          <w:bCs/>
        </w:rPr>
      </w:pPr>
      <w:r>
        <w:rPr>
          <w:rFonts w:hint="eastAsia" w:ascii="宋体" w:hAnsi="宋体" w:cs="宋体"/>
          <w:bCs/>
        </w:rPr>
        <w:t>8.1磋商文件澄清、答复、修改、补充的内容为磋商文件的组成部分。</w:t>
      </w:r>
    </w:p>
    <w:p>
      <w:pPr>
        <w:spacing w:line="500" w:lineRule="exact"/>
        <w:ind w:firstLine="420" w:firstLineChars="200"/>
        <w:rPr>
          <w:rFonts w:ascii="宋体" w:hAnsi="宋体" w:cs="宋体"/>
          <w:bCs/>
        </w:rPr>
      </w:pPr>
      <w:r>
        <w:rPr>
          <w:rFonts w:hint="eastAsia" w:ascii="宋体" w:hAnsi="宋体" w:cs="宋体"/>
          <w:bCs/>
        </w:rPr>
        <w:t>8.2获取采购文件的供应商认真阅读磋商文件，如有疑问应于提交响应文件的截止时间5日前向采购代理机构（可传真）提出澄清申请。采购代理机构对已发出的采购文件进行必要澄清或修改，澄清或者修改内容可能影响应文件编制的，采购代理机构在磋商截止时间5日前,在浙江政府采购网</w:t>
      </w:r>
      <w:r>
        <w:fldChar w:fldCharType="begin"/>
      </w:r>
      <w:r>
        <w:instrText xml:space="preserve"> HYPERLINK "http://zfcg.czt.zj.gov.cn/" </w:instrText>
      </w:r>
      <w:r>
        <w:fldChar w:fldCharType="separate"/>
      </w:r>
      <w:r>
        <w:rPr>
          <w:rStyle w:val="47"/>
          <w:rFonts w:hint="eastAsia" w:ascii="宋体" w:hAnsi="宋体" w:cs="宋体"/>
          <w:bCs/>
        </w:rPr>
        <w:t>http://zfcg.czt.zj.gov.cn/</w:t>
      </w:r>
      <w:r>
        <w:rPr>
          <w:rStyle w:val="47"/>
          <w:rFonts w:hint="eastAsia" w:ascii="宋体" w:hAnsi="宋体" w:cs="宋体"/>
          <w:bCs/>
        </w:rPr>
        <w:fldChar w:fldCharType="end"/>
      </w:r>
      <w:r>
        <w:rPr>
          <w:rFonts w:hint="eastAsia" w:ascii="宋体" w:hAnsi="宋体" w:cs="宋体"/>
          <w:bCs/>
        </w:rPr>
        <w:t>和东阳市公共资源交易网</w:t>
      </w:r>
      <w:r>
        <w:rPr>
          <w:rFonts w:ascii="宋体" w:hAnsi="宋体" w:cs="宋体"/>
          <w:bCs/>
        </w:rPr>
        <w:t>http://www.dongyang.gov.cn/col/col1229357149/index.html</w:t>
      </w:r>
      <w:r>
        <w:rPr>
          <w:rFonts w:hint="eastAsia" w:ascii="宋体" w:hAnsi="宋体" w:cs="宋体"/>
          <w:bCs/>
        </w:rPr>
        <w:t>发布更正公告，并对其具有约束力。不足5日的，采购代理机构有权顺延提交响应文件的截止时间。</w:t>
      </w:r>
    </w:p>
    <w:p>
      <w:pPr>
        <w:pStyle w:val="4"/>
        <w:spacing w:line="360" w:lineRule="auto"/>
        <w:rPr>
          <w:rFonts w:ascii="宋体" w:hAnsi="宋体"/>
          <w:sz w:val="24"/>
          <w:szCs w:val="24"/>
        </w:rPr>
      </w:pPr>
      <w:bookmarkStart w:id="67" w:name="_Toc59530125"/>
      <w:r>
        <w:rPr>
          <w:rFonts w:hint="eastAsia" w:ascii="宋体" w:hAnsi="宋体"/>
          <w:sz w:val="24"/>
          <w:szCs w:val="24"/>
        </w:rPr>
        <w:t>三   响应文件的编制</w:t>
      </w:r>
      <w:bookmarkEnd w:id="67"/>
    </w:p>
    <w:p>
      <w:pPr>
        <w:pStyle w:val="5"/>
      </w:pPr>
      <w:bookmarkStart w:id="68" w:name="_Toc59530126"/>
      <w:r>
        <w:rPr>
          <w:rFonts w:hint="eastAsia"/>
        </w:rPr>
        <w:t>9.要求</w:t>
      </w:r>
      <w:bookmarkEnd w:id="68"/>
    </w:p>
    <w:p>
      <w:pPr>
        <w:spacing w:line="360" w:lineRule="auto"/>
        <w:ind w:firstLine="525" w:firstLineChars="250"/>
        <w:rPr>
          <w:rFonts w:ascii="宋体" w:hAnsi="宋体" w:cs="宋体"/>
          <w:bCs/>
        </w:rPr>
      </w:pPr>
      <w:r>
        <w:rPr>
          <w:rFonts w:hint="eastAsia" w:ascii="宋体" w:hAnsi="宋体" w:cs="宋体"/>
          <w:bCs/>
        </w:rPr>
        <w:t>9.1 供应商应仔细阅读磋商文件的所有内容，按照磋商文件的要求提交响应文件，并对所提供的全部资料的真实性承担法律责任。</w:t>
      </w:r>
    </w:p>
    <w:p>
      <w:pPr>
        <w:spacing w:line="360" w:lineRule="auto"/>
        <w:ind w:firstLine="525" w:firstLineChars="250"/>
        <w:rPr>
          <w:rFonts w:ascii="宋体" w:hAnsi="宋体" w:cs="宋体"/>
          <w:bCs/>
        </w:rPr>
      </w:pPr>
      <w:r>
        <w:rPr>
          <w:rFonts w:hint="eastAsia" w:ascii="宋体" w:hAnsi="宋体" w:cs="宋体"/>
          <w:bCs/>
        </w:rPr>
        <w:t>9.2响应文件、供应商与采购有关的往来通知、函件和文件均应使用中文。如涉及非中文内容的，供应商有义务将其内容翻译成中文，一切对非中文内容的误解，都将由供应商承担。</w:t>
      </w:r>
    </w:p>
    <w:p>
      <w:pPr>
        <w:spacing w:line="360" w:lineRule="auto"/>
        <w:ind w:firstLine="525" w:firstLineChars="250"/>
        <w:rPr>
          <w:rFonts w:ascii="宋体" w:hAnsi="宋体" w:cs="宋体"/>
          <w:bCs/>
        </w:rPr>
      </w:pPr>
      <w:r>
        <w:rPr>
          <w:rFonts w:hint="eastAsia" w:ascii="宋体" w:hAnsi="宋体" w:cs="宋体"/>
          <w:bCs/>
        </w:rPr>
        <w:t>9.3响应文件的形式和效力</w:t>
      </w:r>
    </w:p>
    <w:p>
      <w:pPr>
        <w:spacing w:line="360" w:lineRule="auto"/>
        <w:ind w:firstLine="525" w:firstLineChars="250"/>
        <w:rPr>
          <w:rFonts w:ascii="宋体" w:hAnsi="宋体" w:cs="宋体"/>
          <w:bCs/>
        </w:rPr>
      </w:pPr>
      <w:r>
        <w:rPr>
          <w:rFonts w:hint="eastAsia" w:ascii="宋体" w:hAnsi="宋体" w:cs="宋体"/>
          <w:bCs/>
        </w:rPr>
        <w:t>9.3.1 响应文件的形式：响应文件分为电子响应文件、备份响应文件。</w:t>
      </w:r>
    </w:p>
    <w:p>
      <w:pPr>
        <w:spacing w:line="360" w:lineRule="auto"/>
        <w:ind w:firstLine="525" w:firstLineChars="250"/>
        <w:rPr>
          <w:rFonts w:ascii="宋体" w:hAnsi="宋体" w:cs="宋体"/>
          <w:bCs/>
        </w:rPr>
      </w:pPr>
      <w:r>
        <w:rPr>
          <w:rFonts w:hint="eastAsia" w:ascii="宋体" w:hAnsi="宋体" w:cs="宋体"/>
          <w:bCs/>
        </w:rPr>
        <w:t>电子响应文件在磋商截止时间前按政采云平台供应商项目采购-电子招磋商操作指南（网址：https://help.zcy.gov.cn/web/site_2/2018/12-28/2573.html）及本采购文件要求制作、加密并提交。</w:t>
      </w:r>
    </w:p>
    <w:p>
      <w:pPr>
        <w:spacing w:line="360" w:lineRule="auto"/>
        <w:ind w:firstLine="525" w:firstLineChars="250"/>
        <w:rPr>
          <w:rFonts w:ascii="宋体" w:hAnsi="宋体" w:cs="宋体"/>
          <w:bCs/>
        </w:rPr>
      </w:pPr>
      <w:r>
        <w:rPr>
          <w:rFonts w:hint="eastAsia" w:ascii="宋体" w:hAnsi="宋体" w:cs="宋体"/>
          <w:bCs/>
        </w:rPr>
        <w:t>备份响应文件应在磋商截止时间前将在政采云平台上最后生成的具有电子签章的备份响应文件通过电子邮件方式传送至代理机构邮箱（961424781@qq.com，），电子文件命名为“备份响应文件”，并注明项目名称及供应商名称。</w:t>
      </w:r>
    </w:p>
    <w:p>
      <w:pPr>
        <w:spacing w:line="360" w:lineRule="auto"/>
        <w:ind w:firstLine="525" w:firstLineChars="250"/>
        <w:rPr>
          <w:rFonts w:ascii="宋体" w:hAnsi="宋体" w:cs="宋体"/>
          <w:bCs/>
        </w:rPr>
      </w:pPr>
      <w:r>
        <w:rPr>
          <w:rFonts w:hint="eastAsia" w:ascii="宋体" w:hAnsi="宋体" w:cs="宋体"/>
          <w:bCs/>
        </w:rPr>
        <w:t>9.3.2 响应文件的效力</w:t>
      </w:r>
    </w:p>
    <w:p>
      <w:pPr>
        <w:spacing w:line="360" w:lineRule="auto"/>
        <w:ind w:firstLine="525" w:firstLineChars="250"/>
        <w:rPr>
          <w:rFonts w:ascii="宋体" w:hAnsi="宋体" w:cs="宋体"/>
          <w:bCs/>
        </w:rPr>
      </w:pPr>
      <w:r>
        <w:rPr>
          <w:rFonts w:hint="eastAsia" w:ascii="宋体" w:hAnsi="宋体" w:cs="宋体"/>
          <w:bCs/>
        </w:rPr>
        <w:t>响应文件的启用，按先后顺位分别为电子响应文件、备份响应文件。</w:t>
      </w:r>
    </w:p>
    <w:p>
      <w:pPr>
        <w:spacing w:line="360" w:lineRule="auto"/>
        <w:ind w:firstLine="525" w:firstLineChars="250"/>
        <w:rPr>
          <w:rFonts w:ascii="宋体" w:hAnsi="宋体" w:cs="宋体"/>
          <w:bCs/>
        </w:rPr>
      </w:pPr>
      <w:r>
        <w:rPr>
          <w:rFonts w:hint="eastAsia" w:ascii="宋体" w:hAnsi="宋体" w:cs="宋体"/>
          <w:bCs/>
        </w:rPr>
        <w:t>电子响应文件未按时解密（解密时限由政采云系统自动生成），供应商已在规定时间内按规定方式提交了备份响应文件的，由代理机构工作人员通过政采云系统开启备份响应文件，未在规定时间提交的视为响应文件撤回。启用备份响应文件的，以备份响应文件为依据。</w:t>
      </w:r>
    </w:p>
    <w:p>
      <w:pPr>
        <w:pStyle w:val="5"/>
      </w:pPr>
      <w:bookmarkStart w:id="69" w:name="_Toc59530127"/>
      <w:r>
        <w:rPr>
          <w:rFonts w:hint="eastAsia"/>
        </w:rPr>
        <w:t>10.响应文件的组成</w:t>
      </w:r>
      <w:bookmarkEnd w:id="69"/>
    </w:p>
    <w:p>
      <w:pPr>
        <w:spacing w:line="360" w:lineRule="auto"/>
        <w:ind w:firstLine="525" w:firstLineChars="250"/>
        <w:rPr>
          <w:rFonts w:ascii="宋体" w:hAnsi="宋体" w:cs="宋体"/>
          <w:bCs/>
        </w:rPr>
      </w:pPr>
      <w:r>
        <w:rPr>
          <w:rFonts w:hint="eastAsia" w:ascii="宋体" w:hAnsi="宋体" w:cs="宋体"/>
          <w:bCs/>
        </w:rPr>
        <w:t>10.1提交的响应文件应分为资格审查文件、资信商务及技术文件、报价文件三部分。</w:t>
      </w:r>
    </w:p>
    <w:p>
      <w:pPr>
        <w:pStyle w:val="5"/>
      </w:pPr>
      <w:bookmarkStart w:id="70" w:name="_Toc59530128"/>
      <w:r>
        <w:rPr>
          <w:rFonts w:hint="eastAsia"/>
        </w:rPr>
        <w:t>11.响应文件编制的内容和要求。</w:t>
      </w:r>
      <w:bookmarkEnd w:id="70"/>
    </w:p>
    <w:p>
      <w:pPr>
        <w:spacing w:line="360" w:lineRule="auto"/>
        <w:ind w:firstLine="525" w:firstLineChars="250"/>
        <w:rPr>
          <w:rFonts w:ascii="宋体" w:hAnsi="宋体" w:cs="宋体"/>
          <w:bCs/>
        </w:rPr>
      </w:pPr>
      <w:r>
        <w:rPr>
          <w:rFonts w:hint="eastAsia" w:ascii="宋体" w:hAnsi="宋体" w:cs="宋体"/>
          <w:bCs/>
        </w:rPr>
        <w:t>11.1资格审查文件编制的内容和要求：详见第五章格式</w:t>
      </w:r>
    </w:p>
    <w:p>
      <w:pPr>
        <w:spacing w:line="360" w:lineRule="auto"/>
        <w:ind w:firstLine="525" w:firstLineChars="250"/>
        <w:rPr>
          <w:rFonts w:ascii="宋体" w:hAnsi="宋体" w:cs="宋体"/>
          <w:bCs/>
        </w:rPr>
      </w:pPr>
      <w:r>
        <w:rPr>
          <w:rFonts w:hint="eastAsia" w:ascii="宋体" w:hAnsi="宋体" w:cs="宋体"/>
          <w:bCs/>
        </w:rPr>
        <w:t>11.2资信商务及技术文件编制内容和要求：详见第五章格式。</w:t>
      </w:r>
    </w:p>
    <w:p>
      <w:pPr>
        <w:spacing w:line="360" w:lineRule="auto"/>
        <w:ind w:firstLine="525" w:firstLineChars="250"/>
        <w:rPr>
          <w:rFonts w:ascii="宋体" w:hAnsi="宋体" w:cs="宋体"/>
          <w:bCs/>
        </w:rPr>
      </w:pPr>
      <w:r>
        <w:rPr>
          <w:rFonts w:hint="eastAsia" w:ascii="宋体" w:hAnsi="宋体" w:cs="宋体"/>
          <w:bCs/>
        </w:rPr>
        <w:t>11.</w:t>
      </w:r>
      <w:r>
        <w:rPr>
          <w:rFonts w:ascii="宋体" w:hAnsi="宋体" w:cs="宋体"/>
          <w:bCs/>
        </w:rPr>
        <w:t>3</w:t>
      </w:r>
      <w:r>
        <w:rPr>
          <w:rFonts w:hint="eastAsia" w:ascii="宋体" w:hAnsi="宋体" w:cs="宋体"/>
          <w:bCs/>
        </w:rPr>
        <w:t>报价文件的编制内容和要求：详见第五章格式</w:t>
      </w:r>
    </w:p>
    <w:p>
      <w:pPr>
        <w:spacing w:line="360" w:lineRule="auto"/>
        <w:ind w:firstLine="525" w:firstLineChars="250"/>
        <w:rPr>
          <w:rFonts w:ascii="宋体" w:hAnsi="宋体" w:cs="宋体"/>
          <w:bCs/>
        </w:rPr>
      </w:pPr>
      <w:r>
        <w:rPr>
          <w:rFonts w:hint="eastAsia" w:ascii="宋体" w:hAnsi="宋体" w:cs="宋体"/>
          <w:bCs/>
        </w:rPr>
        <w:t>11.</w:t>
      </w:r>
      <w:r>
        <w:rPr>
          <w:rFonts w:ascii="宋体" w:hAnsi="宋体" w:cs="宋体"/>
          <w:bCs/>
        </w:rPr>
        <w:t>4</w:t>
      </w:r>
      <w:r>
        <w:rPr>
          <w:rFonts w:hint="eastAsia" w:ascii="宋体" w:hAnsi="宋体" w:cs="宋体"/>
          <w:bCs/>
        </w:rPr>
        <w:t>磋商报价：▲供应商应在磋商文件所附的报价书上写明磋商报价，只允许有一个报价,采购人不接受任何选择性的报价。</w:t>
      </w:r>
    </w:p>
    <w:p>
      <w:pPr>
        <w:spacing w:line="360" w:lineRule="auto"/>
        <w:ind w:firstLine="525" w:firstLineChars="250"/>
        <w:rPr>
          <w:rFonts w:ascii="宋体" w:hAnsi="宋体" w:cs="宋体"/>
          <w:bCs/>
        </w:rPr>
      </w:pPr>
      <w:r>
        <w:rPr>
          <w:rFonts w:hint="eastAsia" w:ascii="宋体" w:hAnsi="宋体" w:cs="宋体"/>
          <w:bCs/>
        </w:rPr>
        <w:t>11.</w:t>
      </w:r>
      <w:r>
        <w:rPr>
          <w:rFonts w:ascii="宋体" w:hAnsi="宋体" w:cs="宋体"/>
          <w:bCs/>
        </w:rPr>
        <w:t>5</w:t>
      </w:r>
      <w:r>
        <w:rPr>
          <w:rFonts w:hint="eastAsia" w:ascii="宋体" w:hAnsi="宋体" w:cs="宋体"/>
          <w:bCs/>
        </w:rPr>
        <w:t>排版：响应文件应</w:t>
      </w:r>
      <w:r>
        <w:rPr>
          <w:rFonts w:hint="eastAsia"/>
        </w:rPr>
        <w:t>并编制目录，标注页码。</w:t>
      </w:r>
    </w:p>
    <w:p>
      <w:pPr>
        <w:pStyle w:val="5"/>
      </w:pPr>
      <w:bookmarkStart w:id="71" w:name="_Toc59530129"/>
      <w:r>
        <w:rPr>
          <w:rFonts w:hint="eastAsia"/>
        </w:rPr>
        <w:t>12.响应文件格式</w:t>
      </w:r>
      <w:bookmarkEnd w:id="71"/>
    </w:p>
    <w:p>
      <w:pPr>
        <w:spacing w:line="360" w:lineRule="auto"/>
        <w:ind w:firstLine="525" w:firstLineChars="250"/>
        <w:rPr>
          <w:rFonts w:ascii="宋体" w:hAnsi="宋体" w:cs="宋体"/>
          <w:bCs/>
        </w:rPr>
      </w:pPr>
      <w:r>
        <w:rPr>
          <w:rFonts w:hint="eastAsia" w:ascii="宋体" w:hAnsi="宋体" w:cs="宋体"/>
          <w:bCs/>
        </w:rPr>
        <w:t>12.1供应商应按采购文件规定的文件格式、内容和要求制作响应文件。</w:t>
      </w:r>
    </w:p>
    <w:p>
      <w:pPr>
        <w:pStyle w:val="5"/>
      </w:pPr>
      <w:bookmarkStart w:id="72" w:name="_Toc59530130"/>
      <w:r>
        <w:rPr>
          <w:rFonts w:hint="eastAsia"/>
        </w:rPr>
        <w:t>13.竞争性磋商有效期</w:t>
      </w:r>
      <w:bookmarkEnd w:id="72"/>
    </w:p>
    <w:p>
      <w:pPr>
        <w:spacing w:line="360" w:lineRule="auto"/>
        <w:ind w:firstLine="525" w:firstLineChars="250"/>
        <w:rPr>
          <w:rFonts w:ascii="宋体" w:hAnsi="宋体" w:cs="宋体"/>
          <w:bCs/>
        </w:rPr>
      </w:pPr>
      <w:r>
        <w:rPr>
          <w:rFonts w:hint="eastAsia" w:ascii="宋体" w:hAnsi="宋体" w:cs="宋体"/>
          <w:bCs/>
        </w:rPr>
        <w:t>▲13.1响应文件提交截止之日起90天内有效。</w:t>
      </w:r>
    </w:p>
    <w:p>
      <w:pPr>
        <w:pStyle w:val="5"/>
      </w:pPr>
      <w:bookmarkStart w:id="73" w:name="_Toc59530131"/>
      <w:r>
        <w:rPr>
          <w:rFonts w:hint="eastAsia"/>
        </w:rPr>
        <w:t>14.响应文件的签署及规定</w:t>
      </w:r>
      <w:bookmarkEnd w:id="73"/>
    </w:p>
    <w:p>
      <w:pPr>
        <w:spacing w:line="360" w:lineRule="auto"/>
        <w:ind w:firstLine="525" w:firstLineChars="250"/>
        <w:rPr>
          <w:rFonts w:ascii="宋体" w:hAnsi="宋体" w:cs="宋体"/>
          <w:bCs/>
        </w:rPr>
      </w:pPr>
      <w:r>
        <w:rPr>
          <w:rFonts w:hint="eastAsia" w:ascii="宋体" w:hAnsi="宋体" w:cs="宋体"/>
          <w:bCs/>
        </w:rPr>
        <w:t>14.1 供应商应按磋商文件规定的内容和要求编制响应文件，每套响应文件须清楚的标明“资格审查文件”、“资信商务及技术文件”、“报价文件”。</w:t>
      </w:r>
    </w:p>
    <w:p>
      <w:pPr>
        <w:spacing w:line="360" w:lineRule="auto"/>
        <w:ind w:firstLine="525" w:firstLineChars="250"/>
        <w:rPr>
          <w:rFonts w:ascii="宋体" w:hAnsi="宋体" w:cs="宋体"/>
          <w:bCs/>
        </w:rPr>
      </w:pPr>
      <w:r>
        <w:rPr>
          <w:rFonts w:hint="eastAsia" w:ascii="宋体" w:hAnsi="宋体" w:cs="宋体"/>
          <w:bCs/>
        </w:rPr>
        <w:t>14.2电子响应文件及备份响应文件中须加盖公章部分均采用CA签章。</w:t>
      </w:r>
    </w:p>
    <w:p>
      <w:pPr>
        <w:spacing w:line="360" w:lineRule="auto"/>
        <w:ind w:firstLine="525" w:firstLineChars="250"/>
        <w:rPr>
          <w:rFonts w:ascii="宋体" w:hAnsi="宋体" w:cs="宋体"/>
          <w:bCs/>
        </w:rPr>
      </w:pPr>
      <w:r>
        <w:rPr>
          <w:rFonts w:hint="eastAsia" w:ascii="宋体" w:hAnsi="宋体" w:cs="宋体"/>
          <w:bCs/>
        </w:rPr>
        <w:t>14.3 电报、电话、传真形式的磋商概不接受。</w:t>
      </w:r>
    </w:p>
    <w:p>
      <w:pPr>
        <w:pStyle w:val="4"/>
        <w:spacing w:line="360" w:lineRule="auto"/>
        <w:rPr>
          <w:rFonts w:ascii="宋体" w:hAnsi="宋体"/>
          <w:sz w:val="24"/>
          <w:szCs w:val="24"/>
        </w:rPr>
      </w:pPr>
      <w:bookmarkStart w:id="74" w:name="_Toc59530132"/>
      <w:r>
        <w:rPr>
          <w:rFonts w:hint="eastAsia" w:ascii="宋体" w:hAnsi="宋体"/>
          <w:sz w:val="24"/>
          <w:szCs w:val="24"/>
        </w:rPr>
        <w:t>四   响应文件的加密、提交、修改和撤回</w:t>
      </w:r>
      <w:bookmarkEnd w:id="74"/>
    </w:p>
    <w:p>
      <w:pPr>
        <w:pStyle w:val="5"/>
      </w:pPr>
      <w:bookmarkStart w:id="75" w:name="_Toc59530133"/>
      <w:r>
        <w:rPr>
          <w:rFonts w:hint="eastAsia"/>
        </w:rPr>
        <w:t>15.响应文件的加密</w:t>
      </w:r>
      <w:bookmarkEnd w:id="75"/>
    </w:p>
    <w:p>
      <w:pPr>
        <w:spacing w:line="360" w:lineRule="auto"/>
        <w:ind w:firstLine="525" w:firstLineChars="250"/>
        <w:rPr>
          <w:rFonts w:ascii="宋体" w:hAnsi="宋体" w:cs="宋体"/>
          <w:bCs/>
        </w:rPr>
      </w:pPr>
      <w:r>
        <w:rPr>
          <w:rFonts w:hint="eastAsia" w:ascii="宋体" w:hAnsi="宋体" w:cs="宋体"/>
          <w:bCs/>
        </w:rPr>
        <w:t>15.1供应商应当将资格审查文件、资信商务及技术文件和报价文件三部分分别导入相应位置，各文件之间不得混装；</w:t>
      </w:r>
    </w:p>
    <w:p>
      <w:pPr>
        <w:spacing w:line="360" w:lineRule="auto"/>
        <w:ind w:firstLine="525" w:firstLineChars="250"/>
        <w:rPr>
          <w:rFonts w:ascii="宋体" w:hAnsi="宋体" w:cs="宋体"/>
          <w:bCs/>
        </w:rPr>
      </w:pPr>
      <w:r>
        <w:rPr>
          <w:rFonts w:hint="eastAsia" w:ascii="宋体" w:hAnsi="宋体" w:cs="宋体"/>
          <w:bCs/>
        </w:rPr>
        <w:t>15.</w:t>
      </w:r>
      <w:r>
        <w:rPr>
          <w:rFonts w:ascii="宋体" w:hAnsi="宋体" w:cs="宋体"/>
          <w:bCs/>
        </w:rPr>
        <w:t>2</w:t>
      </w:r>
      <w:r>
        <w:rPr>
          <w:rFonts w:hint="eastAsia" w:ascii="宋体" w:hAnsi="宋体" w:cs="宋体"/>
          <w:bCs/>
        </w:rPr>
        <w:t>电子响应文件按政采云平台供应商项目采购-电子招投标操作指南（网址：https://help.zcygov.cn/web/site_2/2018/12-28/2573.html）进行制作。</w:t>
      </w:r>
    </w:p>
    <w:p>
      <w:pPr>
        <w:pStyle w:val="5"/>
      </w:pPr>
      <w:bookmarkStart w:id="76" w:name="_Toc59530134"/>
      <w:r>
        <w:rPr>
          <w:rFonts w:hint="eastAsia"/>
        </w:rPr>
        <w:t>16.响应文件的提交</w:t>
      </w:r>
      <w:bookmarkEnd w:id="76"/>
    </w:p>
    <w:p>
      <w:pPr>
        <w:spacing w:line="360" w:lineRule="auto"/>
        <w:ind w:firstLine="525" w:firstLineChars="250"/>
        <w:rPr>
          <w:rFonts w:ascii="宋体" w:hAnsi="宋体" w:cs="宋体"/>
          <w:bCs/>
        </w:rPr>
      </w:pPr>
      <w:r>
        <w:rPr>
          <w:rFonts w:hint="eastAsia" w:ascii="宋体" w:hAnsi="宋体" w:cs="宋体"/>
          <w:bCs/>
        </w:rPr>
        <w:t>▲16.1响应文件提交截止时间和提交地点详见本章前附表。</w:t>
      </w:r>
    </w:p>
    <w:p>
      <w:pPr>
        <w:spacing w:line="360" w:lineRule="auto"/>
        <w:ind w:firstLine="525" w:firstLineChars="250"/>
        <w:rPr>
          <w:rFonts w:ascii="宋体" w:hAnsi="宋体" w:cs="宋体"/>
          <w:bCs/>
        </w:rPr>
      </w:pPr>
      <w:r>
        <w:rPr>
          <w:rFonts w:hint="eastAsia" w:ascii="宋体" w:hAnsi="宋体" w:cs="宋体"/>
          <w:bCs/>
        </w:rPr>
        <w:t>16.2不予接收的电子响应文件情形</w:t>
      </w:r>
    </w:p>
    <w:p>
      <w:pPr>
        <w:spacing w:line="360" w:lineRule="auto"/>
        <w:ind w:firstLine="525" w:firstLineChars="250"/>
        <w:rPr>
          <w:rFonts w:ascii="宋体" w:hAnsi="宋体" w:cs="宋体"/>
          <w:bCs/>
        </w:rPr>
      </w:pPr>
      <w:r>
        <w:rPr>
          <w:rFonts w:hint="eastAsia" w:ascii="宋体" w:hAnsi="宋体" w:cs="宋体"/>
          <w:bCs/>
        </w:rPr>
        <w:t>⑴磋商截止时间前未完成传输的电子响应文件；</w:t>
      </w:r>
    </w:p>
    <w:p>
      <w:pPr>
        <w:spacing w:line="360" w:lineRule="auto"/>
        <w:ind w:firstLine="525" w:firstLineChars="250"/>
        <w:rPr>
          <w:rFonts w:ascii="宋体" w:hAnsi="宋体" w:cs="宋体"/>
          <w:bCs/>
        </w:rPr>
      </w:pPr>
      <w:r>
        <w:rPr>
          <w:rFonts w:hint="eastAsia" w:ascii="宋体" w:hAnsi="宋体" w:cs="宋体"/>
          <w:bCs/>
        </w:rPr>
        <w:t>⑵未生成加密的电子响应文件；</w:t>
      </w:r>
    </w:p>
    <w:p>
      <w:pPr>
        <w:spacing w:line="360" w:lineRule="auto"/>
        <w:ind w:firstLine="525" w:firstLineChars="250"/>
        <w:rPr>
          <w:rFonts w:ascii="宋体" w:hAnsi="宋体" w:cs="宋体"/>
          <w:bCs/>
        </w:rPr>
      </w:pPr>
      <w:r>
        <w:rPr>
          <w:rFonts w:hint="eastAsia" w:ascii="宋体" w:hAnsi="宋体" w:cs="宋体"/>
          <w:bCs/>
        </w:rPr>
        <w:t>⑶在规定时间内未解密的电子响应文件或者解密不成功又未在规定时间内提交备份响应文件的。</w:t>
      </w:r>
    </w:p>
    <w:p>
      <w:pPr>
        <w:pStyle w:val="5"/>
      </w:pPr>
      <w:bookmarkStart w:id="77" w:name="_Toc59530135"/>
      <w:r>
        <w:rPr>
          <w:rFonts w:hint="eastAsia"/>
        </w:rPr>
        <w:t>17.响应文件的修改和撤回</w:t>
      </w:r>
      <w:bookmarkEnd w:id="77"/>
    </w:p>
    <w:p>
      <w:pPr>
        <w:spacing w:line="360" w:lineRule="auto"/>
        <w:ind w:firstLine="525" w:firstLineChars="250"/>
        <w:rPr>
          <w:rFonts w:ascii="宋体" w:hAnsi="宋体" w:cs="宋体"/>
          <w:bCs/>
        </w:rPr>
      </w:pPr>
      <w:r>
        <w:rPr>
          <w:rFonts w:hint="eastAsia" w:ascii="宋体" w:hAnsi="宋体" w:cs="宋体"/>
          <w:bCs/>
        </w:rPr>
        <w:t>17.1在提交响应文件截止时间前，可以修改或撤回其响应文件：（1）电子响应文件补充、修改或撤回的，应当先行撤回原文件，补充、修改后重新传输提交；（2）备份响应文件补充、修改或撤回的应以书面形式通知采购代理机构。</w:t>
      </w:r>
    </w:p>
    <w:p>
      <w:pPr>
        <w:spacing w:line="360" w:lineRule="auto"/>
        <w:ind w:firstLine="525" w:firstLineChars="250"/>
        <w:rPr>
          <w:rFonts w:ascii="宋体" w:hAnsi="宋体" w:cs="宋体"/>
          <w:bCs/>
        </w:rPr>
      </w:pPr>
      <w:r>
        <w:rPr>
          <w:rFonts w:hint="eastAsia" w:ascii="宋体" w:hAnsi="宋体" w:cs="宋体"/>
          <w:bCs/>
        </w:rPr>
        <w:t>17.2修改后重新提交的响应文件应按磋商文件的规定编制、标记和提交。</w:t>
      </w:r>
    </w:p>
    <w:p>
      <w:pPr>
        <w:spacing w:line="360" w:lineRule="auto"/>
        <w:ind w:firstLine="525" w:firstLineChars="250"/>
        <w:rPr>
          <w:rFonts w:ascii="宋体" w:hAnsi="宋体" w:cs="宋体"/>
          <w:bCs/>
        </w:rPr>
      </w:pPr>
      <w:r>
        <w:rPr>
          <w:rFonts w:hint="eastAsia" w:ascii="宋体" w:hAnsi="宋体" w:cs="宋体"/>
          <w:bCs/>
        </w:rPr>
        <w:t>▲17.3在提交响应文件截止时间后,供应商不得修改、撤回已提交的响应文件。</w:t>
      </w:r>
    </w:p>
    <w:p>
      <w:pPr>
        <w:spacing w:line="360" w:lineRule="auto"/>
        <w:ind w:firstLine="525" w:firstLineChars="250"/>
        <w:rPr>
          <w:rFonts w:ascii="宋体" w:hAnsi="宋体" w:cs="宋体"/>
          <w:bCs/>
        </w:rPr>
      </w:pPr>
      <w:r>
        <w:rPr>
          <w:rFonts w:hint="eastAsia" w:ascii="宋体" w:hAnsi="宋体" w:cs="宋体"/>
          <w:bCs/>
        </w:rPr>
        <w:t>▲17.4补充、修改后的电子响应文件、备份响应文件内容均应相同。</w:t>
      </w:r>
    </w:p>
    <w:p>
      <w:pPr>
        <w:pStyle w:val="4"/>
        <w:spacing w:line="360" w:lineRule="auto"/>
        <w:rPr>
          <w:rFonts w:ascii="宋体" w:hAnsi="宋体"/>
          <w:sz w:val="24"/>
          <w:szCs w:val="24"/>
        </w:rPr>
      </w:pPr>
      <w:bookmarkStart w:id="78" w:name="_Toc59530136"/>
      <w:r>
        <w:rPr>
          <w:rFonts w:hint="eastAsia" w:ascii="宋体" w:hAnsi="宋体"/>
          <w:sz w:val="24"/>
          <w:szCs w:val="24"/>
        </w:rPr>
        <w:t>五   磋商会议和磋商评审</w:t>
      </w:r>
      <w:bookmarkEnd w:id="78"/>
    </w:p>
    <w:p>
      <w:pPr>
        <w:pStyle w:val="5"/>
      </w:pPr>
      <w:bookmarkStart w:id="79" w:name="_Toc59530137"/>
      <w:r>
        <w:rPr>
          <w:rFonts w:hint="eastAsia"/>
        </w:rPr>
        <w:t>18．磋商会议</w:t>
      </w:r>
      <w:bookmarkEnd w:id="79"/>
    </w:p>
    <w:p>
      <w:pPr>
        <w:spacing w:line="360" w:lineRule="auto"/>
        <w:ind w:firstLine="525" w:firstLineChars="250"/>
        <w:rPr>
          <w:rFonts w:ascii="宋体" w:hAnsi="宋体" w:cs="宋体"/>
          <w:bCs/>
        </w:rPr>
      </w:pPr>
      <w:r>
        <w:rPr>
          <w:rFonts w:hint="eastAsia" w:ascii="宋体" w:hAnsi="宋体" w:cs="宋体"/>
          <w:bCs/>
        </w:rPr>
        <w:t>本项目不要求供应商到开标现场开标，但供应商应派法定代表人或委托代理人【委托代理人应当是供应商的在职正式职工（以社保网站拉具的含授权代表的磋商单位社保清单为准，无社保网站拉具的磋商单位社保清单的，可以提供供应商注册所在地社保部门出具的供应商本单位缴纳社保花名册）】准时在线出席电子开标会议，随时关注开标进度，如在开标过程中有电子询标，应在规定的时间内对电子询标函进行澄清、答复。超过规定时间的询标函将不予接受，评标为委员会可以作出不利于被询标人的决定。评标委员会只对响应文件内容进行询问，以响应文件的内容作为评审依据，不接受外部补充证据，评标委员会认为供应商不符合磋商文件实质性要求明确时，可不经过询标而直接予以无效标认定，但代理机构应将无效标原因当场告知供应商。</w:t>
      </w:r>
    </w:p>
    <w:p>
      <w:pPr>
        <w:spacing w:line="360" w:lineRule="auto"/>
        <w:ind w:firstLine="525" w:firstLineChars="250"/>
        <w:rPr>
          <w:rFonts w:ascii="宋体" w:hAnsi="宋体" w:cs="宋体"/>
          <w:bCs/>
        </w:rPr>
      </w:pPr>
      <w:r>
        <w:rPr>
          <w:rFonts w:hint="eastAsia" w:ascii="宋体" w:hAnsi="宋体" w:cs="宋体"/>
          <w:bCs/>
        </w:rPr>
        <w:t>供应商未按采购文件要求派代表参加电子开标会议的，视同认可开标结果，不得对开标过程及开标结果提出质疑。</w:t>
      </w:r>
    </w:p>
    <w:p>
      <w:pPr>
        <w:spacing w:line="360" w:lineRule="auto"/>
        <w:ind w:firstLine="525" w:firstLineChars="250"/>
        <w:rPr>
          <w:rFonts w:ascii="宋体" w:hAnsi="宋体" w:cs="宋体"/>
          <w:bCs/>
        </w:rPr>
      </w:pPr>
      <w:r>
        <w:rPr>
          <w:rFonts w:hint="eastAsia" w:ascii="宋体" w:hAnsi="宋体" w:cs="宋体"/>
          <w:bCs/>
        </w:rPr>
        <w:t>投标截止时间后及评审过程中，有效供应商不足</w:t>
      </w:r>
      <w:r>
        <w:rPr>
          <w:rFonts w:ascii="宋体" w:hAnsi="宋体" w:cs="宋体"/>
          <w:bCs/>
        </w:rPr>
        <w:t>2</w:t>
      </w:r>
      <w:r>
        <w:rPr>
          <w:rFonts w:hint="eastAsia" w:ascii="宋体" w:hAnsi="宋体" w:cs="宋体"/>
          <w:bCs/>
        </w:rPr>
        <w:t>家的标项，则予以废标。</w:t>
      </w:r>
    </w:p>
    <w:p>
      <w:pPr>
        <w:spacing w:line="360" w:lineRule="auto"/>
        <w:ind w:firstLine="525" w:firstLineChars="250"/>
        <w:rPr>
          <w:rFonts w:ascii="宋体" w:hAnsi="宋体" w:cs="宋体"/>
          <w:bCs/>
        </w:rPr>
      </w:pPr>
      <w:r>
        <w:rPr>
          <w:rFonts w:hint="eastAsia" w:ascii="宋体" w:hAnsi="宋体" w:cs="宋体"/>
          <w:bCs/>
        </w:rPr>
        <w:t>（一）</w:t>
      </w:r>
      <w:r>
        <w:rPr>
          <w:rFonts w:hint="eastAsia" w:ascii="宋体" w:hAnsi="宋体" w:cs="宋体"/>
          <w:bCs/>
        </w:rPr>
        <w:tab/>
      </w:r>
      <w:r>
        <w:rPr>
          <w:rFonts w:hint="eastAsia" w:ascii="宋体" w:hAnsi="宋体" w:cs="宋体"/>
          <w:bCs/>
        </w:rPr>
        <w:t>磋商程序：</w:t>
      </w:r>
    </w:p>
    <w:p>
      <w:pPr>
        <w:spacing w:line="360" w:lineRule="auto"/>
        <w:ind w:firstLine="525" w:firstLineChars="250"/>
        <w:rPr>
          <w:rFonts w:ascii="宋体" w:hAnsi="宋体" w:cs="宋体"/>
          <w:bCs/>
        </w:rPr>
      </w:pPr>
      <w:r>
        <w:rPr>
          <w:rFonts w:hint="eastAsia" w:ascii="宋体" w:hAnsi="宋体" w:cs="宋体"/>
          <w:bCs/>
        </w:rPr>
        <w:t>1、本项目原则上采用政采云电子招投标系统进行开标及评审，但有下情形之一的，按以下情况处理：</w:t>
      </w:r>
    </w:p>
    <w:p>
      <w:pPr>
        <w:spacing w:line="360" w:lineRule="auto"/>
        <w:ind w:firstLine="525" w:firstLineChars="250"/>
        <w:rPr>
          <w:rFonts w:ascii="宋体" w:hAnsi="宋体" w:cs="宋体"/>
          <w:bCs/>
        </w:rPr>
      </w:pPr>
      <w:r>
        <w:rPr>
          <w:rFonts w:hint="eastAsia" w:ascii="宋体" w:hAnsi="宋体" w:cs="宋体"/>
          <w:bCs/>
        </w:rPr>
        <w:t>（1）若供应商的电子响应文件在规定时间内无法解密或解密失败，工作人员将开启供应商递交的电子备份响应文件，以完成开标。</w:t>
      </w:r>
    </w:p>
    <w:p>
      <w:pPr>
        <w:spacing w:line="360" w:lineRule="auto"/>
        <w:ind w:firstLine="525" w:firstLineChars="250"/>
        <w:rPr>
          <w:rFonts w:ascii="宋体" w:hAnsi="宋体" w:cs="宋体"/>
          <w:bCs/>
        </w:rPr>
      </w:pPr>
      <w:r>
        <w:rPr>
          <w:rFonts w:hint="eastAsia" w:ascii="宋体" w:hAnsi="宋体" w:cs="宋体"/>
          <w:bCs/>
        </w:rPr>
        <w:t>（2）若供应商的电子响应文件在规定时间内无法解密或解密失败，或者因政采云平台原因无法读取或电子开评标无法正常进行时，工作人员将上传供应商的电子备份响应文件，以完成开标。</w:t>
      </w:r>
    </w:p>
    <w:p>
      <w:pPr>
        <w:spacing w:line="360" w:lineRule="auto"/>
        <w:ind w:firstLine="525" w:firstLineChars="250"/>
        <w:rPr>
          <w:rFonts w:ascii="宋体" w:hAnsi="宋体" w:cs="宋体"/>
          <w:bCs/>
        </w:rPr>
      </w:pPr>
      <w:r>
        <w:rPr>
          <w:rFonts w:hint="eastAsia" w:ascii="宋体" w:hAnsi="宋体" w:cs="宋体"/>
          <w:bCs/>
        </w:rPr>
        <w:t>2、开标及评审程序</w:t>
      </w:r>
    </w:p>
    <w:p>
      <w:pPr>
        <w:spacing w:line="360" w:lineRule="auto"/>
        <w:ind w:firstLine="525" w:firstLineChars="250"/>
        <w:rPr>
          <w:rFonts w:ascii="宋体" w:hAnsi="宋体" w:cs="宋体"/>
          <w:bCs/>
        </w:rPr>
      </w:pPr>
      <w:r>
        <w:rPr>
          <w:rFonts w:hint="eastAsia" w:ascii="宋体" w:hAnsi="宋体" w:cs="宋体"/>
          <w:bCs/>
        </w:rPr>
        <w:t>（1）磋商截止时间后，供应商须登录政采云平台，用“项目采购-开标评标”功能对电子响应文件进行在线解密。在线解密电子响应文件时间为投标截止时间起半个小时内。</w:t>
      </w:r>
    </w:p>
    <w:p>
      <w:pPr>
        <w:spacing w:line="360" w:lineRule="auto"/>
        <w:ind w:firstLine="525" w:firstLineChars="250"/>
        <w:rPr>
          <w:rFonts w:ascii="宋体" w:hAnsi="宋体" w:cs="宋体"/>
          <w:bCs/>
        </w:rPr>
      </w:pPr>
      <w:r>
        <w:rPr>
          <w:rFonts w:hint="eastAsia" w:ascii="宋体" w:hAnsi="宋体" w:cs="宋体"/>
          <w:bCs/>
        </w:rPr>
        <w:t>（2）由采购人代表对资格审查文件进行评审，评标委员会对商务技术响应文件进行评审；</w:t>
      </w:r>
    </w:p>
    <w:p>
      <w:pPr>
        <w:spacing w:line="360" w:lineRule="auto"/>
        <w:ind w:firstLine="525" w:firstLineChars="250"/>
        <w:rPr>
          <w:rFonts w:ascii="宋体" w:hAnsi="宋体" w:cs="宋体"/>
          <w:bCs/>
        </w:rPr>
      </w:pPr>
      <w:r>
        <w:rPr>
          <w:rFonts w:hint="eastAsia" w:ascii="宋体" w:hAnsi="宋体" w:cs="宋体"/>
          <w:bCs/>
        </w:rPr>
        <w:t>（3）在系统上公开资格审查和技术商务评审结果；</w:t>
      </w:r>
    </w:p>
    <w:p>
      <w:pPr>
        <w:spacing w:line="360" w:lineRule="auto"/>
        <w:ind w:firstLine="525" w:firstLineChars="250"/>
        <w:rPr>
          <w:rFonts w:ascii="宋体" w:hAnsi="宋体" w:cs="宋体"/>
          <w:bCs/>
        </w:rPr>
      </w:pPr>
      <w:r>
        <w:rPr>
          <w:rFonts w:hint="eastAsia" w:ascii="宋体" w:hAnsi="宋体" w:cs="宋体"/>
          <w:bCs/>
        </w:rPr>
        <w:t>（4）进行在线磋商；</w:t>
      </w:r>
    </w:p>
    <w:p>
      <w:pPr>
        <w:spacing w:line="360" w:lineRule="auto"/>
        <w:ind w:firstLine="525" w:firstLineChars="250"/>
        <w:rPr>
          <w:rFonts w:ascii="宋体" w:hAnsi="宋体" w:cs="宋体"/>
          <w:bCs/>
        </w:rPr>
      </w:pPr>
      <w:r>
        <w:rPr>
          <w:rFonts w:hint="eastAsia" w:ascii="宋体" w:hAnsi="宋体" w:cs="宋体"/>
          <w:bCs/>
        </w:rPr>
        <w:t>（5）供应商提交二轮报价一览表；</w:t>
      </w:r>
    </w:p>
    <w:p>
      <w:pPr>
        <w:spacing w:line="360" w:lineRule="auto"/>
        <w:ind w:firstLine="525" w:firstLineChars="250"/>
        <w:rPr>
          <w:rFonts w:ascii="宋体" w:hAnsi="宋体" w:cs="宋体"/>
          <w:bCs/>
        </w:rPr>
      </w:pPr>
      <w:r>
        <w:rPr>
          <w:rFonts w:hint="eastAsia" w:ascii="宋体" w:hAnsi="宋体" w:cs="宋体"/>
          <w:bCs/>
        </w:rPr>
        <w:t>（6）在系统上公开二轮报价情况；</w:t>
      </w:r>
    </w:p>
    <w:p>
      <w:pPr>
        <w:spacing w:line="360" w:lineRule="auto"/>
        <w:ind w:firstLine="525" w:firstLineChars="250"/>
        <w:rPr>
          <w:rFonts w:ascii="宋体" w:hAnsi="宋体" w:cs="宋体"/>
          <w:bCs/>
        </w:rPr>
      </w:pPr>
      <w:r>
        <w:rPr>
          <w:rFonts w:hint="eastAsia" w:ascii="宋体" w:hAnsi="宋体" w:cs="宋体"/>
          <w:bCs/>
        </w:rPr>
        <w:t>（</w:t>
      </w:r>
      <w:r>
        <w:rPr>
          <w:rFonts w:ascii="宋体" w:hAnsi="宋体" w:cs="宋体"/>
          <w:bCs/>
        </w:rPr>
        <w:t>7</w:t>
      </w:r>
      <w:r>
        <w:rPr>
          <w:rFonts w:hint="eastAsia" w:ascii="宋体" w:hAnsi="宋体" w:cs="宋体"/>
          <w:bCs/>
        </w:rPr>
        <w:t>）评标委员会对报价情况进行评审；</w:t>
      </w:r>
    </w:p>
    <w:p>
      <w:pPr>
        <w:spacing w:line="360" w:lineRule="auto"/>
        <w:ind w:firstLine="525" w:firstLineChars="250"/>
        <w:rPr>
          <w:rFonts w:ascii="宋体" w:hAnsi="宋体" w:cs="宋体"/>
          <w:bCs/>
        </w:rPr>
      </w:pPr>
      <w:r>
        <w:rPr>
          <w:rFonts w:hint="eastAsia" w:ascii="宋体" w:hAnsi="宋体" w:cs="宋体"/>
          <w:bCs/>
        </w:rPr>
        <w:t>（</w:t>
      </w:r>
      <w:r>
        <w:rPr>
          <w:rFonts w:ascii="宋体" w:hAnsi="宋体" w:cs="宋体"/>
          <w:bCs/>
        </w:rPr>
        <w:t>8</w:t>
      </w:r>
      <w:r>
        <w:rPr>
          <w:rFonts w:hint="eastAsia" w:ascii="宋体" w:hAnsi="宋体" w:cs="宋体"/>
          <w:bCs/>
        </w:rPr>
        <w:t>）在系统上公布评审结果。</w:t>
      </w:r>
    </w:p>
    <w:p>
      <w:pPr>
        <w:spacing w:line="360" w:lineRule="auto"/>
        <w:ind w:firstLine="525" w:firstLineChars="250"/>
        <w:rPr>
          <w:rFonts w:ascii="宋体" w:hAnsi="宋体" w:cs="宋体"/>
          <w:bCs/>
        </w:rPr>
      </w:pPr>
      <w:r>
        <w:rPr>
          <w:rFonts w:hint="eastAsia" w:ascii="宋体" w:hAnsi="宋体" w:cs="宋体"/>
          <w:bCs/>
        </w:rPr>
        <w:t>特别说明：政采云公司如对电子化开标及评审程序有调整的，按调整后的程序操作。</w:t>
      </w:r>
    </w:p>
    <w:p>
      <w:pPr>
        <w:spacing w:line="360" w:lineRule="auto"/>
        <w:ind w:firstLine="525" w:firstLineChars="250"/>
        <w:rPr>
          <w:rFonts w:ascii="宋体" w:hAnsi="宋体" w:cs="宋体"/>
          <w:bCs/>
        </w:rPr>
      </w:pPr>
      <w:r>
        <w:rPr>
          <w:rFonts w:hint="eastAsia" w:ascii="宋体" w:hAnsi="宋体" w:cs="宋体"/>
          <w:bCs/>
        </w:rPr>
        <w:t>（二）</w:t>
      </w:r>
      <w:r>
        <w:rPr>
          <w:rFonts w:ascii="宋体" w:hAnsi="宋体" w:cs="宋体"/>
          <w:bCs/>
        </w:rPr>
        <w:tab/>
      </w:r>
      <w:r>
        <w:rPr>
          <w:rFonts w:hint="eastAsia" w:ascii="宋体" w:hAnsi="宋体" w:cs="宋体"/>
          <w:bCs/>
        </w:rPr>
        <w:t>钉钉视频程序：</w:t>
      </w:r>
    </w:p>
    <w:p>
      <w:pPr>
        <w:spacing w:line="360" w:lineRule="auto"/>
        <w:ind w:firstLine="525" w:firstLineChars="250"/>
      </w:pPr>
      <w:r>
        <w:rPr>
          <w:rFonts w:hint="eastAsia"/>
        </w:rPr>
        <w:t>（</w:t>
      </w:r>
      <w:r>
        <w:t>1</w:t>
      </w:r>
      <w:r>
        <w:rPr>
          <w:rFonts w:hint="eastAsia"/>
        </w:rPr>
        <w:t>）本项目通过钉钉视频程序进行磋商，磋商小组所有成员集中与单一供应商分别进行磋商，并给予所有参加磋商的供应商平等的磋商机会。</w:t>
      </w:r>
    </w:p>
    <w:p>
      <w:pPr>
        <w:spacing w:line="360" w:lineRule="auto"/>
        <w:ind w:firstLine="525" w:firstLineChars="250"/>
      </w:pPr>
      <w:r>
        <w:rPr>
          <w:rFonts w:hint="eastAsia"/>
        </w:rPr>
        <w:t>（</w:t>
      </w:r>
      <w:r>
        <w:t>2</w:t>
      </w:r>
      <w:r>
        <w:rPr>
          <w:rFonts w:hint="eastAsia"/>
        </w:rPr>
        <w:t>）代理机构将在开标后一定时间内添加各委托代理人提供的钉钉号为好友，请各供应商关注钉钉动态并保持电话通畅。</w:t>
      </w:r>
    </w:p>
    <w:p>
      <w:pPr>
        <w:spacing w:line="360" w:lineRule="auto"/>
        <w:ind w:firstLine="525" w:firstLineChars="250"/>
      </w:pPr>
      <w:r>
        <w:rPr>
          <w:rFonts w:hint="eastAsia"/>
        </w:rPr>
        <w:t>（</w:t>
      </w:r>
      <w:r>
        <w:t>3</w:t>
      </w:r>
      <w:r>
        <w:rPr>
          <w:rFonts w:hint="eastAsia"/>
        </w:rPr>
        <w:t>）本项目通过钉钉视频方式审查本磋商文件规定的原件，请各供应商在响应文件递交截止时间前将相关备查原件准备好，等接到通知后，将备查原件在钉钉视频展示。</w:t>
      </w:r>
    </w:p>
    <w:p>
      <w:pPr>
        <w:spacing w:line="360" w:lineRule="auto"/>
        <w:ind w:firstLine="525" w:firstLineChars="250"/>
      </w:pPr>
      <w:r>
        <w:rPr>
          <w:rFonts w:hint="eastAsia"/>
        </w:rPr>
        <w:t>（4）本项目通过钉钉视频方式进行供应商技术方案的答辩陈述，答辩人应为供应商本公司员工，答辩人若非委托代理人的，应展示答辩人社保证明。</w:t>
      </w:r>
    </w:p>
    <w:p>
      <w:pPr>
        <w:spacing w:line="360" w:lineRule="auto"/>
        <w:ind w:firstLine="525" w:firstLineChars="250"/>
      </w:pPr>
      <w:r>
        <w:rPr>
          <w:rFonts w:hint="eastAsia"/>
        </w:rPr>
        <w:t>（</w:t>
      </w:r>
      <w:r>
        <w:t>5</w:t>
      </w:r>
      <w:r>
        <w:rPr>
          <w:rFonts w:hint="eastAsia"/>
        </w:rPr>
        <w:t>）请各供应商至评审结束前保持钉钉在线及电话通畅，因通讯不畅造成的无法磋商及一切后果由供应商自行承担。。</w:t>
      </w:r>
    </w:p>
    <w:p>
      <w:pPr>
        <w:pStyle w:val="5"/>
      </w:pPr>
      <w:bookmarkStart w:id="80" w:name="_Toc59530138"/>
      <w:r>
        <w:rPr>
          <w:rFonts w:hint="eastAsia"/>
        </w:rPr>
        <w:t>19. 资格审查</w:t>
      </w:r>
      <w:bookmarkEnd w:id="80"/>
    </w:p>
    <w:p>
      <w:pPr>
        <w:spacing w:line="360" w:lineRule="auto"/>
        <w:ind w:firstLine="525" w:firstLineChars="250"/>
        <w:rPr>
          <w:rFonts w:ascii="宋体" w:hAnsi="宋体" w:cs="宋体"/>
          <w:bCs/>
        </w:rPr>
      </w:pPr>
      <w:r>
        <w:rPr>
          <w:rFonts w:hint="eastAsia" w:ascii="宋体" w:hAnsi="宋体" w:cs="宋体"/>
          <w:bCs/>
        </w:rPr>
        <w:t>19.1 采购人或采购代理按资格要求对供应商进行资格审查及记录。</w:t>
      </w:r>
    </w:p>
    <w:p>
      <w:pPr>
        <w:spacing w:line="360" w:lineRule="auto"/>
        <w:ind w:firstLine="525" w:firstLineChars="250"/>
        <w:rPr>
          <w:rFonts w:ascii="宋体" w:hAnsi="宋体" w:cs="宋体"/>
          <w:bCs/>
        </w:rPr>
      </w:pPr>
      <w:r>
        <w:rPr>
          <w:rFonts w:hint="eastAsia" w:ascii="宋体" w:hAnsi="宋体" w:cs="宋体"/>
          <w:bCs/>
        </w:rPr>
        <w:t>19.2 通过资格审查的供应商不足两家的，按相关规定重新组织采购。</w:t>
      </w:r>
    </w:p>
    <w:p>
      <w:pPr>
        <w:pStyle w:val="5"/>
      </w:pPr>
      <w:bookmarkStart w:id="81" w:name="_Toc59530139"/>
      <w:r>
        <w:rPr>
          <w:rFonts w:hint="eastAsia"/>
        </w:rPr>
        <w:t>20. 磋商评分办法：详见第六章。</w:t>
      </w:r>
      <w:bookmarkEnd w:id="81"/>
    </w:p>
    <w:p>
      <w:pPr>
        <w:pStyle w:val="5"/>
      </w:pPr>
      <w:bookmarkStart w:id="82" w:name="_Toc59530140"/>
      <w:r>
        <w:rPr>
          <w:rFonts w:hint="eastAsia"/>
        </w:rPr>
        <w:t>21.响应文件的澄清</w:t>
      </w:r>
      <w:bookmarkEnd w:id="82"/>
    </w:p>
    <w:p>
      <w:pPr>
        <w:spacing w:line="360" w:lineRule="auto"/>
        <w:ind w:firstLine="525" w:firstLineChars="250"/>
        <w:rPr>
          <w:rFonts w:ascii="宋体" w:hAnsi="宋体" w:cs="宋体"/>
          <w:bCs/>
        </w:rPr>
      </w:pPr>
      <w:r>
        <w:rPr>
          <w:rFonts w:hint="eastAsia" w:ascii="宋体" w:hAnsi="宋体" w:cs="宋体"/>
          <w:bCs/>
        </w:rPr>
        <w:t>21.1 对响应文件中含义不明确、同类问题表述不一致或者有明显文字和计算错误的内容，磋商小组应当通过电子交易平台交换数据电文的形式要求供应商作出必要的澄清、说明或者补正。澄清、说明或者补正应当采用电子交易平台交换数据电文的形式提交，供应商的澄清、说明或者补正不得超出响应文件的范围或者改变响应文件的实质性内容。供应商的澄清、说明或补正将作为响应文件的一部分。</w:t>
      </w:r>
    </w:p>
    <w:p>
      <w:pPr>
        <w:spacing w:line="360" w:lineRule="auto"/>
        <w:ind w:firstLine="525" w:firstLineChars="250"/>
        <w:rPr>
          <w:rFonts w:ascii="宋体" w:hAnsi="宋体" w:cs="宋体"/>
          <w:bCs/>
        </w:rPr>
      </w:pPr>
      <w:r>
        <w:rPr>
          <w:rFonts w:hint="eastAsia" w:ascii="宋体" w:hAnsi="宋体" w:cs="宋体"/>
          <w:bCs/>
        </w:rPr>
        <w:t>21.2 磋商过程中，实质性变动的内容，经采购人代表确认后，磋商小组可以根据磋商文件和磋商情况实质性变动采购需求中的技术、服务要求以及合同草案条款，但不得变动磋商文件中其他内容，否则磋商小组不得变动磋商文件中的实质性内容。供应商应当根据磋商变动情况和磋商小组的要求重新提交响应内容，响应内容应当通过电子交易平台交换数据电文的形式提交。</w:t>
      </w:r>
    </w:p>
    <w:p>
      <w:pPr>
        <w:spacing w:line="360" w:lineRule="auto"/>
        <w:ind w:firstLine="525" w:firstLineChars="250"/>
        <w:rPr>
          <w:rFonts w:ascii="宋体" w:hAnsi="宋体" w:cs="宋体"/>
          <w:bCs/>
        </w:rPr>
      </w:pPr>
      <w:r>
        <w:rPr>
          <w:rFonts w:hint="eastAsia" w:ascii="宋体" w:hAnsi="宋体" w:cs="宋体"/>
          <w:bCs/>
        </w:rPr>
        <w:t>21.3 报价算术错误将按以下方法修正：</w:t>
      </w:r>
    </w:p>
    <w:p>
      <w:pPr>
        <w:spacing w:line="360" w:lineRule="auto"/>
        <w:ind w:firstLine="525" w:firstLineChars="250"/>
        <w:rPr>
          <w:rFonts w:ascii="宋体" w:hAnsi="宋体" w:cs="宋体"/>
          <w:bCs/>
        </w:rPr>
      </w:pPr>
      <w:r>
        <w:rPr>
          <w:rFonts w:hint="eastAsia" w:ascii="宋体" w:hAnsi="宋体" w:cs="宋体"/>
          <w:bCs/>
        </w:rPr>
        <w:t>（1）报价文件中开标一览表（报价表）内容与报价文件中明细表相应内容不一致的，以开标一览表（报价表）为准；</w:t>
      </w:r>
    </w:p>
    <w:p>
      <w:pPr>
        <w:spacing w:line="360" w:lineRule="auto"/>
        <w:ind w:firstLine="525" w:firstLineChars="250"/>
        <w:rPr>
          <w:rFonts w:ascii="宋体" w:hAnsi="宋体" w:cs="宋体"/>
          <w:bCs/>
        </w:rPr>
      </w:pPr>
      <w:r>
        <w:rPr>
          <w:rFonts w:hint="eastAsia" w:ascii="宋体" w:hAnsi="宋体" w:cs="宋体"/>
          <w:bCs/>
        </w:rPr>
        <w:t>（2）报价文件的大写金额和小写金额不一致的，以大写金额为准；</w:t>
      </w:r>
    </w:p>
    <w:p>
      <w:pPr>
        <w:spacing w:line="360" w:lineRule="auto"/>
        <w:ind w:firstLine="525" w:firstLineChars="250"/>
        <w:rPr>
          <w:rFonts w:ascii="宋体" w:hAnsi="宋体" w:cs="宋体"/>
          <w:bCs/>
        </w:rPr>
      </w:pPr>
      <w:r>
        <w:rPr>
          <w:rFonts w:hint="eastAsia" w:ascii="宋体" w:hAnsi="宋体" w:cs="宋体"/>
          <w:bCs/>
        </w:rPr>
        <w:t>（3）单价金额小数点或者百分比有明显错位的，以开标一览表（报价表）的总价为准，并修改单价；</w:t>
      </w:r>
    </w:p>
    <w:p>
      <w:pPr>
        <w:spacing w:line="360" w:lineRule="auto"/>
        <w:ind w:firstLine="525" w:firstLineChars="250"/>
        <w:rPr>
          <w:rFonts w:ascii="宋体" w:hAnsi="宋体" w:cs="宋体"/>
          <w:bCs/>
        </w:rPr>
      </w:pPr>
      <w:r>
        <w:rPr>
          <w:rFonts w:hint="eastAsia" w:ascii="宋体" w:hAnsi="宋体" w:cs="宋体"/>
          <w:bCs/>
        </w:rPr>
        <w:t>（4）总价金额与按单价汇总金额不一致的，以单价金额计算结果为准；</w:t>
      </w:r>
    </w:p>
    <w:p>
      <w:pPr>
        <w:spacing w:line="360" w:lineRule="auto"/>
        <w:ind w:firstLine="525" w:firstLineChars="250"/>
        <w:rPr>
          <w:rFonts w:ascii="宋体" w:hAnsi="宋体" w:cs="宋体"/>
          <w:bCs/>
        </w:rPr>
      </w:pPr>
      <w:r>
        <w:rPr>
          <w:rFonts w:hint="eastAsia" w:ascii="宋体" w:hAnsi="宋体" w:cs="宋体"/>
          <w:bCs/>
        </w:rPr>
        <w:t>（5）同时出现两种以上不一致的，按上述顺序修正。</w:t>
      </w:r>
    </w:p>
    <w:p>
      <w:pPr>
        <w:spacing w:line="360" w:lineRule="auto"/>
        <w:ind w:firstLine="525" w:firstLineChars="250"/>
        <w:rPr>
          <w:rFonts w:ascii="宋体" w:hAnsi="宋体" w:cs="宋体"/>
          <w:bCs/>
        </w:rPr>
      </w:pPr>
      <w:r>
        <w:rPr>
          <w:rFonts w:hint="eastAsia" w:ascii="宋体" w:hAnsi="宋体" w:cs="宋体"/>
          <w:bCs/>
        </w:rPr>
        <w:t>（6）对不同文字文本响应文件的解释发生异议的，以中文文本为准。</w:t>
      </w:r>
    </w:p>
    <w:p>
      <w:pPr>
        <w:spacing w:line="360" w:lineRule="auto"/>
        <w:ind w:firstLine="525" w:firstLineChars="250"/>
        <w:rPr>
          <w:rFonts w:ascii="宋体" w:hAnsi="宋体" w:cs="宋体"/>
          <w:bCs/>
        </w:rPr>
      </w:pPr>
      <w:r>
        <w:rPr>
          <w:rFonts w:hint="eastAsia" w:ascii="宋体" w:hAnsi="宋体" w:cs="宋体"/>
          <w:bCs/>
        </w:rPr>
        <w:t>（7）修正错误的磋商最终报价，经供商应当通过电子交易平台交换数据电文的形式提交，调整后的磋商最终报价对供应商具有约束作用。若供应商不接受修正后的磋商最终报价，则其响应文件将作为无效响应处理。</w:t>
      </w:r>
    </w:p>
    <w:p>
      <w:pPr>
        <w:pStyle w:val="5"/>
      </w:pPr>
      <w:bookmarkStart w:id="83" w:name="_Toc59530141"/>
      <w:r>
        <w:rPr>
          <w:rFonts w:hint="eastAsia"/>
        </w:rPr>
        <w:t>22.对响应文件的比较和评估</w:t>
      </w:r>
      <w:bookmarkEnd w:id="83"/>
    </w:p>
    <w:p>
      <w:pPr>
        <w:spacing w:line="360" w:lineRule="auto"/>
        <w:ind w:firstLine="525" w:firstLineChars="250"/>
        <w:rPr>
          <w:rFonts w:ascii="宋体" w:hAnsi="宋体" w:cs="宋体"/>
          <w:bCs/>
        </w:rPr>
      </w:pPr>
      <w:r>
        <w:rPr>
          <w:rFonts w:hint="eastAsia" w:ascii="宋体" w:hAnsi="宋体" w:cs="宋体"/>
          <w:bCs/>
        </w:rPr>
        <w:t>22.1 磋商小组根据磋商文件规定的评审办法和标准、对符合性审查合格供应商的响应文件、澄清答复内容及重新承诺情况进行商务和技术评估，综合比较与评价，并按照平等、客观、公正的原则对响应文件进行综合评审和评分。</w:t>
      </w:r>
    </w:p>
    <w:p>
      <w:pPr>
        <w:pStyle w:val="5"/>
      </w:pPr>
      <w:bookmarkStart w:id="84" w:name="_Toc59530142"/>
      <w:r>
        <w:rPr>
          <w:rFonts w:hint="eastAsia"/>
        </w:rPr>
        <w:t>23．评审报告</w:t>
      </w:r>
      <w:bookmarkEnd w:id="84"/>
    </w:p>
    <w:p>
      <w:pPr>
        <w:spacing w:line="360" w:lineRule="auto"/>
        <w:ind w:firstLine="525" w:firstLineChars="250"/>
        <w:rPr>
          <w:rFonts w:ascii="宋体" w:hAnsi="宋体" w:cs="宋体"/>
          <w:bCs/>
        </w:rPr>
      </w:pPr>
      <w:r>
        <w:rPr>
          <w:rFonts w:hint="eastAsia" w:ascii="宋体" w:hAnsi="宋体" w:cs="宋体"/>
          <w:bCs/>
        </w:rPr>
        <w:t>磋商小组根据磋商记录、全体磋商小组成员签字的原始评审记录、评审结果编写评审报告，并推荐成交候选人，评审报告由磋商小组成员签字确认后提交。</w:t>
      </w:r>
    </w:p>
    <w:p>
      <w:pPr>
        <w:pStyle w:val="5"/>
      </w:pPr>
      <w:bookmarkStart w:id="85" w:name="_Toc59530143"/>
      <w:r>
        <w:rPr>
          <w:rFonts w:hint="eastAsia"/>
        </w:rPr>
        <w:t>24.采购过程中出现以下情形，导致电子交易平台无法正常运行，或者无法保证电子交易的公平、公正和安全时，可中止电子交易活动：</w:t>
      </w:r>
      <w:bookmarkEnd w:id="85"/>
    </w:p>
    <w:p>
      <w:pPr>
        <w:spacing w:line="360" w:lineRule="auto"/>
        <w:ind w:firstLine="525" w:firstLineChars="250"/>
        <w:rPr>
          <w:rFonts w:ascii="宋体" w:hAnsi="宋体" w:cs="宋体"/>
          <w:bCs/>
        </w:rPr>
      </w:pPr>
      <w:r>
        <w:rPr>
          <w:rFonts w:hint="eastAsia" w:ascii="宋体" w:hAnsi="宋体" w:cs="宋体"/>
          <w:bCs/>
        </w:rPr>
        <w:t>（一）电子交易平台发生故障而无法登录访问的；</w:t>
      </w:r>
    </w:p>
    <w:p>
      <w:pPr>
        <w:spacing w:line="360" w:lineRule="auto"/>
        <w:ind w:firstLine="525" w:firstLineChars="250"/>
        <w:rPr>
          <w:rFonts w:ascii="宋体" w:hAnsi="宋体" w:cs="宋体"/>
          <w:bCs/>
        </w:rPr>
      </w:pPr>
      <w:r>
        <w:rPr>
          <w:rFonts w:hint="eastAsia" w:ascii="宋体" w:hAnsi="宋体" w:cs="宋体"/>
          <w:bCs/>
        </w:rPr>
        <w:t>（二）电子交易平台应用或数据库出现错误，不能进行正常操作的；</w:t>
      </w:r>
    </w:p>
    <w:p>
      <w:pPr>
        <w:spacing w:line="360" w:lineRule="auto"/>
        <w:ind w:firstLine="525" w:firstLineChars="250"/>
        <w:rPr>
          <w:rFonts w:ascii="宋体" w:hAnsi="宋体" w:cs="宋体"/>
          <w:bCs/>
        </w:rPr>
      </w:pPr>
      <w:r>
        <w:rPr>
          <w:rFonts w:hint="eastAsia" w:ascii="宋体" w:hAnsi="宋体" w:cs="宋体"/>
          <w:bCs/>
        </w:rPr>
        <w:t>（三）电子交易平台发现严重安全漏洞，有潜在泄密危险的；</w:t>
      </w:r>
    </w:p>
    <w:p>
      <w:pPr>
        <w:spacing w:line="360" w:lineRule="auto"/>
        <w:ind w:firstLine="525" w:firstLineChars="250"/>
        <w:rPr>
          <w:rFonts w:ascii="宋体" w:hAnsi="宋体" w:cs="宋体"/>
          <w:bCs/>
        </w:rPr>
      </w:pPr>
      <w:r>
        <w:rPr>
          <w:rFonts w:hint="eastAsia" w:ascii="宋体" w:hAnsi="宋体" w:cs="宋体"/>
          <w:bCs/>
        </w:rPr>
        <w:t>（四）病毒发作导致不能进行正常操作的；</w:t>
      </w:r>
    </w:p>
    <w:p>
      <w:pPr>
        <w:spacing w:line="360" w:lineRule="auto"/>
        <w:ind w:firstLine="525" w:firstLineChars="250"/>
        <w:rPr>
          <w:rFonts w:ascii="宋体" w:hAnsi="宋体" w:cs="宋体"/>
          <w:bCs/>
        </w:rPr>
      </w:pPr>
      <w:r>
        <w:rPr>
          <w:rFonts w:hint="eastAsia" w:ascii="宋体" w:hAnsi="宋体" w:cs="宋体"/>
          <w:bCs/>
        </w:rPr>
        <w:t>（五）其他无法保证电子交易的公平、公正和安全的情况。</w:t>
      </w:r>
    </w:p>
    <w:p>
      <w:pPr>
        <w:spacing w:line="360" w:lineRule="auto"/>
        <w:ind w:firstLine="525" w:firstLineChars="250"/>
        <w:rPr>
          <w:rFonts w:ascii="宋体" w:hAnsi="宋体" w:cs="宋体"/>
          <w:bCs/>
        </w:rPr>
      </w:pPr>
      <w:r>
        <w:rPr>
          <w:rFonts w:hint="eastAsia" w:ascii="宋体" w:hAnsi="宋体" w:cs="宋体"/>
          <w:bCs/>
        </w:rPr>
        <w:t>出现前款规定情形，不影响采购公平、公正性的，采购组织机构可以待上述情形消除后继续组织电子交易活动；影响或可能影响采购公平、公正性的，重新组织采购。</w:t>
      </w:r>
    </w:p>
    <w:p>
      <w:pPr>
        <w:pStyle w:val="5"/>
      </w:pPr>
      <w:bookmarkStart w:id="86" w:name="_Toc59530144"/>
      <w:r>
        <w:rPr>
          <w:rFonts w:hint="eastAsia"/>
        </w:rPr>
        <w:t>25. 采购代理机构或评审小组因不可抗力（不可抗力包括但不限于自然灾害、断电、传播疫病等）原因造成电子交易活动无法正常运行的，将采取以下措施：</w:t>
      </w:r>
      <w:bookmarkEnd w:id="86"/>
    </w:p>
    <w:p>
      <w:pPr>
        <w:spacing w:line="360" w:lineRule="auto"/>
        <w:ind w:firstLine="525" w:firstLineChars="250"/>
        <w:rPr>
          <w:rFonts w:ascii="宋体" w:hAnsi="宋体" w:cs="宋体"/>
          <w:bCs/>
        </w:rPr>
      </w:pPr>
      <w:r>
        <w:rPr>
          <w:rFonts w:hint="eastAsia" w:ascii="宋体" w:hAnsi="宋体" w:cs="宋体"/>
          <w:bCs/>
        </w:rPr>
        <w:t>⑴短时间内能消除不可抗力因素的，采购代理机构或评审小组在消除不可抗力因素后继续组织电子交易活动。</w:t>
      </w:r>
    </w:p>
    <w:p>
      <w:pPr>
        <w:spacing w:line="360" w:lineRule="auto"/>
        <w:ind w:firstLine="525" w:firstLineChars="250"/>
        <w:rPr>
          <w:rFonts w:ascii="宋体" w:hAnsi="宋体" w:cs="宋体"/>
          <w:bCs/>
        </w:rPr>
      </w:pPr>
      <w:r>
        <w:rPr>
          <w:rFonts w:hint="eastAsia" w:ascii="宋体" w:hAnsi="宋体" w:cs="宋体"/>
          <w:bCs/>
        </w:rPr>
        <w:t>⑵长时间内无法消除不可抗力因素的，采购代理机构或评审小组将中止电子交易活动。中止电子交易活动的，采购人应当重新组织政府采购活动。</w:t>
      </w:r>
    </w:p>
    <w:p>
      <w:pPr>
        <w:pStyle w:val="5"/>
      </w:pPr>
      <w:bookmarkStart w:id="87" w:name="_Toc59530145"/>
      <w:r>
        <w:rPr>
          <w:rFonts w:hint="eastAsia"/>
        </w:rPr>
        <w:t>26.保密和磋商过程的监控</w:t>
      </w:r>
      <w:bookmarkEnd w:id="87"/>
    </w:p>
    <w:p>
      <w:pPr>
        <w:spacing w:line="360" w:lineRule="auto"/>
        <w:ind w:firstLine="525" w:firstLineChars="250"/>
        <w:rPr>
          <w:rFonts w:ascii="宋体" w:hAnsi="宋体" w:cs="宋体"/>
          <w:bCs/>
        </w:rPr>
      </w:pPr>
      <w:r>
        <w:rPr>
          <w:rFonts w:hint="eastAsia" w:ascii="宋体" w:hAnsi="宋体" w:cs="宋体"/>
          <w:bCs/>
        </w:rPr>
        <w:t>26.1自磋商时间起至成交公告发布时间止,凡属于审查、澄清、评估和比较磋商的有关资料，且与授予合同有关的信息都不得向任何供应商或与上述评审过程无关的人员透露。</w:t>
      </w:r>
    </w:p>
    <w:p>
      <w:pPr>
        <w:spacing w:line="360" w:lineRule="auto"/>
        <w:ind w:firstLine="525" w:firstLineChars="250"/>
        <w:rPr>
          <w:rFonts w:ascii="宋体" w:hAnsi="宋体" w:cs="宋体"/>
          <w:bCs/>
        </w:rPr>
      </w:pPr>
      <w:r>
        <w:rPr>
          <w:rFonts w:hint="eastAsia" w:ascii="宋体" w:hAnsi="宋体" w:cs="宋体"/>
          <w:bCs/>
        </w:rPr>
        <w:t>26.2本项目磋商过程实行全程录音、录像监控，供应商在磋商过程中所进行的试图影响评审结果的不公正行为或授予合同决定的过程施加影响的企图和行为，可能导致其磋商被拒绝。</w:t>
      </w:r>
    </w:p>
    <w:p>
      <w:pPr>
        <w:pStyle w:val="4"/>
        <w:spacing w:line="360" w:lineRule="auto"/>
        <w:rPr>
          <w:rFonts w:ascii="宋体" w:hAnsi="宋体"/>
          <w:sz w:val="24"/>
          <w:szCs w:val="24"/>
        </w:rPr>
      </w:pPr>
      <w:bookmarkStart w:id="88" w:name="_Toc59530146"/>
      <w:r>
        <w:rPr>
          <w:rFonts w:hint="eastAsia" w:ascii="宋体" w:hAnsi="宋体"/>
          <w:sz w:val="24"/>
          <w:szCs w:val="24"/>
        </w:rPr>
        <w:t>六   磋商无效的情形</w:t>
      </w:r>
      <w:bookmarkEnd w:id="88"/>
    </w:p>
    <w:p>
      <w:pPr>
        <w:pStyle w:val="5"/>
      </w:pPr>
      <w:bookmarkStart w:id="89" w:name="_Toc59530147"/>
      <w:r>
        <w:rPr>
          <w:rFonts w:hint="eastAsia"/>
        </w:rPr>
        <w:t>27. 实质上没有响应磋商文件要求的响应文件将被视为无效。供应商如有下列情形之一的，其磋商将被拒绝，响应文件无效：</w:t>
      </w:r>
      <w:bookmarkEnd w:id="89"/>
    </w:p>
    <w:p>
      <w:pPr>
        <w:spacing w:line="360" w:lineRule="auto"/>
        <w:ind w:firstLine="525" w:firstLineChars="250"/>
        <w:rPr>
          <w:rFonts w:ascii="宋体" w:hAnsi="宋体" w:cs="宋体"/>
          <w:bCs/>
        </w:rPr>
      </w:pPr>
      <w:r>
        <w:rPr>
          <w:rFonts w:hint="eastAsia" w:ascii="宋体" w:hAnsi="宋体" w:cs="宋体"/>
          <w:bCs/>
        </w:rPr>
        <w:t>27.1 电报、电话、传真形式提交响应文件的；</w:t>
      </w:r>
    </w:p>
    <w:p>
      <w:pPr>
        <w:spacing w:line="360" w:lineRule="auto"/>
        <w:ind w:firstLine="525" w:firstLineChars="250"/>
        <w:rPr>
          <w:rFonts w:ascii="宋体" w:hAnsi="宋体" w:cs="宋体"/>
          <w:bCs/>
        </w:rPr>
      </w:pPr>
      <w:r>
        <w:rPr>
          <w:rFonts w:hint="eastAsia" w:ascii="宋体" w:hAnsi="宋体" w:cs="宋体"/>
          <w:bCs/>
        </w:rPr>
        <w:t>27.2 供应商没有按磋商文件规定的时间和途径提交电子响应文件的；</w:t>
      </w:r>
    </w:p>
    <w:p>
      <w:pPr>
        <w:spacing w:line="360" w:lineRule="auto"/>
        <w:ind w:firstLine="525" w:firstLineChars="250"/>
        <w:rPr>
          <w:rFonts w:ascii="宋体" w:hAnsi="宋体" w:cs="宋体"/>
          <w:bCs/>
        </w:rPr>
      </w:pPr>
      <w:r>
        <w:rPr>
          <w:rFonts w:hint="eastAsia" w:ascii="宋体" w:hAnsi="宋体" w:cs="宋体"/>
          <w:bCs/>
        </w:rPr>
        <w:t>27.3未按采购文件规定要求签署、盖章的；</w:t>
      </w:r>
    </w:p>
    <w:p>
      <w:pPr>
        <w:spacing w:line="360" w:lineRule="auto"/>
        <w:ind w:firstLine="525" w:firstLineChars="250"/>
        <w:rPr>
          <w:rFonts w:ascii="宋体" w:hAnsi="宋体" w:cs="宋体"/>
          <w:bCs/>
        </w:rPr>
      </w:pPr>
      <w:r>
        <w:rPr>
          <w:rFonts w:hint="eastAsia" w:ascii="宋体" w:hAnsi="宋体" w:cs="宋体"/>
          <w:bCs/>
        </w:rPr>
        <w:t>27.4不具备采购文件规定的资格要求的；</w:t>
      </w:r>
    </w:p>
    <w:p>
      <w:pPr>
        <w:spacing w:line="360" w:lineRule="auto"/>
        <w:ind w:firstLine="525" w:firstLineChars="250"/>
        <w:rPr>
          <w:rFonts w:ascii="宋体" w:hAnsi="宋体" w:cs="宋体"/>
          <w:bCs/>
        </w:rPr>
      </w:pPr>
      <w:r>
        <w:rPr>
          <w:rFonts w:hint="eastAsia" w:ascii="宋体" w:hAnsi="宋体" w:cs="宋体"/>
          <w:bCs/>
        </w:rPr>
        <w:t>27.5磋商有效期不足的；</w:t>
      </w:r>
    </w:p>
    <w:p>
      <w:pPr>
        <w:spacing w:line="360" w:lineRule="auto"/>
        <w:ind w:firstLine="525" w:firstLineChars="250"/>
        <w:rPr>
          <w:rFonts w:ascii="宋体" w:hAnsi="宋体" w:cs="宋体"/>
          <w:bCs/>
        </w:rPr>
      </w:pPr>
      <w:r>
        <w:rPr>
          <w:rFonts w:hint="eastAsia" w:ascii="宋体" w:hAnsi="宋体" w:cs="宋体"/>
          <w:bCs/>
        </w:rPr>
        <w:t>27.6 磋商小组评定有实质性负偏离或出现“▲”条款的负偏离，但经采购人代表确认后不作变动的；</w:t>
      </w:r>
    </w:p>
    <w:p>
      <w:pPr>
        <w:spacing w:line="360" w:lineRule="auto"/>
        <w:ind w:firstLine="525" w:firstLineChars="250"/>
        <w:rPr>
          <w:rFonts w:ascii="宋体" w:hAnsi="宋体" w:cs="宋体"/>
          <w:bCs/>
        </w:rPr>
      </w:pPr>
      <w:r>
        <w:rPr>
          <w:rFonts w:hint="eastAsia" w:ascii="宋体" w:hAnsi="宋体" w:cs="宋体"/>
          <w:bCs/>
        </w:rPr>
        <w:t>27.7 响应文件含有采购人不能接受的附加条款的；</w:t>
      </w:r>
    </w:p>
    <w:p>
      <w:pPr>
        <w:spacing w:line="360" w:lineRule="auto"/>
        <w:ind w:firstLine="525" w:firstLineChars="250"/>
        <w:rPr>
          <w:rFonts w:ascii="宋体" w:hAnsi="宋体" w:cs="宋体"/>
          <w:bCs/>
        </w:rPr>
      </w:pPr>
      <w:r>
        <w:rPr>
          <w:rFonts w:hint="eastAsia" w:ascii="宋体" w:hAnsi="宋体" w:cs="宋体"/>
          <w:bCs/>
        </w:rPr>
        <w:t>27.8 最终报价高于磋商文件中规定的预算金额的；</w:t>
      </w:r>
    </w:p>
    <w:p>
      <w:pPr>
        <w:spacing w:line="360" w:lineRule="auto"/>
        <w:ind w:firstLine="525" w:firstLineChars="250"/>
        <w:rPr>
          <w:rFonts w:ascii="宋体" w:hAnsi="宋体" w:cs="宋体"/>
          <w:bCs/>
        </w:rPr>
      </w:pPr>
      <w:r>
        <w:rPr>
          <w:rFonts w:hint="eastAsia" w:ascii="宋体" w:hAnsi="宋体" w:cs="宋体"/>
          <w:bCs/>
        </w:rPr>
        <w:t>27.9磋商文件中未要求，但供应商给予赠品、回扣或与采购无关的其他商品、服务的。</w:t>
      </w:r>
    </w:p>
    <w:p>
      <w:pPr>
        <w:spacing w:line="360" w:lineRule="auto"/>
        <w:ind w:firstLine="525" w:firstLineChars="250"/>
        <w:rPr>
          <w:rFonts w:ascii="宋体" w:hAnsi="宋体" w:cs="宋体"/>
          <w:bCs/>
        </w:rPr>
      </w:pPr>
      <w:r>
        <w:rPr>
          <w:rFonts w:hint="eastAsia" w:ascii="宋体" w:hAnsi="宋体" w:cs="宋体"/>
          <w:bCs/>
        </w:rPr>
        <w:t>27.10磋商报价存在漏项或报价数量少于采购要求的；</w:t>
      </w:r>
    </w:p>
    <w:p>
      <w:pPr>
        <w:spacing w:line="360" w:lineRule="auto"/>
        <w:ind w:firstLine="525" w:firstLineChars="250"/>
        <w:rPr>
          <w:rFonts w:ascii="宋体" w:hAnsi="宋体" w:cs="宋体"/>
          <w:bCs/>
        </w:rPr>
      </w:pPr>
      <w:r>
        <w:rPr>
          <w:rFonts w:hint="eastAsia" w:ascii="宋体" w:hAnsi="宋体" w:cs="宋体"/>
          <w:bCs/>
        </w:rPr>
        <w:t>27.11报价明显低于其他通过符合性审查供应商的报价，有可能影响产品质量或者不能诚信履约的，供应商代表应在磋商小组规定的时间内通过电子交易平台提交说明，必要时提交相关证明材料；供应商不能证明其报价合理性的，磋商小组应当将其作为无效磋商处理。</w:t>
      </w:r>
    </w:p>
    <w:p>
      <w:pPr>
        <w:spacing w:line="360" w:lineRule="auto"/>
        <w:ind w:firstLine="525" w:firstLineChars="250"/>
        <w:rPr>
          <w:rFonts w:ascii="宋体" w:hAnsi="宋体" w:cs="宋体"/>
          <w:bCs/>
        </w:rPr>
      </w:pPr>
      <w:r>
        <w:rPr>
          <w:rFonts w:hint="eastAsia" w:ascii="宋体" w:hAnsi="宋体" w:cs="宋体"/>
          <w:bCs/>
        </w:rPr>
        <w:t>27.12供应商已明知采购期间或之后企业将发生兼并改制，或提供的产品将停产、淘汰，或必须有偿使用专供的备品备件和试剂耗材的，及其他应当告知采购人可能影响采购项目实施或损害采购人利益的信息，不在响应文件中予以特别说明的；</w:t>
      </w:r>
    </w:p>
    <w:p>
      <w:pPr>
        <w:spacing w:line="360" w:lineRule="auto"/>
        <w:ind w:firstLine="525" w:firstLineChars="250"/>
        <w:rPr>
          <w:rFonts w:ascii="宋体" w:hAnsi="宋体" w:cs="宋体"/>
          <w:bCs/>
        </w:rPr>
      </w:pPr>
      <w:r>
        <w:rPr>
          <w:rFonts w:hint="eastAsia" w:ascii="宋体" w:hAnsi="宋体" w:cs="宋体"/>
          <w:bCs/>
        </w:rPr>
        <w:t>27.13提供虚假材料谋取成交的；</w:t>
      </w:r>
    </w:p>
    <w:p>
      <w:pPr>
        <w:spacing w:line="360" w:lineRule="auto"/>
        <w:ind w:firstLine="525" w:firstLineChars="250"/>
        <w:rPr>
          <w:rFonts w:ascii="宋体" w:hAnsi="宋体" w:cs="宋体"/>
          <w:bCs/>
        </w:rPr>
      </w:pPr>
      <w:r>
        <w:rPr>
          <w:rFonts w:hint="eastAsia" w:ascii="宋体" w:hAnsi="宋体" w:cs="宋体"/>
          <w:bCs/>
        </w:rPr>
        <w:t>27.14不按磋商文件和成交人的响应文件订立合同，或者与采购人另行订立背离合同实质性内容的协议的；</w:t>
      </w:r>
    </w:p>
    <w:p>
      <w:pPr>
        <w:spacing w:line="360" w:lineRule="auto"/>
        <w:ind w:firstLine="525" w:firstLineChars="250"/>
        <w:rPr>
          <w:rFonts w:ascii="宋体" w:hAnsi="宋体" w:cs="宋体"/>
          <w:bCs/>
        </w:rPr>
      </w:pPr>
      <w:r>
        <w:rPr>
          <w:rFonts w:hint="eastAsia" w:ascii="宋体" w:hAnsi="宋体" w:cs="宋体"/>
          <w:bCs/>
        </w:rPr>
        <w:t>27.15磋商文件规定的其他响应文件无效情形。</w:t>
      </w:r>
    </w:p>
    <w:p>
      <w:pPr>
        <w:pStyle w:val="4"/>
        <w:spacing w:line="360" w:lineRule="auto"/>
        <w:rPr>
          <w:rFonts w:ascii="宋体" w:hAnsi="宋体"/>
          <w:sz w:val="24"/>
          <w:szCs w:val="24"/>
        </w:rPr>
      </w:pPr>
      <w:bookmarkStart w:id="90" w:name="_Toc59530148"/>
      <w:r>
        <w:rPr>
          <w:rFonts w:hint="eastAsia" w:ascii="宋体" w:hAnsi="宋体"/>
          <w:sz w:val="24"/>
          <w:szCs w:val="24"/>
        </w:rPr>
        <w:t>七   法律责任</w:t>
      </w:r>
      <w:bookmarkEnd w:id="90"/>
    </w:p>
    <w:p>
      <w:pPr>
        <w:pStyle w:val="5"/>
      </w:pPr>
      <w:bookmarkStart w:id="91" w:name="_Toc59530149"/>
      <w:r>
        <w:rPr>
          <w:rFonts w:hint="eastAsia"/>
        </w:rPr>
        <w:t>28. 供应商有下列情形之一的，处以政府采购项目成交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bookmarkEnd w:id="91"/>
    </w:p>
    <w:p>
      <w:pPr>
        <w:spacing w:line="360" w:lineRule="auto"/>
        <w:ind w:firstLine="525" w:firstLineChars="250"/>
        <w:rPr>
          <w:rFonts w:ascii="宋体" w:hAnsi="宋体" w:cs="宋体"/>
          <w:bCs/>
        </w:rPr>
      </w:pPr>
      <w:r>
        <w:rPr>
          <w:rFonts w:hint="eastAsia" w:ascii="宋体" w:hAnsi="宋体" w:cs="宋体"/>
          <w:bCs/>
        </w:rPr>
        <w:t>28.1 提供虚假材料谋取成交的；</w:t>
      </w:r>
    </w:p>
    <w:p>
      <w:pPr>
        <w:spacing w:line="360" w:lineRule="auto"/>
        <w:ind w:firstLine="525" w:firstLineChars="250"/>
        <w:rPr>
          <w:rFonts w:ascii="宋体" w:hAnsi="宋体" w:cs="宋体"/>
          <w:bCs/>
        </w:rPr>
      </w:pPr>
      <w:r>
        <w:rPr>
          <w:rFonts w:hint="eastAsia" w:ascii="宋体" w:hAnsi="宋体" w:cs="宋体"/>
          <w:bCs/>
        </w:rPr>
        <w:t>28.2 采取不正当手段诋毁、排挤其他供应商的；</w:t>
      </w:r>
    </w:p>
    <w:p>
      <w:pPr>
        <w:spacing w:line="360" w:lineRule="auto"/>
        <w:ind w:firstLine="525" w:firstLineChars="250"/>
        <w:rPr>
          <w:rFonts w:ascii="宋体" w:hAnsi="宋体" w:cs="宋体"/>
          <w:bCs/>
        </w:rPr>
      </w:pPr>
      <w:r>
        <w:rPr>
          <w:rFonts w:hint="eastAsia" w:ascii="宋体" w:hAnsi="宋体" w:cs="宋体"/>
          <w:bCs/>
        </w:rPr>
        <w:t>28.3 与采购人、其他供应商或者采购代理机构恶意串通的；</w:t>
      </w:r>
    </w:p>
    <w:p>
      <w:pPr>
        <w:spacing w:line="360" w:lineRule="auto"/>
        <w:ind w:firstLine="525" w:firstLineChars="250"/>
        <w:rPr>
          <w:rFonts w:ascii="宋体" w:hAnsi="宋体" w:cs="宋体"/>
          <w:bCs/>
        </w:rPr>
      </w:pPr>
      <w:r>
        <w:rPr>
          <w:rFonts w:hint="eastAsia" w:ascii="宋体" w:hAnsi="宋体" w:cs="宋体"/>
          <w:bCs/>
        </w:rPr>
        <w:t>28.4 向采购人、采购代理机构行贿或者提供其他不正当利益的；</w:t>
      </w:r>
    </w:p>
    <w:p>
      <w:pPr>
        <w:spacing w:line="360" w:lineRule="auto"/>
        <w:ind w:firstLine="525" w:firstLineChars="250"/>
        <w:rPr>
          <w:rFonts w:ascii="宋体" w:hAnsi="宋体" w:cs="宋体"/>
          <w:bCs/>
        </w:rPr>
      </w:pPr>
      <w:r>
        <w:rPr>
          <w:rFonts w:hint="eastAsia" w:ascii="宋体" w:hAnsi="宋体" w:cs="宋体"/>
          <w:bCs/>
        </w:rPr>
        <w:t>28.5 在采购过程中与采购人进行协商谈判的；</w:t>
      </w:r>
    </w:p>
    <w:p>
      <w:pPr>
        <w:spacing w:line="360" w:lineRule="auto"/>
        <w:ind w:firstLine="525" w:firstLineChars="250"/>
        <w:rPr>
          <w:rFonts w:ascii="宋体" w:hAnsi="宋体" w:cs="宋体"/>
          <w:bCs/>
        </w:rPr>
      </w:pPr>
      <w:r>
        <w:rPr>
          <w:rFonts w:hint="eastAsia" w:ascii="宋体" w:hAnsi="宋体" w:cs="宋体"/>
          <w:bCs/>
        </w:rPr>
        <w:t>28.6 拒绝有关部门监督检查或者提供虚假情况的；</w:t>
      </w:r>
    </w:p>
    <w:p>
      <w:pPr>
        <w:spacing w:line="360" w:lineRule="auto"/>
        <w:ind w:firstLine="525" w:firstLineChars="250"/>
        <w:rPr>
          <w:rFonts w:ascii="宋体" w:hAnsi="宋体" w:cs="宋体"/>
          <w:bCs/>
        </w:rPr>
      </w:pPr>
      <w:r>
        <w:rPr>
          <w:rFonts w:hint="eastAsia" w:ascii="宋体" w:hAnsi="宋体" w:cs="宋体"/>
          <w:bCs/>
        </w:rPr>
        <w:t>供应商有前款28.1至28.5项情形之一的，成交无效。</w:t>
      </w:r>
    </w:p>
    <w:p>
      <w:pPr>
        <w:pStyle w:val="5"/>
      </w:pPr>
      <w:bookmarkStart w:id="92" w:name="_Toc59530150"/>
      <w:r>
        <w:rPr>
          <w:rFonts w:hint="eastAsia"/>
        </w:rPr>
        <w:t>29. 供应商有下列情形之一的，依照政府采购法第七十七条第一款的规定追究法律责任：</w:t>
      </w:r>
      <w:bookmarkEnd w:id="92"/>
    </w:p>
    <w:p>
      <w:pPr>
        <w:spacing w:line="360" w:lineRule="auto"/>
        <w:ind w:firstLine="525" w:firstLineChars="250"/>
        <w:rPr>
          <w:rFonts w:ascii="宋体" w:hAnsi="宋体" w:cs="宋体"/>
          <w:bCs/>
        </w:rPr>
      </w:pPr>
      <w:r>
        <w:rPr>
          <w:rFonts w:hint="eastAsia" w:ascii="宋体" w:hAnsi="宋体" w:cs="宋体"/>
          <w:bCs/>
        </w:rPr>
        <w:t>29.1 向磋商小组或者磋商小组成员行贿或者提供其他不正当利益；</w:t>
      </w:r>
    </w:p>
    <w:p>
      <w:pPr>
        <w:spacing w:line="360" w:lineRule="auto"/>
        <w:ind w:firstLine="525" w:firstLineChars="250"/>
        <w:rPr>
          <w:rFonts w:ascii="宋体" w:hAnsi="宋体" w:cs="宋体"/>
          <w:bCs/>
        </w:rPr>
      </w:pPr>
      <w:r>
        <w:rPr>
          <w:rFonts w:hint="eastAsia" w:ascii="宋体" w:hAnsi="宋体" w:cs="宋体"/>
          <w:bCs/>
        </w:rPr>
        <w:t>29.2 成交或者成交后无正当理由拒不与采购人签订政府采购合同；</w:t>
      </w:r>
    </w:p>
    <w:p>
      <w:pPr>
        <w:spacing w:line="360" w:lineRule="auto"/>
        <w:ind w:firstLine="525" w:firstLineChars="250"/>
        <w:rPr>
          <w:rFonts w:ascii="宋体" w:hAnsi="宋体" w:cs="宋体"/>
          <w:bCs/>
        </w:rPr>
      </w:pPr>
      <w:r>
        <w:rPr>
          <w:rFonts w:hint="eastAsia" w:ascii="宋体" w:hAnsi="宋体" w:cs="宋体"/>
          <w:bCs/>
        </w:rPr>
        <w:t>29.3 未按照磋商文件确定的事项签订政府采购合同；</w:t>
      </w:r>
    </w:p>
    <w:p>
      <w:pPr>
        <w:spacing w:line="360" w:lineRule="auto"/>
        <w:ind w:firstLine="525" w:firstLineChars="250"/>
        <w:rPr>
          <w:rFonts w:ascii="宋体" w:hAnsi="宋体" w:cs="宋体"/>
          <w:bCs/>
        </w:rPr>
      </w:pPr>
      <w:r>
        <w:rPr>
          <w:rFonts w:hint="eastAsia" w:ascii="宋体" w:hAnsi="宋体" w:cs="宋体"/>
          <w:bCs/>
        </w:rPr>
        <w:t>29.4 将政府采购合同转包；</w:t>
      </w:r>
    </w:p>
    <w:p>
      <w:pPr>
        <w:spacing w:line="360" w:lineRule="auto"/>
        <w:ind w:firstLine="525" w:firstLineChars="250"/>
        <w:rPr>
          <w:rFonts w:ascii="宋体" w:hAnsi="宋体" w:cs="宋体"/>
          <w:bCs/>
        </w:rPr>
      </w:pPr>
      <w:r>
        <w:rPr>
          <w:rFonts w:hint="eastAsia" w:ascii="宋体" w:hAnsi="宋体" w:cs="宋体"/>
          <w:bCs/>
        </w:rPr>
        <w:t>29.5 提供假冒伪劣产品；</w:t>
      </w:r>
    </w:p>
    <w:p>
      <w:pPr>
        <w:spacing w:line="360" w:lineRule="auto"/>
        <w:ind w:firstLine="525" w:firstLineChars="250"/>
        <w:rPr>
          <w:rFonts w:ascii="宋体" w:hAnsi="宋体" w:cs="宋体"/>
          <w:bCs/>
        </w:rPr>
      </w:pPr>
      <w:r>
        <w:rPr>
          <w:rFonts w:hint="eastAsia" w:ascii="宋体" w:hAnsi="宋体" w:cs="宋体"/>
          <w:bCs/>
        </w:rPr>
        <w:t>29.6 擅自变更、中止或者终止政府采购合同。</w:t>
      </w:r>
    </w:p>
    <w:p>
      <w:pPr>
        <w:spacing w:line="360" w:lineRule="auto"/>
        <w:ind w:firstLine="525" w:firstLineChars="250"/>
        <w:rPr>
          <w:rFonts w:ascii="宋体" w:hAnsi="宋体" w:cs="宋体"/>
          <w:bCs/>
        </w:rPr>
      </w:pPr>
      <w:r>
        <w:rPr>
          <w:rFonts w:hint="eastAsia" w:ascii="宋体" w:hAnsi="宋体" w:cs="宋体"/>
          <w:bCs/>
        </w:rPr>
        <w:t>供应商有前款第一项规定情形的，成交无效。评审阶段资格发生变化，供应商未依照《中华人民共和国政府采购法实施条例》第二十一条的规定通知采购人和采购代理机构的，处以采购金额5‰的罚款，列入不良行为记录名单，成交无效。</w:t>
      </w:r>
    </w:p>
    <w:p>
      <w:pPr>
        <w:pStyle w:val="5"/>
      </w:pPr>
      <w:bookmarkStart w:id="93" w:name="_Toc59530151"/>
      <w:r>
        <w:rPr>
          <w:rFonts w:hint="eastAsia"/>
        </w:rPr>
        <w:t>30. 供应商捏造事实、提供虚假材料或者以非法手段取得证明材料进行投诉的，由财政部门列入不良行为记录名单，禁止其1至3年内参加政府采购活动。</w:t>
      </w:r>
      <w:bookmarkEnd w:id="93"/>
    </w:p>
    <w:p>
      <w:pPr>
        <w:pStyle w:val="5"/>
      </w:pPr>
      <w:bookmarkStart w:id="94" w:name="_Toc59530152"/>
      <w:r>
        <w:rPr>
          <w:rFonts w:hint="eastAsia"/>
        </w:rPr>
        <w:t>31. 有下列情形之一的，属于恶意串通，对供应商依照政府采购法第七十七条第一款的规定追究法律责任，对采购人、采购代理机构及其工作人员依照政府采购法第七十二条的规定追究法律责任：</w:t>
      </w:r>
      <w:bookmarkEnd w:id="94"/>
    </w:p>
    <w:p>
      <w:pPr>
        <w:spacing w:line="360" w:lineRule="auto"/>
        <w:ind w:firstLine="525" w:firstLineChars="250"/>
        <w:rPr>
          <w:rFonts w:ascii="宋体" w:hAnsi="宋体" w:cs="宋体"/>
          <w:bCs/>
        </w:rPr>
      </w:pPr>
      <w:r>
        <w:rPr>
          <w:rFonts w:hint="eastAsia" w:ascii="宋体" w:hAnsi="宋体" w:cs="宋体"/>
          <w:bCs/>
        </w:rPr>
        <w:t>31.1 供应商直接或者间接从采购人或者采购代理机构处获得其他供应商的相关情况并修改其响应文件；</w:t>
      </w:r>
    </w:p>
    <w:p>
      <w:pPr>
        <w:spacing w:line="360" w:lineRule="auto"/>
        <w:ind w:firstLine="525" w:firstLineChars="250"/>
        <w:rPr>
          <w:rFonts w:ascii="宋体" w:hAnsi="宋体" w:cs="宋体"/>
          <w:bCs/>
        </w:rPr>
      </w:pPr>
      <w:r>
        <w:rPr>
          <w:rFonts w:hint="eastAsia" w:ascii="宋体" w:hAnsi="宋体" w:cs="宋体"/>
          <w:bCs/>
        </w:rPr>
        <w:t>31.2 供应商按照采购人或者采购代理机构的授意撤换、修改响应文件；</w:t>
      </w:r>
    </w:p>
    <w:p>
      <w:pPr>
        <w:spacing w:line="360" w:lineRule="auto"/>
        <w:ind w:firstLine="525" w:firstLineChars="250"/>
        <w:rPr>
          <w:rFonts w:ascii="宋体" w:hAnsi="宋体" w:cs="宋体"/>
          <w:bCs/>
        </w:rPr>
      </w:pPr>
      <w:r>
        <w:rPr>
          <w:rFonts w:hint="eastAsia" w:ascii="宋体" w:hAnsi="宋体" w:cs="宋体"/>
          <w:bCs/>
        </w:rPr>
        <w:t>31.3 供应商之间协商报价、技术方案等响应文件或者响应文件的实质性内容；</w:t>
      </w:r>
    </w:p>
    <w:p>
      <w:pPr>
        <w:spacing w:line="360" w:lineRule="auto"/>
        <w:ind w:firstLine="525" w:firstLineChars="250"/>
        <w:rPr>
          <w:rFonts w:ascii="宋体" w:hAnsi="宋体" w:cs="宋体"/>
          <w:bCs/>
        </w:rPr>
      </w:pPr>
      <w:r>
        <w:rPr>
          <w:rFonts w:hint="eastAsia" w:ascii="宋体" w:hAnsi="宋体" w:cs="宋体"/>
          <w:bCs/>
        </w:rPr>
        <w:t>31.4 属于同一集团、协会、商会等组织成员的供应商按照该组织要求协同参加政府采购活动；</w:t>
      </w:r>
    </w:p>
    <w:p>
      <w:pPr>
        <w:spacing w:line="360" w:lineRule="auto"/>
        <w:ind w:firstLine="525" w:firstLineChars="250"/>
        <w:rPr>
          <w:rFonts w:ascii="宋体" w:hAnsi="宋体" w:cs="宋体"/>
          <w:bCs/>
        </w:rPr>
      </w:pPr>
      <w:r>
        <w:rPr>
          <w:rFonts w:hint="eastAsia" w:ascii="宋体" w:hAnsi="宋体" w:cs="宋体"/>
          <w:bCs/>
        </w:rPr>
        <w:t>31.5 供应商之间事先约定由某一特定供应商成交；</w:t>
      </w:r>
    </w:p>
    <w:p>
      <w:pPr>
        <w:spacing w:line="360" w:lineRule="auto"/>
        <w:ind w:firstLine="525" w:firstLineChars="250"/>
        <w:rPr>
          <w:rFonts w:ascii="宋体" w:hAnsi="宋体" w:cs="宋体"/>
          <w:bCs/>
        </w:rPr>
      </w:pPr>
      <w:r>
        <w:rPr>
          <w:rFonts w:hint="eastAsia" w:ascii="宋体" w:hAnsi="宋体" w:cs="宋体"/>
          <w:bCs/>
        </w:rPr>
        <w:t>31.6 供应商之间商定部分供应商放弃参加政府采购活动或者放弃成交；</w:t>
      </w:r>
    </w:p>
    <w:p>
      <w:pPr>
        <w:spacing w:line="360" w:lineRule="auto"/>
        <w:ind w:firstLine="525" w:firstLineChars="250"/>
        <w:rPr>
          <w:rFonts w:ascii="宋体" w:hAnsi="宋体" w:cs="宋体"/>
          <w:bCs/>
        </w:rPr>
      </w:pPr>
      <w:r>
        <w:rPr>
          <w:rFonts w:hint="eastAsia" w:ascii="宋体" w:hAnsi="宋体" w:cs="宋体"/>
          <w:bCs/>
        </w:rPr>
        <w:t>31.7 供应商与采购人或者采购代理机构之间、供应商相互之间，为谋求特定供应商成交或者排斥其他供应商的其他串通行为；</w:t>
      </w:r>
    </w:p>
    <w:p>
      <w:pPr>
        <w:spacing w:line="360" w:lineRule="auto"/>
        <w:ind w:firstLine="525" w:firstLineChars="250"/>
        <w:rPr>
          <w:rFonts w:ascii="宋体" w:hAnsi="宋体" w:cs="宋体"/>
          <w:bCs/>
        </w:rPr>
      </w:pPr>
      <w:r>
        <w:rPr>
          <w:rFonts w:hint="eastAsia" w:ascii="宋体" w:hAnsi="宋体" w:cs="宋体"/>
          <w:bCs/>
        </w:rPr>
        <w:t>31.8 不同供应商的响应文件由同一单位或者个人编制；</w:t>
      </w:r>
    </w:p>
    <w:p>
      <w:pPr>
        <w:spacing w:line="360" w:lineRule="auto"/>
        <w:ind w:firstLine="525" w:firstLineChars="250"/>
        <w:rPr>
          <w:rFonts w:ascii="宋体" w:hAnsi="宋体" w:cs="宋体"/>
          <w:bCs/>
        </w:rPr>
      </w:pPr>
      <w:r>
        <w:rPr>
          <w:rFonts w:hint="eastAsia" w:ascii="宋体" w:hAnsi="宋体" w:cs="宋体"/>
          <w:bCs/>
        </w:rPr>
        <w:t>31.9 不同供应商委托同一单位或者个人办理磋商事宜；</w:t>
      </w:r>
    </w:p>
    <w:p>
      <w:pPr>
        <w:spacing w:line="360" w:lineRule="auto"/>
        <w:ind w:firstLine="525" w:firstLineChars="250"/>
        <w:rPr>
          <w:rFonts w:ascii="宋体" w:hAnsi="宋体" w:cs="宋体"/>
          <w:bCs/>
        </w:rPr>
      </w:pPr>
      <w:r>
        <w:rPr>
          <w:rFonts w:hint="eastAsia" w:ascii="宋体" w:hAnsi="宋体" w:cs="宋体"/>
          <w:bCs/>
        </w:rPr>
        <w:t>31.10 不同供应商的响应文件载明的项目管理成员或者联系人员为同一人；</w:t>
      </w:r>
    </w:p>
    <w:p>
      <w:pPr>
        <w:spacing w:line="360" w:lineRule="auto"/>
        <w:ind w:firstLine="525" w:firstLineChars="250"/>
        <w:rPr>
          <w:rFonts w:ascii="宋体" w:hAnsi="宋体" w:cs="宋体"/>
          <w:bCs/>
        </w:rPr>
      </w:pPr>
      <w:r>
        <w:rPr>
          <w:rFonts w:hint="eastAsia" w:ascii="宋体" w:hAnsi="宋体" w:cs="宋体"/>
          <w:bCs/>
        </w:rPr>
        <w:t>31.11 不同供应商的响应文件异常一致或者磋商报价呈规律性差异；</w:t>
      </w:r>
    </w:p>
    <w:p>
      <w:pPr>
        <w:spacing w:line="360" w:lineRule="auto"/>
        <w:ind w:firstLine="525" w:firstLineChars="250"/>
        <w:rPr>
          <w:rFonts w:ascii="宋体" w:hAnsi="宋体" w:cs="宋体"/>
          <w:bCs/>
        </w:rPr>
      </w:pPr>
      <w:r>
        <w:rPr>
          <w:rFonts w:hint="eastAsia" w:ascii="宋体" w:hAnsi="宋体" w:cs="宋体"/>
          <w:bCs/>
        </w:rPr>
        <w:t>31.12 不同供应商的响应文件相互混装。</w:t>
      </w:r>
    </w:p>
    <w:p>
      <w:pPr>
        <w:pStyle w:val="4"/>
        <w:spacing w:line="360" w:lineRule="auto"/>
        <w:rPr>
          <w:rFonts w:ascii="宋体" w:hAnsi="宋体"/>
          <w:sz w:val="24"/>
          <w:szCs w:val="24"/>
        </w:rPr>
      </w:pPr>
      <w:bookmarkStart w:id="95" w:name="_Toc59530153"/>
      <w:r>
        <w:rPr>
          <w:rFonts w:hint="eastAsia" w:ascii="宋体" w:hAnsi="宋体"/>
          <w:sz w:val="24"/>
          <w:szCs w:val="24"/>
        </w:rPr>
        <w:t>八   澄清、修改发布媒体</w:t>
      </w:r>
      <w:bookmarkEnd w:id="95"/>
    </w:p>
    <w:p>
      <w:pPr>
        <w:spacing w:line="360" w:lineRule="auto"/>
        <w:ind w:firstLine="525" w:firstLineChars="250"/>
        <w:rPr>
          <w:rFonts w:ascii="宋体" w:hAnsi="宋体" w:cs="宋体"/>
          <w:bCs/>
        </w:rPr>
      </w:pPr>
      <w:r>
        <w:rPr>
          <w:rFonts w:hint="eastAsia" w:ascii="宋体" w:hAnsi="宋体" w:cs="宋体"/>
          <w:bCs/>
        </w:rPr>
        <w:t>32.1针对潜在供应商提出的询问，采购代理机构统一时间内作出答复，如需澄清或修改的，采购代理机构将在磋商截止时间五日前将澄清或修改内容在浙江政府采购网</w:t>
      </w:r>
      <w:r>
        <w:fldChar w:fldCharType="begin"/>
      </w:r>
      <w:r>
        <w:instrText xml:space="preserve"> HYPERLINK "http://zfcg.czt.zj.gov.cn/" </w:instrText>
      </w:r>
      <w:r>
        <w:fldChar w:fldCharType="separate"/>
      </w:r>
      <w:r>
        <w:rPr>
          <w:rStyle w:val="47"/>
          <w:rFonts w:hint="eastAsia" w:ascii="宋体" w:hAnsi="宋体" w:cs="宋体"/>
          <w:bCs/>
        </w:rPr>
        <w:t>http://zfcg.czt.zj.gov.cn/</w:t>
      </w:r>
      <w:r>
        <w:rPr>
          <w:rStyle w:val="47"/>
          <w:rFonts w:hint="eastAsia" w:ascii="宋体" w:hAnsi="宋体" w:cs="宋体"/>
          <w:bCs/>
        </w:rPr>
        <w:fldChar w:fldCharType="end"/>
      </w:r>
      <w:r>
        <w:rPr>
          <w:rFonts w:hint="eastAsia" w:ascii="宋体" w:hAnsi="宋体" w:cs="宋体"/>
          <w:bCs/>
        </w:rPr>
        <w:t>和东阳市公共资源交易网</w:t>
      </w:r>
      <w:r>
        <w:rPr>
          <w:rFonts w:ascii="宋体" w:hAnsi="宋体" w:cs="宋体"/>
          <w:bCs/>
        </w:rPr>
        <w:t>http://www.dongyang.gov.cn/col/col1229357149/index.html</w:t>
      </w:r>
      <w:r>
        <w:rPr>
          <w:rFonts w:hint="eastAsia" w:ascii="宋体" w:hAnsi="宋体" w:cs="宋体"/>
          <w:bCs/>
        </w:rPr>
        <w:t>上予以公布，潜在供应商应自行关注网站更正公告等内容，采购代理机构不再一一通知。</w:t>
      </w:r>
    </w:p>
    <w:p>
      <w:pPr>
        <w:spacing w:line="360" w:lineRule="auto"/>
        <w:ind w:firstLine="525" w:firstLineChars="250"/>
        <w:rPr>
          <w:rFonts w:ascii="宋体" w:hAnsi="宋体" w:cs="宋体"/>
          <w:bCs/>
        </w:rPr>
      </w:pPr>
      <w:r>
        <w:rPr>
          <w:rFonts w:hint="eastAsia" w:ascii="宋体" w:hAnsi="宋体" w:cs="宋体"/>
          <w:bCs/>
        </w:rPr>
        <w:t>32.2潜在供应商提出的询问超出采购人对采购代理机构委托授权范围的，供应商应向采购人提出。</w:t>
      </w:r>
    </w:p>
    <w:p>
      <w:pPr>
        <w:pStyle w:val="4"/>
        <w:spacing w:line="360" w:lineRule="auto"/>
        <w:rPr>
          <w:rFonts w:ascii="宋体" w:hAnsi="宋体"/>
          <w:sz w:val="24"/>
          <w:szCs w:val="24"/>
        </w:rPr>
      </w:pPr>
      <w:bookmarkStart w:id="96" w:name="_Toc59530154"/>
      <w:r>
        <w:rPr>
          <w:rFonts w:hint="eastAsia" w:ascii="宋体" w:hAnsi="宋体"/>
          <w:sz w:val="24"/>
          <w:szCs w:val="24"/>
        </w:rPr>
        <w:t>九   质疑</w:t>
      </w:r>
      <w:bookmarkEnd w:id="96"/>
    </w:p>
    <w:p>
      <w:pPr>
        <w:spacing w:line="360" w:lineRule="auto"/>
        <w:ind w:firstLine="525" w:firstLineChars="250"/>
        <w:rPr>
          <w:rFonts w:ascii="宋体" w:hAnsi="宋体" w:cs="宋体"/>
          <w:bCs/>
        </w:rPr>
      </w:pPr>
      <w:r>
        <w:rPr>
          <w:rFonts w:hint="eastAsia" w:ascii="宋体" w:hAnsi="宋体" w:cs="宋体"/>
          <w:bCs/>
        </w:rPr>
        <w:t>33.1 供应商认为磋商文件、采购过程和成交结果使自己的权益受到损害的，可以在知道或者应知其权益受到损害之日起七个工作日内，以书面形式向采购代理机构提出质疑。</w:t>
      </w:r>
    </w:p>
    <w:p>
      <w:pPr>
        <w:spacing w:line="360" w:lineRule="auto"/>
        <w:ind w:firstLine="525" w:firstLineChars="250"/>
        <w:rPr>
          <w:rFonts w:ascii="宋体" w:hAnsi="宋体" w:cs="宋体"/>
          <w:bCs/>
        </w:rPr>
      </w:pPr>
      <w:r>
        <w:rPr>
          <w:rFonts w:hint="eastAsia" w:ascii="宋体" w:hAnsi="宋体" w:cs="宋体"/>
          <w:bCs/>
        </w:rPr>
        <w:t>33.2 质疑的主要内容应符合相关法律法规以及浙江省和东阳市相关文件的规定。质疑内容涉及保密事项，质疑供应商应提供有效的信息来源或有效证据。</w:t>
      </w:r>
    </w:p>
    <w:p>
      <w:pPr>
        <w:spacing w:line="360" w:lineRule="auto"/>
        <w:ind w:firstLine="525" w:firstLineChars="250"/>
        <w:rPr>
          <w:rFonts w:ascii="宋体" w:hAnsi="宋体" w:cs="宋体"/>
          <w:bCs/>
        </w:rPr>
      </w:pPr>
      <w:r>
        <w:rPr>
          <w:rFonts w:hint="eastAsia" w:ascii="宋体" w:hAnsi="宋体" w:cs="宋体"/>
          <w:bCs/>
        </w:rPr>
        <w:t>33.3 质疑供应商可直接提交、传真或邮寄方式提交质疑书（一式三份以上）。以其他方式提出的质疑，采购代理机构可不予接受、答复。</w:t>
      </w:r>
    </w:p>
    <w:p>
      <w:pPr>
        <w:spacing w:line="360" w:lineRule="auto"/>
        <w:ind w:firstLine="525" w:firstLineChars="250"/>
        <w:rPr>
          <w:rFonts w:ascii="宋体" w:hAnsi="宋体" w:cs="宋体"/>
          <w:bCs/>
        </w:rPr>
      </w:pPr>
      <w:r>
        <w:rPr>
          <w:rFonts w:hint="eastAsia" w:ascii="宋体" w:hAnsi="宋体" w:cs="宋体"/>
          <w:bCs/>
        </w:rPr>
        <w:t>33.3.1 邮寄方式送达质疑书的，以采购代理机构实际收到邮件之日作为收到质疑的日期。</w:t>
      </w:r>
    </w:p>
    <w:p>
      <w:pPr>
        <w:spacing w:line="360" w:lineRule="auto"/>
        <w:ind w:firstLine="525" w:firstLineChars="250"/>
        <w:rPr>
          <w:rFonts w:ascii="宋体" w:hAnsi="宋体" w:cs="宋体"/>
          <w:bCs/>
        </w:rPr>
      </w:pPr>
      <w:r>
        <w:rPr>
          <w:rFonts w:hint="eastAsia" w:ascii="宋体" w:hAnsi="宋体" w:cs="宋体"/>
          <w:bCs/>
        </w:rPr>
        <w:t>33.3.2 传真方式送达质疑书的，质疑供应商应当取得采购代理机构确认收到传真的意见，并及时将质疑书原件送达采购代理机构。采购代理机构以实际收到原件之日作为收到质疑的日期。</w:t>
      </w:r>
    </w:p>
    <w:p>
      <w:pPr>
        <w:spacing w:line="360" w:lineRule="auto"/>
        <w:ind w:firstLine="525" w:firstLineChars="250"/>
        <w:rPr>
          <w:rFonts w:ascii="宋体" w:hAnsi="宋体" w:cs="宋体"/>
          <w:bCs/>
        </w:rPr>
      </w:pPr>
      <w:r>
        <w:rPr>
          <w:rFonts w:hint="eastAsia" w:ascii="宋体" w:hAnsi="宋体" w:cs="宋体"/>
          <w:bCs/>
        </w:rPr>
        <w:t>33.3.3 在质疑期限届满前，质疑书已经邮寄或传真成功的，质疑不视为过期。</w:t>
      </w:r>
    </w:p>
    <w:p>
      <w:pPr>
        <w:spacing w:line="360" w:lineRule="auto"/>
        <w:ind w:firstLine="525" w:firstLineChars="250"/>
        <w:rPr>
          <w:rFonts w:ascii="宋体" w:hAnsi="宋体" w:cs="宋体"/>
          <w:bCs/>
        </w:rPr>
      </w:pPr>
      <w:r>
        <w:rPr>
          <w:rFonts w:hint="eastAsia" w:ascii="宋体" w:hAnsi="宋体" w:cs="宋体"/>
          <w:bCs/>
        </w:rPr>
        <w:t>33.4 质疑供应商提供的相关材料中有外文资料的，应将与质疑相关的外文资料完整、客观、真实地翻译为中文，并注明翻译人员姓名、工作单位、联系方式等信息。</w:t>
      </w:r>
    </w:p>
    <w:p>
      <w:pPr>
        <w:spacing w:line="360" w:lineRule="auto"/>
        <w:ind w:firstLine="525" w:firstLineChars="250"/>
        <w:rPr>
          <w:rFonts w:ascii="宋体" w:hAnsi="宋体" w:cs="宋体"/>
          <w:bCs/>
        </w:rPr>
      </w:pPr>
      <w:r>
        <w:rPr>
          <w:rFonts w:hint="eastAsia" w:ascii="宋体" w:hAnsi="宋体" w:cs="宋体"/>
          <w:bCs/>
        </w:rPr>
        <w:t>33.5 采购代理机构在收到质疑供应商的书面质疑后7个工作日内作出答复，并以书面形式答复质疑供应商。</w:t>
      </w:r>
    </w:p>
    <w:p>
      <w:pPr>
        <w:spacing w:line="360" w:lineRule="auto"/>
        <w:ind w:firstLine="525" w:firstLineChars="250"/>
        <w:rPr>
          <w:rFonts w:ascii="宋体" w:hAnsi="宋体" w:cs="宋体"/>
          <w:bCs/>
        </w:rPr>
      </w:pPr>
      <w:r>
        <w:rPr>
          <w:rFonts w:hint="eastAsia" w:ascii="宋体" w:hAnsi="宋体" w:cs="宋体"/>
          <w:bCs/>
        </w:rPr>
        <w:t>33.6 质疑供应商捏造事实、提供虚假材料进行质疑的，采购代理机构报告同级财政部门，由同级财政部门审查，情况属实的，应列入不良行为记录，并在指定的媒体上公告。</w:t>
      </w:r>
    </w:p>
    <w:p>
      <w:pPr>
        <w:pStyle w:val="4"/>
        <w:spacing w:line="360" w:lineRule="auto"/>
        <w:rPr>
          <w:rFonts w:ascii="宋体" w:hAnsi="宋体"/>
          <w:sz w:val="24"/>
          <w:szCs w:val="24"/>
        </w:rPr>
      </w:pPr>
      <w:bookmarkStart w:id="97" w:name="_Toc59530155"/>
      <w:r>
        <w:rPr>
          <w:rFonts w:hint="eastAsia" w:ascii="宋体" w:hAnsi="宋体"/>
          <w:sz w:val="24"/>
          <w:szCs w:val="24"/>
        </w:rPr>
        <w:t>十   投诉</w:t>
      </w:r>
      <w:bookmarkEnd w:id="97"/>
    </w:p>
    <w:p>
      <w:pPr>
        <w:spacing w:line="360" w:lineRule="auto"/>
        <w:ind w:firstLine="525" w:firstLineChars="250"/>
        <w:rPr>
          <w:rFonts w:ascii="宋体" w:hAnsi="宋体" w:cs="宋体"/>
          <w:bCs/>
        </w:rPr>
      </w:pPr>
      <w:r>
        <w:rPr>
          <w:rFonts w:hint="eastAsia" w:ascii="宋体" w:hAnsi="宋体" w:cs="宋体"/>
          <w:bCs/>
        </w:rPr>
        <w:t>34.质疑供应商对采购代理机构的答复不满意或者采购代理机构未在规定时间内答复的，可以在答复期满后十五个工作日内按有关规定，以书面形式向同级监督管理部门投诉。</w:t>
      </w:r>
    </w:p>
    <w:p>
      <w:pPr>
        <w:pStyle w:val="4"/>
        <w:spacing w:line="360" w:lineRule="auto"/>
        <w:rPr>
          <w:rFonts w:ascii="宋体" w:hAnsi="宋体"/>
          <w:sz w:val="24"/>
          <w:szCs w:val="24"/>
        </w:rPr>
      </w:pPr>
      <w:bookmarkStart w:id="98" w:name="_Toc59530156"/>
      <w:r>
        <w:rPr>
          <w:rFonts w:hint="eastAsia" w:ascii="宋体" w:hAnsi="宋体"/>
          <w:sz w:val="24"/>
          <w:szCs w:val="24"/>
        </w:rPr>
        <w:t>十一  成交和合同</w:t>
      </w:r>
      <w:bookmarkEnd w:id="98"/>
    </w:p>
    <w:p>
      <w:pPr>
        <w:pStyle w:val="5"/>
      </w:pPr>
      <w:bookmarkStart w:id="99" w:name="_Toc59530157"/>
      <w:r>
        <w:rPr>
          <w:rFonts w:hint="eastAsia"/>
        </w:rPr>
        <w:t>3</w:t>
      </w:r>
      <w:r>
        <w:t>5</w:t>
      </w:r>
      <w:r>
        <w:rPr>
          <w:rFonts w:hint="eastAsia"/>
        </w:rPr>
        <w:t>.成交</w:t>
      </w:r>
      <w:bookmarkEnd w:id="99"/>
    </w:p>
    <w:p>
      <w:pPr>
        <w:spacing w:line="348" w:lineRule="auto"/>
        <w:ind w:firstLine="525" w:firstLineChars="250"/>
        <w:rPr>
          <w:rFonts w:ascii="宋体" w:hAnsi="宋体"/>
          <w:szCs w:val="21"/>
        </w:rPr>
      </w:pPr>
      <w:r>
        <w:rPr>
          <w:rFonts w:ascii="宋体" w:hAnsi="宋体"/>
          <w:szCs w:val="21"/>
        </w:rPr>
        <w:t>35.1</w:t>
      </w:r>
      <w:r>
        <w:rPr>
          <w:rFonts w:hint="eastAsia" w:ascii="宋体" w:hAnsi="宋体"/>
          <w:szCs w:val="21"/>
        </w:rPr>
        <w:t>PPP项目采购评审结束后,采购人成立专门的采购结果确认谈判工作组,负责采购结果确认前的谈判和最终的采购结果确认工作。</w:t>
      </w:r>
    </w:p>
    <w:p>
      <w:pPr>
        <w:spacing w:line="348" w:lineRule="auto"/>
        <w:ind w:firstLine="525" w:firstLineChars="250"/>
        <w:rPr>
          <w:rFonts w:ascii="宋体" w:hAnsi="宋体"/>
          <w:szCs w:val="21"/>
        </w:rPr>
      </w:pPr>
      <w:r>
        <w:rPr>
          <w:rFonts w:ascii="宋体" w:hAnsi="宋体"/>
          <w:szCs w:val="21"/>
        </w:rPr>
        <w:t>35.2</w:t>
      </w:r>
      <w:r>
        <w:rPr>
          <w:rFonts w:hint="eastAsia" w:ascii="宋体" w:hAnsi="宋体"/>
          <w:szCs w:val="21"/>
        </w:rPr>
        <w:t>采购结果确认谈判工作组成员及数量由采购人确定,采购结果确认谈判工作组按照评审报告推荐的候选供应商排名，依次与候选供应商就项目合同中可变的细节问题进行项目合同签署前的确认谈判,率先达成一致的候选供应商即为预成交供应商。</w:t>
      </w:r>
    </w:p>
    <w:p>
      <w:pPr>
        <w:spacing w:line="348" w:lineRule="auto"/>
        <w:ind w:firstLine="525" w:firstLineChars="250"/>
      </w:pPr>
      <w:r>
        <w:t>35</w:t>
      </w:r>
      <w:r>
        <w:rPr>
          <w:rFonts w:hint="eastAsia"/>
        </w:rPr>
        <w:t>.3确认谈判不得涉及项目合同中不可谈判的核心条款，不得与排序在前但已终止谈判的社会资本进行重复谈判。</w:t>
      </w:r>
    </w:p>
    <w:p>
      <w:pPr>
        <w:spacing w:line="348" w:lineRule="auto"/>
        <w:ind w:firstLine="525" w:firstLineChars="250"/>
      </w:pPr>
      <w:r>
        <w:t>35</w:t>
      </w:r>
      <w:r>
        <w:rPr>
          <w:rFonts w:hint="eastAsia"/>
        </w:rPr>
        <w:t>.4 项目实施机构应当在预成交社会资本确定后10个工作日内，与预成交社会资本签署确认谈判备忘录，并将预成交结果和根据采购文件、响应文件及有关补遗文件和确认谈判备忘录拟定的项目合同文本在省级以上人民政府财政部门指定的政府采购信息发布媒体上进行公示，公示期不得少于5个工作日。项目合同文本应当将预中标、成交社会资本响应文件中的重要承诺和技术文件等作为附件。项目合同文本涉及国家秘密、商业秘密的内容可以不公示。</w:t>
      </w:r>
    </w:p>
    <w:p>
      <w:pPr>
        <w:pStyle w:val="5"/>
      </w:pPr>
      <w:bookmarkStart w:id="100" w:name="_Toc59530158"/>
      <w:r>
        <w:t>36</w:t>
      </w:r>
      <w:r>
        <w:rPr>
          <w:rFonts w:hint="eastAsia"/>
        </w:rPr>
        <w:t>成交结果</w:t>
      </w:r>
      <w:bookmarkEnd w:id="100"/>
    </w:p>
    <w:p>
      <w:pPr>
        <w:spacing w:line="348" w:lineRule="auto"/>
        <w:ind w:firstLine="525" w:firstLineChars="250"/>
        <w:rPr>
          <w:rFonts w:ascii="宋体" w:hAnsi="宋体"/>
          <w:szCs w:val="21"/>
        </w:rPr>
      </w:pPr>
      <w:r>
        <w:rPr>
          <w:rFonts w:ascii="宋体" w:hAnsi="宋体"/>
          <w:szCs w:val="21"/>
        </w:rPr>
        <w:t>36</w:t>
      </w:r>
      <w:r>
        <w:rPr>
          <w:rFonts w:hint="eastAsia" w:ascii="宋体" w:hAnsi="宋体"/>
          <w:szCs w:val="21"/>
        </w:rPr>
        <w:t>.1项目实施机构应当在公示期满无异议后2个工作日内，将中标、成交结果在省级以上人民政府财政部门指定的政府采购信息发布媒体上进行公告，同时发出中标、成交通知书。</w:t>
      </w:r>
    </w:p>
    <w:p>
      <w:pPr>
        <w:spacing w:line="348" w:lineRule="auto"/>
        <w:ind w:firstLine="525" w:firstLineChars="250"/>
        <w:rPr>
          <w:rFonts w:ascii="宋体" w:hAnsi="宋体"/>
          <w:szCs w:val="21"/>
        </w:rPr>
      </w:pPr>
      <w:r>
        <w:rPr>
          <w:rFonts w:ascii="宋体" w:hAnsi="宋体"/>
          <w:szCs w:val="21"/>
        </w:rPr>
        <w:t>36</w:t>
      </w:r>
      <w:r>
        <w:rPr>
          <w:rFonts w:hint="eastAsia" w:ascii="宋体" w:hAnsi="宋体"/>
          <w:szCs w:val="21"/>
        </w:rPr>
        <w:t>.2未登记加入浙江省政府采购供应商库的供应商一旦被确定为成交候选人的，应当在《成交通知书》发出前的3个工作日内按《关于印发浙江省政府采购供应商注册及诚信管理暂行办法通知》（浙财采监字〔2009〕28号）的规定进行注册申请，否则，采购人将拒绝向其发出《成交通知书》，并直接推荐排名次之的供应商为成交候选人，依次类推。</w:t>
      </w:r>
    </w:p>
    <w:p>
      <w:pPr>
        <w:spacing w:line="348" w:lineRule="auto"/>
        <w:ind w:firstLine="525" w:firstLineChars="250"/>
        <w:rPr>
          <w:rFonts w:ascii="宋体" w:hAnsi="宋体"/>
          <w:szCs w:val="21"/>
        </w:rPr>
      </w:pPr>
      <w:r>
        <w:rPr>
          <w:rFonts w:ascii="宋体" w:hAnsi="宋体"/>
          <w:szCs w:val="21"/>
        </w:rPr>
        <w:t>36</w:t>
      </w:r>
      <w:r>
        <w:rPr>
          <w:rFonts w:hint="eastAsia" w:ascii="宋体" w:hAnsi="宋体"/>
          <w:szCs w:val="21"/>
        </w:rPr>
        <w:t>.3成交通知书发出后，采购人不得违法改变成交结果，成交供应商无正当理由不得放弃成交项目。</w:t>
      </w:r>
    </w:p>
    <w:p>
      <w:pPr>
        <w:pStyle w:val="5"/>
      </w:pPr>
      <w:bookmarkStart w:id="101" w:name="_Toc59530159"/>
      <w:r>
        <w:t>37</w:t>
      </w:r>
      <w:r>
        <w:rPr>
          <w:rFonts w:hint="eastAsia"/>
        </w:rPr>
        <w:t>合同签订</w:t>
      </w:r>
      <w:bookmarkEnd w:id="101"/>
    </w:p>
    <w:p>
      <w:pPr>
        <w:spacing w:line="348" w:lineRule="auto"/>
        <w:ind w:firstLine="525" w:firstLineChars="250"/>
        <w:rPr>
          <w:rFonts w:ascii="宋体" w:hAnsi="宋体"/>
          <w:szCs w:val="21"/>
        </w:rPr>
      </w:pPr>
      <w:r>
        <w:rPr>
          <w:rFonts w:ascii="宋体" w:hAnsi="宋体"/>
          <w:szCs w:val="21"/>
        </w:rPr>
        <w:t>37</w:t>
      </w:r>
      <w:r>
        <w:rPr>
          <w:rFonts w:hint="eastAsia" w:ascii="宋体" w:hAnsi="宋体"/>
          <w:szCs w:val="21"/>
        </w:rPr>
        <w:t>.1项目实施机构应当在中标、成交通知书发出后30日内，与成交社会资本签订经本级人民政府审核同意的PPP项目合同。待成交社会资本按《实施方案》要求组建PPP项目公司后，由PPP项目公司与采购人签订《承继协议》。</w:t>
      </w:r>
    </w:p>
    <w:p>
      <w:pPr>
        <w:spacing w:line="348" w:lineRule="auto"/>
        <w:ind w:firstLine="525" w:firstLineChars="250"/>
        <w:rPr>
          <w:rFonts w:ascii="宋体" w:hAnsi="宋体"/>
          <w:szCs w:val="21"/>
        </w:rPr>
      </w:pPr>
      <w:r>
        <w:rPr>
          <w:rFonts w:ascii="宋体" w:hAnsi="宋体"/>
          <w:szCs w:val="21"/>
        </w:rPr>
        <w:t>37</w:t>
      </w:r>
      <w:r>
        <w:rPr>
          <w:rFonts w:hint="eastAsia" w:ascii="宋体" w:hAnsi="宋体"/>
          <w:szCs w:val="21"/>
        </w:rPr>
        <w:t>.2如成交供应商不按成交通知书中规定时间、地点与采购人签订合同，则按成交供应商违约处理。</w:t>
      </w:r>
    </w:p>
    <w:p>
      <w:pPr>
        <w:pStyle w:val="5"/>
      </w:pPr>
      <w:bookmarkStart w:id="102" w:name="_Toc59530160"/>
      <w:r>
        <w:t>38</w:t>
      </w:r>
      <w:r>
        <w:rPr>
          <w:rFonts w:hint="eastAsia"/>
        </w:rPr>
        <w:t>履约保函</w:t>
      </w:r>
      <w:bookmarkEnd w:id="102"/>
    </w:p>
    <w:p>
      <w:pPr>
        <w:spacing w:line="348" w:lineRule="auto"/>
        <w:ind w:firstLine="525" w:firstLineChars="250"/>
        <w:rPr>
          <w:rFonts w:ascii="宋体" w:hAnsi="宋体"/>
          <w:szCs w:val="21"/>
        </w:rPr>
      </w:pPr>
      <w:r>
        <w:rPr>
          <w:rFonts w:ascii="宋体" w:hAnsi="宋体"/>
          <w:szCs w:val="21"/>
        </w:rPr>
        <w:t>38</w:t>
      </w:r>
      <w:r>
        <w:rPr>
          <w:rFonts w:hint="eastAsia" w:ascii="宋体" w:hAnsi="宋体"/>
          <w:szCs w:val="21"/>
        </w:rPr>
        <w:t>.1成交社会资本方应在取得中标通知书后十个工作日内向政府方出具符合国家相关规定格式的、见索即付的《履约保函》或为政府方接受的其他格式的保函，作为其履行投资责任和其他违约赔偿义务的担保。</w:t>
      </w:r>
    </w:p>
    <w:p>
      <w:pPr>
        <w:spacing w:line="348" w:lineRule="auto"/>
        <w:ind w:firstLine="525" w:firstLineChars="250"/>
        <w:rPr>
          <w:rFonts w:ascii="宋体" w:hAnsi="宋体"/>
          <w:szCs w:val="21"/>
        </w:rPr>
      </w:pPr>
      <w:r>
        <w:rPr>
          <w:rFonts w:ascii="宋体" w:hAnsi="宋体"/>
          <w:szCs w:val="21"/>
        </w:rPr>
        <w:t>38</w:t>
      </w:r>
      <w:r>
        <w:rPr>
          <w:rFonts w:hint="eastAsia" w:ascii="宋体" w:hAnsi="宋体"/>
          <w:szCs w:val="21"/>
        </w:rPr>
        <w:t>.2履约保函的金额、格式。履约保函的金额为</w:t>
      </w:r>
      <w:r>
        <w:rPr>
          <w:rFonts w:ascii="宋体" w:hAnsi="宋体"/>
          <w:szCs w:val="21"/>
        </w:rPr>
        <w:t>500</w:t>
      </w:r>
      <w:r>
        <w:rPr>
          <w:rFonts w:hint="eastAsia" w:ascii="宋体" w:hAnsi="宋体"/>
          <w:szCs w:val="21"/>
        </w:rPr>
        <w:t>万元，履约保函由政府方可接受的一家金融机构出具，或符合国家相关规定格式的独立保函或政府方同意的其他格式，或在政采云办理履约保函。</w:t>
      </w:r>
    </w:p>
    <w:p>
      <w:pPr>
        <w:spacing w:line="348" w:lineRule="auto"/>
        <w:ind w:firstLine="525" w:firstLineChars="250"/>
        <w:rPr>
          <w:rFonts w:ascii="宋体" w:hAnsi="宋体"/>
          <w:szCs w:val="21"/>
        </w:rPr>
      </w:pPr>
      <w:r>
        <w:rPr>
          <w:rFonts w:ascii="宋体" w:hAnsi="宋体"/>
          <w:szCs w:val="21"/>
        </w:rPr>
        <w:t>38</w:t>
      </w:r>
      <w:r>
        <w:rPr>
          <w:rFonts w:hint="eastAsia" w:ascii="宋体" w:hAnsi="宋体"/>
          <w:szCs w:val="21"/>
        </w:rPr>
        <w:t>.3成交社会资本方的履约保函在PPP项目公司提交建设履约保函后到期，政府方应在到期之日起五（5）个工作日内解除中标社会资本方提交的履约保函。</w:t>
      </w:r>
      <w:r>
        <w:rPr>
          <w:rFonts w:ascii="宋体" w:hAnsi="宋体"/>
          <w:szCs w:val="21"/>
        </w:rPr>
        <w:t>或将该履约保函转为建设履约保函，并按《实施方案》要求执行。</w:t>
      </w:r>
    </w:p>
    <w:p>
      <w:pPr>
        <w:spacing w:line="348" w:lineRule="auto"/>
        <w:ind w:firstLine="525" w:firstLineChars="250"/>
        <w:rPr>
          <w:rFonts w:ascii="宋体" w:hAnsi="宋体"/>
          <w:szCs w:val="21"/>
        </w:rPr>
      </w:pPr>
      <w:r>
        <w:rPr>
          <w:rFonts w:ascii="宋体" w:hAnsi="宋体"/>
          <w:szCs w:val="21"/>
        </w:rPr>
        <w:t>38</w:t>
      </w:r>
      <w:r>
        <w:rPr>
          <w:rFonts w:hint="eastAsia" w:ascii="宋体" w:hAnsi="宋体"/>
          <w:szCs w:val="21"/>
        </w:rPr>
        <w:t>.4如成交社会资本方未按上述要求提交履约保函，构成成交社会资本方违约，政府方有权废除其中标资质，重新采购。</w:t>
      </w:r>
    </w:p>
    <w:bookmarkEnd w:id="52"/>
    <w:bookmarkEnd w:id="53"/>
    <w:bookmarkEnd w:id="54"/>
    <w:bookmarkEnd w:id="55"/>
    <w:p>
      <w:pPr>
        <w:pStyle w:val="4"/>
        <w:spacing w:line="360" w:lineRule="auto"/>
        <w:rPr>
          <w:rFonts w:ascii="宋体" w:hAnsi="宋体"/>
          <w:sz w:val="24"/>
          <w:szCs w:val="24"/>
        </w:rPr>
      </w:pPr>
      <w:bookmarkStart w:id="103" w:name="_Toc15568"/>
      <w:bookmarkStart w:id="104" w:name="_Toc499128613"/>
      <w:bookmarkStart w:id="105" w:name="_Toc303756407"/>
      <w:bookmarkStart w:id="106" w:name="_Toc301187800"/>
      <w:bookmarkStart w:id="107" w:name="_Toc498327068"/>
      <w:bookmarkStart w:id="108" w:name="_Toc359934604"/>
      <w:bookmarkStart w:id="109" w:name="_Toc44759274"/>
      <w:bookmarkStart w:id="110" w:name="_Toc15805937"/>
      <w:bookmarkStart w:id="111" w:name="_Toc15813254"/>
      <w:bookmarkStart w:id="112" w:name="_Toc283042122"/>
      <w:bookmarkStart w:id="113" w:name="_Toc44759086"/>
      <w:bookmarkStart w:id="114" w:name="_Toc59530161"/>
      <w:bookmarkStart w:id="115" w:name="_Toc208886771"/>
      <w:r>
        <w:rPr>
          <w:rFonts w:hint="eastAsia" w:ascii="宋体" w:hAnsi="宋体"/>
          <w:sz w:val="24"/>
          <w:szCs w:val="24"/>
        </w:rPr>
        <w:t>九．其他事项</w:t>
      </w:r>
      <w:bookmarkEnd w:id="103"/>
      <w:bookmarkEnd w:id="104"/>
      <w:bookmarkEnd w:id="105"/>
      <w:bookmarkEnd w:id="106"/>
      <w:bookmarkEnd w:id="107"/>
      <w:bookmarkEnd w:id="108"/>
      <w:bookmarkEnd w:id="109"/>
      <w:bookmarkEnd w:id="110"/>
      <w:bookmarkEnd w:id="111"/>
      <w:bookmarkEnd w:id="112"/>
      <w:bookmarkEnd w:id="113"/>
      <w:bookmarkEnd w:id="114"/>
      <w:bookmarkEnd w:id="115"/>
    </w:p>
    <w:p>
      <w:pPr>
        <w:spacing w:line="348" w:lineRule="auto"/>
        <w:ind w:firstLine="525" w:firstLineChars="250"/>
        <w:rPr>
          <w:rFonts w:ascii="宋体" w:hAnsi="宋体"/>
          <w:szCs w:val="21"/>
        </w:rPr>
      </w:pPr>
      <w:bookmarkStart w:id="116" w:name="_Toc301187801"/>
      <w:r>
        <w:rPr>
          <w:rFonts w:ascii="宋体" w:hAnsi="宋体"/>
          <w:szCs w:val="21"/>
        </w:rPr>
        <w:t>39</w:t>
      </w:r>
      <w:r>
        <w:rPr>
          <w:rFonts w:hint="eastAsia" w:ascii="宋体" w:hAnsi="宋体"/>
          <w:szCs w:val="21"/>
        </w:rPr>
        <w:t>本采购文件所称的“以上”、“以下”、“内”、“以内”，包括本数；所称的“不足”，不包括本数。</w:t>
      </w:r>
    </w:p>
    <w:p>
      <w:pPr>
        <w:spacing w:line="348" w:lineRule="auto"/>
        <w:ind w:firstLine="525" w:firstLineChars="250"/>
        <w:rPr>
          <w:rFonts w:ascii="宋体" w:hAnsi="宋体"/>
          <w:szCs w:val="21"/>
        </w:rPr>
      </w:pPr>
      <w:r>
        <w:rPr>
          <w:rFonts w:ascii="宋体" w:hAnsi="宋体"/>
          <w:szCs w:val="21"/>
        </w:rPr>
        <w:t>40</w:t>
      </w:r>
      <w:r>
        <w:rPr>
          <w:rFonts w:hint="eastAsia" w:ascii="宋体" w:hAnsi="宋体"/>
          <w:szCs w:val="21"/>
        </w:rPr>
        <w:t>采购文件编制依据和解释权</w:t>
      </w:r>
      <w:bookmarkEnd w:id="116"/>
      <w:r>
        <w:rPr>
          <w:rFonts w:hint="eastAsia" w:ascii="宋体" w:hAnsi="宋体"/>
          <w:szCs w:val="21"/>
        </w:rPr>
        <w:t>。</w:t>
      </w:r>
    </w:p>
    <w:p>
      <w:pPr>
        <w:spacing w:line="348" w:lineRule="auto"/>
        <w:ind w:firstLine="525" w:firstLineChars="250"/>
        <w:rPr>
          <w:rFonts w:ascii="宋体" w:hAnsi="宋体"/>
          <w:szCs w:val="21"/>
        </w:rPr>
      </w:pPr>
      <w:bookmarkStart w:id="117" w:name="_Toc301187802"/>
      <w:r>
        <w:rPr>
          <w:rFonts w:hint="eastAsia" w:ascii="宋体" w:hAnsi="宋体"/>
          <w:szCs w:val="21"/>
        </w:rPr>
        <w:t>本采购文件是根据国家、省、地方现行有关规定和参照国际惯例编制，凡属采购文件未规定内容将根据国家、省、地方现行有关规定执行。本采购文件解释权属采购人和采购代理机构。</w:t>
      </w:r>
      <w:bookmarkEnd w:id="117"/>
    </w:p>
    <w:p>
      <w:pPr>
        <w:spacing w:line="348" w:lineRule="auto"/>
        <w:ind w:firstLine="525" w:firstLineChars="250"/>
        <w:rPr>
          <w:rStyle w:val="89"/>
          <w:rFonts w:ascii="宋体" w:hAnsi="宋体"/>
          <w:b w:val="0"/>
          <w:bCs w:val="0"/>
          <w:kern w:val="2"/>
          <w:sz w:val="21"/>
          <w:szCs w:val="21"/>
        </w:rPr>
      </w:pPr>
      <w:bookmarkStart w:id="118" w:name="_Toc301187803"/>
      <w:r>
        <w:rPr>
          <w:rFonts w:ascii="宋体" w:hAnsi="宋体"/>
          <w:szCs w:val="21"/>
        </w:rPr>
        <w:t>41采购代理机构对</w:t>
      </w:r>
      <w:r>
        <w:rPr>
          <w:rFonts w:hint="eastAsia" w:ascii="宋体" w:hAnsi="宋体"/>
          <w:szCs w:val="21"/>
        </w:rPr>
        <w:t>定</w:t>
      </w:r>
      <w:r>
        <w:rPr>
          <w:rFonts w:ascii="宋体" w:hAnsi="宋体"/>
          <w:szCs w:val="21"/>
        </w:rPr>
        <w:t>标结果不负责解释。</w:t>
      </w:r>
      <w:bookmarkEnd w:id="118"/>
      <w:bookmarkStart w:id="119" w:name="_Toc502154396"/>
    </w:p>
    <w:p>
      <w:pPr>
        <w:pStyle w:val="3"/>
      </w:pPr>
      <w:r>
        <w:rPr>
          <w:rStyle w:val="89"/>
          <w:b w:val="0"/>
          <w:bCs w:val="0"/>
          <w:szCs w:val="22"/>
        </w:rPr>
        <w:br w:type="page"/>
      </w:r>
      <w:bookmarkStart w:id="120" w:name="_Toc59530162"/>
      <w:r>
        <w:rPr>
          <w:rFonts w:hint="eastAsia"/>
        </w:rPr>
        <w:t>第四章合同条款</w:t>
      </w:r>
      <w:bookmarkEnd w:id="119"/>
      <w:bookmarkEnd w:id="120"/>
    </w:p>
    <w:p>
      <w:pPr>
        <w:spacing w:line="700" w:lineRule="exact"/>
        <w:jc w:val="center"/>
        <w:rPr>
          <w:sz w:val="32"/>
          <w:szCs w:val="32"/>
        </w:rPr>
      </w:pPr>
      <w:r>
        <w:rPr>
          <w:sz w:val="32"/>
          <w:szCs w:val="32"/>
        </w:rPr>
        <w:t>（</w:t>
      </w:r>
      <w:r>
        <w:rPr>
          <w:rFonts w:hint="eastAsia"/>
          <w:sz w:val="32"/>
          <w:szCs w:val="32"/>
        </w:rPr>
        <w:t>见卷二、</w:t>
      </w:r>
      <w:r>
        <w:rPr>
          <w:sz w:val="32"/>
          <w:szCs w:val="32"/>
        </w:rPr>
        <w:t>另册提供）</w:t>
      </w:r>
    </w:p>
    <w:p/>
    <w:p>
      <w:pPr>
        <w:pStyle w:val="3"/>
        <w:jc w:val="both"/>
      </w:pPr>
      <w:r>
        <w:rPr>
          <w:rFonts w:hint="eastAsia" w:ascii="宋体" w:hAnsi="宋体"/>
          <w:sz w:val="24"/>
        </w:rPr>
        <w:br w:type="page"/>
      </w:r>
      <w:bookmarkStart w:id="121" w:name="_Toc59530163"/>
      <w:bookmarkStart w:id="122" w:name="_Toc303756412"/>
      <w:bookmarkStart w:id="123" w:name="_Toc24965"/>
      <w:r>
        <w:rPr>
          <w:rFonts w:hint="eastAsia"/>
        </w:rPr>
        <w:t>第五章响应文件格式</w:t>
      </w:r>
      <w:bookmarkEnd w:id="121"/>
      <w:bookmarkEnd w:id="122"/>
      <w:bookmarkEnd w:id="123"/>
      <w:bookmarkStart w:id="124" w:name="_Toc208886781"/>
      <w:bookmarkStart w:id="125" w:name="_Toc283042131"/>
    </w:p>
    <w:bookmarkEnd w:id="124"/>
    <w:bookmarkEnd w:id="125"/>
    <w:p>
      <w:pPr>
        <w:jc w:val="center"/>
      </w:pPr>
    </w:p>
    <w:p>
      <w:pPr>
        <w:pStyle w:val="5"/>
        <w:tabs>
          <w:tab w:val="left" w:pos="3405"/>
        </w:tabs>
        <w:ind w:firstLine="320" w:firstLineChars="100"/>
        <w:jc w:val="center"/>
        <w:rPr>
          <w:rFonts w:ascii="宋体" w:hAnsi="宋体"/>
          <w:b w:val="0"/>
          <w:sz w:val="32"/>
        </w:rPr>
      </w:pPr>
      <w:bookmarkStart w:id="126" w:name="_Toc494558370"/>
      <w:bookmarkStart w:id="127" w:name="_Toc59530164"/>
      <w:bookmarkStart w:id="128" w:name="_Toc40796423"/>
      <w:bookmarkStart w:id="129" w:name="_Toc493955975"/>
      <w:r>
        <w:rPr>
          <w:rFonts w:hint="eastAsia" w:ascii="宋体" w:hAnsi="宋体"/>
          <w:b w:val="0"/>
          <w:sz w:val="32"/>
        </w:rPr>
        <w:t>一  资格审查文件格式</w:t>
      </w:r>
      <w:bookmarkEnd w:id="126"/>
      <w:bookmarkEnd w:id="127"/>
      <w:bookmarkEnd w:id="128"/>
      <w:bookmarkEnd w:id="129"/>
    </w:p>
    <w:p>
      <w:pPr>
        <w:pStyle w:val="21"/>
        <w:spacing w:before="120" w:after="120" w:line="360" w:lineRule="auto"/>
        <w:ind w:firstLine="2393" w:firstLineChars="745"/>
        <w:outlineLvl w:val="2"/>
        <w:rPr>
          <w:rFonts w:hAnsi="宋体"/>
          <w:b/>
          <w:sz w:val="32"/>
        </w:rPr>
      </w:pPr>
      <w:bookmarkStart w:id="130" w:name="_Toc59530165"/>
      <w:r>
        <w:rPr>
          <w:rFonts w:hint="eastAsia" w:hAnsi="宋体"/>
          <w:b/>
          <w:sz w:val="32"/>
        </w:rPr>
        <w:t>▲1、公司有效营业执照</w:t>
      </w:r>
      <w:bookmarkEnd w:id="130"/>
    </w:p>
    <w:p>
      <w:pPr>
        <w:spacing w:line="360" w:lineRule="auto"/>
        <w:rPr>
          <w:rFonts w:ascii="宋体" w:hAnsi="宋体"/>
          <w:sz w:val="24"/>
        </w:rPr>
      </w:pPr>
      <w:r>
        <w:rPr>
          <w:rFonts w:hint="eastAsia" w:ascii="宋体" w:hAnsi="宋体"/>
          <w:sz w:val="24"/>
        </w:rPr>
        <w:t>要求：</w:t>
      </w:r>
    </w:p>
    <w:p>
      <w:pPr>
        <w:spacing w:line="360" w:lineRule="auto"/>
        <w:rPr>
          <w:rFonts w:ascii="宋体" w:hAnsi="宋体"/>
          <w:sz w:val="24"/>
        </w:rPr>
      </w:pPr>
      <w:r>
        <w:rPr>
          <w:rFonts w:hint="eastAsia" w:ascii="宋体" w:hAnsi="宋体"/>
          <w:sz w:val="24"/>
        </w:rPr>
        <w:t>1.提供有效的营业执照原件扫描件；</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注：须加盖公章。需通过资格预审的供应商。</w:t>
      </w:r>
    </w:p>
    <w:p>
      <w:pPr>
        <w:spacing w:line="360" w:lineRule="auto"/>
        <w:rPr>
          <w:rFonts w:ascii="宋体" w:hAnsi="宋体"/>
          <w:sz w:val="24"/>
        </w:rPr>
      </w:pPr>
    </w:p>
    <w:p>
      <w:pPr>
        <w:pStyle w:val="21"/>
        <w:spacing w:before="120" w:after="120" w:line="360" w:lineRule="auto"/>
        <w:jc w:val="left"/>
        <w:rPr>
          <w:rFonts w:hAnsi="宋体"/>
        </w:rPr>
      </w:pPr>
    </w:p>
    <w:p>
      <w:pPr>
        <w:pStyle w:val="21"/>
        <w:spacing w:before="120" w:after="120" w:line="360" w:lineRule="auto"/>
        <w:jc w:val="left"/>
        <w:rPr>
          <w:rFonts w:hAnsi="宋体"/>
        </w:rPr>
      </w:pPr>
      <w:r>
        <w:rPr>
          <w:rFonts w:hint="eastAsia" w:hAnsi="宋体"/>
        </w:rPr>
        <w:br w:type="page"/>
      </w:r>
    </w:p>
    <w:p>
      <w:pPr>
        <w:pStyle w:val="21"/>
        <w:spacing w:before="120" w:after="120" w:line="360" w:lineRule="auto"/>
        <w:ind w:firstLine="3373" w:firstLineChars="1050"/>
        <w:outlineLvl w:val="2"/>
        <w:rPr>
          <w:rFonts w:hAnsi="宋体"/>
          <w:b/>
          <w:sz w:val="32"/>
          <w:szCs w:val="20"/>
        </w:rPr>
      </w:pPr>
      <w:bookmarkStart w:id="131" w:name="_Toc59530166"/>
      <w:r>
        <w:rPr>
          <w:rFonts w:hint="eastAsia" w:hAnsi="宋体"/>
          <w:b/>
          <w:sz w:val="32"/>
        </w:rPr>
        <w:t>▲2、授权委托书</w:t>
      </w:r>
      <w:bookmarkEnd w:id="131"/>
    </w:p>
    <w:p>
      <w:pPr>
        <w:pStyle w:val="173"/>
        <w:spacing w:line="440" w:lineRule="exact"/>
        <w:rPr>
          <w:rFonts w:ascii="宋体" w:hAnsi="宋体"/>
          <w:b/>
          <w:sz w:val="24"/>
          <w:szCs w:val="21"/>
        </w:rPr>
      </w:pPr>
      <w:r>
        <w:rPr>
          <w:rFonts w:hint="eastAsia" w:ascii="宋体" w:hAnsi="宋体"/>
          <w:sz w:val="24"/>
          <w:szCs w:val="21"/>
          <w:u w:val="single"/>
        </w:rPr>
        <w:t xml:space="preserve">（代理机构名称） </w:t>
      </w:r>
      <w:r>
        <w:rPr>
          <w:rFonts w:hint="eastAsia" w:ascii="宋体" w:hAnsi="宋体"/>
          <w:sz w:val="24"/>
          <w:szCs w:val="21"/>
        </w:rPr>
        <w:t>：</w:t>
      </w:r>
    </w:p>
    <w:p>
      <w:pPr>
        <w:pStyle w:val="173"/>
        <w:autoSpaceDE w:val="0"/>
        <w:autoSpaceDN w:val="0"/>
        <w:spacing w:line="440" w:lineRule="exact"/>
        <w:textAlignment w:val="bottom"/>
        <w:rPr>
          <w:rFonts w:ascii="宋体" w:hAnsi="宋体"/>
          <w:sz w:val="24"/>
          <w:szCs w:val="20"/>
        </w:rPr>
      </w:pPr>
      <w:r>
        <w:rPr>
          <w:rFonts w:hint="eastAsia" w:ascii="宋体" w:hAnsi="宋体"/>
          <w:sz w:val="24"/>
          <w:szCs w:val="20"/>
        </w:rPr>
        <w:t xml:space="preserve">  我</w:t>
      </w:r>
      <w:r>
        <w:rPr>
          <w:rFonts w:hint="eastAsia" w:ascii="宋体" w:hAnsi="宋体"/>
          <w:sz w:val="24"/>
          <w:szCs w:val="20"/>
          <w:u w:val="single"/>
        </w:rPr>
        <w:t xml:space="preserve">              （</w:t>
      </w:r>
      <w:r>
        <w:rPr>
          <w:rFonts w:hint="eastAsia" w:ascii="宋体" w:hAnsi="宋体"/>
          <w:sz w:val="24"/>
          <w:szCs w:val="20"/>
        </w:rPr>
        <w:t>负责人姓名）系（供应商全称）的负责人，现授权委托</w:t>
      </w:r>
      <w:r>
        <w:rPr>
          <w:rFonts w:hint="eastAsia" w:ascii="宋体" w:hAnsi="宋体"/>
          <w:b/>
          <w:sz w:val="24"/>
          <w:szCs w:val="20"/>
        </w:rPr>
        <w:t>本单位在职职工</w:t>
      </w:r>
      <w:r>
        <w:rPr>
          <w:rFonts w:hint="eastAsia" w:ascii="宋体" w:hAnsi="宋体"/>
          <w:sz w:val="24"/>
          <w:szCs w:val="20"/>
        </w:rPr>
        <w:t>（姓名）以我方的名义参加就贵方组织的</w:t>
      </w:r>
      <w:r>
        <w:rPr>
          <w:rFonts w:hint="eastAsia" w:ascii="宋体" w:hAnsi="宋体"/>
          <w:sz w:val="24"/>
          <w:szCs w:val="20"/>
          <w:u w:val="single"/>
        </w:rPr>
        <w:t xml:space="preserve">                         （采购项目名称）</w:t>
      </w:r>
      <w:r>
        <w:rPr>
          <w:rFonts w:hint="eastAsia" w:ascii="宋体" w:hAnsi="宋体"/>
          <w:sz w:val="24"/>
          <w:szCs w:val="20"/>
        </w:rPr>
        <w:t>（采购编号：</w:t>
      </w:r>
      <w:r>
        <w:rPr>
          <w:rFonts w:hint="eastAsia" w:ascii="宋体" w:hAnsi="宋体"/>
          <w:sz w:val="24"/>
          <w:szCs w:val="20"/>
          <w:u w:val="single"/>
        </w:rPr>
        <w:t>　　　　</w:t>
      </w:r>
      <w:r>
        <w:rPr>
          <w:rFonts w:hint="eastAsia" w:ascii="宋体" w:hAnsi="宋体"/>
          <w:sz w:val="24"/>
          <w:szCs w:val="20"/>
        </w:rPr>
        <w:t>）项目的磋商活动，并代表我方全权办理针对上述项目的磋商、开标、评审、签约等具体事务和签署相关文件。</w:t>
      </w:r>
    </w:p>
    <w:p>
      <w:pPr>
        <w:pStyle w:val="173"/>
        <w:autoSpaceDE w:val="0"/>
        <w:autoSpaceDN w:val="0"/>
        <w:spacing w:line="440" w:lineRule="exact"/>
        <w:textAlignment w:val="bottom"/>
        <w:rPr>
          <w:rFonts w:ascii="宋体" w:hAnsi="宋体"/>
          <w:sz w:val="24"/>
          <w:szCs w:val="20"/>
        </w:rPr>
      </w:pPr>
      <w:r>
        <w:rPr>
          <w:rFonts w:hint="eastAsia" w:ascii="宋体" w:hAnsi="宋体"/>
          <w:sz w:val="24"/>
          <w:szCs w:val="20"/>
        </w:rPr>
        <w:t xml:space="preserve">    我方对委托代理人的签字或盖章事项负全部责任。</w:t>
      </w:r>
    </w:p>
    <w:p>
      <w:pPr>
        <w:pStyle w:val="173"/>
        <w:spacing w:line="440" w:lineRule="exact"/>
        <w:ind w:firstLine="480"/>
        <w:rPr>
          <w:rFonts w:ascii="宋体" w:hAnsi="宋体"/>
          <w:sz w:val="24"/>
          <w:szCs w:val="21"/>
        </w:rPr>
      </w:pPr>
      <w:r>
        <w:rPr>
          <w:rFonts w:hint="eastAsia" w:ascii="宋体" w:hAnsi="宋体"/>
          <w:sz w:val="24"/>
          <w:szCs w:val="21"/>
        </w:rPr>
        <w:t>本授权书自签署之日起生效，在撤销授权的书面通知送达贵方以前，本授权委托书一直有效。委托代理人在授权书有效期内签署的所有文件不因授权的撤销而失效。</w:t>
      </w:r>
    </w:p>
    <w:p>
      <w:pPr>
        <w:pStyle w:val="173"/>
        <w:spacing w:line="440" w:lineRule="exact"/>
        <w:ind w:firstLine="480"/>
        <w:rPr>
          <w:rFonts w:ascii="宋体" w:hAnsi="宋体"/>
          <w:sz w:val="24"/>
          <w:szCs w:val="21"/>
        </w:rPr>
      </w:pPr>
      <w:r>
        <w:rPr>
          <w:rFonts w:hint="eastAsia" w:ascii="宋体" w:hAnsi="宋体"/>
          <w:sz w:val="24"/>
          <w:szCs w:val="21"/>
        </w:rPr>
        <w:t>委托代理人无转委托权，特此声明。</w:t>
      </w:r>
    </w:p>
    <w:p>
      <w:pPr>
        <w:pStyle w:val="173"/>
        <w:spacing w:line="440" w:lineRule="exact"/>
        <w:ind w:firstLine="480"/>
        <w:rPr>
          <w:rFonts w:ascii="宋体" w:hAnsi="宋体"/>
          <w:sz w:val="24"/>
          <w:szCs w:val="21"/>
        </w:rPr>
      </w:pPr>
    </w:p>
    <w:p>
      <w:pPr>
        <w:pStyle w:val="173"/>
        <w:spacing w:line="440" w:lineRule="exact"/>
        <w:ind w:firstLine="4480" w:firstLineChars="1600"/>
        <w:rPr>
          <w:rFonts w:ascii="宋体" w:hAnsi="宋体"/>
          <w:spacing w:val="20"/>
          <w:sz w:val="24"/>
          <w:szCs w:val="21"/>
        </w:rPr>
      </w:pPr>
      <w:r>
        <w:rPr>
          <w:rFonts w:hint="eastAsia" w:ascii="宋体" w:hAnsi="宋体"/>
          <w:spacing w:val="20"/>
          <w:sz w:val="24"/>
          <w:szCs w:val="21"/>
        </w:rPr>
        <w:t>负责人签字或盖章：</w:t>
      </w:r>
    </w:p>
    <w:p>
      <w:pPr>
        <w:pStyle w:val="173"/>
        <w:spacing w:line="440" w:lineRule="exact"/>
        <w:ind w:firstLine="5320" w:firstLineChars="1900"/>
        <w:rPr>
          <w:rFonts w:ascii="宋体" w:hAnsi="宋体"/>
          <w:spacing w:val="20"/>
          <w:sz w:val="24"/>
          <w:szCs w:val="21"/>
          <w:u w:val="single"/>
        </w:rPr>
      </w:pPr>
      <w:r>
        <w:rPr>
          <w:rFonts w:hint="eastAsia" w:ascii="宋体" w:hAnsi="宋体"/>
          <w:spacing w:val="20"/>
          <w:sz w:val="24"/>
          <w:szCs w:val="21"/>
        </w:rPr>
        <w:t>供应商盖章：</w:t>
      </w:r>
    </w:p>
    <w:p>
      <w:pPr>
        <w:pStyle w:val="173"/>
        <w:spacing w:line="440" w:lineRule="exact"/>
        <w:ind w:firstLine="5320" w:firstLineChars="1900"/>
        <w:rPr>
          <w:rFonts w:ascii="宋体" w:hAnsi="宋体"/>
          <w:spacing w:val="20"/>
          <w:sz w:val="24"/>
          <w:szCs w:val="21"/>
          <w:u w:val="single"/>
        </w:rPr>
      </w:pPr>
      <w:r>
        <w:rPr>
          <w:rFonts w:hint="eastAsia" w:ascii="宋体" w:hAnsi="宋体"/>
          <w:spacing w:val="20"/>
          <w:sz w:val="24"/>
          <w:szCs w:val="21"/>
        </w:rPr>
        <w:t>日     期：</w:t>
      </w:r>
    </w:p>
    <w:p>
      <w:pPr>
        <w:pStyle w:val="173"/>
        <w:spacing w:line="440" w:lineRule="exact"/>
        <w:rPr>
          <w:rFonts w:ascii="宋体" w:hAnsi="宋体"/>
          <w:sz w:val="24"/>
          <w:szCs w:val="21"/>
        </w:rPr>
      </w:pPr>
      <w:r>
        <w:rPr>
          <w:rFonts w:hint="eastAsia" w:ascii="宋体" w:hAnsi="宋体"/>
          <w:sz w:val="24"/>
          <w:szCs w:val="21"/>
        </w:rPr>
        <w:t>_____________________________________________________________________</w:t>
      </w:r>
    </w:p>
    <w:p>
      <w:pPr>
        <w:pStyle w:val="173"/>
        <w:spacing w:line="440" w:lineRule="exact"/>
        <w:ind w:firstLine="480"/>
        <w:rPr>
          <w:rFonts w:ascii="宋体" w:hAnsi="宋体"/>
          <w:sz w:val="24"/>
          <w:szCs w:val="21"/>
        </w:rPr>
      </w:pPr>
      <w:r>
        <w:rPr>
          <w:rFonts w:hint="eastAsia" w:ascii="宋体" w:hAnsi="宋体"/>
          <w:sz w:val="24"/>
          <w:szCs w:val="21"/>
        </w:rPr>
        <w:t>附：1、委托代理人工作单位：</w:t>
      </w:r>
      <w:r>
        <w:rPr>
          <w:rFonts w:hint="eastAsia" w:ascii="宋体" w:hAnsi="宋体"/>
          <w:sz w:val="24"/>
          <w:szCs w:val="21"/>
        </w:rPr>
        <w:tab/>
      </w:r>
      <w:r>
        <w:rPr>
          <w:rFonts w:hint="eastAsia" w:ascii="宋体" w:hAnsi="宋体"/>
          <w:sz w:val="24"/>
          <w:szCs w:val="21"/>
        </w:rPr>
        <w:tab/>
      </w:r>
      <w:r>
        <w:rPr>
          <w:rFonts w:hint="eastAsia" w:ascii="宋体" w:hAnsi="宋体"/>
          <w:sz w:val="24"/>
          <w:szCs w:val="21"/>
        </w:rPr>
        <w:tab/>
      </w:r>
      <w:r>
        <w:rPr>
          <w:rFonts w:hint="eastAsia" w:ascii="宋体" w:hAnsi="宋体"/>
          <w:sz w:val="24"/>
          <w:szCs w:val="21"/>
        </w:rPr>
        <w:tab/>
      </w:r>
      <w:r>
        <w:rPr>
          <w:rFonts w:hint="eastAsia" w:ascii="宋体" w:hAnsi="宋体"/>
          <w:sz w:val="24"/>
          <w:szCs w:val="21"/>
        </w:rPr>
        <w:tab/>
      </w:r>
      <w:r>
        <w:rPr>
          <w:rFonts w:hint="eastAsia" w:ascii="宋体" w:hAnsi="宋体"/>
          <w:sz w:val="24"/>
          <w:szCs w:val="21"/>
        </w:rPr>
        <w:t xml:space="preserve">职务： </w:t>
      </w:r>
    </w:p>
    <w:p>
      <w:pPr>
        <w:pStyle w:val="173"/>
        <w:spacing w:line="440" w:lineRule="exact"/>
        <w:ind w:firstLine="480"/>
        <w:rPr>
          <w:rFonts w:ascii="宋体" w:hAnsi="宋体"/>
          <w:sz w:val="24"/>
          <w:szCs w:val="21"/>
        </w:rPr>
      </w:pPr>
      <w:r>
        <w:rPr>
          <w:rFonts w:hint="eastAsia" w:ascii="宋体" w:hAnsi="宋体"/>
          <w:sz w:val="24"/>
          <w:szCs w:val="21"/>
        </w:rPr>
        <w:t xml:space="preserve">       身份证号码：　　　　　　　　　　</w:t>
      </w:r>
      <w:r>
        <w:rPr>
          <w:rFonts w:hint="eastAsia" w:ascii="宋体" w:hAnsi="宋体"/>
          <w:sz w:val="24"/>
          <w:szCs w:val="21"/>
        </w:rPr>
        <w:tab/>
      </w:r>
      <w:r>
        <w:rPr>
          <w:rFonts w:hint="eastAsia" w:ascii="宋体" w:hAnsi="宋体"/>
          <w:sz w:val="24"/>
          <w:szCs w:val="21"/>
        </w:rPr>
        <w:t xml:space="preserve">性别：　    </w:t>
      </w:r>
    </w:p>
    <w:p>
      <w:pPr>
        <w:pStyle w:val="173"/>
        <w:spacing w:line="360" w:lineRule="auto"/>
        <w:ind w:left="850" w:leftChars="405" w:firstLine="420"/>
        <w:rPr>
          <w:rFonts w:ascii="宋体" w:hAnsi="宋体"/>
          <w:bCs/>
          <w:sz w:val="24"/>
          <w:szCs w:val="21"/>
        </w:rPr>
      </w:pPr>
      <w:r>
        <w:rPr>
          <w:rFonts w:hint="eastAsia" w:ascii="宋体" w:hAnsi="宋体"/>
          <w:bCs/>
          <w:sz w:val="24"/>
          <w:szCs w:val="21"/>
        </w:rPr>
        <w:t xml:space="preserve">委托代理人联系电话：                    </w:t>
      </w:r>
    </w:p>
    <w:p>
      <w:pPr>
        <w:pStyle w:val="173"/>
        <w:spacing w:line="360" w:lineRule="auto"/>
        <w:ind w:left="850" w:leftChars="405" w:firstLine="420"/>
        <w:rPr>
          <w:rFonts w:ascii="宋体" w:hAnsi="宋体"/>
          <w:b/>
          <w:sz w:val="24"/>
          <w:szCs w:val="21"/>
        </w:rPr>
      </w:pPr>
      <w:r>
        <w:rPr>
          <w:rFonts w:hint="eastAsia" w:ascii="宋体" w:hAnsi="宋体"/>
          <w:bCs/>
          <w:sz w:val="24"/>
          <w:szCs w:val="21"/>
        </w:rPr>
        <w:t>委托代理人钉钉号</w:t>
      </w:r>
      <w:r>
        <w:rPr>
          <w:rFonts w:hint="eastAsia" w:ascii="宋体" w:hAnsi="宋体"/>
          <w:b/>
          <w:sz w:val="24"/>
          <w:szCs w:val="21"/>
        </w:rPr>
        <w:t xml:space="preserve">：                      </w:t>
      </w:r>
    </w:p>
    <w:p>
      <w:pPr>
        <w:pStyle w:val="173"/>
        <w:spacing w:line="360" w:lineRule="auto"/>
        <w:ind w:firstLine="420"/>
        <w:rPr>
          <w:rFonts w:ascii="宋体" w:hAnsi="宋体"/>
          <w:sz w:val="24"/>
          <w:szCs w:val="21"/>
        </w:rPr>
      </w:pPr>
      <w:r>
        <w:rPr>
          <w:rFonts w:hint="eastAsia" w:ascii="宋体" w:hAnsi="宋体"/>
          <w:b/>
          <w:sz w:val="24"/>
          <w:szCs w:val="21"/>
        </w:rPr>
        <w:t>注：</w:t>
      </w:r>
      <w:r>
        <w:rPr>
          <w:rFonts w:hint="eastAsia" w:ascii="宋体" w:hAnsi="宋体"/>
          <w:sz w:val="24"/>
          <w:szCs w:val="21"/>
        </w:rPr>
        <w:t>1、供应商为法人企业的，其负责人为其法定代表人；供应商为其他组织的，其负责人为法律、行政法规规定代表单位行使职权的主要负责人。</w:t>
      </w:r>
    </w:p>
    <w:p>
      <w:pPr>
        <w:pStyle w:val="173"/>
        <w:spacing w:line="360" w:lineRule="auto"/>
        <w:ind w:firstLine="900" w:firstLineChars="375"/>
        <w:rPr>
          <w:rFonts w:ascii="宋体" w:hAnsi="宋体"/>
          <w:sz w:val="24"/>
          <w:szCs w:val="21"/>
        </w:rPr>
      </w:pPr>
      <w:r>
        <w:rPr>
          <w:rFonts w:hint="eastAsia" w:ascii="宋体" w:hAnsi="宋体"/>
          <w:sz w:val="24"/>
          <w:szCs w:val="21"/>
        </w:rPr>
        <w:t>2、委托人为上述条款中的负责人。</w:t>
      </w:r>
    </w:p>
    <w:p>
      <w:pPr>
        <w:pStyle w:val="173"/>
        <w:spacing w:line="360" w:lineRule="auto"/>
        <w:ind w:firstLine="900" w:firstLineChars="375"/>
        <w:rPr>
          <w:rFonts w:ascii="宋体" w:hAnsi="宋体"/>
          <w:b/>
          <w:sz w:val="24"/>
          <w:szCs w:val="21"/>
        </w:rPr>
      </w:pPr>
      <w:r>
        <w:rPr>
          <w:rFonts w:hint="eastAsia" w:ascii="宋体" w:hAnsi="宋体"/>
          <w:sz w:val="24"/>
          <w:szCs w:val="21"/>
        </w:rPr>
        <w:t>3、本“授权委托书”需附负责人</w:t>
      </w:r>
      <w:r>
        <w:rPr>
          <w:rFonts w:hint="eastAsia" w:ascii="宋体" w:hAnsi="宋体"/>
          <w:bCs/>
          <w:sz w:val="24"/>
          <w:szCs w:val="21"/>
        </w:rPr>
        <w:t>和</w:t>
      </w:r>
      <w:r>
        <w:rPr>
          <w:rFonts w:hint="eastAsia" w:ascii="宋体" w:hAnsi="宋体"/>
          <w:sz w:val="24"/>
          <w:szCs w:val="21"/>
        </w:rPr>
        <w:t>委托代理人身份证扫描件，如扫描件不清晰或错误的，后果由供应商承担。</w:t>
      </w:r>
    </w:p>
    <w:p>
      <w:pPr>
        <w:pStyle w:val="203"/>
        <w:spacing w:line="440" w:lineRule="exact"/>
        <w:ind w:firstLine="823" w:firstLineChars="343"/>
        <w:rPr>
          <w:rFonts w:hAnsi="宋体"/>
          <w:bCs/>
          <w:sz w:val="24"/>
        </w:rPr>
      </w:pPr>
      <w:r>
        <w:rPr>
          <w:rFonts w:hint="eastAsia" w:hAnsi="宋体"/>
          <w:bCs/>
          <w:sz w:val="24"/>
        </w:rPr>
        <w:t>4、上述格式中的“负责人签字或盖章”，供应商无法通过电子签章实现的，可以采用纸质签字完成后再扫描上传政采云平台电子磋商工具。</w:t>
      </w:r>
    </w:p>
    <w:p>
      <w:pPr>
        <w:pStyle w:val="203"/>
        <w:spacing w:line="440" w:lineRule="exact"/>
        <w:ind w:firstLine="823" w:firstLineChars="343"/>
        <w:rPr>
          <w:rFonts w:hAnsi="宋体"/>
          <w:bCs/>
          <w:sz w:val="24"/>
        </w:rPr>
      </w:pPr>
      <w:r>
        <w:rPr>
          <w:rFonts w:hint="eastAsia" w:hAnsi="宋体"/>
          <w:bCs/>
          <w:sz w:val="24"/>
        </w:rPr>
        <w:br w:type="page"/>
      </w:r>
    </w:p>
    <w:p>
      <w:pPr>
        <w:pStyle w:val="203"/>
        <w:spacing w:line="440" w:lineRule="exact"/>
        <w:rPr>
          <w:rFonts w:hAnsi="宋体"/>
          <w:bCs/>
          <w:sz w:val="24"/>
        </w:rPr>
      </w:pPr>
      <w:r>
        <w:rPr>
          <w:rFonts w:hint="eastAsia" w:hAnsi="宋体"/>
          <w:bCs/>
          <w:sz w:val="24"/>
        </w:rPr>
        <w:t>负责人身份证正反面扫描件：</w:t>
      </w:r>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Borders>
              <w:top w:val="single" w:color="auto" w:sz="4" w:space="0"/>
              <w:left w:val="single" w:color="auto" w:sz="4" w:space="0"/>
              <w:bottom w:val="single" w:color="auto" w:sz="4" w:space="0"/>
              <w:right w:val="single" w:color="auto" w:sz="4" w:space="0"/>
            </w:tcBorders>
          </w:tcPr>
          <w:p>
            <w:pPr>
              <w:pStyle w:val="203"/>
              <w:spacing w:line="440" w:lineRule="exact"/>
              <w:rPr>
                <w:rFonts w:hAnsi="宋体"/>
                <w:bCs/>
                <w:sz w:val="24"/>
              </w:rPr>
            </w:pPr>
          </w:p>
          <w:p>
            <w:pPr>
              <w:pStyle w:val="203"/>
              <w:spacing w:line="440" w:lineRule="exact"/>
              <w:rPr>
                <w:rFonts w:hAnsi="宋体"/>
                <w:bCs/>
                <w:sz w:val="24"/>
              </w:rPr>
            </w:pPr>
          </w:p>
        </w:tc>
      </w:tr>
    </w:tbl>
    <w:p>
      <w:pPr>
        <w:pStyle w:val="203"/>
        <w:spacing w:line="440" w:lineRule="exact"/>
        <w:rPr>
          <w:rFonts w:hAnsi="宋体"/>
          <w:bCs/>
          <w:sz w:val="24"/>
        </w:rPr>
      </w:pPr>
      <w:r>
        <w:rPr>
          <w:rFonts w:hint="eastAsia" w:hAnsi="宋体"/>
          <w:bCs/>
          <w:sz w:val="24"/>
        </w:rPr>
        <w:t>委托代理人身份证正反面扫描件：</w:t>
      </w:r>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Borders>
              <w:top w:val="single" w:color="auto" w:sz="4" w:space="0"/>
              <w:left w:val="single" w:color="auto" w:sz="4" w:space="0"/>
              <w:bottom w:val="single" w:color="auto" w:sz="4" w:space="0"/>
              <w:right w:val="single" w:color="auto" w:sz="4" w:space="0"/>
            </w:tcBorders>
          </w:tcPr>
          <w:p>
            <w:pPr>
              <w:pStyle w:val="203"/>
              <w:spacing w:line="440" w:lineRule="exact"/>
              <w:rPr>
                <w:rFonts w:hAnsi="宋体"/>
                <w:bCs/>
                <w:sz w:val="24"/>
              </w:rPr>
            </w:pPr>
          </w:p>
        </w:tc>
      </w:tr>
    </w:tbl>
    <w:p>
      <w:pPr>
        <w:pStyle w:val="21"/>
        <w:spacing w:before="120" w:after="120" w:line="360" w:lineRule="auto"/>
        <w:ind w:firstLine="3373" w:firstLineChars="1050"/>
        <w:rPr>
          <w:rFonts w:hAnsi="宋体"/>
          <w:b/>
          <w:sz w:val="32"/>
        </w:rPr>
      </w:pPr>
    </w:p>
    <w:p>
      <w:pPr>
        <w:pStyle w:val="5"/>
        <w:tabs>
          <w:tab w:val="left" w:pos="3405"/>
        </w:tabs>
        <w:ind w:firstLine="320" w:firstLineChars="100"/>
        <w:jc w:val="center"/>
        <w:rPr>
          <w:rFonts w:ascii="宋体" w:hAnsi="宋体"/>
          <w:sz w:val="30"/>
          <w:szCs w:val="20"/>
        </w:rPr>
      </w:pPr>
      <w:r>
        <w:rPr>
          <w:rFonts w:hAnsi="宋体"/>
          <w:b w:val="0"/>
          <w:sz w:val="32"/>
        </w:rPr>
        <w:br w:type="page"/>
      </w:r>
      <w:bookmarkStart w:id="132" w:name="_Toc40796424"/>
      <w:bookmarkStart w:id="133" w:name="_Toc386467624"/>
      <w:bookmarkStart w:id="134" w:name="_Toc59530167"/>
      <w:r>
        <w:rPr>
          <w:rFonts w:hint="eastAsia" w:ascii="宋体" w:hAnsi="宋体"/>
          <w:sz w:val="32"/>
        </w:rPr>
        <w:t>二  资信商务及技术文件格式</w:t>
      </w:r>
      <w:bookmarkEnd w:id="132"/>
      <w:bookmarkEnd w:id="133"/>
      <w:bookmarkEnd w:id="134"/>
    </w:p>
    <w:p>
      <w:pPr>
        <w:snapToGrid w:val="0"/>
        <w:spacing w:line="400" w:lineRule="exact"/>
        <w:jc w:val="center"/>
        <w:outlineLvl w:val="2"/>
        <w:rPr>
          <w:rFonts w:ascii="宋体" w:hAnsi="宋体" w:cs="宋体"/>
          <w:b/>
          <w:sz w:val="28"/>
          <w:szCs w:val="28"/>
        </w:rPr>
      </w:pPr>
      <w:bookmarkStart w:id="135" w:name="_Toc59530168"/>
      <w:r>
        <w:rPr>
          <w:rFonts w:hint="eastAsia" w:ascii="宋体" w:hAnsi="宋体" w:cs="宋体"/>
          <w:b/>
          <w:sz w:val="28"/>
          <w:szCs w:val="28"/>
        </w:rPr>
        <w:t>（一）资信商务文件格式</w:t>
      </w:r>
      <w:bookmarkEnd w:id="135"/>
    </w:p>
    <w:p>
      <w:pPr>
        <w:snapToGrid w:val="0"/>
        <w:spacing w:line="400" w:lineRule="exact"/>
        <w:jc w:val="center"/>
        <w:outlineLvl w:val="2"/>
        <w:rPr>
          <w:rFonts w:ascii="宋体" w:hAnsi="宋体" w:cs="宋体"/>
          <w:b/>
          <w:sz w:val="24"/>
        </w:rPr>
      </w:pPr>
      <w:bookmarkStart w:id="136" w:name="_Toc303756419"/>
      <w:bookmarkStart w:id="137" w:name="_Toc59530169"/>
      <w:r>
        <w:rPr>
          <w:rFonts w:hint="eastAsia" w:ascii="宋体" w:hAnsi="宋体" w:cs="宋体"/>
          <w:b/>
          <w:sz w:val="28"/>
          <w:szCs w:val="28"/>
        </w:rPr>
        <w:t>1、</w:t>
      </w:r>
      <w:bookmarkEnd w:id="136"/>
      <w:r>
        <w:rPr>
          <w:rFonts w:hint="eastAsia" w:ascii="宋体" w:hAnsi="宋体" w:cs="宋体"/>
          <w:b/>
          <w:sz w:val="28"/>
          <w:szCs w:val="28"/>
        </w:rPr>
        <w:t>磋商函</w:t>
      </w:r>
      <w:bookmarkEnd w:id="137"/>
    </w:p>
    <w:p>
      <w:pPr>
        <w:spacing w:line="360" w:lineRule="auto"/>
        <w:rPr>
          <w:rFonts w:ascii="宋体" w:hAnsi="宋体" w:cs="宋体"/>
          <w:sz w:val="22"/>
          <w:szCs w:val="22"/>
        </w:rPr>
      </w:pPr>
    </w:p>
    <w:p>
      <w:pPr>
        <w:pStyle w:val="21"/>
        <w:spacing w:beforeLines="0" w:afterLines="0" w:line="360" w:lineRule="auto"/>
        <w:rPr>
          <w:rFonts w:hAnsi="宋体" w:cs="宋体"/>
          <w:sz w:val="22"/>
          <w:szCs w:val="22"/>
        </w:rPr>
      </w:pPr>
      <w:r>
        <w:rPr>
          <w:rFonts w:hint="eastAsia" w:hAnsi="宋体" w:cs="宋体"/>
          <w:sz w:val="22"/>
          <w:szCs w:val="22"/>
        </w:rPr>
        <w:t>致：</w:t>
      </w:r>
      <w:r>
        <w:rPr>
          <w:rFonts w:hint="eastAsia" w:hAnsi="宋体" w:cs="宋体"/>
          <w:sz w:val="22"/>
          <w:szCs w:val="22"/>
          <w:u w:val="single"/>
        </w:rPr>
        <w:t xml:space="preserve">          （采购人名称）</w:t>
      </w:r>
    </w:p>
    <w:p>
      <w:pPr>
        <w:pStyle w:val="21"/>
        <w:spacing w:beforeLines="0" w:afterLines="0" w:line="360" w:lineRule="auto"/>
        <w:ind w:firstLine="482"/>
        <w:rPr>
          <w:rFonts w:hAnsi="宋体" w:cs="宋体"/>
          <w:sz w:val="22"/>
          <w:szCs w:val="22"/>
        </w:rPr>
      </w:pPr>
    </w:p>
    <w:p>
      <w:pPr>
        <w:pStyle w:val="21"/>
        <w:spacing w:beforeLines="0" w:afterLines="0" w:line="360" w:lineRule="auto"/>
        <w:ind w:firstLine="482"/>
        <w:rPr>
          <w:rFonts w:hAnsi="宋体" w:cs="宋体"/>
          <w:sz w:val="22"/>
          <w:szCs w:val="22"/>
        </w:rPr>
      </w:pPr>
      <w:r>
        <w:rPr>
          <w:rFonts w:hint="eastAsia" w:hAnsi="宋体" w:cs="宋体"/>
          <w:sz w:val="22"/>
          <w:szCs w:val="22"/>
        </w:rPr>
        <w:t>根据贵方</w:t>
      </w:r>
      <w:r>
        <w:rPr>
          <w:rFonts w:hint="eastAsia" w:hAnsi="宋体" w:cs="宋体"/>
          <w:sz w:val="22"/>
          <w:szCs w:val="22"/>
          <w:u w:val="single"/>
        </w:rPr>
        <w:t xml:space="preserve">            （项目名称）</w:t>
      </w:r>
      <w:r>
        <w:rPr>
          <w:rFonts w:hint="eastAsia" w:hAnsi="宋体" w:cs="宋体"/>
          <w:sz w:val="22"/>
          <w:szCs w:val="22"/>
        </w:rPr>
        <w:t>项目（采购编号：）的采购文件要求，正式授权下述签字人</w:t>
      </w:r>
      <w:r>
        <w:rPr>
          <w:rFonts w:hint="eastAsia" w:hAnsi="宋体" w:cs="宋体"/>
          <w:sz w:val="22"/>
          <w:szCs w:val="22"/>
          <w:u w:val="single"/>
        </w:rPr>
        <w:t xml:space="preserve">          （姓名和职务）</w:t>
      </w:r>
      <w:r>
        <w:rPr>
          <w:rFonts w:hint="eastAsia" w:hAnsi="宋体" w:cs="宋体"/>
          <w:sz w:val="22"/>
          <w:szCs w:val="22"/>
        </w:rPr>
        <w:t>全权代表供应商</w:t>
      </w:r>
      <w:r>
        <w:rPr>
          <w:rFonts w:hint="eastAsia" w:hAnsi="宋体" w:cs="宋体"/>
          <w:sz w:val="22"/>
          <w:szCs w:val="22"/>
          <w:u w:val="single"/>
        </w:rPr>
        <w:t xml:space="preserve">           （供应商全称）</w:t>
      </w:r>
      <w:r>
        <w:rPr>
          <w:rFonts w:hint="eastAsia" w:hAnsi="宋体" w:cs="宋体"/>
          <w:sz w:val="22"/>
          <w:szCs w:val="22"/>
        </w:rPr>
        <w:t>参加贵方组织的有关磋商活动，并提交下述文件：</w:t>
      </w:r>
    </w:p>
    <w:p>
      <w:pPr>
        <w:pStyle w:val="21"/>
        <w:numPr>
          <w:ilvl w:val="0"/>
          <w:numId w:val="2"/>
        </w:numPr>
        <w:spacing w:beforeLines="0" w:afterLines="0" w:line="360" w:lineRule="auto"/>
        <w:rPr>
          <w:rFonts w:hAnsi="宋体" w:cs="宋体"/>
          <w:sz w:val="22"/>
          <w:szCs w:val="22"/>
        </w:rPr>
      </w:pPr>
      <w:r>
        <w:rPr>
          <w:rFonts w:hint="eastAsia" w:hAnsi="宋体" w:cs="宋体"/>
          <w:sz w:val="22"/>
          <w:szCs w:val="22"/>
        </w:rPr>
        <w:t>采购文件规定的资格审查文件、资信商务及技术文件、报价文件。</w:t>
      </w:r>
    </w:p>
    <w:p>
      <w:pPr>
        <w:pStyle w:val="21"/>
        <w:numPr>
          <w:ilvl w:val="0"/>
          <w:numId w:val="2"/>
        </w:numPr>
        <w:spacing w:beforeLines="0" w:afterLines="0" w:line="360" w:lineRule="auto"/>
        <w:rPr>
          <w:rFonts w:hAnsi="宋体" w:cs="宋体"/>
          <w:sz w:val="22"/>
          <w:szCs w:val="22"/>
        </w:rPr>
      </w:pPr>
      <w:r>
        <w:rPr>
          <w:rFonts w:hint="eastAsia" w:hAnsi="宋体" w:cs="宋体"/>
          <w:sz w:val="22"/>
          <w:szCs w:val="22"/>
        </w:rPr>
        <w:t>据此函，签字人兹宣布同意如下：</w:t>
      </w:r>
    </w:p>
    <w:p>
      <w:pPr>
        <w:pStyle w:val="21"/>
        <w:spacing w:beforeLines="0" w:afterLines="0" w:line="360" w:lineRule="auto"/>
        <w:ind w:firstLine="330" w:firstLineChars="150"/>
        <w:rPr>
          <w:rFonts w:hAnsi="宋体" w:cs="宋体"/>
          <w:sz w:val="22"/>
          <w:szCs w:val="22"/>
        </w:rPr>
      </w:pPr>
      <w:r>
        <w:rPr>
          <w:rFonts w:hint="eastAsia" w:hAnsi="宋体" w:cs="宋体"/>
          <w:sz w:val="22"/>
          <w:szCs w:val="22"/>
        </w:rPr>
        <w:t>（1）我们承担根据采购文件的规定，完成合同的责任和义务。</w:t>
      </w:r>
    </w:p>
    <w:p>
      <w:pPr>
        <w:pStyle w:val="21"/>
        <w:spacing w:beforeLines="0" w:afterLines="0" w:line="360" w:lineRule="auto"/>
        <w:ind w:firstLine="330" w:firstLineChars="150"/>
        <w:rPr>
          <w:rFonts w:hAnsi="宋体" w:cs="宋体"/>
          <w:sz w:val="22"/>
          <w:szCs w:val="22"/>
        </w:rPr>
      </w:pPr>
      <w:r>
        <w:rPr>
          <w:rFonts w:hint="eastAsia" w:hAnsi="宋体" w:cs="宋体"/>
          <w:sz w:val="22"/>
          <w:szCs w:val="22"/>
        </w:rPr>
        <w:t>（2）我们已详细审核全部采购文件、参考资料及有关附件，我们知道必须放弃提出含糊不清或误解问题的权利。</w:t>
      </w:r>
    </w:p>
    <w:p>
      <w:pPr>
        <w:pStyle w:val="21"/>
        <w:spacing w:beforeLines="0" w:afterLines="0" w:line="360" w:lineRule="auto"/>
        <w:ind w:firstLine="330" w:firstLineChars="150"/>
        <w:rPr>
          <w:rFonts w:hAnsi="宋体" w:cs="宋体"/>
          <w:sz w:val="22"/>
          <w:szCs w:val="22"/>
        </w:rPr>
      </w:pPr>
      <w:r>
        <w:rPr>
          <w:rFonts w:hint="eastAsia" w:hAnsi="宋体" w:cs="宋体"/>
          <w:sz w:val="22"/>
          <w:szCs w:val="22"/>
        </w:rPr>
        <w:t>（3）我们同意在供应商须知规定的磋商日期起遵循本响应文件，并在供应商须知规定的磋商有效期满之前均具有约束力，并有可能成交。</w:t>
      </w:r>
    </w:p>
    <w:p>
      <w:pPr>
        <w:pStyle w:val="30"/>
        <w:snapToGrid w:val="0"/>
        <w:spacing w:line="360" w:lineRule="auto"/>
        <w:ind w:left="0" w:firstLine="420" w:firstLineChars="0"/>
        <w:jc w:val="left"/>
        <w:rPr>
          <w:rFonts w:ascii="宋体" w:hAnsi="宋体" w:cs="宋体"/>
          <w:sz w:val="22"/>
          <w:szCs w:val="22"/>
        </w:rPr>
      </w:pPr>
      <w:r>
        <w:rPr>
          <w:rFonts w:hint="eastAsia" w:hAnsi="宋体" w:cs="宋体"/>
          <w:sz w:val="22"/>
          <w:szCs w:val="22"/>
        </w:rPr>
        <w:t>（4）如果在磋商之后规定的磋商有效期内撤回响应文件或者有其他违约行为，</w:t>
      </w:r>
      <w:r>
        <w:rPr>
          <w:rFonts w:hint="eastAsia" w:ascii="宋体" w:hAnsi="宋体" w:cs="宋体"/>
          <w:sz w:val="22"/>
          <w:szCs w:val="22"/>
        </w:rPr>
        <w:t>采购代理机构或采购人有权上报财政部门，建议财政部门将本公司列入不良行为记录名单，在一至三年内禁止本公司参加政府采购活动并予以通报。</w:t>
      </w:r>
    </w:p>
    <w:p>
      <w:pPr>
        <w:pStyle w:val="21"/>
        <w:spacing w:beforeLines="0" w:afterLines="0" w:line="360" w:lineRule="auto"/>
        <w:ind w:firstLine="330" w:firstLineChars="150"/>
        <w:rPr>
          <w:rFonts w:hAnsi="宋体" w:cs="宋体"/>
          <w:sz w:val="22"/>
          <w:szCs w:val="22"/>
        </w:rPr>
      </w:pPr>
      <w:r>
        <w:rPr>
          <w:rFonts w:hint="eastAsia" w:hAnsi="宋体" w:cs="宋体"/>
          <w:sz w:val="22"/>
          <w:szCs w:val="22"/>
        </w:rPr>
        <w:t>（5）同意向贵方提供贵方可能要求的与本磋商有关的任何数据或资料。</w:t>
      </w:r>
    </w:p>
    <w:p>
      <w:pPr>
        <w:pStyle w:val="21"/>
        <w:spacing w:beforeLines="0" w:afterLines="0" w:line="360" w:lineRule="auto"/>
        <w:ind w:firstLine="330" w:firstLineChars="150"/>
        <w:rPr>
          <w:rFonts w:hAnsi="宋体" w:cs="宋体"/>
          <w:sz w:val="22"/>
          <w:szCs w:val="22"/>
        </w:rPr>
      </w:pPr>
      <w:r>
        <w:rPr>
          <w:rFonts w:hint="eastAsia" w:hAnsi="宋体" w:cs="宋体"/>
          <w:sz w:val="22"/>
          <w:szCs w:val="22"/>
        </w:rPr>
        <w:t>（6）我们完全理解贵方不一定要接受最低报价或收到的任何磋商。</w:t>
      </w:r>
    </w:p>
    <w:p>
      <w:pPr>
        <w:pStyle w:val="21"/>
        <w:spacing w:beforeLines="0" w:afterLines="0" w:line="360" w:lineRule="auto"/>
        <w:ind w:firstLine="420"/>
        <w:rPr>
          <w:rFonts w:hAnsi="宋体" w:cs="宋体"/>
          <w:b/>
          <w:sz w:val="22"/>
          <w:szCs w:val="22"/>
        </w:rPr>
      </w:pPr>
    </w:p>
    <w:p>
      <w:pPr>
        <w:pStyle w:val="21"/>
        <w:spacing w:beforeLines="0" w:afterLines="0" w:line="360" w:lineRule="auto"/>
        <w:ind w:firstLine="420"/>
        <w:rPr>
          <w:rFonts w:hAnsi="宋体" w:cs="宋体"/>
          <w:b/>
          <w:sz w:val="22"/>
          <w:szCs w:val="22"/>
        </w:rPr>
      </w:pPr>
      <w:r>
        <w:rPr>
          <w:rFonts w:hint="eastAsia" w:hAnsi="宋体" w:cs="宋体"/>
          <w:b/>
          <w:sz w:val="22"/>
          <w:szCs w:val="22"/>
        </w:rPr>
        <w:t>与本磋商有关的正式通讯地址为：</w:t>
      </w:r>
    </w:p>
    <w:p>
      <w:pPr>
        <w:pStyle w:val="21"/>
        <w:spacing w:beforeLines="0" w:afterLines="0" w:line="360" w:lineRule="auto"/>
        <w:ind w:firstLine="420"/>
        <w:rPr>
          <w:rFonts w:hAnsi="宋体" w:cs="宋体"/>
          <w:sz w:val="22"/>
          <w:szCs w:val="22"/>
        </w:rPr>
      </w:pPr>
      <w:r>
        <w:rPr>
          <w:rFonts w:hint="eastAsia" w:hAnsi="宋体" w:cs="宋体"/>
          <w:sz w:val="22"/>
          <w:szCs w:val="22"/>
        </w:rPr>
        <w:t>地址：  邮政编码：</w:t>
      </w:r>
    </w:p>
    <w:p>
      <w:pPr>
        <w:pStyle w:val="21"/>
        <w:spacing w:beforeLines="0" w:afterLines="0" w:line="360" w:lineRule="auto"/>
        <w:ind w:firstLine="420"/>
        <w:rPr>
          <w:rFonts w:hAnsi="宋体" w:cs="宋体"/>
          <w:sz w:val="22"/>
          <w:szCs w:val="22"/>
        </w:rPr>
      </w:pPr>
      <w:r>
        <w:rPr>
          <w:rFonts w:hint="eastAsia" w:hAnsi="宋体" w:cs="宋体"/>
          <w:sz w:val="22"/>
          <w:szCs w:val="22"/>
        </w:rPr>
        <w:t>电话、传真：</w:t>
      </w:r>
    </w:p>
    <w:p>
      <w:pPr>
        <w:pStyle w:val="21"/>
        <w:spacing w:beforeLines="0" w:afterLines="0" w:line="360" w:lineRule="auto"/>
        <w:ind w:firstLine="420"/>
        <w:rPr>
          <w:rFonts w:hAnsi="宋体" w:cs="宋体"/>
          <w:sz w:val="22"/>
          <w:szCs w:val="22"/>
        </w:rPr>
      </w:pPr>
      <w:r>
        <w:rPr>
          <w:rFonts w:hint="eastAsia" w:hAnsi="宋体" w:cs="宋体"/>
          <w:sz w:val="22"/>
          <w:szCs w:val="22"/>
        </w:rPr>
        <w:t>电子邮件：</w:t>
      </w:r>
    </w:p>
    <w:p>
      <w:pPr>
        <w:pStyle w:val="21"/>
        <w:spacing w:beforeLines="0" w:afterLines="0" w:line="360" w:lineRule="auto"/>
        <w:ind w:firstLine="420"/>
        <w:rPr>
          <w:rFonts w:hAnsi="宋体" w:cs="宋体"/>
          <w:sz w:val="22"/>
          <w:szCs w:val="22"/>
        </w:rPr>
      </w:pPr>
      <w:r>
        <w:rPr>
          <w:rFonts w:hint="eastAsia" w:hAnsi="宋体" w:cs="宋体"/>
          <w:sz w:val="22"/>
          <w:szCs w:val="22"/>
        </w:rPr>
        <w:t>法定代表人（负责人）或委托代理人签名：</w:t>
      </w:r>
    </w:p>
    <w:p>
      <w:pPr>
        <w:pStyle w:val="21"/>
        <w:spacing w:beforeLines="0" w:afterLines="0" w:line="360" w:lineRule="auto"/>
        <w:ind w:firstLine="420"/>
        <w:rPr>
          <w:rFonts w:hAnsi="宋体" w:cs="宋体"/>
          <w:sz w:val="22"/>
          <w:szCs w:val="22"/>
        </w:rPr>
      </w:pPr>
      <w:r>
        <w:rPr>
          <w:rFonts w:hint="eastAsia" w:hAnsi="宋体" w:cs="宋体"/>
          <w:sz w:val="22"/>
          <w:szCs w:val="22"/>
        </w:rPr>
        <w:t>供应商名称（公章）：</w:t>
      </w:r>
    </w:p>
    <w:p>
      <w:pPr>
        <w:pStyle w:val="21"/>
        <w:spacing w:beforeLines="0" w:afterLines="0" w:line="360" w:lineRule="auto"/>
        <w:ind w:firstLine="420"/>
        <w:rPr>
          <w:rFonts w:hAnsi="宋体" w:cs="宋体"/>
          <w:sz w:val="22"/>
          <w:szCs w:val="22"/>
          <w:u w:val="single"/>
        </w:rPr>
      </w:pPr>
      <w:r>
        <w:rPr>
          <w:rFonts w:hint="eastAsia" w:hAnsi="宋体" w:cs="宋体"/>
          <w:sz w:val="22"/>
          <w:szCs w:val="22"/>
        </w:rPr>
        <w:t>日 期：</w:t>
      </w:r>
    </w:p>
    <w:p>
      <w:pPr>
        <w:pStyle w:val="21"/>
        <w:spacing w:beforeLines="0" w:afterLines="0" w:line="360" w:lineRule="auto"/>
        <w:ind w:firstLine="420"/>
        <w:rPr>
          <w:rFonts w:hAnsi="宋体" w:cs="宋体"/>
          <w:sz w:val="22"/>
          <w:szCs w:val="22"/>
          <w:u w:val="single"/>
        </w:rPr>
      </w:pPr>
    </w:p>
    <w:p>
      <w:pPr>
        <w:widowControl/>
        <w:jc w:val="left"/>
        <w:rPr>
          <w:rFonts w:ascii="宋体" w:hAnsi="宋体" w:cs="宋体"/>
          <w:b/>
          <w:sz w:val="28"/>
          <w:szCs w:val="28"/>
        </w:rPr>
      </w:pPr>
      <w:bookmarkStart w:id="138" w:name="_Toc320794441"/>
      <w:bookmarkStart w:id="139" w:name="_Toc391466847"/>
      <w:bookmarkStart w:id="140" w:name="_Toc321514934"/>
      <w:bookmarkStart w:id="141" w:name="_Toc321515378"/>
      <w:bookmarkStart w:id="142" w:name="_Toc321516266"/>
      <w:bookmarkStart w:id="143" w:name="_Toc338862041"/>
      <w:bookmarkStart w:id="144" w:name="_Toc391467451"/>
      <w:r>
        <w:rPr>
          <w:rFonts w:ascii="宋体" w:hAnsi="宋体" w:cs="宋体"/>
          <w:b/>
          <w:sz w:val="28"/>
          <w:szCs w:val="28"/>
        </w:rPr>
        <w:br w:type="page"/>
      </w:r>
    </w:p>
    <w:p>
      <w:pPr>
        <w:jc w:val="center"/>
        <w:outlineLvl w:val="2"/>
        <w:rPr>
          <w:rFonts w:ascii="宋体" w:hAnsi="宋体" w:cs="宋体"/>
          <w:bCs/>
        </w:rPr>
      </w:pPr>
      <w:bookmarkStart w:id="145" w:name="_Toc59530170"/>
      <w:r>
        <w:rPr>
          <w:rFonts w:ascii="宋体" w:hAnsi="宋体" w:cs="宋体"/>
          <w:b/>
          <w:sz w:val="28"/>
          <w:szCs w:val="28"/>
        </w:rPr>
        <w:t>2</w:t>
      </w:r>
      <w:r>
        <w:rPr>
          <w:rFonts w:hint="eastAsia" w:ascii="宋体" w:hAnsi="宋体" w:cs="宋体"/>
          <w:b/>
          <w:sz w:val="28"/>
          <w:szCs w:val="28"/>
        </w:rPr>
        <w:t>、供应商基本情况表</w:t>
      </w:r>
      <w:bookmarkEnd w:id="138"/>
      <w:bookmarkEnd w:id="139"/>
      <w:bookmarkEnd w:id="140"/>
      <w:bookmarkEnd w:id="141"/>
      <w:bookmarkEnd w:id="142"/>
      <w:bookmarkEnd w:id="143"/>
      <w:bookmarkEnd w:id="144"/>
      <w:bookmarkEnd w:id="145"/>
    </w:p>
    <w:tbl>
      <w:tblPr>
        <w:tblStyle w:val="41"/>
        <w:tblW w:w="0" w:type="auto"/>
        <w:jc w:val="center"/>
        <w:tblLayout w:type="fixed"/>
        <w:tblCellMar>
          <w:top w:w="0" w:type="dxa"/>
          <w:left w:w="0" w:type="dxa"/>
          <w:bottom w:w="0" w:type="dxa"/>
          <w:right w:w="0" w:type="dxa"/>
        </w:tblCellMar>
      </w:tblPr>
      <w:tblGrid>
        <w:gridCol w:w="1730"/>
        <w:gridCol w:w="969"/>
        <w:gridCol w:w="980"/>
        <w:gridCol w:w="863"/>
        <w:gridCol w:w="432"/>
        <w:gridCol w:w="319"/>
        <w:gridCol w:w="1108"/>
        <w:gridCol w:w="506"/>
        <w:gridCol w:w="883"/>
        <w:gridCol w:w="1020"/>
      </w:tblGrid>
      <w:tr>
        <w:tblPrEx>
          <w:tblCellMar>
            <w:top w:w="0" w:type="dxa"/>
            <w:left w:w="0" w:type="dxa"/>
            <w:bottom w:w="0" w:type="dxa"/>
            <w:right w:w="0" w:type="dxa"/>
          </w:tblCellMar>
        </w:tblPrEx>
        <w:trPr>
          <w:trHeight w:val="571" w:hRule="exact"/>
          <w:jc w:val="center"/>
        </w:trPr>
        <w:tc>
          <w:tcPr>
            <w:tcW w:w="17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r>
              <w:rPr>
                <w:rFonts w:hint="eastAsia" w:ascii="宋体" w:hAnsi="宋体" w:cs="宋体"/>
                <w:bCs/>
              </w:rPr>
              <w:t>供应商名称</w:t>
            </w:r>
          </w:p>
        </w:tc>
        <w:tc>
          <w:tcPr>
            <w:tcW w:w="7080"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p>
        </w:tc>
      </w:tr>
      <w:tr>
        <w:tblPrEx>
          <w:tblCellMar>
            <w:top w:w="0" w:type="dxa"/>
            <w:left w:w="0" w:type="dxa"/>
            <w:bottom w:w="0" w:type="dxa"/>
            <w:right w:w="0" w:type="dxa"/>
          </w:tblCellMar>
        </w:tblPrEx>
        <w:trPr>
          <w:trHeight w:val="620" w:hRule="exact"/>
          <w:jc w:val="center"/>
        </w:trPr>
        <w:tc>
          <w:tcPr>
            <w:tcW w:w="17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r>
              <w:rPr>
                <w:rFonts w:hint="eastAsia" w:ascii="宋体" w:hAnsi="宋体" w:cs="宋体"/>
                <w:bCs/>
              </w:rPr>
              <w:t>注册地址</w:t>
            </w:r>
          </w:p>
        </w:tc>
        <w:tc>
          <w:tcPr>
            <w:tcW w:w="3563"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p>
        </w:tc>
        <w:tc>
          <w:tcPr>
            <w:tcW w:w="110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r>
              <w:rPr>
                <w:rFonts w:hint="eastAsia" w:ascii="宋体" w:hAnsi="宋体" w:cs="宋体"/>
                <w:bCs/>
              </w:rPr>
              <w:t>邮政编码</w:t>
            </w:r>
          </w:p>
        </w:tc>
        <w:tc>
          <w:tcPr>
            <w:tcW w:w="2409"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p>
        </w:tc>
      </w:tr>
      <w:tr>
        <w:tblPrEx>
          <w:tblCellMar>
            <w:top w:w="0" w:type="dxa"/>
            <w:left w:w="0" w:type="dxa"/>
            <w:bottom w:w="0" w:type="dxa"/>
            <w:right w:w="0" w:type="dxa"/>
          </w:tblCellMar>
        </w:tblPrEx>
        <w:trPr>
          <w:trHeight w:val="616" w:hRule="exact"/>
          <w:jc w:val="center"/>
        </w:trPr>
        <w:tc>
          <w:tcPr>
            <w:tcW w:w="1730"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r>
              <w:rPr>
                <w:rFonts w:hint="eastAsia" w:ascii="宋体" w:hAnsi="宋体" w:cs="宋体"/>
                <w:bCs/>
              </w:rPr>
              <w:t>联系方式</w:t>
            </w:r>
          </w:p>
        </w:tc>
        <w:tc>
          <w:tcPr>
            <w:tcW w:w="9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r>
              <w:rPr>
                <w:rFonts w:hint="eastAsia" w:ascii="宋体" w:hAnsi="宋体" w:cs="宋体"/>
                <w:bCs/>
              </w:rPr>
              <w:t>联系人</w:t>
            </w:r>
          </w:p>
        </w:tc>
        <w:tc>
          <w:tcPr>
            <w:tcW w:w="2594"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p>
        </w:tc>
        <w:tc>
          <w:tcPr>
            <w:tcW w:w="110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r>
              <w:rPr>
                <w:rFonts w:hint="eastAsia" w:ascii="宋体" w:hAnsi="宋体" w:cs="宋体"/>
                <w:bCs/>
              </w:rPr>
              <w:t>电  话</w:t>
            </w:r>
          </w:p>
        </w:tc>
        <w:tc>
          <w:tcPr>
            <w:tcW w:w="2409"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p>
        </w:tc>
      </w:tr>
      <w:tr>
        <w:tblPrEx>
          <w:tblCellMar>
            <w:top w:w="0" w:type="dxa"/>
            <w:left w:w="0" w:type="dxa"/>
            <w:bottom w:w="0" w:type="dxa"/>
            <w:right w:w="0" w:type="dxa"/>
          </w:tblCellMar>
        </w:tblPrEx>
        <w:trPr>
          <w:trHeight w:val="623" w:hRule="exact"/>
          <w:jc w:val="center"/>
        </w:trPr>
        <w:tc>
          <w:tcPr>
            <w:tcW w:w="1730"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p>
        </w:tc>
        <w:tc>
          <w:tcPr>
            <w:tcW w:w="969" w:type="dxa"/>
            <w:tcBorders>
              <w:top w:val="single" w:color="000000" w:sz="4" w:space="0"/>
              <w:left w:val="single" w:color="000000" w:sz="4" w:space="0"/>
              <w:bottom w:val="single" w:color="000000" w:sz="4" w:space="0"/>
              <w:right w:val="single" w:color="000000" w:sz="4" w:space="0"/>
            </w:tcBorders>
            <w:vAlign w:val="center"/>
          </w:tcPr>
          <w:p>
            <w:pPr>
              <w:tabs>
                <w:tab w:val="left" w:pos="560"/>
              </w:tabs>
              <w:autoSpaceDE w:val="0"/>
              <w:autoSpaceDN w:val="0"/>
              <w:adjustRightInd w:val="0"/>
              <w:jc w:val="center"/>
              <w:rPr>
                <w:rFonts w:ascii="宋体" w:hAnsi="宋体" w:cs="宋体"/>
                <w:bCs/>
              </w:rPr>
            </w:pPr>
            <w:r>
              <w:rPr>
                <w:rFonts w:hint="eastAsia" w:ascii="宋体" w:hAnsi="宋体" w:cs="宋体"/>
                <w:bCs/>
              </w:rPr>
              <w:t>传  真</w:t>
            </w:r>
          </w:p>
        </w:tc>
        <w:tc>
          <w:tcPr>
            <w:tcW w:w="2594"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p>
        </w:tc>
        <w:tc>
          <w:tcPr>
            <w:tcW w:w="110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r>
              <w:rPr>
                <w:rFonts w:hint="eastAsia" w:ascii="宋体" w:hAnsi="宋体" w:cs="宋体"/>
                <w:bCs/>
              </w:rPr>
              <w:t>网  址</w:t>
            </w:r>
          </w:p>
        </w:tc>
        <w:tc>
          <w:tcPr>
            <w:tcW w:w="2409"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p>
        </w:tc>
      </w:tr>
      <w:tr>
        <w:tblPrEx>
          <w:tblCellMar>
            <w:top w:w="0" w:type="dxa"/>
            <w:left w:w="0" w:type="dxa"/>
            <w:bottom w:w="0" w:type="dxa"/>
            <w:right w:w="0" w:type="dxa"/>
          </w:tblCellMar>
        </w:tblPrEx>
        <w:trPr>
          <w:trHeight w:val="618" w:hRule="exact"/>
          <w:jc w:val="center"/>
        </w:trPr>
        <w:tc>
          <w:tcPr>
            <w:tcW w:w="17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r>
              <w:rPr>
                <w:rFonts w:hint="eastAsia" w:ascii="宋体" w:hAnsi="宋体" w:cs="宋体"/>
                <w:bCs/>
              </w:rPr>
              <w:t>法定代表人</w:t>
            </w:r>
          </w:p>
        </w:tc>
        <w:tc>
          <w:tcPr>
            <w:tcW w:w="9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r>
              <w:rPr>
                <w:rFonts w:hint="eastAsia" w:ascii="宋体" w:hAnsi="宋体" w:cs="宋体"/>
                <w:bCs/>
              </w:rPr>
              <w:t>姓  名</w:t>
            </w:r>
          </w:p>
        </w:tc>
        <w:tc>
          <w:tcPr>
            <w:tcW w:w="9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p>
        </w:tc>
        <w:tc>
          <w:tcPr>
            <w:tcW w:w="1295"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r>
              <w:rPr>
                <w:rFonts w:hint="eastAsia" w:ascii="宋体" w:hAnsi="宋体" w:cs="宋体"/>
                <w:bCs/>
              </w:rPr>
              <w:t>技术职称</w:t>
            </w:r>
          </w:p>
        </w:tc>
        <w:tc>
          <w:tcPr>
            <w:tcW w:w="1933"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p>
        </w:tc>
        <w:tc>
          <w:tcPr>
            <w:tcW w:w="88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r>
              <w:rPr>
                <w:rFonts w:hint="eastAsia" w:ascii="宋体" w:hAnsi="宋体" w:cs="宋体"/>
                <w:bCs/>
              </w:rPr>
              <w:t>电话</w:t>
            </w:r>
          </w:p>
        </w:tc>
        <w:tc>
          <w:tcPr>
            <w:tcW w:w="102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p>
        </w:tc>
      </w:tr>
      <w:tr>
        <w:tblPrEx>
          <w:tblCellMar>
            <w:top w:w="0" w:type="dxa"/>
            <w:left w:w="0" w:type="dxa"/>
            <w:bottom w:w="0" w:type="dxa"/>
            <w:right w:w="0" w:type="dxa"/>
          </w:tblCellMar>
        </w:tblPrEx>
        <w:trPr>
          <w:trHeight w:val="612" w:hRule="exact"/>
          <w:jc w:val="center"/>
        </w:trPr>
        <w:tc>
          <w:tcPr>
            <w:tcW w:w="17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r>
              <w:rPr>
                <w:rFonts w:hint="eastAsia" w:ascii="宋体" w:hAnsi="宋体" w:cs="宋体"/>
                <w:bCs/>
              </w:rPr>
              <w:t>技术负责人</w:t>
            </w:r>
          </w:p>
        </w:tc>
        <w:tc>
          <w:tcPr>
            <w:tcW w:w="9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r>
              <w:rPr>
                <w:rFonts w:hint="eastAsia" w:ascii="宋体" w:hAnsi="宋体" w:cs="宋体"/>
                <w:bCs/>
              </w:rPr>
              <w:t>姓  名</w:t>
            </w:r>
          </w:p>
        </w:tc>
        <w:tc>
          <w:tcPr>
            <w:tcW w:w="9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p>
        </w:tc>
        <w:tc>
          <w:tcPr>
            <w:tcW w:w="1295"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r>
              <w:rPr>
                <w:rFonts w:hint="eastAsia" w:ascii="宋体" w:hAnsi="宋体" w:cs="宋体"/>
                <w:bCs/>
              </w:rPr>
              <w:t>技术职称</w:t>
            </w:r>
          </w:p>
        </w:tc>
        <w:tc>
          <w:tcPr>
            <w:tcW w:w="1933"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p>
        </w:tc>
        <w:tc>
          <w:tcPr>
            <w:tcW w:w="88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r>
              <w:rPr>
                <w:rFonts w:hint="eastAsia" w:ascii="宋体" w:hAnsi="宋体" w:cs="宋体"/>
                <w:bCs/>
              </w:rPr>
              <w:t>电话</w:t>
            </w:r>
          </w:p>
        </w:tc>
        <w:tc>
          <w:tcPr>
            <w:tcW w:w="102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p>
        </w:tc>
      </w:tr>
      <w:tr>
        <w:tblPrEx>
          <w:tblCellMar>
            <w:top w:w="0" w:type="dxa"/>
            <w:left w:w="0" w:type="dxa"/>
            <w:bottom w:w="0" w:type="dxa"/>
            <w:right w:w="0" w:type="dxa"/>
          </w:tblCellMar>
        </w:tblPrEx>
        <w:trPr>
          <w:trHeight w:val="634" w:hRule="exact"/>
          <w:jc w:val="center"/>
        </w:trPr>
        <w:tc>
          <w:tcPr>
            <w:tcW w:w="17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r>
              <w:rPr>
                <w:rFonts w:hint="eastAsia" w:ascii="宋体" w:hAnsi="宋体" w:cs="宋体"/>
                <w:bCs/>
              </w:rPr>
              <w:t>成立时间</w:t>
            </w:r>
          </w:p>
        </w:tc>
        <w:tc>
          <w:tcPr>
            <w:tcW w:w="19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p>
        </w:tc>
        <w:tc>
          <w:tcPr>
            <w:tcW w:w="5131" w:type="dxa"/>
            <w:gridSpan w:val="7"/>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105" w:firstLineChars="50"/>
              <w:rPr>
                <w:rFonts w:ascii="宋体" w:hAnsi="宋体" w:cs="宋体"/>
                <w:bCs/>
              </w:rPr>
            </w:pPr>
            <w:r>
              <w:rPr>
                <w:rFonts w:hint="eastAsia" w:ascii="宋体" w:hAnsi="宋体" w:cs="宋体"/>
                <w:bCs/>
              </w:rPr>
              <w:t>员工总人数：</w:t>
            </w:r>
          </w:p>
        </w:tc>
      </w:tr>
      <w:tr>
        <w:tblPrEx>
          <w:tblCellMar>
            <w:top w:w="0" w:type="dxa"/>
            <w:left w:w="0" w:type="dxa"/>
            <w:bottom w:w="0" w:type="dxa"/>
            <w:right w:w="0" w:type="dxa"/>
          </w:tblCellMar>
        </w:tblPrEx>
        <w:trPr>
          <w:trHeight w:val="613" w:hRule="exact"/>
          <w:jc w:val="center"/>
        </w:trPr>
        <w:tc>
          <w:tcPr>
            <w:tcW w:w="17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r>
              <w:rPr>
                <w:rFonts w:hint="eastAsia" w:ascii="宋体" w:hAnsi="宋体" w:cs="宋体"/>
                <w:bCs/>
              </w:rPr>
              <w:t>注册资金</w:t>
            </w:r>
          </w:p>
        </w:tc>
        <w:tc>
          <w:tcPr>
            <w:tcW w:w="19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p>
        </w:tc>
        <w:tc>
          <w:tcPr>
            <w:tcW w:w="863"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p>
        </w:tc>
        <w:tc>
          <w:tcPr>
            <w:tcW w:w="2365"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r>
              <w:rPr>
                <w:rFonts w:hint="eastAsia" w:ascii="宋体" w:hAnsi="宋体" w:cs="宋体"/>
                <w:bCs/>
              </w:rPr>
              <w:t>高级职称人员</w:t>
            </w:r>
          </w:p>
        </w:tc>
        <w:tc>
          <w:tcPr>
            <w:tcW w:w="1903"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p>
        </w:tc>
      </w:tr>
      <w:tr>
        <w:tblPrEx>
          <w:tblCellMar>
            <w:top w:w="0" w:type="dxa"/>
            <w:left w:w="0" w:type="dxa"/>
            <w:bottom w:w="0" w:type="dxa"/>
            <w:right w:w="0" w:type="dxa"/>
          </w:tblCellMar>
        </w:tblPrEx>
        <w:trPr>
          <w:trHeight w:val="636" w:hRule="exact"/>
          <w:jc w:val="center"/>
        </w:trPr>
        <w:tc>
          <w:tcPr>
            <w:tcW w:w="17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r>
              <w:rPr>
                <w:rFonts w:hint="eastAsia" w:ascii="宋体" w:hAnsi="宋体" w:cs="宋体"/>
                <w:bCs/>
              </w:rPr>
              <w:t>开户银行</w:t>
            </w:r>
          </w:p>
        </w:tc>
        <w:tc>
          <w:tcPr>
            <w:tcW w:w="19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p>
        </w:tc>
        <w:tc>
          <w:tcPr>
            <w:tcW w:w="863"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p>
        </w:tc>
        <w:tc>
          <w:tcPr>
            <w:tcW w:w="2365"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r>
              <w:rPr>
                <w:rFonts w:hint="eastAsia" w:ascii="宋体" w:hAnsi="宋体" w:cs="宋体"/>
                <w:bCs/>
              </w:rPr>
              <w:t>中级职称人员</w:t>
            </w:r>
          </w:p>
        </w:tc>
        <w:tc>
          <w:tcPr>
            <w:tcW w:w="1903"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p>
        </w:tc>
      </w:tr>
      <w:tr>
        <w:tblPrEx>
          <w:tblCellMar>
            <w:top w:w="0" w:type="dxa"/>
            <w:left w:w="0" w:type="dxa"/>
            <w:bottom w:w="0" w:type="dxa"/>
            <w:right w:w="0" w:type="dxa"/>
          </w:tblCellMar>
        </w:tblPrEx>
        <w:trPr>
          <w:trHeight w:val="617" w:hRule="exact"/>
          <w:jc w:val="center"/>
        </w:trPr>
        <w:tc>
          <w:tcPr>
            <w:tcW w:w="17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r>
              <w:rPr>
                <w:rFonts w:hint="eastAsia" w:ascii="宋体" w:hAnsi="宋体" w:cs="宋体"/>
                <w:bCs/>
              </w:rPr>
              <w:t>账    号</w:t>
            </w:r>
          </w:p>
        </w:tc>
        <w:tc>
          <w:tcPr>
            <w:tcW w:w="19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p>
        </w:tc>
        <w:tc>
          <w:tcPr>
            <w:tcW w:w="863"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p>
        </w:tc>
        <w:tc>
          <w:tcPr>
            <w:tcW w:w="2365"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r>
              <w:rPr>
                <w:rFonts w:hint="eastAsia" w:ascii="宋体" w:hAnsi="宋体" w:cs="宋体"/>
                <w:bCs/>
              </w:rPr>
              <w:t>初级职称人员</w:t>
            </w:r>
          </w:p>
        </w:tc>
        <w:tc>
          <w:tcPr>
            <w:tcW w:w="1903"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p>
        </w:tc>
      </w:tr>
      <w:tr>
        <w:tblPrEx>
          <w:tblCellMar>
            <w:top w:w="0" w:type="dxa"/>
            <w:left w:w="0" w:type="dxa"/>
            <w:bottom w:w="0" w:type="dxa"/>
            <w:right w:w="0" w:type="dxa"/>
          </w:tblCellMar>
        </w:tblPrEx>
        <w:trPr>
          <w:trHeight w:val="1803" w:hRule="exact"/>
          <w:jc w:val="center"/>
        </w:trPr>
        <w:tc>
          <w:tcPr>
            <w:tcW w:w="17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r>
              <w:rPr>
                <w:rFonts w:hint="eastAsia" w:ascii="宋体" w:hAnsi="宋体" w:cs="宋体"/>
                <w:bCs/>
              </w:rPr>
              <w:t>经营范围</w:t>
            </w:r>
          </w:p>
        </w:tc>
        <w:tc>
          <w:tcPr>
            <w:tcW w:w="7080"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p>
        </w:tc>
      </w:tr>
      <w:tr>
        <w:tblPrEx>
          <w:tblCellMar>
            <w:top w:w="0" w:type="dxa"/>
            <w:left w:w="0" w:type="dxa"/>
            <w:bottom w:w="0" w:type="dxa"/>
            <w:right w:w="0" w:type="dxa"/>
          </w:tblCellMar>
        </w:tblPrEx>
        <w:trPr>
          <w:trHeight w:val="1713" w:hRule="exact"/>
          <w:jc w:val="center"/>
        </w:trPr>
        <w:tc>
          <w:tcPr>
            <w:tcW w:w="1730" w:type="dxa"/>
            <w:tcBorders>
              <w:top w:val="single" w:color="000000" w:sz="4" w:space="0"/>
              <w:left w:val="single" w:color="000000" w:sz="4" w:space="0"/>
              <w:bottom w:val="single" w:color="000000" w:sz="4" w:space="0"/>
              <w:right w:val="single" w:color="000000" w:sz="4" w:space="0"/>
            </w:tcBorders>
            <w:vAlign w:val="center"/>
          </w:tcPr>
          <w:p>
            <w:pPr>
              <w:tabs>
                <w:tab w:val="left" w:pos="1140"/>
              </w:tabs>
              <w:autoSpaceDE w:val="0"/>
              <w:autoSpaceDN w:val="0"/>
              <w:adjustRightInd w:val="0"/>
              <w:ind w:firstLine="1"/>
              <w:jc w:val="center"/>
              <w:rPr>
                <w:rFonts w:ascii="宋体" w:hAnsi="宋体" w:cs="宋体"/>
                <w:bCs/>
              </w:rPr>
            </w:pPr>
            <w:r>
              <w:rPr>
                <w:rFonts w:hint="eastAsia" w:ascii="宋体" w:hAnsi="宋体" w:cs="宋体"/>
                <w:bCs/>
              </w:rPr>
              <w:t>体系认证</w:t>
            </w:r>
          </w:p>
          <w:p>
            <w:pPr>
              <w:tabs>
                <w:tab w:val="left" w:pos="1140"/>
              </w:tabs>
              <w:autoSpaceDE w:val="0"/>
              <w:autoSpaceDN w:val="0"/>
              <w:adjustRightInd w:val="0"/>
              <w:ind w:firstLine="1"/>
              <w:jc w:val="center"/>
              <w:rPr>
                <w:rFonts w:ascii="宋体" w:hAnsi="宋体" w:cs="宋体"/>
                <w:bCs/>
              </w:rPr>
            </w:pPr>
            <w:r>
              <w:rPr>
                <w:rFonts w:hint="eastAsia" w:ascii="宋体" w:hAnsi="宋体" w:cs="宋体"/>
                <w:bCs/>
              </w:rPr>
              <w:t>情    况</w:t>
            </w:r>
          </w:p>
        </w:tc>
        <w:tc>
          <w:tcPr>
            <w:tcW w:w="7080"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840" w:firstLineChars="400"/>
              <w:rPr>
                <w:rFonts w:ascii="宋体" w:hAnsi="宋体" w:cs="宋体"/>
                <w:bCs/>
              </w:rPr>
            </w:pPr>
          </w:p>
        </w:tc>
      </w:tr>
      <w:tr>
        <w:tblPrEx>
          <w:tblCellMar>
            <w:top w:w="0" w:type="dxa"/>
            <w:left w:w="0" w:type="dxa"/>
            <w:bottom w:w="0" w:type="dxa"/>
            <w:right w:w="0" w:type="dxa"/>
          </w:tblCellMar>
        </w:tblPrEx>
        <w:trPr>
          <w:trHeight w:val="625" w:hRule="exact"/>
          <w:jc w:val="center"/>
        </w:trPr>
        <w:tc>
          <w:tcPr>
            <w:tcW w:w="17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r>
              <w:rPr>
                <w:rFonts w:hint="eastAsia" w:ascii="宋体" w:hAnsi="宋体" w:cs="宋体"/>
                <w:bCs/>
              </w:rPr>
              <w:t>备    注</w:t>
            </w:r>
          </w:p>
        </w:tc>
        <w:tc>
          <w:tcPr>
            <w:tcW w:w="7080"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p>
        </w:tc>
      </w:tr>
    </w:tbl>
    <w:p>
      <w:pPr>
        <w:rPr>
          <w:rFonts w:ascii="宋体" w:hAnsi="宋体" w:cs="宋体"/>
          <w:bCs/>
        </w:rPr>
      </w:pPr>
      <w:r>
        <w:rPr>
          <w:rFonts w:hint="eastAsia" w:ascii="宋体" w:hAnsi="宋体" w:cs="宋体"/>
          <w:bCs/>
        </w:rPr>
        <w:t>注：供应商根据企业自身实际情况填写。附营业执照及体系认证情况复印件。</w:t>
      </w:r>
    </w:p>
    <w:p>
      <w:pPr>
        <w:spacing w:line="600" w:lineRule="exact"/>
        <w:ind w:left="1842" w:leftChars="877" w:firstLine="315" w:firstLineChars="150"/>
        <w:jc w:val="right"/>
        <w:rPr>
          <w:rFonts w:ascii="宋体" w:hAnsi="宋体" w:cs="宋体"/>
          <w:bCs/>
        </w:rPr>
      </w:pPr>
      <w:r>
        <w:rPr>
          <w:rFonts w:hint="eastAsia" w:ascii="宋体" w:hAnsi="宋体" w:cs="宋体"/>
          <w:bCs/>
        </w:rPr>
        <w:t>供应商：（盖单位章）</w:t>
      </w:r>
    </w:p>
    <w:p>
      <w:pPr>
        <w:jc w:val="right"/>
        <w:rPr>
          <w:rFonts w:ascii="宋体" w:hAnsi="宋体" w:cs="宋体"/>
          <w:bCs/>
        </w:rPr>
      </w:pPr>
    </w:p>
    <w:p>
      <w:pPr>
        <w:jc w:val="right"/>
        <w:rPr>
          <w:rFonts w:ascii="宋体" w:hAnsi="宋体" w:cs="宋体"/>
          <w:bCs/>
        </w:rPr>
      </w:pPr>
      <w:r>
        <w:rPr>
          <w:rFonts w:hint="eastAsia" w:ascii="宋体" w:hAnsi="宋体" w:cs="宋体"/>
          <w:bCs/>
        </w:rPr>
        <w:t>年月日</w:t>
      </w:r>
    </w:p>
    <w:p>
      <w:pPr>
        <w:widowControl/>
        <w:jc w:val="left"/>
        <w:rPr>
          <w:rFonts w:ascii="宋体" w:hAnsi="宋体" w:cs="宋体"/>
          <w:bCs/>
        </w:rPr>
      </w:pPr>
      <w:r>
        <w:rPr>
          <w:rFonts w:ascii="宋体" w:hAnsi="宋体" w:cs="宋体"/>
          <w:bCs/>
        </w:rPr>
        <w:br w:type="page"/>
      </w:r>
    </w:p>
    <w:p>
      <w:pPr>
        <w:jc w:val="center"/>
        <w:outlineLvl w:val="2"/>
        <w:rPr>
          <w:rFonts w:ascii="宋体" w:hAnsi="宋体" w:cs="宋体"/>
          <w:b/>
          <w:sz w:val="28"/>
          <w:szCs w:val="28"/>
        </w:rPr>
      </w:pPr>
      <w:bookmarkStart w:id="146" w:name="_Toc59530171"/>
      <w:r>
        <w:rPr>
          <w:rFonts w:ascii="宋体" w:hAnsi="宋体" w:cs="宋体"/>
          <w:b/>
          <w:sz w:val="28"/>
          <w:szCs w:val="28"/>
        </w:rPr>
        <w:t>3</w:t>
      </w:r>
      <w:r>
        <w:rPr>
          <w:rFonts w:hint="eastAsia" w:ascii="宋体" w:hAnsi="宋体" w:cs="宋体"/>
          <w:b/>
          <w:sz w:val="28"/>
          <w:szCs w:val="28"/>
        </w:rPr>
        <w:t>、供应商业绩情况表</w:t>
      </w:r>
      <w:bookmarkEnd w:id="146"/>
    </w:p>
    <w:tbl>
      <w:tblPr>
        <w:tblStyle w:val="41"/>
        <w:tblW w:w="0" w:type="auto"/>
        <w:jc w:val="center"/>
        <w:tblLayout w:type="fixed"/>
        <w:tblCellMar>
          <w:top w:w="0" w:type="dxa"/>
          <w:left w:w="0" w:type="dxa"/>
          <w:bottom w:w="0" w:type="dxa"/>
          <w:right w:w="0" w:type="dxa"/>
        </w:tblCellMar>
      </w:tblPr>
      <w:tblGrid>
        <w:gridCol w:w="2214"/>
        <w:gridCol w:w="6102"/>
      </w:tblGrid>
      <w:tr>
        <w:tblPrEx>
          <w:tblCellMar>
            <w:top w:w="0" w:type="dxa"/>
            <w:left w:w="0" w:type="dxa"/>
            <w:bottom w:w="0" w:type="dxa"/>
            <w:right w:w="0" w:type="dxa"/>
          </w:tblCellMar>
        </w:tblPrEx>
        <w:trPr>
          <w:trHeight w:val="454" w:hRule="atLeast"/>
          <w:jc w:val="center"/>
        </w:trPr>
        <w:tc>
          <w:tcPr>
            <w:tcW w:w="221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r>
              <w:rPr>
                <w:rFonts w:hint="eastAsia" w:ascii="宋体" w:hAnsi="宋体" w:cs="宋体"/>
                <w:bCs/>
              </w:rPr>
              <w:t>项目名称</w:t>
            </w:r>
          </w:p>
        </w:tc>
        <w:tc>
          <w:tcPr>
            <w:tcW w:w="6102" w:type="dxa"/>
            <w:tcBorders>
              <w:top w:val="single" w:color="000000" w:sz="4" w:space="0"/>
              <w:left w:val="nil"/>
              <w:bottom w:val="single" w:color="000000" w:sz="4" w:space="0"/>
              <w:right w:val="single" w:color="000000" w:sz="4" w:space="0"/>
            </w:tcBorders>
            <w:vAlign w:val="center"/>
          </w:tcPr>
          <w:p>
            <w:pPr>
              <w:autoSpaceDE w:val="0"/>
              <w:autoSpaceDN w:val="0"/>
              <w:adjustRightInd w:val="0"/>
              <w:jc w:val="center"/>
              <w:rPr>
                <w:rFonts w:ascii="宋体" w:hAnsi="宋体" w:cs="宋体"/>
                <w:bCs/>
              </w:rPr>
            </w:pPr>
          </w:p>
        </w:tc>
      </w:tr>
      <w:tr>
        <w:tblPrEx>
          <w:tblCellMar>
            <w:top w:w="0" w:type="dxa"/>
            <w:left w:w="0" w:type="dxa"/>
            <w:bottom w:w="0" w:type="dxa"/>
            <w:right w:w="0" w:type="dxa"/>
          </w:tblCellMar>
        </w:tblPrEx>
        <w:trPr>
          <w:trHeight w:val="454" w:hRule="atLeast"/>
          <w:jc w:val="center"/>
        </w:trPr>
        <w:tc>
          <w:tcPr>
            <w:tcW w:w="221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r>
              <w:rPr>
                <w:rFonts w:hint="eastAsia" w:ascii="宋体" w:hAnsi="宋体" w:cs="宋体"/>
                <w:bCs/>
              </w:rPr>
              <w:t>项目所在地</w:t>
            </w:r>
          </w:p>
        </w:tc>
        <w:tc>
          <w:tcPr>
            <w:tcW w:w="6102" w:type="dxa"/>
            <w:tcBorders>
              <w:top w:val="single" w:color="000000" w:sz="4" w:space="0"/>
              <w:left w:val="nil"/>
              <w:bottom w:val="single" w:color="000000" w:sz="4" w:space="0"/>
              <w:right w:val="single" w:color="000000" w:sz="4" w:space="0"/>
            </w:tcBorders>
            <w:vAlign w:val="center"/>
          </w:tcPr>
          <w:p>
            <w:pPr>
              <w:autoSpaceDE w:val="0"/>
              <w:autoSpaceDN w:val="0"/>
              <w:adjustRightInd w:val="0"/>
              <w:jc w:val="center"/>
              <w:rPr>
                <w:rFonts w:ascii="宋体" w:hAnsi="宋体" w:cs="宋体"/>
                <w:bCs/>
              </w:rPr>
            </w:pPr>
          </w:p>
        </w:tc>
      </w:tr>
      <w:tr>
        <w:tblPrEx>
          <w:tblCellMar>
            <w:top w:w="0" w:type="dxa"/>
            <w:left w:w="0" w:type="dxa"/>
            <w:bottom w:w="0" w:type="dxa"/>
            <w:right w:w="0" w:type="dxa"/>
          </w:tblCellMar>
        </w:tblPrEx>
        <w:trPr>
          <w:trHeight w:val="454" w:hRule="atLeast"/>
          <w:jc w:val="center"/>
        </w:trPr>
        <w:tc>
          <w:tcPr>
            <w:tcW w:w="221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r>
              <w:rPr>
                <w:rFonts w:hint="eastAsia" w:ascii="宋体" w:hAnsi="宋体" w:cs="宋体"/>
                <w:bCs/>
              </w:rPr>
              <w:t>业主单位名称</w:t>
            </w:r>
          </w:p>
        </w:tc>
        <w:tc>
          <w:tcPr>
            <w:tcW w:w="6102" w:type="dxa"/>
            <w:tcBorders>
              <w:top w:val="single" w:color="000000" w:sz="4" w:space="0"/>
              <w:left w:val="nil"/>
              <w:bottom w:val="single" w:color="000000" w:sz="4" w:space="0"/>
              <w:right w:val="single" w:color="000000" w:sz="4" w:space="0"/>
            </w:tcBorders>
            <w:vAlign w:val="center"/>
          </w:tcPr>
          <w:p>
            <w:pPr>
              <w:autoSpaceDE w:val="0"/>
              <w:autoSpaceDN w:val="0"/>
              <w:adjustRightInd w:val="0"/>
              <w:jc w:val="center"/>
              <w:rPr>
                <w:rFonts w:ascii="宋体" w:hAnsi="宋体" w:cs="宋体"/>
                <w:bCs/>
              </w:rPr>
            </w:pPr>
          </w:p>
        </w:tc>
      </w:tr>
      <w:tr>
        <w:tblPrEx>
          <w:tblCellMar>
            <w:top w:w="0" w:type="dxa"/>
            <w:left w:w="0" w:type="dxa"/>
            <w:bottom w:w="0" w:type="dxa"/>
            <w:right w:w="0" w:type="dxa"/>
          </w:tblCellMar>
        </w:tblPrEx>
        <w:trPr>
          <w:trHeight w:val="454" w:hRule="atLeast"/>
          <w:jc w:val="center"/>
        </w:trPr>
        <w:tc>
          <w:tcPr>
            <w:tcW w:w="221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r>
              <w:rPr>
                <w:rFonts w:hint="eastAsia" w:ascii="宋体" w:hAnsi="宋体" w:cs="宋体"/>
                <w:bCs/>
              </w:rPr>
              <w:t>业主单位地址</w:t>
            </w:r>
          </w:p>
        </w:tc>
        <w:tc>
          <w:tcPr>
            <w:tcW w:w="6102" w:type="dxa"/>
            <w:tcBorders>
              <w:top w:val="single" w:color="000000" w:sz="4" w:space="0"/>
              <w:left w:val="nil"/>
              <w:bottom w:val="single" w:color="000000" w:sz="4" w:space="0"/>
              <w:right w:val="single" w:color="000000" w:sz="4" w:space="0"/>
            </w:tcBorders>
            <w:vAlign w:val="center"/>
          </w:tcPr>
          <w:p>
            <w:pPr>
              <w:autoSpaceDE w:val="0"/>
              <w:autoSpaceDN w:val="0"/>
              <w:adjustRightInd w:val="0"/>
              <w:jc w:val="center"/>
              <w:rPr>
                <w:rFonts w:ascii="宋体" w:hAnsi="宋体" w:cs="宋体"/>
                <w:bCs/>
              </w:rPr>
            </w:pPr>
          </w:p>
        </w:tc>
      </w:tr>
      <w:tr>
        <w:tblPrEx>
          <w:tblCellMar>
            <w:top w:w="0" w:type="dxa"/>
            <w:left w:w="0" w:type="dxa"/>
            <w:bottom w:w="0" w:type="dxa"/>
            <w:right w:w="0" w:type="dxa"/>
          </w:tblCellMar>
        </w:tblPrEx>
        <w:trPr>
          <w:trHeight w:val="454" w:hRule="atLeast"/>
          <w:jc w:val="center"/>
        </w:trPr>
        <w:tc>
          <w:tcPr>
            <w:tcW w:w="221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r>
              <w:rPr>
                <w:rFonts w:hint="eastAsia" w:ascii="宋体" w:hAnsi="宋体" w:cs="宋体"/>
                <w:bCs/>
              </w:rPr>
              <w:t>业主单位电话</w:t>
            </w:r>
          </w:p>
        </w:tc>
        <w:tc>
          <w:tcPr>
            <w:tcW w:w="6102" w:type="dxa"/>
            <w:tcBorders>
              <w:top w:val="single" w:color="000000" w:sz="4" w:space="0"/>
              <w:left w:val="nil"/>
              <w:bottom w:val="single" w:color="000000" w:sz="4" w:space="0"/>
              <w:right w:val="single" w:color="000000" w:sz="4" w:space="0"/>
            </w:tcBorders>
            <w:vAlign w:val="center"/>
          </w:tcPr>
          <w:p>
            <w:pPr>
              <w:autoSpaceDE w:val="0"/>
              <w:autoSpaceDN w:val="0"/>
              <w:adjustRightInd w:val="0"/>
              <w:jc w:val="center"/>
              <w:rPr>
                <w:rFonts w:ascii="宋体" w:hAnsi="宋体" w:cs="宋体"/>
                <w:bCs/>
              </w:rPr>
            </w:pPr>
          </w:p>
        </w:tc>
      </w:tr>
      <w:tr>
        <w:tblPrEx>
          <w:tblCellMar>
            <w:top w:w="0" w:type="dxa"/>
            <w:left w:w="0" w:type="dxa"/>
            <w:bottom w:w="0" w:type="dxa"/>
            <w:right w:w="0" w:type="dxa"/>
          </w:tblCellMar>
        </w:tblPrEx>
        <w:trPr>
          <w:trHeight w:val="454" w:hRule="atLeast"/>
          <w:jc w:val="center"/>
        </w:trPr>
        <w:tc>
          <w:tcPr>
            <w:tcW w:w="221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r>
              <w:rPr>
                <w:rFonts w:hint="eastAsia" w:ascii="宋体" w:hAnsi="宋体" w:cs="宋体"/>
                <w:bCs/>
              </w:rPr>
              <w:t>项目投资（万元）</w:t>
            </w:r>
          </w:p>
        </w:tc>
        <w:tc>
          <w:tcPr>
            <w:tcW w:w="6102" w:type="dxa"/>
            <w:tcBorders>
              <w:top w:val="single" w:color="000000" w:sz="4" w:space="0"/>
              <w:left w:val="nil"/>
              <w:bottom w:val="single" w:color="000000" w:sz="4" w:space="0"/>
              <w:right w:val="single" w:color="000000" w:sz="4" w:space="0"/>
            </w:tcBorders>
            <w:vAlign w:val="center"/>
          </w:tcPr>
          <w:p>
            <w:pPr>
              <w:autoSpaceDE w:val="0"/>
              <w:autoSpaceDN w:val="0"/>
              <w:adjustRightInd w:val="0"/>
              <w:jc w:val="center"/>
              <w:rPr>
                <w:rFonts w:ascii="宋体" w:hAnsi="宋体" w:cs="宋体"/>
                <w:bCs/>
              </w:rPr>
            </w:pPr>
          </w:p>
        </w:tc>
      </w:tr>
      <w:tr>
        <w:tblPrEx>
          <w:tblCellMar>
            <w:top w:w="0" w:type="dxa"/>
            <w:left w:w="0" w:type="dxa"/>
            <w:bottom w:w="0" w:type="dxa"/>
            <w:right w:w="0" w:type="dxa"/>
          </w:tblCellMar>
        </w:tblPrEx>
        <w:trPr>
          <w:trHeight w:val="454" w:hRule="atLeast"/>
          <w:jc w:val="center"/>
        </w:trPr>
        <w:tc>
          <w:tcPr>
            <w:tcW w:w="221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r>
              <w:rPr>
                <w:rFonts w:hint="eastAsia" w:ascii="宋体" w:hAnsi="宋体" w:cs="宋体"/>
                <w:bCs/>
              </w:rPr>
              <w:t>项目规模（吨/日）</w:t>
            </w:r>
          </w:p>
        </w:tc>
        <w:tc>
          <w:tcPr>
            <w:tcW w:w="6102" w:type="dxa"/>
            <w:tcBorders>
              <w:top w:val="single" w:color="000000" w:sz="4" w:space="0"/>
              <w:left w:val="nil"/>
              <w:bottom w:val="single" w:color="000000" w:sz="4" w:space="0"/>
              <w:right w:val="single" w:color="000000" w:sz="4" w:space="0"/>
            </w:tcBorders>
            <w:vAlign w:val="center"/>
          </w:tcPr>
          <w:p>
            <w:pPr>
              <w:autoSpaceDE w:val="0"/>
              <w:autoSpaceDN w:val="0"/>
              <w:adjustRightInd w:val="0"/>
              <w:jc w:val="center"/>
              <w:rPr>
                <w:rFonts w:ascii="宋体" w:hAnsi="宋体" w:cs="宋体"/>
                <w:bCs/>
              </w:rPr>
            </w:pPr>
          </w:p>
        </w:tc>
      </w:tr>
      <w:tr>
        <w:tblPrEx>
          <w:tblCellMar>
            <w:top w:w="0" w:type="dxa"/>
            <w:left w:w="0" w:type="dxa"/>
            <w:bottom w:w="0" w:type="dxa"/>
            <w:right w:w="0" w:type="dxa"/>
          </w:tblCellMar>
        </w:tblPrEx>
        <w:trPr>
          <w:trHeight w:val="1147" w:hRule="atLeast"/>
          <w:jc w:val="center"/>
        </w:trPr>
        <w:tc>
          <w:tcPr>
            <w:tcW w:w="221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r>
              <w:rPr>
                <w:rFonts w:hint="eastAsia" w:ascii="宋体" w:hAnsi="宋体" w:cs="宋体"/>
                <w:bCs/>
              </w:rPr>
              <w:t>主要工艺描述</w:t>
            </w:r>
          </w:p>
        </w:tc>
        <w:tc>
          <w:tcPr>
            <w:tcW w:w="6102" w:type="dxa"/>
            <w:tcBorders>
              <w:top w:val="single" w:color="000000" w:sz="4" w:space="0"/>
              <w:left w:val="nil"/>
              <w:bottom w:val="single" w:color="000000" w:sz="4" w:space="0"/>
              <w:right w:val="single" w:color="000000" w:sz="4" w:space="0"/>
            </w:tcBorders>
            <w:vAlign w:val="center"/>
          </w:tcPr>
          <w:p>
            <w:pPr>
              <w:autoSpaceDE w:val="0"/>
              <w:autoSpaceDN w:val="0"/>
              <w:adjustRightInd w:val="0"/>
              <w:jc w:val="center"/>
              <w:rPr>
                <w:rFonts w:ascii="宋体" w:hAnsi="宋体" w:cs="宋体"/>
                <w:bCs/>
              </w:rPr>
            </w:pPr>
          </w:p>
        </w:tc>
      </w:tr>
      <w:tr>
        <w:tblPrEx>
          <w:tblCellMar>
            <w:top w:w="0" w:type="dxa"/>
            <w:left w:w="0" w:type="dxa"/>
            <w:bottom w:w="0" w:type="dxa"/>
            <w:right w:w="0" w:type="dxa"/>
          </w:tblCellMar>
        </w:tblPrEx>
        <w:trPr>
          <w:trHeight w:val="454" w:hRule="atLeast"/>
          <w:jc w:val="center"/>
        </w:trPr>
        <w:tc>
          <w:tcPr>
            <w:tcW w:w="221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r>
              <w:rPr>
                <w:rFonts w:hint="eastAsia" w:ascii="宋体" w:hAnsi="宋体" w:cs="宋体"/>
                <w:bCs/>
              </w:rPr>
              <w:t>开工日期</w:t>
            </w:r>
          </w:p>
        </w:tc>
        <w:tc>
          <w:tcPr>
            <w:tcW w:w="6102" w:type="dxa"/>
            <w:tcBorders>
              <w:top w:val="single" w:color="000000" w:sz="4" w:space="0"/>
              <w:left w:val="nil"/>
              <w:bottom w:val="single" w:color="000000" w:sz="4" w:space="0"/>
              <w:right w:val="single" w:color="000000" w:sz="4" w:space="0"/>
            </w:tcBorders>
            <w:vAlign w:val="center"/>
          </w:tcPr>
          <w:p>
            <w:pPr>
              <w:autoSpaceDE w:val="0"/>
              <w:autoSpaceDN w:val="0"/>
              <w:adjustRightInd w:val="0"/>
              <w:jc w:val="center"/>
              <w:rPr>
                <w:rFonts w:ascii="宋体" w:hAnsi="宋体" w:cs="宋体"/>
                <w:bCs/>
              </w:rPr>
            </w:pPr>
          </w:p>
        </w:tc>
      </w:tr>
      <w:tr>
        <w:tblPrEx>
          <w:tblCellMar>
            <w:top w:w="0" w:type="dxa"/>
            <w:left w:w="0" w:type="dxa"/>
            <w:bottom w:w="0" w:type="dxa"/>
            <w:right w:w="0" w:type="dxa"/>
          </w:tblCellMar>
        </w:tblPrEx>
        <w:trPr>
          <w:trHeight w:val="454" w:hRule="atLeast"/>
          <w:jc w:val="center"/>
        </w:trPr>
        <w:tc>
          <w:tcPr>
            <w:tcW w:w="221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r>
              <w:rPr>
                <w:rFonts w:hint="eastAsia" w:ascii="宋体" w:hAnsi="宋体" w:cs="宋体"/>
                <w:bCs/>
              </w:rPr>
              <w:t>竣工日期</w:t>
            </w:r>
          </w:p>
        </w:tc>
        <w:tc>
          <w:tcPr>
            <w:tcW w:w="6102" w:type="dxa"/>
            <w:tcBorders>
              <w:top w:val="single" w:color="000000" w:sz="4" w:space="0"/>
              <w:left w:val="nil"/>
              <w:bottom w:val="single" w:color="000000" w:sz="4" w:space="0"/>
              <w:right w:val="single" w:color="000000" w:sz="4" w:space="0"/>
            </w:tcBorders>
            <w:vAlign w:val="center"/>
          </w:tcPr>
          <w:p>
            <w:pPr>
              <w:autoSpaceDE w:val="0"/>
              <w:autoSpaceDN w:val="0"/>
              <w:adjustRightInd w:val="0"/>
              <w:jc w:val="center"/>
              <w:rPr>
                <w:rFonts w:ascii="宋体" w:hAnsi="宋体" w:cs="宋体"/>
                <w:bCs/>
              </w:rPr>
            </w:pPr>
          </w:p>
        </w:tc>
      </w:tr>
      <w:tr>
        <w:tblPrEx>
          <w:tblCellMar>
            <w:top w:w="0" w:type="dxa"/>
            <w:left w:w="0" w:type="dxa"/>
            <w:bottom w:w="0" w:type="dxa"/>
            <w:right w:w="0" w:type="dxa"/>
          </w:tblCellMar>
        </w:tblPrEx>
        <w:trPr>
          <w:trHeight w:val="454" w:hRule="atLeast"/>
          <w:jc w:val="center"/>
        </w:trPr>
        <w:tc>
          <w:tcPr>
            <w:tcW w:w="221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r>
              <w:rPr>
                <w:rFonts w:hint="eastAsia" w:ascii="宋体" w:hAnsi="宋体" w:cs="宋体"/>
                <w:bCs/>
              </w:rPr>
              <w:t>合作模式</w:t>
            </w:r>
          </w:p>
        </w:tc>
        <w:tc>
          <w:tcPr>
            <w:tcW w:w="6102" w:type="dxa"/>
            <w:tcBorders>
              <w:top w:val="single" w:color="000000" w:sz="4" w:space="0"/>
              <w:left w:val="nil"/>
              <w:bottom w:val="single" w:color="000000" w:sz="4" w:space="0"/>
              <w:right w:val="single" w:color="000000" w:sz="4" w:space="0"/>
            </w:tcBorders>
            <w:vAlign w:val="center"/>
          </w:tcPr>
          <w:p>
            <w:pPr>
              <w:autoSpaceDE w:val="0"/>
              <w:autoSpaceDN w:val="0"/>
              <w:adjustRightInd w:val="0"/>
              <w:jc w:val="center"/>
              <w:rPr>
                <w:rFonts w:ascii="宋体" w:hAnsi="宋体" w:cs="宋体"/>
                <w:bCs/>
              </w:rPr>
            </w:pPr>
          </w:p>
        </w:tc>
      </w:tr>
      <w:tr>
        <w:tblPrEx>
          <w:tblCellMar>
            <w:top w:w="0" w:type="dxa"/>
            <w:left w:w="0" w:type="dxa"/>
            <w:bottom w:w="0" w:type="dxa"/>
            <w:right w:w="0" w:type="dxa"/>
          </w:tblCellMar>
        </w:tblPrEx>
        <w:trPr>
          <w:trHeight w:val="454" w:hRule="atLeast"/>
          <w:jc w:val="center"/>
        </w:trPr>
        <w:tc>
          <w:tcPr>
            <w:tcW w:w="221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r>
              <w:rPr>
                <w:rFonts w:hint="eastAsia" w:ascii="宋体" w:hAnsi="宋体" w:cs="宋体"/>
                <w:bCs/>
              </w:rPr>
              <w:t>合作期限</w:t>
            </w:r>
          </w:p>
        </w:tc>
        <w:tc>
          <w:tcPr>
            <w:tcW w:w="6102" w:type="dxa"/>
            <w:tcBorders>
              <w:top w:val="single" w:color="000000" w:sz="4" w:space="0"/>
              <w:left w:val="nil"/>
              <w:bottom w:val="single" w:color="000000" w:sz="4" w:space="0"/>
              <w:right w:val="single" w:color="000000" w:sz="4" w:space="0"/>
            </w:tcBorders>
            <w:vAlign w:val="center"/>
          </w:tcPr>
          <w:p>
            <w:pPr>
              <w:autoSpaceDE w:val="0"/>
              <w:autoSpaceDN w:val="0"/>
              <w:adjustRightInd w:val="0"/>
              <w:jc w:val="center"/>
              <w:rPr>
                <w:rFonts w:ascii="宋体" w:hAnsi="宋体" w:cs="宋体"/>
                <w:bCs/>
              </w:rPr>
            </w:pPr>
          </w:p>
        </w:tc>
      </w:tr>
      <w:tr>
        <w:tblPrEx>
          <w:tblCellMar>
            <w:top w:w="0" w:type="dxa"/>
            <w:left w:w="0" w:type="dxa"/>
            <w:bottom w:w="0" w:type="dxa"/>
            <w:right w:w="0" w:type="dxa"/>
          </w:tblCellMar>
        </w:tblPrEx>
        <w:trPr>
          <w:trHeight w:val="454" w:hRule="atLeast"/>
          <w:jc w:val="center"/>
        </w:trPr>
        <w:tc>
          <w:tcPr>
            <w:tcW w:w="221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r>
              <w:rPr>
                <w:rFonts w:hint="eastAsia" w:ascii="宋体" w:hAnsi="宋体" w:cs="宋体"/>
                <w:bCs/>
              </w:rPr>
              <w:t>项目负责人及电话</w:t>
            </w:r>
          </w:p>
        </w:tc>
        <w:tc>
          <w:tcPr>
            <w:tcW w:w="6102" w:type="dxa"/>
            <w:tcBorders>
              <w:top w:val="single" w:color="000000" w:sz="4" w:space="0"/>
              <w:left w:val="nil"/>
              <w:bottom w:val="single" w:color="000000" w:sz="4" w:space="0"/>
              <w:right w:val="single" w:color="000000" w:sz="4" w:space="0"/>
            </w:tcBorders>
            <w:vAlign w:val="center"/>
          </w:tcPr>
          <w:p>
            <w:pPr>
              <w:autoSpaceDE w:val="0"/>
              <w:autoSpaceDN w:val="0"/>
              <w:adjustRightInd w:val="0"/>
              <w:jc w:val="center"/>
              <w:rPr>
                <w:rFonts w:ascii="宋体" w:hAnsi="宋体" w:cs="宋体"/>
                <w:bCs/>
              </w:rPr>
            </w:pPr>
          </w:p>
        </w:tc>
      </w:tr>
      <w:tr>
        <w:tblPrEx>
          <w:tblCellMar>
            <w:top w:w="0" w:type="dxa"/>
            <w:left w:w="0" w:type="dxa"/>
            <w:bottom w:w="0" w:type="dxa"/>
            <w:right w:w="0" w:type="dxa"/>
          </w:tblCellMar>
        </w:tblPrEx>
        <w:trPr>
          <w:trHeight w:val="1134" w:hRule="atLeast"/>
          <w:jc w:val="center"/>
        </w:trPr>
        <w:tc>
          <w:tcPr>
            <w:tcW w:w="221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r>
              <w:rPr>
                <w:rFonts w:hint="eastAsia" w:ascii="宋体" w:hAnsi="宋体" w:cs="宋体"/>
                <w:bCs/>
              </w:rPr>
              <w:t>项目描述</w:t>
            </w:r>
          </w:p>
        </w:tc>
        <w:tc>
          <w:tcPr>
            <w:tcW w:w="6102" w:type="dxa"/>
            <w:tcBorders>
              <w:top w:val="single" w:color="000000" w:sz="4" w:space="0"/>
              <w:left w:val="nil"/>
              <w:bottom w:val="single" w:color="000000" w:sz="4" w:space="0"/>
              <w:right w:val="single" w:color="000000" w:sz="4" w:space="0"/>
            </w:tcBorders>
            <w:vAlign w:val="center"/>
          </w:tcPr>
          <w:p>
            <w:pPr>
              <w:autoSpaceDE w:val="0"/>
              <w:autoSpaceDN w:val="0"/>
              <w:adjustRightInd w:val="0"/>
              <w:jc w:val="center"/>
              <w:rPr>
                <w:rFonts w:ascii="宋体" w:hAnsi="宋体" w:cs="宋体"/>
                <w:bCs/>
              </w:rPr>
            </w:pPr>
          </w:p>
        </w:tc>
      </w:tr>
      <w:tr>
        <w:tblPrEx>
          <w:tblCellMar>
            <w:top w:w="0" w:type="dxa"/>
            <w:left w:w="0" w:type="dxa"/>
            <w:bottom w:w="0" w:type="dxa"/>
            <w:right w:w="0" w:type="dxa"/>
          </w:tblCellMar>
        </w:tblPrEx>
        <w:trPr>
          <w:trHeight w:val="454" w:hRule="atLeast"/>
          <w:jc w:val="center"/>
        </w:trPr>
        <w:tc>
          <w:tcPr>
            <w:tcW w:w="221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bCs/>
              </w:rPr>
            </w:pPr>
            <w:r>
              <w:rPr>
                <w:rFonts w:hint="eastAsia" w:ascii="宋体" w:hAnsi="宋体" w:cs="宋体"/>
                <w:bCs/>
              </w:rPr>
              <w:t>备    注</w:t>
            </w:r>
          </w:p>
        </w:tc>
        <w:tc>
          <w:tcPr>
            <w:tcW w:w="6102" w:type="dxa"/>
            <w:tcBorders>
              <w:top w:val="single" w:color="000000" w:sz="4" w:space="0"/>
              <w:left w:val="nil"/>
              <w:bottom w:val="single" w:color="000000" w:sz="4" w:space="0"/>
              <w:right w:val="single" w:color="000000" w:sz="4" w:space="0"/>
            </w:tcBorders>
            <w:vAlign w:val="center"/>
          </w:tcPr>
          <w:p>
            <w:pPr>
              <w:autoSpaceDE w:val="0"/>
              <w:autoSpaceDN w:val="0"/>
              <w:adjustRightInd w:val="0"/>
              <w:jc w:val="center"/>
              <w:rPr>
                <w:rFonts w:ascii="宋体" w:hAnsi="宋体" w:cs="宋体"/>
                <w:bCs/>
              </w:rPr>
            </w:pPr>
          </w:p>
        </w:tc>
      </w:tr>
    </w:tbl>
    <w:p>
      <w:pPr>
        <w:rPr>
          <w:rFonts w:ascii="宋体" w:hAnsi="宋体" w:cs="宋体"/>
          <w:bCs/>
        </w:rPr>
      </w:pPr>
      <w:r>
        <w:rPr>
          <w:rFonts w:hint="eastAsia" w:ascii="宋体" w:hAnsi="宋体" w:cs="宋体"/>
          <w:bCs/>
        </w:rPr>
        <w:t>注：供应商根据企业自身实际情况填写。一张表填写一个业绩，填写满足评分要求的业绩。</w:t>
      </w:r>
    </w:p>
    <w:p>
      <w:pPr>
        <w:spacing w:line="600" w:lineRule="exact"/>
        <w:ind w:left="1842" w:leftChars="877" w:firstLine="315" w:firstLineChars="150"/>
        <w:jc w:val="right"/>
        <w:rPr>
          <w:rFonts w:ascii="宋体" w:hAnsi="宋体" w:cs="宋体"/>
          <w:bCs/>
        </w:rPr>
      </w:pPr>
      <w:r>
        <w:rPr>
          <w:rFonts w:hint="eastAsia" w:ascii="宋体" w:hAnsi="宋体" w:cs="宋体"/>
          <w:bCs/>
        </w:rPr>
        <w:t>供应商：（盖单位章）</w:t>
      </w:r>
    </w:p>
    <w:p>
      <w:pPr>
        <w:jc w:val="right"/>
        <w:rPr>
          <w:rFonts w:ascii="宋体" w:hAnsi="宋体" w:cs="宋体"/>
          <w:bCs/>
        </w:rPr>
      </w:pPr>
    </w:p>
    <w:p>
      <w:pPr>
        <w:jc w:val="right"/>
        <w:rPr>
          <w:rFonts w:ascii="宋体" w:hAnsi="宋体" w:cs="宋体"/>
          <w:bCs/>
        </w:rPr>
      </w:pPr>
      <w:r>
        <w:rPr>
          <w:rFonts w:hint="eastAsia" w:ascii="宋体" w:hAnsi="宋体" w:cs="宋体"/>
          <w:bCs/>
        </w:rPr>
        <w:t>年月日</w:t>
      </w:r>
    </w:p>
    <w:p>
      <w:pPr>
        <w:rPr>
          <w:rFonts w:ascii="宋体" w:hAnsi="宋体" w:cs="宋体"/>
          <w:bCs/>
        </w:rPr>
      </w:pPr>
      <w:r>
        <w:rPr>
          <w:rFonts w:hint="eastAsia" w:ascii="宋体" w:hAnsi="宋体" w:cs="宋体"/>
          <w:bCs/>
        </w:rPr>
        <w:br w:type="page"/>
      </w:r>
    </w:p>
    <w:p>
      <w:pPr>
        <w:jc w:val="center"/>
        <w:outlineLvl w:val="2"/>
        <w:rPr>
          <w:rFonts w:ascii="宋体" w:hAnsi="宋体" w:cs="宋体"/>
          <w:b/>
          <w:sz w:val="28"/>
          <w:szCs w:val="28"/>
        </w:rPr>
      </w:pPr>
      <w:bookmarkStart w:id="147" w:name="_Toc59530172"/>
      <w:r>
        <w:rPr>
          <w:rFonts w:ascii="宋体" w:hAnsi="宋体" w:cs="宋体"/>
          <w:b/>
          <w:sz w:val="28"/>
          <w:szCs w:val="28"/>
        </w:rPr>
        <w:t>4</w:t>
      </w:r>
      <w:r>
        <w:rPr>
          <w:rFonts w:hint="eastAsia" w:ascii="宋体" w:hAnsi="宋体" w:cs="宋体"/>
          <w:b/>
          <w:sz w:val="28"/>
          <w:szCs w:val="28"/>
        </w:rPr>
        <w:t>、供应商财务状况表</w:t>
      </w:r>
      <w:bookmarkEnd w:id="147"/>
    </w:p>
    <w:tbl>
      <w:tblPr>
        <w:tblStyle w:val="4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600"/>
        <w:gridCol w:w="2805"/>
        <w:gridCol w:w="28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7" w:hRule="atLeast"/>
          <w:jc w:val="center"/>
        </w:trPr>
        <w:tc>
          <w:tcPr>
            <w:tcW w:w="2600" w:type="dxa"/>
            <w:tcBorders>
              <w:top w:val="single" w:color="auto" w:sz="4" w:space="0"/>
            </w:tcBorders>
            <w:vAlign w:val="center"/>
          </w:tcPr>
          <w:p>
            <w:pPr>
              <w:autoSpaceDE w:val="0"/>
              <w:autoSpaceDN w:val="0"/>
              <w:adjustRightInd w:val="0"/>
              <w:jc w:val="center"/>
              <w:rPr>
                <w:rFonts w:ascii="宋体" w:hAnsi="宋体" w:cs="宋体"/>
                <w:bCs/>
              </w:rPr>
            </w:pPr>
            <w:r>
              <w:rPr>
                <w:rFonts w:hint="eastAsia" w:ascii="宋体" w:hAnsi="宋体" w:cs="宋体"/>
                <w:bCs/>
              </w:rPr>
              <w:t>财务状况</w:t>
            </w:r>
          </w:p>
        </w:tc>
        <w:tc>
          <w:tcPr>
            <w:tcW w:w="2805" w:type="dxa"/>
            <w:vAlign w:val="center"/>
          </w:tcPr>
          <w:p>
            <w:pPr>
              <w:autoSpaceDE w:val="0"/>
              <w:autoSpaceDN w:val="0"/>
              <w:adjustRightInd w:val="0"/>
              <w:jc w:val="center"/>
              <w:rPr>
                <w:rFonts w:ascii="宋体" w:hAnsi="宋体" w:cs="宋体"/>
                <w:bCs/>
              </w:rPr>
            </w:pPr>
            <w:r>
              <w:rPr>
                <w:rFonts w:hint="eastAsia" w:ascii="宋体" w:hAnsi="宋体" w:cs="宋体"/>
                <w:bCs/>
              </w:rPr>
              <w:t>201</w:t>
            </w:r>
            <w:r>
              <w:rPr>
                <w:rFonts w:ascii="宋体" w:hAnsi="宋体" w:cs="宋体"/>
                <w:bCs/>
              </w:rPr>
              <w:t>9</w:t>
            </w:r>
            <w:r>
              <w:rPr>
                <w:rFonts w:hint="eastAsia" w:ascii="宋体" w:hAnsi="宋体" w:cs="宋体"/>
                <w:bCs/>
              </w:rPr>
              <w:t>年度</w:t>
            </w:r>
          </w:p>
          <w:p>
            <w:pPr>
              <w:autoSpaceDE w:val="0"/>
              <w:autoSpaceDN w:val="0"/>
              <w:adjustRightInd w:val="0"/>
              <w:jc w:val="center"/>
            </w:pPr>
            <w:r>
              <w:rPr>
                <w:rFonts w:hint="eastAsia" w:ascii="宋体" w:hAnsi="宋体" w:cs="宋体"/>
                <w:bCs/>
              </w:rPr>
              <w:t>（单位：万元）</w:t>
            </w:r>
          </w:p>
        </w:tc>
        <w:tc>
          <w:tcPr>
            <w:tcW w:w="2885" w:type="dxa"/>
          </w:tcPr>
          <w:p>
            <w:pPr>
              <w:autoSpaceDE w:val="0"/>
              <w:autoSpaceDN w:val="0"/>
              <w:adjustRightInd w:val="0"/>
              <w:jc w:val="center"/>
              <w:rPr>
                <w:rFonts w:ascii="宋体" w:hAnsi="宋体" w:cs="宋体"/>
                <w:bCs/>
              </w:rPr>
            </w:pPr>
            <w:r>
              <w:rPr>
                <w:rFonts w:hint="eastAsia" w:ascii="宋体" w:hAnsi="宋体" w:cs="宋体"/>
                <w:bCs/>
              </w:rPr>
              <w:t>财务报表或证明材料所在页码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600" w:type="dxa"/>
            <w:vAlign w:val="center"/>
          </w:tcPr>
          <w:p>
            <w:pPr>
              <w:autoSpaceDE w:val="0"/>
              <w:autoSpaceDN w:val="0"/>
              <w:adjustRightInd w:val="0"/>
              <w:jc w:val="center"/>
              <w:rPr>
                <w:rFonts w:ascii="宋体" w:hAnsi="宋体" w:cs="宋体"/>
                <w:bCs/>
              </w:rPr>
            </w:pPr>
            <w:r>
              <w:rPr>
                <w:rFonts w:hint="eastAsia" w:ascii="宋体" w:hAnsi="宋体" w:cs="宋体"/>
                <w:bCs/>
              </w:rPr>
              <w:t>1、总资产</w:t>
            </w:r>
          </w:p>
        </w:tc>
        <w:tc>
          <w:tcPr>
            <w:tcW w:w="2805" w:type="dxa"/>
            <w:vAlign w:val="center"/>
          </w:tcPr>
          <w:p>
            <w:pPr>
              <w:autoSpaceDE w:val="0"/>
              <w:autoSpaceDN w:val="0"/>
              <w:adjustRightInd w:val="0"/>
              <w:jc w:val="center"/>
              <w:rPr>
                <w:rFonts w:ascii="宋体" w:hAnsi="宋体" w:cs="宋体"/>
                <w:bCs/>
              </w:rPr>
            </w:pPr>
          </w:p>
        </w:tc>
        <w:tc>
          <w:tcPr>
            <w:tcW w:w="2885" w:type="dxa"/>
            <w:vAlign w:val="center"/>
          </w:tcPr>
          <w:p>
            <w:pPr>
              <w:autoSpaceDE w:val="0"/>
              <w:autoSpaceDN w:val="0"/>
              <w:adjustRightInd w:val="0"/>
              <w:jc w:val="center"/>
              <w:rPr>
                <w:rFonts w:ascii="宋体" w:hAnsi="宋体" w:cs="宋体"/>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600" w:type="dxa"/>
            <w:vAlign w:val="center"/>
          </w:tcPr>
          <w:p>
            <w:pPr>
              <w:autoSpaceDE w:val="0"/>
              <w:autoSpaceDN w:val="0"/>
              <w:adjustRightInd w:val="0"/>
              <w:jc w:val="center"/>
              <w:rPr>
                <w:rFonts w:ascii="宋体" w:hAnsi="宋体" w:cs="宋体"/>
                <w:bCs/>
              </w:rPr>
            </w:pPr>
            <w:r>
              <w:rPr>
                <w:rFonts w:hint="eastAsia" w:ascii="宋体" w:hAnsi="宋体" w:cs="宋体"/>
                <w:bCs/>
              </w:rPr>
              <w:t>2、净资产</w:t>
            </w:r>
          </w:p>
        </w:tc>
        <w:tc>
          <w:tcPr>
            <w:tcW w:w="2805" w:type="dxa"/>
            <w:vAlign w:val="center"/>
          </w:tcPr>
          <w:p>
            <w:pPr>
              <w:autoSpaceDE w:val="0"/>
              <w:autoSpaceDN w:val="0"/>
              <w:adjustRightInd w:val="0"/>
              <w:jc w:val="center"/>
              <w:rPr>
                <w:rFonts w:ascii="宋体" w:hAnsi="宋体" w:cs="宋体"/>
                <w:bCs/>
              </w:rPr>
            </w:pPr>
          </w:p>
        </w:tc>
        <w:tc>
          <w:tcPr>
            <w:tcW w:w="2885" w:type="dxa"/>
            <w:vAlign w:val="center"/>
          </w:tcPr>
          <w:p>
            <w:pPr>
              <w:autoSpaceDE w:val="0"/>
              <w:autoSpaceDN w:val="0"/>
              <w:adjustRightInd w:val="0"/>
              <w:jc w:val="center"/>
              <w:rPr>
                <w:rFonts w:ascii="宋体" w:hAnsi="宋体" w:cs="宋体"/>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600" w:type="dxa"/>
            <w:vAlign w:val="center"/>
          </w:tcPr>
          <w:p>
            <w:pPr>
              <w:autoSpaceDE w:val="0"/>
              <w:autoSpaceDN w:val="0"/>
              <w:adjustRightInd w:val="0"/>
              <w:jc w:val="center"/>
              <w:rPr>
                <w:rFonts w:ascii="宋体" w:hAnsi="宋体" w:cs="宋体"/>
                <w:bCs/>
              </w:rPr>
            </w:pPr>
            <w:r>
              <w:rPr>
                <w:rFonts w:hint="eastAsia" w:ascii="宋体" w:hAnsi="宋体" w:cs="宋体"/>
                <w:bCs/>
              </w:rPr>
              <w:t>3、流动资产</w:t>
            </w:r>
          </w:p>
        </w:tc>
        <w:tc>
          <w:tcPr>
            <w:tcW w:w="2805" w:type="dxa"/>
            <w:vAlign w:val="center"/>
          </w:tcPr>
          <w:p>
            <w:pPr>
              <w:autoSpaceDE w:val="0"/>
              <w:autoSpaceDN w:val="0"/>
              <w:adjustRightInd w:val="0"/>
              <w:jc w:val="center"/>
              <w:rPr>
                <w:rFonts w:ascii="宋体" w:hAnsi="宋体" w:cs="宋体"/>
                <w:bCs/>
              </w:rPr>
            </w:pPr>
          </w:p>
        </w:tc>
        <w:tc>
          <w:tcPr>
            <w:tcW w:w="2885" w:type="dxa"/>
            <w:vAlign w:val="center"/>
          </w:tcPr>
          <w:p>
            <w:pPr>
              <w:autoSpaceDE w:val="0"/>
              <w:autoSpaceDN w:val="0"/>
              <w:adjustRightInd w:val="0"/>
              <w:jc w:val="center"/>
              <w:rPr>
                <w:rFonts w:ascii="宋体" w:hAnsi="宋体" w:cs="宋体"/>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600" w:type="dxa"/>
            <w:vAlign w:val="center"/>
          </w:tcPr>
          <w:p>
            <w:pPr>
              <w:autoSpaceDE w:val="0"/>
              <w:autoSpaceDN w:val="0"/>
              <w:adjustRightInd w:val="0"/>
              <w:jc w:val="center"/>
              <w:rPr>
                <w:rFonts w:ascii="宋体" w:hAnsi="宋体" w:cs="宋体"/>
                <w:bCs/>
              </w:rPr>
            </w:pPr>
            <w:r>
              <w:rPr>
                <w:rFonts w:hint="eastAsia" w:ascii="宋体" w:hAnsi="宋体" w:cs="宋体"/>
                <w:bCs/>
              </w:rPr>
              <w:t>4、总负债</w:t>
            </w:r>
          </w:p>
        </w:tc>
        <w:tc>
          <w:tcPr>
            <w:tcW w:w="2805" w:type="dxa"/>
            <w:vAlign w:val="center"/>
          </w:tcPr>
          <w:p>
            <w:pPr>
              <w:autoSpaceDE w:val="0"/>
              <w:autoSpaceDN w:val="0"/>
              <w:adjustRightInd w:val="0"/>
              <w:jc w:val="center"/>
              <w:rPr>
                <w:rFonts w:ascii="宋体" w:hAnsi="宋体" w:cs="宋体"/>
                <w:bCs/>
              </w:rPr>
            </w:pPr>
          </w:p>
        </w:tc>
        <w:tc>
          <w:tcPr>
            <w:tcW w:w="2885" w:type="dxa"/>
            <w:vAlign w:val="center"/>
          </w:tcPr>
          <w:p>
            <w:pPr>
              <w:autoSpaceDE w:val="0"/>
              <w:autoSpaceDN w:val="0"/>
              <w:adjustRightInd w:val="0"/>
              <w:jc w:val="center"/>
              <w:rPr>
                <w:rFonts w:ascii="宋体" w:hAnsi="宋体" w:cs="宋体"/>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600" w:type="dxa"/>
            <w:vAlign w:val="center"/>
          </w:tcPr>
          <w:p>
            <w:pPr>
              <w:autoSpaceDE w:val="0"/>
              <w:autoSpaceDN w:val="0"/>
              <w:adjustRightInd w:val="0"/>
              <w:jc w:val="center"/>
              <w:rPr>
                <w:rFonts w:ascii="宋体" w:hAnsi="宋体" w:cs="宋体"/>
                <w:bCs/>
              </w:rPr>
            </w:pPr>
            <w:r>
              <w:rPr>
                <w:rFonts w:hint="eastAsia" w:ascii="宋体" w:hAnsi="宋体" w:cs="宋体"/>
                <w:bCs/>
              </w:rPr>
              <w:t>5、流动负债</w:t>
            </w:r>
          </w:p>
        </w:tc>
        <w:tc>
          <w:tcPr>
            <w:tcW w:w="2805" w:type="dxa"/>
            <w:vAlign w:val="center"/>
          </w:tcPr>
          <w:p>
            <w:pPr>
              <w:autoSpaceDE w:val="0"/>
              <w:autoSpaceDN w:val="0"/>
              <w:adjustRightInd w:val="0"/>
              <w:jc w:val="center"/>
              <w:rPr>
                <w:rFonts w:ascii="宋体" w:hAnsi="宋体" w:cs="宋体"/>
                <w:bCs/>
              </w:rPr>
            </w:pPr>
          </w:p>
        </w:tc>
        <w:tc>
          <w:tcPr>
            <w:tcW w:w="2885" w:type="dxa"/>
            <w:vAlign w:val="center"/>
          </w:tcPr>
          <w:p>
            <w:pPr>
              <w:autoSpaceDE w:val="0"/>
              <w:autoSpaceDN w:val="0"/>
              <w:adjustRightInd w:val="0"/>
              <w:jc w:val="center"/>
              <w:rPr>
                <w:rFonts w:ascii="宋体" w:hAnsi="宋体" w:cs="宋体"/>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600" w:type="dxa"/>
            <w:vAlign w:val="center"/>
          </w:tcPr>
          <w:p>
            <w:pPr>
              <w:autoSpaceDE w:val="0"/>
              <w:autoSpaceDN w:val="0"/>
              <w:adjustRightInd w:val="0"/>
              <w:jc w:val="center"/>
              <w:rPr>
                <w:rFonts w:ascii="宋体" w:hAnsi="宋体" w:cs="宋体"/>
                <w:bCs/>
              </w:rPr>
            </w:pPr>
            <w:r>
              <w:rPr>
                <w:rFonts w:hint="eastAsia" w:ascii="宋体" w:hAnsi="宋体" w:cs="宋体"/>
                <w:bCs/>
              </w:rPr>
              <w:t>6、税前利润</w:t>
            </w:r>
          </w:p>
        </w:tc>
        <w:tc>
          <w:tcPr>
            <w:tcW w:w="2805" w:type="dxa"/>
            <w:vAlign w:val="center"/>
          </w:tcPr>
          <w:p>
            <w:pPr>
              <w:autoSpaceDE w:val="0"/>
              <w:autoSpaceDN w:val="0"/>
              <w:adjustRightInd w:val="0"/>
              <w:jc w:val="center"/>
              <w:rPr>
                <w:rFonts w:ascii="宋体" w:hAnsi="宋体" w:cs="宋体"/>
                <w:bCs/>
              </w:rPr>
            </w:pPr>
          </w:p>
        </w:tc>
        <w:tc>
          <w:tcPr>
            <w:tcW w:w="2885" w:type="dxa"/>
            <w:vAlign w:val="center"/>
          </w:tcPr>
          <w:p>
            <w:pPr>
              <w:autoSpaceDE w:val="0"/>
              <w:autoSpaceDN w:val="0"/>
              <w:adjustRightInd w:val="0"/>
              <w:jc w:val="center"/>
              <w:rPr>
                <w:rFonts w:ascii="宋体" w:hAnsi="宋体" w:cs="宋体"/>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600" w:type="dxa"/>
            <w:vAlign w:val="center"/>
          </w:tcPr>
          <w:p>
            <w:pPr>
              <w:autoSpaceDE w:val="0"/>
              <w:autoSpaceDN w:val="0"/>
              <w:adjustRightInd w:val="0"/>
              <w:jc w:val="center"/>
              <w:rPr>
                <w:rFonts w:ascii="宋体" w:hAnsi="宋体" w:cs="宋体"/>
                <w:bCs/>
              </w:rPr>
            </w:pPr>
            <w:r>
              <w:rPr>
                <w:rFonts w:hint="eastAsia" w:ascii="宋体" w:hAnsi="宋体" w:cs="宋体"/>
                <w:bCs/>
              </w:rPr>
              <w:t>7、税后利润</w:t>
            </w:r>
          </w:p>
        </w:tc>
        <w:tc>
          <w:tcPr>
            <w:tcW w:w="2805" w:type="dxa"/>
            <w:vAlign w:val="center"/>
          </w:tcPr>
          <w:p>
            <w:pPr>
              <w:autoSpaceDE w:val="0"/>
              <w:autoSpaceDN w:val="0"/>
              <w:adjustRightInd w:val="0"/>
              <w:jc w:val="center"/>
              <w:rPr>
                <w:rFonts w:ascii="宋体" w:hAnsi="宋体" w:cs="宋体"/>
                <w:bCs/>
              </w:rPr>
            </w:pPr>
          </w:p>
        </w:tc>
        <w:tc>
          <w:tcPr>
            <w:tcW w:w="2885" w:type="dxa"/>
            <w:vAlign w:val="center"/>
          </w:tcPr>
          <w:p>
            <w:pPr>
              <w:autoSpaceDE w:val="0"/>
              <w:autoSpaceDN w:val="0"/>
              <w:adjustRightInd w:val="0"/>
              <w:jc w:val="center"/>
              <w:rPr>
                <w:rFonts w:ascii="宋体" w:hAnsi="宋体" w:cs="宋体"/>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600" w:type="dxa"/>
            <w:vAlign w:val="center"/>
          </w:tcPr>
          <w:p>
            <w:pPr>
              <w:autoSpaceDE w:val="0"/>
              <w:autoSpaceDN w:val="0"/>
              <w:adjustRightInd w:val="0"/>
              <w:jc w:val="center"/>
              <w:rPr>
                <w:rFonts w:ascii="宋体" w:hAnsi="宋体" w:cs="宋体"/>
                <w:bCs/>
              </w:rPr>
            </w:pPr>
            <w:r>
              <w:rPr>
                <w:rFonts w:hint="eastAsia" w:ascii="宋体" w:hAnsi="宋体" w:cs="宋体"/>
                <w:bCs/>
              </w:rPr>
              <w:t>8、资产负债率</w:t>
            </w:r>
          </w:p>
        </w:tc>
        <w:tc>
          <w:tcPr>
            <w:tcW w:w="2805" w:type="dxa"/>
            <w:vAlign w:val="center"/>
          </w:tcPr>
          <w:p>
            <w:pPr>
              <w:autoSpaceDE w:val="0"/>
              <w:autoSpaceDN w:val="0"/>
              <w:adjustRightInd w:val="0"/>
              <w:jc w:val="center"/>
              <w:rPr>
                <w:rFonts w:ascii="宋体" w:hAnsi="宋体" w:cs="宋体"/>
                <w:bCs/>
              </w:rPr>
            </w:pPr>
          </w:p>
        </w:tc>
        <w:tc>
          <w:tcPr>
            <w:tcW w:w="2885" w:type="dxa"/>
            <w:vAlign w:val="center"/>
          </w:tcPr>
          <w:p>
            <w:pPr>
              <w:autoSpaceDE w:val="0"/>
              <w:autoSpaceDN w:val="0"/>
              <w:adjustRightInd w:val="0"/>
              <w:jc w:val="center"/>
              <w:rPr>
                <w:rFonts w:ascii="宋体" w:hAnsi="宋体" w:cs="宋体"/>
                <w:bCs/>
              </w:rPr>
            </w:pPr>
          </w:p>
        </w:tc>
      </w:tr>
    </w:tbl>
    <w:p>
      <w:pPr>
        <w:widowControl/>
        <w:jc w:val="center"/>
        <w:rPr>
          <w:rFonts w:ascii="宋体" w:hAnsi="宋体" w:cs="宋体"/>
          <w:bCs/>
        </w:rPr>
      </w:pPr>
    </w:p>
    <w:p>
      <w:pPr>
        <w:widowControl/>
        <w:jc w:val="left"/>
        <w:rPr>
          <w:rFonts w:ascii="宋体" w:hAnsi="宋体" w:cs="宋体"/>
          <w:bCs/>
        </w:rPr>
      </w:pPr>
      <w:r>
        <w:rPr>
          <w:rFonts w:hint="eastAsia" w:ascii="宋体" w:hAnsi="宋体" w:cs="宋体"/>
          <w:bCs/>
        </w:rPr>
        <w:t>注：</w:t>
      </w:r>
      <w:r>
        <w:rPr>
          <w:rFonts w:ascii="宋体" w:hAnsi="宋体" w:cs="宋体"/>
          <w:bCs/>
        </w:rPr>
        <w:t>供应商</w:t>
      </w:r>
      <w:r>
        <w:rPr>
          <w:rFonts w:hint="eastAsia" w:ascii="宋体" w:hAnsi="宋体" w:cs="宋体"/>
          <w:bCs/>
        </w:rPr>
        <w:t>根据自身实际情况填写。附201</w:t>
      </w:r>
      <w:r>
        <w:rPr>
          <w:rFonts w:ascii="宋体" w:hAnsi="宋体" w:cs="宋体"/>
          <w:bCs/>
        </w:rPr>
        <w:t>9</w:t>
      </w:r>
      <w:r>
        <w:rPr>
          <w:rFonts w:hint="eastAsia" w:ascii="宋体" w:hAnsi="宋体" w:cs="宋体"/>
          <w:bCs/>
        </w:rPr>
        <w:t>年度企业财务报告复印件，提供能体现上表数据的页面，加盖公章。</w:t>
      </w:r>
    </w:p>
    <w:p>
      <w:pPr>
        <w:spacing w:line="480" w:lineRule="auto"/>
        <w:ind w:left="1842" w:leftChars="877" w:firstLine="315" w:firstLineChars="150"/>
        <w:jc w:val="right"/>
        <w:rPr>
          <w:rFonts w:ascii="宋体" w:hAnsi="宋体" w:cs="宋体"/>
          <w:bCs/>
        </w:rPr>
      </w:pPr>
      <w:r>
        <w:rPr>
          <w:rFonts w:hint="eastAsia" w:ascii="宋体" w:hAnsi="宋体" w:cs="宋体"/>
          <w:bCs/>
        </w:rPr>
        <w:t>供应商：（盖单位章）</w:t>
      </w:r>
    </w:p>
    <w:p>
      <w:pPr>
        <w:spacing w:line="480" w:lineRule="auto"/>
        <w:jc w:val="right"/>
        <w:rPr>
          <w:rFonts w:ascii="宋体" w:hAnsi="宋体" w:cs="宋体"/>
          <w:bCs/>
        </w:rPr>
      </w:pPr>
      <w:r>
        <w:rPr>
          <w:rFonts w:hint="eastAsia" w:ascii="宋体" w:hAnsi="宋体" w:cs="宋体"/>
          <w:bCs/>
        </w:rPr>
        <w:t>年月日</w:t>
      </w:r>
    </w:p>
    <w:p>
      <w:pPr>
        <w:jc w:val="center"/>
        <w:outlineLvl w:val="2"/>
        <w:rPr>
          <w:rFonts w:ascii="宋体" w:hAnsi="宋体" w:cs="宋体"/>
          <w:bCs/>
          <w:szCs w:val="21"/>
        </w:rPr>
      </w:pPr>
      <w:r>
        <w:rPr>
          <w:rFonts w:hint="eastAsia" w:ascii="宋体" w:hAnsi="宋体" w:cs="宋体"/>
          <w:bCs/>
        </w:rPr>
        <w:br w:type="page"/>
      </w:r>
      <w:bookmarkStart w:id="148" w:name="_Toc59530173"/>
      <w:r>
        <w:rPr>
          <w:rFonts w:ascii="宋体" w:hAnsi="宋体" w:cs="宋体"/>
          <w:b/>
          <w:sz w:val="28"/>
          <w:szCs w:val="28"/>
        </w:rPr>
        <w:t>5</w:t>
      </w:r>
      <w:r>
        <w:rPr>
          <w:rFonts w:hint="eastAsia" w:ascii="宋体" w:hAnsi="宋体" w:cs="宋体"/>
          <w:b/>
          <w:sz w:val="28"/>
          <w:szCs w:val="28"/>
        </w:rPr>
        <w:t>、供应商存款证明</w:t>
      </w:r>
      <w:bookmarkEnd w:id="148"/>
    </w:p>
    <w:p>
      <w:pPr>
        <w:jc w:val="center"/>
      </w:pPr>
    </w:p>
    <w:p>
      <w:pPr>
        <w:jc w:val="left"/>
      </w:pPr>
      <w:r>
        <w:rPr>
          <w:rFonts w:hint="eastAsia"/>
        </w:rPr>
        <w:t>注：</w:t>
      </w:r>
      <w:r>
        <w:rPr>
          <w:rFonts w:hint="eastAsia"/>
          <w:szCs w:val="21"/>
        </w:rPr>
        <w:t>附供应商基本存款账户存款余额证明，以供应商基本存款账户开户行出具存款余额证明为准（银行对账单无效）；</w:t>
      </w:r>
    </w:p>
    <w:p>
      <w:pPr>
        <w:jc w:val="center"/>
      </w:pPr>
    </w:p>
    <w:p>
      <w:pPr>
        <w:jc w:val="center"/>
      </w:pPr>
    </w:p>
    <w:p/>
    <w:p>
      <w:pPr>
        <w:spacing w:line="480" w:lineRule="auto"/>
        <w:ind w:left="1842" w:leftChars="877" w:firstLine="315" w:firstLineChars="150"/>
        <w:jc w:val="right"/>
        <w:rPr>
          <w:rFonts w:ascii="宋体" w:hAnsi="宋体" w:cs="宋体"/>
          <w:bCs/>
        </w:rPr>
      </w:pPr>
      <w:r>
        <w:rPr>
          <w:rFonts w:hint="eastAsia" w:ascii="宋体" w:hAnsi="宋体" w:cs="宋体"/>
          <w:bCs/>
        </w:rPr>
        <w:t>供应商：（盖单位章）</w:t>
      </w:r>
    </w:p>
    <w:p>
      <w:pPr>
        <w:spacing w:line="480" w:lineRule="auto"/>
        <w:jc w:val="right"/>
        <w:rPr>
          <w:rFonts w:ascii="宋体" w:hAnsi="宋体" w:cs="宋体"/>
          <w:bCs/>
        </w:rPr>
      </w:pPr>
    </w:p>
    <w:p>
      <w:pPr>
        <w:spacing w:line="480" w:lineRule="auto"/>
        <w:jc w:val="right"/>
        <w:rPr>
          <w:rFonts w:ascii="宋体" w:hAnsi="宋体" w:cs="宋体"/>
          <w:bCs/>
        </w:rPr>
      </w:pPr>
      <w:r>
        <w:rPr>
          <w:rFonts w:hint="eastAsia" w:ascii="宋体" w:hAnsi="宋体" w:cs="宋体"/>
          <w:bCs/>
        </w:rPr>
        <w:t>年月日</w:t>
      </w:r>
    </w:p>
    <w:p>
      <w:r>
        <w:br w:type="page"/>
      </w:r>
    </w:p>
    <w:p>
      <w:pPr>
        <w:jc w:val="center"/>
        <w:outlineLvl w:val="2"/>
        <w:rPr>
          <w:rFonts w:ascii="宋体" w:hAnsi="宋体" w:cs="宋体"/>
          <w:b/>
          <w:sz w:val="28"/>
          <w:szCs w:val="28"/>
        </w:rPr>
      </w:pPr>
      <w:bookmarkStart w:id="149" w:name="_Toc59530174"/>
      <w:r>
        <w:rPr>
          <w:rFonts w:ascii="宋体" w:hAnsi="宋体" w:cs="宋体"/>
          <w:b/>
          <w:sz w:val="28"/>
          <w:szCs w:val="28"/>
        </w:rPr>
        <w:t>6</w:t>
      </w:r>
      <w:r>
        <w:rPr>
          <w:rFonts w:hint="eastAsia" w:ascii="宋体" w:hAnsi="宋体" w:cs="宋体"/>
          <w:b/>
          <w:sz w:val="28"/>
          <w:szCs w:val="28"/>
        </w:rPr>
        <w:t>、商务响应表</w:t>
      </w:r>
      <w:bookmarkEnd w:id="149"/>
    </w:p>
    <w:p>
      <w:pPr>
        <w:spacing w:before="24" w:after="24"/>
        <w:jc w:val="center"/>
        <w:rPr>
          <w:rFonts w:eastAsia="新宋体"/>
          <w:bCs/>
          <w:sz w:val="22"/>
          <w:szCs w:val="36"/>
        </w:rPr>
      </w:pPr>
      <w:bookmarkStart w:id="150" w:name="_Hlk19657757"/>
      <w:r>
        <w:rPr>
          <w:rFonts w:hint="eastAsia" w:ascii="新宋体" w:hAnsi="新宋体" w:eastAsia="新宋体"/>
          <w:bCs/>
          <w:sz w:val="22"/>
          <w:szCs w:val="36"/>
        </w:rPr>
        <w:t>《采购文件》《实施方案》或</w:t>
      </w:r>
      <w:r>
        <w:rPr>
          <w:rFonts w:ascii="新宋体" w:hAnsi="新宋体" w:eastAsia="新宋体"/>
          <w:bCs/>
          <w:sz w:val="22"/>
          <w:szCs w:val="36"/>
        </w:rPr>
        <w:t>《</w:t>
      </w:r>
      <w:r>
        <w:rPr>
          <w:rFonts w:eastAsia="新宋体"/>
          <w:bCs/>
          <w:sz w:val="22"/>
          <w:szCs w:val="36"/>
        </w:rPr>
        <w:t>PPP</w:t>
      </w:r>
      <w:r>
        <w:rPr>
          <w:rFonts w:ascii="新宋体" w:hAnsi="新宋体" w:eastAsia="新宋体"/>
          <w:bCs/>
          <w:sz w:val="22"/>
          <w:szCs w:val="36"/>
        </w:rPr>
        <w:t>项目合同》</w:t>
      </w:r>
      <w:bookmarkEnd w:id="150"/>
      <w:r>
        <w:rPr>
          <w:rFonts w:ascii="新宋体" w:hAnsi="新宋体" w:eastAsia="新宋体"/>
          <w:bCs/>
          <w:sz w:val="22"/>
          <w:szCs w:val="36"/>
        </w:rPr>
        <w:t>条款偏差表</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2"/>
        <w:gridCol w:w="1069"/>
        <w:gridCol w:w="2393"/>
        <w:gridCol w:w="1599"/>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tcPr>
          <w:p>
            <w:pPr>
              <w:spacing w:before="24" w:after="24"/>
              <w:rPr>
                <w:rFonts w:eastAsia="新宋体"/>
                <w:szCs w:val="21"/>
              </w:rPr>
            </w:pPr>
            <w:r>
              <w:rPr>
                <w:rFonts w:eastAsia="新宋体"/>
              </w:rPr>
              <w:t>序号</w:t>
            </w:r>
          </w:p>
        </w:tc>
        <w:tc>
          <w:tcPr>
            <w:tcW w:w="627" w:type="pct"/>
          </w:tcPr>
          <w:p>
            <w:pPr>
              <w:spacing w:before="24" w:after="24"/>
              <w:jc w:val="center"/>
              <w:rPr>
                <w:rFonts w:eastAsia="新宋体"/>
              </w:rPr>
            </w:pPr>
            <w:r>
              <w:rPr>
                <w:rFonts w:hint="eastAsia" w:eastAsia="新宋体"/>
              </w:rPr>
              <w:t>文件名</w:t>
            </w:r>
          </w:p>
        </w:tc>
        <w:tc>
          <w:tcPr>
            <w:tcW w:w="1404" w:type="pct"/>
          </w:tcPr>
          <w:p>
            <w:pPr>
              <w:spacing w:before="24" w:after="24"/>
              <w:jc w:val="center"/>
              <w:rPr>
                <w:rFonts w:eastAsia="新宋体"/>
              </w:rPr>
            </w:pPr>
            <w:r>
              <w:rPr>
                <w:rFonts w:eastAsia="新宋体"/>
              </w:rPr>
              <w:t>条款号或所在页码</w:t>
            </w:r>
          </w:p>
        </w:tc>
        <w:tc>
          <w:tcPr>
            <w:tcW w:w="938" w:type="pct"/>
          </w:tcPr>
          <w:p>
            <w:pPr>
              <w:spacing w:before="24" w:after="24"/>
              <w:jc w:val="center"/>
              <w:rPr>
                <w:rFonts w:eastAsia="新宋体"/>
              </w:rPr>
            </w:pPr>
            <w:r>
              <w:rPr>
                <w:rFonts w:eastAsia="新宋体"/>
              </w:rPr>
              <w:t>原条款内容</w:t>
            </w:r>
          </w:p>
        </w:tc>
        <w:tc>
          <w:tcPr>
            <w:tcW w:w="1560" w:type="pct"/>
          </w:tcPr>
          <w:p>
            <w:pPr>
              <w:spacing w:before="24" w:after="24"/>
              <w:rPr>
                <w:rFonts w:eastAsia="新宋体"/>
              </w:rPr>
            </w:pPr>
            <w:r>
              <w:rPr>
                <w:rFonts w:eastAsia="新宋体"/>
              </w:rPr>
              <w:t>建议修改后条款内容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tcPr>
          <w:p>
            <w:pPr>
              <w:spacing w:before="24" w:after="24"/>
              <w:rPr>
                <w:rFonts w:eastAsia="新宋体"/>
              </w:rPr>
            </w:pPr>
          </w:p>
        </w:tc>
        <w:tc>
          <w:tcPr>
            <w:tcW w:w="627" w:type="pct"/>
          </w:tcPr>
          <w:p>
            <w:pPr>
              <w:pStyle w:val="26"/>
              <w:spacing w:before="24" w:after="24"/>
              <w:ind w:left="5250"/>
              <w:rPr>
                <w:rFonts w:eastAsia="新宋体"/>
              </w:rPr>
            </w:pPr>
          </w:p>
        </w:tc>
        <w:tc>
          <w:tcPr>
            <w:tcW w:w="1404" w:type="pct"/>
          </w:tcPr>
          <w:p>
            <w:pPr>
              <w:pStyle w:val="26"/>
              <w:spacing w:before="24" w:after="24"/>
              <w:ind w:left="5250"/>
              <w:rPr>
                <w:rFonts w:eastAsia="新宋体"/>
              </w:rPr>
            </w:pPr>
          </w:p>
        </w:tc>
        <w:tc>
          <w:tcPr>
            <w:tcW w:w="938" w:type="pct"/>
          </w:tcPr>
          <w:p>
            <w:pPr>
              <w:pStyle w:val="26"/>
              <w:spacing w:before="24" w:after="24"/>
              <w:ind w:left="5250"/>
              <w:rPr>
                <w:rFonts w:eastAsia="新宋体"/>
              </w:rPr>
            </w:pPr>
          </w:p>
        </w:tc>
        <w:tc>
          <w:tcPr>
            <w:tcW w:w="1560" w:type="pct"/>
          </w:tcPr>
          <w:p>
            <w:pPr>
              <w:spacing w:before="24" w:after="24"/>
              <w:rPr>
                <w:rFonts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tcPr>
          <w:p>
            <w:pPr>
              <w:spacing w:before="24" w:after="24"/>
              <w:rPr>
                <w:rFonts w:eastAsia="新宋体"/>
              </w:rPr>
            </w:pPr>
          </w:p>
        </w:tc>
        <w:tc>
          <w:tcPr>
            <w:tcW w:w="627" w:type="pct"/>
          </w:tcPr>
          <w:p>
            <w:pPr>
              <w:spacing w:before="24" w:after="24"/>
              <w:rPr>
                <w:rFonts w:eastAsia="新宋体"/>
              </w:rPr>
            </w:pPr>
          </w:p>
        </w:tc>
        <w:tc>
          <w:tcPr>
            <w:tcW w:w="1404" w:type="pct"/>
          </w:tcPr>
          <w:p>
            <w:pPr>
              <w:spacing w:before="24" w:after="24"/>
              <w:rPr>
                <w:rFonts w:eastAsia="新宋体"/>
              </w:rPr>
            </w:pPr>
          </w:p>
        </w:tc>
        <w:tc>
          <w:tcPr>
            <w:tcW w:w="938" w:type="pct"/>
          </w:tcPr>
          <w:p>
            <w:pPr>
              <w:spacing w:before="24" w:after="24"/>
              <w:rPr>
                <w:rFonts w:eastAsia="新宋体"/>
              </w:rPr>
            </w:pPr>
          </w:p>
        </w:tc>
        <w:tc>
          <w:tcPr>
            <w:tcW w:w="1560" w:type="pct"/>
          </w:tcPr>
          <w:p>
            <w:pPr>
              <w:spacing w:before="24" w:after="24"/>
              <w:rPr>
                <w:rFonts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tcPr>
          <w:p>
            <w:pPr>
              <w:spacing w:before="24" w:after="24"/>
              <w:rPr>
                <w:rFonts w:eastAsia="新宋体"/>
              </w:rPr>
            </w:pPr>
          </w:p>
        </w:tc>
        <w:tc>
          <w:tcPr>
            <w:tcW w:w="627" w:type="pct"/>
          </w:tcPr>
          <w:p>
            <w:pPr>
              <w:spacing w:before="24" w:after="24"/>
              <w:rPr>
                <w:rFonts w:eastAsia="新宋体"/>
              </w:rPr>
            </w:pPr>
          </w:p>
        </w:tc>
        <w:tc>
          <w:tcPr>
            <w:tcW w:w="1404" w:type="pct"/>
          </w:tcPr>
          <w:p>
            <w:pPr>
              <w:spacing w:before="24" w:after="24"/>
              <w:rPr>
                <w:rFonts w:eastAsia="新宋体"/>
              </w:rPr>
            </w:pPr>
          </w:p>
        </w:tc>
        <w:tc>
          <w:tcPr>
            <w:tcW w:w="938" w:type="pct"/>
          </w:tcPr>
          <w:p>
            <w:pPr>
              <w:spacing w:before="24" w:after="24"/>
              <w:rPr>
                <w:rFonts w:eastAsia="新宋体"/>
              </w:rPr>
            </w:pPr>
          </w:p>
        </w:tc>
        <w:tc>
          <w:tcPr>
            <w:tcW w:w="1560" w:type="pct"/>
          </w:tcPr>
          <w:p>
            <w:pPr>
              <w:spacing w:before="24" w:after="24"/>
              <w:rPr>
                <w:rFonts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tcPr>
          <w:p>
            <w:pPr>
              <w:spacing w:before="24" w:after="24"/>
              <w:rPr>
                <w:rFonts w:eastAsia="新宋体"/>
              </w:rPr>
            </w:pPr>
          </w:p>
        </w:tc>
        <w:tc>
          <w:tcPr>
            <w:tcW w:w="627" w:type="pct"/>
          </w:tcPr>
          <w:p>
            <w:pPr>
              <w:spacing w:before="24" w:after="24"/>
              <w:rPr>
                <w:rFonts w:eastAsia="新宋体"/>
              </w:rPr>
            </w:pPr>
          </w:p>
        </w:tc>
        <w:tc>
          <w:tcPr>
            <w:tcW w:w="1404" w:type="pct"/>
          </w:tcPr>
          <w:p>
            <w:pPr>
              <w:spacing w:before="24" w:after="24"/>
              <w:rPr>
                <w:rFonts w:eastAsia="新宋体"/>
              </w:rPr>
            </w:pPr>
          </w:p>
        </w:tc>
        <w:tc>
          <w:tcPr>
            <w:tcW w:w="938" w:type="pct"/>
          </w:tcPr>
          <w:p>
            <w:pPr>
              <w:spacing w:before="24" w:after="24"/>
              <w:rPr>
                <w:rFonts w:eastAsia="新宋体"/>
              </w:rPr>
            </w:pPr>
          </w:p>
        </w:tc>
        <w:tc>
          <w:tcPr>
            <w:tcW w:w="1560" w:type="pct"/>
          </w:tcPr>
          <w:p>
            <w:pPr>
              <w:spacing w:before="24" w:after="24"/>
              <w:rPr>
                <w:rFonts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tcPr>
          <w:p>
            <w:pPr>
              <w:spacing w:before="24" w:after="24"/>
              <w:rPr>
                <w:rFonts w:eastAsia="新宋体"/>
              </w:rPr>
            </w:pPr>
          </w:p>
        </w:tc>
        <w:tc>
          <w:tcPr>
            <w:tcW w:w="627" w:type="pct"/>
          </w:tcPr>
          <w:p>
            <w:pPr>
              <w:spacing w:before="24" w:after="24"/>
              <w:rPr>
                <w:rFonts w:eastAsia="新宋体"/>
              </w:rPr>
            </w:pPr>
          </w:p>
        </w:tc>
        <w:tc>
          <w:tcPr>
            <w:tcW w:w="1404" w:type="pct"/>
          </w:tcPr>
          <w:p>
            <w:pPr>
              <w:spacing w:before="24" w:after="24"/>
              <w:rPr>
                <w:rFonts w:eastAsia="新宋体"/>
              </w:rPr>
            </w:pPr>
          </w:p>
        </w:tc>
        <w:tc>
          <w:tcPr>
            <w:tcW w:w="938" w:type="pct"/>
          </w:tcPr>
          <w:p>
            <w:pPr>
              <w:spacing w:before="24" w:after="24"/>
              <w:rPr>
                <w:rFonts w:eastAsia="新宋体"/>
              </w:rPr>
            </w:pPr>
          </w:p>
        </w:tc>
        <w:tc>
          <w:tcPr>
            <w:tcW w:w="1560" w:type="pct"/>
          </w:tcPr>
          <w:p>
            <w:pPr>
              <w:spacing w:before="24" w:after="24"/>
              <w:rPr>
                <w:rFonts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tcPr>
          <w:p>
            <w:pPr>
              <w:spacing w:before="24" w:after="24"/>
              <w:rPr>
                <w:rFonts w:eastAsia="新宋体"/>
              </w:rPr>
            </w:pPr>
          </w:p>
        </w:tc>
        <w:tc>
          <w:tcPr>
            <w:tcW w:w="627" w:type="pct"/>
          </w:tcPr>
          <w:p>
            <w:pPr>
              <w:spacing w:before="24" w:after="24"/>
              <w:rPr>
                <w:rFonts w:eastAsia="新宋体"/>
              </w:rPr>
            </w:pPr>
          </w:p>
        </w:tc>
        <w:tc>
          <w:tcPr>
            <w:tcW w:w="1404" w:type="pct"/>
          </w:tcPr>
          <w:p>
            <w:pPr>
              <w:spacing w:before="24" w:after="24"/>
              <w:rPr>
                <w:rFonts w:eastAsia="新宋体"/>
              </w:rPr>
            </w:pPr>
          </w:p>
        </w:tc>
        <w:tc>
          <w:tcPr>
            <w:tcW w:w="938" w:type="pct"/>
          </w:tcPr>
          <w:p>
            <w:pPr>
              <w:spacing w:before="24" w:after="24"/>
              <w:rPr>
                <w:rFonts w:eastAsia="新宋体"/>
              </w:rPr>
            </w:pPr>
          </w:p>
        </w:tc>
        <w:tc>
          <w:tcPr>
            <w:tcW w:w="1560" w:type="pct"/>
          </w:tcPr>
          <w:p>
            <w:pPr>
              <w:spacing w:before="24" w:after="24"/>
              <w:rPr>
                <w:rFonts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tcPr>
          <w:p>
            <w:pPr>
              <w:spacing w:before="24" w:after="24"/>
              <w:rPr>
                <w:rFonts w:eastAsia="新宋体"/>
              </w:rPr>
            </w:pPr>
          </w:p>
        </w:tc>
        <w:tc>
          <w:tcPr>
            <w:tcW w:w="627" w:type="pct"/>
          </w:tcPr>
          <w:p>
            <w:pPr>
              <w:spacing w:before="24" w:after="24"/>
              <w:rPr>
                <w:rFonts w:eastAsia="新宋体"/>
              </w:rPr>
            </w:pPr>
          </w:p>
        </w:tc>
        <w:tc>
          <w:tcPr>
            <w:tcW w:w="1404" w:type="pct"/>
          </w:tcPr>
          <w:p>
            <w:pPr>
              <w:spacing w:before="24" w:after="24"/>
              <w:rPr>
                <w:rFonts w:eastAsia="新宋体"/>
              </w:rPr>
            </w:pPr>
          </w:p>
        </w:tc>
        <w:tc>
          <w:tcPr>
            <w:tcW w:w="938" w:type="pct"/>
          </w:tcPr>
          <w:p>
            <w:pPr>
              <w:spacing w:before="24" w:after="24"/>
              <w:rPr>
                <w:rFonts w:eastAsia="新宋体"/>
              </w:rPr>
            </w:pPr>
          </w:p>
        </w:tc>
        <w:tc>
          <w:tcPr>
            <w:tcW w:w="1560" w:type="pct"/>
          </w:tcPr>
          <w:p>
            <w:pPr>
              <w:spacing w:before="24" w:after="24"/>
              <w:rPr>
                <w:rFonts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tcPr>
          <w:p>
            <w:pPr>
              <w:spacing w:before="24" w:after="24"/>
              <w:rPr>
                <w:rFonts w:eastAsia="新宋体"/>
              </w:rPr>
            </w:pPr>
          </w:p>
        </w:tc>
        <w:tc>
          <w:tcPr>
            <w:tcW w:w="627" w:type="pct"/>
          </w:tcPr>
          <w:p>
            <w:pPr>
              <w:spacing w:before="24" w:after="24"/>
              <w:rPr>
                <w:rFonts w:eastAsia="新宋体"/>
              </w:rPr>
            </w:pPr>
          </w:p>
        </w:tc>
        <w:tc>
          <w:tcPr>
            <w:tcW w:w="1404" w:type="pct"/>
          </w:tcPr>
          <w:p>
            <w:pPr>
              <w:spacing w:before="24" w:after="24"/>
              <w:rPr>
                <w:rFonts w:eastAsia="新宋体"/>
              </w:rPr>
            </w:pPr>
          </w:p>
        </w:tc>
        <w:tc>
          <w:tcPr>
            <w:tcW w:w="938" w:type="pct"/>
          </w:tcPr>
          <w:p>
            <w:pPr>
              <w:spacing w:before="24" w:after="24"/>
              <w:rPr>
                <w:rFonts w:eastAsia="新宋体"/>
              </w:rPr>
            </w:pPr>
          </w:p>
        </w:tc>
        <w:tc>
          <w:tcPr>
            <w:tcW w:w="1560" w:type="pct"/>
          </w:tcPr>
          <w:p>
            <w:pPr>
              <w:spacing w:before="24" w:after="24"/>
              <w:rPr>
                <w:rFonts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tcPr>
          <w:p>
            <w:pPr>
              <w:spacing w:before="24" w:after="24"/>
              <w:rPr>
                <w:rFonts w:eastAsia="新宋体"/>
              </w:rPr>
            </w:pPr>
          </w:p>
        </w:tc>
        <w:tc>
          <w:tcPr>
            <w:tcW w:w="627" w:type="pct"/>
          </w:tcPr>
          <w:p>
            <w:pPr>
              <w:spacing w:before="24" w:after="24"/>
              <w:rPr>
                <w:rFonts w:eastAsia="新宋体"/>
              </w:rPr>
            </w:pPr>
          </w:p>
        </w:tc>
        <w:tc>
          <w:tcPr>
            <w:tcW w:w="1404" w:type="pct"/>
          </w:tcPr>
          <w:p>
            <w:pPr>
              <w:spacing w:before="24" w:after="24"/>
              <w:rPr>
                <w:rFonts w:eastAsia="新宋体"/>
              </w:rPr>
            </w:pPr>
          </w:p>
        </w:tc>
        <w:tc>
          <w:tcPr>
            <w:tcW w:w="938" w:type="pct"/>
          </w:tcPr>
          <w:p>
            <w:pPr>
              <w:spacing w:before="24" w:after="24"/>
              <w:rPr>
                <w:rFonts w:eastAsia="新宋体"/>
              </w:rPr>
            </w:pPr>
          </w:p>
        </w:tc>
        <w:tc>
          <w:tcPr>
            <w:tcW w:w="1560" w:type="pct"/>
          </w:tcPr>
          <w:p>
            <w:pPr>
              <w:spacing w:before="24" w:after="24"/>
              <w:rPr>
                <w:rFonts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tcPr>
          <w:p>
            <w:pPr>
              <w:spacing w:before="24" w:after="24"/>
              <w:rPr>
                <w:rFonts w:eastAsia="新宋体"/>
              </w:rPr>
            </w:pPr>
          </w:p>
        </w:tc>
        <w:tc>
          <w:tcPr>
            <w:tcW w:w="627" w:type="pct"/>
          </w:tcPr>
          <w:p>
            <w:pPr>
              <w:spacing w:before="24" w:after="24"/>
              <w:rPr>
                <w:rFonts w:eastAsia="新宋体"/>
              </w:rPr>
            </w:pPr>
          </w:p>
        </w:tc>
        <w:tc>
          <w:tcPr>
            <w:tcW w:w="1404" w:type="pct"/>
          </w:tcPr>
          <w:p>
            <w:pPr>
              <w:spacing w:before="24" w:after="24"/>
              <w:rPr>
                <w:rFonts w:eastAsia="新宋体"/>
              </w:rPr>
            </w:pPr>
          </w:p>
        </w:tc>
        <w:tc>
          <w:tcPr>
            <w:tcW w:w="938" w:type="pct"/>
          </w:tcPr>
          <w:p>
            <w:pPr>
              <w:spacing w:before="24" w:after="24"/>
              <w:rPr>
                <w:rFonts w:eastAsia="新宋体"/>
              </w:rPr>
            </w:pPr>
          </w:p>
        </w:tc>
        <w:tc>
          <w:tcPr>
            <w:tcW w:w="1560" w:type="pct"/>
          </w:tcPr>
          <w:p>
            <w:pPr>
              <w:spacing w:before="24" w:after="24"/>
              <w:rPr>
                <w:rFonts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tcPr>
          <w:p>
            <w:pPr>
              <w:spacing w:before="24" w:after="24"/>
              <w:rPr>
                <w:rFonts w:eastAsia="新宋体"/>
              </w:rPr>
            </w:pPr>
          </w:p>
        </w:tc>
        <w:tc>
          <w:tcPr>
            <w:tcW w:w="627" w:type="pct"/>
          </w:tcPr>
          <w:p>
            <w:pPr>
              <w:spacing w:before="24" w:after="24"/>
              <w:rPr>
                <w:rFonts w:eastAsia="新宋体"/>
              </w:rPr>
            </w:pPr>
          </w:p>
        </w:tc>
        <w:tc>
          <w:tcPr>
            <w:tcW w:w="1404" w:type="pct"/>
          </w:tcPr>
          <w:p>
            <w:pPr>
              <w:spacing w:before="24" w:after="24"/>
              <w:rPr>
                <w:rFonts w:eastAsia="新宋体"/>
              </w:rPr>
            </w:pPr>
          </w:p>
        </w:tc>
        <w:tc>
          <w:tcPr>
            <w:tcW w:w="938" w:type="pct"/>
          </w:tcPr>
          <w:p>
            <w:pPr>
              <w:spacing w:before="24" w:after="24"/>
              <w:rPr>
                <w:rFonts w:eastAsia="新宋体"/>
              </w:rPr>
            </w:pPr>
          </w:p>
        </w:tc>
        <w:tc>
          <w:tcPr>
            <w:tcW w:w="1560" w:type="pct"/>
          </w:tcPr>
          <w:p>
            <w:pPr>
              <w:spacing w:before="24" w:after="24"/>
              <w:rPr>
                <w:rFonts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tcPr>
          <w:p>
            <w:pPr>
              <w:spacing w:before="24" w:after="24"/>
              <w:rPr>
                <w:rFonts w:eastAsia="新宋体"/>
              </w:rPr>
            </w:pPr>
          </w:p>
        </w:tc>
        <w:tc>
          <w:tcPr>
            <w:tcW w:w="627" w:type="pct"/>
          </w:tcPr>
          <w:p>
            <w:pPr>
              <w:spacing w:before="24" w:after="24"/>
              <w:rPr>
                <w:rFonts w:eastAsia="新宋体"/>
              </w:rPr>
            </w:pPr>
          </w:p>
        </w:tc>
        <w:tc>
          <w:tcPr>
            <w:tcW w:w="1404" w:type="pct"/>
          </w:tcPr>
          <w:p>
            <w:pPr>
              <w:spacing w:before="24" w:after="24"/>
              <w:rPr>
                <w:rFonts w:eastAsia="新宋体"/>
              </w:rPr>
            </w:pPr>
          </w:p>
        </w:tc>
        <w:tc>
          <w:tcPr>
            <w:tcW w:w="938" w:type="pct"/>
          </w:tcPr>
          <w:p>
            <w:pPr>
              <w:spacing w:before="24" w:after="24"/>
              <w:rPr>
                <w:rFonts w:eastAsia="新宋体"/>
              </w:rPr>
            </w:pPr>
          </w:p>
        </w:tc>
        <w:tc>
          <w:tcPr>
            <w:tcW w:w="1560" w:type="pct"/>
          </w:tcPr>
          <w:p>
            <w:pPr>
              <w:spacing w:before="24" w:after="24"/>
              <w:rPr>
                <w:rFonts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 w:type="pct"/>
          </w:tcPr>
          <w:p>
            <w:pPr>
              <w:spacing w:before="24" w:after="24"/>
              <w:rPr>
                <w:rFonts w:eastAsia="新宋体"/>
              </w:rPr>
            </w:pPr>
          </w:p>
        </w:tc>
        <w:tc>
          <w:tcPr>
            <w:tcW w:w="627" w:type="pct"/>
          </w:tcPr>
          <w:p>
            <w:pPr>
              <w:spacing w:before="24" w:after="24"/>
              <w:rPr>
                <w:rFonts w:eastAsia="新宋体"/>
              </w:rPr>
            </w:pPr>
          </w:p>
        </w:tc>
        <w:tc>
          <w:tcPr>
            <w:tcW w:w="1404" w:type="pct"/>
          </w:tcPr>
          <w:p>
            <w:pPr>
              <w:spacing w:before="24" w:after="24"/>
              <w:rPr>
                <w:rFonts w:eastAsia="新宋体"/>
              </w:rPr>
            </w:pPr>
          </w:p>
        </w:tc>
        <w:tc>
          <w:tcPr>
            <w:tcW w:w="938" w:type="pct"/>
          </w:tcPr>
          <w:p>
            <w:pPr>
              <w:spacing w:before="24" w:after="24"/>
              <w:rPr>
                <w:rFonts w:eastAsia="新宋体"/>
              </w:rPr>
            </w:pPr>
          </w:p>
        </w:tc>
        <w:tc>
          <w:tcPr>
            <w:tcW w:w="1560" w:type="pct"/>
          </w:tcPr>
          <w:p>
            <w:pPr>
              <w:spacing w:before="24" w:after="24"/>
              <w:rPr>
                <w:rFonts w:eastAsia="新宋体"/>
              </w:rPr>
            </w:pPr>
          </w:p>
        </w:tc>
      </w:tr>
    </w:tbl>
    <w:p>
      <w:pPr>
        <w:spacing w:before="24" w:after="24"/>
        <w:rPr>
          <w:rFonts w:eastAsia="新宋体"/>
          <w:szCs w:val="21"/>
        </w:rPr>
      </w:pPr>
      <w:r>
        <w:rPr>
          <w:rFonts w:ascii="新宋体" w:hAnsi="新宋体" w:eastAsia="新宋体"/>
        </w:rPr>
        <w:t>注：增加或删除条款，请在本表中标明添加条款位置或删除条款位置。</w:t>
      </w:r>
    </w:p>
    <w:p>
      <w:pPr>
        <w:spacing w:before="24" w:after="24"/>
        <w:rPr>
          <w:rFonts w:eastAsia="新宋体"/>
        </w:rPr>
      </w:pPr>
    </w:p>
    <w:p>
      <w:pPr>
        <w:spacing w:before="24" w:after="24"/>
        <w:rPr>
          <w:rFonts w:ascii="新宋体" w:hAnsi="新宋体" w:eastAsia="新宋体"/>
        </w:rPr>
      </w:pPr>
      <w:r>
        <w:rPr>
          <w:rFonts w:ascii="新宋体" w:hAnsi="新宋体" w:eastAsia="新宋体"/>
        </w:rPr>
        <w:t>供应商声明：除本偏差表所列出的偏差外，供应商完全接受</w:t>
      </w:r>
      <w:r>
        <w:rPr>
          <w:rFonts w:hint="eastAsia" w:ascii="新宋体" w:hAnsi="新宋体" w:eastAsia="新宋体"/>
        </w:rPr>
        <w:t>《采购文件》《实施方案》或《PPP项目合同》</w:t>
      </w:r>
      <w:r>
        <w:rPr>
          <w:rFonts w:ascii="新宋体" w:hAnsi="新宋体" w:eastAsia="新宋体"/>
        </w:rPr>
        <w:t>的条款内容。</w:t>
      </w:r>
    </w:p>
    <w:p/>
    <w:p>
      <w:pPr>
        <w:spacing w:line="600" w:lineRule="exact"/>
        <w:ind w:left="1842" w:leftChars="877" w:firstLine="315" w:firstLineChars="150"/>
        <w:jc w:val="right"/>
        <w:rPr>
          <w:rFonts w:ascii="宋体" w:hAnsi="宋体" w:cs="宋体"/>
          <w:bCs/>
        </w:rPr>
      </w:pPr>
      <w:r>
        <w:rPr>
          <w:rFonts w:hint="eastAsia" w:ascii="宋体" w:hAnsi="宋体" w:cs="宋体"/>
          <w:bCs/>
        </w:rPr>
        <w:t>供应商：（盖单位章）</w:t>
      </w:r>
    </w:p>
    <w:p>
      <w:pPr>
        <w:jc w:val="right"/>
        <w:rPr>
          <w:rFonts w:ascii="宋体" w:hAnsi="宋体" w:cs="宋体"/>
          <w:bCs/>
        </w:rPr>
      </w:pPr>
    </w:p>
    <w:p>
      <w:pPr>
        <w:jc w:val="right"/>
        <w:rPr>
          <w:rFonts w:ascii="宋体" w:hAnsi="宋体" w:cs="宋体"/>
          <w:bCs/>
        </w:rPr>
      </w:pPr>
      <w:r>
        <w:rPr>
          <w:rFonts w:hint="eastAsia" w:ascii="宋体" w:hAnsi="宋体" w:cs="宋体"/>
          <w:bCs/>
        </w:rPr>
        <w:t>年月日</w:t>
      </w:r>
    </w:p>
    <w:p>
      <w:pPr>
        <w:spacing w:before="24" w:after="24"/>
        <w:jc w:val="right"/>
        <w:rPr>
          <w:rFonts w:eastAsia="新宋体"/>
          <w:u w:val="single"/>
        </w:rPr>
      </w:pPr>
    </w:p>
    <w:p/>
    <w:p>
      <w:pPr>
        <w:widowControl/>
        <w:jc w:val="left"/>
        <w:rPr>
          <w:b/>
          <w:sz w:val="28"/>
          <w:szCs w:val="28"/>
        </w:rPr>
      </w:pPr>
      <w:r>
        <w:rPr>
          <w:b/>
          <w:sz w:val="28"/>
          <w:szCs w:val="28"/>
        </w:rPr>
        <w:br w:type="page"/>
      </w:r>
    </w:p>
    <w:p>
      <w:pPr>
        <w:jc w:val="center"/>
        <w:outlineLvl w:val="2"/>
        <w:rPr>
          <w:rFonts w:ascii="宋体" w:hAnsi="宋体" w:cs="宋体"/>
          <w:b/>
          <w:sz w:val="28"/>
          <w:szCs w:val="28"/>
        </w:rPr>
      </w:pPr>
      <w:bookmarkStart w:id="151" w:name="_Toc59530175"/>
      <w:r>
        <w:rPr>
          <w:rFonts w:ascii="宋体" w:hAnsi="宋体" w:cs="宋体"/>
          <w:b/>
          <w:sz w:val="28"/>
          <w:szCs w:val="28"/>
        </w:rPr>
        <w:t>7</w:t>
      </w:r>
      <w:r>
        <w:rPr>
          <w:rFonts w:hint="eastAsia" w:ascii="宋体" w:hAnsi="宋体" w:cs="宋体"/>
          <w:b/>
          <w:sz w:val="28"/>
          <w:szCs w:val="28"/>
        </w:rPr>
        <w:t>、供应商认为有利于本次磋商的其他材料</w:t>
      </w:r>
      <w:bookmarkEnd w:id="151"/>
    </w:p>
    <w:p>
      <w:pPr>
        <w:jc w:val="center"/>
        <w:rPr>
          <w:rFonts w:ascii="宋体" w:hAnsi="宋体" w:cs="宋体"/>
          <w:b/>
          <w:sz w:val="22"/>
          <w:szCs w:val="22"/>
        </w:rPr>
      </w:pPr>
    </w:p>
    <w:p>
      <w:pPr>
        <w:jc w:val="center"/>
        <w:rPr>
          <w:rFonts w:ascii="宋体" w:hAnsi="宋体" w:cs="宋体"/>
          <w:sz w:val="22"/>
          <w:szCs w:val="22"/>
        </w:rPr>
      </w:pPr>
      <w:r>
        <w:rPr>
          <w:rFonts w:hint="eastAsia" w:ascii="宋体" w:hAnsi="宋体" w:cs="宋体"/>
          <w:sz w:val="22"/>
          <w:szCs w:val="22"/>
        </w:rPr>
        <w:t>（供应商根据自身需求及采购要求提供相关材料，无格式的由供应商自行设计）</w:t>
      </w:r>
    </w:p>
    <w:p>
      <w:pPr>
        <w:jc w:val="center"/>
        <w:rPr>
          <w:rFonts w:ascii="宋体" w:hAnsi="宋体" w:cs="宋体"/>
          <w:b/>
          <w:sz w:val="24"/>
        </w:rPr>
      </w:pPr>
    </w:p>
    <w:p>
      <w:pPr>
        <w:jc w:val="center"/>
        <w:outlineLvl w:val="2"/>
        <w:rPr>
          <w:rFonts w:ascii="宋体" w:hAnsi="宋体"/>
          <w:sz w:val="30"/>
          <w:szCs w:val="30"/>
        </w:rPr>
      </w:pPr>
      <w:bookmarkStart w:id="152" w:name="_Toc11770"/>
      <w:bookmarkStart w:id="153" w:name="_Toc303756434"/>
      <w:r>
        <w:br w:type="page"/>
      </w:r>
      <w:bookmarkStart w:id="154" w:name="_Toc59530176"/>
      <w:r>
        <w:rPr>
          <w:rFonts w:hint="eastAsia" w:ascii="宋体" w:hAnsi="宋体" w:cs="宋体"/>
          <w:b/>
          <w:sz w:val="28"/>
          <w:szCs w:val="28"/>
        </w:rPr>
        <w:t>（二）技术文件格式</w:t>
      </w:r>
      <w:bookmarkEnd w:id="152"/>
      <w:bookmarkEnd w:id="153"/>
      <w:bookmarkEnd w:id="154"/>
    </w:p>
    <w:p/>
    <w:p>
      <w:pPr>
        <w:snapToGrid w:val="0"/>
        <w:spacing w:line="360" w:lineRule="auto"/>
        <w:rPr>
          <w:rFonts w:ascii="宋体"/>
          <w:szCs w:val="21"/>
        </w:rPr>
      </w:pPr>
      <w:r>
        <w:rPr>
          <w:rFonts w:hint="eastAsia" w:ascii="宋体"/>
          <w:szCs w:val="21"/>
        </w:rPr>
        <w:t>供应商可以自行编制技术文件目录,编制内容可自拟。</w:t>
      </w:r>
    </w:p>
    <w:p>
      <w:r>
        <w:rPr>
          <w:b/>
          <w:sz w:val="28"/>
          <w:szCs w:val="28"/>
        </w:rPr>
        <w:br w:type="page"/>
      </w:r>
      <w:bookmarkStart w:id="155" w:name="_Toc303756453"/>
      <w:bookmarkStart w:id="156" w:name="_Toc341260003"/>
      <w:bookmarkStart w:id="157" w:name="_Toc515526268"/>
      <w:bookmarkStart w:id="158" w:name="_Toc359934639"/>
      <w:bookmarkStart w:id="159" w:name="_Toc305144124"/>
      <w:bookmarkStart w:id="160" w:name="_Toc377979045"/>
      <w:bookmarkStart w:id="161" w:name="_Toc409172372"/>
    </w:p>
    <w:bookmarkEnd w:id="155"/>
    <w:bookmarkEnd w:id="156"/>
    <w:bookmarkEnd w:id="157"/>
    <w:bookmarkEnd w:id="158"/>
    <w:bookmarkEnd w:id="159"/>
    <w:bookmarkEnd w:id="160"/>
    <w:bookmarkEnd w:id="161"/>
    <w:p>
      <w:pPr>
        <w:pStyle w:val="4"/>
        <w:spacing w:line="360" w:lineRule="auto"/>
        <w:jc w:val="center"/>
        <w:rPr>
          <w:rFonts w:ascii="宋体" w:hAnsi="宋体"/>
          <w:sz w:val="30"/>
          <w:szCs w:val="30"/>
        </w:rPr>
      </w:pPr>
      <w:bookmarkStart w:id="162" w:name="_Toc22905"/>
      <w:bookmarkStart w:id="163" w:name="_Toc303756459"/>
      <w:bookmarkStart w:id="164" w:name="_Toc59530177"/>
      <w:r>
        <w:rPr>
          <w:rFonts w:hint="eastAsia" w:ascii="宋体" w:hAnsi="宋体"/>
          <w:sz w:val="30"/>
          <w:szCs w:val="30"/>
        </w:rPr>
        <w:t>三、报价文件格式</w:t>
      </w:r>
      <w:bookmarkEnd w:id="162"/>
      <w:bookmarkEnd w:id="163"/>
      <w:bookmarkEnd w:id="164"/>
    </w:p>
    <w:p/>
    <w:p/>
    <w:p>
      <w:pPr>
        <w:pStyle w:val="11"/>
        <w:snapToGrid w:val="0"/>
        <w:spacing w:before="50" w:after="120"/>
        <w:ind w:firstLine="0"/>
        <w:jc w:val="center"/>
        <w:rPr>
          <w:b/>
          <w:sz w:val="28"/>
          <w:szCs w:val="28"/>
        </w:rPr>
      </w:pPr>
      <w:bookmarkStart w:id="165" w:name="_Toc497324172"/>
      <w:bookmarkStart w:id="166" w:name="_Toc498511438"/>
      <w:bookmarkStart w:id="167" w:name="_Toc498703402"/>
      <w:bookmarkStart w:id="168" w:name="_Toc497315835"/>
      <w:bookmarkStart w:id="169" w:name="_Toc497323839"/>
      <w:bookmarkStart w:id="170" w:name="_Toc496866331"/>
      <w:r>
        <w:rPr>
          <w:rFonts w:hint="eastAsia"/>
          <w:b/>
          <w:sz w:val="28"/>
          <w:szCs w:val="28"/>
        </w:rPr>
        <w:t>报价</w:t>
      </w:r>
      <w:bookmarkEnd w:id="165"/>
      <w:bookmarkEnd w:id="166"/>
      <w:bookmarkEnd w:id="167"/>
      <w:bookmarkEnd w:id="168"/>
      <w:bookmarkEnd w:id="169"/>
      <w:bookmarkEnd w:id="170"/>
      <w:r>
        <w:rPr>
          <w:rFonts w:hint="eastAsia"/>
          <w:b/>
          <w:sz w:val="28"/>
          <w:szCs w:val="28"/>
        </w:rPr>
        <w:t>一览表</w:t>
      </w:r>
    </w:p>
    <w:p>
      <w:pPr>
        <w:jc w:val="center"/>
        <w:rPr>
          <w:b/>
          <w:sz w:val="28"/>
          <w:szCs w:val="28"/>
        </w:rPr>
      </w:pP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2"/>
        <w:gridCol w:w="6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75" w:type="pct"/>
            <w:vAlign w:val="center"/>
          </w:tcPr>
          <w:p>
            <w:pPr>
              <w:jc w:val="center"/>
              <w:rPr>
                <w:rFonts w:ascii="宋体" w:hAnsi="宋体"/>
                <w:szCs w:val="21"/>
              </w:rPr>
            </w:pPr>
            <w:r>
              <w:rPr>
                <w:rFonts w:hint="eastAsia" w:ascii="宋体" w:hAnsi="宋体"/>
                <w:b/>
                <w:szCs w:val="21"/>
              </w:rPr>
              <w:t>项目名称</w:t>
            </w:r>
          </w:p>
        </w:tc>
        <w:tc>
          <w:tcPr>
            <w:tcW w:w="4025" w:type="pct"/>
          </w:tcPr>
          <w:p>
            <w:pP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75" w:type="pct"/>
            <w:vAlign w:val="center"/>
          </w:tcPr>
          <w:p>
            <w:pPr>
              <w:jc w:val="center"/>
              <w:rPr>
                <w:rFonts w:ascii="宋体" w:hAnsi="宋体"/>
                <w:szCs w:val="21"/>
              </w:rPr>
            </w:pPr>
            <w:r>
              <w:rPr>
                <w:rFonts w:hint="eastAsia" w:ascii="宋体" w:hAnsi="宋体"/>
                <w:b/>
                <w:szCs w:val="21"/>
              </w:rPr>
              <w:t>采购编号</w:t>
            </w:r>
          </w:p>
        </w:tc>
        <w:tc>
          <w:tcPr>
            <w:tcW w:w="4025" w:type="pct"/>
          </w:tcPr>
          <w:p>
            <w:pP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75" w:type="pct"/>
            <w:vAlign w:val="center"/>
          </w:tcPr>
          <w:p>
            <w:pPr>
              <w:jc w:val="center"/>
              <w:rPr>
                <w:rFonts w:ascii="宋体" w:hAnsi="宋体"/>
                <w:szCs w:val="21"/>
              </w:rPr>
            </w:pPr>
            <w:r>
              <w:rPr>
                <w:rFonts w:hint="eastAsia" w:ascii="宋体" w:hAnsi="宋体"/>
                <w:b/>
                <w:szCs w:val="21"/>
              </w:rPr>
              <w:t>采购人名称</w:t>
            </w:r>
          </w:p>
        </w:tc>
        <w:tc>
          <w:tcPr>
            <w:tcW w:w="4025" w:type="pct"/>
          </w:tcPr>
          <w:p>
            <w:pP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75" w:type="pct"/>
            <w:vAlign w:val="center"/>
          </w:tcPr>
          <w:p>
            <w:pPr>
              <w:jc w:val="center"/>
              <w:rPr>
                <w:rFonts w:ascii="宋体" w:hAnsi="宋体"/>
                <w:b/>
                <w:szCs w:val="21"/>
              </w:rPr>
            </w:pPr>
            <w:r>
              <w:rPr>
                <w:rFonts w:hint="eastAsia" w:ascii="宋体" w:hAnsi="宋体"/>
                <w:b/>
                <w:szCs w:val="21"/>
              </w:rPr>
              <w:t>供应商名称</w:t>
            </w:r>
          </w:p>
        </w:tc>
        <w:tc>
          <w:tcPr>
            <w:tcW w:w="4025" w:type="pct"/>
          </w:tcPr>
          <w:p>
            <w:pP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trPr>
        <w:tc>
          <w:tcPr>
            <w:tcW w:w="975" w:type="pct"/>
            <w:vAlign w:val="center"/>
          </w:tcPr>
          <w:p>
            <w:pPr>
              <w:jc w:val="center"/>
              <w:rPr>
                <w:rFonts w:ascii="宋体" w:hAnsi="宋体"/>
                <w:b/>
                <w:bCs/>
                <w:szCs w:val="21"/>
              </w:rPr>
            </w:pPr>
            <w:r>
              <w:rPr>
                <w:rFonts w:hint="eastAsia" w:ascii="宋体" w:hAnsi="宋体"/>
                <w:b/>
                <w:bCs/>
                <w:szCs w:val="21"/>
              </w:rPr>
              <w:t>报价</w:t>
            </w:r>
          </w:p>
        </w:tc>
        <w:tc>
          <w:tcPr>
            <w:tcW w:w="4025" w:type="pct"/>
            <w:vAlign w:val="center"/>
          </w:tcPr>
          <w:p>
            <w:pPr>
              <w:jc w:val="center"/>
              <w:rPr>
                <w:rFonts w:ascii="宋体" w:hAnsi="宋体"/>
                <w:szCs w:val="21"/>
                <w:u w:val="single"/>
              </w:rPr>
            </w:pPr>
            <w:r>
              <w:rPr>
                <w:rFonts w:hint="eastAsia" w:ascii="宋体" w:hAnsi="宋体"/>
                <w:b/>
                <w:bCs/>
                <w:szCs w:val="21"/>
              </w:rPr>
              <w:t>（小写）元/立方米（保留小数点后三位数字）（控制价：</w:t>
            </w:r>
            <w:r>
              <w:rPr>
                <w:rFonts w:ascii="宋体" w:hAnsi="宋体"/>
                <w:b/>
                <w:bCs/>
                <w:szCs w:val="21"/>
              </w:rPr>
              <w:t xml:space="preserve">     </w:t>
            </w:r>
            <w:r>
              <w:rPr>
                <w:rFonts w:hint="eastAsia" w:ascii="宋体" w:hAnsi="宋体"/>
                <w:b/>
                <w:bCs/>
                <w:szCs w:val="21"/>
              </w:rPr>
              <w:t>元/立方米）</w:t>
            </w:r>
          </w:p>
        </w:tc>
      </w:tr>
    </w:tbl>
    <w:p>
      <w:pPr>
        <w:rPr>
          <w:rFonts w:ascii="宋体" w:hAnsi="宋体" w:cs="宋体"/>
          <w:szCs w:val="21"/>
        </w:rPr>
      </w:pPr>
      <w:r>
        <w:rPr>
          <w:rFonts w:hint="eastAsia" w:ascii="宋体" w:hAnsi="宋体" w:cs="宋体"/>
          <w:szCs w:val="21"/>
        </w:rPr>
        <w:t>注：</w:t>
      </w:r>
    </w:p>
    <w:p>
      <w:pPr>
        <w:spacing w:line="360" w:lineRule="auto"/>
        <w:ind w:firstLine="422" w:firstLineChars="200"/>
        <w:rPr>
          <w:rFonts w:ascii="宋体" w:hAnsi="宋体"/>
          <w:b/>
          <w:szCs w:val="21"/>
        </w:rPr>
      </w:pPr>
      <w:r>
        <w:rPr>
          <w:rFonts w:hint="eastAsia" w:ascii="宋体" w:hAnsi="宋体"/>
          <w:b/>
          <w:szCs w:val="21"/>
        </w:rPr>
        <w:t>1、▲评审时如发现供应商的报价明显低于其他通过符合性审查供应商的报价，有可能影响产品质量或者不能诚信履约的，应当要求其在磋商评审现场合理的时间内提供书面说明，必要时提交相关证明材料；供应商不能证明其报价合理性的，磋商小组应当将其作为无效标处理，同时采购组织机构按规定将该情况报主管部门，并视情将其列入不良供应商名单。</w:t>
      </w:r>
    </w:p>
    <w:p>
      <w:pPr>
        <w:spacing w:line="360" w:lineRule="auto"/>
        <w:ind w:firstLine="422" w:firstLineChars="200"/>
        <w:rPr>
          <w:rFonts w:ascii="宋体" w:hAnsi="宋体"/>
          <w:b/>
          <w:szCs w:val="21"/>
        </w:rPr>
      </w:pPr>
      <w:r>
        <w:rPr>
          <w:rFonts w:hint="eastAsia" w:ascii="宋体" w:hAnsi="宋体"/>
          <w:b/>
          <w:szCs w:val="21"/>
        </w:rPr>
        <w:t>2、报价一经涂改，应在</w:t>
      </w:r>
      <w:r>
        <w:rPr>
          <w:rFonts w:hint="eastAsia" w:ascii="宋体" w:hAnsi="宋体" w:cs="宋体"/>
          <w:b/>
          <w:szCs w:val="21"/>
        </w:rPr>
        <w:t>涂改</w:t>
      </w:r>
      <w:r>
        <w:rPr>
          <w:rFonts w:hint="eastAsia" w:ascii="宋体" w:hAnsi="宋体"/>
          <w:b/>
          <w:szCs w:val="21"/>
        </w:rPr>
        <w:t>处加盖单位公章或者由法定代表人（负责人）或授权委托人签字或盖章，否则其磋商作无效标处理。</w:t>
      </w:r>
    </w:p>
    <w:p>
      <w:pPr>
        <w:spacing w:line="360" w:lineRule="auto"/>
        <w:ind w:firstLine="422" w:firstLineChars="200"/>
        <w:rPr>
          <w:rFonts w:ascii="宋体" w:hAnsi="宋体"/>
          <w:b/>
          <w:szCs w:val="21"/>
        </w:rPr>
      </w:pPr>
      <w:r>
        <w:rPr>
          <w:rFonts w:hint="eastAsia" w:ascii="宋体" w:hAnsi="宋体"/>
          <w:b/>
          <w:szCs w:val="21"/>
        </w:rPr>
        <w:t>3、不接受有选择性的报价，不提供该报价表的报价文件视为未实质性响应采购文件。</w:t>
      </w:r>
    </w:p>
    <w:p>
      <w:pPr>
        <w:spacing w:line="360" w:lineRule="auto"/>
        <w:ind w:firstLine="422" w:firstLineChars="200"/>
        <w:rPr>
          <w:rFonts w:ascii="宋体" w:hAnsi="宋体" w:cs="宋体"/>
          <w:kern w:val="0"/>
          <w:szCs w:val="21"/>
        </w:rPr>
      </w:pPr>
      <w:r>
        <w:rPr>
          <w:rFonts w:hint="eastAsia" w:ascii="宋体" w:hAnsi="宋体"/>
          <w:b/>
          <w:szCs w:val="21"/>
        </w:rPr>
        <w:t>4、小微企业、监狱企业、残疾人福利性单位依法享受6%价格评审优惠、供应商满足相应政策条件的，请填写附件表格，不适用的不需要提供。</w:t>
      </w:r>
    </w:p>
    <w:p>
      <w:pPr>
        <w:widowControl/>
        <w:spacing w:line="360" w:lineRule="auto"/>
        <w:ind w:firstLine="420"/>
      </w:pPr>
    </w:p>
    <w:p>
      <w:pPr>
        <w:pStyle w:val="21"/>
        <w:spacing w:before="120" w:after="120" w:line="360" w:lineRule="auto"/>
        <w:ind w:firstLine="1500" w:firstLineChars="600"/>
        <w:rPr>
          <w:rFonts w:hAnsi="宋体" w:cs="宋体"/>
          <w:spacing w:val="20"/>
          <w:sz w:val="21"/>
          <w:szCs w:val="21"/>
        </w:rPr>
      </w:pPr>
    </w:p>
    <w:p>
      <w:pPr>
        <w:pStyle w:val="21"/>
        <w:spacing w:before="120" w:after="120" w:line="360" w:lineRule="auto"/>
        <w:ind w:firstLine="1500" w:firstLineChars="600"/>
        <w:rPr>
          <w:rFonts w:hAnsi="宋体" w:cs="宋体"/>
          <w:spacing w:val="20"/>
          <w:sz w:val="21"/>
          <w:szCs w:val="21"/>
        </w:rPr>
      </w:pPr>
      <w:r>
        <w:rPr>
          <w:rFonts w:hint="eastAsia" w:hAnsi="宋体" w:cs="宋体"/>
          <w:spacing w:val="20"/>
          <w:sz w:val="21"/>
          <w:szCs w:val="21"/>
        </w:rPr>
        <w:t>法定代表人（或授权委托人）签字或盖章：</w:t>
      </w:r>
    </w:p>
    <w:p>
      <w:pPr>
        <w:pStyle w:val="21"/>
        <w:spacing w:before="120" w:after="120" w:line="360" w:lineRule="auto"/>
        <w:ind w:firstLine="4750" w:firstLineChars="1900"/>
        <w:rPr>
          <w:rFonts w:hAnsi="宋体" w:cs="宋体"/>
          <w:spacing w:val="20"/>
          <w:sz w:val="21"/>
          <w:szCs w:val="21"/>
          <w:u w:val="single"/>
        </w:rPr>
      </w:pPr>
      <w:r>
        <w:rPr>
          <w:rFonts w:hint="eastAsia" w:hAnsi="宋体" w:cs="宋体"/>
          <w:spacing w:val="20"/>
          <w:sz w:val="21"/>
          <w:szCs w:val="21"/>
        </w:rPr>
        <w:t>供应商盖章：</w:t>
      </w:r>
    </w:p>
    <w:p>
      <w:pPr>
        <w:spacing w:line="360" w:lineRule="auto"/>
        <w:ind w:firstLine="4750" w:firstLineChars="1900"/>
        <w:rPr>
          <w:rFonts w:ascii="宋体" w:hAnsi="宋体" w:cs="宋体"/>
          <w:spacing w:val="20"/>
          <w:szCs w:val="21"/>
        </w:rPr>
      </w:pPr>
      <w:r>
        <w:rPr>
          <w:rFonts w:hint="eastAsia" w:ascii="宋体" w:hAnsi="宋体" w:cs="宋体"/>
          <w:spacing w:val="20"/>
          <w:szCs w:val="21"/>
        </w:rPr>
        <w:t>日     期：</w:t>
      </w:r>
    </w:p>
    <w:p>
      <w:pPr>
        <w:pStyle w:val="2"/>
      </w:pPr>
      <w:r>
        <w:br w:type="page"/>
      </w:r>
    </w:p>
    <w:p>
      <w:pPr>
        <w:pStyle w:val="3"/>
        <w:rPr>
          <w:rFonts w:ascii="宋体" w:hAnsi="宋体"/>
          <w:sz w:val="28"/>
          <w:szCs w:val="28"/>
        </w:rPr>
      </w:pPr>
      <w:bookmarkStart w:id="171" w:name="_Toc303756469"/>
      <w:bookmarkStart w:id="172" w:name="_Toc2053"/>
      <w:bookmarkStart w:id="173" w:name="_Toc59530178"/>
      <w:r>
        <w:rPr>
          <w:rFonts w:hint="eastAsia"/>
        </w:rPr>
        <w:t>第六章磋商评审办法及评分标准</w:t>
      </w:r>
      <w:bookmarkEnd w:id="171"/>
      <w:bookmarkEnd w:id="172"/>
      <w:bookmarkEnd w:id="173"/>
    </w:p>
    <w:p>
      <w:pPr>
        <w:widowControl/>
        <w:spacing w:line="360" w:lineRule="auto"/>
        <w:ind w:firstLine="420"/>
        <w:rPr>
          <w:rFonts w:ascii="宋体" w:hAnsi="宋体" w:cs="宋体"/>
          <w:kern w:val="0"/>
          <w:szCs w:val="21"/>
        </w:rPr>
      </w:pPr>
      <w:r>
        <w:rPr>
          <w:rFonts w:hint="eastAsia" w:ascii="宋体" w:hAnsi="宋体" w:cs="宋体"/>
          <w:kern w:val="0"/>
          <w:szCs w:val="21"/>
        </w:rPr>
        <w:t>为公正、公平、科学地选择成交供应商，根据《中华人民共和国政府采购法》等有关法律法规的规定，并结合本项目的实际，制定本办法。</w:t>
      </w:r>
    </w:p>
    <w:p>
      <w:pPr>
        <w:pStyle w:val="4"/>
      </w:pPr>
      <w:bookmarkStart w:id="174" w:name="_Toc59530179"/>
      <w:r>
        <w:rPr>
          <w:rFonts w:hint="eastAsia"/>
        </w:rPr>
        <w:t>一、总则</w:t>
      </w:r>
      <w:bookmarkEnd w:id="174"/>
    </w:p>
    <w:p>
      <w:pPr>
        <w:widowControl/>
        <w:spacing w:line="360" w:lineRule="auto"/>
        <w:ind w:firstLine="410"/>
        <w:rPr>
          <w:rFonts w:ascii="宋体" w:hAnsi="宋体" w:cs="宋体"/>
          <w:kern w:val="0"/>
          <w:szCs w:val="21"/>
        </w:rPr>
      </w:pPr>
      <w:r>
        <w:rPr>
          <w:rFonts w:hint="eastAsia" w:ascii="宋体" w:hAnsi="宋体" w:cs="宋体"/>
          <w:kern w:val="0"/>
          <w:szCs w:val="21"/>
        </w:rPr>
        <w:t>本次磋商评审采用综合评分法，</w:t>
      </w:r>
      <w:r>
        <w:rPr>
          <w:rFonts w:hint="eastAsia" w:ascii="宋体" w:hAnsi="宋体" w:cs="宋体"/>
          <w:b/>
          <w:bCs/>
          <w:kern w:val="0"/>
          <w:szCs w:val="21"/>
        </w:rPr>
        <w:t>总分为100分，其中价格分</w:t>
      </w:r>
      <w:r>
        <w:rPr>
          <w:rFonts w:ascii="宋体" w:hAnsi="宋体" w:cs="宋体"/>
          <w:b/>
          <w:bCs/>
          <w:kern w:val="0"/>
          <w:szCs w:val="21"/>
        </w:rPr>
        <w:t>30</w:t>
      </w:r>
      <w:r>
        <w:rPr>
          <w:rFonts w:hint="eastAsia" w:ascii="宋体" w:hAnsi="宋体" w:cs="宋体"/>
          <w:b/>
          <w:bCs/>
          <w:kern w:val="0"/>
          <w:szCs w:val="21"/>
        </w:rPr>
        <w:t>分、资信分</w:t>
      </w:r>
      <w:r>
        <w:rPr>
          <w:rFonts w:ascii="宋体" w:hAnsi="宋体" w:cs="宋体"/>
          <w:b/>
          <w:bCs/>
          <w:kern w:val="0"/>
          <w:szCs w:val="21"/>
        </w:rPr>
        <w:t>20</w:t>
      </w:r>
      <w:r>
        <w:rPr>
          <w:rFonts w:hint="eastAsia" w:ascii="宋体" w:hAnsi="宋体" w:cs="宋体"/>
          <w:b/>
          <w:bCs/>
          <w:kern w:val="0"/>
          <w:szCs w:val="21"/>
        </w:rPr>
        <w:t>分、技术分50</w:t>
      </w:r>
      <w:r>
        <w:rPr>
          <w:rFonts w:hint="eastAsia" w:ascii="宋体" w:hAnsi="宋体" w:cs="宋体"/>
          <w:kern w:val="0"/>
          <w:szCs w:val="21"/>
        </w:rPr>
        <w:t>分。合格供应商的磋商评审得分为各项目汇总得分，成交候选资格按磋商评审总得分由高到低顺序排列，得分相同的，按最后一轮磋商报价由低到高顺序排列；得分相同且磋商报价相同的，</w:t>
      </w:r>
      <w:r>
        <w:rPr>
          <w:rFonts w:ascii="宋体" w:hAnsi="宋体" w:cs="宋体"/>
          <w:kern w:val="0"/>
          <w:szCs w:val="21"/>
        </w:rPr>
        <w:t>按资信分排序</w:t>
      </w:r>
      <w:r>
        <w:rPr>
          <w:rFonts w:hint="eastAsia" w:ascii="宋体" w:hAnsi="宋体" w:cs="宋体"/>
          <w:kern w:val="0"/>
          <w:szCs w:val="21"/>
        </w:rPr>
        <w:t>。</w:t>
      </w:r>
    </w:p>
    <w:p>
      <w:pPr>
        <w:widowControl/>
        <w:spacing w:line="360" w:lineRule="auto"/>
        <w:ind w:firstLine="420"/>
        <w:rPr>
          <w:rFonts w:ascii="宋体" w:hAnsi="宋体" w:cs="宋体"/>
          <w:b/>
          <w:bCs/>
          <w:kern w:val="0"/>
          <w:szCs w:val="21"/>
        </w:rPr>
      </w:pPr>
      <w:r>
        <w:rPr>
          <w:rFonts w:hint="eastAsia" w:ascii="宋体" w:hAnsi="宋体" w:cs="宋体"/>
          <w:b/>
          <w:bCs/>
          <w:kern w:val="0"/>
          <w:szCs w:val="21"/>
        </w:rPr>
        <w:t>磋商评审综合得分=资信分+技术分+价格分</w:t>
      </w:r>
    </w:p>
    <w:p>
      <w:pPr>
        <w:pStyle w:val="4"/>
      </w:pPr>
      <w:bookmarkStart w:id="175" w:name="_Toc59530180"/>
      <w:r>
        <w:rPr>
          <w:rFonts w:hint="eastAsia"/>
        </w:rPr>
        <w:t>二、磋商评审内容及标准</w:t>
      </w:r>
      <w:bookmarkEnd w:id="175"/>
    </w:p>
    <w:p>
      <w:pPr>
        <w:adjustRightInd w:val="0"/>
        <w:snapToGrid w:val="0"/>
        <w:spacing w:line="360" w:lineRule="auto"/>
        <w:rPr>
          <w:rFonts w:ascii="宋体" w:hAnsi="宋体"/>
          <w:bCs/>
          <w:szCs w:val="21"/>
        </w:rPr>
      </w:pPr>
      <w:r>
        <w:rPr>
          <w:rFonts w:hint="eastAsia" w:ascii="宋体" w:hAnsi="宋体"/>
          <w:bCs/>
          <w:szCs w:val="21"/>
        </w:rPr>
        <w:t>（一）价格分（</w:t>
      </w:r>
      <w:r>
        <w:rPr>
          <w:rFonts w:ascii="宋体" w:hAnsi="宋体"/>
          <w:bCs/>
          <w:szCs w:val="21"/>
        </w:rPr>
        <w:t>30</w:t>
      </w:r>
      <w:r>
        <w:rPr>
          <w:rFonts w:hint="eastAsia" w:ascii="宋体" w:hAnsi="宋体"/>
          <w:bCs/>
          <w:szCs w:val="21"/>
        </w:rPr>
        <w:t>分）</w:t>
      </w:r>
    </w:p>
    <w:tbl>
      <w:tblPr>
        <w:tblStyle w:val="41"/>
        <w:tblW w:w="5000" w:type="pct"/>
        <w:jc w:val="center"/>
        <w:tblLayout w:type="autofit"/>
        <w:tblCellMar>
          <w:top w:w="0" w:type="dxa"/>
          <w:left w:w="108" w:type="dxa"/>
          <w:bottom w:w="0" w:type="dxa"/>
          <w:right w:w="108" w:type="dxa"/>
        </w:tblCellMar>
      </w:tblPr>
      <w:tblGrid>
        <w:gridCol w:w="1420"/>
        <w:gridCol w:w="6916"/>
      </w:tblGrid>
      <w:tr>
        <w:tblPrEx>
          <w:tblCellMar>
            <w:top w:w="0" w:type="dxa"/>
            <w:left w:w="108" w:type="dxa"/>
            <w:bottom w:w="0" w:type="dxa"/>
            <w:right w:w="108" w:type="dxa"/>
          </w:tblCellMar>
        </w:tblPrEx>
        <w:trPr>
          <w:trHeight w:val="434" w:hRule="atLeast"/>
          <w:jc w:val="center"/>
        </w:trPr>
        <w:tc>
          <w:tcPr>
            <w:tcW w:w="852" w:type="pc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360" w:lineRule="auto"/>
              <w:jc w:val="center"/>
              <w:rPr>
                <w:rFonts w:ascii="宋体" w:hAnsi="宋体"/>
                <w:szCs w:val="21"/>
              </w:rPr>
            </w:pPr>
            <w:r>
              <w:rPr>
                <w:rFonts w:hint="eastAsia" w:ascii="宋体" w:hAnsi="宋体"/>
                <w:szCs w:val="21"/>
              </w:rPr>
              <w:t>评审内容</w:t>
            </w:r>
          </w:p>
        </w:tc>
        <w:tc>
          <w:tcPr>
            <w:tcW w:w="4148" w:type="pc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360" w:lineRule="auto"/>
              <w:jc w:val="center"/>
              <w:rPr>
                <w:rFonts w:ascii="宋体" w:hAnsi="宋体"/>
                <w:szCs w:val="21"/>
              </w:rPr>
            </w:pPr>
            <w:r>
              <w:rPr>
                <w:rFonts w:hint="eastAsia" w:ascii="宋体" w:hAnsi="宋体"/>
                <w:szCs w:val="21"/>
              </w:rPr>
              <w:t>评分标准</w:t>
            </w:r>
          </w:p>
        </w:tc>
      </w:tr>
      <w:tr>
        <w:tblPrEx>
          <w:tblCellMar>
            <w:top w:w="0" w:type="dxa"/>
            <w:left w:w="108" w:type="dxa"/>
            <w:bottom w:w="0" w:type="dxa"/>
            <w:right w:w="108" w:type="dxa"/>
          </w:tblCellMar>
        </w:tblPrEx>
        <w:trPr>
          <w:trHeight w:val="1427" w:hRule="atLeast"/>
          <w:jc w:val="center"/>
        </w:trPr>
        <w:tc>
          <w:tcPr>
            <w:tcW w:w="852" w:type="pc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360" w:lineRule="auto"/>
              <w:jc w:val="left"/>
              <w:rPr>
                <w:rFonts w:ascii="宋体" w:hAnsi="宋体"/>
                <w:szCs w:val="21"/>
              </w:rPr>
            </w:pPr>
            <w:r>
              <w:rPr>
                <w:rFonts w:hint="eastAsia" w:ascii="宋体" w:hAnsi="宋体"/>
                <w:szCs w:val="21"/>
              </w:rPr>
              <w:t>污水处理服务费磋商报价（</w:t>
            </w:r>
            <w:r>
              <w:rPr>
                <w:rFonts w:ascii="宋体" w:hAnsi="宋体"/>
                <w:szCs w:val="21"/>
              </w:rPr>
              <w:t>30</w:t>
            </w:r>
            <w:r>
              <w:rPr>
                <w:rFonts w:hint="eastAsia" w:ascii="宋体" w:hAnsi="宋体"/>
                <w:szCs w:val="21"/>
              </w:rPr>
              <w:t>分）</w:t>
            </w:r>
          </w:p>
        </w:tc>
        <w:tc>
          <w:tcPr>
            <w:tcW w:w="4148" w:type="pc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spacing w:line="360" w:lineRule="auto"/>
              <w:jc w:val="left"/>
              <w:rPr>
                <w:rFonts w:ascii="宋体" w:hAnsi="宋体"/>
                <w:szCs w:val="21"/>
              </w:rPr>
            </w:pPr>
            <w:r>
              <w:rPr>
                <w:rFonts w:hint="eastAsia" w:ascii="宋体" w:hAnsi="宋体"/>
                <w:szCs w:val="21"/>
              </w:rPr>
              <w:t>污水处理服务费报价为X，价格分采用低价优先法计算，即满足采购文件要求且磋商价格最低的磋商报价（污水处理服务费最低，记为X</w:t>
            </w:r>
            <w:r>
              <w:rPr>
                <w:rFonts w:hint="eastAsia" w:ascii="宋体" w:hAnsi="宋体"/>
                <w:szCs w:val="21"/>
                <w:vertAlign w:val="subscript"/>
              </w:rPr>
              <w:t>min</w:t>
            </w:r>
            <w:r>
              <w:rPr>
                <w:rFonts w:hint="eastAsia" w:ascii="宋体" w:hAnsi="宋体"/>
                <w:szCs w:val="21"/>
              </w:rPr>
              <w:t>）为评标基准价，其价格分为满分。</w:t>
            </w:r>
          </w:p>
          <w:p>
            <w:pPr>
              <w:snapToGrid w:val="0"/>
              <w:spacing w:line="360" w:lineRule="auto"/>
              <w:jc w:val="left"/>
              <w:rPr>
                <w:rFonts w:ascii="宋体" w:hAnsi="宋体"/>
                <w:szCs w:val="21"/>
              </w:rPr>
            </w:pPr>
            <w:r>
              <w:rPr>
                <w:rFonts w:hint="eastAsia" w:ascii="宋体" w:hAnsi="宋体"/>
                <w:szCs w:val="21"/>
              </w:rPr>
              <w:t>其他供应商的价格分统一按照下列公式计算：</w:t>
            </w:r>
          </w:p>
          <w:p>
            <w:pPr>
              <w:snapToGrid w:val="0"/>
              <w:spacing w:line="360" w:lineRule="auto"/>
              <w:jc w:val="left"/>
              <w:rPr>
                <w:rFonts w:ascii="宋体" w:hAnsi="宋体"/>
                <w:szCs w:val="21"/>
              </w:rPr>
            </w:pPr>
            <w:r>
              <w:rPr>
                <w:rFonts w:hint="eastAsia" w:ascii="宋体" w:hAnsi="宋体"/>
                <w:szCs w:val="21"/>
              </w:rPr>
              <w:t>磋商报价得分=(X</w:t>
            </w:r>
            <w:r>
              <w:rPr>
                <w:rFonts w:hint="eastAsia" w:ascii="宋体" w:hAnsi="宋体"/>
                <w:szCs w:val="21"/>
                <w:vertAlign w:val="subscript"/>
              </w:rPr>
              <w:t>min</w:t>
            </w:r>
            <w:r>
              <w:rPr>
                <w:rFonts w:hint="eastAsia" w:ascii="宋体" w:hAnsi="宋体"/>
                <w:szCs w:val="21"/>
              </w:rPr>
              <w:t>／X)×</w:t>
            </w:r>
            <w:r>
              <w:rPr>
                <w:rFonts w:ascii="宋体" w:hAnsi="宋体"/>
                <w:szCs w:val="21"/>
              </w:rPr>
              <w:t>30</w:t>
            </w:r>
          </w:p>
          <w:p>
            <w:pPr>
              <w:snapToGrid w:val="0"/>
              <w:spacing w:line="360" w:lineRule="auto"/>
              <w:jc w:val="left"/>
              <w:rPr>
                <w:rFonts w:ascii="宋体" w:hAnsi="宋体"/>
                <w:szCs w:val="21"/>
              </w:rPr>
            </w:pPr>
            <w:r>
              <w:rPr>
                <w:rFonts w:hint="eastAsia" w:ascii="宋体" w:hAnsi="宋体"/>
                <w:szCs w:val="21"/>
              </w:rPr>
              <w:t>注：（1）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磋商处理。</w:t>
            </w:r>
          </w:p>
          <w:p>
            <w:pPr>
              <w:pStyle w:val="40"/>
              <w:ind w:left="0" w:leftChars="0" w:firstLine="0" w:firstLineChars="0"/>
              <w:rPr>
                <w:rFonts w:ascii="宋体" w:hAnsi="宋体"/>
                <w:szCs w:val="21"/>
              </w:rPr>
            </w:pPr>
            <w:r>
              <w:rPr>
                <w:rFonts w:hint="eastAsia" w:ascii="宋体" w:hAnsi="宋体"/>
                <w:szCs w:val="21"/>
              </w:rPr>
              <w:t>（2）报价保留小数点后三位；报价得分保留小数点后两位，第三位四舍五入。</w:t>
            </w:r>
          </w:p>
        </w:tc>
      </w:tr>
    </w:tbl>
    <w:p>
      <w:pPr>
        <w:widowControl/>
        <w:spacing w:line="360" w:lineRule="auto"/>
        <w:ind w:firstLine="410"/>
        <w:rPr>
          <w:rFonts w:ascii="宋体" w:hAnsi="宋体"/>
          <w:bCs/>
          <w:szCs w:val="21"/>
        </w:rPr>
      </w:pPr>
      <w:bookmarkStart w:id="176" w:name="_Toc24660857"/>
      <w:r>
        <w:rPr>
          <w:rFonts w:hint="eastAsia" w:ascii="宋体" w:hAnsi="宋体"/>
          <w:bCs/>
          <w:szCs w:val="21"/>
        </w:rPr>
        <w:t>依据《政府采购促进中小企业发展暂行办法》（财库〔2011〕181号）文件、《财政部、司法部关于政府采购支持监狱企业发展有关问题的通知》（财库〔2014〕68号）文件及《财政部、民政部、中国残疾人联合会关于促进残疾人就业政府采购政策的通知》（财库〔2017〕 141号）的规定，对小型和微型企业、监狱企业、残疾人福利性单位生产的产品价格给予6%～10%的扣除，用扣除后的价格参与评审。本项目的扣除比例为6%。小型和微型企业是指投标文件中提供了中小企业声明函且符合《政府采购促进中小企业发展暂行办法》（财库〔2011〕181号）规定的要求并符合《工业和信息化部、国家统计局、国家发展和改革委员会、财政部关于印发中小企业划型标准规定的通知》（工信部联企业〔2011〕300号）规定的小、微企业的划型标准规定。残疾人福利性单位是指投标文件中提供了残疾人福利性单位声明函且符合《财政部、民政部、中国残疾人联合会关于促进残疾人就业政府采购政策的通知》（财库〔2017〕141号）规定的企业。监狱企业是指投标文件中提供了由省级以上监狱管理局、戒毒管理局（含新疆生产建设兵团）出具的属于监狱企业的证明文件的企业。</w:t>
      </w:r>
    </w:p>
    <w:p>
      <w:pPr>
        <w:widowControl/>
        <w:spacing w:line="360" w:lineRule="auto"/>
        <w:ind w:firstLine="410"/>
        <w:rPr>
          <w:rFonts w:ascii="宋体" w:hAnsi="宋体"/>
          <w:bCs/>
          <w:szCs w:val="21"/>
        </w:rPr>
      </w:pPr>
      <w:r>
        <w:rPr>
          <w:rFonts w:hint="eastAsia" w:ascii="宋体" w:hAnsi="宋体"/>
          <w:bCs/>
          <w:szCs w:val="21"/>
        </w:rPr>
        <w:t>小微企业的评审价格=小微企业的投标报价-小型、微型企业生产的产品金额合计×6%</w:t>
      </w:r>
    </w:p>
    <w:p>
      <w:pPr>
        <w:adjustRightInd w:val="0"/>
        <w:snapToGrid w:val="0"/>
        <w:spacing w:line="360" w:lineRule="auto"/>
        <w:rPr>
          <w:rFonts w:ascii="宋体" w:hAnsi="宋体"/>
          <w:bCs/>
          <w:szCs w:val="21"/>
        </w:rPr>
      </w:pPr>
      <w:r>
        <w:rPr>
          <w:rFonts w:hint="eastAsia" w:ascii="宋体" w:hAnsi="宋体"/>
          <w:bCs/>
          <w:szCs w:val="21"/>
        </w:rPr>
        <w:t>（二）资信分（</w:t>
      </w:r>
      <w:r>
        <w:rPr>
          <w:rFonts w:ascii="宋体" w:hAnsi="宋体"/>
          <w:bCs/>
          <w:szCs w:val="21"/>
        </w:rPr>
        <w:t>20</w:t>
      </w:r>
      <w:r>
        <w:rPr>
          <w:rFonts w:hint="eastAsia" w:ascii="宋体" w:hAnsi="宋体"/>
          <w:bCs/>
          <w:szCs w:val="21"/>
        </w:rPr>
        <w:t>分）</w:t>
      </w:r>
      <w:bookmarkEnd w:id="176"/>
    </w:p>
    <w:tbl>
      <w:tblPr>
        <w:tblStyle w:val="41"/>
        <w:tblW w:w="5000"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
        <w:gridCol w:w="1587"/>
        <w:gridCol w:w="6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62" w:type="pct"/>
            <w:vAlign w:val="center"/>
          </w:tcPr>
          <w:p>
            <w:pPr>
              <w:adjustRightInd w:val="0"/>
              <w:snapToGrid w:val="0"/>
              <w:jc w:val="center"/>
              <w:rPr>
                <w:rFonts w:ascii="宋体" w:hAnsi="宋体"/>
                <w:szCs w:val="21"/>
              </w:rPr>
            </w:pPr>
            <w:r>
              <w:rPr>
                <w:rFonts w:hint="eastAsia" w:ascii="宋体" w:hAnsi="宋体"/>
                <w:szCs w:val="21"/>
              </w:rPr>
              <w:t>序号</w:t>
            </w:r>
          </w:p>
        </w:tc>
        <w:tc>
          <w:tcPr>
            <w:tcW w:w="931" w:type="pct"/>
            <w:vAlign w:val="center"/>
          </w:tcPr>
          <w:p>
            <w:pPr>
              <w:adjustRightInd w:val="0"/>
              <w:snapToGrid w:val="0"/>
              <w:jc w:val="center"/>
              <w:rPr>
                <w:rFonts w:ascii="宋体" w:hAnsi="宋体"/>
                <w:szCs w:val="21"/>
              </w:rPr>
            </w:pPr>
            <w:r>
              <w:rPr>
                <w:rFonts w:hint="eastAsia" w:ascii="宋体" w:hAnsi="宋体"/>
                <w:szCs w:val="21"/>
              </w:rPr>
              <w:t>评审内容</w:t>
            </w:r>
          </w:p>
        </w:tc>
        <w:tc>
          <w:tcPr>
            <w:tcW w:w="3807" w:type="pct"/>
            <w:vAlign w:val="center"/>
          </w:tcPr>
          <w:p>
            <w:pPr>
              <w:adjustRightInd w:val="0"/>
              <w:snapToGrid w:val="0"/>
              <w:jc w:val="center"/>
              <w:rPr>
                <w:rFonts w:ascii="宋体" w:hAnsi="宋体"/>
                <w:szCs w:val="21"/>
              </w:rPr>
            </w:pPr>
            <w:r>
              <w:rPr>
                <w:rFonts w:hint="eastAsia" w:ascii="宋体" w:hAnsi="宋体"/>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62" w:type="pct"/>
            <w:vAlign w:val="center"/>
          </w:tcPr>
          <w:p>
            <w:pPr>
              <w:adjustRightInd w:val="0"/>
              <w:snapToGrid w:val="0"/>
              <w:jc w:val="center"/>
              <w:rPr>
                <w:rFonts w:ascii="宋体" w:hAnsi="宋体"/>
                <w:szCs w:val="21"/>
              </w:rPr>
            </w:pPr>
            <w:r>
              <w:rPr>
                <w:rFonts w:hint="eastAsia" w:ascii="宋体" w:hAnsi="宋体"/>
                <w:szCs w:val="21"/>
              </w:rPr>
              <w:t>1</w:t>
            </w:r>
          </w:p>
        </w:tc>
        <w:tc>
          <w:tcPr>
            <w:tcW w:w="931" w:type="pct"/>
            <w:vAlign w:val="center"/>
          </w:tcPr>
          <w:p>
            <w:pPr>
              <w:adjustRightInd w:val="0"/>
              <w:snapToGrid w:val="0"/>
              <w:jc w:val="center"/>
              <w:rPr>
                <w:rFonts w:ascii="宋体" w:hAnsi="宋体"/>
                <w:szCs w:val="21"/>
              </w:rPr>
            </w:pPr>
            <w:r>
              <w:rPr>
                <w:rFonts w:hint="eastAsia" w:ascii="宋体" w:hAnsi="宋体"/>
                <w:szCs w:val="21"/>
              </w:rPr>
              <w:t>资金实力</w:t>
            </w:r>
          </w:p>
          <w:p>
            <w:pPr>
              <w:adjustRightInd w:val="0"/>
              <w:snapToGrid w:val="0"/>
              <w:jc w:val="center"/>
              <w:rPr>
                <w:rFonts w:ascii="宋体" w:hAnsi="宋体"/>
                <w:szCs w:val="21"/>
              </w:rPr>
            </w:pPr>
            <w:r>
              <w:rPr>
                <w:rFonts w:hint="eastAsia" w:ascii="宋体" w:hAnsi="宋体"/>
                <w:szCs w:val="21"/>
              </w:rPr>
              <w:t>（6分）</w:t>
            </w:r>
          </w:p>
        </w:tc>
        <w:tc>
          <w:tcPr>
            <w:tcW w:w="3807" w:type="pct"/>
            <w:vAlign w:val="center"/>
          </w:tcPr>
          <w:p>
            <w:pPr>
              <w:adjustRightInd w:val="0"/>
              <w:snapToGrid w:val="0"/>
              <w:jc w:val="left"/>
              <w:rPr>
                <w:rFonts w:ascii="宋体" w:hAnsi="宋体"/>
                <w:szCs w:val="21"/>
              </w:rPr>
            </w:pPr>
            <w:r>
              <w:rPr>
                <w:rFonts w:hint="eastAsia" w:ascii="宋体" w:hAnsi="宋体"/>
                <w:szCs w:val="21"/>
              </w:rPr>
              <w:t>1、本项目采购公告发布日之前连续15日，供应商的基本存款账户日存款余额最低值不低于8</w:t>
            </w:r>
            <w:r>
              <w:rPr>
                <w:rFonts w:ascii="宋体" w:hAnsi="宋体"/>
                <w:szCs w:val="21"/>
              </w:rPr>
              <w:t>000</w:t>
            </w:r>
            <w:r>
              <w:rPr>
                <w:rFonts w:hint="eastAsia" w:ascii="宋体" w:hAnsi="宋体"/>
                <w:szCs w:val="21"/>
              </w:rPr>
              <w:t>万元人民币（或等值外币）的，得6分；</w:t>
            </w:r>
          </w:p>
          <w:p>
            <w:pPr>
              <w:adjustRightInd w:val="0"/>
              <w:snapToGrid w:val="0"/>
              <w:jc w:val="left"/>
              <w:rPr>
                <w:rFonts w:ascii="宋体" w:hAnsi="宋体"/>
                <w:szCs w:val="21"/>
              </w:rPr>
            </w:pPr>
            <w:r>
              <w:rPr>
                <w:rFonts w:ascii="宋体" w:hAnsi="宋体"/>
                <w:szCs w:val="21"/>
              </w:rPr>
              <w:t>2</w:t>
            </w:r>
            <w:r>
              <w:rPr>
                <w:rFonts w:hint="eastAsia" w:ascii="宋体" w:hAnsi="宋体"/>
                <w:szCs w:val="21"/>
              </w:rPr>
              <w:t>、供应商的基本存款账户日存款余额最低值在8</w:t>
            </w:r>
            <w:r>
              <w:rPr>
                <w:rFonts w:ascii="宋体" w:hAnsi="宋体"/>
                <w:szCs w:val="21"/>
              </w:rPr>
              <w:t>000</w:t>
            </w:r>
            <w:r>
              <w:rPr>
                <w:rFonts w:hint="eastAsia" w:ascii="宋体" w:hAnsi="宋体"/>
                <w:szCs w:val="21"/>
              </w:rPr>
              <w:t>万元人民币（或等值外币）的基础上，每降低1</w:t>
            </w:r>
            <w:r>
              <w:rPr>
                <w:rFonts w:ascii="宋体" w:hAnsi="宋体"/>
                <w:szCs w:val="21"/>
              </w:rPr>
              <w:t>000</w:t>
            </w:r>
            <w:r>
              <w:rPr>
                <w:rFonts w:hint="eastAsia" w:ascii="宋体" w:hAnsi="宋体"/>
                <w:szCs w:val="21"/>
              </w:rPr>
              <w:t>万元人民币（或等值外币）减1分；3</w:t>
            </w:r>
            <w:r>
              <w:rPr>
                <w:rFonts w:ascii="宋体" w:hAnsi="宋体"/>
                <w:szCs w:val="21"/>
              </w:rPr>
              <w:t>000</w:t>
            </w:r>
            <w:r>
              <w:rPr>
                <w:rFonts w:hint="eastAsia" w:ascii="宋体" w:hAnsi="宋体"/>
                <w:szCs w:val="21"/>
              </w:rPr>
              <w:t>万元及以下得1分。</w:t>
            </w:r>
          </w:p>
          <w:p>
            <w:pPr>
              <w:adjustRightInd w:val="0"/>
              <w:snapToGrid w:val="0"/>
              <w:jc w:val="left"/>
              <w:rPr>
                <w:rFonts w:ascii="宋体" w:hAnsi="宋体"/>
                <w:szCs w:val="21"/>
              </w:rPr>
            </w:pPr>
            <w:r>
              <w:rPr>
                <w:rFonts w:hint="eastAsia" w:ascii="宋体" w:hAnsi="宋体"/>
                <w:szCs w:val="21"/>
              </w:rPr>
              <w:t>注：1、供应商提供的基本存款账户存款余额证明，以供应商基本存款账户开户行出具存款余额证明为准（银行对账单无效）； 2、外币换算汇率以采购公告发布当日中国人民银行发布的人民币汇率中间价为准；3、以上证明文件复印件加盖公章，原件备查；4、证明文件的提交不符合上述要求、提交不全、核验原件时没提供的，相关评分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62" w:type="pct"/>
            <w:vAlign w:val="center"/>
          </w:tcPr>
          <w:p>
            <w:pPr>
              <w:adjustRightInd w:val="0"/>
              <w:snapToGrid w:val="0"/>
              <w:jc w:val="center"/>
              <w:rPr>
                <w:rFonts w:ascii="宋体" w:hAnsi="宋体"/>
                <w:szCs w:val="21"/>
              </w:rPr>
            </w:pPr>
            <w:r>
              <w:rPr>
                <w:rFonts w:hint="eastAsia" w:ascii="宋体" w:hAnsi="宋体"/>
                <w:szCs w:val="21"/>
              </w:rPr>
              <w:t>2</w:t>
            </w:r>
          </w:p>
        </w:tc>
        <w:tc>
          <w:tcPr>
            <w:tcW w:w="931" w:type="pct"/>
            <w:vAlign w:val="center"/>
          </w:tcPr>
          <w:p>
            <w:pPr>
              <w:adjustRightInd w:val="0"/>
              <w:snapToGrid w:val="0"/>
              <w:jc w:val="center"/>
              <w:rPr>
                <w:rFonts w:ascii="宋体" w:hAnsi="宋体"/>
                <w:szCs w:val="21"/>
              </w:rPr>
            </w:pPr>
            <w:r>
              <w:rPr>
                <w:rFonts w:hint="eastAsia" w:ascii="宋体" w:hAnsi="宋体"/>
                <w:szCs w:val="21"/>
              </w:rPr>
              <w:t>财务状况</w:t>
            </w:r>
          </w:p>
          <w:p>
            <w:pPr>
              <w:adjustRightInd w:val="0"/>
              <w:snapToGrid w:val="0"/>
              <w:jc w:val="center"/>
              <w:rPr>
                <w:rFonts w:ascii="宋体" w:hAnsi="宋体"/>
                <w:szCs w:val="21"/>
              </w:rPr>
            </w:pPr>
            <w:r>
              <w:rPr>
                <w:rFonts w:hint="eastAsia" w:ascii="宋体" w:hAnsi="宋体"/>
                <w:szCs w:val="21"/>
              </w:rPr>
              <w:t>（6分）</w:t>
            </w:r>
          </w:p>
        </w:tc>
        <w:tc>
          <w:tcPr>
            <w:tcW w:w="3807" w:type="pct"/>
            <w:vAlign w:val="center"/>
          </w:tcPr>
          <w:p>
            <w:pPr>
              <w:adjustRightInd w:val="0"/>
              <w:snapToGrid w:val="0"/>
              <w:jc w:val="left"/>
              <w:rPr>
                <w:rFonts w:ascii="宋体" w:hAnsi="宋体"/>
                <w:szCs w:val="21"/>
              </w:rPr>
            </w:pPr>
            <w:r>
              <w:rPr>
                <w:rFonts w:hint="eastAsia" w:ascii="宋体" w:hAnsi="宋体"/>
                <w:szCs w:val="21"/>
              </w:rPr>
              <w:t>1、供应商2019年度无亏损且净资产在8000万元及以上、资产负债率≤3</w:t>
            </w:r>
            <w:r>
              <w:rPr>
                <w:rFonts w:ascii="宋体" w:hAnsi="宋体"/>
                <w:szCs w:val="21"/>
              </w:rPr>
              <w:t>0</w:t>
            </w:r>
            <w:r>
              <w:rPr>
                <w:rFonts w:hint="eastAsia" w:ascii="宋体" w:hAnsi="宋体"/>
                <w:szCs w:val="21"/>
              </w:rPr>
              <w:t>%，得6分；</w:t>
            </w:r>
          </w:p>
          <w:p>
            <w:pPr>
              <w:adjustRightInd w:val="0"/>
              <w:snapToGrid w:val="0"/>
              <w:jc w:val="left"/>
              <w:rPr>
                <w:rFonts w:ascii="宋体" w:hAnsi="宋体"/>
                <w:szCs w:val="21"/>
              </w:rPr>
            </w:pPr>
            <w:r>
              <w:rPr>
                <w:rFonts w:ascii="宋体" w:hAnsi="宋体"/>
                <w:szCs w:val="21"/>
              </w:rPr>
              <w:t>2</w:t>
            </w:r>
            <w:r>
              <w:rPr>
                <w:rFonts w:hint="eastAsia" w:ascii="宋体" w:hAnsi="宋体"/>
                <w:szCs w:val="21"/>
              </w:rPr>
              <w:t>、供应商2019年度无亏损且净资产在8000万元及以上，且3</w:t>
            </w:r>
            <w:r>
              <w:rPr>
                <w:rFonts w:ascii="宋体" w:hAnsi="宋体"/>
                <w:szCs w:val="21"/>
              </w:rPr>
              <w:t>0</w:t>
            </w:r>
            <w:r>
              <w:rPr>
                <w:rFonts w:hint="eastAsia" w:ascii="宋体" w:hAnsi="宋体"/>
                <w:szCs w:val="21"/>
              </w:rPr>
              <w:t>%&lt;资产负债率≤5</w:t>
            </w:r>
            <w:r>
              <w:rPr>
                <w:rFonts w:ascii="宋体" w:hAnsi="宋体"/>
                <w:szCs w:val="21"/>
              </w:rPr>
              <w:t>0</w:t>
            </w:r>
            <w:r>
              <w:rPr>
                <w:rFonts w:hint="eastAsia" w:ascii="宋体" w:hAnsi="宋体"/>
                <w:szCs w:val="21"/>
              </w:rPr>
              <w:t>%的，得4分；</w:t>
            </w:r>
          </w:p>
          <w:p>
            <w:pPr>
              <w:adjustRightInd w:val="0"/>
              <w:snapToGrid w:val="0"/>
              <w:jc w:val="left"/>
              <w:rPr>
                <w:rFonts w:ascii="宋体" w:hAnsi="宋体"/>
                <w:szCs w:val="21"/>
              </w:rPr>
            </w:pPr>
            <w:r>
              <w:rPr>
                <w:rFonts w:ascii="宋体" w:hAnsi="宋体"/>
                <w:szCs w:val="21"/>
              </w:rPr>
              <w:t>3</w:t>
            </w:r>
            <w:r>
              <w:rPr>
                <w:rFonts w:hint="eastAsia" w:ascii="宋体" w:hAnsi="宋体"/>
                <w:szCs w:val="21"/>
              </w:rPr>
              <w:t>、供应商2019年度无亏损且净资产在8000万元及以上，且5</w:t>
            </w:r>
            <w:r>
              <w:rPr>
                <w:rFonts w:ascii="宋体" w:hAnsi="宋体"/>
                <w:szCs w:val="21"/>
              </w:rPr>
              <w:t>0</w:t>
            </w:r>
            <w:r>
              <w:rPr>
                <w:rFonts w:hint="eastAsia" w:ascii="宋体" w:hAnsi="宋体"/>
                <w:szCs w:val="21"/>
              </w:rPr>
              <w:t>%&lt;资产负债率≤7</w:t>
            </w:r>
            <w:r>
              <w:rPr>
                <w:rFonts w:ascii="宋体" w:hAnsi="宋体"/>
                <w:szCs w:val="21"/>
              </w:rPr>
              <w:t>0</w:t>
            </w:r>
            <w:r>
              <w:rPr>
                <w:rFonts w:hint="eastAsia" w:ascii="宋体" w:hAnsi="宋体"/>
                <w:szCs w:val="21"/>
              </w:rPr>
              <w:t>%的，得2分；</w:t>
            </w:r>
          </w:p>
          <w:p>
            <w:pPr>
              <w:adjustRightInd w:val="0"/>
              <w:snapToGrid w:val="0"/>
              <w:jc w:val="left"/>
              <w:rPr>
                <w:rFonts w:ascii="宋体" w:hAnsi="宋体"/>
                <w:szCs w:val="21"/>
              </w:rPr>
            </w:pPr>
            <w:r>
              <w:rPr>
                <w:rFonts w:ascii="宋体" w:hAnsi="宋体"/>
                <w:szCs w:val="21"/>
              </w:rPr>
              <w:t>4</w:t>
            </w:r>
            <w:r>
              <w:rPr>
                <w:rFonts w:hint="eastAsia" w:ascii="宋体" w:hAnsi="宋体"/>
                <w:szCs w:val="21"/>
              </w:rPr>
              <w:t>、供应商2019年度无亏损且净资产在8000万元及以上，且7</w:t>
            </w:r>
            <w:r>
              <w:rPr>
                <w:rFonts w:ascii="宋体" w:hAnsi="宋体"/>
                <w:szCs w:val="21"/>
              </w:rPr>
              <w:t>0</w:t>
            </w:r>
            <w:r>
              <w:rPr>
                <w:rFonts w:hint="eastAsia" w:ascii="宋体" w:hAnsi="宋体"/>
                <w:szCs w:val="21"/>
              </w:rPr>
              <w:t>%&lt;资产负债率≤9</w:t>
            </w:r>
            <w:r>
              <w:rPr>
                <w:rFonts w:ascii="宋体" w:hAnsi="宋体"/>
                <w:szCs w:val="21"/>
              </w:rPr>
              <w:t>0</w:t>
            </w:r>
            <w:r>
              <w:rPr>
                <w:rFonts w:hint="eastAsia" w:ascii="宋体" w:hAnsi="宋体"/>
                <w:szCs w:val="21"/>
              </w:rPr>
              <w:t>%的，得1分；</w:t>
            </w:r>
          </w:p>
          <w:p>
            <w:pPr>
              <w:adjustRightInd w:val="0"/>
              <w:snapToGrid w:val="0"/>
              <w:jc w:val="left"/>
              <w:rPr>
                <w:rFonts w:ascii="宋体" w:hAnsi="宋体"/>
                <w:szCs w:val="21"/>
              </w:rPr>
            </w:pPr>
            <w:r>
              <w:rPr>
                <w:rFonts w:hint="eastAsia" w:ascii="宋体" w:hAnsi="宋体"/>
                <w:szCs w:val="21"/>
              </w:rPr>
              <w:t>5、供应商2019年度亏损或净资产在8000万元以下或资产负债率&gt;90%的，均不得分。</w:t>
            </w:r>
          </w:p>
          <w:p>
            <w:pPr>
              <w:adjustRightInd w:val="0"/>
              <w:snapToGrid w:val="0"/>
              <w:jc w:val="left"/>
              <w:rPr>
                <w:rFonts w:ascii="宋体" w:hAnsi="宋体"/>
                <w:szCs w:val="21"/>
              </w:rPr>
            </w:pPr>
            <w:r>
              <w:rPr>
                <w:rFonts w:hint="eastAsia" w:ascii="宋体" w:hAnsi="宋体"/>
                <w:szCs w:val="21"/>
              </w:rPr>
              <w:t>注：1、须提供2019年度财务报表（含合并报表）及审计报告。2、以上证明文件复印件加盖公章，原件备查。3、证明文件的提交不符合上述要求、提交不全、核验原件时没提供的，相关评分项不得分。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7" w:hRule="atLeast"/>
        </w:trPr>
        <w:tc>
          <w:tcPr>
            <w:tcW w:w="262" w:type="pct"/>
            <w:vAlign w:val="center"/>
          </w:tcPr>
          <w:p>
            <w:pPr>
              <w:adjustRightInd w:val="0"/>
              <w:snapToGrid w:val="0"/>
              <w:jc w:val="center"/>
              <w:rPr>
                <w:rFonts w:ascii="宋体" w:hAnsi="宋体"/>
                <w:szCs w:val="21"/>
              </w:rPr>
            </w:pPr>
            <w:r>
              <w:rPr>
                <w:rFonts w:hint="eastAsia" w:ascii="宋体" w:hAnsi="宋体"/>
                <w:szCs w:val="21"/>
              </w:rPr>
              <w:t>3</w:t>
            </w:r>
          </w:p>
        </w:tc>
        <w:tc>
          <w:tcPr>
            <w:tcW w:w="931" w:type="pct"/>
            <w:vAlign w:val="center"/>
          </w:tcPr>
          <w:p>
            <w:pPr>
              <w:adjustRightInd w:val="0"/>
              <w:snapToGrid w:val="0"/>
              <w:jc w:val="center"/>
              <w:rPr>
                <w:rFonts w:ascii="宋体" w:hAnsi="宋体"/>
                <w:szCs w:val="21"/>
              </w:rPr>
            </w:pPr>
            <w:r>
              <w:rPr>
                <w:rFonts w:hint="eastAsia" w:ascii="宋体" w:hAnsi="宋体"/>
                <w:szCs w:val="21"/>
              </w:rPr>
              <w:t>项目业绩</w:t>
            </w:r>
          </w:p>
          <w:p>
            <w:pPr>
              <w:adjustRightInd w:val="0"/>
              <w:snapToGrid w:val="0"/>
              <w:jc w:val="center"/>
              <w:rPr>
                <w:rFonts w:ascii="宋体" w:hAnsi="宋体"/>
                <w:szCs w:val="21"/>
              </w:rPr>
            </w:pPr>
            <w:r>
              <w:rPr>
                <w:rFonts w:hint="eastAsia" w:ascii="宋体" w:hAnsi="宋体"/>
                <w:szCs w:val="21"/>
              </w:rPr>
              <w:t>（</w:t>
            </w:r>
            <w:r>
              <w:rPr>
                <w:rFonts w:ascii="宋体" w:hAnsi="宋体"/>
                <w:szCs w:val="21"/>
              </w:rPr>
              <w:t>8</w:t>
            </w:r>
            <w:r>
              <w:rPr>
                <w:rFonts w:hint="eastAsia" w:ascii="宋体" w:hAnsi="宋体"/>
                <w:szCs w:val="21"/>
              </w:rPr>
              <w:t>分）</w:t>
            </w:r>
          </w:p>
        </w:tc>
        <w:tc>
          <w:tcPr>
            <w:tcW w:w="3807" w:type="pct"/>
            <w:vAlign w:val="center"/>
          </w:tcPr>
          <w:p>
            <w:pPr>
              <w:adjustRightInd w:val="0"/>
              <w:snapToGrid w:val="0"/>
              <w:jc w:val="left"/>
              <w:rPr>
                <w:rFonts w:ascii="宋体" w:hAnsi="宋体"/>
                <w:szCs w:val="21"/>
              </w:rPr>
            </w:pPr>
            <w:r>
              <w:rPr>
                <w:rFonts w:hint="eastAsia" w:ascii="宋体" w:hAnsi="宋体"/>
                <w:szCs w:val="21"/>
              </w:rPr>
              <w:t>供应商每提供一项污水处理规模为2万吨/日或以上的“投资建设（或改造）运营”项目的业绩得4分，最高得8分。</w:t>
            </w:r>
          </w:p>
          <w:p>
            <w:pPr>
              <w:adjustRightInd w:val="0"/>
              <w:snapToGrid w:val="0"/>
              <w:jc w:val="left"/>
              <w:rPr>
                <w:rFonts w:ascii="宋体" w:hAnsi="宋体"/>
                <w:szCs w:val="21"/>
              </w:rPr>
            </w:pPr>
            <w:r>
              <w:rPr>
                <w:rFonts w:hint="eastAsia" w:ascii="宋体" w:hAnsi="宋体"/>
                <w:szCs w:val="21"/>
              </w:rPr>
              <w:t>注：1、供应商应提供中标通知书及合同（签署的PPP项目投资协议，PPP项目合同，或特许经营项目合同，或委托运营合同、或ROT、BOT、BOO、TOT等合同，合同至少应包括首页、签字页及项目概况的描述页）复印件并加盖公章。2、若项目业绩为联合体中标，则供应商应为该项目业绩的联合体牵头人，且供应商（或联合体成立的项目公司）承担运营。3、以上业绩需要同时提供官方公示网址及公示截图，否则不得分。4、供应商控股下属公司类似业绩亦有效。</w:t>
            </w:r>
          </w:p>
        </w:tc>
      </w:tr>
    </w:tbl>
    <w:p>
      <w:pPr>
        <w:rPr>
          <w:rFonts w:ascii="宋体" w:hAnsi="宋体"/>
          <w:szCs w:val="21"/>
        </w:rPr>
      </w:pPr>
    </w:p>
    <w:p>
      <w:pPr>
        <w:pStyle w:val="2"/>
      </w:pPr>
      <w:r>
        <w:br w:type="page"/>
      </w:r>
    </w:p>
    <w:p>
      <w:pPr>
        <w:adjustRightInd w:val="0"/>
        <w:snapToGrid w:val="0"/>
        <w:spacing w:line="360" w:lineRule="auto"/>
        <w:rPr>
          <w:rFonts w:ascii="宋体" w:hAnsi="宋体"/>
          <w:bCs/>
          <w:szCs w:val="21"/>
        </w:rPr>
      </w:pPr>
      <w:bookmarkStart w:id="177" w:name="_Toc24660858"/>
      <w:r>
        <w:rPr>
          <w:rFonts w:hint="eastAsia" w:ascii="宋体" w:hAnsi="宋体"/>
          <w:bCs/>
          <w:szCs w:val="21"/>
        </w:rPr>
        <w:t>（三）技术分（50分）</w:t>
      </w:r>
      <w:bookmarkEnd w:id="177"/>
    </w:p>
    <w:tbl>
      <w:tblPr>
        <w:tblStyle w:val="4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1"/>
        <w:gridCol w:w="1459"/>
        <w:gridCol w:w="6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9" w:type="pct"/>
            <w:vAlign w:val="center"/>
          </w:tcPr>
          <w:p>
            <w:pPr>
              <w:pStyle w:val="205"/>
              <w:adjustRightInd w:val="0"/>
              <w:snapToGrid w:val="0"/>
              <w:jc w:val="center"/>
              <w:rPr>
                <w:rFonts w:ascii="宋体" w:hAnsi="宋体"/>
                <w:kern w:val="0"/>
                <w:szCs w:val="21"/>
              </w:rPr>
            </w:pPr>
            <w:r>
              <w:rPr>
                <w:rFonts w:hint="eastAsia" w:ascii="宋体" w:hAnsi="宋体"/>
                <w:szCs w:val="21"/>
              </w:rPr>
              <w:t>序号</w:t>
            </w:r>
          </w:p>
        </w:tc>
        <w:tc>
          <w:tcPr>
            <w:tcW w:w="856" w:type="pct"/>
            <w:vAlign w:val="center"/>
          </w:tcPr>
          <w:p>
            <w:pPr>
              <w:pStyle w:val="205"/>
              <w:adjustRightInd w:val="0"/>
              <w:snapToGrid w:val="0"/>
              <w:jc w:val="center"/>
              <w:rPr>
                <w:rFonts w:ascii="宋体" w:hAnsi="宋体"/>
                <w:kern w:val="0"/>
                <w:szCs w:val="21"/>
              </w:rPr>
            </w:pPr>
            <w:r>
              <w:rPr>
                <w:rFonts w:hint="eastAsia" w:ascii="宋体" w:hAnsi="宋体"/>
                <w:szCs w:val="21"/>
              </w:rPr>
              <w:t>评审内容</w:t>
            </w:r>
          </w:p>
        </w:tc>
        <w:tc>
          <w:tcPr>
            <w:tcW w:w="3815" w:type="pct"/>
            <w:vAlign w:val="center"/>
          </w:tcPr>
          <w:p>
            <w:pPr>
              <w:pStyle w:val="205"/>
              <w:adjustRightInd w:val="0"/>
              <w:snapToGrid w:val="0"/>
              <w:jc w:val="center"/>
              <w:rPr>
                <w:rFonts w:ascii="宋体" w:hAnsi="宋体"/>
                <w:kern w:val="0"/>
                <w:szCs w:val="21"/>
              </w:rPr>
            </w:pPr>
            <w:r>
              <w:rPr>
                <w:rFonts w:hint="eastAsia" w:ascii="宋体" w:hAnsi="宋体"/>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329" w:type="pct"/>
            <w:vAlign w:val="center"/>
          </w:tcPr>
          <w:p>
            <w:pPr>
              <w:pStyle w:val="205"/>
              <w:adjustRightInd w:val="0"/>
              <w:snapToGrid w:val="0"/>
              <w:jc w:val="left"/>
              <w:rPr>
                <w:rFonts w:ascii="宋体" w:hAnsi="宋体"/>
                <w:kern w:val="0"/>
                <w:szCs w:val="21"/>
              </w:rPr>
            </w:pPr>
            <w:r>
              <w:rPr>
                <w:rFonts w:hint="eastAsia" w:ascii="宋体" w:hAnsi="宋体"/>
                <w:kern w:val="0"/>
                <w:szCs w:val="21"/>
              </w:rPr>
              <w:t>1</w:t>
            </w:r>
          </w:p>
        </w:tc>
        <w:tc>
          <w:tcPr>
            <w:tcW w:w="856" w:type="pct"/>
            <w:vAlign w:val="center"/>
          </w:tcPr>
          <w:p>
            <w:pPr>
              <w:pStyle w:val="205"/>
              <w:adjustRightInd w:val="0"/>
              <w:snapToGrid w:val="0"/>
              <w:jc w:val="left"/>
              <w:rPr>
                <w:rFonts w:ascii="宋体" w:hAnsi="宋体"/>
                <w:kern w:val="0"/>
                <w:szCs w:val="21"/>
              </w:rPr>
            </w:pPr>
            <w:r>
              <w:rPr>
                <w:rFonts w:hint="eastAsia" w:ascii="宋体" w:hAnsi="宋体" w:cs="宋体"/>
                <w:kern w:val="0"/>
                <w:szCs w:val="21"/>
              </w:rPr>
              <w:t>投融资方案</w:t>
            </w:r>
          </w:p>
          <w:p>
            <w:pPr>
              <w:pStyle w:val="205"/>
              <w:adjustRightInd w:val="0"/>
              <w:snapToGrid w:val="0"/>
              <w:jc w:val="left"/>
              <w:rPr>
                <w:rFonts w:ascii="宋体" w:hAnsi="宋体"/>
                <w:kern w:val="0"/>
                <w:szCs w:val="21"/>
              </w:rPr>
            </w:pPr>
            <w:r>
              <w:rPr>
                <w:rFonts w:hint="eastAsia" w:ascii="宋体" w:hAnsi="宋体" w:cs="宋体"/>
                <w:kern w:val="0"/>
                <w:szCs w:val="21"/>
              </w:rPr>
              <w:t>（</w:t>
            </w:r>
            <w:r>
              <w:rPr>
                <w:rFonts w:ascii="宋体" w:hAnsi="宋体"/>
                <w:kern w:val="0"/>
                <w:szCs w:val="21"/>
              </w:rPr>
              <w:t>5</w:t>
            </w:r>
            <w:r>
              <w:rPr>
                <w:rFonts w:hint="eastAsia" w:ascii="宋体" w:hAnsi="宋体" w:cs="宋体"/>
                <w:kern w:val="0"/>
                <w:szCs w:val="21"/>
              </w:rPr>
              <w:t>分）</w:t>
            </w:r>
          </w:p>
        </w:tc>
        <w:tc>
          <w:tcPr>
            <w:tcW w:w="3815" w:type="pct"/>
            <w:vAlign w:val="center"/>
          </w:tcPr>
          <w:p>
            <w:pPr>
              <w:adjustRightInd w:val="0"/>
              <w:snapToGrid w:val="0"/>
              <w:jc w:val="left"/>
              <w:rPr>
                <w:rFonts w:ascii="宋体" w:hAnsi="宋体"/>
                <w:szCs w:val="21"/>
              </w:rPr>
            </w:pPr>
            <w:r>
              <w:rPr>
                <w:rFonts w:hint="eastAsia" w:ascii="宋体" w:hAnsi="宋体"/>
                <w:szCs w:val="21"/>
              </w:rPr>
              <w:t>对投融资方案的可靠性、合理性和完整性进行评分，包括对本项目资本金和债务融资的整体安排、出资能力和落实情况；具体包含资本结构、资本金到位计划、融资计划、风险分析、担保提供等方面。</w:t>
            </w:r>
          </w:p>
          <w:p>
            <w:pPr>
              <w:adjustRightInd w:val="0"/>
              <w:snapToGrid w:val="0"/>
              <w:jc w:val="left"/>
              <w:rPr>
                <w:rFonts w:ascii="宋体" w:hAnsi="宋体"/>
                <w:szCs w:val="21"/>
              </w:rPr>
            </w:pPr>
            <w:r>
              <w:rPr>
                <w:rFonts w:hint="eastAsia" w:ascii="宋体" w:hAnsi="宋体"/>
                <w:szCs w:val="21"/>
              </w:rPr>
              <w:t>A、投融资方案可靠、合理、完整的</w:t>
            </w:r>
            <w:r>
              <w:rPr>
                <w:rFonts w:ascii="宋体" w:hAnsi="宋体"/>
                <w:szCs w:val="21"/>
              </w:rPr>
              <w:t>得</w:t>
            </w:r>
            <w:r>
              <w:rPr>
                <w:rFonts w:hint="eastAsia" w:ascii="宋体" w:hAnsi="宋体"/>
                <w:szCs w:val="21"/>
              </w:rPr>
              <w:t>（4，5</w:t>
            </w:r>
            <w:r>
              <w:rPr>
                <w:rFonts w:ascii="宋体" w:hAnsi="宋体"/>
                <w:szCs w:val="21"/>
              </w:rPr>
              <w:t>]分</w:t>
            </w:r>
            <w:r>
              <w:rPr>
                <w:rFonts w:hint="eastAsia" w:ascii="宋体" w:hAnsi="宋体"/>
                <w:szCs w:val="21"/>
              </w:rPr>
              <w:t>；</w:t>
            </w:r>
          </w:p>
          <w:p>
            <w:pPr>
              <w:adjustRightInd w:val="0"/>
              <w:snapToGrid w:val="0"/>
              <w:jc w:val="left"/>
              <w:rPr>
                <w:rFonts w:ascii="宋体" w:hAnsi="宋体"/>
                <w:szCs w:val="21"/>
              </w:rPr>
            </w:pPr>
            <w:r>
              <w:rPr>
                <w:rFonts w:hint="eastAsia" w:ascii="宋体" w:hAnsi="宋体"/>
                <w:szCs w:val="21"/>
              </w:rPr>
              <w:t>B、投融资方案比较合理的，</w:t>
            </w:r>
            <w:r>
              <w:rPr>
                <w:rFonts w:ascii="宋体" w:hAnsi="宋体"/>
                <w:szCs w:val="21"/>
              </w:rPr>
              <w:t>得</w:t>
            </w:r>
            <w:r>
              <w:rPr>
                <w:rFonts w:hint="eastAsia" w:ascii="宋体" w:hAnsi="宋体"/>
                <w:szCs w:val="21"/>
              </w:rPr>
              <w:t>（2，4</w:t>
            </w:r>
            <w:r>
              <w:rPr>
                <w:rFonts w:ascii="宋体" w:hAnsi="宋体"/>
                <w:szCs w:val="21"/>
              </w:rPr>
              <w:t>]分</w:t>
            </w:r>
            <w:r>
              <w:rPr>
                <w:rFonts w:hint="eastAsia" w:ascii="宋体" w:hAnsi="宋体"/>
                <w:szCs w:val="21"/>
              </w:rPr>
              <w:t>；</w:t>
            </w:r>
          </w:p>
          <w:p>
            <w:pPr>
              <w:adjustRightInd w:val="0"/>
              <w:snapToGrid w:val="0"/>
              <w:jc w:val="left"/>
              <w:rPr>
                <w:rFonts w:ascii="宋体" w:hAnsi="宋体"/>
                <w:szCs w:val="21"/>
              </w:rPr>
            </w:pPr>
            <w:r>
              <w:rPr>
                <w:rFonts w:hint="eastAsia" w:ascii="宋体" w:hAnsi="宋体"/>
                <w:szCs w:val="21"/>
              </w:rPr>
              <w:t>C、未满足项目要求，存在大量缺项的</w:t>
            </w:r>
            <w:r>
              <w:rPr>
                <w:rFonts w:ascii="宋体" w:hAnsi="宋体"/>
                <w:szCs w:val="21"/>
              </w:rPr>
              <w:t>得</w:t>
            </w:r>
            <w:r>
              <w:rPr>
                <w:rFonts w:hint="eastAsia" w:ascii="宋体" w:hAnsi="宋体"/>
                <w:szCs w:val="21"/>
              </w:rPr>
              <w:t>[</w:t>
            </w:r>
            <w:r>
              <w:rPr>
                <w:rFonts w:ascii="宋体" w:hAnsi="宋体"/>
                <w:szCs w:val="21"/>
              </w:rPr>
              <w:t>0</w:t>
            </w:r>
            <w:r>
              <w:rPr>
                <w:rFonts w:hint="eastAsia" w:ascii="宋体" w:hAnsi="宋体"/>
                <w:szCs w:val="21"/>
              </w:rPr>
              <w:t>，</w:t>
            </w:r>
            <w:r>
              <w:rPr>
                <w:rFonts w:ascii="宋体" w:hAnsi="宋体"/>
                <w:szCs w:val="21"/>
              </w:rPr>
              <w:t>2]分。</w:t>
            </w:r>
          </w:p>
          <w:p>
            <w:pPr>
              <w:pStyle w:val="205"/>
              <w:adjustRightInd w:val="0"/>
              <w:snapToGrid w:val="0"/>
              <w:jc w:val="left"/>
              <w:rPr>
                <w:rFonts w:ascii="宋体" w:hAnsi="宋体"/>
                <w:kern w:val="0"/>
                <w:szCs w:val="21"/>
              </w:rPr>
            </w:pPr>
            <w:r>
              <w:rPr>
                <w:rFonts w:ascii="宋体" w:hAnsi="宋体"/>
                <w:szCs w:val="21"/>
              </w:rPr>
              <w:t>评标委员会成员评分</w:t>
            </w:r>
            <w:r>
              <w:rPr>
                <w:rFonts w:hint="eastAsia" w:ascii="宋体" w:hAnsi="宋体"/>
                <w:szCs w:val="21"/>
              </w:rPr>
              <w:t>保留一位小数</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329" w:type="pct"/>
            <w:vAlign w:val="center"/>
          </w:tcPr>
          <w:p>
            <w:pPr>
              <w:pStyle w:val="205"/>
              <w:adjustRightInd w:val="0"/>
              <w:snapToGrid w:val="0"/>
              <w:jc w:val="left"/>
              <w:rPr>
                <w:rFonts w:ascii="宋体" w:hAnsi="宋体"/>
                <w:kern w:val="0"/>
                <w:szCs w:val="21"/>
              </w:rPr>
            </w:pPr>
            <w:r>
              <w:rPr>
                <w:rFonts w:hint="eastAsia" w:ascii="宋体" w:hAnsi="宋体"/>
                <w:kern w:val="0"/>
                <w:szCs w:val="21"/>
              </w:rPr>
              <w:t>2</w:t>
            </w:r>
          </w:p>
        </w:tc>
        <w:tc>
          <w:tcPr>
            <w:tcW w:w="856" w:type="pct"/>
            <w:vAlign w:val="center"/>
          </w:tcPr>
          <w:p>
            <w:pPr>
              <w:pStyle w:val="205"/>
              <w:adjustRightInd w:val="0"/>
              <w:snapToGrid w:val="0"/>
              <w:jc w:val="left"/>
              <w:rPr>
                <w:rFonts w:ascii="宋体" w:hAnsi="宋体"/>
                <w:kern w:val="0"/>
                <w:szCs w:val="21"/>
              </w:rPr>
            </w:pPr>
            <w:r>
              <w:rPr>
                <w:rFonts w:hint="eastAsia" w:ascii="宋体" w:hAnsi="宋体" w:cs="宋体"/>
                <w:kern w:val="0"/>
                <w:szCs w:val="21"/>
              </w:rPr>
              <w:t>财务分析方案</w:t>
            </w:r>
          </w:p>
          <w:p>
            <w:pPr>
              <w:pStyle w:val="205"/>
              <w:adjustRightInd w:val="0"/>
              <w:snapToGrid w:val="0"/>
              <w:jc w:val="left"/>
              <w:rPr>
                <w:rFonts w:ascii="宋体" w:hAnsi="宋体"/>
                <w:kern w:val="0"/>
                <w:szCs w:val="21"/>
              </w:rPr>
            </w:pPr>
            <w:r>
              <w:rPr>
                <w:rFonts w:hint="eastAsia" w:ascii="宋体" w:hAnsi="宋体" w:cs="宋体"/>
                <w:kern w:val="0"/>
                <w:szCs w:val="21"/>
              </w:rPr>
              <w:t>（5分）</w:t>
            </w:r>
          </w:p>
        </w:tc>
        <w:tc>
          <w:tcPr>
            <w:tcW w:w="3815" w:type="pct"/>
            <w:vAlign w:val="center"/>
          </w:tcPr>
          <w:p>
            <w:pPr>
              <w:pStyle w:val="205"/>
              <w:adjustRightInd w:val="0"/>
              <w:snapToGrid w:val="0"/>
              <w:jc w:val="left"/>
              <w:rPr>
                <w:rFonts w:ascii="宋体" w:hAnsi="宋体" w:cs="宋体"/>
                <w:kern w:val="0"/>
                <w:szCs w:val="21"/>
              </w:rPr>
            </w:pPr>
            <w:r>
              <w:rPr>
                <w:rFonts w:hint="eastAsia" w:ascii="宋体" w:hAnsi="宋体"/>
                <w:szCs w:val="21"/>
              </w:rPr>
              <w:t>根据“采购需求的财务测算要求”提供的内容编制财务分析，对投资估算、运营成本费用构成、污水处理费用构成等进行测算，</w:t>
            </w:r>
            <w:r>
              <w:rPr>
                <w:rFonts w:hint="eastAsia" w:ascii="宋体" w:hAnsi="宋体" w:cs="宋体"/>
                <w:kern w:val="0"/>
                <w:szCs w:val="21"/>
              </w:rPr>
              <w:t>考查项目是否有缺漏，基本假设条件和参数是否合理，财务评价结果是否合理等，按合理性和完整性评分。</w:t>
            </w:r>
          </w:p>
          <w:p>
            <w:pPr>
              <w:pStyle w:val="205"/>
              <w:adjustRightInd w:val="0"/>
              <w:snapToGrid w:val="0"/>
              <w:jc w:val="left"/>
              <w:rPr>
                <w:rFonts w:ascii="宋体" w:hAnsi="宋体"/>
                <w:kern w:val="0"/>
                <w:szCs w:val="21"/>
              </w:rPr>
            </w:pPr>
            <w:r>
              <w:rPr>
                <w:rFonts w:hint="eastAsia" w:ascii="宋体" w:hAnsi="宋体"/>
                <w:kern w:val="0"/>
                <w:szCs w:val="21"/>
              </w:rPr>
              <w:t>A</w:t>
            </w:r>
            <w:r>
              <w:rPr>
                <w:rFonts w:hint="eastAsia" w:ascii="宋体" w:hAnsi="宋体" w:cs="宋体"/>
                <w:kern w:val="0"/>
                <w:szCs w:val="21"/>
              </w:rPr>
              <w:t>、非常合理全面得</w:t>
            </w:r>
            <w:r>
              <w:rPr>
                <w:rFonts w:hint="eastAsia" w:ascii="宋体" w:hAnsi="宋体"/>
                <w:szCs w:val="21"/>
              </w:rPr>
              <w:t>（4，5</w:t>
            </w:r>
            <w:r>
              <w:rPr>
                <w:rFonts w:ascii="宋体" w:hAnsi="宋体"/>
                <w:szCs w:val="21"/>
              </w:rPr>
              <w:t>]</w:t>
            </w:r>
            <w:r>
              <w:rPr>
                <w:rFonts w:hint="eastAsia" w:ascii="宋体" w:hAnsi="宋体" w:cs="宋体"/>
                <w:kern w:val="0"/>
                <w:szCs w:val="21"/>
              </w:rPr>
              <w:t>分；</w:t>
            </w:r>
          </w:p>
          <w:p>
            <w:pPr>
              <w:pStyle w:val="205"/>
              <w:adjustRightInd w:val="0"/>
              <w:snapToGrid w:val="0"/>
              <w:jc w:val="left"/>
              <w:rPr>
                <w:rFonts w:ascii="宋体" w:hAnsi="宋体"/>
                <w:kern w:val="0"/>
                <w:szCs w:val="21"/>
              </w:rPr>
            </w:pPr>
            <w:r>
              <w:rPr>
                <w:rFonts w:ascii="宋体" w:hAnsi="宋体"/>
                <w:kern w:val="0"/>
                <w:szCs w:val="21"/>
              </w:rPr>
              <w:t>B</w:t>
            </w:r>
            <w:r>
              <w:rPr>
                <w:rFonts w:hint="eastAsia" w:ascii="宋体" w:hAnsi="宋体" w:cs="宋体"/>
                <w:kern w:val="0"/>
                <w:szCs w:val="21"/>
              </w:rPr>
              <w:t>、较合理全面得</w:t>
            </w:r>
            <w:r>
              <w:rPr>
                <w:rFonts w:hint="eastAsia" w:ascii="宋体" w:hAnsi="宋体"/>
                <w:szCs w:val="21"/>
              </w:rPr>
              <w:t>（2，4</w:t>
            </w:r>
            <w:r>
              <w:rPr>
                <w:rFonts w:ascii="宋体" w:hAnsi="宋体"/>
                <w:szCs w:val="21"/>
              </w:rPr>
              <w:t>]</w:t>
            </w:r>
            <w:r>
              <w:rPr>
                <w:rFonts w:hint="eastAsia" w:ascii="宋体" w:hAnsi="宋体" w:cs="宋体"/>
                <w:kern w:val="0"/>
                <w:szCs w:val="21"/>
              </w:rPr>
              <w:t>分；</w:t>
            </w:r>
          </w:p>
          <w:p>
            <w:pPr>
              <w:pStyle w:val="205"/>
              <w:adjustRightInd w:val="0"/>
              <w:snapToGrid w:val="0"/>
              <w:jc w:val="left"/>
              <w:rPr>
                <w:rFonts w:ascii="宋体" w:hAnsi="宋体" w:cs="宋体"/>
                <w:kern w:val="0"/>
                <w:szCs w:val="21"/>
              </w:rPr>
            </w:pPr>
            <w:r>
              <w:rPr>
                <w:rFonts w:ascii="宋体" w:hAnsi="宋体"/>
                <w:kern w:val="0"/>
                <w:szCs w:val="21"/>
              </w:rPr>
              <w:t>C</w:t>
            </w:r>
            <w:r>
              <w:rPr>
                <w:rFonts w:hint="eastAsia" w:ascii="宋体" w:hAnsi="宋体" w:cs="宋体"/>
                <w:kern w:val="0"/>
                <w:szCs w:val="21"/>
              </w:rPr>
              <w:t>、缺项或测算出现严重错误的得</w:t>
            </w:r>
            <w:r>
              <w:rPr>
                <w:rFonts w:hint="eastAsia" w:ascii="宋体" w:hAnsi="宋体"/>
                <w:szCs w:val="21"/>
              </w:rPr>
              <w:t>[</w:t>
            </w:r>
            <w:r>
              <w:rPr>
                <w:rFonts w:ascii="宋体" w:hAnsi="宋体"/>
                <w:szCs w:val="21"/>
              </w:rPr>
              <w:t>0</w:t>
            </w:r>
            <w:r>
              <w:rPr>
                <w:rFonts w:hint="eastAsia" w:ascii="宋体" w:hAnsi="宋体"/>
                <w:szCs w:val="21"/>
              </w:rPr>
              <w:t>，</w:t>
            </w:r>
            <w:r>
              <w:rPr>
                <w:rFonts w:ascii="宋体" w:hAnsi="宋体"/>
                <w:szCs w:val="21"/>
              </w:rPr>
              <w:t>2]</w:t>
            </w:r>
            <w:r>
              <w:rPr>
                <w:rFonts w:hint="eastAsia" w:ascii="宋体" w:hAnsi="宋体" w:cs="宋体"/>
                <w:kern w:val="0"/>
                <w:szCs w:val="21"/>
              </w:rPr>
              <w:t>分。</w:t>
            </w:r>
          </w:p>
          <w:p>
            <w:pPr>
              <w:pStyle w:val="205"/>
              <w:adjustRightInd w:val="0"/>
              <w:snapToGrid w:val="0"/>
              <w:jc w:val="left"/>
              <w:rPr>
                <w:rFonts w:ascii="宋体" w:hAnsi="宋体"/>
                <w:kern w:val="0"/>
                <w:szCs w:val="21"/>
              </w:rPr>
            </w:pPr>
            <w:r>
              <w:rPr>
                <w:rFonts w:ascii="宋体" w:hAnsi="宋体"/>
                <w:szCs w:val="21"/>
              </w:rPr>
              <w:t>评标委员会成员评分</w:t>
            </w:r>
            <w:r>
              <w:rPr>
                <w:rFonts w:hint="eastAsia" w:ascii="宋体" w:hAnsi="宋体"/>
                <w:szCs w:val="21"/>
              </w:rPr>
              <w:t>保留一位小数</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329" w:type="pct"/>
            <w:vAlign w:val="center"/>
          </w:tcPr>
          <w:p>
            <w:pPr>
              <w:pStyle w:val="205"/>
              <w:adjustRightInd w:val="0"/>
              <w:snapToGrid w:val="0"/>
              <w:jc w:val="left"/>
              <w:rPr>
                <w:rFonts w:ascii="宋体" w:hAnsi="宋体"/>
                <w:kern w:val="0"/>
                <w:szCs w:val="21"/>
              </w:rPr>
            </w:pPr>
            <w:r>
              <w:rPr>
                <w:rFonts w:hint="eastAsia" w:ascii="宋体" w:hAnsi="宋体"/>
                <w:kern w:val="0"/>
                <w:szCs w:val="21"/>
              </w:rPr>
              <w:t>3</w:t>
            </w:r>
          </w:p>
        </w:tc>
        <w:tc>
          <w:tcPr>
            <w:tcW w:w="856" w:type="pct"/>
            <w:vAlign w:val="center"/>
          </w:tcPr>
          <w:p>
            <w:pPr>
              <w:pStyle w:val="205"/>
              <w:adjustRightInd w:val="0"/>
              <w:snapToGrid w:val="0"/>
              <w:jc w:val="left"/>
              <w:rPr>
                <w:rFonts w:ascii="宋体" w:hAnsi="宋体"/>
                <w:kern w:val="0"/>
                <w:szCs w:val="21"/>
              </w:rPr>
            </w:pPr>
            <w:r>
              <w:rPr>
                <w:rFonts w:hint="eastAsia" w:ascii="宋体" w:hAnsi="宋体"/>
                <w:kern w:val="0"/>
                <w:szCs w:val="21"/>
              </w:rPr>
              <w:t>工艺技术方案</w:t>
            </w:r>
          </w:p>
          <w:p>
            <w:pPr>
              <w:pStyle w:val="205"/>
              <w:adjustRightInd w:val="0"/>
              <w:snapToGrid w:val="0"/>
              <w:jc w:val="left"/>
              <w:rPr>
                <w:rFonts w:ascii="宋体" w:hAnsi="宋体"/>
                <w:kern w:val="0"/>
                <w:szCs w:val="21"/>
              </w:rPr>
            </w:pPr>
            <w:r>
              <w:rPr>
                <w:rFonts w:hint="eastAsia" w:ascii="宋体" w:hAnsi="宋体"/>
                <w:kern w:val="0"/>
                <w:szCs w:val="21"/>
              </w:rPr>
              <w:t>(</w:t>
            </w:r>
            <w:r>
              <w:rPr>
                <w:rFonts w:ascii="宋体" w:hAnsi="宋体"/>
                <w:kern w:val="0"/>
                <w:szCs w:val="21"/>
              </w:rPr>
              <w:t>5</w:t>
            </w:r>
            <w:r>
              <w:rPr>
                <w:rFonts w:hint="eastAsia" w:ascii="宋体" w:hAnsi="宋体" w:cs="宋体"/>
                <w:kern w:val="0"/>
                <w:szCs w:val="21"/>
              </w:rPr>
              <w:t>分</w:t>
            </w:r>
            <w:r>
              <w:rPr>
                <w:rFonts w:ascii="宋体" w:hAnsi="宋体"/>
                <w:kern w:val="0"/>
                <w:szCs w:val="21"/>
              </w:rPr>
              <w:t>)</w:t>
            </w:r>
          </w:p>
        </w:tc>
        <w:tc>
          <w:tcPr>
            <w:tcW w:w="3815" w:type="pct"/>
            <w:vAlign w:val="center"/>
          </w:tcPr>
          <w:p>
            <w:pPr>
              <w:adjustRightInd w:val="0"/>
              <w:snapToGrid w:val="0"/>
              <w:jc w:val="left"/>
              <w:rPr>
                <w:rFonts w:ascii="宋体" w:hAnsi="宋体"/>
                <w:kern w:val="0"/>
                <w:szCs w:val="21"/>
              </w:rPr>
            </w:pPr>
            <w:r>
              <w:rPr>
                <w:rFonts w:hint="eastAsia" w:ascii="宋体" w:hAnsi="宋体"/>
                <w:szCs w:val="21"/>
              </w:rPr>
              <w:t>对针对本项目的工艺技术方案、相关设施设备选择的可靠性、合理性和完整性进行评分。</w:t>
            </w:r>
          </w:p>
          <w:p>
            <w:pPr>
              <w:pStyle w:val="205"/>
              <w:adjustRightInd w:val="0"/>
              <w:snapToGrid w:val="0"/>
              <w:jc w:val="left"/>
              <w:rPr>
                <w:rFonts w:ascii="宋体" w:hAnsi="宋体"/>
                <w:kern w:val="0"/>
                <w:szCs w:val="21"/>
              </w:rPr>
            </w:pPr>
            <w:r>
              <w:rPr>
                <w:rFonts w:hint="eastAsia" w:ascii="宋体" w:hAnsi="宋体"/>
                <w:kern w:val="0"/>
                <w:szCs w:val="21"/>
              </w:rPr>
              <w:t>A</w:t>
            </w:r>
            <w:r>
              <w:rPr>
                <w:rFonts w:hint="eastAsia" w:ascii="宋体" w:hAnsi="宋体" w:cs="宋体"/>
                <w:kern w:val="0"/>
                <w:szCs w:val="21"/>
              </w:rPr>
              <w:t>、技术方案合理合理，针对性强，满足项目要求，得</w:t>
            </w:r>
            <w:r>
              <w:rPr>
                <w:rFonts w:hint="eastAsia" w:ascii="宋体" w:hAnsi="宋体"/>
                <w:szCs w:val="21"/>
              </w:rPr>
              <w:t>（4，5</w:t>
            </w:r>
            <w:r>
              <w:rPr>
                <w:rFonts w:ascii="宋体" w:hAnsi="宋体"/>
                <w:szCs w:val="21"/>
              </w:rPr>
              <w:t>]</w:t>
            </w:r>
            <w:r>
              <w:rPr>
                <w:rFonts w:hint="eastAsia" w:ascii="宋体" w:hAnsi="宋体" w:cs="宋体"/>
                <w:kern w:val="0"/>
                <w:szCs w:val="21"/>
              </w:rPr>
              <w:t>分；</w:t>
            </w:r>
          </w:p>
          <w:p>
            <w:pPr>
              <w:pStyle w:val="205"/>
              <w:adjustRightInd w:val="0"/>
              <w:snapToGrid w:val="0"/>
              <w:jc w:val="left"/>
              <w:rPr>
                <w:rFonts w:ascii="宋体" w:hAnsi="宋体"/>
                <w:kern w:val="0"/>
                <w:szCs w:val="21"/>
              </w:rPr>
            </w:pPr>
            <w:r>
              <w:rPr>
                <w:rFonts w:ascii="宋体" w:hAnsi="宋体"/>
                <w:kern w:val="0"/>
                <w:szCs w:val="21"/>
              </w:rPr>
              <w:t>B</w:t>
            </w:r>
            <w:r>
              <w:rPr>
                <w:rFonts w:hint="eastAsia" w:ascii="宋体" w:hAnsi="宋体" w:cs="宋体"/>
                <w:kern w:val="0"/>
                <w:szCs w:val="21"/>
              </w:rPr>
              <w:t>、技术方案基本合理，针对性一般，基本可行，得</w:t>
            </w:r>
            <w:r>
              <w:rPr>
                <w:rFonts w:hint="eastAsia" w:ascii="宋体" w:hAnsi="宋体"/>
                <w:szCs w:val="21"/>
              </w:rPr>
              <w:t>（2，4</w:t>
            </w:r>
            <w:r>
              <w:rPr>
                <w:rFonts w:ascii="宋体" w:hAnsi="宋体"/>
                <w:szCs w:val="21"/>
              </w:rPr>
              <w:t>]</w:t>
            </w:r>
            <w:r>
              <w:rPr>
                <w:rFonts w:hint="eastAsia" w:ascii="宋体" w:hAnsi="宋体" w:cs="宋体"/>
                <w:kern w:val="0"/>
                <w:szCs w:val="21"/>
              </w:rPr>
              <w:t>分；</w:t>
            </w:r>
          </w:p>
          <w:p>
            <w:pPr>
              <w:pStyle w:val="205"/>
              <w:adjustRightInd w:val="0"/>
              <w:snapToGrid w:val="0"/>
              <w:jc w:val="left"/>
              <w:rPr>
                <w:rFonts w:ascii="宋体" w:hAnsi="宋体" w:cs="宋体"/>
                <w:kern w:val="0"/>
                <w:szCs w:val="21"/>
              </w:rPr>
            </w:pPr>
            <w:r>
              <w:rPr>
                <w:rFonts w:ascii="宋体" w:hAnsi="宋体"/>
                <w:kern w:val="0"/>
                <w:szCs w:val="21"/>
              </w:rPr>
              <w:t>C</w:t>
            </w:r>
            <w:r>
              <w:rPr>
                <w:rFonts w:hint="eastAsia" w:ascii="宋体" w:hAnsi="宋体" w:cs="宋体"/>
                <w:kern w:val="0"/>
                <w:szCs w:val="21"/>
              </w:rPr>
              <w:t>、技术方案欠合理，针对性差，得</w:t>
            </w:r>
            <w:r>
              <w:rPr>
                <w:rFonts w:hint="eastAsia" w:ascii="宋体" w:hAnsi="宋体"/>
                <w:szCs w:val="21"/>
              </w:rPr>
              <w:t>[</w:t>
            </w:r>
            <w:r>
              <w:rPr>
                <w:rFonts w:ascii="宋体" w:hAnsi="宋体"/>
                <w:szCs w:val="21"/>
              </w:rPr>
              <w:t>0</w:t>
            </w:r>
            <w:r>
              <w:rPr>
                <w:rFonts w:hint="eastAsia" w:ascii="宋体" w:hAnsi="宋体"/>
                <w:szCs w:val="21"/>
              </w:rPr>
              <w:t>，</w:t>
            </w:r>
            <w:r>
              <w:rPr>
                <w:rFonts w:ascii="宋体" w:hAnsi="宋体"/>
                <w:szCs w:val="21"/>
              </w:rPr>
              <w:t>2]</w:t>
            </w:r>
            <w:r>
              <w:rPr>
                <w:rFonts w:hint="eastAsia" w:ascii="宋体" w:hAnsi="宋体" w:cs="宋体"/>
                <w:kern w:val="0"/>
                <w:szCs w:val="21"/>
              </w:rPr>
              <w:t>分；</w:t>
            </w:r>
          </w:p>
          <w:p>
            <w:pPr>
              <w:pStyle w:val="205"/>
              <w:adjustRightInd w:val="0"/>
              <w:snapToGrid w:val="0"/>
              <w:jc w:val="left"/>
              <w:rPr>
                <w:rFonts w:ascii="宋体" w:hAnsi="宋体"/>
                <w:kern w:val="0"/>
                <w:szCs w:val="21"/>
              </w:rPr>
            </w:pPr>
            <w:r>
              <w:rPr>
                <w:rFonts w:ascii="宋体" w:hAnsi="宋体"/>
                <w:szCs w:val="21"/>
              </w:rPr>
              <w:t>评标委员会成员评分</w:t>
            </w:r>
            <w:r>
              <w:rPr>
                <w:rFonts w:hint="eastAsia" w:ascii="宋体" w:hAnsi="宋体"/>
                <w:szCs w:val="21"/>
              </w:rPr>
              <w:t>保留一位小数</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jc w:val="center"/>
        </w:trPr>
        <w:tc>
          <w:tcPr>
            <w:tcW w:w="329" w:type="pct"/>
            <w:vAlign w:val="center"/>
          </w:tcPr>
          <w:p>
            <w:pPr>
              <w:pStyle w:val="205"/>
              <w:adjustRightInd w:val="0"/>
              <w:snapToGrid w:val="0"/>
              <w:jc w:val="left"/>
              <w:rPr>
                <w:rFonts w:ascii="宋体" w:hAnsi="宋体"/>
                <w:kern w:val="0"/>
                <w:szCs w:val="21"/>
              </w:rPr>
            </w:pPr>
            <w:r>
              <w:rPr>
                <w:rFonts w:hint="eastAsia" w:ascii="宋体" w:hAnsi="宋体"/>
                <w:kern w:val="0"/>
                <w:szCs w:val="21"/>
              </w:rPr>
              <w:t>4</w:t>
            </w:r>
          </w:p>
        </w:tc>
        <w:tc>
          <w:tcPr>
            <w:tcW w:w="856" w:type="pct"/>
            <w:vAlign w:val="center"/>
          </w:tcPr>
          <w:p>
            <w:pPr>
              <w:pStyle w:val="205"/>
              <w:adjustRightInd w:val="0"/>
              <w:snapToGrid w:val="0"/>
              <w:jc w:val="left"/>
              <w:rPr>
                <w:rFonts w:ascii="宋体" w:hAnsi="宋体"/>
                <w:kern w:val="0"/>
                <w:szCs w:val="21"/>
              </w:rPr>
            </w:pPr>
            <w:r>
              <w:rPr>
                <w:rFonts w:hint="eastAsia" w:ascii="宋体" w:hAnsi="宋体" w:cs="宋体"/>
                <w:kern w:val="0"/>
                <w:szCs w:val="21"/>
              </w:rPr>
              <w:t>建设方案（10分）</w:t>
            </w:r>
          </w:p>
        </w:tc>
        <w:tc>
          <w:tcPr>
            <w:tcW w:w="3815" w:type="pct"/>
            <w:vAlign w:val="center"/>
          </w:tcPr>
          <w:p>
            <w:pPr>
              <w:pStyle w:val="205"/>
              <w:adjustRightInd w:val="0"/>
              <w:snapToGrid w:val="0"/>
              <w:jc w:val="left"/>
              <w:rPr>
                <w:rFonts w:ascii="宋体" w:hAnsi="宋体" w:cs="宋体"/>
                <w:kern w:val="0"/>
                <w:szCs w:val="21"/>
              </w:rPr>
            </w:pPr>
            <w:r>
              <w:rPr>
                <w:rFonts w:hint="eastAsia" w:ascii="宋体" w:hAnsi="宋体" w:cs="宋体"/>
                <w:kern w:val="0"/>
                <w:szCs w:val="21"/>
              </w:rPr>
              <w:t>投标人对本项目建设管理的施工方案与技术措施，质量管理体系与措施，安全管理体系与措施，环境保护管理体系与措施，工程进度与成本控制，资源配备计划等方面进行阐述。根据以上几个方面的完整性、先进性、合理性情况进行评分。</w:t>
            </w:r>
          </w:p>
          <w:p>
            <w:pPr>
              <w:pStyle w:val="205"/>
              <w:adjustRightInd w:val="0"/>
              <w:snapToGrid w:val="0"/>
              <w:jc w:val="left"/>
              <w:rPr>
                <w:rFonts w:ascii="宋体" w:hAnsi="宋体"/>
                <w:kern w:val="0"/>
                <w:szCs w:val="21"/>
              </w:rPr>
            </w:pPr>
            <w:r>
              <w:rPr>
                <w:rFonts w:hint="eastAsia" w:ascii="宋体" w:hAnsi="宋体"/>
                <w:kern w:val="0"/>
                <w:szCs w:val="21"/>
              </w:rPr>
              <w:t>A</w:t>
            </w:r>
            <w:r>
              <w:rPr>
                <w:rFonts w:hint="eastAsia" w:ascii="宋体" w:hAnsi="宋体" w:cs="宋体"/>
                <w:kern w:val="0"/>
                <w:szCs w:val="21"/>
              </w:rPr>
              <w:t>、各项阐述详细齐全、完善，合理可行，得</w:t>
            </w:r>
            <w:r>
              <w:rPr>
                <w:rFonts w:hint="eastAsia" w:ascii="宋体" w:hAnsi="宋体"/>
                <w:szCs w:val="21"/>
              </w:rPr>
              <w:t>（7，1</w:t>
            </w:r>
            <w:r>
              <w:rPr>
                <w:rFonts w:ascii="宋体" w:hAnsi="宋体"/>
                <w:szCs w:val="21"/>
              </w:rPr>
              <w:t>0]</w:t>
            </w:r>
            <w:r>
              <w:rPr>
                <w:rFonts w:hint="eastAsia" w:ascii="宋体" w:hAnsi="宋体" w:cs="宋体"/>
                <w:kern w:val="0"/>
                <w:szCs w:val="21"/>
              </w:rPr>
              <w:t>分；</w:t>
            </w:r>
          </w:p>
          <w:p>
            <w:pPr>
              <w:pStyle w:val="205"/>
              <w:adjustRightInd w:val="0"/>
              <w:snapToGrid w:val="0"/>
              <w:jc w:val="left"/>
              <w:rPr>
                <w:rFonts w:ascii="宋体" w:hAnsi="宋体"/>
                <w:kern w:val="0"/>
                <w:szCs w:val="21"/>
              </w:rPr>
            </w:pPr>
            <w:r>
              <w:rPr>
                <w:rFonts w:hint="eastAsia" w:ascii="宋体" w:hAnsi="宋体"/>
                <w:kern w:val="0"/>
                <w:szCs w:val="21"/>
              </w:rPr>
              <w:t>B</w:t>
            </w:r>
            <w:r>
              <w:rPr>
                <w:rFonts w:hint="eastAsia" w:ascii="宋体" w:hAnsi="宋体" w:cs="宋体"/>
                <w:kern w:val="0"/>
                <w:szCs w:val="21"/>
              </w:rPr>
              <w:t>、各项阐述基本齐全、基本详细、基本合理可行，得</w:t>
            </w:r>
            <w:r>
              <w:rPr>
                <w:rFonts w:hint="eastAsia" w:ascii="宋体" w:hAnsi="宋体"/>
                <w:szCs w:val="21"/>
              </w:rPr>
              <w:t>（4，7</w:t>
            </w:r>
            <w:r>
              <w:rPr>
                <w:rFonts w:ascii="宋体" w:hAnsi="宋体"/>
                <w:szCs w:val="21"/>
              </w:rPr>
              <w:t>]</w:t>
            </w:r>
            <w:r>
              <w:rPr>
                <w:rFonts w:hint="eastAsia" w:ascii="宋体" w:hAnsi="宋体" w:cs="宋体"/>
                <w:kern w:val="0"/>
                <w:szCs w:val="21"/>
              </w:rPr>
              <w:t>分；</w:t>
            </w:r>
          </w:p>
          <w:p>
            <w:pPr>
              <w:pStyle w:val="205"/>
              <w:adjustRightInd w:val="0"/>
              <w:snapToGrid w:val="0"/>
              <w:jc w:val="left"/>
              <w:rPr>
                <w:rFonts w:ascii="宋体" w:hAnsi="宋体"/>
                <w:kern w:val="0"/>
                <w:szCs w:val="21"/>
              </w:rPr>
            </w:pPr>
            <w:r>
              <w:rPr>
                <w:rFonts w:ascii="宋体" w:hAnsi="宋体"/>
                <w:kern w:val="0"/>
                <w:szCs w:val="21"/>
              </w:rPr>
              <w:t>C</w:t>
            </w:r>
            <w:r>
              <w:rPr>
                <w:rFonts w:hint="eastAsia" w:ascii="宋体" w:hAnsi="宋体" w:cs="宋体"/>
                <w:kern w:val="0"/>
                <w:szCs w:val="21"/>
              </w:rPr>
              <w:t>、各项阐述不齐全、整体不详细、考虑不周，得</w:t>
            </w:r>
            <w:r>
              <w:rPr>
                <w:rFonts w:hint="eastAsia" w:ascii="宋体" w:hAnsi="宋体"/>
                <w:szCs w:val="21"/>
              </w:rPr>
              <w:t>[</w:t>
            </w:r>
            <w:r>
              <w:rPr>
                <w:rFonts w:ascii="宋体" w:hAnsi="宋体"/>
                <w:szCs w:val="21"/>
              </w:rPr>
              <w:t>0</w:t>
            </w:r>
            <w:r>
              <w:rPr>
                <w:rFonts w:hint="eastAsia" w:ascii="宋体" w:hAnsi="宋体"/>
                <w:szCs w:val="21"/>
              </w:rPr>
              <w:t>，4</w:t>
            </w:r>
            <w:r>
              <w:rPr>
                <w:rFonts w:ascii="宋体" w:hAnsi="宋体"/>
                <w:szCs w:val="21"/>
              </w:rPr>
              <w:t>]</w:t>
            </w:r>
            <w:r>
              <w:rPr>
                <w:rFonts w:hint="eastAsia" w:ascii="宋体" w:hAnsi="宋体" w:cs="宋体"/>
                <w:kern w:val="0"/>
                <w:szCs w:val="21"/>
              </w:rPr>
              <w:t>分；</w:t>
            </w:r>
          </w:p>
          <w:p>
            <w:pPr>
              <w:pStyle w:val="205"/>
              <w:adjustRightInd w:val="0"/>
              <w:snapToGrid w:val="0"/>
              <w:jc w:val="left"/>
              <w:rPr>
                <w:rFonts w:ascii="宋体" w:hAnsi="宋体"/>
                <w:kern w:val="0"/>
                <w:szCs w:val="21"/>
              </w:rPr>
            </w:pPr>
            <w:r>
              <w:rPr>
                <w:rFonts w:ascii="宋体" w:hAnsi="宋体"/>
                <w:szCs w:val="21"/>
              </w:rPr>
              <w:t>评标委员会成员评分</w:t>
            </w:r>
            <w:r>
              <w:rPr>
                <w:rFonts w:hint="eastAsia" w:ascii="宋体" w:hAnsi="宋体"/>
                <w:szCs w:val="21"/>
              </w:rPr>
              <w:t>保留一位小数</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9" w:hRule="atLeast"/>
          <w:jc w:val="center"/>
        </w:trPr>
        <w:tc>
          <w:tcPr>
            <w:tcW w:w="329" w:type="pct"/>
            <w:vAlign w:val="center"/>
          </w:tcPr>
          <w:p>
            <w:pPr>
              <w:pStyle w:val="205"/>
              <w:adjustRightInd w:val="0"/>
              <w:snapToGrid w:val="0"/>
              <w:jc w:val="left"/>
              <w:rPr>
                <w:rFonts w:ascii="宋体" w:hAnsi="宋体"/>
                <w:kern w:val="0"/>
                <w:szCs w:val="21"/>
              </w:rPr>
            </w:pPr>
            <w:r>
              <w:rPr>
                <w:rFonts w:hint="eastAsia" w:ascii="宋体" w:hAnsi="宋体"/>
                <w:kern w:val="0"/>
                <w:szCs w:val="21"/>
              </w:rPr>
              <w:t>5</w:t>
            </w:r>
          </w:p>
        </w:tc>
        <w:tc>
          <w:tcPr>
            <w:tcW w:w="856" w:type="pct"/>
            <w:vAlign w:val="center"/>
          </w:tcPr>
          <w:p>
            <w:pPr>
              <w:widowControl/>
              <w:spacing w:line="360" w:lineRule="auto"/>
              <w:rPr>
                <w:rFonts w:ascii="宋体" w:hAnsi="宋体" w:cs="宋体"/>
                <w:kern w:val="0"/>
                <w:szCs w:val="21"/>
              </w:rPr>
            </w:pPr>
            <w:r>
              <w:rPr>
                <w:rFonts w:hint="eastAsia" w:ascii="宋体" w:hAnsi="宋体" w:cs="宋体"/>
                <w:kern w:val="0"/>
                <w:szCs w:val="21"/>
              </w:rPr>
              <w:t>管理方案（10分）</w:t>
            </w:r>
          </w:p>
          <w:p>
            <w:pPr>
              <w:pStyle w:val="205"/>
              <w:adjustRightInd w:val="0"/>
              <w:snapToGrid w:val="0"/>
              <w:jc w:val="left"/>
              <w:rPr>
                <w:rFonts w:ascii="宋体" w:hAnsi="宋体"/>
                <w:kern w:val="0"/>
                <w:szCs w:val="21"/>
              </w:rPr>
            </w:pPr>
          </w:p>
        </w:tc>
        <w:tc>
          <w:tcPr>
            <w:tcW w:w="3815" w:type="pct"/>
            <w:vAlign w:val="center"/>
          </w:tcPr>
          <w:p>
            <w:pPr>
              <w:adjustRightInd w:val="0"/>
              <w:snapToGrid w:val="0"/>
              <w:jc w:val="left"/>
              <w:rPr>
                <w:rFonts w:ascii="宋体" w:hAnsi="宋体"/>
                <w:szCs w:val="21"/>
              </w:rPr>
            </w:pPr>
            <w:r>
              <w:rPr>
                <w:rFonts w:hint="eastAsia" w:ascii="宋体" w:hAnsi="宋体"/>
                <w:szCs w:val="21"/>
              </w:rPr>
              <w:t>针对项目公司组建方案的完整性、合理性、可行性情况进行评分，包括组建计划、人员配备、组织结构设置及岗位职责、管理层级、管理制度体系、人员培训等方面。</w:t>
            </w:r>
          </w:p>
          <w:p>
            <w:pPr>
              <w:pStyle w:val="205"/>
              <w:adjustRightInd w:val="0"/>
              <w:snapToGrid w:val="0"/>
              <w:jc w:val="left"/>
              <w:rPr>
                <w:rFonts w:ascii="宋体" w:hAnsi="宋体"/>
                <w:kern w:val="0"/>
                <w:szCs w:val="21"/>
              </w:rPr>
            </w:pPr>
            <w:r>
              <w:rPr>
                <w:rFonts w:ascii="宋体" w:hAnsi="宋体"/>
                <w:kern w:val="0"/>
                <w:szCs w:val="21"/>
              </w:rPr>
              <w:t>A</w:t>
            </w:r>
            <w:r>
              <w:rPr>
                <w:rFonts w:hint="eastAsia" w:ascii="宋体" w:hAnsi="宋体" w:cs="宋体"/>
                <w:kern w:val="0"/>
                <w:szCs w:val="21"/>
              </w:rPr>
              <w:t>、满足要求且内容全面合理可行得</w:t>
            </w:r>
            <w:r>
              <w:rPr>
                <w:rFonts w:hint="eastAsia" w:ascii="宋体" w:hAnsi="宋体"/>
                <w:szCs w:val="21"/>
              </w:rPr>
              <w:t>（7，1</w:t>
            </w:r>
            <w:r>
              <w:rPr>
                <w:rFonts w:ascii="宋体" w:hAnsi="宋体"/>
                <w:szCs w:val="21"/>
              </w:rPr>
              <w:t>0]</w:t>
            </w:r>
            <w:r>
              <w:rPr>
                <w:rFonts w:hint="eastAsia" w:ascii="宋体" w:hAnsi="宋体" w:cs="宋体"/>
                <w:kern w:val="0"/>
                <w:szCs w:val="21"/>
              </w:rPr>
              <w:t>分；</w:t>
            </w:r>
          </w:p>
          <w:p>
            <w:pPr>
              <w:pStyle w:val="205"/>
              <w:adjustRightInd w:val="0"/>
              <w:snapToGrid w:val="0"/>
              <w:jc w:val="left"/>
              <w:rPr>
                <w:rFonts w:ascii="宋体" w:hAnsi="宋体"/>
                <w:kern w:val="0"/>
                <w:szCs w:val="21"/>
              </w:rPr>
            </w:pPr>
            <w:r>
              <w:rPr>
                <w:rFonts w:ascii="宋体" w:hAnsi="宋体"/>
                <w:kern w:val="0"/>
                <w:szCs w:val="21"/>
              </w:rPr>
              <w:t>B</w:t>
            </w:r>
            <w:r>
              <w:rPr>
                <w:rFonts w:hint="eastAsia" w:ascii="宋体" w:hAnsi="宋体" w:cs="宋体"/>
                <w:kern w:val="0"/>
                <w:szCs w:val="21"/>
              </w:rPr>
              <w:t>、基本满足要求且内容基本完整得</w:t>
            </w:r>
            <w:r>
              <w:rPr>
                <w:rFonts w:hint="eastAsia" w:ascii="宋体" w:hAnsi="宋体"/>
                <w:szCs w:val="21"/>
              </w:rPr>
              <w:t>（4，7</w:t>
            </w:r>
            <w:r>
              <w:rPr>
                <w:rFonts w:ascii="宋体" w:hAnsi="宋体"/>
                <w:szCs w:val="21"/>
              </w:rPr>
              <w:t>]</w:t>
            </w:r>
            <w:r>
              <w:rPr>
                <w:rFonts w:hint="eastAsia" w:ascii="宋体" w:hAnsi="宋体" w:cs="宋体"/>
                <w:kern w:val="0"/>
                <w:szCs w:val="21"/>
              </w:rPr>
              <w:t>分；</w:t>
            </w:r>
          </w:p>
          <w:p>
            <w:pPr>
              <w:pStyle w:val="205"/>
              <w:adjustRightInd w:val="0"/>
              <w:snapToGrid w:val="0"/>
              <w:jc w:val="left"/>
              <w:rPr>
                <w:rFonts w:ascii="宋体" w:hAnsi="宋体" w:cs="宋体"/>
                <w:kern w:val="0"/>
                <w:szCs w:val="21"/>
              </w:rPr>
            </w:pPr>
            <w:r>
              <w:rPr>
                <w:rFonts w:ascii="宋体" w:hAnsi="宋体"/>
                <w:kern w:val="0"/>
                <w:szCs w:val="21"/>
              </w:rPr>
              <w:t>C</w:t>
            </w:r>
            <w:r>
              <w:rPr>
                <w:rFonts w:hint="eastAsia" w:ascii="宋体" w:hAnsi="宋体"/>
                <w:kern w:val="0"/>
                <w:szCs w:val="21"/>
              </w:rPr>
              <w:t>、阐述不齐全、内容不合理的</w:t>
            </w:r>
            <w:r>
              <w:rPr>
                <w:rFonts w:hint="eastAsia" w:ascii="宋体" w:hAnsi="宋体" w:cs="宋体"/>
                <w:kern w:val="0"/>
                <w:szCs w:val="21"/>
              </w:rPr>
              <w:t>得</w:t>
            </w:r>
            <w:r>
              <w:rPr>
                <w:rFonts w:hint="eastAsia" w:ascii="宋体" w:hAnsi="宋体"/>
                <w:szCs w:val="21"/>
              </w:rPr>
              <w:t>[</w:t>
            </w:r>
            <w:r>
              <w:rPr>
                <w:rFonts w:ascii="宋体" w:hAnsi="宋体"/>
                <w:szCs w:val="21"/>
              </w:rPr>
              <w:t>0</w:t>
            </w:r>
            <w:r>
              <w:rPr>
                <w:rFonts w:hint="eastAsia" w:ascii="宋体" w:hAnsi="宋体"/>
                <w:szCs w:val="21"/>
              </w:rPr>
              <w:t>，4</w:t>
            </w:r>
            <w:r>
              <w:rPr>
                <w:rFonts w:ascii="宋体" w:hAnsi="宋体"/>
                <w:szCs w:val="21"/>
              </w:rPr>
              <w:t>]</w:t>
            </w:r>
            <w:r>
              <w:rPr>
                <w:rFonts w:hint="eastAsia" w:ascii="宋体" w:hAnsi="宋体" w:cs="宋体"/>
                <w:kern w:val="0"/>
                <w:szCs w:val="21"/>
              </w:rPr>
              <w:t>分；</w:t>
            </w:r>
          </w:p>
          <w:p>
            <w:pPr>
              <w:pStyle w:val="205"/>
              <w:adjustRightInd w:val="0"/>
              <w:snapToGrid w:val="0"/>
              <w:jc w:val="left"/>
              <w:rPr>
                <w:rFonts w:ascii="宋体" w:hAnsi="宋体"/>
                <w:kern w:val="0"/>
                <w:szCs w:val="21"/>
              </w:rPr>
            </w:pPr>
            <w:r>
              <w:rPr>
                <w:rFonts w:ascii="宋体" w:hAnsi="宋体"/>
                <w:szCs w:val="21"/>
              </w:rPr>
              <w:t>评标委员会成员评分</w:t>
            </w:r>
            <w:r>
              <w:rPr>
                <w:rFonts w:hint="eastAsia" w:ascii="宋体" w:hAnsi="宋体"/>
                <w:szCs w:val="21"/>
              </w:rPr>
              <w:t>保留一位小数</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jc w:val="center"/>
        </w:trPr>
        <w:tc>
          <w:tcPr>
            <w:tcW w:w="329" w:type="pct"/>
            <w:vAlign w:val="center"/>
          </w:tcPr>
          <w:p>
            <w:pPr>
              <w:pStyle w:val="205"/>
              <w:adjustRightInd w:val="0"/>
              <w:snapToGrid w:val="0"/>
              <w:jc w:val="left"/>
              <w:rPr>
                <w:rFonts w:ascii="宋体" w:hAnsi="宋体"/>
                <w:kern w:val="0"/>
                <w:szCs w:val="21"/>
              </w:rPr>
            </w:pPr>
            <w:r>
              <w:rPr>
                <w:rFonts w:hint="eastAsia" w:ascii="宋体" w:hAnsi="宋体"/>
                <w:kern w:val="0"/>
                <w:szCs w:val="21"/>
              </w:rPr>
              <w:t>6</w:t>
            </w:r>
          </w:p>
        </w:tc>
        <w:tc>
          <w:tcPr>
            <w:tcW w:w="856" w:type="pct"/>
            <w:vAlign w:val="center"/>
          </w:tcPr>
          <w:p>
            <w:pPr>
              <w:pStyle w:val="205"/>
              <w:adjustRightInd w:val="0"/>
              <w:snapToGrid w:val="0"/>
              <w:jc w:val="left"/>
              <w:rPr>
                <w:rFonts w:ascii="宋体" w:hAnsi="宋体"/>
                <w:kern w:val="0"/>
                <w:szCs w:val="21"/>
              </w:rPr>
            </w:pPr>
            <w:r>
              <w:rPr>
                <w:rFonts w:hint="eastAsia" w:ascii="宋体" w:hAnsi="宋体"/>
                <w:kern w:val="0"/>
                <w:szCs w:val="21"/>
              </w:rPr>
              <w:t>运营方案</w:t>
            </w:r>
          </w:p>
          <w:p>
            <w:pPr>
              <w:pStyle w:val="205"/>
              <w:adjustRightInd w:val="0"/>
              <w:snapToGrid w:val="0"/>
              <w:jc w:val="left"/>
              <w:rPr>
                <w:rFonts w:ascii="宋体" w:hAnsi="宋体"/>
                <w:kern w:val="0"/>
                <w:szCs w:val="21"/>
              </w:rPr>
            </w:pPr>
            <w:r>
              <w:rPr>
                <w:rFonts w:hint="eastAsia" w:ascii="宋体" w:hAnsi="宋体" w:cs="宋体"/>
                <w:kern w:val="0"/>
                <w:szCs w:val="21"/>
              </w:rPr>
              <w:t>（1</w:t>
            </w:r>
            <w:r>
              <w:rPr>
                <w:rFonts w:ascii="宋体" w:hAnsi="宋体" w:cs="宋体"/>
                <w:kern w:val="0"/>
                <w:szCs w:val="21"/>
              </w:rPr>
              <w:t>0</w:t>
            </w:r>
            <w:r>
              <w:rPr>
                <w:rFonts w:hint="eastAsia" w:ascii="宋体" w:hAnsi="宋体" w:cs="宋体"/>
                <w:kern w:val="0"/>
                <w:szCs w:val="21"/>
              </w:rPr>
              <w:t>分）</w:t>
            </w:r>
          </w:p>
        </w:tc>
        <w:tc>
          <w:tcPr>
            <w:tcW w:w="3815" w:type="pct"/>
            <w:vAlign w:val="center"/>
          </w:tcPr>
          <w:p>
            <w:pPr>
              <w:adjustRightInd w:val="0"/>
              <w:snapToGrid w:val="0"/>
              <w:jc w:val="left"/>
              <w:rPr>
                <w:rFonts w:ascii="宋体" w:hAnsi="宋体"/>
                <w:szCs w:val="21"/>
              </w:rPr>
            </w:pPr>
            <w:r>
              <w:rPr>
                <w:rFonts w:hint="eastAsia" w:ascii="宋体" w:hAnsi="宋体"/>
                <w:szCs w:val="21"/>
              </w:rPr>
              <w:t>针对运营方案的完整性、合理性、可行性情况进行评分，包括试运行期的设定和正式投入商业运营的标准、运营管理主要流程及制度、应急保障措施、维修维护方案、日常检测方案、劳保消防环境保护方案、与南马二期项目的衔接方案等。</w:t>
            </w:r>
          </w:p>
          <w:p>
            <w:pPr>
              <w:pStyle w:val="205"/>
              <w:adjustRightInd w:val="0"/>
              <w:snapToGrid w:val="0"/>
              <w:jc w:val="left"/>
              <w:rPr>
                <w:rFonts w:ascii="宋体" w:hAnsi="宋体"/>
                <w:kern w:val="0"/>
                <w:szCs w:val="21"/>
              </w:rPr>
            </w:pPr>
            <w:r>
              <w:rPr>
                <w:rFonts w:ascii="宋体" w:hAnsi="宋体"/>
                <w:kern w:val="0"/>
                <w:szCs w:val="21"/>
              </w:rPr>
              <w:t>A</w:t>
            </w:r>
            <w:r>
              <w:rPr>
                <w:rFonts w:hint="eastAsia" w:ascii="宋体" w:hAnsi="宋体" w:cs="宋体"/>
                <w:kern w:val="0"/>
                <w:szCs w:val="21"/>
              </w:rPr>
              <w:t>、满足要求且内容全面合理可行得</w:t>
            </w:r>
            <w:r>
              <w:rPr>
                <w:rFonts w:hint="eastAsia" w:ascii="宋体" w:hAnsi="宋体"/>
                <w:szCs w:val="21"/>
              </w:rPr>
              <w:t>（7，1</w:t>
            </w:r>
            <w:r>
              <w:rPr>
                <w:rFonts w:ascii="宋体" w:hAnsi="宋体"/>
                <w:szCs w:val="21"/>
              </w:rPr>
              <w:t>0]</w:t>
            </w:r>
            <w:r>
              <w:rPr>
                <w:rFonts w:hint="eastAsia" w:ascii="宋体" w:hAnsi="宋体" w:cs="宋体"/>
                <w:kern w:val="0"/>
                <w:szCs w:val="21"/>
              </w:rPr>
              <w:t>分；</w:t>
            </w:r>
          </w:p>
          <w:p>
            <w:pPr>
              <w:pStyle w:val="205"/>
              <w:adjustRightInd w:val="0"/>
              <w:snapToGrid w:val="0"/>
              <w:jc w:val="left"/>
              <w:rPr>
                <w:rFonts w:ascii="宋体" w:hAnsi="宋体"/>
                <w:kern w:val="0"/>
                <w:szCs w:val="21"/>
              </w:rPr>
            </w:pPr>
            <w:r>
              <w:rPr>
                <w:rFonts w:ascii="宋体" w:hAnsi="宋体"/>
                <w:kern w:val="0"/>
                <w:szCs w:val="21"/>
              </w:rPr>
              <w:t>B</w:t>
            </w:r>
            <w:r>
              <w:rPr>
                <w:rFonts w:hint="eastAsia" w:ascii="宋体" w:hAnsi="宋体" w:cs="宋体"/>
                <w:kern w:val="0"/>
                <w:szCs w:val="21"/>
              </w:rPr>
              <w:t>、基本满足要求且内容基本完整得</w:t>
            </w:r>
            <w:r>
              <w:rPr>
                <w:rFonts w:hint="eastAsia" w:ascii="宋体" w:hAnsi="宋体"/>
                <w:szCs w:val="21"/>
              </w:rPr>
              <w:t>（4，7</w:t>
            </w:r>
            <w:r>
              <w:rPr>
                <w:rFonts w:ascii="宋体" w:hAnsi="宋体"/>
                <w:szCs w:val="21"/>
              </w:rPr>
              <w:t>]</w:t>
            </w:r>
            <w:r>
              <w:rPr>
                <w:rFonts w:hint="eastAsia" w:ascii="宋体" w:hAnsi="宋体" w:cs="宋体"/>
                <w:kern w:val="0"/>
                <w:szCs w:val="21"/>
              </w:rPr>
              <w:t>分；</w:t>
            </w:r>
          </w:p>
          <w:p>
            <w:pPr>
              <w:pStyle w:val="205"/>
              <w:adjustRightInd w:val="0"/>
              <w:snapToGrid w:val="0"/>
              <w:jc w:val="left"/>
              <w:rPr>
                <w:rFonts w:ascii="宋体" w:hAnsi="宋体" w:cs="宋体"/>
                <w:kern w:val="0"/>
                <w:szCs w:val="21"/>
              </w:rPr>
            </w:pPr>
            <w:r>
              <w:rPr>
                <w:rFonts w:ascii="宋体" w:hAnsi="宋体"/>
                <w:kern w:val="0"/>
                <w:szCs w:val="21"/>
              </w:rPr>
              <w:t>C</w:t>
            </w:r>
            <w:r>
              <w:rPr>
                <w:rFonts w:hint="eastAsia" w:ascii="宋体" w:hAnsi="宋体"/>
                <w:kern w:val="0"/>
                <w:szCs w:val="21"/>
              </w:rPr>
              <w:t>、阐述不齐全、内容不合理的</w:t>
            </w:r>
            <w:r>
              <w:rPr>
                <w:rFonts w:hint="eastAsia" w:ascii="宋体" w:hAnsi="宋体" w:cs="宋体"/>
                <w:kern w:val="0"/>
                <w:szCs w:val="21"/>
              </w:rPr>
              <w:t>得</w:t>
            </w:r>
            <w:r>
              <w:rPr>
                <w:rFonts w:hint="eastAsia" w:ascii="宋体" w:hAnsi="宋体"/>
                <w:szCs w:val="21"/>
              </w:rPr>
              <w:t>[</w:t>
            </w:r>
            <w:r>
              <w:rPr>
                <w:rFonts w:ascii="宋体" w:hAnsi="宋体"/>
                <w:szCs w:val="21"/>
              </w:rPr>
              <w:t>0</w:t>
            </w:r>
            <w:r>
              <w:rPr>
                <w:rFonts w:hint="eastAsia" w:ascii="宋体" w:hAnsi="宋体"/>
                <w:szCs w:val="21"/>
              </w:rPr>
              <w:t>，4</w:t>
            </w:r>
            <w:r>
              <w:rPr>
                <w:rFonts w:ascii="宋体" w:hAnsi="宋体"/>
                <w:szCs w:val="21"/>
              </w:rPr>
              <w:t>]</w:t>
            </w:r>
            <w:r>
              <w:rPr>
                <w:rFonts w:hint="eastAsia" w:ascii="宋体" w:hAnsi="宋体" w:cs="宋体"/>
                <w:kern w:val="0"/>
                <w:szCs w:val="21"/>
              </w:rPr>
              <w:t>分；</w:t>
            </w:r>
          </w:p>
          <w:p>
            <w:pPr>
              <w:pStyle w:val="205"/>
              <w:adjustRightInd w:val="0"/>
              <w:snapToGrid w:val="0"/>
              <w:jc w:val="left"/>
              <w:rPr>
                <w:rFonts w:ascii="宋体" w:hAnsi="宋体"/>
                <w:kern w:val="0"/>
                <w:szCs w:val="21"/>
              </w:rPr>
            </w:pPr>
            <w:r>
              <w:rPr>
                <w:rFonts w:ascii="宋体" w:hAnsi="宋体"/>
                <w:szCs w:val="21"/>
              </w:rPr>
              <w:t>评标委员会成员评分</w:t>
            </w:r>
            <w:r>
              <w:rPr>
                <w:rFonts w:hint="eastAsia" w:ascii="宋体" w:hAnsi="宋体"/>
                <w:szCs w:val="21"/>
              </w:rPr>
              <w:t>保留一位小数</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9" w:hRule="atLeast"/>
          <w:jc w:val="center"/>
        </w:trPr>
        <w:tc>
          <w:tcPr>
            <w:tcW w:w="329" w:type="pct"/>
            <w:vAlign w:val="center"/>
          </w:tcPr>
          <w:p>
            <w:pPr>
              <w:pStyle w:val="205"/>
              <w:adjustRightInd w:val="0"/>
              <w:snapToGrid w:val="0"/>
              <w:jc w:val="left"/>
              <w:rPr>
                <w:rFonts w:ascii="宋体" w:hAnsi="宋体"/>
                <w:kern w:val="0"/>
                <w:szCs w:val="21"/>
              </w:rPr>
            </w:pPr>
            <w:r>
              <w:rPr>
                <w:rFonts w:hint="eastAsia" w:ascii="宋体" w:hAnsi="宋体"/>
                <w:kern w:val="0"/>
                <w:szCs w:val="21"/>
              </w:rPr>
              <w:t>7</w:t>
            </w:r>
          </w:p>
        </w:tc>
        <w:tc>
          <w:tcPr>
            <w:tcW w:w="856" w:type="pct"/>
            <w:vAlign w:val="center"/>
          </w:tcPr>
          <w:p>
            <w:pPr>
              <w:pStyle w:val="205"/>
              <w:adjustRightInd w:val="0"/>
              <w:snapToGrid w:val="0"/>
              <w:jc w:val="left"/>
              <w:rPr>
                <w:rFonts w:ascii="宋体" w:hAnsi="宋体"/>
                <w:kern w:val="0"/>
                <w:szCs w:val="21"/>
              </w:rPr>
            </w:pPr>
            <w:r>
              <w:rPr>
                <w:rFonts w:hint="eastAsia" w:ascii="宋体" w:hAnsi="宋体" w:cs="宋体"/>
                <w:kern w:val="0"/>
                <w:szCs w:val="21"/>
              </w:rPr>
              <w:t>移交方案（5分）</w:t>
            </w:r>
          </w:p>
        </w:tc>
        <w:tc>
          <w:tcPr>
            <w:tcW w:w="3815" w:type="pct"/>
            <w:vAlign w:val="center"/>
          </w:tcPr>
          <w:p>
            <w:pPr>
              <w:adjustRightInd w:val="0"/>
              <w:snapToGrid w:val="0"/>
              <w:jc w:val="left"/>
              <w:rPr>
                <w:rFonts w:ascii="宋体" w:hAnsi="宋体"/>
                <w:szCs w:val="21"/>
              </w:rPr>
            </w:pPr>
            <w:r>
              <w:rPr>
                <w:rFonts w:hint="eastAsia" w:ascii="宋体" w:hAnsi="宋体"/>
                <w:szCs w:val="21"/>
              </w:rPr>
              <w:t>对项目最后恢复性大修方案、移交方案（程序、内容、时间、资料、权利等）和人员培训方案等方案的全面性和可行性进行评分。</w:t>
            </w:r>
            <w:r>
              <w:rPr>
                <w:rFonts w:ascii="宋体" w:hAnsi="宋体"/>
                <w:szCs w:val="21"/>
              </w:rPr>
              <w:br w:type="textWrapping"/>
            </w:r>
            <w:r>
              <w:rPr>
                <w:rFonts w:hint="eastAsia" w:ascii="宋体" w:hAnsi="宋体"/>
                <w:szCs w:val="21"/>
              </w:rPr>
              <w:t>A、移交方案可靠、合理、完整的</w:t>
            </w:r>
            <w:r>
              <w:rPr>
                <w:rFonts w:ascii="宋体" w:hAnsi="宋体"/>
                <w:szCs w:val="21"/>
              </w:rPr>
              <w:t>得</w:t>
            </w:r>
            <w:r>
              <w:rPr>
                <w:rFonts w:hint="eastAsia" w:ascii="宋体" w:hAnsi="宋体"/>
                <w:szCs w:val="21"/>
              </w:rPr>
              <w:t>（4，5</w:t>
            </w:r>
            <w:r>
              <w:rPr>
                <w:rFonts w:ascii="宋体" w:hAnsi="宋体"/>
                <w:szCs w:val="21"/>
              </w:rPr>
              <w:t>]分</w:t>
            </w:r>
            <w:r>
              <w:rPr>
                <w:rFonts w:hint="eastAsia" w:ascii="宋体" w:hAnsi="宋体"/>
                <w:szCs w:val="21"/>
              </w:rPr>
              <w:t>；</w:t>
            </w:r>
          </w:p>
          <w:p>
            <w:pPr>
              <w:adjustRightInd w:val="0"/>
              <w:snapToGrid w:val="0"/>
              <w:jc w:val="left"/>
              <w:rPr>
                <w:rFonts w:ascii="宋体" w:hAnsi="宋体"/>
                <w:szCs w:val="21"/>
              </w:rPr>
            </w:pPr>
            <w:r>
              <w:rPr>
                <w:rFonts w:hint="eastAsia" w:ascii="宋体" w:hAnsi="宋体"/>
                <w:szCs w:val="21"/>
              </w:rPr>
              <w:t>B、移交方案比较合理的，</w:t>
            </w:r>
            <w:r>
              <w:rPr>
                <w:rFonts w:ascii="宋体" w:hAnsi="宋体"/>
                <w:szCs w:val="21"/>
              </w:rPr>
              <w:t>得</w:t>
            </w:r>
            <w:r>
              <w:rPr>
                <w:rFonts w:hint="eastAsia" w:ascii="宋体" w:hAnsi="宋体"/>
                <w:szCs w:val="21"/>
              </w:rPr>
              <w:t>（2，4</w:t>
            </w:r>
            <w:r>
              <w:rPr>
                <w:rFonts w:ascii="宋体" w:hAnsi="宋体"/>
                <w:szCs w:val="21"/>
              </w:rPr>
              <w:t>]分</w:t>
            </w:r>
            <w:r>
              <w:rPr>
                <w:rFonts w:hint="eastAsia" w:ascii="宋体" w:hAnsi="宋体"/>
                <w:szCs w:val="21"/>
              </w:rPr>
              <w:t>；</w:t>
            </w:r>
          </w:p>
          <w:p>
            <w:pPr>
              <w:adjustRightInd w:val="0"/>
              <w:snapToGrid w:val="0"/>
              <w:jc w:val="left"/>
              <w:rPr>
                <w:rFonts w:ascii="宋体" w:hAnsi="宋体"/>
                <w:szCs w:val="21"/>
              </w:rPr>
            </w:pPr>
            <w:r>
              <w:rPr>
                <w:rFonts w:hint="eastAsia" w:ascii="宋体" w:hAnsi="宋体"/>
                <w:szCs w:val="21"/>
              </w:rPr>
              <w:t>C、未满足项目要求，存在大量缺项的</w:t>
            </w:r>
            <w:r>
              <w:rPr>
                <w:rFonts w:ascii="宋体" w:hAnsi="宋体"/>
                <w:szCs w:val="21"/>
              </w:rPr>
              <w:t>得</w:t>
            </w:r>
            <w:r>
              <w:rPr>
                <w:rFonts w:hint="eastAsia" w:ascii="宋体" w:hAnsi="宋体"/>
                <w:szCs w:val="21"/>
              </w:rPr>
              <w:t>[</w:t>
            </w:r>
            <w:r>
              <w:rPr>
                <w:rFonts w:ascii="宋体" w:hAnsi="宋体"/>
                <w:szCs w:val="21"/>
              </w:rPr>
              <w:t>0</w:t>
            </w:r>
            <w:r>
              <w:rPr>
                <w:rFonts w:hint="eastAsia" w:ascii="宋体" w:hAnsi="宋体"/>
                <w:szCs w:val="21"/>
              </w:rPr>
              <w:t>，</w:t>
            </w:r>
            <w:r>
              <w:rPr>
                <w:rFonts w:ascii="宋体" w:hAnsi="宋体"/>
                <w:szCs w:val="21"/>
              </w:rPr>
              <w:t>2]分。</w:t>
            </w:r>
          </w:p>
          <w:p>
            <w:pPr>
              <w:pStyle w:val="205"/>
              <w:adjustRightInd w:val="0"/>
              <w:snapToGrid w:val="0"/>
              <w:jc w:val="left"/>
              <w:rPr>
                <w:rFonts w:ascii="宋体" w:hAnsi="宋体"/>
                <w:kern w:val="0"/>
                <w:szCs w:val="21"/>
              </w:rPr>
            </w:pPr>
            <w:r>
              <w:rPr>
                <w:rFonts w:ascii="宋体" w:hAnsi="宋体"/>
                <w:szCs w:val="21"/>
              </w:rPr>
              <w:t>评标委员会成员评分</w:t>
            </w:r>
            <w:r>
              <w:rPr>
                <w:rFonts w:hint="eastAsia" w:ascii="宋体" w:hAnsi="宋体"/>
                <w:szCs w:val="21"/>
              </w:rPr>
              <w:t>保留一位小数</w:t>
            </w:r>
            <w:r>
              <w:rPr>
                <w:rFonts w:ascii="宋体" w:hAnsi="宋体"/>
                <w:szCs w:val="21"/>
              </w:rPr>
              <w:t>。</w:t>
            </w:r>
          </w:p>
        </w:tc>
      </w:tr>
    </w:tbl>
    <w:p/>
    <w:p>
      <w:pPr>
        <w:widowControl/>
        <w:jc w:val="left"/>
        <w:rPr>
          <w:b/>
          <w:bCs/>
          <w:kern w:val="44"/>
          <w:sz w:val="32"/>
          <w:szCs w:val="20"/>
        </w:rPr>
      </w:pPr>
      <w:r>
        <w:br w:type="page"/>
      </w:r>
    </w:p>
    <w:p>
      <w:pPr>
        <w:pStyle w:val="3"/>
        <w:rPr>
          <w:rFonts w:ascii="宋体" w:hAnsi="宋体"/>
          <w:sz w:val="28"/>
          <w:szCs w:val="28"/>
        </w:rPr>
      </w:pPr>
      <w:bookmarkStart w:id="178" w:name="_Toc59530181"/>
      <w:r>
        <w:rPr>
          <w:rFonts w:hint="eastAsia"/>
        </w:rPr>
        <w:t>第七章附件</w:t>
      </w:r>
      <w:bookmarkEnd w:id="178"/>
    </w:p>
    <w:p>
      <w:pPr>
        <w:pStyle w:val="5"/>
      </w:pPr>
      <w:bookmarkStart w:id="179" w:name="_Toc59530182"/>
      <w:r>
        <w:rPr>
          <w:rFonts w:hint="eastAsia"/>
        </w:rPr>
        <w:t>附件1、实施方案（电子稿，至公告附件下载）</w:t>
      </w:r>
      <w:bookmarkEnd w:id="179"/>
    </w:p>
    <w:p>
      <w:pPr>
        <w:pStyle w:val="5"/>
      </w:pPr>
      <w:bookmarkStart w:id="180" w:name="_Toc59530183"/>
      <w:r>
        <w:rPr>
          <w:rFonts w:hint="eastAsia"/>
        </w:rPr>
        <w:t>附件2、可行性研究报告（电子稿，至公告附件下载）</w:t>
      </w:r>
      <w:bookmarkEnd w:id="180"/>
    </w:p>
    <w:p>
      <w:pPr>
        <w:snapToGrid w:val="0"/>
        <w:spacing w:before="120" w:beforeLines="50" w:after="50"/>
        <w:rPr>
          <w:rFonts w:ascii="宋体" w:hAnsi="宋体"/>
          <w:b/>
          <w:sz w:val="24"/>
        </w:rPr>
      </w:pPr>
      <w:r>
        <w:rPr>
          <w:rFonts w:ascii="宋体" w:hAnsi="宋体"/>
          <w:szCs w:val="21"/>
        </w:rPr>
        <w:br w:type="page"/>
      </w:r>
    </w:p>
    <w:p>
      <w:pPr>
        <w:pStyle w:val="5"/>
      </w:pPr>
      <w:bookmarkStart w:id="181" w:name="_Toc59530184"/>
      <w:r>
        <w:rPr>
          <w:rFonts w:hint="eastAsia"/>
        </w:rPr>
        <w:t>附件</w:t>
      </w:r>
      <w:r>
        <w:t>3</w:t>
      </w:r>
      <w:r>
        <w:rPr>
          <w:rFonts w:hint="eastAsia"/>
        </w:rPr>
        <w:t>：中小企业声明函（</w:t>
      </w:r>
      <w:r>
        <w:rPr>
          <w:rFonts w:hint="eastAsia" w:ascii="宋体" w:hAnsi="宋体"/>
        </w:rPr>
        <w:t>小微企业投标时适用，提供中小企业名录查询结果截图http://xwqy.gsxt.gov.cn，不提供不予抵扣</w:t>
      </w:r>
      <w:r>
        <w:rPr>
          <w:rFonts w:hint="eastAsia"/>
        </w:rPr>
        <w:t>）</w:t>
      </w:r>
      <w:bookmarkEnd w:id="181"/>
    </w:p>
    <w:p>
      <w:pPr>
        <w:widowControl/>
        <w:spacing w:before="100" w:beforeAutospacing="1" w:after="190"/>
        <w:ind w:firstLine="480"/>
        <w:jc w:val="center"/>
        <w:rPr>
          <w:rFonts w:ascii="宋体" w:hAnsi="宋体" w:cs="Arial"/>
          <w:b/>
          <w:bCs/>
          <w:kern w:val="0"/>
          <w:sz w:val="30"/>
          <w:szCs w:val="30"/>
        </w:rPr>
      </w:pPr>
      <w:r>
        <w:rPr>
          <w:rFonts w:hint="eastAsia" w:ascii="宋体" w:hAnsi="宋体" w:cs="Arial"/>
          <w:b/>
          <w:bCs/>
          <w:kern w:val="0"/>
          <w:sz w:val="30"/>
          <w:szCs w:val="30"/>
        </w:rPr>
        <w:t xml:space="preserve"> 中小企业声明函</w:t>
      </w:r>
    </w:p>
    <w:p>
      <w:pPr>
        <w:rPr>
          <w:rFonts w:ascii="宋体" w:hAnsi="宋体"/>
        </w:rPr>
      </w:pPr>
    </w:p>
    <w:p>
      <w:pPr>
        <w:rPr>
          <w:rFonts w:ascii="宋体" w:hAnsi="宋体"/>
        </w:rPr>
      </w:pPr>
    </w:p>
    <w:p>
      <w:pPr>
        <w:spacing w:line="360" w:lineRule="auto"/>
        <w:ind w:right="6" w:firstLine="420" w:firstLineChars="200"/>
        <w:rPr>
          <w:rFonts w:ascii="宋体" w:hAnsi="宋体"/>
        </w:rPr>
      </w:pPr>
      <w:r>
        <w:rPr>
          <w:rFonts w:hint="eastAsia" w:ascii="宋体" w:hAnsi="宋体"/>
        </w:rPr>
        <w:t>本公司郑重声明，根据《政府采购促进中小企业发展暂行办法》（财库〔2011〕181号）的规定，本公司为______（请填写：中型、小型、微型）企业。即，本公司同时满足以下条件：</w:t>
      </w:r>
      <w:r>
        <w:rPr>
          <w:rFonts w:hint="eastAsia" w:ascii="宋体" w:hAnsi="宋体"/>
        </w:rPr>
        <w:br w:type="textWrapping"/>
      </w:r>
      <w:r>
        <w:rPr>
          <w:rFonts w:hint="eastAsia" w:ascii="宋体" w:hAnsi="宋体"/>
        </w:rPr>
        <w:t>1.根据《工业和信息化部、国家统计局、国家发展和改革委员会、财政部关于印发中小企业划型标准规定的通知》（工信部联企业〔2011〕300号）规定的划分标准，本公司为______（请填写：中型、小型、微型）企业。</w:t>
      </w:r>
      <w:r>
        <w:rPr>
          <w:rFonts w:hint="eastAsia" w:ascii="宋体" w:hAnsi="宋体"/>
        </w:rPr>
        <w:br w:type="textWrapping"/>
      </w:r>
      <w:r>
        <w:rPr>
          <w:rFonts w:hint="eastAsia" w:ascii="宋体" w:hAnsi="宋体"/>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360" w:lineRule="auto"/>
        <w:ind w:right="6" w:firstLine="211" w:firstLineChars="100"/>
        <w:rPr>
          <w:rFonts w:ascii="宋体" w:hAnsi="宋体"/>
          <w:b/>
        </w:rPr>
      </w:pPr>
      <w:r>
        <w:rPr>
          <w:rFonts w:hint="eastAsia" w:ascii="宋体" w:hAnsi="宋体"/>
          <w:b/>
        </w:rPr>
        <w:t>本公司对上述声明的真实性负责。如有虚假，将依法承担相应责任。</w:t>
      </w:r>
    </w:p>
    <w:p>
      <w:pPr>
        <w:spacing w:before="100" w:beforeAutospacing="1" w:after="100" w:afterAutospacing="1" w:line="432" w:lineRule="auto"/>
        <w:ind w:firstLine="6090" w:firstLineChars="2900"/>
        <w:rPr>
          <w:rFonts w:ascii="宋体" w:hAnsi="宋体"/>
          <w:szCs w:val="21"/>
        </w:rPr>
      </w:pPr>
      <w:r>
        <w:rPr>
          <w:rFonts w:hint="eastAsia" w:ascii="宋体" w:hAnsi="宋体"/>
          <w:szCs w:val="21"/>
        </w:rPr>
        <w:t>企业名称（盖章）：</w:t>
      </w:r>
    </w:p>
    <w:p>
      <w:pPr>
        <w:spacing w:before="100" w:beforeAutospacing="1" w:after="100" w:afterAutospacing="1" w:line="432" w:lineRule="auto"/>
        <w:ind w:firstLine="6459" w:firstLineChars="3076"/>
        <w:rPr>
          <w:rFonts w:ascii="宋体" w:hAnsi="宋体"/>
          <w:szCs w:val="21"/>
        </w:rPr>
      </w:pPr>
      <w:r>
        <w:rPr>
          <w:rFonts w:hint="eastAsia" w:ascii="宋体" w:hAnsi="宋体"/>
          <w:szCs w:val="21"/>
        </w:rPr>
        <w:t>日   期：</w:t>
      </w:r>
    </w:p>
    <w:p>
      <w:pPr>
        <w:numPr>
          <w:ilvl w:val="1"/>
          <w:numId w:val="3"/>
        </w:numPr>
        <w:tabs>
          <w:tab w:val="left" w:pos="420"/>
        </w:tabs>
        <w:spacing w:before="100" w:beforeAutospacing="1" w:after="100" w:afterAutospacing="1" w:line="432" w:lineRule="auto"/>
        <w:ind w:left="420"/>
        <w:rPr>
          <w:rFonts w:ascii="宋体" w:hAnsi="宋体"/>
          <w:b/>
          <w:szCs w:val="21"/>
        </w:rPr>
      </w:pPr>
      <w:r>
        <w:rPr>
          <w:rFonts w:hint="eastAsia" w:ascii="宋体" w:hAnsi="宋体"/>
          <w:b/>
          <w:szCs w:val="21"/>
        </w:rPr>
        <w:t>如投标产品由小微企业生产，则需提供中小企业声明函（小微企业投标时适用，提供中小企业名录查询结果截图http://xwqy.gsxt.gov.cn，不提供不予抵扣）</w:t>
      </w:r>
    </w:p>
    <w:p>
      <w:pPr>
        <w:numPr>
          <w:ilvl w:val="1"/>
          <w:numId w:val="3"/>
        </w:numPr>
        <w:tabs>
          <w:tab w:val="left" w:pos="420"/>
        </w:tabs>
        <w:spacing w:before="100" w:beforeAutospacing="1" w:after="100" w:afterAutospacing="1" w:line="432" w:lineRule="auto"/>
        <w:ind w:left="420"/>
        <w:rPr>
          <w:rFonts w:ascii="宋体" w:hAnsi="宋体"/>
          <w:b/>
          <w:szCs w:val="21"/>
        </w:rPr>
      </w:pPr>
      <w:r>
        <w:rPr>
          <w:rFonts w:hint="eastAsia" w:ascii="宋体" w:hAnsi="宋体"/>
          <w:b/>
          <w:szCs w:val="21"/>
        </w:rPr>
        <w:t>小型、微型企业提供中型企业制造的货物的，视同为中型企业。</w:t>
      </w:r>
    </w:p>
    <w:p>
      <w:pPr>
        <w:numPr>
          <w:ilvl w:val="1"/>
          <w:numId w:val="3"/>
        </w:numPr>
        <w:tabs>
          <w:tab w:val="left" w:pos="420"/>
        </w:tabs>
        <w:spacing w:before="100" w:beforeAutospacing="1" w:after="100" w:afterAutospacing="1" w:line="432" w:lineRule="auto"/>
        <w:ind w:left="420"/>
        <w:rPr>
          <w:rFonts w:ascii="宋体" w:hAnsi="宋体"/>
          <w:b/>
          <w:szCs w:val="21"/>
        </w:rPr>
      </w:pPr>
      <w:r>
        <w:rPr>
          <w:rFonts w:hint="eastAsia" w:ascii="宋体" w:hAnsi="宋体"/>
          <w:b/>
          <w:szCs w:val="21"/>
        </w:rPr>
        <w:t>如中标人声明为小微企业，本声明函将随中标结果同时公告，接受社会监督。</w:t>
      </w:r>
    </w:p>
    <w:p>
      <w:pPr>
        <w:spacing w:line="360" w:lineRule="auto"/>
        <w:ind w:right="6"/>
        <w:rPr>
          <w:rFonts w:ascii="宋体" w:hAnsi="宋体"/>
          <w:b/>
        </w:rPr>
      </w:pPr>
    </w:p>
    <w:p>
      <w:pPr>
        <w:spacing w:line="360" w:lineRule="auto"/>
        <w:ind w:right="6" w:firstLine="211" w:firstLineChars="100"/>
        <w:rPr>
          <w:rFonts w:ascii="宋体" w:hAnsi="宋体"/>
          <w:b/>
        </w:rPr>
      </w:pPr>
    </w:p>
    <w:p>
      <w:pPr>
        <w:spacing w:line="360" w:lineRule="auto"/>
        <w:ind w:right="6" w:firstLine="211" w:firstLineChars="100"/>
        <w:rPr>
          <w:rFonts w:ascii="宋体" w:hAnsi="宋体"/>
          <w:b/>
        </w:rPr>
      </w:pPr>
    </w:p>
    <w:p>
      <w:pPr>
        <w:spacing w:line="360" w:lineRule="auto"/>
        <w:ind w:right="6" w:firstLine="211" w:firstLineChars="100"/>
        <w:rPr>
          <w:rFonts w:ascii="宋体" w:hAnsi="宋体"/>
          <w:b/>
        </w:rPr>
      </w:pPr>
    </w:p>
    <w:p>
      <w:pPr>
        <w:spacing w:line="360" w:lineRule="auto"/>
        <w:ind w:right="6" w:firstLine="211" w:firstLineChars="100"/>
        <w:rPr>
          <w:rFonts w:ascii="宋体" w:hAnsi="宋体"/>
          <w:b/>
        </w:rPr>
      </w:pPr>
    </w:p>
    <w:p>
      <w:pPr>
        <w:widowControl/>
        <w:jc w:val="left"/>
        <w:rPr>
          <w:rFonts w:ascii="宋体" w:hAnsi="宋体"/>
          <w:b/>
          <w:sz w:val="24"/>
        </w:rPr>
      </w:pPr>
      <w:bookmarkStart w:id="182" w:name="_Toc518487308"/>
      <w:r>
        <w:rPr>
          <w:rFonts w:ascii="宋体" w:hAnsi="宋体"/>
          <w:bCs/>
        </w:rPr>
        <w:br w:type="page"/>
      </w:r>
    </w:p>
    <w:p>
      <w:pPr>
        <w:pStyle w:val="5"/>
      </w:pPr>
      <w:bookmarkStart w:id="183" w:name="_Toc59530185"/>
      <w:r>
        <w:rPr>
          <w:rFonts w:hint="eastAsia"/>
        </w:rPr>
        <w:t>附件</w:t>
      </w:r>
      <w:r>
        <w:t>4</w:t>
      </w:r>
      <w:r>
        <w:rPr>
          <w:rFonts w:hint="eastAsia"/>
        </w:rPr>
        <w:t>：</w:t>
      </w:r>
      <w:bookmarkStart w:id="184" w:name="OLE_LINK13"/>
      <w:bookmarkStart w:id="185" w:name="OLE_LINK14"/>
      <w:r>
        <w:rPr>
          <w:rFonts w:hint="eastAsia"/>
        </w:rPr>
        <w:t>残疾人福利性单位声明函</w:t>
      </w:r>
      <w:bookmarkEnd w:id="182"/>
      <w:r>
        <w:rPr>
          <w:rFonts w:hint="eastAsia"/>
        </w:rPr>
        <w:t>及残疾人福利性单位残疾人聘用情况表（</w:t>
      </w:r>
      <w:r>
        <w:rPr>
          <w:rFonts w:hint="eastAsia" w:ascii="宋体" w:hAnsi="宋体"/>
        </w:rPr>
        <w:t>残疾人福利性单位投标时适用）</w:t>
      </w:r>
      <w:bookmarkEnd w:id="183"/>
    </w:p>
    <w:p>
      <w:pPr>
        <w:widowControl/>
        <w:spacing w:before="100" w:beforeAutospacing="1" w:after="190"/>
        <w:jc w:val="center"/>
        <w:rPr>
          <w:rFonts w:ascii="宋体" w:hAnsi="宋体" w:cs="Arial"/>
          <w:b/>
          <w:bCs/>
          <w:kern w:val="0"/>
          <w:sz w:val="30"/>
          <w:szCs w:val="30"/>
        </w:rPr>
      </w:pPr>
    </w:p>
    <w:p>
      <w:pPr>
        <w:widowControl/>
        <w:spacing w:before="100" w:beforeAutospacing="1" w:after="190"/>
        <w:jc w:val="center"/>
        <w:rPr>
          <w:rFonts w:ascii="宋体" w:hAnsi="宋体"/>
          <w:b/>
          <w:spacing w:val="6"/>
          <w:sz w:val="30"/>
          <w:szCs w:val="30"/>
        </w:rPr>
      </w:pPr>
      <w:r>
        <w:rPr>
          <w:rFonts w:hint="eastAsia" w:ascii="宋体" w:hAnsi="宋体" w:cs="Arial"/>
          <w:b/>
          <w:bCs/>
          <w:kern w:val="0"/>
          <w:sz w:val="30"/>
          <w:szCs w:val="30"/>
        </w:rPr>
        <w:t>残疾人福利性单位声明函</w:t>
      </w:r>
      <w:bookmarkEnd w:id="184"/>
      <w:bookmarkEnd w:id="185"/>
    </w:p>
    <w:p>
      <w:pPr>
        <w:spacing w:line="588" w:lineRule="exact"/>
        <w:ind w:firstLine="420" w:firstLineChars="200"/>
        <w:rPr>
          <w:rFonts w:ascii="宋体" w:hAnsi="宋体"/>
        </w:rPr>
      </w:pPr>
      <w:r>
        <w:rPr>
          <w:rFonts w:hint="eastAsia" w:ascii="宋体" w:hAnsi="宋体"/>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20" w:firstLineChars="200"/>
        <w:rPr>
          <w:rFonts w:ascii="宋体" w:hAnsi="宋体"/>
        </w:rPr>
      </w:pPr>
      <w:r>
        <w:rPr>
          <w:rFonts w:hint="eastAsia" w:ascii="宋体" w:hAnsi="宋体"/>
        </w:rPr>
        <w:t>本单位对上述声明的真实性负责。如有虚假，将依法承担相应责任。</w:t>
      </w:r>
    </w:p>
    <w:p>
      <w:pPr>
        <w:spacing w:line="588" w:lineRule="exact"/>
        <w:ind w:firstLine="624" w:firstLineChars="200"/>
        <w:rPr>
          <w:rFonts w:ascii="宋体" w:hAnsi="宋体"/>
          <w:spacing w:val="6"/>
          <w:sz w:val="30"/>
          <w:szCs w:val="30"/>
        </w:rPr>
      </w:pPr>
    </w:p>
    <w:p>
      <w:pPr>
        <w:spacing w:line="588" w:lineRule="exact"/>
        <w:ind w:firstLine="624" w:firstLineChars="200"/>
        <w:rPr>
          <w:rFonts w:ascii="宋体" w:hAnsi="宋体"/>
          <w:spacing w:val="6"/>
          <w:sz w:val="30"/>
          <w:szCs w:val="30"/>
        </w:rPr>
      </w:pPr>
    </w:p>
    <w:p>
      <w:pPr>
        <w:tabs>
          <w:tab w:val="left" w:pos="4860"/>
        </w:tabs>
        <w:spacing w:line="588" w:lineRule="exact"/>
        <w:ind w:right="1560" w:firstLine="420" w:firstLineChars="200"/>
        <w:jc w:val="center"/>
        <w:rPr>
          <w:rFonts w:ascii="宋体" w:hAnsi="宋体"/>
        </w:rPr>
      </w:pPr>
      <w:r>
        <w:rPr>
          <w:rFonts w:hint="eastAsia" w:ascii="宋体" w:hAnsi="宋体"/>
        </w:rPr>
        <w:t xml:space="preserve">                                           单位名称（盖章）：</w:t>
      </w:r>
    </w:p>
    <w:p>
      <w:pPr>
        <w:tabs>
          <w:tab w:val="left" w:pos="4860"/>
        </w:tabs>
        <w:spacing w:line="588" w:lineRule="exact"/>
        <w:ind w:right="1560" w:firstLine="420" w:firstLineChars="200"/>
        <w:jc w:val="center"/>
        <w:rPr>
          <w:rFonts w:ascii="宋体" w:hAnsi="宋体"/>
        </w:rPr>
      </w:pPr>
    </w:p>
    <w:p>
      <w:pPr>
        <w:rPr>
          <w:rFonts w:ascii="宋体" w:hAnsi="宋体"/>
        </w:rPr>
      </w:pPr>
      <w:r>
        <w:rPr>
          <w:rFonts w:hint="eastAsia" w:ascii="宋体" w:hAnsi="宋体"/>
        </w:rPr>
        <w:t xml:space="preserve">                                                 日期：</w:t>
      </w:r>
    </w:p>
    <w:p>
      <w:pPr>
        <w:rPr>
          <w:rFonts w:ascii="宋体" w:hAnsi="宋体"/>
        </w:rPr>
      </w:pPr>
    </w:p>
    <w:p>
      <w:pPr>
        <w:rPr>
          <w:rFonts w:ascii="宋体" w:hAnsi="宋体"/>
        </w:rPr>
      </w:pPr>
    </w:p>
    <w:p>
      <w:pPr>
        <w:rPr>
          <w:rFonts w:ascii="宋体" w:hAnsi="宋体"/>
        </w:rPr>
      </w:pPr>
    </w:p>
    <w:p>
      <w:pPr>
        <w:numPr>
          <w:ilvl w:val="0"/>
          <w:numId w:val="4"/>
        </w:numPr>
        <w:tabs>
          <w:tab w:val="left" w:pos="420"/>
        </w:tabs>
        <w:spacing w:before="100" w:beforeAutospacing="1" w:after="100" w:afterAutospacing="1" w:line="432" w:lineRule="auto"/>
        <w:ind w:hanging="1244"/>
        <w:rPr>
          <w:rFonts w:ascii="宋体" w:hAnsi="宋体"/>
          <w:b/>
          <w:szCs w:val="21"/>
        </w:rPr>
      </w:pPr>
      <w:r>
        <w:rPr>
          <w:rFonts w:hint="eastAsia" w:ascii="宋体" w:hAnsi="宋体"/>
          <w:b/>
          <w:szCs w:val="21"/>
        </w:rPr>
        <w:t>残疾人福利性单位视同小型、微型企业，享受价格扣除。</w:t>
      </w:r>
    </w:p>
    <w:p>
      <w:pPr>
        <w:numPr>
          <w:ilvl w:val="0"/>
          <w:numId w:val="4"/>
        </w:numPr>
        <w:tabs>
          <w:tab w:val="left" w:pos="420"/>
        </w:tabs>
        <w:spacing w:before="100" w:beforeAutospacing="1" w:after="100" w:afterAutospacing="1" w:line="432" w:lineRule="auto"/>
        <w:ind w:hanging="1244"/>
        <w:rPr>
          <w:rFonts w:ascii="宋体" w:hAnsi="宋体"/>
          <w:b/>
          <w:szCs w:val="21"/>
        </w:rPr>
      </w:pPr>
      <w:r>
        <w:rPr>
          <w:rFonts w:hint="eastAsia" w:ascii="宋体" w:hAnsi="宋体"/>
          <w:b/>
          <w:szCs w:val="21"/>
        </w:rPr>
        <w:t>残疾人福利性单位属于小型、微型企业的，不重复享受政策。</w:t>
      </w:r>
    </w:p>
    <w:p>
      <w:pPr>
        <w:numPr>
          <w:ilvl w:val="0"/>
          <w:numId w:val="4"/>
        </w:numPr>
        <w:tabs>
          <w:tab w:val="left" w:pos="420"/>
        </w:tabs>
        <w:spacing w:before="100" w:beforeAutospacing="1" w:after="100" w:afterAutospacing="1" w:line="432" w:lineRule="auto"/>
        <w:ind w:hanging="1244"/>
        <w:rPr>
          <w:rFonts w:ascii="宋体" w:hAnsi="宋体"/>
          <w:b/>
          <w:szCs w:val="21"/>
        </w:rPr>
      </w:pPr>
      <w:r>
        <w:rPr>
          <w:rFonts w:hint="eastAsia" w:ascii="宋体" w:hAnsi="宋体"/>
          <w:b/>
          <w:szCs w:val="21"/>
        </w:rPr>
        <w:t>如中标人声明为残疾人福利性单位，本声明函将随中标结果同时公告，接受社会监督。</w:t>
      </w:r>
    </w:p>
    <w:p>
      <w:pPr>
        <w:widowControl/>
        <w:jc w:val="left"/>
        <w:rPr>
          <w:rFonts w:ascii="宋体" w:hAnsi="宋体"/>
          <w:b/>
        </w:rPr>
      </w:pPr>
      <w:r>
        <w:rPr>
          <w:rFonts w:ascii="宋体" w:hAnsi="宋体"/>
          <w:b/>
        </w:rPr>
        <w:br w:type="page"/>
      </w:r>
    </w:p>
    <w:p>
      <w:pPr>
        <w:snapToGrid w:val="0"/>
        <w:spacing w:before="120" w:beforeLines="50" w:after="50"/>
        <w:jc w:val="center"/>
        <w:rPr>
          <w:rFonts w:ascii="宋体" w:hAnsi="宋体"/>
          <w:b/>
          <w:sz w:val="30"/>
          <w:szCs w:val="30"/>
        </w:rPr>
      </w:pPr>
      <w:r>
        <w:rPr>
          <w:rFonts w:hint="eastAsia" w:ascii="宋体" w:hAnsi="宋体"/>
          <w:b/>
          <w:sz w:val="30"/>
          <w:szCs w:val="30"/>
        </w:rPr>
        <w:t>残疾人福利性单位残疾人聘用情况表</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2305"/>
        <w:gridCol w:w="2168"/>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r>
              <w:rPr>
                <w:rFonts w:hint="eastAsia" w:ascii="宋体" w:hAnsi="宋体"/>
                <w:b/>
                <w:i/>
                <w:sz w:val="24"/>
                <w:u w:val="single"/>
              </w:rPr>
              <w:t>序号</w:t>
            </w:r>
          </w:p>
        </w:tc>
        <w:tc>
          <w:tcPr>
            <w:tcW w:w="2305"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r>
              <w:rPr>
                <w:rFonts w:hint="eastAsia" w:ascii="宋体" w:hAnsi="宋体"/>
                <w:b/>
                <w:i/>
                <w:sz w:val="24"/>
                <w:u w:val="single"/>
              </w:rPr>
              <w:t>姓名</w:t>
            </w:r>
          </w:p>
        </w:tc>
        <w:tc>
          <w:tcPr>
            <w:tcW w:w="2168"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r>
              <w:rPr>
                <w:rFonts w:hint="eastAsia" w:ascii="宋体" w:hAnsi="宋体"/>
                <w:b/>
                <w:i/>
                <w:sz w:val="24"/>
                <w:u w:val="single"/>
              </w:rPr>
              <w:t>残疾人证号</w:t>
            </w:r>
          </w:p>
        </w:tc>
        <w:tc>
          <w:tcPr>
            <w:tcW w:w="1882"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r>
              <w:rPr>
                <w:rFonts w:hint="eastAsia" w:ascii="宋体" w:hAnsi="宋体"/>
                <w:b/>
                <w:i/>
                <w:sz w:val="24"/>
                <w:u w:val="single"/>
              </w:rPr>
              <w:t>聘用时间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c>
          <w:tcPr>
            <w:tcW w:w="2305"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c>
          <w:tcPr>
            <w:tcW w:w="2168"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c>
          <w:tcPr>
            <w:tcW w:w="1882"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c>
          <w:tcPr>
            <w:tcW w:w="2305"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c>
          <w:tcPr>
            <w:tcW w:w="2168"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c>
          <w:tcPr>
            <w:tcW w:w="1882"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c>
          <w:tcPr>
            <w:tcW w:w="2305"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c>
          <w:tcPr>
            <w:tcW w:w="2168"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c>
          <w:tcPr>
            <w:tcW w:w="1882"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c>
          <w:tcPr>
            <w:tcW w:w="2305"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c>
          <w:tcPr>
            <w:tcW w:w="2168"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c>
          <w:tcPr>
            <w:tcW w:w="1882"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c>
          <w:tcPr>
            <w:tcW w:w="2305"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c>
          <w:tcPr>
            <w:tcW w:w="2168"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c>
          <w:tcPr>
            <w:tcW w:w="1882"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c>
          <w:tcPr>
            <w:tcW w:w="2305"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c>
          <w:tcPr>
            <w:tcW w:w="2168"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c>
          <w:tcPr>
            <w:tcW w:w="1882"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c>
          <w:tcPr>
            <w:tcW w:w="2305"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c>
          <w:tcPr>
            <w:tcW w:w="2168"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c>
          <w:tcPr>
            <w:tcW w:w="1882"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c>
          <w:tcPr>
            <w:tcW w:w="2305"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c>
          <w:tcPr>
            <w:tcW w:w="2168"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c>
          <w:tcPr>
            <w:tcW w:w="1882"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c>
          <w:tcPr>
            <w:tcW w:w="2305"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c>
          <w:tcPr>
            <w:tcW w:w="2168"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c>
          <w:tcPr>
            <w:tcW w:w="1882"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c>
          <w:tcPr>
            <w:tcW w:w="2305"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c>
          <w:tcPr>
            <w:tcW w:w="2168"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c>
          <w:tcPr>
            <w:tcW w:w="1882"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c>
          <w:tcPr>
            <w:tcW w:w="2305"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c>
          <w:tcPr>
            <w:tcW w:w="2168"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c>
          <w:tcPr>
            <w:tcW w:w="1882"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c>
          <w:tcPr>
            <w:tcW w:w="2305"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c>
          <w:tcPr>
            <w:tcW w:w="2168"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c>
          <w:tcPr>
            <w:tcW w:w="1882"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c>
          <w:tcPr>
            <w:tcW w:w="2305"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c>
          <w:tcPr>
            <w:tcW w:w="2168"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c>
          <w:tcPr>
            <w:tcW w:w="1882"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c>
          <w:tcPr>
            <w:tcW w:w="2305"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c>
          <w:tcPr>
            <w:tcW w:w="2168"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c>
          <w:tcPr>
            <w:tcW w:w="1882"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c>
          <w:tcPr>
            <w:tcW w:w="2305"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c>
          <w:tcPr>
            <w:tcW w:w="2168"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c>
          <w:tcPr>
            <w:tcW w:w="1882"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c>
          <w:tcPr>
            <w:tcW w:w="2305"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c>
          <w:tcPr>
            <w:tcW w:w="2168"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c>
          <w:tcPr>
            <w:tcW w:w="1882" w:type="dxa"/>
            <w:tcBorders>
              <w:top w:val="single" w:color="auto" w:sz="4" w:space="0"/>
              <w:left w:val="single" w:color="auto" w:sz="4" w:space="0"/>
              <w:bottom w:val="single" w:color="auto" w:sz="4" w:space="0"/>
              <w:right w:val="single" w:color="auto" w:sz="4" w:space="0"/>
            </w:tcBorders>
            <w:noWrap/>
          </w:tcPr>
          <w:p>
            <w:pPr>
              <w:snapToGrid w:val="0"/>
              <w:spacing w:before="120" w:beforeLines="50" w:after="50" w:line="360" w:lineRule="auto"/>
              <w:jc w:val="center"/>
              <w:rPr>
                <w:rFonts w:ascii="宋体" w:hAnsi="宋体"/>
                <w:b/>
                <w:i/>
                <w:sz w:val="24"/>
                <w:u w:val="single"/>
              </w:rPr>
            </w:pPr>
          </w:p>
        </w:tc>
      </w:tr>
    </w:tbl>
    <w:p>
      <w:pPr>
        <w:snapToGrid w:val="0"/>
        <w:spacing w:before="120" w:beforeLines="50" w:after="50"/>
        <w:rPr>
          <w:rFonts w:ascii="宋体" w:hAnsi="宋体"/>
          <w:b/>
          <w:sz w:val="24"/>
        </w:rPr>
      </w:pPr>
      <w:r>
        <w:rPr>
          <w:rFonts w:hint="eastAsia" w:ascii="宋体" w:hAnsi="宋体"/>
          <w:b/>
          <w:sz w:val="24"/>
        </w:rPr>
        <w:t>备注：本表后须附上所聘用残疾人员的残疾证、劳动合同、残疾人银行工资发放清单及足额缴纳的社会保险清单复印件，否则，视为非残疾人福利性单位不享受政策优惠。</w:t>
      </w:r>
    </w:p>
    <w:p>
      <w:pPr>
        <w:widowControl/>
        <w:jc w:val="left"/>
        <w:rPr>
          <w:rFonts w:ascii="宋体" w:hAnsi="宋体"/>
          <w:b/>
          <w:sz w:val="24"/>
        </w:rPr>
        <w:sectPr>
          <w:footerReference r:id="rId3" w:type="default"/>
          <w:type w:val="continuous"/>
          <w:pgSz w:w="11906" w:h="16838"/>
          <w:pgMar w:top="1440" w:right="1800" w:bottom="1440" w:left="1800" w:header="851" w:footer="850" w:gutter="0"/>
          <w:cols w:space="720" w:num="1"/>
          <w:docGrid w:linePitch="286" w:charSpace="0"/>
        </w:sectPr>
      </w:pPr>
    </w:p>
    <w:p>
      <w:pPr>
        <w:widowControl/>
        <w:spacing w:line="360" w:lineRule="auto"/>
        <w:jc w:val="left"/>
        <w:rPr>
          <w:rFonts w:ascii="宋体" w:hAnsi="宋体"/>
          <w:b/>
        </w:rPr>
        <w:sectPr>
          <w:type w:val="continuous"/>
          <w:pgSz w:w="11906" w:h="16838"/>
          <w:pgMar w:top="1587" w:right="907" w:bottom="907" w:left="1587" w:header="851" w:footer="850" w:gutter="0"/>
          <w:cols w:space="720" w:num="1"/>
        </w:sectPr>
      </w:pPr>
    </w:p>
    <w:p>
      <w:pPr>
        <w:widowControl/>
        <w:jc w:val="left"/>
        <w:rPr>
          <w:rFonts w:ascii="宋体" w:hAnsi="宋体"/>
          <w:b/>
          <w:sz w:val="24"/>
        </w:rPr>
        <w:sectPr>
          <w:type w:val="continuous"/>
          <w:pgSz w:w="11906" w:h="16838"/>
          <w:pgMar w:top="1587" w:right="907" w:bottom="907" w:left="1587" w:header="851" w:footer="850" w:gutter="0"/>
          <w:cols w:space="720" w:num="1"/>
        </w:sectPr>
      </w:pPr>
    </w:p>
    <w:p>
      <w:pPr>
        <w:pStyle w:val="5"/>
      </w:pPr>
      <w:bookmarkStart w:id="186" w:name="_Toc59530186"/>
      <w:r>
        <w:rPr>
          <w:rFonts w:hint="eastAsia"/>
        </w:rPr>
        <w:t>附件</w:t>
      </w:r>
      <w:r>
        <w:t>5</w:t>
      </w:r>
      <w:r>
        <w:rPr>
          <w:rFonts w:hint="eastAsia"/>
        </w:rPr>
        <w:t>：政府采购政策情况表（</w:t>
      </w:r>
      <w:r>
        <w:rPr>
          <w:rFonts w:hint="eastAsia" w:ascii="宋体" w:hAnsi="宋体"/>
        </w:rPr>
        <w:t>小微企业、残疾人福利性单位、监狱企业投标时适用）</w:t>
      </w:r>
      <w:bookmarkEnd w:id="186"/>
    </w:p>
    <w:p>
      <w:pPr>
        <w:snapToGrid w:val="0"/>
        <w:spacing w:before="120" w:beforeLines="50" w:after="50"/>
        <w:jc w:val="center"/>
        <w:rPr>
          <w:rFonts w:ascii="宋体" w:hAnsi="宋体"/>
          <w:sz w:val="28"/>
          <w:szCs w:val="36"/>
        </w:rPr>
      </w:pPr>
      <w:r>
        <w:rPr>
          <w:rFonts w:hint="eastAsia" w:ascii="宋体" w:hAnsi="宋体"/>
          <w:sz w:val="28"/>
          <w:szCs w:val="36"/>
        </w:rPr>
        <w:t>政府采购政策情况表</w:t>
      </w:r>
    </w:p>
    <w:p>
      <w:pPr>
        <w:snapToGrid w:val="0"/>
        <w:spacing w:before="120" w:beforeLines="50" w:after="50"/>
        <w:jc w:val="center"/>
        <w:rPr>
          <w:rFonts w:ascii="宋体" w:hAnsi="宋体"/>
          <w:b/>
          <w:sz w:val="28"/>
          <w:szCs w:val="28"/>
        </w:rPr>
      </w:pPr>
      <w:r>
        <w:rPr>
          <w:rFonts w:hint="eastAsia" w:ascii="宋体" w:hAnsi="宋体"/>
          <w:b/>
          <w:kern w:val="0"/>
          <w:szCs w:val="21"/>
        </w:rPr>
        <w:t>项目编号：</w:t>
      </w:r>
    </w:p>
    <w:tbl>
      <w:tblPr>
        <w:tblStyle w:val="4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2"/>
        <w:gridCol w:w="1435"/>
        <w:gridCol w:w="706"/>
        <w:gridCol w:w="960"/>
        <w:gridCol w:w="769"/>
        <w:gridCol w:w="745"/>
        <w:gridCol w:w="516"/>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401" w:type="pct"/>
            <w:vMerge w:val="restart"/>
            <w:tcBorders>
              <w:top w:val="single" w:color="auto" w:sz="4" w:space="0"/>
              <w:left w:val="single" w:color="auto" w:sz="4" w:space="0"/>
              <w:bottom w:val="single" w:color="auto" w:sz="4" w:space="0"/>
              <w:right w:val="single" w:color="auto" w:sz="4" w:space="0"/>
            </w:tcBorders>
            <w:noWrap/>
            <w:vAlign w:val="center"/>
          </w:tcPr>
          <w:p>
            <w:pPr>
              <w:pStyle w:val="208"/>
              <w:tabs>
                <w:tab w:val="left" w:pos="1260"/>
              </w:tabs>
              <w:snapToGrid w:val="0"/>
              <w:spacing w:line="360" w:lineRule="auto"/>
              <w:jc w:val="center"/>
              <w:rPr>
                <w:rFonts w:ascii="宋体" w:hAnsi="宋体"/>
                <w:szCs w:val="21"/>
                <w:lang w:val="en-GB"/>
              </w:rPr>
            </w:pPr>
            <w:r>
              <w:rPr>
                <w:rFonts w:hint="eastAsia" w:ascii="宋体" w:hAnsi="宋体"/>
                <w:szCs w:val="21"/>
                <w:lang w:val="en-GB"/>
              </w:rPr>
              <w:t>中小企业、监狱企业及残疾人福利性单位扶持政策</w:t>
            </w:r>
          </w:p>
        </w:tc>
        <w:tc>
          <w:tcPr>
            <w:tcW w:w="4599" w:type="pct"/>
            <w:gridSpan w:val="7"/>
            <w:tcBorders>
              <w:top w:val="single" w:color="auto" w:sz="4" w:space="0"/>
              <w:left w:val="single" w:color="auto" w:sz="4" w:space="0"/>
              <w:bottom w:val="single" w:color="auto" w:sz="4" w:space="0"/>
              <w:right w:val="single" w:color="auto" w:sz="4" w:space="0"/>
            </w:tcBorders>
            <w:noWrap/>
            <w:vAlign w:val="center"/>
          </w:tcPr>
          <w:p>
            <w:pPr>
              <w:pStyle w:val="208"/>
              <w:tabs>
                <w:tab w:val="left" w:pos="1260"/>
              </w:tabs>
              <w:snapToGrid w:val="0"/>
              <w:spacing w:line="360" w:lineRule="auto"/>
              <w:rPr>
                <w:rFonts w:ascii="宋体" w:hAnsi="宋体"/>
                <w:szCs w:val="21"/>
                <w:lang w:val="en-GB"/>
              </w:rPr>
            </w:pPr>
            <w:r>
              <w:rPr>
                <w:rFonts w:hint="eastAsia" w:ascii="宋体" w:hAnsi="宋体"/>
                <w:szCs w:val="21"/>
                <w:lang w:val="en-GB"/>
              </w:rPr>
              <w:t>如属所列情形的，请在括号内打“√”，并</w:t>
            </w:r>
            <w:r>
              <w:rPr>
                <w:rFonts w:hint="eastAsia" w:ascii="宋体" w:hAnsi="宋体"/>
                <w:szCs w:val="21"/>
              </w:rPr>
              <w:t>请填写下表内容：</w:t>
            </w:r>
          </w:p>
          <w:p>
            <w:pPr>
              <w:pStyle w:val="208"/>
              <w:tabs>
                <w:tab w:val="left" w:pos="1260"/>
              </w:tabs>
              <w:snapToGrid w:val="0"/>
              <w:spacing w:line="360" w:lineRule="auto"/>
              <w:rPr>
                <w:rFonts w:ascii="宋体" w:hAnsi="宋体"/>
                <w:szCs w:val="21"/>
              </w:rPr>
            </w:pPr>
            <w:r>
              <w:rPr>
                <w:rFonts w:hint="eastAsia" w:ascii="宋体" w:hAnsi="宋体"/>
                <w:szCs w:val="21"/>
              </w:rPr>
              <w:t>（  ）小型、微型企业投标且提供本企业制造的产品。</w:t>
            </w:r>
          </w:p>
          <w:p>
            <w:pPr>
              <w:pStyle w:val="208"/>
              <w:tabs>
                <w:tab w:val="left" w:pos="1260"/>
              </w:tabs>
              <w:snapToGrid w:val="0"/>
              <w:spacing w:line="360" w:lineRule="auto"/>
              <w:rPr>
                <w:rFonts w:ascii="宋体" w:hAnsi="宋体"/>
                <w:szCs w:val="21"/>
              </w:rPr>
            </w:pPr>
            <w:r>
              <w:rPr>
                <w:rFonts w:hint="eastAsia" w:ascii="宋体" w:hAnsi="宋体"/>
                <w:szCs w:val="21"/>
              </w:rPr>
              <w:t>（  ）小微企业投标且提供其它小型、微型企业产品。</w:t>
            </w:r>
          </w:p>
          <w:p>
            <w:pPr>
              <w:pStyle w:val="208"/>
              <w:tabs>
                <w:tab w:val="left" w:pos="1260"/>
              </w:tabs>
              <w:snapToGrid w:val="0"/>
              <w:spacing w:line="360" w:lineRule="auto"/>
              <w:rPr>
                <w:rFonts w:ascii="宋体" w:hAnsi="宋体"/>
                <w:szCs w:val="21"/>
              </w:rPr>
            </w:pPr>
            <w:r>
              <w:rPr>
                <w:rFonts w:hint="eastAsia" w:ascii="宋体" w:hAnsi="宋体"/>
                <w:szCs w:val="21"/>
              </w:rPr>
              <w:t>（  ）监狱企业投标且提供本企业制造的产品。</w:t>
            </w:r>
          </w:p>
          <w:p>
            <w:pPr>
              <w:pStyle w:val="208"/>
              <w:tabs>
                <w:tab w:val="left" w:pos="1260"/>
              </w:tabs>
              <w:snapToGrid w:val="0"/>
              <w:spacing w:line="360" w:lineRule="auto"/>
              <w:rPr>
                <w:rFonts w:ascii="宋体" w:hAnsi="宋体"/>
                <w:szCs w:val="21"/>
              </w:rPr>
            </w:pPr>
            <w:r>
              <w:rPr>
                <w:rFonts w:hint="eastAsia" w:ascii="宋体" w:hAnsi="宋体"/>
                <w:szCs w:val="21"/>
              </w:rPr>
              <w:t>（  ）</w:t>
            </w:r>
            <w:r>
              <w:rPr>
                <w:rFonts w:hint="eastAsia" w:ascii="宋体" w:hAnsi="宋体"/>
                <w:szCs w:val="20"/>
              </w:rPr>
              <w:t>残疾人福利性单位投标</w:t>
            </w:r>
            <w:r>
              <w:rPr>
                <w:rFonts w:hint="eastAsia" w:ascii="宋体" w:hAnsi="宋体"/>
                <w:szCs w:val="21"/>
              </w:rPr>
              <w:t>且提供本企业制造的产品。</w:t>
            </w:r>
          </w:p>
          <w:p>
            <w:pPr>
              <w:pStyle w:val="208"/>
              <w:tabs>
                <w:tab w:val="left" w:pos="1260"/>
              </w:tabs>
              <w:snapToGrid w:val="0"/>
              <w:spacing w:line="360" w:lineRule="auto"/>
              <w:rPr>
                <w:rFonts w:ascii="宋体" w:hAnsi="宋体"/>
                <w:szCs w:val="21"/>
              </w:rPr>
            </w:pPr>
            <w:r>
              <w:rPr>
                <w:rFonts w:hint="eastAsia" w:ascii="宋体" w:hAnsi="宋体"/>
                <w:szCs w:val="21"/>
              </w:rPr>
              <w:t>（  ）</w:t>
            </w:r>
            <w:r>
              <w:rPr>
                <w:rFonts w:hint="eastAsia" w:ascii="宋体" w:hAnsi="宋体"/>
                <w:szCs w:val="20"/>
              </w:rPr>
              <w:t>残疾人福利性单位投标</w:t>
            </w:r>
            <w:r>
              <w:rPr>
                <w:rFonts w:hint="eastAsia" w:ascii="宋体" w:hAnsi="宋体"/>
                <w:szCs w:val="21"/>
              </w:rPr>
              <w:t>且提供其它</w:t>
            </w:r>
            <w:r>
              <w:rPr>
                <w:rFonts w:hint="eastAsia" w:ascii="宋体" w:hAnsi="宋体"/>
                <w:szCs w:val="20"/>
              </w:rPr>
              <w:t>残疾人福利性单位制造的</w:t>
            </w:r>
            <w:r>
              <w:rPr>
                <w:rFonts w:hint="eastAsia" w:ascii="宋体" w:hAnsi="宋体"/>
                <w:szCs w:val="21"/>
              </w:rPr>
              <w:t>货物</w:t>
            </w:r>
            <w:r>
              <w:rPr>
                <w:rFonts w:hint="eastAsia" w:ascii="宋体" w:hAnsi="宋体"/>
                <w:szCs w:val="20"/>
              </w:rPr>
              <w:t>（不包括使用非残疾人福利性单位注册商标的货物）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40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lang w:val="en-GB"/>
              </w:rPr>
            </w:pPr>
          </w:p>
        </w:tc>
        <w:tc>
          <w:tcPr>
            <w:tcW w:w="1070" w:type="pct"/>
            <w:tcBorders>
              <w:top w:val="single" w:color="auto" w:sz="4" w:space="0"/>
              <w:left w:val="single" w:color="auto" w:sz="4" w:space="0"/>
              <w:bottom w:val="single" w:color="auto" w:sz="4" w:space="0"/>
              <w:right w:val="single" w:color="auto" w:sz="4" w:space="0"/>
            </w:tcBorders>
            <w:noWrap/>
            <w:vAlign w:val="center"/>
          </w:tcPr>
          <w:p>
            <w:pPr>
              <w:pStyle w:val="208"/>
              <w:tabs>
                <w:tab w:val="left" w:pos="1260"/>
              </w:tabs>
              <w:snapToGrid w:val="0"/>
              <w:spacing w:line="360" w:lineRule="auto"/>
              <w:jc w:val="center"/>
              <w:rPr>
                <w:rFonts w:ascii="宋体" w:hAnsi="宋体"/>
                <w:szCs w:val="21"/>
                <w:lang w:val="en-GB"/>
              </w:rPr>
            </w:pPr>
            <w:r>
              <w:rPr>
                <w:rFonts w:hint="eastAsia" w:ascii="宋体" w:hAnsi="宋体"/>
                <w:szCs w:val="21"/>
                <w:lang w:val="en-GB"/>
              </w:rPr>
              <w:t>产品名称</w:t>
            </w:r>
          </w:p>
        </w:tc>
        <w:tc>
          <w:tcPr>
            <w:tcW w:w="482" w:type="pct"/>
            <w:tcBorders>
              <w:top w:val="single" w:color="auto" w:sz="4" w:space="0"/>
              <w:left w:val="single" w:color="auto" w:sz="4" w:space="0"/>
              <w:bottom w:val="single" w:color="auto" w:sz="4" w:space="0"/>
              <w:right w:val="single" w:color="auto" w:sz="4" w:space="0"/>
            </w:tcBorders>
            <w:noWrap/>
            <w:vAlign w:val="center"/>
          </w:tcPr>
          <w:p>
            <w:pPr>
              <w:pStyle w:val="208"/>
              <w:tabs>
                <w:tab w:val="left" w:pos="1260"/>
              </w:tabs>
              <w:snapToGrid w:val="0"/>
              <w:spacing w:line="360" w:lineRule="auto"/>
              <w:jc w:val="center"/>
              <w:rPr>
                <w:rFonts w:ascii="宋体" w:hAnsi="宋体"/>
                <w:szCs w:val="21"/>
                <w:lang w:val="en-GB"/>
              </w:rPr>
            </w:pPr>
            <w:r>
              <w:rPr>
                <w:rFonts w:hint="eastAsia" w:ascii="宋体" w:hAnsi="宋体"/>
                <w:szCs w:val="21"/>
                <w:lang w:val="en-GB"/>
              </w:rPr>
              <w:t>品牌</w:t>
            </w:r>
          </w:p>
        </w:tc>
        <w:tc>
          <w:tcPr>
            <w:tcW w:w="687" w:type="pct"/>
            <w:tcBorders>
              <w:top w:val="single" w:color="auto" w:sz="4" w:space="0"/>
              <w:left w:val="single" w:color="auto" w:sz="4" w:space="0"/>
              <w:bottom w:val="single" w:color="auto" w:sz="4" w:space="0"/>
              <w:right w:val="single" w:color="auto" w:sz="4" w:space="0"/>
            </w:tcBorders>
            <w:noWrap/>
            <w:vAlign w:val="center"/>
          </w:tcPr>
          <w:p>
            <w:pPr>
              <w:pStyle w:val="208"/>
              <w:tabs>
                <w:tab w:val="left" w:pos="1260"/>
              </w:tabs>
              <w:snapToGrid w:val="0"/>
              <w:spacing w:line="360" w:lineRule="auto"/>
              <w:jc w:val="center"/>
              <w:rPr>
                <w:rFonts w:ascii="宋体" w:hAnsi="宋体"/>
                <w:szCs w:val="21"/>
                <w:lang w:val="en-GB"/>
              </w:rPr>
            </w:pPr>
            <w:r>
              <w:rPr>
                <w:rFonts w:hint="eastAsia" w:ascii="宋体" w:hAnsi="宋体"/>
                <w:szCs w:val="21"/>
              </w:rPr>
              <w:t>型号、规格</w:t>
            </w:r>
          </w:p>
        </w:tc>
        <w:tc>
          <w:tcPr>
            <w:tcW w:w="533" w:type="pct"/>
            <w:tcBorders>
              <w:top w:val="single" w:color="auto" w:sz="4" w:space="0"/>
              <w:left w:val="single" w:color="auto" w:sz="4" w:space="0"/>
              <w:bottom w:val="single" w:color="auto" w:sz="4" w:space="0"/>
              <w:right w:val="single" w:color="auto" w:sz="4" w:space="0"/>
            </w:tcBorders>
            <w:noWrap/>
            <w:vAlign w:val="center"/>
          </w:tcPr>
          <w:p>
            <w:pPr>
              <w:pStyle w:val="208"/>
              <w:tabs>
                <w:tab w:val="left" w:pos="1260"/>
              </w:tabs>
              <w:snapToGrid w:val="0"/>
              <w:spacing w:line="360" w:lineRule="auto"/>
              <w:jc w:val="center"/>
              <w:rPr>
                <w:rFonts w:ascii="宋体" w:hAnsi="宋体"/>
                <w:szCs w:val="21"/>
                <w:lang w:val="en-GB"/>
              </w:rPr>
            </w:pPr>
            <w:r>
              <w:rPr>
                <w:rFonts w:hint="eastAsia" w:ascii="宋体" w:hAnsi="宋体"/>
                <w:szCs w:val="21"/>
                <w:lang w:val="en-GB"/>
              </w:rPr>
              <w:t>制造商</w:t>
            </w:r>
          </w:p>
        </w:tc>
        <w:tc>
          <w:tcPr>
            <w:tcW w:w="513" w:type="pct"/>
            <w:tcBorders>
              <w:top w:val="single" w:color="auto" w:sz="4" w:space="0"/>
              <w:left w:val="single" w:color="auto" w:sz="4" w:space="0"/>
              <w:bottom w:val="single" w:color="auto" w:sz="4" w:space="0"/>
              <w:right w:val="single" w:color="auto" w:sz="4" w:space="0"/>
            </w:tcBorders>
            <w:noWrap/>
            <w:vAlign w:val="center"/>
          </w:tcPr>
          <w:p>
            <w:pPr>
              <w:pStyle w:val="208"/>
              <w:tabs>
                <w:tab w:val="left" w:pos="1260"/>
              </w:tabs>
              <w:snapToGrid w:val="0"/>
              <w:jc w:val="center"/>
              <w:rPr>
                <w:rFonts w:ascii="宋体" w:hAnsi="宋体"/>
                <w:szCs w:val="21"/>
                <w:lang w:val="en-GB"/>
              </w:rPr>
            </w:pPr>
            <w:r>
              <w:rPr>
                <w:rFonts w:hint="eastAsia" w:ascii="宋体" w:hAnsi="宋体"/>
                <w:szCs w:val="21"/>
                <w:lang w:val="en-GB"/>
              </w:rPr>
              <w:t>制造商</w:t>
            </w:r>
          </w:p>
          <w:p>
            <w:pPr>
              <w:pStyle w:val="208"/>
              <w:tabs>
                <w:tab w:val="left" w:pos="1260"/>
              </w:tabs>
              <w:snapToGrid w:val="0"/>
              <w:jc w:val="center"/>
              <w:rPr>
                <w:rFonts w:ascii="宋体" w:hAnsi="宋体"/>
                <w:szCs w:val="21"/>
                <w:lang w:val="en-GB"/>
              </w:rPr>
            </w:pPr>
            <w:r>
              <w:rPr>
                <w:rFonts w:hint="eastAsia" w:ascii="宋体" w:hAnsi="宋体"/>
                <w:szCs w:val="21"/>
                <w:lang w:val="en-GB"/>
              </w:rPr>
              <w:t>企业类型</w:t>
            </w:r>
          </w:p>
        </w:tc>
        <w:tc>
          <w:tcPr>
            <w:tcW w:w="328" w:type="pct"/>
            <w:tcBorders>
              <w:top w:val="single" w:color="auto" w:sz="4" w:space="0"/>
              <w:left w:val="single" w:color="auto" w:sz="4" w:space="0"/>
              <w:bottom w:val="single" w:color="auto" w:sz="4" w:space="0"/>
              <w:right w:val="single" w:color="auto" w:sz="4" w:space="0"/>
            </w:tcBorders>
            <w:noWrap/>
            <w:vAlign w:val="center"/>
          </w:tcPr>
          <w:p>
            <w:pPr>
              <w:pStyle w:val="208"/>
              <w:tabs>
                <w:tab w:val="left" w:pos="1260"/>
              </w:tabs>
              <w:snapToGrid w:val="0"/>
              <w:spacing w:line="360" w:lineRule="auto"/>
              <w:jc w:val="center"/>
              <w:rPr>
                <w:rFonts w:ascii="宋体" w:hAnsi="宋体"/>
                <w:szCs w:val="21"/>
                <w:lang w:val="en-GB"/>
              </w:rPr>
            </w:pPr>
            <w:r>
              <w:rPr>
                <w:rFonts w:hint="eastAsia" w:ascii="宋体" w:hAnsi="宋体"/>
                <w:szCs w:val="21"/>
                <w:lang w:val="en-GB"/>
              </w:rPr>
              <w:t>金额</w:t>
            </w:r>
          </w:p>
        </w:tc>
        <w:tc>
          <w:tcPr>
            <w:tcW w:w="986" w:type="pct"/>
            <w:tcBorders>
              <w:top w:val="single" w:color="auto" w:sz="4" w:space="0"/>
              <w:left w:val="single" w:color="auto" w:sz="4" w:space="0"/>
              <w:bottom w:val="single" w:color="auto" w:sz="4" w:space="0"/>
              <w:right w:val="single" w:color="auto" w:sz="4" w:space="0"/>
            </w:tcBorders>
            <w:noWrap/>
            <w:vAlign w:val="center"/>
          </w:tcPr>
          <w:p>
            <w:pPr>
              <w:pStyle w:val="208"/>
              <w:tabs>
                <w:tab w:val="left" w:pos="1260"/>
              </w:tabs>
              <w:snapToGrid w:val="0"/>
              <w:jc w:val="center"/>
              <w:rPr>
                <w:rFonts w:ascii="宋体" w:hAnsi="宋体"/>
                <w:szCs w:val="21"/>
                <w:lang w:val="en-GB"/>
              </w:rPr>
            </w:pPr>
            <w:r>
              <w:rPr>
                <w:rFonts w:hint="eastAsia" w:ascii="宋体" w:hAnsi="宋体"/>
                <w:szCs w:val="21"/>
                <w:lang w:val="en-GB"/>
              </w:rPr>
              <w:t>产品在开标一览表中对应的序号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40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lang w:val="en-GB"/>
              </w:rPr>
            </w:pPr>
          </w:p>
        </w:tc>
        <w:tc>
          <w:tcPr>
            <w:tcW w:w="1070" w:type="pct"/>
            <w:tcBorders>
              <w:top w:val="single" w:color="auto" w:sz="4" w:space="0"/>
              <w:left w:val="single" w:color="auto" w:sz="4" w:space="0"/>
              <w:bottom w:val="single" w:color="auto" w:sz="4" w:space="0"/>
              <w:right w:val="single" w:color="auto" w:sz="4" w:space="0"/>
            </w:tcBorders>
            <w:noWrap/>
            <w:vAlign w:val="center"/>
          </w:tcPr>
          <w:p>
            <w:pPr>
              <w:pStyle w:val="208"/>
              <w:tabs>
                <w:tab w:val="left" w:pos="1260"/>
              </w:tabs>
              <w:snapToGrid w:val="0"/>
              <w:spacing w:line="360" w:lineRule="auto"/>
              <w:jc w:val="center"/>
              <w:rPr>
                <w:rFonts w:ascii="宋体" w:hAnsi="宋体"/>
                <w:szCs w:val="21"/>
                <w:lang w:val="en-GB"/>
              </w:rPr>
            </w:pPr>
          </w:p>
        </w:tc>
        <w:tc>
          <w:tcPr>
            <w:tcW w:w="482" w:type="pct"/>
            <w:tcBorders>
              <w:top w:val="single" w:color="auto" w:sz="4" w:space="0"/>
              <w:left w:val="single" w:color="auto" w:sz="4" w:space="0"/>
              <w:bottom w:val="single" w:color="auto" w:sz="4" w:space="0"/>
              <w:right w:val="single" w:color="auto" w:sz="4" w:space="0"/>
            </w:tcBorders>
            <w:noWrap/>
            <w:vAlign w:val="center"/>
          </w:tcPr>
          <w:p>
            <w:pPr>
              <w:pStyle w:val="208"/>
              <w:tabs>
                <w:tab w:val="left" w:pos="1260"/>
              </w:tabs>
              <w:snapToGrid w:val="0"/>
              <w:spacing w:line="360" w:lineRule="auto"/>
              <w:jc w:val="center"/>
              <w:rPr>
                <w:rFonts w:ascii="宋体" w:hAnsi="宋体"/>
                <w:szCs w:val="21"/>
                <w:lang w:val="en-GB"/>
              </w:rPr>
            </w:pPr>
          </w:p>
        </w:tc>
        <w:tc>
          <w:tcPr>
            <w:tcW w:w="687" w:type="pct"/>
            <w:tcBorders>
              <w:top w:val="single" w:color="auto" w:sz="4" w:space="0"/>
              <w:left w:val="single" w:color="auto" w:sz="4" w:space="0"/>
              <w:bottom w:val="single" w:color="auto" w:sz="4" w:space="0"/>
              <w:right w:val="single" w:color="auto" w:sz="4" w:space="0"/>
            </w:tcBorders>
            <w:noWrap/>
            <w:vAlign w:val="center"/>
          </w:tcPr>
          <w:p>
            <w:pPr>
              <w:pStyle w:val="208"/>
              <w:tabs>
                <w:tab w:val="left" w:pos="1260"/>
              </w:tabs>
              <w:snapToGrid w:val="0"/>
              <w:spacing w:line="360" w:lineRule="auto"/>
              <w:jc w:val="center"/>
              <w:rPr>
                <w:rFonts w:ascii="宋体" w:hAnsi="宋体"/>
                <w:szCs w:val="21"/>
                <w:lang w:val="en-GB"/>
              </w:rPr>
            </w:pPr>
          </w:p>
        </w:tc>
        <w:tc>
          <w:tcPr>
            <w:tcW w:w="533" w:type="pct"/>
            <w:tcBorders>
              <w:top w:val="single" w:color="auto" w:sz="4" w:space="0"/>
              <w:left w:val="single" w:color="auto" w:sz="4" w:space="0"/>
              <w:bottom w:val="single" w:color="auto" w:sz="4" w:space="0"/>
              <w:right w:val="single" w:color="auto" w:sz="4" w:space="0"/>
            </w:tcBorders>
            <w:noWrap/>
            <w:vAlign w:val="center"/>
          </w:tcPr>
          <w:p>
            <w:pPr>
              <w:pStyle w:val="208"/>
              <w:tabs>
                <w:tab w:val="left" w:pos="1260"/>
              </w:tabs>
              <w:snapToGrid w:val="0"/>
              <w:spacing w:line="360" w:lineRule="auto"/>
              <w:jc w:val="center"/>
              <w:rPr>
                <w:rFonts w:ascii="宋体" w:hAnsi="宋体"/>
                <w:szCs w:val="21"/>
                <w:lang w:val="en-GB"/>
              </w:rPr>
            </w:pPr>
          </w:p>
        </w:tc>
        <w:tc>
          <w:tcPr>
            <w:tcW w:w="513" w:type="pct"/>
            <w:tcBorders>
              <w:top w:val="single" w:color="auto" w:sz="4" w:space="0"/>
              <w:left w:val="single" w:color="auto" w:sz="4" w:space="0"/>
              <w:bottom w:val="single" w:color="auto" w:sz="4" w:space="0"/>
              <w:right w:val="single" w:color="auto" w:sz="4" w:space="0"/>
            </w:tcBorders>
            <w:noWrap/>
            <w:vAlign w:val="center"/>
          </w:tcPr>
          <w:p>
            <w:pPr>
              <w:pStyle w:val="208"/>
              <w:tabs>
                <w:tab w:val="left" w:pos="1260"/>
              </w:tabs>
              <w:snapToGrid w:val="0"/>
              <w:spacing w:line="360" w:lineRule="auto"/>
              <w:jc w:val="center"/>
              <w:rPr>
                <w:rFonts w:ascii="宋体" w:hAnsi="宋体"/>
                <w:szCs w:val="21"/>
                <w:lang w:val="en-GB"/>
              </w:rPr>
            </w:pPr>
          </w:p>
        </w:tc>
        <w:tc>
          <w:tcPr>
            <w:tcW w:w="328" w:type="pct"/>
            <w:tcBorders>
              <w:top w:val="single" w:color="auto" w:sz="4" w:space="0"/>
              <w:left w:val="single" w:color="auto" w:sz="4" w:space="0"/>
              <w:bottom w:val="single" w:color="auto" w:sz="4" w:space="0"/>
              <w:right w:val="single" w:color="auto" w:sz="4" w:space="0"/>
            </w:tcBorders>
            <w:noWrap/>
            <w:vAlign w:val="center"/>
          </w:tcPr>
          <w:p>
            <w:pPr>
              <w:pStyle w:val="208"/>
              <w:tabs>
                <w:tab w:val="left" w:pos="1260"/>
              </w:tabs>
              <w:snapToGrid w:val="0"/>
              <w:spacing w:line="360" w:lineRule="auto"/>
              <w:jc w:val="center"/>
              <w:rPr>
                <w:rFonts w:ascii="宋体" w:hAnsi="宋体"/>
                <w:szCs w:val="21"/>
                <w:lang w:val="en-GB"/>
              </w:rPr>
            </w:pPr>
          </w:p>
        </w:tc>
        <w:tc>
          <w:tcPr>
            <w:tcW w:w="986" w:type="pct"/>
            <w:tcBorders>
              <w:top w:val="single" w:color="auto" w:sz="4" w:space="0"/>
              <w:left w:val="single" w:color="auto" w:sz="4" w:space="0"/>
              <w:bottom w:val="single" w:color="auto" w:sz="4" w:space="0"/>
              <w:right w:val="single" w:color="auto" w:sz="4" w:space="0"/>
            </w:tcBorders>
            <w:noWrap/>
            <w:vAlign w:val="center"/>
          </w:tcPr>
          <w:p>
            <w:pPr>
              <w:pStyle w:val="208"/>
              <w:tabs>
                <w:tab w:val="left" w:pos="1260"/>
              </w:tabs>
              <w:snapToGrid w:val="0"/>
              <w:spacing w:line="360" w:lineRule="auto"/>
              <w:jc w:val="cente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40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lang w:val="en-GB"/>
              </w:rPr>
            </w:pPr>
          </w:p>
        </w:tc>
        <w:tc>
          <w:tcPr>
            <w:tcW w:w="1070" w:type="pct"/>
            <w:tcBorders>
              <w:top w:val="single" w:color="auto" w:sz="4" w:space="0"/>
              <w:left w:val="single" w:color="auto" w:sz="4" w:space="0"/>
              <w:bottom w:val="single" w:color="auto" w:sz="4" w:space="0"/>
              <w:right w:val="single" w:color="auto" w:sz="4" w:space="0"/>
            </w:tcBorders>
            <w:noWrap/>
            <w:vAlign w:val="center"/>
          </w:tcPr>
          <w:p>
            <w:pPr>
              <w:pStyle w:val="208"/>
              <w:tabs>
                <w:tab w:val="left" w:pos="1260"/>
              </w:tabs>
              <w:snapToGrid w:val="0"/>
              <w:spacing w:line="360" w:lineRule="auto"/>
              <w:jc w:val="center"/>
              <w:rPr>
                <w:rFonts w:ascii="宋体" w:hAnsi="宋体"/>
                <w:szCs w:val="21"/>
                <w:lang w:val="en-GB"/>
              </w:rPr>
            </w:pPr>
          </w:p>
        </w:tc>
        <w:tc>
          <w:tcPr>
            <w:tcW w:w="482" w:type="pct"/>
            <w:tcBorders>
              <w:top w:val="single" w:color="auto" w:sz="4" w:space="0"/>
              <w:left w:val="single" w:color="auto" w:sz="4" w:space="0"/>
              <w:bottom w:val="single" w:color="auto" w:sz="4" w:space="0"/>
              <w:right w:val="single" w:color="auto" w:sz="4" w:space="0"/>
            </w:tcBorders>
            <w:noWrap/>
            <w:vAlign w:val="center"/>
          </w:tcPr>
          <w:p>
            <w:pPr>
              <w:pStyle w:val="208"/>
              <w:tabs>
                <w:tab w:val="left" w:pos="1260"/>
              </w:tabs>
              <w:snapToGrid w:val="0"/>
              <w:spacing w:line="360" w:lineRule="auto"/>
              <w:jc w:val="center"/>
              <w:rPr>
                <w:rFonts w:ascii="宋体" w:hAnsi="宋体"/>
                <w:szCs w:val="21"/>
                <w:lang w:val="en-GB"/>
              </w:rPr>
            </w:pPr>
          </w:p>
        </w:tc>
        <w:tc>
          <w:tcPr>
            <w:tcW w:w="687" w:type="pct"/>
            <w:tcBorders>
              <w:top w:val="single" w:color="auto" w:sz="4" w:space="0"/>
              <w:left w:val="single" w:color="auto" w:sz="4" w:space="0"/>
              <w:bottom w:val="single" w:color="auto" w:sz="4" w:space="0"/>
              <w:right w:val="single" w:color="auto" w:sz="4" w:space="0"/>
            </w:tcBorders>
            <w:noWrap/>
            <w:vAlign w:val="center"/>
          </w:tcPr>
          <w:p>
            <w:pPr>
              <w:pStyle w:val="208"/>
              <w:tabs>
                <w:tab w:val="left" w:pos="1260"/>
              </w:tabs>
              <w:snapToGrid w:val="0"/>
              <w:spacing w:line="360" w:lineRule="auto"/>
              <w:jc w:val="center"/>
              <w:rPr>
                <w:rFonts w:ascii="宋体" w:hAnsi="宋体"/>
                <w:szCs w:val="21"/>
                <w:lang w:val="en-GB"/>
              </w:rPr>
            </w:pPr>
          </w:p>
        </w:tc>
        <w:tc>
          <w:tcPr>
            <w:tcW w:w="533" w:type="pct"/>
            <w:tcBorders>
              <w:top w:val="single" w:color="auto" w:sz="4" w:space="0"/>
              <w:left w:val="single" w:color="auto" w:sz="4" w:space="0"/>
              <w:bottom w:val="single" w:color="auto" w:sz="4" w:space="0"/>
              <w:right w:val="single" w:color="auto" w:sz="4" w:space="0"/>
            </w:tcBorders>
            <w:noWrap/>
            <w:vAlign w:val="center"/>
          </w:tcPr>
          <w:p>
            <w:pPr>
              <w:pStyle w:val="208"/>
              <w:tabs>
                <w:tab w:val="left" w:pos="1260"/>
              </w:tabs>
              <w:snapToGrid w:val="0"/>
              <w:spacing w:line="360" w:lineRule="auto"/>
              <w:jc w:val="center"/>
              <w:rPr>
                <w:rFonts w:ascii="宋体" w:hAnsi="宋体"/>
                <w:szCs w:val="21"/>
                <w:lang w:val="en-GB"/>
              </w:rPr>
            </w:pPr>
          </w:p>
        </w:tc>
        <w:tc>
          <w:tcPr>
            <w:tcW w:w="513" w:type="pct"/>
            <w:tcBorders>
              <w:top w:val="single" w:color="auto" w:sz="4" w:space="0"/>
              <w:left w:val="single" w:color="auto" w:sz="4" w:space="0"/>
              <w:bottom w:val="single" w:color="auto" w:sz="4" w:space="0"/>
              <w:right w:val="single" w:color="auto" w:sz="4" w:space="0"/>
            </w:tcBorders>
            <w:noWrap/>
            <w:vAlign w:val="center"/>
          </w:tcPr>
          <w:p>
            <w:pPr>
              <w:pStyle w:val="208"/>
              <w:tabs>
                <w:tab w:val="left" w:pos="1260"/>
              </w:tabs>
              <w:snapToGrid w:val="0"/>
              <w:spacing w:line="360" w:lineRule="auto"/>
              <w:jc w:val="center"/>
              <w:rPr>
                <w:rFonts w:ascii="宋体" w:hAnsi="宋体"/>
                <w:szCs w:val="21"/>
                <w:lang w:val="en-GB"/>
              </w:rPr>
            </w:pPr>
          </w:p>
        </w:tc>
        <w:tc>
          <w:tcPr>
            <w:tcW w:w="328" w:type="pct"/>
            <w:tcBorders>
              <w:top w:val="single" w:color="auto" w:sz="4" w:space="0"/>
              <w:left w:val="single" w:color="auto" w:sz="4" w:space="0"/>
              <w:bottom w:val="single" w:color="auto" w:sz="4" w:space="0"/>
              <w:right w:val="single" w:color="auto" w:sz="4" w:space="0"/>
            </w:tcBorders>
            <w:noWrap/>
            <w:vAlign w:val="center"/>
          </w:tcPr>
          <w:p>
            <w:pPr>
              <w:pStyle w:val="208"/>
              <w:tabs>
                <w:tab w:val="left" w:pos="1260"/>
              </w:tabs>
              <w:snapToGrid w:val="0"/>
              <w:spacing w:line="360" w:lineRule="auto"/>
              <w:jc w:val="center"/>
              <w:rPr>
                <w:rFonts w:ascii="宋体" w:hAnsi="宋体"/>
                <w:szCs w:val="21"/>
                <w:lang w:val="en-GB"/>
              </w:rPr>
            </w:pPr>
          </w:p>
        </w:tc>
        <w:tc>
          <w:tcPr>
            <w:tcW w:w="986" w:type="pct"/>
            <w:tcBorders>
              <w:top w:val="single" w:color="auto" w:sz="4" w:space="0"/>
              <w:left w:val="single" w:color="auto" w:sz="4" w:space="0"/>
              <w:bottom w:val="single" w:color="auto" w:sz="4" w:space="0"/>
              <w:right w:val="single" w:color="auto" w:sz="4" w:space="0"/>
            </w:tcBorders>
            <w:noWrap/>
            <w:vAlign w:val="center"/>
          </w:tcPr>
          <w:p>
            <w:pPr>
              <w:pStyle w:val="208"/>
              <w:tabs>
                <w:tab w:val="left" w:pos="1260"/>
              </w:tabs>
              <w:snapToGrid w:val="0"/>
              <w:spacing w:line="360" w:lineRule="auto"/>
              <w:jc w:val="cente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40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lang w:val="en-GB"/>
              </w:rPr>
            </w:pPr>
          </w:p>
        </w:tc>
        <w:tc>
          <w:tcPr>
            <w:tcW w:w="1070" w:type="pct"/>
            <w:tcBorders>
              <w:top w:val="single" w:color="auto" w:sz="4" w:space="0"/>
              <w:left w:val="single" w:color="auto" w:sz="4" w:space="0"/>
              <w:bottom w:val="single" w:color="auto" w:sz="4" w:space="0"/>
              <w:right w:val="single" w:color="auto" w:sz="4" w:space="0"/>
            </w:tcBorders>
            <w:noWrap/>
            <w:vAlign w:val="center"/>
          </w:tcPr>
          <w:p>
            <w:pPr>
              <w:pStyle w:val="208"/>
              <w:tabs>
                <w:tab w:val="left" w:pos="1260"/>
              </w:tabs>
              <w:snapToGrid w:val="0"/>
              <w:spacing w:line="360" w:lineRule="auto"/>
              <w:jc w:val="center"/>
              <w:rPr>
                <w:rFonts w:ascii="宋体" w:hAnsi="宋体"/>
                <w:szCs w:val="21"/>
                <w:lang w:val="en-GB"/>
              </w:rPr>
            </w:pPr>
          </w:p>
        </w:tc>
        <w:tc>
          <w:tcPr>
            <w:tcW w:w="482" w:type="pct"/>
            <w:tcBorders>
              <w:top w:val="single" w:color="auto" w:sz="4" w:space="0"/>
              <w:left w:val="single" w:color="auto" w:sz="4" w:space="0"/>
              <w:bottom w:val="single" w:color="auto" w:sz="4" w:space="0"/>
              <w:right w:val="single" w:color="auto" w:sz="4" w:space="0"/>
            </w:tcBorders>
            <w:noWrap/>
            <w:vAlign w:val="center"/>
          </w:tcPr>
          <w:p>
            <w:pPr>
              <w:pStyle w:val="208"/>
              <w:tabs>
                <w:tab w:val="left" w:pos="1260"/>
              </w:tabs>
              <w:snapToGrid w:val="0"/>
              <w:spacing w:line="360" w:lineRule="auto"/>
              <w:jc w:val="center"/>
              <w:rPr>
                <w:rFonts w:ascii="宋体" w:hAnsi="宋体"/>
                <w:szCs w:val="21"/>
                <w:lang w:val="en-GB"/>
              </w:rPr>
            </w:pPr>
          </w:p>
        </w:tc>
        <w:tc>
          <w:tcPr>
            <w:tcW w:w="687" w:type="pct"/>
            <w:tcBorders>
              <w:top w:val="single" w:color="auto" w:sz="4" w:space="0"/>
              <w:left w:val="single" w:color="auto" w:sz="4" w:space="0"/>
              <w:bottom w:val="single" w:color="auto" w:sz="4" w:space="0"/>
              <w:right w:val="single" w:color="auto" w:sz="4" w:space="0"/>
            </w:tcBorders>
            <w:noWrap/>
            <w:vAlign w:val="center"/>
          </w:tcPr>
          <w:p>
            <w:pPr>
              <w:pStyle w:val="208"/>
              <w:tabs>
                <w:tab w:val="left" w:pos="1260"/>
              </w:tabs>
              <w:snapToGrid w:val="0"/>
              <w:spacing w:line="360" w:lineRule="auto"/>
              <w:jc w:val="center"/>
              <w:rPr>
                <w:rFonts w:ascii="宋体" w:hAnsi="宋体"/>
                <w:szCs w:val="21"/>
                <w:lang w:val="en-GB"/>
              </w:rPr>
            </w:pPr>
          </w:p>
        </w:tc>
        <w:tc>
          <w:tcPr>
            <w:tcW w:w="533" w:type="pct"/>
            <w:tcBorders>
              <w:top w:val="single" w:color="auto" w:sz="4" w:space="0"/>
              <w:left w:val="single" w:color="auto" w:sz="4" w:space="0"/>
              <w:bottom w:val="single" w:color="auto" w:sz="4" w:space="0"/>
              <w:right w:val="single" w:color="auto" w:sz="4" w:space="0"/>
            </w:tcBorders>
            <w:noWrap/>
            <w:vAlign w:val="center"/>
          </w:tcPr>
          <w:p>
            <w:pPr>
              <w:pStyle w:val="208"/>
              <w:tabs>
                <w:tab w:val="left" w:pos="1260"/>
              </w:tabs>
              <w:snapToGrid w:val="0"/>
              <w:spacing w:line="360" w:lineRule="auto"/>
              <w:jc w:val="center"/>
              <w:rPr>
                <w:rFonts w:ascii="宋体" w:hAnsi="宋体"/>
                <w:szCs w:val="21"/>
                <w:lang w:val="en-GB"/>
              </w:rPr>
            </w:pPr>
          </w:p>
        </w:tc>
        <w:tc>
          <w:tcPr>
            <w:tcW w:w="513" w:type="pct"/>
            <w:tcBorders>
              <w:top w:val="single" w:color="auto" w:sz="4" w:space="0"/>
              <w:left w:val="single" w:color="auto" w:sz="4" w:space="0"/>
              <w:bottom w:val="single" w:color="auto" w:sz="4" w:space="0"/>
              <w:right w:val="single" w:color="auto" w:sz="4" w:space="0"/>
            </w:tcBorders>
            <w:noWrap/>
            <w:vAlign w:val="center"/>
          </w:tcPr>
          <w:p>
            <w:pPr>
              <w:pStyle w:val="208"/>
              <w:tabs>
                <w:tab w:val="left" w:pos="1260"/>
              </w:tabs>
              <w:snapToGrid w:val="0"/>
              <w:spacing w:line="360" w:lineRule="auto"/>
              <w:jc w:val="center"/>
              <w:rPr>
                <w:rFonts w:ascii="宋体" w:hAnsi="宋体"/>
                <w:szCs w:val="21"/>
                <w:lang w:val="en-GB"/>
              </w:rPr>
            </w:pPr>
          </w:p>
        </w:tc>
        <w:tc>
          <w:tcPr>
            <w:tcW w:w="328" w:type="pct"/>
            <w:tcBorders>
              <w:top w:val="single" w:color="auto" w:sz="4" w:space="0"/>
              <w:left w:val="single" w:color="auto" w:sz="4" w:space="0"/>
              <w:bottom w:val="single" w:color="auto" w:sz="4" w:space="0"/>
              <w:right w:val="single" w:color="auto" w:sz="4" w:space="0"/>
            </w:tcBorders>
            <w:noWrap/>
            <w:vAlign w:val="center"/>
          </w:tcPr>
          <w:p>
            <w:pPr>
              <w:pStyle w:val="208"/>
              <w:tabs>
                <w:tab w:val="left" w:pos="1260"/>
              </w:tabs>
              <w:snapToGrid w:val="0"/>
              <w:spacing w:line="360" w:lineRule="auto"/>
              <w:jc w:val="center"/>
              <w:rPr>
                <w:rFonts w:ascii="宋体" w:hAnsi="宋体"/>
                <w:szCs w:val="21"/>
                <w:lang w:val="en-GB"/>
              </w:rPr>
            </w:pPr>
          </w:p>
        </w:tc>
        <w:tc>
          <w:tcPr>
            <w:tcW w:w="986" w:type="pct"/>
            <w:tcBorders>
              <w:top w:val="single" w:color="auto" w:sz="4" w:space="0"/>
              <w:left w:val="single" w:color="auto" w:sz="4" w:space="0"/>
              <w:bottom w:val="single" w:color="auto" w:sz="4" w:space="0"/>
              <w:right w:val="single" w:color="auto" w:sz="4" w:space="0"/>
            </w:tcBorders>
            <w:noWrap/>
            <w:vAlign w:val="center"/>
          </w:tcPr>
          <w:p>
            <w:pPr>
              <w:pStyle w:val="208"/>
              <w:tabs>
                <w:tab w:val="left" w:pos="1260"/>
              </w:tabs>
              <w:snapToGrid w:val="0"/>
              <w:spacing w:line="360" w:lineRule="auto"/>
              <w:jc w:val="cente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40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lang w:val="en-GB"/>
              </w:rPr>
            </w:pPr>
          </w:p>
        </w:tc>
        <w:tc>
          <w:tcPr>
            <w:tcW w:w="3285" w:type="pct"/>
            <w:gridSpan w:val="5"/>
            <w:tcBorders>
              <w:top w:val="single" w:color="auto" w:sz="4" w:space="0"/>
              <w:left w:val="single" w:color="auto" w:sz="4" w:space="0"/>
              <w:bottom w:val="single" w:color="auto" w:sz="4" w:space="0"/>
              <w:right w:val="single" w:color="auto" w:sz="4" w:space="0"/>
            </w:tcBorders>
            <w:noWrap/>
            <w:vAlign w:val="center"/>
          </w:tcPr>
          <w:p>
            <w:pPr>
              <w:pStyle w:val="208"/>
              <w:tabs>
                <w:tab w:val="left" w:pos="1260"/>
              </w:tabs>
              <w:snapToGrid w:val="0"/>
              <w:spacing w:line="360" w:lineRule="auto"/>
              <w:jc w:val="center"/>
              <w:rPr>
                <w:rFonts w:ascii="宋体" w:hAnsi="宋体"/>
                <w:szCs w:val="21"/>
                <w:lang w:val="en-GB"/>
              </w:rPr>
            </w:pPr>
            <w:r>
              <w:rPr>
                <w:rFonts w:hint="eastAsia" w:ascii="宋体" w:hAnsi="宋体"/>
                <w:szCs w:val="21"/>
              </w:rPr>
              <w:t>小型、微型企业产品</w:t>
            </w:r>
            <w:r>
              <w:rPr>
                <w:rFonts w:hint="eastAsia" w:ascii="宋体" w:hAnsi="宋体"/>
                <w:szCs w:val="21"/>
                <w:lang w:val="en-GB"/>
              </w:rPr>
              <w:t>金额合计</w:t>
            </w:r>
          </w:p>
        </w:tc>
        <w:tc>
          <w:tcPr>
            <w:tcW w:w="1314" w:type="pct"/>
            <w:gridSpan w:val="2"/>
            <w:tcBorders>
              <w:top w:val="single" w:color="auto" w:sz="4" w:space="0"/>
              <w:left w:val="single" w:color="auto" w:sz="4" w:space="0"/>
              <w:bottom w:val="single" w:color="auto" w:sz="4" w:space="0"/>
              <w:right w:val="single" w:color="auto" w:sz="4" w:space="0"/>
            </w:tcBorders>
            <w:noWrap/>
            <w:vAlign w:val="center"/>
          </w:tcPr>
          <w:p>
            <w:pPr>
              <w:pStyle w:val="208"/>
              <w:tabs>
                <w:tab w:val="left" w:pos="1260"/>
              </w:tabs>
              <w:snapToGrid w:val="0"/>
              <w:spacing w:line="360" w:lineRule="auto"/>
              <w:jc w:val="center"/>
              <w:rPr>
                <w:rFonts w:ascii="宋体" w:hAnsi="宋体"/>
                <w:szCs w:val="21"/>
                <w:lang w:val="en-GB"/>
              </w:rPr>
            </w:pPr>
          </w:p>
        </w:tc>
      </w:tr>
    </w:tbl>
    <w:p>
      <w:pPr>
        <w:adjustRightInd w:val="0"/>
        <w:snapToGrid w:val="0"/>
        <w:spacing w:line="288" w:lineRule="auto"/>
        <w:ind w:firstLine="420" w:firstLineChars="200"/>
        <w:rPr>
          <w:rFonts w:ascii="宋体" w:hAnsi="宋体"/>
          <w:szCs w:val="21"/>
        </w:rPr>
      </w:pPr>
      <w:r>
        <w:rPr>
          <w:rFonts w:hint="eastAsia" w:ascii="宋体" w:hAnsi="宋体"/>
          <w:szCs w:val="21"/>
        </w:rPr>
        <w:t>填报要求：</w:t>
      </w:r>
    </w:p>
    <w:p>
      <w:pPr>
        <w:adjustRightInd w:val="0"/>
        <w:snapToGrid w:val="0"/>
        <w:spacing w:line="288" w:lineRule="auto"/>
        <w:ind w:firstLine="420" w:firstLineChars="200"/>
        <w:rPr>
          <w:rFonts w:ascii="宋体" w:hAnsi="宋体"/>
          <w:szCs w:val="21"/>
        </w:rPr>
      </w:pPr>
      <w:r>
        <w:rPr>
          <w:rFonts w:hint="eastAsia" w:ascii="宋体" w:hAnsi="宋体"/>
          <w:szCs w:val="21"/>
        </w:rPr>
        <w:t>1. 本表的“产品名称”、“品牌”、“型号、规格”、金额应与《报价明细表》的“名称”、“品牌”、“型号、规格”、“投标报价”一致。</w:t>
      </w:r>
    </w:p>
    <w:p>
      <w:pPr>
        <w:adjustRightInd w:val="0"/>
        <w:snapToGrid w:val="0"/>
        <w:spacing w:line="288" w:lineRule="auto"/>
        <w:ind w:firstLine="420" w:firstLineChars="200"/>
        <w:rPr>
          <w:rFonts w:ascii="宋体" w:hAnsi="宋体"/>
          <w:szCs w:val="21"/>
        </w:rPr>
      </w:pPr>
      <w:r>
        <w:rPr>
          <w:rFonts w:hint="eastAsia" w:ascii="宋体" w:hAnsi="宋体"/>
          <w:szCs w:val="21"/>
        </w:rPr>
        <w:t>2. “制造商企业类型”栏填写内容应为“小型”、“微型”，并提供制造企业情况表（格式见附件5.5）。</w:t>
      </w:r>
    </w:p>
    <w:p>
      <w:pPr>
        <w:adjustRightInd w:val="0"/>
        <w:snapToGrid w:val="0"/>
        <w:spacing w:line="288" w:lineRule="auto"/>
        <w:ind w:firstLine="420" w:firstLineChars="200"/>
        <w:rPr>
          <w:rFonts w:ascii="宋体" w:hAnsi="宋体"/>
        </w:rPr>
      </w:pPr>
      <w:r>
        <w:rPr>
          <w:rFonts w:hint="eastAsia" w:ascii="宋体" w:hAnsi="宋体"/>
        </w:rPr>
        <w:t>3. 请投标人正确填写本表，所填内容将作为报价的评分依据。如果填写不完整或有误，不再享受上述政策优惠。</w:t>
      </w:r>
    </w:p>
    <w:p>
      <w:pPr>
        <w:spacing w:before="120" w:beforeLines="50" w:line="288" w:lineRule="auto"/>
        <w:ind w:right="-21" w:rightChars="-10" w:firstLine="10080" w:firstLineChars="4800"/>
        <w:rPr>
          <w:rFonts w:ascii="宋体" w:hAnsi="宋体"/>
        </w:rPr>
      </w:pPr>
    </w:p>
    <w:p>
      <w:pPr>
        <w:spacing w:before="120" w:beforeLines="50" w:line="288" w:lineRule="auto"/>
        <w:ind w:right="-21" w:rightChars="-10"/>
        <w:jc w:val="center"/>
        <w:rPr>
          <w:rFonts w:ascii="宋体" w:hAnsi="宋体"/>
        </w:rPr>
      </w:pPr>
      <w:r>
        <w:rPr>
          <w:rFonts w:hint="eastAsia" w:ascii="宋体" w:hAnsi="宋体"/>
        </w:rPr>
        <w:t>投标人（盖章）：</w:t>
      </w:r>
    </w:p>
    <w:p>
      <w:pPr>
        <w:spacing w:before="120" w:beforeLines="50" w:line="288" w:lineRule="auto"/>
        <w:ind w:right="-21" w:rightChars="-10"/>
        <w:jc w:val="right"/>
        <w:rPr>
          <w:rFonts w:ascii="宋体" w:hAnsi="宋体"/>
        </w:rPr>
      </w:pPr>
    </w:p>
    <w:p>
      <w:pPr>
        <w:spacing w:before="120" w:beforeLines="50" w:line="288" w:lineRule="auto"/>
        <w:ind w:right="-21" w:rightChars="-10"/>
        <w:jc w:val="right"/>
        <w:rPr>
          <w:rFonts w:ascii="宋体" w:hAnsi="宋体"/>
        </w:rPr>
      </w:pPr>
    </w:p>
    <w:p>
      <w:pPr>
        <w:spacing w:before="120" w:beforeLines="50" w:line="288" w:lineRule="auto"/>
        <w:ind w:right="-21" w:rightChars="-10"/>
        <w:jc w:val="right"/>
        <w:rPr>
          <w:rFonts w:ascii="宋体" w:hAnsi="宋体"/>
        </w:rPr>
      </w:pPr>
    </w:p>
    <w:p>
      <w:pPr>
        <w:spacing w:before="120" w:beforeLines="50" w:line="288" w:lineRule="auto"/>
        <w:ind w:right="-21" w:rightChars="-10"/>
        <w:jc w:val="right"/>
        <w:rPr>
          <w:rFonts w:ascii="宋体" w:hAnsi="宋体"/>
        </w:rPr>
      </w:pPr>
    </w:p>
    <w:p>
      <w:pPr>
        <w:snapToGrid w:val="0"/>
        <w:spacing w:before="50" w:after="120" w:afterLines="50"/>
        <w:jc w:val="left"/>
        <w:rPr>
          <w:rFonts w:ascii="宋体" w:hAnsi="宋体"/>
          <w:b/>
          <w:sz w:val="24"/>
        </w:rPr>
      </w:pPr>
    </w:p>
    <w:p>
      <w:pPr>
        <w:snapToGrid w:val="0"/>
        <w:spacing w:before="50" w:after="120" w:afterLines="50"/>
        <w:jc w:val="left"/>
        <w:rPr>
          <w:rFonts w:ascii="宋体" w:hAnsi="宋体"/>
          <w:b/>
          <w:sz w:val="24"/>
        </w:rPr>
      </w:pPr>
    </w:p>
    <w:p>
      <w:pPr>
        <w:snapToGrid w:val="0"/>
        <w:spacing w:before="50" w:after="120" w:afterLines="50"/>
        <w:jc w:val="left"/>
        <w:rPr>
          <w:rFonts w:ascii="宋体" w:hAnsi="宋体"/>
          <w:b/>
          <w:sz w:val="24"/>
        </w:rPr>
      </w:pPr>
    </w:p>
    <w:p>
      <w:pPr>
        <w:snapToGrid w:val="0"/>
        <w:spacing w:before="50" w:after="120" w:afterLines="50"/>
        <w:jc w:val="left"/>
        <w:rPr>
          <w:rFonts w:ascii="宋体" w:hAnsi="宋体"/>
          <w:b/>
          <w:sz w:val="24"/>
        </w:rPr>
      </w:pPr>
    </w:p>
    <w:p>
      <w:pPr>
        <w:widowControl/>
        <w:jc w:val="left"/>
        <w:rPr>
          <w:rFonts w:ascii="宋体" w:hAnsi="宋体"/>
          <w:b/>
          <w:sz w:val="24"/>
        </w:rPr>
      </w:pPr>
    </w:p>
    <w:p>
      <w:pPr>
        <w:pStyle w:val="5"/>
      </w:pPr>
      <w:bookmarkStart w:id="187" w:name="_Toc59530187"/>
      <w:r>
        <w:rPr>
          <w:rFonts w:hint="eastAsia"/>
        </w:rPr>
        <w:t>附件</w:t>
      </w:r>
      <w:r>
        <w:t>6</w:t>
      </w:r>
      <w:r>
        <w:rPr>
          <w:rFonts w:hint="eastAsia"/>
        </w:rPr>
        <w:t>：制造企业情况表（</w:t>
      </w:r>
      <w:r>
        <w:rPr>
          <w:rFonts w:hint="eastAsia" w:ascii="宋体" w:hAnsi="宋体"/>
        </w:rPr>
        <w:t>小微企业提供其他小微企业生产的产品时适用,提供中小企业名录查询结果截图http://xwqy.gsxt.gov.cn，不提供不予抵扣</w:t>
      </w:r>
      <w:r>
        <w:rPr>
          <w:rFonts w:hint="eastAsia"/>
        </w:rPr>
        <w:t>）</w:t>
      </w:r>
      <w:bookmarkEnd w:id="187"/>
    </w:p>
    <w:p>
      <w:pPr>
        <w:snapToGrid w:val="0"/>
        <w:spacing w:before="120" w:beforeLines="50" w:after="50" w:line="360" w:lineRule="auto"/>
        <w:jc w:val="center"/>
        <w:rPr>
          <w:rFonts w:ascii="宋体" w:hAnsi="宋体"/>
          <w:b/>
          <w:sz w:val="24"/>
        </w:rPr>
      </w:pPr>
      <w:r>
        <w:rPr>
          <w:rFonts w:hint="eastAsia" w:ascii="宋体" w:hAnsi="宋体"/>
          <w:b/>
          <w:sz w:val="24"/>
        </w:rPr>
        <w:t>制造企业情况表</w:t>
      </w:r>
    </w:p>
    <w:p>
      <w:pPr>
        <w:pStyle w:val="21"/>
        <w:spacing w:before="120" w:after="120" w:line="360" w:lineRule="auto"/>
        <w:rPr>
          <w:rFonts w:ascii="Times New Roman" w:hAnsi="Times New Roman"/>
        </w:rPr>
      </w:pPr>
      <w:r>
        <w:rPr>
          <w:rFonts w:hint="eastAsia" w:ascii="Times New Roman" w:hAnsi="Times New Roman"/>
        </w:rPr>
        <w:t>投标单位：标项：填表日期：</w:t>
      </w:r>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1260"/>
        <w:gridCol w:w="2887"/>
        <w:gridCol w:w="1222"/>
        <w:gridCol w:w="166"/>
        <w:gridCol w:w="2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2104" w:type="dxa"/>
            <w:gridSpan w:val="2"/>
            <w:tcBorders>
              <w:top w:val="single" w:color="auto" w:sz="4" w:space="0"/>
              <w:left w:val="single" w:color="auto" w:sz="4" w:space="0"/>
              <w:bottom w:val="single" w:color="auto" w:sz="4" w:space="0"/>
              <w:right w:val="single" w:color="auto" w:sz="4" w:space="0"/>
            </w:tcBorders>
            <w:noWrap/>
            <w:vAlign w:val="center"/>
          </w:tcPr>
          <w:p>
            <w:pPr>
              <w:pStyle w:val="21"/>
              <w:spacing w:before="120" w:after="120" w:line="360" w:lineRule="auto"/>
              <w:rPr>
                <w:rFonts w:ascii="Times New Roman" w:hAnsi="Times New Roman"/>
              </w:rPr>
            </w:pPr>
            <w:r>
              <w:rPr>
                <w:rFonts w:hint="eastAsia" w:ascii="Times New Roman" w:hAnsi="Times New Roman"/>
              </w:rPr>
              <w:t>制造企业名称</w:t>
            </w:r>
          </w:p>
        </w:tc>
        <w:tc>
          <w:tcPr>
            <w:tcW w:w="288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sz w:val="24"/>
              </w:rPr>
            </w:pPr>
          </w:p>
        </w:tc>
        <w:tc>
          <w:tcPr>
            <w:tcW w:w="1388" w:type="dxa"/>
            <w:gridSpan w:val="2"/>
            <w:tcBorders>
              <w:top w:val="single" w:color="auto" w:sz="4" w:space="0"/>
              <w:left w:val="single" w:color="auto" w:sz="4" w:space="0"/>
              <w:bottom w:val="single" w:color="auto" w:sz="4" w:space="0"/>
              <w:right w:val="single" w:color="auto" w:sz="4" w:space="0"/>
            </w:tcBorders>
            <w:noWrap/>
            <w:vAlign w:val="center"/>
          </w:tcPr>
          <w:p>
            <w:pPr>
              <w:pStyle w:val="21"/>
              <w:spacing w:before="120" w:after="120" w:line="360" w:lineRule="auto"/>
              <w:rPr>
                <w:rFonts w:ascii="Times New Roman" w:hAnsi="Times New Roman"/>
              </w:rPr>
            </w:pPr>
            <w:r>
              <w:rPr>
                <w:rFonts w:hint="eastAsia" w:ascii="Times New Roman" w:hAnsi="Times New Roman"/>
              </w:rPr>
              <w:t>电话</w:t>
            </w:r>
          </w:p>
        </w:tc>
        <w:tc>
          <w:tcPr>
            <w:tcW w:w="2534" w:type="dxa"/>
            <w:tcBorders>
              <w:top w:val="single" w:color="auto" w:sz="4" w:space="0"/>
              <w:left w:val="single" w:color="auto" w:sz="4" w:space="0"/>
              <w:bottom w:val="single" w:color="auto" w:sz="4" w:space="0"/>
              <w:right w:val="single" w:color="auto" w:sz="4" w:space="0"/>
            </w:tcBorders>
            <w:noWrap/>
            <w:vAlign w:val="center"/>
          </w:tcPr>
          <w:p>
            <w:pPr>
              <w:pStyle w:val="21"/>
              <w:spacing w:before="120" w:after="120" w:line="36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2104" w:type="dxa"/>
            <w:gridSpan w:val="2"/>
            <w:tcBorders>
              <w:top w:val="single" w:color="auto" w:sz="4" w:space="0"/>
              <w:left w:val="single" w:color="auto" w:sz="4" w:space="0"/>
              <w:bottom w:val="single" w:color="auto" w:sz="4" w:space="0"/>
              <w:right w:val="single" w:color="auto" w:sz="4" w:space="0"/>
            </w:tcBorders>
            <w:noWrap/>
            <w:vAlign w:val="center"/>
          </w:tcPr>
          <w:p>
            <w:pPr>
              <w:pStyle w:val="21"/>
              <w:spacing w:before="120" w:after="120" w:line="360" w:lineRule="auto"/>
              <w:rPr>
                <w:rFonts w:ascii="Times New Roman" w:hAnsi="Times New Roman"/>
              </w:rPr>
            </w:pPr>
            <w:r>
              <w:rPr>
                <w:rFonts w:hint="eastAsia" w:ascii="Times New Roman" w:hAnsi="Times New Roman"/>
              </w:rPr>
              <w:t>地址</w:t>
            </w:r>
          </w:p>
        </w:tc>
        <w:tc>
          <w:tcPr>
            <w:tcW w:w="2887" w:type="dxa"/>
            <w:tcBorders>
              <w:top w:val="single" w:color="auto" w:sz="4" w:space="0"/>
              <w:left w:val="single" w:color="auto" w:sz="4" w:space="0"/>
              <w:bottom w:val="single" w:color="auto" w:sz="4" w:space="0"/>
              <w:right w:val="single" w:color="auto" w:sz="4" w:space="0"/>
            </w:tcBorders>
            <w:noWrap/>
            <w:vAlign w:val="center"/>
          </w:tcPr>
          <w:p>
            <w:pPr>
              <w:pStyle w:val="21"/>
              <w:spacing w:before="120" w:after="120" w:line="360" w:lineRule="auto"/>
              <w:jc w:val="center"/>
              <w:rPr>
                <w:rFonts w:ascii="Times New Roman" w:hAnsi="Times New Roman"/>
              </w:rPr>
            </w:pPr>
          </w:p>
        </w:tc>
        <w:tc>
          <w:tcPr>
            <w:tcW w:w="1388" w:type="dxa"/>
            <w:gridSpan w:val="2"/>
            <w:tcBorders>
              <w:top w:val="single" w:color="auto" w:sz="4" w:space="0"/>
              <w:left w:val="single" w:color="auto" w:sz="4" w:space="0"/>
              <w:bottom w:val="single" w:color="auto" w:sz="4" w:space="0"/>
              <w:right w:val="single" w:color="auto" w:sz="4" w:space="0"/>
            </w:tcBorders>
            <w:noWrap/>
            <w:vAlign w:val="center"/>
          </w:tcPr>
          <w:p>
            <w:pPr>
              <w:pStyle w:val="21"/>
              <w:spacing w:before="120" w:after="120" w:line="360" w:lineRule="auto"/>
              <w:rPr>
                <w:rFonts w:ascii="Times New Roman" w:hAnsi="Times New Roman"/>
              </w:rPr>
            </w:pPr>
            <w:r>
              <w:rPr>
                <w:rFonts w:hint="eastAsia" w:ascii="Times New Roman" w:hAnsi="Times New Roman"/>
              </w:rPr>
              <w:t>传真</w:t>
            </w:r>
          </w:p>
        </w:tc>
        <w:tc>
          <w:tcPr>
            <w:tcW w:w="2534" w:type="dxa"/>
            <w:tcBorders>
              <w:top w:val="single" w:color="auto" w:sz="4" w:space="0"/>
              <w:left w:val="single" w:color="auto" w:sz="4" w:space="0"/>
              <w:bottom w:val="single" w:color="auto" w:sz="4" w:space="0"/>
              <w:right w:val="single" w:color="auto" w:sz="4" w:space="0"/>
            </w:tcBorders>
            <w:noWrap/>
            <w:vAlign w:val="center"/>
          </w:tcPr>
          <w:p>
            <w:pPr>
              <w:pStyle w:val="21"/>
              <w:spacing w:before="120" w:after="120" w:line="36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2104" w:type="dxa"/>
            <w:gridSpan w:val="2"/>
            <w:tcBorders>
              <w:top w:val="single" w:color="auto" w:sz="4" w:space="0"/>
              <w:left w:val="single" w:color="auto" w:sz="4" w:space="0"/>
              <w:bottom w:val="single" w:color="auto" w:sz="4" w:space="0"/>
              <w:right w:val="single" w:color="auto" w:sz="4" w:space="0"/>
            </w:tcBorders>
            <w:noWrap/>
            <w:vAlign w:val="center"/>
          </w:tcPr>
          <w:p>
            <w:pPr>
              <w:pStyle w:val="21"/>
              <w:spacing w:before="120" w:after="120" w:line="360" w:lineRule="auto"/>
              <w:rPr>
                <w:rFonts w:ascii="Times New Roman" w:hAnsi="Times New Roman"/>
              </w:rPr>
            </w:pPr>
            <w:r>
              <w:rPr>
                <w:rFonts w:hint="eastAsia" w:ascii="Times New Roman" w:hAnsi="Times New Roman"/>
              </w:rPr>
              <w:t>主管部门</w:t>
            </w:r>
          </w:p>
        </w:tc>
        <w:tc>
          <w:tcPr>
            <w:tcW w:w="2887" w:type="dxa"/>
            <w:tcBorders>
              <w:top w:val="single" w:color="auto" w:sz="4" w:space="0"/>
              <w:left w:val="single" w:color="auto" w:sz="4" w:space="0"/>
              <w:bottom w:val="single" w:color="auto" w:sz="4" w:space="0"/>
              <w:right w:val="single" w:color="auto" w:sz="4" w:space="0"/>
            </w:tcBorders>
            <w:noWrap/>
            <w:vAlign w:val="center"/>
          </w:tcPr>
          <w:p>
            <w:pPr>
              <w:pStyle w:val="21"/>
              <w:spacing w:before="120" w:after="120" w:line="360" w:lineRule="auto"/>
              <w:jc w:val="center"/>
              <w:rPr>
                <w:rFonts w:ascii="Times New Roman" w:hAnsi="Times New Roman"/>
              </w:rPr>
            </w:pPr>
          </w:p>
        </w:tc>
        <w:tc>
          <w:tcPr>
            <w:tcW w:w="1388" w:type="dxa"/>
            <w:gridSpan w:val="2"/>
            <w:tcBorders>
              <w:top w:val="single" w:color="auto" w:sz="4" w:space="0"/>
              <w:left w:val="single" w:color="auto" w:sz="4" w:space="0"/>
              <w:bottom w:val="single" w:color="auto" w:sz="4" w:space="0"/>
              <w:right w:val="single" w:color="auto" w:sz="4" w:space="0"/>
            </w:tcBorders>
            <w:noWrap/>
            <w:vAlign w:val="center"/>
          </w:tcPr>
          <w:p>
            <w:pPr>
              <w:pStyle w:val="21"/>
              <w:spacing w:before="120" w:after="120" w:line="360" w:lineRule="auto"/>
              <w:rPr>
                <w:rFonts w:ascii="Times New Roman" w:hAnsi="Times New Roman"/>
              </w:rPr>
            </w:pPr>
            <w:r>
              <w:rPr>
                <w:rFonts w:hint="eastAsia" w:ascii="Times New Roman" w:hAnsi="Times New Roman"/>
              </w:rPr>
              <w:t>企业性质</w:t>
            </w:r>
          </w:p>
        </w:tc>
        <w:tc>
          <w:tcPr>
            <w:tcW w:w="2534" w:type="dxa"/>
            <w:tcBorders>
              <w:top w:val="single" w:color="auto" w:sz="4" w:space="0"/>
              <w:left w:val="single" w:color="auto" w:sz="4" w:space="0"/>
              <w:bottom w:val="single" w:color="auto" w:sz="4" w:space="0"/>
              <w:right w:val="single" w:color="auto" w:sz="4" w:space="0"/>
            </w:tcBorders>
            <w:noWrap/>
            <w:vAlign w:val="center"/>
          </w:tcPr>
          <w:p>
            <w:pPr>
              <w:pStyle w:val="21"/>
              <w:spacing w:before="120" w:after="120" w:line="36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104" w:type="dxa"/>
            <w:gridSpan w:val="2"/>
            <w:tcBorders>
              <w:top w:val="single" w:color="auto" w:sz="4" w:space="0"/>
              <w:left w:val="single" w:color="auto" w:sz="4" w:space="0"/>
              <w:bottom w:val="single" w:color="auto" w:sz="4" w:space="0"/>
              <w:right w:val="single" w:color="auto" w:sz="4" w:space="0"/>
            </w:tcBorders>
            <w:noWrap/>
            <w:vAlign w:val="center"/>
          </w:tcPr>
          <w:p>
            <w:pPr>
              <w:pStyle w:val="21"/>
              <w:spacing w:before="120" w:after="120" w:line="360" w:lineRule="auto"/>
              <w:rPr>
                <w:rFonts w:ascii="Times New Roman" w:hAnsi="Times New Roman"/>
              </w:rPr>
            </w:pPr>
            <w:r>
              <w:rPr>
                <w:rFonts w:hint="eastAsia" w:ascii="Times New Roman" w:hAnsi="Times New Roman"/>
              </w:rPr>
              <w:t>企业法人</w:t>
            </w:r>
          </w:p>
        </w:tc>
        <w:tc>
          <w:tcPr>
            <w:tcW w:w="2887" w:type="dxa"/>
            <w:tcBorders>
              <w:top w:val="single" w:color="auto" w:sz="4" w:space="0"/>
              <w:left w:val="single" w:color="auto" w:sz="4" w:space="0"/>
              <w:bottom w:val="single" w:color="auto" w:sz="4" w:space="0"/>
              <w:right w:val="single" w:color="auto" w:sz="4" w:space="0"/>
            </w:tcBorders>
            <w:noWrap/>
            <w:vAlign w:val="center"/>
          </w:tcPr>
          <w:p>
            <w:pPr>
              <w:pStyle w:val="21"/>
              <w:spacing w:before="120" w:after="120" w:line="360" w:lineRule="auto"/>
              <w:jc w:val="center"/>
              <w:rPr>
                <w:rFonts w:ascii="Times New Roman" w:hAnsi="Times New Roman"/>
              </w:rPr>
            </w:pPr>
          </w:p>
        </w:tc>
        <w:tc>
          <w:tcPr>
            <w:tcW w:w="1388" w:type="dxa"/>
            <w:gridSpan w:val="2"/>
            <w:tcBorders>
              <w:top w:val="single" w:color="auto" w:sz="4" w:space="0"/>
              <w:left w:val="single" w:color="auto" w:sz="4" w:space="0"/>
              <w:bottom w:val="single" w:color="auto" w:sz="4" w:space="0"/>
              <w:right w:val="single" w:color="auto" w:sz="4" w:space="0"/>
            </w:tcBorders>
            <w:noWrap/>
            <w:vAlign w:val="center"/>
          </w:tcPr>
          <w:p>
            <w:pPr>
              <w:pStyle w:val="21"/>
              <w:spacing w:before="120" w:after="120" w:line="360" w:lineRule="auto"/>
              <w:rPr>
                <w:rFonts w:ascii="Times New Roman" w:hAnsi="Times New Roman"/>
              </w:rPr>
            </w:pPr>
            <w:r>
              <w:rPr>
                <w:rFonts w:hint="eastAsia"/>
              </w:rPr>
              <w:t>资质等级</w:t>
            </w:r>
          </w:p>
        </w:tc>
        <w:tc>
          <w:tcPr>
            <w:tcW w:w="2534" w:type="dxa"/>
            <w:tcBorders>
              <w:top w:val="single" w:color="auto" w:sz="4" w:space="0"/>
              <w:left w:val="single" w:color="auto" w:sz="4" w:space="0"/>
              <w:bottom w:val="single" w:color="auto" w:sz="4" w:space="0"/>
              <w:right w:val="single" w:color="auto" w:sz="4" w:space="0"/>
            </w:tcBorders>
            <w:noWrap/>
            <w:vAlign w:val="center"/>
          </w:tcPr>
          <w:p>
            <w:pPr>
              <w:pStyle w:val="21"/>
              <w:spacing w:before="120" w:after="120" w:line="36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2104" w:type="dxa"/>
            <w:gridSpan w:val="2"/>
            <w:tcBorders>
              <w:top w:val="single" w:color="auto" w:sz="4" w:space="0"/>
              <w:left w:val="single" w:color="auto" w:sz="4" w:space="0"/>
              <w:bottom w:val="single" w:color="auto" w:sz="4" w:space="0"/>
              <w:right w:val="single" w:color="auto" w:sz="4" w:space="0"/>
            </w:tcBorders>
            <w:noWrap/>
            <w:vAlign w:val="center"/>
          </w:tcPr>
          <w:p>
            <w:pPr>
              <w:pStyle w:val="21"/>
              <w:spacing w:before="120" w:after="120" w:line="360" w:lineRule="auto"/>
              <w:rPr>
                <w:rFonts w:ascii="Times New Roman" w:hAnsi="Times New Roman"/>
              </w:rPr>
            </w:pPr>
            <w:r>
              <w:rPr>
                <w:rFonts w:hint="eastAsia" w:ascii="Times New Roman" w:hAnsi="Times New Roman"/>
              </w:rPr>
              <w:t>授权代表</w:t>
            </w:r>
          </w:p>
        </w:tc>
        <w:tc>
          <w:tcPr>
            <w:tcW w:w="2887" w:type="dxa"/>
            <w:tcBorders>
              <w:top w:val="single" w:color="auto" w:sz="4" w:space="0"/>
              <w:left w:val="single" w:color="auto" w:sz="4" w:space="0"/>
              <w:bottom w:val="single" w:color="auto" w:sz="4" w:space="0"/>
              <w:right w:val="single" w:color="auto" w:sz="4" w:space="0"/>
            </w:tcBorders>
            <w:noWrap/>
            <w:vAlign w:val="center"/>
          </w:tcPr>
          <w:p>
            <w:pPr>
              <w:pStyle w:val="21"/>
              <w:spacing w:before="120" w:after="120" w:line="360" w:lineRule="auto"/>
              <w:jc w:val="center"/>
              <w:rPr>
                <w:rFonts w:ascii="Times New Roman" w:hAnsi="Times New Roman"/>
              </w:rPr>
            </w:pPr>
          </w:p>
        </w:tc>
        <w:tc>
          <w:tcPr>
            <w:tcW w:w="1388" w:type="dxa"/>
            <w:gridSpan w:val="2"/>
            <w:tcBorders>
              <w:top w:val="single" w:color="auto" w:sz="4" w:space="0"/>
              <w:left w:val="single" w:color="auto" w:sz="4" w:space="0"/>
              <w:bottom w:val="single" w:color="auto" w:sz="4" w:space="0"/>
              <w:right w:val="single" w:color="auto" w:sz="4" w:space="0"/>
            </w:tcBorders>
            <w:noWrap/>
            <w:vAlign w:val="center"/>
          </w:tcPr>
          <w:p>
            <w:pPr>
              <w:pStyle w:val="21"/>
              <w:spacing w:before="120" w:after="120" w:line="360" w:lineRule="auto"/>
              <w:rPr>
                <w:rFonts w:ascii="Times New Roman" w:hAnsi="Times New Roman"/>
              </w:rPr>
            </w:pPr>
            <w:r>
              <w:rPr>
                <w:rFonts w:hint="eastAsia" w:ascii="Times New Roman" w:hAnsi="Times New Roman"/>
              </w:rPr>
              <w:t>职务</w:t>
            </w:r>
          </w:p>
        </w:tc>
        <w:tc>
          <w:tcPr>
            <w:tcW w:w="2534" w:type="dxa"/>
            <w:tcBorders>
              <w:top w:val="single" w:color="auto" w:sz="4" w:space="0"/>
              <w:left w:val="single" w:color="auto" w:sz="4" w:space="0"/>
              <w:bottom w:val="single" w:color="auto" w:sz="4" w:space="0"/>
              <w:right w:val="single" w:color="auto" w:sz="4" w:space="0"/>
            </w:tcBorders>
            <w:noWrap/>
            <w:vAlign w:val="center"/>
          </w:tcPr>
          <w:p>
            <w:pPr>
              <w:pStyle w:val="21"/>
              <w:spacing w:before="120" w:after="120" w:line="360" w:lineRule="auto"/>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jc w:val="center"/>
        </w:trPr>
        <w:tc>
          <w:tcPr>
            <w:tcW w:w="844" w:type="dxa"/>
            <w:vMerge w:val="restart"/>
            <w:tcBorders>
              <w:top w:val="single" w:color="auto" w:sz="4" w:space="0"/>
              <w:left w:val="single" w:color="auto" w:sz="4" w:space="0"/>
              <w:bottom w:val="single" w:color="auto" w:sz="4" w:space="0"/>
              <w:right w:val="single" w:color="auto" w:sz="4" w:space="0"/>
            </w:tcBorders>
            <w:noWrap/>
            <w:vAlign w:val="center"/>
          </w:tcPr>
          <w:p>
            <w:pPr>
              <w:pStyle w:val="21"/>
              <w:spacing w:before="120" w:after="120" w:line="360" w:lineRule="auto"/>
              <w:ind w:firstLine="720" w:firstLineChars="300"/>
              <w:jc w:val="center"/>
              <w:rPr>
                <w:rFonts w:ascii="Times New Roman" w:hAnsi="Times New Roman"/>
              </w:rPr>
            </w:pPr>
          </w:p>
          <w:p>
            <w:pPr>
              <w:pStyle w:val="21"/>
              <w:spacing w:before="120" w:after="120" w:line="360" w:lineRule="auto"/>
              <w:jc w:val="center"/>
              <w:rPr>
                <w:rFonts w:ascii="Times New Roman" w:hAnsi="Times New Roman"/>
              </w:rPr>
            </w:pPr>
            <w:r>
              <w:rPr>
                <w:rFonts w:hint="eastAsia" w:ascii="Times New Roman" w:hAnsi="Times New Roman"/>
              </w:rPr>
              <w:t>单位概况</w:t>
            </w:r>
          </w:p>
          <w:p>
            <w:pPr>
              <w:pStyle w:val="21"/>
              <w:spacing w:before="120" w:after="120" w:line="360" w:lineRule="auto"/>
              <w:ind w:firstLine="720" w:firstLineChars="300"/>
              <w:jc w:val="center"/>
              <w:rPr>
                <w:rFonts w:ascii="Times New Roman" w:hAnsi="Times New Roman"/>
              </w:rPr>
            </w:pPr>
          </w:p>
          <w:p>
            <w:pPr>
              <w:pStyle w:val="21"/>
              <w:spacing w:before="120" w:after="120" w:line="360" w:lineRule="auto"/>
              <w:ind w:firstLine="720" w:firstLineChars="300"/>
              <w:jc w:val="center"/>
              <w:rPr>
                <w:rFonts w:ascii="Times New Roman" w:hAnsi="Times New Roman"/>
              </w:rPr>
            </w:pPr>
          </w:p>
          <w:p>
            <w:pPr>
              <w:pStyle w:val="21"/>
              <w:spacing w:before="120" w:after="120" w:line="360" w:lineRule="auto"/>
              <w:ind w:firstLine="720" w:firstLineChars="300"/>
              <w:jc w:val="center"/>
              <w:rPr>
                <w:rFonts w:ascii="Times New Roman" w:hAnsi="Times New Roman"/>
              </w:rPr>
            </w:pPr>
          </w:p>
          <w:p>
            <w:pPr>
              <w:pStyle w:val="21"/>
              <w:spacing w:before="120" w:after="120" w:line="360" w:lineRule="auto"/>
              <w:ind w:firstLine="720" w:firstLineChars="300"/>
              <w:jc w:val="center"/>
              <w:rPr>
                <w:rFonts w:ascii="Times New Roman" w:hAnsi="Times New Roman"/>
              </w:rPr>
            </w:pPr>
          </w:p>
        </w:tc>
        <w:tc>
          <w:tcPr>
            <w:tcW w:w="1260"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sz w:val="24"/>
              </w:rPr>
            </w:pPr>
            <w:r>
              <w:rPr>
                <w:rFonts w:hint="eastAsia"/>
                <w:sz w:val="24"/>
              </w:rPr>
              <w:t>职工总数</w:t>
            </w:r>
          </w:p>
        </w:tc>
        <w:tc>
          <w:tcPr>
            <w:tcW w:w="2887" w:type="dxa"/>
            <w:tcBorders>
              <w:top w:val="single" w:color="auto" w:sz="4" w:space="0"/>
              <w:left w:val="single" w:color="auto" w:sz="4" w:space="0"/>
              <w:bottom w:val="single" w:color="auto" w:sz="4" w:space="0"/>
              <w:right w:val="single" w:color="auto" w:sz="4" w:space="0"/>
            </w:tcBorders>
            <w:noWrap/>
            <w:vAlign w:val="center"/>
          </w:tcPr>
          <w:p>
            <w:pPr>
              <w:pStyle w:val="21"/>
              <w:spacing w:before="120" w:after="120" w:line="360" w:lineRule="auto"/>
              <w:rPr>
                <w:rFonts w:ascii="Times New Roman" w:hAnsi="Times New Roman"/>
              </w:rPr>
            </w:pPr>
            <w:r>
              <w:rPr>
                <w:rFonts w:hint="eastAsia" w:ascii="Times New Roman" w:hAnsi="Times New Roman"/>
              </w:rPr>
              <w:t>员工：人</w:t>
            </w:r>
          </w:p>
        </w:tc>
        <w:tc>
          <w:tcPr>
            <w:tcW w:w="3922" w:type="dxa"/>
            <w:gridSpan w:val="3"/>
            <w:tcBorders>
              <w:top w:val="single" w:color="auto" w:sz="4" w:space="0"/>
              <w:left w:val="single" w:color="auto" w:sz="4" w:space="0"/>
              <w:bottom w:val="single" w:color="auto" w:sz="4" w:space="0"/>
              <w:right w:val="single" w:color="auto" w:sz="4" w:space="0"/>
            </w:tcBorders>
            <w:noWrap/>
            <w:vAlign w:val="center"/>
          </w:tcPr>
          <w:p>
            <w:pPr>
              <w:pStyle w:val="21"/>
              <w:spacing w:before="120" w:after="120" w:line="360" w:lineRule="auto"/>
              <w:rPr>
                <w:rFonts w:ascii="Times New Roman" w:hAnsi="Times New Roman"/>
              </w:rPr>
            </w:pPr>
            <w:r>
              <w:rPr>
                <w:rFonts w:hint="eastAsia" w:ascii="Times New Roman" w:hAnsi="Times New Roman"/>
              </w:rPr>
              <w:t>技术工人：人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21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80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2887" w:type="dxa"/>
            <w:tcBorders>
              <w:top w:val="single" w:color="auto" w:sz="4" w:space="0"/>
              <w:left w:val="single" w:color="auto" w:sz="4" w:space="0"/>
              <w:bottom w:val="single" w:color="auto" w:sz="4" w:space="0"/>
              <w:right w:val="single" w:color="auto" w:sz="4" w:space="0"/>
            </w:tcBorders>
            <w:noWrap/>
            <w:vAlign w:val="center"/>
          </w:tcPr>
          <w:p>
            <w:pPr>
              <w:pStyle w:val="21"/>
              <w:spacing w:before="120" w:after="120" w:line="360" w:lineRule="auto"/>
            </w:pPr>
            <w:r>
              <w:rPr>
                <w:rFonts w:hint="eastAsia"/>
              </w:rPr>
              <w:t>高级技师：       人</w:t>
            </w:r>
          </w:p>
        </w:tc>
        <w:tc>
          <w:tcPr>
            <w:tcW w:w="3922" w:type="dxa"/>
            <w:gridSpan w:val="3"/>
            <w:tcBorders>
              <w:top w:val="single" w:color="auto" w:sz="4" w:space="0"/>
              <w:left w:val="single" w:color="auto" w:sz="4" w:space="0"/>
              <w:bottom w:val="single" w:color="auto" w:sz="4" w:space="0"/>
              <w:right w:val="single" w:color="auto" w:sz="4" w:space="0"/>
            </w:tcBorders>
            <w:noWrap/>
            <w:vAlign w:val="center"/>
          </w:tcPr>
          <w:p>
            <w:pPr>
              <w:pStyle w:val="21"/>
              <w:spacing w:before="120" w:after="120" w:line="360" w:lineRule="auto"/>
            </w:pPr>
            <w:r>
              <w:rPr>
                <w:rFonts w:hint="eastAsia"/>
              </w:rPr>
              <w:t>工程师：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21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pStyle w:val="21"/>
              <w:spacing w:before="120" w:after="120" w:line="360" w:lineRule="auto"/>
              <w:jc w:val="center"/>
            </w:pPr>
            <w:r>
              <w:rPr>
                <w:rFonts w:hint="eastAsia"/>
              </w:rPr>
              <w:t>流动资金</w:t>
            </w:r>
          </w:p>
        </w:tc>
        <w:tc>
          <w:tcPr>
            <w:tcW w:w="2887" w:type="dxa"/>
            <w:tcBorders>
              <w:top w:val="single" w:color="auto" w:sz="4" w:space="0"/>
              <w:left w:val="single" w:color="auto" w:sz="4" w:space="0"/>
              <w:bottom w:val="single" w:color="auto" w:sz="4" w:space="0"/>
              <w:right w:val="single" w:color="auto" w:sz="4" w:space="0"/>
            </w:tcBorders>
            <w:noWrap/>
            <w:vAlign w:val="center"/>
          </w:tcPr>
          <w:p>
            <w:pPr>
              <w:pStyle w:val="21"/>
              <w:spacing w:before="120" w:after="120" w:line="360" w:lineRule="auto"/>
              <w:jc w:val="center"/>
            </w:pPr>
          </w:p>
        </w:tc>
        <w:tc>
          <w:tcPr>
            <w:tcW w:w="1222" w:type="dxa"/>
            <w:tcBorders>
              <w:top w:val="single" w:color="auto" w:sz="4" w:space="0"/>
              <w:left w:val="single" w:color="auto" w:sz="4" w:space="0"/>
              <w:bottom w:val="single" w:color="auto" w:sz="4" w:space="0"/>
              <w:right w:val="single" w:color="auto" w:sz="4" w:space="0"/>
            </w:tcBorders>
            <w:noWrap/>
            <w:vAlign w:val="center"/>
          </w:tcPr>
          <w:p>
            <w:pPr>
              <w:pStyle w:val="21"/>
              <w:spacing w:before="120" w:after="120" w:line="360" w:lineRule="auto"/>
              <w:jc w:val="center"/>
            </w:pPr>
            <w:r>
              <w:rPr>
                <w:rFonts w:hint="eastAsia"/>
              </w:rPr>
              <w:t>营业面积</w:t>
            </w:r>
          </w:p>
        </w:tc>
        <w:tc>
          <w:tcPr>
            <w:tcW w:w="2700" w:type="dxa"/>
            <w:gridSpan w:val="2"/>
            <w:tcBorders>
              <w:top w:val="single" w:color="auto" w:sz="4" w:space="0"/>
              <w:left w:val="single" w:color="auto" w:sz="4" w:space="0"/>
              <w:bottom w:val="single" w:color="auto" w:sz="4" w:space="0"/>
              <w:right w:val="single" w:color="auto" w:sz="4" w:space="0"/>
            </w:tcBorders>
            <w:noWrap/>
            <w:vAlign w:val="center"/>
          </w:tcPr>
          <w:p>
            <w:pPr>
              <w:pStyle w:val="21"/>
              <w:spacing w:before="120" w:after="120"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exact"/>
          <w:jc w:val="center"/>
        </w:trPr>
        <w:tc>
          <w:tcPr>
            <w:tcW w:w="21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pStyle w:val="21"/>
              <w:spacing w:before="120" w:after="120" w:line="360" w:lineRule="auto"/>
              <w:jc w:val="center"/>
            </w:pPr>
            <w:r>
              <w:rPr>
                <w:rFonts w:hint="eastAsia"/>
              </w:rPr>
              <w:t>固定资金</w:t>
            </w:r>
          </w:p>
        </w:tc>
        <w:tc>
          <w:tcPr>
            <w:tcW w:w="2887"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sz w:val="24"/>
              </w:rPr>
            </w:pPr>
          </w:p>
        </w:tc>
        <w:tc>
          <w:tcPr>
            <w:tcW w:w="1222" w:type="dxa"/>
            <w:tcBorders>
              <w:top w:val="single" w:color="auto" w:sz="4" w:space="0"/>
              <w:left w:val="single" w:color="auto" w:sz="4" w:space="0"/>
              <w:bottom w:val="single" w:color="auto" w:sz="4" w:space="0"/>
              <w:right w:val="single" w:color="auto" w:sz="4" w:space="0"/>
            </w:tcBorders>
            <w:noWrap/>
            <w:vAlign w:val="center"/>
          </w:tcPr>
          <w:p>
            <w:pPr>
              <w:pStyle w:val="21"/>
              <w:spacing w:before="120" w:after="120" w:line="360" w:lineRule="auto"/>
              <w:jc w:val="center"/>
            </w:pPr>
            <w:r>
              <w:rPr>
                <w:rFonts w:hint="eastAsia"/>
              </w:rPr>
              <w:t>上一年营业收入</w:t>
            </w:r>
          </w:p>
        </w:tc>
        <w:tc>
          <w:tcPr>
            <w:tcW w:w="270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jc w:val="center"/>
        </w:trPr>
        <w:tc>
          <w:tcPr>
            <w:tcW w:w="844" w:type="dxa"/>
            <w:tcBorders>
              <w:top w:val="single" w:color="auto" w:sz="4" w:space="0"/>
              <w:left w:val="single" w:color="auto" w:sz="4" w:space="0"/>
              <w:bottom w:val="single" w:color="auto" w:sz="4" w:space="0"/>
              <w:right w:val="single" w:color="auto" w:sz="4" w:space="0"/>
            </w:tcBorders>
            <w:noWrap/>
            <w:vAlign w:val="center"/>
          </w:tcPr>
          <w:p>
            <w:pPr>
              <w:pStyle w:val="21"/>
              <w:spacing w:before="120" w:after="120" w:line="360" w:lineRule="auto"/>
              <w:jc w:val="center"/>
              <w:rPr>
                <w:rFonts w:ascii="Times New Roman" w:hAnsi="Times New Roman"/>
              </w:rPr>
            </w:pPr>
            <w:r>
              <w:rPr>
                <w:rFonts w:hint="eastAsia" w:ascii="Times New Roman" w:hAnsi="Times New Roman"/>
              </w:rPr>
              <w:t>单位简历</w:t>
            </w:r>
          </w:p>
        </w:tc>
        <w:tc>
          <w:tcPr>
            <w:tcW w:w="8069" w:type="dxa"/>
            <w:gridSpan w:val="5"/>
            <w:tcBorders>
              <w:top w:val="single" w:color="auto" w:sz="4" w:space="0"/>
              <w:left w:val="single" w:color="auto" w:sz="4" w:space="0"/>
              <w:bottom w:val="single" w:color="auto" w:sz="4" w:space="0"/>
              <w:right w:val="single" w:color="auto" w:sz="4" w:space="0"/>
            </w:tcBorders>
            <w:noWrap/>
          </w:tcPr>
          <w:p>
            <w:pPr>
              <w:spacing w:line="360" w:lineRule="auto"/>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2" w:hRule="atLeast"/>
          <w:jc w:val="center"/>
        </w:trPr>
        <w:tc>
          <w:tcPr>
            <w:tcW w:w="844" w:type="dxa"/>
            <w:tcBorders>
              <w:top w:val="single" w:color="auto" w:sz="4" w:space="0"/>
              <w:left w:val="single" w:color="auto" w:sz="4" w:space="0"/>
              <w:bottom w:val="single" w:color="auto" w:sz="4" w:space="0"/>
              <w:right w:val="single" w:color="auto" w:sz="4" w:space="0"/>
            </w:tcBorders>
            <w:noWrap/>
            <w:vAlign w:val="center"/>
          </w:tcPr>
          <w:p>
            <w:pPr>
              <w:pStyle w:val="21"/>
              <w:spacing w:before="120" w:after="120" w:line="360" w:lineRule="auto"/>
              <w:jc w:val="center"/>
              <w:rPr>
                <w:rFonts w:ascii="Times New Roman" w:hAnsi="Times New Roman"/>
              </w:rPr>
            </w:pPr>
            <w:r>
              <w:rPr>
                <w:rFonts w:hint="eastAsia" w:ascii="Times New Roman" w:hAnsi="Times New Roman"/>
              </w:rPr>
              <w:t>优势及特长</w:t>
            </w:r>
          </w:p>
        </w:tc>
        <w:tc>
          <w:tcPr>
            <w:tcW w:w="8069" w:type="dxa"/>
            <w:gridSpan w:val="5"/>
            <w:tcBorders>
              <w:top w:val="single" w:color="auto" w:sz="4" w:space="0"/>
              <w:left w:val="single" w:color="auto" w:sz="4" w:space="0"/>
              <w:bottom w:val="single" w:color="auto" w:sz="4" w:space="0"/>
              <w:right w:val="single" w:color="auto" w:sz="4" w:space="0"/>
            </w:tcBorders>
            <w:noWrap/>
          </w:tcPr>
          <w:p>
            <w:pPr>
              <w:spacing w:line="360" w:lineRule="auto"/>
              <w:jc w:val="left"/>
              <w:rPr>
                <w:sz w:val="24"/>
              </w:rPr>
            </w:pPr>
          </w:p>
        </w:tc>
      </w:tr>
    </w:tbl>
    <w:p>
      <w:pPr>
        <w:widowControl/>
        <w:jc w:val="left"/>
        <w:rPr>
          <w:rFonts w:ascii="宋体" w:hAnsi="宋体"/>
          <w:szCs w:val="21"/>
        </w:rPr>
      </w:pPr>
    </w:p>
    <w:p>
      <w:pPr>
        <w:pStyle w:val="2"/>
      </w:pPr>
      <w:r>
        <w:br w:type="page"/>
      </w:r>
    </w:p>
    <w:p>
      <w:pPr>
        <w:widowControl/>
        <w:jc w:val="left"/>
        <w:rPr>
          <w:rFonts w:ascii="宋体" w:hAnsi="宋体"/>
          <w:szCs w:val="21"/>
        </w:rPr>
      </w:pPr>
    </w:p>
    <w:p>
      <w:pPr>
        <w:pStyle w:val="5"/>
      </w:pPr>
      <w:bookmarkStart w:id="188" w:name="_Toc59530188"/>
      <w:r>
        <w:rPr>
          <w:rFonts w:hint="eastAsia"/>
        </w:rPr>
        <w:t>附件7：政府采购支持中小企业信用融资相关事项通知</w:t>
      </w:r>
      <w:bookmarkEnd w:id="188"/>
    </w:p>
    <w:p>
      <w:pPr>
        <w:spacing w:line="360" w:lineRule="auto"/>
        <w:ind w:firstLine="420" w:firstLineChars="200"/>
        <w:rPr>
          <w:rFonts w:ascii="宋体" w:hAnsi="宋体" w:cs="宋体"/>
        </w:rPr>
      </w:pPr>
      <w:r>
        <w:rPr>
          <w:rFonts w:hint="eastAsia" w:ascii="宋体" w:hAnsi="宋体" w:cs="宋体"/>
        </w:rPr>
        <w:t>为支持和促进中小企业发展，进一步发挥政府采购政策功能，现将相关事项通知如下：</w:t>
      </w:r>
    </w:p>
    <w:p>
      <w:pPr>
        <w:spacing w:line="360" w:lineRule="auto"/>
        <w:ind w:firstLine="422" w:firstLineChars="200"/>
        <w:rPr>
          <w:rFonts w:ascii="宋体" w:hAnsi="宋体" w:cs="宋体"/>
          <w:b/>
        </w:rPr>
      </w:pPr>
      <w:r>
        <w:rPr>
          <w:rFonts w:hint="eastAsia" w:ascii="宋体" w:hAnsi="宋体" w:cs="宋体"/>
          <w:b/>
        </w:rPr>
        <w:t>一、适用对象</w:t>
      </w:r>
    </w:p>
    <w:p>
      <w:pPr>
        <w:spacing w:line="360" w:lineRule="auto"/>
        <w:ind w:firstLine="420" w:firstLineChars="200"/>
        <w:rPr>
          <w:rFonts w:ascii="宋体" w:hAnsi="宋体" w:cs="宋体"/>
        </w:rPr>
      </w:pPr>
      <w:r>
        <w:rPr>
          <w:rFonts w:hint="eastAsia" w:ascii="宋体" w:hAnsi="宋体" w:cs="宋体"/>
        </w:rPr>
        <w:t>在浙江政府采购网注册入库，并取得东阳市政府采购合同的中小企业供应商。</w:t>
      </w:r>
    </w:p>
    <w:p>
      <w:pPr>
        <w:spacing w:line="360" w:lineRule="auto"/>
        <w:ind w:firstLine="422" w:firstLineChars="200"/>
        <w:rPr>
          <w:rFonts w:ascii="宋体" w:hAnsi="宋体" w:cs="宋体"/>
          <w:b/>
        </w:rPr>
      </w:pPr>
      <w:r>
        <w:rPr>
          <w:rFonts w:hint="eastAsia" w:ascii="宋体" w:hAnsi="宋体" w:cs="宋体"/>
          <w:b/>
        </w:rPr>
        <w:t>二、相关信息获取方式</w:t>
      </w:r>
    </w:p>
    <w:p>
      <w:pPr>
        <w:spacing w:line="360" w:lineRule="auto"/>
        <w:ind w:firstLine="420" w:firstLineChars="200"/>
        <w:rPr>
          <w:rFonts w:ascii="宋体" w:hAnsi="宋体" w:cs="宋体"/>
        </w:rPr>
      </w:pPr>
      <w:r>
        <w:rPr>
          <w:rFonts w:hint="eastAsia" w:ascii="宋体" w:hAnsi="宋体" w:cs="宋体"/>
        </w:rPr>
        <w:t>请登陆浙江省政府采购网“融资贷款”模块，查看信用融资政策文件及各相关银行服务方案。</w:t>
      </w:r>
    </w:p>
    <w:p>
      <w:pPr>
        <w:spacing w:line="360" w:lineRule="auto"/>
        <w:ind w:firstLine="422" w:firstLineChars="200"/>
        <w:rPr>
          <w:rFonts w:ascii="宋体" w:hAnsi="宋体" w:cs="宋体"/>
          <w:b/>
        </w:rPr>
      </w:pPr>
      <w:r>
        <w:rPr>
          <w:rFonts w:hint="eastAsia" w:ascii="宋体" w:hAnsi="宋体" w:cs="宋体"/>
          <w:b/>
        </w:rPr>
        <w:t>三、申请方式和步骤</w:t>
      </w:r>
    </w:p>
    <w:p>
      <w:pPr>
        <w:spacing w:line="360" w:lineRule="auto"/>
        <w:ind w:firstLine="420" w:firstLineChars="200"/>
        <w:rPr>
          <w:rFonts w:ascii="宋体" w:hAnsi="宋体" w:cs="宋体"/>
        </w:rPr>
      </w:pPr>
      <w:r>
        <w:rPr>
          <w:rFonts w:hint="eastAsia" w:ascii="宋体" w:hAnsi="宋体" w:cs="宋体"/>
        </w:rPr>
        <w:t>（一）采购合同贷</w:t>
      </w:r>
    </w:p>
    <w:p>
      <w:pPr>
        <w:spacing w:line="360" w:lineRule="auto"/>
        <w:ind w:firstLine="420" w:firstLineChars="200"/>
        <w:rPr>
          <w:rFonts w:ascii="宋体" w:hAnsi="宋体" w:cs="宋体"/>
        </w:rPr>
      </w:pPr>
      <w:r>
        <w:rPr>
          <w:rFonts w:hint="eastAsia" w:ascii="宋体" w:hAnsi="宋体" w:cs="宋体"/>
        </w:rPr>
        <w:t>1、采购单位在政采云完成中标通知书及公告发布后，政采云根据该供应商资信向供应商发送推介合适的融资产品方案(展示多家银行---满足贷款银行条件的银行产品,对供应商进行展示)；</w:t>
      </w:r>
    </w:p>
    <w:p>
      <w:pPr>
        <w:spacing w:line="360" w:lineRule="auto"/>
        <w:ind w:firstLine="420" w:firstLineChars="200"/>
        <w:rPr>
          <w:rFonts w:ascii="宋体" w:hAnsi="宋体" w:cs="宋体"/>
        </w:rPr>
      </w:pPr>
      <w:r>
        <w:rPr>
          <w:rFonts w:hint="eastAsia" w:ascii="宋体" w:hAnsi="宋体" w:cs="宋体"/>
        </w:rPr>
        <w:t>2、供应商在收到中标通知的同时会收到可申请融资服务邀请，有意向的供应商选择满足条件的银行产品,并补充填写相关资料,向满足条件的融资产品发起申请；</w:t>
      </w:r>
    </w:p>
    <w:p>
      <w:pPr>
        <w:spacing w:line="360" w:lineRule="auto"/>
        <w:ind w:firstLine="420" w:firstLineChars="200"/>
        <w:rPr>
          <w:rFonts w:ascii="宋体" w:hAnsi="宋体" w:cs="宋体"/>
        </w:rPr>
      </w:pPr>
      <w:r>
        <w:rPr>
          <w:rFonts w:hint="eastAsia" w:ascii="宋体" w:hAnsi="宋体" w:cs="宋体"/>
        </w:rPr>
        <w:t>3、政采云将供应商的申请传递给银行,并将供应商相关信息给银行:供应商信息、订单(合同)信息、融资申请等数据用于贷款审批；</w:t>
      </w:r>
    </w:p>
    <w:p>
      <w:pPr>
        <w:spacing w:line="360" w:lineRule="auto"/>
        <w:ind w:firstLine="420" w:firstLineChars="200"/>
        <w:rPr>
          <w:rFonts w:ascii="宋体" w:hAnsi="宋体" w:cs="宋体"/>
        </w:rPr>
      </w:pPr>
      <w:r>
        <w:rPr>
          <w:rFonts w:hint="eastAsia" w:ascii="宋体" w:hAnsi="宋体" w:cs="宋体"/>
        </w:rPr>
        <w:t>4、银行进行融资审批并返回审批结果至政采云（审批通过的等待政采云放款通知，订单合同签署生效后通知）,政采云将银行反馈信息同步展示给对应供应商；</w:t>
      </w:r>
    </w:p>
    <w:p>
      <w:pPr>
        <w:spacing w:line="360" w:lineRule="auto"/>
        <w:ind w:firstLine="420" w:firstLineChars="200"/>
        <w:rPr>
          <w:rFonts w:ascii="宋体" w:hAnsi="宋体" w:cs="宋体"/>
        </w:rPr>
      </w:pPr>
      <w:r>
        <w:rPr>
          <w:rFonts w:hint="eastAsia" w:ascii="宋体" w:hAnsi="宋体" w:cs="宋体"/>
        </w:rPr>
        <w:t>5、采购单位与供应商在线下签订完成合同签署后（将贷款银行的帐号协调采购合同中去,贷款帐号作为采购合同的收款账户），政采云向银行发送确认指令；</w:t>
      </w:r>
    </w:p>
    <w:p>
      <w:pPr>
        <w:spacing w:line="360" w:lineRule="auto"/>
        <w:ind w:firstLine="420" w:firstLineChars="200"/>
        <w:rPr>
          <w:rFonts w:ascii="宋体" w:hAnsi="宋体" w:cs="宋体"/>
        </w:rPr>
      </w:pPr>
      <w:r>
        <w:rPr>
          <w:rFonts w:hint="eastAsia" w:ascii="宋体" w:hAnsi="宋体" w:cs="宋体"/>
        </w:rPr>
        <w:t>6、项目履约完成，采购单位完成验收后发起结算，国库完成支付；</w:t>
      </w:r>
    </w:p>
    <w:p>
      <w:pPr>
        <w:spacing w:line="360" w:lineRule="auto"/>
        <w:ind w:firstLine="420" w:firstLineChars="200"/>
        <w:rPr>
          <w:rFonts w:ascii="宋体" w:hAnsi="宋体" w:cs="宋体"/>
        </w:rPr>
      </w:pPr>
      <w:r>
        <w:rPr>
          <w:rFonts w:hint="eastAsia" w:ascii="宋体" w:hAnsi="宋体" w:cs="宋体"/>
        </w:rPr>
        <w:t>7、银行对其本行借款账户进行资金监控，有入账即可进行本金提前还款操作，银行返回还款信息“提前还款本金、更新还款计划”。</w:t>
      </w:r>
    </w:p>
    <w:p>
      <w:pPr>
        <w:spacing w:line="360" w:lineRule="auto"/>
        <w:ind w:firstLine="420" w:firstLineChars="200"/>
        <w:rPr>
          <w:rFonts w:ascii="宋体" w:hAnsi="宋体" w:cs="宋体"/>
        </w:rPr>
      </w:pPr>
      <w:r>
        <w:rPr>
          <w:rFonts w:hint="eastAsia" w:ascii="宋体" w:hAnsi="宋体" w:cs="宋体"/>
        </w:rPr>
        <w:t>（二）流水贷流程</w:t>
      </w:r>
    </w:p>
    <w:p>
      <w:pPr>
        <w:spacing w:line="360" w:lineRule="auto"/>
        <w:ind w:firstLine="420" w:firstLineChars="200"/>
        <w:rPr>
          <w:rFonts w:ascii="宋体" w:hAnsi="宋体" w:cs="宋体"/>
        </w:rPr>
      </w:pPr>
      <w:r>
        <w:rPr>
          <w:rFonts w:hint="eastAsia" w:ascii="宋体" w:hAnsi="宋体" w:cs="宋体"/>
        </w:rPr>
        <w:t>1、政采云通过规则向符合该产品的供应商发出邀约；</w:t>
      </w:r>
    </w:p>
    <w:p>
      <w:pPr>
        <w:spacing w:line="360" w:lineRule="auto"/>
        <w:ind w:firstLine="420" w:firstLineChars="200"/>
        <w:rPr>
          <w:rFonts w:ascii="宋体" w:hAnsi="宋体" w:cs="宋体"/>
        </w:rPr>
      </w:pPr>
      <w:r>
        <w:rPr>
          <w:rFonts w:hint="eastAsia" w:ascii="宋体" w:hAnsi="宋体" w:cs="宋体"/>
        </w:rPr>
        <w:t>2、供应商授权后向银行发送历史流水数据进行授信；</w:t>
      </w:r>
    </w:p>
    <w:p>
      <w:pPr>
        <w:spacing w:line="360" w:lineRule="auto"/>
        <w:ind w:firstLine="420" w:firstLineChars="200"/>
        <w:rPr>
          <w:rFonts w:ascii="宋体" w:hAnsi="宋体" w:cs="宋体"/>
        </w:rPr>
      </w:pPr>
      <w:r>
        <w:rPr>
          <w:rFonts w:hint="eastAsia" w:ascii="宋体" w:hAnsi="宋体" w:cs="宋体"/>
        </w:rPr>
        <w:t>3、银行根据风控模型出具最终授信结果并通知政采云；</w:t>
      </w:r>
    </w:p>
    <w:p>
      <w:pPr>
        <w:spacing w:line="360" w:lineRule="auto"/>
        <w:ind w:firstLine="420" w:firstLineChars="200"/>
        <w:rPr>
          <w:rFonts w:ascii="宋体" w:hAnsi="宋体" w:cs="宋体"/>
        </w:rPr>
      </w:pPr>
      <w:r>
        <w:rPr>
          <w:rFonts w:hint="eastAsia" w:ascii="宋体" w:hAnsi="宋体" w:cs="宋体"/>
        </w:rPr>
        <w:t>4、供应商用款时进行在线提款签约；</w:t>
      </w:r>
    </w:p>
    <w:p>
      <w:pPr>
        <w:spacing w:line="360" w:lineRule="auto"/>
        <w:ind w:firstLine="420" w:firstLineChars="200"/>
        <w:rPr>
          <w:rFonts w:ascii="宋体" w:hAnsi="宋体" w:cs="宋体"/>
        </w:rPr>
      </w:pPr>
      <w:r>
        <w:rPr>
          <w:rFonts w:hint="eastAsia" w:ascii="宋体" w:hAnsi="宋体" w:cs="宋体"/>
        </w:rPr>
        <w:t>5、银行放款并返回放款结果，流程完成。</w:t>
      </w:r>
    </w:p>
    <w:p>
      <w:pPr>
        <w:spacing w:line="360" w:lineRule="auto"/>
        <w:ind w:firstLine="422" w:firstLineChars="200"/>
        <w:rPr>
          <w:rFonts w:ascii="宋体" w:hAnsi="宋体" w:cs="宋体"/>
          <w:b/>
        </w:rPr>
      </w:pPr>
      <w:r>
        <w:rPr>
          <w:rFonts w:hint="eastAsia" w:ascii="宋体" w:hAnsi="宋体" w:cs="宋体"/>
          <w:b/>
        </w:rPr>
        <w:t>四、注意事项</w:t>
      </w:r>
    </w:p>
    <w:p>
      <w:pPr>
        <w:spacing w:line="360" w:lineRule="auto"/>
        <w:ind w:firstLine="420" w:firstLineChars="200"/>
        <w:rPr>
          <w:rFonts w:ascii="宋体" w:hAnsi="宋体" w:cs="宋体"/>
        </w:rPr>
      </w:pPr>
      <w:r>
        <w:rPr>
          <w:rFonts w:hint="eastAsia" w:ascii="宋体" w:hAnsi="宋体" w:cs="宋体"/>
        </w:rPr>
        <w:t>1、供应商需确保政府采购合同的收款银行与融资银行一致。</w:t>
      </w:r>
    </w:p>
    <w:p>
      <w:pPr>
        <w:spacing w:line="360" w:lineRule="auto"/>
        <w:ind w:firstLine="420" w:firstLineChars="200"/>
        <w:rPr>
          <w:rFonts w:ascii="宋体" w:hAnsi="宋体" w:cs="宋体"/>
        </w:rPr>
      </w:pPr>
      <w:r>
        <w:rPr>
          <w:rFonts w:hint="eastAsia" w:ascii="宋体" w:hAnsi="宋体" w:cs="宋体"/>
        </w:rPr>
        <w:t>2、请各采购单位积极支持和配合政府采购信用融资工作，在合同备案环节仔细核对收款银行、账号信息等内容，一旦录入将无法修改。</w:t>
      </w:r>
    </w:p>
    <w:p>
      <w:pPr>
        <w:widowControl/>
        <w:jc w:val="left"/>
        <w:rPr>
          <w:rFonts w:ascii="宋体" w:hAnsi="宋体"/>
          <w:b/>
          <w:sz w:val="52"/>
        </w:rPr>
      </w:pPr>
    </w:p>
    <w:sectPr>
      <w:pgSz w:w="11906" w:h="16838"/>
      <w:pgMar w:top="1417" w:right="1417" w:bottom="1134" w:left="1417" w:header="851" w:footer="850"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文鼎小标宋简">
    <w:altName w:val="Arial Unicode MS"/>
    <w:panose1 w:val="00000000000000000000"/>
    <w:charset w:val="00"/>
    <w:family w:val="modern"/>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Gulim">
    <w:panose1 w:val="020B0600000101010101"/>
    <w:charset w:val="81"/>
    <w:family w:val="swiss"/>
    <w:pitch w:val="default"/>
    <w:sig w:usb0="B00002AF" w:usb1="69D77CFB" w:usb2="00000030" w:usb3="00000000" w:csb0="4008009F" w:csb1="DFD70000"/>
  </w:font>
  <w:font w:name="新宋体">
    <w:panose1 w:val="02010609030101010101"/>
    <w:charset w:val="86"/>
    <w:family w:val="modern"/>
    <w:pitch w:val="default"/>
    <w:sig w:usb0="00000003" w:usb1="288F0000" w:usb2="00000006" w:usb3="00000000" w:csb0="00040001" w:csb1="00000000"/>
  </w:font>
  <w:font w:name="Verdana">
    <w:panose1 w:val="020B0604030504040204"/>
    <w:charset w:val="00"/>
    <w:family w:val="swiss"/>
    <w:pitch w:val="default"/>
    <w:sig w:usb0="A10006FF" w:usb1="4000205B" w:usb2="00000010" w:usb3="00000000" w:csb0="2000019F" w:csb1="00000000"/>
  </w:font>
  <w:font w:name="Beijing">
    <w:altName w:val="Segoe Print"/>
    <w:panose1 w:val="00000000000000000000"/>
    <w:charset w:val="00"/>
    <w:family w:val="auto"/>
    <w:pitch w:val="default"/>
    <w:sig w:usb0="00000000" w:usb1="00000000" w:usb2="00000000" w:usb3="00000000" w:csb0="00000000" w:csb1="00000000"/>
  </w:font>
  <w:font w:name="长城仿宋">
    <w:altName w:val="仿宋"/>
    <w:panose1 w:val="00000000000000000000"/>
    <w:charset w:val="00"/>
    <w:family w:val="modern"/>
    <w:pitch w:val="default"/>
    <w:sig w:usb0="00000000" w:usb1="00000000" w:usb2="0000001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8848546"/>
      <w:docPartObj>
        <w:docPartGallery w:val="AutoText"/>
      </w:docPartObj>
    </w:sdtPr>
    <w:sdtContent>
      <w:p>
        <w:pPr>
          <w:pStyle w:val="26"/>
          <w:jc w:val="center"/>
        </w:pPr>
        <w:r>
          <w:fldChar w:fldCharType="begin"/>
        </w:r>
        <w:r>
          <w:instrText xml:space="preserve">PAGE   \* MERGEFORMAT</w:instrText>
        </w:r>
        <w:r>
          <w:fldChar w:fldCharType="separate"/>
        </w:r>
        <w:r>
          <w:rPr>
            <w:lang w:val="zh-CN"/>
          </w:rPr>
          <w:t>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5F6B4CCE"/>
    <w:multiLevelType w:val="multilevel"/>
    <w:tmpl w:val="5F6B4CCE"/>
    <w:lvl w:ilvl="0" w:tentative="0">
      <w:start w:val="1"/>
      <w:numFmt w:val="decimal"/>
      <w:lvlText w:val="%1."/>
      <w:lvlJc w:val="left"/>
      <w:pPr>
        <w:tabs>
          <w:tab w:val="left" w:pos="1664"/>
        </w:tabs>
        <w:ind w:left="1664" w:hanging="420"/>
      </w:pPr>
    </w:lvl>
    <w:lvl w:ilvl="1" w:tentative="0">
      <w:start w:val="1"/>
      <w:numFmt w:val="decimal"/>
      <w:lvlText w:val="%2."/>
      <w:lvlJc w:val="left"/>
      <w:pPr>
        <w:tabs>
          <w:tab w:val="left" w:pos="1244"/>
        </w:tabs>
        <w:ind w:left="1244" w:hanging="420"/>
      </w:pPr>
    </w:lvl>
    <w:lvl w:ilvl="2" w:tentative="0">
      <w:start w:val="1"/>
      <w:numFmt w:val="lowerRoman"/>
      <w:lvlText w:val="%3."/>
      <w:lvlJc w:val="right"/>
      <w:pPr>
        <w:tabs>
          <w:tab w:val="left" w:pos="1664"/>
        </w:tabs>
        <w:ind w:left="1664" w:hanging="420"/>
      </w:pPr>
    </w:lvl>
    <w:lvl w:ilvl="3" w:tentative="0">
      <w:start w:val="1"/>
      <w:numFmt w:val="decimal"/>
      <w:lvlText w:val="%4."/>
      <w:lvlJc w:val="left"/>
      <w:pPr>
        <w:tabs>
          <w:tab w:val="left" w:pos="2084"/>
        </w:tabs>
        <w:ind w:left="2084" w:hanging="420"/>
      </w:pPr>
    </w:lvl>
    <w:lvl w:ilvl="4" w:tentative="0">
      <w:start w:val="1"/>
      <w:numFmt w:val="lowerLetter"/>
      <w:lvlText w:val="%5)"/>
      <w:lvlJc w:val="left"/>
      <w:pPr>
        <w:tabs>
          <w:tab w:val="left" w:pos="2504"/>
        </w:tabs>
        <w:ind w:left="2504" w:hanging="420"/>
      </w:pPr>
    </w:lvl>
    <w:lvl w:ilvl="5" w:tentative="0">
      <w:start w:val="1"/>
      <w:numFmt w:val="lowerRoman"/>
      <w:lvlText w:val="%6."/>
      <w:lvlJc w:val="right"/>
      <w:pPr>
        <w:tabs>
          <w:tab w:val="left" w:pos="2924"/>
        </w:tabs>
        <w:ind w:left="2924" w:hanging="420"/>
      </w:pPr>
    </w:lvl>
    <w:lvl w:ilvl="6" w:tentative="0">
      <w:start w:val="1"/>
      <w:numFmt w:val="decimal"/>
      <w:lvlText w:val="%7."/>
      <w:lvlJc w:val="left"/>
      <w:pPr>
        <w:tabs>
          <w:tab w:val="left" w:pos="3344"/>
        </w:tabs>
        <w:ind w:left="3344" w:hanging="420"/>
      </w:pPr>
    </w:lvl>
    <w:lvl w:ilvl="7" w:tentative="0">
      <w:start w:val="1"/>
      <w:numFmt w:val="lowerLetter"/>
      <w:lvlText w:val="%8)"/>
      <w:lvlJc w:val="left"/>
      <w:pPr>
        <w:tabs>
          <w:tab w:val="left" w:pos="3764"/>
        </w:tabs>
        <w:ind w:left="3764" w:hanging="420"/>
      </w:pPr>
    </w:lvl>
    <w:lvl w:ilvl="8" w:tentative="0">
      <w:start w:val="1"/>
      <w:numFmt w:val="lowerRoman"/>
      <w:lvlText w:val="%9."/>
      <w:lvlJc w:val="right"/>
      <w:pPr>
        <w:tabs>
          <w:tab w:val="left" w:pos="4184"/>
        </w:tabs>
        <w:ind w:left="4184" w:hanging="420"/>
      </w:pPr>
    </w:lvl>
  </w:abstractNum>
  <w:abstractNum w:abstractNumId="2">
    <w:nsid w:val="612C0E64"/>
    <w:multiLevelType w:val="multilevel"/>
    <w:tmpl w:val="612C0E64"/>
    <w:lvl w:ilvl="0" w:tentative="0">
      <w:start w:val="1"/>
      <w:numFmt w:val="decimal"/>
      <w:lvlText w:val="%1."/>
      <w:lvlJc w:val="left"/>
      <w:pPr>
        <w:tabs>
          <w:tab w:val="left" w:pos="1244"/>
        </w:tabs>
        <w:ind w:left="1244" w:hanging="420"/>
      </w:pPr>
    </w:lvl>
    <w:lvl w:ilvl="1" w:tentative="0">
      <w:start w:val="1"/>
      <w:numFmt w:val="lowerLetter"/>
      <w:lvlText w:val="%2)"/>
      <w:lvlJc w:val="left"/>
      <w:pPr>
        <w:tabs>
          <w:tab w:val="left" w:pos="824"/>
        </w:tabs>
        <w:ind w:left="824" w:hanging="420"/>
      </w:pPr>
    </w:lvl>
    <w:lvl w:ilvl="2" w:tentative="0">
      <w:start w:val="1"/>
      <w:numFmt w:val="lowerRoman"/>
      <w:lvlText w:val="%3."/>
      <w:lvlJc w:val="right"/>
      <w:pPr>
        <w:tabs>
          <w:tab w:val="left" w:pos="1244"/>
        </w:tabs>
        <w:ind w:left="1244" w:hanging="420"/>
      </w:pPr>
    </w:lvl>
    <w:lvl w:ilvl="3" w:tentative="0">
      <w:start w:val="1"/>
      <w:numFmt w:val="decimal"/>
      <w:lvlText w:val="%4."/>
      <w:lvlJc w:val="left"/>
      <w:pPr>
        <w:tabs>
          <w:tab w:val="left" w:pos="1664"/>
        </w:tabs>
        <w:ind w:left="1664" w:hanging="420"/>
      </w:pPr>
    </w:lvl>
    <w:lvl w:ilvl="4" w:tentative="0">
      <w:start w:val="1"/>
      <w:numFmt w:val="lowerLetter"/>
      <w:lvlText w:val="%5)"/>
      <w:lvlJc w:val="left"/>
      <w:pPr>
        <w:tabs>
          <w:tab w:val="left" w:pos="2084"/>
        </w:tabs>
        <w:ind w:left="2084" w:hanging="420"/>
      </w:pPr>
    </w:lvl>
    <w:lvl w:ilvl="5" w:tentative="0">
      <w:start w:val="1"/>
      <w:numFmt w:val="lowerRoman"/>
      <w:lvlText w:val="%6."/>
      <w:lvlJc w:val="right"/>
      <w:pPr>
        <w:tabs>
          <w:tab w:val="left" w:pos="2504"/>
        </w:tabs>
        <w:ind w:left="2504" w:hanging="420"/>
      </w:pPr>
    </w:lvl>
    <w:lvl w:ilvl="6" w:tentative="0">
      <w:start w:val="1"/>
      <w:numFmt w:val="decimal"/>
      <w:lvlText w:val="%7."/>
      <w:lvlJc w:val="left"/>
      <w:pPr>
        <w:tabs>
          <w:tab w:val="left" w:pos="2924"/>
        </w:tabs>
        <w:ind w:left="2924" w:hanging="420"/>
      </w:pPr>
    </w:lvl>
    <w:lvl w:ilvl="7" w:tentative="0">
      <w:start w:val="1"/>
      <w:numFmt w:val="lowerLetter"/>
      <w:lvlText w:val="%8)"/>
      <w:lvlJc w:val="left"/>
      <w:pPr>
        <w:tabs>
          <w:tab w:val="left" w:pos="3344"/>
        </w:tabs>
        <w:ind w:left="3344" w:hanging="420"/>
      </w:pPr>
    </w:lvl>
    <w:lvl w:ilvl="8" w:tentative="0">
      <w:start w:val="1"/>
      <w:numFmt w:val="lowerRoman"/>
      <w:lvlText w:val="%9."/>
      <w:lvlJc w:val="right"/>
      <w:pPr>
        <w:tabs>
          <w:tab w:val="left" w:pos="3764"/>
        </w:tabs>
        <w:ind w:left="3764" w:hanging="420"/>
      </w:pPr>
    </w:lvl>
  </w:abstractNum>
  <w:abstractNum w:abstractNumId="3">
    <w:nsid w:val="763060DB"/>
    <w:multiLevelType w:val="multilevel"/>
    <w:tmpl w:val="763060DB"/>
    <w:lvl w:ilvl="0" w:tentative="0">
      <w:start w:val="1"/>
      <w:numFmt w:val="japaneseCounting"/>
      <w:lvlText w:val="第%1章"/>
      <w:lvlJc w:val="left"/>
      <w:pPr>
        <w:tabs>
          <w:tab w:val="left" w:pos="1995"/>
        </w:tabs>
        <w:ind w:left="1995" w:hanging="1275"/>
      </w:pPr>
      <w:rPr>
        <w:rFonts w:hint="eastAsia"/>
      </w:rPr>
    </w:lvl>
    <w:lvl w:ilvl="1" w:tentative="0">
      <w:start w:val="1"/>
      <w:numFmt w:val="japaneseCounting"/>
      <w:lvlText w:val="%2、"/>
      <w:lvlJc w:val="left"/>
      <w:pPr>
        <w:tabs>
          <w:tab w:val="left" w:pos="1860"/>
        </w:tabs>
        <w:ind w:left="1860" w:hanging="720"/>
      </w:pPr>
      <w:rPr>
        <w:rFonts w:hint="eastAsia"/>
      </w:rPr>
    </w:lvl>
    <w:lvl w:ilvl="2" w:tentative="0">
      <w:start w:val="1"/>
      <w:numFmt w:val="lowerRoman"/>
      <w:pStyle w:val="141"/>
      <w:lvlText w:val="%3."/>
      <w:lvlJc w:val="right"/>
      <w:pPr>
        <w:tabs>
          <w:tab w:val="left" w:pos="1980"/>
        </w:tabs>
        <w:ind w:left="1980" w:hanging="420"/>
      </w:p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6E"/>
    <w:rsid w:val="00002901"/>
    <w:rsid w:val="00004BE9"/>
    <w:rsid w:val="00005689"/>
    <w:rsid w:val="00005F2C"/>
    <w:rsid w:val="0000628F"/>
    <w:rsid w:val="000078F3"/>
    <w:rsid w:val="000105B1"/>
    <w:rsid w:val="00012E28"/>
    <w:rsid w:val="000131BB"/>
    <w:rsid w:val="00013469"/>
    <w:rsid w:val="000165E2"/>
    <w:rsid w:val="000169E9"/>
    <w:rsid w:val="00016E9F"/>
    <w:rsid w:val="00017572"/>
    <w:rsid w:val="00017C74"/>
    <w:rsid w:val="000218B1"/>
    <w:rsid w:val="00021E17"/>
    <w:rsid w:val="00022D8A"/>
    <w:rsid w:val="00024A1D"/>
    <w:rsid w:val="000254DF"/>
    <w:rsid w:val="00025EC4"/>
    <w:rsid w:val="00027521"/>
    <w:rsid w:val="00030222"/>
    <w:rsid w:val="0003075A"/>
    <w:rsid w:val="00031EB4"/>
    <w:rsid w:val="00032423"/>
    <w:rsid w:val="00033C2A"/>
    <w:rsid w:val="00035A9E"/>
    <w:rsid w:val="0003693D"/>
    <w:rsid w:val="00041671"/>
    <w:rsid w:val="0004213C"/>
    <w:rsid w:val="000427F9"/>
    <w:rsid w:val="00044977"/>
    <w:rsid w:val="00046E89"/>
    <w:rsid w:val="00051729"/>
    <w:rsid w:val="0005599A"/>
    <w:rsid w:val="00055BCF"/>
    <w:rsid w:val="00055F1D"/>
    <w:rsid w:val="000572F0"/>
    <w:rsid w:val="0005756F"/>
    <w:rsid w:val="0005793A"/>
    <w:rsid w:val="00061B3B"/>
    <w:rsid w:val="00061F29"/>
    <w:rsid w:val="00062A58"/>
    <w:rsid w:val="000648B8"/>
    <w:rsid w:val="00064B57"/>
    <w:rsid w:val="0006586E"/>
    <w:rsid w:val="0006791B"/>
    <w:rsid w:val="00067FB0"/>
    <w:rsid w:val="000713D6"/>
    <w:rsid w:val="00075DF4"/>
    <w:rsid w:val="0007771C"/>
    <w:rsid w:val="000809DF"/>
    <w:rsid w:val="00083C30"/>
    <w:rsid w:val="0008616F"/>
    <w:rsid w:val="000864D0"/>
    <w:rsid w:val="0008712A"/>
    <w:rsid w:val="00087503"/>
    <w:rsid w:val="0009216D"/>
    <w:rsid w:val="0009286E"/>
    <w:rsid w:val="000929AE"/>
    <w:rsid w:val="00094B9C"/>
    <w:rsid w:val="00094FE7"/>
    <w:rsid w:val="00095AB9"/>
    <w:rsid w:val="00095B3A"/>
    <w:rsid w:val="00095EFD"/>
    <w:rsid w:val="00096E0A"/>
    <w:rsid w:val="000A078E"/>
    <w:rsid w:val="000A12BF"/>
    <w:rsid w:val="000A1717"/>
    <w:rsid w:val="000A39FD"/>
    <w:rsid w:val="000A6268"/>
    <w:rsid w:val="000A656E"/>
    <w:rsid w:val="000A7CA5"/>
    <w:rsid w:val="000B014F"/>
    <w:rsid w:val="000B0E00"/>
    <w:rsid w:val="000B1405"/>
    <w:rsid w:val="000B3F16"/>
    <w:rsid w:val="000B4C48"/>
    <w:rsid w:val="000B5CE6"/>
    <w:rsid w:val="000B6651"/>
    <w:rsid w:val="000B7B11"/>
    <w:rsid w:val="000C4D12"/>
    <w:rsid w:val="000D08D4"/>
    <w:rsid w:val="000D0E1D"/>
    <w:rsid w:val="000D1341"/>
    <w:rsid w:val="000D14A7"/>
    <w:rsid w:val="000D16D1"/>
    <w:rsid w:val="000D17C0"/>
    <w:rsid w:val="000D2228"/>
    <w:rsid w:val="000D341C"/>
    <w:rsid w:val="000D3A80"/>
    <w:rsid w:val="000D7BE0"/>
    <w:rsid w:val="000E0D93"/>
    <w:rsid w:val="000E0EE8"/>
    <w:rsid w:val="000E1BD9"/>
    <w:rsid w:val="000E3197"/>
    <w:rsid w:val="000E422F"/>
    <w:rsid w:val="000E4D56"/>
    <w:rsid w:val="000E6DB0"/>
    <w:rsid w:val="000F1CF4"/>
    <w:rsid w:val="000F1D66"/>
    <w:rsid w:val="000F2E9A"/>
    <w:rsid w:val="000F6898"/>
    <w:rsid w:val="00100D6C"/>
    <w:rsid w:val="00100E87"/>
    <w:rsid w:val="00101BB2"/>
    <w:rsid w:val="001034A7"/>
    <w:rsid w:val="001060C2"/>
    <w:rsid w:val="00107071"/>
    <w:rsid w:val="00110130"/>
    <w:rsid w:val="00111104"/>
    <w:rsid w:val="00111D8F"/>
    <w:rsid w:val="00111E1B"/>
    <w:rsid w:val="001122CB"/>
    <w:rsid w:val="00114227"/>
    <w:rsid w:val="00117098"/>
    <w:rsid w:val="00120CF2"/>
    <w:rsid w:val="00121A2D"/>
    <w:rsid w:val="00122E67"/>
    <w:rsid w:val="0012483C"/>
    <w:rsid w:val="001271F9"/>
    <w:rsid w:val="0013027D"/>
    <w:rsid w:val="00130CBC"/>
    <w:rsid w:val="00131D77"/>
    <w:rsid w:val="001328EF"/>
    <w:rsid w:val="0013569E"/>
    <w:rsid w:val="00136060"/>
    <w:rsid w:val="00137A57"/>
    <w:rsid w:val="0014115A"/>
    <w:rsid w:val="00141C32"/>
    <w:rsid w:val="00143432"/>
    <w:rsid w:val="001440F7"/>
    <w:rsid w:val="00145AB3"/>
    <w:rsid w:val="00145B7F"/>
    <w:rsid w:val="00146E79"/>
    <w:rsid w:val="00147DC1"/>
    <w:rsid w:val="00147FF3"/>
    <w:rsid w:val="00151893"/>
    <w:rsid w:val="00151C22"/>
    <w:rsid w:val="001520D0"/>
    <w:rsid w:val="00152BA7"/>
    <w:rsid w:val="00152EC2"/>
    <w:rsid w:val="00154259"/>
    <w:rsid w:val="0015477D"/>
    <w:rsid w:val="00155194"/>
    <w:rsid w:val="00156A4E"/>
    <w:rsid w:val="0016073F"/>
    <w:rsid w:val="001607F5"/>
    <w:rsid w:val="00161350"/>
    <w:rsid w:val="001617D1"/>
    <w:rsid w:val="00164479"/>
    <w:rsid w:val="00164CF1"/>
    <w:rsid w:val="00165987"/>
    <w:rsid w:val="001662D6"/>
    <w:rsid w:val="00167CB3"/>
    <w:rsid w:val="00172A27"/>
    <w:rsid w:val="00172C20"/>
    <w:rsid w:val="001732EF"/>
    <w:rsid w:val="001747FE"/>
    <w:rsid w:val="001753D3"/>
    <w:rsid w:val="00180A9B"/>
    <w:rsid w:val="00183F6A"/>
    <w:rsid w:val="001851CB"/>
    <w:rsid w:val="0018658B"/>
    <w:rsid w:val="00186A6E"/>
    <w:rsid w:val="00187AA8"/>
    <w:rsid w:val="001900DF"/>
    <w:rsid w:val="00193B09"/>
    <w:rsid w:val="001941D4"/>
    <w:rsid w:val="001945E7"/>
    <w:rsid w:val="00194FFE"/>
    <w:rsid w:val="00195613"/>
    <w:rsid w:val="001958CA"/>
    <w:rsid w:val="00195A42"/>
    <w:rsid w:val="00195BE3"/>
    <w:rsid w:val="00196442"/>
    <w:rsid w:val="001965BA"/>
    <w:rsid w:val="00197FDC"/>
    <w:rsid w:val="001A0E00"/>
    <w:rsid w:val="001A0F0E"/>
    <w:rsid w:val="001A0FA6"/>
    <w:rsid w:val="001A2B82"/>
    <w:rsid w:val="001A3DC1"/>
    <w:rsid w:val="001A4A2B"/>
    <w:rsid w:val="001A51DE"/>
    <w:rsid w:val="001A7BE9"/>
    <w:rsid w:val="001A7E70"/>
    <w:rsid w:val="001A7F73"/>
    <w:rsid w:val="001B013B"/>
    <w:rsid w:val="001B01C2"/>
    <w:rsid w:val="001B11A9"/>
    <w:rsid w:val="001B1435"/>
    <w:rsid w:val="001B14DE"/>
    <w:rsid w:val="001B18CD"/>
    <w:rsid w:val="001B5FFF"/>
    <w:rsid w:val="001B606B"/>
    <w:rsid w:val="001C0F06"/>
    <w:rsid w:val="001C1020"/>
    <w:rsid w:val="001C3826"/>
    <w:rsid w:val="001C39CA"/>
    <w:rsid w:val="001C4239"/>
    <w:rsid w:val="001C4C64"/>
    <w:rsid w:val="001C6DB0"/>
    <w:rsid w:val="001D0105"/>
    <w:rsid w:val="001D202B"/>
    <w:rsid w:val="001D3883"/>
    <w:rsid w:val="001D52E9"/>
    <w:rsid w:val="001D5EFF"/>
    <w:rsid w:val="001D65D0"/>
    <w:rsid w:val="001D7A8A"/>
    <w:rsid w:val="001D7C9E"/>
    <w:rsid w:val="001E1565"/>
    <w:rsid w:val="001E248E"/>
    <w:rsid w:val="001E5B80"/>
    <w:rsid w:val="001E5EA5"/>
    <w:rsid w:val="001E6054"/>
    <w:rsid w:val="001E71F4"/>
    <w:rsid w:val="001E7385"/>
    <w:rsid w:val="001E7509"/>
    <w:rsid w:val="001F4349"/>
    <w:rsid w:val="001F57D2"/>
    <w:rsid w:val="00201F2E"/>
    <w:rsid w:val="00202D13"/>
    <w:rsid w:val="00203D5C"/>
    <w:rsid w:val="00205393"/>
    <w:rsid w:val="00205E03"/>
    <w:rsid w:val="00212372"/>
    <w:rsid w:val="00212E37"/>
    <w:rsid w:val="0021772B"/>
    <w:rsid w:val="00217AA9"/>
    <w:rsid w:val="00222D4D"/>
    <w:rsid w:val="002232EE"/>
    <w:rsid w:val="00226732"/>
    <w:rsid w:val="00227220"/>
    <w:rsid w:val="00227612"/>
    <w:rsid w:val="00230A21"/>
    <w:rsid w:val="0023312F"/>
    <w:rsid w:val="00233CD6"/>
    <w:rsid w:val="00234829"/>
    <w:rsid w:val="002352DC"/>
    <w:rsid w:val="00236389"/>
    <w:rsid w:val="0023695F"/>
    <w:rsid w:val="00236DCD"/>
    <w:rsid w:val="00241630"/>
    <w:rsid w:val="00241CE0"/>
    <w:rsid w:val="00242782"/>
    <w:rsid w:val="00242B9E"/>
    <w:rsid w:val="00243FF7"/>
    <w:rsid w:val="00244404"/>
    <w:rsid w:val="002448DA"/>
    <w:rsid w:val="00247542"/>
    <w:rsid w:val="0025050A"/>
    <w:rsid w:val="00251263"/>
    <w:rsid w:val="002530E8"/>
    <w:rsid w:val="00254C53"/>
    <w:rsid w:val="0025523B"/>
    <w:rsid w:val="002553A6"/>
    <w:rsid w:val="002575F5"/>
    <w:rsid w:val="002618CB"/>
    <w:rsid w:val="002619FE"/>
    <w:rsid w:val="0026250B"/>
    <w:rsid w:val="002627B7"/>
    <w:rsid w:val="00271B61"/>
    <w:rsid w:val="00272C5A"/>
    <w:rsid w:val="002753BA"/>
    <w:rsid w:val="00275402"/>
    <w:rsid w:val="0027612A"/>
    <w:rsid w:val="0027660A"/>
    <w:rsid w:val="00277834"/>
    <w:rsid w:val="0028209B"/>
    <w:rsid w:val="0028494B"/>
    <w:rsid w:val="002901BC"/>
    <w:rsid w:val="00291FBC"/>
    <w:rsid w:val="00294FE6"/>
    <w:rsid w:val="0029595F"/>
    <w:rsid w:val="00295D70"/>
    <w:rsid w:val="002A0891"/>
    <w:rsid w:val="002A0DB7"/>
    <w:rsid w:val="002A14D8"/>
    <w:rsid w:val="002A1B21"/>
    <w:rsid w:val="002A46D7"/>
    <w:rsid w:val="002B1CD7"/>
    <w:rsid w:val="002B2708"/>
    <w:rsid w:val="002B3F11"/>
    <w:rsid w:val="002B411F"/>
    <w:rsid w:val="002B5361"/>
    <w:rsid w:val="002B5B38"/>
    <w:rsid w:val="002B5B7B"/>
    <w:rsid w:val="002B7B1D"/>
    <w:rsid w:val="002B7CAD"/>
    <w:rsid w:val="002C02DF"/>
    <w:rsid w:val="002C0A52"/>
    <w:rsid w:val="002C1C45"/>
    <w:rsid w:val="002C2C97"/>
    <w:rsid w:val="002C3D71"/>
    <w:rsid w:val="002C4473"/>
    <w:rsid w:val="002C54A1"/>
    <w:rsid w:val="002C6959"/>
    <w:rsid w:val="002C771B"/>
    <w:rsid w:val="002D1499"/>
    <w:rsid w:val="002D165C"/>
    <w:rsid w:val="002D1CD7"/>
    <w:rsid w:val="002D1D24"/>
    <w:rsid w:val="002D3C67"/>
    <w:rsid w:val="002D4126"/>
    <w:rsid w:val="002D4E9C"/>
    <w:rsid w:val="002D5047"/>
    <w:rsid w:val="002D54FE"/>
    <w:rsid w:val="002D638A"/>
    <w:rsid w:val="002D66DB"/>
    <w:rsid w:val="002D72DE"/>
    <w:rsid w:val="002E130E"/>
    <w:rsid w:val="002E1DF8"/>
    <w:rsid w:val="002E2776"/>
    <w:rsid w:val="002E5D10"/>
    <w:rsid w:val="002E7DEB"/>
    <w:rsid w:val="002F0009"/>
    <w:rsid w:val="002F5552"/>
    <w:rsid w:val="002F6D22"/>
    <w:rsid w:val="002F7B5F"/>
    <w:rsid w:val="0030049B"/>
    <w:rsid w:val="00300DDE"/>
    <w:rsid w:val="003012EC"/>
    <w:rsid w:val="00301920"/>
    <w:rsid w:val="00301FC5"/>
    <w:rsid w:val="00305065"/>
    <w:rsid w:val="00305719"/>
    <w:rsid w:val="003068ED"/>
    <w:rsid w:val="00310D7B"/>
    <w:rsid w:val="00311486"/>
    <w:rsid w:val="00311B5E"/>
    <w:rsid w:val="00311E05"/>
    <w:rsid w:val="0031249E"/>
    <w:rsid w:val="00313109"/>
    <w:rsid w:val="0031314E"/>
    <w:rsid w:val="00313425"/>
    <w:rsid w:val="00313B0A"/>
    <w:rsid w:val="00317329"/>
    <w:rsid w:val="003213F2"/>
    <w:rsid w:val="00322CAB"/>
    <w:rsid w:val="003233CE"/>
    <w:rsid w:val="00324D23"/>
    <w:rsid w:val="00326BC7"/>
    <w:rsid w:val="00330442"/>
    <w:rsid w:val="003322F5"/>
    <w:rsid w:val="00333602"/>
    <w:rsid w:val="0033429B"/>
    <w:rsid w:val="00334723"/>
    <w:rsid w:val="00334D81"/>
    <w:rsid w:val="00334E9C"/>
    <w:rsid w:val="00340367"/>
    <w:rsid w:val="00340938"/>
    <w:rsid w:val="00340DD4"/>
    <w:rsid w:val="00341CF4"/>
    <w:rsid w:val="00341E89"/>
    <w:rsid w:val="003431E2"/>
    <w:rsid w:val="00344852"/>
    <w:rsid w:val="003452EF"/>
    <w:rsid w:val="00345466"/>
    <w:rsid w:val="00345C9B"/>
    <w:rsid w:val="00346032"/>
    <w:rsid w:val="003463F4"/>
    <w:rsid w:val="00346828"/>
    <w:rsid w:val="00347461"/>
    <w:rsid w:val="003479E0"/>
    <w:rsid w:val="0035043E"/>
    <w:rsid w:val="00352505"/>
    <w:rsid w:val="00353472"/>
    <w:rsid w:val="003546B4"/>
    <w:rsid w:val="00354D89"/>
    <w:rsid w:val="003633B7"/>
    <w:rsid w:val="00363740"/>
    <w:rsid w:val="00363D2C"/>
    <w:rsid w:val="00371179"/>
    <w:rsid w:val="00372200"/>
    <w:rsid w:val="00372466"/>
    <w:rsid w:val="003725EB"/>
    <w:rsid w:val="00373614"/>
    <w:rsid w:val="00373B97"/>
    <w:rsid w:val="00376AE1"/>
    <w:rsid w:val="00381643"/>
    <w:rsid w:val="00381F38"/>
    <w:rsid w:val="003847EB"/>
    <w:rsid w:val="003859AC"/>
    <w:rsid w:val="003903A2"/>
    <w:rsid w:val="00390E44"/>
    <w:rsid w:val="00391D1A"/>
    <w:rsid w:val="003966F1"/>
    <w:rsid w:val="003A1A02"/>
    <w:rsid w:val="003A20B2"/>
    <w:rsid w:val="003A2735"/>
    <w:rsid w:val="003A34B8"/>
    <w:rsid w:val="003A3D1E"/>
    <w:rsid w:val="003A3F57"/>
    <w:rsid w:val="003A5586"/>
    <w:rsid w:val="003A5D2E"/>
    <w:rsid w:val="003B08B3"/>
    <w:rsid w:val="003B3483"/>
    <w:rsid w:val="003B44EA"/>
    <w:rsid w:val="003B45F1"/>
    <w:rsid w:val="003B4B7D"/>
    <w:rsid w:val="003B7CB8"/>
    <w:rsid w:val="003C13CB"/>
    <w:rsid w:val="003C1E2B"/>
    <w:rsid w:val="003C221D"/>
    <w:rsid w:val="003C3B77"/>
    <w:rsid w:val="003C4978"/>
    <w:rsid w:val="003C6010"/>
    <w:rsid w:val="003C7C71"/>
    <w:rsid w:val="003D0A56"/>
    <w:rsid w:val="003D1817"/>
    <w:rsid w:val="003D1CC5"/>
    <w:rsid w:val="003D1D4D"/>
    <w:rsid w:val="003D21CC"/>
    <w:rsid w:val="003D2FAC"/>
    <w:rsid w:val="003D582F"/>
    <w:rsid w:val="003D712B"/>
    <w:rsid w:val="003E1BC5"/>
    <w:rsid w:val="003E30BA"/>
    <w:rsid w:val="003E322D"/>
    <w:rsid w:val="003E430C"/>
    <w:rsid w:val="003F0198"/>
    <w:rsid w:val="003F0DE7"/>
    <w:rsid w:val="003F10DC"/>
    <w:rsid w:val="003F12CF"/>
    <w:rsid w:val="003F269C"/>
    <w:rsid w:val="003F2C9B"/>
    <w:rsid w:val="003F2E18"/>
    <w:rsid w:val="003F4650"/>
    <w:rsid w:val="003F5DEA"/>
    <w:rsid w:val="003F6136"/>
    <w:rsid w:val="003F655B"/>
    <w:rsid w:val="003F68B8"/>
    <w:rsid w:val="003F772A"/>
    <w:rsid w:val="0040087F"/>
    <w:rsid w:val="00403FB9"/>
    <w:rsid w:val="00404E12"/>
    <w:rsid w:val="0040775A"/>
    <w:rsid w:val="0040777F"/>
    <w:rsid w:val="00410E89"/>
    <w:rsid w:val="00410ED2"/>
    <w:rsid w:val="004119FF"/>
    <w:rsid w:val="00414CDD"/>
    <w:rsid w:val="00414E3D"/>
    <w:rsid w:val="00416319"/>
    <w:rsid w:val="0041671A"/>
    <w:rsid w:val="00417562"/>
    <w:rsid w:val="00417EE8"/>
    <w:rsid w:val="00420C16"/>
    <w:rsid w:val="00422B79"/>
    <w:rsid w:val="00427065"/>
    <w:rsid w:val="0042777C"/>
    <w:rsid w:val="00430184"/>
    <w:rsid w:val="00432320"/>
    <w:rsid w:val="00432C97"/>
    <w:rsid w:val="00441850"/>
    <w:rsid w:val="00441F86"/>
    <w:rsid w:val="00442040"/>
    <w:rsid w:val="0044365D"/>
    <w:rsid w:val="00444592"/>
    <w:rsid w:val="0044488E"/>
    <w:rsid w:val="00444D30"/>
    <w:rsid w:val="0044536E"/>
    <w:rsid w:val="0044543D"/>
    <w:rsid w:val="00451F3A"/>
    <w:rsid w:val="0045216A"/>
    <w:rsid w:val="00454F7A"/>
    <w:rsid w:val="0045671D"/>
    <w:rsid w:val="004606D0"/>
    <w:rsid w:val="00461D2C"/>
    <w:rsid w:val="0046445A"/>
    <w:rsid w:val="00465F5D"/>
    <w:rsid w:val="00467EC2"/>
    <w:rsid w:val="00471C76"/>
    <w:rsid w:val="004722F7"/>
    <w:rsid w:val="004728BD"/>
    <w:rsid w:val="00474A69"/>
    <w:rsid w:val="004774C3"/>
    <w:rsid w:val="00480FF5"/>
    <w:rsid w:val="0048114C"/>
    <w:rsid w:val="00481A5E"/>
    <w:rsid w:val="00482E5A"/>
    <w:rsid w:val="00484518"/>
    <w:rsid w:val="0048531D"/>
    <w:rsid w:val="00485DDB"/>
    <w:rsid w:val="00490D4F"/>
    <w:rsid w:val="0049112C"/>
    <w:rsid w:val="004912D4"/>
    <w:rsid w:val="004932E0"/>
    <w:rsid w:val="00495598"/>
    <w:rsid w:val="004957BB"/>
    <w:rsid w:val="00496F1C"/>
    <w:rsid w:val="004A06BF"/>
    <w:rsid w:val="004A0856"/>
    <w:rsid w:val="004A1542"/>
    <w:rsid w:val="004A1C1B"/>
    <w:rsid w:val="004A348F"/>
    <w:rsid w:val="004A3A22"/>
    <w:rsid w:val="004A7667"/>
    <w:rsid w:val="004A773B"/>
    <w:rsid w:val="004A7A08"/>
    <w:rsid w:val="004B10E4"/>
    <w:rsid w:val="004B1207"/>
    <w:rsid w:val="004B19F4"/>
    <w:rsid w:val="004B538D"/>
    <w:rsid w:val="004B6525"/>
    <w:rsid w:val="004C0D18"/>
    <w:rsid w:val="004C1FB6"/>
    <w:rsid w:val="004C49D6"/>
    <w:rsid w:val="004C50AC"/>
    <w:rsid w:val="004D0BD1"/>
    <w:rsid w:val="004D0F47"/>
    <w:rsid w:val="004D2C1D"/>
    <w:rsid w:val="004D5277"/>
    <w:rsid w:val="004D5E0F"/>
    <w:rsid w:val="004D62E5"/>
    <w:rsid w:val="004D69C2"/>
    <w:rsid w:val="004E054C"/>
    <w:rsid w:val="004E05BA"/>
    <w:rsid w:val="004E2C09"/>
    <w:rsid w:val="004E40AB"/>
    <w:rsid w:val="004E45DC"/>
    <w:rsid w:val="004E51E8"/>
    <w:rsid w:val="004E742E"/>
    <w:rsid w:val="004F1102"/>
    <w:rsid w:val="004F2605"/>
    <w:rsid w:val="004F46BB"/>
    <w:rsid w:val="004F485D"/>
    <w:rsid w:val="004F6187"/>
    <w:rsid w:val="004F6ACD"/>
    <w:rsid w:val="004F757F"/>
    <w:rsid w:val="004F77C5"/>
    <w:rsid w:val="004F78AF"/>
    <w:rsid w:val="005019F5"/>
    <w:rsid w:val="00501E37"/>
    <w:rsid w:val="00501FBC"/>
    <w:rsid w:val="005035F0"/>
    <w:rsid w:val="00504650"/>
    <w:rsid w:val="00504665"/>
    <w:rsid w:val="0050530A"/>
    <w:rsid w:val="005068D2"/>
    <w:rsid w:val="005071D1"/>
    <w:rsid w:val="00510ADB"/>
    <w:rsid w:val="00514CD6"/>
    <w:rsid w:val="00516690"/>
    <w:rsid w:val="0051711B"/>
    <w:rsid w:val="00517FC3"/>
    <w:rsid w:val="00527942"/>
    <w:rsid w:val="00531A3F"/>
    <w:rsid w:val="0053236E"/>
    <w:rsid w:val="0053332B"/>
    <w:rsid w:val="00534AE3"/>
    <w:rsid w:val="005365EB"/>
    <w:rsid w:val="00536D01"/>
    <w:rsid w:val="005376FC"/>
    <w:rsid w:val="00541DC3"/>
    <w:rsid w:val="00544160"/>
    <w:rsid w:val="00544180"/>
    <w:rsid w:val="005466E6"/>
    <w:rsid w:val="00550629"/>
    <w:rsid w:val="00552037"/>
    <w:rsid w:val="00552DD4"/>
    <w:rsid w:val="00554078"/>
    <w:rsid w:val="0055459F"/>
    <w:rsid w:val="00555139"/>
    <w:rsid w:val="00555B77"/>
    <w:rsid w:val="00556380"/>
    <w:rsid w:val="00556E21"/>
    <w:rsid w:val="005605BB"/>
    <w:rsid w:val="00563054"/>
    <w:rsid w:val="0056353A"/>
    <w:rsid w:val="0056443D"/>
    <w:rsid w:val="00565CB4"/>
    <w:rsid w:val="00565CE7"/>
    <w:rsid w:val="0056715C"/>
    <w:rsid w:val="0057011A"/>
    <w:rsid w:val="00570328"/>
    <w:rsid w:val="00570759"/>
    <w:rsid w:val="00571891"/>
    <w:rsid w:val="00572BE8"/>
    <w:rsid w:val="005736D3"/>
    <w:rsid w:val="00575E79"/>
    <w:rsid w:val="00576ED8"/>
    <w:rsid w:val="005777DF"/>
    <w:rsid w:val="00581EE4"/>
    <w:rsid w:val="005829AD"/>
    <w:rsid w:val="00582D40"/>
    <w:rsid w:val="00583EF4"/>
    <w:rsid w:val="00584180"/>
    <w:rsid w:val="005846F6"/>
    <w:rsid w:val="00586B1F"/>
    <w:rsid w:val="0058716B"/>
    <w:rsid w:val="00590F86"/>
    <w:rsid w:val="00592349"/>
    <w:rsid w:val="0059342D"/>
    <w:rsid w:val="005960BD"/>
    <w:rsid w:val="00597F86"/>
    <w:rsid w:val="005A1541"/>
    <w:rsid w:val="005A1A7D"/>
    <w:rsid w:val="005A35A1"/>
    <w:rsid w:val="005A386D"/>
    <w:rsid w:val="005A3F8C"/>
    <w:rsid w:val="005A49B1"/>
    <w:rsid w:val="005B1601"/>
    <w:rsid w:val="005B3194"/>
    <w:rsid w:val="005B3F7A"/>
    <w:rsid w:val="005B4C88"/>
    <w:rsid w:val="005B513C"/>
    <w:rsid w:val="005C1901"/>
    <w:rsid w:val="005C1F44"/>
    <w:rsid w:val="005C40C3"/>
    <w:rsid w:val="005C4452"/>
    <w:rsid w:val="005C51F8"/>
    <w:rsid w:val="005C5EFF"/>
    <w:rsid w:val="005C634D"/>
    <w:rsid w:val="005C6363"/>
    <w:rsid w:val="005C6FB2"/>
    <w:rsid w:val="005D004C"/>
    <w:rsid w:val="005D1110"/>
    <w:rsid w:val="005D330A"/>
    <w:rsid w:val="005D788C"/>
    <w:rsid w:val="005E0740"/>
    <w:rsid w:val="005E0F7A"/>
    <w:rsid w:val="005E1C32"/>
    <w:rsid w:val="005E36EC"/>
    <w:rsid w:val="005E3B21"/>
    <w:rsid w:val="005E4C81"/>
    <w:rsid w:val="005E5372"/>
    <w:rsid w:val="005E60C0"/>
    <w:rsid w:val="005E6113"/>
    <w:rsid w:val="005E6341"/>
    <w:rsid w:val="005E73D2"/>
    <w:rsid w:val="005F1087"/>
    <w:rsid w:val="005F119C"/>
    <w:rsid w:val="005F1271"/>
    <w:rsid w:val="005F1CE4"/>
    <w:rsid w:val="005F2E90"/>
    <w:rsid w:val="005F3C80"/>
    <w:rsid w:val="005F5458"/>
    <w:rsid w:val="005F638F"/>
    <w:rsid w:val="005F6AC0"/>
    <w:rsid w:val="00601E10"/>
    <w:rsid w:val="00602A1B"/>
    <w:rsid w:val="00604DA8"/>
    <w:rsid w:val="00605D4E"/>
    <w:rsid w:val="0060622A"/>
    <w:rsid w:val="00610F2D"/>
    <w:rsid w:val="00615A7C"/>
    <w:rsid w:val="0061639D"/>
    <w:rsid w:val="00617559"/>
    <w:rsid w:val="00620469"/>
    <w:rsid w:val="00621440"/>
    <w:rsid w:val="00622B42"/>
    <w:rsid w:val="006254F8"/>
    <w:rsid w:val="00630D9F"/>
    <w:rsid w:val="006320C8"/>
    <w:rsid w:val="0063284C"/>
    <w:rsid w:val="006335FD"/>
    <w:rsid w:val="006337D4"/>
    <w:rsid w:val="00634BED"/>
    <w:rsid w:val="00635F05"/>
    <w:rsid w:val="0064381D"/>
    <w:rsid w:val="00643AA1"/>
    <w:rsid w:val="00646B97"/>
    <w:rsid w:val="00655566"/>
    <w:rsid w:val="00656C7D"/>
    <w:rsid w:val="0065706A"/>
    <w:rsid w:val="00660185"/>
    <w:rsid w:val="0066271B"/>
    <w:rsid w:val="0066695C"/>
    <w:rsid w:val="00667417"/>
    <w:rsid w:val="00673603"/>
    <w:rsid w:val="006745FD"/>
    <w:rsid w:val="00674A2C"/>
    <w:rsid w:val="006763E4"/>
    <w:rsid w:val="00676452"/>
    <w:rsid w:val="00676AB8"/>
    <w:rsid w:val="006776DC"/>
    <w:rsid w:val="00684EE0"/>
    <w:rsid w:val="006859FE"/>
    <w:rsid w:val="00686566"/>
    <w:rsid w:val="0069042F"/>
    <w:rsid w:val="00691AC4"/>
    <w:rsid w:val="0069286A"/>
    <w:rsid w:val="006A12E4"/>
    <w:rsid w:val="006A1B8C"/>
    <w:rsid w:val="006A2B6B"/>
    <w:rsid w:val="006A38BC"/>
    <w:rsid w:val="006A64A6"/>
    <w:rsid w:val="006A78AE"/>
    <w:rsid w:val="006B0BAD"/>
    <w:rsid w:val="006B1776"/>
    <w:rsid w:val="006B2406"/>
    <w:rsid w:val="006B3C21"/>
    <w:rsid w:val="006B7225"/>
    <w:rsid w:val="006B7BE9"/>
    <w:rsid w:val="006B7CC1"/>
    <w:rsid w:val="006C0192"/>
    <w:rsid w:val="006C26B4"/>
    <w:rsid w:val="006C359B"/>
    <w:rsid w:val="006C63A1"/>
    <w:rsid w:val="006D4CA4"/>
    <w:rsid w:val="006D58D6"/>
    <w:rsid w:val="006D5CC2"/>
    <w:rsid w:val="006D62F8"/>
    <w:rsid w:val="006D6631"/>
    <w:rsid w:val="006D6987"/>
    <w:rsid w:val="006D69FB"/>
    <w:rsid w:val="006D6AE6"/>
    <w:rsid w:val="006D6BA6"/>
    <w:rsid w:val="006D73A6"/>
    <w:rsid w:val="006E0392"/>
    <w:rsid w:val="006E1739"/>
    <w:rsid w:val="006E18BB"/>
    <w:rsid w:val="006E1C67"/>
    <w:rsid w:val="006E27C6"/>
    <w:rsid w:val="006E2F2D"/>
    <w:rsid w:val="006E40E0"/>
    <w:rsid w:val="006E449F"/>
    <w:rsid w:val="006E4FE4"/>
    <w:rsid w:val="006E6CBD"/>
    <w:rsid w:val="006E6EE0"/>
    <w:rsid w:val="006E7010"/>
    <w:rsid w:val="006F0263"/>
    <w:rsid w:val="006F37FE"/>
    <w:rsid w:val="006F4D4E"/>
    <w:rsid w:val="006F5851"/>
    <w:rsid w:val="00700E12"/>
    <w:rsid w:val="00702797"/>
    <w:rsid w:val="0070473B"/>
    <w:rsid w:val="007055F8"/>
    <w:rsid w:val="00706347"/>
    <w:rsid w:val="00707081"/>
    <w:rsid w:val="00707E36"/>
    <w:rsid w:val="007106C6"/>
    <w:rsid w:val="0071165A"/>
    <w:rsid w:val="00713197"/>
    <w:rsid w:val="00714647"/>
    <w:rsid w:val="007158B4"/>
    <w:rsid w:val="007168C3"/>
    <w:rsid w:val="0071769B"/>
    <w:rsid w:val="00717741"/>
    <w:rsid w:val="00717763"/>
    <w:rsid w:val="00721098"/>
    <w:rsid w:val="007246AE"/>
    <w:rsid w:val="007246CC"/>
    <w:rsid w:val="00725DA0"/>
    <w:rsid w:val="00726C0B"/>
    <w:rsid w:val="00726CB1"/>
    <w:rsid w:val="00727BC1"/>
    <w:rsid w:val="007302B2"/>
    <w:rsid w:val="00731D90"/>
    <w:rsid w:val="00731EDF"/>
    <w:rsid w:val="00734133"/>
    <w:rsid w:val="007349D5"/>
    <w:rsid w:val="00734E7F"/>
    <w:rsid w:val="00735717"/>
    <w:rsid w:val="007361E8"/>
    <w:rsid w:val="00736547"/>
    <w:rsid w:val="007367B1"/>
    <w:rsid w:val="00736834"/>
    <w:rsid w:val="007406C3"/>
    <w:rsid w:val="0074394D"/>
    <w:rsid w:val="00745B8C"/>
    <w:rsid w:val="00745C46"/>
    <w:rsid w:val="0075160F"/>
    <w:rsid w:val="00752418"/>
    <w:rsid w:val="00756191"/>
    <w:rsid w:val="00756323"/>
    <w:rsid w:val="0075718A"/>
    <w:rsid w:val="00757E32"/>
    <w:rsid w:val="00760738"/>
    <w:rsid w:val="007620BD"/>
    <w:rsid w:val="0076227A"/>
    <w:rsid w:val="0076449A"/>
    <w:rsid w:val="007649CE"/>
    <w:rsid w:val="00765A82"/>
    <w:rsid w:val="007679FC"/>
    <w:rsid w:val="00772CF3"/>
    <w:rsid w:val="007754E8"/>
    <w:rsid w:val="0077583E"/>
    <w:rsid w:val="007775F2"/>
    <w:rsid w:val="00780236"/>
    <w:rsid w:val="00780802"/>
    <w:rsid w:val="00780813"/>
    <w:rsid w:val="00780E57"/>
    <w:rsid w:val="00780FA8"/>
    <w:rsid w:val="00781EC3"/>
    <w:rsid w:val="00782BDB"/>
    <w:rsid w:val="00785D5B"/>
    <w:rsid w:val="007928CB"/>
    <w:rsid w:val="007962C8"/>
    <w:rsid w:val="007A0424"/>
    <w:rsid w:val="007A242D"/>
    <w:rsid w:val="007A3513"/>
    <w:rsid w:val="007A4164"/>
    <w:rsid w:val="007A4A87"/>
    <w:rsid w:val="007A721E"/>
    <w:rsid w:val="007B0389"/>
    <w:rsid w:val="007B0C87"/>
    <w:rsid w:val="007B1073"/>
    <w:rsid w:val="007B1997"/>
    <w:rsid w:val="007B2FA0"/>
    <w:rsid w:val="007B5AC5"/>
    <w:rsid w:val="007C0A6A"/>
    <w:rsid w:val="007C0D3F"/>
    <w:rsid w:val="007C14A3"/>
    <w:rsid w:val="007C205F"/>
    <w:rsid w:val="007C3780"/>
    <w:rsid w:val="007C384F"/>
    <w:rsid w:val="007C68E0"/>
    <w:rsid w:val="007C6B29"/>
    <w:rsid w:val="007C7B3F"/>
    <w:rsid w:val="007D072A"/>
    <w:rsid w:val="007D1410"/>
    <w:rsid w:val="007D34C6"/>
    <w:rsid w:val="007D35B2"/>
    <w:rsid w:val="007D3A97"/>
    <w:rsid w:val="007D3CC5"/>
    <w:rsid w:val="007D554F"/>
    <w:rsid w:val="007D628F"/>
    <w:rsid w:val="007D7CF2"/>
    <w:rsid w:val="007E3507"/>
    <w:rsid w:val="007E6635"/>
    <w:rsid w:val="007F1F34"/>
    <w:rsid w:val="007F216D"/>
    <w:rsid w:val="007F6EAC"/>
    <w:rsid w:val="00800275"/>
    <w:rsid w:val="008013B7"/>
    <w:rsid w:val="008027BB"/>
    <w:rsid w:val="00803075"/>
    <w:rsid w:val="008036D1"/>
    <w:rsid w:val="008038E6"/>
    <w:rsid w:val="0080396B"/>
    <w:rsid w:val="00804BED"/>
    <w:rsid w:val="008051EC"/>
    <w:rsid w:val="008070E3"/>
    <w:rsid w:val="00810AB1"/>
    <w:rsid w:val="008125A3"/>
    <w:rsid w:val="00812D20"/>
    <w:rsid w:val="008133F5"/>
    <w:rsid w:val="00813B7D"/>
    <w:rsid w:val="00813DD3"/>
    <w:rsid w:val="0081487C"/>
    <w:rsid w:val="008159C2"/>
    <w:rsid w:val="0081766E"/>
    <w:rsid w:val="00817DC7"/>
    <w:rsid w:val="008214DA"/>
    <w:rsid w:val="008219B8"/>
    <w:rsid w:val="00822FC6"/>
    <w:rsid w:val="0082514A"/>
    <w:rsid w:val="008252D0"/>
    <w:rsid w:val="00825415"/>
    <w:rsid w:val="0082567C"/>
    <w:rsid w:val="0082745F"/>
    <w:rsid w:val="00831D11"/>
    <w:rsid w:val="00832814"/>
    <w:rsid w:val="0083459C"/>
    <w:rsid w:val="00835A67"/>
    <w:rsid w:val="008416CB"/>
    <w:rsid w:val="008426D8"/>
    <w:rsid w:val="008463F2"/>
    <w:rsid w:val="00850B37"/>
    <w:rsid w:val="00850C0E"/>
    <w:rsid w:val="00850D3B"/>
    <w:rsid w:val="00853994"/>
    <w:rsid w:val="00854259"/>
    <w:rsid w:val="008560CB"/>
    <w:rsid w:val="00856622"/>
    <w:rsid w:val="00856B50"/>
    <w:rsid w:val="00857AC7"/>
    <w:rsid w:val="00860EDB"/>
    <w:rsid w:val="00861FB0"/>
    <w:rsid w:val="008621F9"/>
    <w:rsid w:val="00862549"/>
    <w:rsid w:val="00863D75"/>
    <w:rsid w:val="00866816"/>
    <w:rsid w:val="00867C6D"/>
    <w:rsid w:val="008727C7"/>
    <w:rsid w:val="00872BC5"/>
    <w:rsid w:val="008733A6"/>
    <w:rsid w:val="00873434"/>
    <w:rsid w:val="00876D82"/>
    <w:rsid w:val="00880017"/>
    <w:rsid w:val="0088044D"/>
    <w:rsid w:val="00880B48"/>
    <w:rsid w:val="00881243"/>
    <w:rsid w:val="00881378"/>
    <w:rsid w:val="00881ECC"/>
    <w:rsid w:val="00882AFB"/>
    <w:rsid w:val="00882DA1"/>
    <w:rsid w:val="00883A36"/>
    <w:rsid w:val="00884003"/>
    <w:rsid w:val="00884634"/>
    <w:rsid w:val="00885FE2"/>
    <w:rsid w:val="0088697E"/>
    <w:rsid w:val="0088709E"/>
    <w:rsid w:val="00887365"/>
    <w:rsid w:val="00890066"/>
    <w:rsid w:val="00890269"/>
    <w:rsid w:val="00890B99"/>
    <w:rsid w:val="00890CE6"/>
    <w:rsid w:val="00890D23"/>
    <w:rsid w:val="00891AAB"/>
    <w:rsid w:val="00891AD0"/>
    <w:rsid w:val="0089357E"/>
    <w:rsid w:val="00893F66"/>
    <w:rsid w:val="00894644"/>
    <w:rsid w:val="00895E50"/>
    <w:rsid w:val="00896272"/>
    <w:rsid w:val="008A01D8"/>
    <w:rsid w:val="008A1671"/>
    <w:rsid w:val="008A1EA9"/>
    <w:rsid w:val="008A2AB0"/>
    <w:rsid w:val="008A3580"/>
    <w:rsid w:val="008A3EB6"/>
    <w:rsid w:val="008A4852"/>
    <w:rsid w:val="008A58DD"/>
    <w:rsid w:val="008A6F29"/>
    <w:rsid w:val="008B0B23"/>
    <w:rsid w:val="008B3224"/>
    <w:rsid w:val="008B424C"/>
    <w:rsid w:val="008B5109"/>
    <w:rsid w:val="008B6887"/>
    <w:rsid w:val="008C29C9"/>
    <w:rsid w:val="008C4AD7"/>
    <w:rsid w:val="008C5D5B"/>
    <w:rsid w:val="008D13F7"/>
    <w:rsid w:val="008D2070"/>
    <w:rsid w:val="008D48DE"/>
    <w:rsid w:val="008D61F1"/>
    <w:rsid w:val="008D6346"/>
    <w:rsid w:val="008D647B"/>
    <w:rsid w:val="008D6891"/>
    <w:rsid w:val="008D747C"/>
    <w:rsid w:val="008E01E5"/>
    <w:rsid w:val="008E2A60"/>
    <w:rsid w:val="008E3111"/>
    <w:rsid w:val="008E3367"/>
    <w:rsid w:val="008E46A5"/>
    <w:rsid w:val="008E51DF"/>
    <w:rsid w:val="008E5473"/>
    <w:rsid w:val="008E61FD"/>
    <w:rsid w:val="008E6EA7"/>
    <w:rsid w:val="008E776B"/>
    <w:rsid w:val="008E7ADB"/>
    <w:rsid w:val="008F0E7E"/>
    <w:rsid w:val="008F213F"/>
    <w:rsid w:val="008F4E8A"/>
    <w:rsid w:val="008F5F96"/>
    <w:rsid w:val="008F6882"/>
    <w:rsid w:val="008F6DAF"/>
    <w:rsid w:val="008F7EAF"/>
    <w:rsid w:val="0090062F"/>
    <w:rsid w:val="009036BA"/>
    <w:rsid w:val="00905318"/>
    <w:rsid w:val="009056F4"/>
    <w:rsid w:val="00906E64"/>
    <w:rsid w:val="00910885"/>
    <w:rsid w:val="00911CBF"/>
    <w:rsid w:val="00912E23"/>
    <w:rsid w:val="0091341C"/>
    <w:rsid w:val="00914FED"/>
    <w:rsid w:val="009168E9"/>
    <w:rsid w:val="00917997"/>
    <w:rsid w:val="0092046B"/>
    <w:rsid w:val="00920F33"/>
    <w:rsid w:val="0092435D"/>
    <w:rsid w:val="00924BAA"/>
    <w:rsid w:val="009269DE"/>
    <w:rsid w:val="00930203"/>
    <w:rsid w:val="00931F54"/>
    <w:rsid w:val="00932077"/>
    <w:rsid w:val="00932622"/>
    <w:rsid w:val="009333AC"/>
    <w:rsid w:val="00934E8B"/>
    <w:rsid w:val="009367E1"/>
    <w:rsid w:val="00936D8D"/>
    <w:rsid w:val="00936E5E"/>
    <w:rsid w:val="00941674"/>
    <w:rsid w:val="00942166"/>
    <w:rsid w:val="00943192"/>
    <w:rsid w:val="00945E91"/>
    <w:rsid w:val="009462B2"/>
    <w:rsid w:val="00950633"/>
    <w:rsid w:val="00952266"/>
    <w:rsid w:val="00952365"/>
    <w:rsid w:val="00952D76"/>
    <w:rsid w:val="009541A6"/>
    <w:rsid w:val="009544F8"/>
    <w:rsid w:val="00957C39"/>
    <w:rsid w:val="00960F6B"/>
    <w:rsid w:val="0096160B"/>
    <w:rsid w:val="00961FA1"/>
    <w:rsid w:val="00962BE1"/>
    <w:rsid w:val="00962F86"/>
    <w:rsid w:val="00964285"/>
    <w:rsid w:val="00967A87"/>
    <w:rsid w:val="00971644"/>
    <w:rsid w:val="00976324"/>
    <w:rsid w:val="00976E6C"/>
    <w:rsid w:val="00980DB1"/>
    <w:rsid w:val="00980E6E"/>
    <w:rsid w:val="00981DA6"/>
    <w:rsid w:val="009823EB"/>
    <w:rsid w:val="00983498"/>
    <w:rsid w:val="00985908"/>
    <w:rsid w:val="00985E73"/>
    <w:rsid w:val="00987607"/>
    <w:rsid w:val="009911C8"/>
    <w:rsid w:val="00993C2B"/>
    <w:rsid w:val="00994CF3"/>
    <w:rsid w:val="0099718C"/>
    <w:rsid w:val="009A0016"/>
    <w:rsid w:val="009A033D"/>
    <w:rsid w:val="009A0AB2"/>
    <w:rsid w:val="009A0BE7"/>
    <w:rsid w:val="009A12FE"/>
    <w:rsid w:val="009A15E7"/>
    <w:rsid w:val="009A1A98"/>
    <w:rsid w:val="009A4575"/>
    <w:rsid w:val="009A517C"/>
    <w:rsid w:val="009A56E5"/>
    <w:rsid w:val="009A56EA"/>
    <w:rsid w:val="009A78B8"/>
    <w:rsid w:val="009B13DB"/>
    <w:rsid w:val="009B40F9"/>
    <w:rsid w:val="009B7368"/>
    <w:rsid w:val="009B7813"/>
    <w:rsid w:val="009C0D9D"/>
    <w:rsid w:val="009C0DD3"/>
    <w:rsid w:val="009C1101"/>
    <w:rsid w:val="009C2154"/>
    <w:rsid w:val="009C228A"/>
    <w:rsid w:val="009C2A53"/>
    <w:rsid w:val="009C3163"/>
    <w:rsid w:val="009C3574"/>
    <w:rsid w:val="009C6364"/>
    <w:rsid w:val="009C6A1C"/>
    <w:rsid w:val="009C6B2B"/>
    <w:rsid w:val="009C6E02"/>
    <w:rsid w:val="009D18FE"/>
    <w:rsid w:val="009D1B0E"/>
    <w:rsid w:val="009D270D"/>
    <w:rsid w:val="009D3F31"/>
    <w:rsid w:val="009D4256"/>
    <w:rsid w:val="009D4BE1"/>
    <w:rsid w:val="009D5535"/>
    <w:rsid w:val="009D5BE4"/>
    <w:rsid w:val="009D6F1A"/>
    <w:rsid w:val="009D787D"/>
    <w:rsid w:val="009D7D8C"/>
    <w:rsid w:val="009E03FE"/>
    <w:rsid w:val="009E30ED"/>
    <w:rsid w:val="009E417A"/>
    <w:rsid w:val="009E5536"/>
    <w:rsid w:val="009E55E0"/>
    <w:rsid w:val="009E67B9"/>
    <w:rsid w:val="009F0920"/>
    <w:rsid w:val="009F1620"/>
    <w:rsid w:val="009F24AF"/>
    <w:rsid w:val="009F31AD"/>
    <w:rsid w:val="009F470C"/>
    <w:rsid w:val="009F4BBB"/>
    <w:rsid w:val="009F50CB"/>
    <w:rsid w:val="009F6177"/>
    <w:rsid w:val="009F6529"/>
    <w:rsid w:val="009F780E"/>
    <w:rsid w:val="00A03045"/>
    <w:rsid w:val="00A04C9F"/>
    <w:rsid w:val="00A05B03"/>
    <w:rsid w:val="00A06B88"/>
    <w:rsid w:val="00A1201A"/>
    <w:rsid w:val="00A15B1C"/>
    <w:rsid w:val="00A15DA4"/>
    <w:rsid w:val="00A1612C"/>
    <w:rsid w:val="00A211C8"/>
    <w:rsid w:val="00A227F4"/>
    <w:rsid w:val="00A2296B"/>
    <w:rsid w:val="00A22EB9"/>
    <w:rsid w:val="00A24239"/>
    <w:rsid w:val="00A2425A"/>
    <w:rsid w:val="00A24A71"/>
    <w:rsid w:val="00A26B4F"/>
    <w:rsid w:val="00A2755E"/>
    <w:rsid w:val="00A27997"/>
    <w:rsid w:val="00A27E33"/>
    <w:rsid w:val="00A3092F"/>
    <w:rsid w:val="00A31BF9"/>
    <w:rsid w:val="00A32064"/>
    <w:rsid w:val="00A32374"/>
    <w:rsid w:val="00A334EB"/>
    <w:rsid w:val="00A33732"/>
    <w:rsid w:val="00A3479D"/>
    <w:rsid w:val="00A358F2"/>
    <w:rsid w:val="00A36A8E"/>
    <w:rsid w:val="00A37F7F"/>
    <w:rsid w:val="00A414FF"/>
    <w:rsid w:val="00A41D82"/>
    <w:rsid w:val="00A4259D"/>
    <w:rsid w:val="00A42912"/>
    <w:rsid w:val="00A43866"/>
    <w:rsid w:val="00A46051"/>
    <w:rsid w:val="00A466FF"/>
    <w:rsid w:val="00A473BB"/>
    <w:rsid w:val="00A47B36"/>
    <w:rsid w:val="00A504B9"/>
    <w:rsid w:val="00A51866"/>
    <w:rsid w:val="00A52192"/>
    <w:rsid w:val="00A5274B"/>
    <w:rsid w:val="00A52F24"/>
    <w:rsid w:val="00A530CD"/>
    <w:rsid w:val="00A53E89"/>
    <w:rsid w:val="00A54075"/>
    <w:rsid w:val="00A54411"/>
    <w:rsid w:val="00A564A9"/>
    <w:rsid w:val="00A63004"/>
    <w:rsid w:val="00A637E7"/>
    <w:rsid w:val="00A65160"/>
    <w:rsid w:val="00A66122"/>
    <w:rsid w:val="00A7244F"/>
    <w:rsid w:val="00A724B9"/>
    <w:rsid w:val="00A72BC4"/>
    <w:rsid w:val="00A72DA2"/>
    <w:rsid w:val="00A72F0C"/>
    <w:rsid w:val="00A73CC3"/>
    <w:rsid w:val="00A74359"/>
    <w:rsid w:val="00A747D2"/>
    <w:rsid w:val="00A749CA"/>
    <w:rsid w:val="00A74FCA"/>
    <w:rsid w:val="00A76544"/>
    <w:rsid w:val="00A767E5"/>
    <w:rsid w:val="00A778A0"/>
    <w:rsid w:val="00A80456"/>
    <w:rsid w:val="00A80711"/>
    <w:rsid w:val="00A82C5E"/>
    <w:rsid w:val="00A82D26"/>
    <w:rsid w:val="00A83C77"/>
    <w:rsid w:val="00A84F3D"/>
    <w:rsid w:val="00A8589E"/>
    <w:rsid w:val="00A8628A"/>
    <w:rsid w:val="00A876ED"/>
    <w:rsid w:val="00A92CC0"/>
    <w:rsid w:val="00A92DC5"/>
    <w:rsid w:val="00A93AC2"/>
    <w:rsid w:val="00A951F8"/>
    <w:rsid w:val="00A95768"/>
    <w:rsid w:val="00A961B5"/>
    <w:rsid w:val="00A9748F"/>
    <w:rsid w:val="00A97906"/>
    <w:rsid w:val="00A97D4F"/>
    <w:rsid w:val="00AA07F0"/>
    <w:rsid w:val="00AA0A64"/>
    <w:rsid w:val="00AA290A"/>
    <w:rsid w:val="00AA4F98"/>
    <w:rsid w:val="00AA6C1E"/>
    <w:rsid w:val="00AA6FD0"/>
    <w:rsid w:val="00AA7ACF"/>
    <w:rsid w:val="00AB028C"/>
    <w:rsid w:val="00AB1AFC"/>
    <w:rsid w:val="00AB28FD"/>
    <w:rsid w:val="00AB577B"/>
    <w:rsid w:val="00AC235B"/>
    <w:rsid w:val="00AC288E"/>
    <w:rsid w:val="00AC36B9"/>
    <w:rsid w:val="00AC5015"/>
    <w:rsid w:val="00AC5144"/>
    <w:rsid w:val="00AD13BE"/>
    <w:rsid w:val="00AD311A"/>
    <w:rsid w:val="00AD3488"/>
    <w:rsid w:val="00AD35C5"/>
    <w:rsid w:val="00AD4B9E"/>
    <w:rsid w:val="00AD4BE6"/>
    <w:rsid w:val="00AD6DCE"/>
    <w:rsid w:val="00AD7876"/>
    <w:rsid w:val="00AD7ABE"/>
    <w:rsid w:val="00AE0484"/>
    <w:rsid w:val="00AE052B"/>
    <w:rsid w:val="00AE06C7"/>
    <w:rsid w:val="00AE444D"/>
    <w:rsid w:val="00AF124A"/>
    <w:rsid w:val="00AF31BB"/>
    <w:rsid w:val="00AF3D47"/>
    <w:rsid w:val="00B01794"/>
    <w:rsid w:val="00B06912"/>
    <w:rsid w:val="00B07A6E"/>
    <w:rsid w:val="00B07F8B"/>
    <w:rsid w:val="00B107CD"/>
    <w:rsid w:val="00B13507"/>
    <w:rsid w:val="00B13709"/>
    <w:rsid w:val="00B1494E"/>
    <w:rsid w:val="00B16519"/>
    <w:rsid w:val="00B16573"/>
    <w:rsid w:val="00B16C61"/>
    <w:rsid w:val="00B17A39"/>
    <w:rsid w:val="00B2179B"/>
    <w:rsid w:val="00B21BAC"/>
    <w:rsid w:val="00B21D24"/>
    <w:rsid w:val="00B220E0"/>
    <w:rsid w:val="00B227DA"/>
    <w:rsid w:val="00B232B2"/>
    <w:rsid w:val="00B26412"/>
    <w:rsid w:val="00B26B67"/>
    <w:rsid w:val="00B3231A"/>
    <w:rsid w:val="00B329DE"/>
    <w:rsid w:val="00B340C6"/>
    <w:rsid w:val="00B43F2A"/>
    <w:rsid w:val="00B4581A"/>
    <w:rsid w:val="00B47B5D"/>
    <w:rsid w:val="00B47CC4"/>
    <w:rsid w:val="00B513D2"/>
    <w:rsid w:val="00B521C3"/>
    <w:rsid w:val="00B526BD"/>
    <w:rsid w:val="00B52ED7"/>
    <w:rsid w:val="00B547CF"/>
    <w:rsid w:val="00B560F3"/>
    <w:rsid w:val="00B565C4"/>
    <w:rsid w:val="00B57AB8"/>
    <w:rsid w:val="00B60559"/>
    <w:rsid w:val="00B60634"/>
    <w:rsid w:val="00B610C7"/>
    <w:rsid w:val="00B61583"/>
    <w:rsid w:val="00B616BA"/>
    <w:rsid w:val="00B6487B"/>
    <w:rsid w:val="00B67B6F"/>
    <w:rsid w:val="00B70266"/>
    <w:rsid w:val="00B70ABB"/>
    <w:rsid w:val="00B72901"/>
    <w:rsid w:val="00B72B35"/>
    <w:rsid w:val="00B732BE"/>
    <w:rsid w:val="00B74D09"/>
    <w:rsid w:val="00B75556"/>
    <w:rsid w:val="00B7592A"/>
    <w:rsid w:val="00B77408"/>
    <w:rsid w:val="00B778AE"/>
    <w:rsid w:val="00B815BA"/>
    <w:rsid w:val="00B826B2"/>
    <w:rsid w:val="00B83FF1"/>
    <w:rsid w:val="00B8634B"/>
    <w:rsid w:val="00B866D1"/>
    <w:rsid w:val="00B9177E"/>
    <w:rsid w:val="00B91B45"/>
    <w:rsid w:val="00B91E9B"/>
    <w:rsid w:val="00B94992"/>
    <w:rsid w:val="00B95D85"/>
    <w:rsid w:val="00B96928"/>
    <w:rsid w:val="00B97A6A"/>
    <w:rsid w:val="00BA075C"/>
    <w:rsid w:val="00BA087D"/>
    <w:rsid w:val="00BA1154"/>
    <w:rsid w:val="00BA1C23"/>
    <w:rsid w:val="00BA20D4"/>
    <w:rsid w:val="00BA2583"/>
    <w:rsid w:val="00BA27AA"/>
    <w:rsid w:val="00BA2997"/>
    <w:rsid w:val="00BA3E52"/>
    <w:rsid w:val="00BA43AF"/>
    <w:rsid w:val="00BA441C"/>
    <w:rsid w:val="00BA5909"/>
    <w:rsid w:val="00BA5F67"/>
    <w:rsid w:val="00BA6477"/>
    <w:rsid w:val="00BA7041"/>
    <w:rsid w:val="00BA7960"/>
    <w:rsid w:val="00BB0D3D"/>
    <w:rsid w:val="00BB1DD8"/>
    <w:rsid w:val="00BB210F"/>
    <w:rsid w:val="00BB23FD"/>
    <w:rsid w:val="00BB3209"/>
    <w:rsid w:val="00BC1592"/>
    <w:rsid w:val="00BC773A"/>
    <w:rsid w:val="00BC7B1D"/>
    <w:rsid w:val="00BC7C34"/>
    <w:rsid w:val="00BD05A8"/>
    <w:rsid w:val="00BD127B"/>
    <w:rsid w:val="00BD1F5D"/>
    <w:rsid w:val="00BD2379"/>
    <w:rsid w:val="00BD29C8"/>
    <w:rsid w:val="00BD31FB"/>
    <w:rsid w:val="00BD5C74"/>
    <w:rsid w:val="00BE0963"/>
    <w:rsid w:val="00BE0C01"/>
    <w:rsid w:val="00BE0FA7"/>
    <w:rsid w:val="00BE1F29"/>
    <w:rsid w:val="00BE216E"/>
    <w:rsid w:val="00BE34CB"/>
    <w:rsid w:val="00BE3FAB"/>
    <w:rsid w:val="00BE54BB"/>
    <w:rsid w:val="00BE66F6"/>
    <w:rsid w:val="00BE6C34"/>
    <w:rsid w:val="00BE7751"/>
    <w:rsid w:val="00BF00BB"/>
    <w:rsid w:val="00BF197B"/>
    <w:rsid w:val="00BF2327"/>
    <w:rsid w:val="00BF5CCE"/>
    <w:rsid w:val="00BF783A"/>
    <w:rsid w:val="00BF7A59"/>
    <w:rsid w:val="00C01F95"/>
    <w:rsid w:val="00C01FE7"/>
    <w:rsid w:val="00C02B75"/>
    <w:rsid w:val="00C039AF"/>
    <w:rsid w:val="00C06973"/>
    <w:rsid w:val="00C079A2"/>
    <w:rsid w:val="00C07AC2"/>
    <w:rsid w:val="00C12439"/>
    <w:rsid w:val="00C128FF"/>
    <w:rsid w:val="00C13849"/>
    <w:rsid w:val="00C13ADE"/>
    <w:rsid w:val="00C14C57"/>
    <w:rsid w:val="00C15130"/>
    <w:rsid w:val="00C15536"/>
    <w:rsid w:val="00C169E9"/>
    <w:rsid w:val="00C210B5"/>
    <w:rsid w:val="00C217E0"/>
    <w:rsid w:val="00C2204D"/>
    <w:rsid w:val="00C22F62"/>
    <w:rsid w:val="00C22F95"/>
    <w:rsid w:val="00C23CF7"/>
    <w:rsid w:val="00C251D9"/>
    <w:rsid w:val="00C26176"/>
    <w:rsid w:val="00C2797C"/>
    <w:rsid w:val="00C30867"/>
    <w:rsid w:val="00C31863"/>
    <w:rsid w:val="00C322E3"/>
    <w:rsid w:val="00C32CFC"/>
    <w:rsid w:val="00C37C2D"/>
    <w:rsid w:val="00C45842"/>
    <w:rsid w:val="00C45C29"/>
    <w:rsid w:val="00C540B9"/>
    <w:rsid w:val="00C548A6"/>
    <w:rsid w:val="00C5574E"/>
    <w:rsid w:val="00C563C6"/>
    <w:rsid w:val="00C61746"/>
    <w:rsid w:val="00C64363"/>
    <w:rsid w:val="00C6448C"/>
    <w:rsid w:val="00C64D1A"/>
    <w:rsid w:val="00C64ED5"/>
    <w:rsid w:val="00C658F0"/>
    <w:rsid w:val="00C658F7"/>
    <w:rsid w:val="00C66502"/>
    <w:rsid w:val="00C66AE4"/>
    <w:rsid w:val="00C71092"/>
    <w:rsid w:val="00C71360"/>
    <w:rsid w:val="00C72A93"/>
    <w:rsid w:val="00C73455"/>
    <w:rsid w:val="00C7426F"/>
    <w:rsid w:val="00C7477B"/>
    <w:rsid w:val="00C75B2F"/>
    <w:rsid w:val="00C76EBF"/>
    <w:rsid w:val="00C776D1"/>
    <w:rsid w:val="00C80D59"/>
    <w:rsid w:val="00C82285"/>
    <w:rsid w:val="00C845D1"/>
    <w:rsid w:val="00C849F7"/>
    <w:rsid w:val="00C872C0"/>
    <w:rsid w:val="00C93FB4"/>
    <w:rsid w:val="00CA1336"/>
    <w:rsid w:val="00CA22E1"/>
    <w:rsid w:val="00CA2BF5"/>
    <w:rsid w:val="00CA3A82"/>
    <w:rsid w:val="00CA577F"/>
    <w:rsid w:val="00CA60DD"/>
    <w:rsid w:val="00CA6773"/>
    <w:rsid w:val="00CA72F3"/>
    <w:rsid w:val="00CA73B3"/>
    <w:rsid w:val="00CA79BA"/>
    <w:rsid w:val="00CB2238"/>
    <w:rsid w:val="00CB25AD"/>
    <w:rsid w:val="00CB2845"/>
    <w:rsid w:val="00CB3199"/>
    <w:rsid w:val="00CB672D"/>
    <w:rsid w:val="00CC1852"/>
    <w:rsid w:val="00CC29B4"/>
    <w:rsid w:val="00CC49AD"/>
    <w:rsid w:val="00CC6477"/>
    <w:rsid w:val="00CC6C69"/>
    <w:rsid w:val="00CC7B9B"/>
    <w:rsid w:val="00CD0435"/>
    <w:rsid w:val="00CD1577"/>
    <w:rsid w:val="00CD3936"/>
    <w:rsid w:val="00CD5792"/>
    <w:rsid w:val="00CD59DA"/>
    <w:rsid w:val="00CD5C80"/>
    <w:rsid w:val="00CD6D24"/>
    <w:rsid w:val="00CE0EF2"/>
    <w:rsid w:val="00CE3B28"/>
    <w:rsid w:val="00CE436F"/>
    <w:rsid w:val="00CE496B"/>
    <w:rsid w:val="00CE4C25"/>
    <w:rsid w:val="00CE60ED"/>
    <w:rsid w:val="00CE7F71"/>
    <w:rsid w:val="00CF011B"/>
    <w:rsid w:val="00CF03C2"/>
    <w:rsid w:val="00CF0E34"/>
    <w:rsid w:val="00CF1110"/>
    <w:rsid w:val="00CF2166"/>
    <w:rsid w:val="00CF29DE"/>
    <w:rsid w:val="00CF427B"/>
    <w:rsid w:val="00CF6911"/>
    <w:rsid w:val="00D01487"/>
    <w:rsid w:val="00D05924"/>
    <w:rsid w:val="00D0601B"/>
    <w:rsid w:val="00D07209"/>
    <w:rsid w:val="00D11887"/>
    <w:rsid w:val="00D14123"/>
    <w:rsid w:val="00D1477A"/>
    <w:rsid w:val="00D14C78"/>
    <w:rsid w:val="00D1565D"/>
    <w:rsid w:val="00D157B3"/>
    <w:rsid w:val="00D15893"/>
    <w:rsid w:val="00D16E60"/>
    <w:rsid w:val="00D1723A"/>
    <w:rsid w:val="00D17C27"/>
    <w:rsid w:val="00D207E4"/>
    <w:rsid w:val="00D24E55"/>
    <w:rsid w:val="00D24FC7"/>
    <w:rsid w:val="00D25450"/>
    <w:rsid w:val="00D25C7B"/>
    <w:rsid w:val="00D26365"/>
    <w:rsid w:val="00D309AE"/>
    <w:rsid w:val="00D31356"/>
    <w:rsid w:val="00D35609"/>
    <w:rsid w:val="00D35DF9"/>
    <w:rsid w:val="00D3768F"/>
    <w:rsid w:val="00D41169"/>
    <w:rsid w:val="00D41DC9"/>
    <w:rsid w:val="00D41E2C"/>
    <w:rsid w:val="00D4249C"/>
    <w:rsid w:val="00D42909"/>
    <w:rsid w:val="00D4390A"/>
    <w:rsid w:val="00D43AED"/>
    <w:rsid w:val="00D44E7D"/>
    <w:rsid w:val="00D44FF3"/>
    <w:rsid w:val="00D45B14"/>
    <w:rsid w:val="00D52C59"/>
    <w:rsid w:val="00D54348"/>
    <w:rsid w:val="00D543B7"/>
    <w:rsid w:val="00D54801"/>
    <w:rsid w:val="00D54B84"/>
    <w:rsid w:val="00D54F6D"/>
    <w:rsid w:val="00D56142"/>
    <w:rsid w:val="00D56D83"/>
    <w:rsid w:val="00D6018F"/>
    <w:rsid w:val="00D617EE"/>
    <w:rsid w:val="00D638F9"/>
    <w:rsid w:val="00D646DB"/>
    <w:rsid w:val="00D64AD1"/>
    <w:rsid w:val="00D66CF9"/>
    <w:rsid w:val="00D66E0F"/>
    <w:rsid w:val="00D703B8"/>
    <w:rsid w:val="00D729D4"/>
    <w:rsid w:val="00D73F44"/>
    <w:rsid w:val="00D7597C"/>
    <w:rsid w:val="00D75A3A"/>
    <w:rsid w:val="00D828ED"/>
    <w:rsid w:val="00D84FFF"/>
    <w:rsid w:val="00D873D3"/>
    <w:rsid w:val="00D87AF4"/>
    <w:rsid w:val="00D91A87"/>
    <w:rsid w:val="00D92616"/>
    <w:rsid w:val="00D92CD4"/>
    <w:rsid w:val="00D934E3"/>
    <w:rsid w:val="00D938C0"/>
    <w:rsid w:val="00D93C72"/>
    <w:rsid w:val="00D94804"/>
    <w:rsid w:val="00D94BF5"/>
    <w:rsid w:val="00D974EE"/>
    <w:rsid w:val="00DA012F"/>
    <w:rsid w:val="00DA0A65"/>
    <w:rsid w:val="00DA3A36"/>
    <w:rsid w:val="00DA406B"/>
    <w:rsid w:val="00DA4835"/>
    <w:rsid w:val="00DA65B8"/>
    <w:rsid w:val="00DB0AD1"/>
    <w:rsid w:val="00DB21EC"/>
    <w:rsid w:val="00DB247C"/>
    <w:rsid w:val="00DB3DEB"/>
    <w:rsid w:val="00DB440A"/>
    <w:rsid w:val="00DB4E6D"/>
    <w:rsid w:val="00DB5C50"/>
    <w:rsid w:val="00DB62A6"/>
    <w:rsid w:val="00DB6881"/>
    <w:rsid w:val="00DC0908"/>
    <w:rsid w:val="00DC0CB2"/>
    <w:rsid w:val="00DC3CBC"/>
    <w:rsid w:val="00DC3CC2"/>
    <w:rsid w:val="00DC55EA"/>
    <w:rsid w:val="00DC58C9"/>
    <w:rsid w:val="00DC6297"/>
    <w:rsid w:val="00DD1C3C"/>
    <w:rsid w:val="00DD5976"/>
    <w:rsid w:val="00DD6033"/>
    <w:rsid w:val="00DD7587"/>
    <w:rsid w:val="00DD7BCE"/>
    <w:rsid w:val="00DE2A02"/>
    <w:rsid w:val="00DE6437"/>
    <w:rsid w:val="00DE6C26"/>
    <w:rsid w:val="00DE71AF"/>
    <w:rsid w:val="00DF0195"/>
    <w:rsid w:val="00DF115A"/>
    <w:rsid w:val="00DF1B27"/>
    <w:rsid w:val="00DF2B09"/>
    <w:rsid w:val="00DF45C8"/>
    <w:rsid w:val="00DF4711"/>
    <w:rsid w:val="00DF4E18"/>
    <w:rsid w:val="00DF7100"/>
    <w:rsid w:val="00E001CC"/>
    <w:rsid w:val="00E00243"/>
    <w:rsid w:val="00E052B0"/>
    <w:rsid w:val="00E103FB"/>
    <w:rsid w:val="00E12A28"/>
    <w:rsid w:val="00E13141"/>
    <w:rsid w:val="00E1328F"/>
    <w:rsid w:val="00E13537"/>
    <w:rsid w:val="00E14282"/>
    <w:rsid w:val="00E16424"/>
    <w:rsid w:val="00E16A79"/>
    <w:rsid w:val="00E175A6"/>
    <w:rsid w:val="00E2099D"/>
    <w:rsid w:val="00E22C97"/>
    <w:rsid w:val="00E236CD"/>
    <w:rsid w:val="00E23B92"/>
    <w:rsid w:val="00E23F07"/>
    <w:rsid w:val="00E25EE5"/>
    <w:rsid w:val="00E26507"/>
    <w:rsid w:val="00E30A33"/>
    <w:rsid w:val="00E314FF"/>
    <w:rsid w:val="00E32B49"/>
    <w:rsid w:val="00E32CF8"/>
    <w:rsid w:val="00E32F7E"/>
    <w:rsid w:val="00E33687"/>
    <w:rsid w:val="00E33D51"/>
    <w:rsid w:val="00E34472"/>
    <w:rsid w:val="00E3483E"/>
    <w:rsid w:val="00E364FF"/>
    <w:rsid w:val="00E36A31"/>
    <w:rsid w:val="00E4167E"/>
    <w:rsid w:val="00E43023"/>
    <w:rsid w:val="00E43EF6"/>
    <w:rsid w:val="00E444F6"/>
    <w:rsid w:val="00E44B79"/>
    <w:rsid w:val="00E458E8"/>
    <w:rsid w:val="00E51AA9"/>
    <w:rsid w:val="00E5260C"/>
    <w:rsid w:val="00E542B3"/>
    <w:rsid w:val="00E54E2A"/>
    <w:rsid w:val="00E55257"/>
    <w:rsid w:val="00E60710"/>
    <w:rsid w:val="00E6074E"/>
    <w:rsid w:val="00E616D9"/>
    <w:rsid w:val="00E63D56"/>
    <w:rsid w:val="00E71019"/>
    <w:rsid w:val="00E72ACC"/>
    <w:rsid w:val="00E755F7"/>
    <w:rsid w:val="00E767D5"/>
    <w:rsid w:val="00E77CB0"/>
    <w:rsid w:val="00E80419"/>
    <w:rsid w:val="00E81E0F"/>
    <w:rsid w:val="00E8273E"/>
    <w:rsid w:val="00E83325"/>
    <w:rsid w:val="00E8437E"/>
    <w:rsid w:val="00E8455A"/>
    <w:rsid w:val="00E86CDC"/>
    <w:rsid w:val="00E8778E"/>
    <w:rsid w:val="00E908A4"/>
    <w:rsid w:val="00E920F2"/>
    <w:rsid w:val="00E928D3"/>
    <w:rsid w:val="00E92F43"/>
    <w:rsid w:val="00E940E7"/>
    <w:rsid w:val="00E9466B"/>
    <w:rsid w:val="00E958CC"/>
    <w:rsid w:val="00E95D0F"/>
    <w:rsid w:val="00E96EEB"/>
    <w:rsid w:val="00E9774E"/>
    <w:rsid w:val="00EA0F53"/>
    <w:rsid w:val="00EA2E6D"/>
    <w:rsid w:val="00EA5192"/>
    <w:rsid w:val="00EA5C9C"/>
    <w:rsid w:val="00EA6903"/>
    <w:rsid w:val="00EA7674"/>
    <w:rsid w:val="00EA7675"/>
    <w:rsid w:val="00EA7E30"/>
    <w:rsid w:val="00EB2410"/>
    <w:rsid w:val="00EB285B"/>
    <w:rsid w:val="00EB4B13"/>
    <w:rsid w:val="00EB4FAE"/>
    <w:rsid w:val="00EB521F"/>
    <w:rsid w:val="00EB5A86"/>
    <w:rsid w:val="00EB68BE"/>
    <w:rsid w:val="00EC1121"/>
    <w:rsid w:val="00EC200B"/>
    <w:rsid w:val="00EC20D0"/>
    <w:rsid w:val="00EC3D1A"/>
    <w:rsid w:val="00EC4222"/>
    <w:rsid w:val="00EC5A8D"/>
    <w:rsid w:val="00EC6E55"/>
    <w:rsid w:val="00EC73D5"/>
    <w:rsid w:val="00ED143C"/>
    <w:rsid w:val="00ED26AE"/>
    <w:rsid w:val="00ED3441"/>
    <w:rsid w:val="00ED3857"/>
    <w:rsid w:val="00ED50C4"/>
    <w:rsid w:val="00ED7608"/>
    <w:rsid w:val="00EE27BA"/>
    <w:rsid w:val="00EE5E45"/>
    <w:rsid w:val="00EE7129"/>
    <w:rsid w:val="00EF3EAC"/>
    <w:rsid w:val="00EF44E3"/>
    <w:rsid w:val="00EF6D68"/>
    <w:rsid w:val="00F01092"/>
    <w:rsid w:val="00F01B21"/>
    <w:rsid w:val="00F01B98"/>
    <w:rsid w:val="00F02149"/>
    <w:rsid w:val="00F0260F"/>
    <w:rsid w:val="00F02795"/>
    <w:rsid w:val="00F02BFF"/>
    <w:rsid w:val="00F063CC"/>
    <w:rsid w:val="00F06476"/>
    <w:rsid w:val="00F1052D"/>
    <w:rsid w:val="00F109B8"/>
    <w:rsid w:val="00F1748D"/>
    <w:rsid w:val="00F205EC"/>
    <w:rsid w:val="00F2187A"/>
    <w:rsid w:val="00F22F34"/>
    <w:rsid w:val="00F23441"/>
    <w:rsid w:val="00F308AF"/>
    <w:rsid w:val="00F3135B"/>
    <w:rsid w:val="00F318B6"/>
    <w:rsid w:val="00F31D5F"/>
    <w:rsid w:val="00F33FA9"/>
    <w:rsid w:val="00F34DA5"/>
    <w:rsid w:val="00F366D3"/>
    <w:rsid w:val="00F37034"/>
    <w:rsid w:val="00F400AD"/>
    <w:rsid w:val="00F41646"/>
    <w:rsid w:val="00F4198C"/>
    <w:rsid w:val="00F422E9"/>
    <w:rsid w:val="00F432D1"/>
    <w:rsid w:val="00F4426B"/>
    <w:rsid w:val="00F468FA"/>
    <w:rsid w:val="00F47157"/>
    <w:rsid w:val="00F47A23"/>
    <w:rsid w:val="00F47C43"/>
    <w:rsid w:val="00F50604"/>
    <w:rsid w:val="00F50FE1"/>
    <w:rsid w:val="00F52C2D"/>
    <w:rsid w:val="00F532E9"/>
    <w:rsid w:val="00F56129"/>
    <w:rsid w:val="00F57540"/>
    <w:rsid w:val="00F6384E"/>
    <w:rsid w:val="00F6446E"/>
    <w:rsid w:val="00F677D0"/>
    <w:rsid w:val="00F67B03"/>
    <w:rsid w:val="00F70384"/>
    <w:rsid w:val="00F7062A"/>
    <w:rsid w:val="00F71751"/>
    <w:rsid w:val="00F72159"/>
    <w:rsid w:val="00F722EC"/>
    <w:rsid w:val="00F76C21"/>
    <w:rsid w:val="00F772DA"/>
    <w:rsid w:val="00F80A22"/>
    <w:rsid w:val="00F8124A"/>
    <w:rsid w:val="00F815B4"/>
    <w:rsid w:val="00F82141"/>
    <w:rsid w:val="00F821B4"/>
    <w:rsid w:val="00F83E7D"/>
    <w:rsid w:val="00F91666"/>
    <w:rsid w:val="00F9250F"/>
    <w:rsid w:val="00F94346"/>
    <w:rsid w:val="00F97FBB"/>
    <w:rsid w:val="00FA076C"/>
    <w:rsid w:val="00FA0FEA"/>
    <w:rsid w:val="00FA2B29"/>
    <w:rsid w:val="00FA39F8"/>
    <w:rsid w:val="00FA3F43"/>
    <w:rsid w:val="00FA4350"/>
    <w:rsid w:val="00FA4BCD"/>
    <w:rsid w:val="00FA70A9"/>
    <w:rsid w:val="00FA72E4"/>
    <w:rsid w:val="00FA7EA6"/>
    <w:rsid w:val="00FB082C"/>
    <w:rsid w:val="00FB734E"/>
    <w:rsid w:val="00FC118E"/>
    <w:rsid w:val="00FC16A0"/>
    <w:rsid w:val="00FC17F6"/>
    <w:rsid w:val="00FC300A"/>
    <w:rsid w:val="00FC327E"/>
    <w:rsid w:val="00FC36C2"/>
    <w:rsid w:val="00FC5853"/>
    <w:rsid w:val="00FC6EA8"/>
    <w:rsid w:val="00FD1389"/>
    <w:rsid w:val="00FD1DC8"/>
    <w:rsid w:val="00FD2CE4"/>
    <w:rsid w:val="00FD4E7F"/>
    <w:rsid w:val="00FD7603"/>
    <w:rsid w:val="00FE275A"/>
    <w:rsid w:val="00FE3143"/>
    <w:rsid w:val="00FE3771"/>
    <w:rsid w:val="00FE3CBD"/>
    <w:rsid w:val="00FF4C76"/>
    <w:rsid w:val="00FF528F"/>
    <w:rsid w:val="00FF5ED2"/>
    <w:rsid w:val="00FF6232"/>
    <w:rsid w:val="00FF79A9"/>
    <w:rsid w:val="010E4C5D"/>
    <w:rsid w:val="011419D2"/>
    <w:rsid w:val="012F4A53"/>
    <w:rsid w:val="016565E0"/>
    <w:rsid w:val="016E5000"/>
    <w:rsid w:val="01751E00"/>
    <w:rsid w:val="017F323C"/>
    <w:rsid w:val="018C0157"/>
    <w:rsid w:val="019B2A6C"/>
    <w:rsid w:val="01A47995"/>
    <w:rsid w:val="01B74094"/>
    <w:rsid w:val="01BE0AD1"/>
    <w:rsid w:val="01E96738"/>
    <w:rsid w:val="020822B3"/>
    <w:rsid w:val="020D2BFE"/>
    <w:rsid w:val="022E2D68"/>
    <w:rsid w:val="023826D0"/>
    <w:rsid w:val="023952A1"/>
    <w:rsid w:val="023B4E7B"/>
    <w:rsid w:val="02516FD7"/>
    <w:rsid w:val="029770EC"/>
    <w:rsid w:val="02A05E8C"/>
    <w:rsid w:val="02AD119A"/>
    <w:rsid w:val="02B16289"/>
    <w:rsid w:val="02C056C9"/>
    <w:rsid w:val="02C5676D"/>
    <w:rsid w:val="02F45ACA"/>
    <w:rsid w:val="02F80FC0"/>
    <w:rsid w:val="03161B57"/>
    <w:rsid w:val="035110AD"/>
    <w:rsid w:val="035156E0"/>
    <w:rsid w:val="03622654"/>
    <w:rsid w:val="036672C9"/>
    <w:rsid w:val="037B0BBB"/>
    <w:rsid w:val="037F50CD"/>
    <w:rsid w:val="03862A77"/>
    <w:rsid w:val="03AB7869"/>
    <w:rsid w:val="03B07A7E"/>
    <w:rsid w:val="03C573B9"/>
    <w:rsid w:val="03CF502B"/>
    <w:rsid w:val="03F6494A"/>
    <w:rsid w:val="03F7414F"/>
    <w:rsid w:val="042B15DB"/>
    <w:rsid w:val="04391A7E"/>
    <w:rsid w:val="04573296"/>
    <w:rsid w:val="045E5922"/>
    <w:rsid w:val="04604A2B"/>
    <w:rsid w:val="046B192D"/>
    <w:rsid w:val="046E5C18"/>
    <w:rsid w:val="048416E6"/>
    <w:rsid w:val="04885D36"/>
    <w:rsid w:val="04A2438B"/>
    <w:rsid w:val="04A84E8C"/>
    <w:rsid w:val="04AB74EA"/>
    <w:rsid w:val="04DF1670"/>
    <w:rsid w:val="04DF6742"/>
    <w:rsid w:val="051660EF"/>
    <w:rsid w:val="052F6CFA"/>
    <w:rsid w:val="054543D7"/>
    <w:rsid w:val="05655A24"/>
    <w:rsid w:val="056D3997"/>
    <w:rsid w:val="057E34A0"/>
    <w:rsid w:val="05A2501A"/>
    <w:rsid w:val="05A65AB5"/>
    <w:rsid w:val="05B9190B"/>
    <w:rsid w:val="05DE66BE"/>
    <w:rsid w:val="05DF5CAA"/>
    <w:rsid w:val="05E671F7"/>
    <w:rsid w:val="05EB2603"/>
    <w:rsid w:val="06143FB0"/>
    <w:rsid w:val="064779D4"/>
    <w:rsid w:val="06547860"/>
    <w:rsid w:val="06686D84"/>
    <w:rsid w:val="068C7894"/>
    <w:rsid w:val="06A708EE"/>
    <w:rsid w:val="06AB11B7"/>
    <w:rsid w:val="06CD0B44"/>
    <w:rsid w:val="06EA2F20"/>
    <w:rsid w:val="06EE5A2D"/>
    <w:rsid w:val="06F35A5D"/>
    <w:rsid w:val="070F5D71"/>
    <w:rsid w:val="070F7487"/>
    <w:rsid w:val="07590C16"/>
    <w:rsid w:val="076A196A"/>
    <w:rsid w:val="07947E81"/>
    <w:rsid w:val="07A87CE1"/>
    <w:rsid w:val="07E32246"/>
    <w:rsid w:val="07FC1C4A"/>
    <w:rsid w:val="08073184"/>
    <w:rsid w:val="08104BFB"/>
    <w:rsid w:val="08142866"/>
    <w:rsid w:val="08216A16"/>
    <w:rsid w:val="08422707"/>
    <w:rsid w:val="088A1E83"/>
    <w:rsid w:val="08B650C6"/>
    <w:rsid w:val="08C573BE"/>
    <w:rsid w:val="08D61E95"/>
    <w:rsid w:val="09033A27"/>
    <w:rsid w:val="09110D6F"/>
    <w:rsid w:val="09491428"/>
    <w:rsid w:val="09493C77"/>
    <w:rsid w:val="095004ED"/>
    <w:rsid w:val="095253C7"/>
    <w:rsid w:val="09623040"/>
    <w:rsid w:val="096878A0"/>
    <w:rsid w:val="09690A9E"/>
    <w:rsid w:val="096F7758"/>
    <w:rsid w:val="097E4761"/>
    <w:rsid w:val="09984B82"/>
    <w:rsid w:val="09CD631A"/>
    <w:rsid w:val="09D84F28"/>
    <w:rsid w:val="09E50DE3"/>
    <w:rsid w:val="09F342F1"/>
    <w:rsid w:val="09F95D68"/>
    <w:rsid w:val="0A027367"/>
    <w:rsid w:val="0A034284"/>
    <w:rsid w:val="0A0524E6"/>
    <w:rsid w:val="0A167B6F"/>
    <w:rsid w:val="0A1C36D3"/>
    <w:rsid w:val="0A1C6ACA"/>
    <w:rsid w:val="0A477B56"/>
    <w:rsid w:val="0A4964A0"/>
    <w:rsid w:val="0A551699"/>
    <w:rsid w:val="0A64307E"/>
    <w:rsid w:val="0AB865F0"/>
    <w:rsid w:val="0B0A12A5"/>
    <w:rsid w:val="0B596729"/>
    <w:rsid w:val="0B622721"/>
    <w:rsid w:val="0B682CAB"/>
    <w:rsid w:val="0B8E64DB"/>
    <w:rsid w:val="0B915CDA"/>
    <w:rsid w:val="0B984D8F"/>
    <w:rsid w:val="0BCF2526"/>
    <w:rsid w:val="0BE80927"/>
    <w:rsid w:val="0C100CB6"/>
    <w:rsid w:val="0C152355"/>
    <w:rsid w:val="0C1A2A3A"/>
    <w:rsid w:val="0C1F1AAD"/>
    <w:rsid w:val="0C2D5BC2"/>
    <w:rsid w:val="0C335E58"/>
    <w:rsid w:val="0C501BE0"/>
    <w:rsid w:val="0C7C2DA5"/>
    <w:rsid w:val="0C832D94"/>
    <w:rsid w:val="0C87217C"/>
    <w:rsid w:val="0C917685"/>
    <w:rsid w:val="0CAC2533"/>
    <w:rsid w:val="0CE06513"/>
    <w:rsid w:val="0CFE0DC7"/>
    <w:rsid w:val="0D003A74"/>
    <w:rsid w:val="0D0A7152"/>
    <w:rsid w:val="0D0F1397"/>
    <w:rsid w:val="0D1523BB"/>
    <w:rsid w:val="0D4106F3"/>
    <w:rsid w:val="0D570673"/>
    <w:rsid w:val="0D6F1ACD"/>
    <w:rsid w:val="0D895F1D"/>
    <w:rsid w:val="0D9F2503"/>
    <w:rsid w:val="0DB9692C"/>
    <w:rsid w:val="0DEB3535"/>
    <w:rsid w:val="0DF913EB"/>
    <w:rsid w:val="0E024983"/>
    <w:rsid w:val="0E062452"/>
    <w:rsid w:val="0E06374D"/>
    <w:rsid w:val="0E0D6658"/>
    <w:rsid w:val="0E1B514C"/>
    <w:rsid w:val="0E345571"/>
    <w:rsid w:val="0E4232A3"/>
    <w:rsid w:val="0E5F5BBD"/>
    <w:rsid w:val="0E733C9C"/>
    <w:rsid w:val="0E785E28"/>
    <w:rsid w:val="0E823566"/>
    <w:rsid w:val="0E826642"/>
    <w:rsid w:val="0E876E15"/>
    <w:rsid w:val="0EA5702D"/>
    <w:rsid w:val="0EB651CA"/>
    <w:rsid w:val="0EE03DDB"/>
    <w:rsid w:val="0F0E4D4D"/>
    <w:rsid w:val="0F0F2D5A"/>
    <w:rsid w:val="0F133CC6"/>
    <w:rsid w:val="0F1367BD"/>
    <w:rsid w:val="0F165EF6"/>
    <w:rsid w:val="0F5B2AC5"/>
    <w:rsid w:val="0F653884"/>
    <w:rsid w:val="0F7E31F1"/>
    <w:rsid w:val="0FBE3403"/>
    <w:rsid w:val="0FDD163C"/>
    <w:rsid w:val="0FEC75B7"/>
    <w:rsid w:val="0FF512EB"/>
    <w:rsid w:val="10075DEA"/>
    <w:rsid w:val="104C5B6F"/>
    <w:rsid w:val="105C0E07"/>
    <w:rsid w:val="107D0495"/>
    <w:rsid w:val="107F1FB1"/>
    <w:rsid w:val="10A064D0"/>
    <w:rsid w:val="10B62013"/>
    <w:rsid w:val="10E156F1"/>
    <w:rsid w:val="10E24929"/>
    <w:rsid w:val="10E75605"/>
    <w:rsid w:val="10EC058C"/>
    <w:rsid w:val="10F16889"/>
    <w:rsid w:val="1132454C"/>
    <w:rsid w:val="113F356E"/>
    <w:rsid w:val="1147652C"/>
    <w:rsid w:val="116C1326"/>
    <w:rsid w:val="117201AD"/>
    <w:rsid w:val="117C05FB"/>
    <w:rsid w:val="11801882"/>
    <w:rsid w:val="11BB3C24"/>
    <w:rsid w:val="11E645C3"/>
    <w:rsid w:val="11F34199"/>
    <w:rsid w:val="1216222B"/>
    <w:rsid w:val="12320E5D"/>
    <w:rsid w:val="126C76CB"/>
    <w:rsid w:val="129F1F22"/>
    <w:rsid w:val="12A60575"/>
    <w:rsid w:val="12A91AC5"/>
    <w:rsid w:val="12CA2F05"/>
    <w:rsid w:val="12DA72AD"/>
    <w:rsid w:val="12DC3362"/>
    <w:rsid w:val="12E00931"/>
    <w:rsid w:val="12E03311"/>
    <w:rsid w:val="12E459B1"/>
    <w:rsid w:val="1306255E"/>
    <w:rsid w:val="13194E9A"/>
    <w:rsid w:val="13227D49"/>
    <w:rsid w:val="132D21F6"/>
    <w:rsid w:val="132E2AA9"/>
    <w:rsid w:val="133F6B2B"/>
    <w:rsid w:val="13435DB2"/>
    <w:rsid w:val="134C5FB3"/>
    <w:rsid w:val="13584CEB"/>
    <w:rsid w:val="138E5768"/>
    <w:rsid w:val="13935DCA"/>
    <w:rsid w:val="139E71E0"/>
    <w:rsid w:val="13AC12DF"/>
    <w:rsid w:val="13B862F9"/>
    <w:rsid w:val="13C469A2"/>
    <w:rsid w:val="13D06224"/>
    <w:rsid w:val="13ED0597"/>
    <w:rsid w:val="13EF30E1"/>
    <w:rsid w:val="14070298"/>
    <w:rsid w:val="140D22C4"/>
    <w:rsid w:val="142B68D3"/>
    <w:rsid w:val="143B263C"/>
    <w:rsid w:val="146B08F3"/>
    <w:rsid w:val="148F6512"/>
    <w:rsid w:val="148F6ECD"/>
    <w:rsid w:val="14AA6898"/>
    <w:rsid w:val="14B0017F"/>
    <w:rsid w:val="14B42DD7"/>
    <w:rsid w:val="14D12EFC"/>
    <w:rsid w:val="14E84123"/>
    <w:rsid w:val="14E97648"/>
    <w:rsid w:val="14F427BF"/>
    <w:rsid w:val="14FF520C"/>
    <w:rsid w:val="151477CA"/>
    <w:rsid w:val="154A7805"/>
    <w:rsid w:val="156D4E3B"/>
    <w:rsid w:val="159361E0"/>
    <w:rsid w:val="15B21EA5"/>
    <w:rsid w:val="15BF67CE"/>
    <w:rsid w:val="15E00424"/>
    <w:rsid w:val="15F82B87"/>
    <w:rsid w:val="161707CC"/>
    <w:rsid w:val="161A7C62"/>
    <w:rsid w:val="1627354F"/>
    <w:rsid w:val="163271A7"/>
    <w:rsid w:val="163429CE"/>
    <w:rsid w:val="163D44DD"/>
    <w:rsid w:val="164E3846"/>
    <w:rsid w:val="16571298"/>
    <w:rsid w:val="16581DDD"/>
    <w:rsid w:val="166E40BB"/>
    <w:rsid w:val="168530E9"/>
    <w:rsid w:val="16AD3150"/>
    <w:rsid w:val="16B54837"/>
    <w:rsid w:val="16BB09CF"/>
    <w:rsid w:val="16BB290C"/>
    <w:rsid w:val="16BF7A8D"/>
    <w:rsid w:val="16D74469"/>
    <w:rsid w:val="16DA3F2E"/>
    <w:rsid w:val="16DD78E1"/>
    <w:rsid w:val="16E37117"/>
    <w:rsid w:val="16E6508A"/>
    <w:rsid w:val="172B3CAE"/>
    <w:rsid w:val="173842E0"/>
    <w:rsid w:val="17430E2C"/>
    <w:rsid w:val="176B3D10"/>
    <w:rsid w:val="176F6E21"/>
    <w:rsid w:val="178D299C"/>
    <w:rsid w:val="17F2745E"/>
    <w:rsid w:val="18107062"/>
    <w:rsid w:val="181E2024"/>
    <w:rsid w:val="182F40F7"/>
    <w:rsid w:val="1834363D"/>
    <w:rsid w:val="184438BB"/>
    <w:rsid w:val="186259FC"/>
    <w:rsid w:val="18700E9F"/>
    <w:rsid w:val="18712819"/>
    <w:rsid w:val="187B4431"/>
    <w:rsid w:val="189D3F17"/>
    <w:rsid w:val="18AD6FD7"/>
    <w:rsid w:val="18D01299"/>
    <w:rsid w:val="18D43C2A"/>
    <w:rsid w:val="18EF0B8A"/>
    <w:rsid w:val="190C157A"/>
    <w:rsid w:val="19176B49"/>
    <w:rsid w:val="193E3971"/>
    <w:rsid w:val="1957425B"/>
    <w:rsid w:val="195B160D"/>
    <w:rsid w:val="19746BBB"/>
    <w:rsid w:val="197B5221"/>
    <w:rsid w:val="19AF01CF"/>
    <w:rsid w:val="19BA3573"/>
    <w:rsid w:val="19C21AD8"/>
    <w:rsid w:val="19FD44DD"/>
    <w:rsid w:val="1A2541B7"/>
    <w:rsid w:val="1A4A7ABC"/>
    <w:rsid w:val="1A5A2D60"/>
    <w:rsid w:val="1A701F30"/>
    <w:rsid w:val="1A72379D"/>
    <w:rsid w:val="1A8B26F2"/>
    <w:rsid w:val="1A9A3BD9"/>
    <w:rsid w:val="1AB61698"/>
    <w:rsid w:val="1AC22EB9"/>
    <w:rsid w:val="1AE877F9"/>
    <w:rsid w:val="1AF86801"/>
    <w:rsid w:val="1B204254"/>
    <w:rsid w:val="1B215879"/>
    <w:rsid w:val="1B32415D"/>
    <w:rsid w:val="1B4519E2"/>
    <w:rsid w:val="1B452C2D"/>
    <w:rsid w:val="1B7707D7"/>
    <w:rsid w:val="1B7E26D0"/>
    <w:rsid w:val="1B813A96"/>
    <w:rsid w:val="1B874865"/>
    <w:rsid w:val="1B906601"/>
    <w:rsid w:val="1BA73C31"/>
    <w:rsid w:val="1BB4047C"/>
    <w:rsid w:val="1BCA1B18"/>
    <w:rsid w:val="1BE73290"/>
    <w:rsid w:val="1C0B0D92"/>
    <w:rsid w:val="1C1464B8"/>
    <w:rsid w:val="1C290566"/>
    <w:rsid w:val="1C4257E8"/>
    <w:rsid w:val="1C793E97"/>
    <w:rsid w:val="1C897769"/>
    <w:rsid w:val="1C982755"/>
    <w:rsid w:val="1CBE3841"/>
    <w:rsid w:val="1CC7095D"/>
    <w:rsid w:val="1D1345B6"/>
    <w:rsid w:val="1D182676"/>
    <w:rsid w:val="1D1D1EE4"/>
    <w:rsid w:val="1D3915A8"/>
    <w:rsid w:val="1D3B76D1"/>
    <w:rsid w:val="1D4B0178"/>
    <w:rsid w:val="1D5047C3"/>
    <w:rsid w:val="1D524481"/>
    <w:rsid w:val="1D691AB6"/>
    <w:rsid w:val="1D6A0694"/>
    <w:rsid w:val="1D7F7692"/>
    <w:rsid w:val="1D8074EB"/>
    <w:rsid w:val="1DBB7050"/>
    <w:rsid w:val="1DCD19A4"/>
    <w:rsid w:val="1DDA6205"/>
    <w:rsid w:val="1E120209"/>
    <w:rsid w:val="1E372571"/>
    <w:rsid w:val="1E3D68FC"/>
    <w:rsid w:val="1E4A791F"/>
    <w:rsid w:val="1E521FDB"/>
    <w:rsid w:val="1E5B4563"/>
    <w:rsid w:val="1E74021D"/>
    <w:rsid w:val="1E9745A4"/>
    <w:rsid w:val="1E9E548D"/>
    <w:rsid w:val="1EA82EA9"/>
    <w:rsid w:val="1EA95DBC"/>
    <w:rsid w:val="1ECC629F"/>
    <w:rsid w:val="1EDA2FAC"/>
    <w:rsid w:val="1EEC69B6"/>
    <w:rsid w:val="1EF135C6"/>
    <w:rsid w:val="1F483ABB"/>
    <w:rsid w:val="1F5323CC"/>
    <w:rsid w:val="1F623370"/>
    <w:rsid w:val="1F6C4E03"/>
    <w:rsid w:val="1F701682"/>
    <w:rsid w:val="1F726924"/>
    <w:rsid w:val="1F79113C"/>
    <w:rsid w:val="1F9B185B"/>
    <w:rsid w:val="1FC530B3"/>
    <w:rsid w:val="1FD25FAB"/>
    <w:rsid w:val="1FD263B1"/>
    <w:rsid w:val="1FD55D81"/>
    <w:rsid w:val="1FE347F2"/>
    <w:rsid w:val="1FFC6F88"/>
    <w:rsid w:val="200E3981"/>
    <w:rsid w:val="201C0987"/>
    <w:rsid w:val="20271DD4"/>
    <w:rsid w:val="202E3FCA"/>
    <w:rsid w:val="20320EE0"/>
    <w:rsid w:val="2035079E"/>
    <w:rsid w:val="20543ECC"/>
    <w:rsid w:val="205451ED"/>
    <w:rsid w:val="205509FD"/>
    <w:rsid w:val="205C66AC"/>
    <w:rsid w:val="205E5502"/>
    <w:rsid w:val="206A3B16"/>
    <w:rsid w:val="20724C71"/>
    <w:rsid w:val="20853D90"/>
    <w:rsid w:val="208D6625"/>
    <w:rsid w:val="20997115"/>
    <w:rsid w:val="20B91C67"/>
    <w:rsid w:val="20C952D1"/>
    <w:rsid w:val="20E409B0"/>
    <w:rsid w:val="20FF6F0D"/>
    <w:rsid w:val="210B02E1"/>
    <w:rsid w:val="21143E7B"/>
    <w:rsid w:val="2116489E"/>
    <w:rsid w:val="21241A2B"/>
    <w:rsid w:val="212C345A"/>
    <w:rsid w:val="212D4152"/>
    <w:rsid w:val="2140389D"/>
    <w:rsid w:val="21520878"/>
    <w:rsid w:val="21522B9A"/>
    <w:rsid w:val="21680E9A"/>
    <w:rsid w:val="216935BC"/>
    <w:rsid w:val="217D55BD"/>
    <w:rsid w:val="21937D88"/>
    <w:rsid w:val="21A826E1"/>
    <w:rsid w:val="21B37B9E"/>
    <w:rsid w:val="21EC7C2B"/>
    <w:rsid w:val="21F625AE"/>
    <w:rsid w:val="220D4FA8"/>
    <w:rsid w:val="22154503"/>
    <w:rsid w:val="22172C3A"/>
    <w:rsid w:val="22232332"/>
    <w:rsid w:val="222421D0"/>
    <w:rsid w:val="222620EF"/>
    <w:rsid w:val="223B0960"/>
    <w:rsid w:val="22427DEF"/>
    <w:rsid w:val="228C7D3B"/>
    <w:rsid w:val="22C06500"/>
    <w:rsid w:val="22C449B9"/>
    <w:rsid w:val="22CA35C3"/>
    <w:rsid w:val="22CC0779"/>
    <w:rsid w:val="22D473D4"/>
    <w:rsid w:val="22E51116"/>
    <w:rsid w:val="22E67894"/>
    <w:rsid w:val="22E92354"/>
    <w:rsid w:val="22FF3BDC"/>
    <w:rsid w:val="231511F1"/>
    <w:rsid w:val="231E6699"/>
    <w:rsid w:val="232E6124"/>
    <w:rsid w:val="237763BA"/>
    <w:rsid w:val="237E2B2C"/>
    <w:rsid w:val="238566B7"/>
    <w:rsid w:val="238E72F6"/>
    <w:rsid w:val="23994F01"/>
    <w:rsid w:val="239B4DC7"/>
    <w:rsid w:val="23B360CE"/>
    <w:rsid w:val="23C75DC6"/>
    <w:rsid w:val="23D030B6"/>
    <w:rsid w:val="23DB67C0"/>
    <w:rsid w:val="23E95DFD"/>
    <w:rsid w:val="23EC18F1"/>
    <w:rsid w:val="23ED576F"/>
    <w:rsid w:val="240550C3"/>
    <w:rsid w:val="243A5559"/>
    <w:rsid w:val="24411BB9"/>
    <w:rsid w:val="245A7C32"/>
    <w:rsid w:val="24621365"/>
    <w:rsid w:val="24963D9F"/>
    <w:rsid w:val="24B21B8E"/>
    <w:rsid w:val="24B41CFB"/>
    <w:rsid w:val="24B51ECA"/>
    <w:rsid w:val="24BA7F4A"/>
    <w:rsid w:val="24C05AD9"/>
    <w:rsid w:val="24D1665E"/>
    <w:rsid w:val="24E73DD4"/>
    <w:rsid w:val="24F23FC5"/>
    <w:rsid w:val="25022059"/>
    <w:rsid w:val="250E7655"/>
    <w:rsid w:val="251E0FBB"/>
    <w:rsid w:val="252858EF"/>
    <w:rsid w:val="2540390D"/>
    <w:rsid w:val="2557621D"/>
    <w:rsid w:val="2588283E"/>
    <w:rsid w:val="258A47D4"/>
    <w:rsid w:val="258E77C0"/>
    <w:rsid w:val="259A239D"/>
    <w:rsid w:val="25A47BA1"/>
    <w:rsid w:val="25DB192E"/>
    <w:rsid w:val="25DC213D"/>
    <w:rsid w:val="260678A5"/>
    <w:rsid w:val="261165A1"/>
    <w:rsid w:val="262B1F3D"/>
    <w:rsid w:val="263B3587"/>
    <w:rsid w:val="263E6CD9"/>
    <w:rsid w:val="266A5FD2"/>
    <w:rsid w:val="26764332"/>
    <w:rsid w:val="267A7CC4"/>
    <w:rsid w:val="267E0F4E"/>
    <w:rsid w:val="269B72EA"/>
    <w:rsid w:val="26CD1820"/>
    <w:rsid w:val="26D40CC8"/>
    <w:rsid w:val="26EC3B56"/>
    <w:rsid w:val="26ED31EF"/>
    <w:rsid w:val="26F871F3"/>
    <w:rsid w:val="270F1450"/>
    <w:rsid w:val="27206FB3"/>
    <w:rsid w:val="272B1FD5"/>
    <w:rsid w:val="272E6D1E"/>
    <w:rsid w:val="273570C2"/>
    <w:rsid w:val="27472100"/>
    <w:rsid w:val="27481268"/>
    <w:rsid w:val="27565BBB"/>
    <w:rsid w:val="27657641"/>
    <w:rsid w:val="27735875"/>
    <w:rsid w:val="277F44AE"/>
    <w:rsid w:val="27834B74"/>
    <w:rsid w:val="27AD7DAF"/>
    <w:rsid w:val="27B11360"/>
    <w:rsid w:val="27DB2DBB"/>
    <w:rsid w:val="28036C1D"/>
    <w:rsid w:val="28125BB8"/>
    <w:rsid w:val="28245DBB"/>
    <w:rsid w:val="2841100D"/>
    <w:rsid w:val="28534F99"/>
    <w:rsid w:val="286155E4"/>
    <w:rsid w:val="28701FC6"/>
    <w:rsid w:val="28716AA0"/>
    <w:rsid w:val="28847070"/>
    <w:rsid w:val="28870B4E"/>
    <w:rsid w:val="289327F7"/>
    <w:rsid w:val="28996392"/>
    <w:rsid w:val="28B55A7F"/>
    <w:rsid w:val="28E478D8"/>
    <w:rsid w:val="28EB6F79"/>
    <w:rsid w:val="28F13D9D"/>
    <w:rsid w:val="28F51E9C"/>
    <w:rsid w:val="2909710D"/>
    <w:rsid w:val="292E0B92"/>
    <w:rsid w:val="292F727B"/>
    <w:rsid w:val="293A2AD9"/>
    <w:rsid w:val="293B3290"/>
    <w:rsid w:val="2940731E"/>
    <w:rsid w:val="294F4E8E"/>
    <w:rsid w:val="296E7335"/>
    <w:rsid w:val="297220CC"/>
    <w:rsid w:val="29941EAE"/>
    <w:rsid w:val="29BD0395"/>
    <w:rsid w:val="29D6404D"/>
    <w:rsid w:val="2A0925D8"/>
    <w:rsid w:val="2A1657F3"/>
    <w:rsid w:val="2A200C82"/>
    <w:rsid w:val="2A2D22C7"/>
    <w:rsid w:val="2A2F0750"/>
    <w:rsid w:val="2A4E648A"/>
    <w:rsid w:val="2A53019E"/>
    <w:rsid w:val="2A557BBB"/>
    <w:rsid w:val="2A651779"/>
    <w:rsid w:val="2A7303CF"/>
    <w:rsid w:val="2A78364C"/>
    <w:rsid w:val="2A826A75"/>
    <w:rsid w:val="2A857B98"/>
    <w:rsid w:val="2A9C1960"/>
    <w:rsid w:val="2AAD52ED"/>
    <w:rsid w:val="2ABD74FE"/>
    <w:rsid w:val="2AFF0153"/>
    <w:rsid w:val="2B146D14"/>
    <w:rsid w:val="2B1F5024"/>
    <w:rsid w:val="2B3222F2"/>
    <w:rsid w:val="2B381B9F"/>
    <w:rsid w:val="2B3F244C"/>
    <w:rsid w:val="2B5432CC"/>
    <w:rsid w:val="2B782A1F"/>
    <w:rsid w:val="2B8876E9"/>
    <w:rsid w:val="2B937CDC"/>
    <w:rsid w:val="2BD32BEB"/>
    <w:rsid w:val="2BDC76EF"/>
    <w:rsid w:val="2BE76C10"/>
    <w:rsid w:val="2BEA2DDE"/>
    <w:rsid w:val="2BEE7CF9"/>
    <w:rsid w:val="2BF805CA"/>
    <w:rsid w:val="2C015E10"/>
    <w:rsid w:val="2C116AD1"/>
    <w:rsid w:val="2C1D3306"/>
    <w:rsid w:val="2C283019"/>
    <w:rsid w:val="2C2B7F3C"/>
    <w:rsid w:val="2C3840B1"/>
    <w:rsid w:val="2C3841C9"/>
    <w:rsid w:val="2C3D7DA5"/>
    <w:rsid w:val="2C4226F6"/>
    <w:rsid w:val="2C466CE1"/>
    <w:rsid w:val="2C473DBF"/>
    <w:rsid w:val="2C6A4A41"/>
    <w:rsid w:val="2C6A5997"/>
    <w:rsid w:val="2C855DAC"/>
    <w:rsid w:val="2CA91024"/>
    <w:rsid w:val="2CB361A5"/>
    <w:rsid w:val="2D0E0FF4"/>
    <w:rsid w:val="2D3519ED"/>
    <w:rsid w:val="2D445E75"/>
    <w:rsid w:val="2D5D2C5F"/>
    <w:rsid w:val="2D66111E"/>
    <w:rsid w:val="2D6B2B7E"/>
    <w:rsid w:val="2D7E6359"/>
    <w:rsid w:val="2DA06097"/>
    <w:rsid w:val="2DB67D65"/>
    <w:rsid w:val="2DC51ADF"/>
    <w:rsid w:val="2DC932F1"/>
    <w:rsid w:val="2DCD5D54"/>
    <w:rsid w:val="2DCE7001"/>
    <w:rsid w:val="2DE81822"/>
    <w:rsid w:val="2DFE6C08"/>
    <w:rsid w:val="2E27089B"/>
    <w:rsid w:val="2E2B5150"/>
    <w:rsid w:val="2E2B5417"/>
    <w:rsid w:val="2E2D27AD"/>
    <w:rsid w:val="2E366541"/>
    <w:rsid w:val="2E444903"/>
    <w:rsid w:val="2E4B5344"/>
    <w:rsid w:val="2E513FEB"/>
    <w:rsid w:val="2E575CE5"/>
    <w:rsid w:val="2E6544B1"/>
    <w:rsid w:val="2E9845C1"/>
    <w:rsid w:val="2EE240FD"/>
    <w:rsid w:val="2F144C68"/>
    <w:rsid w:val="2F1A1C1B"/>
    <w:rsid w:val="2F25798D"/>
    <w:rsid w:val="2F3A5581"/>
    <w:rsid w:val="2F3F0889"/>
    <w:rsid w:val="2F3F2E91"/>
    <w:rsid w:val="2F431340"/>
    <w:rsid w:val="2F5164AC"/>
    <w:rsid w:val="2F722771"/>
    <w:rsid w:val="2F7D3914"/>
    <w:rsid w:val="2F87443F"/>
    <w:rsid w:val="2F880D3B"/>
    <w:rsid w:val="2F8D08C3"/>
    <w:rsid w:val="2FA771DF"/>
    <w:rsid w:val="2FCD0CD8"/>
    <w:rsid w:val="2FD505B1"/>
    <w:rsid w:val="2FD50C59"/>
    <w:rsid w:val="2FDA7D84"/>
    <w:rsid w:val="2FF953E8"/>
    <w:rsid w:val="300C346B"/>
    <w:rsid w:val="3012162E"/>
    <w:rsid w:val="301D02B9"/>
    <w:rsid w:val="302133F3"/>
    <w:rsid w:val="302177F7"/>
    <w:rsid w:val="3037035F"/>
    <w:rsid w:val="30475E30"/>
    <w:rsid w:val="305158FB"/>
    <w:rsid w:val="3065539F"/>
    <w:rsid w:val="30837582"/>
    <w:rsid w:val="30AD075B"/>
    <w:rsid w:val="30B02567"/>
    <w:rsid w:val="30B04E27"/>
    <w:rsid w:val="30B24378"/>
    <w:rsid w:val="30B47711"/>
    <w:rsid w:val="30CE1022"/>
    <w:rsid w:val="30D276C2"/>
    <w:rsid w:val="30FA33DC"/>
    <w:rsid w:val="310B7829"/>
    <w:rsid w:val="311C7DB5"/>
    <w:rsid w:val="314F3376"/>
    <w:rsid w:val="315D551A"/>
    <w:rsid w:val="315F36AD"/>
    <w:rsid w:val="31662C71"/>
    <w:rsid w:val="316D3427"/>
    <w:rsid w:val="31762E8B"/>
    <w:rsid w:val="31905A3E"/>
    <w:rsid w:val="31C67850"/>
    <w:rsid w:val="31CA4F64"/>
    <w:rsid w:val="31F12B1F"/>
    <w:rsid w:val="32043258"/>
    <w:rsid w:val="321E1D8E"/>
    <w:rsid w:val="323C2A55"/>
    <w:rsid w:val="324C3F22"/>
    <w:rsid w:val="3268332E"/>
    <w:rsid w:val="326A2FB3"/>
    <w:rsid w:val="32964B09"/>
    <w:rsid w:val="329A0462"/>
    <w:rsid w:val="329B32CA"/>
    <w:rsid w:val="329B4860"/>
    <w:rsid w:val="32A0392B"/>
    <w:rsid w:val="32AD3782"/>
    <w:rsid w:val="32D85708"/>
    <w:rsid w:val="32DE43A0"/>
    <w:rsid w:val="32E35ECC"/>
    <w:rsid w:val="330C7FBD"/>
    <w:rsid w:val="33101F81"/>
    <w:rsid w:val="332252C4"/>
    <w:rsid w:val="33311E1D"/>
    <w:rsid w:val="333C27E7"/>
    <w:rsid w:val="333D01B9"/>
    <w:rsid w:val="33401C41"/>
    <w:rsid w:val="33404766"/>
    <w:rsid w:val="33431AC2"/>
    <w:rsid w:val="336E595D"/>
    <w:rsid w:val="33796643"/>
    <w:rsid w:val="3381316C"/>
    <w:rsid w:val="33894900"/>
    <w:rsid w:val="339E3A3C"/>
    <w:rsid w:val="33B07A44"/>
    <w:rsid w:val="33B4667C"/>
    <w:rsid w:val="33C702ED"/>
    <w:rsid w:val="33D1062F"/>
    <w:rsid w:val="33DF0711"/>
    <w:rsid w:val="3400529A"/>
    <w:rsid w:val="34015D1F"/>
    <w:rsid w:val="340D5C9C"/>
    <w:rsid w:val="342E0EC7"/>
    <w:rsid w:val="343047D3"/>
    <w:rsid w:val="34335C86"/>
    <w:rsid w:val="34413517"/>
    <w:rsid w:val="346D5D12"/>
    <w:rsid w:val="346F4F4A"/>
    <w:rsid w:val="34E46BB5"/>
    <w:rsid w:val="34EF2C76"/>
    <w:rsid w:val="34F5115F"/>
    <w:rsid w:val="34FA54B2"/>
    <w:rsid w:val="34FF53C5"/>
    <w:rsid w:val="350A1DCF"/>
    <w:rsid w:val="352152C8"/>
    <w:rsid w:val="352A41A8"/>
    <w:rsid w:val="353642AB"/>
    <w:rsid w:val="3545752B"/>
    <w:rsid w:val="35530079"/>
    <w:rsid w:val="356E6CE1"/>
    <w:rsid w:val="35770921"/>
    <w:rsid w:val="357A177D"/>
    <w:rsid w:val="357F677C"/>
    <w:rsid w:val="35A52F92"/>
    <w:rsid w:val="35AF0064"/>
    <w:rsid w:val="35C03996"/>
    <w:rsid w:val="35C50ABB"/>
    <w:rsid w:val="35C961DE"/>
    <w:rsid w:val="35D801BB"/>
    <w:rsid w:val="35EB5811"/>
    <w:rsid w:val="36045036"/>
    <w:rsid w:val="36355306"/>
    <w:rsid w:val="36395E3D"/>
    <w:rsid w:val="36D57254"/>
    <w:rsid w:val="36D6086F"/>
    <w:rsid w:val="36DA091C"/>
    <w:rsid w:val="36F476F6"/>
    <w:rsid w:val="37047B9A"/>
    <w:rsid w:val="373339AD"/>
    <w:rsid w:val="37350E90"/>
    <w:rsid w:val="375F04D5"/>
    <w:rsid w:val="376614D0"/>
    <w:rsid w:val="377157E3"/>
    <w:rsid w:val="37833BE3"/>
    <w:rsid w:val="37861616"/>
    <w:rsid w:val="37C2506F"/>
    <w:rsid w:val="37CB454D"/>
    <w:rsid w:val="37E869F0"/>
    <w:rsid w:val="37F8082F"/>
    <w:rsid w:val="382C1FE9"/>
    <w:rsid w:val="385F2B13"/>
    <w:rsid w:val="386862D0"/>
    <w:rsid w:val="38773614"/>
    <w:rsid w:val="38811766"/>
    <w:rsid w:val="38B54187"/>
    <w:rsid w:val="38BE2B69"/>
    <w:rsid w:val="38DF05E7"/>
    <w:rsid w:val="38E04B22"/>
    <w:rsid w:val="38E1363B"/>
    <w:rsid w:val="38E3317A"/>
    <w:rsid w:val="38E96AA5"/>
    <w:rsid w:val="39083EAB"/>
    <w:rsid w:val="39132A9B"/>
    <w:rsid w:val="39411C4A"/>
    <w:rsid w:val="3947568C"/>
    <w:rsid w:val="3995388E"/>
    <w:rsid w:val="39A06546"/>
    <w:rsid w:val="39AB0F30"/>
    <w:rsid w:val="39AF09E0"/>
    <w:rsid w:val="39C05339"/>
    <w:rsid w:val="39C71362"/>
    <w:rsid w:val="39D81032"/>
    <w:rsid w:val="3A237DED"/>
    <w:rsid w:val="3A2A6087"/>
    <w:rsid w:val="3A356783"/>
    <w:rsid w:val="3A4B0633"/>
    <w:rsid w:val="3A5F717C"/>
    <w:rsid w:val="3A762CD3"/>
    <w:rsid w:val="3A7922AF"/>
    <w:rsid w:val="3A883655"/>
    <w:rsid w:val="3AD80B27"/>
    <w:rsid w:val="3AFB5C9C"/>
    <w:rsid w:val="3B0C3829"/>
    <w:rsid w:val="3B2428F4"/>
    <w:rsid w:val="3B370F6F"/>
    <w:rsid w:val="3B3779E1"/>
    <w:rsid w:val="3B395AAF"/>
    <w:rsid w:val="3B461160"/>
    <w:rsid w:val="3B5A6803"/>
    <w:rsid w:val="3B6B451D"/>
    <w:rsid w:val="3B90157C"/>
    <w:rsid w:val="3B942FA4"/>
    <w:rsid w:val="3B9D57F6"/>
    <w:rsid w:val="3BAF6483"/>
    <w:rsid w:val="3BBC19F2"/>
    <w:rsid w:val="3BC36BC5"/>
    <w:rsid w:val="3BE8274F"/>
    <w:rsid w:val="3BF611BA"/>
    <w:rsid w:val="3C123480"/>
    <w:rsid w:val="3C127211"/>
    <w:rsid w:val="3C15441F"/>
    <w:rsid w:val="3C2317D2"/>
    <w:rsid w:val="3C385A1D"/>
    <w:rsid w:val="3C466358"/>
    <w:rsid w:val="3C602DED"/>
    <w:rsid w:val="3C6333F1"/>
    <w:rsid w:val="3C6D41FE"/>
    <w:rsid w:val="3C7D6C7C"/>
    <w:rsid w:val="3CA424EB"/>
    <w:rsid w:val="3CC65269"/>
    <w:rsid w:val="3CD0064E"/>
    <w:rsid w:val="3CF73F9A"/>
    <w:rsid w:val="3CFE5A5C"/>
    <w:rsid w:val="3D0E6843"/>
    <w:rsid w:val="3D191DAA"/>
    <w:rsid w:val="3D2502C8"/>
    <w:rsid w:val="3D490A1B"/>
    <w:rsid w:val="3D4D1D31"/>
    <w:rsid w:val="3D501A9C"/>
    <w:rsid w:val="3D506C30"/>
    <w:rsid w:val="3D705C19"/>
    <w:rsid w:val="3DA32A96"/>
    <w:rsid w:val="3DC24854"/>
    <w:rsid w:val="3DFC57FB"/>
    <w:rsid w:val="3E0E2FD5"/>
    <w:rsid w:val="3E247A20"/>
    <w:rsid w:val="3E2574A0"/>
    <w:rsid w:val="3E2616C1"/>
    <w:rsid w:val="3E5978BF"/>
    <w:rsid w:val="3E5D5542"/>
    <w:rsid w:val="3E601746"/>
    <w:rsid w:val="3E672DAD"/>
    <w:rsid w:val="3E761F02"/>
    <w:rsid w:val="3E8A31E1"/>
    <w:rsid w:val="3E983C64"/>
    <w:rsid w:val="3EAF1403"/>
    <w:rsid w:val="3EB3776D"/>
    <w:rsid w:val="3ED72927"/>
    <w:rsid w:val="3EE07013"/>
    <w:rsid w:val="3EE65880"/>
    <w:rsid w:val="3EEA4CDA"/>
    <w:rsid w:val="3EEB2CEE"/>
    <w:rsid w:val="3EEB5763"/>
    <w:rsid w:val="3EF0376C"/>
    <w:rsid w:val="3EFA4CF0"/>
    <w:rsid w:val="3F001489"/>
    <w:rsid w:val="3F012400"/>
    <w:rsid w:val="3F070F45"/>
    <w:rsid w:val="3F1C75CF"/>
    <w:rsid w:val="3F43318E"/>
    <w:rsid w:val="3F4F57E3"/>
    <w:rsid w:val="3F512FF6"/>
    <w:rsid w:val="3F5354C3"/>
    <w:rsid w:val="3F620BFB"/>
    <w:rsid w:val="3F842939"/>
    <w:rsid w:val="3F93596D"/>
    <w:rsid w:val="3F9E16ED"/>
    <w:rsid w:val="3FAA0AB2"/>
    <w:rsid w:val="3FAE078D"/>
    <w:rsid w:val="3FC93641"/>
    <w:rsid w:val="3FDC23A1"/>
    <w:rsid w:val="401E6A87"/>
    <w:rsid w:val="402F7D87"/>
    <w:rsid w:val="40327F2D"/>
    <w:rsid w:val="405215C2"/>
    <w:rsid w:val="407436A1"/>
    <w:rsid w:val="40985426"/>
    <w:rsid w:val="40A403A8"/>
    <w:rsid w:val="40A51E9D"/>
    <w:rsid w:val="40A72F9D"/>
    <w:rsid w:val="40C37CEF"/>
    <w:rsid w:val="40CA2584"/>
    <w:rsid w:val="40E84C83"/>
    <w:rsid w:val="40FF56B8"/>
    <w:rsid w:val="410522E3"/>
    <w:rsid w:val="413B50A6"/>
    <w:rsid w:val="414F153C"/>
    <w:rsid w:val="41517657"/>
    <w:rsid w:val="4158397F"/>
    <w:rsid w:val="41834CBF"/>
    <w:rsid w:val="41882259"/>
    <w:rsid w:val="41910EF6"/>
    <w:rsid w:val="41D059A2"/>
    <w:rsid w:val="41E3117C"/>
    <w:rsid w:val="41FA4EFD"/>
    <w:rsid w:val="41FD6096"/>
    <w:rsid w:val="42062F0F"/>
    <w:rsid w:val="421B2F82"/>
    <w:rsid w:val="42427976"/>
    <w:rsid w:val="425B33BA"/>
    <w:rsid w:val="425E559F"/>
    <w:rsid w:val="428C2C05"/>
    <w:rsid w:val="42A9499E"/>
    <w:rsid w:val="42AA1D1F"/>
    <w:rsid w:val="42CA288C"/>
    <w:rsid w:val="42D04AEA"/>
    <w:rsid w:val="42D25B81"/>
    <w:rsid w:val="42EC4F17"/>
    <w:rsid w:val="430867A7"/>
    <w:rsid w:val="431A0AF5"/>
    <w:rsid w:val="43437DA3"/>
    <w:rsid w:val="43445A59"/>
    <w:rsid w:val="436E4ACC"/>
    <w:rsid w:val="437A5AFE"/>
    <w:rsid w:val="438E300D"/>
    <w:rsid w:val="4395664D"/>
    <w:rsid w:val="43AF194F"/>
    <w:rsid w:val="43B61A64"/>
    <w:rsid w:val="43D3205C"/>
    <w:rsid w:val="43E03D2B"/>
    <w:rsid w:val="43E248C0"/>
    <w:rsid w:val="43F63370"/>
    <w:rsid w:val="441719EB"/>
    <w:rsid w:val="44305CED"/>
    <w:rsid w:val="4431551A"/>
    <w:rsid w:val="444C5BD8"/>
    <w:rsid w:val="445A389E"/>
    <w:rsid w:val="446159B6"/>
    <w:rsid w:val="4465660B"/>
    <w:rsid w:val="446F5BD8"/>
    <w:rsid w:val="44911DF8"/>
    <w:rsid w:val="44967BFE"/>
    <w:rsid w:val="449D6DA3"/>
    <w:rsid w:val="44C22C86"/>
    <w:rsid w:val="44D16F97"/>
    <w:rsid w:val="44D94969"/>
    <w:rsid w:val="44F404F2"/>
    <w:rsid w:val="44F706A6"/>
    <w:rsid w:val="44FF5C81"/>
    <w:rsid w:val="452A29E2"/>
    <w:rsid w:val="45383F9A"/>
    <w:rsid w:val="45A95269"/>
    <w:rsid w:val="45B56F4C"/>
    <w:rsid w:val="45B91D98"/>
    <w:rsid w:val="45BA3C32"/>
    <w:rsid w:val="45ED1A15"/>
    <w:rsid w:val="45F75B92"/>
    <w:rsid w:val="46190276"/>
    <w:rsid w:val="463C09D6"/>
    <w:rsid w:val="46AB0F36"/>
    <w:rsid w:val="46AC242C"/>
    <w:rsid w:val="46BA3992"/>
    <w:rsid w:val="46C439DA"/>
    <w:rsid w:val="46C573D6"/>
    <w:rsid w:val="46E030F0"/>
    <w:rsid w:val="46E44C50"/>
    <w:rsid w:val="470F63B2"/>
    <w:rsid w:val="47101AA3"/>
    <w:rsid w:val="471C3305"/>
    <w:rsid w:val="47302A21"/>
    <w:rsid w:val="47370611"/>
    <w:rsid w:val="473C0F95"/>
    <w:rsid w:val="474915C6"/>
    <w:rsid w:val="474F28FD"/>
    <w:rsid w:val="47625972"/>
    <w:rsid w:val="479868D5"/>
    <w:rsid w:val="479F0B4C"/>
    <w:rsid w:val="47AC7CE1"/>
    <w:rsid w:val="47CA3CF4"/>
    <w:rsid w:val="47FF2206"/>
    <w:rsid w:val="48013227"/>
    <w:rsid w:val="481C2C29"/>
    <w:rsid w:val="482B1AC5"/>
    <w:rsid w:val="482B6784"/>
    <w:rsid w:val="482F25FC"/>
    <w:rsid w:val="483F0081"/>
    <w:rsid w:val="48427BA9"/>
    <w:rsid w:val="48434575"/>
    <w:rsid w:val="48641537"/>
    <w:rsid w:val="4869728F"/>
    <w:rsid w:val="486C3DF4"/>
    <w:rsid w:val="48724CD7"/>
    <w:rsid w:val="489D0455"/>
    <w:rsid w:val="48A66DA7"/>
    <w:rsid w:val="48BA0713"/>
    <w:rsid w:val="48E62261"/>
    <w:rsid w:val="48E82175"/>
    <w:rsid w:val="48E834DC"/>
    <w:rsid w:val="48E870E7"/>
    <w:rsid w:val="49064D95"/>
    <w:rsid w:val="491938EE"/>
    <w:rsid w:val="492023FE"/>
    <w:rsid w:val="49227198"/>
    <w:rsid w:val="49253D95"/>
    <w:rsid w:val="492A6E99"/>
    <w:rsid w:val="494B5FDF"/>
    <w:rsid w:val="494F284F"/>
    <w:rsid w:val="495A6CBC"/>
    <w:rsid w:val="49626449"/>
    <w:rsid w:val="49822DDB"/>
    <w:rsid w:val="498463E6"/>
    <w:rsid w:val="49871D8E"/>
    <w:rsid w:val="49A548D8"/>
    <w:rsid w:val="49A95BC3"/>
    <w:rsid w:val="49E54FED"/>
    <w:rsid w:val="49F5275A"/>
    <w:rsid w:val="49F94354"/>
    <w:rsid w:val="4A1F35A9"/>
    <w:rsid w:val="4A366346"/>
    <w:rsid w:val="4A386146"/>
    <w:rsid w:val="4A3A4C36"/>
    <w:rsid w:val="4A410448"/>
    <w:rsid w:val="4A512227"/>
    <w:rsid w:val="4A594E71"/>
    <w:rsid w:val="4A745066"/>
    <w:rsid w:val="4A777B9B"/>
    <w:rsid w:val="4AAB11CD"/>
    <w:rsid w:val="4AAE7155"/>
    <w:rsid w:val="4AB356AE"/>
    <w:rsid w:val="4ACE4959"/>
    <w:rsid w:val="4AFC02F6"/>
    <w:rsid w:val="4B156F97"/>
    <w:rsid w:val="4B3008FB"/>
    <w:rsid w:val="4B442675"/>
    <w:rsid w:val="4BBE40D7"/>
    <w:rsid w:val="4BC1288C"/>
    <w:rsid w:val="4BDD4510"/>
    <w:rsid w:val="4BDE1BD7"/>
    <w:rsid w:val="4BE6529B"/>
    <w:rsid w:val="4BE81894"/>
    <w:rsid w:val="4BEA4A2D"/>
    <w:rsid w:val="4C2A61ED"/>
    <w:rsid w:val="4C30578A"/>
    <w:rsid w:val="4C591B55"/>
    <w:rsid w:val="4C6A51E6"/>
    <w:rsid w:val="4C716889"/>
    <w:rsid w:val="4C793455"/>
    <w:rsid w:val="4C86529F"/>
    <w:rsid w:val="4C942A4A"/>
    <w:rsid w:val="4C94647F"/>
    <w:rsid w:val="4C9778BC"/>
    <w:rsid w:val="4CAA54B7"/>
    <w:rsid w:val="4CDE6E75"/>
    <w:rsid w:val="4CEF0CF6"/>
    <w:rsid w:val="4CF35613"/>
    <w:rsid w:val="4CF66575"/>
    <w:rsid w:val="4D230977"/>
    <w:rsid w:val="4D3675BC"/>
    <w:rsid w:val="4D591707"/>
    <w:rsid w:val="4D7D7120"/>
    <w:rsid w:val="4D8D46B1"/>
    <w:rsid w:val="4DAD4D79"/>
    <w:rsid w:val="4DB3504A"/>
    <w:rsid w:val="4DB52CE0"/>
    <w:rsid w:val="4DBC3764"/>
    <w:rsid w:val="4DBE31D7"/>
    <w:rsid w:val="4DC26901"/>
    <w:rsid w:val="4DC404CD"/>
    <w:rsid w:val="4DC77F2C"/>
    <w:rsid w:val="4DCD69BF"/>
    <w:rsid w:val="4DDA4CE5"/>
    <w:rsid w:val="4DEB0029"/>
    <w:rsid w:val="4DEE0304"/>
    <w:rsid w:val="4E0535C0"/>
    <w:rsid w:val="4E1B2451"/>
    <w:rsid w:val="4E1D175A"/>
    <w:rsid w:val="4E1E460B"/>
    <w:rsid w:val="4E3A2BBF"/>
    <w:rsid w:val="4E451E6C"/>
    <w:rsid w:val="4E4E70CE"/>
    <w:rsid w:val="4E5169E2"/>
    <w:rsid w:val="4E62289F"/>
    <w:rsid w:val="4E7E6E87"/>
    <w:rsid w:val="4E806936"/>
    <w:rsid w:val="4E865E1F"/>
    <w:rsid w:val="4E9D491C"/>
    <w:rsid w:val="4EA63E59"/>
    <w:rsid w:val="4EC66288"/>
    <w:rsid w:val="4ED42FB1"/>
    <w:rsid w:val="4EE60AA3"/>
    <w:rsid w:val="4F0F3DCE"/>
    <w:rsid w:val="4F2A51C4"/>
    <w:rsid w:val="4F3609A6"/>
    <w:rsid w:val="4F621137"/>
    <w:rsid w:val="4F785119"/>
    <w:rsid w:val="4F8056E8"/>
    <w:rsid w:val="4F82619A"/>
    <w:rsid w:val="4F927079"/>
    <w:rsid w:val="4F9A06D3"/>
    <w:rsid w:val="4FC82315"/>
    <w:rsid w:val="4FD87E22"/>
    <w:rsid w:val="4FDC2D5B"/>
    <w:rsid w:val="4FDD4DBE"/>
    <w:rsid w:val="4FEC179E"/>
    <w:rsid w:val="4FF55AFA"/>
    <w:rsid w:val="500115A3"/>
    <w:rsid w:val="50071467"/>
    <w:rsid w:val="500B5A98"/>
    <w:rsid w:val="505C57C5"/>
    <w:rsid w:val="50603411"/>
    <w:rsid w:val="507132C3"/>
    <w:rsid w:val="507D586F"/>
    <w:rsid w:val="50AB5B9F"/>
    <w:rsid w:val="50BF6AC2"/>
    <w:rsid w:val="50C41590"/>
    <w:rsid w:val="50C84AB4"/>
    <w:rsid w:val="50D72740"/>
    <w:rsid w:val="50E170A2"/>
    <w:rsid w:val="512D4DA1"/>
    <w:rsid w:val="5137612B"/>
    <w:rsid w:val="514101E2"/>
    <w:rsid w:val="51426326"/>
    <w:rsid w:val="514352F7"/>
    <w:rsid w:val="515925CF"/>
    <w:rsid w:val="51691A00"/>
    <w:rsid w:val="51701BAE"/>
    <w:rsid w:val="518B1CAD"/>
    <w:rsid w:val="519365B9"/>
    <w:rsid w:val="519810AA"/>
    <w:rsid w:val="5198532A"/>
    <w:rsid w:val="519E6C32"/>
    <w:rsid w:val="51C36C3F"/>
    <w:rsid w:val="51E2686B"/>
    <w:rsid w:val="52137D0E"/>
    <w:rsid w:val="52341332"/>
    <w:rsid w:val="525435D7"/>
    <w:rsid w:val="527F703D"/>
    <w:rsid w:val="528F5047"/>
    <w:rsid w:val="52961FB9"/>
    <w:rsid w:val="52A826F7"/>
    <w:rsid w:val="52AA6E83"/>
    <w:rsid w:val="52C53B9D"/>
    <w:rsid w:val="52F073C5"/>
    <w:rsid w:val="53065AAA"/>
    <w:rsid w:val="53122FAE"/>
    <w:rsid w:val="53356E1A"/>
    <w:rsid w:val="5379073A"/>
    <w:rsid w:val="537E55A7"/>
    <w:rsid w:val="537F7C63"/>
    <w:rsid w:val="538A6D90"/>
    <w:rsid w:val="538F54F6"/>
    <w:rsid w:val="53955B4C"/>
    <w:rsid w:val="539B0803"/>
    <w:rsid w:val="53C65909"/>
    <w:rsid w:val="53D511A6"/>
    <w:rsid w:val="542E68AD"/>
    <w:rsid w:val="54397FB7"/>
    <w:rsid w:val="544F55EE"/>
    <w:rsid w:val="54927FDC"/>
    <w:rsid w:val="54A354B4"/>
    <w:rsid w:val="54A77B63"/>
    <w:rsid w:val="54AA4C87"/>
    <w:rsid w:val="54B67B86"/>
    <w:rsid w:val="54DA6330"/>
    <w:rsid w:val="54DD5A7F"/>
    <w:rsid w:val="54E01F6A"/>
    <w:rsid w:val="54E51762"/>
    <w:rsid w:val="54FD5F5A"/>
    <w:rsid w:val="55052CC3"/>
    <w:rsid w:val="550B4597"/>
    <w:rsid w:val="553B449B"/>
    <w:rsid w:val="55813304"/>
    <w:rsid w:val="55845D3B"/>
    <w:rsid w:val="55910011"/>
    <w:rsid w:val="559C2307"/>
    <w:rsid w:val="559C3590"/>
    <w:rsid w:val="55AC79AC"/>
    <w:rsid w:val="55B14967"/>
    <w:rsid w:val="55C33F14"/>
    <w:rsid w:val="55C51D6D"/>
    <w:rsid w:val="55C74577"/>
    <w:rsid w:val="56213224"/>
    <w:rsid w:val="56277430"/>
    <w:rsid w:val="564F1DD0"/>
    <w:rsid w:val="5671356F"/>
    <w:rsid w:val="56751058"/>
    <w:rsid w:val="56A43C0D"/>
    <w:rsid w:val="56AF28F7"/>
    <w:rsid w:val="56CC174A"/>
    <w:rsid w:val="56E76D43"/>
    <w:rsid w:val="56F04877"/>
    <w:rsid w:val="56F4656B"/>
    <w:rsid w:val="56FD22AA"/>
    <w:rsid w:val="57066AA7"/>
    <w:rsid w:val="570E6A90"/>
    <w:rsid w:val="572C1D4D"/>
    <w:rsid w:val="574B7272"/>
    <w:rsid w:val="57587E7C"/>
    <w:rsid w:val="57613FE3"/>
    <w:rsid w:val="57675A05"/>
    <w:rsid w:val="5769323C"/>
    <w:rsid w:val="57A529AE"/>
    <w:rsid w:val="57B90B24"/>
    <w:rsid w:val="57E611E8"/>
    <w:rsid w:val="57F65D5C"/>
    <w:rsid w:val="57F94CA0"/>
    <w:rsid w:val="580044F4"/>
    <w:rsid w:val="58087351"/>
    <w:rsid w:val="58244E33"/>
    <w:rsid w:val="5832169E"/>
    <w:rsid w:val="583E3225"/>
    <w:rsid w:val="584B6339"/>
    <w:rsid w:val="58521F9E"/>
    <w:rsid w:val="58692147"/>
    <w:rsid w:val="586B42FC"/>
    <w:rsid w:val="587271C1"/>
    <w:rsid w:val="588E4E09"/>
    <w:rsid w:val="589936D6"/>
    <w:rsid w:val="58F717F7"/>
    <w:rsid w:val="58F740FA"/>
    <w:rsid w:val="58FB58BB"/>
    <w:rsid w:val="593A697F"/>
    <w:rsid w:val="59440359"/>
    <w:rsid w:val="596E41C9"/>
    <w:rsid w:val="598335D5"/>
    <w:rsid w:val="599454E3"/>
    <w:rsid w:val="5998521B"/>
    <w:rsid w:val="59B8661C"/>
    <w:rsid w:val="59C10E3B"/>
    <w:rsid w:val="59C94729"/>
    <w:rsid w:val="59C96E8A"/>
    <w:rsid w:val="59D3626A"/>
    <w:rsid w:val="59DB3E39"/>
    <w:rsid w:val="59DF0B89"/>
    <w:rsid w:val="59FB3A4A"/>
    <w:rsid w:val="5A17494B"/>
    <w:rsid w:val="5A1841B6"/>
    <w:rsid w:val="5A1C2BD5"/>
    <w:rsid w:val="5A31629C"/>
    <w:rsid w:val="5A650FC0"/>
    <w:rsid w:val="5A796880"/>
    <w:rsid w:val="5A8072DC"/>
    <w:rsid w:val="5A8D0F14"/>
    <w:rsid w:val="5A9756BD"/>
    <w:rsid w:val="5AA2476F"/>
    <w:rsid w:val="5AB7537F"/>
    <w:rsid w:val="5ABD62CE"/>
    <w:rsid w:val="5AD7316F"/>
    <w:rsid w:val="5ADD2038"/>
    <w:rsid w:val="5AEC0BE8"/>
    <w:rsid w:val="5AF86ED4"/>
    <w:rsid w:val="5B2568B6"/>
    <w:rsid w:val="5B280010"/>
    <w:rsid w:val="5B6D4370"/>
    <w:rsid w:val="5B8552D4"/>
    <w:rsid w:val="5B8C4224"/>
    <w:rsid w:val="5B983002"/>
    <w:rsid w:val="5BAA1356"/>
    <w:rsid w:val="5BB055E7"/>
    <w:rsid w:val="5BB64E0F"/>
    <w:rsid w:val="5BB9179D"/>
    <w:rsid w:val="5BCD7313"/>
    <w:rsid w:val="5BCF180A"/>
    <w:rsid w:val="5BD934E5"/>
    <w:rsid w:val="5BF02FC3"/>
    <w:rsid w:val="5BF20804"/>
    <w:rsid w:val="5C061599"/>
    <w:rsid w:val="5C0A3FE8"/>
    <w:rsid w:val="5C0F7CEF"/>
    <w:rsid w:val="5C2A09D3"/>
    <w:rsid w:val="5C4921B5"/>
    <w:rsid w:val="5C6E2BA7"/>
    <w:rsid w:val="5C7A5843"/>
    <w:rsid w:val="5CCA3F23"/>
    <w:rsid w:val="5CEC6D18"/>
    <w:rsid w:val="5CF357A4"/>
    <w:rsid w:val="5D41329E"/>
    <w:rsid w:val="5D4C6B10"/>
    <w:rsid w:val="5D753156"/>
    <w:rsid w:val="5D80303B"/>
    <w:rsid w:val="5D824E2D"/>
    <w:rsid w:val="5D8916F9"/>
    <w:rsid w:val="5DA2115E"/>
    <w:rsid w:val="5DAD4973"/>
    <w:rsid w:val="5DB828EB"/>
    <w:rsid w:val="5DC726D6"/>
    <w:rsid w:val="5DE51A4E"/>
    <w:rsid w:val="5DE6209F"/>
    <w:rsid w:val="5DEB6DAA"/>
    <w:rsid w:val="5DFC414B"/>
    <w:rsid w:val="5E0303E5"/>
    <w:rsid w:val="5E112E3A"/>
    <w:rsid w:val="5E407C7E"/>
    <w:rsid w:val="5E492982"/>
    <w:rsid w:val="5E501D1F"/>
    <w:rsid w:val="5E6120B7"/>
    <w:rsid w:val="5E61260F"/>
    <w:rsid w:val="5E6647E7"/>
    <w:rsid w:val="5E6914BF"/>
    <w:rsid w:val="5E853A63"/>
    <w:rsid w:val="5E853E15"/>
    <w:rsid w:val="5ED1337F"/>
    <w:rsid w:val="5EEF38FF"/>
    <w:rsid w:val="5EF255A8"/>
    <w:rsid w:val="5EFA3673"/>
    <w:rsid w:val="5EFE2AC0"/>
    <w:rsid w:val="5F3061A5"/>
    <w:rsid w:val="5F7C4067"/>
    <w:rsid w:val="5F97792E"/>
    <w:rsid w:val="5F993E2F"/>
    <w:rsid w:val="5F9C6526"/>
    <w:rsid w:val="5FA50C64"/>
    <w:rsid w:val="5FB00978"/>
    <w:rsid w:val="5FB16D7D"/>
    <w:rsid w:val="5FEE7A29"/>
    <w:rsid w:val="60157BC5"/>
    <w:rsid w:val="602A619A"/>
    <w:rsid w:val="60312D7B"/>
    <w:rsid w:val="60430D8F"/>
    <w:rsid w:val="604443B0"/>
    <w:rsid w:val="60537357"/>
    <w:rsid w:val="606478AE"/>
    <w:rsid w:val="607656AE"/>
    <w:rsid w:val="60777F4B"/>
    <w:rsid w:val="607A64DA"/>
    <w:rsid w:val="60A55C79"/>
    <w:rsid w:val="60CF4F43"/>
    <w:rsid w:val="60D1519C"/>
    <w:rsid w:val="60D30B01"/>
    <w:rsid w:val="60DA71BB"/>
    <w:rsid w:val="60F50A49"/>
    <w:rsid w:val="60FD43BF"/>
    <w:rsid w:val="6102390F"/>
    <w:rsid w:val="61484C0F"/>
    <w:rsid w:val="619A1C39"/>
    <w:rsid w:val="61A52EA9"/>
    <w:rsid w:val="61E46D57"/>
    <w:rsid w:val="61F37242"/>
    <w:rsid w:val="61F649E3"/>
    <w:rsid w:val="624721BC"/>
    <w:rsid w:val="62554F9C"/>
    <w:rsid w:val="6256562A"/>
    <w:rsid w:val="625B2FC4"/>
    <w:rsid w:val="626F5DF9"/>
    <w:rsid w:val="627A4A82"/>
    <w:rsid w:val="627B74AB"/>
    <w:rsid w:val="62862020"/>
    <w:rsid w:val="629B73AC"/>
    <w:rsid w:val="62A464DE"/>
    <w:rsid w:val="62AA4ADD"/>
    <w:rsid w:val="62AE1283"/>
    <w:rsid w:val="62CE765A"/>
    <w:rsid w:val="62E319FD"/>
    <w:rsid w:val="62EB776E"/>
    <w:rsid w:val="62F822B8"/>
    <w:rsid w:val="631E7E42"/>
    <w:rsid w:val="6331107E"/>
    <w:rsid w:val="63394B25"/>
    <w:rsid w:val="633A74F8"/>
    <w:rsid w:val="634761CF"/>
    <w:rsid w:val="63503374"/>
    <w:rsid w:val="636B7B77"/>
    <w:rsid w:val="639F596D"/>
    <w:rsid w:val="63AC41F0"/>
    <w:rsid w:val="63B81B91"/>
    <w:rsid w:val="63CA4565"/>
    <w:rsid w:val="63F253AA"/>
    <w:rsid w:val="63FE67A4"/>
    <w:rsid w:val="63FF7190"/>
    <w:rsid w:val="64002FB4"/>
    <w:rsid w:val="640B491E"/>
    <w:rsid w:val="641259E3"/>
    <w:rsid w:val="647F655C"/>
    <w:rsid w:val="649E796C"/>
    <w:rsid w:val="64B21EF7"/>
    <w:rsid w:val="64C56ADD"/>
    <w:rsid w:val="64D46D4B"/>
    <w:rsid w:val="64E77A56"/>
    <w:rsid w:val="64F362C3"/>
    <w:rsid w:val="652E420B"/>
    <w:rsid w:val="65354B29"/>
    <w:rsid w:val="655D3287"/>
    <w:rsid w:val="65640929"/>
    <w:rsid w:val="65792FD8"/>
    <w:rsid w:val="65971923"/>
    <w:rsid w:val="65A920E1"/>
    <w:rsid w:val="65B9781F"/>
    <w:rsid w:val="65DA35DE"/>
    <w:rsid w:val="65DA5B91"/>
    <w:rsid w:val="65DC7380"/>
    <w:rsid w:val="65E064BA"/>
    <w:rsid w:val="65EB77B3"/>
    <w:rsid w:val="65FB66B6"/>
    <w:rsid w:val="662238A4"/>
    <w:rsid w:val="66265EE1"/>
    <w:rsid w:val="66382EC7"/>
    <w:rsid w:val="664F24CC"/>
    <w:rsid w:val="665C7523"/>
    <w:rsid w:val="666040F8"/>
    <w:rsid w:val="66745BD9"/>
    <w:rsid w:val="667F061F"/>
    <w:rsid w:val="668F4BCC"/>
    <w:rsid w:val="66C50DC3"/>
    <w:rsid w:val="66C76EAF"/>
    <w:rsid w:val="66D86216"/>
    <w:rsid w:val="67017F95"/>
    <w:rsid w:val="672162C1"/>
    <w:rsid w:val="67272774"/>
    <w:rsid w:val="678C7530"/>
    <w:rsid w:val="678C75D6"/>
    <w:rsid w:val="67947BE6"/>
    <w:rsid w:val="67AC19E7"/>
    <w:rsid w:val="67C66474"/>
    <w:rsid w:val="67CB32B7"/>
    <w:rsid w:val="67EE2F7F"/>
    <w:rsid w:val="67F64D7B"/>
    <w:rsid w:val="67FC0B42"/>
    <w:rsid w:val="68091278"/>
    <w:rsid w:val="681D0B01"/>
    <w:rsid w:val="68451EFB"/>
    <w:rsid w:val="684A3EDE"/>
    <w:rsid w:val="68675A2B"/>
    <w:rsid w:val="686E7C18"/>
    <w:rsid w:val="6871070A"/>
    <w:rsid w:val="689A7E1A"/>
    <w:rsid w:val="68CA6CF5"/>
    <w:rsid w:val="68EE0AE2"/>
    <w:rsid w:val="68EE4FFF"/>
    <w:rsid w:val="68F175E3"/>
    <w:rsid w:val="69004988"/>
    <w:rsid w:val="6956463D"/>
    <w:rsid w:val="699F351D"/>
    <w:rsid w:val="69C277E9"/>
    <w:rsid w:val="69C8369D"/>
    <w:rsid w:val="69F616D6"/>
    <w:rsid w:val="69F74F22"/>
    <w:rsid w:val="6A1975F8"/>
    <w:rsid w:val="6A412B25"/>
    <w:rsid w:val="6A460625"/>
    <w:rsid w:val="6A46361D"/>
    <w:rsid w:val="6A4F2F78"/>
    <w:rsid w:val="6A5B4F4E"/>
    <w:rsid w:val="6A7D13B5"/>
    <w:rsid w:val="6A8D5266"/>
    <w:rsid w:val="6AA74886"/>
    <w:rsid w:val="6AA869A2"/>
    <w:rsid w:val="6B0F5DCE"/>
    <w:rsid w:val="6B3875FD"/>
    <w:rsid w:val="6B4B3F8A"/>
    <w:rsid w:val="6B5A22FA"/>
    <w:rsid w:val="6B762CC0"/>
    <w:rsid w:val="6B8A6784"/>
    <w:rsid w:val="6B965409"/>
    <w:rsid w:val="6BA76C48"/>
    <w:rsid w:val="6BB93380"/>
    <w:rsid w:val="6BBC11E2"/>
    <w:rsid w:val="6BE44BFB"/>
    <w:rsid w:val="6BF06994"/>
    <w:rsid w:val="6BF44B49"/>
    <w:rsid w:val="6BFE2B33"/>
    <w:rsid w:val="6C067803"/>
    <w:rsid w:val="6C080E98"/>
    <w:rsid w:val="6C2213CC"/>
    <w:rsid w:val="6C2878F8"/>
    <w:rsid w:val="6C4D0C93"/>
    <w:rsid w:val="6C7A6553"/>
    <w:rsid w:val="6C8F396D"/>
    <w:rsid w:val="6C9736F1"/>
    <w:rsid w:val="6CC04222"/>
    <w:rsid w:val="6CC52FAB"/>
    <w:rsid w:val="6CE711D1"/>
    <w:rsid w:val="6CF163C2"/>
    <w:rsid w:val="6D023972"/>
    <w:rsid w:val="6D151CC7"/>
    <w:rsid w:val="6D1E3E67"/>
    <w:rsid w:val="6D2D5F6A"/>
    <w:rsid w:val="6D34557B"/>
    <w:rsid w:val="6D4E25B3"/>
    <w:rsid w:val="6D575167"/>
    <w:rsid w:val="6D580EDE"/>
    <w:rsid w:val="6D5A3A66"/>
    <w:rsid w:val="6D810EED"/>
    <w:rsid w:val="6D8C4F88"/>
    <w:rsid w:val="6D935989"/>
    <w:rsid w:val="6DB374DF"/>
    <w:rsid w:val="6DB67DAC"/>
    <w:rsid w:val="6DFB4E16"/>
    <w:rsid w:val="6E041B89"/>
    <w:rsid w:val="6E2C1522"/>
    <w:rsid w:val="6E450A66"/>
    <w:rsid w:val="6E4F22DD"/>
    <w:rsid w:val="6E590FD0"/>
    <w:rsid w:val="6E6209D6"/>
    <w:rsid w:val="6E654A29"/>
    <w:rsid w:val="6E781D7D"/>
    <w:rsid w:val="6E7B0E75"/>
    <w:rsid w:val="6E8D44D0"/>
    <w:rsid w:val="6E9D1075"/>
    <w:rsid w:val="6EA2729E"/>
    <w:rsid w:val="6EAC2091"/>
    <w:rsid w:val="6ED42267"/>
    <w:rsid w:val="6EE7256D"/>
    <w:rsid w:val="6EEA4AA3"/>
    <w:rsid w:val="6F005670"/>
    <w:rsid w:val="6F1E1834"/>
    <w:rsid w:val="6F207A32"/>
    <w:rsid w:val="6F342E0D"/>
    <w:rsid w:val="6F370C5A"/>
    <w:rsid w:val="6F5F65E6"/>
    <w:rsid w:val="6F6E72BF"/>
    <w:rsid w:val="6F721A1D"/>
    <w:rsid w:val="6F8751AE"/>
    <w:rsid w:val="6F990006"/>
    <w:rsid w:val="6F9E5B7A"/>
    <w:rsid w:val="6FA57D10"/>
    <w:rsid w:val="6FBB52CE"/>
    <w:rsid w:val="6FC10258"/>
    <w:rsid w:val="6FCA0CA1"/>
    <w:rsid w:val="6FCA17FB"/>
    <w:rsid w:val="6FE82DDD"/>
    <w:rsid w:val="6FEE0771"/>
    <w:rsid w:val="6FF6672A"/>
    <w:rsid w:val="6FFE4EBC"/>
    <w:rsid w:val="70152A9A"/>
    <w:rsid w:val="701F1568"/>
    <w:rsid w:val="702978D9"/>
    <w:rsid w:val="704961CB"/>
    <w:rsid w:val="705108E7"/>
    <w:rsid w:val="70593D07"/>
    <w:rsid w:val="706169BF"/>
    <w:rsid w:val="70696D35"/>
    <w:rsid w:val="706F6FB6"/>
    <w:rsid w:val="707E42B2"/>
    <w:rsid w:val="708F23E0"/>
    <w:rsid w:val="70B42C80"/>
    <w:rsid w:val="70B61689"/>
    <w:rsid w:val="70B667EF"/>
    <w:rsid w:val="70C34D81"/>
    <w:rsid w:val="70C56EDC"/>
    <w:rsid w:val="70E44655"/>
    <w:rsid w:val="70EA5177"/>
    <w:rsid w:val="70ED6A0E"/>
    <w:rsid w:val="70ED6EE1"/>
    <w:rsid w:val="70F44AB2"/>
    <w:rsid w:val="71002FFA"/>
    <w:rsid w:val="710464C7"/>
    <w:rsid w:val="710E7D3D"/>
    <w:rsid w:val="715559AF"/>
    <w:rsid w:val="719018FB"/>
    <w:rsid w:val="719466DA"/>
    <w:rsid w:val="719873B6"/>
    <w:rsid w:val="71CF2FF9"/>
    <w:rsid w:val="71F24A43"/>
    <w:rsid w:val="71F34E40"/>
    <w:rsid w:val="71F72600"/>
    <w:rsid w:val="721830C6"/>
    <w:rsid w:val="722332F3"/>
    <w:rsid w:val="724E0FB5"/>
    <w:rsid w:val="72833999"/>
    <w:rsid w:val="7287629D"/>
    <w:rsid w:val="72906405"/>
    <w:rsid w:val="729C2E11"/>
    <w:rsid w:val="72A032FE"/>
    <w:rsid w:val="72A037B9"/>
    <w:rsid w:val="72A83C28"/>
    <w:rsid w:val="72AB4D76"/>
    <w:rsid w:val="72AB53A5"/>
    <w:rsid w:val="72D03618"/>
    <w:rsid w:val="72E77059"/>
    <w:rsid w:val="732B7F0D"/>
    <w:rsid w:val="73406B38"/>
    <w:rsid w:val="7342612F"/>
    <w:rsid w:val="73450F08"/>
    <w:rsid w:val="73563A14"/>
    <w:rsid w:val="736B0067"/>
    <w:rsid w:val="73765B39"/>
    <w:rsid w:val="738A42F1"/>
    <w:rsid w:val="73923409"/>
    <w:rsid w:val="739B168F"/>
    <w:rsid w:val="73A255C1"/>
    <w:rsid w:val="73D82E38"/>
    <w:rsid w:val="73F314E3"/>
    <w:rsid w:val="74340423"/>
    <w:rsid w:val="744C627E"/>
    <w:rsid w:val="745042EC"/>
    <w:rsid w:val="745132C7"/>
    <w:rsid w:val="746D5F5D"/>
    <w:rsid w:val="748B22B6"/>
    <w:rsid w:val="74AF13CC"/>
    <w:rsid w:val="74B51313"/>
    <w:rsid w:val="74BB0C08"/>
    <w:rsid w:val="74E37335"/>
    <w:rsid w:val="74E91888"/>
    <w:rsid w:val="74EB2FFE"/>
    <w:rsid w:val="7514475E"/>
    <w:rsid w:val="75193067"/>
    <w:rsid w:val="7520013D"/>
    <w:rsid w:val="752D5510"/>
    <w:rsid w:val="754674E3"/>
    <w:rsid w:val="75485924"/>
    <w:rsid w:val="759167FC"/>
    <w:rsid w:val="759430D6"/>
    <w:rsid w:val="75955D0A"/>
    <w:rsid w:val="75984F37"/>
    <w:rsid w:val="75B36542"/>
    <w:rsid w:val="75C43331"/>
    <w:rsid w:val="75C91039"/>
    <w:rsid w:val="75CF553F"/>
    <w:rsid w:val="75E45F38"/>
    <w:rsid w:val="75FE6FB3"/>
    <w:rsid w:val="76085578"/>
    <w:rsid w:val="760C61B1"/>
    <w:rsid w:val="761C0E19"/>
    <w:rsid w:val="76236070"/>
    <w:rsid w:val="762A1217"/>
    <w:rsid w:val="763040B0"/>
    <w:rsid w:val="76563BF7"/>
    <w:rsid w:val="765F070B"/>
    <w:rsid w:val="7674003C"/>
    <w:rsid w:val="767A7900"/>
    <w:rsid w:val="768A1200"/>
    <w:rsid w:val="7692076A"/>
    <w:rsid w:val="76A52E1C"/>
    <w:rsid w:val="76A6331F"/>
    <w:rsid w:val="76B2657C"/>
    <w:rsid w:val="76C832F2"/>
    <w:rsid w:val="76E35DC4"/>
    <w:rsid w:val="76E73652"/>
    <w:rsid w:val="76F9035F"/>
    <w:rsid w:val="76FA7664"/>
    <w:rsid w:val="775F6961"/>
    <w:rsid w:val="7789446C"/>
    <w:rsid w:val="7793325C"/>
    <w:rsid w:val="7798054D"/>
    <w:rsid w:val="77AC296D"/>
    <w:rsid w:val="77B6528F"/>
    <w:rsid w:val="77C04CAE"/>
    <w:rsid w:val="77C91F54"/>
    <w:rsid w:val="77CF71D3"/>
    <w:rsid w:val="77D520FE"/>
    <w:rsid w:val="77E05745"/>
    <w:rsid w:val="780743F5"/>
    <w:rsid w:val="780B759B"/>
    <w:rsid w:val="780D503B"/>
    <w:rsid w:val="781173A2"/>
    <w:rsid w:val="7831284C"/>
    <w:rsid w:val="784756B4"/>
    <w:rsid w:val="785F5D9A"/>
    <w:rsid w:val="786C35A6"/>
    <w:rsid w:val="78747991"/>
    <w:rsid w:val="78921EE6"/>
    <w:rsid w:val="78A0481B"/>
    <w:rsid w:val="78A37082"/>
    <w:rsid w:val="78A62FD0"/>
    <w:rsid w:val="78A87484"/>
    <w:rsid w:val="78D46946"/>
    <w:rsid w:val="78E12E6A"/>
    <w:rsid w:val="79137E3E"/>
    <w:rsid w:val="791B709B"/>
    <w:rsid w:val="79444E65"/>
    <w:rsid w:val="795127E8"/>
    <w:rsid w:val="795D4643"/>
    <w:rsid w:val="79643EB4"/>
    <w:rsid w:val="79913163"/>
    <w:rsid w:val="799B1BAA"/>
    <w:rsid w:val="799E5249"/>
    <w:rsid w:val="79DB3867"/>
    <w:rsid w:val="79FF4D98"/>
    <w:rsid w:val="7A0E7234"/>
    <w:rsid w:val="7A3A208F"/>
    <w:rsid w:val="7A513FB6"/>
    <w:rsid w:val="7A5502B8"/>
    <w:rsid w:val="7A553ABC"/>
    <w:rsid w:val="7A9262BD"/>
    <w:rsid w:val="7AB07079"/>
    <w:rsid w:val="7ACB31FB"/>
    <w:rsid w:val="7AD2380C"/>
    <w:rsid w:val="7AD635D1"/>
    <w:rsid w:val="7ADB2991"/>
    <w:rsid w:val="7ADB62FC"/>
    <w:rsid w:val="7AE419D8"/>
    <w:rsid w:val="7AE661A6"/>
    <w:rsid w:val="7AED4A83"/>
    <w:rsid w:val="7B1038BA"/>
    <w:rsid w:val="7B34756A"/>
    <w:rsid w:val="7B5A6870"/>
    <w:rsid w:val="7B602807"/>
    <w:rsid w:val="7B645BD1"/>
    <w:rsid w:val="7B9664B7"/>
    <w:rsid w:val="7BAB0EF2"/>
    <w:rsid w:val="7BC063F8"/>
    <w:rsid w:val="7BC801EF"/>
    <w:rsid w:val="7BD85994"/>
    <w:rsid w:val="7BE06CB6"/>
    <w:rsid w:val="7BE5250D"/>
    <w:rsid w:val="7BE725A8"/>
    <w:rsid w:val="7BE905FB"/>
    <w:rsid w:val="7BF56B78"/>
    <w:rsid w:val="7C2B02E0"/>
    <w:rsid w:val="7C312183"/>
    <w:rsid w:val="7C312A12"/>
    <w:rsid w:val="7C32169D"/>
    <w:rsid w:val="7C60629D"/>
    <w:rsid w:val="7C726333"/>
    <w:rsid w:val="7C80291E"/>
    <w:rsid w:val="7CAF6554"/>
    <w:rsid w:val="7CCD55CF"/>
    <w:rsid w:val="7CD21FCC"/>
    <w:rsid w:val="7CE3569C"/>
    <w:rsid w:val="7D33335B"/>
    <w:rsid w:val="7D437647"/>
    <w:rsid w:val="7D456622"/>
    <w:rsid w:val="7D5865FD"/>
    <w:rsid w:val="7D6D601C"/>
    <w:rsid w:val="7D6E545C"/>
    <w:rsid w:val="7D853519"/>
    <w:rsid w:val="7DB149CD"/>
    <w:rsid w:val="7DB766B7"/>
    <w:rsid w:val="7DC8626C"/>
    <w:rsid w:val="7DD94F0B"/>
    <w:rsid w:val="7DE253DF"/>
    <w:rsid w:val="7DE82A43"/>
    <w:rsid w:val="7DEB4663"/>
    <w:rsid w:val="7DF74F04"/>
    <w:rsid w:val="7DFF04D3"/>
    <w:rsid w:val="7E2D125A"/>
    <w:rsid w:val="7E35729A"/>
    <w:rsid w:val="7E682493"/>
    <w:rsid w:val="7E822261"/>
    <w:rsid w:val="7E965555"/>
    <w:rsid w:val="7E980E05"/>
    <w:rsid w:val="7EB85B2F"/>
    <w:rsid w:val="7EC71C88"/>
    <w:rsid w:val="7ECF6F64"/>
    <w:rsid w:val="7F145E5A"/>
    <w:rsid w:val="7F1B5C9C"/>
    <w:rsid w:val="7F380944"/>
    <w:rsid w:val="7F507E7E"/>
    <w:rsid w:val="7F56130A"/>
    <w:rsid w:val="7F635E92"/>
    <w:rsid w:val="7FD91B3E"/>
    <w:rsid w:val="7FE77193"/>
    <w:rsid w:val="7FF355F3"/>
    <w:rsid w:val="7FF5542B"/>
    <w:rsid w:val="7FFF657A"/>
    <w:rsid w:val="C77F4AAD"/>
    <w:rsid w:val="FEFE67BA"/>
    <w:rsid w:val="FFD5D6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unhideWhenUsed="0" w:uiPriority="0" w:semiHidden="0" w:name="toc 5"/>
    <w:lsdException w:qFormat="1" w:unhideWhenUsed="0" w:uiPriority="0" w:semiHidden="0" w:name="toc 6"/>
    <w:lsdException w:qFormat="1" w:unhideWhenUsed="0" w:uiPriority="0" w:semiHidden="0" w:name="toc 7"/>
    <w:lsdException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semiHidden="0" w:name="footnote reference"/>
    <w:lsdException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0" w:semiHidden="0"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9"/>
    <w:qFormat/>
    <w:uiPriority w:val="0"/>
    <w:pPr>
      <w:keepNext/>
      <w:keepLines/>
      <w:adjustRightInd w:val="0"/>
      <w:spacing w:before="120" w:line="360" w:lineRule="auto"/>
      <w:jc w:val="center"/>
      <w:textAlignment w:val="baseline"/>
      <w:outlineLvl w:val="0"/>
    </w:pPr>
    <w:rPr>
      <w:b/>
      <w:bCs/>
      <w:kern w:val="44"/>
      <w:sz w:val="32"/>
      <w:szCs w:val="20"/>
    </w:rPr>
  </w:style>
  <w:style w:type="paragraph" w:styleId="4">
    <w:name w:val="heading 2"/>
    <w:basedOn w:val="1"/>
    <w:next w:val="1"/>
    <w:link w:val="106"/>
    <w:qFormat/>
    <w:uiPriority w:val="0"/>
    <w:pPr>
      <w:keepNext/>
      <w:keepLines/>
      <w:spacing w:line="416" w:lineRule="auto"/>
      <w:outlineLvl w:val="1"/>
    </w:pPr>
    <w:rPr>
      <w:rFonts w:ascii="Arial" w:hAnsi="Arial"/>
      <w:b/>
      <w:bCs/>
      <w:szCs w:val="32"/>
    </w:rPr>
  </w:style>
  <w:style w:type="paragraph" w:styleId="5">
    <w:name w:val="heading 3"/>
    <w:basedOn w:val="1"/>
    <w:next w:val="1"/>
    <w:link w:val="202"/>
    <w:qFormat/>
    <w:uiPriority w:val="0"/>
    <w:pPr>
      <w:keepNext/>
      <w:keepLines/>
      <w:snapToGrid w:val="0"/>
      <w:spacing w:line="360" w:lineRule="auto"/>
      <w:jc w:val="left"/>
      <w:outlineLvl w:val="2"/>
    </w:pPr>
    <w:rPr>
      <w:b/>
      <w:bCs/>
      <w:sz w:val="24"/>
      <w:szCs w:val="32"/>
    </w:rPr>
  </w:style>
  <w:style w:type="paragraph" w:styleId="6">
    <w:name w:val="heading 4"/>
    <w:basedOn w:val="1"/>
    <w:next w:val="1"/>
    <w:link w:val="73"/>
    <w:qFormat/>
    <w:uiPriority w:val="0"/>
    <w:pPr>
      <w:keepNext/>
      <w:keepLines/>
      <w:spacing w:before="280" w:after="290" w:line="376" w:lineRule="auto"/>
      <w:outlineLvl w:val="3"/>
    </w:pPr>
    <w:rPr>
      <w:rFonts w:ascii="Cambria" w:hAnsi="Cambria"/>
      <w:b/>
      <w:bCs/>
      <w:sz w:val="28"/>
      <w:szCs w:val="28"/>
    </w:rPr>
  </w:style>
  <w:style w:type="paragraph" w:styleId="7">
    <w:name w:val="heading 5"/>
    <w:basedOn w:val="1"/>
    <w:next w:val="1"/>
    <w:link w:val="55"/>
    <w:qFormat/>
    <w:uiPriority w:val="0"/>
    <w:pPr>
      <w:keepNext/>
      <w:keepLines/>
      <w:spacing w:before="280" w:after="290" w:line="376" w:lineRule="auto"/>
      <w:outlineLvl w:val="4"/>
    </w:pPr>
    <w:rPr>
      <w:b/>
      <w:bCs/>
      <w:sz w:val="28"/>
      <w:szCs w:val="28"/>
    </w:rPr>
  </w:style>
  <w:style w:type="paragraph" w:styleId="8">
    <w:name w:val="heading 6"/>
    <w:basedOn w:val="1"/>
    <w:next w:val="1"/>
    <w:link w:val="110"/>
    <w:qFormat/>
    <w:uiPriority w:val="0"/>
    <w:pPr>
      <w:keepNext/>
      <w:keepLines/>
      <w:spacing w:before="240" w:after="64" w:line="320" w:lineRule="auto"/>
      <w:outlineLvl w:val="5"/>
    </w:pPr>
    <w:rPr>
      <w:rFonts w:ascii="Cambria" w:hAnsi="Cambria"/>
      <w:b/>
      <w:bCs/>
      <w:sz w:val="24"/>
    </w:rPr>
  </w:style>
  <w:style w:type="character" w:default="1" w:styleId="43">
    <w:name w:val="Default Paragraph Font"/>
    <w:semiHidden/>
    <w:unhideWhenUsed/>
    <w:qFormat/>
    <w:uiPriority w:val="1"/>
  </w:style>
  <w:style w:type="table" w:default="1" w:styleId="41">
    <w:name w:val="Normal Table"/>
    <w:semiHidden/>
    <w:unhideWhenUsed/>
    <w:uiPriority w:val="99"/>
    <w:tblPr>
      <w:tblCellMar>
        <w:top w:w="0" w:type="dxa"/>
        <w:left w:w="108" w:type="dxa"/>
        <w:bottom w:w="0" w:type="dxa"/>
        <w:right w:w="108" w:type="dxa"/>
      </w:tblCellMar>
    </w:tblPr>
  </w:style>
  <w:style w:type="paragraph" w:styleId="2">
    <w:name w:val="Title"/>
    <w:basedOn w:val="1"/>
    <w:next w:val="1"/>
    <w:link w:val="78"/>
    <w:qFormat/>
    <w:uiPriority w:val="0"/>
    <w:pPr>
      <w:spacing w:before="240" w:after="60"/>
      <w:jc w:val="center"/>
      <w:outlineLvl w:val="0"/>
    </w:pPr>
    <w:rPr>
      <w:rFonts w:ascii="Arial" w:hAnsi="Arial"/>
      <w:b/>
      <w:bCs/>
      <w:sz w:val="32"/>
      <w:szCs w:val="32"/>
    </w:rPr>
  </w:style>
  <w:style w:type="paragraph" w:styleId="9">
    <w:name w:val="toc 7"/>
    <w:basedOn w:val="1"/>
    <w:next w:val="1"/>
    <w:qFormat/>
    <w:uiPriority w:val="0"/>
    <w:pPr>
      <w:ind w:left="2520" w:leftChars="1200"/>
    </w:pPr>
    <w:rPr>
      <w:rFonts w:ascii="Calibri" w:hAnsi="Calibri"/>
      <w:szCs w:val="22"/>
    </w:rPr>
  </w:style>
  <w:style w:type="paragraph" w:styleId="10">
    <w:name w:val="List Number"/>
    <w:basedOn w:val="1"/>
    <w:qFormat/>
    <w:uiPriority w:val="0"/>
    <w:pPr>
      <w:widowControl/>
      <w:tabs>
        <w:tab w:val="left" w:pos="454"/>
        <w:tab w:val="left" w:pos="525"/>
        <w:tab w:val="left" w:pos="720"/>
      </w:tabs>
      <w:spacing w:afterLines="50"/>
      <w:ind w:left="454" w:hanging="284"/>
      <w:jc w:val="left"/>
    </w:pPr>
    <w:rPr>
      <w:kern w:val="0"/>
      <w:sz w:val="24"/>
      <w:szCs w:val="20"/>
    </w:rPr>
  </w:style>
  <w:style w:type="paragraph" w:styleId="11">
    <w:name w:val="Normal Indent"/>
    <w:basedOn w:val="1"/>
    <w:link w:val="56"/>
    <w:qFormat/>
    <w:uiPriority w:val="0"/>
    <w:pPr>
      <w:ind w:firstLine="420"/>
    </w:pPr>
    <w:rPr>
      <w:szCs w:val="20"/>
    </w:rPr>
  </w:style>
  <w:style w:type="paragraph" w:styleId="12">
    <w:name w:val="caption"/>
    <w:basedOn w:val="1"/>
    <w:next w:val="1"/>
    <w:qFormat/>
    <w:uiPriority w:val="0"/>
    <w:pPr>
      <w:spacing w:before="152" w:after="160"/>
    </w:pPr>
    <w:rPr>
      <w:rFonts w:ascii="Arial" w:hAnsi="Arial" w:eastAsia="黑体" w:cs="Arial"/>
      <w:sz w:val="20"/>
      <w:szCs w:val="20"/>
    </w:rPr>
  </w:style>
  <w:style w:type="paragraph" w:styleId="13">
    <w:name w:val="Document Map"/>
    <w:basedOn w:val="1"/>
    <w:link w:val="71"/>
    <w:uiPriority w:val="0"/>
    <w:rPr>
      <w:rFonts w:ascii="宋体"/>
      <w:sz w:val="18"/>
      <w:szCs w:val="18"/>
    </w:rPr>
  </w:style>
  <w:style w:type="paragraph" w:styleId="14">
    <w:name w:val="annotation text"/>
    <w:basedOn w:val="1"/>
    <w:link w:val="82"/>
    <w:uiPriority w:val="0"/>
    <w:pPr>
      <w:jc w:val="left"/>
    </w:pPr>
  </w:style>
  <w:style w:type="paragraph" w:styleId="15">
    <w:name w:val="Body Text 3"/>
    <w:basedOn w:val="1"/>
    <w:link w:val="101"/>
    <w:uiPriority w:val="0"/>
    <w:pPr>
      <w:spacing w:after="120"/>
    </w:pPr>
    <w:rPr>
      <w:sz w:val="16"/>
      <w:szCs w:val="16"/>
    </w:rPr>
  </w:style>
  <w:style w:type="paragraph" w:styleId="16">
    <w:name w:val="Body Text"/>
    <w:basedOn w:val="1"/>
    <w:link w:val="100"/>
    <w:qFormat/>
    <w:uiPriority w:val="0"/>
    <w:pPr>
      <w:spacing w:after="120"/>
    </w:pPr>
  </w:style>
  <w:style w:type="paragraph" w:styleId="17">
    <w:name w:val="Body Text Indent"/>
    <w:basedOn w:val="1"/>
    <w:link w:val="103"/>
    <w:qFormat/>
    <w:uiPriority w:val="0"/>
    <w:pPr>
      <w:spacing w:after="120"/>
      <w:ind w:left="420" w:leftChars="200"/>
    </w:pPr>
  </w:style>
  <w:style w:type="paragraph" w:styleId="18">
    <w:name w:val="List 2"/>
    <w:basedOn w:val="1"/>
    <w:qFormat/>
    <w:uiPriority w:val="0"/>
    <w:pPr>
      <w:ind w:left="100" w:leftChars="200" w:hanging="200" w:hangingChars="200"/>
    </w:pPr>
  </w:style>
  <w:style w:type="paragraph" w:styleId="19">
    <w:name w:val="toc 5"/>
    <w:basedOn w:val="1"/>
    <w:next w:val="1"/>
    <w:uiPriority w:val="0"/>
    <w:pPr>
      <w:ind w:left="1680" w:leftChars="800"/>
    </w:pPr>
    <w:rPr>
      <w:rFonts w:ascii="Calibri" w:hAnsi="Calibri"/>
      <w:szCs w:val="22"/>
    </w:rPr>
  </w:style>
  <w:style w:type="paragraph" w:styleId="20">
    <w:name w:val="toc 3"/>
    <w:basedOn w:val="1"/>
    <w:next w:val="1"/>
    <w:qFormat/>
    <w:uiPriority w:val="39"/>
    <w:pPr>
      <w:ind w:left="840" w:leftChars="400"/>
    </w:pPr>
  </w:style>
  <w:style w:type="paragraph" w:styleId="21">
    <w:name w:val="Plain Text"/>
    <w:basedOn w:val="1"/>
    <w:link w:val="108"/>
    <w:qFormat/>
    <w:uiPriority w:val="0"/>
    <w:pPr>
      <w:spacing w:beforeLines="50" w:afterLines="50" w:line="400" w:lineRule="exact"/>
    </w:pPr>
    <w:rPr>
      <w:rFonts w:ascii="宋体" w:hAnsi="Courier New"/>
      <w:sz w:val="24"/>
    </w:rPr>
  </w:style>
  <w:style w:type="paragraph" w:styleId="22">
    <w:name w:val="toc 8"/>
    <w:basedOn w:val="1"/>
    <w:next w:val="1"/>
    <w:uiPriority w:val="0"/>
    <w:pPr>
      <w:ind w:left="2940" w:leftChars="1400"/>
    </w:pPr>
    <w:rPr>
      <w:rFonts w:ascii="Calibri" w:hAnsi="Calibri"/>
      <w:szCs w:val="22"/>
    </w:rPr>
  </w:style>
  <w:style w:type="paragraph" w:styleId="23">
    <w:name w:val="Date"/>
    <w:basedOn w:val="1"/>
    <w:next w:val="1"/>
    <w:link w:val="59"/>
    <w:uiPriority w:val="0"/>
    <w:pPr>
      <w:ind w:left="100" w:leftChars="2500"/>
    </w:pPr>
  </w:style>
  <w:style w:type="paragraph" w:styleId="24">
    <w:name w:val="Body Text Indent 2"/>
    <w:basedOn w:val="1"/>
    <w:link w:val="94"/>
    <w:qFormat/>
    <w:uiPriority w:val="0"/>
    <w:pPr>
      <w:snapToGrid w:val="0"/>
      <w:ind w:firstLine="542" w:firstLineChars="225"/>
    </w:pPr>
    <w:rPr>
      <w:rFonts w:ascii="仿宋_GB2312" w:hAnsi="宋体"/>
      <w:b/>
      <w:bCs/>
      <w:color w:val="000000"/>
      <w:sz w:val="24"/>
    </w:rPr>
  </w:style>
  <w:style w:type="paragraph" w:styleId="25">
    <w:name w:val="Balloon Text"/>
    <w:basedOn w:val="1"/>
    <w:link w:val="109"/>
    <w:qFormat/>
    <w:uiPriority w:val="0"/>
    <w:rPr>
      <w:sz w:val="18"/>
      <w:szCs w:val="18"/>
    </w:rPr>
  </w:style>
  <w:style w:type="paragraph" w:styleId="26">
    <w:name w:val="footer"/>
    <w:basedOn w:val="1"/>
    <w:link w:val="81"/>
    <w:uiPriority w:val="99"/>
    <w:pPr>
      <w:tabs>
        <w:tab w:val="center" w:pos="4153"/>
        <w:tab w:val="right" w:pos="8306"/>
      </w:tabs>
      <w:snapToGrid w:val="0"/>
      <w:jc w:val="left"/>
    </w:pPr>
    <w:rPr>
      <w:rFonts w:eastAsia="黑体"/>
      <w:snapToGrid w:val="0"/>
      <w:kern w:val="0"/>
      <w:sz w:val="18"/>
      <w:szCs w:val="18"/>
    </w:rPr>
  </w:style>
  <w:style w:type="paragraph" w:styleId="27">
    <w:name w:val="header"/>
    <w:basedOn w:val="1"/>
    <w:link w:val="69"/>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right" w:leader="dot" w:pos="9060"/>
      </w:tabs>
      <w:spacing w:before="10" w:after="10"/>
    </w:pPr>
  </w:style>
  <w:style w:type="paragraph" w:styleId="29">
    <w:name w:val="toc 4"/>
    <w:basedOn w:val="1"/>
    <w:next w:val="1"/>
    <w:qFormat/>
    <w:uiPriority w:val="0"/>
    <w:pPr>
      <w:ind w:left="1260" w:leftChars="600"/>
    </w:pPr>
    <w:rPr>
      <w:rFonts w:ascii="Calibri" w:hAnsi="Calibri"/>
      <w:szCs w:val="22"/>
    </w:rPr>
  </w:style>
  <w:style w:type="paragraph" w:styleId="30">
    <w:name w:val="List"/>
    <w:basedOn w:val="1"/>
    <w:uiPriority w:val="0"/>
    <w:pPr>
      <w:ind w:left="200" w:hanging="200" w:hangingChars="200"/>
    </w:pPr>
  </w:style>
  <w:style w:type="paragraph" w:styleId="31">
    <w:name w:val="footnote text"/>
    <w:basedOn w:val="1"/>
    <w:link w:val="96"/>
    <w:qFormat/>
    <w:uiPriority w:val="0"/>
    <w:pPr>
      <w:snapToGrid w:val="0"/>
      <w:jc w:val="left"/>
    </w:pPr>
    <w:rPr>
      <w:rFonts w:ascii="Tahoma" w:hAnsi="Tahoma"/>
      <w:sz w:val="18"/>
      <w:szCs w:val="18"/>
    </w:rPr>
  </w:style>
  <w:style w:type="paragraph" w:styleId="32">
    <w:name w:val="toc 6"/>
    <w:basedOn w:val="1"/>
    <w:next w:val="1"/>
    <w:qFormat/>
    <w:uiPriority w:val="0"/>
    <w:pPr>
      <w:ind w:left="2100" w:leftChars="1000"/>
    </w:pPr>
    <w:rPr>
      <w:rFonts w:ascii="Calibri" w:hAnsi="Calibri"/>
      <w:szCs w:val="22"/>
    </w:rPr>
  </w:style>
  <w:style w:type="paragraph" w:styleId="33">
    <w:name w:val="Body Text Indent 3"/>
    <w:basedOn w:val="1"/>
    <w:link w:val="66"/>
    <w:qFormat/>
    <w:uiPriority w:val="0"/>
    <w:pPr>
      <w:spacing w:line="360" w:lineRule="auto"/>
      <w:ind w:firstLine="420" w:firstLineChars="200"/>
    </w:pPr>
    <w:rPr>
      <w:szCs w:val="20"/>
    </w:rPr>
  </w:style>
  <w:style w:type="paragraph" w:styleId="34">
    <w:name w:val="toc 2"/>
    <w:basedOn w:val="1"/>
    <w:next w:val="1"/>
    <w:qFormat/>
    <w:uiPriority w:val="39"/>
    <w:pPr>
      <w:tabs>
        <w:tab w:val="left" w:pos="1470"/>
        <w:tab w:val="right" w:leader="dot" w:pos="9060"/>
      </w:tabs>
      <w:ind w:left="420" w:leftChars="200" w:firstLine="430" w:firstLineChars="205"/>
    </w:pPr>
  </w:style>
  <w:style w:type="paragraph" w:styleId="35">
    <w:name w:val="toc 9"/>
    <w:basedOn w:val="1"/>
    <w:next w:val="1"/>
    <w:qFormat/>
    <w:uiPriority w:val="0"/>
    <w:pPr>
      <w:ind w:left="3360" w:leftChars="1600"/>
    </w:pPr>
    <w:rPr>
      <w:rFonts w:ascii="Calibri" w:hAnsi="Calibri"/>
      <w:szCs w:val="22"/>
    </w:rPr>
  </w:style>
  <w:style w:type="paragraph" w:styleId="36">
    <w:name w:val="HTML Preformatted"/>
    <w:basedOn w:val="1"/>
    <w:link w:val="62"/>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37">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8">
    <w:name w:val="annotation subject"/>
    <w:basedOn w:val="14"/>
    <w:next w:val="14"/>
    <w:link w:val="64"/>
    <w:uiPriority w:val="0"/>
  </w:style>
  <w:style w:type="paragraph" w:styleId="39">
    <w:name w:val="Body Text First Indent"/>
    <w:basedOn w:val="16"/>
    <w:link w:val="92"/>
    <w:qFormat/>
    <w:uiPriority w:val="0"/>
    <w:pPr>
      <w:ind w:firstLine="420" w:firstLineChars="100"/>
    </w:pPr>
    <w:rPr>
      <w:szCs w:val="22"/>
    </w:rPr>
  </w:style>
  <w:style w:type="paragraph" w:styleId="40">
    <w:name w:val="Body Text First Indent 2"/>
    <w:basedOn w:val="17"/>
    <w:qFormat/>
    <w:uiPriority w:val="0"/>
    <w:pPr>
      <w:autoSpaceDE w:val="0"/>
      <w:autoSpaceDN w:val="0"/>
      <w:adjustRightInd w:val="0"/>
      <w:ind w:firstLine="420" w:firstLineChars="200"/>
      <w:jc w:val="left"/>
    </w:pPr>
  </w:style>
  <w:style w:type="table" w:styleId="42">
    <w:name w:val="Table Grid"/>
    <w:basedOn w:val="4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4">
    <w:name w:val="page number"/>
    <w:qFormat/>
    <w:uiPriority w:val="0"/>
    <w:rPr>
      <w:rFonts w:ascii="Times New Roman" w:hAnsi="Times New Roman" w:eastAsia="宋体" w:cs="Times New Roman"/>
    </w:rPr>
  </w:style>
  <w:style w:type="character" w:styleId="45">
    <w:name w:val="FollowedHyperlink"/>
    <w:qFormat/>
    <w:uiPriority w:val="0"/>
    <w:rPr>
      <w:rFonts w:ascii="Times New Roman" w:hAnsi="Times New Roman" w:eastAsia="宋体" w:cs="Times New Roman"/>
      <w:color w:val="000000"/>
      <w:u w:val="none"/>
    </w:rPr>
  </w:style>
  <w:style w:type="character" w:styleId="46">
    <w:name w:val="Emphasis"/>
    <w:qFormat/>
    <w:uiPriority w:val="0"/>
    <w:rPr>
      <w:rFonts w:ascii="Times New Roman" w:hAnsi="Times New Roman" w:eastAsia="幼圆" w:cs="Times New Roman"/>
      <w:b/>
      <w:caps/>
      <w:spacing w:val="10"/>
      <w:sz w:val="18"/>
    </w:rPr>
  </w:style>
  <w:style w:type="character" w:styleId="47">
    <w:name w:val="Hyperlink"/>
    <w:uiPriority w:val="99"/>
    <w:rPr>
      <w:rFonts w:ascii="Times New Roman" w:hAnsi="Times New Roman" w:eastAsia="宋体" w:cs="Times New Roman"/>
      <w:color w:val="000000"/>
      <w:u w:val="none"/>
    </w:rPr>
  </w:style>
  <w:style w:type="character" w:styleId="48">
    <w:name w:val="annotation reference"/>
    <w:uiPriority w:val="0"/>
    <w:rPr>
      <w:rFonts w:ascii="Times New Roman" w:hAnsi="Times New Roman" w:eastAsia="宋体" w:cs="Times New Roman"/>
      <w:sz w:val="21"/>
      <w:szCs w:val="21"/>
    </w:rPr>
  </w:style>
  <w:style w:type="character" w:styleId="49">
    <w:name w:val="footnote reference"/>
    <w:uiPriority w:val="0"/>
    <w:rPr>
      <w:rFonts w:ascii="Tahoma" w:hAnsi="Tahoma" w:eastAsia="宋体" w:cs="Times New Roman"/>
      <w:kern w:val="2"/>
      <w:sz w:val="24"/>
      <w:szCs w:val="24"/>
      <w:vertAlign w:val="superscript"/>
      <w:lang w:val="en-US" w:eastAsia="zh-CN" w:bidi="ar-SA"/>
    </w:rPr>
  </w:style>
  <w:style w:type="character" w:customStyle="1" w:styleId="50">
    <w:name w:val="正文缩进 Char1"/>
    <w:link w:val="51"/>
    <w:uiPriority w:val="0"/>
    <w:rPr>
      <w:rFonts w:ascii="Times New Roman" w:hAnsi="Times New Roman" w:eastAsia="宋体" w:cs="Times New Roman"/>
    </w:rPr>
  </w:style>
  <w:style w:type="paragraph" w:customStyle="1" w:styleId="51">
    <w:name w:val="正文缩进1"/>
    <w:basedOn w:val="1"/>
    <w:link w:val="50"/>
    <w:qFormat/>
    <w:uiPriority w:val="0"/>
    <w:pPr>
      <w:widowControl/>
      <w:ind w:firstLine="420"/>
      <w:jc w:val="left"/>
    </w:pPr>
    <w:rPr>
      <w:kern w:val="0"/>
      <w:sz w:val="20"/>
      <w:szCs w:val="20"/>
    </w:rPr>
  </w:style>
  <w:style w:type="character" w:customStyle="1" w:styleId="52">
    <w:name w:val="标书1 Char"/>
    <w:uiPriority w:val="0"/>
    <w:rPr>
      <w:rFonts w:hint="eastAsia" w:ascii="宋体" w:hAnsi="宋体" w:eastAsia="宋体" w:cs="宋体"/>
      <w:bCs/>
      <w:kern w:val="44"/>
      <w:sz w:val="44"/>
      <w:lang w:val="en-US" w:eastAsia="zh-CN"/>
    </w:rPr>
  </w:style>
  <w:style w:type="character" w:customStyle="1" w:styleId="53">
    <w:name w:val="无间隔 字符"/>
    <w:link w:val="54"/>
    <w:uiPriority w:val="0"/>
    <w:rPr>
      <w:rFonts w:ascii="Calibri" w:hAnsi="Calibri"/>
      <w:sz w:val="22"/>
      <w:szCs w:val="22"/>
      <w:lang w:val="en-US" w:eastAsia="zh-CN" w:bidi="ar-SA"/>
    </w:rPr>
  </w:style>
  <w:style w:type="paragraph" w:styleId="54">
    <w:name w:val="No Spacing"/>
    <w:link w:val="53"/>
    <w:qFormat/>
    <w:uiPriority w:val="0"/>
    <w:rPr>
      <w:rFonts w:ascii="Calibri" w:hAnsi="Calibri" w:eastAsia="宋体" w:cs="Times New Roman"/>
      <w:sz w:val="22"/>
      <w:szCs w:val="22"/>
      <w:lang w:val="en-US" w:eastAsia="zh-CN" w:bidi="ar-SA"/>
    </w:rPr>
  </w:style>
  <w:style w:type="character" w:customStyle="1" w:styleId="55">
    <w:name w:val="标题 5 字符"/>
    <w:link w:val="7"/>
    <w:qFormat/>
    <w:uiPriority w:val="0"/>
    <w:rPr>
      <w:rFonts w:ascii="Times New Roman" w:hAnsi="Times New Roman" w:eastAsia="宋体" w:cs="Times New Roman"/>
      <w:b/>
      <w:bCs/>
      <w:kern w:val="2"/>
      <w:sz w:val="28"/>
      <w:szCs w:val="28"/>
    </w:rPr>
  </w:style>
  <w:style w:type="character" w:customStyle="1" w:styleId="56">
    <w:name w:val="正文缩进 字符"/>
    <w:link w:val="11"/>
    <w:qFormat/>
    <w:uiPriority w:val="0"/>
    <w:rPr>
      <w:rFonts w:ascii="Times New Roman" w:hAnsi="Times New Roman" w:eastAsia="宋体" w:cs="Times New Roman"/>
      <w:kern w:val="2"/>
      <w:sz w:val="21"/>
      <w:lang w:val="en-US" w:eastAsia="zh-CN" w:bidi="ar-SA"/>
    </w:rPr>
  </w:style>
  <w:style w:type="character" w:customStyle="1" w:styleId="57">
    <w:name w:val="List Paragraph Char"/>
    <w:link w:val="58"/>
    <w:qFormat/>
    <w:uiPriority w:val="0"/>
    <w:rPr>
      <w:rFonts w:ascii="Calibri" w:hAnsi="Calibri" w:eastAsia="宋体" w:cs="Times New Roman"/>
      <w:kern w:val="2"/>
      <w:sz w:val="21"/>
      <w:szCs w:val="22"/>
    </w:rPr>
  </w:style>
  <w:style w:type="paragraph" w:customStyle="1" w:styleId="58">
    <w:name w:val="列出段落1"/>
    <w:basedOn w:val="1"/>
    <w:link w:val="57"/>
    <w:qFormat/>
    <w:uiPriority w:val="0"/>
    <w:pPr>
      <w:ind w:firstLine="420" w:firstLineChars="200"/>
    </w:pPr>
    <w:rPr>
      <w:rFonts w:ascii="Calibri" w:hAnsi="Calibri"/>
      <w:szCs w:val="22"/>
    </w:rPr>
  </w:style>
  <w:style w:type="character" w:customStyle="1" w:styleId="59">
    <w:name w:val="日期 字符"/>
    <w:link w:val="23"/>
    <w:uiPriority w:val="0"/>
    <w:rPr>
      <w:rFonts w:ascii="Times New Roman" w:hAnsi="Times New Roman" w:eastAsia="宋体" w:cs="Times New Roman"/>
      <w:kern w:val="2"/>
      <w:sz w:val="21"/>
      <w:szCs w:val="24"/>
    </w:rPr>
  </w:style>
  <w:style w:type="character" w:customStyle="1" w:styleId="60">
    <w:name w:val="hui"/>
    <w:uiPriority w:val="0"/>
    <w:rPr>
      <w:rFonts w:ascii="Times New Roman" w:hAnsi="Times New Roman" w:eastAsia="宋体" w:cs="Times New Roman"/>
    </w:rPr>
  </w:style>
  <w:style w:type="character" w:customStyle="1" w:styleId="61">
    <w:name w:val="apple-converted-space"/>
    <w:uiPriority w:val="0"/>
    <w:rPr>
      <w:rFonts w:ascii="Times New Roman" w:hAnsi="Times New Roman" w:eastAsia="宋体" w:cs="Times New Roman"/>
    </w:rPr>
  </w:style>
  <w:style w:type="character" w:customStyle="1" w:styleId="62">
    <w:name w:val="HTML 预设格式 字符"/>
    <w:link w:val="36"/>
    <w:uiPriority w:val="0"/>
    <w:rPr>
      <w:rFonts w:ascii="Arial" w:hAnsi="Arial" w:eastAsia="宋体" w:cs="Arial"/>
      <w:sz w:val="24"/>
      <w:szCs w:val="24"/>
    </w:rPr>
  </w:style>
  <w:style w:type="character" w:customStyle="1" w:styleId="63">
    <w:name w:val="普通文字 Char Char1"/>
    <w:uiPriority w:val="0"/>
    <w:rPr>
      <w:rFonts w:hint="eastAsia" w:ascii="宋体" w:hAnsi="Courier New" w:eastAsia="宋体" w:cs="宋体"/>
      <w:kern w:val="2"/>
      <w:sz w:val="24"/>
      <w:szCs w:val="24"/>
      <w:lang w:val="en-US" w:eastAsia="zh-CN"/>
    </w:rPr>
  </w:style>
  <w:style w:type="character" w:customStyle="1" w:styleId="64">
    <w:name w:val="批注主题 字符"/>
    <w:link w:val="38"/>
    <w:uiPriority w:val="0"/>
    <w:rPr>
      <w:rFonts w:ascii="Times New Roman" w:hAnsi="Times New Roman" w:eastAsia="宋体" w:cs="Times New Roman"/>
      <w:kern w:val="2"/>
      <w:sz w:val="21"/>
      <w:szCs w:val="24"/>
    </w:rPr>
  </w:style>
  <w:style w:type="character" w:styleId="65">
    <w:name w:val="Placeholder Text"/>
    <w:uiPriority w:val="0"/>
    <w:rPr>
      <w:rFonts w:ascii="Times New Roman" w:hAnsi="Times New Roman" w:eastAsia="宋体" w:cs="Times New Roman"/>
      <w:color w:val="808080"/>
    </w:rPr>
  </w:style>
  <w:style w:type="character" w:customStyle="1" w:styleId="66">
    <w:name w:val="正文文本缩进 3 字符"/>
    <w:link w:val="33"/>
    <w:uiPriority w:val="0"/>
    <w:rPr>
      <w:rFonts w:ascii="Times New Roman" w:hAnsi="Times New Roman" w:eastAsia="宋体" w:cs="Times New Roman"/>
      <w:kern w:val="2"/>
      <w:sz w:val="21"/>
    </w:rPr>
  </w:style>
  <w:style w:type="character" w:customStyle="1" w:styleId="67">
    <w:name w:val="样式 首行缩进:  0.74 厘米 Char"/>
    <w:link w:val="68"/>
    <w:qFormat/>
    <w:uiPriority w:val="0"/>
    <w:rPr>
      <w:rFonts w:ascii="宋体" w:hAnsi="宋体" w:eastAsia="宋体" w:cs="宋体"/>
      <w:b/>
      <w:kern w:val="2"/>
      <w:sz w:val="24"/>
      <w:szCs w:val="24"/>
    </w:rPr>
  </w:style>
  <w:style w:type="paragraph" w:customStyle="1" w:styleId="68">
    <w:name w:val="样式 首行缩进:  0.74 厘米"/>
    <w:basedOn w:val="1"/>
    <w:link w:val="67"/>
    <w:qFormat/>
    <w:uiPriority w:val="0"/>
    <w:pPr>
      <w:tabs>
        <w:tab w:val="left" w:pos="851"/>
      </w:tabs>
      <w:spacing w:line="360" w:lineRule="auto"/>
    </w:pPr>
    <w:rPr>
      <w:rFonts w:ascii="宋体" w:hAnsi="宋体"/>
      <w:b/>
      <w:sz w:val="24"/>
    </w:rPr>
  </w:style>
  <w:style w:type="character" w:customStyle="1" w:styleId="69">
    <w:name w:val="页眉 字符"/>
    <w:link w:val="27"/>
    <w:uiPriority w:val="0"/>
    <w:rPr>
      <w:rFonts w:ascii="Times New Roman" w:hAnsi="Times New Roman" w:eastAsia="宋体" w:cs="Times New Roman"/>
      <w:kern w:val="2"/>
      <w:sz w:val="18"/>
      <w:szCs w:val="18"/>
    </w:rPr>
  </w:style>
  <w:style w:type="character" w:customStyle="1" w:styleId="70">
    <w:name w:val="纯文本 Char1"/>
    <w:uiPriority w:val="0"/>
    <w:rPr>
      <w:rFonts w:ascii="宋体" w:hAnsi="Courier New" w:eastAsia="宋体" w:cs="Times New Roman"/>
      <w:szCs w:val="20"/>
    </w:rPr>
  </w:style>
  <w:style w:type="character" w:customStyle="1" w:styleId="71">
    <w:name w:val="文档结构图 字符"/>
    <w:link w:val="13"/>
    <w:uiPriority w:val="0"/>
    <w:rPr>
      <w:rFonts w:ascii="宋体" w:hAnsi="Times New Roman" w:eastAsia="宋体" w:cs="Times New Roman"/>
      <w:kern w:val="2"/>
      <w:sz w:val="18"/>
      <w:szCs w:val="18"/>
    </w:rPr>
  </w:style>
  <w:style w:type="character" w:customStyle="1" w:styleId="72">
    <w:name w:val="正文文本 Char"/>
    <w:uiPriority w:val="0"/>
    <w:rPr>
      <w:rFonts w:ascii="Times New Roman" w:hAnsi="Times New Roman" w:eastAsia="宋体" w:cs="Times New Roman"/>
      <w:kern w:val="2"/>
      <w:sz w:val="21"/>
      <w:szCs w:val="24"/>
    </w:rPr>
  </w:style>
  <w:style w:type="character" w:customStyle="1" w:styleId="73">
    <w:name w:val="标题 4 字符"/>
    <w:link w:val="6"/>
    <w:uiPriority w:val="0"/>
    <w:rPr>
      <w:rFonts w:ascii="Cambria" w:hAnsi="Cambria" w:eastAsia="宋体" w:cs="Times New Roman"/>
      <w:b/>
      <w:bCs/>
      <w:kern w:val="2"/>
      <w:sz w:val="28"/>
      <w:szCs w:val="28"/>
    </w:rPr>
  </w:style>
  <w:style w:type="character" w:customStyle="1" w:styleId="74">
    <w:name w:val="font01"/>
    <w:uiPriority w:val="0"/>
    <w:rPr>
      <w:rFonts w:hint="eastAsia" w:ascii="宋体" w:hAnsi="宋体" w:eastAsia="宋体" w:cs="宋体"/>
      <w:color w:val="000000"/>
      <w:kern w:val="0"/>
      <w:sz w:val="24"/>
      <w:szCs w:val="24"/>
      <w:u w:val="none"/>
    </w:rPr>
  </w:style>
  <w:style w:type="character" w:customStyle="1" w:styleId="75">
    <w:name w:val="正文文本缩进 3 Char1"/>
    <w:uiPriority w:val="0"/>
    <w:rPr>
      <w:rFonts w:ascii="Times New Roman" w:hAnsi="Times New Roman" w:eastAsia="宋体" w:cs="Times New Roman"/>
      <w:kern w:val="2"/>
      <w:sz w:val="16"/>
      <w:szCs w:val="16"/>
    </w:rPr>
  </w:style>
  <w:style w:type="character" w:customStyle="1" w:styleId="76">
    <w:name w:val="列出段落 Char"/>
    <w:link w:val="77"/>
    <w:uiPriority w:val="0"/>
    <w:rPr>
      <w:rFonts w:ascii="Times New Roman" w:hAnsi="Times New Roman" w:eastAsia="宋体" w:cs="Times New Roman"/>
      <w:kern w:val="2"/>
      <w:sz w:val="21"/>
      <w:szCs w:val="24"/>
    </w:rPr>
  </w:style>
  <w:style w:type="paragraph" w:customStyle="1" w:styleId="77">
    <w:name w:val="列出段落2"/>
    <w:basedOn w:val="1"/>
    <w:link w:val="76"/>
    <w:qFormat/>
    <w:uiPriority w:val="0"/>
    <w:pPr>
      <w:ind w:firstLine="420" w:firstLineChars="200"/>
    </w:pPr>
  </w:style>
  <w:style w:type="character" w:customStyle="1" w:styleId="78">
    <w:name w:val="标题 字符"/>
    <w:link w:val="2"/>
    <w:uiPriority w:val="0"/>
    <w:rPr>
      <w:rFonts w:ascii="Arial" w:hAnsi="Arial" w:eastAsia="宋体" w:cs="Arial"/>
      <w:b/>
      <w:bCs/>
      <w:kern w:val="2"/>
      <w:sz w:val="32"/>
      <w:szCs w:val="32"/>
    </w:rPr>
  </w:style>
  <w:style w:type="character" w:customStyle="1" w:styleId="79">
    <w:name w:val="脚注文本 Char1"/>
    <w:uiPriority w:val="0"/>
    <w:rPr>
      <w:rFonts w:ascii="Times New Roman" w:hAnsi="Times New Roman" w:eastAsia="宋体" w:cs="Times New Roman"/>
      <w:kern w:val="2"/>
      <w:sz w:val="18"/>
      <w:szCs w:val="18"/>
    </w:rPr>
  </w:style>
  <w:style w:type="character" w:customStyle="1" w:styleId="80">
    <w:name w:val="Heading 2 Hidden Char2"/>
    <w:uiPriority w:val="0"/>
    <w:rPr>
      <w:rFonts w:ascii="Arial" w:hAnsi="Arial" w:eastAsia="黑体" w:cs="Times New Roman"/>
      <w:b/>
      <w:bCs/>
      <w:kern w:val="2"/>
      <w:sz w:val="32"/>
      <w:szCs w:val="32"/>
      <w:lang w:val="en-US" w:eastAsia="zh-CN" w:bidi="ar-SA"/>
    </w:rPr>
  </w:style>
  <w:style w:type="character" w:customStyle="1" w:styleId="81">
    <w:name w:val="页脚 字符1"/>
    <w:link w:val="26"/>
    <w:uiPriority w:val="0"/>
    <w:rPr>
      <w:rFonts w:ascii="Times New Roman" w:hAnsi="Times New Roman" w:eastAsia="黑体" w:cs="Times New Roman"/>
      <w:snapToGrid w:val="0"/>
      <w:sz w:val="18"/>
      <w:szCs w:val="18"/>
    </w:rPr>
  </w:style>
  <w:style w:type="character" w:customStyle="1" w:styleId="82">
    <w:name w:val="批注文字 字符"/>
    <w:link w:val="14"/>
    <w:uiPriority w:val="0"/>
    <w:rPr>
      <w:rFonts w:ascii="Times New Roman" w:hAnsi="Times New Roman" w:eastAsia="宋体" w:cs="Times New Roman"/>
      <w:kern w:val="2"/>
      <w:sz w:val="21"/>
      <w:szCs w:val="24"/>
    </w:rPr>
  </w:style>
  <w:style w:type="character" w:customStyle="1" w:styleId="83">
    <w:name w:val="正文小标题 Char"/>
    <w:uiPriority w:val="0"/>
    <w:rPr>
      <w:rFonts w:ascii="Times New Roman" w:hAnsi="Times New Roman" w:eastAsia="宋体" w:cs="Times New Roman"/>
      <w:kern w:val="2"/>
      <w:sz w:val="21"/>
      <w:szCs w:val="24"/>
    </w:rPr>
  </w:style>
  <w:style w:type="character" w:customStyle="1" w:styleId="84">
    <w:name w:val="正文二级标题 Char"/>
    <w:uiPriority w:val="0"/>
    <w:rPr>
      <w:rFonts w:hint="default" w:ascii="Arial" w:hAnsi="Arial" w:eastAsia="黑体" w:cs="Arial"/>
      <w:b/>
      <w:kern w:val="2"/>
      <w:sz w:val="32"/>
      <w:szCs w:val="32"/>
      <w:lang w:val="en-US" w:eastAsia="zh-CN"/>
    </w:rPr>
  </w:style>
  <w:style w:type="character" w:customStyle="1" w:styleId="85">
    <w:name w:val="15"/>
    <w:uiPriority w:val="0"/>
    <w:rPr>
      <w:rFonts w:hint="eastAsia" w:ascii="宋体" w:hAnsi="宋体" w:eastAsia="宋体" w:cs="Times New Roman"/>
      <w:b/>
      <w:bCs/>
      <w:color w:val="000000"/>
      <w:sz w:val="18"/>
      <w:szCs w:val="18"/>
    </w:rPr>
  </w:style>
  <w:style w:type="character" w:customStyle="1" w:styleId="86">
    <w:name w:val="文档结构图 Char"/>
    <w:link w:val="87"/>
    <w:uiPriority w:val="0"/>
    <w:rPr>
      <w:rFonts w:ascii="宋体" w:hAnsi="Times New Roman" w:eastAsia="宋体" w:cs="Times New Roman"/>
      <w:sz w:val="18"/>
      <w:szCs w:val="18"/>
    </w:rPr>
  </w:style>
  <w:style w:type="paragraph" w:customStyle="1" w:styleId="87">
    <w:name w:val="文档结构图1"/>
    <w:basedOn w:val="1"/>
    <w:link w:val="86"/>
    <w:qFormat/>
    <w:uiPriority w:val="0"/>
    <w:rPr>
      <w:rFonts w:ascii="宋体"/>
      <w:kern w:val="0"/>
      <w:sz w:val="18"/>
      <w:szCs w:val="18"/>
    </w:rPr>
  </w:style>
  <w:style w:type="character" w:customStyle="1" w:styleId="88">
    <w:name w:val="16"/>
    <w:qFormat/>
    <w:uiPriority w:val="0"/>
    <w:rPr>
      <w:rFonts w:hint="eastAsia" w:ascii="宋体" w:hAnsi="宋体" w:eastAsia="宋体" w:cs="Times New Roman"/>
      <w:color w:val="000000"/>
      <w:sz w:val="18"/>
      <w:szCs w:val="18"/>
    </w:rPr>
  </w:style>
  <w:style w:type="character" w:customStyle="1" w:styleId="89">
    <w:name w:val="标题 1 字符"/>
    <w:link w:val="3"/>
    <w:uiPriority w:val="0"/>
    <w:rPr>
      <w:rFonts w:ascii="Times New Roman" w:hAnsi="Times New Roman" w:eastAsia="宋体" w:cs="Times New Roman"/>
      <w:b/>
      <w:bCs/>
      <w:kern w:val="44"/>
      <w:sz w:val="32"/>
      <w:lang w:val="en-US" w:eastAsia="zh-CN" w:bidi="ar-SA"/>
    </w:rPr>
  </w:style>
  <w:style w:type="character" w:customStyle="1" w:styleId="90">
    <w:name w:val="p141"/>
    <w:qFormat/>
    <w:uiPriority w:val="0"/>
    <w:rPr>
      <w:rFonts w:ascii="Times New Roman" w:hAnsi="Times New Roman" w:eastAsia="宋体" w:cs="Times New Roman"/>
      <w:sz w:val="21"/>
      <w:szCs w:val="21"/>
      <w:u w:val="none"/>
    </w:rPr>
  </w:style>
  <w:style w:type="character" w:customStyle="1" w:styleId="91">
    <w:name w:val="ca-39"/>
    <w:qFormat/>
    <w:uiPriority w:val="0"/>
    <w:rPr>
      <w:rFonts w:ascii="Times New Roman" w:hAnsi="Times New Roman" w:eastAsia="宋体" w:cs="Times New Roman"/>
    </w:rPr>
  </w:style>
  <w:style w:type="character" w:customStyle="1" w:styleId="92">
    <w:name w:val="正文文本首行缩进 字符"/>
    <w:link w:val="39"/>
    <w:qFormat/>
    <w:uiPriority w:val="0"/>
    <w:rPr>
      <w:rFonts w:ascii="Times New Roman" w:hAnsi="Times New Roman" w:eastAsia="宋体" w:cs="Times New Roman"/>
      <w:kern w:val="2"/>
      <w:sz w:val="21"/>
      <w:szCs w:val="22"/>
    </w:rPr>
  </w:style>
  <w:style w:type="character" w:customStyle="1" w:styleId="93">
    <w:name w:val="h2 Char"/>
    <w:qFormat/>
    <w:uiPriority w:val="0"/>
    <w:rPr>
      <w:rFonts w:ascii="Arial" w:hAnsi="Arial" w:eastAsia="黑体" w:cs="Times New Roman"/>
      <w:b/>
      <w:bCs/>
      <w:kern w:val="2"/>
      <w:sz w:val="32"/>
      <w:szCs w:val="32"/>
      <w:lang w:val="en-US" w:eastAsia="zh-CN" w:bidi="ar-SA"/>
    </w:rPr>
  </w:style>
  <w:style w:type="character" w:customStyle="1" w:styleId="94">
    <w:name w:val="正文文本缩进 2 字符"/>
    <w:link w:val="24"/>
    <w:qFormat/>
    <w:uiPriority w:val="0"/>
    <w:rPr>
      <w:rFonts w:ascii="仿宋_GB2312" w:hAnsi="宋体" w:eastAsia="宋体" w:cs="Arial"/>
      <w:b/>
      <w:bCs/>
      <w:color w:val="000000"/>
      <w:kern w:val="2"/>
      <w:sz w:val="24"/>
      <w:szCs w:val="24"/>
    </w:rPr>
  </w:style>
  <w:style w:type="character" w:customStyle="1" w:styleId="95">
    <w:name w:val="标题 Char1"/>
    <w:uiPriority w:val="0"/>
    <w:rPr>
      <w:rFonts w:ascii="Cambria" w:hAnsi="Cambria" w:eastAsia="宋体" w:cs="Times New Roman"/>
      <w:b/>
      <w:bCs/>
      <w:kern w:val="2"/>
      <w:sz w:val="32"/>
      <w:szCs w:val="32"/>
    </w:rPr>
  </w:style>
  <w:style w:type="character" w:customStyle="1" w:styleId="96">
    <w:name w:val="脚注文本 字符"/>
    <w:link w:val="31"/>
    <w:uiPriority w:val="0"/>
    <w:rPr>
      <w:rFonts w:ascii="Tahoma" w:hAnsi="Tahoma" w:eastAsia="宋体" w:cs="Times New Roman"/>
      <w:kern w:val="2"/>
      <w:sz w:val="18"/>
      <w:szCs w:val="18"/>
    </w:rPr>
  </w:style>
  <w:style w:type="character" w:customStyle="1" w:styleId="97">
    <w:name w:val="标题 2 Char"/>
    <w:qFormat/>
    <w:uiPriority w:val="0"/>
    <w:rPr>
      <w:rFonts w:hint="eastAsia" w:ascii="文鼎小标宋简" w:hAnsi="Times New Roman" w:eastAsia="文鼎小标宋简" w:cs="Times New Roman"/>
      <w:b/>
      <w:sz w:val="36"/>
      <w:lang w:val="en-US" w:eastAsia="zh-CN" w:bidi="ar-SA"/>
    </w:rPr>
  </w:style>
  <w:style w:type="character" w:customStyle="1" w:styleId="98">
    <w:name w:val="标题 1 Char Char"/>
    <w:qFormat/>
    <w:uiPriority w:val="0"/>
    <w:rPr>
      <w:rFonts w:ascii="Times New Roman" w:hAnsi="Times New Roman" w:eastAsia="宋体" w:cs="Times New Roman"/>
      <w:b/>
      <w:spacing w:val="-2"/>
      <w:sz w:val="24"/>
      <w:lang w:val="en-US" w:eastAsia="zh-CN" w:bidi="ar-SA"/>
    </w:rPr>
  </w:style>
  <w:style w:type="character" w:customStyle="1" w:styleId="99">
    <w:name w:val="标题 3 Char"/>
    <w:qFormat/>
    <w:uiPriority w:val="0"/>
    <w:rPr>
      <w:rFonts w:ascii="Times New Roman" w:hAnsi="Times New Roman" w:eastAsia="黑体" w:cs="Times New Roman"/>
      <w:b/>
      <w:sz w:val="28"/>
      <w:lang w:val="en-US" w:eastAsia="zh-CN" w:bidi="ar-SA"/>
    </w:rPr>
  </w:style>
  <w:style w:type="character" w:customStyle="1" w:styleId="100">
    <w:name w:val="正文文本 字符"/>
    <w:link w:val="16"/>
    <w:qFormat/>
    <w:uiPriority w:val="0"/>
    <w:rPr>
      <w:rFonts w:ascii="Times New Roman" w:hAnsi="Times New Roman" w:eastAsia="宋体" w:cs="Times New Roman"/>
      <w:kern w:val="2"/>
      <w:sz w:val="21"/>
      <w:szCs w:val="24"/>
    </w:rPr>
  </w:style>
  <w:style w:type="character" w:customStyle="1" w:styleId="101">
    <w:name w:val="正文文本 3 字符"/>
    <w:link w:val="15"/>
    <w:uiPriority w:val="0"/>
    <w:rPr>
      <w:rFonts w:ascii="Times New Roman" w:hAnsi="Times New Roman" w:eastAsia="宋体" w:cs="Times New Roman"/>
      <w:kern w:val="2"/>
      <w:sz w:val="16"/>
      <w:szCs w:val="16"/>
    </w:rPr>
  </w:style>
  <w:style w:type="character" w:customStyle="1" w:styleId="102">
    <w:name w:val="apple-style-span"/>
    <w:qFormat/>
    <w:uiPriority w:val="0"/>
    <w:rPr>
      <w:rFonts w:ascii="Times New Roman" w:hAnsi="Times New Roman" w:eastAsia="宋体" w:cs="Times New Roman"/>
    </w:rPr>
  </w:style>
  <w:style w:type="character" w:customStyle="1" w:styleId="103">
    <w:name w:val="正文文本缩进 字符"/>
    <w:link w:val="17"/>
    <w:uiPriority w:val="0"/>
    <w:rPr>
      <w:rFonts w:ascii="Times New Roman" w:hAnsi="Times New Roman" w:eastAsia="宋体" w:cs="Times New Roman"/>
      <w:kern w:val="2"/>
      <w:sz w:val="21"/>
      <w:szCs w:val="24"/>
    </w:rPr>
  </w:style>
  <w:style w:type="character" w:customStyle="1" w:styleId="104">
    <w:name w:val="cpxl1"/>
    <w:uiPriority w:val="0"/>
    <w:rPr>
      <w:rFonts w:ascii="Times New Roman" w:hAnsi="Times New Roman" w:eastAsia="宋体" w:cs="Times New Roman"/>
      <w:color w:val="000000"/>
      <w:sz w:val="24"/>
      <w:szCs w:val="24"/>
      <w:u w:val="none"/>
    </w:rPr>
  </w:style>
  <w:style w:type="character" w:customStyle="1" w:styleId="105">
    <w:name w:val="批注主题 Char1"/>
    <w:qFormat/>
    <w:uiPriority w:val="0"/>
    <w:rPr>
      <w:rFonts w:ascii="Times New Roman" w:hAnsi="Times New Roman" w:eastAsia="宋体" w:cs="Times New Roman"/>
      <w:b/>
      <w:bCs/>
      <w:kern w:val="2"/>
      <w:sz w:val="21"/>
      <w:szCs w:val="24"/>
    </w:rPr>
  </w:style>
  <w:style w:type="character" w:customStyle="1" w:styleId="106">
    <w:name w:val="标题 2 字符"/>
    <w:link w:val="4"/>
    <w:qFormat/>
    <w:uiPriority w:val="0"/>
    <w:rPr>
      <w:rFonts w:ascii="Arial" w:hAnsi="Arial" w:eastAsia="宋体" w:cs="Times New Roman"/>
      <w:b/>
      <w:bCs/>
      <w:kern w:val="2"/>
      <w:sz w:val="21"/>
      <w:szCs w:val="32"/>
    </w:rPr>
  </w:style>
  <w:style w:type="character" w:customStyle="1" w:styleId="107">
    <w:name w:val="页脚 字符"/>
    <w:uiPriority w:val="99"/>
    <w:rPr>
      <w:rFonts w:ascii="Times New Roman" w:hAnsi="Times New Roman" w:eastAsia="宋体" w:cs="Times New Roman"/>
      <w:kern w:val="2"/>
      <w:sz w:val="18"/>
      <w:szCs w:val="18"/>
    </w:rPr>
  </w:style>
  <w:style w:type="character" w:customStyle="1" w:styleId="108">
    <w:name w:val="纯文本 字符"/>
    <w:link w:val="21"/>
    <w:uiPriority w:val="0"/>
    <w:rPr>
      <w:rFonts w:ascii="宋体" w:hAnsi="Courier New" w:eastAsia="宋体" w:cs="Times New Roman"/>
      <w:kern w:val="2"/>
      <w:sz w:val="24"/>
      <w:szCs w:val="24"/>
      <w:lang w:val="en-US" w:eastAsia="zh-CN" w:bidi="ar-SA"/>
    </w:rPr>
  </w:style>
  <w:style w:type="character" w:customStyle="1" w:styleId="109">
    <w:name w:val="批注框文本 字符"/>
    <w:link w:val="25"/>
    <w:uiPriority w:val="0"/>
    <w:rPr>
      <w:rFonts w:ascii="Times New Roman" w:hAnsi="Times New Roman" w:eastAsia="宋体" w:cs="Times New Roman"/>
      <w:kern w:val="2"/>
      <w:sz w:val="18"/>
      <w:szCs w:val="18"/>
    </w:rPr>
  </w:style>
  <w:style w:type="character" w:customStyle="1" w:styleId="110">
    <w:name w:val="标题 6 字符"/>
    <w:link w:val="8"/>
    <w:uiPriority w:val="0"/>
    <w:rPr>
      <w:rFonts w:ascii="Cambria" w:hAnsi="Cambria" w:eastAsia="宋体" w:cs="Times New Roman"/>
      <w:b/>
      <w:bCs/>
      <w:kern w:val="2"/>
      <w:sz w:val="24"/>
      <w:szCs w:val="24"/>
    </w:rPr>
  </w:style>
  <w:style w:type="character" w:customStyle="1" w:styleId="111">
    <w:name w:val="日期 Char"/>
    <w:uiPriority w:val="0"/>
    <w:rPr>
      <w:rFonts w:ascii="Times New Roman" w:hAnsi="Times New Roman" w:eastAsia="宋体" w:cs="Times New Roman"/>
      <w:kern w:val="2"/>
      <w:sz w:val="24"/>
    </w:rPr>
  </w:style>
  <w:style w:type="paragraph" w:customStyle="1" w:styleId="112">
    <w:name w:val="def正文"/>
    <w:basedOn w:val="16"/>
    <w:uiPriority w:val="0"/>
    <w:pPr>
      <w:widowControl/>
      <w:spacing w:after="0" w:line="360" w:lineRule="auto"/>
      <w:ind w:firstLine="510"/>
      <w:jc w:val="left"/>
    </w:pPr>
    <w:rPr>
      <w:rFonts w:hAnsi="Calibri"/>
      <w:kern w:val="0"/>
      <w:sz w:val="24"/>
      <w:szCs w:val="22"/>
    </w:rPr>
  </w:style>
  <w:style w:type="paragraph" w:customStyle="1" w:styleId="113">
    <w:name w:val="HT_正文缩进"/>
    <w:basedOn w:val="1"/>
    <w:qFormat/>
    <w:uiPriority w:val="0"/>
    <w:pPr>
      <w:spacing w:beforeLines="50" w:line="300" w:lineRule="auto"/>
      <w:ind w:firstLine="480" w:firstLineChars="200"/>
    </w:pPr>
    <w:rPr>
      <w:sz w:val="24"/>
      <w:szCs w:val="20"/>
    </w:rPr>
  </w:style>
  <w:style w:type="paragraph" w:customStyle="1" w:styleId="114">
    <w:name w:val="GP标题2"/>
    <w:basedOn w:val="1"/>
    <w:next w:val="1"/>
    <w:qFormat/>
    <w:uiPriority w:val="0"/>
    <w:pPr>
      <w:spacing w:beforeLines="50" w:afterLines="50" w:line="360" w:lineRule="auto"/>
      <w:jc w:val="left"/>
      <w:outlineLvl w:val="1"/>
    </w:pPr>
    <w:rPr>
      <w:rFonts w:ascii="华文细黑" w:hAnsi="华文细黑" w:eastAsia="华文细黑"/>
      <w:b/>
      <w:sz w:val="32"/>
      <w:szCs w:val="21"/>
    </w:rPr>
  </w:style>
  <w:style w:type="paragraph" w:customStyle="1" w:styleId="115">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Gulim" w:hAnsi="Gulim" w:eastAsia="Gulim" w:cs="宋体"/>
      <w:b/>
      <w:bCs/>
      <w:kern w:val="0"/>
      <w:sz w:val="20"/>
      <w:szCs w:val="20"/>
    </w:rPr>
  </w:style>
  <w:style w:type="paragraph" w:customStyle="1" w:styleId="116">
    <w:name w:val="Char Char1 Char Char Char Char Char Char Char"/>
    <w:basedOn w:val="1"/>
    <w:qFormat/>
    <w:uiPriority w:val="0"/>
    <w:rPr>
      <w:rFonts w:ascii="Tahoma" w:hAnsi="Tahoma"/>
      <w:sz w:val="24"/>
    </w:rPr>
  </w:style>
  <w:style w:type="paragraph" w:customStyle="1" w:styleId="117">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Gulim" w:hAnsi="Gulim" w:eastAsia="Gulim" w:cs="宋体"/>
      <w:b/>
      <w:bCs/>
      <w:kern w:val="0"/>
      <w:sz w:val="20"/>
      <w:szCs w:val="20"/>
    </w:rPr>
  </w:style>
  <w:style w:type="paragraph" w:customStyle="1" w:styleId="118">
    <w:name w:val="TOC Heading"/>
    <w:basedOn w:val="3"/>
    <w:next w:val="1"/>
    <w:qFormat/>
    <w:uiPriority w:val="0"/>
    <w:pPr>
      <w:widowControl/>
      <w:adjustRightInd/>
      <w:spacing w:before="480" w:line="276" w:lineRule="auto"/>
      <w:jc w:val="left"/>
      <w:textAlignment w:val="auto"/>
      <w:outlineLvl w:val="9"/>
    </w:pPr>
    <w:rPr>
      <w:rFonts w:ascii="Cambria" w:hAnsi="Cambria"/>
      <w:b w:val="0"/>
      <w:color w:val="365F91"/>
      <w:kern w:val="0"/>
      <w:sz w:val="28"/>
      <w:szCs w:val="28"/>
    </w:rPr>
  </w:style>
  <w:style w:type="paragraph" w:customStyle="1" w:styleId="119">
    <w:name w:val="reader-word-layer reader-word-s11-6"/>
    <w:basedOn w:val="1"/>
    <w:uiPriority w:val="0"/>
    <w:pPr>
      <w:widowControl/>
      <w:spacing w:before="100" w:beforeAutospacing="1" w:after="100" w:afterAutospacing="1"/>
      <w:jc w:val="left"/>
    </w:pPr>
    <w:rPr>
      <w:rFonts w:ascii="宋体" w:hAnsi="宋体" w:cs="宋体"/>
      <w:kern w:val="0"/>
      <w:sz w:val="24"/>
    </w:rPr>
  </w:style>
  <w:style w:type="paragraph" w:customStyle="1" w:styleId="120">
    <w:name w:val="p0"/>
    <w:basedOn w:val="1"/>
    <w:uiPriority w:val="0"/>
    <w:pPr>
      <w:widowControl/>
      <w:spacing w:before="100" w:beforeAutospacing="1" w:after="100" w:afterAutospacing="1"/>
      <w:jc w:val="left"/>
    </w:pPr>
    <w:rPr>
      <w:rFonts w:ascii="宋体" w:hAnsi="宋体" w:cs="宋体"/>
      <w:kern w:val="0"/>
      <w:sz w:val="24"/>
    </w:rPr>
  </w:style>
  <w:style w:type="paragraph" w:customStyle="1" w:styleId="121">
    <w:name w:val="xl91"/>
    <w:basedOn w:val="1"/>
    <w:uiPriority w:val="0"/>
    <w:pPr>
      <w:widowControl/>
      <w:pBdr>
        <w:top w:val="single" w:color="auto" w:sz="4" w:space="0"/>
        <w:left w:val="single" w:color="auto" w:sz="4" w:space="0"/>
        <w:right w:val="single" w:color="auto" w:sz="4" w:space="0"/>
      </w:pBdr>
      <w:spacing w:before="100" w:beforeAutospacing="1" w:after="100" w:afterAutospacing="1"/>
      <w:jc w:val="left"/>
    </w:pPr>
    <w:rPr>
      <w:rFonts w:ascii="Gulim" w:hAnsi="Gulim" w:eastAsia="Gulim" w:cs="宋体"/>
      <w:kern w:val="0"/>
      <w:sz w:val="20"/>
      <w:szCs w:val="20"/>
    </w:rPr>
  </w:style>
  <w:style w:type="paragraph" w:customStyle="1" w:styleId="12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3">
    <w:name w:val="TableText"/>
    <w:basedOn w:val="1"/>
    <w:uiPriority w:val="0"/>
    <w:pPr>
      <w:snapToGrid w:val="0"/>
      <w:spacing w:beforeLines="20" w:afterLines="20"/>
      <w:jc w:val="center"/>
    </w:pPr>
    <w:rPr>
      <w:rFonts w:hint="eastAsia"/>
      <w:szCs w:val="20"/>
    </w:rPr>
  </w:style>
  <w:style w:type="paragraph" w:customStyle="1" w:styleId="124">
    <w:name w:val="font11"/>
    <w:basedOn w:val="1"/>
    <w:uiPriority w:val="0"/>
    <w:pPr>
      <w:widowControl/>
      <w:spacing w:before="100" w:beforeAutospacing="1" w:after="100" w:afterAutospacing="1"/>
      <w:jc w:val="left"/>
    </w:pPr>
    <w:rPr>
      <w:rFonts w:ascii="新宋体" w:hAnsi="新宋体" w:eastAsia="新宋体" w:cs="宋体"/>
      <w:b/>
      <w:bCs/>
      <w:kern w:val="0"/>
      <w:sz w:val="20"/>
      <w:szCs w:val="20"/>
    </w:rPr>
  </w:style>
  <w:style w:type="paragraph" w:customStyle="1" w:styleId="125">
    <w:name w:val="Char"/>
    <w:basedOn w:val="1"/>
    <w:uiPriority w:val="0"/>
    <w:pPr>
      <w:widowControl/>
      <w:spacing w:after="160" w:line="240" w:lineRule="exact"/>
      <w:jc w:val="left"/>
    </w:pPr>
    <w:rPr>
      <w:rFonts w:ascii="Verdana" w:hAnsi="Verdana"/>
      <w:kern w:val="0"/>
      <w:sz w:val="20"/>
      <w:szCs w:val="20"/>
      <w:lang w:eastAsia="en-US"/>
    </w:rPr>
  </w:style>
  <w:style w:type="paragraph" w:customStyle="1" w:styleId="126">
    <w:name w:val="msonormalcxspmiddle"/>
    <w:basedOn w:val="1"/>
    <w:uiPriority w:val="0"/>
    <w:pPr>
      <w:widowControl/>
      <w:spacing w:before="100" w:beforeAutospacing="1" w:after="100" w:afterAutospacing="1"/>
      <w:jc w:val="left"/>
    </w:pPr>
    <w:rPr>
      <w:rFonts w:ascii="宋体" w:hAnsi="宋体" w:cs="宋体"/>
      <w:kern w:val="0"/>
      <w:sz w:val="24"/>
    </w:rPr>
  </w:style>
  <w:style w:type="paragraph" w:customStyle="1" w:styleId="127">
    <w:name w:val="默认段落字体 Para Char Char Char Char"/>
    <w:basedOn w:val="1"/>
    <w:uiPriority w:val="0"/>
  </w:style>
  <w:style w:type="paragraph" w:customStyle="1" w:styleId="128">
    <w:name w:val="xl84"/>
    <w:basedOn w:val="1"/>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129">
    <w:name w:val="HT_列表项目编号2"/>
    <w:basedOn w:val="1"/>
    <w:next w:val="1"/>
    <w:uiPriority w:val="0"/>
    <w:pPr>
      <w:spacing w:beforeLines="50" w:line="360" w:lineRule="auto"/>
      <w:contextualSpacing/>
    </w:pPr>
    <w:rPr>
      <w:b/>
      <w:sz w:val="24"/>
      <w:szCs w:val="20"/>
    </w:rPr>
  </w:style>
  <w:style w:type="paragraph" w:customStyle="1" w:styleId="130">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kern w:val="0"/>
      <w:sz w:val="20"/>
      <w:szCs w:val="20"/>
    </w:rPr>
  </w:style>
  <w:style w:type="paragraph" w:customStyle="1" w:styleId="131">
    <w:name w:val="Char Char Char"/>
    <w:basedOn w:val="13"/>
    <w:uiPriority w:val="0"/>
    <w:pPr>
      <w:shd w:val="clear" w:color="auto" w:fill="000080"/>
    </w:pPr>
    <w:rPr>
      <w:rFonts w:ascii="Times New Roman"/>
      <w:sz w:val="21"/>
      <w:szCs w:val="24"/>
    </w:rPr>
  </w:style>
  <w:style w:type="paragraph" w:customStyle="1" w:styleId="132">
    <w:name w:val="xl10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Gulim" w:hAnsi="Gulim" w:eastAsia="Gulim" w:cs="宋体"/>
      <w:kern w:val="0"/>
      <w:sz w:val="20"/>
      <w:szCs w:val="20"/>
    </w:rPr>
  </w:style>
  <w:style w:type="paragraph" w:customStyle="1" w:styleId="133">
    <w:name w:val="xl10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Gulim" w:hAnsi="Gulim" w:eastAsia="Gulim" w:cs="宋体"/>
      <w:kern w:val="0"/>
      <w:sz w:val="20"/>
      <w:szCs w:val="20"/>
    </w:rPr>
  </w:style>
  <w:style w:type="paragraph" w:customStyle="1" w:styleId="134">
    <w:name w:val="正文段"/>
    <w:basedOn w:val="1"/>
    <w:uiPriority w:val="0"/>
    <w:pPr>
      <w:widowControl/>
      <w:snapToGrid w:val="0"/>
      <w:spacing w:afterLines="50"/>
      <w:ind w:firstLine="200" w:firstLineChars="200"/>
    </w:pPr>
    <w:rPr>
      <w:kern w:val="0"/>
      <w:sz w:val="24"/>
      <w:szCs w:val="20"/>
    </w:rPr>
  </w:style>
  <w:style w:type="paragraph" w:customStyle="1" w:styleId="135">
    <w:name w:val="表内文字"/>
    <w:basedOn w:val="1"/>
    <w:uiPriority w:val="0"/>
    <w:pPr>
      <w:tabs>
        <w:tab w:val="left" w:pos="1418"/>
      </w:tabs>
      <w:spacing w:line="360" w:lineRule="auto"/>
      <w:jc w:val="center"/>
    </w:pPr>
    <w:rPr>
      <w:rFonts w:ascii="仿宋_GB2312" w:eastAsia="仿宋_GB2312"/>
      <w:spacing w:val="-20"/>
      <w:kern w:val="0"/>
      <w:sz w:val="24"/>
    </w:rPr>
  </w:style>
  <w:style w:type="paragraph" w:customStyle="1" w:styleId="136">
    <w:name w:val="正文文字缩进 2"/>
    <w:basedOn w:val="1"/>
    <w:next w:val="1"/>
    <w:qFormat/>
    <w:uiPriority w:val="0"/>
    <w:pPr>
      <w:widowControl/>
      <w:spacing w:after="120" w:line="480" w:lineRule="auto"/>
      <w:ind w:left="420"/>
    </w:pPr>
    <w:rPr>
      <w:color w:val="000000"/>
      <w:szCs w:val="20"/>
    </w:rPr>
  </w:style>
  <w:style w:type="paragraph" w:customStyle="1" w:styleId="137">
    <w:name w:val="Char2"/>
    <w:basedOn w:val="1"/>
    <w:qFormat/>
    <w:uiPriority w:val="0"/>
    <w:rPr>
      <w:rFonts w:ascii="仿宋_GB2312" w:eastAsia="仿宋_GB2312"/>
      <w:b/>
      <w:sz w:val="32"/>
      <w:szCs w:val="32"/>
    </w:rPr>
  </w:style>
  <w:style w:type="paragraph" w:customStyle="1" w:styleId="138">
    <w:name w:val="xl94"/>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Gulim" w:hAnsi="Gulim" w:eastAsia="Gulim" w:cs="宋体"/>
      <w:b/>
      <w:bCs/>
      <w:kern w:val="0"/>
      <w:sz w:val="20"/>
      <w:szCs w:val="20"/>
    </w:rPr>
  </w:style>
  <w:style w:type="paragraph" w:customStyle="1" w:styleId="139">
    <w:name w:val="reader-word-layer reader-word-s11-2"/>
    <w:basedOn w:val="1"/>
    <w:uiPriority w:val="0"/>
    <w:pPr>
      <w:widowControl/>
      <w:spacing w:before="100" w:beforeAutospacing="1" w:after="100" w:afterAutospacing="1"/>
      <w:jc w:val="left"/>
    </w:pPr>
    <w:rPr>
      <w:rFonts w:ascii="宋体" w:hAnsi="宋体" w:cs="宋体"/>
      <w:kern w:val="0"/>
      <w:sz w:val="24"/>
    </w:rPr>
  </w:style>
  <w:style w:type="paragraph" w:customStyle="1" w:styleId="140">
    <w:name w:val="xl108"/>
    <w:basedOn w:val="1"/>
    <w:uiPriority w:val="0"/>
    <w:pPr>
      <w:widowControl/>
      <w:spacing w:before="100" w:beforeAutospacing="1" w:after="100" w:afterAutospacing="1"/>
      <w:jc w:val="center"/>
      <w:textAlignment w:val="center"/>
    </w:pPr>
    <w:rPr>
      <w:rFonts w:ascii="宋体" w:hAnsi="宋体" w:cs="宋体"/>
      <w:kern w:val="0"/>
      <w:sz w:val="20"/>
      <w:szCs w:val="20"/>
    </w:rPr>
  </w:style>
  <w:style w:type="paragraph" w:customStyle="1" w:styleId="141">
    <w:name w:val="二级条标题"/>
    <w:basedOn w:val="1"/>
    <w:next w:val="1"/>
    <w:qFormat/>
    <w:uiPriority w:val="0"/>
    <w:pPr>
      <w:widowControl/>
      <w:numPr>
        <w:ilvl w:val="2"/>
        <w:numId w:val="1"/>
      </w:numPr>
      <w:spacing w:before="50" w:after="50"/>
      <w:jc w:val="left"/>
      <w:outlineLvl w:val="3"/>
    </w:pPr>
    <w:rPr>
      <w:rFonts w:ascii="黑体" w:eastAsia="黑体"/>
      <w:kern w:val="0"/>
      <w:szCs w:val="21"/>
    </w:rPr>
  </w:style>
  <w:style w:type="paragraph" w:customStyle="1" w:styleId="142">
    <w:name w:val="xl10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Gulim" w:hAnsi="Gulim" w:eastAsia="Gulim" w:cs="宋体"/>
      <w:kern w:val="0"/>
      <w:sz w:val="20"/>
      <w:szCs w:val="20"/>
    </w:rPr>
  </w:style>
  <w:style w:type="paragraph" w:customStyle="1" w:styleId="143">
    <w:name w:val="Char Char Char1 Char"/>
    <w:basedOn w:val="1"/>
    <w:uiPriority w:val="0"/>
    <w:rPr>
      <w:szCs w:val="20"/>
    </w:rPr>
  </w:style>
  <w:style w:type="paragraph" w:customStyle="1" w:styleId="144">
    <w:name w:val="列表段落1"/>
    <w:basedOn w:val="1"/>
    <w:uiPriority w:val="0"/>
    <w:pPr>
      <w:ind w:firstLine="420" w:firstLineChars="200"/>
    </w:pPr>
    <w:rPr>
      <w:rFonts w:ascii="Calibri" w:hAnsi="Calibri"/>
      <w:szCs w:val="22"/>
    </w:rPr>
  </w:style>
  <w:style w:type="paragraph" w:customStyle="1" w:styleId="145">
    <w:name w:val="font10"/>
    <w:basedOn w:val="1"/>
    <w:qFormat/>
    <w:uiPriority w:val="0"/>
    <w:pPr>
      <w:widowControl/>
      <w:spacing w:before="100" w:beforeAutospacing="1" w:after="100" w:afterAutospacing="1"/>
      <w:jc w:val="left"/>
    </w:pPr>
    <w:rPr>
      <w:rFonts w:ascii="Gulim" w:hAnsi="Gulim" w:eastAsia="Gulim" w:cs="宋体"/>
      <w:b/>
      <w:bCs/>
      <w:kern w:val="0"/>
      <w:sz w:val="20"/>
      <w:szCs w:val="20"/>
    </w:rPr>
  </w:style>
  <w:style w:type="paragraph" w:customStyle="1" w:styleId="146">
    <w:name w:val="xl105"/>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7">
    <w:name w:val="正文2"/>
    <w:basedOn w:val="1"/>
    <w:qFormat/>
    <w:uiPriority w:val="0"/>
    <w:pPr>
      <w:spacing w:before="156" w:line="360" w:lineRule="auto"/>
      <w:ind w:firstLine="510" w:firstLineChars="200"/>
    </w:pPr>
    <w:rPr>
      <w:sz w:val="24"/>
      <w:szCs w:val="20"/>
    </w:rPr>
  </w:style>
  <w:style w:type="paragraph" w:customStyle="1" w:styleId="148">
    <w:name w:val="xl8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14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Gulim" w:hAnsi="Gulim" w:eastAsia="Gulim" w:cs="宋体"/>
      <w:kern w:val="0"/>
      <w:sz w:val="20"/>
      <w:szCs w:val="20"/>
    </w:rPr>
  </w:style>
  <w:style w:type="paragraph" w:customStyle="1" w:styleId="150">
    <w:name w:val="默认段落字体 Para Char Char Char Char Char Char Char Char Char1 Char Char Char Char"/>
    <w:basedOn w:val="1"/>
    <w:qFormat/>
    <w:uiPriority w:val="0"/>
    <w:rPr>
      <w:rFonts w:ascii="Tahoma" w:hAnsi="Tahoma"/>
      <w:sz w:val="24"/>
      <w:szCs w:val="20"/>
    </w:rPr>
  </w:style>
  <w:style w:type="paragraph" w:customStyle="1" w:styleId="15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Gulim" w:hAnsi="Gulim" w:eastAsia="Gulim" w:cs="宋体"/>
      <w:kern w:val="0"/>
      <w:sz w:val="20"/>
      <w:szCs w:val="20"/>
    </w:rPr>
  </w:style>
  <w:style w:type="paragraph" w:customStyle="1" w:styleId="152">
    <w:name w:val="reader-word-layer reader-word-s1-10"/>
    <w:basedOn w:val="1"/>
    <w:qFormat/>
    <w:uiPriority w:val="0"/>
    <w:pPr>
      <w:widowControl/>
      <w:spacing w:before="100" w:beforeAutospacing="1" w:after="100" w:afterAutospacing="1"/>
      <w:jc w:val="left"/>
    </w:pPr>
    <w:rPr>
      <w:rFonts w:ascii="宋体" w:hAnsi="宋体" w:cs="宋体"/>
      <w:kern w:val="0"/>
      <w:sz w:val="24"/>
    </w:rPr>
  </w:style>
  <w:style w:type="paragraph" w:customStyle="1" w:styleId="15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20"/>
      <w:szCs w:val="20"/>
    </w:rPr>
  </w:style>
  <w:style w:type="paragraph" w:customStyle="1" w:styleId="154">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5">
    <w:name w:val="pa-18"/>
    <w:basedOn w:val="1"/>
    <w:uiPriority w:val="0"/>
    <w:pPr>
      <w:widowControl/>
      <w:spacing w:before="150" w:after="150"/>
      <w:jc w:val="left"/>
    </w:pPr>
    <w:rPr>
      <w:rFonts w:ascii="宋体" w:hAnsi="宋体" w:cs="宋体"/>
      <w:kern w:val="0"/>
      <w:sz w:val="24"/>
    </w:rPr>
  </w:style>
  <w:style w:type="paragraph" w:customStyle="1" w:styleId="156">
    <w:name w:val="xl93"/>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Gulim" w:hAnsi="Gulim" w:eastAsia="Gulim" w:cs="宋体"/>
      <w:kern w:val="0"/>
      <w:sz w:val="20"/>
      <w:szCs w:val="20"/>
    </w:rPr>
  </w:style>
  <w:style w:type="paragraph" w:customStyle="1" w:styleId="157">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58">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59">
    <w:name w:val="正文_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0">
    <w:name w:val="xl8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Gulim" w:hAnsi="Gulim" w:eastAsia="Gulim" w:cs="宋体"/>
      <w:kern w:val="0"/>
      <w:sz w:val="20"/>
      <w:szCs w:val="20"/>
    </w:rPr>
  </w:style>
  <w:style w:type="paragraph" w:customStyle="1" w:styleId="161">
    <w:name w:val="font8"/>
    <w:basedOn w:val="1"/>
    <w:qFormat/>
    <w:uiPriority w:val="0"/>
    <w:pPr>
      <w:widowControl/>
      <w:spacing w:before="100" w:beforeAutospacing="1" w:after="100" w:afterAutospacing="1"/>
      <w:jc w:val="left"/>
    </w:pPr>
    <w:rPr>
      <w:rFonts w:ascii="Gulim" w:hAnsi="Gulim" w:eastAsia="Gulim" w:cs="宋体"/>
      <w:kern w:val="0"/>
      <w:sz w:val="20"/>
      <w:szCs w:val="20"/>
    </w:rPr>
  </w:style>
  <w:style w:type="paragraph" w:customStyle="1" w:styleId="162">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3">
    <w:name w:val="样式 标题 31.1.1标题 333rd levelBOD 0Bold HeadCTH3H31Heading ...1"/>
    <w:basedOn w:val="5"/>
    <w:qFormat/>
    <w:uiPriority w:val="0"/>
    <w:pPr>
      <w:snapToGrid/>
      <w:jc w:val="both"/>
    </w:pPr>
    <w:rPr>
      <w:rFonts w:ascii="仿宋_GB2312" w:hAnsi="宋体" w:eastAsia="仿宋_GB2312" w:cs="宋体"/>
      <w:szCs w:val="20"/>
    </w:rPr>
  </w:style>
  <w:style w:type="paragraph" w:customStyle="1" w:styleId="164">
    <w:name w:val="xl92"/>
    <w:basedOn w:val="1"/>
    <w:uiPriority w:val="0"/>
    <w:pPr>
      <w:widowControl/>
      <w:pBdr>
        <w:top w:val="single" w:color="auto" w:sz="4" w:space="0"/>
        <w:left w:val="single" w:color="auto" w:sz="4" w:space="0"/>
        <w:right w:val="single" w:color="auto" w:sz="4" w:space="0"/>
      </w:pBdr>
      <w:spacing w:before="100" w:beforeAutospacing="1" w:after="100" w:afterAutospacing="1"/>
      <w:textAlignment w:val="center"/>
    </w:pPr>
    <w:rPr>
      <w:rFonts w:ascii="宋体" w:hAnsi="宋体" w:cs="宋体"/>
      <w:kern w:val="0"/>
      <w:sz w:val="20"/>
      <w:szCs w:val="20"/>
    </w:rPr>
  </w:style>
  <w:style w:type="paragraph" w:customStyle="1" w:styleId="165">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b/>
      <w:bCs/>
      <w:kern w:val="0"/>
      <w:sz w:val="20"/>
      <w:szCs w:val="20"/>
    </w:rPr>
  </w:style>
  <w:style w:type="paragraph" w:customStyle="1" w:styleId="166">
    <w:name w:val="正文_10_0"/>
    <w:uiPriority w:val="0"/>
    <w:pPr>
      <w:widowControl w:val="0"/>
      <w:jc w:val="both"/>
    </w:pPr>
    <w:rPr>
      <w:rFonts w:ascii="Calibri" w:hAnsi="Calibri" w:eastAsia="宋体" w:cs="Times New Roman"/>
      <w:kern w:val="2"/>
      <w:sz w:val="21"/>
      <w:szCs w:val="22"/>
      <w:lang w:val="en-US" w:eastAsia="zh-CN" w:bidi="ar-SA"/>
    </w:rPr>
  </w:style>
  <w:style w:type="paragraph" w:customStyle="1" w:styleId="167">
    <w:name w:val="xl9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68">
    <w:name w:val="正文_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9">
    <w:name w:val="级别表格里目录"/>
    <w:basedOn w:val="1"/>
    <w:uiPriority w:val="0"/>
    <w:rPr>
      <w:spacing w:val="12"/>
      <w:kern w:val="0"/>
      <w:szCs w:val="21"/>
    </w:rPr>
  </w:style>
  <w:style w:type="paragraph" w:customStyle="1" w:styleId="170">
    <w:name w:val="Normal_21"/>
    <w:uiPriority w:val="0"/>
    <w:rPr>
      <w:rFonts w:ascii="黑体" w:hAnsi="黑体" w:eastAsia="黑体" w:cs="Times New Roman"/>
      <w:b/>
      <w:sz w:val="32"/>
      <w:szCs w:val="24"/>
      <w:lang w:val="en-US" w:eastAsia="zh-CN" w:bidi="ar-SA"/>
    </w:rPr>
  </w:style>
  <w:style w:type="paragraph" w:customStyle="1" w:styleId="171">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kern w:val="0"/>
      <w:sz w:val="20"/>
      <w:szCs w:val="20"/>
    </w:rPr>
  </w:style>
  <w:style w:type="paragraph" w:customStyle="1" w:styleId="172">
    <w:name w:val="Paragraph Text"/>
    <w:basedOn w:val="1"/>
    <w:uiPriority w:val="0"/>
    <w:pPr>
      <w:widowControl/>
      <w:spacing w:line="320" w:lineRule="exact"/>
      <w:jc w:val="left"/>
    </w:pPr>
    <w:rPr>
      <w:rFonts w:ascii="Beijing" w:eastAsia="Times New Roman"/>
      <w:kern w:val="0"/>
      <w:sz w:val="18"/>
      <w:szCs w:val="18"/>
    </w:rPr>
  </w:style>
  <w:style w:type="paragraph" w:customStyle="1" w:styleId="17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4">
    <w:name w:val="a正文"/>
    <w:basedOn w:val="1"/>
    <w:uiPriority w:val="0"/>
    <w:pPr>
      <w:spacing w:line="360" w:lineRule="auto"/>
      <w:ind w:firstLine="480" w:firstLineChars="200"/>
    </w:pPr>
    <w:rPr>
      <w:rFonts w:ascii="宋体" w:hAnsi="宋体"/>
      <w:kern w:val="0"/>
      <w:sz w:val="24"/>
      <w:szCs w:val="20"/>
    </w:rPr>
  </w:style>
  <w:style w:type="paragraph" w:customStyle="1" w:styleId="175">
    <w:name w:val="xl10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Gulim" w:hAnsi="Gulim" w:eastAsia="Gulim" w:cs="宋体"/>
      <w:kern w:val="0"/>
      <w:sz w:val="20"/>
      <w:szCs w:val="20"/>
    </w:rPr>
  </w:style>
  <w:style w:type="paragraph" w:customStyle="1" w:styleId="176">
    <w:name w:val="paragraph1"/>
    <w:basedOn w:val="1"/>
    <w:uiPriority w:val="0"/>
    <w:pPr>
      <w:spacing w:afterLines="30" w:line="360" w:lineRule="auto"/>
      <w:ind w:firstLine="480" w:firstLineChars="200"/>
    </w:pPr>
    <w:rPr>
      <w:rFonts w:ascii="Arial" w:hAnsi="Arial"/>
      <w:sz w:val="24"/>
    </w:rPr>
  </w:style>
  <w:style w:type="paragraph" w:customStyle="1" w:styleId="177">
    <w:name w:val="xl10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78">
    <w:name w:val="xl9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Gulim" w:hAnsi="Gulim" w:eastAsia="Gulim" w:cs="宋体"/>
      <w:kern w:val="0"/>
      <w:sz w:val="20"/>
      <w:szCs w:val="20"/>
    </w:rPr>
  </w:style>
  <w:style w:type="paragraph" w:customStyle="1" w:styleId="179">
    <w:name w:val="S4-L15-C"/>
    <w:basedOn w:val="1"/>
    <w:uiPriority w:val="0"/>
    <w:pPr>
      <w:spacing w:after="120" w:line="360" w:lineRule="auto"/>
      <w:jc w:val="center"/>
    </w:pPr>
    <w:rPr>
      <w:szCs w:val="20"/>
    </w:rPr>
  </w:style>
  <w:style w:type="paragraph" w:customStyle="1" w:styleId="180">
    <w:name w:val="Normal_22"/>
    <w:uiPriority w:val="0"/>
    <w:pPr>
      <w:widowControl w:val="0"/>
      <w:jc w:val="both"/>
    </w:pPr>
    <w:rPr>
      <w:rFonts w:ascii="Times New Roman" w:hAnsi="Times New Roman" w:eastAsia="Times New Roman" w:cs="Times New Roman"/>
      <w:lang w:val="en-US" w:eastAsia="zh-CN" w:bidi="ar-SA"/>
    </w:rPr>
  </w:style>
  <w:style w:type="paragraph" w:customStyle="1" w:styleId="181">
    <w:name w:val="标题3333"/>
    <w:basedOn w:val="1"/>
    <w:uiPriority w:val="0"/>
    <w:pPr>
      <w:ind w:left="-171" w:leftChars="-171" w:hanging="359" w:hangingChars="149"/>
    </w:pPr>
    <w:rPr>
      <w:rFonts w:ascii="宋体" w:hAnsi="宋体"/>
      <w:b/>
      <w:sz w:val="24"/>
      <w:szCs w:val="20"/>
    </w:rPr>
  </w:style>
  <w:style w:type="paragraph" w:customStyle="1" w:styleId="182">
    <w:name w:val="纯文本1"/>
    <w:basedOn w:val="1"/>
    <w:qFormat/>
    <w:uiPriority w:val="0"/>
    <w:pPr>
      <w:adjustRightInd w:val="0"/>
      <w:jc w:val="left"/>
      <w:textAlignment w:val="baseline"/>
    </w:pPr>
    <w:rPr>
      <w:rFonts w:ascii="宋体" w:hAnsi="Courier New"/>
      <w:sz w:val="24"/>
      <w:szCs w:val="20"/>
    </w:rPr>
  </w:style>
  <w:style w:type="paragraph" w:customStyle="1" w:styleId="183">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84">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Gulim" w:hAnsi="Gulim" w:eastAsia="Gulim" w:cs="宋体"/>
      <w:b/>
      <w:bCs/>
      <w:kern w:val="0"/>
      <w:sz w:val="20"/>
      <w:szCs w:val="20"/>
    </w:rPr>
  </w:style>
  <w:style w:type="paragraph" w:customStyle="1" w:styleId="185">
    <w:name w:val="Char1"/>
    <w:basedOn w:val="1"/>
    <w:qFormat/>
    <w:uiPriority w:val="0"/>
    <w:rPr>
      <w:rFonts w:ascii="仿宋_GB2312" w:eastAsia="仿宋_GB2312"/>
      <w:b/>
      <w:sz w:val="32"/>
      <w:szCs w:val="32"/>
    </w:rPr>
  </w:style>
  <w:style w:type="paragraph" w:customStyle="1" w:styleId="186">
    <w:name w:val="样式1"/>
    <w:basedOn w:val="1"/>
    <w:qFormat/>
    <w:uiPriority w:val="0"/>
    <w:pPr>
      <w:tabs>
        <w:tab w:val="left" w:pos="960"/>
      </w:tabs>
      <w:adjustRightInd w:val="0"/>
      <w:ind w:left="960" w:hanging="420"/>
      <w:textAlignment w:val="baseline"/>
    </w:pPr>
    <w:rPr>
      <w:rFonts w:ascii="宋体" w:hAnsi="宋体"/>
      <w:kern w:val="0"/>
      <w:szCs w:val="20"/>
    </w:rPr>
  </w:style>
  <w:style w:type="paragraph" w:customStyle="1" w:styleId="187">
    <w:name w:val="文档正文"/>
    <w:basedOn w:val="1"/>
    <w:qFormat/>
    <w:uiPriority w:val="0"/>
    <w:pPr>
      <w:adjustRightInd w:val="0"/>
      <w:spacing w:line="480" w:lineRule="atLeast"/>
      <w:ind w:firstLine="567"/>
      <w:textAlignment w:val="baseline"/>
    </w:pPr>
    <w:rPr>
      <w:rFonts w:ascii="长城仿宋"/>
      <w:kern w:val="0"/>
      <w:sz w:val="24"/>
      <w:szCs w:val="20"/>
    </w:rPr>
  </w:style>
  <w:style w:type="paragraph" w:customStyle="1" w:styleId="188">
    <w:name w:val="正文_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9">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90">
    <w:name w:val="Char Char Char Char"/>
    <w:basedOn w:val="1"/>
    <w:qFormat/>
    <w:uiPriority w:val="0"/>
    <w:pPr>
      <w:ind w:left="-48"/>
    </w:pPr>
  </w:style>
  <w:style w:type="paragraph" w:customStyle="1" w:styleId="191">
    <w:name w:val="正文_8_0_0"/>
    <w:uiPriority w:val="0"/>
    <w:pPr>
      <w:widowControl w:val="0"/>
      <w:jc w:val="both"/>
    </w:pPr>
    <w:rPr>
      <w:rFonts w:ascii="Calibri" w:hAnsi="Calibri" w:eastAsia="宋体" w:cs="Times New Roman"/>
      <w:kern w:val="2"/>
      <w:sz w:val="21"/>
      <w:szCs w:val="22"/>
      <w:lang w:val="en-US" w:eastAsia="zh-CN" w:bidi="ar-SA"/>
    </w:rPr>
  </w:style>
  <w:style w:type="paragraph" w:customStyle="1" w:styleId="192">
    <w:name w:val="xl10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Gulim" w:hAnsi="Gulim" w:eastAsia="Gulim" w:cs="宋体"/>
      <w:kern w:val="0"/>
      <w:sz w:val="20"/>
      <w:szCs w:val="20"/>
    </w:rPr>
  </w:style>
  <w:style w:type="paragraph" w:customStyle="1" w:styleId="19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Gulim" w:hAnsi="Gulim" w:eastAsia="Gulim" w:cs="宋体"/>
      <w:kern w:val="0"/>
      <w:sz w:val="20"/>
      <w:szCs w:val="20"/>
    </w:rPr>
  </w:style>
  <w:style w:type="paragraph" w:customStyle="1" w:styleId="194">
    <w:name w:val="GP正文(首行缩进)"/>
    <w:basedOn w:val="1"/>
    <w:qFormat/>
    <w:uiPriority w:val="0"/>
    <w:pPr>
      <w:spacing w:line="360" w:lineRule="auto"/>
      <w:ind w:firstLine="200" w:firstLineChars="200"/>
      <w:jc w:val="left"/>
    </w:pPr>
    <w:rPr>
      <w:sz w:val="24"/>
      <w:szCs w:val="21"/>
    </w:rPr>
  </w:style>
  <w:style w:type="paragraph" w:customStyle="1" w:styleId="195">
    <w:name w:val="Table - Text"/>
    <w:basedOn w:val="1"/>
    <w:qFormat/>
    <w:uiPriority w:val="0"/>
    <w:pPr>
      <w:widowControl/>
      <w:spacing w:before="60" w:afterLines="50"/>
      <w:jc w:val="left"/>
    </w:pPr>
    <w:rPr>
      <w:kern w:val="0"/>
      <w:szCs w:val="20"/>
      <w:lang w:eastAsia="en-US"/>
    </w:rPr>
  </w:style>
  <w:style w:type="paragraph" w:customStyle="1" w:styleId="196">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97">
    <w:name w:val="xl85"/>
    <w:basedOn w:val="1"/>
    <w:qFormat/>
    <w:uiPriority w:val="0"/>
    <w:pPr>
      <w:widowControl/>
      <w:spacing w:before="100" w:beforeAutospacing="1" w:after="100" w:afterAutospacing="1"/>
      <w:jc w:val="left"/>
      <w:textAlignment w:val="center"/>
    </w:pPr>
    <w:rPr>
      <w:rFonts w:ascii="宋体" w:hAnsi="宋体" w:cs="宋体"/>
      <w:kern w:val="0"/>
      <w:sz w:val="20"/>
      <w:szCs w:val="20"/>
    </w:rPr>
  </w:style>
  <w:style w:type="paragraph" w:customStyle="1" w:styleId="198">
    <w:name w:val="默认段落字体 Para Char"/>
    <w:basedOn w:val="1"/>
    <w:qFormat/>
    <w:uiPriority w:val="0"/>
    <w:pPr>
      <w:adjustRightInd w:val="0"/>
      <w:spacing w:line="360" w:lineRule="auto"/>
      <w:ind w:firstLine="480"/>
    </w:pPr>
    <w:rPr>
      <w:rFonts w:ascii="宋体" w:hAnsi="宋体"/>
      <w:kern w:val="0"/>
      <w:sz w:val="24"/>
      <w:szCs w:val="20"/>
    </w:rPr>
  </w:style>
  <w:style w:type="paragraph" w:customStyle="1" w:styleId="199">
    <w:name w:val="font9"/>
    <w:basedOn w:val="1"/>
    <w:qFormat/>
    <w:uiPriority w:val="0"/>
    <w:pPr>
      <w:widowControl/>
      <w:spacing w:before="100" w:beforeAutospacing="1" w:after="100" w:afterAutospacing="1"/>
      <w:jc w:val="left"/>
    </w:pPr>
    <w:rPr>
      <w:rFonts w:ascii="新宋体" w:hAnsi="新宋体" w:eastAsia="新宋体" w:cs="宋体"/>
      <w:kern w:val="0"/>
      <w:sz w:val="20"/>
      <w:szCs w:val="20"/>
    </w:rPr>
  </w:style>
  <w:style w:type="table" w:customStyle="1" w:styleId="200">
    <w:name w:val="TableGrid"/>
    <w:qFormat/>
    <w:uiPriority w:val="0"/>
    <w:rPr>
      <w:rFonts w:ascii="等线" w:hAnsi="等线" w:eastAsia="等线"/>
      <w:kern w:val="2"/>
      <w:sz w:val="21"/>
      <w:szCs w:val="22"/>
    </w:rPr>
    <w:tblPr>
      <w:tblCellMar>
        <w:top w:w="0" w:type="dxa"/>
        <w:left w:w="0" w:type="dxa"/>
        <w:bottom w:w="0" w:type="dxa"/>
        <w:right w:w="0" w:type="dxa"/>
      </w:tblCellMar>
    </w:tblPr>
  </w:style>
  <w:style w:type="character" w:customStyle="1" w:styleId="201">
    <w:name w:val="纯文本 字符1"/>
    <w:qFormat/>
    <w:uiPriority w:val="0"/>
    <w:rPr>
      <w:rFonts w:ascii="宋体" w:hAnsi="Courier New"/>
      <w:szCs w:val="24"/>
    </w:rPr>
  </w:style>
  <w:style w:type="character" w:customStyle="1" w:styleId="202">
    <w:name w:val="标题 3 字符"/>
    <w:link w:val="5"/>
    <w:uiPriority w:val="0"/>
    <w:rPr>
      <w:b/>
      <w:bCs/>
      <w:kern w:val="2"/>
      <w:sz w:val="24"/>
      <w:szCs w:val="32"/>
    </w:rPr>
  </w:style>
  <w:style w:type="paragraph" w:customStyle="1" w:styleId="203">
    <w:name w:val="纯文本_0_0"/>
    <w:basedOn w:val="173"/>
    <w:link w:val="204"/>
    <w:qFormat/>
    <w:uiPriority w:val="0"/>
    <w:rPr>
      <w:rFonts w:ascii="宋体" w:hAnsi="Courier New"/>
      <w:szCs w:val="21"/>
    </w:rPr>
  </w:style>
  <w:style w:type="character" w:customStyle="1" w:styleId="204">
    <w:name w:val="纯文本 Char_0"/>
    <w:link w:val="203"/>
    <w:qFormat/>
    <w:locked/>
    <w:uiPriority w:val="0"/>
    <w:rPr>
      <w:rFonts w:ascii="宋体" w:hAnsi="Courier New"/>
      <w:kern w:val="2"/>
      <w:sz w:val="21"/>
      <w:szCs w:val="21"/>
    </w:rPr>
  </w:style>
  <w:style w:type="paragraph" w:customStyle="1" w:styleId="205">
    <w:name w:val="正文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206">
    <w:name w:val="未处理的提及1"/>
    <w:basedOn w:val="43"/>
    <w:semiHidden/>
    <w:unhideWhenUsed/>
    <w:qFormat/>
    <w:uiPriority w:val="99"/>
    <w:rPr>
      <w:color w:val="605E5C"/>
      <w:shd w:val="clear" w:color="auto" w:fill="E1DFDD"/>
    </w:rPr>
  </w:style>
  <w:style w:type="table" w:customStyle="1" w:styleId="207">
    <w:name w:val="投标表格"/>
    <w:basedOn w:val="41"/>
    <w:qFormat/>
    <w:uiPriority w:val="0"/>
    <w:pPr>
      <w:spacing w:line="400" w:lineRule="exact"/>
    </w:pPr>
    <w:rPr>
      <w:rFonts w:ascii="Arial" w:hAnsi="Arial"/>
      <w:sz w:val="22"/>
      <w:szCs w:val="22"/>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
    <w:tcPr>
      <w:vAlign w:val="center"/>
    </w:tcPr>
    <w:tblStylePr w:type="firstRow">
      <w:pPr>
        <w:wordWrap/>
        <w:spacing w:beforeLines="0" w:beforeAutospacing="0" w:afterLines="0" w:afterAutospacing="0" w:line="400" w:lineRule="exact"/>
      </w:pPr>
      <w:rPr>
        <w:rFonts w:ascii="Arial" w:hAnsi="Arial" w:eastAsia="宋体"/>
        <w:b/>
        <w:i w:val="0"/>
        <w:color w:val="06385E"/>
        <w:sz w:val="24"/>
        <w:szCs w:val="24"/>
      </w:rPr>
      <w:tblPr/>
      <w:trPr>
        <w:tblHeader/>
      </w:trPr>
      <w:tcPr>
        <w:tcBorders>
          <w:top w:val="single" w:color="auto" w:sz="12" w:space="0"/>
          <w:left w:val="single" w:color="auto" w:sz="12" w:space="0"/>
          <w:bottom w:val="nil"/>
          <w:right w:val="single" w:color="auto" w:sz="12" w:space="0"/>
          <w:insideH w:val="nil"/>
          <w:insideV w:val="single" w:sz="4" w:space="0"/>
          <w:tl2br w:val="nil"/>
          <w:tr2bl w:val="nil"/>
        </w:tcBorders>
        <w:shd w:val="clear" w:color="auto" w:fill="B4DCFA"/>
      </w:tcPr>
    </w:tblStylePr>
  </w:style>
  <w:style w:type="paragraph" w:customStyle="1" w:styleId="208">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09">
    <w:name w:val="List Paragraph"/>
    <w:basedOn w:val="1"/>
    <w:qFormat/>
    <w:uiPriority w:val="99"/>
    <w:pPr>
      <w:ind w:firstLine="420" w:firstLineChars="200"/>
    </w:pPr>
  </w:style>
  <w:style w:type="character" w:customStyle="1" w:styleId="210">
    <w:name w:val="Unresolved Mention"/>
    <w:basedOn w:val="4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file:///C:\Users\chend\Documents\WeChat%2520Files\xun599218189\chend\AppData\Roaming\Tencent\QQ\Temp\%2525W@GJ$ACOF(TYDYECOKVDYB.png" TargetMode="Externa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B0A75E-E7FC-4BBF-A343-548EBD8C5810}">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55</Pages>
  <Words>27089</Words>
  <Characters>25945</Characters>
  <Lines>216</Lines>
  <Paragraphs>105</Paragraphs>
  <TotalTime>10</TotalTime>
  <ScaleCrop>false</ScaleCrop>
  <LinksUpToDate>false</LinksUpToDate>
  <CharactersWithSpaces>52929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2021-01-19T07:38:00Z</dcterms:created>
  <dc:creator>oempc</dc:creator>
  <cp:lastModifiedBy>招标中心校琴</cp:lastModifiedBy>
  <cp:lastPrinted>2020-07-31T02:45:00Z</cp:lastPrinted>
  <dcterms:modified xsi:type="dcterms:W3CDTF">2021-01-22T02:02:39Z</dcterms:modified>
  <dc:title>青田县政府采购</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