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color w:val="auto"/>
          <w:sz w:val="44"/>
          <w:szCs w:val="44"/>
          <w:highlight w:val="none"/>
        </w:rPr>
      </w:pPr>
    </w:p>
    <w:p>
      <w:pPr>
        <w:jc w:val="center"/>
        <w:rPr>
          <w:rFonts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义乌工商职业技术学院</w:t>
      </w:r>
    </w:p>
    <w:p>
      <w:pPr>
        <w:jc w:val="center"/>
        <w:rPr>
          <w:rFonts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公寓局域网升级采购</w:t>
      </w:r>
    </w:p>
    <w:p>
      <w:pPr>
        <w:jc w:val="center"/>
        <w:rPr>
          <w:rFonts w:ascii="Times New Roman" w:hAnsi="Times New Roman" w:eastAsia="宋体" w:cs="Times New Roman"/>
          <w:b/>
          <w:color w:val="auto"/>
          <w:sz w:val="44"/>
          <w:szCs w:val="44"/>
          <w:highlight w:val="none"/>
        </w:rPr>
      </w:pPr>
    </w:p>
    <w:p>
      <w:pPr>
        <w:jc w:val="center"/>
        <w:rPr>
          <w:rFonts w:ascii="Times New Roman" w:hAnsi="Times New Roman" w:eastAsia="宋体" w:cs="Times New Roman"/>
          <w:color w:val="auto"/>
          <w:highlight w:val="none"/>
        </w:rPr>
      </w:pPr>
    </w:p>
    <w:p>
      <w:pPr>
        <w:tabs>
          <w:tab w:val="center" w:pos="4677"/>
          <w:tab w:val="left" w:pos="7365"/>
        </w:tabs>
        <w:jc w:val="center"/>
        <w:rPr>
          <w:rFonts w:ascii="Times New Roman" w:hAnsi="Times New Roman" w:eastAsia="宋体" w:cs="Times New Roman"/>
          <w:b/>
          <w:bCs/>
          <w:color w:val="auto"/>
          <w:sz w:val="36"/>
          <w:szCs w:val="36"/>
          <w:highlight w:val="none"/>
        </w:rPr>
      </w:pPr>
    </w:p>
    <w:p>
      <w:pPr>
        <w:tabs>
          <w:tab w:val="center" w:pos="4677"/>
          <w:tab w:val="left" w:pos="7365"/>
        </w:tabs>
        <w:jc w:val="center"/>
        <w:rPr>
          <w:rFonts w:ascii="Times New Roman" w:hAnsi="Times New Roman" w:eastAsia="宋体" w:cs="Times New Roman"/>
          <w:b/>
          <w:bCs/>
          <w:color w:val="auto"/>
          <w:sz w:val="36"/>
          <w:szCs w:val="36"/>
          <w:highlight w:val="none"/>
        </w:rPr>
      </w:pPr>
    </w:p>
    <w:p>
      <w:pPr>
        <w:tabs>
          <w:tab w:val="center" w:pos="4677"/>
          <w:tab w:val="left" w:pos="7365"/>
        </w:tabs>
        <w:jc w:val="center"/>
        <w:rPr>
          <w:rFonts w:ascii="Times New Roman" w:hAnsi="Times New Roman" w:eastAsia="宋体" w:cs="Times New Roman"/>
          <w:color w:val="auto"/>
          <w:sz w:val="52"/>
          <w:highlight w:val="none"/>
        </w:rPr>
      </w:pPr>
      <w:r>
        <w:rPr>
          <w:rFonts w:ascii="Times New Roman" w:hAnsi="Times New Roman" w:eastAsia="宋体" w:cs="Times New Roman"/>
          <w:b/>
          <w:bCs/>
          <w:color w:val="auto"/>
          <w:sz w:val="72"/>
          <w:highlight w:val="none"/>
        </w:rPr>
        <w:t>招标文件</w:t>
      </w:r>
    </w:p>
    <w:p>
      <w:pPr>
        <w:jc w:val="center"/>
        <w:rPr>
          <w:rFonts w:ascii="Times New Roman" w:hAnsi="Times New Roman" w:eastAsia="宋体" w:cs="Times New Roman"/>
          <w:b/>
          <w:bCs/>
          <w:color w:val="auto"/>
          <w:sz w:val="32"/>
          <w:highlight w:val="none"/>
        </w:rPr>
      </w:pPr>
    </w:p>
    <w:p>
      <w:pPr>
        <w:jc w:val="center"/>
        <w:rPr>
          <w:rFonts w:ascii="Times New Roman" w:hAnsi="Times New Roman" w:eastAsia="宋体" w:cs="Times New Roman"/>
          <w:b/>
          <w:bCs/>
          <w:color w:val="auto"/>
          <w:sz w:val="32"/>
          <w:highlight w:val="none"/>
          <w:u w:val="single"/>
        </w:rPr>
      </w:pPr>
      <w:r>
        <w:rPr>
          <w:rFonts w:ascii="Times New Roman" w:hAnsi="Times New Roman" w:eastAsia="宋体" w:cs="Times New Roman"/>
          <w:b/>
          <w:bCs/>
          <w:color w:val="auto"/>
          <w:sz w:val="32"/>
          <w:highlight w:val="none"/>
        </w:rPr>
        <w:t>采购编号：ZJKP2022YW</w:t>
      </w:r>
      <w:r>
        <w:rPr>
          <w:rFonts w:hint="eastAsia" w:ascii="Times New Roman" w:hAnsi="Times New Roman" w:eastAsia="宋体" w:cs="Times New Roman"/>
          <w:b/>
          <w:bCs/>
          <w:color w:val="auto"/>
          <w:sz w:val="32"/>
          <w:highlight w:val="none"/>
        </w:rPr>
        <w:t>213</w:t>
      </w:r>
      <w:r>
        <w:rPr>
          <w:rFonts w:ascii="Times New Roman" w:hAnsi="Times New Roman" w:eastAsia="宋体" w:cs="Times New Roman"/>
          <w:b/>
          <w:bCs/>
          <w:color w:val="auto"/>
          <w:sz w:val="32"/>
          <w:highlight w:val="none"/>
        </w:rPr>
        <w:t>G</w:t>
      </w:r>
    </w:p>
    <w:p>
      <w:pPr>
        <w:jc w:val="center"/>
        <w:rPr>
          <w:rFonts w:ascii="Times New Roman" w:hAnsi="Times New Roman" w:eastAsia="宋体" w:cs="Times New Roman"/>
          <w:b/>
          <w:bCs/>
          <w:color w:val="auto"/>
          <w:sz w:val="32"/>
          <w:highlight w:val="none"/>
        </w:rPr>
      </w:pPr>
    </w:p>
    <w:p>
      <w:pPr>
        <w:jc w:val="center"/>
        <w:rPr>
          <w:rFonts w:ascii="Times New Roman" w:hAnsi="Times New Roman" w:eastAsia="宋体" w:cs="Times New Roman"/>
          <w:b/>
          <w:bCs/>
          <w:color w:val="auto"/>
          <w:sz w:val="36"/>
          <w:highlight w:val="none"/>
        </w:rPr>
      </w:pPr>
    </w:p>
    <w:p>
      <w:pPr>
        <w:jc w:val="center"/>
        <w:rPr>
          <w:rFonts w:ascii="Times New Roman" w:hAnsi="Times New Roman" w:eastAsia="宋体" w:cs="Times New Roman"/>
          <w:b/>
          <w:bCs/>
          <w:color w:val="auto"/>
          <w:sz w:val="36"/>
          <w:highlight w:val="none"/>
        </w:rPr>
      </w:pPr>
    </w:p>
    <w:p>
      <w:pPr>
        <w:jc w:val="center"/>
        <w:rPr>
          <w:rFonts w:ascii="Times New Roman" w:hAnsi="Times New Roman" w:eastAsia="宋体" w:cs="Times New Roman"/>
          <w:b/>
          <w:bCs/>
          <w:color w:val="auto"/>
          <w:sz w:val="36"/>
          <w:highlight w:val="none"/>
        </w:rPr>
      </w:pPr>
    </w:p>
    <w:p>
      <w:pPr>
        <w:jc w:val="center"/>
        <w:rPr>
          <w:rFonts w:ascii="Times New Roman" w:hAnsi="Times New Roman" w:eastAsia="宋体" w:cs="Times New Roman"/>
          <w:b/>
          <w:bCs/>
          <w:color w:val="auto"/>
          <w:sz w:val="36"/>
          <w:highlight w:val="none"/>
        </w:rPr>
      </w:pPr>
    </w:p>
    <w:p>
      <w:pPr>
        <w:jc w:val="center"/>
        <w:rPr>
          <w:rFonts w:ascii="Times New Roman" w:hAnsi="Times New Roman" w:eastAsia="宋体" w:cs="Times New Roman"/>
          <w:b/>
          <w:bCs/>
          <w:color w:val="auto"/>
          <w:sz w:val="36"/>
          <w:highlight w:val="none"/>
        </w:rPr>
      </w:pPr>
    </w:p>
    <w:p>
      <w:pPr>
        <w:rPr>
          <w:rFonts w:ascii="Times New Roman" w:hAnsi="Times New Roman" w:eastAsia="宋体" w:cs="Times New Roman"/>
          <w:b/>
          <w:bCs/>
          <w:color w:val="auto"/>
          <w:sz w:val="36"/>
          <w:highlight w:val="none"/>
        </w:rPr>
      </w:pPr>
    </w:p>
    <w:p>
      <w:pPr>
        <w:jc w:val="center"/>
        <w:rPr>
          <w:rFonts w:ascii="Times New Roman" w:hAnsi="Times New Roman" w:eastAsia="宋体" w:cs="Times New Roman"/>
          <w:b/>
          <w:bCs/>
          <w:color w:val="auto"/>
          <w:sz w:val="36"/>
          <w:highlight w:val="none"/>
        </w:rPr>
      </w:pPr>
      <w:bookmarkStart w:id="0" w:name="OLE_LINK2"/>
      <w:bookmarkStart w:id="1" w:name="OLE_LINK1"/>
      <w:r>
        <w:rPr>
          <w:rFonts w:hint="eastAsia" w:ascii="Times New Roman" w:hAnsi="Times New Roman" w:eastAsia="宋体" w:cs="Times New Roman"/>
          <w:b/>
          <w:bCs/>
          <w:color w:val="auto"/>
          <w:sz w:val="36"/>
          <w:highlight w:val="none"/>
        </w:rPr>
        <w:t>义乌工商职业技术学院</w:t>
      </w:r>
    </w:p>
    <w:p>
      <w:pPr>
        <w:jc w:val="center"/>
        <w:rPr>
          <w:rFonts w:ascii="Times New Roman" w:hAnsi="Times New Roman" w:eastAsia="宋体" w:cs="Times New Roman"/>
          <w:b/>
          <w:bCs/>
          <w:color w:val="auto"/>
          <w:sz w:val="36"/>
          <w:highlight w:val="none"/>
        </w:rPr>
      </w:pPr>
      <w:r>
        <w:rPr>
          <w:rFonts w:ascii="Times New Roman" w:hAnsi="Times New Roman" w:eastAsia="宋体" w:cs="Times New Roman"/>
          <w:b/>
          <w:bCs/>
          <w:color w:val="auto"/>
          <w:sz w:val="36"/>
          <w:highlight w:val="none"/>
        </w:rPr>
        <w:t>浙江开平企业管理咨询有限公司</w:t>
      </w:r>
      <w:bookmarkEnd w:id="0"/>
      <w:bookmarkEnd w:id="1"/>
    </w:p>
    <w:p>
      <w:pPr>
        <w:jc w:val="center"/>
        <w:rPr>
          <w:rFonts w:ascii="Times New Roman" w:hAnsi="Times New Roman" w:eastAsia="宋体" w:cs="Times New Roman"/>
          <w:b/>
          <w:bCs/>
          <w:color w:val="auto"/>
          <w:sz w:val="36"/>
          <w:highlight w:val="none"/>
        </w:rPr>
      </w:pPr>
      <w:r>
        <w:rPr>
          <w:rFonts w:ascii="Times New Roman" w:hAnsi="Times New Roman" w:eastAsia="宋体" w:cs="Times New Roman"/>
          <w:b/>
          <w:bCs/>
          <w:color w:val="auto"/>
          <w:sz w:val="36"/>
          <w:highlight w:val="none"/>
        </w:rPr>
        <w:t>二0二二年</w:t>
      </w:r>
      <w:r>
        <w:rPr>
          <w:rFonts w:hint="eastAsia" w:ascii="Times New Roman" w:hAnsi="Times New Roman" w:eastAsia="宋体" w:cs="Times New Roman"/>
          <w:b/>
          <w:bCs/>
          <w:color w:val="auto"/>
          <w:sz w:val="36"/>
          <w:highlight w:val="none"/>
        </w:rPr>
        <w:t>八</w:t>
      </w:r>
      <w:r>
        <w:rPr>
          <w:rFonts w:ascii="Times New Roman" w:hAnsi="Times New Roman" w:eastAsia="宋体" w:cs="Times New Roman"/>
          <w:b/>
          <w:bCs/>
          <w:color w:val="auto"/>
          <w:sz w:val="36"/>
          <w:highlight w:val="none"/>
        </w:rPr>
        <w:t>月</w:t>
      </w:r>
    </w:p>
    <w:p>
      <w:pPr>
        <w:widowControl/>
        <w:jc w:val="left"/>
        <w:rPr>
          <w:rFonts w:ascii="Times New Roman" w:hAnsi="Times New Roman" w:eastAsia="宋体" w:cs="Times New Roman"/>
          <w:b/>
          <w:bCs/>
          <w:color w:val="auto"/>
          <w:sz w:val="36"/>
          <w:highlight w:val="none"/>
        </w:rPr>
      </w:pPr>
      <w:r>
        <w:rPr>
          <w:rFonts w:ascii="Times New Roman" w:hAnsi="Times New Roman" w:eastAsia="宋体" w:cs="Times New Roman"/>
          <w:b/>
          <w:bCs/>
          <w:color w:val="auto"/>
          <w:sz w:val="36"/>
          <w:highlight w:val="none"/>
        </w:rPr>
        <w:br w:type="page"/>
      </w:r>
    </w:p>
    <w:p>
      <w:pPr>
        <w:pStyle w:val="11"/>
        <w:spacing w:before="120" w:after="120" w:line="360" w:lineRule="auto"/>
        <w:ind w:firstLine="883" w:firstLineChars="200"/>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招标文件目录</w:t>
      </w:r>
    </w:p>
    <w:p>
      <w:pPr>
        <w:pStyle w:val="17"/>
        <w:rPr>
          <w:b/>
          <w:color w:val="auto"/>
          <w:highlight w:val="none"/>
        </w:rPr>
      </w:pPr>
    </w:p>
    <w:p>
      <w:pPr>
        <w:pStyle w:val="17"/>
        <w:rPr>
          <w:b/>
          <w:bCs/>
          <w:color w:val="auto"/>
          <w:sz w:val="21"/>
          <w:highlight w:val="none"/>
        </w:rPr>
      </w:pPr>
      <w:r>
        <w:rPr>
          <w:b/>
          <w:color w:val="auto"/>
          <w:highlight w:val="none"/>
        </w:rPr>
        <w:fldChar w:fldCharType="begin"/>
      </w:r>
      <w:r>
        <w:rPr>
          <w:b/>
          <w:color w:val="auto"/>
          <w:highlight w:val="none"/>
        </w:rPr>
        <w:instrText xml:space="preserve"> TOC \o "1-3" \h \z \u </w:instrText>
      </w:r>
      <w:r>
        <w:rPr>
          <w:b/>
          <w:color w:val="auto"/>
          <w:highlight w:val="none"/>
        </w:rPr>
        <w:fldChar w:fldCharType="separate"/>
      </w:r>
      <w:r>
        <w:rPr>
          <w:color w:val="auto"/>
          <w:highlight w:val="none"/>
        </w:rPr>
        <w:fldChar w:fldCharType="begin"/>
      </w:r>
      <w:r>
        <w:rPr>
          <w:color w:val="auto"/>
          <w:highlight w:val="none"/>
        </w:rPr>
        <w:instrText xml:space="preserve"> HYPERLINK \l "_Toc362250684" </w:instrText>
      </w:r>
      <w:r>
        <w:rPr>
          <w:color w:val="auto"/>
          <w:highlight w:val="none"/>
        </w:rPr>
        <w:fldChar w:fldCharType="separate"/>
      </w:r>
      <w:r>
        <w:rPr>
          <w:rStyle w:val="27"/>
          <w:color w:val="auto"/>
          <w:highlight w:val="none"/>
        </w:rPr>
        <w:t>第一章　采购公告</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"_Toc362250685" </w:instrText>
      </w:r>
      <w:r>
        <w:rPr>
          <w:color w:val="auto"/>
          <w:highlight w:val="none"/>
        </w:rPr>
        <w:fldChar w:fldCharType="separate"/>
      </w:r>
      <w:r>
        <w:rPr>
          <w:rStyle w:val="27"/>
          <w:color w:val="auto"/>
          <w:highlight w:val="none"/>
        </w:rPr>
        <w:t>第二章　投标须知和投标须知前附表</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"_Toc362250692" </w:instrText>
      </w:r>
      <w:r>
        <w:rPr>
          <w:color w:val="auto"/>
          <w:highlight w:val="none"/>
        </w:rPr>
        <w:fldChar w:fldCharType="separate"/>
      </w:r>
      <w:r>
        <w:rPr>
          <w:rStyle w:val="27"/>
          <w:color w:val="auto"/>
          <w:highlight w:val="none"/>
        </w:rPr>
        <w:t>第三章  招标项目内容及技术要求</w:t>
      </w:r>
      <w:r>
        <w:rPr>
          <w:rStyle w:val="27"/>
          <w:color w:val="auto"/>
          <w:highlight w:val="none"/>
        </w:rPr>
        <w:fldChar w:fldCharType="end"/>
      </w:r>
    </w:p>
    <w:p>
      <w:pPr>
        <w:pStyle w:val="17"/>
        <w:tabs>
          <w:tab w:val="left" w:pos="1260"/>
        </w:tabs>
        <w:rPr>
          <w:rStyle w:val="27"/>
          <w:color w:val="auto"/>
          <w:highlight w:val="none"/>
        </w:rPr>
      </w:pPr>
    </w:p>
    <w:p>
      <w:pPr>
        <w:pStyle w:val="17"/>
        <w:tabs>
          <w:tab w:val="left" w:pos="1020"/>
        </w:tabs>
        <w:rPr>
          <w:b/>
          <w:bCs/>
          <w:color w:val="auto"/>
          <w:sz w:val="21"/>
          <w:highlight w:val="none"/>
        </w:rPr>
      </w:pPr>
      <w:r>
        <w:rPr>
          <w:color w:val="auto"/>
          <w:highlight w:val="none"/>
        </w:rPr>
        <w:fldChar w:fldCharType="begin"/>
      </w:r>
      <w:r>
        <w:rPr>
          <w:color w:val="auto"/>
          <w:highlight w:val="none"/>
        </w:rPr>
        <w:instrText xml:space="preserve"> HYPERLINK \l "_Toc362250703" </w:instrText>
      </w:r>
      <w:r>
        <w:rPr>
          <w:color w:val="auto"/>
          <w:highlight w:val="none"/>
        </w:rPr>
        <w:fldChar w:fldCharType="separate"/>
      </w:r>
      <w:r>
        <w:rPr>
          <w:rStyle w:val="27"/>
          <w:color w:val="auto"/>
          <w:highlight w:val="none"/>
        </w:rPr>
        <w:t>第四章</w:t>
      </w:r>
      <w:r>
        <w:rPr>
          <w:b/>
          <w:bCs/>
          <w:color w:val="auto"/>
          <w:sz w:val="21"/>
          <w:highlight w:val="none"/>
        </w:rPr>
        <w:tab/>
      </w:r>
      <w:r>
        <w:rPr>
          <w:rStyle w:val="27"/>
          <w:color w:val="auto"/>
          <w:highlight w:val="none"/>
        </w:rPr>
        <w:t>开标、评标和定标须知</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"_Toc362250707" </w:instrText>
      </w:r>
      <w:r>
        <w:rPr>
          <w:color w:val="auto"/>
          <w:highlight w:val="none"/>
        </w:rPr>
        <w:fldChar w:fldCharType="separate"/>
      </w:r>
      <w:r>
        <w:rPr>
          <w:rStyle w:val="27"/>
          <w:color w:val="auto"/>
          <w:highlight w:val="none"/>
        </w:rPr>
        <w:t>第五章  投标文件的有效性</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"_Toc362250708" </w:instrText>
      </w:r>
      <w:r>
        <w:rPr>
          <w:color w:val="auto"/>
          <w:highlight w:val="none"/>
        </w:rPr>
        <w:fldChar w:fldCharType="separate"/>
      </w:r>
      <w:r>
        <w:rPr>
          <w:rStyle w:val="27"/>
          <w:color w:val="auto"/>
          <w:highlight w:val="none"/>
        </w:rPr>
        <w:t>第六章  评标办法</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"_Toc362250711" </w:instrText>
      </w:r>
      <w:r>
        <w:rPr>
          <w:color w:val="auto"/>
          <w:highlight w:val="none"/>
        </w:rPr>
        <w:fldChar w:fldCharType="separate"/>
      </w:r>
      <w:r>
        <w:rPr>
          <w:rStyle w:val="27"/>
          <w:color w:val="auto"/>
          <w:highlight w:val="none"/>
        </w:rPr>
        <w:t>第七章  合同主要条款</w:t>
      </w:r>
      <w:r>
        <w:rPr>
          <w:rStyle w:val="27"/>
          <w:color w:val="auto"/>
          <w:highlight w:val="none"/>
        </w:rPr>
        <w:fldChar w:fldCharType="end"/>
      </w:r>
    </w:p>
    <w:p>
      <w:pPr>
        <w:pStyle w:val="17"/>
        <w:rPr>
          <w:rStyle w:val="27"/>
          <w:color w:val="auto"/>
          <w:highlight w:val="none"/>
        </w:rPr>
      </w:pPr>
    </w:p>
    <w:p>
      <w:pPr>
        <w:pStyle w:val="17"/>
        <w:rPr>
          <w:b/>
          <w:bCs/>
          <w:color w:val="auto"/>
          <w:sz w:val="21"/>
          <w:highlight w:val="none"/>
        </w:rPr>
      </w:pPr>
      <w:r>
        <w:rPr>
          <w:color w:val="auto"/>
          <w:highlight w:val="none"/>
        </w:rPr>
        <w:fldChar w:fldCharType="begin"/>
      </w:r>
      <w:r>
        <w:rPr>
          <w:color w:val="auto"/>
          <w:highlight w:val="none"/>
        </w:rPr>
        <w:instrText xml:space="preserve"> HYPERLINK \l "_Toc362250712" </w:instrText>
      </w:r>
      <w:r>
        <w:rPr>
          <w:color w:val="auto"/>
          <w:highlight w:val="none"/>
        </w:rPr>
        <w:fldChar w:fldCharType="separate"/>
      </w:r>
      <w:r>
        <w:rPr>
          <w:rStyle w:val="27"/>
          <w:color w:val="auto"/>
          <w:highlight w:val="none"/>
        </w:rPr>
        <w:t>第八章  投标文件部分格式</w:t>
      </w:r>
      <w:r>
        <w:rPr>
          <w:rStyle w:val="27"/>
          <w:color w:val="auto"/>
          <w:highlight w:val="none"/>
        </w:rPr>
        <w:fldChar w:fldCharType="end"/>
      </w:r>
    </w:p>
    <w:p>
      <w:pPr>
        <w:jc w:val="center"/>
        <w:rPr>
          <w:rFonts w:ascii="Times New Roman" w:hAnsi="Times New Roman" w:eastAsia="宋体" w:cs="Times New Roman"/>
          <w:b/>
          <w:color w:val="auto"/>
          <w:szCs w:val="30"/>
          <w:highlight w:val="none"/>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color w:val="auto"/>
          <w:szCs w:val="30"/>
          <w:highlight w:val="none"/>
        </w:rPr>
        <w:fldChar w:fldCharType="end"/>
      </w:r>
    </w:p>
    <w:p>
      <w:pPr>
        <w:pStyle w:val="5"/>
        <w:spacing w:line="240" w:lineRule="auto"/>
        <w:jc w:val="center"/>
        <w:rPr>
          <w:rFonts w:ascii="Times New Roman" w:hAnsi="Times New Roman" w:eastAsia="宋体" w:cs="Times New Roman"/>
          <w:color w:val="auto"/>
          <w:sz w:val="36"/>
          <w:highlight w:val="none"/>
        </w:rPr>
      </w:pPr>
      <w:r>
        <w:rPr>
          <w:rFonts w:ascii="Times New Roman" w:hAnsi="Times New Roman" w:eastAsia="宋体" w:cs="Times New Roman"/>
          <w:color w:val="auto"/>
          <w:sz w:val="36"/>
          <w:highlight w:val="none"/>
        </w:rPr>
        <w:t>第一章　采购公告</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浙江开平企业管理咨询有限公司受</w:t>
      </w:r>
      <w:r>
        <w:rPr>
          <w:rFonts w:hint="eastAsia" w:ascii="Times New Roman" w:hAnsi="Times New Roman" w:eastAsia="宋体" w:cs="Times New Roman"/>
          <w:color w:val="auto"/>
          <w:sz w:val="24"/>
          <w:highlight w:val="none"/>
        </w:rPr>
        <w:t>义乌工商职业技术学院</w:t>
      </w:r>
      <w:r>
        <w:rPr>
          <w:rFonts w:ascii="Times New Roman" w:hAnsi="Times New Roman" w:eastAsia="宋体" w:cs="Times New Roman"/>
          <w:color w:val="auto"/>
          <w:sz w:val="24"/>
          <w:highlight w:val="none"/>
        </w:rPr>
        <w:t>的委托，</w:t>
      </w:r>
      <w:r>
        <w:rPr>
          <w:rFonts w:ascii="Times New Roman" w:hAnsi="Times New Roman" w:eastAsia="宋体" w:cs="Times New Roman"/>
          <w:color w:val="auto"/>
          <w:kern w:val="0"/>
          <w:sz w:val="24"/>
          <w:highlight w:val="none"/>
        </w:rPr>
        <w:t>就</w:t>
      </w:r>
      <w:r>
        <w:rPr>
          <w:rFonts w:hint="eastAsia" w:ascii="Times New Roman" w:hAnsi="Times New Roman" w:eastAsia="宋体" w:cs="Times New Roman"/>
          <w:color w:val="auto"/>
          <w:kern w:val="0"/>
          <w:sz w:val="24"/>
          <w:highlight w:val="none"/>
        </w:rPr>
        <w:t>公寓局域网升级项目</w:t>
      </w:r>
      <w:r>
        <w:rPr>
          <w:rFonts w:ascii="Times New Roman" w:hAnsi="Times New Roman" w:eastAsia="宋体" w:cs="Times New Roman"/>
          <w:color w:val="auto"/>
          <w:sz w:val="24"/>
          <w:highlight w:val="none"/>
        </w:rPr>
        <w:t>进行</w:t>
      </w:r>
      <w:r>
        <w:rPr>
          <w:rFonts w:ascii="Times New Roman" w:hAnsi="Times New Roman" w:eastAsia="宋体" w:cs="Times New Roman"/>
          <w:bCs/>
          <w:color w:val="auto"/>
          <w:sz w:val="24"/>
          <w:highlight w:val="none"/>
          <w:u w:val="single"/>
        </w:rPr>
        <w:t>公开招标</w:t>
      </w:r>
      <w:r>
        <w:rPr>
          <w:rFonts w:ascii="Times New Roman" w:hAnsi="Times New Roman" w:eastAsia="宋体" w:cs="Times New Roman"/>
          <w:color w:val="auto"/>
          <w:sz w:val="24"/>
          <w:highlight w:val="none"/>
        </w:rPr>
        <w:t>采购，欢迎国内合格的</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参加投标。</w:t>
      </w:r>
    </w:p>
    <w:p>
      <w:pPr>
        <w:pStyle w:val="11"/>
        <w:adjustRightInd w:val="0"/>
        <w:snapToGrid w:val="0"/>
        <w:spacing w:line="360" w:lineRule="auto"/>
        <w:rPr>
          <w:rFonts w:ascii="Times New Roman" w:hAnsi="Times New Roman" w:cs="Times New Roman"/>
          <w:color w:val="auto"/>
          <w:sz w:val="24"/>
          <w:highlight w:val="none"/>
        </w:rPr>
      </w:pPr>
      <w:r>
        <w:rPr>
          <w:rFonts w:ascii="Times New Roman" w:hAnsi="Times New Roman" w:cs="Times New Roman"/>
          <w:b/>
          <w:color w:val="auto"/>
          <w:sz w:val="24"/>
          <w:szCs w:val="24"/>
          <w:highlight w:val="none"/>
        </w:rPr>
        <w:t>一、项目基本情况</w:t>
      </w:r>
    </w:p>
    <w:p>
      <w:pPr>
        <w:pStyle w:val="11"/>
        <w:adjustRightInd w:val="0"/>
        <w:snapToGrid w:val="0"/>
        <w:spacing w:line="360" w:lineRule="auto"/>
        <w:ind w:firstLine="482" w:firstLineChars="20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rPr>
        <w:t>1、采购编号</w:t>
      </w:r>
      <w:r>
        <w:rPr>
          <w:rFonts w:ascii="Times New Roman" w:hAnsi="Times New Roman" w:cs="Times New Roman"/>
          <w:color w:val="auto"/>
          <w:sz w:val="24"/>
          <w:szCs w:val="24"/>
          <w:highlight w:val="none"/>
        </w:rPr>
        <w:t>：ZJKP2022YW</w:t>
      </w:r>
      <w:r>
        <w:rPr>
          <w:rFonts w:hint="eastAsia" w:ascii="Times New Roman" w:hAnsi="Times New Roman" w:cs="Times New Roman"/>
          <w:color w:val="auto"/>
          <w:sz w:val="24"/>
          <w:szCs w:val="24"/>
          <w:highlight w:val="none"/>
        </w:rPr>
        <w:t>213</w:t>
      </w:r>
      <w:r>
        <w:rPr>
          <w:rFonts w:ascii="Times New Roman" w:hAnsi="Times New Roman" w:cs="Times New Roman"/>
          <w:color w:val="auto"/>
          <w:sz w:val="24"/>
          <w:szCs w:val="24"/>
          <w:highlight w:val="none"/>
        </w:rPr>
        <w:t>G</w:t>
      </w:r>
    </w:p>
    <w:p>
      <w:pPr>
        <w:spacing w:line="360" w:lineRule="auto"/>
        <w:ind w:firstLine="472" w:firstLineChars="196"/>
        <w:rPr>
          <w:rFonts w:ascii="Times New Roman" w:hAnsi="Times New Roman" w:eastAsia="宋体" w:cs="Times New Roman"/>
          <w:color w:val="auto"/>
          <w:kern w:val="0"/>
          <w:sz w:val="20"/>
          <w:szCs w:val="20"/>
          <w:highlight w:val="none"/>
        </w:rPr>
      </w:pPr>
      <w:r>
        <w:rPr>
          <w:rFonts w:ascii="Times New Roman" w:hAnsi="Times New Roman" w:eastAsia="宋体" w:cs="Times New Roman"/>
          <w:b/>
          <w:color w:val="auto"/>
          <w:sz w:val="24"/>
          <w:highlight w:val="none"/>
        </w:rPr>
        <w:t>2、采购内容：</w:t>
      </w:r>
      <w:r>
        <w:rPr>
          <w:rFonts w:hint="eastAsia" w:ascii="Times New Roman" w:hAnsi="Times New Roman" w:eastAsia="宋体" w:cs="Times New Roman"/>
          <w:bCs/>
          <w:color w:val="auto"/>
          <w:sz w:val="24"/>
          <w:highlight w:val="none"/>
        </w:rPr>
        <w:t>义乌工商职业技术学院公寓局域网升级采购</w:t>
      </w:r>
      <w:r>
        <w:rPr>
          <w:rFonts w:ascii="Times New Roman" w:hAnsi="Times New Roman" w:eastAsia="宋体" w:cs="Times New Roman"/>
          <w:color w:val="auto"/>
          <w:sz w:val="24"/>
          <w:highlight w:val="none"/>
        </w:rPr>
        <w:t>。</w:t>
      </w:r>
    </w:p>
    <w:p>
      <w:pPr>
        <w:tabs>
          <w:tab w:val="left" w:pos="284"/>
          <w:tab w:val="left" w:pos="720"/>
          <w:tab w:val="left" w:pos="851"/>
        </w:tabs>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3、项目预算：</w:t>
      </w:r>
      <w:r>
        <w:rPr>
          <w:rFonts w:hint="eastAsia" w:ascii="Times New Roman" w:hAnsi="Times New Roman" w:eastAsia="宋体" w:cs="Times New Roman"/>
          <w:color w:val="auto"/>
          <w:sz w:val="24"/>
          <w:szCs w:val="24"/>
          <w:highlight w:val="none"/>
        </w:rPr>
        <w:t>560万元</w:t>
      </w:r>
    </w:p>
    <w:p>
      <w:pPr>
        <w:tabs>
          <w:tab w:val="left" w:pos="284"/>
          <w:tab w:val="left" w:pos="720"/>
          <w:tab w:val="left" w:pos="851"/>
        </w:tabs>
        <w:spacing w:line="360" w:lineRule="auto"/>
        <w:ind w:firstLine="964" w:firstLineChars="400"/>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最高限价：</w:t>
      </w:r>
      <w:r>
        <w:rPr>
          <w:rFonts w:hint="eastAsia" w:ascii="Times New Roman" w:hAnsi="Times New Roman" w:eastAsia="宋体" w:cs="Times New Roman"/>
          <w:color w:val="auto"/>
          <w:sz w:val="24"/>
          <w:szCs w:val="24"/>
          <w:highlight w:val="none"/>
        </w:rPr>
        <w:t>560万元</w:t>
      </w:r>
    </w:p>
    <w:p>
      <w:pPr>
        <w:tabs>
          <w:tab w:val="left" w:pos="284"/>
          <w:tab w:val="left" w:pos="720"/>
          <w:tab w:val="left" w:pos="851"/>
        </w:tabs>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4、采购需求：</w:t>
      </w:r>
    </w:p>
    <w:tbl>
      <w:tblPr>
        <w:tblStyle w:val="23"/>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008"/>
        <w:gridCol w:w="537"/>
        <w:gridCol w:w="538"/>
        <w:gridCol w:w="1221"/>
        <w:gridCol w:w="1230"/>
        <w:gridCol w:w="178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3"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序号</w:t>
            </w:r>
          </w:p>
        </w:tc>
        <w:tc>
          <w:tcPr>
            <w:tcW w:w="2008"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标项内容</w:t>
            </w:r>
          </w:p>
        </w:tc>
        <w:tc>
          <w:tcPr>
            <w:tcW w:w="537"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数量</w:t>
            </w:r>
          </w:p>
        </w:tc>
        <w:tc>
          <w:tcPr>
            <w:tcW w:w="538"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单位</w:t>
            </w:r>
          </w:p>
        </w:tc>
        <w:tc>
          <w:tcPr>
            <w:tcW w:w="1221"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预算金额</w:t>
            </w:r>
          </w:p>
        </w:tc>
        <w:tc>
          <w:tcPr>
            <w:tcW w:w="1230"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最高限价</w:t>
            </w:r>
          </w:p>
        </w:tc>
        <w:tc>
          <w:tcPr>
            <w:tcW w:w="1782"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简要规格描述</w:t>
            </w:r>
          </w:p>
        </w:tc>
        <w:tc>
          <w:tcPr>
            <w:tcW w:w="810"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p>
        </w:tc>
        <w:tc>
          <w:tcPr>
            <w:tcW w:w="2008"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highlight w:val="none"/>
              </w:rPr>
              <w:t>公寓局域网升级</w:t>
            </w:r>
          </w:p>
        </w:tc>
        <w:tc>
          <w:tcPr>
            <w:tcW w:w="537"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p>
        </w:tc>
        <w:tc>
          <w:tcPr>
            <w:tcW w:w="538"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套</w:t>
            </w:r>
          </w:p>
        </w:tc>
        <w:tc>
          <w:tcPr>
            <w:tcW w:w="1221"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560万元</w:t>
            </w:r>
          </w:p>
        </w:tc>
        <w:tc>
          <w:tcPr>
            <w:tcW w:w="1230"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560万元</w:t>
            </w:r>
          </w:p>
        </w:tc>
        <w:tc>
          <w:tcPr>
            <w:tcW w:w="1782"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详见《第三章招标项目要求》</w:t>
            </w:r>
          </w:p>
        </w:tc>
        <w:tc>
          <w:tcPr>
            <w:tcW w:w="810" w:type="dxa"/>
            <w:vAlign w:val="center"/>
          </w:tcPr>
          <w:p>
            <w:pPr>
              <w:pStyle w:val="11"/>
              <w:adjustRightInd w:val="0"/>
              <w:snapToGrid w:val="0"/>
              <w:spacing w:line="360" w:lineRule="auto"/>
              <w:jc w:val="center"/>
              <w:rPr>
                <w:rFonts w:ascii="Times New Roman" w:hAnsi="Times New Roman" w:cs="Times New Roman"/>
                <w:color w:val="auto"/>
                <w:sz w:val="24"/>
                <w:szCs w:val="24"/>
                <w:highlight w:val="none"/>
              </w:rPr>
            </w:pPr>
          </w:p>
        </w:tc>
      </w:tr>
    </w:tbl>
    <w:p>
      <w:pPr>
        <w:tabs>
          <w:tab w:val="left" w:pos="284"/>
          <w:tab w:val="left" w:pos="720"/>
          <w:tab w:val="left" w:pos="851"/>
        </w:tabs>
        <w:spacing w:line="360" w:lineRule="auto"/>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二、投标人的资格要求：</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符合《中华人民共和国政府采购法》第二十二条供应商应当具备的条件或符合浙财采监【2013】24号《关于规范政府采购供应商资格设定及资格审查的通知》第六条规定的供应商</w:t>
      </w:r>
      <w:r>
        <w:rPr>
          <w:rFonts w:ascii="Times New Roman" w:hAnsi="Times New Roman" w:cs="Times New Roman"/>
          <w:color w:val="auto"/>
          <w:sz w:val="24"/>
          <w:szCs w:val="24"/>
          <w:highlight w:val="none"/>
        </w:rPr>
        <w:t>。</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szCs w:val="24"/>
          <w:highlight w:val="none"/>
        </w:rPr>
        <w:t>3、</w:t>
      </w:r>
      <w:r>
        <w:rPr>
          <w:rFonts w:ascii="Times New Roman" w:hAnsi="Times New Roman" w:eastAsia="宋体" w:cs="Times New Roman"/>
          <w:bCs/>
          <w:color w:val="auto"/>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ascii="Times New Roman" w:hAnsi="Times New Roman" w:eastAsia="宋体" w:cs="Times New Roman"/>
          <w:color w:val="auto"/>
          <w:sz w:val="24"/>
          <w:szCs w:val="24"/>
          <w:highlight w:val="none"/>
        </w:rPr>
        <w:t>。</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r>
        <w:rPr>
          <w:rFonts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rPr>
        <w:t>允许</w:t>
      </w:r>
      <w:r>
        <w:rPr>
          <w:rFonts w:ascii="Times New Roman" w:hAnsi="Times New Roman" w:eastAsia="宋体" w:cs="Times New Roman"/>
          <w:color w:val="auto"/>
          <w:sz w:val="24"/>
          <w:szCs w:val="24"/>
          <w:highlight w:val="none"/>
        </w:rPr>
        <w:t>联合体参与投标。</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5、</w:t>
      </w:r>
      <w:r>
        <w:rPr>
          <w:rFonts w:ascii="Times New Roman" w:hAnsi="Times New Roman" w:eastAsia="宋体" w:cs="Times New Roman"/>
          <w:color w:val="auto"/>
          <w:sz w:val="24"/>
          <w:highlight w:val="none"/>
        </w:rPr>
        <w:t>根据《关于在全市公共资源交易活动中应用信用报告的通知》（义行服管〔2017〕17号）的规定，综合信用报告评级不属于D类或E类的（以采购人或采购代理机构在投标截止时间查询结果为准）</w:t>
      </w:r>
    </w:p>
    <w:p>
      <w:pPr>
        <w:snapToGrid w:val="0"/>
        <w:spacing w:line="360" w:lineRule="auto"/>
        <w:ind w:firstLine="480" w:firstLineChars="200"/>
        <w:rPr>
          <w:color w:val="auto"/>
          <w:highlight w:val="none"/>
        </w:rPr>
      </w:pPr>
      <w:r>
        <w:rPr>
          <w:rFonts w:ascii="Times New Roman" w:hAnsi="Times New Roman" w:eastAsia="宋体" w:cs="Times New Roman"/>
          <w:color w:val="auto"/>
          <w:sz w:val="24"/>
          <w:highlight w:val="none"/>
        </w:rPr>
        <w:t>6、</w:t>
      </w:r>
      <w:r>
        <w:rPr>
          <w:rFonts w:ascii="Times New Roman" w:hAnsi="Times New Roman" w:eastAsia="宋体" w:cs="Times New Roman"/>
          <w:color w:val="auto"/>
          <w:kern w:val="0"/>
          <w:sz w:val="24"/>
          <w:highlight w:val="none"/>
        </w:rPr>
        <w:t>公益一类事业单位不属于政府购买服务的承接主体，不得参与承接购买服务。</w:t>
      </w:r>
    </w:p>
    <w:p>
      <w:pPr>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三、招标文件获取时间和方式：</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1、时间：投标方可在采购文件公告期内获取采购文件，采购文件获取截止时间之后至投标截止前潜在</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仍可获取招标文件，如对招标文件有疑问的，答疑时间按招标文件规定执行。获取招标文件：免费）。</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2、地点：浙江政府采购网（http://zfcg.czt.zj.gov.cn/）</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3、方式：投标方请在浙江政府采购网上登录并依照要求免费获取招标文件。</w:t>
      </w:r>
    </w:p>
    <w:p>
      <w:pPr>
        <w:snapToGrid w:val="0"/>
        <w:spacing w:line="360" w:lineRule="auto"/>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四、投标截止时间及地点：</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1、提交投标文件截止时间：2022年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上午9:30（北京时间）。</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2、投标地点：登录政采云账号，并上传电子加密标书至“政采云”平台，</w:t>
      </w:r>
      <w:r>
        <w:rPr>
          <w:rFonts w:ascii="Times New Roman" w:hAnsi="Times New Roman" w:eastAsia="宋体" w:cs="Times New Roman"/>
          <w:b/>
          <w:color w:val="auto"/>
          <w:sz w:val="24"/>
          <w:highlight w:val="none"/>
        </w:rPr>
        <w:t>逾期或未上传成功的将导致无法投标或投标无效</w:t>
      </w:r>
      <w:r>
        <w:rPr>
          <w:rFonts w:ascii="Times New Roman" w:hAnsi="Times New Roman" w:eastAsia="宋体" w:cs="Times New Roman"/>
          <w:color w:val="auto"/>
          <w:sz w:val="24"/>
          <w:highlight w:val="none"/>
        </w:rPr>
        <w:t>。</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r>
        <w:rPr>
          <w:rFonts w:ascii="Times New Roman" w:hAnsi="Times New Roman" w:eastAsia="宋体" w:cs="Times New Roman"/>
          <w:b/>
          <w:color w:val="auto"/>
          <w:sz w:val="24"/>
          <w:highlight w:val="none"/>
        </w:rPr>
        <w:t>开标时间</w:t>
      </w:r>
      <w:r>
        <w:rPr>
          <w:rFonts w:ascii="Times New Roman" w:hAnsi="Times New Roman" w:eastAsia="宋体" w:cs="Times New Roman"/>
          <w:color w:val="auto"/>
          <w:sz w:val="24"/>
          <w:highlight w:val="none"/>
        </w:rPr>
        <w:t>：2022年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上午9:30。</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r>
        <w:rPr>
          <w:rFonts w:ascii="Times New Roman" w:hAnsi="Times New Roman" w:eastAsia="宋体" w:cs="Times New Roman"/>
          <w:b/>
          <w:color w:val="auto"/>
          <w:sz w:val="24"/>
          <w:highlight w:val="none"/>
        </w:rPr>
        <w:t>开标地点</w:t>
      </w:r>
      <w:r>
        <w:rPr>
          <w:rFonts w:ascii="Times New Roman" w:hAnsi="Times New Roman" w:eastAsia="宋体" w:cs="Times New Roman"/>
          <w:color w:val="auto"/>
          <w:sz w:val="24"/>
          <w:highlight w:val="none"/>
        </w:rPr>
        <w:t>：义乌市望道路300号行政服务中心四楼电子开标室。</w:t>
      </w:r>
    </w:p>
    <w:p>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w:t>
      </w:r>
      <w:r>
        <w:rPr>
          <w:rFonts w:ascii="Times New Roman" w:hAnsi="Times New Roman" w:eastAsia="宋体" w:cs="Times New Roman"/>
          <w:b/>
          <w:color w:val="auto"/>
          <w:sz w:val="24"/>
          <w:highlight w:val="none"/>
        </w:rPr>
        <w:t>开标时间后1小时内（2022年</w:t>
      </w:r>
      <w:r>
        <w:rPr>
          <w:rFonts w:hint="eastAsia" w:ascii="Times New Roman" w:hAnsi="Times New Roman" w:eastAsia="宋体" w:cs="Times New Roman"/>
          <w:b/>
          <w:color w:val="auto"/>
          <w:sz w:val="24"/>
          <w:highlight w:val="none"/>
          <w:lang w:eastAsia="zh-CN"/>
        </w:rPr>
        <w:t>10月31日</w:t>
      </w:r>
      <w:r>
        <w:rPr>
          <w:rFonts w:ascii="Times New Roman" w:hAnsi="Times New Roman" w:eastAsia="宋体" w:cs="Times New Roman"/>
          <w:b/>
          <w:color w:val="auto"/>
          <w:sz w:val="24"/>
          <w:highlight w:val="none"/>
        </w:rPr>
        <w:t>上午10:30前）</w:t>
      </w:r>
      <w:r>
        <w:rPr>
          <w:rFonts w:hint="eastAsia" w:ascii="Times New Roman" w:hAnsi="Times New Roman" w:eastAsia="宋体" w:cs="Times New Roman"/>
          <w:b/>
          <w:color w:val="auto"/>
          <w:sz w:val="24"/>
          <w:highlight w:val="none"/>
        </w:rPr>
        <w:t>投标人</w:t>
      </w:r>
      <w:r>
        <w:rPr>
          <w:rFonts w:ascii="Times New Roman" w:hAnsi="Times New Roman" w:eastAsia="宋体" w:cs="Times New Roman"/>
          <w:b/>
          <w:color w:val="auto"/>
          <w:sz w:val="24"/>
          <w:highlight w:val="none"/>
        </w:rPr>
        <w:t>可以登录“政采云”平台，用“项目采购-开标评标”功能进行解密投标文件</w:t>
      </w:r>
      <w:r>
        <w:rPr>
          <w:rFonts w:ascii="Times New Roman" w:hAnsi="Times New Roman" w:eastAsia="宋体" w:cs="Times New Roman"/>
          <w:color w:val="auto"/>
          <w:sz w:val="24"/>
          <w:highlight w:val="none"/>
        </w:rPr>
        <w:t>。</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备注：为确保采购项目顺利实施，避免因政采云上电子投标文件解密失败导致投标方投标无效，投标方可在2022年</w:t>
      </w:r>
      <w:r>
        <w:rPr>
          <w:rFonts w:hint="eastAsia" w:ascii="Times New Roman" w:hAnsi="Times New Roman" w:cs="Times New Roman"/>
          <w:color w:val="auto"/>
          <w:sz w:val="24"/>
          <w:szCs w:val="24"/>
          <w:highlight w:val="none"/>
          <w:lang w:eastAsia="zh-CN"/>
        </w:rPr>
        <w:t>10月31日</w:t>
      </w:r>
      <w:r>
        <w:rPr>
          <w:rFonts w:ascii="Times New Roman" w:hAnsi="Times New Roman" w:cs="Times New Roman"/>
          <w:color w:val="auto"/>
          <w:sz w:val="24"/>
          <w:szCs w:val="24"/>
          <w:highlight w:val="none"/>
        </w:rPr>
        <w:t>上午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cs="Times New Roman"/>
          <w:color w:val="auto"/>
          <w:sz w:val="24"/>
          <w:szCs w:val="24"/>
          <w:highlight w:val="none"/>
          <w:lang w:eastAsia="zh-CN"/>
        </w:rPr>
        <w:t>10月31日</w:t>
      </w:r>
      <w:r>
        <w:rPr>
          <w:rFonts w:ascii="Times New Roman" w:hAnsi="Times New Roman" w:cs="Times New Roman"/>
          <w:color w:val="auto"/>
          <w:sz w:val="24"/>
          <w:szCs w:val="24"/>
          <w:highlight w:val="none"/>
        </w:rPr>
        <w:t>上午9:30前）及要求提供有效备份文件，同时政采云上投标文件解密失败的，将导致投标无效。</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投标方无需在开标当天，到达开标现场对电子投标文件进行解密。</w:t>
      </w:r>
    </w:p>
    <w:p>
      <w:pPr>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五、公告期限：</w:t>
      </w:r>
      <w:r>
        <w:rPr>
          <w:rFonts w:ascii="Times New Roman" w:hAnsi="Times New Roman" w:eastAsia="宋体" w:cs="Times New Roman"/>
          <w:color w:val="auto"/>
          <w:sz w:val="24"/>
          <w:highlight w:val="none"/>
        </w:rPr>
        <w:t>自本公告发布之日起至第6个工作日24时。</w:t>
      </w:r>
    </w:p>
    <w:p>
      <w:pPr>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六、其他补充事宜</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在投标截止时间前应充分关注该网上发布的信息，如因</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未及时关注网上发布的信息而导致的一切投标后果由</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自行承担。</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、投标保证金：无</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、投标与开标注意事项：</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①本项目实行网上投标，获取文件后</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即可参投，投标方在投标截止时间之前上传电子投标文件。</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参与投标，需自行承担投标一切费用。</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②标前准备：各</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应在开标前确保成为浙江省政府采购网正式注册入库</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自行承担。</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③投标文件制作：投标人通过“政采云”平台电子投标工具制作投标文件，电子投标工具请</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自行前往浙江省政府采购网下载并安装，投标文件制作具体流程详见“政采云</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项目采购-电子招投标操作指南”（请投标</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登录政采云平台政府采购电子卖场后，点击链接https://service.zcygov.cn/▲/knowledges/CW1EtGwBFdiHxlNd6I3m/6IMVAG0BFdiHxlNdQ8Na）以获取最新操作指南。</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w:t>
      </w:r>
      <w:r>
        <w:rPr>
          <w:rFonts w:ascii="Times New Roman" w:hAnsi="Times New Roman" w:cs="Times New Roman"/>
          <w:color w:val="auto"/>
          <w:sz w:val="24"/>
          <w:szCs w:val="24"/>
          <w:highlight w:val="none"/>
        </w:rPr>
        <w:t>资格审查：本项目无需报名，</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可直接参投。</w:t>
      </w:r>
      <w:r>
        <w:rPr>
          <w:rFonts w:hint="eastAsia" w:ascii="Times New Roman" w:hAnsi="Times New Roman" w:cs="Times New Roman"/>
          <w:color w:val="auto"/>
          <w:sz w:val="24"/>
          <w:szCs w:val="24"/>
          <w:highlight w:val="none"/>
        </w:rPr>
        <w:t>投标人</w:t>
      </w:r>
      <w:r>
        <w:rPr>
          <w:rFonts w:ascii="Times New Roman" w:hAnsi="Times New Roman" w:cs="Times New Roman"/>
          <w:color w:val="auto"/>
          <w:sz w:val="24"/>
          <w:szCs w:val="24"/>
          <w:highlight w:val="none"/>
        </w:rPr>
        <w:t>资格采用资格后审方式由评标委员会进行审查。</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5、其他事项：见招标文件</w:t>
      </w:r>
    </w:p>
    <w:p>
      <w:pPr>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七、对本次招标提出询问、质疑、投诉，请按以下方式联系：</w:t>
      </w:r>
    </w:p>
    <w:p>
      <w:pPr>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1、采购人信息</w:t>
      </w:r>
    </w:p>
    <w:p>
      <w:pPr>
        <w:pStyle w:val="11"/>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sz w:val="24"/>
          <w:szCs w:val="24"/>
          <w:highlight w:val="none"/>
        </w:rPr>
        <w:t>名    称</w:t>
      </w:r>
      <w:r>
        <w:rPr>
          <w:rFonts w:ascii="Times New Roman" w:hAnsi="Times New Roman" w:cs="Times New Roman"/>
          <w:color w:val="auto"/>
          <w:sz w:val="24"/>
          <w:highlight w:val="none"/>
        </w:rPr>
        <w:t>：</w:t>
      </w:r>
      <w:r>
        <w:rPr>
          <w:rFonts w:hint="eastAsia" w:ascii="Times New Roman" w:hAnsi="Times New Roman" w:cs="Times New Roman"/>
          <w:color w:val="auto"/>
          <w:kern w:val="0"/>
          <w:sz w:val="24"/>
          <w:highlight w:val="none"/>
        </w:rPr>
        <w:t>义乌工商职业技术学院</w:t>
      </w:r>
    </w:p>
    <w:p>
      <w:pPr>
        <w:pStyle w:val="11"/>
        <w:adjustRightInd w:val="0"/>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地址：义乌市江东街道学院路2号</w:t>
      </w:r>
    </w:p>
    <w:p>
      <w:pPr>
        <w:pStyle w:val="11"/>
        <w:adjustRightInd w:val="0"/>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项目联系人：郑民</w:t>
      </w:r>
    </w:p>
    <w:p>
      <w:pPr>
        <w:pStyle w:val="11"/>
        <w:adjustRightInd w:val="0"/>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项目联系方式：1361589018</w:t>
      </w:r>
    </w:p>
    <w:p>
      <w:pPr>
        <w:pStyle w:val="11"/>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质疑联系人：尤</w:t>
      </w:r>
      <w:r>
        <w:rPr>
          <w:rFonts w:hint="eastAsia" w:ascii="Times New Roman" w:hAnsi="Times New Roman"/>
          <w:color w:val="auto"/>
          <w:sz w:val="24"/>
          <w:szCs w:val="24"/>
          <w:highlight w:val="none"/>
        </w:rPr>
        <w:t>天炜</w:t>
      </w:r>
    </w:p>
    <w:p>
      <w:pPr>
        <w:pStyle w:val="11"/>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质疑联系方式：</w:t>
      </w:r>
      <w:r>
        <w:rPr>
          <w:rFonts w:ascii="Times New Roman" w:hAnsi="Times New Roman"/>
          <w:color w:val="auto"/>
          <w:sz w:val="24"/>
          <w:highlight w:val="none"/>
        </w:rPr>
        <w:t>0579-83803702</w:t>
      </w:r>
    </w:p>
    <w:p>
      <w:pPr>
        <w:spacing w:line="360" w:lineRule="auto"/>
        <w:rPr>
          <w:rFonts w:ascii="Times New Roman" w:hAnsi="Times New Roman" w:eastAsia="宋体" w:cs="Times New Roman"/>
          <w:color w:val="auto"/>
          <w:sz w:val="24"/>
          <w:highlight w:val="none"/>
          <w:u w:val="single"/>
        </w:rPr>
      </w:pPr>
    </w:p>
    <w:p>
      <w:pPr>
        <w:spacing w:line="360" w:lineRule="auto"/>
        <w:ind w:firstLine="482" w:firstLineChars="200"/>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2、采购代理机构信息</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    称：浙江开平企业管理咨询有限公司 　　　　　　　　　　　</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    址：</w:t>
      </w:r>
      <w:r>
        <w:rPr>
          <w:rFonts w:hint="eastAsia" w:ascii="Times New Roman" w:hAnsi="Times New Roman" w:cs="Times New Roman"/>
          <w:color w:val="auto"/>
          <w:sz w:val="24"/>
          <w:szCs w:val="24"/>
          <w:highlight w:val="none"/>
        </w:rPr>
        <w:t>义乌市雪峰西路968号科创园科技大楼B区4楼</w:t>
      </w:r>
      <w:r>
        <w:rPr>
          <w:rFonts w:ascii="Times New Roman" w:hAnsi="Times New Roman" w:cs="Times New Roman"/>
          <w:color w:val="auto"/>
          <w:sz w:val="24"/>
          <w:szCs w:val="24"/>
          <w:highlight w:val="none"/>
        </w:rPr>
        <w:t xml:space="preserve"> 　   </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传    真： 0579-85321521  　</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项目联系人（询问）：徐玲英 　   　　　　　　　　　　　</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项目联系方式（询问）：0579</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 xml:space="preserve">85328516、85317081 </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质疑联系人：赵棋明</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质疑联系方式：0579-85317081</w:t>
      </w:r>
    </w:p>
    <w:p>
      <w:pPr>
        <w:snapToGrid w:val="0"/>
        <w:spacing w:line="360" w:lineRule="auto"/>
        <w:ind w:firstLine="482" w:firstLineChars="200"/>
        <w:rPr>
          <w:rFonts w:ascii="Times New Roman" w:hAnsi="Times New Roman" w:eastAsia="宋体" w:cs="Times New Roman"/>
          <w:b/>
          <w:color w:val="auto"/>
          <w:sz w:val="24"/>
          <w:highlight w:val="none"/>
        </w:rPr>
      </w:pPr>
    </w:p>
    <w:p>
      <w:pPr>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3、同级政府采购监督管理部门</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  称：义乌市财政局</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  址：义乌市望道路300号5楼</w:t>
      </w: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联系人 ：骆</w:t>
      </w:r>
      <w:r>
        <w:rPr>
          <w:rFonts w:hint="eastAsia" w:ascii="Times New Roman" w:hAnsi="Times New Roman" w:cs="Times New Roman"/>
          <w:color w:val="auto"/>
          <w:sz w:val="24"/>
          <w:szCs w:val="24"/>
          <w:highlight w:val="none"/>
        </w:rPr>
        <w:t>女士</w:t>
      </w:r>
    </w:p>
    <w:p>
      <w:pPr>
        <w:pStyle w:val="11"/>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szCs w:val="24"/>
          <w:highlight w:val="none"/>
        </w:rPr>
        <w:t>监督投诉电话：0579—89915066</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ind w:firstLine="1807" w:firstLineChars="500"/>
        <w:rPr>
          <w:rFonts w:ascii="Times New Roman" w:hAnsi="Times New Roman" w:eastAsia="宋体" w:cs="Times New Roman"/>
          <w:b/>
          <w:bCs/>
          <w:color w:val="auto"/>
          <w:sz w:val="36"/>
          <w:highlight w:val="none"/>
        </w:rPr>
      </w:pPr>
      <w:r>
        <w:rPr>
          <w:rFonts w:ascii="Times New Roman" w:hAnsi="Times New Roman" w:eastAsia="宋体" w:cs="Times New Roman"/>
          <w:b/>
          <w:bCs/>
          <w:color w:val="auto"/>
          <w:sz w:val="36"/>
          <w:highlight w:val="none"/>
        </w:rPr>
        <w:t>第二章　投标须知和投标须知前附表</w:t>
      </w:r>
    </w:p>
    <w:p>
      <w:pPr>
        <w:spacing w:line="360" w:lineRule="auto"/>
        <w:ind w:firstLine="602" w:firstLineChars="200"/>
        <w:jc w:val="center"/>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投标须知前附表</w:t>
      </w:r>
    </w:p>
    <w:tbl>
      <w:tblPr>
        <w:tblStyle w:val="2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3"/>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vAlign w:val="center"/>
          </w:tcPr>
          <w:p>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序号</w:t>
            </w:r>
          </w:p>
        </w:tc>
        <w:tc>
          <w:tcPr>
            <w:tcW w:w="9230" w:type="dxa"/>
            <w:gridSpan w:val="2"/>
            <w:vAlign w:val="center"/>
          </w:tcPr>
          <w:p>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ind w:firstLine="240" w:firstLineChars="1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项目名称</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义乌工商职业技术学院</w:t>
            </w:r>
            <w:r>
              <w:rPr>
                <w:rFonts w:hint="eastAsia" w:ascii="Times New Roman" w:hAnsi="Times New Roman" w:eastAsia="宋体" w:cs="Times New Roman"/>
                <w:color w:val="auto"/>
                <w:sz w:val="24"/>
                <w:highlight w:val="none"/>
              </w:rPr>
              <w:t>公寓局域网升级</w:t>
            </w:r>
            <w:r>
              <w:rPr>
                <w:rFonts w:ascii="Times New Roman" w:hAnsi="Times New Roman" w:eastAsia="宋体" w:cs="Times New Roman"/>
                <w:color w:val="auto"/>
                <w:sz w:val="24"/>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招标方式</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投标单位资格要求</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szCs w:val="24"/>
                <w:highlight w:val="none"/>
              </w:rPr>
              <w:t>实施工期</w:t>
            </w:r>
          </w:p>
        </w:tc>
        <w:tc>
          <w:tcPr>
            <w:tcW w:w="7507" w:type="dxa"/>
            <w:vAlign w:val="center"/>
          </w:tcPr>
          <w:p>
            <w:pPr>
              <w:autoSpaceDE w:val="0"/>
              <w:autoSpaceDN w:val="0"/>
              <w:adjustRightInd w:val="0"/>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合同签订后一个月内完成供货及安装调试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招标文件发售时间和地点</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现场踏勘时间</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招标答疑截止时间</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答疑与澄清：投标人如认为招标文件表述不清晰、存在歧视性、排他性或者其他违法内容的，可以自收到招标文件之日（采购文件获取截止日之后收到招标文件的，以采购文件获取截止日为准）或者招标文件公告期限届满之日（为本公告发布后的第6个工作日）起7个工作日内，以书面递交或传真形式要求招标方作出书面解释、澄清或者一次性向招标方提出书面质疑；本项目不组织答疑会；招标方的答疑内容和书面澄清文件是招标文件的组成部份，同时将书面澄清文件向所有投标人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w:t>
            </w:r>
          </w:p>
        </w:tc>
        <w:tc>
          <w:tcPr>
            <w:tcW w:w="1723" w:type="dxa"/>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是否允许采购进口产品</w:t>
            </w:r>
          </w:p>
        </w:tc>
        <w:tc>
          <w:tcPr>
            <w:tcW w:w="7507" w:type="dxa"/>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不允许进口产品。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w:t>
            </w:r>
          </w:p>
        </w:tc>
        <w:tc>
          <w:tcPr>
            <w:tcW w:w="1723" w:type="dxa"/>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是否接受联合体投标</w:t>
            </w:r>
          </w:p>
        </w:tc>
        <w:tc>
          <w:tcPr>
            <w:tcW w:w="7507" w:type="dxa"/>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投标有效期</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11</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上传电子投标文件时间</w:t>
            </w:r>
          </w:p>
        </w:tc>
        <w:tc>
          <w:tcPr>
            <w:tcW w:w="7507" w:type="dxa"/>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24"/>
                <w:highlight w:val="none"/>
              </w:rPr>
              <w:t>投标人</w:t>
            </w:r>
            <w:r>
              <w:rPr>
                <w:rFonts w:ascii="Times New Roman" w:hAnsi="Times New Roman" w:eastAsia="宋体" w:cs="Times New Roman"/>
                <w:b/>
                <w:color w:val="auto"/>
                <w:sz w:val="24"/>
                <w:highlight w:val="none"/>
              </w:rPr>
              <w:t>应于2022年</w:t>
            </w:r>
            <w:r>
              <w:rPr>
                <w:rFonts w:hint="eastAsia" w:ascii="Times New Roman" w:hAnsi="Times New Roman" w:eastAsia="宋体" w:cs="Times New Roman"/>
                <w:b/>
                <w:color w:val="auto"/>
                <w:sz w:val="24"/>
                <w:highlight w:val="none"/>
                <w:lang w:eastAsia="zh-CN"/>
              </w:rPr>
              <w:t>10月31日</w:t>
            </w:r>
            <w:r>
              <w:rPr>
                <w:rFonts w:ascii="Times New Roman" w:hAnsi="Times New Roman" w:eastAsia="宋体" w:cs="Times New Roman"/>
                <w:b/>
                <w:color w:val="auto"/>
                <w:sz w:val="24"/>
                <w:highlight w:val="none"/>
              </w:rPr>
              <w:t>上午09：30前在“政采云”平台上自行加密上传电子投标文件，逾期上传或未按要求上传的投标文件将予以拒收。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2</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开标时间和地点</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开标时间：2022年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上午09：30</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开标地点：义乌市望道路300号义乌市行政服务中心大楼4楼电子开标室</w:t>
            </w:r>
          </w:p>
          <w:p>
            <w:pP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开标时间后1小时内（2022年</w:t>
            </w:r>
            <w:r>
              <w:rPr>
                <w:rFonts w:hint="eastAsia" w:ascii="Times New Roman" w:hAnsi="Times New Roman" w:eastAsia="宋体" w:cs="Times New Roman"/>
                <w:b/>
                <w:color w:val="auto"/>
                <w:sz w:val="24"/>
                <w:highlight w:val="none"/>
                <w:lang w:eastAsia="zh-CN"/>
              </w:rPr>
              <w:t>10月31日</w:t>
            </w:r>
            <w:r>
              <w:rPr>
                <w:rFonts w:ascii="Times New Roman" w:hAnsi="Times New Roman" w:eastAsia="宋体" w:cs="Times New Roman"/>
                <w:b/>
                <w:color w:val="auto"/>
                <w:sz w:val="24"/>
                <w:highlight w:val="none"/>
              </w:rPr>
              <w:t>上午10:30前）</w:t>
            </w:r>
            <w:r>
              <w:rPr>
                <w:rFonts w:hint="eastAsia" w:ascii="Times New Roman" w:hAnsi="Times New Roman" w:eastAsia="宋体" w:cs="Times New Roman"/>
                <w:b/>
                <w:color w:val="auto"/>
                <w:sz w:val="24"/>
                <w:highlight w:val="none"/>
              </w:rPr>
              <w:t>投标人</w:t>
            </w:r>
            <w:r>
              <w:rPr>
                <w:rFonts w:ascii="Times New Roman" w:hAnsi="Times New Roman" w:eastAsia="宋体" w:cs="Times New Roman"/>
                <w:b/>
                <w:color w:val="auto"/>
                <w:sz w:val="24"/>
                <w:highlight w:val="none"/>
              </w:rPr>
              <w:t>可以登录“政采云”平台，用“项目采购-开标评标”功能进行解密投标文件。若</w:t>
            </w:r>
            <w:r>
              <w:rPr>
                <w:rFonts w:hint="eastAsia" w:ascii="Times New Roman" w:hAnsi="Times New Roman" w:eastAsia="宋体" w:cs="Times New Roman"/>
                <w:b/>
                <w:color w:val="auto"/>
                <w:sz w:val="24"/>
                <w:highlight w:val="none"/>
              </w:rPr>
              <w:t>投标人</w:t>
            </w:r>
            <w:r>
              <w:rPr>
                <w:rFonts w:ascii="Times New Roman" w:hAnsi="Times New Roman" w:eastAsia="宋体" w:cs="Times New Roman"/>
                <w:b/>
                <w:color w:val="auto"/>
                <w:sz w:val="24"/>
                <w:highlight w:val="none"/>
              </w:rPr>
              <w:t>在规定时间内无法解密或解密失败，将导致投标无效或失败。</w:t>
            </w:r>
          </w:p>
          <w:p>
            <w:pPr>
              <w:pStyle w:val="11"/>
              <w:adjustRightInd w:val="0"/>
              <w:snapToGrid w:val="0"/>
              <w:rPr>
                <w:rFonts w:ascii="Times New Roman" w:hAnsi="Times New Roman" w:cs="Times New Roman"/>
                <w:color w:val="auto"/>
                <w:kern w:val="0"/>
                <w:sz w:val="24"/>
                <w:szCs w:val="24"/>
                <w:highlight w:val="none"/>
                <w:u w:val="single"/>
              </w:rPr>
            </w:pPr>
            <w:r>
              <w:rPr>
                <w:rFonts w:ascii="Times New Roman" w:hAnsi="Times New Roman" w:cs="Times New Roman"/>
                <w:color w:val="auto"/>
                <w:kern w:val="0"/>
                <w:sz w:val="24"/>
                <w:szCs w:val="24"/>
                <w:highlight w:val="none"/>
                <w:u w:val="single"/>
              </w:rPr>
              <w:t>备注：为确保采购项目顺利实施，避免因政采云上电子投标文件解密失败导致投标方投标无效，投标方可在2022年</w:t>
            </w:r>
            <w:r>
              <w:rPr>
                <w:rFonts w:hint="eastAsia" w:ascii="Times New Roman" w:hAnsi="Times New Roman" w:cs="Times New Roman"/>
                <w:color w:val="auto"/>
                <w:kern w:val="0"/>
                <w:sz w:val="24"/>
                <w:szCs w:val="24"/>
                <w:highlight w:val="none"/>
                <w:u w:val="single"/>
                <w:lang w:eastAsia="zh-CN"/>
              </w:rPr>
              <w:t>10月31日</w:t>
            </w:r>
            <w:r>
              <w:rPr>
                <w:rFonts w:ascii="Times New Roman" w:hAnsi="Times New Roman" w:cs="Times New Roman"/>
                <w:color w:val="auto"/>
                <w:kern w:val="0"/>
                <w:sz w:val="24"/>
                <w:szCs w:val="24"/>
                <w:highlight w:val="none"/>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cs="Times New Roman"/>
                <w:color w:val="auto"/>
                <w:kern w:val="0"/>
                <w:sz w:val="24"/>
                <w:szCs w:val="24"/>
                <w:highlight w:val="none"/>
                <w:u w:val="single"/>
                <w:lang w:eastAsia="zh-CN"/>
              </w:rPr>
              <w:t>10月31日</w:t>
            </w:r>
            <w:r>
              <w:rPr>
                <w:rFonts w:ascii="Times New Roman" w:hAnsi="Times New Roman" w:cs="Times New Roman"/>
                <w:color w:val="auto"/>
                <w:kern w:val="0"/>
                <w:sz w:val="24"/>
                <w:szCs w:val="24"/>
                <w:highlight w:val="none"/>
                <w:u w:val="single"/>
              </w:rPr>
              <w:t>上午09</w:t>
            </w:r>
            <w:r>
              <w:rPr>
                <w:rFonts w:hint="eastAsia" w:ascii="Times New Roman" w:hAnsi="Times New Roman" w:cs="Times New Roman"/>
                <w:color w:val="auto"/>
                <w:kern w:val="0"/>
                <w:sz w:val="24"/>
                <w:szCs w:val="24"/>
                <w:highlight w:val="none"/>
                <w:u w:val="single"/>
              </w:rPr>
              <w:t>:</w:t>
            </w:r>
            <w:r>
              <w:rPr>
                <w:rFonts w:ascii="Times New Roman" w:hAnsi="Times New Roman" w:cs="Times New Roman"/>
                <w:color w:val="auto"/>
                <w:kern w:val="0"/>
                <w:sz w:val="24"/>
                <w:szCs w:val="24"/>
                <w:highlight w:val="none"/>
                <w:u w:val="single"/>
              </w:rPr>
              <w:t>30前）及要求提供有效备份文件，同时政采云上投标文件解密失败的，将导致投标无效。</w:t>
            </w:r>
          </w:p>
          <w:p>
            <w:pPr>
              <w:pStyle w:val="11"/>
              <w:adjustRightInd w:val="0"/>
              <w:snapToGrid w:val="0"/>
              <w:ind w:firstLine="482" w:firstLineChars="200"/>
              <w:rPr>
                <w:rFonts w:ascii="Times New Roman" w:hAnsi="Times New Roman" w:cs="Times New Roman"/>
                <w:color w:val="auto"/>
                <w:sz w:val="24"/>
                <w:highlight w:val="none"/>
              </w:rPr>
            </w:pPr>
            <w:r>
              <w:rPr>
                <w:rFonts w:ascii="Times New Roman" w:hAnsi="Times New Roman" w:cs="Times New Roman"/>
                <w:b/>
                <w:color w:val="auto"/>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13</w:t>
            </w:r>
          </w:p>
        </w:tc>
        <w:tc>
          <w:tcPr>
            <w:tcW w:w="1723"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演示要求</w:t>
            </w:r>
          </w:p>
        </w:tc>
        <w:tc>
          <w:tcPr>
            <w:tcW w:w="7507" w:type="dxa"/>
            <w:vAlign w:val="center"/>
          </w:tcPr>
          <w:p>
            <w:pPr>
              <w:pStyle w:val="11"/>
              <w:adjustRightInd w:val="0"/>
              <w:snapToGrid w:val="0"/>
              <w:ind w:firstLine="480" w:firstLineChars="200"/>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rPr>
              <w:t>1）本项目需要投标演示：在评标时安排每个投标人进行系统讲解演示，投标方针对招标文件需要演示的内容，提供第三人视角方式进行连续拍摄，拍摄画面中需包含时间计时器或其他方式以表明其拍摄过程不存在剪切编辑情况存在，请依照招标文件要求进行演示（播放视频），演示过程中需语音介绍目前演示的内容是什么，PPT或word等形式演示不得分。本项目演示后按要求解答评标委员会的提问。由评委对各投标人针对招标文件中演示部分进行评定打分。</w:t>
            </w:r>
          </w:p>
          <w:p>
            <w:pPr>
              <w:pStyle w:val="11"/>
              <w:adjustRightInd w:val="0"/>
              <w:snapToGrid w:val="0"/>
              <w:ind w:firstLine="480" w:firstLineChars="200"/>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rPr>
              <w:t>2）投标方需在投标文件解密成功后，进入政采云平台开标大厅，等待通知演示。政采云平台会以投标文件解密时间的先后顺序以短信的形式通知演示，每个投标人演示前的调试准备时间不超过15分钟，演示时间不超过15分钟，不包含评标委员会提问解答时间。</w:t>
            </w:r>
          </w:p>
          <w:p>
            <w:pPr>
              <w:pStyle w:val="11"/>
              <w:adjustRightInd w:val="0"/>
              <w:snapToGrid w:val="0"/>
              <w:ind w:firstLine="480" w:firstLineChars="200"/>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rPr>
              <w:t>3）上一投标人未能在规定时间内完成演示设备调试的或演示过程中出现视频中断、无法连接演示视频的，则由下一顺位的投标人进行演示，同时可再给予该投标人一次重新演示的机会，但演示顺序排至所有演示投标人的最末位，出现同类问题的其他投标人亦按此方法处理。</w:t>
            </w:r>
          </w:p>
          <w:p>
            <w:pPr>
              <w:pStyle w:val="11"/>
              <w:adjustRightInd w:val="0"/>
              <w:snapToGrid w:val="0"/>
              <w:ind w:firstLine="480" w:firstLineChars="200"/>
              <w:rPr>
                <w:rFonts w:ascii="Times New Roman" w:hAnsi="Times New Roman" w:cs="Times New Roman"/>
                <w:bCs/>
                <w:color w:val="auto"/>
                <w:kern w:val="0"/>
                <w:sz w:val="24"/>
                <w:szCs w:val="24"/>
                <w:highlight w:val="none"/>
              </w:rPr>
            </w:pPr>
            <w:r>
              <w:rPr>
                <w:rFonts w:hint="eastAsia" w:ascii="Times New Roman" w:hAnsi="Times New Roman" w:cs="Times New Roman"/>
                <w:bCs/>
                <w:color w:val="auto"/>
                <w:kern w:val="0"/>
                <w:sz w:val="24"/>
                <w:szCs w:val="24"/>
                <w:highlight w:val="none"/>
              </w:rPr>
              <w:t>4）演示方式是通过“政采云平台”（请在谷歌浏览器上运行）屏幕共享方式进行演示，其中涉及需要安装的软件投标人应在开标前自行下载安装，确保网络、麦克风、演示环境等演示所需设备和系统正常稳定，并提前熟悉操作和使用。</w:t>
            </w:r>
          </w:p>
          <w:p>
            <w:pPr>
              <w:pStyle w:val="11"/>
              <w:adjustRightInd w:val="0"/>
              <w:snapToGrid w:val="0"/>
              <w:ind w:firstLine="480" w:firstLineChars="200"/>
              <w:rPr>
                <w:rFonts w:ascii="Times New Roman" w:hAnsi="Times New Roman" w:cs="Times New Roman"/>
                <w:b/>
                <w:color w:val="auto"/>
                <w:kern w:val="0"/>
                <w:sz w:val="24"/>
                <w:szCs w:val="24"/>
                <w:highlight w:val="none"/>
                <w:u w:val="single"/>
              </w:rPr>
            </w:pPr>
            <w:r>
              <w:rPr>
                <w:rFonts w:hint="eastAsia" w:ascii="Times New Roman" w:hAnsi="Times New Roman" w:cs="Times New Roman"/>
                <w:bCs/>
                <w:color w:val="auto"/>
                <w:kern w:val="0"/>
                <w:sz w:val="24"/>
                <w:szCs w:val="24"/>
                <w:highlight w:val="none"/>
              </w:rPr>
              <w:t>5）因投标人自身原因导致无法演示或者演示效果不理想的，责任自负。因平台原因导致本项目方案讲解演示环节无法顺利开展，按照《浙江省政府采购项目电子交易管理暂行办法》相关规定执行。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3</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投标保证金</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4</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履约保证金</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5</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评标办法</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6</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付款方式</w:t>
            </w:r>
          </w:p>
        </w:tc>
        <w:tc>
          <w:tcPr>
            <w:tcW w:w="7507" w:type="dxa"/>
            <w:vAlign w:val="center"/>
          </w:tcPr>
          <w:p>
            <w:pPr>
              <w:pStyle w:val="11"/>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在合同生效以及具备实施条件后</w:t>
            </w:r>
            <w:r>
              <w:rPr>
                <w:rFonts w:hint="eastAsia" w:ascii="Times New Roman" w:hAnsi="Times New Roman"/>
                <w:color w:val="auto"/>
                <w:sz w:val="24"/>
                <w:szCs w:val="24"/>
                <w:highlight w:val="none"/>
              </w:rPr>
              <w:t>7个工作</w:t>
            </w:r>
            <w:r>
              <w:rPr>
                <w:rFonts w:ascii="Times New Roman" w:hAnsi="Times New Roman"/>
                <w:color w:val="auto"/>
                <w:sz w:val="24"/>
                <w:szCs w:val="24"/>
                <w:highlight w:val="none"/>
              </w:rPr>
              <w:t>日内</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采购人向中标人支付合同总价的</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0%作为预付款，余款在项目整体验收合格</w:t>
            </w:r>
            <w:r>
              <w:rPr>
                <w:rFonts w:hint="eastAsia" w:ascii="Times New Roman" w:hAnsi="Times New Roman"/>
                <w:color w:val="auto"/>
                <w:sz w:val="24"/>
                <w:szCs w:val="24"/>
                <w:highlight w:val="none"/>
              </w:rPr>
              <w:t>并收到中标方正规发票后7个工作日内</w:t>
            </w:r>
            <w:r>
              <w:rPr>
                <w:rFonts w:ascii="Times New Roman" w:hAnsi="Times New Roman"/>
                <w:color w:val="auto"/>
                <w:sz w:val="24"/>
                <w:szCs w:val="24"/>
                <w:highlight w:val="none"/>
              </w:rPr>
              <w:t>付清</w:t>
            </w:r>
            <w:r>
              <w:rPr>
                <w:rFonts w:hint="eastAsia" w:ascii="Times New Roman" w:hAnsi="Times New Roman"/>
                <w:color w:val="auto"/>
                <w:sz w:val="24"/>
                <w:szCs w:val="24"/>
                <w:highlight w:val="none"/>
              </w:rPr>
              <w:t>，</w:t>
            </w:r>
            <w:r>
              <w:rPr>
                <w:rFonts w:ascii="Times New Roman" w:hAnsi="Times New Roman"/>
                <w:color w:val="auto"/>
                <w:sz w:val="24"/>
                <w:highlight w:val="none"/>
              </w:rPr>
              <w:t>货款凭发票，合同、采购验收单</w:t>
            </w:r>
            <w:r>
              <w:rPr>
                <w:rFonts w:hint="eastAsia" w:ascii="Times New Roman" w:hAnsi="Times New Roman"/>
                <w:color w:val="auto"/>
                <w:sz w:val="24"/>
                <w:highlight w:val="none"/>
              </w:rPr>
              <w:t>由采购人</w:t>
            </w:r>
            <w:r>
              <w:rPr>
                <w:rFonts w:ascii="Times New Roman" w:hAnsi="Times New Roman"/>
                <w:color w:val="auto"/>
                <w:sz w:val="24"/>
                <w:highlight w:val="none"/>
              </w:rPr>
              <w:t>支付</w:t>
            </w:r>
            <w:r>
              <w:rPr>
                <w:rFonts w:ascii="Times New Roman" w:hAnsi="Times New Roman"/>
                <w:color w:val="auto"/>
                <w:sz w:val="24"/>
                <w:szCs w:val="24"/>
                <w:highlight w:val="none"/>
              </w:rPr>
              <w:t>。</w:t>
            </w:r>
          </w:p>
          <w:p>
            <w:pPr>
              <w:pStyle w:val="11"/>
              <w:ind w:firstLine="480" w:firstLineChars="200"/>
              <w:rPr>
                <w:rFonts w:ascii="Times New Roman" w:hAnsi="Times New Roman" w:cs="Times New Roman"/>
                <w:color w:val="auto"/>
                <w:sz w:val="24"/>
                <w:highlight w:val="none"/>
              </w:rPr>
            </w:pPr>
            <w:r>
              <w:rPr>
                <w:rFonts w:ascii="Times New Roman" w:hAnsi="Times New Roman"/>
                <w:color w:val="auto"/>
                <w:sz w:val="24"/>
                <w:szCs w:val="24"/>
                <w:highlight w:val="none"/>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7</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其他</w:t>
            </w:r>
          </w:p>
        </w:tc>
        <w:tc>
          <w:tcPr>
            <w:tcW w:w="7507" w:type="dxa"/>
            <w:vAlign w:val="center"/>
          </w:tcPr>
          <w:p>
            <w:pPr>
              <w:numPr>
                <w:ilvl w:val="0"/>
                <w:numId w:val="1"/>
              </w:numPr>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本项目设有最高限价</w:t>
            </w:r>
            <w:r>
              <w:rPr>
                <w:rFonts w:ascii="Times New Roman" w:hAnsi="Times New Roman" w:eastAsia="宋体" w:cs="Times New Roman"/>
                <w:color w:val="auto"/>
                <w:sz w:val="24"/>
                <w:highlight w:val="none"/>
              </w:rPr>
              <w:t>，投标报价超过</w:t>
            </w:r>
            <w:r>
              <w:rPr>
                <w:rFonts w:ascii="Times New Roman" w:hAnsi="Times New Roman" w:eastAsia="宋体" w:cs="Times New Roman"/>
                <w:b/>
                <w:color w:val="auto"/>
                <w:sz w:val="24"/>
                <w:highlight w:val="none"/>
              </w:rPr>
              <w:t>最高限价</w:t>
            </w:r>
            <w:r>
              <w:rPr>
                <w:rFonts w:ascii="Times New Roman" w:hAnsi="Times New Roman" w:eastAsia="宋体" w:cs="Times New Roman"/>
                <w:color w:val="auto"/>
                <w:sz w:val="24"/>
                <w:highlight w:val="none"/>
              </w:rPr>
              <w:t>的，其投标均为无效标。</w:t>
            </w:r>
          </w:p>
          <w:p>
            <w:pPr>
              <w:numPr>
                <w:ilvl w:val="0"/>
                <w:numId w:val="1"/>
              </w:numPr>
              <w:rPr>
                <w:rFonts w:ascii="Times New Roman" w:hAnsi="Times New Roman" w:eastAsia="宋体" w:cs="Times New Roman"/>
                <w:color w:val="auto"/>
                <w:highlight w:val="none"/>
              </w:rPr>
            </w:pPr>
            <w:r>
              <w:rPr>
                <w:rFonts w:ascii="Times New Roman" w:hAnsi="Times New Roman" w:eastAsia="宋体" w:cs="Times New Roman"/>
                <w:color w:val="auto"/>
                <w:sz w:val="24"/>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18</w:t>
            </w:r>
          </w:p>
        </w:tc>
        <w:tc>
          <w:tcPr>
            <w:tcW w:w="1723" w:type="dxa"/>
            <w:vAlign w:val="center"/>
          </w:tcPr>
          <w:p>
            <w:pPr>
              <w:snapToGrid w:val="0"/>
              <w:ind w:firstLine="240" w:firstLineChars="1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信用记录</w:t>
            </w:r>
          </w:p>
        </w:tc>
        <w:tc>
          <w:tcPr>
            <w:tcW w:w="7507" w:type="dxa"/>
            <w:vAlign w:val="center"/>
          </w:tcPr>
          <w:p>
            <w:pPr>
              <w:snapToGrid w:val="0"/>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29"/>
              <w:spacing w:line="24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lang w:val="en-US"/>
              </w:rPr>
              <w:t>根据《关于在全市公共资源交易活动中应用报告的通知》（义行服管【2017】17号）规定，信用等级为D、E类的投标人，不得参与本项目投标（以采购人或委托的代理机构在投标截止时间查询为准）。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19</w:t>
            </w:r>
          </w:p>
        </w:tc>
        <w:tc>
          <w:tcPr>
            <w:tcW w:w="1723" w:type="dxa"/>
            <w:vAlign w:val="center"/>
          </w:tcPr>
          <w:p>
            <w:pPr>
              <w:snapToGrid w:val="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政府采购节能环保产品</w:t>
            </w:r>
          </w:p>
        </w:tc>
        <w:tc>
          <w:tcPr>
            <w:tcW w:w="7507" w:type="dxa"/>
            <w:vAlign w:val="center"/>
          </w:tcPr>
          <w:p>
            <w:pPr>
              <w:widowControl/>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pStyle w:val="29"/>
              <w:spacing w:line="240" w:lineRule="auto"/>
              <w:ind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20</w:t>
            </w:r>
          </w:p>
        </w:tc>
        <w:tc>
          <w:tcPr>
            <w:tcW w:w="1723" w:type="dxa"/>
            <w:vAlign w:val="center"/>
          </w:tcPr>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highlight w:val="none"/>
              </w:rPr>
              <w:t>中小企业优惠措施</w:t>
            </w:r>
          </w:p>
        </w:tc>
        <w:tc>
          <w:tcPr>
            <w:tcW w:w="7507" w:type="dxa"/>
            <w:vAlign w:val="center"/>
          </w:tcPr>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（1）项目属性：</w:t>
            </w:r>
            <w:r>
              <w:rPr>
                <w:rFonts w:hint="eastAsia" w:ascii="Times New Roman" w:hAnsi="Times New Roman" w:eastAsia="宋体" w:cs="Times New Roman"/>
                <w:color w:val="auto"/>
                <w:sz w:val="24"/>
                <w:highlight w:val="none"/>
                <w:u w:val="single"/>
              </w:rPr>
              <w:t>货物类</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（2）本项目所属行业：</w:t>
            </w:r>
            <w:r>
              <w:rPr>
                <w:rFonts w:hint="eastAsia" w:ascii="Times New Roman" w:hAnsi="Times New Roman" w:eastAsia="宋体" w:cs="Times New Roman"/>
                <w:color w:val="auto"/>
                <w:sz w:val="24"/>
                <w:highlight w:val="none"/>
                <w:u w:val="single"/>
              </w:rPr>
              <w:t>工业 </w:t>
            </w:r>
            <w:r>
              <w:rPr>
                <w:rFonts w:hint="eastAsia" w:ascii="Times New Roman" w:hAnsi="Times New Roman" w:eastAsia="宋体" w:cs="Times New Roman"/>
                <w:color w:val="auto"/>
                <w:sz w:val="24"/>
                <w:highlight w:val="none"/>
              </w:rPr>
              <w:t>。</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（3）本项目</w:t>
            </w:r>
            <w:r>
              <w:rPr>
                <w:rFonts w:hint="eastAsia" w:ascii="Times New Roman" w:hAnsi="Times New Roman" w:eastAsia="宋体" w:cs="Times New Roman"/>
                <w:color w:val="auto"/>
                <w:sz w:val="24"/>
                <w:highlight w:val="none"/>
                <w:u w:val="single"/>
              </w:rPr>
              <w:t>不</w:t>
            </w:r>
            <w:r>
              <w:rPr>
                <w:rFonts w:hint="eastAsia" w:ascii="Times New Roman" w:hAnsi="Times New Roman" w:eastAsia="宋体" w:cs="Times New Roman"/>
                <w:color w:val="auto"/>
                <w:sz w:val="24"/>
                <w:highlight w:val="none"/>
              </w:rPr>
              <w:t>属于预留份额专门面向中小企业采购的项目。</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（4）根据财库〔2020〕46号及浙财采监[2022]8号文件的相关规定，在评审时对符合本办法规定的小微企业报价给予</w:t>
            </w:r>
            <w:r>
              <w:rPr>
                <w:rFonts w:hint="eastAsia" w:ascii="Times New Roman" w:hAnsi="Times New Roman" w:eastAsia="宋体" w:cs="Times New Roman"/>
                <w:color w:val="auto"/>
                <w:sz w:val="24"/>
                <w:highlight w:val="none"/>
                <w:u w:val="single"/>
              </w:rPr>
              <w:t xml:space="preserve"> 20% </w:t>
            </w:r>
            <w:r>
              <w:rPr>
                <w:rFonts w:hint="eastAsia" w:ascii="Times New Roman" w:hAnsi="Times New Roman" w:eastAsia="宋体" w:cs="Times New Roman"/>
                <w:color w:val="auto"/>
                <w:sz w:val="24"/>
                <w:highlight w:val="none"/>
              </w:rPr>
              <w:t>的扣除，取扣除后的价格作为最终投标报价（此最终投标报价仅作为价格分计算）。中小企业参加政府采购活动，应当出具本办法规定的《中小企业声明函》，否则不得享受相关中小企业扶持政策。</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接受大中型企业与小微企业组成联合体的采购项目，对于联合协议约定小微企业的合同份额占到合同总金额30%以上的，对联合体的报价给予</w:t>
            </w:r>
            <w:r>
              <w:rPr>
                <w:rFonts w:hint="eastAsia" w:ascii="Times New Roman" w:hAnsi="Times New Roman" w:eastAsia="宋体" w:cs="Times New Roman"/>
                <w:color w:val="auto"/>
                <w:sz w:val="24"/>
                <w:highlight w:val="none"/>
                <w:u w:val="single"/>
              </w:rPr>
              <w:t xml:space="preserve"> 6% </w:t>
            </w:r>
            <w:r>
              <w:rPr>
                <w:rFonts w:hint="eastAsia" w:ascii="Times New Roman" w:hAnsi="Times New Roman" w:eastAsia="宋体" w:cs="Times New Roman"/>
                <w:color w:val="auto"/>
                <w:sz w:val="24"/>
                <w:highlight w:val="none"/>
              </w:rPr>
              <w:t>的扣除，用扣除后的价格参加评审。</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组成联合体的小微企业与联合体内其他企业之间存在直接控股、管理关系的，不享受价格扣除优惠政策。</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根据财库[2014]68号的相关规定，在政府采购活动中，监狱企业视同小型、微型企业，享受评审中价格扣除政策，并在投标文件中提供由省级以上监狱管理局、戒毒管理局（含新疆生产建设兵团）出具的属于监狱企业的佐证文件（格式自拟）。”</w:t>
            </w:r>
          </w:p>
          <w:p>
            <w:pPr>
              <w:snapToGrid w:val="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rPr>
              <w:t>1</w:t>
            </w:r>
          </w:p>
        </w:tc>
        <w:tc>
          <w:tcPr>
            <w:tcW w:w="1723" w:type="dxa"/>
            <w:vAlign w:val="center"/>
          </w:tcPr>
          <w:p>
            <w:pPr>
              <w:snapToGrid w:val="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政采贷</w:t>
            </w:r>
          </w:p>
        </w:tc>
        <w:tc>
          <w:tcPr>
            <w:tcW w:w="7507" w:type="dxa"/>
            <w:vAlign w:val="center"/>
          </w:tcPr>
          <w:p>
            <w:pPr>
              <w:snapToGrid w:val="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rPr>
              <w:t>2</w:t>
            </w:r>
          </w:p>
        </w:tc>
        <w:tc>
          <w:tcPr>
            <w:tcW w:w="1723"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失信行为处理</w:t>
            </w:r>
          </w:p>
        </w:tc>
        <w:tc>
          <w:tcPr>
            <w:tcW w:w="7507" w:type="dxa"/>
            <w:vAlign w:val="center"/>
          </w:tcPr>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投标人发生下列情况之一时，除严格依法依规进行处理外，还将通报市信用管理部门，列入严重失信名单：</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（1）投标人在规定的投标有效期内撤回投标或放弃中标的；</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（2）有意串标或提供虚假材料者的；</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（3）中标人在收到中标通知书后，因自身原因不能在投标有效期内和采购人签订合同。</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（4）中标人未在规定时间缴纳招标代理费的。</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（5）中标</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在标后履约过程中未按合同约定的期限和要求履约的。</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（6）因中标</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原因在标后履约过程中擅自终止合同的。</w:t>
            </w:r>
          </w:p>
          <w:p>
            <w:pPr>
              <w:snapToGrid w:val="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（7）不符合招标文件要求的其他失信行为。</w:t>
            </w:r>
          </w:p>
        </w:tc>
      </w:tr>
    </w:tbl>
    <w:p>
      <w:pPr>
        <w:pStyle w:val="29"/>
        <w:ind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注：投标人须知前附表内容与本招标文件后述内容不一致的，以投标须知前附表为准。</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pacing w:line="360" w:lineRule="auto"/>
        <w:ind w:firstLine="723" w:firstLineChars="200"/>
        <w:jc w:val="center"/>
        <w:rPr>
          <w:rFonts w:ascii="Times New Roman" w:hAnsi="Times New Roman" w:eastAsia="宋体" w:cs="Times New Roman"/>
          <w:b/>
          <w:color w:val="auto"/>
          <w:sz w:val="36"/>
          <w:szCs w:val="36"/>
          <w:highlight w:val="none"/>
        </w:rPr>
      </w:pPr>
      <w:r>
        <w:rPr>
          <w:rFonts w:ascii="Times New Roman" w:hAnsi="Times New Roman" w:eastAsia="宋体" w:cs="Times New Roman"/>
          <w:b/>
          <w:color w:val="auto"/>
          <w:sz w:val="36"/>
          <w:szCs w:val="36"/>
          <w:highlight w:val="none"/>
        </w:rPr>
        <w:t>投标须知</w:t>
      </w:r>
    </w:p>
    <w:p>
      <w:pPr>
        <w:pStyle w:val="6"/>
        <w:spacing w:before="0" w:after="0" w:line="360" w:lineRule="auto"/>
        <w:rPr>
          <w:rFonts w:ascii="Times New Roman" w:hAnsi="Times New Roman" w:eastAsia="宋体" w:cs="Times New Roman"/>
          <w:color w:val="auto"/>
          <w:sz w:val="24"/>
          <w:szCs w:val="24"/>
          <w:highlight w:val="none"/>
        </w:rPr>
      </w:pPr>
      <w:bookmarkStart w:id="2" w:name="_Toc274303229"/>
      <w:bookmarkStart w:id="3" w:name="_Toc362250687"/>
      <w:r>
        <w:rPr>
          <w:rFonts w:ascii="Times New Roman" w:hAnsi="Times New Roman" w:eastAsia="宋体" w:cs="Times New Roman"/>
          <w:color w:val="auto"/>
          <w:sz w:val="24"/>
          <w:szCs w:val="24"/>
          <w:highlight w:val="none"/>
        </w:rPr>
        <w:t>一、说明</w:t>
      </w:r>
      <w:bookmarkEnd w:id="2"/>
      <w:bookmarkEnd w:id="3"/>
    </w:p>
    <w:p>
      <w:pPr>
        <w:pStyle w:val="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1、适用范围</w:t>
      </w:r>
    </w:p>
    <w:p>
      <w:pPr>
        <w:pStyle w:val="9"/>
        <w:spacing w:line="360" w:lineRule="auto"/>
        <w:ind w:firstLine="48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1.1 本招标文件仅适用于本次招标采购所叙述的货物和服务项目。</w:t>
      </w:r>
    </w:p>
    <w:p>
      <w:pPr>
        <w:pStyle w:val="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2、定义</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2.1采购人：系指</w:t>
      </w:r>
      <w:r>
        <w:rPr>
          <w:rFonts w:hint="eastAsia" w:ascii="Times New Roman" w:hAnsi="Times New Roman" w:cs="Times New Roman"/>
          <w:color w:val="auto"/>
          <w:sz w:val="24"/>
          <w:highlight w:val="none"/>
        </w:rPr>
        <w:t>义乌工商职业技术学院</w:t>
      </w:r>
      <w:r>
        <w:rPr>
          <w:rFonts w:ascii="Times New Roman" w:hAnsi="Times New Roman" w:cs="Times New Roman"/>
          <w:color w:val="auto"/>
          <w:sz w:val="24"/>
          <w:highlight w:val="none"/>
        </w:rPr>
        <w:t>。</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2.2招标代理机构：系指浙江开平企业管理咨询有限公司。</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2.3投标人：系指符合采购公告要求的</w:t>
      </w:r>
      <w:r>
        <w:rPr>
          <w:rFonts w:hint="eastAsia" w:ascii="Times New Roman" w:hAnsi="Times New Roman" w:cs="Times New Roman"/>
          <w:color w:val="auto"/>
          <w:sz w:val="24"/>
          <w:highlight w:val="none"/>
        </w:rPr>
        <w:t>投标人</w:t>
      </w:r>
      <w:r>
        <w:rPr>
          <w:rFonts w:ascii="Times New Roman" w:hAnsi="Times New Roman" w:cs="Times New Roman"/>
          <w:color w:val="auto"/>
          <w:sz w:val="24"/>
          <w:highlight w:val="none"/>
        </w:rPr>
        <w:t>。</w:t>
      </w:r>
    </w:p>
    <w:p>
      <w:pPr>
        <w:pStyle w:val="9"/>
        <w:spacing w:line="360" w:lineRule="auto"/>
        <w:ind w:firstLine="48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2.4服务：</w:t>
      </w:r>
      <w:r>
        <w:rPr>
          <w:rFonts w:ascii="Times New Roman" w:hAnsi="Times New Roman" w:eastAsia="宋体" w:cs="Times New Roman"/>
          <w:b/>
          <w:bCs/>
          <w:color w:val="auto"/>
          <w:kern w:val="0"/>
          <w:highlight w:val="none"/>
        </w:rPr>
        <w:t>系指</w:t>
      </w:r>
      <w:r>
        <w:rPr>
          <w:rFonts w:ascii="Times New Roman" w:hAnsi="Times New Roman" w:eastAsia="宋体" w:cs="Times New Roman"/>
          <w:b/>
          <w:color w:val="auto"/>
          <w:highlight w:val="none"/>
        </w:rPr>
        <w:t>招标文件规定投标人须承担的劳务及其它类似的服务</w:t>
      </w:r>
      <w:r>
        <w:rPr>
          <w:rFonts w:ascii="Times New Roman" w:hAnsi="Times New Roman" w:eastAsia="宋体" w:cs="Times New Roman"/>
          <w:b/>
          <w:bCs/>
          <w:color w:val="auto"/>
          <w:highlight w:val="none"/>
        </w:rPr>
        <w:t>。</w:t>
      </w:r>
    </w:p>
    <w:p>
      <w:pPr>
        <w:pStyle w:val="13"/>
        <w:spacing w:after="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2.5货物：系指按招标文件规定投标人须向采购人提供的一切材料、货物、机械、仪器仪表、工具及其它有关技术资料和文字材料。</w:t>
      </w:r>
    </w:p>
    <w:p>
      <w:pPr>
        <w:pStyle w:val="9"/>
        <w:spacing w:line="360" w:lineRule="auto"/>
        <w:ind w:firstLine="482" w:firstLineChars="200"/>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2.6需方：即采购人，在招投标阶段称为采购人，在签订和执行合同阶段称为需方。</w:t>
      </w:r>
    </w:p>
    <w:p>
      <w:pPr>
        <w:pStyle w:val="9"/>
        <w:spacing w:line="360" w:lineRule="auto"/>
        <w:ind w:firstLine="482" w:firstLineChars="200"/>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2.7供方：在招投标阶段称为投标人，中标后在签订和执行合同阶段称为供方。</w:t>
      </w:r>
    </w:p>
    <w:p>
      <w:pPr>
        <w:pStyle w:val="13"/>
        <w:spacing w:after="0" w:line="360" w:lineRule="auto"/>
        <w:ind w:left="368" w:leftChars="175" w:firstLine="120" w:firstLineChars="5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2.8“原产地”是指货物开采、生长或生产、或提供有关服务的来源地。</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2.9中小企业（含中型、小型、微型）：符合中小企业划分标准（工信部联企业[2011]300号）的企业。</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2.11残疾人福利性单位：符合《财政部、民政部、中国残疾人联合会关于促进残疾人就业政府采购政策的通知》（财库〔2017〕 141号）的规定单位。</w:t>
      </w:r>
    </w:p>
    <w:p>
      <w:pPr>
        <w:pStyle w:val="4"/>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2.12“★”标记系指必须满足不能负偏离或必须应答的条款。</w:t>
      </w:r>
    </w:p>
    <w:p>
      <w:pPr>
        <w:pStyle w:val="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合格的投标人</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3.1符合《中华人民共和国政府采购法》第二十二条投标人应当具备的条件；</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3.2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3.4根据《关于在全市公共资源交易活动中应用报告的通知》（义行服管【2017】17号）规定，综合信用等级为D、E类的投标人，不得参与本项目投标（以采购人或委托的代理机构在投标截止时间查询为准）。</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3.5获取招标文件的投标人，并不能被认定为投标人资格已合格。投标人的资格是否符合招标文件要求，以开标时审查结果为准。</w:t>
      </w:r>
    </w:p>
    <w:p>
      <w:pPr>
        <w:pStyle w:val="11"/>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3.6符合采购公告中要求的条件。</w:t>
      </w:r>
    </w:p>
    <w:p>
      <w:pPr>
        <w:pStyle w:val="11"/>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color w:val="auto"/>
          <w:sz w:val="24"/>
          <w:highlight w:val="none"/>
        </w:rPr>
        <w:t>4、保证</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4.1投标单位应保证所提交给招标机构和采购人的资料和数据是真实的。</w:t>
      </w:r>
    </w:p>
    <w:p>
      <w:pPr>
        <w:pStyle w:val="11"/>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5、招标投标费用</w:t>
      </w:r>
    </w:p>
    <w:p>
      <w:pPr>
        <w:pStyle w:val="11"/>
        <w:spacing w:line="360" w:lineRule="auto"/>
        <w:ind w:firstLine="480" w:firstLineChars="200"/>
        <w:rPr>
          <w:rFonts w:ascii="Times New Roman" w:hAnsi="Times New Roman" w:cs="Times New Roman"/>
          <w:b/>
          <w:color w:val="auto"/>
          <w:sz w:val="24"/>
          <w:highlight w:val="none"/>
        </w:rPr>
      </w:pPr>
      <w:r>
        <w:rPr>
          <w:rFonts w:ascii="Times New Roman" w:hAnsi="Times New Roman" w:cs="Times New Roman"/>
          <w:color w:val="auto"/>
          <w:sz w:val="24"/>
          <w:highlight w:val="none"/>
        </w:rPr>
        <w:t>5.1不论投标过程中的作法和结果如何，投标人应承担所有与投标有关的全部费用。采购人和采购代理机构在任何情况下均无义务和责任承担上述这些费用。</w:t>
      </w:r>
    </w:p>
    <w:p>
      <w:pPr>
        <w:pStyle w:val="11"/>
        <w:spacing w:line="360" w:lineRule="auto"/>
        <w:ind w:firstLine="480"/>
        <w:rPr>
          <w:rFonts w:ascii="Times New Roman" w:hAnsi="Times New Roman" w:cs="Times New Roman"/>
          <w:b/>
          <w:color w:val="auto"/>
          <w:sz w:val="24"/>
          <w:highlight w:val="none"/>
        </w:rPr>
      </w:pPr>
      <w:r>
        <w:rPr>
          <w:rFonts w:ascii="Times New Roman" w:hAnsi="Times New Roman" w:cs="Times New Roman"/>
          <w:b/>
          <w:color w:val="auto"/>
          <w:sz w:val="24"/>
          <w:highlight w:val="none"/>
        </w:rPr>
        <w:t xml:space="preserve">6、现场勘察 </w:t>
      </w:r>
    </w:p>
    <w:p>
      <w:pPr>
        <w:pStyle w:val="11"/>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1"/>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6.2投标人在考察过程中发生的各类事件及所发生的各项费用，均由投标人自行承担。采购人和代理机构概不负责。</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6.4现场踏勘完毕，将认为投标人己了解现场情况，并充分理解了为之所承担的风险、义务和责任。</w:t>
      </w:r>
    </w:p>
    <w:p>
      <w:pPr>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7、联合体投标</w:t>
      </w:r>
    </w:p>
    <w:p>
      <w:pPr>
        <w:spacing w:line="360" w:lineRule="auto"/>
        <w:ind w:firstLine="480" w:firstLineChars="200"/>
        <w:rPr>
          <w:rFonts w:ascii="Times New Roman" w:hAnsi="Times New Roman" w:eastAsia="宋体" w:cs="Times New Roman"/>
          <w:color w:val="auto"/>
          <w:sz w:val="24"/>
          <w:highlight w:val="none"/>
        </w:rPr>
      </w:pPr>
      <w:bookmarkStart w:id="4" w:name="_Toc362250688"/>
      <w:bookmarkStart w:id="5" w:name="_Toc274303230"/>
      <w:r>
        <w:rPr>
          <w:rFonts w:hint="eastAsia" w:ascii="Times New Roman" w:hAnsi="Times New Roman" w:eastAsia="宋体" w:cs="Times New Roman"/>
          <w:color w:val="auto"/>
          <w:sz w:val="24"/>
          <w:highlight w:val="none"/>
        </w:rPr>
        <w:t>7.1</w:t>
      </w:r>
      <w:r>
        <w:rPr>
          <w:rFonts w:ascii="Times New Roman" w:hAnsi="Times New Roman" w:eastAsia="宋体" w:cs="Times New Roman"/>
          <w:color w:val="auto"/>
          <w:sz w:val="24"/>
          <w:highlight w:val="none"/>
        </w:rPr>
        <w:t>本项目接受联合体投标。</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rPr>
        <w:t>7.2</w:t>
      </w:r>
      <w:r>
        <w:rPr>
          <w:rFonts w:ascii="Times New Roman" w:hAnsi="Times New Roman" w:cs="Times New Roman"/>
          <w:color w:val="auto"/>
          <w:sz w:val="24"/>
          <w:szCs w:val="24"/>
          <w:highlight w:val="none"/>
        </w:rPr>
        <w:t>联合体采购相关规定</w:t>
      </w:r>
      <w:r>
        <w:rPr>
          <w:rFonts w:hint="eastAsia" w:ascii="Times New Roman" w:hAnsi="Times New Roman" w:cs="Times New Roman"/>
          <w:color w:val="auto"/>
          <w:sz w:val="24"/>
          <w:szCs w:val="24"/>
          <w:highlight w:val="none"/>
        </w:rPr>
        <w:t>：</w:t>
      </w:r>
    </w:p>
    <w:p>
      <w:pPr>
        <w:pStyle w:val="2"/>
        <w:rPr>
          <w:rFonts w:ascii="Times New Roman"/>
          <w:color w:val="auto"/>
          <w:sz w:val="24"/>
          <w:szCs w:val="24"/>
          <w:highlight w:val="none"/>
        </w:rPr>
      </w:pPr>
      <w:r>
        <w:rPr>
          <w:rFonts w:hint="eastAsia" w:ascii="Times New Roman"/>
          <w:color w:val="auto"/>
          <w:sz w:val="24"/>
          <w:szCs w:val="24"/>
          <w:highlight w:val="none"/>
        </w:rPr>
        <w:t>7.2</w:t>
      </w:r>
      <w:r>
        <w:rPr>
          <w:rFonts w:ascii="Times New Roman"/>
          <w:color w:val="auto"/>
          <w:sz w:val="24"/>
          <w:szCs w:val="24"/>
          <w:highlight w:val="none"/>
        </w:rPr>
        <w:t>.1除特定资格要求外，联合体各方均应符合本项目规定的其它资格要求及根据承担工作需要的相应资格。</w:t>
      </w:r>
    </w:p>
    <w:p>
      <w:pPr>
        <w:pStyle w:val="2"/>
        <w:rPr>
          <w:rFonts w:ascii="Times New Roman"/>
          <w:color w:val="auto"/>
          <w:sz w:val="24"/>
          <w:szCs w:val="24"/>
          <w:highlight w:val="none"/>
        </w:rPr>
      </w:pPr>
      <w:r>
        <w:rPr>
          <w:rFonts w:hint="eastAsia" w:ascii="Times New Roman"/>
          <w:color w:val="auto"/>
          <w:sz w:val="24"/>
          <w:szCs w:val="24"/>
          <w:highlight w:val="none"/>
        </w:rPr>
        <w:t>7.2</w:t>
      </w:r>
      <w:r>
        <w:rPr>
          <w:rFonts w:ascii="Times New Roman"/>
          <w:color w:val="auto"/>
          <w:sz w:val="24"/>
          <w:szCs w:val="24"/>
          <w:highlight w:val="none"/>
        </w:rPr>
        <w:t>.2如本项目有特定资要求的，联合体中至少有一方应符合本文件规定的特定资格要求。但联合体中有同类资质的投标人按照联合体分工承担相同工作的，应当按照资质等级较低的投标人确定资质等级。</w:t>
      </w:r>
    </w:p>
    <w:p>
      <w:pPr>
        <w:pStyle w:val="2"/>
        <w:rPr>
          <w:rFonts w:ascii="Times New Roman"/>
          <w:color w:val="auto"/>
          <w:sz w:val="24"/>
          <w:szCs w:val="24"/>
          <w:highlight w:val="none"/>
        </w:rPr>
      </w:pPr>
      <w:r>
        <w:rPr>
          <w:rFonts w:hint="eastAsia" w:ascii="Times New Roman"/>
          <w:color w:val="auto"/>
          <w:sz w:val="24"/>
          <w:szCs w:val="24"/>
          <w:highlight w:val="none"/>
        </w:rPr>
        <w:t>7.2</w:t>
      </w:r>
      <w:r>
        <w:rPr>
          <w:rFonts w:ascii="Times New Roman"/>
          <w:color w:val="auto"/>
          <w:sz w:val="24"/>
          <w:szCs w:val="24"/>
          <w:highlight w:val="none"/>
        </w:rPr>
        <w:t>.</w:t>
      </w:r>
      <w:r>
        <w:rPr>
          <w:rFonts w:hint="eastAsia" w:ascii="Times New Roman"/>
          <w:color w:val="auto"/>
          <w:sz w:val="24"/>
          <w:szCs w:val="24"/>
          <w:highlight w:val="none"/>
        </w:rPr>
        <w:t>3</w:t>
      </w:r>
      <w:r>
        <w:rPr>
          <w:rFonts w:ascii="Times New Roman"/>
          <w:color w:val="auto"/>
          <w:sz w:val="24"/>
          <w:szCs w:val="24"/>
          <w:highlight w:val="none"/>
        </w:rPr>
        <w:t>以联合体形式参加政府采购活动的，联合体各方不得再单独参加或者与其他投标人另外组成联合体参加同一合同项下的政府采购活动。</w:t>
      </w:r>
    </w:p>
    <w:p>
      <w:pPr>
        <w:pStyle w:val="2"/>
        <w:rPr>
          <w:rFonts w:ascii="Times New Roman"/>
          <w:color w:val="auto"/>
          <w:sz w:val="24"/>
          <w:szCs w:val="24"/>
          <w:highlight w:val="none"/>
        </w:rPr>
      </w:pPr>
      <w:r>
        <w:rPr>
          <w:rFonts w:hint="eastAsia" w:ascii="Times New Roman"/>
          <w:color w:val="auto"/>
          <w:sz w:val="24"/>
          <w:szCs w:val="24"/>
          <w:highlight w:val="none"/>
        </w:rPr>
        <w:t>7.2.4</w:t>
      </w:r>
      <w:r>
        <w:rPr>
          <w:rFonts w:ascii="Times New Roman"/>
          <w:color w:val="auto"/>
          <w:sz w:val="24"/>
          <w:szCs w:val="24"/>
          <w:highlight w:val="none"/>
        </w:rPr>
        <w:t>联合体参与的，必须提供《联合体协议》。</w:t>
      </w:r>
    </w:p>
    <w:p>
      <w:pPr>
        <w:pStyle w:val="2"/>
        <w:rPr>
          <w:rFonts w:ascii="Times New Roman"/>
          <w:color w:val="auto"/>
          <w:sz w:val="24"/>
          <w:szCs w:val="24"/>
          <w:highlight w:val="none"/>
        </w:rPr>
      </w:pPr>
      <w:r>
        <w:rPr>
          <w:rFonts w:hint="eastAsia" w:ascii="Times New Roman"/>
          <w:color w:val="auto"/>
          <w:sz w:val="24"/>
          <w:szCs w:val="24"/>
          <w:highlight w:val="none"/>
        </w:rPr>
        <w:t>7.2.5</w:t>
      </w:r>
      <w:r>
        <w:rPr>
          <w:rFonts w:ascii="Times New Roman"/>
          <w:color w:val="auto"/>
          <w:sz w:val="24"/>
          <w:szCs w:val="24"/>
          <w:highlight w:val="none"/>
        </w:rPr>
        <w:t>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pStyle w:val="2"/>
        <w:rPr>
          <w:rFonts w:ascii="Times New Roman"/>
          <w:color w:val="auto"/>
          <w:sz w:val="24"/>
          <w:szCs w:val="24"/>
          <w:highlight w:val="none"/>
        </w:rPr>
      </w:pPr>
      <w:r>
        <w:rPr>
          <w:rFonts w:hint="eastAsia" w:ascii="Times New Roman"/>
          <w:color w:val="auto"/>
          <w:sz w:val="24"/>
          <w:szCs w:val="24"/>
          <w:highlight w:val="none"/>
        </w:rPr>
        <w:t>7.2.6</w:t>
      </w:r>
      <w:r>
        <w:rPr>
          <w:rFonts w:ascii="Times New Roman"/>
          <w:color w:val="auto"/>
          <w:sz w:val="24"/>
          <w:szCs w:val="24"/>
          <w:highlight w:val="none"/>
        </w:rPr>
        <w:t>联合体各方均为中小企业的，该联合体视同中小企业。</w:t>
      </w:r>
    </w:p>
    <w:p>
      <w:pPr>
        <w:pStyle w:val="2"/>
        <w:rPr>
          <w:rFonts w:ascii="Times New Roman"/>
          <w:color w:val="auto"/>
          <w:sz w:val="24"/>
          <w:szCs w:val="24"/>
          <w:highlight w:val="none"/>
        </w:rPr>
      </w:pPr>
      <w:r>
        <w:rPr>
          <w:rFonts w:hint="eastAsia" w:ascii="Times New Roman"/>
          <w:color w:val="auto"/>
          <w:sz w:val="24"/>
          <w:szCs w:val="24"/>
          <w:highlight w:val="none"/>
        </w:rPr>
        <w:t>7.2.7</w:t>
      </w:r>
      <w:r>
        <w:rPr>
          <w:rFonts w:ascii="Times New Roman"/>
          <w:color w:val="auto"/>
          <w:sz w:val="24"/>
          <w:szCs w:val="24"/>
          <w:highlight w:val="none"/>
        </w:rPr>
        <w:t>以联合体形式参加政府采购活动的，其投诉应当由组成联合体的所有供应商共同提出。</w:t>
      </w:r>
    </w:p>
    <w:p>
      <w:pPr>
        <w:pStyle w:val="2"/>
        <w:rPr>
          <w:rFonts w:ascii="Times New Roman"/>
          <w:color w:val="auto"/>
          <w:sz w:val="24"/>
          <w:szCs w:val="24"/>
          <w:highlight w:val="none"/>
        </w:rPr>
      </w:pPr>
      <w:r>
        <w:rPr>
          <w:rFonts w:hint="eastAsia" w:ascii="Times New Roman"/>
          <w:color w:val="auto"/>
          <w:sz w:val="24"/>
          <w:szCs w:val="24"/>
          <w:highlight w:val="none"/>
        </w:rPr>
        <w:t>7.2.8</w:t>
      </w:r>
      <w:r>
        <w:rPr>
          <w:rFonts w:ascii="Times New Roman"/>
          <w:color w:val="auto"/>
          <w:sz w:val="24"/>
          <w:szCs w:val="24"/>
          <w:highlight w:val="none"/>
        </w:rPr>
        <w:t>采购人或采购代理机构对联合体中任何一方的书面文件都对联合体各方具有约束力。</w:t>
      </w:r>
    </w:p>
    <w:p>
      <w:pPr>
        <w:pStyle w:val="6"/>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二、招标文件</w:t>
      </w:r>
      <w:bookmarkEnd w:id="4"/>
      <w:bookmarkEnd w:id="5"/>
    </w:p>
    <w:p>
      <w:pPr>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8、招标文件的组成</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8.1招标文件包括下列内容：</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第一章  采购公告</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第二章  投标须知和投标须知前附表</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第三章  招标项目要求</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第四章  开标、评标和定标</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第五章  投标文件的有效性</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第六章  评标办法</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第七章  合同主要条款</w:t>
      </w:r>
    </w:p>
    <w:p>
      <w:pPr>
        <w:adjustRightInd w:val="0"/>
        <w:snapToGrid w:val="0"/>
        <w:spacing w:line="360" w:lineRule="auto"/>
        <w:ind w:left="48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第八章  投标文件部分格式</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8.2除8.1内容外，采购人在提交投标文件截止时间前，以公告形式发出的对招标文件的澄清或修改内容，均为招标文件的组成部分，对采购人和投标人起约束作用。</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8.3上述所列8.1及8.2条内容均以公告内容为准，采购人（招标代理机构）的任何工作人员对投标人所作的任何口头解释、介绍、答复，对采购人和投标人无任何约束力。</w:t>
      </w:r>
    </w:p>
    <w:p>
      <w:pPr>
        <w:spacing w:line="360" w:lineRule="auto"/>
        <w:ind w:firstLine="480" w:firstLineChars="200"/>
        <w:rPr>
          <w:rFonts w:ascii="Times New Roman" w:hAnsi="Times New Roman" w:eastAsia="宋体" w:cs="Times New Roman"/>
          <w:b/>
          <w:bCs/>
          <w:color w:val="auto"/>
          <w:sz w:val="24"/>
          <w:highlight w:val="none"/>
          <w:shd w:val="pct10" w:color="auto" w:fill="FFFFFF"/>
        </w:rPr>
      </w:pPr>
      <w:r>
        <w:rPr>
          <w:rFonts w:ascii="Times New Roman" w:hAnsi="Times New Roman" w:eastAsia="宋体" w:cs="Times New Roman"/>
          <w:color w:val="auto"/>
          <w:sz w:val="24"/>
          <w:highlight w:val="none"/>
        </w:rPr>
        <w:t>8.4</w:t>
      </w:r>
      <w:r>
        <w:rPr>
          <w:rFonts w:ascii="Times New Roman" w:hAnsi="Times New Roman" w:eastAsia="宋体" w:cs="Times New Roman"/>
          <w:b/>
          <w:bCs/>
          <w:color w:val="auto"/>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29"/>
        <w:rPr>
          <w:rFonts w:ascii="Times New Roman" w:hAnsi="Times New Roman" w:eastAsia="宋体" w:cs="Times New Roman"/>
          <w:color w:val="auto"/>
          <w:highlight w:val="none"/>
        </w:rPr>
      </w:pPr>
      <w:r>
        <w:rPr>
          <w:rFonts w:ascii="Times New Roman" w:hAnsi="Times New Roman" w:eastAsia="宋体" w:cs="Times New Roman"/>
          <w:color w:val="auto"/>
          <w:highlight w:val="none"/>
          <w:lang w:val="en-US"/>
        </w:rPr>
        <w:t>8</w:t>
      </w:r>
      <w:r>
        <w:rPr>
          <w:rFonts w:ascii="Times New Roman" w:hAnsi="Times New Roman" w:eastAsia="宋体" w:cs="Times New Roman"/>
          <w:color w:val="auto"/>
          <w:highlight w:val="none"/>
        </w:rPr>
        <w:t>.5招标方在政采云系统上设定的内容与招标文件的内容不一致的，以招标文件的内容为准。</w:t>
      </w:r>
    </w:p>
    <w:p>
      <w:pPr>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9、招标文件的澄清</w:t>
      </w:r>
    </w:p>
    <w:p>
      <w:pPr>
        <w:spacing w:line="360" w:lineRule="auto"/>
        <w:ind w:firstLine="480" w:firstLineChars="200"/>
        <w:textAlignment w:val="baseline"/>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9.1投标人若对招标文件有任何疑问，应于前附表规定的时间以书面形式送（传真）至浙江开平企业管理咨询有限公司（</w:t>
      </w:r>
      <w:r>
        <w:rPr>
          <w:rFonts w:hint="eastAsia" w:ascii="Times New Roman" w:hAnsi="Times New Roman" w:eastAsia="宋体" w:cs="Times New Roman"/>
          <w:color w:val="auto"/>
          <w:sz w:val="24"/>
          <w:szCs w:val="20"/>
          <w:highlight w:val="none"/>
        </w:rPr>
        <w:t>义乌市雪峰西路968号科创园科技大楼B区4楼</w:t>
      </w:r>
      <w:r>
        <w:rPr>
          <w:rFonts w:ascii="Times New Roman" w:hAnsi="Times New Roman" w:eastAsia="宋体" w:cs="Times New Roman"/>
          <w:color w:val="auto"/>
          <w:sz w:val="24"/>
          <w:szCs w:val="20"/>
          <w:highlight w:val="none"/>
        </w:rPr>
        <w:t>）向采购人和代理机构提出。</w:t>
      </w:r>
    </w:p>
    <w:p>
      <w:pPr>
        <w:spacing w:line="360" w:lineRule="auto"/>
        <w:ind w:firstLine="480" w:firstLineChars="200"/>
        <w:textAlignment w:val="baseline"/>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9.2</w:t>
      </w:r>
      <w:r>
        <w:rPr>
          <w:rFonts w:ascii="Times New Roman" w:hAnsi="Times New Roman" w:eastAsia="宋体" w:cs="Times New Roman"/>
          <w:color w:val="auto"/>
          <w:sz w:val="24"/>
          <w:highlight w:val="none"/>
        </w:rPr>
        <w:t>无论是采购方根据需要主动对招标文件进行必要澄清，或是根据投标人的要求对招标文件做出澄清，采购方的澄清文件会在浙江省政府采购网(</w:t>
      </w:r>
      <w:r>
        <w:rPr>
          <w:rFonts w:ascii="Times New Roman" w:hAnsi="Times New Roman" w:eastAsia="宋体" w:cs="Times New Roman"/>
          <w:color w:val="auto"/>
          <w:sz w:val="24"/>
          <w:highlight w:val="none"/>
        </w:rPr>
        <w:drawing>
          <wp:inline distT="0" distB="0" distL="114300" distR="114300">
            <wp:extent cx="190500" cy="144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4780"/>
                    </a:xfrm>
                    <a:prstGeom prst="rect">
                      <a:avLst/>
                    </a:prstGeom>
                    <a:noFill/>
                    <a:ln>
                      <a:noFill/>
                    </a:ln>
                  </pic:spPr>
                </pic:pic>
              </a:graphicData>
            </a:graphic>
          </wp:inline>
        </w:drawing>
      </w:r>
      <w:r>
        <w:rPr>
          <w:rFonts w:ascii="Times New Roman" w:hAnsi="Times New Roman" w:eastAsia="宋体" w:cs="Times New Roman"/>
          <w:color w:val="auto"/>
          <w:sz w:val="24"/>
          <w:highlight w:val="none"/>
        </w:rPr>
        <w:t>http://zfcg.czt.zj.gov.cn/)上统一以公告的形式发布，同时政采云系统会向所有已按招标文件规定方式获取招标文件的潜在</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发送更正提醒信息，潜在</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请自行到浙江省政府采网上下载澄清（更正）文件，如因</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未及时关注网上发布的信息而导致的一切投标后果由</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自行承担</w:t>
      </w:r>
      <w:r>
        <w:rPr>
          <w:rFonts w:ascii="Times New Roman" w:hAnsi="Times New Roman" w:eastAsia="宋体" w:cs="Times New Roman"/>
          <w:color w:val="auto"/>
          <w:sz w:val="24"/>
          <w:szCs w:val="20"/>
          <w:highlight w:val="none"/>
        </w:rPr>
        <w:t>。</w:t>
      </w:r>
    </w:p>
    <w:p>
      <w:pPr>
        <w:spacing w:line="360" w:lineRule="auto"/>
        <w:ind w:firstLine="480" w:firstLineChars="200"/>
        <w:textAlignment w:val="baseline"/>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9.4招标文件澄清、修改、补充等内容均以公告形式明确的内容为准。当招标文件、招标文件的澄清、修改、补充等在同一内容的表述上不一致时，以最后发出的公告文件为准。</w:t>
      </w:r>
    </w:p>
    <w:p>
      <w:pPr>
        <w:spacing w:line="360" w:lineRule="auto"/>
        <w:ind w:firstLine="480" w:firstLineChars="200"/>
        <w:textAlignment w:val="baseline"/>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9.5采购人及招标代理机构工作人员向投标人所作的任何口头答复或电话通知一律无效。</w:t>
      </w:r>
    </w:p>
    <w:p>
      <w:pPr>
        <w:spacing w:line="360" w:lineRule="auto"/>
        <w:ind w:firstLine="480" w:firstLineChars="200"/>
        <w:textAlignment w:val="baseline"/>
        <w:rPr>
          <w:rFonts w:ascii="Times New Roman" w:hAnsi="Times New Roman" w:eastAsia="宋体" w:cs="Times New Roman"/>
          <w:color w:val="auto"/>
          <w:spacing w:val="-4"/>
          <w:sz w:val="24"/>
          <w:highlight w:val="none"/>
        </w:rPr>
      </w:pPr>
      <w:r>
        <w:rPr>
          <w:rFonts w:ascii="Times New Roman" w:hAnsi="Times New Roman" w:eastAsia="宋体" w:cs="Times New Roman"/>
          <w:color w:val="auto"/>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ascii="Times New Roman" w:hAnsi="Times New Roman" w:eastAsia="宋体" w:cs="Times New Roman"/>
          <w:color w:val="auto"/>
          <w:spacing w:val="-4"/>
          <w:sz w:val="24"/>
          <w:highlight w:val="none"/>
        </w:rPr>
        <w:t>。</w:t>
      </w:r>
    </w:p>
    <w:p>
      <w:pPr>
        <w:pStyle w:val="6"/>
        <w:spacing w:line="360" w:lineRule="auto"/>
        <w:rPr>
          <w:rFonts w:ascii="Times New Roman" w:hAnsi="Times New Roman" w:eastAsia="宋体" w:cs="Times New Roman"/>
          <w:color w:val="auto"/>
          <w:sz w:val="24"/>
          <w:szCs w:val="24"/>
          <w:highlight w:val="none"/>
        </w:rPr>
      </w:pPr>
      <w:bookmarkStart w:id="6" w:name="_Toc274303231"/>
      <w:bookmarkStart w:id="7" w:name="_Toc362250689"/>
      <w:r>
        <w:rPr>
          <w:rFonts w:ascii="Times New Roman" w:hAnsi="Times New Roman" w:eastAsia="宋体" w:cs="Times New Roman"/>
          <w:color w:val="auto"/>
          <w:sz w:val="24"/>
          <w:szCs w:val="24"/>
          <w:highlight w:val="none"/>
        </w:rPr>
        <w:t>三、投标文件</w:t>
      </w:r>
      <w:bookmarkEnd w:id="6"/>
      <w:bookmarkEnd w:id="7"/>
    </w:p>
    <w:p>
      <w:pPr>
        <w:spacing w:line="360" w:lineRule="auto"/>
        <w:ind w:firstLine="480"/>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10、</w:t>
      </w:r>
      <w:r>
        <w:rPr>
          <w:rFonts w:ascii="Times New Roman" w:hAnsi="Times New Roman" w:eastAsia="宋体" w:cs="Times New Roman"/>
          <w:b/>
          <w:bCs/>
          <w:color w:val="auto"/>
          <w:sz w:val="24"/>
          <w:highlight w:val="none"/>
        </w:rPr>
        <w:t>投标文件的语言及度量衡单位</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10.1投标文件和与投标有关的所有文件均应使用中文。</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10.2除工程规范另有规定外，投标文件使用的度量衡单位，均采用中华人民共和国法定计量单位。</w:t>
      </w:r>
    </w:p>
    <w:p>
      <w:pPr>
        <w:spacing w:line="360" w:lineRule="auto"/>
        <w:ind w:firstLine="482" w:firstLineChars="200"/>
        <w:rPr>
          <w:rFonts w:ascii="Times New Roman" w:hAnsi="Times New Roman" w:eastAsia="宋体" w:cs="Times New Roman"/>
          <w:color w:val="auto"/>
          <w:kern w:val="0"/>
          <w:sz w:val="24"/>
          <w:highlight w:val="none"/>
        </w:rPr>
      </w:pPr>
      <w:r>
        <w:rPr>
          <w:rFonts w:ascii="Times New Roman" w:hAnsi="Times New Roman" w:eastAsia="宋体" w:cs="Times New Roman"/>
          <w:b/>
          <w:bCs/>
          <w:color w:val="auto"/>
          <w:sz w:val="24"/>
          <w:highlight w:val="none"/>
        </w:rPr>
        <w:t>11、对投标文件的要求</w:t>
      </w:r>
    </w:p>
    <w:p>
      <w:pPr>
        <w:pStyle w:val="19"/>
        <w:spacing w:line="360" w:lineRule="auto"/>
        <w:jc w:val="left"/>
        <w:textAlignment w:val="baseline"/>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11.1投标人应仔细阅读招标文件，了解招标文件的要求，在完全了解招标项目的要求后，编制投标文件。</w:t>
      </w:r>
    </w:p>
    <w:p>
      <w:pPr>
        <w:pStyle w:val="9"/>
        <w:spacing w:line="360" w:lineRule="auto"/>
        <w:ind w:firstLine="480" w:firstLineChars="200"/>
        <w:jc w:val="left"/>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11.2编制投标文件时，投标人对招标文件中的各个要求须逐项逐条作出实质性回答，</w:t>
      </w:r>
      <w:r>
        <w:rPr>
          <w:rFonts w:ascii="Times New Roman" w:hAnsi="Times New Roman" w:eastAsia="宋体" w:cs="Times New Roman"/>
          <w:color w:val="auto"/>
          <w:highlight w:val="none"/>
        </w:rPr>
        <w:t>若有偏离的均应在规范偏离表中提出。</w:t>
      </w:r>
      <w:r>
        <w:rPr>
          <w:rFonts w:ascii="Times New Roman" w:hAnsi="Times New Roman" w:eastAsia="宋体" w:cs="Times New Roman"/>
          <w:color w:val="auto"/>
          <w:kern w:val="0"/>
          <w:highlight w:val="none"/>
        </w:rPr>
        <w:t>顺序编号清楚，可用描述性文字及说明材料（说明材料必须加盖</w:t>
      </w:r>
      <w:r>
        <w:rPr>
          <w:rFonts w:hint="eastAsia" w:ascii="Times New Roman" w:hAnsi="Times New Roman" w:eastAsia="宋体" w:cs="Times New Roman"/>
          <w:color w:val="auto"/>
          <w:kern w:val="0"/>
          <w:highlight w:val="none"/>
        </w:rPr>
        <w:t>电子签章</w:t>
      </w:r>
      <w:r>
        <w:rPr>
          <w:rFonts w:ascii="Times New Roman" w:hAnsi="Times New Roman" w:eastAsia="宋体" w:cs="Times New Roman"/>
          <w:color w:val="auto"/>
          <w:kern w:val="0"/>
          <w:highlight w:val="none"/>
        </w:rPr>
        <w:t>）。</w:t>
      </w:r>
    </w:p>
    <w:p>
      <w:pPr>
        <w:spacing w:line="360" w:lineRule="auto"/>
        <w:ind w:firstLine="48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11.3 在招标文件对商务技术要求中，投标人必须充分应答和满足用户的强制性的需求，如“★”等，否则将导致废标。</w:t>
      </w:r>
    </w:p>
    <w:p>
      <w:pPr>
        <w:spacing w:line="360" w:lineRule="auto"/>
        <w:ind w:firstLine="480"/>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11.4</w:t>
      </w:r>
      <w:r>
        <w:rPr>
          <w:rFonts w:ascii="Times New Roman" w:hAnsi="Times New Roman" w:eastAsia="宋体" w:cs="Times New Roman"/>
          <w:bCs/>
          <w:color w:val="auto"/>
          <w:sz w:val="24"/>
          <w:highlight w:val="none"/>
        </w:rPr>
        <w:t>投标人应提供说明其拟提供的合格性及符合招标文件规定的文件，作为其投标文件的一部分。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11.5</w:t>
      </w:r>
      <w:r>
        <w:rPr>
          <w:rFonts w:ascii="Times New Roman" w:hAnsi="Times New Roman" w:eastAsia="宋体" w:cs="Times New Roman"/>
          <w:color w:val="auto"/>
          <w:sz w:val="24"/>
          <w:highlight w:val="none"/>
        </w:rPr>
        <w:t>编制的投标文件对招标文件中有关条款未提出异议的，均被视为接受和同意。</w:t>
      </w:r>
    </w:p>
    <w:p>
      <w:pPr>
        <w:spacing w:line="360" w:lineRule="auto"/>
        <w:ind w:firstLine="480"/>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12、投标文件的组成</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12.1 招标文件中“投标文件部分格式”所列的内容、格式及其投标人认为有必要提供的其他文件。</w:t>
      </w:r>
    </w:p>
    <w:p>
      <w:pPr>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★12.2 </w:t>
      </w:r>
      <w:r>
        <w:rPr>
          <w:b/>
          <w:color w:val="auto"/>
          <w:sz w:val="24"/>
          <w:highlight w:val="none"/>
        </w:rPr>
        <w:t>递交的投标文件应分为</w:t>
      </w:r>
      <w:r>
        <w:rPr>
          <w:rFonts w:hint="eastAsia"/>
          <w:b/>
          <w:color w:val="auto"/>
          <w:sz w:val="24"/>
          <w:highlight w:val="none"/>
        </w:rPr>
        <w:t>资格响应文件、商务技术响应文件和报价响应文件，资格响应文件、商务技术响应文件为除报价响应文件外的所有内容</w:t>
      </w:r>
      <w:r>
        <w:rPr>
          <w:b/>
          <w:color w:val="auto"/>
          <w:sz w:val="24"/>
          <w:highlight w:val="none"/>
        </w:rPr>
        <w:t>，电子投标文件中所有加盖公章均采用CA签章。</w:t>
      </w:r>
      <w:r>
        <w:rPr>
          <w:rFonts w:hint="eastAsia"/>
          <w:b/>
          <w:color w:val="auto"/>
          <w:sz w:val="24"/>
          <w:highlight w:val="none"/>
        </w:rPr>
        <w:t>资格响应文件、商务技术响应文件不得含投标报价</w:t>
      </w:r>
      <w:r>
        <w:rPr>
          <w:rFonts w:ascii="Times New Roman" w:hAnsi="Times New Roman" w:eastAsia="宋体" w:cs="Times New Roman"/>
          <w:color w:val="auto"/>
          <w:sz w:val="24"/>
          <w:highlight w:val="none"/>
        </w:rPr>
        <w:t>。</w:t>
      </w:r>
    </w:p>
    <w:p>
      <w:pPr>
        <w:pStyle w:val="11"/>
        <w:spacing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12.3资格响应文件：</w:t>
      </w:r>
      <w:r>
        <w:rPr>
          <w:rFonts w:ascii="Times New Roman" w:hAnsi="Times New Roman" w:cs="Times New Roman"/>
          <w:b/>
          <w:bCs/>
          <w:color w:val="auto"/>
          <w:sz w:val="24"/>
          <w:highlight w:val="none"/>
        </w:rPr>
        <w:t>应包括下列内容（并不仅限于以下）：(复印件需加盖</w:t>
      </w:r>
      <w:r>
        <w:rPr>
          <w:rFonts w:hint="eastAsia" w:ascii="Times New Roman" w:hAnsi="Times New Roman" w:cs="Times New Roman"/>
          <w:b/>
          <w:bCs/>
          <w:color w:val="auto"/>
          <w:sz w:val="24"/>
          <w:highlight w:val="none"/>
        </w:rPr>
        <w:t>电子签章</w:t>
      </w:r>
      <w:r>
        <w:rPr>
          <w:rFonts w:ascii="Times New Roman" w:hAnsi="Times New Roman" w:cs="Times New Roman"/>
          <w:b/>
          <w:bCs/>
          <w:color w:val="auto"/>
          <w:sz w:val="24"/>
          <w:highlight w:val="none"/>
        </w:rPr>
        <w:t>，提供的所有证书应在有效期内，逾期的无效)</w:t>
      </w:r>
    </w:p>
    <w:p>
      <w:pPr>
        <w:pStyle w:val="11"/>
        <w:spacing w:line="360" w:lineRule="auto"/>
        <w:ind w:firstLine="475" w:firstLineChars="198"/>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有效的营业执照复印件；</w:t>
      </w:r>
    </w:p>
    <w:p>
      <w:pPr>
        <w:pStyle w:val="11"/>
        <w:spacing w:line="360" w:lineRule="auto"/>
        <w:ind w:firstLine="475" w:firstLineChars="198"/>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）法定代表人资格申明书、法定代表人身份证复印件；</w:t>
      </w:r>
    </w:p>
    <w:p>
      <w:pPr>
        <w:pStyle w:val="11"/>
        <w:spacing w:line="360" w:lineRule="auto"/>
        <w:ind w:firstLine="475" w:firstLineChars="198"/>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）授权委托书、授权代表身份证复印件；（适用于授权代表参与投标会）</w:t>
      </w:r>
    </w:p>
    <w:p>
      <w:pPr>
        <w:pStyle w:val="11"/>
        <w:spacing w:line="360" w:lineRule="auto"/>
        <w:ind w:firstLine="475" w:firstLineChars="198"/>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（4）联合投标协议书（若需要）；</w:t>
      </w:r>
    </w:p>
    <w:p>
      <w:pPr>
        <w:pStyle w:val="11"/>
        <w:spacing w:line="360" w:lineRule="auto"/>
        <w:ind w:firstLine="475" w:firstLineChars="198"/>
        <w:rPr>
          <w:color w:val="auto"/>
          <w:highlight w:val="none"/>
        </w:rPr>
      </w:pPr>
      <w:r>
        <w:rPr>
          <w:rFonts w:hint="eastAsia" w:ascii="Times New Roman" w:hAnsi="Times New Roman" w:cs="Times New Roman"/>
          <w:color w:val="auto"/>
          <w:sz w:val="24"/>
          <w:highlight w:val="none"/>
        </w:rPr>
        <w:t>（5）联合投标授权委托书（若需要）；</w:t>
      </w:r>
    </w:p>
    <w:p>
      <w:pPr>
        <w:pStyle w:val="11"/>
        <w:spacing w:line="360" w:lineRule="auto"/>
        <w:ind w:firstLine="475" w:firstLineChars="198"/>
        <w:rPr>
          <w:color w:val="auto"/>
          <w:highlight w:val="none"/>
        </w:rPr>
      </w:pPr>
      <w:r>
        <w:rPr>
          <w:rFonts w:hint="eastAsia" w:ascii="Times New Roman" w:hAnsi="Times New Roman" w:cs="Times New Roman"/>
          <w:color w:val="auto"/>
          <w:sz w:val="24"/>
          <w:highlight w:val="none"/>
        </w:rPr>
        <w:t>（6）提供采购公告中符合投标人特定条件要求的有效的其他资质复印件并加盖公司公章及需要说明的资料。</w:t>
      </w:r>
    </w:p>
    <w:p>
      <w:pPr>
        <w:pStyle w:val="9"/>
        <w:spacing w:line="360" w:lineRule="auto"/>
        <w:ind w:firstLine="48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12.4商务技术响应文件:应包括下列内容（并不仅限于以下）：(复印件需加盖</w:t>
      </w:r>
      <w:r>
        <w:rPr>
          <w:rFonts w:hint="eastAsia" w:ascii="Times New Roman" w:hAnsi="Times New Roman" w:eastAsia="宋体" w:cs="Times New Roman"/>
          <w:b/>
          <w:bCs/>
          <w:color w:val="auto"/>
          <w:highlight w:val="none"/>
        </w:rPr>
        <w:t>电子签章</w:t>
      </w:r>
      <w:r>
        <w:rPr>
          <w:rFonts w:ascii="Times New Roman" w:hAnsi="Times New Roman" w:eastAsia="宋体" w:cs="Times New Roman"/>
          <w:b/>
          <w:bCs/>
          <w:color w:val="auto"/>
          <w:highlight w:val="none"/>
        </w:rPr>
        <w:t>，提供的所有证书应在有效期内，逾期的无效)</w:t>
      </w:r>
    </w:p>
    <w:p>
      <w:pPr>
        <w:pStyle w:val="11"/>
        <w:numPr>
          <w:ilvl w:val="0"/>
          <w:numId w:val="2"/>
        </w:numPr>
        <w:spacing w:line="360" w:lineRule="auto"/>
        <w:rPr>
          <w:color w:val="auto"/>
          <w:highlight w:val="none"/>
        </w:rPr>
      </w:pPr>
      <w:r>
        <w:rPr>
          <w:rFonts w:ascii="Times New Roman" w:hAnsi="Times New Roman" w:cs="Times New Roman"/>
          <w:color w:val="auto"/>
          <w:sz w:val="24"/>
          <w:highlight w:val="none"/>
        </w:rPr>
        <w:t>投标单位情况介绍；</w:t>
      </w:r>
    </w:p>
    <w:p>
      <w:pPr>
        <w:pStyle w:val="11"/>
        <w:numPr>
          <w:ilvl w:val="0"/>
          <w:numId w:val="2"/>
        </w:numPr>
        <w:spacing w:line="360" w:lineRule="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投标产品技术响应表；</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项目详细实施方案；</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项目负责人及工作人员一览表并提供相关资质证书、社保清单等资料；</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服务质量承诺书；</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类似项目业绩资料；</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招标文件第三章“招标项目内容及技术要求”中规定需要投标人作出说明或描述的；</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义乌市政府采购项目投标承诺书；★</w:t>
      </w:r>
    </w:p>
    <w:p>
      <w:pPr>
        <w:pStyle w:val="11"/>
        <w:numPr>
          <w:ilvl w:val="0"/>
          <w:numId w:val="2"/>
        </w:num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投标人认为须提供的其他资料。</w:t>
      </w:r>
    </w:p>
    <w:p>
      <w:pPr>
        <w:pStyle w:val="11"/>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12.5报价响应文件：应包括下列内容（并不仅限于以下）：</w:t>
      </w:r>
    </w:p>
    <w:p>
      <w:pPr>
        <w:pStyle w:val="11"/>
        <w:spacing w:line="360" w:lineRule="auto"/>
        <w:ind w:firstLine="475" w:firstLineChars="198"/>
        <w:rPr>
          <w:rFonts w:ascii="Times New Roman" w:hAnsi="Times New Roman" w:cs="Times New Roman"/>
          <w:color w:val="auto"/>
          <w:sz w:val="24"/>
          <w:highlight w:val="none"/>
        </w:rPr>
      </w:pPr>
      <w:r>
        <w:rPr>
          <w:rFonts w:ascii="Times New Roman" w:hAnsi="Times New Roman" w:cs="Times New Roman"/>
          <w:color w:val="auto"/>
          <w:sz w:val="24"/>
          <w:highlight w:val="none"/>
        </w:rPr>
        <w:t>（1）投标函；</w:t>
      </w:r>
    </w:p>
    <w:p>
      <w:pPr>
        <w:pStyle w:val="11"/>
        <w:spacing w:line="360" w:lineRule="auto"/>
        <w:ind w:firstLine="475" w:firstLineChars="198"/>
        <w:rPr>
          <w:rFonts w:ascii="Times New Roman" w:hAnsi="Times New Roman" w:cs="Times New Roman"/>
          <w:color w:val="auto"/>
          <w:sz w:val="24"/>
          <w:highlight w:val="none"/>
        </w:rPr>
      </w:pPr>
      <w:r>
        <w:rPr>
          <w:rFonts w:ascii="Times New Roman" w:hAnsi="Times New Roman" w:cs="Times New Roman"/>
          <w:color w:val="auto"/>
          <w:sz w:val="24"/>
          <w:highlight w:val="none"/>
        </w:rPr>
        <w:t>（2）开标一览表；</w:t>
      </w:r>
    </w:p>
    <w:p>
      <w:pPr>
        <w:pStyle w:val="11"/>
        <w:spacing w:line="360" w:lineRule="auto"/>
        <w:ind w:firstLine="475" w:firstLineChars="198"/>
        <w:rPr>
          <w:rFonts w:ascii="Times New Roman" w:hAnsi="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w:t>
      </w:r>
      <w:r>
        <w:rPr>
          <w:rFonts w:ascii="Times New Roman" w:hAnsi="Times New Roman"/>
          <w:color w:val="auto"/>
          <w:sz w:val="24"/>
          <w:highlight w:val="none"/>
        </w:rPr>
        <w:t>中小企业声明函（如有）</w:t>
      </w:r>
      <w:r>
        <w:rPr>
          <w:rFonts w:hint="eastAsia" w:ascii="Times New Roman" w:hAnsi="Times New Roman"/>
          <w:color w:val="auto"/>
          <w:sz w:val="24"/>
          <w:highlight w:val="none"/>
        </w:rPr>
        <w:t>｛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1"/>
        <w:spacing w:line="360" w:lineRule="auto"/>
        <w:ind w:firstLine="475" w:firstLineChars="198"/>
        <w:rPr>
          <w:rFonts w:ascii="Times New Roman" w:hAnsi="Times New Roman"/>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省级及以上监狱管理局、戒毒管理局（含新疆生产建设兵团）出具的属于监狱企业的文件扫描件加盖电子签章（符合监狱企业有关政策的投标人需提供本项材料）</w:t>
      </w:r>
      <w:r>
        <w:rPr>
          <w:rFonts w:ascii="Times New Roman" w:hAnsi="Times New Roman"/>
          <w:color w:val="auto"/>
          <w:sz w:val="24"/>
          <w:highlight w:val="none"/>
        </w:rPr>
        <w:t>；</w:t>
      </w:r>
    </w:p>
    <w:p>
      <w:pPr>
        <w:pStyle w:val="11"/>
        <w:spacing w:line="360" w:lineRule="auto"/>
        <w:ind w:firstLine="475" w:firstLineChars="198"/>
        <w:rPr>
          <w:rFonts w:ascii="Times New Roman" w:hAnsi="Times New Roman"/>
          <w:color w:val="auto"/>
          <w:sz w:val="24"/>
          <w:highlight w:val="none"/>
        </w:rPr>
      </w:pPr>
      <w:r>
        <w:rPr>
          <w:rFonts w:ascii="Times New Roman" w:hAnsi="Times New Roman"/>
          <w:color w:val="auto"/>
          <w:sz w:val="24"/>
          <w:highlight w:val="none"/>
        </w:rPr>
        <w:t>（5）残疾人福利性单位声明函（如有）</w:t>
      </w:r>
      <w:r>
        <w:rPr>
          <w:rFonts w:hint="eastAsia" w:ascii="Times New Roman" w:hAnsi="Times New Roman"/>
          <w:color w:val="auto"/>
          <w:sz w:val="24"/>
          <w:highlight w:val="none"/>
        </w:rPr>
        <w:t>（符合残疾人福利性单位有关政策的投标人需提供本项材料）</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olor w:val="auto"/>
          <w:sz w:val="24"/>
          <w:highlight w:val="none"/>
        </w:rPr>
        <w:t>（6）</w:t>
      </w:r>
      <w:r>
        <w:rPr>
          <w:rFonts w:ascii="Times New Roman" w:hAnsi="Times New Roman" w:cs="Times New Roman"/>
          <w:color w:val="auto"/>
          <w:sz w:val="24"/>
          <w:highlight w:val="none"/>
        </w:rPr>
        <w:t>其他投标人认为须提供的资料。</w:t>
      </w:r>
    </w:p>
    <w:p>
      <w:pPr>
        <w:pStyle w:val="9"/>
        <w:spacing w:line="360" w:lineRule="auto"/>
        <w:ind w:firstLine="480" w:firstLineChars="200"/>
        <w:rPr>
          <w:rFonts w:ascii="Times New Roman" w:hAnsi="Times New Roman" w:eastAsia="宋体" w:cs="Times New Roman"/>
          <w:b/>
          <w:bCs/>
          <w:color w:val="auto"/>
          <w:highlight w:val="none"/>
        </w:rPr>
      </w:pPr>
      <w:r>
        <w:rPr>
          <w:rFonts w:ascii="Times New Roman" w:hAnsi="Times New Roman" w:eastAsia="宋体" w:cs="Times New Roman"/>
          <w:color w:val="auto"/>
          <w:highlight w:val="none"/>
        </w:rPr>
        <w:t>13、投标人资格的有关说明资料</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13.1投标人应提交说明其有资格参加投标和中标后有能力履行合同的文件，并作为其投标文件的一部分。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13.2 投标人提交的合格性的说明文件应使采购人满意，投标人在投标时应是符合条件的投标人。</w:t>
      </w:r>
    </w:p>
    <w:p>
      <w:pPr>
        <w:pStyle w:val="11"/>
        <w:spacing w:line="360" w:lineRule="auto"/>
        <w:ind w:firstLine="472" w:firstLineChars="196"/>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14、报价要求</w:t>
      </w:r>
    </w:p>
    <w:p>
      <w:pPr>
        <w:pStyle w:val="11"/>
        <w:spacing w:line="360" w:lineRule="auto"/>
        <w:ind w:firstLine="480" w:firstLineChars="200"/>
        <w:rPr>
          <w:rFonts w:ascii="Times New Roman" w:hAnsi="Times New Roman"/>
          <w:color w:val="auto"/>
          <w:sz w:val="24"/>
          <w:szCs w:val="24"/>
          <w:highlight w:val="none"/>
        </w:rPr>
      </w:pPr>
      <w:r>
        <w:rPr>
          <w:rFonts w:ascii="Times New Roman" w:hAnsi="Times New Roman" w:cs="Times New Roman"/>
          <w:color w:val="auto"/>
          <w:sz w:val="24"/>
          <w:highlight w:val="none"/>
        </w:rPr>
        <w:t>14.1</w:t>
      </w:r>
      <w:r>
        <w:rPr>
          <w:rFonts w:ascii="Times New Roman" w:hAnsi="Times New Roman"/>
          <w:color w:val="auto"/>
          <w:sz w:val="24"/>
          <w:highlight w:val="none"/>
        </w:rPr>
        <w:t>投标人应根据国家的有关规定和</w:t>
      </w:r>
      <w:r>
        <w:rPr>
          <w:rFonts w:ascii="Times New Roman" w:hAnsi="Times New Roman"/>
          <w:b/>
          <w:color w:val="auto"/>
          <w:sz w:val="24"/>
          <w:highlight w:val="none"/>
        </w:rPr>
        <w:t>招标文件要求</w:t>
      </w:r>
      <w:r>
        <w:rPr>
          <w:rFonts w:ascii="Times New Roman" w:hAnsi="Times New Roman"/>
          <w:color w:val="auto"/>
          <w:sz w:val="24"/>
          <w:highlight w:val="none"/>
        </w:rPr>
        <w:t>并结合企业的实际情况进行报价。报价以人民币为结算货币，投标报价包括货物价款、</w:t>
      </w:r>
      <w:r>
        <w:rPr>
          <w:rFonts w:hint="eastAsia" w:ascii="Times New Roman" w:hAnsi="Times New Roman"/>
          <w:color w:val="auto"/>
          <w:sz w:val="24"/>
          <w:highlight w:val="none"/>
        </w:rPr>
        <w:t>系统集成相关费用、</w:t>
      </w:r>
      <w:r>
        <w:rPr>
          <w:rFonts w:ascii="Times New Roman" w:hAnsi="Times New Roman"/>
          <w:color w:val="auto"/>
          <w:sz w:val="24"/>
          <w:highlight w:val="none"/>
        </w:rPr>
        <w:t>附件、配件、备品备件、途中运输费、装卸费、安装调试费、技术指导费、维护费</w:t>
      </w:r>
      <w:r>
        <w:rPr>
          <w:rFonts w:hint="eastAsia" w:ascii="Times New Roman" w:hAnsi="Times New Roman"/>
          <w:color w:val="auto"/>
          <w:sz w:val="24"/>
          <w:highlight w:val="none"/>
        </w:rPr>
        <w:t>（设备维护费、系统软件维护升级费用）</w:t>
      </w:r>
      <w:r>
        <w:rPr>
          <w:rFonts w:ascii="Times New Roman" w:hAnsi="Times New Roman"/>
          <w:color w:val="auto"/>
          <w:sz w:val="24"/>
          <w:highlight w:val="none"/>
        </w:rPr>
        <w:t>、技术资料费、保险费、利润、税金、售后服务费、完成本项目的其它费用和政策性文件规定及合同包含的所有风险、责任等各项应有费用，如有漏项，视同已包含在其总项目中，合同总价不予调整</w:t>
      </w:r>
      <w:r>
        <w:rPr>
          <w:rFonts w:ascii="Times New Roman" w:hAnsi="Times New Roman"/>
          <w:color w:val="auto"/>
          <w:sz w:val="24"/>
          <w:szCs w:val="24"/>
          <w:highlight w:val="none"/>
        </w:rPr>
        <w:t>。</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14.2投标文件报价出现前后不一致的，按照下列规定修正：</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（一）投标文件中开标一览表（报价表）内容与投标文件中相应内容不一致的，以开标一览表（报价表）为准；</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（二）大写金额和小写金额不一致的，以大写金额为准；</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（三）单价金额小数点或者百分比有明显错位的，以开标一览表的总价为准，并修改单价；</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（四）总价金额与按单价汇总金额不一致的，以单价金额计算结果为准。</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同时出现两种以上不一致的，按照前款规定的顺序修正。修正后的报价由投标人法定代表人或其授权代表签字确认后产生约束力，投标人不确认的，其投标无效。</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14.3中标后，</w:t>
      </w:r>
      <w:r>
        <w:rPr>
          <w:rFonts w:ascii="Times New Roman" w:hAnsi="Times New Roman" w:cs="Times New Roman"/>
          <w:b/>
          <w:color w:val="auto"/>
          <w:sz w:val="24"/>
          <w:highlight w:val="none"/>
        </w:rPr>
        <w:t>中标人所填写的单价在合同实施期间不因市场变化因素而变动；</w:t>
      </w:r>
      <w:r>
        <w:rPr>
          <w:rFonts w:ascii="Times New Roman" w:hAnsi="Times New Roman" w:cs="Times New Roman"/>
          <w:color w:val="auto"/>
          <w:sz w:val="24"/>
          <w:highlight w:val="none"/>
        </w:rPr>
        <w:t>投标人在计算报价时应考虑一定的风险系数。</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14.4投标人应按招标文件规定的报价格式进行投标报价。投标人对每种货物、服务只允许有一个报价，采购人不接受任何有选择性的报价。</w:t>
      </w:r>
    </w:p>
    <w:p>
      <w:pPr>
        <w:pStyle w:val="11"/>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14.5</w:t>
      </w:r>
      <w:r>
        <w:rPr>
          <w:rFonts w:ascii="Times New Roman" w:hAnsi="Times New Roman" w:cs="Times New Roman"/>
          <w:color w:val="auto"/>
          <w:spacing w:val="-8"/>
          <w:sz w:val="24"/>
          <w:highlight w:val="none"/>
        </w:rPr>
        <w:t>采购人不接受低于成本的投标报价，也不接受招标项目范围内的捐赠。</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14.6投标人按照上述要求编制投标报价。一旦确认某一投标人中标，除合同规定的可调整内容外，中标人不得要求追加任何费用。</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14.7须由中标单位开具正式发票。</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14.8招标文件中规定由投标人承担并支付的相关费用在投标报价时应一并考虑。</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14.9投标人应按招标文件以及规定的格式及内容填写报价等相关表格。对没有填报的费用，招标人将不予支付，并认为此项费用已包含在投标总价中。</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14.10在施工中出现任何安全事故由投标人负全责。</w:t>
      </w:r>
    </w:p>
    <w:p>
      <w:pPr>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15、投标文件格式</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15.1</w:t>
      </w:r>
      <w:r>
        <w:rPr>
          <w:rFonts w:ascii="Times New Roman" w:hAnsi="Times New Roman" w:eastAsia="宋体" w:cs="Times New Roman"/>
          <w:color w:val="auto"/>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1"/>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16、投标文件编制要求</w:t>
      </w:r>
    </w:p>
    <w:p>
      <w:pPr>
        <w:pStyle w:val="11"/>
        <w:spacing w:line="4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16.1</w:t>
      </w:r>
      <w:r>
        <w:rPr>
          <w:rFonts w:ascii="Times New Roman" w:hAnsi="Times New Roman" w:cs="Times New Roman"/>
          <w:color w:val="auto"/>
          <w:sz w:val="24"/>
          <w:highlight w:val="none"/>
        </w:rPr>
        <w:t>投标人应根据电子投标操作指南按本招标文件规定的格式和顺序编制电子投标文件并进行关联定位</w:t>
      </w:r>
      <w:r>
        <w:rPr>
          <w:rFonts w:ascii="Times New Roman" w:hAnsi="Times New Roman" w:cs="Times New Roman"/>
          <w:color w:val="auto"/>
          <w:sz w:val="24"/>
          <w:szCs w:val="24"/>
          <w:highlight w:val="none"/>
        </w:rPr>
        <w:t>。</w:t>
      </w:r>
    </w:p>
    <w:p>
      <w:pPr>
        <w:pStyle w:val="11"/>
        <w:spacing w:line="360" w:lineRule="auto"/>
        <w:ind w:firstLine="480" w:firstLineChars="200"/>
        <w:rPr>
          <w:rFonts w:ascii="Times New Roman" w:hAnsi="Times New Roman" w:cs="Times New Roman"/>
          <w:color w:val="auto"/>
          <w:spacing w:val="-4"/>
          <w:sz w:val="24"/>
          <w:highlight w:val="none"/>
        </w:rPr>
      </w:pPr>
      <w:r>
        <w:rPr>
          <w:rFonts w:ascii="Times New Roman" w:hAnsi="Times New Roman" w:cs="Times New Roman"/>
          <w:color w:val="auto"/>
          <w:sz w:val="24"/>
          <w:szCs w:val="24"/>
          <w:highlight w:val="none"/>
        </w:rPr>
        <w:t>16.2</w:t>
      </w:r>
      <w:r>
        <w:rPr>
          <w:rFonts w:ascii="Times New Roman" w:hAnsi="Times New Roman" w:cs="Times New Roman"/>
          <w:color w:val="auto"/>
          <w:sz w:val="24"/>
          <w:highlight w:val="none"/>
        </w:rPr>
        <w:t>由于未按招标文件的规定要求编制投标文件，导致评审小组作出的对投标方的误判，责任由投标方自己承担</w:t>
      </w:r>
      <w:r>
        <w:rPr>
          <w:rFonts w:ascii="Times New Roman" w:hAnsi="Times New Roman" w:cs="Times New Roman"/>
          <w:color w:val="auto"/>
          <w:spacing w:val="-4"/>
          <w:sz w:val="24"/>
          <w:highlight w:val="none"/>
        </w:rPr>
        <w:t>。</w:t>
      </w:r>
    </w:p>
    <w:p>
      <w:pPr>
        <w:pStyle w:val="11"/>
        <w:spacing w:line="360" w:lineRule="auto"/>
        <w:ind w:firstLine="482" w:firstLineChars="200"/>
        <w:rPr>
          <w:rFonts w:ascii="Times New Roman" w:hAnsi="Times New Roman" w:cs="Times New Roman"/>
          <w:b/>
          <w:color w:val="auto"/>
          <w:spacing w:val="-4"/>
          <w:sz w:val="24"/>
          <w:highlight w:val="none"/>
        </w:rPr>
      </w:pPr>
      <w:r>
        <w:rPr>
          <w:rFonts w:ascii="Times New Roman" w:hAnsi="Times New Roman" w:cs="Times New Roman"/>
          <w:b/>
          <w:bCs/>
          <w:color w:val="auto"/>
          <w:sz w:val="24"/>
          <w:highlight w:val="none"/>
        </w:rPr>
        <w:t>17、</w:t>
      </w:r>
      <w:r>
        <w:rPr>
          <w:rFonts w:ascii="Times New Roman" w:hAnsi="Times New Roman" w:cs="Times New Roman"/>
          <w:b/>
          <w:color w:val="auto"/>
          <w:spacing w:val="-4"/>
          <w:sz w:val="24"/>
          <w:highlight w:val="none"/>
        </w:rPr>
        <w:t>投标人发生下列情况之一时，将按失信行为上报义乌市信用管理部门：</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（1）投标人在规定的投标有效期内撤回投标或放弃中标的；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（2）有意串标或提供虚假材料者的；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（3）中标人在收到中标通知书后，因自身原因不能在投标有效期内和采购人签订合同。</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（4）中标人未在规定时间缴纳招标代理费的。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（5）中标</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在标后履约过程中未按合同约定的期限和要求履约的。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（6）因中标</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原因在标后履约过程中擅自终止合同的。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（7）不符合招标文件要求的其他失信行为。</w:t>
      </w:r>
    </w:p>
    <w:p>
      <w:pPr>
        <w:pStyle w:val="11"/>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18、履约保证金：无</w:t>
      </w:r>
    </w:p>
    <w:p>
      <w:pPr>
        <w:pStyle w:val="11"/>
        <w:spacing w:line="360" w:lineRule="auto"/>
        <w:ind w:firstLine="482" w:firstLineChars="200"/>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19、采购代理服务费</w:t>
      </w:r>
    </w:p>
    <w:p>
      <w:pPr>
        <w:snapToGrid w:val="0"/>
        <w:spacing w:line="360" w:lineRule="auto"/>
        <w:ind w:firstLine="480"/>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19.1采购代理服务费：</w:t>
      </w:r>
      <w:r>
        <w:rPr>
          <w:rFonts w:ascii="Times New Roman" w:hAnsi="Times New Roman" w:eastAsia="宋体" w:cs="Times New Roman"/>
          <w:color w:val="auto"/>
          <w:sz w:val="24"/>
          <w:highlight w:val="none"/>
        </w:rPr>
        <w:t>具体详见下表。</w:t>
      </w:r>
    </w:p>
    <w:tbl>
      <w:tblPr>
        <w:tblStyle w:val="23"/>
        <w:tblW w:w="8157" w:type="dxa"/>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24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12</w:t>
            </w:r>
            <w:r>
              <w:rPr>
                <w:rFonts w:ascii="Times New Roman" w:hAnsi="Times New Roman" w:eastAsia="宋体" w:cs="Times New Roman"/>
                <w:color w:val="auto"/>
                <w:sz w:val="24"/>
                <w:highlight w:val="none"/>
              </w:rPr>
              <w:t>5%</w:t>
            </w:r>
          </w:p>
        </w:tc>
        <w:tc>
          <w:tcPr>
            <w:tcW w:w="49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招标服务费采用差额定率累进法计算，向中标人单向收取。例：中标金额为1000万。服务费=100万×1.</w:t>
            </w:r>
            <w:r>
              <w:rPr>
                <w:rFonts w:hint="eastAsia" w:ascii="Times New Roman" w:hAnsi="Times New Roman" w:eastAsia="宋体" w:cs="Times New Roman"/>
                <w:color w:val="auto"/>
                <w:sz w:val="24"/>
                <w:highlight w:val="none"/>
              </w:rPr>
              <w:t>12</w:t>
            </w:r>
            <w:r>
              <w:rPr>
                <w:rFonts w:ascii="Times New Roman" w:hAnsi="Times New Roman" w:eastAsia="宋体" w:cs="Times New Roman"/>
                <w:color w:val="auto"/>
                <w:sz w:val="24"/>
                <w:highlight w:val="none"/>
              </w:rPr>
              <w:t>5%+400万×0.</w:t>
            </w:r>
            <w:r>
              <w:rPr>
                <w:rFonts w:hint="eastAsia" w:ascii="Times New Roman" w:hAnsi="Times New Roman" w:eastAsia="宋体" w:cs="Times New Roman"/>
                <w:color w:val="auto"/>
                <w:sz w:val="24"/>
                <w:highlight w:val="none"/>
              </w:rPr>
              <w:t>825</w:t>
            </w:r>
            <w:r>
              <w:rPr>
                <w:rFonts w:ascii="Times New Roman" w:hAnsi="Times New Roman" w:eastAsia="宋体" w:cs="Times New Roman"/>
                <w:color w:val="auto"/>
                <w:sz w:val="24"/>
                <w:highlight w:val="none"/>
              </w:rPr>
              <w:t>%+500万×0.</w:t>
            </w:r>
            <w:r>
              <w:rPr>
                <w:rFonts w:hint="eastAsia" w:ascii="Times New Roman" w:hAnsi="Times New Roman" w:eastAsia="宋体" w:cs="Times New Roman"/>
                <w:color w:val="auto"/>
                <w:sz w:val="24"/>
                <w:highlight w:val="none"/>
              </w:rPr>
              <w:t>6</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7.425</w:t>
            </w:r>
            <w:r>
              <w:rPr>
                <w:rFonts w:ascii="Times New Roman" w:hAnsi="Times New Roman" w:eastAsia="宋体" w:cs="Times New Roman"/>
                <w:color w:val="auto"/>
                <w:sz w:val="24"/>
                <w:highlight w:val="none"/>
              </w:rPr>
              <w:t>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0.</w:t>
            </w:r>
            <w:r>
              <w:rPr>
                <w:rFonts w:hint="eastAsia" w:ascii="Times New Roman" w:hAnsi="Times New Roman" w:eastAsia="宋体" w:cs="Times New Roman"/>
                <w:color w:val="auto"/>
                <w:sz w:val="24"/>
                <w:highlight w:val="none"/>
              </w:rPr>
              <w:t>825</w:t>
            </w:r>
            <w:r>
              <w:rPr>
                <w:rFonts w:ascii="Times New Roman" w:hAnsi="Times New Roman" w:eastAsia="宋体" w:cs="Times New Roman"/>
                <w:color w:val="auto"/>
                <w:sz w:val="24"/>
                <w:highlight w:val="none"/>
              </w:rPr>
              <w:t>%</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color w:val="auto"/>
                <w:sz w:val="24"/>
                <w:highlight w:val="none"/>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0.</w:t>
            </w:r>
            <w:r>
              <w:rPr>
                <w:rFonts w:hint="eastAsia" w:ascii="Times New Roman" w:hAnsi="Times New Roman" w:eastAsia="宋体" w:cs="Times New Roman"/>
                <w:color w:val="auto"/>
                <w:sz w:val="24"/>
                <w:highlight w:val="none"/>
              </w:rPr>
              <w:t>6</w:t>
            </w:r>
            <w:r>
              <w:rPr>
                <w:rFonts w:ascii="Times New Roman" w:hAnsi="Times New Roman" w:eastAsia="宋体" w:cs="Times New Roman"/>
                <w:color w:val="auto"/>
                <w:sz w:val="24"/>
                <w:highlight w:val="none"/>
              </w:rPr>
              <w:t>%</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color w:val="auto"/>
                <w:sz w:val="24"/>
                <w:highlight w:val="none"/>
              </w:rPr>
            </w:pPr>
          </w:p>
        </w:tc>
      </w:tr>
    </w:tbl>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19.2采购代理服务费在</w:t>
      </w:r>
      <w:r>
        <w:rPr>
          <w:rFonts w:ascii="Times New Roman" w:hAnsi="Times New Roman" w:eastAsia="宋体" w:cs="Times New Roman"/>
          <w:b/>
          <w:bCs/>
          <w:color w:val="auto"/>
          <w:sz w:val="24"/>
          <w:highlight w:val="none"/>
        </w:rPr>
        <w:t>领取中标通知书</w:t>
      </w:r>
      <w:r>
        <w:rPr>
          <w:rFonts w:ascii="Times New Roman" w:hAnsi="Times New Roman" w:eastAsia="宋体" w:cs="Times New Roman"/>
          <w:color w:val="auto"/>
          <w:sz w:val="24"/>
          <w:highlight w:val="none"/>
        </w:rPr>
        <w:t>时</w:t>
      </w:r>
      <w:r>
        <w:rPr>
          <w:rFonts w:ascii="Times New Roman" w:hAnsi="Times New Roman" w:eastAsia="宋体" w:cs="Times New Roman"/>
          <w:color w:val="auto"/>
          <w:kern w:val="0"/>
          <w:sz w:val="24"/>
          <w:highlight w:val="none"/>
        </w:rPr>
        <w:t>向</w:t>
      </w:r>
      <w:r>
        <w:rPr>
          <w:rFonts w:ascii="Times New Roman" w:hAnsi="Times New Roman" w:eastAsia="宋体" w:cs="Times New Roman"/>
          <w:color w:val="auto"/>
          <w:sz w:val="24"/>
          <w:highlight w:val="none"/>
          <w:u w:val="single"/>
        </w:rPr>
        <w:t>中标人</w:t>
      </w:r>
      <w:r>
        <w:rPr>
          <w:rFonts w:ascii="Times New Roman" w:hAnsi="Times New Roman" w:eastAsia="宋体" w:cs="Times New Roman"/>
          <w:color w:val="auto"/>
          <w:kern w:val="0"/>
          <w:sz w:val="24"/>
          <w:highlight w:val="none"/>
        </w:rPr>
        <w:t>收取，可用银行汇票、电汇、银行本票、现金等方式支付。</w:t>
      </w:r>
      <w:r>
        <w:rPr>
          <w:rFonts w:ascii="Times New Roman" w:hAnsi="Times New Roman" w:eastAsia="宋体" w:cs="Times New Roman"/>
          <w:color w:val="auto"/>
          <w:sz w:val="24"/>
          <w:highlight w:val="none"/>
        </w:rPr>
        <w:t>未按规定时间缴纳代理服务费的，将按失信行为上报义乌市信用管理部门。</w:t>
      </w:r>
    </w:p>
    <w:p>
      <w:pPr>
        <w:spacing w:line="360" w:lineRule="auto"/>
        <w:ind w:firstLine="218" w:firstLineChars="91"/>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采购代理服务费收款人：浙江开平企业管理咨询有限公司</w:t>
      </w:r>
    </w:p>
    <w:p>
      <w:pPr>
        <w:spacing w:line="360" w:lineRule="auto"/>
        <w:ind w:firstLine="218" w:firstLineChars="91"/>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账    号：33001676248059000088</w:t>
      </w:r>
    </w:p>
    <w:p>
      <w:pPr>
        <w:spacing w:line="360" w:lineRule="auto"/>
        <w:ind w:firstLine="218" w:firstLineChars="91"/>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开户银行：义乌市建行乐园分理处</w:t>
      </w:r>
    </w:p>
    <w:p>
      <w:pPr>
        <w:spacing w:line="360" w:lineRule="auto"/>
        <w:ind w:firstLine="218" w:firstLineChars="91"/>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注：缴纳凭证应注明“采购代理服务费”字样。</w:t>
      </w:r>
    </w:p>
    <w:p>
      <w:pPr>
        <w:tabs>
          <w:tab w:val="left" w:pos="3440"/>
        </w:tabs>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20、投标有效期</w:t>
      </w:r>
      <w:r>
        <w:rPr>
          <w:rFonts w:ascii="Times New Roman" w:hAnsi="Times New Roman" w:eastAsia="宋体" w:cs="Times New Roman"/>
          <w:b/>
          <w:bCs/>
          <w:color w:val="auto"/>
          <w:sz w:val="24"/>
          <w:highlight w:val="none"/>
        </w:rPr>
        <w:tab/>
      </w:r>
    </w:p>
    <w:p>
      <w:pPr>
        <w:spacing w:line="360" w:lineRule="auto"/>
        <w:ind w:firstLine="480" w:firstLineChars="200"/>
        <w:rPr>
          <w:rFonts w:ascii="Times New Roman" w:hAnsi="Times New Roman" w:eastAsia="宋体" w:cs="Times New Roman"/>
          <w:b/>
          <w:bCs/>
          <w:color w:val="auto"/>
          <w:sz w:val="24"/>
          <w:highlight w:val="none"/>
        </w:rPr>
      </w:pPr>
      <w:r>
        <w:rPr>
          <w:rFonts w:ascii="Times New Roman" w:hAnsi="Times New Roman" w:eastAsia="宋体" w:cs="Times New Roman"/>
          <w:color w:val="auto"/>
          <w:sz w:val="24"/>
          <w:highlight w:val="none"/>
        </w:rPr>
        <w:t>20.1 投标文件从开标之日起，投标有效期为60天。</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20.2 特殊情况下，在原投标有效期截止之前，采购人可要求投标人同意延长有效期，这种要求与答复均应以书面形式提交。</w:t>
      </w:r>
    </w:p>
    <w:p>
      <w:pPr>
        <w:pStyle w:val="6"/>
        <w:spacing w:line="360" w:lineRule="auto"/>
        <w:rPr>
          <w:rFonts w:ascii="Times New Roman" w:hAnsi="Times New Roman" w:eastAsia="宋体" w:cs="Times New Roman"/>
          <w:color w:val="auto"/>
          <w:sz w:val="24"/>
          <w:szCs w:val="24"/>
          <w:highlight w:val="none"/>
        </w:rPr>
      </w:pPr>
      <w:bookmarkStart w:id="8" w:name="_Toc362250690"/>
      <w:bookmarkStart w:id="9" w:name="_Toc274303232"/>
      <w:r>
        <w:rPr>
          <w:rFonts w:ascii="Times New Roman" w:hAnsi="Times New Roman" w:eastAsia="宋体" w:cs="Times New Roman"/>
          <w:color w:val="auto"/>
          <w:sz w:val="24"/>
          <w:szCs w:val="24"/>
          <w:highlight w:val="none"/>
        </w:rPr>
        <w:t>四、投标文件的递交</w:t>
      </w:r>
      <w:bookmarkEnd w:id="8"/>
      <w:bookmarkEnd w:id="9"/>
    </w:p>
    <w:p>
      <w:pPr>
        <w:tabs>
          <w:tab w:val="left" w:pos="315"/>
        </w:tabs>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21、电子投标文件上传的地点和截止时间</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应于2022年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上午09：30前在“政采云”平台上自行加密上传电子投标文件，逾期上传或未按要求上传的投标文件将予以拒收。</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22、迟交的投标文件</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招标方在规定的投标截止时间以后“政采云”平台将不接收投标文件。</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23、投标文件解密</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开标时间后1小时内（2022年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上午10:30前）</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可以登录“政采云”平台，用“项目采购-开标评标”功能进行解密投标文件。若</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在规定时间内（2022年</w:t>
      </w:r>
      <w:r>
        <w:rPr>
          <w:rFonts w:hint="eastAsia" w:ascii="Times New Roman" w:hAnsi="Times New Roman" w:eastAsia="宋体" w:cs="Times New Roman"/>
          <w:color w:val="auto"/>
          <w:sz w:val="24"/>
          <w:highlight w:val="none"/>
          <w:lang w:eastAsia="zh-CN"/>
        </w:rPr>
        <w:t>10月31日</w:t>
      </w:r>
      <w:r>
        <w:rPr>
          <w:rFonts w:ascii="Times New Roman" w:hAnsi="Times New Roman" w:eastAsia="宋体" w:cs="Times New Roman"/>
          <w:color w:val="auto"/>
          <w:sz w:val="24"/>
          <w:highlight w:val="none"/>
        </w:rPr>
        <w:t>上午10:30前）无法解密或解密失败，将导致投标无效或失败。</w:t>
      </w:r>
    </w:p>
    <w:p>
      <w:pPr>
        <w:tabs>
          <w:tab w:val="left" w:pos="315"/>
        </w:tabs>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u w:val="single"/>
        </w:rPr>
        <w:t>备注：为确保采购项目顺利实施，避免因政采云上电子投标文件解密失败导致投标方投标无效，投标方可在2022年</w:t>
      </w:r>
      <w:r>
        <w:rPr>
          <w:rFonts w:hint="eastAsia" w:ascii="Times New Roman" w:hAnsi="Times New Roman" w:eastAsia="宋体" w:cs="Times New Roman"/>
          <w:color w:val="auto"/>
          <w:sz w:val="24"/>
          <w:highlight w:val="none"/>
          <w:u w:val="single"/>
          <w:lang w:eastAsia="zh-CN"/>
        </w:rPr>
        <w:t>10月31日</w:t>
      </w:r>
      <w:r>
        <w:rPr>
          <w:rFonts w:ascii="Times New Roman" w:hAnsi="Times New Roman" w:eastAsia="宋体" w:cs="Times New Roman"/>
          <w:color w:val="auto"/>
          <w:sz w:val="24"/>
          <w:highlight w:val="none"/>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eastAsia="宋体" w:cs="Times New Roman"/>
          <w:color w:val="auto"/>
          <w:sz w:val="24"/>
          <w:highlight w:val="none"/>
          <w:u w:val="single"/>
          <w:lang w:eastAsia="zh-CN"/>
        </w:rPr>
        <w:t>10月31日</w:t>
      </w:r>
      <w:r>
        <w:rPr>
          <w:rFonts w:ascii="Times New Roman" w:hAnsi="Times New Roman" w:eastAsia="宋体" w:cs="Times New Roman"/>
          <w:color w:val="auto"/>
          <w:sz w:val="24"/>
          <w:highlight w:val="none"/>
          <w:u w:val="single"/>
        </w:rPr>
        <w:t>上午09：30前）及要求提供有效备份文件，同时政采云上投标文件解密失败的，将导致投标无效</w:t>
      </w:r>
      <w:r>
        <w:rPr>
          <w:rFonts w:ascii="Times New Roman" w:hAnsi="Times New Roman" w:eastAsia="宋体" w:cs="Times New Roman"/>
          <w:color w:val="auto"/>
          <w:sz w:val="24"/>
          <w:highlight w:val="none"/>
        </w:rPr>
        <w:t>。</w:t>
      </w:r>
    </w:p>
    <w:p>
      <w:pPr>
        <w:tabs>
          <w:tab w:val="left" w:pos="315"/>
        </w:tabs>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color w:val="auto"/>
          <w:sz w:val="24"/>
          <w:highlight w:val="none"/>
        </w:rPr>
        <w:t>24、</w:t>
      </w:r>
      <w:r>
        <w:rPr>
          <w:rFonts w:ascii="Times New Roman" w:hAnsi="Times New Roman" w:eastAsia="宋体" w:cs="Times New Roman"/>
          <w:b/>
          <w:bCs/>
          <w:color w:val="auto"/>
          <w:sz w:val="24"/>
          <w:highlight w:val="none"/>
        </w:rPr>
        <w:t>投标文件的补充、修改与撤回</w:t>
      </w:r>
    </w:p>
    <w:p>
      <w:pPr>
        <w:pStyle w:val="11"/>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1"/>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24.2在投标截止时间之后，投标人不得对其投标做任何修改。</w:t>
      </w:r>
    </w:p>
    <w:p>
      <w:pPr>
        <w:pStyle w:val="11"/>
        <w:spacing w:line="360" w:lineRule="auto"/>
        <w:ind w:firstLine="480"/>
        <w:rPr>
          <w:rFonts w:ascii="Times New Roman" w:hAnsi="Times New Roman" w:cs="Times New Roman"/>
          <w:color w:val="auto"/>
          <w:spacing w:val="-8"/>
          <w:sz w:val="24"/>
          <w:highlight w:val="none"/>
        </w:rPr>
      </w:pPr>
      <w:r>
        <w:rPr>
          <w:rFonts w:ascii="Times New Roman" w:hAnsi="Times New Roman" w:cs="Times New Roman"/>
          <w:color w:val="auto"/>
          <w:sz w:val="24"/>
          <w:szCs w:val="24"/>
          <w:highlight w:val="none"/>
        </w:rPr>
        <w:t>24.3从投标截止时间至投标人在投标书格式中确定的投标有效期期满这段时间内，投标人不得撤回其投标</w:t>
      </w:r>
      <w:r>
        <w:rPr>
          <w:rFonts w:ascii="Times New Roman" w:hAnsi="Times New Roman" w:cs="Times New Roman"/>
          <w:color w:val="auto"/>
          <w:spacing w:val="-6"/>
          <w:sz w:val="24"/>
          <w:highlight w:val="none"/>
        </w:rPr>
        <w:t>。</w:t>
      </w:r>
    </w:p>
    <w:p>
      <w:pPr>
        <w:pStyle w:val="6"/>
        <w:spacing w:line="360" w:lineRule="auto"/>
        <w:rPr>
          <w:rFonts w:ascii="Times New Roman" w:hAnsi="Times New Roman" w:eastAsia="宋体" w:cs="Times New Roman"/>
          <w:color w:val="auto"/>
          <w:sz w:val="24"/>
          <w:szCs w:val="24"/>
          <w:highlight w:val="none"/>
        </w:rPr>
      </w:pPr>
      <w:bookmarkStart w:id="10" w:name="_Toc362250691"/>
      <w:bookmarkStart w:id="11" w:name="_Toc274303233"/>
      <w:r>
        <w:rPr>
          <w:rFonts w:ascii="Times New Roman" w:hAnsi="Times New Roman" w:eastAsia="宋体" w:cs="Times New Roman"/>
          <w:color w:val="auto"/>
          <w:sz w:val="24"/>
          <w:szCs w:val="24"/>
          <w:highlight w:val="none"/>
        </w:rPr>
        <w:t>五、其它</w:t>
      </w:r>
      <w:bookmarkEnd w:id="10"/>
      <w:bookmarkEnd w:id="11"/>
    </w:p>
    <w:p>
      <w:pPr>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25、本招标文件解释权归采购人。</w:t>
      </w:r>
    </w:p>
    <w:p>
      <w:pP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br w:type="page"/>
      </w:r>
    </w:p>
    <w:p>
      <w:pPr>
        <w:numPr>
          <w:ilvl w:val="0"/>
          <w:numId w:val="3"/>
        </w:numPr>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招标项目内容及技术要求</w:t>
      </w:r>
    </w:p>
    <w:p>
      <w:pPr>
        <w:pStyle w:val="41"/>
        <w:ind w:firstLine="0" w:firstLineChars="0"/>
        <w:rPr>
          <w:b/>
          <w:color w:val="auto"/>
          <w:sz w:val="28"/>
          <w:szCs w:val="28"/>
          <w:highlight w:val="none"/>
        </w:rPr>
      </w:pPr>
      <w:r>
        <w:rPr>
          <w:rFonts w:hint="eastAsia"/>
          <w:color w:val="auto"/>
          <w:sz w:val="30"/>
          <w:szCs w:val="30"/>
          <w:highlight w:val="none"/>
        </w:rPr>
        <w:t>一、</w:t>
      </w:r>
      <w:r>
        <w:rPr>
          <w:rFonts w:hint="eastAsia"/>
          <w:b/>
          <w:color w:val="auto"/>
          <w:sz w:val="28"/>
          <w:szCs w:val="28"/>
          <w:highlight w:val="none"/>
        </w:rPr>
        <w:t>项目采购清单</w:t>
      </w:r>
    </w:p>
    <w:tbl>
      <w:tblPr>
        <w:tblStyle w:val="23"/>
        <w:tblpPr w:leftFromText="180" w:rightFromText="180" w:vertAnchor="text" w:horzAnchor="page" w:tblpX="1885" w:tblpY="129"/>
        <w:tblOverlap w:val="never"/>
        <w:tblW w:w="8905" w:type="dxa"/>
        <w:tblInd w:w="0" w:type="dxa"/>
        <w:tblLayout w:type="fixed"/>
        <w:tblCellMar>
          <w:top w:w="0" w:type="dxa"/>
          <w:left w:w="108" w:type="dxa"/>
          <w:bottom w:w="0" w:type="dxa"/>
          <w:right w:w="108" w:type="dxa"/>
        </w:tblCellMar>
      </w:tblPr>
      <w:tblGrid>
        <w:gridCol w:w="673"/>
        <w:gridCol w:w="2448"/>
        <w:gridCol w:w="2940"/>
        <w:gridCol w:w="1422"/>
        <w:gridCol w:w="1422"/>
      </w:tblGrid>
      <w:tr>
        <w:tblPrEx>
          <w:tblCellMar>
            <w:top w:w="0" w:type="dxa"/>
            <w:left w:w="108" w:type="dxa"/>
            <w:bottom w:w="0" w:type="dxa"/>
            <w:right w:w="108" w:type="dxa"/>
          </w:tblCellMar>
        </w:tblPrEx>
        <w:trPr>
          <w:trHeight w:val="6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设备名称</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规格及技术参数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单位</w:t>
            </w:r>
          </w:p>
        </w:tc>
      </w:tr>
      <w:tr>
        <w:tblPrEx>
          <w:tblCellMar>
            <w:top w:w="0" w:type="dxa"/>
            <w:left w:w="108" w:type="dxa"/>
            <w:bottom w:w="0" w:type="dxa"/>
            <w:right w:w="108" w:type="dxa"/>
          </w:tblCellMar>
        </w:tblPrEx>
        <w:trPr>
          <w:trHeight w:val="52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核心交换机</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53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1#接入交换机</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8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2#接入交换机</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8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楼栋汇聚</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9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万兆光模块</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9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万兆供电设备</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48</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入室光AP</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2100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9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无线控制器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54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千兆单模光模块</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53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SDN控制器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9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态势感知平台</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9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综合威胁探针</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6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运维安全审计</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r>
      <w:tr>
        <w:tblPrEx>
          <w:tblCellMar>
            <w:top w:w="0" w:type="dxa"/>
            <w:left w:w="108" w:type="dxa"/>
            <w:bottom w:w="0" w:type="dxa"/>
            <w:right w:w="108" w:type="dxa"/>
          </w:tblCellMar>
        </w:tblPrEx>
        <w:trPr>
          <w:trHeight w:val="48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电源线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RVV2*4.0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9821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7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电源线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RVV2*1.0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10448.9</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8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室内型皮线光缆</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125474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9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稳定光源及光功率计</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4744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45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尾纤</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LC-LC （电信级）</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r>
      <w:tr>
        <w:tblPrEx>
          <w:tblCellMar>
            <w:top w:w="0" w:type="dxa"/>
            <w:left w:w="108" w:type="dxa"/>
            <w:bottom w:w="0" w:type="dxa"/>
            <w:right w:w="108" w:type="dxa"/>
          </w:tblCellMar>
        </w:tblPrEx>
        <w:trPr>
          <w:trHeight w:val="44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跳纤</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SC-LC （电信级）</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r>
      <w:tr>
        <w:tblPrEx>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分支层绞式铠装光缆</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室外光缆-GYTS-单模G.652D(B1.3)-6芯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18000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7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分支层绞式铠装光缆</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室外光缆-GYTS-单模G.652D(B1.3)-24芯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2300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5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分支层绞式铠装光缆</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室外光缆-GYTS-单模G.652D(B1.3)-48芯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4200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53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光分路器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52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壁挂式光分配箱</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三网合一壁挂式（含法兰）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45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尾纤</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尾纤SC-SC （电信级）</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1207</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条</w:t>
            </w:r>
          </w:p>
        </w:tc>
      </w:tr>
      <w:tr>
        <w:tblPrEx>
          <w:tblCellMar>
            <w:top w:w="0" w:type="dxa"/>
            <w:left w:w="108" w:type="dxa"/>
            <w:bottom w:w="0" w:type="dxa"/>
            <w:right w:w="108" w:type="dxa"/>
          </w:tblCellMar>
        </w:tblPrEx>
        <w:trPr>
          <w:trHeight w:val="46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光纤面板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斜口光纤面板（含法兰）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2970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48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ODF光配箱</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详见第二条技术参数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r>
      <w:tr>
        <w:tblPrEx>
          <w:tblCellMar>
            <w:top w:w="0" w:type="dxa"/>
            <w:left w:w="108" w:type="dxa"/>
            <w:bottom w:w="0" w:type="dxa"/>
            <w:right w:w="108" w:type="dxa"/>
          </w:tblCellMar>
        </w:tblPrEx>
        <w:trPr>
          <w:trHeight w:val="44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管材</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国标，符合线缆大小20、25等（含各种配件，辅材）</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33185</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r>
      <w:tr>
        <w:tblPrEx>
          <w:tblCellMar>
            <w:top w:w="0" w:type="dxa"/>
            <w:left w:w="108" w:type="dxa"/>
            <w:bottom w:w="0" w:type="dxa"/>
            <w:right w:w="108" w:type="dxa"/>
          </w:tblCellMar>
        </w:tblPrEx>
        <w:trPr>
          <w:trHeight w:val="43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明盒</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86型</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4692</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4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42U标准网络机柜</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600*600*2000，静电喷粉，黑色，加厚冷轧钢板，镀锌方孔条立柱。</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47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静电地板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陶瓷</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尺寸：600×600×10mm</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95</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平方</w:t>
            </w:r>
          </w:p>
        </w:tc>
      </w:tr>
      <w:tr>
        <w:tblPrEx>
          <w:tblCellMar>
            <w:top w:w="0" w:type="dxa"/>
            <w:left w:w="108" w:type="dxa"/>
            <w:bottom w:w="0" w:type="dxa"/>
            <w:right w:w="108" w:type="dxa"/>
          </w:tblCellMar>
        </w:tblPrEx>
        <w:trPr>
          <w:trHeight w:val="50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光缆接续</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光纤熔接</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21738</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47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机房线路整改</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机房原有线路全部拆除，整改、美化、增加数字标签等，符合规范要求</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r>
      <w:tr>
        <w:tblPrEx>
          <w:tblCellMar>
            <w:top w:w="0" w:type="dxa"/>
            <w:left w:w="108" w:type="dxa"/>
            <w:bottom w:w="0" w:type="dxa"/>
            <w:right w:w="108" w:type="dxa"/>
          </w:tblCellMar>
        </w:tblPrEx>
        <w:trPr>
          <w:trHeight w:val="49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光AP安装并上线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提供宿舍光AP综合布线实施、光和电布线点对点实时到位，AP安装到位及调试上线服务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2000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45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四网合一综合布线</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各大运营商线路从弱电间到宿舍，点对点铺设到位并提供线路完好测试服务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495</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47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光缆预埋辅助配件</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光缆预埋辅助配件/T型接线端子/凤凰端子</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4434</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4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37</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光分配箱安装</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点壁挂式光分配箱，按学校要求进行安装</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495</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点</w:t>
            </w:r>
          </w:p>
        </w:tc>
      </w:tr>
      <w:tr>
        <w:tblPrEx>
          <w:tblCellMar>
            <w:top w:w="0" w:type="dxa"/>
            <w:left w:w="108" w:type="dxa"/>
            <w:bottom w:w="0" w:type="dxa"/>
            <w:right w:w="108" w:type="dxa"/>
          </w:tblCellMar>
        </w:tblPrEx>
        <w:trPr>
          <w:trHeight w:val="51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调整</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按学校要求针对校园网有些桥架、PVC管等各种微小调整、配合、安装</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r>
    </w:tbl>
    <w:p>
      <w:pPr>
        <w:pStyle w:val="41"/>
        <w:ind w:firstLine="0" w:firstLineChars="0"/>
        <w:rPr>
          <w:bCs/>
          <w:color w:val="auto"/>
          <w:sz w:val="24"/>
          <w:szCs w:val="24"/>
          <w:highlight w:val="none"/>
        </w:rPr>
      </w:pPr>
      <w:bookmarkStart w:id="12" w:name="_Toc646067957_WPSOffice_Level3"/>
      <w:r>
        <w:rPr>
          <w:rFonts w:hint="eastAsia"/>
          <w:bCs/>
          <w:color w:val="auto"/>
          <w:sz w:val="24"/>
          <w:szCs w:val="24"/>
          <w:highlight w:val="none"/>
        </w:rPr>
        <w:t>本项目为“交钥匙”工程。</w:t>
      </w:r>
    </w:p>
    <w:p>
      <w:pPr>
        <w:pStyle w:val="41"/>
        <w:numPr>
          <w:ilvl w:val="0"/>
          <w:numId w:val="4"/>
        </w:numPr>
        <w:ind w:firstLine="0" w:firstLineChars="0"/>
        <w:rPr>
          <w:b/>
          <w:color w:val="auto"/>
          <w:sz w:val="28"/>
          <w:szCs w:val="28"/>
          <w:highlight w:val="none"/>
        </w:rPr>
      </w:pPr>
      <w:r>
        <w:rPr>
          <w:rFonts w:hint="eastAsia"/>
          <w:b/>
          <w:color w:val="auto"/>
          <w:sz w:val="28"/>
          <w:szCs w:val="28"/>
          <w:highlight w:val="none"/>
        </w:rPr>
        <w:t>技术参数</w:t>
      </w:r>
    </w:p>
    <w:p>
      <w:pPr>
        <w:pStyle w:val="41"/>
        <w:numPr>
          <w:ilvl w:val="0"/>
          <w:numId w:val="5"/>
        </w:numPr>
        <w:ind w:firstLine="482"/>
        <w:rPr>
          <w:rFonts w:eastAsia="宋体" w:cs="宋体"/>
          <w:b/>
          <w:color w:val="auto"/>
          <w:kern w:val="0"/>
          <w:sz w:val="24"/>
          <w:szCs w:val="24"/>
          <w:highlight w:val="none"/>
        </w:rPr>
      </w:pPr>
      <w:r>
        <w:rPr>
          <w:rFonts w:hint="eastAsia" w:eastAsia="宋体" w:cs="宋体"/>
          <w:b/>
          <w:color w:val="auto"/>
          <w:kern w:val="0"/>
          <w:sz w:val="24"/>
          <w:szCs w:val="24"/>
          <w:highlight w:val="none"/>
        </w:rPr>
        <w:t>核心交换机</w:t>
      </w:r>
    </w:p>
    <w:p>
      <w:pPr>
        <w:pStyle w:val="41"/>
        <w:numPr>
          <w:ilvl w:val="0"/>
          <w:numId w:val="6"/>
        </w:numPr>
        <w:ind w:firstLine="220" w:firstLineChars="100"/>
        <w:jc w:val="left"/>
        <w:rPr>
          <w:rStyle w:val="47"/>
          <w:rFonts w:hint="default"/>
          <w:color w:val="auto"/>
          <w:highlight w:val="none"/>
        </w:rPr>
      </w:pPr>
      <w:r>
        <w:rPr>
          <w:rStyle w:val="45"/>
          <w:rFonts w:hint="default"/>
          <w:color w:val="auto"/>
          <w:highlight w:val="none"/>
        </w:rPr>
        <w:t>整机主控引擎插槽≥2个，业务插槽≥5个；</w:t>
      </w:r>
      <w:r>
        <w:rPr>
          <w:rStyle w:val="45"/>
          <w:rFonts w:hint="default"/>
          <w:color w:val="auto"/>
          <w:highlight w:val="none"/>
        </w:rPr>
        <w:br w:type="textWrapping"/>
      </w:r>
      <w:r>
        <w:rPr>
          <w:rStyle w:val="45"/>
          <w:rFonts w:hint="default"/>
          <w:color w:val="auto"/>
          <w:highlight w:val="none"/>
        </w:rPr>
        <w:t xml:space="preserve">  （2）支持配置POE线卡，并由独立POE电源槽供电，防止因POE供电而影响其他业务模块供电稳定性。提供官方描述截图和查询链接；</w:t>
      </w:r>
      <w:r>
        <w:rPr>
          <w:rStyle w:val="45"/>
          <w:rFonts w:hint="default"/>
          <w:color w:val="auto"/>
          <w:highlight w:val="none"/>
        </w:rPr>
        <w:br w:type="textWrapping"/>
      </w:r>
      <w:r>
        <w:rPr>
          <w:rStyle w:val="45"/>
          <w:rFonts w:hint="default"/>
          <w:color w:val="auto"/>
          <w:highlight w:val="none"/>
        </w:rPr>
        <w:t xml:space="preserve">  （3）要求主控引擎前置，方便运维管理；</w:t>
      </w:r>
      <w:r>
        <w:rPr>
          <w:rStyle w:val="47"/>
          <w:rFonts w:hint="default"/>
          <w:color w:val="auto"/>
          <w:highlight w:val="none"/>
        </w:rPr>
        <w:br w:type="textWrapping"/>
      </w:r>
      <w:r>
        <w:rPr>
          <w:rStyle w:val="47"/>
          <w:rFonts w:hint="default"/>
          <w:color w:val="auto"/>
          <w:highlight w:val="none"/>
        </w:rPr>
        <w:t>★（4）交换容量≥250T，包转发性能≥60,000Mpps；</w:t>
      </w:r>
    </w:p>
    <w:p>
      <w:pPr>
        <w:pStyle w:val="41"/>
        <w:ind w:left="210" w:leftChars="100" w:firstLine="0" w:firstLineChars="0"/>
        <w:jc w:val="left"/>
        <w:rPr>
          <w:rFonts w:eastAsia="宋体" w:cs="宋体"/>
          <w:b/>
          <w:color w:val="auto"/>
          <w:kern w:val="0"/>
          <w:sz w:val="24"/>
          <w:szCs w:val="24"/>
          <w:highlight w:val="none"/>
        </w:rPr>
      </w:pPr>
      <w:r>
        <w:rPr>
          <w:rStyle w:val="47"/>
          <w:rFonts w:hint="default"/>
          <w:color w:val="auto"/>
          <w:highlight w:val="none"/>
        </w:rPr>
        <w:t>（5）整机ARP表项≥200K；</w:t>
      </w:r>
      <w:r>
        <w:rPr>
          <w:rStyle w:val="47"/>
          <w:rFonts w:hint="default"/>
          <w:color w:val="auto"/>
          <w:highlight w:val="none"/>
        </w:rPr>
        <w:br w:type="textWrapping"/>
      </w:r>
      <w:r>
        <w:rPr>
          <w:rStyle w:val="47"/>
          <w:rFonts w:hint="default"/>
          <w:color w:val="auto"/>
          <w:highlight w:val="none"/>
        </w:rPr>
        <w:t>（6）满载情况下，40GE接口转发时延＜1μs，需提供第三方测试报告（报告中需体现该参数）；</w:t>
      </w:r>
      <w:r>
        <w:rPr>
          <w:rStyle w:val="47"/>
          <w:rFonts w:hint="default"/>
          <w:color w:val="auto"/>
          <w:highlight w:val="none"/>
        </w:rPr>
        <w:br w:type="textWrapping"/>
      </w:r>
      <w:r>
        <w:rPr>
          <w:rStyle w:val="47"/>
          <w:rFonts w:hint="default"/>
          <w:color w:val="auto"/>
          <w:highlight w:val="none"/>
        </w:rPr>
        <w:t>（7）满载情况下，10GE接口转发时延＜1μs；</w:t>
      </w:r>
      <w:r>
        <w:rPr>
          <w:rStyle w:val="47"/>
          <w:rFonts w:hint="default"/>
          <w:color w:val="auto"/>
          <w:highlight w:val="none"/>
        </w:rPr>
        <w:br w:type="textWrapping"/>
      </w:r>
      <w:r>
        <w:rPr>
          <w:rStyle w:val="47"/>
          <w:rFonts w:hint="default"/>
          <w:color w:val="auto"/>
          <w:highlight w:val="none"/>
        </w:rPr>
        <w:t>（8）整机MAC表项≥512K；</w:t>
      </w:r>
      <w:r>
        <w:rPr>
          <w:rStyle w:val="47"/>
          <w:rFonts w:hint="default"/>
          <w:color w:val="auto"/>
          <w:highlight w:val="none"/>
        </w:rPr>
        <w:br w:type="textWrapping"/>
      </w:r>
      <w:r>
        <w:rPr>
          <w:rStyle w:val="47"/>
          <w:rFonts w:hint="default"/>
          <w:color w:val="auto"/>
          <w:highlight w:val="none"/>
        </w:rPr>
        <w:t>（9）要求单台设备支持≥9万个用户并发在线，从容面对大规模终端并发上网的场景。需提供第三方测试报告（报告中需体现该参数）；</w:t>
      </w:r>
      <w:r>
        <w:rPr>
          <w:rStyle w:val="47"/>
          <w:rFonts w:hint="default"/>
          <w:color w:val="auto"/>
          <w:highlight w:val="none"/>
        </w:rPr>
        <w:br w:type="textWrapping"/>
      </w:r>
      <w:r>
        <w:rPr>
          <w:rStyle w:val="47"/>
          <w:rFonts w:hint="default"/>
          <w:color w:val="auto"/>
          <w:highlight w:val="none"/>
        </w:rPr>
        <w:t>★（10）为了满足大规模集中认证的场景，核心交换机需支持≥1000终端每秒的802.1X认证报文处理速度，需提供满足要求的第三方测试报告（报告中需体现该参数）。如集中认证功能无法在核心交换机上实现，投标人必须单独配置一台网关设备（具体要求参考集中认证网关配置要求）：</w:t>
      </w:r>
      <w:r>
        <w:rPr>
          <w:rStyle w:val="47"/>
          <w:rFonts w:hint="default" w:ascii="Calibri" w:hAnsi="Calibri" w:cs="Calibri"/>
          <w:color w:val="auto"/>
          <w:highlight w:val="none"/>
        </w:rPr>
        <w:t>①</w:t>
      </w:r>
      <w:r>
        <w:rPr>
          <w:rStyle w:val="47"/>
          <w:rFonts w:hint="default"/>
          <w:color w:val="auto"/>
          <w:highlight w:val="none"/>
        </w:rPr>
        <w:t>硬件规格：线卡槽位数≥6，配置双引擎、双电源、冗余交换网板；提供不少于24口千兆光口(含同数量原厂模块)，不少于20个万兆端口(含同数量原厂模块)；</w:t>
      </w:r>
      <w:r>
        <w:rPr>
          <w:rStyle w:val="47"/>
          <w:rFonts w:hint="default" w:ascii="Calibri" w:hAnsi="Calibri" w:cs="Calibri"/>
          <w:color w:val="auto"/>
          <w:highlight w:val="none"/>
        </w:rPr>
        <w:t>②</w:t>
      </w:r>
      <w:r>
        <w:rPr>
          <w:rStyle w:val="47"/>
          <w:rFonts w:hint="default"/>
          <w:color w:val="auto"/>
          <w:highlight w:val="none"/>
        </w:rPr>
        <w:t>交换容量≥45Tbps，包转发率≥10000Mpps，提供官网截图；</w:t>
      </w:r>
      <w:r>
        <w:rPr>
          <w:rStyle w:val="47"/>
          <w:rFonts w:hint="default" w:ascii="Calibri" w:hAnsi="Calibri" w:cs="Calibri"/>
          <w:color w:val="auto"/>
          <w:highlight w:val="none"/>
        </w:rPr>
        <w:t>③</w:t>
      </w:r>
      <w:r>
        <w:rPr>
          <w:rStyle w:val="47"/>
          <w:rFonts w:hint="default"/>
          <w:color w:val="auto"/>
          <w:highlight w:val="none"/>
        </w:rPr>
        <w:t>用户数：每槽位最大接入用户数≥64K，整机最大接入用户数≥90K；</w:t>
      </w:r>
      <w:r>
        <w:rPr>
          <w:rStyle w:val="47"/>
          <w:rFonts w:hint="default" w:ascii="Calibri" w:hAnsi="Calibri" w:cs="Calibri"/>
          <w:color w:val="auto"/>
          <w:highlight w:val="none"/>
        </w:rPr>
        <w:t>④</w:t>
      </w:r>
      <w:r>
        <w:rPr>
          <w:rStyle w:val="47"/>
          <w:rFonts w:hint="default"/>
          <w:color w:val="auto"/>
          <w:highlight w:val="none"/>
        </w:rPr>
        <w:t>上线速率：每槽位上线速度≥300个用户/秒，整机上线速度≥900个用户/秒；</w:t>
      </w:r>
      <w:r>
        <w:rPr>
          <w:rStyle w:val="47"/>
          <w:rFonts w:hint="default" w:ascii="Calibri" w:hAnsi="Calibri" w:cs="Calibri"/>
          <w:color w:val="auto"/>
          <w:highlight w:val="none"/>
        </w:rPr>
        <w:t>⑤</w:t>
      </w:r>
      <w:r>
        <w:rPr>
          <w:rStyle w:val="47"/>
          <w:rFonts w:hint="default"/>
          <w:color w:val="auto"/>
          <w:highlight w:val="none"/>
        </w:rPr>
        <w:t>基本功能：支持Web、802.1X、PPPOE等认证方式"，以确保所配设备的认证性能和功能均需满足标书核心交换机中集中认证功能要求；</w:t>
      </w:r>
      <w:r>
        <w:rPr>
          <w:rStyle w:val="47"/>
          <w:rFonts w:hint="default"/>
          <w:color w:val="auto"/>
          <w:highlight w:val="none"/>
        </w:rPr>
        <w:br w:type="textWrapping"/>
      </w:r>
      <w:r>
        <w:rPr>
          <w:rStyle w:val="47"/>
          <w:rFonts w:hint="default"/>
          <w:color w:val="auto"/>
          <w:highlight w:val="none"/>
        </w:rPr>
        <w:t>（11）为了实现扁平化网络结构，必须支持QinQ终结功能；</w:t>
      </w:r>
      <w:r>
        <w:rPr>
          <w:rStyle w:val="47"/>
          <w:rFonts w:hint="default"/>
          <w:color w:val="auto"/>
          <w:highlight w:val="none"/>
        </w:rPr>
        <w:br w:type="textWrapping"/>
      </w:r>
      <w:r>
        <w:rPr>
          <w:rStyle w:val="47"/>
          <w:rFonts w:hint="default"/>
          <w:color w:val="auto"/>
          <w:highlight w:val="none"/>
        </w:rPr>
        <w:t>（12）完善的虚拟化功能：</w:t>
      </w:r>
      <w:r>
        <w:rPr>
          <w:rStyle w:val="47"/>
          <w:rFonts w:hint="default"/>
          <w:color w:val="auto"/>
          <w:highlight w:val="none"/>
        </w:rPr>
        <w:br w:type="textWrapping"/>
      </w:r>
      <w:r>
        <w:rPr>
          <w:rStyle w:val="47"/>
          <w:rFonts w:hint="default"/>
          <w:color w:val="auto"/>
          <w:highlight w:val="none"/>
        </w:rPr>
        <w:t xml:space="preserve">     1）N:1虚拟化：可将多台物理设备虚拟化为1台逻辑设备，虚拟组内设备具备统一的二层及三层转发表项，统一的管理界面，并可实现跨设备链路聚合,提供佐证；</w:t>
      </w:r>
      <w:r>
        <w:rPr>
          <w:rStyle w:val="47"/>
          <w:rFonts w:hint="default"/>
          <w:color w:val="auto"/>
          <w:highlight w:val="none"/>
        </w:rPr>
        <w:br w:type="textWrapping"/>
      </w:r>
      <w:r>
        <w:rPr>
          <w:rStyle w:val="47"/>
          <w:rFonts w:hint="default"/>
          <w:color w:val="auto"/>
          <w:highlight w:val="none"/>
        </w:rPr>
        <w:t xml:space="preserve">     2）1：N虚拟化：可将一台物理设备最大虚拟化为8台逻辑设备，各虚拟交换机间具备独立的转发表项及配置界面，各虚拟交换机的配置/重启互不影响。且支持设备先“多虚一”再“一虚多”的功能联动，彻底实现资源池化；</w:t>
      </w:r>
      <w:r>
        <w:rPr>
          <w:rStyle w:val="47"/>
          <w:rFonts w:hint="default"/>
          <w:color w:val="auto"/>
          <w:highlight w:val="none"/>
        </w:rPr>
        <w:br w:type="textWrapping"/>
      </w:r>
      <w:r>
        <w:rPr>
          <w:rStyle w:val="47"/>
          <w:rFonts w:hint="default"/>
          <w:color w:val="auto"/>
          <w:highlight w:val="none"/>
        </w:rPr>
        <w:t>（13）支持L2-GRE国际标准MAC in IP数据封装技术（或同类其他技术），可实现跨广域网数据中心间二层数据通信，扩大虚拟机漂移范围；</w:t>
      </w:r>
      <w:r>
        <w:rPr>
          <w:rStyle w:val="47"/>
          <w:rFonts w:hint="default"/>
          <w:color w:val="auto"/>
          <w:highlight w:val="none"/>
        </w:rPr>
        <w:br w:type="textWrapping"/>
      </w:r>
      <w:r>
        <w:rPr>
          <w:rStyle w:val="46"/>
          <w:rFonts w:hint="default"/>
          <w:color w:val="auto"/>
          <w:highlight w:val="none"/>
        </w:rPr>
        <w:t>（14）支持分布式MPLS功能（无需配置独立MPLS业务卡），支持跨域OPTION A/B/C三种模式，支持L3 MPLS VPN，支持VPLS/VPWS(Martini及Kompella)，支持跨VPN组播，支持MPLS QOS，保留测试权利；</w:t>
      </w:r>
      <w:r>
        <w:rPr>
          <w:rStyle w:val="47"/>
          <w:rFonts w:hint="default"/>
          <w:color w:val="auto"/>
          <w:highlight w:val="none"/>
        </w:rPr>
        <w:br w:type="textWrapping"/>
      </w:r>
      <w:r>
        <w:rPr>
          <w:rStyle w:val="46"/>
          <w:rFonts w:hint="default"/>
          <w:color w:val="auto"/>
          <w:highlight w:val="none"/>
        </w:rPr>
        <w:t>（15）满足基础安全保护策略 ，提供交换机防攻击功能，在受攻击情况下，保护系统各种服务的正常运行，以及保持较低的CPU负载，从而保障整个网络的稳定运行；</w:t>
      </w:r>
      <w:r>
        <w:rPr>
          <w:rStyle w:val="47"/>
          <w:rFonts w:hint="default"/>
          <w:color w:val="auto"/>
          <w:highlight w:val="none"/>
        </w:rPr>
        <w:br w:type="textWrapping"/>
      </w:r>
      <w:r>
        <w:rPr>
          <w:rStyle w:val="47"/>
          <w:rFonts w:hint="default"/>
          <w:color w:val="auto"/>
          <w:highlight w:val="none"/>
        </w:rPr>
        <w:t>★（16）实配双引擎，双电源，≥72个万兆光口，≥4个40G光口，≥2个交换网板。</w:t>
      </w:r>
    </w:p>
    <w:p>
      <w:pPr>
        <w:pStyle w:val="41"/>
        <w:ind w:firstLine="482"/>
        <w:rPr>
          <w:rFonts w:eastAsia="宋体" w:cs="宋体"/>
          <w:b/>
          <w:bCs/>
          <w:color w:val="auto"/>
          <w:kern w:val="0"/>
          <w:sz w:val="24"/>
          <w:szCs w:val="24"/>
          <w:highlight w:val="none"/>
        </w:rPr>
      </w:pPr>
    </w:p>
    <w:p>
      <w:pPr>
        <w:pStyle w:val="41"/>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2、1#接入交换机</w:t>
      </w:r>
    </w:p>
    <w:p>
      <w:pPr>
        <w:pStyle w:val="41"/>
        <w:ind w:left="220" w:hanging="220" w:hangingChars="100"/>
        <w:jc w:val="left"/>
        <w:rPr>
          <w:rFonts w:eastAsia="宋体" w:cs="宋体"/>
          <w:color w:val="auto"/>
          <w:kern w:val="0"/>
          <w:sz w:val="22"/>
          <w:highlight w:val="none"/>
        </w:rPr>
      </w:pPr>
      <w:r>
        <w:rPr>
          <w:rStyle w:val="47"/>
          <w:rFonts w:hint="default"/>
          <w:color w:val="auto"/>
          <w:highlight w:val="none"/>
        </w:rPr>
        <w:t>★（1）交换容量≥432Gbps ，转发性能≥87Mpps；</w:t>
      </w:r>
      <w:r>
        <w:rPr>
          <w:rStyle w:val="47"/>
          <w:rFonts w:hint="default"/>
          <w:color w:val="auto"/>
          <w:highlight w:val="none"/>
        </w:rPr>
        <w:br w:type="textWrapping"/>
      </w:r>
      <w:r>
        <w:rPr>
          <w:rStyle w:val="47"/>
          <w:rFonts w:hint="default"/>
          <w:color w:val="auto"/>
          <w:highlight w:val="none"/>
        </w:rPr>
        <w:t>（2）固化10/100/1000M以太网端口≥48，固化1G SFP光接口≥4个；</w:t>
      </w:r>
      <w:r>
        <w:rPr>
          <w:rStyle w:val="47"/>
          <w:rFonts w:hint="default"/>
          <w:color w:val="auto"/>
          <w:highlight w:val="none"/>
        </w:rPr>
        <w:br w:type="textWrapping"/>
      </w:r>
      <w:r>
        <w:rPr>
          <w:rStyle w:val="47"/>
          <w:rFonts w:hint="default"/>
          <w:color w:val="auto"/>
          <w:highlight w:val="none"/>
        </w:rPr>
        <w:t>（3）要求所投设备MAC地址≥16K；</w:t>
      </w:r>
      <w:r>
        <w:rPr>
          <w:rStyle w:val="47"/>
          <w:rFonts w:hint="default"/>
          <w:color w:val="auto"/>
          <w:highlight w:val="none"/>
        </w:rPr>
        <w:br w:type="textWrapping"/>
      </w:r>
      <w:r>
        <w:rPr>
          <w:rStyle w:val="47"/>
          <w:rFonts w:hint="default"/>
          <w:color w:val="auto"/>
          <w:highlight w:val="none"/>
        </w:rPr>
        <w:t>（4）要求所投产品端口浪涌抗扰度≥10KV（即具备10KV的防雷能力）；</w:t>
      </w:r>
      <w:r>
        <w:rPr>
          <w:rStyle w:val="47"/>
          <w:rFonts w:hint="default"/>
          <w:color w:val="auto"/>
          <w:highlight w:val="none"/>
        </w:rPr>
        <w:br w:type="textWrapping"/>
      </w:r>
      <w:r>
        <w:rPr>
          <w:rStyle w:val="47"/>
          <w:rFonts w:hint="default"/>
          <w:color w:val="auto"/>
          <w:highlight w:val="none"/>
        </w:rPr>
        <w:t>（5）支持静态路由、RIP/RIPng、OSPFv2/OSPFv3等三层路由协议；</w:t>
      </w:r>
      <w:r>
        <w:rPr>
          <w:rStyle w:val="47"/>
          <w:rFonts w:hint="default"/>
          <w:color w:val="auto"/>
          <w:highlight w:val="none"/>
        </w:rPr>
        <w:br w:type="textWrapping"/>
      </w:r>
      <w:r>
        <w:rPr>
          <w:rStyle w:val="47"/>
          <w:rFonts w:hint="default"/>
          <w:color w:val="auto"/>
          <w:highlight w:val="none"/>
        </w:rPr>
        <w:t xml:space="preserve">（6）支持专门针对CPU保护机制的CPP功能，可将送CPU的报文，如ARP报文的速率进行限制，使CPU的使用率降低到10%以内，保障了CPU安全； </w:t>
      </w:r>
      <w:r>
        <w:rPr>
          <w:rStyle w:val="47"/>
          <w:rFonts w:hint="default"/>
          <w:color w:val="auto"/>
          <w:highlight w:val="none"/>
        </w:rPr>
        <w:br w:type="textWrapping"/>
      </w:r>
      <w:r>
        <w:rPr>
          <w:rStyle w:val="47"/>
          <w:rFonts w:hint="default"/>
          <w:color w:val="auto"/>
          <w:highlight w:val="none"/>
        </w:rPr>
        <w:t>（7）要求所投产品支持sFlow网络监测技术；</w:t>
      </w:r>
      <w:r>
        <w:rPr>
          <w:rStyle w:val="47"/>
          <w:rFonts w:hint="default"/>
          <w:color w:val="auto"/>
          <w:highlight w:val="none"/>
        </w:rPr>
        <w:br w:type="textWrapping"/>
      </w:r>
      <w:r>
        <w:rPr>
          <w:rStyle w:val="47"/>
          <w:rFonts w:hint="default"/>
          <w:color w:val="auto"/>
          <w:highlight w:val="none"/>
        </w:rPr>
        <w:t>（8）要求所投产品支持ITU-TG.8032国际公有环网协议ERPS,并且链路故障的收敛时间≤50ms；</w:t>
      </w:r>
      <w:r>
        <w:rPr>
          <w:rFonts w:hint="eastAsia" w:eastAsia="宋体" w:cs="宋体"/>
          <w:color w:val="auto"/>
          <w:kern w:val="0"/>
          <w:sz w:val="22"/>
          <w:highlight w:val="none"/>
        </w:rPr>
        <w:br w:type="textWrapping"/>
      </w:r>
      <w:r>
        <w:rPr>
          <w:rFonts w:hint="eastAsia" w:eastAsia="宋体" w:cs="宋体"/>
          <w:color w:val="auto"/>
          <w:kern w:val="0"/>
          <w:sz w:val="22"/>
          <w:highlight w:val="none"/>
        </w:rPr>
        <w:t>（9）符合国家低碳环保等政策要求，支持IEEE 802.3az标准的EEE节能技术；</w:t>
      </w:r>
      <w:r>
        <w:rPr>
          <w:rFonts w:hint="eastAsia" w:eastAsia="宋体" w:cs="宋体"/>
          <w:color w:val="auto"/>
          <w:kern w:val="0"/>
          <w:sz w:val="22"/>
          <w:highlight w:val="none"/>
        </w:rPr>
        <w:br w:type="textWrapping"/>
      </w:r>
      <w:r>
        <w:rPr>
          <w:rFonts w:hint="eastAsia" w:eastAsia="宋体" w:cs="宋体"/>
          <w:color w:val="auto"/>
          <w:kern w:val="0"/>
          <w:sz w:val="22"/>
          <w:highlight w:val="none"/>
        </w:rPr>
        <w:t>（10）提供工信部设备进网许可证；</w:t>
      </w:r>
      <w:r>
        <w:rPr>
          <w:rFonts w:hint="eastAsia" w:eastAsia="宋体" w:cs="宋体"/>
          <w:color w:val="auto"/>
          <w:kern w:val="0"/>
          <w:sz w:val="22"/>
          <w:highlight w:val="none"/>
        </w:rPr>
        <w:br w:type="textWrapping"/>
      </w:r>
      <w:r>
        <w:rPr>
          <w:rFonts w:hint="eastAsia" w:eastAsia="宋体" w:cs="宋体"/>
          <w:color w:val="auto"/>
          <w:kern w:val="0"/>
          <w:sz w:val="22"/>
          <w:highlight w:val="none"/>
        </w:rPr>
        <w:t>（11）要求所投产品具备节能环保设计，提供中国质量中心颁发的节能证书；</w:t>
      </w:r>
      <w:r>
        <w:rPr>
          <w:rFonts w:hint="eastAsia" w:eastAsia="宋体" w:cs="宋体"/>
          <w:color w:val="auto"/>
          <w:kern w:val="0"/>
          <w:sz w:val="22"/>
          <w:highlight w:val="none"/>
        </w:rPr>
        <w:br w:type="textWrapping"/>
      </w:r>
      <w:r>
        <w:rPr>
          <w:rFonts w:hint="eastAsia" w:eastAsia="宋体" w:cs="宋体"/>
          <w:color w:val="auto"/>
          <w:kern w:val="0"/>
          <w:sz w:val="22"/>
          <w:highlight w:val="none"/>
        </w:rPr>
        <w:t>（12）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w:t>
      </w:r>
    </w:p>
    <w:p>
      <w:pPr>
        <w:pStyle w:val="41"/>
        <w:ind w:firstLine="482"/>
        <w:rPr>
          <w:rFonts w:eastAsia="宋体" w:cs="宋体"/>
          <w:b/>
          <w:bCs/>
          <w:color w:val="auto"/>
          <w:kern w:val="0"/>
          <w:sz w:val="24"/>
          <w:szCs w:val="24"/>
          <w:highlight w:val="none"/>
        </w:rPr>
      </w:pPr>
    </w:p>
    <w:p>
      <w:pPr>
        <w:pStyle w:val="41"/>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3、2#接入交换机</w:t>
      </w:r>
    </w:p>
    <w:p>
      <w:pPr>
        <w:pStyle w:val="41"/>
        <w:ind w:left="220" w:hanging="220" w:hangingChars="100"/>
        <w:jc w:val="left"/>
        <w:rPr>
          <w:rFonts w:eastAsia="宋体" w:cs="宋体"/>
          <w:color w:val="auto"/>
          <w:kern w:val="0"/>
          <w:sz w:val="22"/>
          <w:highlight w:val="none"/>
        </w:rPr>
      </w:pPr>
      <w:r>
        <w:rPr>
          <w:rFonts w:hint="eastAsia" w:eastAsia="宋体" w:cs="宋体"/>
          <w:color w:val="auto"/>
          <w:kern w:val="0"/>
          <w:sz w:val="22"/>
          <w:highlight w:val="none"/>
        </w:rPr>
        <w:t>★（1）交换容量≥336Gbps ，转发性能≥51Mpps；</w:t>
      </w:r>
      <w:r>
        <w:rPr>
          <w:rFonts w:hint="eastAsia" w:eastAsia="宋体" w:cs="宋体"/>
          <w:color w:val="auto"/>
          <w:kern w:val="0"/>
          <w:sz w:val="22"/>
          <w:highlight w:val="none"/>
        </w:rPr>
        <w:br w:type="textWrapping"/>
      </w:r>
      <w:r>
        <w:rPr>
          <w:rFonts w:hint="eastAsia" w:eastAsia="宋体" w:cs="宋体"/>
          <w:color w:val="auto"/>
          <w:kern w:val="0"/>
          <w:sz w:val="22"/>
          <w:highlight w:val="none"/>
        </w:rPr>
        <w:t>（2）固化10/100/1000M以太网端口≥24，固化1G SFP光接口≥4个；</w:t>
      </w:r>
      <w:r>
        <w:rPr>
          <w:rFonts w:hint="eastAsia" w:eastAsia="宋体" w:cs="宋体"/>
          <w:color w:val="auto"/>
          <w:kern w:val="0"/>
          <w:sz w:val="22"/>
          <w:highlight w:val="none"/>
        </w:rPr>
        <w:br w:type="textWrapping"/>
      </w:r>
      <w:r>
        <w:rPr>
          <w:rFonts w:hint="eastAsia" w:eastAsia="宋体" w:cs="宋体"/>
          <w:color w:val="auto"/>
          <w:kern w:val="0"/>
          <w:sz w:val="22"/>
          <w:highlight w:val="none"/>
        </w:rPr>
        <w:t>（3）要求所投设备MAC地址≥16K；</w:t>
      </w:r>
      <w:r>
        <w:rPr>
          <w:rFonts w:hint="eastAsia" w:eastAsia="宋体" w:cs="宋体"/>
          <w:color w:val="auto"/>
          <w:kern w:val="0"/>
          <w:sz w:val="22"/>
          <w:highlight w:val="none"/>
        </w:rPr>
        <w:br w:type="textWrapping"/>
      </w:r>
      <w:r>
        <w:rPr>
          <w:rFonts w:hint="eastAsia" w:eastAsia="宋体" w:cs="宋体"/>
          <w:color w:val="auto"/>
          <w:kern w:val="0"/>
          <w:sz w:val="22"/>
          <w:highlight w:val="none"/>
        </w:rPr>
        <w:t>（4）要求所投产品端口浪涌抗扰度≥10KV（即具备10KV的防雷能力）；</w:t>
      </w:r>
      <w:r>
        <w:rPr>
          <w:rFonts w:hint="eastAsia" w:eastAsia="宋体" w:cs="宋体"/>
          <w:color w:val="auto"/>
          <w:kern w:val="0"/>
          <w:sz w:val="22"/>
          <w:highlight w:val="none"/>
        </w:rPr>
        <w:br w:type="textWrapping"/>
      </w:r>
      <w:r>
        <w:rPr>
          <w:rFonts w:hint="eastAsia" w:eastAsia="宋体" w:cs="宋体"/>
          <w:color w:val="auto"/>
          <w:kern w:val="0"/>
          <w:sz w:val="22"/>
          <w:highlight w:val="none"/>
        </w:rPr>
        <w:t>（5）支持静态路由、RIP/RIPng、OSPFv2/OSPFv3等三层路由协议；</w:t>
      </w:r>
      <w:r>
        <w:rPr>
          <w:rFonts w:hint="eastAsia" w:eastAsia="宋体" w:cs="宋体"/>
          <w:color w:val="auto"/>
          <w:kern w:val="0"/>
          <w:sz w:val="22"/>
          <w:highlight w:val="none"/>
        </w:rPr>
        <w:br w:type="textWrapping"/>
      </w:r>
      <w:r>
        <w:rPr>
          <w:rFonts w:hint="eastAsia" w:eastAsia="宋体" w:cs="宋体"/>
          <w:color w:val="auto"/>
          <w:kern w:val="0"/>
          <w:sz w:val="22"/>
          <w:highlight w:val="none"/>
        </w:rPr>
        <w:t xml:space="preserve">（6）支持专门针对CPU保护机制的CPP功能，可将送CPU的报文，如ARP报文的速率进行限制，使CPU的使用率降低到10%以内，保障了CPU安全； </w:t>
      </w:r>
      <w:r>
        <w:rPr>
          <w:rFonts w:hint="eastAsia" w:eastAsia="宋体" w:cs="宋体"/>
          <w:color w:val="auto"/>
          <w:kern w:val="0"/>
          <w:sz w:val="22"/>
          <w:highlight w:val="none"/>
        </w:rPr>
        <w:br w:type="textWrapping"/>
      </w:r>
      <w:r>
        <w:rPr>
          <w:rFonts w:hint="eastAsia" w:eastAsia="宋体" w:cs="宋体"/>
          <w:color w:val="auto"/>
          <w:kern w:val="0"/>
          <w:sz w:val="22"/>
          <w:highlight w:val="none"/>
        </w:rPr>
        <w:t>（7）要求所投产品支持sFlow网络监测技术；</w:t>
      </w:r>
      <w:r>
        <w:rPr>
          <w:rFonts w:hint="eastAsia" w:eastAsia="宋体" w:cs="宋体"/>
          <w:color w:val="auto"/>
          <w:kern w:val="0"/>
          <w:sz w:val="22"/>
          <w:highlight w:val="none"/>
        </w:rPr>
        <w:br w:type="textWrapping"/>
      </w:r>
      <w:r>
        <w:rPr>
          <w:rFonts w:hint="eastAsia" w:eastAsia="宋体" w:cs="宋体"/>
          <w:color w:val="auto"/>
          <w:kern w:val="0"/>
          <w:sz w:val="22"/>
          <w:highlight w:val="none"/>
        </w:rPr>
        <w:t>（8）要求所投产品支持ITU-TG.8032国际公有环网协议ERPS,并且链路故障的收敛时间≤50ms；</w:t>
      </w:r>
      <w:r>
        <w:rPr>
          <w:rFonts w:hint="eastAsia" w:eastAsia="宋体" w:cs="宋体"/>
          <w:color w:val="auto"/>
          <w:kern w:val="0"/>
          <w:sz w:val="22"/>
          <w:highlight w:val="none"/>
        </w:rPr>
        <w:br w:type="textWrapping"/>
      </w:r>
      <w:r>
        <w:rPr>
          <w:rFonts w:hint="eastAsia" w:eastAsia="宋体" w:cs="宋体"/>
          <w:color w:val="auto"/>
          <w:kern w:val="0"/>
          <w:sz w:val="22"/>
          <w:highlight w:val="none"/>
        </w:rPr>
        <w:t>（9）符合国家低碳环保等政策要求，支持IEEE 802.3az标准的EEE节能技术；</w:t>
      </w:r>
      <w:r>
        <w:rPr>
          <w:rFonts w:hint="eastAsia" w:eastAsia="宋体" w:cs="宋体"/>
          <w:color w:val="auto"/>
          <w:kern w:val="0"/>
          <w:sz w:val="22"/>
          <w:highlight w:val="none"/>
        </w:rPr>
        <w:br w:type="textWrapping"/>
      </w:r>
      <w:r>
        <w:rPr>
          <w:rFonts w:hint="eastAsia" w:eastAsia="宋体" w:cs="宋体"/>
          <w:color w:val="auto"/>
          <w:kern w:val="0"/>
          <w:sz w:val="22"/>
          <w:highlight w:val="none"/>
        </w:rPr>
        <w:t>（10）提供工信部设备进网许可证；</w:t>
      </w:r>
      <w:r>
        <w:rPr>
          <w:rFonts w:hint="eastAsia" w:eastAsia="宋体" w:cs="宋体"/>
          <w:color w:val="auto"/>
          <w:kern w:val="0"/>
          <w:sz w:val="22"/>
          <w:highlight w:val="none"/>
        </w:rPr>
        <w:br w:type="textWrapping"/>
      </w:r>
      <w:r>
        <w:rPr>
          <w:rFonts w:hint="eastAsia" w:eastAsia="宋体" w:cs="宋体"/>
          <w:color w:val="auto"/>
          <w:kern w:val="0"/>
          <w:sz w:val="22"/>
          <w:highlight w:val="none"/>
        </w:rPr>
        <w:t>（11）要求所投产品具备节能环保设计，提供中国质量中心颁发的节能证书；</w:t>
      </w:r>
      <w:r>
        <w:rPr>
          <w:rFonts w:hint="eastAsia" w:eastAsia="宋体" w:cs="宋体"/>
          <w:color w:val="auto"/>
          <w:kern w:val="0"/>
          <w:sz w:val="22"/>
          <w:highlight w:val="none"/>
        </w:rPr>
        <w:br w:type="textWrapping"/>
      </w:r>
      <w:r>
        <w:rPr>
          <w:rFonts w:hint="eastAsia" w:eastAsia="宋体" w:cs="宋体"/>
          <w:color w:val="auto"/>
          <w:kern w:val="0"/>
          <w:sz w:val="22"/>
          <w:highlight w:val="none"/>
        </w:rPr>
        <w:t>（12）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w:t>
      </w:r>
    </w:p>
    <w:p>
      <w:pPr>
        <w:pStyle w:val="41"/>
        <w:ind w:firstLine="482"/>
        <w:rPr>
          <w:rFonts w:eastAsia="宋体" w:cs="宋体"/>
          <w:b/>
          <w:bCs/>
          <w:color w:val="auto"/>
          <w:kern w:val="0"/>
          <w:sz w:val="24"/>
          <w:szCs w:val="24"/>
          <w:highlight w:val="none"/>
        </w:rPr>
      </w:pPr>
    </w:p>
    <w:p>
      <w:pPr>
        <w:pStyle w:val="41"/>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4、楼栋汇聚</w:t>
      </w:r>
    </w:p>
    <w:p>
      <w:pPr>
        <w:pStyle w:val="41"/>
        <w:ind w:left="220" w:hanging="220" w:hangingChars="100"/>
        <w:jc w:val="left"/>
        <w:rPr>
          <w:rStyle w:val="46"/>
          <w:rFonts w:hint="default"/>
          <w:color w:val="auto"/>
          <w:highlight w:val="none"/>
        </w:rPr>
      </w:pPr>
      <w:r>
        <w:rPr>
          <w:rStyle w:val="47"/>
          <w:rFonts w:hint="default"/>
          <w:color w:val="auto"/>
          <w:highlight w:val="none"/>
        </w:rPr>
        <w:t>★（1）固化端口：≥48个100/1000Mbps光口，≥4个SFP+光口，支持万兆光口≥8个；</w:t>
      </w:r>
      <w:r>
        <w:rPr>
          <w:rStyle w:val="47"/>
          <w:rFonts w:hint="default"/>
          <w:color w:val="auto"/>
          <w:highlight w:val="none"/>
        </w:rPr>
        <w:br w:type="textWrapping"/>
      </w:r>
      <w:r>
        <w:rPr>
          <w:rStyle w:val="46"/>
          <w:rFonts w:hint="default"/>
          <w:color w:val="auto"/>
          <w:highlight w:val="none"/>
        </w:rPr>
        <w:t>（2）设备可提供2个扩展槽，提供官网截图；</w:t>
      </w:r>
    </w:p>
    <w:p>
      <w:pPr>
        <w:pStyle w:val="41"/>
        <w:ind w:left="220" w:hanging="220" w:hangingChars="100"/>
        <w:jc w:val="left"/>
        <w:rPr>
          <w:rStyle w:val="47"/>
          <w:rFonts w:hint="default"/>
          <w:color w:val="auto"/>
          <w:highlight w:val="none"/>
        </w:rPr>
      </w:pPr>
      <w:r>
        <w:rPr>
          <w:rStyle w:val="47"/>
          <w:rFonts w:hint="default"/>
          <w:color w:val="auto"/>
          <w:highlight w:val="none"/>
        </w:rPr>
        <w:t>★（3）交换容量≥736Gbps，包转发率≥252Mpps；</w:t>
      </w:r>
      <w:r>
        <w:rPr>
          <w:rStyle w:val="47"/>
          <w:rFonts w:hint="default"/>
          <w:color w:val="auto"/>
          <w:highlight w:val="none"/>
        </w:rPr>
        <w:br w:type="textWrapping"/>
      </w:r>
      <w:r>
        <w:rPr>
          <w:rStyle w:val="47"/>
          <w:rFonts w:hint="default"/>
          <w:color w:val="auto"/>
          <w:highlight w:val="none"/>
        </w:rPr>
        <w:t>（4）工作温度0-50°；</w:t>
      </w:r>
      <w:r>
        <w:rPr>
          <w:rStyle w:val="47"/>
          <w:rFonts w:hint="default"/>
          <w:color w:val="auto"/>
          <w:highlight w:val="none"/>
        </w:rPr>
        <w:br w:type="textWrapping"/>
      </w:r>
      <w:r>
        <w:rPr>
          <w:rStyle w:val="47"/>
          <w:rFonts w:hint="default"/>
          <w:color w:val="auto"/>
          <w:highlight w:val="none"/>
        </w:rPr>
        <w:t>（5）整机采用绿色环保设计，满负荷情况下功耗≤100W，要求提供官网截图；</w:t>
      </w:r>
      <w:r>
        <w:rPr>
          <w:rStyle w:val="47"/>
          <w:rFonts w:hint="default"/>
          <w:color w:val="auto"/>
          <w:highlight w:val="none"/>
        </w:rPr>
        <w:br w:type="textWrapping"/>
      </w:r>
      <w:r>
        <w:rPr>
          <w:rStyle w:val="47"/>
          <w:rFonts w:hint="default"/>
          <w:color w:val="auto"/>
          <w:highlight w:val="none"/>
        </w:rPr>
        <w:t>（6）要求所投设备，MAC地址≥64K，ARP表项≥20K；</w:t>
      </w:r>
      <w:r>
        <w:rPr>
          <w:rStyle w:val="47"/>
          <w:rFonts w:hint="default"/>
          <w:color w:val="auto"/>
          <w:highlight w:val="none"/>
        </w:rPr>
        <w:br w:type="textWrapping"/>
      </w:r>
      <w:r>
        <w:rPr>
          <w:rStyle w:val="47"/>
          <w:rFonts w:hint="default"/>
          <w:color w:val="auto"/>
          <w:highlight w:val="none"/>
        </w:rPr>
        <w:t>（7）支持SAVI功能，可防止地址解析欺骗；</w:t>
      </w:r>
      <w:r>
        <w:rPr>
          <w:rStyle w:val="47"/>
          <w:rFonts w:hint="default"/>
          <w:color w:val="auto"/>
          <w:highlight w:val="none"/>
        </w:rPr>
        <w:br w:type="textWrapping"/>
      </w:r>
      <w:r>
        <w:rPr>
          <w:rStyle w:val="45"/>
          <w:rFonts w:hint="default"/>
          <w:color w:val="auto"/>
          <w:highlight w:val="none"/>
        </w:rPr>
        <w:t>（8）支持专门针对CPU保护机制的CPP功能，可将送CPU的报文，如ARP报文的速率进行限制，使CPU的使用率降低到15%以内，保障了CPU安全,投标时提供具有CMA或CAL或CNAS认证章的第三方检测机构检验报告</w:t>
      </w:r>
      <w:r>
        <w:rPr>
          <w:rStyle w:val="47"/>
          <w:rFonts w:hint="default"/>
          <w:color w:val="auto"/>
          <w:highlight w:val="none"/>
        </w:rPr>
        <w:t>（报告中需体现该参数）</w:t>
      </w:r>
      <w:r>
        <w:rPr>
          <w:rStyle w:val="45"/>
          <w:rFonts w:hint="default"/>
          <w:color w:val="auto"/>
          <w:highlight w:val="none"/>
        </w:rPr>
        <w:t>；</w:t>
      </w:r>
      <w:r>
        <w:rPr>
          <w:rStyle w:val="47"/>
          <w:rFonts w:hint="default"/>
          <w:color w:val="auto"/>
          <w:highlight w:val="none"/>
        </w:rPr>
        <w:br w:type="textWrapping"/>
      </w:r>
      <w:r>
        <w:rPr>
          <w:rStyle w:val="47"/>
          <w:rFonts w:hint="default"/>
          <w:color w:val="auto"/>
          <w:highlight w:val="none"/>
        </w:rPr>
        <w:t>（9）支持专门基础网络保护机制的NFPP功能，支持多种类型的防护，如ARP防护，当ARP速率超过攻击水线，对有攻击行为的用户进行隔离，保证设备和整网的安全稳定运行,投标时提供具有CMA或CAL或CNAS认证章的第三方检测机构检验报告（报告中需体现该功能）；</w:t>
      </w:r>
      <w:r>
        <w:rPr>
          <w:rStyle w:val="47"/>
          <w:rFonts w:hint="default"/>
          <w:color w:val="auto"/>
          <w:highlight w:val="none"/>
        </w:rPr>
        <w:br w:type="textWrapping"/>
      </w:r>
      <w:r>
        <w:rPr>
          <w:rStyle w:val="47"/>
          <w:rFonts w:hint="default"/>
          <w:color w:val="auto"/>
          <w:highlight w:val="none"/>
        </w:rPr>
        <w:t>（10）要求所投产品支持sFlow网络监测技术；</w:t>
      </w:r>
      <w:r>
        <w:rPr>
          <w:rStyle w:val="47"/>
          <w:rFonts w:hint="default"/>
          <w:color w:val="auto"/>
          <w:highlight w:val="none"/>
        </w:rPr>
        <w:br w:type="textWrapping"/>
      </w:r>
      <w:r>
        <w:rPr>
          <w:rStyle w:val="47"/>
          <w:rFonts w:hint="default"/>
          <w:color w:val="auto"/>
          <w:highlight w:val="none"/>
        </w:rPr>
        <w:t>（11）支持虚拟化功能，可将多台物理设备虚拟化为一台逻辑设备统一管理，并且链路故障的收敛时间≤50ms；</w:t>
      </w:r>
      <w:r>
        <w:rPr>
          <w:rStyle w:val="47"/>
          <w:rFonts w:hint="default"/>
          <w:color w:val="auto"/>
          <w:highlight w:val="none"/>
        </w:rPr>
        <w:br w:type="textWrapping"/>
      </w:r>
      <w:r>
        <w:rPr>
          <w:rStyle w:val="47"/>
          <w:rFonts w:hint="default"/>
          <w:color w:val="auto"/>
          <w:highlight w:val="none"/>
        </w:rPr>
        <w:t>（12）要求所投产品支持ITU-TG.8032国际公有环网协议ERPS,并且链路故障的收敛时间≤50ms；</w:t>
      </w:r>
      <w:r>
        <w:rPr>
          <w:rStyle w:val="47"/>
          <w:rFonts w:hint="default"/>
          <w:color w:val="auto"/>
          <w:highlight w:val="none"/>
        </w:rPr>
        <w:br w:type="textWrapping"/>
      </w:r>
      <w:r>
        <w:rPr>
          <w:rStyle w:val="47"/>
          <w:rFonts w:hint="default"/>
          <w:color w:val="auto"/>
          <w:highlight w:val="none"/>
        </w:rPr>
        <w:t>（13）符合国家低碳环保等政策要求，支持IEEE 802.3az标准的EEE节能技术；</w:t>
      </w:r>
      <w:r>
        <w:rPr>
          <w:rStyle w:val="47"/>
          <w:rFonts w:hint="default"/>
          <w:color w:val="auto"/>
          <w:highlight w:val="none"/>
        </w:rPr>
        <w:br w:type="textWrapping"/>
      </w:r>
      <w:r>
        <w:rPr>
          <w:rStyle w:val="47"/>
          <w:rFonts w:hint="default"/>
          <w:color w:val="auto"/>
          <w:highlight w:val="none"/>
        </w:rPr>
        <w:t>（14）要求所投产品支持软件定义网络SDN，符合OpenFlow 1.3协议标准；</w:t>
      </w:r>
      <w:r>
        <w:rPr>
          <w:rStyle w:val="47"/>
          <w:rFonts w:hint="default"/>
          <w:color w:val="auto"/>
          <w:highlight w:val="none"/>
        </w:rPr>
        <w:br w:type="textWrapping"/>
      </w:r>
      <w:r>
        <w:rPr>
          <w:rStyle w:val="47"/>
          <w:rFonts w:hint="default"/>
          <w:color w:val="auto"/>
          <w:highlight w:val="none"/>
        </w:rPr>
        <w:t>（15）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投标时提供具有 CMA或CAL或CNAS认证章的第三方检测机构检验报告（报告中需体现该功能）；</w:t>
      </w:r>
      <w:r>
        <w:rPr>
          <w:rStyle w:val="47"/>
          <w:rFonts w:hint="default"/>
          <w:color w:val="auto"/>
          <w:highlight w:val="none"/>
        </w:rPr>
        <w:br w:type="textWrapping"/>
      </w:r>
      <w:r>
        <w:rPr>
          <w:rStyle w:val="47"/>
          <w:rFonts w:hint="default"/>
          <w:color w:val="auto"/>
          <w:highlight w:val="none"/>
        </w:rPr>
        <w:t>（16）提供工信部三层交换机进网许可证。（标明是三层交换机入网证）</w:t>
      </w:r>
    </w:p>
    <w:p>
      <w:pPr>
        <w:pStyle w:val="41"/>
        <w:ind w:firstLine="482"/>
        <w:rPr>
          <w:rFonts w:eastAsia="宋体" w:cs="宋体"/>
          <w:b/>
          <w:bCs/>
          <w:color w:val="auto"/>
          <w:kern w:val="0"/>
          <w:sz w:val="24"/>
          <w:szCs w:val="24"/>
          <w:highlight w:val="none"/>
        </w:rPr>
      </w:pPr>
    </w:p>
    <w:p>
      <w:pPr>
        <w:pStyle w:val="41"/>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5、万兆光模块</w:t>
      </w:r>
    </w:p>
    <w:p>
      <w:pPr>
        <w:pStyle w:val="41"/>
        <w:ind w:left="218" w:leftChars="104" w:firstLine="220" w:firstLineChars="100"/>
        <w:jc w:val="left"/>
        <w:rPr>
          <w:rFonts w:eastAsia="宋体" w:cs="宋体"/>
          <w:color w:val="auto"/>
          <w:kern w:val="0"/>
          <w:sz w:val="22"/>
          <w:highlight w:val="none"/>
        </w:rPr>
      </w:pPr>
      <w:r>
        <w:rPr>
          <w:rFonts w:hint="eastAsia" w:eastAsia="宋体" w:cs="宋体"/>
          <w:color w:val="auto"/>
          <w:kern w:val="0"/>
          <w:sz w:val="22"/>
          <w:highlight w:val="none"/>
        </w:rPr>
        <w:t>万兆LC接口模块（1310nm），10km，适用于SFP+接口，与核心交换机统一品牌。</w:t>
      </w:r>
    </w:p>
    <w:p>
      <w:pPr>
        <w:pStyle w:val="41"/>
        <w:ind w:left="218" w:leftChars="104" w:firstLine="220" w:firstLineChars="100"/>
        <w:jc w:val="left"/>
        <w:rPr>
          <w:rFonts w:eastAsia="宋体" w:cs="宋体"/>
          <w:color w:val="auto"/>
          <w:kern w:val="0"/>
          <w:sz w:val="22"/>
          <w:highlight w:val="none"/>
        </w:rPr>
      </w:pPr>
    </w:p>
    <w:p>
      <w:pPr>
        <w:pStyle w:val="41"/>
        <w:numPr>
          <w:ilvl w:val="0"/>
          <w:numId w:val="7"/>
        </w:numPr>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万兆供电设备</w:t>
      </w:r>
    </w:p>
    <w:p>
      <w:pPr>
        <w:pStyle w:val="41"/>
        <w:numPr>
          <w:ilvl w:val="0"/>
          <w:numId w:val="8"/>
        </w:numPr>
        <w:ind w:firstLine="220" w:firstLineChars="100"/>
        <w:rPr>
          <w:rStyle w:val="46"/>
          <w:rFonts w:hint="default"/>
          <w:color w:val="auto"/>
          <w:highlight w:val="none"/>
        </w:rPr>
      </w:pPr>
      <w:r>
        <w:rPr>
          <w:rStyle w:val="47"/>
          <w:rFonts w:hint="default"/>
          <w:color w:val="auto"/>
          <w:highlight w:val="none"/>
        </w:rPr>
        <w:t>交换容量≥432Gbps ，转发性能≥222Mpps ；</w:t>
      </w:r>
      <w:r>
        <w:rPr>
          <w:rStyle w:val="47"/>
          <w:rFonts w:hint="default"/>
          <w:color w:val="auto"/>
          <w:highlight w:val="none"/>
        </w:rPr>
        <w:br w:type="textWrapping"/>
      </w:r>
      <w:r>
        <w:rPr>
          <w:rStyle w:val="47"/>
          <w:rFonts w:hint="default"/>
          <w:color w:val="auto"/>
          <w:highlight w:val="none"/>
        </w:rPr>
        <w:t>★（2）整机提供千兆光口≥48个，支持48个AP光口连接，1G/10G SFP+上联光口≥4个，并且支持对48个ap提供供电服务；（如单台设备无法满足，可额外提供一台48口POE交换机设备对AP进行集中供电，采用此方案所产生额外的综合布线成本由供应商自行承担。）</w:t>
      </w:r>
      <w:r>
        <w:rPr>
          <w:rStyle w:val="47"/>
          <w:rFonts w:hint="default"/>
          <w:color w:val="auto"/>
          <w:highlight w:val="none"/>
        </w:rPr>
        <w:br w:type="textWrapping"/>
      </w:r>
      <w:r>
        <w:rPr>
          <w:rStyle w:val="47"/>
          <w:rFonts w:hint="default"/>
          <w:color w:val="auto"/>
          <w:highlight w:val="none"/>
        </w:rPr>
        <w:t>（3）</w:t>
      </w:r>
      <w:r>
        <w:rPr>
          <w:rStyle w:val="46"/>
          <w:rFonts w:hint="default"/>
          <w:color w:val="auto"/>
          <w:highlight w:val="none"/>
        </w:rPr>
        <w:t>可拔插式供电模块设计，支持供电模块1+1冗余备份，提供官网截图佐证；</w:t>
      </w:r>
      <w:r>
        <w:rPr>
          <w:rStyle w:val="47"/>
          <w:rFonts w:hint="default"/>
          <w:color w:val="auto"/>
          <w:highlight w:val="none"/>
        </w:rPr>
        <w:br w:type="textWrapping"/>
      </w:r>
      <w:r>
        <w:rPr>
          <w:rStyle w:val="47"/>
          <w:rFonts w:hint="default"/>
          <w:color w:val="auto"/>
          <w:highlight w:val="none"/>
        </w:rPr>
        <w:t>（4）支持≥1个标准USB2.0接口；</w:t>
      </w:r>
      <w:r>
        <w:rPr>
          <w:rStyle w:val="47"/>
          <w:rFonts w:hint="default"/>
          <w:color w:val="auto"/>
          <w:highlight w:val="none"/>
        </w:rPr>
        <w:br w:type="textWrapping"/>
      </w:r>
      <w:r>
        <w:rPr>
          <w:rStyle w:val="47"/>
          <w:rFonts w:hint="default"/>
          <w:color w:val="auto"/>
          <w:highlight w:val="none"/>
        </w:rPr>
        <w:t>（5）</w:t>
      </w:r>
      <w:r>
        <w:rPr>
          <w:rStyle w:val="46"/>
          <w:rFonts w:hint="default"/>
          <w:color w:val="auto"/>
          <w:highlight w:val="none"/>
        </w:rPr>
        <w:t>支持CPU保护功能，能限制非法报文对CPU的攻击，保护交换机在各种环境下稳定工作，提供官网截图佐证；</w:t>
      </w:r>
      <w:r>
        <w:rPr>
          <w:rStyle w:val="47"/>
          <w:rFonts w:hint="default"/>
          <w:color w:val="auto"/>
          <w:highlight w:val="none"/>
        </w:rPr>
        <w:br w:type="textWrapping"/>
      </w:r>
      <w:r>
        <w:rPr>
          <w:rStyle w:val="47"/>
          <w:rFonts w:hint="default"/>
          <w:color w:val="auto"/>
          <w:highlight w:val="none"/>
        </w:rPr>
        <w:t>（6）</w:t>
      </w:r>
      <w:r>
        <w:rPr>
          <w:rStyle w:val="46"/>
          <w:rFonts w:hint="default"/>
          <w:color w:val="auto"/>
          <w:highlight w:val="none"/>
        </w:rPr>
        <w:t>支持专门基础网络保护机制，能够限制用户向网络中发送数据包的速率，对有攻击行为的用户进行隔离，保证设备和整网的安全稳定运行，提供官网截图佐证。</w:t>
      </w:r>
    </w:p>
    <w:p>
      <w:pPr>
        <w:pStyle w:val="41"/>
        <w:ind w:firstLine="0" w:firstLineChars="0"/>
        <w:rPr>
          <w:rStyle w:val="46"/>
          <w:rFonts w:hint="default"/>
          <w:color w:val="auto"/>
          <w:highlight w:val="none"/>
        </w:rPr>
      </w:pPr>
    </w:p>
    <w:p>
      <w:pPr>
        <w:pStyle w:val="41"/>
        <w:numPr>
          <w:ilvl w:val="0"/>
          <w:numId w:val="7"/>
        </w:numPr>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入室光AP</w:t>
      </w:r>
    </w:p>
    <w:p>
      <w:pPr>
        <w:pStyle w:val="41"/>
        <w:numPr>
          <w:ilvl w:val="0"/>
          <w:numId w:val="9"/>
        </w:numPr>
        <w:ind w:firstLine="440"/>
        <w:rPr>
          <w:rStyle w:val="47"/>
          <w:rFonts w:hint="default"/>
          <w:color w:val="auto"/>
          <w:highlight w:val="none"/>
        </w:rPr>
      </w:pPr>
      <w:r>
        <w:rPr>
          <w:rStyle w:val="47"/>
          <w:rFonts w:hint="default"/>
          <w:color w:val="auto"/>
          <w:highlight w:val="none"/>
        </w:rPr>
        <w:t>支持标准的802.11ax协议,可同时工作在802.11ax和802.11a/b/g/n/ac模式，采用双路双频设计；</w:t>
      </w:r>
      <w:r>
        <w:rPr>
          <w:rStyle w:val="47"/>
          <w:rFonts w:hint="default"/>
          <w:color w:val="auto"/>
          <w:highlight w:val="none"/>
        </w:rPr>
        <w:br w:type="textWrapping"/>
      </w:r>
      <w:r>
        <w:rPr>
          <w:rStyle w:val="47"/>
          <w:rFonts w:hint="default"/>
          <w:color w:val="auto"/>
          <w:highlight w:val="none"/>
        </w:rPr>
        <w:t>★（2）支持≥4条空间流,整机最大接入速率≥1.775Gbps；</w:t>
      </w:r>
      <w:r>
        <w:rPr>
          <w:rStyle w:val="47"/>
          <w:rFonts w:hint="default"/>
          <w:color w:val="auto"/>
          <w:highlight w:val="none"/>
        </w:rPr>
        <w:br w:type="textWrapping"/>
      </w:r>
      <w:r>
        <w:rPr>
          <w:rStyle w:val="47"/>
          <w:rFonts w:hint="default"/>
          <w:color w:val="auto"/>
          <w:highlight w:val="none"/>
        </w:rPr>
        <w:t xml:space="preserve">  （3）5GHz单射频支持2*2 MIMO， 2.4GHz单射频支持2*2 MIMO； </w:t>
      </w:r>
      <w:r>
        <w:rPr>
          <w:rStyle w:val="47"/>
          <w:rFonts w:hint="default"/>
          <w:color w:val="auto"/>
          <w:highlight w:val="none"/>
        </w:rPr>
        <w:br w:type="textWrapping"/>
      </w:r>
      <w:r>
        <w:rPr>
          <w:rStyle w:val="47"/>
          <w:rFonts w:hint="default"/>
          <w:color w:val="auto"/>
          <w:highlight w:val="none"/>
        </w:rPr>
        <w:t>★（4）≥1个千兆光口，≥1个千兆以太网口，提供官网截图和链接佐证；</w:t>
      </w:r>
      <w:r>
        <w:rPr>
          <w:rStyle w:val="47"/>
          <w:rFonts w:hint="default"/>
          <w:color w:val="auto"/>
          <w:highlight w:val="none"/>
        </w:rPr>
        <w:br w:type="textWrapping"/>
      </w:r>
      <w:r>
        <w:rPr>
          <w:rStyle w:val="47"/>
          <w:rFonts w:hint="default"/>
          <w:color w:val="auto"/>
          <w:highlight w:val="none"/>
        </w:rPr>
        <w:t>（5）支持蓝牙5.1，支持苹果ibeacon协议，可扩展摇一摇等丰富的蓝牙应用，可通过软件升级支持Zigbee、RFID等物联网协议；</w:t>
      </w:r>
      <w:r>
        <w:rPr>
          <w:rStyle w:val="47"/>
          <w:rFonts w:hint="default"/>
          <w:color w:val="auto"/>
          <w:highlight w:val="none"/>
        </w:rPr>
        <w:br w:type="textWrapping"/>
      </w:r>
      <w:r>
        <w:rPr>
          <w:rStyle w:val="47"/>
          <w:rFonts w:hint="default"/>
          <w:color w:val="auto"/>
          <w:highlight w:val="none"/>
        </w:rPr>
        <w:t>（6）无线网优工具使用广泛， 应用成熟。网优系统接入 AP 数超过 100 万台。提供无线优化工具运营截图；</w:t>
      </w:r>
      <w:r>
        <w:rPr>
          <w:rStyle w:val="47"/>
          <w:rFonts w:hint="default"/>
          <w:color w:val="auto"/>
          <w:highlight w:val="none"/>
        </w:rPr>
        <w:br w:type="textWrapping"/>
      </w:r>
      <w:r>
        <w:rPr>
          <w:rStyle w:val="47"/>
          <w:rFonts w:hint="default"/>
          <w:color w:val="auto"/>
          <w:highlight w:val="none"/>
        </w:rPr>
        <w:t>（7）为保证无线网络运行稳定，需要提供网优工具分析网络运行情况，网优工具支持设备健康状态、网络覆盖情况、网络关联成功、上网体验情况、网络活跃度、网络饱和度查询功能；</w:t>
      </w:r>
      <w:r>
        <w:rPr>
          <w:rStyle w:val="47"/>
          <w:rFonts w:hint="default"/>
          <w:color w:val="auto"/>
          <w:highlight w:val="none"/>
        </w:rPr>
        <w:br w:type="textWrapping"/>
      </w:r>
      <w:r>
        <w:rPr>
          <w:rStyle w:val="47"/>
          <w:rFonts w:hint="default"/>
          <w:color w:val="auto"/>
          <w:highlight w:val="none"/>
        </w:rPr>
        <w:t xml:space="preserve">（8）为确保Wi-Fi检测工具的成熟度，APP装机量大于30万，日活跃大于3000,提供第三方监控平台的截图佐证； </w:t>
      </w:r>
      <w:r>
        <w:rPr>
          <w:rStyle w:val="47"/>
          <w:rFonts w:hint="default"/>
          <w:color w:val="auto"/>
          <w:highlight w:val="none"/>
        </w:rPr>
        <w:br w:type="textWrapping"/>
      </w:r>
      <w:r>
        <w:rPr>
          <w:rStyle w:val="47"/>
          <w:rFonts w:hint="default"/>
          <w:color w:val="auto"/>
          <w:highlight w:val="none"/>
        </w:rPr>
        <w:t>（9）Wi-Fi检测工具部署记录功能，为方便管理与维护，实施阶段设备位置要与AP设备的SN\MAC绑定，支持创建项目名称，AP设备的SN\MAC进行扫描录入，支持多人协作扫描，支持导出设备清单和AC上的设备命名配置,提供功能截图。</w:t>
      </w:r>
    </w:p>
    <w:p>
      <w:pPr>
        <w:pStyle w:val="41"/>
        <w:ind w:firstLine="0" w:firstLineChars="0"/>
        <w:rPr>
          <w:rStyle w:val="47"/>
          <w:rFonts w:hint="default"/>
          <w:color w:val="auto"/>
          <w:highlight w:val="none"/>
        </w:rPr>
      </w:pPr>
    </w:p>
    <w:p>
      <w:pPr>
        <w:pStyle w:val="41"/>
        <w:numPr>
          <w:ilvl w:val="0"/>
          <w:numId w:val="7"/>
        </w:numPr>
        <w:ind w:firstLine="442"/>
        <w:rPr>
          <w:rFonts w:eastAsia="宋体" w:cs="宋体"/>
          <w:b/>
          <w:bCs/>
          <w:color w:val="auto"/>
          <w:kern w:val="0"/>
          <w:sz w:val="22"/>
          <w:highlight w:val="none"/>
        </w:rPr>
      </w:pPr>
      <w:r>
        <w:rPr>
          <w:rFonts w:hint="eastAsia" w:eastAsia="宋体" w:cs="宋体"/>
          <w:b/>
          <w:bCs/>
          <w:color w:val="auto"/>
          <w:kern w:val="0"/>
          <w:sz w:val="22"/>
          <w:highlight w:val="none"/>
        </w:rPr>
        <w:t>无线控制器</w:t>
      </w:r>
    </w:p>
    <w:p>
      <w:pPr>
        <w:pStyle w:val="41"/>
        <w:numPr>
          <w:ilvl w:val="0"/>
          <w:numId w:val="10"/>
        </w:numPr>
        <w:ind w:firstLine="440"/>
        <w:rPr>
          <w:rStyle w:val="47"/>
          <w:rFonts w:hint="default"/>
          <w:color w:val="auto"/>
          <w:highlight w:val="none"/>
        </w:rPr>
      </w:pPr>
      <w:r>
        <w:rPr>
          <w:rStyle w:val="47"/>
          <w:rFonts w:hint="default"/>
          <w:color w:val="auto"/>
          <w:highlight w:val="none"/>
        </w:rPr>
        <w:t>默认可管理AP数≥128个，最大可支持管理3200个AP ，提供官网查询链接及截图作为佐证；</w:t>
      </w:r>
      <w:r>
        <w:rPr>
          <w:rStyle w:val="47"/>
          <w:rFonts w:hint="default"/>
          <w:color w:val="auto"/>
          <w:highlight w:val="none"/>
        </w:rPr>
        <w:br w:type="textWrapping"/>
      </w:r>
      <w:r>
        <w:rPr>
          <w:rStyle w:val="47"/>
          <w:rFonts w:hint="default"/>
          <w:color w:val="auto"/>
          <w:highlight w:val="none"/>
        </w:rPr>
        <w:t xml:space="preserve">  ★（2）802.11转发性能≥40G ，提供官网查询链接及截图作为佐证；</w:t>
      </w:r>
      <w:r>
        <w:rPr>
          <w:rStyle w:val="47"/>
          <w:rFonts w:hint="default"/>
          <w:color w:val="auto"/>
          <w:highlight w:val="none"/>
        </w:rPr>
        <w:br w:type="textWrapping"/>
      </w:r>
      <w:r>
        <w:rPr>
          <w:rStyle w:val="47"/>
          <w:rFonts w:hint="default"/>
          <w:color w:val="auto"/>
          <w:highlight w:val="none"/>
        </w:rPr>
        <w:t xml:space="preserve">    （3）固化千兆电口数≥8，固化千兆光口数≥8个，10G万兆接口数≥4个，通过扩展，整机最大支持千兆电口数≥16，通过扩展，整机最大支持万兆光口数≥8；</w:t>
      </w:r>
      <w:r>
        <w:rPr>
          <w:rStyle w:val="47"/>
          <w:rFonts w:hint="default"/>
          <w:color w:val="auto"/>
          <w:highlight w:val="none"/>
        </w:rPr>
        <w:br w:type="textWrapping"/>
      </w:r>
      <w:r>
        <w:rPr>
          <w:rStyle w:val="47"/>
          <w:rFonts w:hint="default"/>
          <w:color w:val="auto"/>
          <w:highlight w:val="none"/>
        </w:rPr>
        <w:t xml:space="preserve">    （4）为保证设备使用安全，接触电流、保护导体电流、抗电强度均应符合GB 4943.1-2011安全标准；</w:t>
      </w:r>
      <w:r>
        <w:rPr>
          <w:rStyle w:val="47"/>
          <w:rFonts w:hint="default"/>
          <w:color w:val="auto"/>
          <w:highlight w:val="none"/>
        </w:rPr>
        <w:br w:type="textWrapping"/>
      </w:r>
      <w:r>
        <w:rPr>
          <w:rStyle w:val="47"/>
          <w:rFonts w:hint="default"/>
          <w:color w:val="auto"/>
          <w:highlight w:val="none"/>
        </w:rPr>
        <w:t xml:space="preserve">    （5）为保障无线网络的可靠性，单台设备最大可配置AP数目≥16000个，实现AP动态冗余，保留测试权利并能够提供官网截图；</w:t>
      </w:r>
      <w:r>
        <w:rPr>
          <w:rStyle w:val="47"/>
          <w:rFonts w:hint="default"/>
          <w:color w:val="auto"/>
          <w:highlight w:val="none"/>
        </w:rPr>
        <w:br w:type="textWrapping"/>
      </w:r>
      <w:r>
        <w:rPr>
          <w:rStyle w:val="47"/>
          <w:rFonts w:hint="default"/>
          <w:color w:val="auto"/>
          <w:highlight w:val="none"/>
        </w:rPr>
        <w:t xml:space="preserve">    （6）单台设备最大功耗≤200W；</w:t>
      </w:r>
      <w:r>
        <w:rPr>
          <w:rStyle w:val="47"/>
          <w:rFonts w:hint="default"/>
          <w:color w:val="auto"/>
          <w:highlight w:val="none"/>
        </w:rPr>
        <w:br w:type="textWrapping"/>
      </w:r>
      <w:r>
        <w:rPr>
          <w:rStyle w:val="47"/>
          <w:rFonts w:hint="default"/>
          <w:color w:val="auto"/>
          <w:highlight w:val="none"/>
        </w:rPr>
        <w:t xml:space="preserve">    （7）要求设备可配置AP的本地数据转发技术模式，即可根据网络的SSID和用户VLAN的规划，决定数据是否需要全部经过无线AC转发或直接进入有线网络进行本地交换，从而更好的适应未来无线网络更高流量传输的要求；</w:t>
      </w:r>
      <w:r>
        <w:rPr>
          <w:rStyle w:val="47"/>
          <w:rFonts w:hint="default"/>
          <w:color w:val="auto"/>
          <w:highlight w:val="none"/>
        </w:rPr>
        <w:br w:type="textWrapping"/>
      </w:r>
      <w:r>
        <w:rPr>
          <w:rStyle w:val="47"/>
          <w:rFonts w:hint="default"/>
          <w:color w:val="auto"/>
          <w:highlight w:val="none"/>
        </w:rPr>
        <w:t xml:space="preserve">    （8）AC设备多账户分权管理功能，实现一台物理AC设备或多台物理AC设备虚拟成一台AC设备后，均能受多账户管理，各账户分别管理不同的无线信息,提供第三方检测机构出具的检测报告（报告中需体现该功能）；</w:t>
      </w:r>
      <w:r>
        <w:rPr>
          <w:rStyle w:val="47"/>
          <w:rFonts w:hint="default"/>
          <w:color w:val="auto"/>
          <w:highlight w:val="none"/>
        </w:rPr>
        <w:br w:type="textWrapping"/>
      </w:r>
      <w:r>
        <w:rPr>
          <w:rStyle w:val="47"/>
          <w:rFonts w:hint="default"/>
          <w:color w:val="auto"/>
          <w:highlight w:val="none"/>
        </w:rPr>
        <w:t xml:space="preserve">    （9）为快速建立高度隔离的安全网络，设备应支持实现AP虚拟化功能，实现一台AP虚拟为多台AP，分别受不同AC设备独立管理，互不影响。不同虚拟 AP之间数据隔离，虚拟AP在AC上不占用AP License；</w:t>
      </w:r>
      <w:r>
        <w:rPr>
          <w:rStyle w:val="47"/>
          <w:rFonts w:hint="default"/>
          <w:color w:val="auto"/>
          <w:highlight w:val="none"/>
        </w:rPr>
        <w:br w:type="textWrapping"/>
      </w:r>
      <w:r>
        <w:rPr>
          <w:rStyle w:val="47"/>
          <w:rFonts w:hint="default"/>
          <w:color w:val="auto"/>
          <w:highlight w:val="none"/>
        </w:rPr>
        <w:t xml:space="preserve">    （10）为提高网络安全，应支持实现基于用户的PSK认证，实现用户之间不能共享WiFi密钥；</w:t>
      </w:r>
      <w:r>
        <w:rPr>
          <w:rStyle w:val="47"/>
          <w:rFonts w:hint="default"/>
          <w:color w:val="auto"/>
          <w:highlight w:val="none"/>
        </w:rPr>
        <w:br w:type="textWrapping"/>
      </w:r>
      <w:r>
        <w:rPr>
          <w:rStyle w:val="47"/>
          <w:rFonts w:hint="default"/>
          <w:color w:val="auto"/>
          <w:highlight w:val="none"/>
        </w:rPr>
        <w:t xml:space="preserve">    （11）为方便网络管理，AC设备支持通过云端管理，实现远程配置，远程升级，远程监控无线网络的运行情况；</w:t>
      </w:r>
      <w:r>
        <w:rPr>
          <w:rStyle w:val="47"/>
          <w:rFonts w:hint="default"/>
          <w:color w:val="auto"/>
          <w:highlight w:val="none"/>
        </w:rPr>
        <w:br w:type="textWrapping"/>
      </w:r>
      <w:r>
        <w:rPr>
          <w:rStyle w:val="47"/>
          <w:rFonts w:hint="default"/>
          <w:color w:val="auto"/>
          <w:highlight w:val="none"/>
        </w:rPr>
        <w:t xml:space="preserve">    （12）为便于投影设备的管理，提升工作效率，设备应支持同AC下airplay投影服务器三层发现功能并投影；支持同WLAN二层隔离下的airplay投影功能，在WLAN开启二层隔离的情况下，airplay依然可以发现投影服务并正常投影；</w:t>
      </w:r>
      <w:r>
        <w:rPr>
          <w:rStyle w:val="47"/>
          <w:rFonts w:hint="default"/>
          <w:color w:val="auto"/>
          <w:highlight w:val="none"/>
        </w:rPr>
        <w:br w:type="textWrapping"/>
      </w:r>
      <w:r>
        <w:rPr>
          <w:rStyle w:val="47"/>
          <w:rFonts w:hint="default"/>
          <w:color w:val="auto"/>
          <w:highlight w:val="none"/>
        </w:rPr>
        <w:t xml:space="preserve">    （13）支持对钓鱼 AP 的无损检测与反制，在对钓鱼AP进行检测与反制时，不影响AP性能,提供第三方检测机构出具的检测报告（报告中需体现该功能）；</w:t>
      </w:r>
      <w:r>
        <w:rPr>
          <w:rStyle w:val="47"/>
          <w:rFonts w:hint="default"/>
          <w:color w:val="auto"/>
          <w:highlight w:val="none"/>
        </w:rPr>
        <w:br w:type="textWrapping"/>
      </w:r>
      <w:r>
        <w:rPr>
          <w:rStyle w:val="47"/>
          <w:rFonts w:hint="default"/>
          <w:color w:val="auto"/>
          <w:highlight w:val="none"/>
        </w:rPr>
        <w:t xml:space="preserve">    （14）支持无线dos攻击检测，可以检测攻击源所在的位置、 攻击类型、 攻击次数、攻击源厂商、攻击时间等,提供第三方检测机构出具的检测报告（报告中需体现该功能）；</w:t>
      </w:r>
      <w:r>
        <w:rPr>
          <w:rStyle w:val="47"/>
          <w:rFonts w:hint="default"/>
          <w:color w:val="auto"/>
          <w:highlight w:val="none"/>
        </w:rPr>
        <w:br w:type="textWrapping"/>
      </w:r>
      <w:r>
        <w:rPr>
          <w:rStyle w:val="47"/>
          <w:rFonts w:hint="default"/>
          <w:color w:val="auto"/>
          <w:highlight w:val="none"/>
        </w:rPr>
        <w:t xml:space="preserve">    （15）支持对私设WIFI定位进行检测定位，通过有线端口私接AP的行为可以检测到并定位至端口号，提供第三方检测机构出具的检测报告（报告中需体现该功能）；</w:t>
      </w:r>
      <w:r>
        <w:rPr>
          <w:rStyle w:val="47"/>
          <w:rFonts w:hint="default"/>
          <w:color w:val="auto"/>
          <w:highlight w:val="none"/>
        </w:rPr>
        <w:br w:type="textWrapping"/>
      </w:r>
      <w:r>
        <w:rPr>
          <w:rStyle w:val="47"/>
          <w:rFonts w:hint="default"/>
          <w:color w:val="auto"/>
          <w:highlight w:val="none"/>
        </w:rPr>
        <w:t xml:space="preserve">    （16）支持对软AP（随身WiFi）等设备私设信号进行检测，并定位到责任人；</w:t>
      </w:r>
      <w:r>
        <w:rPr>
          <w:rStyle w:val="47"/>
          <w:rFonts w:hint="default"/>
          <w:color w:val="auto"/>
          <w:highlight w:val="none"/>
        </w:rPr>
        <w:br w:type="textWrapping"/>
      </w:r>
      <w:r>
        <w:rPr>
          <w:rStyle w:val="47"/>
          <w:rFonts w:hint="default"/>
          <w:color w:val="auto"/>
          <w:highlight w:val="none"/>
        </w:rPr>
        <w:t xml:space="preserve">  ★（17）本次实配2100个ap的管理授权。</w:t>
      </w:r>
    </w:p>
    <w:p>
      <w:pPr>
        <w:pStyle w:val="41"/>
        <w:ind w:firstLine="0" w:firstLineChars="0"/>
        <w:rPr>
          <w:rStyle w:val="47"/>
          <w:rFonts w:hint="default"/>
          <w:color w:val="auto"/>
          <w:highlight w:val="none"/>
        </w:rPr>
      </w:pPr>
    </w:p>
    <w:p>
      <w:pPr>
        <w:pStyle w:val="41"/>
        <w:numPr>
          <w:ilvl w:val="0"/>
          <w:numId w:val="7"/>
        </w:numPr>
        <w:ind w:firstLine="442"/>
        <w:rPr>
          <w:rFonts w:eastAsia="宋体" w:cs="宋体"/>
          <w:b/>
          <w:bCs/>
          <w:color w:val="auto"/>
          <w:kern w:val="0"/>
          <w:sz w:val="22"/>
          <w:highlight w:val="none"/>
        </w:rPr>
      </w:pPr>
      <w:r>
        <w:rPr>
          <w:rFonts w:hint="eastAsia" w:eastAsia="宋体" w:cs="宋体"/>
          <w:b/>
          <w:bCs/>
          <w:color w:val="auto"/>
          <w:kern w:val="0"/>
          <w:sz w:val="22"/>
          <w:highlight w:val="none"/>
        </w:rPr>
        <w:t>千兆单模光模块</w:t>
      </w:r>
    </w:p>
    <w:p>
      <w:pPr>
        <w:pStyle w:val="41"/>
        <w:ind w:left="420" w:leftChars="200" w:firstLine="0" w:firstLineChars="0"/>
        <w:rPr>
          <w:rFonts w:eastAsia="宋体" w:cs="宋体"/>
          <w:color w:val="auto"/>
          <w:kern w:val="0"/>
          <w:sz w:val="22"/>
          <w:highlight w:val="none"/>
        </w:rPr>
      </w:pPr>
      <w:r>
        <w:rPr>
          <w:rFonts w:hint="eastAsia" w:eastAsia="宋体" w:cs="宋体"/>
          <w:color w:val="auto"/>
          <w:kern w:val="0"/>
          <w:sz w:val="22"/>
          <w:highlight w:val="none"/>
        </w:rPr>
        <w:t>1000BASE-LX mini GBIC转换模块（1310nm），10km，与核心交换机统一品牌。</w:t>
      </w:r>
    </w:p>
    <w:p>
      <w:pPr>
        <w:pStyle w:val="41"/>
        <w:ind w:left="420" w:leftChars="200" w:firstLine="0" w:firstLineChars="0"/>
        <w:rPr>
          <w:rFonts w:eastAsia="宋体" w:cs="宋体"/>
          <w:color w:val="auto"/>
          <w:kern w:val="0"/>
          <w:sz w:val="22"/>
          <w:highlight w:val="none"/>
        </w:rPr>
      </w:pPr>
    </w:p>
    <w:p>
      <w:pPr>
        <w:pStyle w:val="41"/>
        <w:numPr>
          <w:ilvl w:val="0"/>
          <w:numId w:val="7"/>
        </w:numPr>
        <w:ind w:firstLine="442"/>
        <w:rPr>
          <w:rFonts w:eastAsia="宋体" w:cs="宋体"/>
          <w:b/>
          <w:bCs/>
          <w:color w:val="auto"/>
          <w:kern w:val="0"/>
          <w:sz w:val="22"/>
          <w:highlight w:val="none"/>
        </w:rPr>
      </w:pPr>
      <w:r>
        <w:rPr>
          <w:rFonts w:hint="eastAsia" w:eastAsia="宋体" w:cs="宋体"/>
          <w:b/>
          <w:bCs/>
          <w:color w:val="auto"/>
          <w:kern w:val="0"/>
          <w:sz w:val="22"/>
          <w:highlight w:val="none"/>
        </w:rPr>
        <w:t>SDN控制器</w:t>
      </w:r>
    </w:p>
    <w:p>
      <w:pPr>
        <w:pStyle w:val="41"/>
        <w:ind w:firstLine="440"/>
        <w:rPr>
          <w:rStyle w:val="47"/>
          <w:rFonts w:hint="default"/>
          <w:color w:val="auto"/>
          <w:highlight w:val="none"/>
        </w:rPr>
      </w:pPr>
      <w:r>
        <w:rPr>
          <w:rStyle w:val="47"/>
          <w:rFonts w:hint="default"/>
          <w:color w:val="auto"/>
          <w:highlight w:val="none"/>
        </w:rPr>
        <w:t>（1）设备2U以上高度，支持冗余电源，支持独立可插拔硬盘。需提供产品清晰正、背面实物照片各1张以展示各插槽分布；</w:t>
      </w:r>
      <w:r>
        <w:rPr>
          <w:rStyle w:val="47"/>
          <w:rFonts w:hint="default"/>
          <w:color w:val="auto"/>
          <w:highlight w:val="none"/>
        </w:rPr>
        <w:br w:type="textWrapping"/>
      </w:r>
      <w:r>
        <w:rPr>
          <w:rStyle w:val="47"/>
          <w:rFonts w:hint="default"/>
          <w:color w:val="auto"/>
          <w:highlight w:val="none"/>
        </w:rPr>
        <w:t xml:space="preserve">    （2）支持模块化双电源备份，支持电源热插拔；</w:t>
      </w:r>
    </w:p>
    <w:p>
      <w:pPr>
        <w:pStyle w:val="41"/>
        <w:ind w:left="438" w:leftChars="104" w:hanging="220" w:hangingChars="100"/>
        <w:rPr>
          <w:rStyle w:val="47"/>
          <w:rFonts w:hint="default"/>
          <w:color w:val="auto"/>
          <w:highlight w:val="none"/>
        </w:rPr>
      </w:pPr>
      <w:r>
        <w:rPr>
          <w:rStyle w:val="47"/>
          <w:rFonts w:hint="default"/>
          <w:color w:val="auto"/>
          <w:highlight w:val="none"/>
        </w:rPr>
        <w:t>★（3）8核及以上处理器，64GB及以上DDR4内存，提供佐证材料；</w:t>
      </w:r>
    </w:p>
    <w:p>
      <w:pPr>
        <w:pStyle w:val="41"/>
        <w:ind w:left="438" w:leftChars="104" w:hanging="220" w:hangingChars="100"/>
        <w:rPr>
          <w:rStyle w:val="47"/>
          <w:rFonts w:hint="default"/>
          <w:color w:val="auto"/>
          <w:highlight w:val="none"/>
        </w:rPr>
      </w:pPr>
      <w:r>
        <w:rPr>
          <w:rStyle w:val="47"/>
          <w:rFonts w:hint="default"/>
          <w:color w:val="auto"/>
          <w:highlight w:val="none"/>
        </w:rPr>
        <w:t>★（4）每个计算节点需提供1个IPMI口，1个VGA口，至少实配2个10/100/1000M 以太网电接口，至少实配2个万兆以太网光接口。需提供产品清晰正、背面实物照片各1张以展示各插槽分布；</w:t>
      </w:r>
    </w:p>
    <w:p>
      <w:pPr>
        <w:pStyle w:val="41"/>
        <w:numPr>
          <w:ilvl w:val="0"/>
          <w:numId w:val="11"/>
        </w:numPr>
        <w:ind w:left="437" w:leftChars="208" w:firstLine="220" w:firstLineChars="100"/>
        <w:rPr>
          <w:rStyle w:val="47"/>
          <w:rFonts w:hint="default"/>
          <w:color w:val="auto"/>
          <w:highlight w:val="none"/>
        </w:rPr>
      </w:pPr>
      <w:r>
        <w:rPr>
          <w:rStyle w:val="47"/>
          <w:rFonts w:hint="default"/>
          <w:color w:val="auto"/>
          <w:highlight w:val="none"/>
        </w:rPr>
        <w:t>要求控制器采用OSGi开放式架构，可以通过开发APP的方式灵活扩展新的功能；</w:t>
      </w:r>
      <w:r>
        <w:rPr>
          <w:rStyle w:val="47"/>
          <w:rFonts w:hint="default"/>
          <w:color w:val="auto"/>
          <w:highlight w:val="none"/>
        </w:rPr>
        <w:br w:type="textWrapping"/>
      </w:r>
      <w:r>
        <w:rPr>
          <w:rStyle w:val="47"/>
          <w:rFonts w:hint="default"/>
          <w:color w:val="auto"/>
          <w:highlight w:val="none"/>
        </w:rPr>
        <w:t xml:space="preserve">  （6）支持V1.0、V1.3；</w:t>
      </w:r>
      <w:r>
        <w:rPr>
          <w:rStyle w:val="47"/>
          <w:rFonts w:hint="default"/>
          <w:color w:val="auto"/>
          <w:highlight w:val="none"/>
        </w:rPr>
        <w:br w:type="textWrapping"/>
      </w:r>
      <w:r>
        <w:rPr>
          <w:rStyle w:val="47"/>
          <w:rFonts w:hint="default"/>
          <w:color w:val="auto"/>
          <w:highlight w:val="none"/>
        </w:rPr>
        <w:t xml:space="preserve">  （7）支持Group；</w:t>
      </w:r>
      <w:r>
        <w:rPr>
          <w:rStyle w:val="47"/>
          <w:rFonts w:hint="default"/>
          <w:color w:val="auto"/>
          <w:highlight w:val="none"/>
        </w:rPr>
        <w:br w:type="textWrapping"/>
      </w:r>
      <w:r>
        <w:rPr>
          <w:rStyle w:val="47"/>
          <w:rFonts w:hint="default"/>
          <w:color w:val="auto"/>
          <w:highlight w:val="none"/>
        </w:rPr>
        <w:t xml:space="preserve">  （8）支持多表；</w:t>
      </w:r>
      <w:r>
        <w:rPr>
          <w:rStyle w:val="47"/>
          <w:rFonts w:hint="default"/>
          <w:color w:val="auto"/>
          <w:highlight w:val="none"/>
        </w:rPr>
        <w:br w:type="textWrapping"/>
      </w:r>
      <w:r>
        <w:rPr>
          <w:rStyle w:val="47"/>
          <w:rFonts w:hint="default"/>
          <w:color w:val="auto"/>
          <w:highlight w:val="none"/>
        </w:rPr>
        <w:t xml:space="preserve">  （9）支持辅助连接；</w:t>
      </w:r>
      <w:r>
        <w:rPr>
          <w:rStyle w:val="47"/>
          <w:rFonts w:hint="default"/>
          <w:color w:val="auto"/>
          <w:highlight w:val="none"/>
        </w:rPr>
        <w:br w:type="textWrapping"/>
      </w:r>
      <w:r>
        <w:rPr>
          <w:rStyle w:val="47"/>
          <w:rFonts w:hint="default"/>
          <w:color w:val="auto"/>
          <w:highlight w:val="none"/>
        </w:rPr>
        <w:t xml:space="preserve">  （10）支持Restful API接口，反向Restful API，RESTful API Help提供在线接口说明，可进行关键字查询提供官网截图；</w:t>
      </w:r>
      <w:r>
        <w:rPr>
          <w:rStyle w:val="47"/>
          <w:rFonts w:hint="default"/>
          <w:color w:val="auto"/>
          <w:highlight w:val="none"/>
        </w:rPr>
        <w:br w:type="textWrapping"/>
      </w:r>
      <w:r>
        <w:rPr>
          <w:rStyle w:val="47"/>
          <w:rFonts w:hint="default"/>
          <w:color w:val="auto"/>
          <w:highlight w:val="none"/>
        </w:rPr>
        <w:t xml:space="preserve">  （11）支持1000个网元节点规模的网络，提供官网截图；</w:t>
      </w:r>
      <w:r>
        <w:rPr>
          <w:rStyle w:val="47"/>
          <w:rFonts w:hint="default"/>
          <w:color w:val="auto"/>
          <w:highlight w:val="none"/>
        </w:rPr>
        <w:br w:type="textWrapping"/>
      </w:r>
      <w:r>
        <w:rPr>
          <w:rStyle w:val="47"/>
          <w:rFonts w:hint="default"/>
          <w:color w:val="auto"/>
          <w:highlight w:val="none"/>
        </w:rPr>
        <w:t xml:space="preserve">  （12）支持Packet_In和Packet_Out每秒≥100K的处理速度；</w:t>
      </w:r>
      <w:r>
        <w:rPr>
          <w:rStyle w:val="47"/>
          <w:rFonts w:hint="default"/>
          <w:color w:val="auto"/>
          <w:highlight w:val="none"/>
        </w:rPr>
        <w:br w:type="textWrapping"/>
      </w:r>
      <w:r>
        <w:rPr>
          <w:rStyle w:val="47"/>
          <w:rFonts w:hint="default"/>
          <w:color w:val="auto"/>
          <w:highlight w:val="none"/>
        </w:rPr>
        <w:t xml:space="preserve">  （13）为确保控制器的稳定转发，支持控制器之间进行集群部署，且集群数量≥64台；</w:t>
      </w:r>
      <w:r>
        <w:rPr>
          <w:rStyle w:val="47"/>
          <w:rFonts w:hint="default"/>
          <w:color w:val="auto"/>
          <w:highlight w:val="none"/>
        </w:rPr>
        <w:br w:type="textWrapping"/>
      </w:r>
      <w:r>
        <w:rPr>
          <w:rStyle w:val="46"/>
          <w:rFonts w:hint="default"/>
          <w:color w:val="auto"/>
          <w:highlight w:val="none"/>
        </w:rPr>
        <w:t>（14）要求控制器及所配置SDN方案提供GUI界面，能够查看网络配置，同时能够进行编辑与配置下发；</w:t>
      </w:r>
      <w:r>
        <w:rPr>
          <w:rStyle w:val="47"/>
          <w:rFonts w:hint="default"/>
          <w:color w:val="auto"/>
          <w:highlight w:val="none"/>
        </w:rPr>
        <w:br w:type="textWrapping"/>
      </w:r>
      <w:r>
        <w:rPr>
          <w:rStyle w:val="47"/>
          <w:rFonts w:hint="default"/>
          <w:color w:val="auto"/>
          <w:highlight w:val="none"/>
        </w:rPr>
        <w:t>（15）支持Restful API标准北向接口，便于向第三方系统对接。</w:t>
      </w:r>
      <w:r>
        <w:rPr>
          <w:rStyle w:val="47"/>
          <w:rFonts w:hint="default"/>
          <w:color w:val="auto"/>
          <w:highlight w:val="none"/>
        </w:rPr>
        <w:br w:type="textWrapping"/>
      </w:r>
      <w:r>
        <w:rPr>
          <w:rStyle w:val="47"/>
          <w:rFonts w:hint="default"/>
          <w:color w:val="auto"/>
          <w:highlight w:val="none"/>
        </w:rPr>
        <w:t>（16）控制器为全网的控制核心，为保障兼容性，本次要求硬件和软件为一体机形式，拒绝软件+服务器的组合形式，提供SDN控制器软件著作权证书和SDN控制器硬件3C认证证书；</w:t>
      </w:r>
      <w:r>
        <w:rPr>
          <w:rStyle w:val="47"/>
          <w:rFonts w:hint="default"/>
          <w:color w:val="auto"/>
          <w:highlight w:val="none"/>
        </w:rPr>
        <w:br w:type="textWrapping"/>
      </w:r>
      <w:r>
        <w:rPr>
          <w:rStyle w:val="47"/>
          <w:rFonts w:hint="default"/>
          <w:color w:val="auto"/>
          <w:highlight w:val="none"/>
        </w:rPr>
        <w:t>（17）为保障安全控制器的可靠性，控制器要求集群部署。本次要求配置三套控制器软件集群，软件需要部署在不同的硬件节点上；</w:t>
      </w:r>
    </w:p>
    <w:p>
      <w:pPr>
        <w:pStyle w:val="41"/>
        <w:ind w:firstLine="220" w:firstLineChars="100"/>
        <w:rPr>
          <w:rStyle w:val="47"/>
          <w:rFonts w:hint="default"/>
          <w:color w:val="auto"/>
          <w:highlight w:val="none"/>
        </w:rPr>
      </w:pPr>
      <w:r>
        <w:rPr>
          <w:rStyle w:val="47"/>
          <w:rFonts w:hint="default"/>
          <w:color w:val="auto"/>
          <w:highlight w:val="none"/>
        </w:rPr>
        <w:t>★（18）实配设备管理授权2100。</w:t>
      </w:r>
    </w:p>
    <w:p>
      <w:pPr>
        <w:pStyle w:val="41"/>
        <w:ind w:firstLine="0" w:firstLineChars="0"/>
        <w:rPr>
          <w:rStyle w:val="47"/>
          <w:rFonts w:hint="default"/>
          <w:color w:val="auto"/>
          <w:highlight w:val="none"/>
        </w:rPr>
      </w:pPr>
    </w:p>
    <w:p>
      <w:pPr>
        <w:pStyle w:val="41"/>
        <w:numPr>
          <w:ilvl w:val="0"/>
          <w:numId w:val="7"/>
        </w:numPr>
        <w:ind w:firstLine="482"/>
        <w:rPr>
          <w:rFonts w:eastAsia="宋体" w:cs="宋体"/>
          <w:b/>
          <w:bCs/>
          <w:color w:val="auto"/>
          <w:kern w:val="0"/>
          <w:sz w:val="24"/>
          <w:szCs w:val="24"/>
          <w:highlight w:val="none"/>
        </w:rPr>
      </w:pPr>
      <w:r>
        <w:rPr>
          <w:rFonts w:hint="eastAsia" w:eastAsia="宋体" w:cs="宋体"/>
          <w:b/>
          <w:bCs/>
          <w:color w:val="auto"/>
          <w:kern w:val="0"/>
          <w:sz w:val="24"/>
          <w:szCs w:val="24"/>
          <w:highlight w:val="none"/>
        </w:rPr>
        <w:t>态势感知平台</w:t>
      </w:r>
    </w:p>
    <w:p>
      <w:pPr>
        <w:pStyle w:val="41"/>
        <w:ind w:firstLine="660" w:firstLineChars="300"/>
        <w:jc w:val="left"/>
        <w:rPr>
          <w:rStyle w:val="47"/>
          <w:rFonts w:hint="default"/>
          <w:color w:val="auto"/>
          <w:highlight w:val="none"/>
        </w:rPr>
      </w:pPr>
      <w:r>
        <w:rPr>
          <w:rStyle w:val="47"/>
          <w:rFonts w:hint="default"/>
          <w:color w:val="auto"/>
          <w:highlight w:val="none"/>
        </w:rPr>
        <w:t>（1）2U，≥2*CPU（10核），≥128G内存，≥256G SSD系统盘，≥4*8TB SATA硬盘，≥6个千兆电口，≥3个接口扩展槽位，含交流冗余电源模块；</w:t>
      </w:r>
      <w:r>
        <w:rPr>
          <w:rStyle w:val="47"/>
          <w:rFonts w:hint="default"/>
          <w:color w:val="auto"/>
          <w:highlight w:val="none"/>
        </w:rPr>
        <w:br w:type="textWrapping"/>
      </w:r>
      <w:r>
        <w:rPr>
          <w:rStyle w:val="47"/>
          <w:rFonts w:hint="default"/>
          <w:color w:val="auto"/>
          <w:highlight w:val="none"/>
        </w:rPr>
        <w:t xml:space="preserve">    （2）支持内置300+设备日志解析规则查看以及筛选，包括但不限于网络设备（防火墙、交换机、网关）、安全设备（入侵检测设备、WEB攻击防护设备、APT检测设备、防火墙、网络审计、流量探针等）、终端主机日志、数据库等；</w:t>
      </w:r>
      <w:r>
        <w:rPr>
          <w:rStyle w:val="47"/>
          <w:rFonts w:hint="default"/>
          <w:color w:val="auto"/>
          <w:highlight w:val="none"/>
        </w:rPr>
        <w:br w:type="textWrapping"/>
      </w:r>
      <w:r>
        <w:rPr>
          <w:rStyle w:val="47"/>
          <w:rFonts w:hint="default"/>
          <w:color w:val="auto"/>
          <w:highlight w:val="none"/>
        </w:rPr>
        <w:t xml:space="preserve">    （3）支持针对采集日志配置数据清洗规则以过滤无业务价值数据（提供功能截图），支持多源异构安全设备、网络设备、全流量设备、终端设备、APT威胁检测设备、漏洞扫描设备、网站安全检测、VPN设备等数据接入与威胁分析，输出可疑威胁事件；</w:t>
      </w:r>
      <w:r>
        <w:rPr>
          <w:rStyle w:val="47"/>
          <w:rFonts w:hint="default"/>
          <w:color w:val="auto"/>
          <w:highlight w:val="none"/>
        </w:rPr>
        <w:br w:type="textWrapping"/>
      </w:r>
      <w:r>
        <w:rPr>
          <w:rStyle w:val="47"/>
          <w:rFonts w:hint="default"/>
          <w:color w:val="auto"/>
          <w:highlight w:val="none"/>
        </w:rPr>
        <w:t xml:space="preserve">    （4）支持规则分析能力，应支持不少于300种内置分析识别规则并支持内置规则的升级，支持用户自定义规则，用户自定义规则可以支持导入导出；</w:t>
      </w:r>
      <w:r>
        <w:rPr>
          <w:rStyle w:val="47"/>
          <w:rFonts w:hint="default"/>
          <w:color w:val="auto"/>
          <w:highlight w:val="none"/>
        </w:rPr>
        <w:br w:type="textWrapping"/>
      </w:r>
      <w:r>
        <w:rPr>
          <w:rStyle w:val="47"/>
          <w:rFonts w:hint="default"/>
          <w:color w:val="auto"/>
          <w:highlight w:val="none"/>
        </w:rPr>
        <w:t xml:space="preserve">   ▲（5）支持远程控制控制风险行为的检测，如向日葵、TeamViewer、远程连接windows命令行、远程控制工具等；</w:t>
      </w:r>
      <w:r>
        <w:rPr>
          <w:rStyle w:val="47"/>
          <w:rFonts w:hint="default"/>
          <w:color w:val="auto"/>
          <w:highlight w:val="none"/>
        </w:rPr>
        <w:br w:type="textWrapping"/>
      </w:r>
      <w:r>
        <w:rPr>
          <w:rStyle w:val="47"/>
          <w:rFonts w:hint="default"/>
          <w:color w:val="auto"/>
          <w:highlight w:val="none"/>
        </w:rPr>
        <w:t xml:space="preserve">    （6）支持资产外联风险行为的检测，可检测存在外联行为的风险资产，可查看风险资产的IP、访问次数以及外联地域端口等的行为；</w:t>
      </w:r>
      <w:r>
        <w:rPr>
          <w:rStyle w:val="47"/>
          <w:rFonts w:hint="default"/>
          <w:color w:val="auto"/>
          <w:highlight w:val="none"/>
        </w:rPr>
        <w:br w:type="textWrapping"/>
      </w:r>
      <w:r>
        <w:rPr>
          <w:rStyle w:val="47"/>
          <w:rFonts w:hint="default"/>
          <w:color w:val="auto"/>
          <w:highlight w:val="none"/>
        </w:rPr>
        <w:t xml:space="preserve">    （7）支持POP3、IMAP、SMTP、FTP、TELNET应用帐号的异地登录风险行为检测（提供功能截图）；支持多维度资产管理，进行多维度资产视图分析，系统至少内置五种视图：资产组视图、业务系统视图、组织结构视图、地理位置视图、行业视图；</w:t>
      </w:r>
      <w:r>
        <w:rPr>
          <w:rStyle w:val="47"/>
          <w:rFonts w:hint="default"/>
          <w:color w:val="auto"/>
          <w:highlight w:val="none"/>
        </w:rPr>
        <w:br w:type="textWrapping"/>
      </w:r>
      <w:r>
        <w:rPr>
          <w:rStyle w:val="47"/>
          <w:rFonts w:hint="default"/>
          <w:color w:val="auto"/>
          <w:highlight w:val="none"/>
        </w:rPr>
        <w:t xml:space="preserve">    （8）支持资产发现能力，至少具备主动扫描发现资产能力，主动扫描支持联动漏扫设备下发资产扫描策略并上报扫描结果；</w:t>
      </w:r>
      <w:r>
        <w:rPr>
          <w:rStyle w:val="47"/>
          <w:rFonts w:hint="default"/>
          <w:color w:val="auto"/>
          <w:highlight w:val="none"/>
        </w:rPr>
        <w:br w:type="textWrapping"/>
      </w:r>
      <w:r>
        <w:rPr>
          <w:rStyle w:val="47"/>
          <w:rFonts w:hint="default"/>
          <w:color w:val="auto"/>
          <w:highlight w:val="none"/>
        </w:rPr>
        <w:t xml:space="preserve">    （9）支持对重点单位或重点网站的漏洞扫描能力，平台支持向安全采集探针下发系统漏洞扫描任务、网站安全漏洞扫描任务、口令猜测扫描任务，通过平台进行统一扫描任务监控、管理，对扫描结果可以进行可视化呈现；</w:t>
      </w:r>
      <w:r>
        <w:rPr>
          <w:rStyle w:val="47"/>
          <w:rFonts w:hint="default"/>
          <w:color w:val="auto"/>
          <w:highlight w:val="none"/>
        </w:rPr>
        <w:br w:type="textWrapping"/>
      </w:r>
      <w:r>
        <w:rPr>
          <w:rStyle w:val="47"/>
          <w:rFonts w:hint="default"/>
          <w:color w:val="auto"/>
          <w:highlight w:val="none"/>
        </w:rPr>
        <w:t xml:space="preserve">    （10）支持在线下发漏洞扫描任务的能力，应支持灵活的任务策略配置，包括但不限于：调度策略（立即、定时、周期）、扫描设备选择（支持自动/手动指定扫描设备进行漏洞扫描）、漏洞模板策略、登录扫描参数、扫描引擎参数等；</w:t>
      </w:r>
      <w:r>
        <w:rPr>
          <w:rStyle w:val="47"/>
          <w:rFonts w:hint="default"/>
          <w:color w:val="auto"/>
          <w:highlight w:val="none"/>
        </w:rPr>
        <w:br w:type="textWrapping"/>
      </w:r>
      <w:r>
        <w:rPr>
          <w:rStyle w:val="47"/>
          <w:rFonts w:hint="default"/>
          <w:color w:val="auto"/>
          <w:highlight w:val="none"/>
        </w:rPr>
        <w:t xml:space="preserve">    （11）支持对扫描任务进行灵活多样管理的能力，支持扫描任务过程中的进度及状态查看，支持对任务的删除，重扫、查询等操作；</w:t>
      </w:r>
      <w:r>
        <w:rPr>
          <w:rStyle w:val="47"/>
          <w:rFonts w:hint="default"/>
          <w:color w:val="auto"/>
          <w:highlight w:val="none"/>
        </w:rPr>
        <w:br w:type="textWrapping"/>
      </w:r>
      <w:r>
        <w:rPr>
          <w:rStyle w:val="47"/>
          <w:rFonts w:hint="default"/>
          <w:color w:val="auto"/>
          <w:highlight w:val="none"/>
        </w:rPr>
        <w:t xml:space="preserve">    （12）支持对于漏洞扫描任务进行结果展示的能力，包括但不限于：发现的资产列表、漏洞列表、漏洞统计、漏洞分布、脆弱性评分等数据展示；</w:t>
      </w:r>
    </w:p>
    <w:p>
      <w:pPr>
        <w:pStyle w:val="41"/>
        <w:ind w:firstLine="440"/>
        <w:jc w:val="left"/>
        <w:rPr>
          <w:rStyle w:val="47"/>
          <w:rFonts w:hint="default"/>
          <w:color w:val="auto"/>
          <w:highlight w:val="none"/>
        </w:rPr>
      </w:pPr>
      <w:r>
        <w:rPr>
          <w:rStyle w:val="47"/>
          <w:rFonts w:hint="default"/>
          <w:color w:val="auto"/>
          <w:highlight w:val="none"/>
        </w:rPr>
        <w:t xml:space="preserve">（13）支持漏洞库管理能力，本地漏洞数应不少于5万，支持漏洞模板自定义和配置模板管理，支持漏洞库升级； </w:t>
      </w:r>
      <w:r>
        <w:rPr>
          <w:rStyle w:val="47"/>
          <w:rFonts w:hint="default"/>
          <w:color w:val="auto"/>
          <w:highlight w:val="none"/>
        </w:rPr>
        <w:br w:type="textWrapping"/>
      </w:r>
      <w:r>
        <w:rPr>
          <w:rStyle w:val="47"/>
          <w:rFonts w:hint="default"/>
          <w:color w:val="auto"/>
          <w:highlight w:val="none"/>
        </w:rPr>
        <w:t xml:space="preserve">    （14）支持漏洞扫描结果手动和自动验证能力，可手动选择部分漏洞处置单进行验证扫描，支持漏洞批量处置（提供功能截图）；</w:t>
      </w:r>
      <w:r>
        <w:rPr>
          <w:rStyle w:val="47"/>
          <w:rFonts w:hint="default"/>
          <w:color w:val="auto"/>
          <w:highlight w:val="none"/>
        </w:rPr>
        <w:br w:type="textWrapping"/>
      </w:r>
      <w:r>
        <w:rPr>
          <w:rStyle w:val="47"/>
          <w:rFonts w:hint="default"/>
          <w:color w:val="auto"/>
          <w:highlight w:val="none"/>
        </w:rPr>
        <w:t xml:space="preserve">    （15）支持漏洞扫描结果自动生成漏洞处置单的能力，支持对漏洞处置单闭环处理，可设置漏洞处置单状态包括：新增、待修复、已修复、已验证、单次忽略、永久忽略（提供功能截图）；</w:t>
      </w:r>
      <w:r>
        <w:rPr>
          <w:rStyle w:val="47"/>
          <w:rFonts w:hint="default"/>
          <w:color w:val="auto"/>
          <w:highlight w:val="none"/>
        </w:rPr>
        <w:br w:type="textWrapping"/>
      </w:r>
      <w:r>
        <w:rPr>
          <w:rStyle w:val="47"/>
          <w:rFonts w:hint="default"/>
          <w:color w:val="auto"/>
          <w:highlight w:val="none"/>
        </w:rPr>
        <w:t xml:space="preserve">    （16）支持所监测网络安全情况的态势呈现能力，态势呈现包括但不限于综合态势、威胁态势、脆弱性态势、环境感知态势、运维响应态势；</w:t>
      </w:r>
      <w:r>
        <w:rPr>
          <w:rStyle w:val="47"/>
          <w:rFonts w:hint="default"/>
          <w:color w:val="auto"/>
          <w:highlight w:val="none"/>
        </w:rPr>
        <w:br w:type="textWrapping"/>
      </w:r>
      <w:r>
        <w:rPr>
          <w:rStyle w:val="47"/>
          <w:rFonts w:hint="default"/>
          <w:color w:val="auto"/>
          <w:highlight w:val="none"/>
        </w:rPr>
        <w:t xml:space="preserve">    （17）支持对网络环境中威胁、漏洞、资产各种事件多种运维方式的可视化呈现，包括但不限于人工处置的各类型运维事件的状态统计、数量统计、自动化编排和响应的时长统计、数据量统计以及任务数统计等；</w:t>
      </w:r>
      <w:r>
        <w:rPr>
          <w:rStyle w:val="47"/>
          <w:rFonts w:hint="default"/>
          <w:color w:val="auto"/>
          <w:highlight w:val="none"/>
        </w:rPr>
        <w:br w:type="textWrapping"/>
      </w:r>
      <w:r>
        <w:rPr>
          <w:rStyle w:val="47"/>
          <w:rFonts w:hint="default"/>
          <w:color w:val="auto"/>
          <w:highlight w:val="none"/>
        </w:rPr>
        <w:t xml:space="preserve">  ▲（18）支持纵深防御体系可视化，边界防御、内网防御、安管中心动态展示安全建设运营效果，运营效率数字量化，响应手段可视化，包括但不限于处置效率统计、风险资产、安全事件、安全漏洞、设备联动的处置状态分布、处理历史列表展示等，支持大屏下（提供功能截图）；</w:t>
      </w:r>
      <w:r>
        <w:rPr>
          <w:rStyle w:val="47"/>
          <w:rFonts w:hint="default"/>
          <w:color w:val="auto"/>
          <w:highlight w:val="none"/>
        </w:rPr>
        <w:br w:type="textWrapping"/>
      </w:r>
      <w:r>
        <w:rPr>
          <w:rStyle w:val="47"/>
          <w:rFonts w:hint="default"/>
          <w:color w:val="auto"/>
          <w:highlight w:val="none"/>
        </w:rPr>
        <w:t xml:space="preserve">    （19）支持对各类运维事件进行运维处置，包括但不限于提交研判人员进行分析、忽略、误报、处置、优先处理、加入白名单、生成报告、联动封堵设备封堵处置、邮件通报、工单通报等；</w:t>
      </w:r>
      <w:r>
        <w:rPr>
          <w:rStyle w:val="47"/>
          <w:rFonts w:hint="default"/>
          <w:color w:val="auto"/>
          <w:highlight w:val="none"/>
        </w:rPr>
        <w:br w:type="textWrapping"/>
      </w:r>
      <w:r>
        <w:rPr>
          <w:rStyle w:val="47"/>
          <w:rFonts w:hint="default"/>
          <w:color w:val="auto"/>
          <w:highlight w:val="none"/>
        </w:rPr>
        <w:t xml:space="preserve">    （20）支持最近1小时、24小时、7天的全局运维事件统计与监控并可按需自定义仪表盘，监控内容包括但不限于各类统计数据如事件、失陷资产、日志、攻击源、情报等，支持重点事件、风险处置监控、攻击源、事件类型、外发事件类型TOP等统计监控，支持资产威胁类型、资产发现、高危资产、资产脆弱性TOP等统计监控；支持漏洞、网站监测事件、脆弱性资产TOP等统计监控；</w:t>
      </w:r>
      <w:r>
        <w:rPr>
          <w:rStyle w:val="47"/>
          <w:rFonts w:hint="default"/>
          <w:color w:val="auto"/>
          <w:highlight w:val="none"/>
        </w:rPr>
        <w:br w:type="textWrapping"/>
      </w:r>
      <w:r>
        <w:rPr>
          <w:rStyle w:val="47"/>
          <w:rFonts w:hint="default"/>
          <w:color w:val="auto"/>
          <w:highlight w:val="none"/>
        </w:rPr>
        <w:t xml:space="preserve">    （21）支持关注的重点资产/资产是否失陷、针对资产的攻击行为的监控，可按照资产名称、攻击链阶段、资产状态等纬度进行筛选过滤（提供功能截图）；</w:t>
      </w:r>
      <w:r>
        <w:rPr>
          <w:rStyle w:val="47"/>
          <w:rFonts w:hint="default"/>
          <w:color w:val="auto"/>
          <w:highlight w:val="none"/>
        </w:rPr>
        <w:br w:type="textWrapping"/>
      </w:r>
      <w:r>
        <w:rPr>
          <w:rStyle w:val="47"/>
          <w:rFonts w:hint="default"/>
          <w:color w:val="auto"/>
          <w:highlight w:val="none"/>
        </w:rPr>
        <w:t xml:space="preserve">    （22）支持对关注的IP从攻击者或受害者资产两种维度进行跟踪监控，监控该目标最近的攻击行为，如发生的攻击事件、日志并支持基于相关数据进行目标分析；</w:t>
      </w:r>
      <w:r>
        <w:rPr>
          <w:rStyle w:val="47"/>
          <w:rFonts w:hint="default"/>
          <w:color w:val="auto"/>
          <w:highlight w:val="none"/>
        </w:rPr>
        <w:br w:type="textWrapping"/>
      </w:r>
      <w:r>
        <w:rPr>
          <w:rStyle w:val="47"/>
          <w:rFonts w:hint="default"/>
          <w:color w:val="auto"/>
          <w:highlight w:val="none"/>
        </w:rPr>
        <w:t xml:space="preserve">    （23）支持基于源目的IP、源目的端口、规则ID、URL等纬度的运维事件白名单的按需定义；</w:t>
      </w:r>
    </w:p>
    <w:p>
      <w:pPr>
        <w:pStyle w:val="41"/>
        <w:numPr>
          <w:ilvl w:val="0"/>
          <w:numId w:val="12"/>
        </w:numPr>
        <w:ind w:firstLine="440"/>
        <w:jc w:val="left"/>
        <w:rPr>
          <w:rStyle w:val="47"/>
          <w:rFonts w:hint="default"/>
          <w:color w:val="auto"/>
          <w:highlight w:val="none"/>
        </w:rPr>
      </w:pPr>
      <w:r>
        <w:rPr>
          <w:rStyle w:val="47"/>
          <w:rFonts w:hint="default"/>
          <w:color w:val="auto"/>
          <w:highlight w:val="none"/>
        </w:rPr>
        <w:t>支持将威胁、漏洞、失陷资产等事件以工单的形式通知用户进行工单处理，支持邮件通知（提供功能截图）；</w:t>
      </w:r>
      <w:r>
        <w:rPr>
          <w:rStyle w:val="47"/>
          <w:rFonts w:hint="default"/>
          <w:color w:val="auto"/>
          <w:highlight w:val="none"/>
        </w:rPr>
        <w:br w:type="textWrapping"/>
      </w:r>
      <w:r>
        <w:rPr>
          <w:rStyle w:val="47"/>
          <w:rFonts w:hint="default"/>
          <w:color w:val="auto"/>
          <w:highlight w:val="none"/>
        </w:rPr>
        <w:t xml:space="preserve">  ▲（25）周期性获取待检测主机的邮件流量信息，根据这些邮件流量信息，按照预设的条件处理之后可以获得僵尸主机可能性稍高的的IP地址，再经过一定的算法处理得出网络中的僵尸主机，提高检测的效率和准确率，提供第三方检测机构出具的检测报告（报告中需体现该功能）；</w:t>
      </w:r>
      <w:r>
        <w:rPr>
          <w:rStyle w:val="47"/>
          <w:rFonts w:hint="default"/>
          <w:color w:val="auto"/>
          <w:highlight w:val="none"/>
        </w:rPr>
        <w:br w:type="textWrapping"/>
      </w:r>
      <w:r>
        <w:rPr>
          <w:rStyle w:val="47"/>
          <w:rFonts w:hint="default"/>
          <w:color w:val="auto"/>
          <w:highlight w:val="none"/>
        </w:rPr>
        <w:t xml:space="preserve">    （26）支持针对IP、域名、会话进行封堵，支持主机隔离、流量牵引等方式联动设备进行封堵，设备类型包括但不限于防火墙、抗拒绝服务系统、WEB应用防火墙、网络流量探针等（提供功能截图）；</w:t>
      </w:r>
      <w:r>
        <w:rPr>
          <w:rStyle w:val="47"/>
          <w:rFonts w:hint="default"/>
          <w:color w:val="auto"/>
          <w:highlight w:val="none"/>
        </w:rPr>
        <w:br w:type="textWrapping"/>
      </w:r>
      <w:r>
        <w:rPr>
          <w:rStyle w:val="47"/>
          <w:rFonts w:hint="default"/>
          <w:color w:val="auto"/>
          <w:highlight w:val="none"/>
        </w:rPr>
        <w:t xml:space="preserve">    （27）支持封堵状态获取及查看，支持判断封堵成功、封堵失败、解封成功、解封失败等状态；</w:t>
      </w:r>
      <w:r>
        <w:rPr>
          <w:rStyle w:val="47"/>
          <w:rFonts w:hint="default"/>
          <w:color w:val="auto"/>
          <w:highlight w:val="none"/>
        </w:rPr>
        <w:br w:type="textWrapping"/>
      </w:r>
      <w:r>
        <w:rPr>
          <w:rStyle w:val="47"/>
          <w:rFonts w:hint="default"/>
          <w:color w:val="auto"/>
          <w:highlight w:val="none"/>
        </w:rPr>
        <w:t xml:space="preserve">  ▲（28）支持对被封堵对象的解封能力，支持配置解封时间，到期自动解除封堵（提供功能截图）；</w:t>
      </w:r>
      <w:r>
        <w:rPr>
          <w:rStyle w:val="47"/>
          <w:rFonts w:hint="default"/>
          <w:color w:val="auto"/>
          <w:highlight w:val="none"/>
        </w:rPr>
        <w:br w:type="textWrapping"/>
      </w:r>
      <w:r>
        <w:rPr>
          <w:rStyle w:val="47"/>
          <w:rFonts w:hint="default"/>
          <w:color w:val="auto"/>
          <w:highlight w:val="none"/>
        </w:rPr>
        <w:t xml:space="preserve">    （29）支持插件方式扩展第三方设备，实现对第三方设备的创建、启动、禁止、删除等操作。在第三方设备接口能力具备的情况下支持：域名封堵、IP封堵、会话封堵、流量牵引、主机隔离；</w:t>
      </w:r>
      <w:r>
        <w:rPr>
          <w:rStyle w:val="47"/>
          <w:rFonts w:hint="default"/>
          <w:color w:val="auto"/>
          <w:highlight w:val="none"/>
        </w:rPr>
        <w:br w:type="textWrapping"/>
      </w:r>
      <w:r>
        <w:rPr>
          <w:rStyle w:val="47"/>
          <w:rFonts w:hint="default"/>
          <w:color w:val="auto"/>
          <w:highlight w:val="none"/>
        </w:rPr>
        <w:t xml:space="preserve">    （30）针对不同客户场景，平台应至少支持2类以上旁路部署的封堵设备进行联动封堵，当封堵设备发生故障时，不会影响被监测单位的自身业务；</w:t>
      </w:r>
      <w:r>
        <w:rPr>
          <w:rStyle w:val="47"/>
          <w:rFonts w:hint="default"/>
          <w:color w:val="auto"/>
          <w:highlight w:val="none"/>
        </w:rPr>
        <w:br w:type="textWrapping"/>
      </w:r>
      <w:r>
        <w:rPr>
          <w:rStyle w:val="47"/>
          <w:rFonts w:hint="default"/>
          <w:color w:val="auto"/>
          <w:highlight w:val="none"/>
        </w:rPr>
        <w:t xml:space="preserve">    （31）具备安全管理平台类《计算机信息系统安全专用产品销售许可证》（提供相关证书佐证）；</w:t>
      </w:r>
      <w:r>
        <w:rPr>
          <w:rStyle w:val="47"/>
          <w:rFonts w:hint="default"/>
          <w:color w:val="auto"/>
          <w:highlight w:val="none"/>
        </w:rPr>
        <w:br w:type="textWrapping"/>
      </w:r>
      <w:r>
        <w:rPr>
          <w:rStyle w:val="47"/>
          <w:rFonts w:hint="default"/>
          <w:color w:val="auto"/>
          <w:highlight w:val="none"/>
        </w:rPr>
        <w:t xml:space="preserve">    （32）具备中国网络安全审查技术与认证中心颁发的《IT产品信息安全认证证书》。（提供相关证书佐证）</w:t>
      </w:r>
    </w:p>
    <w:p>
      <w:pPr>
        <w:pStyle w:val="41"/>
        <w:ind w:firstLine="0" w:firstLineChars="0"/>
        <w:jc w:val="left"/>
        <w:rPr>
          <w:rStyle w:val="47"/>
          <w:rFonts w:hint="default"/>
          <w:color w:val="auto"/>
          <w:highlight w:val="none"/>
        </w:rPr>
      </w:pPr>
    </w:p>
    <w:p>
      <w:pPr>
        <w:pStyle w:val="41"/>
        <w:numPr>
          <w:ilvl w:val="0"/>
          <w:numId w:val="7"/>
        </w:numPr>
        <w:ind w:firstLine="482"/>
        <w:jc w:val="left"/>
        <w:rPr>
          <w:rFonts w:eastAsia="宋体" w:cs="宋体"/>
          <w:b/>
          <w:bCs/>
          <w:color w:val="auto"/>
          <w:kern w:val="0"/>
          <w:sz w:val="24"/>
          <w:szCs w:val="24"/>
          <w:highlight w:val="none"/>
        </w:rPr>
      </w:pPr>
      <w:r>
        <w:rPr>
          <w:rFonts w:hint="eastAsia" w:eastAsia="宋体" w:cs="宋体"/>
          <w:b/>
          <w:bCs/>
          <w:color w:val="auto"/>
          <w:kern w:val="0"/>
          <w:sz w:val="24"/>
          <w:szCs w:val="24"/>
          <w:highlight w:val="none"/>
        </w:rPr>
        <w:t>综合威胁探针</w:t>
      </w:r>
    </w:p>
    <w:p>
      <w:pPr>
        <w:pStyle w:val="41"/>
        <w:ind w:firstLine="440"/>
        <w:jc w:val="left"/>
        <w:rPr>
          <w:rStyle w:val="47"/>
          <w:rFonts w:hint="default"/>
          <w:color w:val="auto"/>
          <w:highlight w:val="none"/>
        </w:rPr>
      </w:pPr>
      <w:r>
        <w:rPr>
          <w:rStyle w:val="47"/>
          <w:rFonts w:hint="default"/>
          <w:color w:val="auto"/>
          <w:highlight w:val="none"/>
        </w:rPr>
        <w:t>（1）2U，含交流冗余电源模块，8GCF卡，≥10T SATA*2硬盘，≥USB*2，管理口RJ45*1，RJ45串口*1，≥板载1000M电口*6（3组BYPASS），≥1个扩展槽位，≥吞吐量2G，最大并发180万，含WEB应用检测模块、威胁情报检测模块和入侵行为检测模块；</w:t>
      </w:r>
      <w:r>
        <w:rPr>
          <w:rStyle w:val="47"/>
          <w:rFonts w:hint="default"/>
          <w:color w:val="auto"/>
          <w:highlight w:val="none"/>
        </w:rPr>
        <w:br w:type="textWrapping"/>
      </w:r>
      <w:r>
        <w:rPr>
          <w:rStyle w:val="47"/>
          <w:rFonts w:hint="default"/>
          <w:color w:val="auto"/>
          <w:highlight w:val="none"/>
        </w:rPr>
        <w:t xml:space="preserve">    （2）支持常见应用的识别不低于3000种 ，支持对DNS、HTTP、FTP、SMTP、POP3、IMAP、SMB、Telnet、LDAP、MYSQL、ORACLE、MSSQL、PG、SSL、TLS、QQ、TCP、UDP、ICMP、SMB、WEBMail等常见协议的深度解析和还原,须提供界面元数据截图；</w:t>
      </w:r>
      <w:r>
        <w:rPr>
          <w:rStyle w:val="47"/>
          <w:rFonts w:hint="default"/>
          <w:color w:val="auto"/>
          <w:highlight w:val="none"/>
        </w:rPr>
        <w:br w:type="textWrapping"/>
      </w:r>
      <w:r>
        <w:rPr>
          <w:rStyle w:val="47"/>
          <w:rFonts w:hint="default"/>
          <w:color w:val="auto"/>
          <w:highlight w:val="none"/>
        </w:rPr>
        <w:t xml:space="preserve">  ▲（3）支持对工控和物联网协议的深度解析和还原，常见协议包括MODBUS、GOOSE、MQTT、COAP、S7,须提供界面元数据截图；</w:t>
      </w:r>
      <w:r>
        <w:rPr>
          <w:rStyle w:val="47"/>
          <w:rFonts w:hint="default"/>
          <w:color w:val="auto"/>
          <w:highlight w:val="none"/>
        </w:rPr>
        <w:br w:type="textWrapping"/>
      </w:r>
      <w:r>
        <w:rPr>
          <w:rStyle w:val="47"/>
          <w:rFonts w:hint="default"/>
          <w:color w:val="auto"/>
          <w:highlight w:val="none"/>
        </w:rPr>
        <w:t xml:space="preserve">    （4）支持对流量中出现的文件进行发现和还原，支持还原的协议包括：http、smtp、pop3、imap、ftp、webmail、samba；</w:t>
      </w:r>
      <w:r>
        <w:rPr>
          <w:rStyle w:val="47"/>
          <w:rFonts w:hint="default"/>
          <w:color w:val="auto"/>
          <w:highlight w:val="none"/>
        </w:rPr>
        <w:br w:type="textWrapping"/>
      </w:r>
      <w:r>
        <w:rPr>
          <w:rStyle w:val="47"/>
          <w:rFonts w:hint="default"/>
          <w:color w:val="auto"/>
          <w:highlight w:val="none"/>
        </w:rPr>
        <w:t xml:space="preserve">    （5）支持还原的文档类型：doc/docx、xls/xlsx、ppt/pptx、pdf、rtf、 wpt、pot、wps、pps、mpp、et、dpt、dps、ett、dot；</w:t>
      </w:r>
      <w:r>
        <w:rPr>
          <w:rStyle w:val="47"/>
          <w:rFonts w:hint="default"/>
          <w:color w:val="auto"/>
          <w:highlight w:val="none"/>
        </w:rPr>
        <w:br w:type="textWrapping"/>
      </w:r>
      <w:r>
        <w:rPr>
          <w:rStyle w:val="47"/>
          <w:rFonts w:hint="default"/>
          <w:color w:val="auto"/>
          <w:highlight w:val="none"/>
        </w:rPr>
        <w:t xml:space="preserve">    （6）支持对深度解析的协议进行存储，存储日志类型至少包括：会话日志、HTTP日志、EMAIL日志、TELNET日志、认证日志、数据库日志、登录日志、SSL&amp;TLS日志、FTP日志、DNS日志、ICMP日志、文件还原日志、社会账号日志，须提供功能界面截图；</w:t>
      </w:r>
      <w:r>
        <w:rPr>
          <w:rStyle w:val="47"/>
          <w:rFonts w:hint="default"/>
          <w:color w:val="auto"/>
          <w:highlight w:val="none"/>
        </w:rPr>
        <w:br w:type="textWrapping"/>
      </w:r>
      <w:r>
        <w:rPr>
          <w:rStyle w:val="47"/>
          <w:rFonts w:hint="default"/>
          <w:color w:val="auto"/>
          <w:highlight w:val="none"/>
        </w:rPr>
        <w:t xml:space="preserve">    （7）支持对实时流量采集的pcap包进行全量存储，供追溯分析和取证使用；</w:t>
      </w:r>
      <w:r>
        <w:rPr>
          <w:rStyle w:val="47"/>
          <w:rFonts w:hint="default"/>
          <w:color w:val="auto"/>
          <w:highlight w:val="none"/>
        </w:rPr>
        <w:br w:type="textWrapping"/>
      </w:r>
      <w:r>
        <w:rPr>
          <w:rStyle w:val="47"/>
          <w:rFonts w:hint="default"/>
          <w:color w:val="auto"/>
          <w:highlight w:val="none"/>
        </w:rPr>
        <w:t>应覆盖多种攻击特征，可针对网络病毒、蠕虫、间谍软件、木马后门、扫描探测、暴力破解等恶意流量进行检测，攻击特征库数量至少为9000种以上,须提供功能界面截图。</w:t>
      </w:r>
      <w:r>
        <w:rPr>
          <w:rStyle w:val="47"/>
          <w:rFonts w:hint="default"/>
          <w:color w:val="auto"/>
          <w:highlight w:val="none"/>
        </w:rPr>
        <w:br w:type="textWrapping"/>
      </w:r>
      <w:r>
        <w:rPr>
          <w:rStyle w:val="47"/>
          <w:rFonts w:hint="default"/>
          <w:color w:val="auto"/>
          <w:highlight w:val="none"/>
        </w:rPr>
        <w:t xml:space="preserve">    （8）支持对常见应用服务（HTTP、FTP、SSH、SMTP、IMAP、RDP）的口令暴力破解检测；</w:t>
      </w:r>
      <w:r>
        <w:rPr>
          <w:rStyle w:val="47"/>
          <w:rFonts w:hint="default"/>
          <w:color w:val="auto"/>
          <w:highlight w:val="none"/>
        </w:rPr>
        <w:br w:type="textWrapping"/>
      </w:r>
      <w:r>
        <w:rPr>
          <w:rStyle w:val="47"/>
          <w:rFonts w:hint="default"/>
          <w:color w:val="auto"/>
          <w:highlight w:val="none"/>
        </w:rPr>
        <w:t xml:space="preserve">    （9）支持常见数据库协议（MySQL、Oracle、MSSQL）的口令暴力破解检测告警；</w:t>
      </w:r>
      <w:r>
        <w:rPr>
          <w:rStyle w:val="47"/>
          <w:rFonts w:hint="default"/>
          <w:color w:val="auto"/>
          <w:highlight w:val="none"/>
        </w:rPr>
        <w:br w:type="textWrapping"/>
      </w:r>
      <w:r>
        <w:rPr>
          <w:rStyle w:val="47"/>
          <w:rFonts w:hint="default"/>
          <w:color w:val="auto"/>
          <w:highlight w:val="none"/>
        </w:rPr>
        <w:t xml:space="preserve">  ▲（10）支持自定义TCP端口扫描检测模型，支持配置参数包括检测阈值、检测周期，提供默认配置，须提供功能界面截图；内置恶意文件检测引擎，支持对可执行文件、文档、压缩包和网页脚本进行恶意代码检测和告警；</w:t>
      </w:r>
      <w:r>
        <w:rPr>
          <w:rStyle w:val="47"/>
          <w:rFonts w:hint="default"/>
          <w:color w:val="auto"/>
          <w:highlight w:val="none"/>
        </w:rPr>
        <w:br w:type="textWrapping"/>
      </w:r>
      <w:r>
        <w:rPr>
          <w:rStyle w:val="47"/>
          <w:rFonts w:hint="default"/>
          <w:color w:val="auto"/>
          <w:highlight w:val="none"/>
        </w:rPr>
        <w:t xml:space="preserve">    （11）支持与威胁情报联动，可进行实时流量匹配检测和告警，支持对恶意IP、恶意域名、恶意URL和恶意文件进行检测。须提供功能界面截图；</w:t>
      </w:r>
      <w:r>
        <w:rPr>
          <w:rStyle w:val="47"/>
          <w:rFonts w:hint="default"/>
          <w:color w:val="auto"/>
          <w:highlight w:val="none"/>
        </w:rPr>
        <w:br w:type="textWrapping"/>
      </w:r>
      <w:r>
        <w:rPr>
          <w:rStyle w:val="47"/>
          <w:rFonts w:hint="default"/>
          <w:color w:val="auto"/>
          <w:highlight w:val="none"/>
        </w:rPr>
        <w:t xml:space="preserve">    （12）支持自定义威胁情报，自定义情报类型包括IP、IP+端口、URI、目的端口+URI、域名、文件；</w:t>
      </w:r>
      <w:r>
        <w:rPr>
          <w:rStyle w:val="47"/>
          <w:rFonts w:hint="default"/>
          <w:color w:val="auto"/>
          <w:highlight w:val="none"/>
        </w:rPr>
        <w:br w:type="textWrapping"/>
      </w:r>
      <w:r>
        <w:rPr>
          <w:rStyle w:val="47"/>
          <w:rFonts w:hint="default"/>
          <w:color w:val="auto"/>
          <w:highlight w:val="none"/>
        </w:rPr>
        <w:t xml:space="preserve">    （13）支持在5G核心网中对5G信令风暴和鉴权攻击进行检测,提供功能界面截图；</w:t>
      </w:r>
      <w:r>
        <w:rPr>
          <w:rStyle w:val="47"/>
          <w:rFonts w:hint="default"/>
          <w:color w:val="auto"/>
          <w:highlight w:val="none"/>
        </w:rPr>
        <w:br w:type="textWrapping"/>
      </w:r>
      <w:r>
        <w:rPr>
          <w:rStyle w:val="47"/>
          <w:rFonts w:hint="default"/>
          <w:color w:val="auto"/>
          <w:highlight w:val="none"/>
        </w:rPr>
        <w:t xml:space="preserve">    （14）支持5G接口识别，识别的接口包括N1、N2、N4、N5、N7、N8、N10、N11、N12、N13、N14、N15、N20、N21、N22、N28、N40；</w:t>
      </w:r>
    </w:p>
    <w:p>
      <w:pPr>
        <w:pStyle w:val="41"/>
        <w:ind w:firstLine="220" w:firstLineChars="100"/>
        <w:jc w:val="left"/>
        <w:rPr>
          <w:rStyle w:val="47"/>
          <w:rFonts w:hint="default"/>
          <w:color w:val="auto"/>
          <w:highlight w:val="none"/>
        </w:rPr>
      </w:pPr>
      <w:r>
        <w:rPr>
          <w:rStyle w:val="47"/>
          <w:rFonts w:hint="default"/>
          <w:color w:val="auto"/>
          <w:highlight w:val="none"/>
        </w:rPr>
        <w:t>▲（15）支持5G协议的深度解析和还原，包含NAS、NGAP、PFCP、HTTP2、GTPv2等，提供功能界面截图；</w:t>
      </w:r>
      <w:r>
        <w:rPr>
          <w:rStyle w:val="47"/>
          <w:rFonts w:hint="default"/>
          <w:color w:val="auto"/>
          <w:highlight w:val="none"/>
        </w:rPr>
        <w:br w:type="textWrapping"/>
      </w:r>
      <w:r>
        <w:rPr>
          <w:rStyle w:val="47"/>
          <w:rFonts w:hint="default"/>
          <w:color w:val="auto"/>
          <w:highlight w:val="none"/>
        </w:rPr>
        <w:t xml:space="preserve">    （16）支持对入侵检测告警、WEB应用告警、威胁情报告警和恶意文件告警中的攻击IP和受害IP发送阻断报文，进行旁路阻断，提供功能界面截图；</w:t>
      </w:r>
      <w:r>
        <w:rPr>
          <w:rStyle w:val="47"/>
          <w:rFonts w:hint="default"/>
          <w:color w:val="auto"/>
          <w:highlight w:val="none"/>
        </w:rPr>
        <w:br w:type="textWrapping"/>
      </w:r>
      <w:r>
        <w:rPr>
          <w:rStyle w:val="47"/>
          <w:rFonts w:hint="default"/>
          <w:color w:val="auto"/>
          <w:highlight w:val="none"/>
        </w:rPr>
        <w:t xml:space="preserve">    （17）支持从流量中自动识别资产信息和归类，识别的信息至少包括资产IP、资产MAC、服务端口号、服务协议、设备类型、地理位置、操作系统、资产状态、资产描述、资产关联账号，须提供功能界面截图；</w:t>
      </w:r>
      <w:r>
        <w:rPr>
          <w:rStyle w:val="47"/>
          <w:rFonts w:hint="default"/>
          <w:color w:val="auto"/>
          <w:highlight w:val="none"/>
        </w:rPr>
        <w:br w:type="textWrapping"/>
      </w:r>
      <w:r>
        <w:rPr>
          <w:rStyle w:val="47"/>
          <w:rFonts w:hint="default"/>
          <w:color w:val="auto"/>
          <w:highlight w:val="none"/>
        </w:rPr>
        <w:t xml:space="preserve">    （18）支持将告警日志/元数据外发给第三方平台进行汇总展示和分析，日志传输接口支持syslog、sftp；</w:t>
      </w:r>
      <w:r>
        <w:rPr>
          <w:rStyle w:val="47"/>
          <w:rFonts w:hint="default"/>
          <w:color w:val="auto"/>
          <w:highlight w:val="none"/>
        </w:rPr>
        <w:br w:type="textWrapping"/>
      </w:r>
      <w:r>
        <w:rPr>
          <w:rStyle w:val="47"/>
          <w:rFonts w:hint="default"/>
          <w:color w:val="auto"/>
          <w:highlight w:val="none"/>
        </w:rPr>
        <w:t xml:space="preserve">    （19）销售许可类型-综合型安全审计类（网络通讯审计和应用系统审计）；</w:t>
      </w:r>
      <w:r>
        <w:rPr>
          <w:rStyle w:val="47"/>
          <w:rFonts w:hint="default"/>
          <w:color w:val="auto"/>
          <w:highlight w:val="none"/>
        </w:rPr>
        <w:br w:type="textWrapping"/>
      </w:r>
      <w:r>
        <w:rPr>
          <w:rStyle w:val="47"/>
          <w:rFonts w:hint="default"/>
          <w:color w:val="auto"/>
          <w:highlight w:val="none"/>
        </w:rPr>
        <w:t xml:space="preserve">    （20）具有《计算机软件著作权登记证》，提供证书复印件。</w:t>
      </w:r>
    </w:p>
    <w:p>
      <w:pPr>
        <w:pStyle w:val="41"/>
        <w:ind w:firstLine="220" w:firstLineChars="100"/>
        <w:jc w:val="left"/>
        <w:rPr>
          <w:rStyle w:val="47"/>
          <w:rFonts w:hint="default"/>
          <w:color w:val="auto"/>
          <w:highlight w:val="none"/>
        </w:rPr>
      </w:pPr>
    </w:p>
    <w:p>
      <w:pPr>
        <w:pStyle w:val="41"/>
        <w:ind w:firstLine="482"/>
        <w:jc w:val="left"/>
        <w:rPr>
          <w:rStyle w:val="47"/>
          <w:rFonts w:hint="default"/>
          <w:b/>
          <w:bCs/>
          <w:color w:val="auto"/>
          <w:sz w:val="24"/>
          <w:szCs w:val="24"/>
          <w:highlight w:val="none"/>
        </w:rPr>
      </w:pPr>
      <w:r>
        <w:rPr>
          <w:rStyle w:val="47"/>
          <w:rFonts w:hint="default"/>
          <w:b/>
          <w:bCs/>
          <w:color w:val="auto"/>
          <w:sz w:val="24"/>
          <w:szCs w:val="24"/>
          <w:highlight w:val="none"/>
        </w:rPr>
        <w:t>13、</w:t>
      </w:r>
      <w:r>
        <w:rPr>
          <w:rFonts w:hint="eastAsia" w:eastAsia="宋体" w:cs="宋体"/>
          <w:b/>
          <w:bCs/>
          <w:color w:val="auto"/>
          <w:kern w:val="0"/>
          <w:sz w:val="24"/>
          <w:szCs w:val="24"/>
          <w:highlight w:val="none"/>
        </w:rPr>
        <w:t>运维安全审计</w:t>
      </w:r>
    </w:p>
    <w:p>
      <w:pPr>
        <w:pStyle w:val="41"/>
        <w:ind w:firstLine="440"/>
        <w:jc w:val="left"/>
        <w:rPr>
          <w:rStyle w:val="47"/>
          <w:rFonts w:hint="default"/>
          <w:color w:val="auto"/>
          <w:highlight w:val="none"/>
        </w:rPr>
      </w:pPr>
      <w:r>
        <w:rPr>
          <w:rStyle w:val="47"/>
          <w:rFonts w:hint="default"/>
          <w:color w:val="auto"/>
          <w:highlight w:val="none"/>
        </w:rPr>
        <w:t>（1）1U标准机架式设备,配置6个千兆电口和4个SFP插槽,标配单电源,配置100个主机/设备许可；</w:t>
      </w:r>
      <w:r>
        <w:rPr>
          <w:rStyle w:val="47"/>
          <w:rFonts w:hint="default"/>
          <w:color w:val="auto"/>
          <w:highlight w:val="none"/>
        </w:rPr>
        <w:br w:type="textWrapping"/>
      </w:r>
      <w:r>
        <w:rPr>
          <w:rStyle w:val="47"/>
          <w:rFonts w:hint="default"/>
          <w:color w:val="auto"/>
          <w:highlight w:val="none"/>
        </w:rPr>
        <w:t xml:space="preserve">  ▲（2）为保障系统运行的可靠性与稳定性，要求信息安全设备、系统软件的开发、生产符合TL9000-HSV R5.0/5.0标准，提供相关佐证；</w:t>
      </w:r>
      <w:r>
        <w:rPr>
          <w:rStyle w:val="47"/>
          <w:rFonts w:hint="default"/>
          <w:color w:val="auto"/>
          <w:highlight w:val="none"/>
        </w:rPr>
        <w:br w:type="textWrapping"/>
      </w:r>
      <w:r>
        <w:rPr>
          <w:rStyle w:val="47"/>
          <w:rFonts w:hint="default"/>
          <w:color w:val="auto"/>
          <w:highlight w:val="none"/>
        </w:rPr>
        <w:t xml:space="preserve">    （3）支持系统管理员、保密管理员、密码管理员、安全审计员、保密员、运维管理员、操作员七种角色，同时也可按需分配角色权限，权限间相互制约；</w:t>
      </w:r>
      <w:r>
        <w:rPr>
          <w:rStyle w:val="47"/>
          <w:rFonts w:hint="default"/>
          <w:color w:val="auto"/>
          <w:highlight w:val="none"/>
        </w:rPr>
        <w:br w:type="textWrapping"/>
      </w:r>
      <w:r>
        <w:rPr>
          <w:rStyle w:val="47"/>
          <w:rFonts w:hint="default"/>
          <w:color w:val="auto"/>
          <w:highlight w:val="none"/>
        </w:rPr>
        <w:t xml:space="preserve">    （4）支持本地认证和三方认证服务器接入认证，如AD、LDAP、Radius服务器，（提供截图佐证）；</w:t>
      </w:r>
      <w:r>
        <w:rPr>
          <w:rStyle w:val="47"/>
          <w:rFonts w:hint="default"/>
          <w:color w:val="auto"/>
          <w:highlight w:val="none"/>
        </w:rPr>
        <w:br w:type="textWrapping"/>
      </w:r>
      <w:r>
        <w:rPr>
          <w:rStyle w:val="47"/>
          <w:rFonts w:hint="default"/>
          <w:color w:val="auto"/>
          <w:highlight w:val="none"/>
        </w:rPr>
        <w:t xml:space="preserve">    （5）支持密码认证、证书认证、USBKEY认证等双因素认证方式；</w:t>
      </w:r>
      <w:r>
        <w:rPr>
          <w:rStyle w:val="47"/>
          <w:rFonts w:hint="default"/>
          <w:color w:val="auto"/>
          <w:highlight w:val="none"/>
        </w:rPr>
        <w:br w:type="textWrapping"/>
      </w:r>
      <w:r>
        <w:rPr>
          <w:rStyle w:val="47"/>
          <w:rFonts w:hint="default"/>
          <w:color w:val="auto"/>
          <w:highlight w:val="none"/>
        </w:rPr>
        <w:t xml:space="preserve">    （6）支持混合云资源的管理，即公有云及局域网资源，支持主机、服务器、网络设备、安全设备、数据库等的资产管理，满足公有云、云资源池、数据中心多种运维场景；</w:t>
      </w:r>
      <w:r>
        <w:rPr>
          <w:rStyle w:val="47"/>
          <w:rFonts w:hint="default"/>
          <w:color w:val="auto"/>
          <w:highlight w:val="none"/>
        </w:rPr>
        <w:br w:type="textWrapping"/>
      </w:r>
      <w:r>
        <w:rPr>
          <w:rStyle w:val="47"/>
          <w:rFonts w:hint="default"/>
          <w:color w:val="auto"/>
          <w:highlight w:val="none"/>
        </w:rPr>
        <w:t xml:space="preserve">    （7）自动对Windows、Linux等设备进行账号改密，改密支持手动和定期任务，密码配置支持全局策略和手工指定，密码复杂度支持按策略随机生成；</w:t>
      </w:r>
      <w:r>
        <w:rPr>
          <w:rStyle w:val="47"/>
          <w:rFonts w:hint="default"/>
          <w:color w:val="auto"/>
          <w:highlight w:val="none"/>
        </w:rPr>
        <w:br w:type="textWrapping"/>
      </w:r>
      <w:r>
        <w:rPr>
          <w:rStyle w:val="47"/>
          <w:rFonts w:hint="default"/>
          <w:color w:val="auto"/>
          <w:highlight w:val="none"/>
        </w:rPr>
        <w:t xml:space="preserve">    （8）支持改密结果自动发送到制定改密计划的管理员邮箱；密码采用密码信封加密保存，以保证安全性（提供截图佐证）；</w:t>
      </w:r>
      <w:r>
        <w:rPr>
          <w:rStyle w:val="47"/>
          <w:rFonts w:hint="default"/>
          <w:color w:val="auto"/>
          <w:highlight w:val="none"/>
        </w:rPr>
        <w:br w:type="textWrapping"/>
      </w:r>
      <w:r>
        <w:rPr>
          <w:rStyle w:val="47"/>
          <w:rFonts w:hint="default"/>
          <w:color w:val="auto"/>
          <w:highlight w:val="none"/>
        </w:rPr>
        <w:t xml:space="preserve">    （9）图像审计采用OCR图像识别技术，通过加载训练过的运维图片集合，可以识别图形操作中的程序标题、快捷方式标题、窗口内容中的文本信息；（提供截图佐证），支持RDP、VNC图形操作过程中键盘输入操作记录、剪贴板和鼠标点击行为记录（提供截图佐证）；</w:t>
      </w:r>
      <w:r>
        <w:rPr>
          <w:rStyle w:val="47"/>
          <w:rFonts w:hint="default"/>
          <w:color w:val="auto"/>
          <w:highlight w:val="none"/>
        </w:rPr>
        <w:br w:type="textWrapping"/>
      </w:r>
      <w:r>
        <w:rPr>
          <w:rStyle w:val="47"/>
          <w:rFonts w:hint="default"/>
          <w:color w:val="auto"/>
          <w:highlight w:val="none"/>
        </w:rPr>
        <w:t xml:space="preserve">    （10）操作过程的录像回放时，支持暂停，支持设置播放速度，支持过滤静止，方便录像的查看，WEB在线视频回放方式重现维护人员对服务器的所有操作过程，离线回放重现维护人员对服务器的所有操作过程（回放文件下载到本地播放）；</w:t>
      </w:r>
      <w:r>
        <w:rPr>
          <w:rStyle w:val="47"/>
          <w:rFonts w:hint="default"/>
          <w:color w:val="auto"/>
          <w:highlight w:val="none"/>
        </w:rPr>
        <w:br w:type="textWrapping"/>
      </w:r>
      <w:r>
        <w:rPr>
          <w:rStyle w:val="47"/>
          <w:rFonts w:hint="default"/>
          <w:color w:val="auto"/>
          <w:highlight w:val="none"/>
        </w:rPr>
        <w:t xml:space="preserve">  ▲（11）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提供截图佐证）；</w:t>
      </w:r>
      <w:r>
        <w:rPr>
          <w:rStyle w:val="47"/>
          <w:rFonts w:hint="default"/>
          <w:color w:val="auto"/>
          <w:highlight w:val="none"/>
        </w:rPr>
        <w:br w:type="textWrapping"/>
      </w:r>
      <w:r>
        <w:rPr>
          <w:rStyle w:val="47"/>
          <w:rFonts w:hint="default"/>
          <w:color w:val="auto"/>
          <w:highlight w:val="none"/>
        </w:rPr>
        <w:t xml:space="preserve">    （12）最大支持8个层级级部门分权功能，本部门的运维管理员只能查看、管理本部门的用户和设备；</w:t>
      </w:r>
      <w:r>
        <w:rPr>
          <w:rStyle w:val="47"/>
          <w:rFonts w:hint="default"/>
          <w:color w:val="auto"/>
          <w:highlight w:val="none"/>
        </w:rPr>
        <w:br w:type="textWrapping"/>
      </w:r>
      <w:r>
        <w:rPr>
          <w:rStyle w:val="47"/>
          <w:rFonts w:hint="default"/>
          <w:color w:val="auto"/>
          <w:highlight w:val="none"/>
        </w:rPr>
        <w:t xml:space="preserve">    （13）支持HTTPS方式和Console方式进行管理；</w:t>
      </w:r>
    </w:p>
    <w:p>
      <w:pPr>
        <w:pStyle w:val="41"/>
        <w:numPr>
          <w:ilvl w:val="0"/>
          <w:numId w:val="13"/>
        </w:numPr>
        <w:ind w:firstLine="440"/>
        <w:jc w:val="left"/>
        <w:rPr>
          <w:rStyle w:val="47"/>
          <w:rFonts w:hint="default"/>
          <w:color w:val="auto"/>
          <w:highlight w:val="none"/>
        </w:rPr>
      </w:pPr>
      <w:r>
        <w:rPr>
          <w:rStyle w:val="47"/>
          <w:rFonts w:hint="default"/>
          <w:color w:val="auto"/>
          <w:highlight w:val="none"/>
        </w:rPr>
        <w:t>支持对堡垒机虚拟为多台逻辑堡垒机，虚拟堡垒机之间实现独立配置、独立数据。实现IT资源的动态分配、灵活调度、跨域共享，提高IT资源利用率（提供截图佐证）；</w:t>
      </w:r>
      <w:r>
        <w:rPr>
          <w:rStyle w:val="47"/>
          <w:rFonts w:hint="default"/>
          <w:color w:val="auto"/>
          <w:highlight w:val="none"/>
        </w:rPr>
        <w:br w:type="textWrapping"/>
      </w:r>
      <w:r>
        <w:rPr>
          <w:rStyle w:val="47"/>
          <w:rFonts w:hint="default"/>
          <w:color w:val="auto"/>
          <w:highlight w:val="none"/>
        </w:rPr>
        <w:t xml:space="preserve">    （15）支持将本机日志、告警日志通过SYSLOG、邮箱等进行外发和告警；</w:t>
      </w:r>
      <w:r>
        <w:rPr>
          <w:rStyle w:val="47"/>
          <w:rFonts w:hint="default"/>
          <w:color w:val="auto"/>
          <w:highlight w:val="none"/>
        </w:rPr>
        <w:br w:type="textWrapping"/>
      </w:r>
      <w:r>
        <w:rPr>
          <w:rStyle w:val="47"/>
          <w:rFonts w:hint="default"/>
          <w:color w:val="auto"/>
          <w:highlight w:val="none"/>
        </w:rPr>
        <w:t xml:space="preserve">    （16）支持配置数据和审计数据的备份、自动清理，支持备份数据通过FTP方式远程备份；</w:t>
      </w:r>
      <w:r>
        <w:rPr>
          <w:rStyle w:val="47"/>
          <w:rFonts w:hint="default"/>
          <w:color w:val="auto"/>
          <w:highlight w:val="none"/>
        </w:rPr>
        <w:br w:type="textWrapping"/>
      </w:r>
      <w:r>
        <w:rPr>
          <w:rStyle w:val="47"/>
          <w:rFonts w:hint="default"/>
          <w:color w:val="auto"/>
          <w:highlight w:val="none"/>
        </w:rPr>
        <w:t xml:space="preserve">    （17）具备计算机信息系统安全专用产品销售许可证，具有中国信息安全认证中心颁发的IT产品信息安全认证证书，具备信息安全产品认证证书（ISCCC）---三级，厂家具备信息系统建设及服务能力优秀级（CS4）等级证书。</w:t>
      </w:r>
    </w:p>
    <w:p>
      <w:pPr>
        <w:pStyle w:val="41"/>
        <w:ind w:firstLine="482"/>
        <w:jc w:val="left"/>
        <w:rPr>
          <w:rStyle w:val="47"/>
          <w:rFonts w:hint="default"/>
          <w:b/>
          <w:bCs/>
          <w:color w:val="auto"/>
          <w:sz w:val="24"/>
          <w:szCs w:val="24"/>
          <w:highlight w:val="none"/>
        </w:rPr>
      </w:pPr>
      <w:r>
        <w:rPr>
          <w:rStyle w:val="47"/>
          <w:rFonts w:hint="default"/>
          <w:b/>
          <w:bCs/>
          <w:color w:val="auto"/>
          <w:sz w:val="24"/>
          <w:szCs w:val="24"/>
          <w:highlight w:val="none"/>
        </w:rPr>
        <w:t>14、</w:t>
      </w:r>
      <w:r>
        <w:rPr>
          <w:rFonts w:hint="eastAsia" w:eastAsia="宋体" w:cs="宋体"/>
          <w:b/>
          <w:bCs/>
          <w:color w:val="auto"/>
          <w:kern w:val="0"/>
          <w:sz w:val="24"/>
          <w:szCs w:val="24"/>
          <w:highlight w:val="none"/>
        </w:rPr>
        <w:t>ODF光配箱</w:t>
      </w:r>
    </w:p>
    <w:p>
      <w:pPr>
        <w:pStyle w:val="41"/>
        <w:ind w:firstLine="0" w:firstLineChars="0"/>
        <w:jc w:val="left"/>
        <w:rPr>
          <w:rStyle w:val="47"/>
          <w:rFonts w:hint="default"/>
          <w:color w:val="auto"/>
          <w:highlight w:val="none"/>
        </w:rPr>
      </w:pPr>
      <w:bookmarkStart w:id="13" w:name="_Toc454988202"/>
      <w:bookmarkStart w:id="14" w:name="_Toc420590398"/>
      <w:bookmarkStart w:id="15" w:name="_Toc365897806"/>
      <w:bookmarkStart w:id="16" w:name="_Toc365897802"/>
      <w:bookmarkStart w:id="17" w:name="_Toc274303248"/>
      <w:bookmarkStart w:id="18" w:name="_Toc274303243"/>
      <w:bookmarkStart w:id="19" w:name="_Toc351971203"/>
      <w:bookmarkStart w:id="20" w:name="_Toc416955363"/>
      <w:bookmarkStart w:id="21" w:name="_Toc379811065"/>
      <w:bookmarkStart w:id="22" w:name="_Toc379811067"/>
      <w:bookmarkStart w:id="23" w:name="_Toc238878119"/>
      <w:bookmarkStart w:id="24" w:name="_Toc351971207"/>
      <w:r>
        <w:rPr>
          <w:rFonts w:hint="eastAsia" w:ascii="Times New Roman" w:hAnsi="Times New Roman" w:eastAsia="宋体" w:cs="Times New Roman"/>
          <w:b/>
          <w:color w:val="auto"/>
          <w:sz w:val="24"/>
          <w:szCs w:val="24"/>
          <w:highlight w:val="none"/>
        </w:rPr>
        <w:t xml:space="preserve">   </w:t>
      </w:r>
      <w:r>
        <w:rPr>
          <w:rStyle w:val="47"/>
          <w:rFonts w:hint="default"/>
          <w:color w:val="auto"/>
          <w:highlight w:val="none"/>
        </w:rPr>
        <w:t>（1）60芯ODF光配箱满配，国标1套；</w:t>
      </w:r>
      <w:r>
        <w:rPr>
          <w:rStyle w:val="47"/>
          <w:rFonts w:hint="default"/>
          <w:color w:val="auto"/>
          <w:highlight w:val="none"/>
        </w:rPr>
        <w:br w:type="textWrapping"/>
      </w:r>
      <w:r>
        <w:rPr>
          <w:rStyle w:val="47"/>
          <w:rFonts w:hint="default"/>
          <w:color w:val="auto"/>
          <w:highlight w:val="none"/>
        </w:rPr>
        <w:t xml:space="preserve">   （2）108芯ODF光配箱满配，国标1套；</w:t>
      </w:r>
      <w:r>
        <w:rPr>
          <w:rStyle w:val="47"/>
          <w:rFonts w:hint="default"/>
          <w:color w:val="auto"/>
          <w:highlight w:val="none"/>
        </w:rPr>
        <w:br w:type="textWrapping"/>
      </w:r>
      <w:r>
        <w:rPr>
          <w:rStyle w:val="47"/>
          <w:rFonts w:hint="default"/>
          <w:color w:val="auto"/>
          <w:highlight w:val="none"/>
        </w:rPr>
        <w:t xml:space="preserve">   （3）132芯ODF光配箱满配，国标2套；</w:t>
      </w:r>
      <w:r>
        <w:rPr>
          <w:rStyle w:val="47"/>
          <w:rFonts w:hint="default"/>
          <w:color w:val="auto"/>
          <w:highlight w:val="none"/>
        </w:rPr>
        <w:br w:type="textWrapping"/>
      </w:r>
      <w:r>
        <w:rPr>
          <w:rStyle w:val="47"/>
          <w:rFonts w:hint="default"/>
          <w:color w:val="auto"/>
          <w:highlight w:val="none"/>
        </w:rPr>
        <w:t xml:space="preserve">   （4）144芯ODF光配箱满配，国标2套；</w:t>
      </w:r>
      <w:r>
        <w:rPr>
          <w:rStyle w:val="47"/>
          <w:rFonts w:hint="default"/>
          <w:color w:val="auto"/>
          <w:highlight w:val="none"/>
        </w:rPr>
        <w:br w:type="textWrapping"/>
      </w:r>
      <w:r>
        <w:rPr>
          <w:rStyle w:val="47"/>
          <w:rFonts w:hint="default"/>
          <w:color w:val="auto"/>
          <w:highlight w:val="none"/>
        </w:rPr>
        <w:t xml:space="preserve">   （5）156芯ODF光配箱满配，国标2套；</w:t>
      </w:r>
      <w:r>
        <w:rPr>
          <w:rStyle w:val="47"/>
          <w:rFonts w:hint="default"/>
          <w:color w:val="auto"/>
          <w:highlight w:val="none"/>
        </w:rPr>
        <w:br w:type="textWrapping"/>
      </w:r>
      <w:r>
        <w:rPr>
          <w:rStyle w:val="47"/>
          <w:rFonts w:hint="default"/>
          <w:color w:val="auto"/>
          <w:highlight w:val="none"/>
        </w:rPr>
        <w:t xml:space="preserve">   （6）196芯ODF光配箱满配，国标1套；</w:t>
      </w:r>
    </w:p>
    <w:p>
      <w:pPr>
        <w:pStyle w:val="41"/>
        <w:ind w:firstLine="0" w:firstLineChars="0"/>
        <w:jc w:val="left"/>
        <w:rPr>
          <w:rStyle w:val="47"/>
          <w:rFonts w:hint="default"/>
          <w:color w:val="auto"/>
          <w:highlight w:val="none"/>
        </w:rPr>
      </w:pPr>
      <w:r>
        <w:rPr>
          <w:rStyle w:val="47"/>
          <w:rFonts w:hint="default"/>
          <w:color w:val="auto"/>
          <w:highlight w:val="none"/>
        </w:rPr>
        <w:t xml:space="preserve">   （7）240芯ODF光配箱满配，国标1套；</w:t>
      </w:r>
    </w:p>
    <w:p>
      <w:pPr>
        <w:pStyle w:val="41"/>
        <w:ind w:firstLine="0" w:firstLineChars="0"/>
        <w:jc w:val="left"/>
        <w:rPr>
          <w:rStyle w:val="47"/>
          <w:rFonts w:hint="default"/>
          <w:color w:val="auto"/>
          <w:highlight w:val="none"/>
        </w:rPr>
      </w:pPr>
      <w:r>
        <w:rPr>
          <w:rStyle w:val="47"/>
          <w:rFonts w:hint="default"/>
          <w:color w:val="auto"/>
          <w:highlight w:val="none"/>
        </w:rPr>
        <w:t xml:space="preserve">   （8）252芯ODF光配箱满配，国标2套；</w:t>
      </w:r>
    </w:p>
    <w:p>
      <w:pPr>
        <w:pStyle w:val="41"/>
        <w:ind w:firstLine="0" w:firstLineChars="0"/>
        <w:jc w:val="left"/>
        <w:rPr>
          <w:rStyle w:val="47"/>
          <w:rFonts w:hint="default"/>
          <w:color w:val="auto"/>
          <w:highlight w:val="none"/>
        </w:rPr>
      </w:pPr>
      <w:r>
        <w:rPr>
          <w:rStyle w:val="47"/>
          <w:rFonts w:hint="default"/>
          <w:color w:val="auto"/>
          <w:highlight w:val="none"/>
        </w:rPr>
        <w:t xml:space="preserve">   （9）480芯ODF光配箱满配，国标2套；</w:t>
      </w:r>
    </w:p>
    <w:p>
      <w:pPr>
        <w:pStyle w:val="41"/>
        <w:ind w:firstLine="0" w:firstLineChars="0"/>
        <w:jc w:val="left"/>
        <w:rPr>
          <w:rStyle w:val="47"/>
          <w:rFonts w:hint="default"/>
          <w:color w:val="auto"/>
          <w:highlight w:val="none"/>
        </w:rPr>
      </w:pPr>
      <w:r>
        <w:rPr>
          <w:rStyle w:val="47"/>
          <w:rFonts w:hint="default"/>
          <w:color w:val="auto"/>
          <w:highlight w:val="none"/>
        </w:rPr>
        <w:t xml:space="preserve">   （10）612芯ODF光配箱满配，国标1套；</w:t>
      </w:r>
    </w:p>
    <w:p>
      <w:pPr>
        <w:pStyle w:val="41"/>
        <w:ind w:firstLine="0" w:firstLineChars="0"/>
        <w:jc w:val="left"/>
        <w:rPr>
          <w:rStyle w:val="47"/>
          <w:rFonts w:hint="default"/>
          <w:color w:val="auto"/>
          <w:highlight w:val="none"/>
        </w:rPr>
      </w:pPr>
      <w:r>
        <w:rPr>
          <w:rStyle w:val="47"/>
          <w:rFonts w:hint="default"/>
          <w:color w:val="auto"/>
          <w:highlight w:val="none"/>
        </w:rPr>
        <w:t xml:space="preserve">   （11）708芯ODF光配箱满配，国标1套；</w:t>
      </w:r>
    </w:p>
    <w:p>
      <w:pPr>
        <w:pStyle w:val="41"/>
        <w:ind w:firstLine="0" w:firstLineChars="0"/>
        <w:jc w:val="left"/>
        <w:rPr>
          <w:rStyle w:val="47"/>
          <w:rFonts w:hint="default"/>
          <w:color w:val="auto"/>
          <w:highlight w:val="none"/>
        </w:rPr>
      </w:pPr>
      <w:r>
        <w:rPr>
          <w:rStyle w:val="47"/>
          <w:rFonts w:hint="default"/>
          <w:color w:val="auto"/>
          <w:highlight w:val="none"/>
        </w:rPr>
        <w:t xml:space="preserve">   （12）756芯ODF光配箱满配，国标1套；</w:t>
      </w:r>
    </w:p>
    <w:p>
      <w:pPr>
        <w:pStyle w:val="41"/>
        <w:ind w:firstLine="0" w:firstLineChars="0"/>
        <w:jc w:val="left"/>
        <w:rPr>
          <w:rFonts w:ascii="Times New Roman" w:hAnsi="Times New Roman" w:eastAsia="宋体" w:cs="Times New Roman"/>
          <w:b/>
          <w:color w:val="auto"/>
          <w:sz w:val="24"/>
          <w:szCs w:val="24"/>
          <w:highlight w:val="none"/>
        </w:rPr>
      </w:pPr>
    </w:p>
    <w:p>
      <w:pPr>
        <w:pStyle w:val="41"/>
        <w:ind w:firstLine="0" w:firstLineChars="0"/>
        <w:rPr>
          <w:b/>
          <w:color w:val="auto"/>
          <w:sz w:val="28"/>
          <w:szCs w:val="28"/>
          <w:highlight w:val="none"/>
        </w:rPr>
      </w:pPr>
      <w:r>
        <w:rPr>
          <w:rFonts w:hint="eastAsia"/>
          <w:b/>
          <w:color w:val="auto"/>
          <w:sz w:val="28"/>
          <w:szCs w:val="28"/>
          <w:highlight w:val="none"/>
        </w:rPr>
        <w:t>三、</w:t>
      </w:r>
      <w:r>
        <w:rPr>
          <w:b/>
          <w:color w:val="auto"/>
          <w:sz w:val="28"/>
          <w:szCs w:val="28"/>
          <w:highlight w:val="none"/>
        </w:rPr>
        <w:t>商务要求</w:t>
      </w:r>
    </w:p>
    <w:bookmarkEnd w:id="13"/>
    <w:bookmarkEnd w:id="14"/>
    <w:bookmarkEnd w:id="15"/>
    <w:bookmarkEnd w:id="16"/>
    <w:bookmarkEnd w:id="17"/>
    <w:bookmarkEnd w:id="18"/>
    <w:bookmarkEnd w:id="19"/>
    <w:bookmarkEnd w:id="20"/>
    <w:bookmarkEnd w:id="21"/>
    <w:bookmarkEnd w:id="22"/>
    <w:bookmarkEnd w:id="23"/>
    <w:bookmarkEnd w:id="24"/>
    <w:p>
      <w:pPr>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）工期和质保期要求</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1、工期要求：</w:t>
      </w:r>
      <w:r>
        <w:rPr>
          <w:rFonts w:hint="eastAsia" w:ascii="Times New Roman" w:hAnsi="Times New Roman" w:eastAsia="宋体" w:cs="Times New Roman"/>
          <w:color w:val="auto"/>
          <w:sz w:val="24"/>
          <w:szCs w:val="24"/>
          <w:highlight w:val="none"/>
        </w:rPr>
        <w:t>合同签订后一个月内完成供货及安装调试。</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2、质保期从最终验收合格之日开始计算，维保期限为</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年。</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售后服务响应时间：7*8小时服务，2小时到现场，4小时解决故障</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rPr>
        <w:t>二</w:t>
      </w:r>
      <w:r>
        <w:rPr>
          <w:rFonts w:ascii="Times New Roman" w:hAnsi="Times New Roman" w:eastAsia="宋体" w:cs="Times New Roman"/>
          <w:color w:val="auto"/>
          <w:sz w:val="24"/>
          <w:szCs w:val="24"/>
          <w:highlight w:val="none"/>
          <w:lang w:val="zh-CN"/>
        </w:rPr>
        <w:t>）验收标准</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p>
      <w:pPr>
        <w:pStyle w:val="11"/>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在合同生效以及具备实施条件后7个工作日内，采购人向中标人支付合同总价的40%作为预付款，余款在项目整体验收合格并收到中标方正规发票后7个工作日内付清，货款凭发票，合同、采购验收单由采购人支付。</w:t>
      </w:r>
    </w:p>
    <w:p>
      <w:pPr>
        <w:pStyle w:val="11"/>
        <w:spacing w:line="360" w:lineRule="auto"/>
        <w:ind w:firstLine="480" w:firstLineChars="200"/>
        <w:rPr>
          <w:rFonts w:ascii="Times New Roman" w:hAnsi="Times New Roman" w:cs="Times New Roman"/>
          <w:color w:val="auto"/>
          <w:sz w:val="36"/>
          <w:highlight w:val="none"/>
        </w:rPr>
      </w:pPr>
      <w:r>
        <w:rPr>
          <w:rFonts w:hint="eastAsia" w:ascii="Times New Roman" w:hAnsi="Times New Roman" w:cs="Times New Roman"/>
          <w:color w:val="auto"/>
          <w:sz w:val="24"/>
          <w:szCs w:val="24"/>
          <w:highlight w:val="none"/>
        </w:rPr>
        <w:t>在签订合同时，中标方明确表示无需预付款或者主动要求降低预付款比例的，采购单位可不支付或减少预付款支付比例</w:t>
      </w:r>
      <w:r>
        <w:rPr>
          <w:rFonts w:ascii="Times New Roman" w:hAnsi="Times New Roman" w:cs="Times New Roman"/>
          <w:color w:val="auto"/>
          <w:sz w:val="24"/>
          <w:szCs w:val="24"/>
          <w:highlight w:val="none"/>
        </w:rPr>
        <w:t>。</w:t>
      </w:r>
      <w:bookmarkEnd w:id="12"/>
    </w:p>
    <w:p>
      <w:pPr>
        <w:rPr>
          <w:rFonts w:ascii="Times New Roman" w:hAnsi="Times New Roman" w:eastAsia="宋体" w:cs="Times New Roman"/>
          <w:color w:val="auto"/>
          <w:sz w:val="36"/>
          <w:highlight w:val="none"/>
        </w:rPr>
      </w:pPr>
      <w:r>
        <w:rPr>
          <w:rFonts w:ascii="Times New Roman" w:hAnsi="Times New Roman" w:eastAsia="宋体" w:cs="Times New Roman"/>
          <w:color w:val="auto"/>
          <w:sz w:val="36"/>
          <w:highlight w:val="none"/>
        </w:rPr>
        <w:br w:type="page"/>
      </w:r>
    </w:p>
    <w:p>
      <w:pPr>
        <w:pStyle w:val="5"/>
        <w:spacing w:line="360" w:lineRule="auto"/>
        <w:ind w:firstLine="1446" w:firstLineChars="400"/>
        <w:rPr>
          <w:rFonts w:ascii="Times New Roman" w:hAnsi="Times New Roman" w:eastAsia="宋体" w:cs="Times New Roman"/>
          <w:color w:val="auto"/>
          <w:sz w:val="36"/>
          <w:highlight w:val="none"/>
        </w:rPr>
      </w:pPr>
      <w:r>
        <w:rPr>
          <w:rFonts w:ascii="Times New Roman" w:hAnsi="Times New Roman" w:eastAsia="宋体" w:cs="Times New Roman"/>
          <w:color w:val="auto"/>
          <w:sz w:val="36"/>
          <w:highlight w:val="none"/>
        </w:rPr>
        <w:t>第四章  开标、评标和定标须知</w:t>
      </w:r>
    </w:p>
    <w:p>
      <w:pPr>
        <w:pStyle w:val="6"/>
        <w:widowControl/>
        <w:spacing w:before="0" w:after="0" w:line="360" w:lineRule="auto"/>
        <w:jc w:val="left"/>
        <w:rPr>
          <w:rFonts w:ascii="Times New Roman" w:hAnsi="Times New Roman" w:eastAsia="宋体" w:cs="Times New Roman"/>
          <w:color w:val="auto"/>
          <w:sz w:val="28"/>
          <w:szCs w:val="28"/>
          <w:highlight w:val="none"/>
        </w:rPr>
      </w:pPr>
      <w:bookmarkStart w:id="25" w:name="_Toc384297860"/>
      <w:bookmarkStart w:id="26" w:name="_Toc406413937"/>
      <w:bookmarkStart w:id="27" w:name="_Toc263090375"/>
      <w:bookmarkStart w:id="28" w:name="_Toc274303253"/>
      <w:bookmarkStart w:id="29" w:name="_Toc362250705"/>
      <w:bookmarkStart w:id="30" w:name="_Toc226973002"/>
      <w:bookmarkStart w:id="31" w:name="_Toc261519847"/>
      <w:bookmarkStart w:id="32" w:name="_Toc362268017"/>
      <w:r>
        <w:rPr>
          <w:rFonts w:ascii="Times New Roman" w:hAnsi="Times New Roman" w:eastAsia="宋体" w:cs="Times New Roman"/>
          <w:color w:val="auto"/>
          <w:sz w:val="28"/>
          <w:szCs w:val="28"/>
          <w:highlight w:val="none"/>
        </w:rPr>
        <w:t>一、开标</w:t>
      </w:r>
      <w:bookmarkEnd w:id="25"/>
      <w:bookmarkEnd w:id="26"/>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1、本项目实行电子开评标，投标方无需前往开评标现场，只需在规定时间内在“政采云”平台上上传电子投标文件。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2、电子开评标及评审程序</w:t>
      </w:r>
    </w:p>
    <w:p>
      <w:pPr>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2.2.评标小组对投标方的资格和商务技术响应文件进行评审；</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2.3评标小组对报价响应文件进行评审；</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2.4在系统上公布评审结果。</w:t>
      </w:r>
    </w:p>
    <w:p>
      <w:pPr>
        <w:spacing w:line="360" w:lineRule="auto"/>
        <w:ind w:firstLine="482" w:firstLineChars="200"/>
        <w:rPr>
          <w:rFonts w:ascii="Times New Roman" w:hAnsi="Times New Roman" w:eastAsia="宋体" w:cs="Times New Roman"/>
          <w:b/>
          <w:color w:val="auto"/>
          <w:sz w:val="24"/>
          <w:highlight w:val="none"/>
          <w:u w:val="single"/>
        </w:rPr>
      </w:pPr>
      <w:r>
        <w:rPr>
          <w:rFonts w:ascii="Times New Roman" w:hAnsi="Times New Roman" w:eastAsia="宋体" w:cs="Times New Roman"/>
          <w:b/>
          <w:color w:val="auto"/>
          <w:sz w:val="24"/>
          <w:highlight w:val="none"/>
          <w:u w:val="single"/>
        </w:rPr>
        <w:t>特别说明：政采云公司如对电子化开标及评审程序有调整的，按调整后的程序操作。</w:t>
      </w:r>
    </w:p>
    <w:p>
      <w:pPr>
        <w:pStyle w:val="6"/>
        <w:spacing w:before="0" w:after="0"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二、评标</w:t>
      </w:r>
      <w:bookmarkEnd w:id="27"/>
      <w:bookmarkEnd w:id="28"/>
      <w:bookmarkEnd w:id="29"/>
      <w:bookmarkEnd w:id="30"/>
      <w:bookmarkEnd w:id="31"/>
    </w:p>
    <w:p>
      <w:pPr>
        <w:spacing w:line="360" w:lineRule="auto"/>
        <w:ind w:firstLine="480"/>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3、评标小组</w:t>
      </w:r>
    </w:p>
    <w:p>
      <w:pPr>
        <w:pStyle w:val="11"/>
        <w:tabs>
          <w:tab w:val="left" w:pos="0"/>
        </w:tabs>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4、评标原则</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4.1评标小组将遵循公开、公平、公正的原则，严格遵守评标工作纪律。</w:t>
      </w:r>
    </w:p>
    <w:p>
      <w:pPr>
        <w:spacing w:line="360" w:lineRule="auto"/>
        <w:ind w:firstLine="480"/>
        <w:rPr>
          <w:rFonts w:ascii="Times New Roman" w:hAnsi="Times New Roman" w:eastAsia="宋体" w:cs="Times New Roman"/>
          <w:bCs/>
          <w:color w:val="auto"/>
          <w:sz w:val="24"/>
          <w:highlight w:val="none"/>
        </w:rPr>
      </w:pPr>
      <w:r>
        <w:rPr>
          <w:rFonts w:ascii="Times New Roman" w:hAnsi="Times New Roman" w:eastAsia="宋体" w:cs="Times New Roman"/>
          <w:color w:val="auto"/>
          <w:sz w:val="24"/>
          <w:highlight w:val="none"/>
        </w:rPr>
        <w:t>4.2先评资格及商务技术响应文件，再评报价响应文件</w:t>
      </w:r>
      <w:r>
        <w:rPr>
          <w:rFonts w:ascii="Times New Roman" w:hAnsi="Times New Roman" w:eastAsia="宋体" w:cs="Times New Roman"/>
          <w:bCs/>
          <w:color w:val="auto"/>
          <w:sz w:val="24"/>
          <w:highlight w:val="none"/>
        </w:rPr>
        <w:t>。</w:t>
      </w:r>
    </w:p>
    <w:p>
      <w:pPr>
        <w:spacing w:line="360" w:lineRule="auto"/>
        <w:ind w:firstLine="480"/>
        <w:rPr>
          <w:rFonts w:ascii="Times New Roman" w:hAnsi="Times New Roman" w:eastAsia="宋体" w:cs="Times New Roman"/>
          <w:color w:val="auto"/>
          <w:sz w:val="24"/>
          <w:highlight w:val="none"/>
        </w:rPr>
      </w:pPr>
      <w:r>
        <w:rPr>
          <w:rFonts w:ascii="Times New Roman" w:hAnsi="Times New Roman" w:eastAsia="宋体" w:cs="Times New Roman"/>
          <w:bCs/>
          <w:color w:val="auto"/>
          <w:sz w:val="24"/>
          <w:highlight w:val="none"/>
        </w:rPr>
        <w:t>4.3</w:t>
      </w:r>
      <w:r>
        <w:rPr>
          <w:rFonts w:ascii="Times New Roman" w:hAnsi="Times New Roman" w:eastAsia="宋体" w:cs="Times New Roman"/>
          <w:color w:val="auto"/>
          <w:sz w:val="24"/>
          <w:highlight w:val="none"/>
        </w:rPr>
        <w:t>客观公正对待所有投标人，对所有投标评标均采用相同的程序和标准。评标的依据为招标文件和投标文件。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4.4有利于提高政府投资效益，节约建设资金。</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4.5异常或特殊情况处理：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4.5.1在评标过程中，如发现招标文件中内容有不一致的（除招标文件中其它地方另有规定的外），经评标小组成员讨论认为不影响评标的，可以继续评标。</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4.5.2在评标过程中，出现其它异常或特殊情况时，由评标小组集体讨论决定。</w:t>
      </w:r>
    </w:p>
    <w:p>
      <w:pPr>
        <w:pStyle w:val="11"/>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color w:val="auto"/>
          <w:sz w:val="24"/>
          <w:highlight w:val="none"/>
        </w:rPr>
        <w:t>5、评标过程的保密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5.2在投标文件的评标和比较、中标候选人推荐以及授予合同的过程中，投标人向采购人和评标小组施加影响的任何行为，都将会导致其投标被拒绝。</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ascii="Times New Roman" w:hAnsi="Times New Roman" w:eastAsia="宋体" w:cs="Times New Roman"/>
          <w:color w:val="auto"/>
          <w:spacing w:val="-4"/>
          <w:sz w:val="24"/>
          <w:highlight w:val="none"/>
        </w:rPr>
      </w:pPr>
      <w:r>
        <w:rPr>
          <w:rFonts w:ascii="Times New Roman" w:hAnsi="Times New Roman" w:eastAsia="宋体" w:cs="Times New Roman"/>
          <w:color w:val="auto"/>
          <w:sz w:val="24"/>
          <w:highlight w:val="none"/>
        </w:rPr>
        <w:t>5.4</w:t>
      </w:r>
      <w:r>
        <w:rPr>
          <w:rFonts w:ascii="Times New Roman" w:hAnsi="Times New Roman" w:eastAsia="宋体" w:cs="Times New Roman"/>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1"/>
        <w:tabs>
          <w:tab w:val="left" w:pos="0"/>
        </w:tabs>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5.5评标小组不向落标方解释落标原因，不退还投标文件。</w:t>
      </w:r>
    </w:p>
    <w:p>
      <w:pPr>
        <w:numPr>
          <w:ilvl w:val="0"/>
          <w:numId w:val="14"/>
        </w:numPr>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投标人的认定</w:t>
      </w:r>
    </w:p>
    <w:p>
      <w:pPr>
        <w:pStyle w:val="11"/>
        <w:spacing w:line="360" w:lineRule="auto"/>
        <w:ind w:firstLine="480" w:firstLineChars="200"/>
        <w:rPr>
          <w:rFonts w:ascii="Times New Roman" w:hAnsi="Times New Roman" w:cs="Times New Roman"/>
          <w:color w:val="auto"/>
          <w:sz w:val="24"/>
          <w:highlight w:val="none"/>
        </w:rPr>
      </w:pPr>
      <w:bookmarkStart w:id="33" w:name="_Hlk24447288"/>
      <w:r>
        <w:rPr>
          <w:rFonts w:ascii="Times New Roman" w:hAnsi="Times New Roman" w:cs="Times New Roman"/>
          <w:color w:val="auto"/>
          <w:sz w:val="24"/>
          <w:szCs w:val="24"/>
          <w:highlight w:val="none"/>
        </w:rPr>
        <w:t>不同供应商所投的</w:t>
      </w:r>
      <w:r>
        <w:rPr>
          <w:rFonts w:hint="eastAsia" w:ascii="Times New Roman" w:hAnsi="Times New Roman" w:cs="Times New Roman"/>
          <w:color w:val="auto"/>
          <w:sz w:val="24"/>
          <w:szCs w:val="24"/>
          <w:highlight w:val="none"/>
        </w:rPr>
        <w:t>核心</w:t>
      </w:r>
      <w:r>
        <w:rPr>
          <w:rFonts w:ascii="Times New Roman" w:hAnsi="Times New Roman" w:cs="Times New Roman"/>
          <w:color w:val="auto"/>
          <w:sz w:val="24"/>
          <w:szCs w:val="24"/>
          <w:highlight w:val="none"/>
        </w:rPr>
        <w:t>产品</w:t>
      </w:r>
      <w:r>
        <w:rPr>
          <w:rFonts w:hint="eastAsia" w:ascii="Times New Roman" w:hAnsi="Times New Roman" w:cs="Times New Roman"/>
          <w:color w:val="auto"/>
          <w:sz w:val="24"/>
          <w:szCs w:val="24"/>
          <w:highlight w:val="none"/>
          <w:u w:val="single"/>
        </w:rPr>
        <w:t>核心交换机</w:t>
      </w:r>
      <w:r>
        <w:rPr>
          <w:rFonts w:ascii="Times New Roman" w:hAnsi="Times New Roman" w:cs="Times New Roman"/>
          <w:color w:val="auto"/>
          <w:sz w:val="24"/>
          <w:szCs w:val="24"/>
          <w:highlight w:val="none"/>
        </w:rPr>
        <w:t>为同一品牌的应当按一个供应商认定。评审时取其中综合评分最高的一家为有效供应商；当综合评分相同时，取其中</w:t>
      </w:r>
      <w:r>
        <w:rPr>
          <w:rFonts w:hint="eastAsia" w:ascii="Times New Roman" w:hAnsi="Times New Roman" w:cs="Times New Roman"/>
          <w:color w:val="auto"/>
          <w:sz w:val="24"/>
          <w:szCs w:val="24"/>
          <w:highlight w:val="none"/>
        </w:rPr>
        <w:t>商务</w:t>
      </w:r>
      <w:r>
        <w:rPr>
          <w:rFonts w:ascii="Times New Roman" w:hAnsi="Times New Roman" w:cs="Times New Roman"/>
          <w:color w:val="auto"/>
          <w:sz w:val="24"/>
          <w:szCs w:val="24"/>
          <w:highlight w:val="none"/>
        </w:rPr>
        <w:t>技术分最高的一家为有效供应商，都相同时，由采购人代表随机抽取决定</w:t>
      </w:r>
      <w:r>
        <w:rPr>
          <w:rFonts w:hint="eastAsia" w:ascii="Times New Roman" w:hAnsi="Times New Roman" w:cs="Times New Roman"/>
          <w:color w:val="auto"/>
          <w:sz w:val="24"/>
          <w:szCs w:val="24"/>
          <w:highlight w:val="none"/>
        </w:rPr>
        <w:t>。</w:t>
      </w:r>
    </w:p>
    <w:p>
      <w:pPr>
        <w:pStyle w:val="11"/>
        <w:spacing w:line="360" w:lineRule="auto"/>
        <w:ind w:firstLine="480" w:firstLineChars="200"/>
        <w:rPr>
          <w:rFonts w:ascii="Times New Roman" w:hAnsi="Times New Roman" w:cs="Times New Roman"/>
          <w:color w:val="auto"/>
          <w:spacing w:val="-4"/>
          <w:sz w:val="24"/>
          <w:highlight w:val="none"/>
        </w:rPr>
      </w:pPr>
      <w:r>
        <w:rPr>
          <w:rFonts w:ascii="Times New Roman" w:hAnsi="Times New Roman" w:cs="Times New Roman"/>
          <w:color w:val="auto"/>
          <w:sz w:val="24"/>
          <w:highlight w:val="none"/>
        </w:rPr>
        <w:t>单位负责人为同一人或者存在直接控股、管理关系的不同</w:t>
      </w:r>
      <w:r>
        <w:rPr>
          <w:rFonts w:hint="eastAsia" w:ascii="Times New Roman" w:hAnsi="Times New Roman" w:cs="Times New Roman"/>
          <w:color w:val="auto"/>
          <w:sz w:val="24"/>
          <w:highlight w:val="none"/>
        </w:rPr>
        <w:t>投标人</w:t>
      </w:r>
      <w:r>
        <w:rPr>
          <w:rFonts w:ascii="Times New Roman" w:hAnsi="Times New Roman" w:cs="Times New Roman"/>
          <w:color w:val="auto"/>
          <w:sz w:val="24"/>
          <w:highlight w:val="none"/>
        </w:rPr>
        <w:t>，不得参加同一合同项下的政府采购活动。</w:t>
      </w:r>
      <w:bookmarkEnd w:id="33"/>
    </w:p>
    <w:p>
      <w:pPr>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7、投标文件的澄清</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7.2如果投标方代表拒绝按评标小组要求在“政采云”平台作出在线回复且无其他有效回复方式的，评标小组可以对其作出无效标处理。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w:t>
      </w:r>
      <w:r>
        <w:rPr>
          <w:rFonts w:ascii="Times New Roman" w:hAnsi="Times New Roman" w:eastAsia="宋体" w:cs="Times New Roman"/>
          <w:b/>
          <w:color w:val="auto"/>
          <w:sz w:val="24"/>
          <w:highlight w:val="none"/>
        </w:rPr>
        <w:t>投标文件的初步评标</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8.1开标后，评标小组将对每份投标文件进行初步评标，初步评标内容为：</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8.1.1是否出现第五章规定的内容；</w:t>
      </w:r>
    </w:p>
    <w:p>
      <w:pPr>
        <w:spacing w:line="360" w:lineRule="auto"/>
        <w:ind w:firstLine="480" w:firstLineChars="200"/>
        <w:rPr>
          <w:rFonts w:ascii="Times New Roman" w:hAnsi="Times New Roman" w:eastAsia="宋体" w:cs="Times New Roman"/>
          <w:color w:val="auto"/>
          <w:spacing w:val="-4"/>
          <w:sz w:val="24"/>
          <w:highlight w:val="none"/>
        </w:rPr>
      </w:pPr>
      <w:r>
        <w:rPr>
          <w:rFonts w:ascii="Times New Roman" w:hAnsi="Times New Roman" w:eastAsia="宋体" w:cs="Times New Roman"/>
          <w:color w:val="auto"/>
          <w:sz w:val="24"/>
          <w:highlight w:val="none"/>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8.3如果投标文件实质上不响应招标文件的各项要求，评标小组将予以拒绝，并且不允许投标人通过修改或撤销其不符合要求的差异或保留，使之成为具有响应性的投标。</w:t>
      </w:r>
    </w:p>
    <w:p>
      <w:pPr>
        <w:pStyle w:val="11"/>
        <w:spacing w:line="360" w:lineRule="auto"/>
        <w:ind w:firstLine="482"/>
        <w:rPr>
          <w:rFonts w:ascii="Times New Roman" w:hAnsi="Times New Roman" w:cs="Times New Roman"/>
          <w:b/>
          <w:color w:val="auto"/>
          <w:sz w:val="24"/>
          <w:highlight w:val="none"/>
        </w:rPr>
      </w:pPr>
      <w:r>
        <w:rPr>
          <w:rFonts w:ascii="Times New Roman" w:hAnsi="Times New Roman" w:cs="Times New Roman"/>
          <w:b/>
          <w:color w:val="auto"/>
          <w:sz w:val="24"/>
          <w:highlight w:val="none"/>
        </w:rPr>
        <w:t>9、投标文件计算错误的修正</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9.1评标小组将对确定为实质上响应招标文件要求的投标文件进行校核，看其是否有计算或表达上的错误，修正错误的原则如下：</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9.1.1投标文件中开标一览表（报价表）内容与投标文件中相应内容不一致的，以开标一览表（报价表）为准；</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9.1.2大写金额和小写金额不一致的，以大写金额为准；</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9.1.3单价金额小数点或者百分比有明显错位的，以开标一览表的总价为准，并修改单价；</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9.1.4总价金额与按单价汇总金额不一致的，以单价金额计算结果为准。</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9.1.5对不同文字文本投标文件的解释发生异义的，以中文文本为准。</w:t>
      </w:r>
    </w:p>
    <w:p>
      <w:pPr>
        <w:pStyle w:val="11"/>
        <w:spacing w:line="360" w:lineRule="auto"/>
        <w:ind w:firstLine="482"/>
        <w:rPr>
          <w:rFonts w:ascii="Times New Roman" w:hAnsi="Times New Roman" w:cs="Times New Roman"/>
          <w:color w:val="auto"/>
          <w:sz w:val="24"/>
          <w:highlight w:val="none"/>
        </w:rPr>
      </w:pPr>
      <w:r>
        <w:rPr>
          <w:rFonts w:ascii="Times New Roman" w:hAnsi="Times New Roman" w:cs="Times New Roman"/>
          <w:color w:val="auto"/>
          <w:sz w:val="24"/>
          <w:highlight w:val="none"/>
        </w:rPr>
        <w:t>9.1.6客户端填写的报价与以pdf格式上传文件中的报价不一致的，应以Pdf格式上传文件中的报价为准。</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评标小组可以拒绝接受不是中文版的投标文件以及与投标相关的资料。</w:t>
      </w:r>
    </w:p>
    <w:p>
      <w:pPr>
        <w:spacing w:line="360" w:lineRule="auto"/>
        <w:ind w:firstLine="470" w:firstLineChars="196"/>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10、投标文件的评标、比较和否决</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10.1评标小组将按照本须知规定，仅对在实质上响应招标文件要求的投标文件进行评估和比较。</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10.2在评标过程中，评标小组可以要求投标人就投标文件中含义不明确的内容进行书面说明并提供相关材料。</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10.3评标小组在作出任何一项无效标决定前，都应当严格遵循以下程序：</w:t>
      </w:r>
    </w:p>
    <w:p>
      <w:pPr>
        <w:spacing w:line="360" w:lineRule="auto"/>
        <w:ind w:firstLine="472" w:firstLineChars="196"/>
        <w:rPr>
          <w:rFonts w:ascii="Times New Roman" w:hAnsi="Times New Roman" w:eastAsia="宋体" w:cs="Times New Roman"/>
          <w:b/>
          <w:color w:val="auto"/>
          <w:sz w:val="24"/>
          <w:highlight w:val="none"/>
          <w:shd w:val="pct10" w:color="auto" w:fill="FFFFFF"/>
        </w:rPr>
      </w:pPr>
      <w:r>
        <w:rPr>
          <w:rFonts w:ascii="Times New Roman" w:hAnsi="Times New Roman" w:eastAsia="宋体" w:cs="Times New Roman"/>
          <w:b/>
          <w:color w:val="auto"/>
          <w:sz w:val="24"/>
          <w:highlight w:val="none"/>
          <w:shd w:val="pct10" w:color="auto" w:fill="FFFFFF"/>
        </w:rPr>
        <w:t>10.3.1要求当事投标人作相应的答辩；</w:t>
      </w:r>
    </w:p>
    <w:p>
      <w:pPr>
        <w:spacing w:line="360" w:lineRule="auto"/>
        <w:ind w:firstLine="472" w:firstLineChars="196"/>
        <w:rPr>
          <w:rFonts w:ascii="Times New Roman" w:hAnsi="Times New Roman" w:eastAsia="宋体" w:cs="Times New Roman"/>
          <w:b/>
          <w:color w:val="auto"/>
          <w:sz w:val="24"/>
          <w:highlight w:val="none"/>
          <w:shd w:val="pct10" w:color="auto" w:fill="FFFFFF"/>
        </w:rPr>
      </w:pPr>
      <w:r>
        <w:rPr>
          <w:rFonts w:ascii="Times New Roman" w:hAnsi="Times New Roman" w:eastAsia="宋体" w:cs="Times New Roman"/>
          <w:b/>
          <w:color w:val="auto"/>
          <w:sz w:val="24"/>
          <w:highlight w:val="none"/>
          <w:shd w:val="pct10" w:color="auto" w:fill="FFFFFF"/>
        </w:rPr>
        <w:t>10.3.2在充分讨论的基础上集体表决；</w:t>
      </w:r>
    </w:p>
    <w:p>
      <w:pPr>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10.4评标小组经评标，认为所有投标都不符合招标文件要求时，可以否决所有投标。所有投标被否决后，采购人应当依法重新招标。</w:t>
      </w:r>
    </w:p>
    <w:p>
      <w:pPr>
        <w:pStyle w:val="11"/>
        <w:spacing w:line="360" w:lineRule="auto"/>
        <w:ind w:firstLine="482"/>
        <w:rPr>
          <w:rFonts w:ascii="Times New Roman" w:hAnsi="Times New Roman" w:cs="Times New Roman"/>
          <w:b/>
          <w:color w:val="auto"/>
          <w:spacing w:val="-4"/>
          <w:sz w:val="24"/>
          <w:highlight w:val="none"/>
        </w:rPr>
      </w:pPr>
      <w:r>
        <w:rPr>
          <w:rFonts w:ascii="Times New Roman" w:hAnsi="Times New Roman" w:cs="Times New Roman"/>
          <w:b/>
          <w:color w:val="auto"/>
          <w:spacing w:val="-4"/>
          <w:sz w:val="24"/>
          <w:highlight w:val="none"/>
        </w:rPr>
        <w:t>11、评标办法</w:t>
      </w:r>
    </w:p>
    <w:p>
      <w:pPr>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11.1本项目综合评分法（具体评标办法见后）。</w:t>
      </w:r>
    </w:p>
    <w:p>
      <w:pPr>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12、决标</w:t>
      </w:r>
    </w:p>
    <w:p>
      <w:pPr>
        <w:spacing w:line="360" w:lineRule="auto"/>
        <w:ind w:firstLine="573"/>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评标小组依据本招标文件规定的评标标准和方法，对投标文件进行评标和比较，向采购人提出书面评标报告，并直接确定中标人。</w:t>
      </w:r>
    </w:p>
    <w:p>
      <w:pPr>
        <w:pStyle w:val="6"/>
        <w:spacing w:before="0" w:after="0" w:line="360" w:lineRule="auto"/>
        <w:rPr>
          <w:rFonts w:ascii="Times New Roman" w:hAnsi="Times New Roman" w:eastAsia="宋体" w:cs="Times New Roman"/>
          <w:color w:val="auto"/>
          <w:sz w:val="24"/>
          <w:szCs w:val="24"/>
          <w:highlight w:val="none"/>
        </w:rPr>
      </w:pPr>
      <w:bookmarkStart w:id="34" w:name="_Toc261519848"/>
      <w:bookmarkStart w:id="35" w:name="_Toc274303254"/>
      <w:bookmarkStart w:id="36" w:name="_Toc263090376"/>
      <w:bookmarkStart w:id="37" w:name="_Toc362250706"/>
      <w:bookmarkStart w:id="38" w:name="_Toc226973003"/>
      <w:r>
        <w:rPr>
          <w:rFonts w:ascii="Times New Roman" w:hAnsi="Times New Roman" w:eastAsia="宋体" w:cs="Times New Roman"/>
          <w:color w:val="auto"/>
          <w:sz w:val="24"/>
          <w:szCs w:val="24"/>
          <w:highlight w:val="none"/>
        </w:rPr>
        <w:t>三、定标</w:t>
      </w:r>
      <w:bookmarkEnd w:id="34"/>
      <w:bookmarkEnd w:id="35"/>
      <w:bookmarkEnd w:id="36"/>
      <w:bookmarkEnd w:id="37"/>
      <w:bookmarkEnd w:id="38"/>
    </w:p>
    <w:p>
      <w:pPr>
        <w:spacing w:line="360" w:lineRule="auto"/>
        <w:ind w:firstLine="482" w:firstLineChars="200"/>
        <w:rPr>
          <w:rFonts w:ascii="Times New Roman" w:hAnsi="Times New Roman" w:eastAsia="宋体" w:cs="Times New Roman"/>
          <w:b/>
          <w:bCs/>
          <w:color w:val="auto"/>
          <w:sz w:val="24"/>
          <w:highlight w:val="none"/>
        </w:rPr>
      </w:pPr>
      <w:r>
        <w:rPr>
          <w:rFonts w:ascii="Times New Roman" w:hAnsi="Times New Roman" w:eastAsia="宋体" w:cs="Times New Roman"/>
          <w:b/>
          <w:color w:val="auto"/>
          <w:kern w:val="0"/>
          <w:sz w:val="24"/>
          <w:highlight w:val="none"/>
        </w:rPr>
        <w:t>13、</w:t>
      </w:r>
      <w:r>
        <w:rPr>
          <w:rFonts w:ascii="Times New Roman" w:hAnsi="Times New Roman" w:eastAsia="宋体" w:cs="Times New Roman"/>
          <w:b/>
          <w:bCs/>
          <w:color w:val="auto"/>
          <w:sz w:val="24"/>
          <w:highlight w:val="none"/>
        </w:rPr>
        <w:t>中标通知</w:t>
      </w:r>
    </w:p>
    <w:p>
      <w:pPr>
        <w:pStyle w:val="11"/>
        <w:snapToGrid w:val="0"/>
        <w:spacing w:line="360" w:lineRule="auto"/>
        <w:ind w:firstLine="480" w:firstLineChars="200"/>
        <w:rPr>
          <w:rFonts w:ascii="Times New Roman" w:hAnsi="Times New Roman" w:cs="Times New Roman"/>
          <w:b/>
          <w:bCs/>
          <w:color w:val="auto"/>
          <w:sz w:val="24"/>
          <w:szCs w:val="24"/>
          <w:highlight w:val="none"/>
        </w:rPr>
      </w:pPr>
      <w:r>
        <w:rPr>
          <w:rFonts w:ascii="Times New Roman" w:hAnsi="Times New Roman" w:cs="Times New Roman"/>
          <w:color w:val="auto"/>
          <w:sz w:val="24"/>
          <w:szCs w:val="24"/>
          <w:highlight w:val="none"/>
        </w:rPr>
        <w:t>13.1评标结束后，评标结果公告</w:t>
      </w:r>
      <w:r>
        <w:rPr>
          <w:rFonts w:ascii="Times New Roman" w:hAnsi="Times New Roman" w:cs="Times New Roman"/>
          <w:color w:val="auto"/>
          <w:sz w:val="24"/>
          <w:szCs w:val="24"/>
          <w:highlight w:val="none"/>
          <w:u w:val="single"/>
        </w:rPr>
        <w:t>1</w:t>
      </w:r>
      <w:r>
        <w:rPr>
          <w:rFonts w:ascii="Times New Roman" w:hAnsi="Times New Roman" w:cs="Times New Roman"/>
          <w:color w:val="auto"/>
          <w:sz w:val="24"/>
          <w:szCs w:val="24"/>
          <w:highlight w:val="none"/>
        </w:rPr>
        <w:t>个工作日，发布评标结果公告的媒体为：浙江省政府采购网http://zfcg.czt.zj.gov.cn/、义乌市公共资源交易平台http://ywjypt.yw.gov.cn/。</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13.2发放中标通知书前，采购人或其委托的采购代理机构应在中国裁判文书网上查询中标（成交）单位及其拟派项目负责人自2019年1月1日至中标公告期结束前行贿犯罪记录情况，查询结果以网站页面显示内容为准。经查实，</w:t>
      </w:r>
      <w:r>
        <w:rPr>
          <w:rFonts w:ascii="Times New Roman" w:hAnsi="Times New Roman" w:eastAsia="宋体" w:cs="Times New Roman"/>
          <w:color w:val="auto"/>
          <w:sz w:val="24"/>
          <w:highlight w:val="none"/>
          <w:shd w:val="clear" w:color="auto" w:fill="FFFFFF"/>
        </w:rPr>
        <w:t>中标人</w:t>
      </w:r>
      <w:r>
        <w:rPr>
          <w:rFonts w:ascii="Times New Roman" w:hAnsi="Times New Roman" w:eastAsia="宋体" w:cs="Times New Roman"/>
          <w:color w:val="auto"/>
          <w:sz w:val="24"/>
          <w:highlight w:val="none"/>
        </w:rPr>
        <w:t>有前述行贿犯罪记录的，取消其中标资格，采购人依法重新组织采购。</w:t>
      </w:r>
    </w:p>
    <w:p>
      <w:pPr>
        <w:pStyle w:val="11"/>
        <w:tabs>
          <w:tab w:val="left" w:pos="900"/>
        </w:tabs>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13.3</w:t>
      </w:r>
      <w:r>
        <w:rPr>
          <w:rFonts w:hint="eastAsia" w:ascii="Times New Roman" w:hAnsi="Times New Roman" w:cs="Times New Roman"/>
          <w:color w:val="auto"/>
          <w:sz w:val="24"/>
          <w:highlight w:val="none"/>
        </w:rPr>
        <w:t>由采购人和其委托的采购代理机构共同签发《中标通知书》。《中标通知书》一经发出即发生法律效力</w:t>
      </w:r>
      <w:r>
        <w:rPr>
          <w:rFonts w:ascii="Times New Roman" w:hAnsi="Times New Roman" w:cs="Times New Roman"/>
          <w:color w:val="auto"/>
          <w:sz w:val="24"/>
          <w:highlight w:val="none"/>
        </w:rPr>
        <w:t>。</w:t>
      </w:r>
    </w:p>
    <w:p>
      <w:pPr>
        <w:pStyle w:val="11"/>
        <w:tabs>
          <w:tab w:val="left" w:pos="900"/>
        </w:tabs>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13.4开标过程中，投标人对开标有异议的，</w:t>
      </w:r>
      <w:r>
        <w:rPr>
          <w:rFonts w:ascii="Times New Roman" w:hAnsi="Times New Roman" w:cs="Times New Roman"/>
          <w:color w:val="auto"/>
          <w:sz w:val="24"/>
          <w:szCs w:val="24"/>
          <w:highlight w:val="none"/>
        </w:rPr>
        <w:t>应当在“政采云”平台上及时提出</w:t>
      </w:r>
      <w:r>
        <w:rPr>
          <w:rFonts w:ascii="Times New Roman" w:hAnsi="Times New Roman" w:cs="Times New Roman"/>
          <w:color w:val="auto"/>
          <w:sz w:val="24"/>
          <w:highlight w:val="none"/>
        </w:rPr>
        <w:t>，评标小组应对异常情况作记录。</w:t>
      </w:r>
    </w:p>
    <w:p>
      <w:pPr>
        <w:pStyle w:val="11"/>
        <w:tabs>
          <w:tab w:val="left" w:pos="900"/>
        </w:tabs>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1"/>
        <w:tabs>
          <w:tab w:val="left" w:pos="900"/>
        </w:tabs>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13.6质疑投诉的相关规定</w:t>
      </w:r>
    </w:p>
    <w:p>
      <w:pPr>
        <w:pStyle w:val="11"/>
        <w:tabs>
          <w:tab w:val="left" w:pos="900"/>
        </w:tabs>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（一）质疑投诉递交的资料需为书面材料。质疑投诉书面材料需法人代表人或授权代表签字并加盖公章。</w:t>
      </w:r>
    </w:p>
    <w:p>
      <w:pPr>
        <w:pStyle w:val="11"/>
        <w:tabs>
          <w:tab w:val="left" w:pos="900"/>
        </w:tabs>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（二）质疑投诉属于以下情况之一的，将不予受理：</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质疑投诉人不是所投诉项目的参与者，或者与质疑投诉项目无任何利害关系。</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质疑投诉事项不具体，且未提供有效线索，难以查证。</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未提供书面质疑或者质疑未加盖公章的；投诉人为法人或者其他组织，其投诉书未经法定代表人或者主要负责人签字并加盖公章的。</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已超过招标文件规定质疑投诉提出期限的事项。 </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投诉事项已作出处理决定，并且投诉人没有提出新的证据；</w:t>
      </w:r>
    </w:p>
    <w:p>
      <w:pPr>
        <w:pStyle w:val="11"/>
        <w:tabs>
          <w:tab w:val="left" w:pos="900"/>
        </w:tabs>
        <w:spacing w:line="440" w:lineRule="exact"/>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质疑投诉的事项已经进入行政复议或者行政诉讼程序的；投诉事项应先提出质疑而没有提出质疑的。</w:t>
      </w:r>
    </w:p>
    <w:p>
      <w:pPr>
        <w:pStyle w:val="11"/>
        <w:spacing w:line="360" w:lineRule="auto"/>
        <w:ind w:firstLine="600" w:firstLineChars="25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w:t>
      </w:r>
      <w:r>
        <w:rPr>
          <w:rFonts w:ascii="Times New Roman" w:hAnsi="Times New Roman" w:cs="Times New Roman"/>
          <w:color w:val="auto"/>
          <w:sz w:val="24"/>
          <w:highlight w:val="none"/>
        </w:rPr>
        <w:t>不符合《政府采购质疑和投诉办法》（财政部令第94号）和《关于印发&lt;浙江省政府采购</w:t>
      </w:r>
      <w:r>
        <w:rPr>
          <w:rFonts w:hint="eastAsia" w:ascii="Times New Roman" w:hAnsi="Times New Roman" w:cs="Times New Roman"/>
          <w:color w:val="auto"/>
          <w:sz w:val="24"/>
          <w:highlight w:val="none"/>
        </w:rPr>
        <w:t>投标人</w:t>
      </w:r>
      <w:r>
        <w:rPr>
          <w:rFonts w:ascii="Times New Roman" w:hAnsi="Times New Roman" w:cs="Times New Roman"/>
          <w:color w:val="auto"/>
          <w:sz w:val="24"/>
          <w:highlight w:val="none"/>
        </w:rPr>
        <w:t>质疑处理办法&gt;的通知》（浙财采监〔2012〕18号）等有关规定的质疑投诉。</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14、合同签订</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14.1中标人自接到《中标通知书》后应在三十天内与采购人签订合同。</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14.2招标文件、中标人的投标文件、评标过程中投标人在询标时作出的承诺及其澄清文件等，均为签订合同的依据。</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14.4采购人与中标人签订合同后招标代理机构将中标结果通知落选投标人，采购人和招标代理机构对评标结果不负责解释。</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14.5采购人变更数量的权利</w:t>
      </w:r>
    </w:p>
    <w:p>
      <w:pPr>
        <w:pStyle w:val="11"/>
        <w:spacing w:line="360" w:lineRule="auto"/>
        <w:ind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采购人在授予合同时有权对“技术要求及招标范围”中规定的服务予以增加或减少，但必须符合《中华人民共和国政府采购法》及义乌市政府采购的相关规定。</w:t>
      </w:r>
    </w:p>
    <w:p>
      <w:pPr>
        <w:pStyle w:val="5"/>
        <w:spacing w:line="360" w:lineRule="auto"/>
        <w:jc w:val="center"/>
        <w:rPr>
          <w:rFonts w:ascii="Times New Roman" w:hAnsi="Times New Roman" w:eastAsia="宋体" w:cs="Times New Roman"/>
          <w:color w:val="auto"/>
          <w:sz w:val="36"/>
          <w:highlight w:val="none"/>
        </w:rPr>
      </w:pPr>
      <w:r>
        <w:rPr>
          <w:rFonts w:ascii="Times New Roman" w:hAnsi="Times New Roman" w:eastAsia="宋体" w:cs="Times New Roman"/>
          <w:color w:val="auto"/>
          <w:sz w:val="36"/>
          <w:highlight w:val="none"/>
        </w:rPr>
        <w:br w:type="page"/>
      </w:r>
      <w:r>
        <w:rPr>
          <w:rFonts w:ascii="Times New Roman" w:hAnsi="Times New Roman" w:eastAsia="宋体" w:cs="Times New Roman"/>
          <w:color w:val="auto"/>
          <w:sz w:val="36"/>
          <w:highlight w:val="none"/>
        </w:rPr>
        <w:t>第五章  投标文件的有效性</w:t>
      </w:r>
      <w:bookmarkEnd w:id="32"/>
    </w:p>
    <w:p>
      <w:pPr>
        <w:pStyle w:val="11"/>
        <w:spacing w:line="360" w:lineRule="auto"/>
        <w:ind w:firstLine="472" w:firstLineChars="196"/>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1、有下列情形之一的，招标方将不予受理投标文件：</w:t>
      </w:r>
    </w:p>
    <w:p>
      <w:pPr>
        <w:pStyle w:val="11"/>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1.1逾期上传电子档投标文件至“政采云”平台的。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2、投标文件在资格或商务技术标评审出现下列情形之一的，由评标小组审核后按无效投标文件处理：</w:t>
      </w:r>
    </w:p>
    <w:p>
      <w:pPr>
        <w:numPr>
          <w:ilvl w:val="0"/>
          <w:numId w:val="15"/>
        </w:numPr>
        <w:tabs>
          <w:tab w:val="left" w:pos="5325"/>
        </w:tabs>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资格响应文件或商务技术响应文件中包含投标报价的；</w:t>
      </w:r>
    </w:p>
    <w:p>
      <w:pPr>
        <w:numPr>
          <w:ilvl w:val="0"/>
          <w:numId w:val="15"/>
        </w:numPr>
        <w:tabs>
          <w:tab w:val="left" w:pos="5325"/>
        </w:tabs>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招标文件关于投标文件组成内容商务技术响应文件要求中的内容，投标方的投标文件内容未提供完整或关键字迹模糊、无法辨认的或未按其规定的格式及要求填写、签字、盖章或提供的投标文件内容不符合招标文件的中有关打★号的条款的规定；</w:t>
      </w:r>
    </w:p>
    <w:p>
      <w:pPr>
        <w:numPr>
          <w:ilvl w:val="0"/>
          <w:numId w:val="15"/>
        </w:numPr>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投标文件未按招标文件要求加盖</w:t>
      </w:r>
      <w:r>
        <w:rPr>
          <w:rFonts w:hint="eastAsia" w:ascii="Times New Roman" w:hAnsi="Times New Roman" w:eastAsia="宋体" w:cs="Times New Roman"/>
          <w:color w:val="auto"/>
          <w:sz w:val="24"/>
          <w:highlight w:val="none"/>
        </w:rPr>
        <w:t>电子签章或实体公章</w:t>
      </w:r>
      <w:r>
        <w:rPr>
          <w:rFonts w:ascii="Times New Roman" w:hAnsi="Times New Roman" w:eastAsia="宋体" w:cs="Times New Roman"/>
          <w:color w:val="auto"/>
          <w:sz w:val="24"/>
          <w:highlight w:val="none"/>
        </w:rPr>
        <w:t>；或无法定代表人或法定代表人授权的全权代表签字或盖章的；或有授权的全权代表签字或盖章但未提交“授权委托书”原件的；或授权委托书无法定代表人签字或盖章的；或授权委托书未加盖单位公章</w:t>
      </w:r>
      <w:r>
        <w:rPr>
          <w:rFonts w:hint="eastAsia" w:ascii="Times New Roman" w:hAnsi="Times New Roman" w:eastAsia="宋体" w:cs="Times New Roman"/>
          <w:color w:val="auto"/>
          <w:sz w:val="24"/>
          <w:highlight w:val="none"/>
        </w:rPr>
        <w:t>或电子签章</w:t>
      </w:r>
      <w:r>
        <w:rPr>
          <w:rFonts w:ascii="Times New Roman" w:hAnsi="Times New Roman" w:eastAsia="宋体" w:cs="Times New Roman"/>
          <w:color w:val="auto"/>
          <w:sz w:val="24"/>
          <w:highlight w:val="none"/>
        </w:rPr>
        <w:t>的；</w:t>
      </w:r>
    </w:p>
    <w:p>
      <w:pPr>
        <w:numPr>
          <w:ilvl w:val="0"/>
          <w:numId w:val="15"/>
        </w:numPr>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投标方的投标资格未符合招标文件的资格要求规定；</w:t>
      </w:r>
    </w:p>
    <w:p>
      <w:pPr>
        <w:numPr>
          <w:ilvl w:val="0"/>
          <w:numId w:val="15"/>
        </w:numPr>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投标人递交两份或多份内容不同的投标文件，且未声明哪一个有效，但按招标文件规定提交备选投标方案的除外；</w:t>
      </w:r>
    </w:p>
    <w:p>
      <w:pPr>
        <w:numPr>
          <w:ilvl w:val="0"/>
          <w:numId w:val="15"/>
        </w:numPr>
        <w:tabs>
          <w:tab w:val="left" w:pos="5325"/>
        </w:tabs>
        <w:adjustRightInd w:val="0"/>
        <w:snapToGri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投标方所投产品的数量不符合招标文件规定的，</w:t>
      </w:r>
      <w:r>
        <w:rPr>
          <w:rFonts w:ascii="Times New Roman" w:hAnsi="Times New Roman" w:eastAsia="宋体" w:cs="Times New Roman"/>
          <w:i/>
          <w:color w:val="auto"/>
          <w:sz w:val="24"/>
          <w:highlight w:val="none"/>
        </w:rPr>
        <w:t>招标需求中要求提供的产品属于节能产品政府采购品目清单中政府强制采购的，投标人未提供该清单内产品的；</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 xml:space="preserve"> 投标人借用或冒用他人名义或证件，或投标人涂改证件，或投标人伪造或编造投标资料的；</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投标中不同投标单位的投标文件出现雷同或相似（包括部分雷同或相似），对所有雷同或相似投标人按废标处理，投标方串标的，招标方将保留进一步追究责任的权利；</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其它对本招标文件中打★号的条款未完全响应的；</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未提交《义乌市政府采购项目投标承诺书》；</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经评标小组认定，投标文件附有采购人不能接受的条件；</w:t>
      </w:r>
    </w:p>
    <w:p>
      <w:pPr>
        <w:numPr>
          <w:ilvl w:val="0"/>
          <w:numId w:val="15"/>
        </w:num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对于评标小组提出的要求投标方澄清或说明的，如果投标方代表拒绝澄清或说明，或者拒绝签字的，评标小组可以对其作出无效标处理；</w:t>
      </w:r>
    </w:p>
    <w:p>
      <w:pPr>
        <w:spacing w:line="360" w:lineRule="auto"/>
        <w:ind w:left="403"/>
        <w:rPr>
          <w:rFonts w:ascii="Times New Roman" w:hAnsi="Times New Roman" w:eastAsia="宋体" w:cs="Times New Roman"/>
          <w:color w:val="auto"/>
          <w:highlight w:val="none"/>
        </w:rPr>
      </w:pPr>
      <w:r>
        <w:rPr>
          <w:rFonts w:ascii="Times New Roman" w:hAnsi="Times New Roman" w:eastAsia="宋体" w:cs="Times New Roman"/>
          <w:color w:val="auto"/>
          <w:sz w:val="24"/>
          <w:highlight w:val="none"/>
        </w:rPr>
        <w:t>2.13单位负责人为同一人或者存在直接控股、管理关系的不同</w:t>
      </w:r>
      <w:r>
        <w:rPr>
          <w:rFonts w:hint="eastAsia" w:ascii="Times New Roman" w:hAnsi="Times New Roman" w:eastAsia="宋体" w:cs="Times New Roman"/>
          <w:color w:val="auto"/>
          <w:sz w:val="24"/>
          <w:highlight w:val="none"/>
        </w:rPr>
        <w:t>投标人</w:t>
      </w:r>
      <w:r>
        <w:rPr>
          <w:rFonts w:ascii="Times New Roman" w:hAnsi="Times New Roman" w:eastAsia="宋体" w:cs="Times New Roman"/>
          <w:color w:val="auto"/>
          <w:sz w:val="24"/>
          <w:highlight w:val="none"/>
        </w:rPr>
        <w:t>。</w:t>
      </w:r>
    </w:p>
    <w:p>
      <w:pPr>
        <w:adjustRightInd w:val="0"/>
        <w:snapToGrid w:val="0"/>
        <w:spacing w:line="360" w:lineRule="auto"/>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3、投标文件在报价响应文件评审中出现下列情形之一的，由评标小组审核后按无效投标文件处理：</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3.1 招标文件关于投标文件组成内容报价响应文件要求中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3.2投标报价高于预算价（或最高限价），或低于企业成本价者或未填报企业成本价者；</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3.3投标方的所投产品的数量不符合招标文件规定的</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3.6其它对本招标文件中打★号的条款未完全响应的</w:t>
      </w:r>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3.7当投标人由于报价计算错误，投标人拒绝接受按招标文件的规定进行的修正处理（或拒绝签名确认）。</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（1）不同投标人的投标文件由同一单位或者个人编制；</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（2）不同投标人委托同一单位或者个人办理投标事宜；</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（3）不同投标人的投标文件载明的项目管理成员或者联系人员为同一人；</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（4）不同投标人的投标文件异常一致或者投标报价呈规律性差异；</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（5）不同投标人的投标文件相互混装；</w:t>
      </w:r>
    </w:p>
    <w:p>
      <w:pPr>
        <w:pStyle w:val="11"/>
        <w:spacing w:line="360" w:lineRule="auto"/>
        <w:ind w:firstLine="470" w:firstLineChars="196"/>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5、其他违反法律法规的的情况。</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6、评标过程中，非上述所罗列的情况，不得以无效标处理。</w:t>
      </w:r>
    </w:p>
    <w:p>
      <w:pPr>
        <w:pStyle w:val="3"/>
        <w:rPr>
          <w:rFonts w:ascii="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4"/>
        <w:rPr>
          <w:rFonts w:ascii="Times New Roman" w:hAnsi="Times New Roman" w:eastAsia="宋体" w:cs="Times New Roman"/>
          <w:color w:val="auto"/>
          <w:sz w:val="24"/>
          <w:highlight w:val="none"/>
        </w:rPr>
      </w:pPr>
    </w:p>
    <w:p>
      <w:pPr>
        <w:pStyle w:val="5"/>
        <w:spacing w:line="360" w:lineRule="auto"/>
        <w:jc w:val="center"/>
        <w:rPr>
          <w:rFonts w:ascii="Times New Roman" w:hAnsi="Times New Roman" w:eastAsia="宋体" w:cs="Times New Roman"/>
          <w:color w:val="auto"/>
          <w:sz w:val="36"/>
          <w:highlight w:val="none"/>
        </w:rPr>
      </w:pPr>
      <w:r>
        <w:rPr>
          <w:rFonts w:ascii="Times New Roman" w:hAnsi="Times New Roman" w:eastAsia="宋体" w:cs="Times New Roman"/>
          <w:bCs w:val="0"/>
          <w:color w:val="auto"/>
          <w:kern w:val="2"/>
          <w:sz w:val="36"/>
          <w:szCs w:val="36"/>
          <w:highlight w:val="none"/>
        </w:rPr>
        <w:t>第六章</w:t>
      </w:r>
      <w:r>
        <w:rPr>
          <w:rFonts w:ascii="Times New Roman" w:hAnsi="Times New Roman" w:eastAsia="宋体" w:cs="Times New Roman"/>
          <w:color w:val="auto"/>
          <w:sz w:val="36"/>
          <w:highlight w:val="none"/>
        </w:rPr>
        <w:t xml:space="preserve">  评标办法</w:t>
      </w:r>
    </w:p>
    <w:p>
      <w:pPr>
        <w:pStyle w:val="11"/>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ascii="Times New Roman" w:hAnsi="Times New Roman" w:cs="Times New Roman"/>
          <w:color w:val="auto"/>
          <w:sz w:val="24"/>
          <w:highlight w:val="none"/>
          <w:u w:val="single"/>
        </w:rPr>
        <w:t>综合评分法</w:t>
      </w:r>
      <w:r>
        <w:rPr>
          <w:rFonts w:ascii="Times New Roman" w:hAnsi="Times New Roman" w:cs="Times New Roman"/>
          <w:color w:val="auto"/>
          <w:sz w:val="24"/>
          <w:highlight w:val="none"/>
        </w:rPr>
        <w:t>对招标项目作出评标结论。</w:t>
      </w:r>
    </w:p>
    <w:p>
      <w:pPr>
        <w:pStyle w:val="11"/>
        <w:spacing w:line="460" w:lineRule="exact"/>
        <w:rPr>
          <w:rFonts w:ascii="Times New Roman" w:hAnsi="Times New Roman" w:cs="Times New Roman"/>
          <w:b/>
          <w:bCs/>
          <w:color w:val="auto"/>
          <w:sz w:val="24"/>
          <w:szCs w:val="24"/>
          <w:highlight w:val="none"/>
        </w:rPr>
      </w:pPr>
      <w:r>
        <w:rPr>
          <w:rFonts w:hint="eastAsia" w:ascii="Times New Roman" w:hAnsi="Times New Roman" w:cs="Times New Roman"/>
          <w:color w:val="auto"/>
          <w:sz w:val="24"/>
          <w:highlight w:val="none"/>
        </w:rPr>
        <w:t>一</w:t>
      </w:r>
      <w:r>
        <w:rPr>
          <w:rFonts w:ascii="Times New Roman" w:hAnsi="Times New Roman" w:cs="Times New Roman"/>
          <w:b/>
          <w:color w:val="auto"/>
          <w:spacing w:val="-4"/>
          <w:sz w:val="24"/>
          <w:szCs w:val="24"/>
          <w:highlight w:val="none"/>
        </w:rPr>
        <w:t>、</w:t>
      </w:r>
      <w:r>
        <w:rPr>
          <w:rFonts w:ascii="Times New Roman" w:hAnsi="Times New Roman" w:cs="Times New Roman"/>
          <w:b/>
          <w:bCs/>
          <w:color w:val="auto"/>
          <w:sz w:val="24"/>
          <w:szCs w:val="24"/>
          <w:highlight w:val="none"/>
        </w:rPr>
        <w:t>评审程序</w:t>
      </w:r>
    </w:p>
    <w:p>
      <w:pPr>
        <w:pStyle w:val="11"/>
        <w:spacing w:line="360" w:lineRule="auto"/>
        <w:ind w:firstLine="482"/>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对投标人资格响应文件进行符合性审查，确定资格审查通过单位；</w:t>
      </w:r>
    </w:p>
    <w:p>
      <w:pPr>
        <w:pStyle w:val="11"/>
        <w:spacing w:line="360" w:lineRule="auto"/>
        <w:ind w:firstLine="482"/>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对资格审查通过的投标人的商务技术响应文件进行符合性审查，确定商务技术响应文件有效单位；</w:t>
      </w:r>
    </w:p>
    <w:p>
      <w:pPr>
        <w:pStyle w:val="11"/>
        <w:spacing w:line="360" w:lineRule="auto"/>
        <w:ind w:firstLine="482"/>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对商务技术响应文件有效的投标单位的商务技术响应文件进行评分，计算出各商务技术响应文件有效的投标单位的商务技术得分；</w:t>
      </w:r>
    </w:p>
    <w:p>
      <w:pPr>
        <w:pStyle w:val="11"/>
        <w:spacing w:line="360" w:lineRule="auto"/>
        <w:ind w:firstLine="482"/>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w:t>
      </w:r>
      <w:r>
        <w:rPr>
          <w:rFonts w:ascii="Times New Roman" w:hAnsi="Times New Roman" w:cs="Times New Roman"/>
          <w:color w:val="auto"/>
          <w:sz w:val="24"/>
          <w:szCs w:val="24"/>
          <w:highlight w:val="none"/>
        </w:rPr>
        <w:t>对报价响应文件进行符合性审查；</w:t>
      </w:r>
    </w:p>
    <w:p>
      <w:pPr>
        <w:pStyle w:val="11"/>
        <w:spacing w:line="360" w:lineRule="auto"/>
        <w:ind w:firstLine="482"/>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w:t>
      </w:r>
      <w:r>
        <w:rPr>
          <w:rFonts w:ascii="Times New Roman" w:hAnsi="Times New Roman" w:cs="Times New Roman"/>
          <w:color w:val="auto"/>
          <w:sz w:val="24"/>
          <w:szCs w:val="24"/>
          <w:highlight w:val="none"/>
        </w:rPr>
        <w:t>对报价响应</w:t>
      </w:r>
      <w:r>
        <w:rPr>
          <w:rFonts w:hint="eastAsia" w:ascii="Times New Roman" w:hAnsi="Times New Roman" w:cs="Times New Roman"/>
          <w:color w:val="auto"/>
          <w:sz w:val="24"/>
          <w:szCs w:val="24"/>
          <w:highlight w:val="none"/>
        </w:rPr>
        <w:t>文件</w:t>
      </w:r>
      <w:r>
        <w:rPr>
          <w:rFonts w:ascii="Times New Roman" w:hAnsi="Times New Roman" w:cs="Times New Roman"/>
          <w:color w:val="auto"/>
          <w:sz w:val="24"/>
          <w:szCs w:val="24"/>
          <w:highlight w:val="none"/>
        </w:rPr>
        <w:t>符合性审查通过的报价响应</w:t>
      </w:r>
      <w:r>
        <w:rPr>
          <w:rFonts w:hint="eastAsia" w:ascii="Times New Roman" w:hAnsi="Times New Roman" w:cs="Times New Roman"/>
          <w:color w:val="auto"/>
          <w:sz w:val="24"/>
          <w:szCs w:val="24"/>
          <w:highlight w:val="none"/>
        </w:rPr>
        <w:t>文件</w:t>
      </w:r>
      <w:r>
        <w:rPr>
          <w:rFonts w:ascii="Times New Roman" w:hAnsi="Times New Roman" w:cs="Times New Roman"/>
          <w:color w:val="auto"/>
          <w:sz w:val="24"/>
          <w:szCs w:val="24"/>
          <w:highlight w:val="none"/>
        </w:rPr>
        <w:t>进行详细评审，</w:t>
      </w:r>
      <w:r>
        <w:rPr>
          <w:rFonts w:hint="eastAsia" w:ascii="Times New Roman" w:hAnsi="Times New Roman" w:cs="Times New Roman"/>
          <w:color w:val="auto"/>
          <w:sz w:val="24"/>
          <w:szCs w:val="24"/>
          <w:highlight w:val="none"/>
        </w:rPr>
        <w:t>并由“政采云”平台计算出其报价分及总得分</w:t>
      </w:r>
      <w:r>
        <w:rPr>
          <w:rFonts w:ascii="Times New Roman" w:hAnsi="Times New Roman" w:cs="Times New Roman"/>
          <w:color w:val="auto"/>
          <w:sz w:val="24"/>
          <w:szCs w:val="24"/>
          <w:highlight w:val="none"/>
        </w:rPr>
        <w:t>；</w:t>
      </w:r>
    </w:p>
    <w:p>
      <w:pPr>
        <w:pStyle w:val="11"/>
        <w:spacing w:line="360" w:lineRule="auto"/>
        <w:ind w:firstLine="482"/>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6</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确定中标人</w:t>
      </w:r>
      <w:r>
        <w:rPr>
          <w:rFonts w:ascii="Times New Roman" w:hAnsi="Times New Roman" w:cs="Times New Roman"/>
          <w:color w:val="auto"/>
          <w:sz w:val="24"/>
          <w:szCs w:val="24"/>
          <w:highlight w:val="none"/>
        </w:rPr>
        <w:t>、出具评标报告。</w:t>
      </w:r>
    </w:p>
    <w:p>
      <w:pPr>
        <w:pStyle w:val="11"/>
        <w:spacing w:line="460" w:lineRule="exact"/>
        <w:ind w:firstLine="480"/>
        <w:rPr>
          <w:rFonts w:ascii="Times New Roman" w:hAnsi="Times New Roman" w:cs="Times New Roman"/>
          <w:b/>
          <w:color w:val="auto"/>
          <w:spacing w:val="-4"/>
          <w:sz w:val="24"/>
          <w:szCs w:val="24"/>
          <w:highlight w:val="none"/>
        </w:rPr>
      </w:pPr>
      <w:r>
        <w:rPr>
          <w:rFonts w:ascii="Times New Roman" w:hAnsi="Times New Roman" w:cs="Times New Roman"/>
          <w:color w:val="auto"/>
          <w:sz w:val="24"/>
          <w:szCs w:val="24"/>
          <w:highlight w:val="none"/>
        </w:rPr>
        <w:t>评标小组以开标、评标、询标情况为基本依据，</w:t>
      </w:r>
      <w:r>
        <w:rPr>
          <w:rFonts w:ascii="Times New Roman" w:hAnsi="Times New Roman" w:cs="Times New Roman"/>
          <w:color w:val="auto"/>
          <w:spacing w:val="-4"/>
          <w:sz w:val="24"/>
          <w:szCs w:val="24"/>
          <w:highlight w:val="none"/>
        </w:rPr>
        <w:t>对有效的投标文件</w:t>
      </w:r>
      <w:r>
        <w:rPr>
          <w:rFonts w:hint="eastAsia" w:ascii="Times New Roman" w:hAnsi="Times New Roman" w:cs="Times New Roman"/>
          <w:color w:val="auto"/>
          <w:spacing w:val="-4"/>
          <w:sz w:val="24"/>
          <w:szCs w:val="24"/>
          <w:highlight w:val="none"/>
        </w:rPr>
        <w:t>分</w:t>
      </w:r>
      <w:r>
        <w:rPr>
          <w:rFonts w:ascii="Times New Roman" w:hAnsi="Times New Roman" w:cs="Times New Roman"/>
          <w:color w:val="auto"/>
          <w:spacing w:val="-4"/>
          <w:sz w:val="24"/>
          <w:szCs w:val="24"/>
          <w:highlight w:val="none"/>
        </w:rPr>
        <w:t>资格响应文件、商务技术响应文件和报价响应文件三个部分进行分析、评议，</w:t>
      </w:r>
      <w:r>
        <w:rPr>
          <w:rFonts w:ascii="Times New Roman" w:hAnsi="Times New Roman" w:cs="Times New Roman"/>
          <w:b/>
          <w:bCs/>
          <w:color w:val="auto"/>
          <w:spacing w:val="-4"/>
          <w:sz w:val="24"/>
          <w:szCs w:val="24"/>
          <w:highlight w:val="none"/>
        </w:rPr>
        <w:t>先评资格响应文件、商务技术响应文件，后评报价响应文件</w:t>
      </w:r>
      <w:r>
        <w:rPr>
          <w:rFonts w:ascii="Times New Roman" w:hAnsi="Times New Roman" w:cs="Times New Roman"/>
          <w:b/>
          <w:color w:val="auto"/>
          <w:spacing w:val="-4"/>
          <w:sz w:val="24"/>
          <w:szCs w:val="24"/>
          <w:highlight w:val="none"/>
        </w:rPr>
        <w:t>，</w:t>
      </w:r>
      <w:r>
        <w:rPr>
          <w:rFonts w:hint="eastAsia" w:ascii="Times New Roman" w:hAnsi="Times New Roman" w:cs="Times New Roman"/>
          <w:b/>
          <w:color w:val="auto"/>
          <w:spacing w:val="-4"/>
          <w:sz w:val="24"/>
          <w:szCs w:val="24"/>
          <w:highlight w:val="none"/>
        </w:rPr>
        <w:t>报价响应文件</w:t>
      </w:r>
      <w:r>
        <w:rPr>
          <w:rFonts w:ascii="Times New Roman" w:hAnsi="Times New Roman" w:cs="Times New Roman"/>
          <w:b/>
          <w:color w:val="auto"/>
          <w:spacing w:val="-4"/>
          <w:sz w:val="24"/>
          <w:szCs w:val="24"/>
          <w:highlight w:val="none"/>
        </w:rPr>
        <w:t>在</w:t>
      </w:r>
      <w:r>
        <w:rPr>
          <w:rFonts w:hint="eastAsia" w:ascii="Times New Roman" w:hAnsi="Times New Roman" w:cs="Times New Roman"/>
          <w:b/>
          <w:color w:val="auto"/>
          <w:spacing w:val="-4"/>
          <w:sz w:val="24"/>
          <w:szCs w:val="24"/>
          <w:highlight w:val="none"/>
        </w:rPr>
        <w:t>商务</w:t>
      </w:r>
      <w:r>
        <w:rPr>
          <w:rFonts w:ascii="Times New Roman" w:hAnsi="Times New Roman" w:cs="Times New Roman"/>
          <w:b/>
          <w:color w:val="auto"/>
          <w:spacing w:val="-4"/>
          <w:sz w:val="24"/>
          <w:szCs w:val="24"/>
          <w:highlight w:val="none"/>
        </w:rPr>
        <w:t>技术</w:t>
      </w:r>
      <w:r>
        <w:rPr>
          <w:rFonts w:hint="eastAsia" w:ascii="Times New Roman" w:hAnsi="Times New Roman" w:cs="Times New Roman"/>
          <w:b/>
          <w:color w:val="auto"/>
          <w:spacing w:val="-4"/>
          <w:sz w:val="24"/>
          <w:szCs w:val="24"/>
          <w:highlight w:val="none"/>
        </w:rPr>
        <w:t>文件</w:t>
      </w:r>
      <w:r>
        <w:rPr>
          <w:rFonts w:ascii="Times New Roman" w:hAnsi="Times New Roman" w:cs="Times New Roman"/>
          <w:b/>
          <w:color w:val="auto"/>
          <w:spacing w:val="-4"/>
          <w:sz w:val="24"/>
          <w:szCs w:val="24"/>
          <w:highlight w:val="none"/>
        </w:rPr>
        <w:t>评审结束后开启；对</w:t>
      </w:r>
      <w:r>
        <w:rPr>
          <w:rFonts w:hint="eastAsia" w:ascii="Times New Roman" w:hAnsi="Times New Roman" w:cs="Times New Roman"/>
          <w:b/>
          <w:color w:val="auto"/>
          <w:spacing w:val="-4"/>
          <w:sz w:val="24"/>
          <w:szCs w:val="24"/>
          <w:highlight w:val="none"/>
        </w:rPr>
        <w:t>商务技术响应</w:t>
      </w:r>
      <w:r>
        <w:rPr>
          <w:rFonts w:ascii="Times New Roman" w:hAnsi="Times New Roman" w:cs="Times New Roman"/>
          <w:b/>
          <w:color w:val="auto"/>
          <w:spacing w:val="-4"/>
          <w:sz w:val="24"/>
          <w:szCs w:val="24"/>
          <w:highlight w:val="none"/>
        </w:rPr>
        <w:t>无效的</w:t>
      </w:r>
      <w:r>
        <w:rPr>
          <w:rFonts w:hint="eastAsia" w:ascii="Times New Roman" w:hAnsi="Times New Roman" w:cs="Times New Roman"/>
          <w:b/>
          <w:color w:val="auto"/>
          <w:spacing w:val="-4"/>
          <w:sz w:val="24"/>
          <w:szCs w:val="24"/>
          <w:highlight w:val="none"/>
        </w:rPr>
        <w:t>投标人</w:t>
      </w:r>
      <w:r>
        <w:rPr>
          <w:rFonts w:ascii="Times New Roman" w:hAnsi="Times New Roman" w:cs="Times New Roman"/>
          <w:b/>
          <w:color w:val="auto"/>
          <w:spacing w:val="-4"/>
          <w:sz w:val="24"/>
          <w:szCs w:val="24"/>
          <w:highlight w:val="none"/>
        </w:rPr>
        <w:t>不再进行</w:t>
      </w:r>
      <w:r>
        <w:rPr>
          <w:rFonts w:hint="eastAsia" w:ascii="Times New Roman" w:hAnsi="Times New Roman" w:cs="Times New Roman"/>
          <w:b/>
          <w:color w:val="auto"/>
          <w:spacing w:val="-4"/>
          <w:sz w:val="24"/>
          <w:szCs w:val="24"/>
          <w:highlight w:val="none"/>
        </w:rPr>
        <w:t>报价响应</w:t>
      </w:r>
      <w:r>
        <w:rPr>
          <w:rFonts w:ascii="Times New Roman" w:hAnsi="Times New Roman" w:cs="Times New Roman"/>
          <w:b/>
          <w:color w:val="auto"/>
          <w:spacing w:val="-4"/>
          <w:sz w:val="24"/>
          <w:szCs w:val="24"/>
          <w:highlight w:val="none"/>
        </w:rPr>
        <w:t>的评审。</w:t>
      </w:r>
    </w:p>
    <w:p>
      <w:pPr>
        <w:pStyle w:val="11"/>
        <w:spacing w:line="460" w:lineRule="exact"/>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三</w:t>
      </w:r>
      <w:r>
        <w:rPr>
          <w:rFonts w:ascii="Times New Roman" w:hAnsi="Times New Roman" w:cs="Times New Roman"/>
          <w:b/>
          <w:bCs/>
          <w:color w:val="auto"/>
          <w:sz w:val="24"/>
          <w:szCs w:val="24"/>
          <w:highlight w:val="none"/>
        </w:rPr>
        <w:t>、评审办法</w:t>
      </w:r>
    </w:p>
    <w:p>
      <w:pPr>
        <w:pStyle w:val="11"/>
        <w:spacing w:line="440" w:lineRule="exact"/>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w:t>
      </w:r>
      <w:r>
        <w:rPr>
          <w:rFonts w:ascii="Times New Roman" w:hAnsi="Times New Roman" w:cs="Times New Roman"/>
          <w:b/>
          <w:bCs/>
          <w:color w:val="auto"/>
          <w:sz w:val="24"/>
          <w:highlight w:val="none"/>
        </w:rPr>
        <w:t>商务技术响应文件评标</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1.1</w:t>
      </w:r>
      <w:r>
        <w:rPr>
          <w:rFonts w:ascii="Times New Roman" w:hAnsi="Times New Roman" w:cs="Times New Roman"/>
          <w:bCs/>
          <w:color w:val="auto"/>
          <w:sz w:val="24"/>
          <w:szCs w:val="24"/>
          <w:highlight w:val="none"/>
        </w:rPr>
        <w:t>根据招标文件第五章投标文件的有效性的规定，是否属于无效标或废标；</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1.2</w:t>
      </w:r>
      <w:r>
        <w:rPr>
          <w:rFonts w:ascii="Times New Roman" w:hAnsi="Times New Roman" w:cs="Times New Roman"/>
          <w:bCs/>
          <w:color w:val="auto"/>
          <w:sz w:val="24"/>
          <w:szCs w:val="24"/>
          <w:highlight w:val="none"/>
        </w:rPr>
        <w:t>检查投标文件中是否有法定代表人或授权代表签字及加盖单位公章</w:t>
      </w:r>
      <w:r>
        <w:rPr>
          <w:rFonts w:hint="eastAsia" w:ascii="Times New Roman" w:hAnsi="Times New Roman" w:cs="Times New Roman"/>
          <w:bCs/>
          <w:color w:val="auto"/>
          <w:sz w:val="24"/>
          <w:szCs w:val="24"/>
          <w:highlight w:val="none"/>
        </w:rPr>
        <w:t>或电子签章</w:t>
      </w:r>
      <w:r>
        <w:rPr>
          <w:rFonts w:ascii="Times New Roman" w:hAnsi="Times New Roman" w:cs="Times New Roman"/>
          <w:bCs/>
          <w:color w:val="auto"/>
          <w:sz w:val="24"/>
          <w:szCs w:val="24"/>
          <w:highlight w:val="none"/>
        </w:rPr>
        <w:t>；</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1.3检查标书的完整性，如资质证书等招标文件要求提供的资料是否齐全；</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1.4检查拟供产品的功能指标、技术参数是否满足招标文件及本项目的要求；</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1.5检查供货计划是否提供；是否具体、完整、可行；</w:t>
      </w:r>
    </w:p>
    <w:p>
      <w:pPr>
        <w:pStyle w:val="11"/>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bCs/>
          <w:color w:val="auto"/>
          <w:sz w:val="24"/>
          <w:szCs w:val="24"/>
          <w:highlight w:val="none"/>
        </w:rPr>
        <w:t>1.6</w:t>
      </w:r>
      <w:r>
        <w:rPr>
          <w:rFonts w:ascii="Times New Roman" w:hAnsi="Times New Roman" w:cs="Times New Roman"/>
          <w:color w:val="auto"/>
          <w:sz w:val="24"/>
          <w:szCs w:val="24"/>
          <w:highlight w:val="none"/>
        </w:rPr>
        <w:t>检查质保期及售后服务承诺是否提供，是否符合招标文件的要求；</w:t>
      </w:r>
    </w:p>
    <w:p>
      <w:pPr>
        <w:pStyle w:val="11"/>
        <w:spacing w:line="440" w:lineRule="exact"/>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1.7具体评审办法</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本项目需要投标演示：在评标时安排每个投标人进行系统讲解演示，投标方针对招标文件需要演示的内容，提供第三人视角方式进行连续拍摄，拍摄画面中需包含时间计时器或其他方式以表明其拍摄过程不存在剪切编辑情况存在，请依照招标文件要求进行演示（播放视频），演示过程中需语音介绍目前演示的内容是什么，PPT或word等形式演示不得分。本项目演示后按要求解答评标委员会的提问。由评委对各投标人针对招标文件中演示部分进行评定打分。</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方需在投标文件解密成功后，进入政采云平台开标大厅，等待通知演示。政采云平台会以投标文件解密时间的先后顺序以短信的形式通知演示，每个投标人演示前的调试准备时间不超过15分钟，演示时间不超过15分钟，不包含评标委员会提问解答时间。</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上一投标人未能在规定时间内完成演示设备调试的或演示过程中出现视频中断、无法连接演示视频的，则由下一顺位的投标人进行演示，同时可再给予该投标人一次重新演示的机会，但演示顺序排至所有演示投标人的最末位，出现同类问题的其他投标人亦按此方法处理。</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演示方式是通过“政采云平台”（请在谷歌浏览器上运行）屏幕共享方式进行演示，其中涉及需要安装的软件投标人应在开标前自行下载安装，确保网络、麦克风、演示环境等演示所需设备和系统正常稳定，并提前熟悉操作和使用。</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（5）因投标人自身原因导致无法演示或者演示效果不理想的，责任自负。因平台原因导致本项目方案讲解演示环节无法顺利开展，按照《浙江省政府采购项目电子交易管理暂行办法》相关规定执行。</w:t>
      </w:r>
    </w:p>
    <w:p>
      <w:pPr>
        <w:tabs>
          <w:tab w:val="left" w:pos="540"/>
        </w:tabs>
        <w:spacing w:line="360" w:lineRule="auto"/>
        <w:ind w:firstLine="480" w:firstLineChars="200"/>
        <w:rPr>
          <w:color w:val="auto"/>
          <w:highlight w:val="none"/>
        </w:rPr>
      </w:pPr>
      <w:r>
        <w:rPr>
          <w:rFonts w:hint="eastAsia" w:ascii="宋体" w:hAnsi="宋体" w:eastAsia="宋体" w:cs="宋体"/>
          <w:color w:val="auto"/>
          <w:sz w:val="24"/>
          <w:highlight w:val="none"/>
        </w:rPr>
        <w:t>（6）</w:t>
      </w:r>
      <w:r>
        <w:rPr>
          <w:rFonts w:ascii="Times New Roman" w:hAnsi="Times New Roman" w:eastAsia="宋体" w:cs="Times New Roman"/>
          <w:color w:val="auto"/>
          <w:sz w:val="24"/>
          <w:highlight w:val="none"/>
        </w:rPr>
        <w:t>商务技术分满分为</w:t>
      </w:r>
      <w:r>
        <w:rPr>
          <w:rFonts w:hint="eastAsia" w:ascii="Times New Roman" w:hAnsi="Times New Roman" w:eastAsia="宋体" w:cs="Times New Roman"/>
          <w:color w:val="auto"/>
          <w:sz w:val="24"/>
          <w:highlight w:val="none"/>
        </w:rPr>
        <w:t>70</w:t>
      </w:r>
      <w:r>
        <w:rPr>
          <w:rFonts w:ascii="Times New Roman" w:hAnsi="Times New Roman" w:eastAsia="宋体" w:cs="Times New Roman"/>
          <w:color w:val="auto"/>
          <w:sz w:val="24"/>
          <w:highlight w:val="none"/>
        </w:rPr>
        <w:t>分，分值分配见表格。评标小组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tbl>
      <w:tblPr>
        <w:tblStyle w:val="2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44"/>
        <w:gridCol w:w="5547"/>
        <w:gridCol w:w="1002"/>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1444" w:type="dxa"/>
            <w:vAlign w:val="center"/>
          </w:tcPr>
          <w:p>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评分细则</w:t>
            </w:r>
          </w:p>
        </w:tc>
        <w:tc>
          <w:tcPr>
            <w:tcW w:w="5547"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评分要素</w:t>
            </w:r>
          </w:p>
        </w:tc>
        <w:tc>
          <w:tcPr>
            <w:tcW w:w="1002"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分值</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144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指标参数</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投标产品是否响应采购文件的技术要求，满分38分，参数中的带“★”条款为必须满足条款；标“▲”条款为重要指标参数，每项不满足扣</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分；其余的不满足每项扣1分，扣完为止，正偏离不加分，招标文件中要求提供的佐证材料必须提供，否则做负偏离处理。</w:t>
            </w: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（演示内容不列入本项评分）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0-38分</w:t>
            </w:r>
          </w:p>
          <w:p>
            <w:pPr>
              <w:rPr>
                <w:rFonts w:ascii="Times New Roman" w:hAnsi="Times New Roman" w:eastAsia="宋体" w:cs="Times New Roman"/>
                <w:color w:val="auto"/>
                <w:sz w:val="24"/>
                <w:szCs w:val="24"/>
                <w:highlight w:val="none"/>
              </w:rPr>
            </w:pP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144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技术方案</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投标人在投标方案中应提供针对本次项目的实施方案：</w:t>
            </w: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1、根据进度安排</w:t>
            </w:r>
            <w:r>
              <w:rPr>
                <w:rFonts w:hint="eastAsia" w:ascii="Times New Roman" w:hAnsi="Times New Roman" w:eastAsia="宋体" w:cs="Times New Roman"/>
                <w:color w:val="auto"/>
                <w:sz w:val="24"/>
                <w:szCs w:val="24"/>
                <w:highlight w:val="none"/>
              </w:rPr>
              <w:t>（包括货源组织、设备安装等）</w:t>
            </w:r>
            <w:r>
              <w:rPr>
                <w:rFonts w:ascii="Times New Roman" w:hAnsi="Times New Roman" w:eastAsia="宋体" w:cs="Times New Roman"/>
                <w:color w:val="auto"/>
                <w:sz w:val="24"/>
                <w:szCs w:val="24"/>
                <w:highlight w:val="none"/>
              </w:rPr>
              <w:t>、组织架构</w:t>
            </w:r>
            <w:r>
              <w:rPr>
                <w:rFonts w:hint="eastAsia" w:ascii="Times New Roman" w:hAnsi="Times New Roman" w:eastAsia="宋体" w:cs="Times New Roman"/>
                <w:color w:val="auto"/>
                <w:sz w:val="24"/>
                <w:szCs w:val="24"/>
                <w:highlight w:val="none"/>
              </w:rPr>
              <w:t>（包括项目负责人、技术人员、安装人员等项目组成人员及协调人员安排）</w:t>
            </w:r>
            <w:r>
              <w:rPr>
                <w:rFonts w:ascii="Times New Roman" w:hAnsi="Times New Roman" w:eastAsia="宋体" w:cs="Times New Roman"/>
                <w:color w:val="auto"/>
                <w:sz w:val="24"/>
                <w:szCs w:val="24"/>
                <w:highlight w:val="none"/>
              </w:rPr>
              <w:t>进行打分；（0-3分）</w:t>
            </w: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2、根据风险控制管理</w:t>
            </w:r>
            <w:r>
              <w:rPr>
                <w:rFonts w:hint="eastAsia" w:ascii="Times New Roman" w:hAnsi="Times New Roman" w:eastAsia="宋体" w:cs="Times New Roman"/>
                <w:color w:val="auto"/>
                <w:sz w:val="24"/>
                <w:szCs w:val="24"/>
                <w:highlight w:val="none"/>
              </w:rPr>
              <w:t>（包括原材料、设备短缺或涨价、突发疫情等不可控因素）</w:t>
            </w:r>
            <w:r>
              <w:rPr>
                <w:rFonts w:ascii="Times New Roman" w:hAnsi="Times New Roman" w:eastAsia="宋体" w:cs="Times New Roman"/>
                <w:color w:val="auto"/>
                <w:sz w:val="24"/>
                <w:szCs w:val="24"/>
                <w:highlight w:val="none"/>
              </w:rPr>
              <w:t>进行打分；（0-2分）</w:t>
            </w: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3、根据质量保障措施、文档管理措施进行打分。（0-3分）</w:t>
            </w: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4、根据投标人对本项目的理解，结合学校现有情况进行技术方案阐述。（0-3分）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0-11分</w:t>
            </w:r>
          </w:p>
          <w:p>
            <w:pPr>
              <w:rPr>
                <w:rFonts w:ascii="Times New Roman" w:hAnsi="Times New Roman" w:eastAsia="宋体" w:cs="Times New Roman"/>
                <w:color w:val="auto"/>
                <w:sz w:val="24"/>
                <w:szCs w:val="24"/>
                <w:highlight w:val="none"/>
              </w:rPr>
            </w:pPr>
          </w:p>
        </w:tc>
        <w:tc>
          <w:tcPr>
            <w:tcW w:w="940" w:type="dxa"/>
            <w:vAlign w:val="center"/>
          </w:tcPr>
          <w:p>
            <w:pPr>
              <w:jc w:val="center"/>
              <w:rPr>
                <w:rFonts w:ascii="Times New Roman" w:hAnsi="Times New Roman" w:eastAsia="宋体" w:cs="Times New Roman"/>
                <w:color w:val="auto"/>
                <w:sz w:val="24"/>
                <w:szCs w:val="24"/>
                <w:highlight w:val="none"/>
              </w:rPr>
            </w:pPr>
          </w:p>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p>
        </w:tc>
        <w:tc>
          <w:tcPr>
            <w:tcW w:w="144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投标演示</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项目要求投标人需根据招标文件评标办法要求对投标产品态势感知进行视频演示，无演示不得分，演示形式以DEMO或真实系统形式演示，PPT或word等形式演示不得分。涉及流程功能项需连贯演示整个流程，未演示或演示缺项或流程不通的，相应项不得分，演示时间控制在15分钟内，时间达到20分钟后，评审小组要求停止演示和讲解，超过时间的内容可不做评审。评分细则如下：</w:t>
            </w:r>
            <w:r>
              <w:rPr>
                <w:rFonts w:ascii="Times New Roman" w:hAnsi="Times New Roman" w:eastAsia="宋体" w:cs="Times New Roman"/>
                <w:color w:val="auto"/>
                <w:sz w:val="24"/>
                <w:szCs w:val="24"/>
                <w:highlight w:val="none"/>
              </w:rPr>
              <w:br w:type="textWrapping"/>
            </w:r>
            <w:r>
              <w:rPr>
                <w:rFonts w:ascii="Times New Roman" w:hAnsi="Times New Roman" w:eastAsia="宋体" w:cs="Times New Roman"/>
                <w:color w:val="auto"/>
                <w:sz w:val="24"/>
                <w:szCs w:val="24"/>
                <w:highlight w:val="none"/>
              </w:rPr>
              <w:t>1、可视化展示：支持纵深防御体系可视化，边界防御、内网防御、安管中心动态展示安全建设运营效果，运营效率数字量化，响应手段可视化，包括但不限于处置效率统计、风险资产、安全事件、安全漏洞、设备联动的处置状态分布、处理历史列表展示等，支持大屏下钻；（1分）</w:t>
            </w:r>
            <w:r>
              <w:rPr>
                <w:rFonts w:ascii="Times New Roman" w:hAnsi="Times New Roman" w:eastAsia="宋体" w:cs="Times New Roman"/>
                <w:color w:val="auto"/>
                <w:sz w:val="24"/>
                <w:szCs w:val="24"/>
                <w:highlight w:val="none"/>
              </w:rPr>
              <w:br w:type="textWrapping"/>
            </w:r>
            <w:r>
              <w:rPr>
                <w:rFonts w:ascii="Times New Roman" w:hAnsi="Times New Roman" w:eastAsia="宋体" w:cs="Times New Roman"/>
                <w:color w:val="auto"/>
                <w:sz w:val="24"/>
                <w:szCs w:val="24"/>
                <w:highlight w:val="none"/>
              </w:rPr>
              <w:t>2、威胁检测与分析：支持基于资产维度的风险资产视角分析，支持展示失陷主机、高风险主机、低风险主机，支持总数/今日新增数/已处置数，支持风险资产组Top5/Top10展示，支持今天/近7天/近30天的数据展示切换，支持资产列表展示，支持主机IP、主机名等多种条件进行查询，查询结果支持导出为Excel文件，支持自定义列表中展示的列，支持资产列表中跳转到一键响应/加入白名单/变更状态/详情，支持基于资产组/业务视图/组织架构进行风险资产统计分析。支持攻击者视角/被攻击者视角的攻击情况展示，支持资产名称、资产IP、所属资产组、所属业务视图、所属组织机构、攻击链阶段等资产信息展示，支持基于攻击时间轴的溯源，基于关键时点展示安全事件及详细信息，支持该资产相关的安全事件列表，支持攻击关系图，展示遭受外部攻击、遭受内部横向攻击、发起内部横向攻击、发起外连攻击的可视化关系图，支持处置建议和处置历史；（2分）</w:t>
            </w:r>
            <w:r>
              <w:rPr>
                <w:rFonts w:ascii="Times New Roman" w:hAnsi="Times New Roman" w:eastAsia="宋体" w:cs="Times New Roman"/>
                <w:color w:val="auto"/>
                <w:sz w:val="24"/>
                <w:szCs w:val="24"/>
                <w:highlight w:val="none"/>
              </w:rPr>
              <w:br w:type="textWrapping"/>
            </w:r>
            <w:r>
              <w:rPr>
                <w:rFonts w:ascii="Times New Roman" w:hAnsi="Times New Roman" w:eastAsia="宋体" w:cs="Times New Roman"/>
                <w:color w:val="auto"/>
                <w:sz w:val="24"/>
                <w:szCs w:val="24"/>
                <w:highlight w:val="none"/>
              </w:rPr>
              <w:t>3、事件运维与监控：支持事件详情模式，支持快速搜索模式（+-），支持高级搜索，支持搜索历史、收藏夹，支持解码小助手，支持事件-资产-漏洞关联，提升事件分析研判效率。可视化展示运维事件详情，包括但不限于：事件关键属性如原目的IP端口、攻击类型、攻击结果、响应码、事件描述、处置建议等，攻击证据如攻击载荷、流量上下文、告警日志、关联的会话日志流量日志、情报命中信息、流量取证PCAP包导出，事件相关的资产信息、漏洞信息，攻击者使用的ATT&amp;CK中定义的战术及技术，处置历史等，支持白名单、一键响应等处置措施，支持事件列表导出。（1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0-4分</w:t>
            </w:r>
          </w:p>
          <w:p>
            <w:pPr>
              <w:rPr>
                <w:rFonts w:ascii="Times New Roman" w:hAnsi="Times New Roman" w:eastAsia="宋体" w:cs="Times New Roman"/>
                <w:color w:val="auto"/>
                <w:sz w:val="24"/>
                <w:szCs w:val="24"/>
                <w:highlight w:val="none"/>
              </w:rPr>
            </w:pPr>
          </w:p>
        </w:tc>
        <w:tc>
          <w:tcPr>
            <w:tcW w:w="940" w:type="dxa"/>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04" w:type="dxa"/>
            <w:vMerge w:val="restart"/>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p>
        </w:tc>
        <w:tc>
          <w:tcPr>
            <w:tcW w:w="1444" w:type="dxa"/>
            <w:vMerge w:val="restart"/>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售后服务</w:t>
            </w:r>
          </w:p>
        </w:tc>
        <w:tc>
          <w:tcPr>
            <w:tcW w:w="5547" w:type="dxa"/>
            <w:vAlign w:val="center"/>
          </w:tcPr>
          <w:p>
            <w:pPr>
              <w:numPr>
                <w:ilvl w:val="0"/>
                <w:numId w:val="16"/>
              </w:num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除不可偏离指标外，根据投标人提供的免费保修期限、保修期内服务承诺、售后响应时间、免费保修期外服务方案、其他服务承诺情况等内容进行打分。（0-3分）</w:t>
            </w:r>
          </w:p>
        </w:tc>
        <w:tc>
          <w:tcPr>
            <w:tcW w:w="1002"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0-3分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04" w:type="dxa"/>
            <w:vMerge w:val="continue"/>
            <w:vAlign w:val="center"/>
          </w:tcPr>
          <w:p>
            <w:pPr>
              <w:jc w:val="center"/>
              <w:rPr>
                <w:rFonts w:ascii="Times New Roman" w:hAnsi="Times New Roman" w:eastAsia="宋体" w:cs="Times New Roman"/>
                <w:color w:val="auto"/>
                <w:sz w:val="24"/>
                <w:szCs w:val="24"/>
                <w:highlight w:val="none"/>
              </w:rPr>
            </w:pPr>
          </w:p>
        </w:tc>
        <w:tc>
          <w:tcPr>
            <w:tcW w:w="1444" w:type="dxa"/>
            <w:vMerge w:val="continue"/>
            <w:vAlign w:val="center"/>
          </w:tcPr>
          <w:p>
            <w:pPr>
              <w:jc w:val="center"/>
              <w:rPr>
                <w:rFonts w:ascii="Times New Roman" w:hAnsi="Times New Roman" w:eastAsia="宋体" w:cs="Times New Roman"/>
                <w:color w:val="auto"/>
                <w:sz w:val="24"/>
                <w:szCs w:val="24"/>
                <w:highlight w:val="none"/>
              </w:rPr>
            </w:pPr>
          </w:p>
        </w:tc>
        <w:tc>
          <w:tcPr>
            <w:tcW w:w="5547" w:type="dxa"/>
            <w:vAlign w:val="center"/>
          </w:tcPr>
          <w:p>
            <w:pPr>
              <w:numPr>
                <w:ilvl w:val="0"/>
                <w:numId w:val="16"/>
              </w:num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根据投标方免费保修期外设备维保方案、控制系统维保服务方案的合理性、可行性、报价优惠程度综合评估打分。（0-2分）</w:t>
            </w:r>
          </w:p>
        </w:tc>
        <w:tc>
          <w:tcPr>
            <w:tcW w:w="1002"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0-2分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4" w:type="dxa"/>
            <w:vMerge w:val="continue"/>
            <w:vAlign w:val="center"/>
          </w:tcPr>
          <w:p>
            <w:pPr>
              <w:jc w:val="center"/>
              <w:rPr>
                <w:rFonts w:ascii="Times New Roman" w:hAnsi="Times New Roman" w:eastAsia="宋体" w:cs="Times New Roman"/>
                <w:color w:val="auto"/>
                <w:sz w:val="24"/>
                <w:szCs w:val="24"/>
                <w:highlight w:val="none"/>
              </w:rPr>
            </w:pPr>
          </w:p>
        </w:tc>
        <w:tc>
          <w:tcPr>
            <w:tcW w:w="1444" w:type="dxa"/>
            <w:vMerge w:val="continue"/>
            <w:vAlign w:val="center"/>
          </w:tcPr>
          <w:p>
            <w:pPr>
              <w:jc w:val="center"/>
              <w:rPr>
                <w:rFonts w:ascii="Times New Roman" w:hAnsi="Times New Roman" w:eastAsia="宋体" w:cs="Times New Roman"/>
                <w:color w:val="auto"/>
                <w:sz w:val="24"/>
                <w:szCs w:val="24"/>
                <w:highlight w:val="none"/>
              </w:rPr>
            </w:pPr>
          </w:p>
        </w:tc>
        <w:tc>
          <w:tcPr>
            <w:tcW w:w="5547" w:type="dxa"/>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3、在原厂三年质保期基础上，质保期每增加一年，加0.5分，最高加1分</w:t>
            </w:r>
          </w:p>
        </w:tc>
        <w:tc>
          <w:tcPr>
            <w:tcW w:w="1002"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0-1分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04" w:type="dxa"/>
            <w:vMerge w:val="restart"/>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w:t>
            </w:r>
          </w:p>
        </w:tc>
        <w:tc>
          <w:tcPr>
            <w:tcW w:w="1444" w:type="dxa"/>
            <w:vMerge w:val="restart"/>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人员组成</w:t>
            </w:r>
          </w:p>
        </w:tc>
        <w:tc>
          <w:tcPr>
            <w:tcW w:w="5547" w:type="dxa"/>
          </w:tcPr>
          <w:p>
            <w:pPr>
              <w:numPr>
                <w:ilvl w:val="0"/>
                <w:numId w:val="17"/>
              </w:num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投标人拟派的项目总负责人具有ITIL、信息系统项目管理师证书、网络规划设计师证书、HCIP证书的，</w:t>
            </w:r>
            <w:r>
              <w:rPr>
                <w:rFonts w:hint="eastAsia" w:ascii="Times New Roman" w:hAnsi="Times New Roman" w:eastAsia="宋体" w:cs="Times New Roman"/>
                <w:color w:val="auto"/>
                <w:sz w:val="24"/>
                <w:szCs w:val="24"/>
                <w:highlight w:val="none"/>
              </w:rPr>
              <w:t>每提供一本证书</w:t>
            </w:r>
            <w:r>
              <w:rPr>
                <w:rFonts w:ascii="Times New Roman" w:hAnsi="Times New Roman" w:eastAsia="宋体" w:cs="Times New Roman"/>
                <w:color w:val="auto"/>
                <w:sz w:val="24"/>
                <w:szCs w:val="24"/>
                <w:highlight w:val="none"/>
              </w:rPr>
              <w:t>的得</w:t>
            </w:r>
            <w:r>
              <w:rPr>
                <w:rFonts w:hint="eastAsia" w:ascii="Times New Roman" w:hAnsi="Times New Roman" w:eastAsia="宋体" w:cs="Times New Roman"/>
                <w:color w:val="auto"/>
                <w:sz w:val="24"/>
                <w:szCs w:val="24"/>
                <w:highlight w:val="none"/>
              </w:rPr>
              <w:t>0.5</w:t>
            </w:r>
            <w:r>
              <w:rPr>
                <w:rFonts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rPr>
              <w:t>最高得2分</w:t>
            </w:r>
            <w:r>
              <w:rPr>
                <w:rFonts w:ascii="Times New Roman" w:hAnsi="Times New Roman" w:eastAsia="宋体" w:cs="Times New Roman"/>
                <w:color w:val="auto"/>
                <w:sz w:val="24"/>
                <w:szCs w:val="24"/>
                <w:highlight w:val="none"/>
              </w:rPr>
              <w:t>。（项目人员必须为本公司在职人员，需提供近3个月社保缴纳</w:t>
            </w:r>
            <w:r>
              <w:rPr>
                <w:rFonts w:hint="eastAsia" w:ascii="Times New Roman" w:hAnsi="Times New Roman" w:eastAsia="宋体" w:cs="Times New Roman"/>
                <w:color w:val="auto"/>
                <w:sz w:val="24"/>
                <w:szCs w:val="24"/>
                <w:highlight w:val="none"/>
              </w:rPr>
              <w:t>清单</w:t>
            </w:r>
            <w:r>
              <w:rPr>
                <w:rFonts w:ascii="Times New Roman" w:hAnsi="Times New Roman" w:eastAsia="宋体" w:cs="Times New Roman"/>
                <w:color w:val="auto"/>
                <w:sz w:val="24"/>
                <w:szCs w:val="24"/>
                <w:highlight w:val="none"/>
              </w:rPr>
              <w:t>及各种证书扫描件（复印件）加盖公章，否则不得分）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0-2分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604" w:type="dxa"/>
            <w:vMerge w:val="continue"/>
            <w:vAlign w:val="center"/>
          </w:tcPr>
          <w:p>
            <w:pPr>
              <w:jc w:val="center"/>
              <w:rPr>
                <w:rFonts w:ascii="Times New Roman" w:hAnsi="Times New Roman" w:eastAsia="宋体" w:cs="Times New Roman"/>
                <w:color w:val="auto"/>
                <w:sz w:val="24"/>
                <w:szCs w:val="24"/>
                <w:highlight w:val="none"/>
              </w:rPr>
            </w:pPr>
          </w:p>
        </w:tc>
        <w:tc>
          <w:tcPr>
            <w:tcW w:w="1444" w:type="dxa"/>
            <w:vMerge w:val="continue"/>
            <w:vAlign w:val="center"/>
          </w:tcPr>
          <w:p>
            <w:pPr>
              <w:jc w:val="center"/>
              <w:rPr>
                <w:rFonts w:ascii="Times New Roman" w:hAnsi="Times New Roman" w:eastAsia="宋体" w:cs="Times New Roman"/>
                <w:color w:val="auto"/>
                <w:sz w:val="24"/>
                <w:szCs w:val="24"/>
                <w:highlight w:val="none"/>
              </w:rPr>
            </w:pP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2、投标人拟派的项目经理具有信息系统项目管理师证书、一级建造师、中级网络工程师，</w:t>
            </w:r>
            <w:r>
              <w:rPr>
                <w:rFonts w:hint="eastAsia" w:ascii="Times New Roman" w:hAnsi="Times New Roman" w:eastAsia="宋体" w:cs="Times New Roman"/>
                <w:color w:val="auto"/>
                <w:sz w:val="24"/>
                <w:szCs w:val="24"/>
                <w:highlight w:val="none"/>
              </w:rPr>
              <w:t>每提供一本证书</w:t>
            </w:r>
            <w:r>
              <w:rPr>
                <w:rFonts w:ascii="Times New Roman" w:hAnsi="Times New Roman" w:eastAsia="宋体" w:cs="Times New Roman"/>
                <w:color w:val="auto"/>
                <w:sz w:val="24"/>
                <w:szCs w:val="24"/>
                <w:highlight w:val="none"/>
              </w:rPr>
              <w:t>的得</w:t>
            </w:r>
            <w:r>
              <w:rPr>
                <w:rFonts w:hint="eastAsia" w:ascii="Times New Roman" w:hAnsi="Times New Roman" w:eastAsia="宋体" w:cs="Times New Roman"/>
                <w:color w:val="auto"/>
                <w:sz w:val="24"/>
                <w:szCs w:val="24"/>
                <w:highlight w:val="none"/>
              </w:rPr>
              <w:t>0.5</w:t>
            </w:r>
            <w:r>
              <w:rPr>
                <w:rFonts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rPr>
              <w:t>最高得1分；</w:t>
            </w:r>
            <w:r>
              <w:rPr>
                <w:rFonts w:ascii="Times New Roman" w:hAnsi="Times New Roman" w:eastAsia="宋体" w:cs="Times New Roman"/>
                <w:color w:val="auto"/>
                <w:sz w:val="24"/>
                <w:szCs w:val="24"/>
                <w:highlight w:val="none"/>
              </w:rPr>
              <w:t>投标人拟派的项目技术负责人同时具有机电工程一级注册建造师证书</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通信与广电工程一级注册建造师证书</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通信专业工程师及以上证书</w:t>
            </w:r>
            <w:r>
              <w:rPr>
                <w:rFonts w:hint="eastAsia" w:ascii="Times New Roman" w:hAnsi="Times New Roman" w:eastAsia="宋体" w:cs="Times New Roman"/>
                <w:color w:val="auto"/>
                <w:sz w:val="24"/>
                <w:szCs w:val="24"/>
                <w:highlight w:val="none"/>
              </w:rPr>
              <w:t>，每提供一本证书</w:t>
            </w:r>
            <w:r>
              <w:rPr>
                <w:rFonts w:ascii="Times New Roman" w:hAnsi="Times New Roman" w:eastAsia="宋体" w:cs="Times New Roman"/>
                <w:color w:val="auto"/>
                <w:sz w:val="24"/>
                <w:szCs w:val="24"/>
                <w:highlight w:val="none"/>
              </w:rPr>
              <w:t>的得</w:t>
            </w:r>
            <w:r>
              <w:rPr>
                <w:rFonts w:hint="eastAsia" w:ascii="Times New Roman" w:hAnsi="Times New Roman" w:eastAsia="宋体" w:cs="Times New Roman"/>
                <w:color w:val="auto"/>
                <w:sz w:val="24"/>
                <w:szCs w:val="24"/>
                <w:highlight w:val="none"/>
              </w:rPr>
              <w:t>0.5</w:t>
            </w:r>
            <w:r>
              <w:rPr>
                <w:rFonts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rPr>
              <w:t>最高得1分</w:t>
            </w:r>
            <w:r>
              <w:rPr>
                <w:rFonts w:ascii="Times New Roman" w:hAnsi="Times New Roman" w:eastAsia="宋体" w:cs="Times New Roman"/>
                <w:color w:val="auto"/>
                <w:sz w:val="24"/>
                <w:szCs w:val="24"/>
                <w:highlight w:val="none"/>
              </w:rPr>
              <w:t>。（项目人员必须为本公司在职人员，需提供近3个月社保缴纳</w:t>
            </w:r>
            <w:r>
              <w:rPr>
                <w:rFonts w:hint="eastAsia" w:ascii="Times New Roman" w:hAnsi="Times New Roman" w:eastAsia="宋体" w:cs="Times New Roman"/>
                <w:color w:val="auto"/>
                <w:sz w:val="24"/>
                <w:szCs w:val="24"/>
                <w:highlight w:val="none"/>
              </w:rPr>
              <w:t>清单</w:t>
            </w:r>
            <w:r>
              <w:rPr>
                <w:rFonts w:ascii="Times New Roman" w:hAnsi="Times New Roman" w:eastAsia="宋体" w:cs="Times New Roman"/>
                <w:color w:val="auto"/>
                <w:sz w:val="24"/>
                <w:szCs w:val="24"/>
                <w:highlight w:val="none"/>
              </w:rPr>
              <w:t>及各种证书扫描件（复印件）加盖公章，否则不得分）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0-2分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w:t>
            </w:r>
          </w:p>
        </w:tc>
        <w:tc>
          <w:tcPr>
            <w:tcW w:w="1444" w:type="dxa"/>
            <w:vAlign w:val="center"/>
          </w:tcPr>
          <w:p>
            <w:pPr>
              <w:ind w:firstLine="240" w:firstLineChars="10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安装措施</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供货、安装、调试、验收的方案和措施：满足安装需求方式，根据方案和措施是否科学有效得0-2分。</w:t>
            </w:r>
          </w:p>
        </w:tc>
        <w:tc>
          <w:tcPr>
            <w:tcW w:w="1002" w:type="dxa"/>
          </w:tcPr>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0-2分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p>
        </w:tc>
        <w:tc>
          <w:tcPr>
            <w:tcW w:w="144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业绩</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投标人提供从2019年1月1日以来获得的类似项目合同：单个合同每个得1分，最高得3分。单个合同不重复计分，以内容清楚、盖章齐全的合同为依据。</w:t>
            </w:r>
          </w:p>
        </w:tc>
        <w:tc>
          <w:tcPr>
            <w:tcW w:w="1002" w:type="dxa"/>
            <w:vAlign w:val="center"/>
          </w:tcPr>
          <w:p>
            <w:pPr>
              <w:jc w:val="center"/>
              <w:rPr>
                <w:rFonts w:ascii="Times New Roman" w:hAnsi="Times New Roman" w:eastAsia="宋体" w:cs="Times New Roman"/>
                <w:color w:val="auto"/>
                <w:sz w:val="24"/>
                <w:szCs w:val="24"/>
                <w:highlight w:val="none"/>
              </w:rPr>
            </w:pPr>
            <w:bookmarkStart w:id="48" w:name="_GoBack"/>
            <w:bookmarkEnd w:id="48"/>
            <w:r>
              <w:rPr>
                <w:rFonts w:ascii="Times New Roman" w:hAnsi="Times New Roman" w:eastAsia="宋体" w:cs="Times New Roman"/>
                <w:color w:val="auto"/>
                <w:sz w:val="24"/>
                <w:szCs w:val="24"/>
                <w:highlight w:val="none"/>
              </w:rPr>
              <w:t>0-3分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w:t>
            </w:r>
          </w:p>
        </w:tc>
        <w:tc>
          <w:tcPr>
            <w:tcW w:w="1444"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培训</w:t>
            </w:r>
          </w:p>
        </w:tc>
        <w:tc>
          <w:tcPr>
            <w:tcW w:w="5547" w:type="dxa"/>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除不可偏离指标外，根据投标方针对本项目提供的本地培训方案打分，包括但不仅限于免费培训课程内容，培训时间、师资及培训方式等。</w:t>
            </w:r>
          </w:p>
        </w:tc>
        <w:tc>
          <w:tcPr>
            <w:tcW w:w="1002"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0-2分</w:t>
            </w:r>
          </w:p>
        </w:tc>
        <w:tc>
          <w:tcPr>
            <w:tcW w:w="940" w:type="dxa"/>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主观分</w:t>
            </w:r>
          </w:p>
        </w:tc>
      </w:tr>
    </w:tbl>
    <w:p>
      <w:pPr>
        <w:pStyle w:val="2"/>
        <w:rPr>
          <w:color w:val="auto"/>
          <w:highlight w:val="none"/>
        </w:rPr>
      </w:pPr>
    </w:p>
    <w:p>
      <w:pPr>
        <w:pStyle w:val="11"/>
        <w:spacing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2、报价响应文件评审</w:t>
      </w:r>
    </w:p>
    <w:p>
      <w:pPr>
        <w:pStyle w:val="11"/>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2.1甄别异常报价：有下列情况之一的投标报价不进入报价分计算环节：</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①资格响应、商务技术响应无效单位的投标报价；</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②报价高于预算价；</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③投标报价高于最高限价；</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④分析总报价及各个分项报价是否合理、报价范围是否完整、有否重大错漏项、是否超过最高限价。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adjustRightInd w:val="0"/>
        <w:snapToGrid w:val="0"/>
        <w:spacing w:line="360" w:lineRule="auto"/>
        <w:ind w:firstLine="472" w:firstLineChars="196"/>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2.2报价响应文件详细评审（3</w:t>
      </w:r>
      <w:r>
        <w:rPr>
          <w:rFonts w:ascii="Times New Roman" w:hAnsi="Times New Roman" w:eastAsia="宋体" w:cs="Times New Roman"/>
          <w:b/>
          <w:color w:val="auto"/>
          <w:sz w:val="24"/>
          <w:highlight w:val="none"/>
          <w:u w:val="single"/>
        </w:rPr>
        <w:t>0</w:t>
      </w:r>
      <w:r>
        <w:rPr>
          <w:rFonts w:ascii="Times New Roman" w:hAnsi="Times New Roman" w:eastAsia="宋体" w:cs="Times New Roman"/>
          <w:b/>
          <w:color w:val="auto"/>
          <w:sz w:val="24"/>
          <w:highlight w:val="none"/>
        </w:rPr>
        <w:t>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（1）评标基准价以满足招标文件要求且投标价格最低的投标报价为评标基准价，其报价得分为30分。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（2）报价得分计算。</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报价得分=（评标基准价/评标价）×30%×100，保留小数2位</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（因落实政府采购政策进行价格调整的，以调整后的价格计算评标价）</w:t>
      </w:r>
    </w:p>
    <w:p>
      <w:pPr>
        <w:adjustRightInd w:val="0"/>
        <w:snapToGrid w:val="0"/>
        <w:spacing w:line="360" w:lineRule="auto"/>
        <w:ind w:firstLine="472" w:firstLineChars="196"/>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2.3政府采购政策落实</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2.3.1在政府采购活动中，供应商提供的货物或者服务符合下列情形的，享受中小企业扶持政策：</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（1）在货物采购项目中，货物由中小企业制造，即货物由中小企业生产且使用该中小企业商号或者注册商标；</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（2）在服务采购项目中，服务由中小企业承接，即提供服务的人员为中小企业依照《中华人民共和国劳动合同法》订立劳动合同的从业人员。</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在货物采购项目中，供应商提供的货物既有中小企业制造货物，也有大型企业制造货物的，不享受中小企业扶持政策。</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2.3.2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2.3.4符合《关于政府采购支持监狱企业发展有关问题的通知》（财库[2014]68号）规定的监狱企业并提供由省级以上监狱管理局、戒毒管理局（含新疆生产建设兵团）出具的属于监狱企业佐证文件的，视同为小型、微型企业。</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2.3.6中小企业享受扶持政策获得政府采购合同的，小微企业不得将合同分包给大中型企业，中型企业不得将合同分包给大型企业。</w:t>
      </w:r>
    </w:p>
    <w:p>
      <w:pPr>
        <w:spacing w:line="360" w:lineRule="auto"/>
        <w:ind w:firstLine="482" w:firstLineChars="20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w:t>
      </w:r>
      <w:r>
        <w:rPr>
          <w:rFonts w:ascii="Times New Roman" w:hAnsi="Times New Roman" w:eastAsia="宋体" w:cs="Times New Roman"/>
          <w:b/>
          <w:color w:val="auto"/>
          <w:sz w:val="24"/>
          <w:highlight w:val="none"/>
        </w:rPr>
        <w:t>、计算总分（满分为100分）</w:t>
      </w:r>
    </w:p>
    <w:p>
      <w:pPr>
        <w:pStyle w:val="11"/>
        <w:spacing w:line="360" w:lineRule="auto"/>
        <w:ind w:firstLine="24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计算方法：投标人总得分 =</w:t>
      </w:r>
      <w:r>
        <w:rPr>
          <w:rFonts w:ascii="Times New Roman" w:hAnsi="Times New Roman" w:cs="Times New Roman"/>
          <w:color w:val="auto"/>
          <w:sz w:val="24"/>
          <w:highlight w:val="none"/>
        </w:rPr>
        <w:t>商务技术分+报价分</w:t>
      </w:r>
    </w:p>
    <w:p>
      <w:pPr>
        <w:pStyle w:val="31"/>
        <w:spacing w:before="0" w:after="0" w:line="360" w:lineRule="auto"/>
        <w:ind w:left="1343" w:leftChars="254" w:hanging="810" w:hangingChars="336"/>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确定中标人</w:t>
      </w:r>
      <w:r>
        <w:rPr>
          <w:rFonts w:ascii="Times New Roman" w:hAnsi="Times New Roman" w:eastAsia="宋体" w:cs="Times New Roman"/>
          <w:color w:val="auto"/>
          <w:szCs w:val="24"/>
          <w:highlight w:val="none"/>
        </w:rPr>
        <w:t>，完成评标报告</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确定中标人</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spacing w:line="360" w:lineRule="auto"/>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当确定的中标人放弃中标，因不可抗力提出不能履行合同，在此情况下，采购人可重新组织招投标。</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（2）完成评标报告</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评标委员会向采购人提出评标报告，内容包括评标过程、投标人的优劣对比分析、中标人</w:t>
      </w:r>
      <w:r>
        <w:rPr>
          <w:rFonts w:hint="eastAsia" w:ascii="Times New Roman" w:hAnsi="Times New Roman" w:eastAsia="宋体" w:cs="Times New Roman"/>
          <w:color w:val="auto"/>
          <w:kern w:val="0"/>
          <w:sz w:val="24"/>
          <w:highlight w:val="none"/>
        </w:rPr>
        <w:t>确定</w:t>
      </w:r>
      <w:r>
        <w:rPr>
          <w:rFonts w:ascii="Times New Roman" w:hAnsi="Times New Roman" w:eastAsia="宋体" w:cs="Times New Roman"/>
          <w:color w:val="auto"/>
          <w:kern w:val="0"/>
          <w:sz w:val="24"/>
          <w:highlight w:val="none"/>
        </w:rPr>
        <w:t>情况、基本结论、存在的问题和评标专家的不同意见。评标报告应经评标委员会所有专家签字，在评标结束时当场提交给采购人</w:t>
      </w:r>
      <w:r>
        <w:rPr>
          <w:rFonts w:ascii="Times New Roman" w:hAnsi="Times New Roman" w:eastAsia="宋体" w:cs="Times New Roman"/>
          <w:color w:val="auto"/>
          <w:sz w:val="24"/>
          <w:highlight w:val="none"/>
        </w:rPr>
        <w:t>。</w:t>
      </w:r>
    </w:p>
    <w:p>
      <w:pPr>
        <w:rPr>
          <w:rFonts w:ascii="Times New Roman" w:hAnsi="Times New Roman" w:eastAsia="宋体" w:cs="Times New Roman"/>
          <w:b/>
          <w:color w:val="auto"/>
          <w:sz w:val="36"/>
          <w:szCs w:val="36"/>
          <w:highlight w:val="none"/>
        </w:rPr>
      </w:pPr>
      <w:r>
        <w:rPr>
          <w:rFonts w:ascii="Times New Roman" w:hAnsi="Times New Roman" w:eastAsia="宋体" w:cs="Times New Roman"/>
          <w:b/>
          <w:color w:val="auto"/>
          <w:sz w:val="36"/>
          <w:szCs w:val="36"/>
          <w:highlight w:val="none"/>
        </w:rPr>
        <w:br w:type="page"/>
      </w:r>
    </w:p>
    <w:p>
      <w:pPr>
        <w:spacing w:line="360" w:lineRule="auto"/>
        <w:ind w:firstLine="723" w:firstLineChars="200"/>
        <w:jc w:val="center"/>
        <w:rPr>
          <w:rFonts w:ascii="Times New Roman" w:hAnsi="Times New Roman" w:eastAsia="宋体" w:cs="Times New Roman"/>
          <w:b/>
          <w:color w:val="auto"/>
          <w:sz w:val="36"/>
          <w:szCs w:val="36"/>
          <w:highlight w:val="none"/>
        </w:rPr>
      </w:pPr>
      <w:r>
        <w:rPr>
          <w:rFonts w:ascii="Times New Roman" w:hAnsi="Times New Roman" w:eastAsia="宋体" w:cs="Times New Roman"/>
          <w:b/>
          <w:color w:val="auto"/>
          <w:sz w:val="36"/>
          <w:szCs w:val="36"/>
          <w:highlight w:val="none"/>
        </w:rPr>
        <w:t>第七章  合同主要条款</w:t>
      </w:r>
    </w:p>
    <w:p>
      <w:pPr>
        <w:widowControl/>
        <w:spacing w:line="360" w:lineRule="auto"/>
        <w:ind w:firstLine="482" w:firstLineChars="200"/>
        <w:jc w:val="center"/>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 xml:space="preserve">义乌市政府采购合同（样本） </w:t>
      </w:r>
    </w:p>
    <w:p>
      <w:pPr>
        <w:widowControl/>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需方：________________________________</w:t>
      </w:r>
    </w:p>
    <w:p>
      <w:pPr>
        <w:widowControl/>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供方：________________________________</w:t>
      </w:r>
    </w:p>
    <w:p>
      <w:pPr>
        <w:widowControl/>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供、需双方根据__</w:t>
      </w:r>
      <w:r>
        <w:rPr>
          <w:rFonts w:ascii="Times New Roman" w:hAnsi="Times New Roman" w:eastAsia="宋体" w:cs="Times New Roman"/>
          <w:color w:val="auto"/>
          <w:kern w:val="0"/>
          <w:sz w:val="24"/>
          <w:highlight w:val="none"/>
          <w:u w:val="single"/>
        </w:rPr>
        <w:t>_ _</w:t>
      </w:r>
      <w:r>
        <w:rPr>
          <w:rFonts w:ascii="Times New Roman" w:hAnsi="Times New Roman" w:eastAsia="宋体" w:cs="Times New Roman"/>
          <w:color w:val="auto"/>
          <w:kern w:val="0"/>
          <w:sz w:val="24"/>
          <w:highlight w:val="none"/>
        </w:rPr>
        <w:t>年____月____日浙江省义乌市政府采购项目中标结果和投标文件的要求，依据《中华人民共和国</w:t>
      </w:r>
      <w:r>
        <w:rPr>
          <w:rFonts w:hint="eastAsia" w:ascii="Times New Roman" w:hAnsi="Times New Roman" w:eastAsia="宋体" w:cs="Times New Roman"/>
          <w:color w:val="auto"/>
          <w:kern w:val="0"/>
          <w:sz w:val="24"/>
          <w:highlight w:val="none"/>
        </w:rPr>
        <w:t>民法典</w:t>
      </w:r>
      <w:r>
        <w:rPr>
          <w:rFonts w:ascii="Times New Roman" w:hAnsi="Times New Roman" w:eastAsia="宋体" w:cs="Times New Roman"/>
          <w:color w:val="auto"/>
          <w:kern w:val="0"/>
          <w:sz w:val="24"/>
          <w:highlight w:val="none"/>
        </w:rPr>
        <w:t>》并经双方协调一致，订立本采购合同。</w:t>
      </w:r>
      <w:r>
        <w:rPr>
          <w:rFonts w:ascii="Times New Roman" w:hAnsi="Times New Roman" w:eastAsia="宋体" w:cs="Times New Roman"/>
          <w:color w:val="auto"/>
          <w:sz w:val="24"/>
          <w:highlight w:val="none"/>
        </w:rPr>
        <w:t>本合同（□是 □否）为可融资合同。</w:t>
      </w:r>
    </w:p>
    <w:p>
      <w:pPr>
        <w:widowControl/>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b/>
          <w:color w:val="auto"/>
          <w:kern w:val="0"/>
          <w:sz w:val="24"/>
          <w:highlight w:val="none"/>
        </w:rPr>
        <w:t>一、合同文件组成：</w:t>
      </w:r>
      <w:r>
        <w:rPr>
          <w:rFonts w:ascii="Times New Roman" w:hAnsi="Times New Roman" w:eastAsia="宋体" w:cs="Times New Roman"/>
          <w:color w:val="auto"/>
          <w:kern w:val="0"/>
          <w:sz w:val="24"/>
          <w:highlight w:val="none"/>
        </w:rPr>
        <w:t>招标文件及其补充文件、询标承诺、询疑答复、投标响应文件、双方来函。合同文件组成的所有内容是构成合同不可分割的部分，与合同具有同等法律效力。</w:t>
      </w:r>
    </w:p>
    <w:p>
      <w:pPr>
        <w:widowControl/>
        <w:spacing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二、合同金额</w:t>
      </w:r>
    </w:p>
    <w:p>
      <w:pPr>
        <w:widowControl/>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合同总价中须</w:t>
      </w:r>
      <w:r>
        <w:rPr>
          <w:rFonts w:hint="eastAsia" w:hAnsi="宋体" w:cs="宋体"/>
          <w:color w:val="auto"/>
          <w:sz w:val="24"/>
          <w:szCs w:val="24"/>
          <w:highlight w:val="none"/>
        </w:rPr>
        <w:t>包含</w:t>
      </w:r>
      <w:r>
        <w:rPr>
          <w:rFonts w:ascii="Times New Roman" w:hAnsi="Times New Roman"/>
          <w:color w:val="auto"/>
          <w:sz w:val="24"/>
          <w:highlight w:val="none"/>
        </w:rPr>
        <w:t>货物价款、</w:t>
      </w:r>
      <w:r>
        <w:rPr>
          <w:rFonts w:hint="eastAsia" w:ascii="Times New Roman" w:hAnsi="Times New Roman"/>
          <w:color w:val="auto"/>
          <w:sz w:val="24"/>
          <w:highlight w:val="none"/>
        </w:rPr>
        <w:t>系统集成相关费用、</w:t>
      </w:r>
      <w:r>
        <w:rPr>
          <w:rFonts w:ascii="Times New Roman" w:hAnsi="Times New Roman"/>
          <w:color w:val="auto"/>
          <w:sz w:val="24"/>
          <w:highlight w:val="none"/>
        </w:rPr>
        <w:t>附件、配件、备品备件、途中运输费、装卸费、安装调试费、技术指导费、维护费</w:t>
      </w:r>
      <w:r>
        <w:rPr>
          <w:rFonts w:hint="eastAsia" w:ascii="Times New Roman" w:hAnsi="Times New Roman"/>
          <w:color w:val="auto"/>
          <w:sz w:val="24"/>
          <w:highlight w:val="none"/>
        </w:rPr>
        <w:t>（设备维护费、系统软件维护升级费用）</w:t>
      </w:r>
      <w:r>
        <w:rPr>
          <w:rFonts w:ascii="Times New Roman" w:hAnsi="Times New Roman"/>
          <w:color w:val="auto"/>
          <w:sz w:val="24"/>
          <w:highlight w:val="none"/>
        </w:rPr>
        <w:t>、技术资料费、保险费、利润、税金、售后服务费、完成本项目的其它费用和政策性文件规定及合同包含的所有风险、责任等各项应有费用，如有漏项，视同已包含在其总项目中，合同总价不予调整</w:t>
      </w:r>
      <w:r>
        <w:rPr>
          <w:rFonts w:hint="eastAsia" w:hAnsi="宋体" w:cs="宋体"/>
          <w:color w:val="auto"/>
          <w:sz w:val="24"/>
          <w:szCs w:val="24"/>
          <w:highlight w:val="none"/>
        </w:rPr>
        <w:t>。</w:t>
      </w:r>
    </w:p>
    <w:p>
      <w:pPr>
        <w:widowControl/>
        <w:spacing w:line="360" w:lineRule="auto"/>
        <w:ind w:firstLine="480"/>
        <w:jc w:val="righ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单位：人民币元</w:t>
      </w:r>
    </w:p>
    <w:tbl>
      <w:tblPr>
        <w:tblStyle w:val="23"/>
        <w:tblW w:w="93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492"/>
        <w:gridCol w:w="1617"/>
        <w:gridCol w:w="89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55" w:type="dxa"/>
            <w:vAlign w:val="center"/>
          </w:tcPr>
          <w:p>
            <w:pPr>
              <w:wordWrap w:val="0"/>
              <w:spacing w:line="360" w:lineRule="exact"/>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序号</w:t>
            </w:r>
          </w:p>
        </w:tc>
        <w:tc>
          <w:tcPr>
            <w:tcW w:w="4492" w:type="dxa"/>
            <w:vAlign w:val="center"/>
          </w:tcPr>
          <w:p>
            <w:pPr>
              <w:wordWrap w:val="0"/>
              <w:spacing w:line="360" w:lineRule="exact"/>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采购项目</w:t>
            </w:r>
          </w:p>
        </w:tc>
        <w:tc>
          <w:tcPr>
            <w:tcW w:w="1617" w:type="dxa"/>
            <w:vAlign w:val="center"/>
          </w:tcPr>
          <w:p>
            <w:pPr>
              <w:wordWrap w:val="0"/>
              <w:spacing w:line="360" w:lineRule="exact"/>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投标单价（元）</w:t>
            </w:r>
          </w:p>
        </w:tc>
        <w:tc>
          <w:tcPr>
            <w:tcW w:w="899" w:type="dxa"/>
            <w:vAlign w:val="center"/>
          </w:tcPr>
          <w:p>
            <w:pPr>
              <w:wordWrap w:val="0"/>
              <w:spacing w:line="360" w:lineRule="exact"/>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数量</w:t>
            </w:r>
          </w:p>
        </w:tc>
        <w:tc>
          <w:tcPr>
            <w:tcW w:w="1617" w:type="dxa"/>
            <w:vAlign w:val="center"/>
          </w:tcPr>
          <w:p>
            <w:pPr>
              <w:wordWrap w:val="0"/>
              <w:spacing w:line="360" w:lineRule="exact"/>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755"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4492"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1617"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899"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1617" w:type="dxa"/>
          </w:tcPr>
          <w:p>
            <w:pPr>
              <w:wordWrap w:val="0"/>
              <w:spacing w:line="36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755"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4492"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1617" w:type="dxa"/>
          </w:tcPr>
          <w:p>
            <w:pPr>
              <w:wordWrap w:val="0"/>
              <w:spacing w:line="360" w:lineRule="exact"/>
              <w:jc w:val="center"/>
              <w:rPr>
                <w:rFonts w:ascii="Times New Roman" w:hAnsi="Times New Roman" w:eastAsia="宋体" w:cs="Times New Roman"/>
                <w:color w:val="auto"/>
                <w:sz w:val="24"/>
                <w:highlight w:val="none"/>
              </w:rPr>
            </w:pPr>
          </w:p>
        </w:tc>
        <w:tc>
          <w:tcPr>
            <w:tcW w:w="899" w:type="dxa"/>
            <w:vAlign w:val="center"/>
          </w:tcPr>
          <w:p>
            <w:pPr>
              <w:wordWrap w:val="0"/>
              <w:spacing w:line="360" w:lineRule="exact"/>
              <w:jc w:val="center"/>
              <w:rPr>
                <w:rFonts w:ascii="Times New Roman" w:hAnsi="Times New Roman" w:eastAsia="宋体" w:cs="Times New Roman"/>
                <w:color w:val="auto"/>
                <w:sz w:val="24"/>
                <w:highlight w:val="none"/>
              </w:rPr>
            </w:pPr>
          </w:p>
        </w:tc>
        <w:tc>
          <w:tcPr>
            <w:tcW w:w="1617" w:type="dxa"/>
          </w:tcPr>
          <w:p>
            <w:pPr>
              <w:wordWrap w:val="0"/>
              <w:spacing w:line="36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55" w:type="dxa"/>
            <w:vAlign w:val="center"/>
          </w:tcPr>
          <w:p>
            <w:pPr>
              <w:wordWrap w:val="0"/>
              <w:spacing w:line="36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合计</w:t>
            </w:r>
          </w:p>
        </w:tc>
        <w:tc>
          <w:tcPr>
            <w:tcW w:w="8625" w:type="dxa"/>
            <w:gridSpan w:val="4"/>
            <w:vAlign w:val="center"/>
          </w:tcPr>
          <w:p>
            <w:pPr>
              <w:wordWrap w:val="0"/>
              <w:spacing w:line="360" w:lineRule="exact"/>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w:t>
            </w:r>
          </w:p>
          <w:p>
            <w:pPr>
              <w:wordWrap w:val="0"/>
              <w:spacing w:line="36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大写：</w:t>
            </w:r>
          </w:p>
        </w:tc>
      </w:tr>
    </w:tbl>
    <w:p>
      <w:pPr>
        <w:widowControl/>
        <w:snapToGrid w:val="0"/>
        <w:spacing w:before="120" w:after="120" w:line="360" w:lineRule="auto"/>
        <w:ind w:firstLine="482" w:firstLineChars="20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三、技术资料</w:t>
      </w:r>
    </w:p>
    <w:p>
      <w:pPr>
        <w:widowControl/>
        <w:snapToGrid w:val="0"/>
        <w:spacing w:before="120" w:after="120" w:line="360" w:lineRule="auto"/>
        <w:ind w:left="407" w:leftChars="194" w:firstLine="120" w:firstLineChars="5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1、供方应按招标文件规定的时间向需方提供的有关技术资料。</w:t>
      </w:r>
    </w:p>
    <w:p>
      <w:pPr>
        <w:widowControl/>
        <w:snapToGrid w:val="0"/>
        <w:spacing w:before="120" w:after="120" w:line="360" w:lineRule="auto"/>
        <w:ind w:left="78" w:leftChars="37"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没有需方事先书面同意，供方不得将由需方提供的有关合同或任何合同条文、规格、计划、图纸或资料提供给与履行本合同无关的任何其他人。即使向履行本合同有关的人员提供，也应注意保密并限于履行合同的必需范围。</w:t>
      </w:r>
    </w:p>
    <w:p>
      <w:pPr>
        <w:widowControl/>
        <w:snapToGrid w:val="0"/>
        <w:spacing w:before="120" w:after="120" w:line="360" w:lineRule="auto"/>
        <w:ind w:left="409" w:leftChars="195" w:firstLine="118" w:firstLineChars="49"/>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四、知识产权</w:t>
      </w:r>
    </w:p>
    <w:p>
      <w:pPr>
        <w:widowControl/>
        <w:snapToGrid w:val="0"/>
        <w:spacing w:before="120" w:after="120" w:line="360" w:lineRule="auto"/>
        <w:ind w:firstLine="480" w:firstLineChars="200"/>
        <w:jc w:val="left"/>
        <w:rPr>
          <w:rFonts w:ascii="Times New Roman" w:hAnsi="Times New Roman" w:eastAsia="宋体" w:cs="Times New Roman"/>
          <w:bCs/>
          <w:color w:val="auto"/>
          <w:kern w:val="0"/>
          <w:sz w:val="24"/>
          <w:highlight w:val="none"/>
        </w:rPr>
      </w:pPr>
      <w:r>
        <w:rPr>
          <w:rFonts w:ascii="Times New Roman" w:hAnsi="Times New Roman" w:eastAsia="宋体" w:cs="Times New Roman"/>
          <w:color w:val="auto"/>
          <w:kern w:val="0"/>
          <w:sz w:val="24"/>
          <w:highlight w:val="none"/>
        </w:rPr>
        <w:t>供方应保证所提供的软件或其任何一部分均不会侵犯任何第三方的知识产权</w:t>
      </w:r>
      <w:r>
        <w:rPr>
          <w:rFonts w:ascii="Times New Roman" w:hAnsi="Times New Roman" w:eastAsia="宋体" w:cs="Times New Roman"/>
          <w:bCs/>
          <w:color w:val="auto"/>
          <w:kern w:val="0"/>
          <w:sz w:val="24"/>
          <w:highlight w:val="none"/>
        </w:rPr>
        <w:t>。</w:t>
      </w:r>
    </w:p>
    <w:p>
      <w:pPr>
        <w:widowControl/>
        <w:snapToGrid w:val="0"/>
        <w:spacing w:before="120"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五、转包或分包</w:t>
      </w:r>
    </w:p>
    <w:p>
      <w:pPr>
        <w:widowControl/>
        <w:snapToGrid w:val="0"/>
        <w:spacing w:before="120" w:after="120" w:line="360" w:lineRule="auto"/>
        <w:ind w:firstLine="480" w:firstLineChars="20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1、本合同范围的货物，应由供方直接供应，不得转让他人供应；</w:t>
      </w:r>
    </w:p>
    <w:p>
      <w:pPr>
        <w:widowControl/>
        <w:snapToGrid w:val="0"/>
        <w:spacing w:before="120" w:after="120" w:line="360" w:lineRule="auto"/>
        <w:ind w:firstLine="480" w:firstLineChars="20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2、供方不得将本合同范围的货物全部或部分分包给他人供应；</w:t>
      </w:r>
    </w:p>
    <w:p>
      <w:pPr>
        <w:widowControl/>
        <w:snapToGrid w:val="0"/>
        <w:spacing w:before="120" w:after="120" w:line="360" w:lineRule="auto"/>
        <w:ind w:firstLine="480" w:firstLineChars="20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3、如有转让和分包行为，需方将解除合同，没收尾款并追究供方的违约责任。</w:t>
      </w:r>
    </w:p>
    <w:p>
      <w:pPr>
        <w:widowControl/>
        <w:snapToGrid w:val="0"/>
        <w:spacing w:before="120" w:after="120" w:line="480" w:lineRule="atLeast"/>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w:t>
      </w:r>
      <w:r>
        <w:rPr>
          <w:rFonts w:ascii="Times New Roman" w:hAnsi="Times New Roman" w:eastAsia="宋体" w:cs="Times New Roman"/>
          <w:b/>
          <w:color w:val="auto"/>
          <w:kern w:val="0"/>
          <w:sz w:val="24"/>
          <w:highlight w:val="none"/>
        </w:rPr>
        <w:t>六、</w:t>
      </w:r>
      <w:r>
        <w:rPr>
          <w:rFonts w:hint="eastAsia" w:ascii="Times New Roman" w:hAnsi="Times New Roman" w:eastAsia="宋体" w:cs="Times New Roman"/>
          <w:b/>
          <w:color w:val="auto"/>
          <w:kern w:val="0"/>
          <w:sz w:val="24"/>
          <w:highlight w:val="none"/>
        </w:rPr>
        <w:t>维</w:t>
      </w:r>
      <w:r>
        <w:rPr>
          <w:rFonts w:ascii="Times New Roman" w:hAnsi="Times New Roman" w:eastAsia="宋体" w:cs="Times New Roman"/>
          <w:b/>
          <w:color w:val="auto"/>
          <w:kern w:val="0"/>
          <w:sz w:val="24"/>
          <w:highlight w:val="none"/>
        </w:rPr>
        <w:t>保期</w:t>
      </w:r>
    </w:p>
    <w:p>
      <w:pPr>
        <w:widowControl/>
        <w:spacing w:line="360" w:lineRule="auto"/>
        <w:ind w:firstLine="482"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b/>
          <w:color w:val="auto"/>
          <w:kern w:val="0"/>
          <w:sz w:val="24"/>
          <w:highlight w:val="none"/>
        </w:rPr>
        <w:t>供方必须对合同中规定的</w:t>
      </w:r>
      <w:r>
        <w:rPr>
          <w:rFonts w:hint="eastAsia" w:ascii="Times New Roman" w:hAnsi="Times New Roman" w:eastAsia="宋体" w:cs="Times New Roman"/>
          <w:b/>
          <w:color w:val="auto"/>
          <w:kern w:val="0"/>
          <w:sz w:val="24"/>
          <w:highlight w:val="none"/>
        </w:rPr>
        <w:t>产品</w:t>
      </w:r>
      <w:r>
        <w:rPr>
          <w:rFonts w:ascii="Times New Roman" w:hAnsi="Times New Roman" w:eastAsia="宋体" w:cs="Times New Roman"/>
          <w:b/>
          <w:color w:val="auto"/>
          <w:kern w:val="0"/>
          <w:sz w:val="24"/>
          <w:highlight w:val="none"/>
        </w:rPr>
        <w:t>提供至少年的</w:t>
      </w:r>
      <w:r>
        <w:rPr>
          <w:rFonts w:hint="eastAsia" w:ascii="Times New Roman" w:hAnsi="Times New Roman" w:eastAsia="宋体" w:cs="Times New Roman"/>
          <w:b/>
          <w:color w:val="auto"/>
          <w:kern w:val="0"/>
          <w:sz w:val="24"/>
          <w:highlight w:val="none"/>
        </w:rPr>
        <w:t>维</w:t>
      </w:r>
      <w:r>
        <w:rPr>
          <w:rFonts w:ascii="Times New Roman" w:hAnsi="Times New Roman" w:eastAsia="宋体" w:cs="Times New Roman"/>
          <w:b/>
          <w:color w:val="auto"/>
          <w:kern w:val="0"/>
          <w:sz w:val="24"/>
          <w:highlight w:val="none"/>
        </w:rPr>
        <w:t>保期（系统另有规定的按原规定执行），时间从整体工程验收合格办理移交手续之日起计算。在质量保证期内，对用户提出的技术问题进行咨询解答服务，对项目运行过程中发现的技术缺陷予以修改，并负责有关费用。</w:t>
      </w:r>
    </w:p>
    <w:p>
      <w:pPr>
        <w:widowControl/>
        <w:snapToGrid w:val="0"/>
        <w:spacing w:line="360" w:lineRule="auto"/>
        <w:ind w:firstLine="482"/>
        <w:jc w:val="left"/>
        <w:rPr>
          <w:rFonts w:ascii="Times New Roman" w:hAnsi="Times New Roman" w:eastAsia="宋体" w:cs="Times New Roman"/>
          <w:b/>
          <w:color w:val="auto"/>
          <w:kern w:val="0"/>
          <w:sz w:val="24"/>
          <w:highlight w:val="none"/>
        </w:rPr>
      </w:pPr>
    </w:p>
    <w:p>
      <w:pPr>
        <w:widowControl/>
        <w:snapToGrid w:val="0"/>
        <w:spacing w:line="360" w:lineRule="auto"/>
        <w:ind w:firstLine="482"/>
        <w:jc w:val="left"/>
        <w:rPr>
          <w:rFonts w:ascii="Times New Roman" w:hAnsi="Times New Roman" w:eastAsia="宋体" w:cs="Times New Roman"/>
          <w:b/>
          <w:color w:val="auto"/>
          <w:kern w:val="0"/>
          <w:sz w:val="24"/>
          <w:highlight w:val="none"/>
          <w:u w:val="single"/>
        </w:rPr>
      </w:pPr>
      <w:r>
        <w:rPr>
          <w:rFonts w:ascii="Times New Roman" w:hAnsi="Times New Roman" w:eastAsia="宋体" w:cs="Times New Roman"/>
          <w:b/>
          <w:color w:val="auto"/>
          <w:kern w:val="0"/>
          <w:sz w:val="24"/>
          <w:highlight w:val="none"/>
        </w:rPr>
        <w:t>七、工期要求：</w:t>
      </w:r>
    </w:p>
    <w:p>
      <w:pPr>
        <w:widowControl/>
        <w:snapToGrid w:val="0"/>
        <w:spacing w:before="120" w:after="120" w:line="480" w:lineRule="atLeast"/>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八、付款方式</w:t>
      </w:r>
      <w:r>
        <w:rPr>
          <w:rFonts w:hint="eastAsia" w:ascii="Times New Roman" w:hAnsi="Times New Roman" w:eastAsia="宋体" w:cs="Times New Roman"/>
          <w:b/>
          <w:color w:val="auto"/>
          <w:kern w:val="0"/>
          <w:sz w:val="24"/>
          <w:highlight w:val="none"/>
        </w:rPr>
        <w:t>：</w:t>
      </w:r>
    </w:p>
    <w:p>
      <w:pPr>
        <w:widowControl/>
        <w:snapToGrid w:val="0"/>
        <w:spacing w:before="120" w:after="120" w:line="480" w:lineRule="atLeast"/>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color w:val="auto"/>
          <w:kern w:val="0"/>
          <w:sz w:val="24"/>
          <w:highlight w:val="none"/>
        </w:rPr>
        <w:t>▲</w:t>
      </w:r>
      <w:r>
        <w:rPr>
          <w:rFonts w:ascii="Times New Roman" w:hAnsi="Times New Roman" w:eastAsia="宋体" w:cs="Times New Roman"/>
          <w:b/>
          <w:color w:val="auto"/>
          <w:kern w:val="0"/>
          <w:sz w:val="24"/>
          <w:highlight w:val="none"/>
        </w:rPr>
        <w:t>1、付款方式：_______________________(与招标文件保持一致)</w:t>
      </w:r>
    </w:p>
    <w:p>
      <w:pPr>
        <w:widowControl/>
        <w:snapToGrid w:val="0"/>
        <w:spacing w:before="156" w:beforeLines="50" w:after="156" w:afterLines="5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九、税费</w:t>
      </w:r>
    </w:p>
    <w:p>
      <w:pPr>
        <w:widowControl/>
        <w:snapToGrid w:val="0"/>
        <w:spacing w:before="156" w:beforeLines="50" w:after="156" w:afterLines="50"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本合同执行中相关的一切税费均由供方负担。</w:t>
      </w:r>
    </w:p>
    <w:p>
      <w:pPr>
        <w:widowControl/>
        <w:snapToGrid w:val="0"/>
        <w:spacing w:before="120" w:after="120" w:line="360" w:lineRule="auto"/>
        <w:ind w:left="409" w:leftChars="195" w:firstLine="118" w:firstLineChars="49"/>
        <w:jc w:val="left"/>
        <w:rPr>
          <w:rFonts w:ascii="Times New Roman" w:hAnsi="Times New Roman" w:eastAsia="宋体" w:cs="Times New Roman"/>
          <w:color w:val="auto"/>
          <w:kern w:val="0"/>
          <w:sz w:val="24"/>
          <w:highlight w:val="none"/>
        </w:rPr>
      </w:pPr>
      <w:r>
        <w:rPr>
          <w:rFonts w:ascii="Times New Roman" w:hAnsi="Times New Roman" w:eastAsia="宋体" w:cs="Times New Roman"/>
          <w:b/>
          <w:color w:val="auto"/>
          <w:kern w:val="0"/>
          <w:sz w:val="24"/>
          <w:highlight w:val="none"/>
        </w:rPr>
        <w:t>十、质量保证及售后服务</w:t>
      </w:r>
    </w:p>
    <w:p>
      <w:pPr>
        <w:widowControl/>
        <w:snapToGrid w:val="0"/>
        <w:spacing w:before="120" w:after="120" w:line="360" w:lineRule="auto"/>
        <w:ind w:left="77"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1、供方应按招标文件规定的系统性能、技术要求、质量标准向需方提供。</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2、系统在质量保证期内，须提供以下形式的技术支持服务</w:t>
      </w:r>
    </w:p>
    <w:p>
      <w:pPr>
        <w:widowControl/>
        <w:snapToGrid w:val="0"/>
        <w:spacing w:before="120" w:after="120" w:line="360" w:lineRule="auto"/>
        <w:ind w:firstLine="787" w:firstLineChars="328"/>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热线电话：通过热线电话方式受理用户方反馈的问题，要求提供小时的电话技术支持服务。</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ab/>
      </w:r>
      <w:r>
        <w:rPr>
          <w:rFonts w:ascii="Times New Roman" w:hAnsi="Times New Roman" w:eastAsia="宋体" w:cs="Times New Roman"/>
          <w:color w:val="auto"/>
          <w:kern w:val="0"/>
          <w:sz w:val="24"/>
          <w:highlight w:val="none"/>
        </w:rPr>
        <w:t>网站公告：通过网站方式对系统重大更新信息进行发布，提供文档、补丁程序、软件更新下载，提供在线交互。</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ab/>
      </w:r>
      <w:r>
        <w:rPr>
          <w:rFonts w:ascii="Times New Roman" w:hAnsi="Times New Roman" w:eastAsia="宋体" w:cs="Times New Roman"/>
          <w:color w:val="auto"/>
          <w:kern w:val="0"/>
          <w:sz w:val="24"/>
          <w:highlight w:val="none"/>
        </w:rPr>
        <w:t>电子邮箱：提供专门的技术服务电子邮箱，对用户方反馈的技术问题进行收集。</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ab/>
      </w:r>
      <w:r>
        <w:rPr>
          <w:rFonts w:ascii="Times New Roman" w:hAnsi="Times New Roman" w:eastAsia="宋体" w:cs="Times New Roman"/>
          <w:color w:val="auto"/>
          <w:kern w:val="0"/>
          <w:sz w:val="24"/>
          <w:highlight w:val="none"/>
        </w:rPr>
        <w:t>现场服务：在电话响应未能解决的情况下，向用户方提供现场服务解决问题。</w:t>
      </w:r>
    </w:p>
    <w:p>
      <w:pPr>
        <w:widowControl/>
        <w:snapToGrid w:val="0"/>
        <w:spacing w:before="60" w:after="6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十一、违约责任</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1、需方无正当理由拒收的，需方向供方偿付拒收货款总值的百分之____违约金。</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2、需方无故逾期验收和办理货款支付手续的,需方应按逾期付款总额每日万分之____向供方支付违约金。</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3、供方逾期交付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4、供方所交的系统技术参数、质量不符合合同规定及招标文件规定标准的，需方有权拒收，供方愿意更换但逾期交货的，按供方逾期交货处理。供方拒绝更换的，需方可单方面解除合同。</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5、供方原因不能按期指导安装验收完毕的，供方向需方每日偿付合同款总额___‰的违约金。</w:t>
      </w:r>
    </w:p>
    <w:p>
      <w:pPr>
        <w:widowControl/>
        <w:snapToGrid w:val="0"/>
        <w:spacing w:before="60" w:after="6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6、未按规定提供完整的技术资料处以合同款总额千分之___的违约金。</w:t>
      </w:r>
    </w:p>
    <w:p>
      <w:pPr>
        <w:widowControl/>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7、未按招标文件约定派驻相关专业的技术人员进行安装调试指导的，每发现一次处以合同款总额千分之___的违约金。</w:t>
      </w:r>
    </w:p>
    <w:p>
      <w:pPr>
        <w:widowControl/>
        <w:snapToGrid w:val="0"/>
        <w:spacing w:before="120"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十二、不可抗力事件处理</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1、在合同有效期内，任何一方因不可抗力事件导致不能履行合同，则合同履行期可延长，其延长期与不可抗力影响期相同。</w:t>
      </w:r>
    </w:p>
    <w:p>
      <w:pPr>
        <w:widowControl/>
        <w:snapToGrid w:val="0"/>
        <w:spacing w:before="120" w:after="120" w:line="360" w:lineRule="auto"/>
        <w:ind w:left="480" w:hanging="480" w:hanging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2、不可抗力事件发生后，应立即通知对方，并寄送有关权威机构出具的说明。</w:t>
      </w:r>
    </w:p>
    <w:p>
      <w:pPr>
        <w:widowControl/>
        <w:snapToGrid w:val="0"/>
        <w:spacing w:before="120" w:after="120" w:line="360" w:lineRule="auto"/>
        <w:ind w:left="480" w:hanging="480" w:hanging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3、不可抗力事件延续120天以上，双方应通过友好协商，确定是否继续履行合同。</w:t>
      </w:r>
    </w:p>
    <w:p>
      <w:pPr>
        <w:widowControl/>
        <w:snapToGrid w:val="0"/>
        <w:spacing w:before="120"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十三、诉讼</w:t>
      </w:r>
    </w:p>
    <w:p>
      <w:pPr>
        <w:widowControl/>
        <w:snapToGrid w:val="0"/>
        <w:spacing w:before="120" w:after="120"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本合同项目所在地为义乌市，本合同发生争议产生的诉讼，可向项目所在地有管辖权的法院提起诉讼。</w:t>
      </w:r>
    </w:p>
    <w:p>
      <w:pPr>
        <w:widowControl/>
        <w:snapToGrid w:val="0"/>
        <w:spacing w:before="120"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napToGrid w:val="0"/>
        <w:spacing w:before="120" w:after="120" w:line="360" w:lineRule="auto"/>
        <w:ind w:firstLine="48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十五、合同生效及其它</w:t>
      </w:r>
    </w:p>
    <w:p>
      <w:pPr>
        <w:widowControl/>
        <w:snapToGrid w:val="0"/>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1、合同经双方法定代表人或授权代表签字并加盖单位公章或合同专用章后生效。</w:t>
      </w:r>
    </w:p>
    <w:p>
      <w:pPr>
        <w:widowControl/>
        <w:snapToGrid w:val="0"/>
        <w:spacing w:line="360" w:lineRule="auto"/>
        <w:ind w:left="479" w:leftChars="171" w:hanging="120" w:hangingChars="5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2、本合同未尽事宜，遵照《</w:t>
      </w:r>
      <w:r>
        <w:rPr>
          <w:rFonts w:hint="eastAsia" w:ascii="Times New Roman" w:hAnsi="Times New Roman" w:eastAsia="宋体" w:cs="Times New Roman"/>
          <w:color w:val="auto"/>
          <w:kern w:val="0"/>
          <w:sz w:val="24"/>
          <w:highlight w:val="none"/>
        </w:rPr>
        <w:t>民法典</w:t>
      </w:r>
      <w:r>
        <w:rPr>
          <w:rFonts w:ascii="Times New Roman" w:hAnsi="Times New Roman" w:eastAsia="宋体" w:cs="Times New Roman"/>
          <w:color w:val="auto"/>
          <w:kern w:val="0"/>
          <w:sz w:val="24"/>
          <w:highlight w:val="none"/>
        </w:rPr>
        <w:t>》有关条文执行。</w:t>
      </w:r>
    </w:p>
    <w:p>
      <w:pPr>
        <w:widowControl/>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b/>
          <w:bCs/>
          <w:color w:val="auto"/>
          <w:kern w:val="0"/>
          <w:sz w:val="24"/>
          <w:highlight w:val="none"/>
        </w:rPr>
        <w:t>十六、本合同一式份，供需双方各执份，浙江开平企业管理咨询有限公司执一份，义乌市财政局一份，均具同等效力。</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需    方：____________________供    方：________________________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地    址：____________________地    址：________________________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法定代表人：_________________法定代表人：______________________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授权代表：___________________ 授权代表：____________________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电    话：____________________电    话：________________________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账户名称：____________________账户名称：________________________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开户银行：____________________开户银行：________________________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账    号：____________________账    号：________________________</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签约时间：____________________签约地点：________________________</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br w:type="page"/>
      </w:r>
    </w:p>
    <w:p>
      <w:pPr>
        <w:tabs>
          <w:tab w:val="left" w:pos="1050"/>
        </w:tabs>
        <w:snapToGrid w:val="0"/>
        <w:spacing w:line="520" w:lineRule="exact"/>
        <w:ind w:left="528"/>
        <w:jc w:val="center"/>
        <w:rPr>
          <w:rFonts w:ascii="Times New Roman" w:hAnsi="Times New Roman" w:eastAsia="宋体" w:cs="Times New Roman"/>
          <w:color w:val="auto"/>
          <w:sz w:val="24"/>
          <w:highlight w:val="none"/>
        </w:rPr>
      </w:pPr>
      <w:bookmarkStart w:id="39" w:name="_Toc274303259"/>
      <w:bookmarkStart w:id="40" w:name="_Toc213038698"/>
      <w:bookmarkStart w:id="41" w:name="_Toc187829774"/>
      <w:bookmarkStart w:id="42" w:name="_Toc235778631"/>
      <w:bookmarkStart w:id="43" w:name="_Toc362250712"/>
      <w:bookmarkStart w:id="44" w:name="_Toc238878129"/>
      <w:r>
        <w:rPr>
          <w:rFonts w:ascii="Times New Roman" w:hAnsi="Times New Roman" w:eastAsia="宋体" w:cs="Times New Roman"/>
          <w:bCs/>
          <w:color w:val="auto"/>
          <w:sz w:val="36"/>
          <w:szCs w:val="36"/>
          <w:highlight w:val="none"/>
        </w:rPr>
        <w:t>第八章  投标文件部分格式</w:t>
      </w:r>
      <w:bookmarkEnd w:id="39"/>
      <w:bookmarkEnd w:id="40"/>
      <w:bookmarkEnd w:id="41"/>
      <w:bookmarkEnd w:id="42"/>
      <w:bookmarkEnd w:id="43"/>
      <w:bookmarkEnd w:id="44"/>
    </w:p>
    <w:p>
      <w:pPr>
        <w:widowControl/>
        <w:spacing w:line="360" w:lineRule="auto"/>
        <w:jc w:val="center"/>
        <w:rPr>
          <w:rFonts w:ascii="Times New Roman" w:hAnsi="Times New Roman" w:eastAsia="宋体" w:cs="Times New Roman"/>
          <w:bCs/>
          <w:color w:val="auto"/>
          <w:sz w:val="36"/>
          <w:szCs w:val="36"/>
          <w:highlight w:val="none"/>
        </w:rPr>
      </w:pPr>
    </w:p>
    <w:p>
      <w:pPr>
        <w:tabs>
          <w:tab w:val="left" w:pos="1050"/>
        </w:tabs>
        <w:snapToGrid w:val="0"/>
        <w:spacing w:line="400" w:lineRule="exact"/>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一、资格响应文件部分格式：</w:t>
      </w:r>
    </w:p>
    <w:p>
      <w:pPr>
        <w:tabs>
          <w:tab w:val="left" w:pos="1050"/>
        </w:tabs>
        <w:snapToGrid w:val="0"/>
        <w:spacing w:line="400" w:lineRule="exact"/>
        <w:ind w:left="528"/>
        <w:rPr>
          <w:rFonts w:ascii="Times New Roman" w:hAnsi="Times New Roman" w:eastAsia="宋体" w:cs="Times New Roman"/>
          <w:color w:val="auto"/>
          <w:sz w:val="24"/>
          <w:highlight w:val="none"/>
        </w:rPr>
      </w:pPr>
    </w:p>
    <w:p>
      <w:pPr>
        <w:tabs>
          <w:tab w:val="left" w:pos="1050"/>
        </w:tabs>
        <w:snapToGrid w:val="0"/>
        <w:spacing w:line="400" w:lineRule="exact"/>
        <w:ind w:left="528"/>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1、法定代表人资格书（格式）</w:t>
      </w:r>
    </w:p>
    <w:p>
      <w:pPr>
        <w:tabs>
          <w:tab w:val="left" w:pos="1050"/>
        </w:tabs>
        <w:snapToGrid w:val="0"/>
        <w:spacing w:line="400" w:lineRule="exact"/>
        <w:ind w:left="528"/>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2、法定代表人授权书（格式）</w:t>
      </w:r>
    </w:p>
    <w:p>
      <w:pPr>
        <w:tabs>
          <w:tab w:val="left" w:pos="1050"/>
        </w:tabs>
        <w:snapToGrid w:val="0"/>
        <w:spacing w:line="400" w:lineRule="exact"/>
        <w:ind w:left="52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3、有效的营业执照复印件</w:t>
      </w:r>
    </w:p>
    <w:p>
      <w:pPr>
        <w:tabs>
          <w:tab w:val="left" w:pos="1050"/>
        </w:tabs>
        <w:snapToGrid w:val="0"/>
        <w:spacing w:line="400" w:lineRule="exact"/>
        <w:ind w:left="52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4、联合投标协议书（若需要）</w:t>
      </w:r>
    </w:p>
    <w:p>
      <w:pPr>
        <w:tabs>
          <w:tab w:val="left" w:pos="1050"/>
        </w:tabs>
        <w:snapToGrid w:val="0"/>
        <w:spacing w:line="400" w:lineRule="exact"/>
        <w:ind w:left="52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5、联合投标授权委托书（若需要）</w:t>
      </w:r>
    </w:p>
    <w:p>
      <w:pPr>
        <w:tabs>
          <w:tab w:val="left" w:pos="1050"/>
        </w:tabs>
        <w:snapToGrid w:val="0"/>
        <w:spacing w:line="400" w:lineRule="exact"/>
        <w:ind w:left="52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6、提供采购公告中符合投标人特定条件要求的有效的其他资质复印件及需要说明的资料。</w:t>
      </w:r>
    </w:p>
    <w:p>
      <w:pPr>
        <w:tabs>
          <w:tab w:val="left" w:pos="1050"/>
        </w:tabs>
        <w:snapToGrid w:val="0"/>
        <w:spacing w:line="400" w:lineRule="exact"/>
        <w:rPr>
          <w:rFonts w:ascii="Times New Roman" w:hAnsi="Times New Roman" w:eastAsia="宋体" w:cs="Times New Roman"/>
          <w:color w:val="auto"/>
          <w:sz w:val="24"/>
          <w:szCs w:val="24"/>
          <w:highlight w:val="none"/>
        </w:rPr>
      </w:pPr>
    </w:p>
    <w:p>
      <w:pPr>
        <w:tabs>
          <w:tab w:val="left" w:pos="1050"/>
        </w:tabs>
        <w:snapToGrid w:val="0"/>
        <w:spacing w:line="400" w:lineRule="exact"/>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二、商务技术响应文件部分格式：</w:t>
      </w:r>
    </w:p>
    <w:p>
      <w:pPr>
        <w:tabs>
          <w:tab w:val="left" w:pos="1050"/>
        </w:tabs>
        <w:snapToGrid w:val="0"/>
        <w:spacing w:line="400" w:lineRule="exact"/>
        <w:rPr>
          <w:rFonts w:ascii="Times New Roman" w:hAnsi="Times New Roman" w:eastAsia="宋体" w:cs="Times New Roman"/>
          <w:color w:val="auto"/>
          <w:sz w:val="24"/>
          <w:highlight w:val="none"/>
        </w:rPr>
      </w:pP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1、企业基本情况表</w:t>
      </w:r>
    </w:p>
    <w:p>
      <w:pPr>
        <w:pStyle w:val="2"/>
        <w:widowControl w:val="0"/>
        <w:spacing w:line="400" w:lineRule="exact"/>
        <w:ind w:left="195" w:leftChars="93" w:firstLine="480"/>
        <w:rPr>
          <w:rFonts w:ascii="Times New Roman"/>
          <w:color w:val="auto"/>
          <w:sz w:val="24"/>
          <w:szCs w:val="24"/>
          <w:highlight w:val="none"/>
        </w:rPr>
      </w:pPr>
      <w:r>
        <w:rPr>
          <w:rFonts w:ascii="Times New Roman"/>
          <w:color w:val="auto"/>
          <w:sz w:val="24"/>
          <w:szCs w:val="24"/>
          <w:highlight w:val="none"/>
        </w:rPr>
        <w:t>2、项目实施方案</w:t>
      </w:r>
    </w:p>
    <w:p>
      <w:pPr>
        <w:spacing w:line="400" w:lineRule="exact"/>
        <w:ind w:left="195" w:leftChars="93"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3、相关业绩一览表</w:t>
      </w:r>
    </w:p>
    <w:p>
      <w:pPr>
        <w:pStyle w:val="2"/>
        <w:widowControl w:val="0"/>
        <w:spacing w:line="400" w:lineRule="exact"/>
        <w:ind w:firstLine="720" w:firstLineChars="300"/>
        <w:rPr>
          <w:rFonts w:ascii="Times New Roman"/>
          <w:color w:val="auto"/>
          <w:sz w:val="24"/>
          <w:szCs w:val="24"/>
          <w:highlight w:val="none"/>
        </w:rPr>
      </w:pPr>
      <w:r>
        <w:rPr>
          <w:rFonts w:ascii="Times New Roman"/>
          <w:color w:val="auto"/>
          <w:sz w:val="24"/>
          <w:szCs w:val="24"/>
          <w:highlight w:val="none"/>
        </w:rPr>
        <w:t>4、拟派服务团队人员情况表</w:t>
      </w:r>
    </w:p>
    <w:p>
      <w:pPr>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5、质量和售后服务承诺书</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6、义乌市政府采购项目投标承诺书</w:t>
      </w:r>
    </w:p>
    <w:p>
      <w:pPr>
        <w:spacing w:line="400" w:lineRule="exact"/>
        <w:ind w:left="195" w:leftChars="93"/>
        <w:rPr>
          <w:rFonts w:ascii="Times New Roman" w:hAnsi="Times New Roman" w:eastAsia="宋体" w:cs="Times New Roman"/>
          <w:color w:val="auto"/>
          <w:highlight w:val="none"/>
        </w:rPr>
      </w:pPr>
    </w:p>
    <w:p>
      <w:pPr>
        <w:spacing w:line="400" w:lineRule="exact"/>
        <w:ind w:firstLine="420" w:firstLineChars="200"/>
        <w:rPr>
          <w:rFonts w:ascii="Times New Roman" w:hAnsi="Times New Roman" w:eastAsia="宋体" w:cs="Times New Roman"/>
          <w:color w:val="auto"/>
          <w:highlight w:val="none"/>
        </w:rPr>
      </w:pPr>
    </w:p>
    <w:p>
      <w:pPr>
        <w:pStyle w:val="17"/>
        <w:spacing w:before="156" w:beforeLines="50" w:after="156" w:afterLines="50" w:line="400" w:lineRule="exact"/>
        <w:rPr>
          <w:color w:val="auto"/>
          <w:highlight w:val="none"/>
        </w:rPr>
      </w:pPr>
      <w:r>
        <w:rPr>
          <w:color w:val="auto"/>
          <w:highlight w:val="none"/>
        </w:rPr>
        <w:t>三、</w:t>
      </w:r>
      <w:r>
        <w:rPr>
          <w:b/>
          <w:color w:val="auto"/>
          <w:szCs w:val="21"/>
          <w:highlight w:val="none"/>
        </w:rPr>
        <w:t>报价响应文件</w:t>
      </w:r>
      <w:r>
        <w:rPr>
          <w:color w:val="auto"/>
          <w:highlight w:val="none"/>
        </w:rPr>
        <w:t>部分格式：</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1、投标函格式</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2、开标一览表</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3、中小企业声明函</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4、监狱企业声明函</w:t>
      </w:r>
    </w:p>
    <w:p>
      <w:pPr>
        <w:tabs>
          <w:tab w:val="left" w:pos="1050"/>
        </w:tabs>
        <w:spacing w:line="400" w:lineRule="exact"/>
        <w:ind w:left="195" w:leftChars="93"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5、残疾人福利性单位声明函</w:t>
      </w:r>
    </w:p>
    <w:p>
      <w:pPr>
        <w:rPr>
          <w:rFonts w:ascii="Times New Roman" w:hAnsi="Times New Roman" w:eastAsia="宋体" w:cs="Times New Roman"/>
          <w:color w:val="auto"/>
          <w:kern w:val="0"/>
          <w:highlight w:val="none"/>
        </w:rPr>
      </w:pPr>
    </w:p>
    <w:p>
      <w:pPr>
        <w:rPr>
          <w:rFonts w:ascii="Times New Roman" w:hAnsi="Times New Roman" w:eastAsia="宋体" w:cs="Times New Roman"/>
          <w:color w:val="auto"/>
          <w:kern w:val="0"/>
          <w:highlight w:val="none"/>
        </w:rPr>
      </w:pPr>
    </w:p>
    <w:p>
      <w:pPr>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w:t>
      </w:r>
      <w:bookmarkStart w:id="45" w:name="_Toc350938485"/>
    </w:p>
    <w:p>
      <w:pPr>
        <w:rPr>
          <w:rFonts w:ascii="Times New Roman" w:hAnsi="Times New Roman" w:eastAsia="宋体" w:cs="Times New Roman"/>
          <w:b/>
          <w:bCs/>
          <w:color w:val="auto"/>
          <w:kern w:val="0"/>
          <w:sz w:val="36"/>
          <w:szCs w:val="36"/>
          <w:highlight w:val="none"/>
        </w:rPr>
      </w:pPr>
    </w:p>
    <w:p>
      <w:pP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 w:val="36"/>
          <w:szCs w:val="36"/>
          <w:highlight w:val="none"/>
        </w:rPr>
        <w:t>附件1                  封面格式</w:t>
      </w:r>
      <w:bookmarkEnd w:id="45"/>
    </w:p>
    <w:p>
      <w:pPr>
        <w:widowControl/>
        <w:tabs>
          <w:tab w:val="left" w:pos="8280"/>
        </w:tabs>
        <w:spacing w:line="360" w:lineRule="auto"/>
        <w:ind w:firstLine="480"/>
        <w:jc w:val="center"/>
        <w:rPr>
          <w:rFonts w:ascii="Times New Roman" w:hAnsi="Times New Roman" w:eastAsia="宋体" w:cs="Times New Roman"/>
          <w:b/>
          <w:color w:val="auto"/>
          <w:kern w:val="0"/>
          <w:sz w:val="32"/>
          <w:szCs w:val="32"/>
          <w:highlight w:val="none"/>
        </w:rPr>
      </w:pPr>
    </w:p>
    <w:p>
      <w:pPr>
        <w:widowControl/>
        <w:tabs>
          <w:tab w:val="left" w:pos="450"/>
          <w:tab w:val="left" w:pos="8280"/>
        </w:tabs>
        <w:spacing w:line="360" w:lineRule="auto"/>
        <w:ind w:firstLine="1082" w:firstLineChars="245"/>
        <w:jc w:val="left"/>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项目</w:t>
      </w:r>
    </w:p>
    <w:p>
      <w:pPr>
        <w:widowControl/>
        <w:tabs>
          <w:tab w:val="left" w:pos="450"/>
          <w:tab w:val="left" w:pos="8280"/>
        </w:tabs>
        <w:spacing w:line="360" w:lineRule="auto"/>
        <w:ind w:firstLine="480"/>
        <w:jc w:val="center"/>
        <w:rPr>
          <w:rFonts w:ascii="Times New Roman" w:hAnsi="Times New Roman" w:eastAsia="宋体" w:cs="Times New Roman"/>
          <w:b/>
          <w:color w:val="auto"/>
          <w:kern w:val="0"/>
          <w:sz w:val="44"/>
          <w:szCs w:val="44"/>
          <w:highlight w:val="none"/>
        </w:rPr>
      </w:pPr>
    </w:p>
    <w:p>
      <w:pPr>
        <w:widowControl/>
        <w:tabs>
          <w:tab w:val="left" w:pos="450"/>
          <w:tab w:val="left" w:pos="8280"/>
        </w:tabs>
        <w:spacing w:line="360" w:lineRule="auto"/>
        <w:ind w:firstLine="480"/>
        <w:jc w:val="center"/>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投标文件</w:t>
      </w:r>
    </w:p>
    <w:p>
      <w:pPr>
        <w:widowControl/>
        <w:tabs>
          <w:tab w:val="left" w:pos="8280"/>
        </w:tabs>
        <w:spacing w:line="360" w:lineRule="auto"/>
        <w:ind w:firstLine="480"/>
        <w:jc w:val="center"/>
        <w:rPr>
          <w:rFonts w:ascii="Times New Roman" w:hAnsi="Times New Roman" w:eastAsia="宋体" w:cs="Times New Roman"/>
          <w:b/>
          <w:color w:val="auto"/>
          <w:kern w:val="0"/>
          <w:sz w:val="32"/>
          <w:szCs w:val="32"/>
          <w:highlight w:val="none"/>
        </w:rPr>
      </w:pPr>
      <w:r>
        <w:rPr>
          <w:rFonts w:ascii="Times New Roman" w:hAnsi="Times New Roman" w:eastAsia="宋体" w:cs="Times New Roman"/>
          <w:b/>
          <w:color w:val="auto"/>
          <w:kern w:val="0"/>
          <w:sz w:val="32"/>
          <w:szCs w:val="32"/>
          <w:highlight w:val="none"/>
        </w:rPr>
        <w:t>（资格响应文件或商务技术响应文件或报价响应文件）</w:t>
      </w:r>
    </w:p>
    <w:p>
      <w:pPr>
        <w:widowControl/>
        <w:tabs>
          <w:tab w:val="left" w:pos="275"/>
          <w:tab w:val="left" w:pos="8280"/>
        </w:tabs>
        <w:spacing w:line="360" w:lineRule="auto"/>
        <w:ind w:firstLine="480"/>
        <w:jc w:val="left"/>
        <w:rPr>
          <w:rFonts w:ascii="Times New Roman" w:hAnsi="Times New Roman" w:eastAsia="宋体" w:cs="Times New Roman"/>
          <w:b/>
          <w:color w:val="auto"/>
          <w:kern w:val="0"/>
          <w:sz w:val="36"/>
          <w:szCs w:val="36"/>
          <w:highlight w:val="none"/>
        </w:rPr>
      </w:pPr>
      <w:r>
        <w:rPr>
          <w:rFonts w:ascii="Times New Roman" w:hAnsi="Times New Roman" w:eastAsia="宋体" w:cs="Times New Roman"/>
          <w:b/>
          <w:color w:val="auto"/>
          <w:kern w:val="0"/>
          <w:sz w:val="36"/>
          <w:szCs w:val="36"/>
          <w:highlight w:val="none"/>
        </w:rPr>
        <w:tab/>
      </w:r>
    </w:p>
    <w:p>
      <w:pPr>
        <w:widowControl/>
        <w:tabs>
          <w:tab w:val="left" w:pos="275"/>
          <w:tab w:val="left" w:pos="8280"/>
        </w:tabs>
        <w:spacing w:line="360" w:lineRule="auto"/>
        <w:ind w:firstLine="480"/>
        <w:jc w:val="left"/>
        <w:rPr>
          <w:rFonts w:ascii="Times New Roman" w:hAnsi="Times New Roman" w:eastAsia="宋体" w:cs="Times New Roman"/>
          <w:b/>
          <w:color w:val="auto"/>
          <w:kern w:val="0"/>
          <w:sz w:val="32"/>
          <w:szCs w:val="32"/>
          <w:highlight w:val="none"/>
        </w:rPr>
      </w:pPr>
    </w:p>
    <w:p>
      <w:pPr>
        <w:pStyle w:val="2"/>
        <w:rPr>
          <w:rFonts w:ascii="Times New Roman"/>
          <w:b/>
          <w:color w:val="auto"/>
          <w:sz w:val="32"/>
          <w:szCs w:val="32"/>
          <w:highlight w:val="none"/>
        </w:rPr>
      </w:pPr>
    </w:p>
    <w:p>
      <w:pPr>
        <w:rPr>
          <w:color w:val="auto"/>
          <w:highlight w:val="none"/>
        </w:rPr>
      </w:pPr>
    </w:p>
    <w:p>
      <w:pPr>
        <w:widowControl/>
        <w:tabs>
          <w:tab w:val="left" w:pos="275"/>
          <w:tab w:val="left" w:pos="8280"/>
        </w:tabs>
        <w:spacing w:line="360" w:lineRule="auto"/>
        <w:ind w:firstLine="480"/>
        <w:jc w:val="left"/>
        <w:rPr>
          <w:rFonts w:ascii="Times New Roman" w:hAnsi="Times New Roman" w:eastAsia="宋体" w:cs="Times New Roman"/>
          <w:b/>
          <w:color w:val="auto"/>
          <w:kern w:val="0"/>
          <w:sz w:val="32"/>
          <w:szCs w:val="32"/>
          <w:highlight w:val="none"/>
        </w:rPr>
      </w:pPr>
    </w:p>
    <w:p>
      <w:pPr>
        <w:widowControl/>
        <w:tabs>
          <w:tab w:val="left" w:pos="275"/>
          <w:tab w:val="left" w:pos="8280"/>
        </w:tabs>
        <w:spacing w:line="360" w:lineRule="auto"/>
        <w:ind w:firstLine="480"/>
        <w:jc w:val="left"/>
        <w:rPr>
          <w:rFonts w:ascii="Times New Roman" w:hAnsi="Times New Roman" w:eastAsia="宋体" w:cs="Times New Roman"/>
          <w:b/>
          <w:color w:val="auto"/>
          <w:kern w:val="0"/>
          <w:sz w:val="32"/>
          <w:szCs w:val="32"/>
          <w:highlight w:val="none"/>
        </w:rPr>
      </w:pPr>
    </w:p>
    <w:p>
      <w:pPr>
        <w:widowControl/>
        <w:tabs>
          <w:tab w:val="left" w:pos="275"/>
          <w:tab w:val="left" w:pos="8280"/>
        </w:tabs>
        <w:spacing w:line="360" w:lineRule="auto"/>
        <w:ind w:firstLine="315" w:firstLineChars="98"/>
        <w:jc w:val="left"/>
        <w:rPr>
          <w:rFonts w:ascii="Times New Roman" w:hAnsi="Times New Roman" w:eastAsia="宋体" w:cs="Times New Roman"/>
          <w:b/>
          <w:color w:val="auto"/>
          <w:kern w:val="0"/>
          <w:sz w:val="36"/>
          <w:szCs w:val="36"/>
          <w:highlight w:val="none"/>
        </w:rPr>
      </w:pPr>
      <w:r>
        <w:rPr>
          <w:rFonts w:ascii="Times New Roman" w:hAnsi="Times New Roman" w:eastAsia="宋体" w:cs="Times New Roman"/>
          <w:b/>
          <w:color w:val="auto"/>
          <w:kern w:val="0"/>
          <w:sz w:val="32"/>
          <w:szCs w:val="32"/>
          <w:highlight w:val="none"/>
        </w:rPr>
        <w:t>采购项目编号：</w:t>
      </w:r>
    </w:p>
    <w:p>
      <w:pPr>
        <w:widowControl/>
        <w:tabs>
          <w:tab w:val="left" w:pos="765"/>
          <w:tab w:val="left" w:pos="8280"/>
        </w:tabs>
        <w:spacing w:line="360" w:lineRule="auto"/>
        <w:ind w:firstLine="480"/>
        <w:jc w:val="left"/>
        <w:rPr>
          <w:rFonts w:ascii="Times New Roman" w:hAnsi="Times New Roman" w:eastAsia="宋体" w:cs="Times New Roman"/>
          <w:b/>
          <w:color w:val="auto"/>
          <w:kern w:val="0"/>
          <w:sz w:val="36"/>
          <w:szCs w:val="36"/>
          <w:highlight w:val="none"/>
        </w:rPr>
      </w:pPr>
      <w:r>
        <w:rPr>
          <w:rFonts w:ascii="Times New Roman" w:hAnsi="Times New Roman" w:eastAsia="宋体" w:cs="Times New Roman"/>
          <w:b/>
          <w:color w:val="auto"/>
          <w:kern w:val="0"/>
          <w:sz w:val="36"/>
          <w:szCs w:val="36"/>
          <w:highlight w:val="none"/>
        </w:rPr>
        <w:tab/>
      </w:r>
    </w:p>
    <w:p>
      <w:pPr>
        <w:widowControl/>
        <w:tabs>
          <w:tab w:val="left" w:pos="765"/>
          <w:tab w:val="left" w:pos="8280"/>
        </w:tabs>
        <w:spacing w:line="360" w:lineRule="auto"/>
        <w:ind w:firstLine="315" w:firstLineChars="98"/>
        <w:jc w:val="left"/>
        <w:rPr>
          <w:rFonts w:ascii="Times New Roman" w:hAnsi="Times New Roman" w:eastAsia="宋体" w:cs="Times New Roman"/>
          <w:b/>
          <w:color w:val="auto"/>
          <w:kern w:val="0"/>
          <w:sz w:val="36"/>
          <w:szCs w:val="36"/>
          <w:highlight w:val="none"/>
        </w:rPr>
      </w:pPr>
      <w:r>
        <w:rPr>
          <w:rFonts w:ascii="Times New Roman" w:hAnsi="Times New Roman" w:eastAsia="宋体" w:cs="Times New Roman"/>
          <w:b/>
          <w:color w:val="auto"/>
          <w:kern w:val="0"/>
          <w:sz w:val="32"/>
          <w:szCs w:val="32"/>
          <w:highlight w:val="none"/>
        </w:rPr>
        <w:t>投标人（</w:t>
      </w:r>
      <w:r>
        <w:rPr>
          <w:rFonts w:hint="eastAsia" w:ascii="Times New Roman" w:hAnsi="Times New Roman" w:eastAsia="宋体" w:cs="Times New Roman"/>
          <w:b/>
          <w:color w:val="auto"/>
          <w:kern w:val="0"/>
          <w:sz w:val="32"/>
          <w:szCs w:val="32"/>
          <w:highlight w:val="none"/>
        </w:rPr>
        <w:t>电子签章</w:t>
      </w:r>
      <w:r>
        <w:rPr>
          <w:rFonts w:ascii="Times New Roman" w:hAnsi="Times New Roman" w:eastAsia="宋体" w:cs="Times New Roman"/>
          <w:b/>
          <w:color w:val="auto"/>
          <w:kern w:val="0"/>
          <w:sz w:val="32"/>
          <w:szCs w:val="32"/>
          <w:highlight w:val="none"/>
        </w:rPr>
        <w:t>）：</w:t>
      </w:r>
    </w:p>
    <w:p>
      <w:pPr>
        <w:widowControl/>
        <w:tabs>
          <w:tab w:val="left" w:pos="8280"/>
        </w:tabs>
        <w:spacing w:line="360" w:lineRule="auto"/>
        <w:ind w:firstLine="480"/>
        <w:jc w:val="center"/>
        <w:rPr>
          <w:rFonts w:ascii="Times New Roman" w:hAnsi="Times New Roman" w:eastAsia="宋体" w:cs="Times New Roman"/>
          <w:b/>
          <w:color w:val="auto"/>
          <w:kern w:val="0"/>
          <w:sz w:val="32"/>
          <w:szCs w:val="32"/>
          <w:highlight w:val="none"/>
        </w:rPr>
      </w:pPr>
    </w:p>
    <w:p>
      <w:pPr>
        <w:widowControl/>
        <w:tabs>
          <w:tab w:val="left" w:pos="840"/>
          <w:tab w:val="left" w:pos="8280"/>
        </w:tabs>
        <w:spacing w:line="360" w:lineRule="auto"/>
        <w:ind w:firstLine="354" w:firstLineChars="98"/>
        <w:jc w:val="left"/>
        <w:rPr>
          <w:rFonts w:ascii="Times New Roman" w:hAnsi="Times New Roman" w:eastAsia="宋体" w:cs="Times New Roman"/>
          <w:b/>
          <w:color w:val="auto"/>
          <w:kern w:val="0"/>
          <w:sz w:val="36"/>
          <w:szCs w:val="36"/>
          <w:highlight w:val="none"/>
        </w:rPr>
      </w:pPr>
    </w:p>
    <w:p>
      <w:pPr>
        <w:widowControl/>
        <w:tabs>
          <w:tab w:val="left" w:pos="8280"/>
        </w:tabs>
        <w:spacing w:line="360" w:lineRule="auto"/>
        <w:rPr>
          <w:rFonts w:ascii="Times New Roman" w:hAnsi="Times New Roman" w:eastAsia="宋体" w:cs="Times New Roman"/>
          <w:b/>
          <w:color w:val="auto"/>
          <w:kern w:val="0"/>
          <w:sz w:val="32"/>
          <w:szCs w:val="32"/>
          <w:highlight w:val="none"/>
        </w:rPr>
      </w:pPr>
    </w:p>
    <w:p>
      <w:pPr>
        <w:widowControl/>
        <w:tabs>
          <w:tab w:val="left" w:pos="350"/>
          <w:tab w:val="left" w:pos="8280"/>
        </w:tabs>
        <w:spacing w:line="360" w:lineRule="auto"/>
        <w:ind w:firstLine="480"/>
        <w:jc w:val="left"/>
        <w:rPr>
          <w:rFonts w:hint="eastAsia" w:ascii="Times New Roman" w:hAnsi="Times New Roman" w:eastAsia="宋体" w:cs="Times New Roman"/>
          <w:b/>
          <w:color w:val="auto"/>
          <w:kern w:val="0"/>
          <w:sz w:val="32"/>
          <w:szCs w:val="32"/>
          <w:highlight w:val="none"/>
          <w:lang w:eastAsia="zh-CN"/>
        </w:rPr>
      </w:pPr>
      <w:r>
        <w:rPr>
          <w:rFonts w:ascii="Times New Roman" w:hAnsi="Times New Roman" w:eastAsia="宋体" w:cs="Times New Roman"/>
          <w:b/>
          <w:color w:val="auto"/>
          <w:kern w:val="0"/>
          <w:sz w:val="32"/>
          <w:szCs w:val="32"/>
          <w:highlight w:val="none"/>
        </w:rPr>
        <w:t>年</w:t>
      </w:r>
      <w:r>
        <w:rPr>
          <w:rFonts w:hint="eastAsia" w:ascii="Times New Roman" w:hAnsi="Times New Roman" w:eastAsia="宋体" w:cs="Times New Roman"/>
          <w:b/>
          <w:color w:val="auto"/>
          <w:kern w:val="0"/>
          <w:sz w:val="32"/>
          <w:szCs w:val="32"/>
          <w:highlight w:val="none"/>
          <w:lang w:eastAsia="zh-CN"/>
        </w:rPr>
        <w:t>10月31日</w:t>
      </w:r>
    </w:p>
    <w:p>
      <w:pPr>
        <w:spacing w:line="480" w:lineRule="auto"/>
        <w:jc w:val="center"/>
        <w:rPr>
          <w:rFonts w:ascii="Times New Roman" w:hAnsi="Times New Roman" w:eastAsia="宋体" w:cs="Times New Roman"/>
          <w:b/>
          <w:bCs/>
          <w:color w:val="auto"/>
          <w:sz w:val="36"/>
          <w:szCs w:val="36"/>
          <w:highlight w:val="none"/>
        </w:rPr>
      </w:pPr>
    </w:p>
    <w:p>
      <w:pPr>
        <w:spacing w:line="480" w:lineRule="auto"/>
        <w:jc w:val="center"/>
        <w:rPr>
          <w:rFonts w:ascii="Times New Roman" w:hAnsi="Times New Roman" w:eastAsia="宋体" w:cs="Times New Roman"/>
          <w:b/>
          <w:bCs/>
          <w:color w:val="auto"/>
          <w:sz w:val="36"/>
          <w:szCs w:val="36"/>
          <w:highlight w:val="none"/>
        </w:rPr>
      </w:pPr>
    </w:p>
    <w:p>
      <w:pPr>
        <w:spacing w:line="480" w:lineRule="auto"/>
        <w:jc w:val="center"/>
        <w:rPr>
          <w:rFonts w:ascii="Times New Roman" w:hAnsi="Times New Roman" w:eastAsia="宋体" w:cs="Times New Roman"/>
          <w:b/>
          <w:bCs/>
          <w:color w:val="auto"/>
          <w:sz w:val="36"/>
          <w:szCs w:val="36"/>
          <w:highlight w:val="none"/>
        </w:rPr>
      </w:pPr>
    </w:p>
    <w:p>
      <w:pPr>
        <w:jc w:val="center"/>
        <w:rPr>
          <w:rFonts w:ascii="Times New Roman" w:hAnsi="Times New Roman" w:eastAsia="宋体" w:cs="Times New Roman"/>
          <w:color w:val="auto"/>
          <w:sz w:val="36"/>
          <w:szCs w:val="36"/>
          <w:highlight w:val="none"/>
        </w:rPr>
      </w:pPr>
      <w:r>
        <w:rPr>
          <w:rFonts w:ascii="Times New Roman" w:hAnsi="Times New Roman" w:eastAsia="宋体" w:cs="Times New Roman"/>
          <w:b/>
          <w:bCs/>
          <w:color w:val="auto"/>
          <w:sz w:val="36"/>
          <w:szCs w:val="36"/>
          <w:highlight w:val="none"/>
        </w:rPr>
        <w:br w:type="page"/>
      </w:r>
      <w:r>
        <w:rPr>
          <w:rFonts w:ascii="Times New Roman" w:hAnsi="Times New Roman" w:eastAsia="宋体" w:cs="Times New Roman"/>
          <w:b/>
          <w:bCs/>
          <w:color w:val="auto"/>
          <w:sz w:val="36"/>
          <w:szCs w:val="36"/>
          <w:highlight w:val="none"/>
        </w:rPr>
        <w:t>法定代表人申明书（格式）</w:t>
      </w:r>
    </w:p>
    <w:p>
      <w:pPr>
        <w:spacing w:line="540" w:lineRule="exact"/>
        <w:rPr>
          <w:rFonts w:ascii="Times New Roman" w:hAnsi="Times New Roman" w:eastAsia="宋体" w:cs="Times New Roman"/>
          <w:color w:val="auto"/>
          <w:highlight w:val="none"/>
        </w:rPr>
      </w:pPr>
    </w:p>
    <w:p>
      <w:pPr>
        <w:spacing w:line="540" w:lineRule="exact"/>
        <w:rPr>
          <w:rFonts w:ascii="Times New Roman" w:hAnsi="Times New Roman" w:eastAsia="宋体" w:cs="Times New Roman"/>
          <w:color w:val="auto"/>
          <w:sz w:val="24"/>
          <w:highlight w:val="none"/>
        </w:rPr>
      </w:pPr>
    </w:p>
    <w:p>
      <w:pPr>
        <w:spacing w:line="540" w:lineRule="exact"/>
        <w:rPr>
          <w:rFonts w:ascii="Times New Roman" w:hAnsi="Times New Roman" w:eastAsia="宋体" w:cs="Times New Roman"/>
          <w:color w:val="auto"/>
          <w:sz w:val="24"/>
          <w:highlight w:val="none"/>
        </w:rPr>
      </w:pPr>
    </w:p>
    <w:p>
      <w:pPr>
        <w:spacing w:line="540" w:lineRule="exact"/>
        <w:rPr>
          <w:color w:val="auto"/>
          <w:sz w:val="24"/>
          <w:highlight w:val="none"/>
        </w:rPr>
      </w:pPr>
      <w:r>
        <w:rPr>
          <w:color w:val="auto"/>
          <w:sz w:val="24"/>
          <w:highlight w:val="none"/>
        </w:rPr>
        <w:t>姓名：                           性别：</w:t>
      </w:r>
    </w:p>
    <w:p>
      <w:pPr>
        <w:spacing w:line="540" w:lineRule="exact"/>
        <w:rPr>
          <w:color w:val="auto"/>
          <w:sz w:val="24"/>
          <w:highlight w:val="none"/>
        </w:rPr>
      </w:pPr>
      <w:r>
        <w:rPr>
          <w:color w:val="auto"/>
          <w:sz w:val="24"/>
          <w:highlight w:val="none"/>
        </w:rPr>
        <w:t>年龄：                           职务：</w:t>
      </w:r>
    </w:p>
    <w:p>
      <w:pPr>
        <w:spacing w:line="540" w:lineRule="exact"/>
        <w:rPr>
          <w:color w:val="auto"/>
          <w:sz w:val="24"/>
          <w:highlight w:val="none"/>
        </w:rPr>
      </w:pPr>
      <w:r>
        <w:rPr>
          <w:color w:val="auto"/>
          <w:sz w:val="24"/>
          <w:highlight w:val="none"/>
        </w:rPr>
        <w:t>身份证号码：</w:t>
      </w:r>
    </w:p>
    <w:p>
      <w:pPr>
        <w:spacing w:line="540" w:lineRule="exact"/>
        <w:ind w:firstLine="480" w:firstLineChars="200"/>
        <w:rPr>
          <w:color w:val="auto"/>
          <w:sz w:val="24"/>
          <w:highlight w:val="none"/>
        </w:rPr>
      </w:pPr>
      <w:r>
        <w:rPr>
          <w:color w:val="auto"/>
          <w:sz w:val="24"/>
          <w:highlight w:val="none"/>
        </w:rPr>
        <w:t>系（单位名称）的法定代表人，法定地址：。为项目的投标、开标等事宜，签署上述投标文件，进行合同谈判、签署合同和处理与之有关的一切事务。</w:t>
      </w:r>
    </w:p>
    <w:p>
      <w:pPr>
        <w:spacing w:line="540" w:lineRule="exact"/>
        <w:ind w:firstLine="480" w:firstLineChars="200"/>
        <w:rPr>
          <w:color w:val="auto"/>
          <w:sz w:val="24"/>
          <w:highlight w:val="none"/>
        </w:rPr>
      </w:pPr>
      <w:r>
        <w:rPr>
          <w:color w:val="auto"/>
          <w:sz w:val="24"/>
          <w:highlight w:val="none"/>
        </w:rPr>
        <w:t>特此申明</w:t>
      </w:r>
    </w:p>
    <w:p>
      <w:pPr>
        <w:spacing w:line="540" w:lineRule="exact"/>
        <w:rPr>
          <w:color w:val="auto"/>
          <w:sz w:val="24"/>
          <w:highlight w:val="none"/>
        </w:rPr>
      </w:pPr>
      <w:r>
        <w:rPr>
          <w:color w:val="auto"/>
          <w:sz w:val="24"/>
          <w:highlight w:val="none"/>
        </w:rPr>
        <w:t>投标单位：（</w:t>
      </w:r>
      <w:r>
        <w:rPr>
          <w:rFonts w:hint="eastAsia" w:ascii="Times New Roman" w:hAnsi="Times New Roman" w:eastAsia="宋体" w:cs="Times New Roman"/>
          <w:bCs/>
          <w:color w:val="auto"/>
          <w:sz w:val="24"/>
          <w:highlight w:val="none"/>
        </w:rPr>
        <w:t>电子签章</w:t>
      </w:r>
      <w:r>
        <w:rPr>
          <w:color w:val="auto"/>
          <w:sz w:val="24"/>
          <w:highlight w:val="none"/>
        </w:rPr>
        <w:t xml:space="preserve">）                </w:t>
      </w:r>
    </w:p>
    <w:p>
      <w:pPr>
        <w:spacing w:line="540" w:lineRule="exact"/>
        <w:rPr>
          <w:color w:val="auto"/>
          <w:sz w:val="24"/>
          <w:highlight w:val="none"/>
        </w:rPr>
      </w:pPr>
      <w:r>
        <w:rPr>
          <w:color w:val="auto"/>
          <w:sz w:val="24"/>
          <w:highlight w:val="none"/>
        </w:rPr>
        <w:t>法定代表人签字：</w:t>
      </w:r>
    </w:p>
    <w:p>
      <w:pPr>
        <w:spacing w:line="540" w:lineRule="exact"/>
        <w:rPr>
          <w:color w:val="auto"/>
          <w:sz w:val="24"/>
          <w:highlight w:val="none"/>
        </w:rPr>
      </w:pPr>
      <w:r>
        <w:rPr>
          <w:color w:val="auto"/>
          <w:sz w:val="24"/>
          <w:highlight w:val="none"/>
        </w:rPr>
        <w:t xml:space="preserve">日期：    年   月    日              </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法定代表人身份证复印件：</w:t>
      </w:r>
    </w:p>
    <w:p>
      <w:pPr>
        <w:spacing w:line="540" w:lineRule="exact"/>
        <w:rPr>
          <w:rFonts w:ascii="Times New Roman" w:hAnsi="Times New Roman" w:eastAsia="宋体" w:cs="Times New Roman"/>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255" w:type="dxa"/>
          </w:tcPr>
          <w:p>
            <w:pPr>
              <w:spacing w:line="500" w:lineRule="exact"/>
              <w:rPr>
                <w:rFonts w:ascii="Times New Roman" w:hAnsi="Times New Roman" w:eastAsia="宋体" w:cs="Times New Roman"/>
                <w:color w:val="auto"/>
                <w:sz w:val="24"/>
                <w:highlight w:val="none"/>
              </w:rPr>
            </w:pPr>
          </w:p>
          <w:p>
            <w:pPr>
              <w:spacing w:line="500" w:lineRule="exact"/>
              <w:rPr>
                <w:rFonts w:ascii="Times New Roman" w:hAnsi="Times New Roman" w:eastAsia="宋体" w:cs="Times New Roman"/>
                <w:color w:val="auto"/>
                <w:sz w:val="24"/>
                <w:highlight w:val="none"/>
              </w:rPr>
            </w:pPr>
          </w:p>
          <w:p>
            <w:pPr>
              <w:spacing w:line="500" w:lineRule="exact"/>
              <w:ind w:firstLine="720" w:firstLineChars="3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法定代表人身份证复印件</w:t>
            </w:r>
          </w:p>
        </w:tc>
      </w:tr>
    </w:tbl>
    <w:p>
      <w:pPr>
        <w:rPr>
          <w:rFonts w:ascii="Times New Roman" w:hAnsi="Times New Roman" w:eastAsia="宋体" w:cs="Times New Roman"/>
          <w:b/>
          <w:bCs/>
          <w:color w:val="auto"/>
          <w:sz w:val="36"/>
          <w:szCs w:val="36"/>
          <w:highlight w:val="none"/>
        </w:rPr>
      </w:pPr>
      <w:r>
        <w:rPr>
          <w:rFonts w:ascii="Times New Roman" w:hAnsi="Times New Roman" w:eastAsia="宋体" w:cs="Times New Roman"/>
          <w:b/>
          <w:bCs/>
          <w:color w:val="auto"/>
          <w:sz w:val="36"/>
          <w:szCs w:val="36"/>
          <w:highlight w:val="none"/>
        </w:rPr>
        <w:br w:type="page"/>
      </w:r>
    </w:p>
    <w:p>
      <w:pPr>
        <w:widowControl/>
        <w:jc w:val="center"/>
        <w:rPr>
          <w:rFonts w:ascii="Times New Roman" w:hAnsi="Times New Roman" w:eastAsia="宋体" w:cs="Times New Roman"/>
          <w:b/>
          <w:color w:val="auto"/>
          <w:sz w:val="48"/>
          <w:highlight w:val="none"/>
        </w:rPr>
      </w:pPr>
      <w:r>
        <w:rPr>
          <w:rFonts w:ascii="Times New Roman" w:hAnsi="Times New Roman" w:eastAsia="宋体" w:cs="Times New Roman"/>
          <w:b/>
          <w:bCs/>
          <w:color w:val="auto"/>
          <w:sz w:val="36"/>
          <w:szCs w:val="36"/>
          <w:highlight w:val="none"/>
        </w:rPr>
        <w:t>投标人法定代表人授权书（格式）</w:t>
      </w:r>
    </w:p>
    <w:p>
      <w:pPr>
        <w:spacing w:line="360" w:lineRule="auto"/>
        <w:rPr>
          <w:color w:val="auto"/>
          <w:sz w:val="24"/>
          <w:highlight w:val="none"/>
          <w:u w:val="single"/>
        </w:rPr>
      </w:pPr>
      <w:r>
        <w:rPr>
          <w:color w:val="auto"/>
          <w:sz w:val="24"/>
          <w:highlight w:val="none"/>
        </w:rPr>
        <w:t>项目名称：</w:t>
      </w:r>
    </w:p>
    <w:p>
      <w:pPr>
        <w:spacing w:line="360" w:lineRule="auto"/>
        <w:rPr>
          <w:color w:val="auto"/>
          <w:sz w:val="24"/>
          <w:highlight w:val="none"/>
          <w:u w:val="single"/>
        </w:rPr>
      </w:pPr>
      <w:r>
        <w:rPr>
          <w:color w:val="auto"/>
          <w:sz w:val="24"/>
          <w:highlight w:val="none"/>
        </w:rPr>
        <w:t>日    期：</w:t>
      </w:r>
    </w:p>
    <w:p>
      <w:pPr>
        <w:spacing w:line="360" w:lineRule="auto"/>
        <w:rPr>
          <w:color w:val="auto"/>
          <w:sz w:val="24"/>
          <w:highlight w:val="none"/>
          <w:u w:val="single"/>
        </w:rPr>
      </w:pPr>
      <w:r>
        <w:rPr>
          <w:color w:val="auto"/>
          <w:sz w:val="24"/>
          <w:highlight w:val="none"/>
        </w:rPr>
        <w:t>致：（</w:t>
      </w:r>
      <w:r>
        <w:rPr>
          <w:color w:val="auto"/>
          <w:sz w:val="24"/>
          <w:highlight w:val="none"/>
          <w:u w:val="single"/>
        </w:rPr>
        <w:t xml:space="preserve">采购人名称）                </w:t>
      </w:r>
    </w:p>
    <w:p>
      <w:pPr>
        <w:spacing w:line="360" w:lineRule="auto"/>
        <w:rPr>
          <w:color w:val="auto"/>
          <w:sz w:val="24"/>
          <w:highlight w:val="none"/>
        </w:rPr>
      </w:pPr>
      <w:r>
        <w:rPr>
          <w:color w:val="auto"/>
          <w:sz w:val="24"/>
          <w:highlight w:val="none"/>
        </w:rPr>
        <w:t xml:space="preserve">    （</w:t>
      </w:r>
      <w:r>
        <w:rPr>
          <w:color w:val="auto"/>
          <w:sz w:val="24"/>
          <w:highlight w:val="none"/>
          <w:u w:val="single"/>
        </w:rPr>
        <w:t xml:space="preserve">招标代理机构名称）         </w:t>
      </w:r>
    </w:p>
    <w:p>
      <w:pPr>
        <w:spacing w:line="360" w:lineRule="auto"/>
        <w:ind w:firstLine="480" w:firstLineChars="200"/>
        <w:jc w:val="left"/>
        <w:rPr>
          <w:color w:val="auto"/>
          <w:sz w:val="24"/>
          <w:highlight w:val="none"/>
          <w:u w:val="single"/>
        </w:rPr>
      </w:pPr>
      <w:r>
        <w:rPr>
          <w:color w:val="auto"/>
          <w:sz w:val="24"/>
          <w:highlight w:val="none"/>
        </w:rPr>
        <w:t>注册于（注册地址）的</w:t>
      </w:r>
    </w:p>
    <w:p>
      <w:pPr>
        <w:spacing w:line="360" w:lineRule="auto"/>
        <w:jc w:val="left"/>
        <w:rPr>
          <w:color w:val="auto"/>
          <w:sz w:val="24"/>
          <w:highlight w:val="none"/>
        </w:rPr>
      </w:pPr>
      <w:r>
        <w:rPr>
          <w:color w:val="auto"/>
          <w:sz w:val="24"/>
          <w:highlight w:val="none"/>
        </w:rPr>
        <w:t>（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pPr>
        <w:spacing w:line="360" w:lineRule="auto"/>
        <w:ind w:firstLine="480" w:firstLineChars="200"/>
        <w:rPr>
          <w:color w:val="auto"/>
          <w:sz w:val="24"/>
          <w:highlight w:val="none"/>
        </w:rPr>
      </w:pPr>
      <w:r>
        <w:rPr>
          <w:color w:val="auto"/>
          <w:sz w:val="24"/>
          <w:highlight w:val="none"/>
        </w:rPr>
        <w:t>我公司对被授权人的签名负全部责任。</w:t>
      </w:r>
    </w:p>
    <w:p>
      <w:pPr>
        <w:spacing w:line="360" w:lineRule="auto"/>
        <w:ind w:firstLine="480" w:firstLineChars="200"/>
        <w:rPr>
          <w:color w:val="auto"/>
          <w:sz w:val="24"/>
          <w:highlight w:val="none"/>
        </w:rPr>
      </w:pPr>
      <w:r>
        <w:rPr>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color w:val="auto"/>
          <w:sz w:val="24"/>
          <w:highlight w:val="none"/>
        </w:rPr>
      </w:pPr>
      <w:r>
        <w:rPr>
          <w:color w:val="auto"/>
          <w:sz w:val="24"/>
          <w:highlight w:val="none"/>
        </w:rPr>
        <w:t>被授权人身份证复印件：</w:t>
      </w:r>
    </w:p>
    <w:p>
      <w:pPr>
        <w:spacing w:line="480" w:lineRule="auto"/>
        <w:rPr>
          <w:color w:val="auto"/>
          <w:sz w:val="24"/>
          <w:highlight w:val="none"/>
        </w:rPr>
      </w:pPr>
      <w:r>
        <w:rPr>
          <w:color w:val="auto"/>
          <w:sz w:val="24"/>
          <w:highlight w:val="none"/>
        </w:rPr>
        <w:t>投标人</w:t>
      </w:r>
      <w:r>
        <w:rPr>
          <w:rFonts w:hint="eastAsia" w:ascii="Times New Roman" w:hAnsi="Times New Roman" w:eastAsia="宋体" w:cs="Times New Roman"/>
          <w:bCs/>
          <w:color w:val="auto"/>
          <w:sz w:val="24"/>
          <w:highlight w:val="none"/>
        </w:rPr>
        <w:t>电子签章</w:t>
      </w:r>
      <w:r>
        <w:rPr>
          <w:color w:val="auto"/>
          <w:sz w:val="24"/>
          <w:highlight w:val="none"/>
        </w:rPr>
        <w:t>：</w:t>
      </w:r>
    </w:p>
    <w:p>
      <w:pPr>
        <w:spacing w:line="480" w:lineRule="auto"/>
        <w:rPr>
          <w:color w:val="auto"/>
          <w:sz w:val="24"/>
          <w:highlight w:val="none"/>
          <w:u w:val="single"/>
        </w:rPr>
      </w:pPr>
      <w:r>
        <w:rPr>
          <w:color w:val="auto"/>
          <w:sz w:val="24"/>
          <w:highlight w:val="none"/>
        </w:rPr>
        <w:t>授权人签名：     职        务：</w:t>
      </w:r>
    </w:p>
    <w:p>
      <w:pPr>
        <w:spacing w:line="480" w:lineRule="auto"/>
        <w:rPr>
          <w:color w:val="auto"/>
          <w:sz w:val="24"/>
          <w:highlight w:val="none"/>
        </w:rPr>
      </w:pPr>
      <w:r>
        <w:rPr>
          <w:color w:val="auto"/>
          <w:sz w:val="24"/>
          <w:highlight w:val="none"/>
        </w:rPr>
        <w:t>被授权人签名：</w:t>
      </w:r>
    </w:p>
    <w:p>
      <w:pPr>
        <w:spacing w:line="360" w:lineRule="auto"/>
        <w:rPr>
          <w:color w:val="auto"/>
          <w:sz w:val="24"/>
          <w:highlight w:val="none"/>
        </w:rPr>
      </w:pPr>
    </w:p>
    <w:p>
      <w:pPr>
        <w:spacing w:line="360" w:lineRule="auto"/>
        <w:rPr>
          <w:color w:val="auto"/>
          <w:sz w:val="24"/>
          <w:highlight w:val="none"/>
        </w:rPr>
      </w:pPr>
      <w:r>
        <w:rPr>
          <w:color w:val="auto"/>
          <w:sz w:val="24"/>
          <w:highlight w:val="none"/>
        </w:rPr>
        <w:t>注：投标人法定代表人参加投标的，提供法定代表人申明书和身份说明即可。</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被授权人身份证复印件：</w:t>
      </w:r>
    </w:p>
    <w:p>
      <w:pPr>
        <w:spacing w:line="360" w:lineRule="auto"/>
        <w:rPr>
          <w:rFonts w:ascii="Times New Roman" w:hAnsi="Times New Roman" w:eastAsia="宋体" w:cs="Times New Roman"/>
          <w:color w:val="auto"/>
          <w:sz w:val="24"/>
          <w:highlight w:val="none"/>
        </w:rPr>
      </w:pPr>
    </w:p>
    <w:tbl>
      <w:tblPr>
        <w:tblStyle w:val="24"/>
        <w:tblpPr w:leftFromText="180" w:rightFromText="180" w:vertAnchor="text" w:horzAnchor="page" w:tblpX="356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255" w:type="dxa"/>
          </w:tcPr>
          <w:p>
            <w:pPr>
              <w:spacing w:line="500" w:lineRule="exact"/>
              <w:rPr>
                <w:rFonts w:ascii="Times New Roman" w:hAnsi="Times New Roman" w:eastAsia="宋体" w:cs="Times New Roman"/>
                <w:color w:val="auto"/>
                <w:sz w:val="24"/>
                <w:highlight w:val="none"/>
              </w:rPr>
            </w:pPr>
          </w:p>
          <w:p>
            <w:pPr>
              <w:spacing w:line="500" w:lineRule="exact"/>
              <w:rPr>
                <w:rFonts w:ascii="Times New Roman" w:hAnsi="Times New Roman" w:eastAsia="宋体" w:cs="Times New Roman"/>
                <w:color w:val="auto"/>
                <w:sz w:val="24"/>
                <w:highlight w:val="none"/>
              </w:rPr>
            </w:pPr>
          </w:p>
          <w:p>
            <w:pPr>
              <w:spacing w:line="500" w:lineRule="exact"/>
              <w:ind w:firstLine="720" w:firstLineChars="3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法定代表人身份证复印件</w:t>
            </w:r>
          </w:p>
        </w:tc>
      </w:tr>
    </w:tbl>
    <w:p>
      <w:pPr>
        <w:spacing w:line="360" w:lineRule="auto"/>
        <w:rPr>
          <w:rFonts w:ascii="Times New Roman" w:hAnsi="Times New Roman" w:eastAsia="宋体" w:cs="Times New Roman"/>
          <w:b/>
          <w:bCs/>
          <w:color w:val="auto"/>
          <w:sz w:val="24"/>
          <w:highlight w:val="none"/>
        </w:rPr>
      </w:pPr>
    </w:p>
    <w:p>
      <w:pPr>
        <w:widowControl/>
        <w:jc w:val="left"/>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br w:type="page"/>
      </w:r>
    </w:p>
    <w:p>
      <w:pPr>
        <w:spacing w:line="360" w:lineRule="auto"/>
        <w:jc w:val="center"/>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联合投标协议书</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甲方：</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乙方：</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（如果有的话，可按甲、乙、丙、丁…序列增加）</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各方经协商，就响应组织实施的编号为号的招标活动联合进行投标之事宜，达成如下协议：</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一、各方一致决定，以为主办人进行投标，并按照招标文件的规定分别提交资格文件。</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三、联合投标其余各方保证对主办人为响应本次招标而提供的产品和服务提供全部质量保证及售后服务支持。</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四、本次联合投标中，甲方承担的工作和义务为:</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乙方承担的工作和义务为：</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五、有关本次联合投标的其他事宜： </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六、本协议提交招标方后，联合投标各方不得以任何形式对上述实质内容进行修改或撤销。</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七、本协议签约各方各持一份，并作为投标文件的一部分。</w:t>
      </w:r>
    </w:p>
    <w:p>
      <w:pPr>
        <w:pStyle w:val="2"/>
        <w:rPr>
          <w:color w:val="auto"/>
          <w:highlight w:val="none"/>
        </w:rPr>
      </w:pPr>
    </w:p>
    <w:tbl>
      <w:tblPr>
        <w:tblStyle w:val="2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甲方单位：       （公章）</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     （签章）</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  年  月  日</w:t>
            </w:r>
          </w:p>
        </w:tc>
        <w:tc>
          <w:tcPr>
            <w:tcW w:w="4264" w:type="dxa"/>
          </w:tcPr>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乙方单位：       （公章）</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     （签章）</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  年  月  日</w:t>
            </w:r>
          </w:p>
        </w:tc>
      </w:tr>
    </w:tbl>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br w:type="page"/>
      </w:r>
    </w:p>
    <w:p>
      <w:pPr>
        <w:spacing w:line="360" w:lineRule="auto"/>
        <w:ind w:firstLine="2570" w:firstLineChars="800"/>
        <w:jc w:val="left"/>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联合投标授权委托书</w:t>
      </w:r>
    </w:p>
    <w:p>
      <w:pPr>
        <w:spacing w:line="360" w:lineRule="auto"/>
        <w:jc w:val="left"/>
        <w:rPr>
          <w:rFonts w:ascii="Times New Roman" w:hAnsi="Times New Roman" w:eastAsia="宋体" w:cs="Times New Roman"/>
          <w:color w:val="auto"/>
          <w:sz w:val="24"/>
          <w:highlight w:val="none"/>
        </w:rPr>
      </w:pPr>
    </w:p>
    <w:p>
      <w:p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本授权委托书声明：根据签订的《联合投标协议书》的内容，主办人的法定代表人现授权为联合投标代理人，代理人在投标、开标、评标、合同谈判过程中所签署的一切文件和处理与这有关的一切事务， 联合投标各方均予以认可并遵守。</w:t>
      </w: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特此委托。</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授权人（签名）： </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日期：    年  月  日</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授权代表（签名）； </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日期：    年  月  日</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tbl>
      <w:tblPr>
        <w:tblStyle w:val="2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联合体甲方单位：   （公章）</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     （签章）</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  年  月  日</w:t>
            </w:r>
          </w:p>
        </w:tc>
        <w:tc>
          <w:tcPr>
            <w:tcW w:w="4264" w:type="dxa"/>
          </w:tcPr>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联合体乙方单位：   （公章）</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     （签章）</w:t>
            </w: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p>
          <w:p>
            <w:pPr>
              <w:spacing w:line="360"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  年  月  日</w:t>
            </w:r>
          </w:p>
        </w:tc>
      </w:tr>
    </w:tbl>
    <w:p>
      <w:pPr>
        <w:spacing w:line="360" w:lineRule="auto"/>
        <w:ind w:firstLine="1920" w:firstLineChars="800"/>
        <w:rPr>
          <w:rFonts w:ascii="Times New Roman" w:hAnsi="Times New Roman" w:eastAsia="宋体" w:cs="Times New Roman"/>
          <w:b/>
          <w:bCs/>
          <w:color w:val="auto"/>
          <w:sz w:val="32"/>
          <w:szCs w:val="32"/>
          <w:highlight w:val="none"/>
        </w:rPr>
      </w:pPr>
      <w:r>
        <w:rPr>
          <w:rFonts w:ascii="Times New Roman" w:hAnsi="Times New Roman" w:eastAsia="宋体" w:cs="Times New Roman"/>
          <w:color w:val="auto"/>
          <w:sz w:val="24"/>
          <w:highlight w:val="none"/>
        </w:rPr>
        <w:br w:type="page"/>
      </w:r>
    </w:p>
    <w:p>
      <w:pPr>
        <w:spacing w:line="360" w:lineRule="auto"/>
        <w:ind w:firstLine="2570" w:firstLineChars="800"/>
        <w:rPr>
          <w:rFonts w:ascii="Times New Roman" w:hAnsi="Times New Roman" w:eastAsia="宋体" w:cs="Times New Roman"/>
          <w:color w:val="auto"/>
          <w:sz w:val="32"/>
          <w:szCs w:val="32"/>
          <w:highlight w:val="none"/>
        </w:rPr>
      </w:pPr>
      <w:r>
        <w:rPr>
          <w:rFonts w:ascii="Times New Roman" w:hAnsi="Times New Roman" w:eastAsia="宋体" w:cs="Times New Roman"/>
          <w:b/>
          <w:bCs/>
          <w:color w:val="auto"/>
          <w:sz w:val="32"/>
          <w:szCs w:val="32"/>
          <w:highlight w:val="none"/>
        </w:rPr>
        <w:t>投标人情况介绍</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1、总体介绍、技术经济实力、服务能力、资格、资质、质量认证与本项目类似的实际项目的介绍、业绩等相关情况。</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2、最近的财务报表、业绩表（含用户的联系方式）等相关说明资料复印件加盖</w:t>
      </w:r>
      <w:r>
        <w:rPr>
          <w:rFonts w:hint="eastAsia" w:ascii="Times New Roman" w:hAnsi="Times New Roman" w:eastAsia="宋体" w:cs="Times New Roman"/>
          <w:color w:val="auto"/>
          <w:sz w:val="24"/>
          <w:highlight w:val="none"/>
        </w:rPr>
        <w:t>电子签章</w:t>
      </w:r>
      <w:r>
        <w:rPr>
          <w:rFonts w:ascii="Times New Roman" w:hAnsi="Times New Roman" w:eastAsia="宋体" w:cs="Times New Roman"/>
          <w:color w:val="auto"/>
          <w:sz w:val="24"/>
          <w:highlight w:val="none"/>
        </w:rPr>
        <w:t>后附后。</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3、投标人认为有必要的声明和文件（荣誉证书等），复印件加盖</w:t>
      </w:r>
      <w:r>
        <w:rPr>
          <w:rFonts w:hint="eastAsia" w:ascii="Times New Roman" w:hAnsi="Times New Roman" w:eastAsia="宋体" w:cs="Times New Roman"/>
          <w:color w:val="auto"/>
          <w:sz w:val="24"/>
          <w:highlight w:val="none"/>
        </w:rPr>
        <w:t>电子签章</w:t>
      </w:r>
      <w:r>
        <w:rPr>
          <w:rFonts w:ascii="Times New Roman" w:hAnsi="Times New Roman" w:eastAsia="宋体" w:cs="Times New Roman"/>
          <w:color w:val="auto"/>
          <w:sz w:val="24"/>
          <w:highlight w:val="none"/>
        </w:rPr>
        <w:t>后附后。</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br w:type="page"/>
      </w:r>
    </w:p>
    <w:p>
      <w:pPr>
        <w:spacing w:line="360" w:lineRule="auto"/>
        <w:jc w:val="center"/>
        <w:rPr>
          <w:rFonts w:ascii="Times New Roman" w:hAnsi="Times New Roman" w:eastAsia="宋体" w:cs="Times New Roman"/>
          <w:b/>
          <w:bCs/>
          <w:color w:val="auto"/>
          <w:sz w:val="36"/>
          <w:szCs w:val="36"/>
          <w:highlight w:val="none"/>
        </w:rPr>
      </w:pPr>
      <w:r>
        <w:rPr>
          <w:rFonts w:ascii="Times New Roman" w:hAnsi="Times New Roman" w:eastAsia="宋体" w:cs="Times New Roman"/>
          <w:b/>
          <w:bCs/>
          <w:color w:val="auto"/>
          <w:sz w:val="36"/>
          <w:szCs w:val="36"/>
          <w:highlight w:val="none"/>
        </w:rPr>
        <w:t>相关业绩一览表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2179"/>
        <w:gridCol w:w="1747"/>
        <w:gridCol w:w="16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项目名称</w:t>
            </w:r>
          </w:p>
        </w:tc>
        <w:tc>
          <w:tcPr>
            <w:tcW w:w="14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项目类型</w:t>
            </w:r>
          </w:p>
        </w:tc>
        <w:tc>
          <w:tcPr>
            <w:tcW w:w="2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简要描述</w:t>
            </w:r>
          </w:p>
        </w:tc>
        <w:tc>
          <w:tcPr>
            <w:tcW w:w="17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开完工日期</w:t>
            </w:r>
          </w:p>
        </w:tc>
        <w:tc>
          <w:tcPr>
            <w:tcW w:w="1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项目地址与采购人</w:t>
            </w:r>
          </w:p>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联系电话</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eastAsia="宋体" w:cs="Times New Roman"/>
                <w:color w:val="auto"/>
                <w:sz w:val="24"/>
                <w:highlight w:val="none"/>
                <w:lang w:val="zh-CN"/>
              </w:rPr>
            </w:pPr>
          </w:p>
          <w:p>
            <w:pPr>
              <w:widowControl/>
              <w:spacing w:line="360" w:lineRule="auto"/>
              <w:ind w:firstLine="120" w:firstLineChars="5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所在</w:t>
            </w:r>
          </w:p>
          <w:p>
            <w:pPr>
              <w:widowControl/>
              <w:spacing w:line="360" w:lineRule="auto"/>
              <w:ind w:firstLine="120" w:firstLineChars="50"/>
              <w:jc w:val="left"/>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rPr>
              <w:t>页码</w:t>
            </w:r>
          </w:p>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color w:val="auto"/>
                <w:sz w:val="24"/>
                <w:highlight w:val="none"/>
                <w:lang w:val="zh-CN"/>
              </w:rPr>
            </w:pPr>
          </w:p>
        </w:tc>
      </w:tr>
    </w:tbl>
    <w:p>
      <w:pPr>
        <w:autoSpaceDE w:val="0"/>
        <w:autoSpaceDN w:val="0"/>
        <w:adjustRightInd w:val="0"/>
        <w:spacing w:line="360" w:lineRule="auto"/>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注：投标人可按上述的格式自行编制，须随表提交相应的合同复印件或用户单位验收说明并注明所在投标文件页码。</w:t>
      </w:r>
    </w:p>
    <w:p>
      <w:pPr>
        <w:spacing w:line="360" w:lineRule="auto"/>
        <w:ind w:firstLine="4320" w:firstLineChars="1800"/>
        <w:rPr>
          <w:rFonts w:ascii="Times New Roman" w:hAnsi="Times New Roman" w:eastAsia="宋体" w:cs="Times New Roman"/>
          <w:color w:val="auto"/>
          <w:sz w:val="24"/>
          <w:highlight w:val="none"/>
        </w:rPr>
      </w:pPr>
    </w:p>
    <w:p>
      <w:pPr>
        <w:spacing w:line="360" w:lineRule="auto"/>
        <w:ind w:firstLine="1430" w:firstLineChars="596"/>
        <w:rPr>
          <w:rFonts w:ascii="Times New Roman" w:hAnsi="Times New Roman" w:eastAsia="宋体" w:cs="Times New Roman"/>
          <w:color w:val="auto"/>
          <w:kern w:val="0"/>
          <w:sz w:val="24"/>
          <w:highlight w:val="none"/>
          <w:lang w:val="zh-CN"/>
        </w:rPr>
      </w:pPr>
    </w:p>
    <w:p>
      <w:pPr>
        <w:adjustRightInd w:val="0"/>
        <w:snapToGrid w:val="0"/>
        <w:spacing w:line="360" w:lineRule="auto"/>
        <w:ind w:firstLine="4680" w:firstLineChars="195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lang w:val="zh-CN"/>
        </w:rPr>
        <w:t>投标人名称(</w:t>
      </w:r>
      <w:r>
        <w:rPr>
          <w:rFonts w:hint="eastAsia" w:ascii="Times New Roman" w:hAnsi="Times New Roman" w:eastAsia="宋体" w:cs="Times New Roman"/>
          <w:color w:val="auto"/>
          <w:kern w:val="0"/>
          <w:sz w:val="24"/>
          <w:highlight w:val="none"/>
          <w:lang w:val="zh-CN"/>
        </w:rPr>
        <w:t>电子签章</w:t>
      </w:r>
      <w:r>
        <w:rPr>
          <w:rFonts w:ascii="Times New Roman" w:hAnsi="Times New Roman" w:eastAsia="宋体" w:cs="Times New Roman"/>
          <w:color w:val="auto"/>
          <w:kern w:val="0"/>
          <w:sz w:val="24"/>
          <w:highlight w:val="none"/>
          <w:lang w:val="zh-CN"/>
        </w:rPr>
        <w:t>)：</w:t>
      </w:r>
    </w:p>
    <w:p>
      <w:pPr>
        <w:adjustRightInd w:val="0"/>
        <w:snapToGrid w:val="0"/>
        <w:spacing w:line="360" w:lineRule="auto"/>
        <w:rPr>
          <w:rFonts w:ascii="Times New Roman" w:hAnsi="Times New Roman" w:eastAsia="宋体" w:cs="Times New Roman"/>
          <w:color w:val="auto"/>
          <w:kern w:val="0"/>
          <w:sz w:val="24"/>
          <w:highlight w:val="none"/>
        </w:rPr>
      </w:pPr>
    </w:p>
    <w:p>
      <w:pPr>
        <w:spacing w:line="360" w:lineRule="auto"/>
        <w:ind w:firstLine="4668" w:firstLineChars="1945"/>
        <w:rPr>
          <w:rFonts w:ascii="Times New Roman" w:hAnsi="Times New Roman" w:eastAsia="宋体" w:cs="Times New Roman"/>
          <w:color w:val="auto"/>
          <w:kern w:val="0"/>
          <w:sz w:val="24"/>
          <w:highlight w:val="none"/>
          <w:lang w:val="zh-CN"/>
        </w:rPr>
      </w:pPr>
      <w:r>
        <w:rPr>
          <w:rFonts w:ascii="Times New Roman" w:hAnsi="Times New Roman" w:eastAsia="宋体" w:cs="Times New Roman"/>
          <w:color w:val="auto"/>
          <w:kern w:val="0"/>
          <w:sz w:val="24"/>
          <w:highlight w:val="none"/>
          <w:lang w:val="zh-CN"/>
        </w:rPr>
        <w:t>日期</w:t>
      </w:r>
      <w:r>
        <w:rPr>
          <w:rFonts w:ascii="Times New Roman" w:hAnsi="Times New Roman" w:eastAsia="宋体" w:cs="Times New Roman"/>
          <w:color w:val="auto"/>
          <w:kern w:val="0"/>
          <w:sz w:val="24"/>
          <w:highlight w:val="none"/>
        </w:rPr>
        <w:t xml:space="preserve">：  </w:t>
      </w:r>
      <w:r>
        <w:rPr>
          <w:rFonts w:ascii="Times New Roman" w:hAnsi="Times New Roman" w:eastAsia="宋体" w:cs="Times New Roman"/>
          <w:color w:val="auto"/>
          <w:kern w:val="0"/>
          <w:sz w:val="24"/>
          <w:highlight w:val="none"/>
          <w:lang w:val="zh-CN"/>
        </w:rPr>
        <w:t>年</w:t>
      </w:r>
      <w:r>
        <w:rPr>
          <w:rFonts w:hint="eastAsia" w:ascii="Times New Roman" w:hAnsi="Times New Roman" w:eastAsia="宋体" w:cs="Times New Roman"/>
          <w:color w:val="auto"/>
          <w:kern w:val="0"/>
          <w:sz w:val="24"/>
          <w:highlight w:val="none"/>
          <w:lang w:val="zh-CN"/>
        </w:rPr>
        <w:t>10月31日</w:t>
      </w:r>
    </w:p>
    <w:p>
      <w:pPr>
        <w:spacing w:line="44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br w:type="page"/>
      </w:r>
    </w:p>
    <w:p>
      <w:pPr>
        <w:spacing w:line="360" w:lineRule="auto"/>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拟派服务团队人员情况表</w:t>
      </w:r>
    </w:p>
    <w:p>
      <w:pPr>
        <w:jc w:val="center"/>
        <w:rPr>
          <w:rFonts w:ascii="Times New Roman" w:hAnsi="Times New Roman" w:eastAsia="宋体" w:cs="Times New Roman"/>
          <w:b/>
          <w:color w:val="auto"/>
          <w:kern w:val="0"/>
          <w:sz w:val="36"/>
          <w:szCs w:val="20"/>
          <w:highlight w:val="none"/>
        </w:rPr>
      </w:pPr>
      <w:r>
        <w:rPr>
          <w:rFonts w:ascii="Times New Roman" w:hAnsi="Times New Roman" w:eastAsia="宋体" w:cs="Times New Roman"/>
          <w:b/>
          <w:color w:val="auto"/>
          <w:kern w:val="0"/>
          <w:sz w:val="36"/>
          <w:szCs w:val="20"/>
          <w:highlight w:val="none"/>
        </w:rPr>
        <w:t>项目小组名单</w:t>
      </w:r>
    </w:p>
    <w:p>
      <w:pPr>
        <w:tabs>
          <w:tab w:val="left" w:pos="780"/>
        </w:tabs>
        <w:autoSpaceDE w:val="0"/>
        <w:autoSpaceDN w:val="0"/>
        <w:adjustRightInd w:val="0"/>
        <w:spacing w:line="360" w:lineRule="exact"/>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附表A: 拟派本项目总负责（专业技术人员）资格情况表</w:t>
      </w:r>
    </w:p>
    <w:tbl>
      <w:tblPr>
        <w:tblStyle w:val="2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6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姓名</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近3年维保工作业绩及承担的主要工作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性别</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年龄</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职称</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毕业时间</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所学专业</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61"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学历</w:t>
            </w:r>
          </w:p>
        </w:tc>
        <w:tc>
          <w:tcPr>
            <w:tcW w:w="1686"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其他专业资质</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联系电话</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360" w:firstLineChars="15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曾担任总监的项目</w:t>
            </w:r>
          </w:p>
        </w:tc>
        <w:tc>
          <w:tcPr>
            <w:tcW w:w="620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lang w:val="zh-CN"/>
              </w:rPr>
            </w:pPr>
          </w:p>
        </w:tc>
      </w:tr>
    </w:tbl>
    <w:p>
      <w:pPr>
        <w:tabs>
          <w:tab w:val="left" w:pos="780"/>
        </w:tabs>
        <w:autoSpaceDE w:val="0"/>
        <w:autoSpaceDN w:val="0"/>
        <w:adjustRightInd w:val="0"/>
        <w:spacing w:line="360" w:lineRule="exact"/>
        <w:ind w:firstLine="48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注：须随表提交相应的证书复印件并注明所在</w:t>
      </w:r>
      <w:r>
        <w:rPr>
          <w:rFonts w:hint="eastAsia" w:ascii="Times New Roman" w:hAnsi="Times New Roman" w:eastAsia="宋体" w:cs="Times New Roman"/>
          <w:b/>
          <w:color w:val="auto"/>
          <w:szCs w:val="21"/>
          <w:highlight w:val="none"/>
        </w:rPr>
        <w:t>商务</w:t>
      </w:r>
      <w:r>
        <w:rPr>
          <w:rFonts w:ascii="Times New Roman" w:hAnsi="Times New Roman" w:eastAsia="宋体" w:cs="Times New Roman"/>
          <w:b/>
          <w:color w:val="auto"/>
          <w:szCs w:val="21"/>
          <w:highlight w:val="none"/>
        </w:rPr>
        <w:t>技术文件页码。</w:t>
      </w:r>
    </w:p>
    <w:p>
      <w:pPr>
        <w:tabs>
          <w:tab w:val="left" w:pos="780"/>
        </w:tabs>
        <w:autoSpaceDE w:val="0"/>
        <w:autoSpaceDN w:val="0"/>
        <w:adjustRightInd w:val="0"/>
        <w:spacing w:line="360" w:lineRule="exact"/>
        <w:ind w:firstLine="480"/>
        <w:rPr>
          <w:rFonts w:ascii="Times New Roman" w:hAnsi="Times New Roman" w:eastAsia="宋体" w:cs="Times New Roman"/>
          <w:b/>
          <w:color w:val="auto"/>
          <w:szCs w:val="21"/>
          <w:highlight w:val="none"/>
        </w:rPr>
      </w:pPr>
    </w:p>
    <w:p>
      <w:pPr>
        <w:autoSpaceDE w:val="0"/>
        <w:autoSpaceDN w:val="0"/>
        <w:adjustRightInd w:val="0"/>
        <w:spacing w:line="360" w:lineRule="auto"/>
        <w:rPr>
          <w:rFonts w:ascii="Times New Roman" w:hAnsi="Times New Roman" w:eastAsia="宋体" w:cs="Times New Roman"/>
          <w:color w:val="auto"/>
          <w:kern w:val="0"/>
          <w:szCs w:val="20"/>
          <w:highlight w:val="none"/>
        </w:rPr>
      </w:pPr>
      <w:r>
        <w:rPr>
          <w:rFonts w:ascii="Times New Roman" w:hAnsi="Times New Roman" w:eastAsia="宋体" w:cs="Times New Roman"/>
          <w:b/>
          <w:color w:val="auto"/>
          <w:szCs w:val="21"/>
          <w:highlight w:val="none"/>
        </w:rPr>
        <w:t>附表B:本项目的项目小组人员情况表</w:t>
      </w:r>
      <w:r>
        <w:rPr>
          <w:rFonts w:ascii="Times New Roman" w:hAnsi="Times New Roman" w:eastAsia="宋体" w:cs="Times New Roman"/>
          <w:color w:val="auto"/>
          <w:kern w:val="0"/>
          <w:szCs w:val="20"/>
          <w:highlight w:val="none"/>
        </w:rPr>
        <w:t>（按此格式自制）</w:t>
      </w:r>
    </w:p>
    <w:tbl>
      <w:tblPr>
        <w:tblStyle w:val="23"/>
        <w:tblW w:w="9375" w:type="dxa"/>
        <w:jc w:val="center"/>
        <w:tblLayout w:type="fixed"/>
        <w:tblCellMar>
          <w:top w:w="0" w:type="dxa"/>
          <w:left w:w="108" w:type="dxa"/>
          <w:bottom w:w="0" w:type="dxa"/>
          <w:right w:w="108" w:type="dxa"/>
        </w:tblCellMar>
      </w:tblPr>
      <w:tblGrid>
        <w:gridCol w:w="436"/>
        <w:gridCol w:w="817"/>
        <w:gridCol w:w="428"/>
        <w:gridCol w:w="608"/>
        <w:gridCol w:w="1075"/>
        <w:gridCol w:w="1121"/>
        <w:gridCol w:w="1121"/>
        <w:gridCol w:w="1308"/>
        <w:gridCol w:w="935"/>
        <w:gridCol w:w="1526"/>
      </w:tblGrid>
      <w:tr>
        <w:tblPrEx>
          <w:tblCellMar>
            <w:top w:w="0" w:type="dxa"/>
            <w:left w:w="108" w:type="dxa"/>
            <w:bottom w:w="0" w:type="dxa"/>
            <w:right w:w="108" w:type="dxa"/>
          </w:tblCellMar>
        </w:tblPrEx>
        <w:trPr>
          <w:trHeight w:val="1090" w:hRule="atLeast"/>
          <w:jc w:val="center"/>
        </w:trPr>
        <w:tc>
          <w:tcPr>
            <w:tcW w:w="4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8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姓名</w:t>
            </w:r>
          </w:p>
        </w:tc>
        <w:tc>
          <w:tcPr>
            <w:tcW w:w="4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性别</w:t>
            </w:r>
          </w:p>
        </w:tc>
        <w:tc>
          <w:tcPr>
            <w:tcW w:w="6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年龄</w:t>
            </w:r>
          </w:p>
        </w:tc>
        <w:tc>
          <w:tcPr>
            <w:tcW w:w="10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学历</w:t>
            </w:r>
          </w:p>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专业</w:t>
            </w:r>
          </w:p>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职称</w:t>
            </w:r>
          </w:p>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(页码)</w:t>
            </w: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本项目中的职责</w:t>
            </w:r>
          </w:p>
        </w:tc>
        <w:tc>
          <w:tcPr>
            <w:tcW w:w="93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项目经历</w:t>
            </w:r>
          </w:p>
        </w:tc>
        <w:tc>
          <w:tcPr>
            <w:tcW w:w="152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参与本项目的到位情况</w:t>
            </w:r>
          </w:p>
        </w:tc>
      </w:tr>
      <w:tr>
        <w:tblPrEx>
          <w:tblCellMar>
            <w:top w:w="0" w:type="dxa"/>
            <w:left w:w="108" w:type="dxa"/>
            <w:bottom w:w="0" w:type="dxa"/>
            <w:right w:w="108" w:type="dxa"/>
          </w:tblCellMar>
        </w:tblPrEx>
        <w:trPr>
          <w:trHeight w:val="699"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color w:val="auto"/>
                <w:sz w:val="24"/>
                <w:highlight w:val="none"/>
              </w:rPr>
            </w:pPr>
          </w:p>
        </w:tc>
      </w:tr>
    </w:tbl>
    <w:p>
      <w:pPr>
        <w:autoSpaceDE w:val="0"/>
        <w:autoSpaceDN w:val="0"/>
        <w:adjustRightInd w:val="0"/>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注：投标人可按上述的格式自行编制，须随表提交相应的证书复印件并注明所在</w:t>
      </w:r>
      <w:r>
        <w:rPr>
          <w:rFonts w:hint="eastAsia" w:ascii="Times New Roman" w:hAnsi="Times New Roman" w:eastAsia="宋体" w:cs="Times New Roman"/>
          <w:b/>
          <w:color w:val="auto"/>
          <w:szCs w:val="21"/>
          <w:highlight w:val="none"/>
        </w:rPr>
        <w:t>商务</w:t>
      </w:r>
      <w:r>
        <w:rPr>
          <w:rFonts w:ascii="Times New Roman" w:hAnsi="Times New Roman" w:eastAsia="宋体" w:cs="Times New Roman"/>
          <w:b/>
          <w:color w:val="auto"/>
          <w:szCs w:val="21"/>
          <w:highlight w:val="none"/>
        </w:rPr>
        <w:t>技术文件页码。</w:t>
      </w:r>
    </w:p>
    <w:p>
      <w:pPr>
        <w:autoSpaceDE w:val="0"/>
        <w:autoSpaceDN w:val="0"/>
        <w:adjustRightInd w:val="0"/>
        <w:spacing w:line="360" w:lineRule="auto"/>
        <w:ind w:firstLine="4440" w:firstLineChars="1850"/>
        <w:rPr>
          <w:rFonts w:ascii="Times New Roman" w:hAnsi="Times New Roman" w:eastAsia="宋体" w:cs="Times New Roman"/>
          <w:color w:val="auto"/>
          <w:kern w:val="0"/>
          <w:sz w:val="24"/>
          <w:highlight w:val="none"/>
        </w:rPr>
      </w:pPr>
    </w:p>
    <w:p>
      <w:pPr>
        <w:autoSpaceDE w:val="0"/>
        <w:autoSpaceDN w:val="0"/>
        <w:adjustRightInd w:val="0"/>
        <w:spacing w:line="360" w:lineRule="auto"/>
        <w:ind w:firstLine="4440" w:firstLineChars="185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投标人名称（</w:t>
      </w:r>
      <w:r>
        <w:rPr>
          <w:rFonts w:hint="eastAsia" w:ascii="Times New Roman" w:hAnsi="Times New Roman" w:eastAsia="宋体" w:cs="Times New Roman"/>
          <w:color w:val="auto"/>
          <w:kern w:val="0"/>
          <w:sz w:val="24"/>
          <w:highlight w:val="none"/>
        </w:rPr>
        <w:t>电子签章</w:t>
      </w:r>
      <w:r>
        <w:rPr>
          <w:rFonts w:ascii="Times New Roman" w:hAnsi="Times New Roman" w:eastAsia="宋体" w:cs="Times New Roman"/>
          <w:color w:val="auto"/>
          <w:kern w:val="0"/>
          <w:sz w:val="24"/>
          <w:highlight w:val="none"/>
        </w:rPr>
        <w:t>）：</w:t>
      </w:r>
    </w:p>
    <w:p>
      <w:pPr>
        <w:autoSpaceDE w:val="0"/>
        <w:autoSpaceDN w:val="0"/>
        <w:adjustRightInd w:val="0"/>
        <w:spacing w:line="360" w:lineRule="auto"/>
        <w:rPr>
          <w:rFonts w:ascii="Times New Roman" w:hAnsi="Times New Roman" w:eastAsia="宋体" w:cs="Times New Roman"/>
          <w:color w:val="auto"/>
          <w:kern w:val="0"/>
          <w:sz w:val="24"/>
          <w:highlight w:val="none"/>
        </w:rPr>
      </w:pPr>
    </w:p>
    <w:p>
      <w:pPr>
        <w:tabs>
          <w:tab w:val="left" w:pos="2790"/>
          <w:tab w:val="left" w:pos="4230"/>
        </w:tabs>
        <w:autoSpaceDE w:val="0"/>
        <w:autoSpaceDN w:val="0"/>
        <w:adjustRightInd w:val="0"/>
        <w:spacing w:line="360" w:lineRule="auto"/>
        <w:ind w:right="1400"/>
        <w:rPr>
          <w:rFonts w:ascii="Times New Roman" w:hAnsi="Times New Roman" w:eastAsia="宋体" w:cs="Times New Roman"/>
          <w:b/>
          <w:bCs/>
          <w:color w:val="auto"/>
          <w:kern w:val="0"/>
          <w:sz w:val="24"/>
          <w:highlight w:val="none"/>
          <w:lang w:val="zh-CN"/>
        </w:rPr>
      </w:pPr>
      <w:r>
        <w:rPr>
          <w:rFonts w:ascii="Times New Roman" w:hAnsi="Times New Roman" w:eastAsia="宋体" w:cs="Times New Roman"/>
          <w:color w:val="auto"/>
          <w:kern w:val="0"/>
          <w:sz w:val="24"/>
          <w:highlight w:val="none"/>
        </w:rPr>
        <w:t xml:space="preserve">                                     日期：</w:t>
      </w:r>
      <w:r>
        <w:rPr>
          <w:rFonts w:hint="eastAsia" w:ascii="Times New Roman" w:hAnsi="Times New Roman" w:eastAsia="宋体" w:cs="Times New Roman"/>
          <w:color w:val="auto"/>
          <w:kern w:val="0"/>
          <w:sz w:val="24"/>
          <w:highlight w:val="none"/>
        </w:rPr>
        <w:t>2022</w:t>
      </w:r>
      <w:r>
        <w:rPr>
          <w:rFonts w:ascii="Times New Roman" w:hAnsi="Times New Roman" w:eastAsia="宋体" w:cs="Times New Roman"/>
          <w:color w:val="auto"/>
          <w:kern w:val="0"/>
          <w:sz w:val="24"/>
          <w:highlight w:val="none"/>
        </w:rPr>
        <w:t>年  月   日</w:t>
      </w:r>
    </w:p>
    <w:p>
      <w:pPr>
        <w:spacing w:line="360" w:lineRule="auto"/>
        <w:jc w:val="center"/>
        <w:rPr>
          <w:rFonts w:ascii="Times New Roman" w:hAnsi="Times New Roman" w:eastAsia="宋体" w:cs="Times New Roman"/>
          <w:bCs/>
          <w:color w:val="auto"/>
          <w:kern w:val="0"/>
          <w:sz w:val="44"/>
          <w:highlight w:val="none"/>
        </w:rPr>
      </w:pPr>
      <w:r>
        <w:rPr>
          <w:rFonts w:ascii="Times New Roman" w:hAnsi="Times New Roman" w:eastAsia="宋体" w:cs="Times New Roman"/>
          <w:color w:val="auto"/>
          <w:sz w:val="28"/>
          <w:szCs w:val="28"/>
          <w:highlight w:val="none"/>
        </w:rPr>
        <w:br w:type="page"/>
      </w:r>
      <w:r>
        <w:rPr>
          <w:rFonts w:ascii="Times New Roman" w:hAnsi="Times New Roman" w:eastAsia="宋体" w:cs="Times New Roman"/>
          <w:b/>
          <w:color w:val="auto"/>
          <w:kern w:val="0"/>
          <w:sz w:val="44"/>
          <w:highlight w:val="none"/>
        </w:rPr>
        <w:t>质量和售后服务承诺书</w:t>
      </w: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售后服务方面的承诺：</w:t>
      </w: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售后服务联系方式（联系人、联系电话、维修点等）</w:t>
      </w: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其他优惠条件</w:t>
      </w: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left="4620" w:leftChars="2200"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投标单位 （</w:t>
      </w:r>
      <w:r>
        <w:rPr>
          <w:rFonts w:hint="eastAsia" w:ascii="Times New Roman" w:hAnsi="Times New Roman" w:eastAsia="宋体" w:cs="Times New Roman"/>
          <w:color w:val="auto"/>
          <w:highlight w:val="none"/>
        </w:rPr>
        <w:t>电子签章</w:t>
      </w:r>
      <w:r>
        <w:rPr>
          <w:rFonts w:ascii="Times New Roman" w:hAnsi="Times New Roman" w:eastAsia="宋体" w:cs="Times New Roman"/>
          <w:color w:val="auto"/>
          <w:highlight w:val="none"/>
        </w:rPr>
        <w:t xml:space="preserve">）： </w:t>
      </w:r>
    </w:p>
    <w:p>
      <w:pPr>
        <w:spacing w:line="360" w:lineRule="auto"/>
        <w:ind w:left="4620" w:leftChars="2200" w:firstLine="480"/>
        <w:rPr>
          <w:rFonts w:ascii="Times New Roman" w:hAnsi="Times New Roman" w:eastAsia="宋体" w:cs="Times New Roman"/>
          <w:b/>
          <w:color w:val="auto"/>
          <w:kern w:val="0"/>
          <w:sz w:val="44"/>
          <w:highlight w:val="none"/>
        </w:rPr>
      </w:pPr>
      <w:r>
        <w:rPr>
          <w:rFonts w:ascii="Times New Roman" w:hAnsi="Times New Roman" w:eastAsia="宋体" w:cs="Times New Roman"/>
          <w:color w:val="auto"/>
          <w:highlight w:val="none"/>
        </w:rPr>
        <w:t>年      月      日</w:t>
      </w:r>
    </w:p>
    <w:p>
      <w:pPr>
        <w:spacing w:line="460" w:lineRule="exact"/>
        <w:rPr>
          <w:rFonts w:ascii="Times New Roman" w:hAnsi="Times New Roman" w:eastAsia="宋体" w:cs="Times New Roman"/>
          <w:color w:val="auto"/>
          <w:highlight w:val="none"/>
        </w:rPr>
      </w:pPr>
    </w:p>
    <w:p>
      <w:pPr>
        <w:pStyle w:val="11"/>
        <w:spacing w:line="360" w:lineRule="auto"/>
        <w:rPr>
          <w:rFonts w:ascii="Times New Roman" w:hAnsi="Times New Roman" w:cs="Times New Roman"/>
          <w:b/>
          <w:bCs/>
          <w:color w:val="auto"/>
          <w:sz w:val="36"/>
          <w:szCs w:val="36"/>
          <w:highlight w:val="none"/>
        </w:rPr>
      </w:pPr>
    </w:p>
    <w:p>
      <w:pPr>
        <w:pStyle w:val="11"/>
        <w:spacing w:line="360" w:lineRule="auto"/>
        <w:rPr>
          <w:rFonts w:ascii="Times New Roman" w:hAnsi="Times New Roman" w:cs="Times New Roman"/>
          <w:b/>
          <w:bCs/>
          <w:color w:val="auto"/>
          <w:sz w:val="36"/>
          <w:szCs w:val="36"/>
          <w:highlight w:val="none"/>
        </w:rPr>
      </w:pPr>
    </w:p>
    <w:p>
      <w:pPr>
        <w:pStyle w:val="11"/>
        <w:spacing w:line="360" w:lineRule="auto"/>
        <w:rPr>
          <w:rFonts w:ascii="Times New Roman" w:hAnsi="Times New Roman" w:cs="Times New Roman"/>
          <w:b/>
          <w:bCs/>
          <w:color w:val="auto"/>
          <w:sz w:val="36"/>
          <w:szCs w:val="36"/>
          <w:highlight w:val="none"/>
        </w:rPr>
      </w:pPr>
    </w:p>
    <w:p>
      <w:pPr>
        <w:rPr>
          <w:rFonts w:ascii="Times New Roman" w:hAnsi="Times New Roman" w:eastAsia="宋体" w:cs="Times New Roman"/>
          <w:b/>
          <w:bCs/>
          <w:color w:val="auto"/>
          <w:sz w:val="36"/>
          <w:szCs w:val="36"/>
          <w:highlight w:val="none"/>
        </w:rPr>
      </w:pPr>
      <w:r>
        <w:rPr>
          <w:rFonts w:ascii="Times New Roman" w:hAnsi="Times New Roman" w:eastAsia="宋体" w:cs="Times New Roman"/>
          <w:b/>
          <w:bCs/>
          <w:color w:val="auto"/>
          <w:sz w:val="36"/>
          <w:szCs w:val="36"/>
          <w:highlight w:val="none"/>
        </w:rPr>
        <w:br w:type="page"/>
      </w:r>
    </w:p>
    <w:p>
      <w:pPr>
        <w:pStyle w:val="11"/>
        <w:spacing w:line="440" w:lineRule="exact"/>
        <w:ind w:firstLine="2570" w:firstLineChars="800"/>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义乌市政府采购项目投标承诺书</w:t>
      </w:r>
    </w:p>
    <w:p>
      <w:pPr>
        <w:spacing w:line="380" w:lineRule="exact"/>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ascii="Times New Roman" w:hAnsi="Times New Roman" w:eastAsia="宋体" w:cs="Times New Roman"/>
          <w:color w:val="auto"/>
          <w:szCs w:val="21"/>
          <w:highlight w:val="none"/>
        </w:rPr>
        <w:t>中标</w:t>
      </w:r>
      <w:r>
        <w:rPr>
          <w:rFonts w:ascii="Times New Roman" w:hAnsi="Times New Roman" w:eastAsia="宋体" w:cs="Times New Roman"/>
          <w:color w:val="auto"/>
          <w:highlight w:val="none"/>
        </w:rPr>
        <w:t>；</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2、自愿接受义乌市财政局（以下简称市财政局）的管理，并严格遵守政府采购监管部门制定的招投标管理制度、规范和纪律。</w:t>
      </w:r>
    </w:p>
    <w:p>
      <w:pPr>
        <w:spacing w:line="380" w:lineRule="exact"/>
        <w:ind w:left="-34" w:leftChars="-16"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3、我单位承诺参与本次投标的资格符合《中华人民共和国政府采购法》的规定，并承诺近三年内，在经营活动中没有重大违法记录。</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5、不转让、出借、涂改、伪造资质（资格）证书或者以其他方式允许其他单位（个人）以我单位（本人）名义承接业务。</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6、不与采购人或者其他投标人相互串通投标，围标，不以行贿等不正当手段谋取</w:t>
      </w:r>
      <w:r>
        <w:rPr>
          <w:rFonts w:ascii="Times New Roman" w:hAnsi="Times New Roman" w:eastAsia="宋体" w:cs="Times New Roman"/>
          <w:color w:val="auto"/>
          <w:sz w:val="24"/>
          <w:highlight w:val="none"/>
        </w:rPr>
        <w:t>中标</w:t>
      </w:r>
      <w:r>
        <w:rPr>
          <w:rFonts w:ascii="Times New Roman" w:hAnsi="Times New Roman" w:eastAsia="宋体" w:cs="Times New Roman"/>
          <w:color w:val="auto"/>
          <w:szCs w:val="21"/>
          <w:highlight w:val="none"/>
        </w:rPr>
        <w:t>。</w:t>
      </w:r>
    </w:p>
    <w:p>
      <w:pPr>
        <w:spacing w:line="380" w:lineRule="exact"/>
        <w:ind w:left="-34" w:leftChars="-16"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7、在备案、招标、投标、报名、开标、评标、询标、中标、签订合同、合同备案等招投标预备和进行的全过程中提供的资料均真实、有效，不弄虚作假。</w:t>
      </w:r>
    </w:p>
    <w:p>
      <w:pPr>
        <w:tabs>
          <w:tab w:val="left" w:pos="8820"/>
        </w:tabs>
        <w:spacing w:line="380" w:lineRule="exact"/>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8、我方已详细审核全部招标文件，包括修改文件(如果有的话)，及有关附件，我方同意放弃提出含糊不清或误解的权力。 </w:t>
      </w:r>
    </w:p>
    <w:p>
      <w:pPr>
        <w:tabs>
          <w:tab w:val="left" w:pos="8820"/>
        </w:tabs>
        <w:spacing w:line="380" w:lineRule="exact"/>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9、我方同意所递交的投标文件在招标期内有效，在此期间内我方有可能中标，我方将受此约束。</w:t>
      </w:r>
    </w:p>
    <w:p>
      <w:pPr>
        <w:tabs>
          <w:tab w:val="left" w:pos="8820"/>
        </w:tabs>
        <w:spacing w:line="380" w:lineRule="exact"/>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10、我方相信贵方的招标结果是公正、合法的，无论我方</w:t>
      </w:r>
      <w:r>
        <w:rPr>
          <w:rFonts w:ascii="Times New Roman" w:hAnsi="Times New Roman" w:eastAsia="宋体" w:cs="Times New Roman"/>
          <w:color w:val="auto"/>
          <w:szCs w:val="21"/>
          <w:highlight w:val="none"/>
        </w:rPr>
        <w:t>中标</w:t>
      </w:r>
      <w:r>
        <w:rPr>
          <w:rFonts w:ascii="Times New Roman" w:hAnsi="Times New Roman" w:eastAsia="宋体" w:cs="Times New Roman"/>
          <w:color w:val="auto"/>
          <w:highlight w:val="none"/>
        </w:rPr>
        <w:t>还是落标，我方将接受这一结果。 </w:t>
      </w:r>
    </w:p>
    <w:p>
      <w:pPr>
        <w:tabs>
          <w:tab w:val="left" w:pos="8820"/>
        </w:tabs>
        <w:spacing w:line="380" w:lineRule="exact"/>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11、一旦我方</w:t>
      </w:r>
      <w:r>
        <w:rPr>
          <w:rFonts w:ascii="Times New Roman" w:hAnsi="Times New Roman" w:eastAsia="宋体" w:cs="Times New Roman"/>
          <w:color w:val="auto"/>
          <w:szCs w:val="21"/>
          <w:highlight w:val="none"/>
        </w:rPr>
        <w:t>中标</w:t>
      </w:r>
      <w:r>
        <w:rPr>
          <w:rFonts w:ascii="Times New Roman" w:hAnsi="Times New Roman" w:eastAsia="宋体" w:cs="Times New Roman"/>
          <w:color w:val="auto"/>
          <w:highlight w:val="none"/>
        </w:rPr>
        <w:t>，我方将严格依照招标文件中的相关规定与招标方签订合同。</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12、不低于企业成本价投标，不恶意过高报价，不扰乱招投标的正常秩序。</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13、严格遵守开标会议纪律，不在开标会场吵闹、滋事，服从工作人员指挥。</w:t>
      </w:r>
    </w:p>
    <w:p>
      <w:pPr>
        <w:spacing w:line="380" w:lineRule="exact"/>
        <w:ind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380"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380" w:lineRule="exact"/>
        <w:rPr>
          <w:rFonts w:ascii="Times New Roman" w:hAnsi="Times New Roman" w:eastAsia="宋体" w:cs="Times New Roman"/>
          <w:color w:val="auto"/>
          <w:szCs w:val="21"/>
          <w:highlight w:val="none"/>
        </w:rPr>
      </w:pPr>
    </w:p>
    <w:p>
      <w:pPr>
        <w:pStyle w:val="29"/>
        <w:spacing w:line="380" w:lineRule="exact"/>
        <w:ind w:left="480" w:hanging="480" w:hanging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rPr>
        <w:t>电子签章</w:t>
      </w:r>
      <w:r>
        <w:rPr>
          <w:rFonts w:ascii="Times New Roman" w:hAnsi="Times New Roman" w:eastAsia="宋体" w:cs="Times New Roman"/>
          <w:color w:val="auto"/>
          <w:szCs w:val="21"/>
          <w:highlight w:val="none"/>
        </w:rPr>
        <w:t>）：      年  月   日</w:t>
      </w:r>
    </w:p>
    <w:p>
      <w:pPr>
        <w:rPr>
          <w:rFonts w:ascii="Times New Roman" w:hAnsi="Times New Roman" w:eastAsia="宋体" w:cs="Times New Roman"/>
          <w:b/>
          <w:bCs/>
          <w:color w:val="auto"/>
          <w:sz w:val="36"/>
          <w:szCs w:val="36"/>
          <w:highlight w:val="none"/>
        </w:rPr>
      </w:pPr>
      <w:r>
        <w:rPr>
          <w:rFonts w:ascii="Times New Roman" w:hAnsi="Times New Roman" w:eastAsia="宋体" w:cs="Times New Roman"/>
          <w:b/>
          <w:bCs/>
          <w:color w:val="auto"/>
          <w:sz w:val="36"/>
          <w:szCs w:val="36"/>
          <w:highlight w:val="none"/>
        </w:rPr>
        <w:br w:type="page"/>
      </w:r>
    </w:p>
    <w:p>
      <w:pPr>
        <w:pStyle w:val="11"/>
        <w:spacing w:line="360" w:lineRule="auto"/>
        <w:ind w:firstLine="3253" w:firstLineChars="900"/>
        <w:rPr>
          <w:rFonts w:ascii="Times New Roman" w:hAnsi="Times New Roman" w:cs="Times New Roman"/>
          <w:b/>
          <w:bCs/>
          <w:color w:val="auto"/>
          <w:sz w:val="36"/>
          <w:szCs w:val="36"/>
          <w:highlight w:val="none"/>
        </w:rPr>
      </w:pPr>
      <w:r>
        <w:rPr>
          <w:rFonts w:ascii="Times New Roman" w:hAnsi="Times New Roman" w:cs="Times New Roman"/>
          <w:b/>
          <w:bCs/>
          <w:color w:val="auto"/>
          <w:sz w:val="36"/>
          <w:szCs w:val="36"/>
          <w:highlight w:val="none"/>
        </w:rPr>
        <w:t>投标函（格式）</w:t>
      </w:r>
    </w:p>
    <w:p>
      <w:pPr>
        <w:pStyle w:val="11"/>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致：</w:t>
      </w:r>
    </w:p>
    <w:p>
      <w:pPr>
        <w:pStyle w:val="11"/>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_________________________（投标人全称）授权_________________（全名、职务）为全权代表参加贵方组织的_________________________项目（采购项目名称、采购编号）的招标、投标等有关活动，为此提交下述文件：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1、资格响应文件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2、商务技术响应文件；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3、报价响应文件；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4、其他：</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w:t>
      </w:r>
      <w:r>
        <w:rPr>
          <w:rFonts w:ascii="Times New Roman" w:hAnsi="Times New Roman" w:eastAsia="宋体" w:cs="Times New Roman"/>
          <w:color w:val="auto"/>
          <w:sz w:val="24"/>
          <w:highlight w:val="none"/>
        </w:rPr>
        <w:t>、据此函，</w:t>
      </w:r>
      <w:r>
        <w:rPr>
          <w:rFonts w:hint="eastAsia" w:ascii="Times New Roman" w:hAnsi="Times New Roman" w:eastAsia="宋体" w:cs="Times New Roman"/>
          <w:color w:val="auto"/>
          <w:sz w:val="24"/>
          <w:highlight w:val="none"/>
        </w:rPr>
        <w:t>我公司</w:t>
      </w:r>
      <w:r>
        <w:rPr>
          <w:rFonts w:ascii="Times New Roman" w:hAnsi="Times New Roman" w:eastAsia="宋体" w:cs="Times New Roman"/>
          <w:color w:val="auto"/>
          <w:sz w:val="24"/>
          <w:highlight w:val="none"/>
        </w:rPr>
        <w:t>宣布同意如下：</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ascii="Times New Roman" w:hAnsi="Times New Roman" w:eastAsia="宋体" w:cs="Times New Roman"/>
          <w:color w:val="auto"/>
          <w:spacing w:val="12"/>
          <w:sz w:val="24"/>
          <w:highlight w:val="none"/>
        </w:rPr>
        <w:t>所附投标报价表中规定的应提供和支付的货物和服务投标总价为（人民币）</w:t>
      </w:r>
      <w:r>
        <w:rPr>
          <w:rFonts w:ascii="Times New Roman" w:hAnsi="Times New Roman" w:eastAsia="宋体" w:cs="Times New Roman"/>
          <w:color w:val="auto"/>
          <w:sz w:val="24"/>
          <w:highlight w:val="none"/>
        </w:rPr>
        <w:t>_______，即 ______________________________________（大写）。</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2）投标人已详细审查全部招标文件，我们完全理解并同意放弃对这方面有不明及误解的权利。</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3）投标人将按招标文件规定履行合同责任和义务。</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4）其投标自开标之日起有效期</w:t>
      </w:r>
      <w:r>
        <w:rPr>
          <w:rFonts w:ascii="Times New Roman" w:hAnsi="Times New Roman" w:eastAsia="宋体" w:cs="Times New Roman"/>
          <w:color w:val="auto"/>
          <w:sz w:val="24"/>
          <w:highlight w:val="none"/>
          <w:u w:val="single"/>
        </w:rPr>
        <w:t>____</w:t>
      </w:r>
      <w:r>
        <w:rPr>
          <w:rFonts w:ascii="Times New Roman" w:hAnsi="Times New Roman" w:eastAsia="宋体" w:cs="Times New Roman"/>
          <w:color w:val="auto"/>
          <w:sz w:val="24"/>
          <w:highlight w:val="none"/>
        </w:rPr>
        <w:t>个日历天。</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5）如果在规定的开标时间后，投标人在投标有效期内撤回投标，将按失信行为上报信用办。</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7）与本投标有关的一切正式往来通讯请寄：</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地址：______________________邮编：______________________  </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电话：______________________传真：______________________ </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投标方名称：__________________________ （</w:t>
      </w:r>
      <w:r>
        <w:rPr>
          <w:rFonts w:hint="eastAsia" w:ascii="Times New Roman" w:hAnsi="Times New Roman" w:eastAsia="宋体" w:cs="Times New Roman"/>
          <w:color w:val="auto"/>
          <w:sz w:val="24"/>
          <w:highlight w:val="none"/>
        </w:rPr>
        <w:t>电子签章</w:t>
      </w:r>
      <w:r>
        <w:rPr>
          <w:rFonts w:ascii="Times New Roman" w:hAnsi="Times New Roman" w:eastAsia="宋体" w:cs="Times New Roman"/>
          <w:color w:val="auto"/>
          <w:sz w:val="24"/>
          <w:highlight w:val="none"/>
        </w:rPr>
        <w:t>）</w:t>
      </w:r>
    </w:p>
    <w:p>
      <w:pPr>
        <w:spacing w:line="360" w:lineRule="auto"/>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投标日期： _______年____月____日</w:t>
      </w:r>
    </w:p>
    <w:p>
      <w:pPr>
        <w:spacing w:line="600" w:lineRule="exact"/>
        <w:jc w:val="center"/>
        <w:rPr>
          <w:rFonts w:ascii="Times New Roman" w:hAnsi="Times New Roman" w:eastAsia="宋体" w:cs="Times New Roman"/>
          <w:b/>
          <w:color w:val="auto"/>
          <w:sz w:val="36"/>
          <w:szCs w:val="36"/>
          <w:highlight w:val="none"/>
        </w:rPr>
      </w:pPr>
    </w:p>
    <w:p>
      <w:pPr>
        <w:rPr>
          <w:rFonts w:ascii="Times New Roman" w:hAnsi="Times New Roman" w:eastAsia="宋体" w:cs="Times New Roman"/>
          <w:b/>
          <w:color w:val="auto"/>
          <w:sz w:val="36"/>
          <w:szCs w:val="36"/>
          <w:highlight w:val="none"/>
        </w:rPr>
      </w:pPr>
      <w:r>
        <w:rPr>
          <w:rFonts w:ascii="Times New Roman" w:hAnsi="Times New Roman" w:eastAsia="宋体" w:cs="Times New Roman"/>
          <w:b/>
          <w:color w:val="auto"/>
          <w:sz w:val="36"/>
          <w:szCs w:val="36"/>
          <w:highlight w:val="none"/>
        </w:rPr>
        <w:br w:type="page"/>
      </w:r>
    </w:p>
    <w:p>
      <w:pPr>
        <w:spacing w:line="60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36"/>
          <w:szCs w:val="36"/>
          <w:highlight w:val="none"/>
        </w:rPr>
        <w:t>开标</w:t>
      </w:r>
      <w:r>
        <w:rPr>
          <w:rFonts w:ascii="Times New Roman" w:hAnsi="Times New Roman" w:eastAsia="宋体" w:cs="Times New Roman"/>
          <w:b/>
          <w:bCs/>
          <w:color w:val="auto"/>
          <w:sz w:val="36"/>
          <w:highlight w:val="none"/>
        </w:rPr>
        <w:t>一览表</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投标人名称（</w:t>
      </w:r>
      <w:r>
        <w:rPr>
          <w:rFonts w:hint="eastAsia" w:ascii="Times New Roman" w:hAnsi="Times New Roman" w:eastAsia="宋体" w:cs="Times New Roman"/>
          <w:color w:val="auto"/>
          <w:sz w:val="24"/>
          <w:highlight w:val="none"/>
        </w:rPr>
        <w:t>电子签章</w:t>
      </w:r>
      <w:r>
        <w:rPr>
          <w:rFonts w:ascii="Times New Roman" w:hAnsi="Times New Roman" w:eastAsia="宋体" w:cs="Times New Roman"/>
          <w:color w:val="auto"/>
          <w:sz w:val="24"/>
          <w:highlight w:val="none"/>
        </w:rPr>
        <w:t>）：</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采购编号：</w:t>
      </w:r>
    </w:p>
    <w:p>
      <w:pPr>
        <w:rPr>
          <w:rFonts w:ascii="Times New Roman" w:hAnsi="Times New Roman" w:eastAsia="宋体" w:cs="Times New Roman"/>
          <w:color w:val="auto"/>
          <w:sz w:val="24"/>
          <w:highlight w:val="none"/>
          <w:u w:val="single"/>
        </w:rPr>
      </w:pPr>
    </w:p>
    <w:tbl>
      <w:tblPr>
        <w:tblStyle w:val="2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2"/>
        <w:gridCol w:w="659"/>
        <w:gridCol w:w="1481"/>
        <w:gridCol w:w="1316"/>
        <w:gridCol w:w="155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2331" w:type="dxa"/>
            <w:gridSpan w:val="2"/>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名称</w:t>
            </w:r>
          </w:p>
        </w:tc>
        <w:tc>
          <w:tcPr>
            <w:tcW w:w="1481"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品牌</w:t>
            </w:r>
          </w:p>
        </w:tc>
        <w:tc>
          <w:tcPr>
            <w:tcW w:w="1316"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数量</w:t>
            </w:r>
          </w:p>
        </w:tc>
        <w:tc>
          <w:tcPr>
            <w:tcW w:w="1555"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单价（元）</w:t>
            </w:r>
          </w:p>
        </w:tc>
        <w:tc>
          <w:tcPr>
            <w:tcW w:w="1627"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Align w:val="center"/>
          </w:tcPr>
          <w:p>
            <w:pPr>
              <w:jc w:val="center"/>
              <w:rPr>
                <w:rFonts w:ascii="Times New Roman" w:hAnsi="Times New Roman" w:eastAsia="宋体" w:cs="Times New Roman"/>
                <w:color w:val="auto"/>
                <w:sz w:val="24"/>
                <w:highlight w:val="none"/>
              </w:rPr>
            </w:pPr>
          </w:p>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w:t>
            </w:r>
          </w:p>
        </w:tc>
        <w:tc>
          <w:tcPr>
            <w:tcW w:w="2331" w:type="dxa"/>
            <w:gridSpan w:val="2"/>
            <w:vAlign w:val="center"/>
          </w:tcPr>
          <w:p>
            <w:pPr>
              <w:jc w:val="center"/>
              <w:rPr>
                <w:rFonts w:ascii="Times New Roman" w:hAnsi="Times New Roman" w:eastAsia="宋体" w:cs="Times New Roman"/>
                <w:color w:val="auto"/>
                <w:sz w:val="24"/>
                <w:highlight w:val="none"/>
              </w:rPr>
            </w:pPr>
          </w:p>
        </w:tc>
        <w:tc>
          <w:tcPr>
            <w:tcW w:w="1481" w:type="dxa"/>
            <w:vAlign w:val="center"/>
          </w:tcPr>
          <w:p>
            <w:pPr>
              <w:jc w:val="center"/>
              <w:rPr>
                <w:rFonts w:ascii="Times New Roman" w:hAnsi="Times New Roman" w:eastAsia="宋体" w:cs="Times New Roman"/>
                <w:color w:val="auto"/>
                <w:sz w:val="24"/>
                <w:highlight w:val="none"/>
              </w:rPr>
            </w:pPr>
          </w:p>
        </w:tc>
        <w:tc>
          <w:tcPr>
            <w:tcW w:w="1316" w:type="dxa"/>
            <w:vAlign w:val="center"/>
          </w:tcPr>
          <w:p>
            <w:pPr>
              <w:jc w:val="center"/>
              <w:rPr>
                <w:rFonts w:ascii="Times New Roman" w:hAnsi="Times New Roman" w:eastAsia="宋体" w:cs="Times New Roman"/>
                <w:color w:val="auto"/>
                <w:sz w:val="24"/>
                <w:highlight w:val="none"/>
              </w:rPr>
            </w:pPr>
          </w:p>
        </w:tc>
        <w:tc>
          <w:tcPr>
            <w:tcW w:w="1555" w:type="dxa"/>
            <w:vAlign w:val="center"/>
          </w:tcPr>
          <w:p>
            <w:pPr>
              <w:jc w:val="center"/>
              <w:rPr>
                <w:rFonts w:ascii="Times New Roman" w:hAnsi="Times New Roman" w:eastAsia="宋体" w:cs="Times New Roman"/>
                <w:color w:val="auto"/>
                <w:sz w:val="24"/>
                <w:highlight w:val="none"/>
              </w:rPr>
            </w:pPr>
          </w:p>
        </w:tc>
        <w:tc>
          <w:tcPr>
            <w:tcW w:w="1627" w:type="dxa"/>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730" w:type="dxa"/>
          </w:tcPr>
          <w:p>
            <w:pPr>
              <w:jc w:val="center"/>
              <w:rPr>
                <w:rFonts w:ascii="Times New Roman" w:hAnsi="Times New Roman" w:eastAsia="宋体" w:cs="Times New Roman"/>
                <w:color w:val="auto"/>
                <w:sz w:val="24"/>
                <w:highlight w:val="none"/>
              </w:rPr>
            </w:pPr>
          </w:p>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w:t>
            </w:r>
          </w:p>
        </w:tc>
        <w:tc>
          <w:tcPr>
            <w:tcW w:w="1672" w:type="dxa"/>
            <w:vAlign w:val="center"/>
          </w:tcPr>
          <w:p>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合计</w:t>
            </w:r>
          </w:p>
        </w:tc>
        <w:tc>
          <w:tcPr>
            <w:tcW w:w="6638" w:type="dxa"/>
            <w:gridSpan w:val="5"/>
          </w:tcPr>
          <w:p>
            <w:pPr>
              <w:rPr>
                <w:rFonts w:ascii="Times New Roman" w:hAnsi="Times New Roman" w:eastAsia="宋体" w:cs="Times New Roman"/>
                <w:color w:val="auto"/>
                <w:sz w:val="24"/>
                <w:highlight w:val="none"/>
              </w:rPr>
            </w:pPr>
          </w:p>
          <w:p>
            <w:pPr>
              <w:spacing w:line="600" w:lineRule="exact"/>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大写：</w:t>
            </w:r>
            <w:r>
              <w:rPr>
                <w:rFonts w:ascii="Times New Roman" w:hAnsi="Times New Roman" w:eastAsia="宋体" w:cs="Times New Roman"/>
                <w:color w:val="auto"/>
                <w:sz w:val="24"/>
                <w:highlight w:val="none"/>
                <w:u w:val="single"/>
              </w:rPr>
              <w:t xml:space="preserve">                            。</w:t>
            </w:r>
          </w:p>
          <w:p>
            <w:pPr>
              <w:spacing w:line="600" w:lineRule="exact"/>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（小写：</w:t>
            </w:r>
            <w:r>
              <w:rPr>
                <w:rFonts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rPr>
              <w:t>）</w:t>
            </w:r>
          </w:p>
          <w:p>
            <w:pP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730"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w:t>
            </w:r>
          </w:p>
        </w:tc>
        <w:tc>
          <w:tcPr>
            <w:tcW w:w="1672" w:type="dxa"/>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企业成本价</w:t>
            </w:r>
          </w:p>
        </w:tc>
        <w:tc>
          <w:tcPr>
            <w:tcW w:w="6638" w:type="dxa"/>
            <w:gridSpan w:val="5"/>
            <w:vAlign w:val="center"/>
          </w:tcPr>
          <w:p>
            <w:pPr>
              <w:spacing w:line="600" w:lineRule="exact"/>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大写：</w:t>
            </w:r>
            <w:r>
              <w:rPr>
                <w:rFonts w:ascii="Times New Roman" w:hAnsi="Times New Roman" w:eastAsia="宋体" w:cs="Times New Roman"/>
                <w:color w:val="auto"/>
                <w:sz w:val="24"/>
                <w:highlight w:val="none"/>
                <w:u w:val="single"/>
              </w:rPr>
              <w:t xml:space="preserve">                            。</w:t>
            </w:r>
          </w:p>
          <w:p>
            <w:pPr>
              <w:spacing w:line="600" w:lineRule="exact"/>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rPr>
              <w:t>（小写：</w:t>
            </w:r>
            <w:r>
              <w:rPr>
                <w:rFonts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rPr>
              <w:t>）</w:t>
            </w:r>
          </w:p>
          <w:p>
            <w:pPr>
              <w:jc w:val="center"/>
              <w:rPr>
                <w:rFonts w:ascii="Times New Roman" w:hAnsi="Times New Roman" w:eastAsia="宋体" w:cs="Times New Roman"/>
                <w:color w:val="auto"/>
                <w:sz w:val="24"/>
                <w:highlight w:val="none"/>
              </w:rPr>
            </w:pPr>
          </w:p>
        </w:tc>
      </w:tr>
    </w:tbl>
    <w:p>
      <w:pPr>
        <w:rPr>
          <w:rFonts w:ascii="Times New Roman" w:hAnsi="Times New Roman" w:eastAsia="宋体" w:cs="Times New Roman"/>
          <w:color w:val="auto"/>
          <w:sz w:val="24"/>
          <w:highlight w:val="none"/>
        </w:rPr>
      </w:pPr>
    </w:p>
    <w:p>
      <w:pPr>
        <w:spacing w:line="400" w:lineRule="exact"/>
        <w:ind w:left="480" w:hanging="480" w:hangingChars="200"/>
        <w:rPr>
          <w:rFonts w:ascii="Times New Roman" w:hAnsi="Times New Roman" w:eastAsia="宋体" w:cs="Times New Roman"/>
          <w:color w:val="auto"/>
          <w:sz w:val="24"/>
          <w:highlight w:val="none"/>
        </w:rPr>
      </w:pPr>
    </w:p>
    <w:p>
      <w:pPr>
        <w:spacing w:line="400" w:lineRule="exact"/>
        <w:ind w:left="480" w:hanging="480" w:hanging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注：</w:t>
      </w:r>
    </w:p>
    <w:p>
      <w:pPr>
        <w:pStyle w:val="11"/>
        <w:spacing w:line="360" w:lineRule="auto"/>
        <w:rPr>
          <w:rFonts w:ascii="Times New Roman" w:hAnsi="Times New Roman" w:cs="Times New Roman"/>
          <w:b/>
          <w:color w:val="auto"/>
          <w:sz w:val="24"/>
          <w:highlight w:val="none"/>
        </w:rPr>
      </w:pPr>
      <w:r>
        <w:rPr>
          <w:rFonts w:ascii="Times New Roman" w:hAnsi="Times New Roman" w:cs="Times New Roman"/>
          <w:color w:val="auto"/>
          <w:sz w:val="24"/>
          <w:highlight w:val="none"/>
        </w:rPr>
        <w:t>1、投标人应根据国家的有关规定和</w:t>
      </w:r>
      <w:r>
        <w:rPr>
          <w:rFonts w:ascii="Times New Roman" w:hAnsi="Times New Roman" w:cs="Times New Roman"/>
          <w:b/>
          <w:color w:val="auto"/>
          <w:sz w:val="24"/>
          <w:highlight w:val="none"/>
          <w:shd w:val="pct10" w:color="auto" w:fill="FFFFFF"/>
        </w:rPr>
        <w:t>实际情况</w:t>
      </w:r>
      <w:r>
        <w:rPr>
          <w:rFonts w:ascii="Times New Roman" w:hAnsi="Times New Roman" w:cs="Times New Roman"/>
          <w:color w:val="auto"/>
          <w:sz w:val="24"/>
          <w:highlight w:val="none"/>
        </w:rPr>
        <w:t>并结合企业的实际情况进行投标报价。</w:t>
      </w:r>
      <w:r>
        <w:rPr>
          <w:rFonts w:ascii="Times New Roman" w:hAnsi="Times New Roman" w:cs="Times New Roman"/>
          <w:b/>
          <w:color w:val="auto"/>
          <w:sz w:val="24"/>
          <w:highlight w:val="none"/>
        </w:rPr>
        <w:t>投标报价为投标人所能承受的最低、最终一次性报价。</w:t>
      </w:r>
    </w:p>
    <w:p>
      <w:pPr>
        <w:pStyle w:val="11"/>
        <w:spacing w:line="360" w:lineRule="auto"/>
        <w:rPr>
          <w:rFonts w:ascii="Times New Roman" w:hAnsi="Times New Roman" w:cs="Times New Roman"/>
          <w:b/>
          <w:color w:val="auto"/>
          <w:sz w:val="24"/>
          <w:highlight w:val="none"/>
        </w:rPr>
      </w:pPr>
      <w:r>
        <w:rPr>
          <w:rFonts w:ascii="Times New Roman" w:hAnsi="Times New Roman" w:cs="Times New Roman"/>
          <w:b/>
          <w:color w:val="auto"/>
          <w:sz w:val="24"/>
          <w:highlight w:val="none"/>
        </w:rPr>
        <w:t>2、投标报价低于自报成本价的，投标将被拒绝。</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3、未填报企业成本价者，将作无效投标文件处理。</w:t>
      </w:r>
    </w:p>
    <w:p>
      <w:pPr>
        <w:pStyle w:val="11"/>
        <w:spacing w:line="360" w:lineRule="auto"/>
        <w:ind w:left="240" w:hanging="240" w:hangingChars="1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、此表在不改变表式内容的情况下，可自行制作。</w:t>
      </w: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br w:type="page"/>
      </w:r>
    </w:p>
    <w:p>
      <w:pPr>
        <w:spacing w:line="300" w:lineRule="auto"/>
        <w:jc w:val="center"/>
        <w:rPr>
          <w:rFonts w:ascii="Times New Roman" w:hAnsi="Times New Roman" w:eastAsia="宋体" w:cs="Times New Roman"/>
          <w:b/>
          <w:bCs/>
          <w:color w:val="auto"/>
          <w:sz w:val="36"/>
          <w:szCs w:val="36"/>
          <w:highlight w:val="none"/>
        </w:rPr>
      </w:pPr>
      <w:r>
        <w:rPr>
          <w:rFonts w:ascii="Times New Roman" w:hAnsi="Times New Roman" w:cs="Times New Roman"/>
          <w:b/>
          <w:bCs/>
          <w:color w:val="auto"/>
          <w:sz w:val="36"/>
          <w:szCs w:val="36"/>
          <w:highlight w:val="none"/>
        </w:rPr>
        <w:t>中小企业声明函</w:t>
      </w:r>
    </w:p>
    <w:p>
      <w:pPr>
        <w:pStyle w:val="28"/>
        <w:ind w:firstLine="723"/>
        <w:rPr>
          <w:rFonts w:ascii="Times New Roman" w:hAnsi="Times New Roman" w:cs="Times New Roman"/>
          <w:b/>
          <w:bCs/>
          <w:color w:val="auto"/>
          <w:sz w:val="36"/>
          <w:szCs w:val="36"/>
          <w:highlight w:val="none"/>
        </w:rPr>
      </w:pPr>
    </w:p>
    <w:p>
      <w:pPr>
        <w:widowControl/>
        <w:spacing w:line="360" w:lineRule="auto"/>
        <w:ind w:firstLine="480" w:firstLineChars="200"/>
        <w:jc w:val="left"/>
        <w:rPr>
          <w:rFonts w:ascii="Times New Roman" w:hAnsi="Times New Roman" w:eastAsia="新宋体" w:cs="Times New Roman"/>
          <w:color w:val="auto"/>
          <w:sz w:val="24"/>
          <w:highlight w:val="none"/>
        </w:rPr>
      </w:pPr>
      <w:r>
        <w:rPr>
          <w:rFonts w:ascii="Times New Roman" w:hAnsi="Times New Roman" w:eastAsia="新宋体" w:cs="Times New Roman"/>
          <w:color w:val="auto"/>
          <w:kern w:val="0"/>
          <w:sz w:val="24"/>
          <w:highlight w:val="none"/>
          <w:lang w:bidi="ar"/>
        </w:rPr>
        <w:t>本公司</w:t>
      </w:r>
      <w:r>
        <w:rPr>
          <w:rFonts w:hint="eastAsia" w:ascii="Times New Roman" w:hAnsi="Times New Roman" w:eastAsia="新宋体" w:cs="Times New Roman"/>
          <w:color w:val="auto"/>
          <w:kern w:val="0"/>
          <w:sz w:val="24"/>
          <w:highlight w:val="none"/>
          <w:lang w:bidi="ar"/>
        </w:rPr>
        <w:t>（联合体）</w:t>
      </w:r>
      <w:r>
        <w:rPr>
          <w:rFonts w:ascii="Times New Roman" w:hAnsi="Times New Roman" w:eastAsia="新宋体" w:cs="Times New Roman"/>
          <w:color w:val="auto"/>
          <w:kern w:val="0"/>
          <w:sz w:val="24"/>
          <w:highlight w:val="none"/>
          <w:lang w:bidi="ar"/>
        </w:rPr>
        <w:t>郑重声明，根据《政府采购促进中小企业发展管理办法》（财库﹝2020﹞46 号）的规定，本公司</w:t>
      </w:r>
      <w:r>
        <w:rPr>
          <w:rFonts w:hint="eastAsia" w:ascii="Times New Roman" w:hAnsi="Times New Roman" w:eastAsia="新宋体" w:cs="Times New Roman"/>
          <w:color w:val="auto"/>
          <w:kern w:val="0"/>
          <w:sz w:val="24"/>
          <w:highlight w:val="none"/>
          <w:lang w:bidi="ar"/>
        </w:rPr>
        <w:t>（联合体）</w:t>
      </w:r>
      <w:r>
        <w:rPr>
          <w:rFonts w:ascii="Times New Roman" w:hAnsi="Times New Roman" w:eastAsia="新宋体" w:cs="Times New Roman"/>
          <w:color w:val="auto"/>
          <w:kern w:val="0"/>
          <w:sz w:val="24"/>
          <w:highlight w:val="none"/>
          <w:lang w:bidi="ar"/>
        </w:rPr>
        <w:t>参加</w:t>
      </w:r>
      <w:r>
        <w:rPr>
          <w:rFonts w:ascii="Times New Roman" w:hAnsi="Times New Roman" w:eastAsia="新宋体" w:cs="Times New Roman"/>
          <w:i/>
          <w:color w:val="auto"/>
          <w:kern w:val="0"/>
          <w:sz w:val="24"/>
          <w:highlight w:val="none"/>
          <w:u w:val="single"/>
          <w:lang w:bidi="ar"/>
        </w:rPr>
        <w:t>（单位名称）</w:t>
      </w:r>
      <w:r>
        <w:rPr>
          <w:rFonts w:ascii="Times New Roman" w:hAnsi="Times New Roman" w:eastAsia="新宋体" w:cs="Times New Roman"/>
          <w:color w:val="auto"/>
          <w:kern w:val="0"/>
          <w:sz w:val="24"/>
          <w:highlight w:val="none"/>
          <w:lang w:bidi="ar"/>
        </w:rPr>
        <w:t>的</w:t>
      </w:r>
      <w:r>
        <w:rPr>
          <w:rFonts w:ascii="Times New Roman" w:hAnsi="Times New Roman" w:eastAsia="新宋体" w:cs="Times New Roman"/>
          <w:i/>
          <w:color w:val="auto"/>
          <w:kern w:val="0"/>
          <w:sz w:val="24"/>
          <w:highlight w:val="none"/>
          <w:u w:val="single"/>
          <w:lang w:bidi="ar"/>
        </w:rPr>
        <w:t>（项目名称）</w:t>
      </w:r>
      <w:r>
        <w:rPr>
          <w:rFonts w:ascii="Times New Roman" w:hAnsi="Times New Roman" w:eastAsia="新宋体" w:cs="Times New Roman"/>
          <w:color w:val="auto"/>
          <w:kern w:val="0"/>
          <w:sz w:val="24"/>
          <w:highlight w:val="none"/>
          <w:lang w:bidi="ar"/>
        </w:rPr>
        <w:t>采购活动，</w:t>
      </w:r>
      <w:r>
        <w:rPr>
          <w:rFonts w:hint="eastAsia" w:ascii="Times New Roman" w:hAnsi="Times New Roman" w:eastAsia="新宋体" w:cs="Times New Roman"/>
          <w:color w:val="auto"/>
          <w:kern w:val="0"/>
          <w:sz w:val="24"/>
          <w:highlight w:val="none"/>
          <w:lang w:bidi="ar"/>
        </w:rPr>
        <w:t>提供的货物全部由符合政策要求的中小企业制造</w:t>
      </w:r>
      <w:r>
        <w:rPr>
          <w:rFonts w:ascii="Times New Roman" w:hAnsi="Times New Roman" w:eastAsia="新宋体" w:cs="Times New Roman"/>
          <w:color w:val="auto"/>
          <w:kern w:val="0"/>
          <w:sz w:val="24"/>
          <w:highlight w:val="none"/>
          <w:lang w:bidi="ar"/>
        </w:rPr>
        <w:t>。相关企业</w:t>
      </w:r>
      <w:r>
        <w:rPr>
          <w:rFonts w:hint="eastAsia" w:ascii="Times New Roman" w:hAnsi="Times New Roman" w:eastAsia="新宋体" w:cs="Times New Roman"/>
          <w:color w:val="auto"/>
          <w:kern w:val="0"/>
          <w:sz w:val="24"/>
          <w:highlight w:val="none"/>
          <w:lang w:bidi="ar"/>
        </w:rPr>
        <w:t>（含联合体中的中小企业、签订分包意向协议的中小企业）</w:t>
      </w:r>
      <w:r>
        <w:rPr>
          <w:rFonts w:ascii="Times New Roman" w:hAnsi="Times New Roman" w:eastAsia="新宋体" w:cs="Times New Roman"/>
          <w:color w:val="auto"/>
          <w:kern w:val="0"/>
          <w:sz w:val="24"/>
          <w:highlight w:val="none"/>
          <w:lang w:bidi="ar"/>
        </w:rPr>
        <w:t xml:space="preserve">的具体情况如下： </w:t>
      </w:r>
    </w:p>
    <w:p>
      <w:pPr>
        <w:widowControl/>
        <w:spacing w:line="360" w:lineRule="auto"/>
        <w:ind w:firstLine="480" w:firstLineChars="200"/>
        <w:jc w:val="left"/>
        <w:rPr>
          <w:rFonts w:ascii="Times New Roman" w:hAnsi="Times New Roman" w:eastAsia="新宋体" w:cs="Times New Roman"/>
          <w:color w:val="auto"/>
          <w:kern w:val="0"/>
          <w:sz w:val="24"/>
          <w:highlight w:val="none"/>
          <w:lang w:bidi="ar"/>
        </w:rPr>
      </w:pPr>
      <w:r>
        <w:rPr>
          <w:rFonts w:eastAsia="新宋体"/>
          <w:i/>
          <w:color w:val="auto"/>
          <w:kern w:val="0"/>
          <w:sz w:val="24"/>
          <w:highlight w:val="none"/>
          <w:u w:val="single"/>
          <w:lang w:bidi="ar"/>
        </w:rPr>
        <w:t xml:space="preserve">（标的名称） </w:t>
      </w:r>
      <w:r>
        <w:rPr>
          <w:rFonts w:eastAsia="新宋体"/>
          <w:color w:val="auto"/>
          <w:kern w:val="0"/>
          <w:sz w:val="24"/>
          <w:highlight w:val="none"/>
          <w:lang w:bidi="ar"/>
        </w:rPr>
        <w:t>，属于</w:t>
      </w:r>
      <w:r>
        <w:rPr>
          <w:rFonts w:eastAsia="新宋体"/>
          <w:i/>
          <w:color w:val="auto"/>
          <w:kern w:val="0"/>
          <w:sz w:val="24"/>
          <w:highlight w:val="none"/>
          <w:u w:val="single"/>
          <w:lang w:bidi="ar"/>
        </w:rPr>
        <w:t>（采购文件中明确的所属行业）</w:t>
      </w:r>
      <w:r>
        <w:rPr>
          <w:rFonts w:eastAsia="新宋体"/>
          <w:i/>
          <w:color w:val="auto"/>
          <w:kern w:val="0"/>
          <w:sz w:val="24"/>
          <w:highlight w:val="none"/>
          <w:lang w:bidi="ar"/>
        </w:rPr>
        <w:t>行业</w:t>
      </w:r>
      <w:r>
        <w:rPr>
          <w:rFonts w:eastAsia="新宋体"/>
          <w:color w:val="auto"/>
          <w:kern w:val="0"/>
          <w:sz w:val="24"/>
          <w:highlight w:val="none"/>
          <w:lang w:bidi="ar"/>
        </w:rPr>
        <w:t>；</w:t>
      </w:r>
      <w:r>
        <w:rPr>
          <w:rFonts w:hint="eastAsia" w:eastAsia="新宋体"/>
          <w:color w:val="auto"/>
          <w:kern w:val="0"/>
          <w:sz w:val="24"/>
          <w:highlight w:val="none"/>
          <w:lang w:bidi="ar"/>
        </w:rPr>
        <w:t>制造商</w:t>
      </w:r>
      <w:r>
        <w:rPr>
          <w:rFonts w:eastAsia="新宋体"/>
          <w:color w:val="auto"/>
          <w:kern w:val="0"/>
          <w:sz w:val="24"/>
          <w:highlight w:val="none"/>
          <w:lang w:bidi="ar"/>
        </w:rPr>
        <w:t>为</w:t>
      </w:r>
      <w:r>
        <w:rPr>
          <w:rFonts w:eastAsia="新宋体"/>
          <w:i/>
          <w:color w:val="auto"/>
          <w:kern w:val="0"/>
          <w:sz w:val="24"/>
          <w:highlight w:val="none"/>
          <w:u w:val="single"/>
          <w:lang w:bidi="ar"/>
        </w:rPr>
        <w:t>（企业名称）</w:t>
      </w:r>
      <w:r>
        <w:rPr>
          <w:rFonts w:eastAsia="新宋体"/>
          <w:color w:val="auto"/>
          <w:kern w:val="0"/>
          <w:sz w:val="24"/>
          <w:highlight w:val="none"/>
          <w:lang w:bidi="ar"/>
        </w:rPr>
        <w:t>，从业人员</w:t>
      </w:r>
      <w:r>
        <w:rPr>
          <w:rFonts w:eastAsia="新宋体"/>
          <w:color w:val="auto"/>
          <w:kern w:val="0"/>
          <w:sz w:val="24"/>
          <w:highlight w:val="none"/>
          <w:u w:val="single"/>
          <w:lang w:bidi="ar"/>
        </w:rPr>
        <w:t xml:space="preserve">      </w:t>
      </w:r>
      <w:r>
        <w:rPr>
          <w:rFonts w:eastAsia="新宋体"/>
          <w:color w:val="auto"/>
          <w:kern w:val="0"/>
          <w:sz w:val="24"/>
          <w:highlight w:val="none"/>
          <w:lang w:bidi="ar"/>
        </w:rPr>
        <w:t>人，营业收入为</w:t>
      </w:r>
      <w:r>
        <w:rPr>
          <w:rFonts w:eastAsia="新宋体"/>
          <w:color w:val="auto"/>
          <w:kern w:val="0"/>
          <w:sz w:val="24"/>
          <w:highlight w:val="none"/>
          <w:u w:val="single"/>
          <w:lang w:bidi="ar"/>
        </w:rPr>
        <w:t xml:space="preserve">    </w:t>
      </w:r>
      <w:r>
        <w:rPr>
          <w:rFonts w:eastAsia="新宋体"/>
          <w:color w:val="auto"/>
          <w:kern w:val="0"/>
          <w:sz w:val="24"/>
          <w:highlight w:val="none"/>
          <w:lang w:bidi="ar"/>
        </w:rPr>
        <w:t>万元，资产总额为</w:t>
      </w:r>
      <w:r>
        <w:rPr>
          <w:rFonts w:eastAsia="新宋体"/>
          <w:color w:val="auto"/>
          <w:kern w:val="0"/>
          <w:sz w:val="24"/>
          <w:highlight w:val="none"/>
          <w:u w:val="single"/>
          <w:lang w:bidi="ar"/>
        </w:rPr>
        <w:t xml:space="preserve">    </w:t>
      </w:r>
      <w:r>
        <w:rPr>
          <w:rFonts w:eastAsia="新宋体"/>
          <w:color w:val="auto"/>
          <w:kern w:val="0"/>
          <w:sz w:val="24"/>
          <w:highlight w:val="none"/>
          <w:lang w:bidi="ar"/>
        </w:rPr>
        <w:t>万元，属于</w:t>
      </w:r>
      <w:r>
        <w:rPr>
          <w:rFonts w:eastAsia="新宋体"/>
          <w:i/>
          <w:color w:val="auto"/>
          <w:kern w:val="0"/>
          <w:sz w:val="24"/>
          <w:highlight w:val="none"/>
          <w:u w:val="single"/>
          <w:lang w:bidi="ar"/>
        </w:rPr>
        <w:t>（中型企业、小型企业、微型企业）</w:t>
      </w:r>
      <w:r>
        <w:rPr>
          <w:rFonts w:eastAsia="新宋体"/>
          <w:color w:val="auto"/>
          <w:kern w:val="0"/>
          <w:sz w:val="24"/>
          <w:highlight w:val="none"/>
          <w:lang w:bidi="ar"/>
        </w:rPr>
        <w:t xml:space="preserve">； </w:t>
      </w:r>
    </w:p>
    <w:p>
      <w:pPr>
        <w:widowControl/>
        <w:spacing w:line="360" w:lineRule="auto"/>
        <w:ind w:firstLine="480" w:firstLineChars="200"/>
        <w:jc w:val="left"/>
        <w:rPr>
          <w:rFonts w:ascii="Times New Roman" w:hAnsi="Times New Roman" w:eastAsia="新宋体" w:cs="Times New Roman"/>
          <w:color w:val="auto"/>
          <w:sz w:val="24"/>
          <w:highlight w:val="none"/>
        </w:rPr>
      </w:pPr>
      <w:r>
        <w:rPr>
          <w:rFonts w:ascii="Times New Roman" w:hAnsi="Times New Roman" w:eastAsia="新宋体" w:cs="Times New Roman"/>
          <w:color w:val="auto"/>
          <w:kern w:val="0"/>
          <w:sz w:val="24"/>
          <w:highlight w:val="none"/>
          <w:lang w:bidi="ar"/>
        </w:rPr>
        <w:t>以上企业，不属于大企业的分支机构，不存在控股股东为大企业的情形，也不存在与大企业的负责人为同一人的情形。</w:t>
      </w:r>
    </w:p>
    <w:p>
      <w:pPr>
        <w:spacing w:line="360" w:lineRule="auto"/>
        <w:ind w:firstLine="482" w:firstLineChars="200"/>
        <w:rPr>
          <w:rFonts w:ascii="Times New Roman" w:hAnsi="Times New Roman" w:cs="Times New Roman"/>
          <w:b/>
          <w:bCs/>
          <w:color w:val="auto"/>
          <w:sz w:val="24"/>
          <w:highlight w:val="none"/>
        </w:rPr>
      </w:pPr>
      <w:r>
        <w:rPr>
          <w:rFonts w:ascii="Times New Roman" w:hAnsi="Times New Roman" w:eastAsia="新宋体" w:cs="Times New Roman"/>
          <w:b/>
          <w:bCs/>
          <w:color w:val="auto"/>
          <w:kern w:val="0"/>
          <w:sz w:val="24"/>
          <w:highlight w:val="none"/>
          <w:lang w:bidi="ar"/>
        </w:rPr>
        <w:t>本企业对上述声明内容的真实性负责。如有虚假，将依法承担相应责任。</w:t>
      </w:r>
    </w:p>
    <w:p>
      <w:pPr>
        <w:spacing w:line="360" w:lineRule="auto"/>
        <w:ind w:firstLine="480" w:firstLineChars="200"/>
        <w:rPr>
          <w:rFonts w:ascii="Times New Roman" w:hAnsi="Times New Roman" w:cs="Times New Roman"/>
          <w:color w:val="auto"/>
          <w:sz w:val="24"/>
          <w:highlight w:val="none"/>
        </w:rPr>
      </w:pPr>
    </w:p>
    <w:p>
      <w:pPr>
        <w:spacing w:line="360" w:lineRule="auto"/>
        <w:ind w:firstLine="480" w:firstLineChars="200"/>
        <w:rPr>
          <w:rFonts w:ascii="Times New Roman" w:hAnsi="Times New Roman" w:cs="Times New Roman"/>
          <w:color w:val="auto"/>
          <w:sz w:val="24"/>
          <w:highlight w:val="none"/>
        </w:rPr>
      </w:pPr>
    </w:p>
    <w:p>
      <w:pPr>
        <w:widowControl/>
        <w:spacing w:line="360" w:lineRule="auto"/>
        <w:ind w:left="5626" w:leftChars="2679"/>
        <w:jc w:val="left"/>
        <w:rPr>
          <w:rFonts w:ascii="Times New Roman" w:hAnsi="Times New Roman" w:cs="Times New Roman"/>
          <w:color w:val="auto"/>
          <w:kern w:val="0"/>
          <w:sz w:val="24"/>
          <w:highlight w:val="none"/>
          <w:u w:val="single"/>
        </w:rPr>
      </w:pPr>
      <w:r>
        <w:rPr>
          <w:rFonts w:ascii="Times New Roman" w:hAnsi="Times New Roman" w:cs="Times New Roman"/>
          <w:color w:val="auto"/>
          <w:sz w:val="24"/>
          <w:highlight w:val="none"/>
        </w:rPr>
        <w:t>投标人名称（</w:t>
      </w:r>
      <w:r>
        <w:rPr>
          <w:rFonts w:hint="eastAsia" w:ascii="Times New Roman" w:hAnsi="Times New Roman" w:cs="Times New Roman"/>
          <w:color w:val="auto"/>
          <w:sz w:val="24"/>
          <w:highlight w:val="none"/>
        </w:rPr>
        <w:t>电子签章</w:t>
      </w:r>
      <w:r>
        <w:rPr>
          <w:rFonts w:ascii="Times New Roman" w:hAnsi="Times New Roman" w:cs="Times New Roman"/>
          <w:color w:val="auto"/>
          <w:sz w:val="24"/>
          <w:highlight w:val="none"/>
        </w:rPr>
        <w:t>）</w:t>
      </w:r>
    </w:p>
    <w:p>
      <w:pPr>
        <w:widowControl/>
        <w:spacing w:line="360" w:lineRule="auto"/>
        <w:jc w:val="center"/>
        <w:rPr>
          <w:rFonts w:ascii="Times New Roman" w:hAnsi="Times New Roman" w:cs="Times New Roman"/>
          <w:color w:val="auto"/>
          <w:kern w:val="0"/>
          <w:sz w:val="24"/>
          <w:szCs w:val="20"/>
          <w:highlight w:val="none"/>
        </w:rPr>
      </w:pPr>
      <w:r>
        <w:rPr>
          <w:rFonts w:ascii="Times New Roman" w:hAnsi="Times New Roman" w:cs="Times New Roman"/>
          <w:color w:val="auto"/>
          <w:kern w:val="0"/>
          <w:sz w:val="24"/>
          <w:szCs w:val="20"/>
          <w:highlight w:val="none"/>
        </w:rPr>
        <w:t xml:space="preserve">                                              年     月      日</w:t>
      </w:r>
    </w:p>
    <w:p>
      <w:pPr>
        <w:spacing w:line="360" w:lineRule="auto"/>
        <w:ind w:firstLine="480" w:firstLineChars="200"/>
        <w:rPr>
          <w:rFonts w:ascii="Times New Roman" w:hAnsi="Times New Roman" w:cs="Times New Roman"/>
          <w:color w:val="auto"/>
          <w:sz w:val="24"/>
          <w:highlight w:val="none"/>
        </w:rPr>
      </w:pPr>
    </w:p>
    <w:p>
      <w:pPr>
        <w:spacing w:line="360" w:lineRule="auto"/>
        <w:ind w:firstLine="482" w:firstLineChars="200"/>
        <w:rPr>
          <w:rFonts w:ascii="Times New Roman" w:hAnsi="Times New Roman" w:cs="Times New Roman"/>
          <w:b/>
          <w:bCs/>
          <w:color w:val="auto"/>
          <w:sz w:val="24"/>
          <w:highlight w:val="none"/>
        </w:rPr>
      </w:pPr>
    </w:p>
    <w:p>
      <w:pPr>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说明：</w:t>
      </w:r>
    </w:p>
    <w:p>
      <w:pPr>
        <w:spacing w:line="360" w:lineRule="auto"/>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1、</w:t>
      </w:r>
      <w:r>
        <w:rPr>
          <w:rFonts w:ascii="Times New Roman" w:hAnsi="Times New Roman" w:cs="Times New Roman"/>
          <w:b/>
          <w:bCs/>
          <w:color w:val="auto"/>
          <w:sz w:val="24"/>
          <w:highlight w:val="none"/>
        </w:rPr>
        <w:t>从业人员、营业收入、资产总额填报上一年度数据，无上一年度数据的新成立企业可不填报。</w:t>
      </w:r>
    </w:p>
    <w:p>
      <w:pPr>
        <w:pStyle w:val="11"/>
        <w:adjustRightInd w:val="0"/>
        <w:snapToGrid w:val="0"/>
        <w:spacing w:line="360" w:lineRule="auto"/>
        <w:ind w:firstLine="720" w:firstLineChars="300"/>
        <w:rPr>
          <w:rFonts w:ascii="Times New Roman" w:hAnsi="Times New Roman" w:cs="Times New Roman"/>
          <w:color w:val="auto"/>
          <w:sz w:val="24"/>
          <w:szCs w:val="24"/>
          <w:highlight w:val="none"/>
        </w:rPr>
      </w:pPr>
    </w:p>
    <w:p>
      <w:pPr>
        <w:pStyle w:val="11"/>
        <w:adjustRightInd w:val="0"/>
        <w:snapToGrid w:val="0"/>
        <w:spacing w:line="360" w:lineRule="auto"/>
        <w:ind w:firstLine="480" w:firstLineChars="200"/>
        <w:rPr>
          <w:rFonts w:ascii="Times New Roman" w:hAnsi="Times New Roman" w:cs="Times New Roman"/>
          <w:color w:val="auto"/>
          <w:sz w:val="24"/>
          <w:szCs w:val="24"/>
          <w:highlight w:val="none"/>
        </w:rPr>
      </w:pPr>
    </w:p>
    <w:p>
      <w:pPr>
        <w:pStyle w:val="11"/>
        <w:adjustRightInd w:val="0"/>
        <w:snapToGrid w:val="0"/>
        <w:spacing w:line="30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br w:type="page"/>
      </w:r>
    </w:p>
    <w:p>
      <w:pPr>
        <w:spacing w:line="300" w:lineRule="auto"/>
        <w:jc w:val="center"/>
        <w:rPr>
          <w:rFonts w:ascii="Times New Roman" w:hAnsi="Times New Roman" w:cs="Times New Roman"/>
          <w:b/>
          <w:bCs/>
          <w:color w:val="auto"/>
          <w:sz w:val="36"/>
          <w:szCs w:val="36"/>
          <w:highlight w:val="none"/>
        </w:rPr>
      </w:pPr>
      <w:r>
        <w:rPr>
          <w:rFonts w:ascii="Times New Roman" w:hAnsi="Times New Roman" w:cs="Times New Roman"/>
          <w:b/>
          <w:bCs/>
          <w:color w:val="auto"/>
          <w:sz w:val="36"/>
          <w:szCs w:val="36"/>
          <w:highlight w:val="none"/>
        </w:rPr>
        <w:t>监狱企业声明函</w:t>
      </w:r>
    </w:p>
    <w:p>
      <w:pPr>
        <w:adjustRightInd w:val="0"/>
        <w:snapToGrid w:val="0"/>
        <w:spacing w:line="300" w:lineRule="auto"/>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w:t>
      </w:r>
      <w:r>
        <w:rPr>
          <w:rFonts w:ascii="Times New Roman" w:hAnsi="Times New Roman" w:cs="Times New Roman"/>
          <w:b/>
          <w:bCs/>
          <w:color w:val="auto"/>
          <w:sz w:val="24"/>
          <w:highlight w:val="none"/>
        </w:rPr>
        <w:t>非监狱企业不用提供</w:t>
      </w:r>
      <w:r>
        <w:rPr>
          <w:rFonts w:ascii="Times New Roman" w:hAnsi="Times New Roman" w:cs="Times New Roman"/>
          <w:b/>
          <w:color w:val="auto"/>
          <w:sz w:val="24"/>
          <w:highlight w:val="none"/>
        </w:rPr>
        <w:t>】</w:t>
      </w:r>
    </w:p>
    <w:p>
      <w:pPr>
        <w:widowControl/>
        <w:adjustRightInd w:val="0"/>
        <w:snapToGrid w:val="0"/>
        <w:spacing w:line="300" w:lineRule="auto"/>
        <w:ind w:firstLine="480" w:firstLineChars="200"/>
        <w:rPr>
          <w:rFonts w:ascii="Times New Roman" w:hAnsi="Times New Roman" w:cs="Times New Roman"/>
          <w:color w:val="auto"/>
          <w:sz w:val="24"/>
          <w:highlight w:val="none"/>
        </w:rPr>
      </w:pPr>
    </w:p>
    <w:p>
      <w:pPr>
        <w:widowControl/>
        <w:adjustRightInd w:val="0"/>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本企业郑重声明，根据《关于政府采购支持监狱企业发展有关问题的通知》（财库[2014]68号）的规定，本企业为</w:t>
      </w:r>
      <w:r>
        <w:rPr>
          <w:rFonts w:ascii="Times New Roman" w:hAnsi="Times New Roman" w:cs="Times New Roman"/>
          <w:color w:val="auto"/>
          <w:sz w:val="24"/>
          <w:highlight w:val="none"/>
          <w:u w:val="single"/>
        </w:rPr>
        <w:t>监狱企业</w:t>
      </w:r>
      <w:r>
        <w:rPr>
          <w:rFonts w:ascii="Times New Roman" w:hAnsi="Times New Roman" w:cs="Times New Roman"/>
          <w:color w:val="auto"/>
          <w:sz w:val="24"/>
          <w:highlight w:val="none"/>
        </w:rPr>
        <w:t>。</w:t>
      </w:r>
    </w:p>
    <w:p>
      <w:pPr>
        <w:widowControl/>
        <w:adjustRightInd w:val="0"/>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根据上述标准，我企业属于</w:t>
      </w:r>
      <w:r>
        <w:rPr>
          <w:rFonts w:ascii="Times New Roman" w:hAnsi="Times New Roman" w:cs="Times New Roman"/>
          <w:color w:val="auto"/>
          <w:sz w:val="24"/>
          <w:highlight w:val="none"/>
          <w:u w:val="single"/>
        </w:rPr>
        <w:t>监狱企业</w:t>
      </w:r>
      <w:r>
        <w:rPr>
          <w:rFonts w:ascii="Times New Roman" w:hAnsi="Times New Roman" w:cs="Times New Roman"/>
          <w:color w:val="auto"/>
          <w:sz w:val="24"/>
          <w:highlight w:val="none"/>
        </w:rPr>
        <w:t>的理由为： 。</w:t>
      </w:r>
    </w:p>
    <w:p>
      <w:pPr>
        <w:widowControl/>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本企业为参加（项目名称：）（项目编号：）采购活动提供本企业</w:t>
      </w:r>
      <w:r>
        <w:rPr>
          <w:rFonts w:ascii="Times New Roman" w:hAnsi="Times New Roman" w:cs="Times New Roman"/>
          <w:color w:val="auto"/>
          <w:sz w:val="24"/>
          <w:highlight w:val="none"/>
          <w:u w:val="single"/>
        </w:rPr>
        <w:t>的服务</w:t>
      </w:r>
      <w:r>
        <w:rPr>
          <w:rFonts w:ascii="Times New Roman" w:hAnsi="Times New Roman" w:cs="Times New Roman"/>
          <w:color w:val="auto"/>
          <w:sz w:val="24"/>
          <w:highlight w:val="none"/>
        </w:rPr>
        <w:t>。</w:t>
      </w:r>
    </w:p>
    <w:p>
      <w:pPr>
        <w:widowControl/>
        <w:adjustRightInd w:val="0"/>
        <w:snapToGrid w:val="0"/>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color w:val="auto"/>
          <w:sz w:val="24"/>
          <w:highlight w:val="none"/>
          <w:u w:val="single"/>
        </w:rPr>
        <w:t>本企业对上述声明的真实性负责。如有虚假，将依法承担相应责任</w:t>
      </w:r>
      <w:r>
        <w:rPr>
          <w:rFonts w:ascii="Times New Roman" w:hAnsi="Times New Roman" w:cs="Times New Roman"/>
          <w:color w:val="auto"/>
          <w:sz w:val="24"/>
          <w:highlight w:val="none"/>
        </w:rPr>
        <w:t>。</w:t>
      </w:r>
    </w:p>
    <w:p>
      <w:pPr>
        <w:adjustRightInd w:val="0"/>
        <w:snapToGrid w:val="0"/>
        <w:spacing w:line="360" w:lineRule="auto"/>
        <w:ind w:firstLine="480" w:firstLineChars="200"/>
        <w:jc w:val="center"/>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hint="eastAsia" w:ascii="Times New Roman" w:hAnsi="Times New Roman" w:cs="Times New Roman"/>
          <w:color w:val="auto"/>
          <w:sz w:val="24"/>
          <w:highlight w:val="none"/>
        </w:rPr>
        <w:t>投标人名称</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电子签章</w:t>
      </w:r>
      <w:r>
        <w:rPr>
          <w:rFonts w:ascii="Times New Roman" w:hAnsi="Times New Roman" w:cs="Times New Roman"/>
          <w:color w:val="auto"/>
          <w:sz w:val="24"/>
          <w:highlight w:val="none"/>
        </w:rPr>
        <w:t>）：</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日期：   年  月  日</w:t>
      </w:r>
    </w:p>
    <w:p>
      <w:pPr>
        <w:widowControl/>
        <w:snapToGrid w:val="0"/>
        <w:spacing w:line="360" w:lineRule="auto"/>
        <w:ind w:firstLine="480" w:firstLineChars="200"/>
        <w:rPr>
          <w:rFonts w:ascii="Times New Roman" w:hAnsi="Times New Roman" w:cs="Times New Roman"/>
          <w:color w:val="auto"/>
          <w:sz w:val="24"/>
          <w:highlight w:val="none"/>
        </w:rPr>
      </w:pPr>
    </w:p>
    <w:p>
      <w:pPr>
        <w:widowControl/>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1"/>
        <w:adjustRightInd w:val="0"/>
        <w:snapToGrid w:val="0"/>
        <w:spacing w:line="300" w:lineRule="auto"/>
        <w:ind w:firstLine="420" w:firstLineChars="200"/>
        <w:rPr>
          <w:rFonts w:ascii="Times New Roman" w:hAnsi="Times New Roman" w:cs="Times New Roman"/>
          <w:color w:val="auto"/>
          <w:highlight w:val="none"/>
        </w:rPr>
      </w:pPr>
    </w:p>
    <w:p>
      <w:pPr>
        <w:pStyle w:val="11"/>
        <w:adjustRightInd w:val="0"/>
        <w:snapToGrid w:val="0"/>
        <w:spacing w:line="300" w:lineRule="auto"/>
        <w:ind w:firstLine="420" w:firstLineChars="200"/>
        <w:rPr>
          <w:rFonts w:ascii="Times New Roman" w:hAnsi="Times New Roman" w:cs="Times New Roman"/>
          <w:color w:val="auto"/>
          <w:highlight w:val="none"/>
        </w:rPr>
      </w:pPr>
    </w:p>
    <w:p>
      <w:pPr>
        <w:spacing w:line="300" w:lineRule="auto"/>
        <w:jc w:val="center"/>
        <w:rPr>
          <w:rFonts w:ascii="Times New Roman" w:hAnsi="Times New Roman" w:cs="Times New Roman"/>
          <w:b/>
          <w:bCs/>
          <w:color w:val="auto"/>
          <w:sz w:val="36"/>
          <w:szCs w:val="36"/>
          <w:highlight w:val="none"/>
        </w:rPr>
      </w:pPr>
      <w:bookmarkStart w:id="46" w:name="OLE_LINK14"/>
      <w:bookmarkStart w:id="47" w:name="OLE_LINK13"/>
      <w:r>
        <w:rPr>
          <w:rFonts w:ascii="Times New Roman" w:hAnsi="Times New Roman" w:cs="Times New Roman"/>
          <w:b/>
          <w:bCs/>
          <w:color w:val="auto"/>
          <w:sz w:val="36"/>
          <w:szCs w:val="36"/>
          <w:highlight w:val="none"/>
        </w:rPr>
        <w:br w:type="page"/>
      </w:r>
      <w:r>
        <w:rPr>
          <w:rFonts w:ascii="Times New Roman" w:hAnsi="Times New Roman" w:cs="Times New Roman"/>
          <w:b/>
          <w:bCs/>
          <w:color w:val="auto"/>
          <w:sz w:val="36"/>
          <w:szCs w:val="36"/>
          <w:highlight w:val="none"/>
        </w:rPr>
        <w:t>残疾人福利性单位声明函</w:t>
      </w:r>
    </w:p>
    <w:bookmarkEnd w:id="46"/>
    <w:bookmarkEnd w:id="47"/>
    <w:p>
      <w:pPr>
        <w:snapToGrid w:val="0"/>
        <w:spacing w:line="300" w:lineRule="auto"/>
        <w:ind w:firstLine="444" w:firstLineChars="200"/>
        <w:rPr>
          <w:rFonts w:ascii="Times New Roman" w:hAnsi="Times New Roman" w:cs="Times New Roman"/>
          <w:color w:val="auto"/>
          <w:spacing w:val="6"/>
          <w:szCs w:val="21"/>
          <w:highlight w:val="none"/>
        </w:rPr>
      </w:pPr>
    </w:p>
    <w:p>
      <w:pPr>
        <w:snapToGrid w:val="0"/>
        <w:spacing w:line="360" w:lineRule="auto"/>
        <w:ind w:firstLine="504" w:firstLineChars="200"/>
        <w:rPr>
          <w:rFonts w:ascii="Times New Roman" w:hAnsi="Times New Roman" w:cs="Times New Roman"/>
          <w:color w:val="auto"/>
          <w:spacing w:val="6"/>
          <w:sz w:val="24"/>
          <w:highlight w:val="none"/>
        </w:rPr>
      </w:pPr>
      <w:r>
        <w:rPr>
          <w:rFonts w:ascii="Times New Roman" w:hAnsi="Times New Roman" w:cs="Times New Roman"/>
          <w:color w:val="auto"/>
          <w:spacing w:val="6"/>
          <w:sz w:val="24"/>
          <w:highlight w:val="none"/>
        </w:rPr>
        <w:t>本单位郑重声明，根据《财政部、民政部、中国残疾人联合会关于促进残疾人就业政府采购政策的通知》（财库</w:t>
      </w:r>
      <w:r>
        <w:rPr>
          <w:rFonts w:ascii="Times New Roman" w:hAnsi="Times New Roman" w:cs="Times New Roman"/>
          <w:color w:val="auto"/>
          <w:sz w:val="24"/>
          <w:highlight w:val="none"/>
        </w:rPr>
        <w:t>〔2017〕141</w:t>
      </w:r>
      <w:r>
        <w:rPr>
          <w:rFonts w:ascii="Times New Roman" w:hAnsi="Times New Roman" w:cs="Times New Roman"/>
          <w:color w:val="auto"/>
          <w:spacing w:val="6"/>
          <w:sz w:val="24"/>
          <w:highlight w:val="none"/>
        </w:rPr>
        <w:t>号）的规定，本单位为符合条件的残疾人福利性单位，且本单位参加</w:t>
      </w:r>
      <w:r>
        <w:rPr>
          <w:rFonts w:ascii="Times New Roman" w:hAnsi="Times New Roman" w:cs="Times New Roman"/>
          <w:color w:val="auto"/>
          <w:spacing w:val="6"/>
          <w:sz w:val="24"/>
          <w:highlight w:val="none"/>
          <w:u w:val="single"/>
        </w:rPr>
        <w:t xml:space="preserve"> （采购人名称）  </w:t>
      </w:r>
      <w:r>
        <w:rPr>
          <w:rFonts w:ascii="Times New Roman" w:hAnsi="Times New Roman" w:cs="Times New Roman"/>
          <w:color w:val="auto"/>
          <w:spacing w:val="6"/>
          <w:sz w:val="24"/>
          <w:highlight w:val="none"/>
        </w:rPr>
        <w:t>单位的</w:t>
      </w:r>
      <w:r>
        <w:rPr>
          <w:rFonts w:ascii="Times New Roman" w:hAnsi="Times New Roman" w:cs="Times New Roman"/>
          <w:color w:val="auto"/>
          <w:spacing w:val="6"/>
          <w:sz w:val="24"/>
          <w:highlight w:val="none"/>
          <w:u w:val="single"/>
        </w:rPr>
        <w:t xml:space="preserve">   （项目名称）    </w:t>
      </w:r>
      <w:r>
        <w:rPr>
          <w:rFonts w:ascii="Times New Roman" w:hAnsi="Times New Roman" w:cs="Times New Roman"/>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ascii="Times New Roman" w:hAnsi="Times New Roman" w:cs="Times New Roman"/>
          <w:color w:val="auto"/>
          <w:spacing w:val="6"/>
          <w:sz w:val="24"/>
          <w:highlight w:val="none"/>
        </w:rPr>
      </w:pPr>
      <w:r>
        <w:rPr>
          <w:rFonts w:ascii="Times New Roman" w:hAnsi="Times New Roman" w:cs="Times New Roman"/>
          <w:b/>
          <w:color w:val="auto"/>
          <w:spacing w:val="6"/>
          <w:sz w:val="24"/>
          <w:highlight w:val="none"/>
          <w:u w:val="single"/>
        </w:rPr>
        <w:t>本单位对上述声明的真实性负责。如有虚假，将依法承担相应责任</w:t>
      </w:r>
      <w:r>
        <w:rPr>
          <w:rFonts w:ascii="Times New Roman" w:hAnsi="Times New Roman" w:cs="Times New Roman"/>
          <w:color w:val="auto"/>
          <w:spacing w:val="6"/>
          <w:sz w:val="24"/>
          <w:highlight w:val="none"/>
        </w:rPr>
        <w:t>。</w:t>
      </w:r>
    </w:p>
    <w:p>
      <w:pPr>
        <w:snapToGrid w:val="0"/>
        <w:spacing w:line="360" w:lineRule="auto"/>
        <w:ind w:firstLine="504" w:firstLineChars="200"/>
        <w:rPr>
          <w:rFonts w:ascii="Times New Roman" w:hAnsi="Times New Roman" w:cs="Times New Roman"/>
          <w:color w:val="auto"/>
          <w:spacing w:val="6"/>
          <w:sz w:val="24"/>
          <w:highlight w:val="none"/>
        </w:rPr>
      </w:pPr>
    </w:p>
    <w:p>
      <w:pPr>
        <w:snapToGrid w:val="0"/>
        <w:spacing w:line="360" w:lineRule="auto"/>
        <w:ind w:firstLine="504" w:firstLineChars="200"/>
        <w:rPr>
          <w:rFonts w:ascii="Times New Roman" w:hAnsi="Times New Roman" w:cs="Times New Roman"/>
          <w:color w:val="auto"/>
          <w:spacing w:val="6"/>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hint="eastAsia" w:ascii="Times New Roman" w:hAnsi="Times New Roman" w:cs="Times New Roman"/>
          <w:color w:val="auto"/>
          <w:sz w:val="24"/>
          <w:highlight w:val="none"/>
        </w:rPr>
        <w:t>投标人名称</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电子签章</w:t>
      </w:r>
      <w:r>
        <w:rPr>
          <w:rFonts w:ascii="Times New Roman" w:hAnsi="Times New Roman" w:cs="Times New Roman"/>
          <w:color w:val="auto"/>
          <w:sz w:val="24"/>
          <w:highlight w:val="none"/>
        </w:rPr>
        <w:t>）：</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日期：   年  月  日</w:t>
      </w:r>
    </w:p>
    <w:p>
      <w:pPr>
        <w:pStyle w:val="11"/>
        <w:adjustRightInd w:val="0"/>
        <w:snapToGrid w:val="0"/>
        <w:spacing w:line="300" w:lineRule="auto"/>
        <w:ind w:firstLine="420" w:firstLineChars="200"/>
        <w:rPr>
          <w:rFonts w:ascii="Times New Roman" w:hAnsi="Times New Roman" w:cs="Times New Roman"/>
          <w:color w:val="auto"/>
          <w:highlight w:val="none"/>
        </w:rPr>
      </w:pPr>
    </w:p>
    <w:p>
      <w:pPr>
        <w:spacing w:line="360" w:lineRule="auto"/>
        <w:rPr>
          <w:rFonts w:ascii="Times New Roman" w:hAnsi="Times New Roman" w:cs="Times New Roman"/>
          <w:b/>
          <w:color w:val="auto"/>
          <w:sz w:val="24"/>
          <w:highlight w:val="none"/>
        </w:rPr>
      </w:pPr>
    </w:p>
    <w:p>
      <w:pPr>
        <w:pStyle w:val="11"/>
        <w:spacing w:line="440" w:lineRule="exact"/>
        <w:rPr>
          <w:rFonts w:ascii="Times New Roman" w:hAnsi="Times New Roman" w:cs="Times New Roman"/>
          <w:color w:val="auto"/>
          <w:highlight w:val="none"/>
        </w:rPr>
      </w:pPr>
    </w:p>
    <w:p>
      <w:pPr>
        <w:pStyle w:val="11"/>
        <w:adjustRightInd w:val="0"/>
        <w:snapToGrid w:val="0"/>
        <w:spacing w:line="300" w:lineRule="auto"/>
        <w:ind w:firstLine="420" w:firstLineChars="200"/>
        <w:rPr>
          <w:rFonts w:ascii="Times New Roman" w:hAnsi="Times New Roman" w:cs="Times New Roman"/>
          <w:color w:val="auto"/>
          <w:highlight w:val="none"/>
        </w:rPr>
      </w:pPr>
    </w:p>
    <w:p>
      <w:pPr>
        <w:pStyle w:val="11"/>
        <w:spacing w:line="460" w:lineRule="exact"/>
        <w:rPr>
          <w:rFonts w:ascii="Times New Roman" w:hAnsi="Times New Roman" w:cs="Times New Roman"/>
          <w:color w:val="auto"/>
          <w:sz w:val="24"/>
          <w:highlight w:val="none"/>
        </w:rPr>
      </w:pPr>
    </w:p>
    <w:p>
      <w:pPr>
        <w:widowControl/>
        <w:spacing w:line="420" w:lineRule="atLeast"/>
        <w:rPr>
          <w:rFonts w:ascii="Times New Roman" w:hAnsi="Times New Roman" w:eastAsia="宋体" w:cs="Times New Roman"/>
          <w:b/>
          <w:color w:val="auto"/>
          <w:sz w:val="36"/>
          <w:szCs w:val="36"/>
          <w:highlight w:val="none"/>
        </w:rPr>
      </w:pPr>
    </w:p>
    <w:p>
      <w:pPr>
        <w:widowControl/>
        <w:spacing w:line="420" w:lineRule="atLeast"/>
        <w:rPr>
          <w:rFonts w:ascii="Times New Roman" w:hAnsi="Times New Roman" w:eastAsia="宋体" w:cs="Times New Roman"/>
          <w:b/>
          <w:color w:val="auto"/>
          <w:sz w:val="36"/>
          <w:szCs w:val="36"/>
          <w:highlight w:val="none"/>
        </w:rPr>
      </w:pPr>
    </w:p>
    <w:p>
      <w:pPr>
        <w:widowControl/>
        <w:spacing w:line="420" w:lineRule="atLeast"/>
        <w:rPr>
          <w:rFonts w:ascii="Times New Roman" w:hAnsi="Times New Roman" w:eastAsia="宋体" w:cs="Times New Roman"/>
          <w:b/>
          <w:color w:val="auto"/>
          <w:sz w:val="36"/>
          <w:szCs w:val="36"/>
          <w:highlight w:val="none"/>
        </w:rPr>
      </w:pPr>
    </w:p>
    <w:p>
      <w:pPr>
        <w:spacing w:line="400" w:lineRule="exact"/>
        <w:rPr>
          <w:rFonts w:ascii="Times New Roman" w:hAnsi="Times New Roman" w:eastAsia="宋体" w:cs="Times New Roman"/>
          <w:b/>
          <w:bCs/>
          <w:color w:val="auto"/>
          <w:sz w:val="32"/>
          <w:szCs w:val="32"/>
          <w:highlight w:val="none"/>
        </w:rPr>
      </w:pPr>
      <w:r>
        <w:rPr>
          <w:rFonts w:ascii="Times New Roman" w:hAnsi="Times New Roman" w:eastAsia="宋体" w:cs="Times New Roman"/>
          <w:color w:val="auto"/>
          <w:highlight w:val="none"/>
        </w:rPr>
        <w:drawing>
          <wp:anchor distT="0" distB="0" distL="114300" distR="114300" simplePos="0" relativeHeight="251660288" behindDoc="0" locked="0" layoutInCell="1" allowOverlap="1">
            <wp:simplePos x="0" y="0"/>
            <wp:positionH relativeFrom="page">
              <wp:posOffset>3810</wp:posOffset>
            </wp:positionH>
            <wp:positionV relativeFrom="page">
              <wp:posOffset>-3736975</wp:posOffset>
            </wp:positionV>
            <wp:extent cx="6286500" cy="3981450"/>
            <wp:effectExtent l="0" t="0" r="0" b="0"/>
            <wp:wrapNone/>
            <wp:docPr id="3" name="Picture 4" descr="SCX-3200_20130924_165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SCX-3200_20130924_16570602"/>
                    <pic:cNvPicPr>
                      <a:picLocks noChangeAspect="1" noChangeArrowheads="1"/>
                    </pic:cNvPicPr>
                  </pic:nvPicPr>
                  <pic:blipFill>
                    <a:blip r:embed="rId7" cstate="print"/>
                    <a:srcRect/>
                    <a:stretch>
                      <a:fillRect/>
                    </a:stretch>
                  </pic:blipFill>
                  <pic:spPr>
                    <a:xfrm>
                      <a:off x="0" y="0"/>
                      <a:ext cx="6286500" cy="3981450"/>
                    </a:xfrm>
                    <a:prstGeom prst="rect">
                      <a:avLst/>
                    </a:prstGeom>
                    <a:noFill/>
                    <a:ln w="9525">
                      <a:noFill/>
                      <a:miter lim="800000"/>
                      <a:headEnd/>
                      <a:tailEnd/>
                    </a:ln>
                  </pic:spPr>
                </pic:pic>
              </a:graphicData>
            </a:graphic>
          </wp:anchor>
        </w:drawing>
      </w:r>
    </w:p>
    <w:p>
      <w:pPr>
        <w:pStyle w:val="28"/>
        <w:rPr>
          <w:color w:val="auto"/>
          <w:highlight w:val="none"/>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pingfang sc">
    <w:altName w:val="宋体"/>
    <w:panose1 w:val="00000000000000000000"/>
    <w:charset w:val="86"/>
    <w:family w:val="auto"/>
    <w:pitch w:val="default"/>
    <w:sig w:usb0="00000000" w:usb1="00000000" w:usb2="00000017"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419" w:y="1"/>
      <w:rPr>
        <w:sz w:val="1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cLM/TAAAABgEAAA8AAAAAAAAAAQAgAAAAIgAAAGRycy9kb3ducmV2LnhtbFBLAQIUABQAAAAI&#10;AIdO4kAmroZi8gEAAOYDAAAOAAAAAAAAAAEAIAAAACIBAABkcnMvZTJvRG9jLnhtbFBLBQYAAAAA&#10;BgAGAFkBAACGBQAAAAA=&#10;">
              <v:fill on="f" focussize="0,0"/>
              <v:stroke color="#000000" joinstyle="round"/>
              <v:imagedata o:title=""/>
              <o:lock v:ext="edit" aspectratio="f"/>
            </v:line>
          </w:pict>
        </mc:Fallback>
      </mc:AlternateContent>
    </w:r>
    <w:r>
      <w:rPr>
        <w:rFonts w:hint="eastAsia"/>
        <w:sz w:val="18"/>
      </w:rPr>
      <w:t>浙江开平企业管理咨询有限公司招标文件            电话:0579—85328516    传真:0579—85321521</w:t>
    </w:r>
  </w:p>
  <w:p>
    <w:pPr>
      <w:pStyle w:val="15"/>
      <w:framePr w:wrap="around" w:vAnchor="text" w:hAnchor="page" w:x="1419" w:y="1"/>
      <w:jc w:val="center"/>
      <w:rPr>
        <w:rStyle w:val="26"/>
      </w:rPr>
    </w:pPr>
    <w:r>
      <w:rPr>
        <w:rStyle w:val="26"/>
      </w:rPr>
      <w:fldChar w:fldCharType="begin"/>
    </w:r>
    <w:r>
      <w:rPr>
        <w:rStyle w:val="26"/>
      </w:rPr>
      <w:instrText xml:space="preserve"> PAGE   \* MERGEFORMAT </w:instrText>
    </w:r>
    <w:r>
      <w:rPr>
        <w:rStyle w:val="26"/>
      </w:rPr>
      <w:fldChar w:fldCharType="separate"/>
    </w:r>
    <w:r>
      <w:rPr>
        <w:rStyle w:val="26"/>
        <w:lang w:val="zh-CN"/>
      </w:rPr>
      <w:t>18</w:t>
    </w:r>
    <w:r>
      <w:rPr>
        <w:rStyle w:val="26"/>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义乌工商职业技术学院公寓局域网升级采购</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2FF6"/>
    <w:multiLevelType w:val="singleLevel"/>
    <w:tmpl w:val="855D2FF6"/>
    <w:lvl w:ilvl="0" w:tentative="0">
      <w:start w:val="1"/>
      <w:numFmt w:val="decimal"/>
      <w:suff w:val="nothing"/>
      <w:lvlText w:val="%1、"/>
      <w:lvlJc w:val="left"/>
    </w:lvl>
  </w:abstractNum>
  <w:abstractNum w:abstractNumId="1">
    <w:nsid w:val="8922D0B9"/>
    <w:multiLevelType w:val="singleLevel"/>
    <w:tmpl w:val="8922D0B9"/>
    <w:lvl w:ilvl="0" w:tentative="0">
      <w:start w:val="3"/>
      <w:numFmt w:val="chineseCounting"/>
      <w:suff w:val="space"/>
      <w:lvlText w:val="第%1章"/>
      <w:lvlJc w:val="left"/>
      <w:rPr>
        <w:rFonts w:hint="eastAsia"/>
      </w:rPr>
    </w:lvl>
  </w:abstractNum>
  <w:abstractNum w:abstractNumId="2">
    <w:nsid w:val="C5B6837A"/>
    <w:multiLevelType w:val="singleLevel"/>
    <w:tmpl w:val="C5B6837A"/>
    <w:lvl w:ilvl="0" w:tentative="0">
      <w:start w:val="6"/>
      <w:numFmt w:val="decimal"/>
      <w:suff w:val="nothing"/>
      <w:lvlText w:val="%1、"/>
      <w:lvlJc w:val="left"/>
    </w:lvl>
  </w:abstractNum>
  <w:abstractNum w:abstractNumId="3">
    <w:nsid w:val="CD4FDD5F"/>
    <w:multiLevelType w:val="singleLevel"/>
    <w:tmpl w:val="CD4FDD5F"/>
    <w:lvl w:ilvl="0" w:tentative="0">
      <w:start w:val="1"/>
      <w:numFmt w:val="decimal"/>
      <w:suff w:val="nothing"/>
      <w:lvlText w:val="（%1）"/>
      <w:lvlJc w:val="left"/>
    </w:lvl>
  </w:abstractNum>
  <w:abstractNum w:abstractNumId="4">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5">
    <w:nsid w:val="ED646597"/>
    <w:multiLevelType w:val="singleLevel"/>
    <w:tmpl w:val="ED646597"/>
    <w:lvl w:ilvl="0" w:tentative="0">
      <w:start w:val="1"/>
      <w:numFmt w:val="decimal"/>
      <w:suff w:val="nothing"/>
      <w:lvlText w:val="%1、"/>
      <w:lvlJc w:val="left"/>
    </w:lvl>
  </w:abstractNum>
  <w:abstractNum w:abstractNumId="6">
    <w:nsid w:val="EFE022B9"/>
    <w:multiLevelType w:val="singleLevel"/>
    <w:tmpl w:val="EFE022B9"/>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sz w:val="24"/>
        <w:szCs w:val="24"/>
      </w:rPr>
    </w:lvl>
  </w:abstractNum>
  <w:abstractNum w:abstractNumId="8">
    <w:nsid w:val="0316DFBB"/>
    <w:multiLevelType w:val="singleLevel"/>
    <w:tmpl w:val="0316DFBB"/>
    <w:lvl w:ilvl="0" w:tentative="0">
      <w:start w:val="1"/>
      <w:numFmt w:val="decimal"/>
      <w:suff w:val="nothing"/>
      <w:lvlText w:val="%1、"/>
      <w:lvlJc w:val="left"/>
    </w:lvl>
  </w:abstractNum>
  <w:abstractNum w:abstractNumId="9">
    <w:nsid w:val="0A517B2E"/>
    <w:multiLevelType w:val="multilevel"/>
    <w:tmpl w:val="0A517B2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F59DA8"/>
    <w:multiLevelType w:val="singleLevel"/>
    <w:tmpl w:val="14F59DA8"/>
    <w:lvl w:ilvl="0" w:tentative="0">
      <w:start w:val="6"/>
      <w:numFmt w:val="decimal"/>
      <w:suff w:val="nothing"/>
      <w:lvlText w:val="%1、"/>
      <w:lvlJc w:val="left"/>
    </w:lvl>
  </w:abstractNum>
  <w:abstractNum w:abstractNumId="11">
    <w:nsid w:val="3A831405"/>
    <w:multiLevelType w:val="singleLevel"/>
    <w:tmpl w:val="3A831405"/>
    <w:lvl w:ilvl="0" w:tentative="0">
      <w:start w:val="1"/>
      <w:numFmt w:val="decimal"/>
      <w:suff w:val="nothing"/>
      <w:lvlText w:val="（%1）"/>
      <w:lvlJc w:val="left"/>
    </w:lvl>
  </w:abstractNum>
  <w:abstractNum w:abstractNumId="12">
    <w:nsid w:val="50EBB27D"/>
    <w:multiLevelType w:val="singleLevel"/>
    <w:tmpl w:val="50EBB27D"/>
    <w:lvl w:ilvl="0" w:tentative="0">
      <w:start w:val="14"/>
      <w:numFmt w:val="decimal"/>
      <w:suff w:val="nothing"/>
      <w:lvlText w:val="（%1）"/>
      <w:lvlJc w:val="left"/>
    </w:lvl>
  </w:abstractNum>
  <w:abstractNum w:abstractNumId="13">
    <w:nsid w:val="53A8FEE1"/>
    <w:multiLevelType w:val="singleLevel"/>
    <w:tmpl w:val="53A8FEE1"/>
    <w:lvl w:ilvl="0" w:tentative="0">
      <w:start w:val="24"/>
      <w:numFmt w:val="decimal"/>
      <w:suff w:val="nothing"/>
      <w:lvlText w:val="（%1）"/>
      <w:lvlJc w:val="left"/>
    </w:lvl>
  </w:abstractNum>
  <w:abstractNum w:abstractNumId="14">
    <w:nsid w:val="7D423674"/>
    <w:multiLevelType w:val="singleLevel"/>
    <w:tmpl w:val="7D423674"/>
    <w:lvl w:ilvl="0" w:tentative="0">
      <w:start w:val="1"/>
      <w:numFmt w:val="decimal"/>
      <w:suff w:val="nothing"/>
      <w:lvlText w:val="（%1）"/>
      <w:lvlJc w:val="left"/>
    </w:lvl>
  </w:abstractNum>
  <w:abstractNum w:abstractNumId="15">
    <w:nsid w:val="7F300C8D"/>
    <w:multiLevelType w:val="singleLevel"/>
    <w:tmpl w:val="7F300C8D"/>
    <w:lvl w:ilvl="0" w:tentative="0">
      <w:start w:val="5"/>
      <w:numFmt w:val="decimal"/>
      <w:suff w:val="nothing"/>
      <w:lvlText w:val="（%1）"/>
      <w:lvlJc w:val="left"/>
    </w:lvl>
  </w:abstractNum>
  <w:abstractNum w:abstractNumId="16">
    <w:nsid w:val="7F9965B5"/>
    <w:multiLevelType w:val="singleLevel"/>
    <w:tmpl w:val="7F9965B5"/>
    <w:lvl w:ilvl="0" w:tentative="0">
      <w:start w:val="2"/>
      <w:numFmt w:val="chineseCounting"/>
      <w:suff w:val="nothing"/>
      <w:lvlText w:val="%1、"/>
      <w:lvlJc w:val="left"/>
      <w:rPr>
        <w:rFonts w:hint="eastAsia"/>
      </w:rPr>
    </w:lvl>
  </w:abstractNum>
  <w:num w:numId="1">
    <w:abstractNumId w:val="9"/>
  </w:num>
  <w:num w:numId="2">
    <w:abstractNumId w:val="7"/>
  </w:num>
  <w:num w:numId="3">
    <w:abstractNumId w:val="1"/>
  </w:num>
  <w:num w:numId="4">
    <w:abstractNumId w:val="16"/>
  </w:num>
  <w:num w:numId="5">
    <w:abstractNumId w:val="0"/>
  </w:num>
  <w:num w:numId="6">
    <w:abstractNumId w:val="14"/>
  </w:num>
  <w:num w:numId="7">
    <w:abstractNumId w:val="2"/>
  </w:num>
  <w:num w:numId="8">
    <w:abstractNumId w:val="6"/>
  </w:num>
  <w:num w:numId="9">
    <w:abstractNumId w:val="11"/>
  </w:num>
  <w:num w:numId="10">
    <w:abstractNumId w:val="3"/>
  </w:num>
  <w:num w:numId="11">
    <w:abstractNumId w:val="15"/>
  </w:num>
  <w:num w:numId="12">
    <w:abstractNumId w:val="13"/>
  </w:num>
  <w:num w:numId="13">
    <w:abstractNumId w:val="12"/>
  </w:num>
  <w:num w:numId="14">
    <w:abstractNumId w:val="10"/>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s>
  <w:rsids>
    <w:rsidRoot w:val="698A63C3"/>
    <w:rsid w:val="000023DD"/>
    <w:rsid w:val="00043CAA"/>
    <w:rsid w:val="001107FB"/>
    <w:rsid w:val="0012633E"/>
    <w:rsid w:val="00177C8D"/>
    <w:rsid w:val="0019336E"/>
    <w:rsid w:val="001B1179"/>
    <w:rsid w:val="00232389"/>
    <w:rsid w:val="0025287C"/>
    <w:rsid w:val="002E6702"/>
    <w:rsid w:val="003328F6"/>
    <w:rsid w:val="003453CF"/>
    <w:rsid w:val="00374EBE"/>
    <w:rsid w:val="00385A4C"/>
    <w:rsid w:val="00391561"/>
    <w:rsid w:val="003D62B9"/>
    <w:rsid w:val="00482AB7"/>
    <w:rsid w:val="004F3376"/>
    <w:rsid w:val="004F42C1"/>
    <w:rsid w:val="004F741F"/>
    <w:rsid w:val="00577321"/>
    <w:rsid w:val="00587F60"/>
    <w:rsid w:val="005A190C"/>
    <w:rsid w:val="006007B8"/>
    <w:rsid w:val="00601FF5"/>
    <w:rsid w:val="006333E8"/>
    <w:rsid w:val="00636985"/>
    <w:rsid w:val="00671F56"/>
    <w:rsid w:val="006B2BA4"/>
    <w:rsid w:val="006D1243"/>
    <w:rsid w:val="006D5C6F"/>
    <w:rsid w:val="00705499"/>
    <w:rsid w:val="00771E8E"/>
    <w:rsid w:val="00783F6B"/>
    <w:rsid w:val="008B63D5"/>
    <w:rsid w:val="008D5AC2"/>
    <w:rsid w:val="008F51D9"/>
    <w:rsid w:val="00922505"/>
    <w:rsid w:val="00943677"/>
    <w:rsid w:val="00961A38"/>
    <w:rsid w:val="00993331"/>
    <w:rsid w:val="009A6BFA"/>
    <w:rsid w:val="009F135F"/>
    <w:rsid w:val="00A51396"/>
    <w:rsid w:val="00A75694"/>
    <w:rsid w:val="00B252AD"/>
    <w:rsid w:val="00B31B1B"/>
    <w:rsid w:val="00B44E62"/>
    <w:rsid w:val="00B47EC5"/>
    <w:rsid w:val="00BB7391"/>
    <w:rsid w:val="00BE1CAB"/>
    <w:rsid w:val="00C062D9"/>
    <w:rsid w:val="00C12A32"/>
    <w:rsid w:val="00C23427"/>
    <w:rsid w:val="00C93BD3"/>
    <w:rsid w:val="00D82966"/>
    <w:rsid w:val="00E1374D"/>
    <w:rsid w:val="00E5604D"/>
    <w:rsid w:val="00E65294"/>
    <w:rsid w:val="00E92EA8"/>
    <w:rsid w:val="00EB443B"/>
    <w:rsid w:val="00F0722A"/>
    <w:rsid w:val="00F13316"/>
    <w:rsid w:val="00F45890"/>
    <w:rsid w:val="00F803C7"/>
    <w:rsid w:val="00FC372C"/>
    <w:rsid w:val="00FE3BA0"/>
    <w:rsid w:val="01713FE9"/>
    <w:rsid w:val="019D2CB2"/>
    <w:rsid w:val="025A4B3C"/>
    <w:rsid w:val="036C3B5C"/>
    <w:rsid w:val="03B87606"/>
    <w:rsid w:val="048F7C19"/>
    <w:rsid w:val="04E43663"/>
    <w:rsid w:val="05140A30"/>
    <w:rsid w:val="05474F3F"/>
    <w:rsid w:val="05B73F07"/>
    <w:rsid w:val="05EF2466"/>
    <w:rsid w:val="06115A5B"/>
    <w:rsid w:val="06713E1F"/>
    <w:rsid w:val="06A578DD"/>
    <w:rsid w:val="06CD24E2"/>
    <w:rsid w:val="06EE7673"/>
    <w:rsid w:val="07402ACD"/>
    <w:rsid w:val="07C0102B"/>
    <w:rsid w:val="07F5396F"/>
    <w:rsid w:val="089963F4"/>
    <w:rsid w:val="09102534"/>
    <w:rsid w:val="094C3466"/>
    <w:rsid w:val="09C7792C"/>
    <w:rsid w:val="0A0F00BC"/>
    <w:rsid w:val="0A85770A"/>
    <w:rsid w:val="0B103E6C"/>
    <w:rsid w:val="0B745B79"/>
    <w:rsid w:val="0BB528D2"/>
    <w:rsid w:val="0C546AA0"/>
    <w:rsid w:val="0CD679DF"/>
    <w:rsid w:val="0CEA0152"/>
    <w:rsid w:val="0DDA3A9C"/>
    <w:rsid w:val="0F0D04D1"/>
    <w:rsid w:val="0F291ACE"/>
    <w:rsid w:val="0F81069C"/>
    <w:rsid w:val="0F880992"/>
    <w:rsid w:val="0F8D6C31"/>
    <w:rsid w:val="0FAB0EE6"/>
    <w:rsid w:val="0FD0204D"/>
    <w:rsid w:val="101414CD"/>
    <w:rsid w:val="10C265EF"/>
    <w:rsid w:val="124E70EA"/>
    <w:rsid w:val="132C3069"/>
    <w:rsid w:val="13891645"/>
    <w:rsid w:val="13B86E3D"/>
    <w:rsid w:val="143040B0"/>
    <w:rsid w:val="148744BE"/>
    <w:rsid w:val="14997575"/>
    <w:rsid w:val="152470FD"/>
    <w:rsid w:val="15455A37"/>
    <w:rsid w:val="154D2279"/>
    <w:rsid w:val="158D4A81"/>
    <w:rsid w:val="17A257E9"/>
    <w:rsid w:val="180C2E6B"/>
    <w:rsid w:val="18297D6B"/>
    <w:rsid w:val="18E27E8B"/>
    <w:rsid w:val="19F45458"/>
    <w:rsid w:val="1A143941"/>
    <w:rsid w:val="1A3348FA"/>
    <w:rsid w:val="1AB57272"/>
    <w:rsid w:val="1AD31C39"/>
    <w:rsid w:val="1AD564D9"/>
    <w:rsid w:val="1B2B1543"/>
    <w:rsid w:val="1B441CB3"/>
    <w:rsid w:val="1B862A01"/>
    <w:rsid w:val="1CEF2EE0"/>
    <w:rsid w:val="1CF36F7C"/>
    <w:rsid w:val="1CF87735"/>
    <w:rsid w:val="1D6D480A"/>
    <w:rsid w:val="1D742B1F"/>
    <w:rsid w:val="1E276524"/>
    <w:rsid w:val="1E5E7A6C"/>
    <w:rsid w:val="1EAB0DB7"/>
    <w:rsid w:val="1FBB73FE"/>
    <w:rsid w:val="20D32E9C"/>
    <w:rsid w:val="212B659B"/>
    <w:rsid w:val="21C22BFF"/>
    <w:rsid w:val="21C57DA6"/>
    <w:rsid w:val="21D6512A"/>
    <w:rsid w:val="2269487C"/>
    <w:rsid w:val="22CF5FE9"/>
    <w:rsid w:val="232E78C7"/>
    <w:rsid w:val="23600E90"/>
    <w:rsid w:val="23EA508B"/>
    <w:rsid w:val="246255D8"/>
    <w:rsid w:val="24D9144B"/>
    <w:rsid w:val="25247366"/>
    <w:rsid w:val="255D3DEF"/>
    <w:rsid w:val="2639217C"/>
    <w:rsid w:val="26D40073"/>
    <w:rsid w:val="26E74F9B"/>
    <w:rsid w:val="274D239C"/>
    <w:rsid w:val="275C548F"/>
    <w:rsid w:val="275F101D"/>
    <w:rsid w:val="278C7E6E"/>
    <w:rsid w:val="27E40FE2"/>
    <w:rsid w:val="28A702A1"/>
    <w:rsid w:val="29437CBF"/>
    <w:rsid w:val="29A66A18"/>
    <w:rsid w:val="2A4404A5"/>
    <w:rsid w:val="2A662182"/>
    <w:rsid w:val="2B3F744B"/>
    <w:rsid w:val="2B41325A"/>
    <w:rsid w:val="2B747753"/>
    <w:rsid w:val="2BCD57BE"/>
    <w:rsid w:val="2C3747D9"/>
    <w:rsid w:val="2C3D364B"/>
    <w:rsid w:val="2C485341"/>
    <w:rsid w:val="2C4E1E3E"/>
    <w:rsid w:val="2C9F3729"/>
    <w:rsid w:val="2D8319E5"/>
    <w:rsid w:val="2DCE4CFD"/>
    <w:rsid w:val="2E3444CB"/>
    <w:rsid w:val="2E6000D3"/>
    <w:rsid w:val="2EDE2C2F"/>
    <w:rsid w:val="2EE51B31"/>
    <w:rsid w:val="2F1A389F"/>
    <w:rsid w:val="2F2F0F1B"/>
    <w:rsid w:val="2F324D43"/>
    <w:rsid w:val="30345C4D"/>
    <w:rsid w:val="303F3688"/>
    <w:rsid w:val="3043685E"/>
    <w:rsid w:val="3053577E"/>
    <w:rsid w:val="309D1437"/>
    <w:rsid w:val="31E82870"/>
    <w:rsid w:val="337218E7"/>
    <w:rsid w:val="33BD648F"/>
    <w:rsid w:val="3402683F"/>
    <w:rsid w:val="34F93133"/>
    <w:rsid w:val="351D1D56"/>
    <w:rsid w:val="36B129D7"/>
    <w:rsid w:val="37301C4F"/>
    <w:rsid w:val="37521CFD"/>
    <w:rsid w:val="37735EDE"/>
    <w:rsid w:val="38185EAC"/>
    <w:rsid w:val="387129C9"/>
    <w:rsid w:val="388E785E"/>
    <w:rsid w:val="39D11A2C"/>
    <w:rsid w:val="3AA4577E"/>
    <w:rsid w:val="3ABF0D0A"/>
    <w:rsid w:val="3AC931EE"/>
    <w:rsid w:val="3AD90A06"/>
    <w:rsid w:val="3BAB0B19"/>
    <w:rsid w:val="3BF94CF7"/>
    <w:rsid w:val="3E721703"/>
    <w:rsid w:val="3E7E19EA"/>
    <w:rsid w:val="3EE32846"/>
    <w:rsid w:val="3EE62697"/>
    <w:rsid w:val="3F253D28"/>
    <w:rsid w:val="3F3E09C3"/>
    <w:rsid w:val="3F626F64"/>
    <w:rsid w:val="41455A01"/>
    <w:rsid w:val="419D381C"/>
    <w:rsid w:val="4253430E"/>
    <w:rsid w:val="42552980"/>
    <w:rsid w:val="427C557B"/>
    <w:rsid w:val="429C3EFE"/>
    <w:rsid w:val="42BC0202"/>
    <w:rsid w:val="42E70446"/>
    <w:rsid w:val="43315D2E"/>
    <w:rsid w:val="44A30F87"/>
    <w:rsid w:val="44BE4401"/>
    <w:rsid w:val="44C279A9"/>
    <w:rsid w:val="44F73576"/>
    <w:rsid w:val="456E00D8"/>
    <w:rsid w:val="467D6745"/>
    <w:rsid w:val="47672C71"/>
    <w:rsid w:val="48A203D1"/>
    <w:rsid w:val="49235BC9"/>
    <w:rsid w:val="49DB4B3B"/>
    <w:rsid w:val="4A5F3025"/>
    <w:rsid w:val="4A630D97"/>
    <w:rsid w:val="4B6A5854"/>
    <w:rsid w:val="4BBE3774"/>
    <w:rsid w:val="4BC74904"/>
    <w:rsid w:val="4C4C38F4"/>
    <w:rsid w:val="4D1F46E6"/>
    <w:rsid w:val="4D913927"/>
    <w:rsid w:val="4E3C7226"/>
    <w:rsid w:val="4E4802F3"/>
    <w:rsid w:val="4E7C589F"/>
    <w:rsid w:val="4F77622F"/>
    <w:rsid w:val="501F2DB5"/>
    <w:rsid w:val="50C30779"/>
    <w:rsid w:val="517609D6"/>
    <w:rsid w:val="52C363DA"/>
    <w:rsid w:val="52DB2E5E"/>
    <w:rsid w:val="531E2988"/>
    <w:rsid w:val="53AD4229"/>
    <w:rsid w:val="53EE47D4"/>
    <w:rsid w:val="541A555E"/>
    <w:rsid w:val="54790D3D"/>
    <w:rsid w:val="54AA0D3A"/>
    <w:rsid w:val="54DF7F18"/>
    <w:rsid w:val="55362047"/>
    <w:rsid w:val="554F18E1"/>
    <w:rsid w:val="563C221F"/>
    <w:rsid w:val="565F45A6"/>
    <w:rsid w:val="56A03071"/>
    <w:rsid w:val="56A25A40"/>
    <w:rsid w:val="57536629"/>
    <w:rsid w:val="57646128"/>
    <w:rsid w:val="5778134F"/>
    <w:rsid w:val="579D0BB3"/>
    <w:rsid w:val="58776B43"/>
    <w:rsid w:val="58B6512E"/>
    <w:rsid w:val="58C13B8C"/>
    <w:rsid w:val="58ED0B9A"/>
    <w:rsid w:val="595E071B"/>
    <w:rsid w:val="5B0F3DD6"/>
    <w:rsid w:val="5B2D4472"/>
    <w:rsid w:val="5B653457"/>
    <w:rsid w:val="5BA91AB3"/>
    <w:rsid w:val="5BDB6301"/>
    <w:rsid w:val="5C223046"/>
    <w:rsid w:val="5C422339"/>
    <w:rsid w:val="5C6A0DAE"/>
    <w:rsid w:val="5CC61628"/>
    <w:rsid w:val="5D7F7F32"/>
    <w:rsid w:val="5DFF120B"/>
    <w:rsid w:val="5E1D7F38"/>
    <w:rsid w:val="5E4B6082"/>
    <w:rsid w:val="5E9379A0"/>
    <w:rsid w:val="5EFF17CF"/>
    <w:rsid w:val="5F19651F"/>
    <w:rsid w:val="5F31421B"/>
    <w:rsid w:val="5F86531A"/>
    <w:rsid w:val="5FA23A48"/>
    <w:rsid w:val="60544346"/>
    <w:rsid w:val="6098413C"/>
    <w:rsid w:val="60B27813"/>
    <w:rsid w:val="60E55A0C"/>
    <w:rsid w:val="61027D8C"/>
    <w:rsid w:val="616218C1"/>
    <w:rsid w:val="61730705"/>
    <w:rsid w:val="61AD6848"/>
    <w:rsid w:val="61B84E22"/>
    <w:rsid w:val="62C72F81"/>
    <w:rsid w:val="631669F1"/>
    <w:rsid w:val="636E7F56"/>
    <w:rsid w:val="63D716A7"/>
    <w:rsid w:val="64532330"/>
    <w:rsid w:val="64B07535"/>
    <w:rsid w:val="64CC2881"/>
    <w:rsid w:val="64CF6311"/>
    <w:rsid w:val="652E5FE8"/>
    <w:rsid w:val="6530684D"/>
    <w:rsid w:val="6561340A"/>
    <w:rsid w:val="66A41B50"/>
    <w:rsid w:val="66FD1D9E"/>
    <w:rsid w:val="67627F2D"/>
    <w:rsid w:val="68152516"/>
    <w:rsid w:val="682820B4"/>
    <w:rsid w:val="68306478"/>
    <w:rsid w:val="684C6800"/>
    <w:rsid w:val="68775256"/>
    <w:rsid w:val="698A63C3"/>
    <w:rsid w:val="699A2B65"/>
    <w:rsid w:val="69C41894"/>
    <w:rsid w:val="6A1868E3"/>
    <w:rsid w:val="6A5D008D"/>
    <w:rsid w:val="6A6D57E5"/>
    <w:rsid w:val="6ADE2941"/>
    <w:rsid w:val="6B587BBF"/>
    <w:rsid w:val="6B9E5D94"/>
    <w:rsid w:val="6BC124C7"/>
    <w:rsid w:val="6C691739"/>
    <w:rsid w:val="6C81190A"/>
    <w:rsid w:val="6D066565"/>
    <w:rsid w:val="6E8F5FB4"/>
    <w:rsid w:val="6EDB1F6E"/>
    <w:rsid w:val="6EFB4CE2"/>
    <w:rsid w:val="6F997259"/>
    <w:rsid w:val="6FAB19C4"/>
    <w:rsid w:val="70CD071D"/>
    <w:rsid w:val="71B94718"/>
    <w:rsid w:val="722C0059"/>
    <w:rsid w:val="72833102"/>
    <w:rsid w:val="72B755AB"/>
    <w:rsid w:val="72DA12D3"/>
    <w:rsid w:val="73A90FDE"/>
    <w:rsid w:val="73CF4230"/>
    <w:rsid w:val="745D2019"/>
    <w:rsid w:val="74F67B27"/>
    <w:rsid w:val="75FE29B0"/>
    <w:rsid w:val="760B6CBC"/>
    <w:rsid w:val="76894F0E"/>
    <w:rsid w:val="7731279D"/>
    <w:rsid w:val="77B134E1"/>
    <w:rsid w:val="781A1483"/>
    <w:rsid w:val="783D6892"/>
    <w:rsid w:val="793A0A99"/>
    <w:rsid w:val="79790445"/>
    <w:rsid w:val="79D37E35"/>
    <w:rsid w:val="7A1253F6"/>
    <w:rsid w:val="7A293706"/>
    <w:rsid w:val="7BB7240C"/>
    <w:rsid w:val="7C08209B"/>
    <w:rsid w:val="7C6701DC"/>
    <w:rsid w:val="7CF85BA5"/>
    <w:rsid w:val="7D35603A"/>
    <w:rsid w:val="7D4A1795"/>
    <w:rsid w:val="7D810F35"/>
    <w:rsid w:val="7DD40B43"/>
    <w:rsid w:val="7DFE3AEB"/>
    <w:rsid w:val="7E0C0CD7"/>
    <w:rsid w:val="7EF20417"/>
    <w:rsid w:val="FDF74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5"/>
    <w:unhideWhenUsed/>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4">
    <w:name w:val="Normal Indent"/>
    <w:basedOn w:val="1"/>
    <w:next w:val="3"/>
    <w:qFormat/>
    <w:uiPriority w:val="0"/>
    <w:pPr>
      <w:ind w:firstLine="420"/>
    </w:pPr>
  </w:style>
  <w:style w:type="paragraph" w:styleId="9">
    <w:name w:val="Body Text"/>
    <w:basedOn w:val="1"/>
    <w:next w:val="1"/>
    <w:qFormat/>
    <w:uiPriority w:val="0"/>
    <w:rPr>
      <w:sz w:val="24"/>
    </w:rPr>
  </w:style>
  <w:style w:type="paragraph" w:styleId="10">
    <w:name w:val="List Continue"/>
    <w:basedOn w:val="1"/>
    <w:qFormat/>
    <w:uiPriority w:val="0"/>
    <w:pPr>
      <w:spacing w:after="120"/>
      <w:ind w:left="420"/>
    </w:pPr>
  </w:style>
  <w:style w:type="paragraph" w:styleId="11">
    <w:name w:val="Plain Text"/>
    <w:basedOn w:val="1"/>
    <w:next w:val="1"/>
    <w:link w:val="32"/>
    <w:qFormat/>
    <w:uiPriority w:val="0"/>
    <w:rPr>
      <w:rFonts w:ascii="宋体" w:hAnsi="Courier New" w:eastAsia="宋体"/>
    </w:rPr>
  </w:style>
  <w:style w:type="paragraph" w:styleId="12">
    <w:name w:val="Date"/>
    <w:basedOn w:val="1"/>
    <w:next w:val="1"/>
    <w:qFormat/>
    <w:uiPriority w:val="0"/>
    <w:pPr>
      <w:ind w:left="2500" w:leftChars="2500"/>
    </w:pPr>
    <w:rPr>
      <w:rFonts w:eastAsia="楷体_GB2312"/>
      <w:sz w:val="32"/>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3"/>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8">
    <w:name w:val="toc 4"/>
    <w:basedOn w:val="1"/>
    <w:next w:val="1"/>
    <w:qFormat/>
    <w:uiPriority w:val="0"/>
    <w:pPr>
      <w:ind w:left="1260"/>
    </w:pPr>
    <w:rPr>
      <w:kern w:val="1"/>
    </w:rPr>
  </w:style>
  <w:style w:type="paragraph" w:styleId="19">
    <w:name w:val="Body Text 2"/>
    <w:basedOn w:val="1"/>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Body Text First Indent"/>
    <w:basedOn w:val="9"/>
    <w:next w:val="1"/>
    <w:qFormat/>
    <w:uiPriority w:val="0"/>
    <w:pPr>
      <w:spacing w:after="120"/>
      <w:ind w:firstLine="420" w:firstLineChars="1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正文（首行缩进2字符）"/>
    <w:basedOn w:val="1"/>
    <w:qFormat/>
    <w:uiPriority w:val="0"/>
    <w:pPr>
      <w:spacing w:line="360" w:lineRule="auto"/>
      <w:ind w:firstLine="420" w:firstLineChars="200"/>
    </w:pPr>
    <w:rPr>
      <w:szCs w:val="21"/>
    </w:rPr>
  </w:style>
  <w:style w:type="paragraph" w:customStyle="1" w:styleId="29">
    <w:name w:val="首行缩进"/>
    <w:basedOn w:val="1"/>
    <w:next w:val="10"/>
    <w:qFormat/>
    <w:uiPriority w:val="0"/>
    <w:pPr>
      <w:spacing w:line="360" w:lineRule="auto"/>
      <w:ind w:firstLine="480" w:firstLineChars="200"/>
    </w:pPr>
    <w:rPr>
      <w:sz w:val="24"/>
      <w:lang w:val="zh-CN"/>
    </w:rPr>
  </w:style>
  <w:style w:type="paragraph" w:customStyle="1" w:styleId="30">
    <w:name w:val="M正文"/>
    <w:basedOn w:val="1"/>
    <w:qFormat/>
    <w:uiPriority w:val="0"/>
    <w:pPr>
      <w:spacing w:line="360" w:lineRule="auto"/>
      <w:ind w:firstLine="480" w:firstLineChars="200"/>
    </w:pPr>
    <w:rPr>
      <w:sz w:val="24"/>
      <w:szCs w:val="24"/>
    </w:rPr>
  </w:style>
  <w:style w:type="paragraph" w:customStyle="1" w:styleId="31">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character" w:customStyle="1" w:styleId="32">
    <w:name w:val="纯文本 Char"/>
    <w:link w:val="11"/>
    <w:qFormat/>
    <w:uiPriority w:val="0"/>
    <w:rPr>
      <w:rFonts w:ascii="宋体" w:hAnsi="Courier New" w:cstheme="minorBidi"/>
      <w:kern w:val="2"/>
      <w:sz w:val="21"/>
      <w:szCs w:val="22"/>
    </w:rPr>
  </w:style>
  <w:style w:type="character" w:customStyle="1" w:styleId="33">
    <w:name w:val="批注框文本 Char"/>
    <w:basedOn w:val="25"/>
    <w:link w:val="14"/>
    <w:qFormat/>
    <w:uiPriority w:val="0"/>
    <w:rPr>
      <w:rFonts w:asciiTheme="minorHAnsi" w:hAnsiTheme="minorHAnsi" w:eastAsiaTheme="minorEastAsia" w:cstheme="minorBidi"/>
      <w:kern w:val="2"/>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标题 3 Char"/>
    <w:link w:val="7"/>
    <w:qFormat/>
    <w:uiPriority w:val="0"/>
    <w:rPr>
      <w:b/>
      <w:bCs/>
      <w:sz w:val="32"/>
      <w:szCs w:val="32"/>
    </w:rPr>
  </w:style>
  <w:style w:type="paragraph" w:customStyle="1" w:styleId="36">
    <w:name w:val="正文缩进样式"/>
    <w:basedOn w:val="4"/>
    <w:qFormat/>
    <w:uiPriority w:val="0"/>
    <w:pPr>
      <w:widowControl/>
      <w:snapToGrid w:val="0"/>
      <w:spacing w:line="360" w:lineRule="auto"/>
      <w:ind w:firstLine="480"/>
      <w:jc w:val="left"/>
    </w:pPr>
    <w:rPr>
      <w:rFonts w:ascii="Arial" w:hAnsi="宋体" w:cs="Arial"/>
      <w:kern w:val="0"/>
      <w:sz w:val="24"/>
      <w:szCs w:val="24"/>
      <w:lang w:bidi="en-US"/>
    </w:rPr>
  </w:style>
  <w:style w:type="paragraph" w:customStyle="1" w:styleId="37">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p1"/>
    <w:basedOn w:val="1"/>
    <w:qFormat/>
    <w:uiPriority w:val="0"/>
    <w:pPr>
      <w:ind w:left="1380"/>
      <w:jc w:val="left"/>
    </w:pPr>
    <w:rPr>
      <w:rFonts w:ascii="pingfang sc" w:hAnsi="pingfang sc" w:eastAsia="pingfang sc" w:cs="Times New Roman"/>
      <w:kern w:val="0"/>
      <w:sz w:val="24"/>
      <w:szCs w:val="24"/>
    </w:rPr>
  </w:style>
  <w:style w:type="paragraph" w:customStyle="1" w:styleId="39">
    <w:name w:val="正文-首行缩进"/>
    <w:basedOn w:val="1"/>
    <w:qFormat/>
    <w:uiPriority w:val="0"/>
    <w:pPr>
      <w:spacing w:line="360" w:lineRule="auto"/>
      <w:ind w:firstLine="560" w:firstLineChars="200"/>
    </w:pPr>
    <w:rPr>
      <w:rFonts w:ascii="仿宋_GB2312" w:eastAsia="仿宋_GB2312" w:cs="仿宋_GB2312"/>
      <w:szCs w:val="28"/>
    </w:rPr>
  </w:style>
  <w:style w:type="paragraph" w:customStyle="1" w:styleId="40">
    <w:name w:val="xl53"/>
    <w:basedOn w:val="1"/>
    <w:next w:val="1"/>
    <w:qFormat/>
    <w:uiPriority w:val="0"/>
    <w:pPr>
      <w:spacing w:before="280" w:after="280" w:line="100" w:lineRule="exact"/>
      <w:jc w:val="center"/>
    </w:pPr>
    <w:rPr>
      <w:b/>
      <w:sz w:val="20"/>
    </w:rPr>
  </w:style>
  <w:style w:type="paragraph" w:customStyle="1" w:styleId="41">
    <w:name w:val="*正文"/>
    <w:basedOn w:val="1"/>
    <w:qFormat/>
    <w:uiPriority w:val="0"/>
    <w:pPr>
      <w:spacing w:line="360" w:lineRule="auto"/>
      <w:ind w:firstLine="200" w:firstLineChars="200"/>
    </w:pPr>
    <w:rPr>
      <w:rFonts w:ascii="宋体" w:hAnsi="宋体"/>
    </w:rPr>
  </w:style>
  <w:style w:type="paragraph" w:customStyle="1" w:styleId="42">
    <w:name w:val="常用段落文字格式"/>
    <w:basedOn w:val="1"/>
    <w:qFormat/>
    <w:uiPriority w:val="99"/>
    <w:pPr>
      <w:spacing w:line="360" w:lineRule="auto"/>
      <w:ind w:firstLine="480" w:firstLineChars="200"/>
    </w:pPr>
    <w:rPr>
      <w:rFonts w:ascii="宋体" w:hAnsi="宋体"/>
    </w:rPr>
  </w:style>
  <w:style w:type="paragraph" w:customStyle="1" w:styleId="43">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5">
    <w:name w:val="font11"/>
    <w:basedOn w:val="25"/>
    <w:qFormat/>
    <w:uiPriority w:val="0"/>
    <w:rPr>
      <w:rFonts w:hint="eastAsia" w:ascii="宋体" w:hAnsi="宋体" w:eastAsia="宋体" w:cs="宋体"/>
      <w:color w:val="000000"/>
      <w:sz w:val="22"/>
      <w:szCs w:val="22"/>
      <w:u w:val="none"/>
    </w:rPr>
  </w:style>
  <w:style w:type="character" w:customStyle="1" w:styleId="46">
    <w:name w:val="font101"/>
    <w:basedOn w:val="25"/>
    <w:qFormat/>
    <w:uiPriority w:val="0"/>
    <w:rPr>
      <w:rFonts w:hint="eastAsia" w:ascii="宋体" w:hAnsi="宋体" w:eastAsia="宋体" w:cs="宋体"/>
      <w:b/>
      <w:bCs/>
      <w:color w:val="000000"/>
      <w:sz w:val="22"/>
      <w:szCs w:val="22"/>
      <w:u w:val="none"/>
    </w:r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font121"/>
    <w:basedOn w:val="25"/>
    <w:qFormat/>
    <w:uiPriority w:val="0"/>
    <w:rPr>
      <w:rFonts w:ascii="仿宋" w:hAnsi="仿宋" w:eastAsia="仿宋" w:cs="仿宋"/>
      <w:color w:val="000000"/>
      <w:sz w:val="24"/>
      <w:szCs w:val="24"/>
      <w:u w:val="none"/>
    </w:rPr>
  </w:style>
  <w:style w:type="character" w:customStyle="1" w:styleId="49">
    <w:name w:val="font4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11078-6922-4037-9F01-194824EC2673}">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72</Pages>
  <Words>7269</Words>
  <Characters>41435</Characters>
  <Lines>345</Lines>
  <Paragraphs>97</Paragraphs>
  <TotalTime>28</TotalTime>
  <ScaleCrop>false</ScaleCrop>
  <LinksUpToDate>false</LinksUpToDate>
  <CharactersWithSpaces>48607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2022-08-31T05:16:00Z</dcterms:created>
  <dc:creator>诺</dc:creator>
  <cp:lastModifiedBy>陳驍</cp:lastModifiedBy>
  <cp:lastPrinted>2022-08-02T02:28:00Z</cp:lastPrinted>
  <dcterms:modified xsi:type="dcterms:W3CDTF">2022-10-09T08:23:04Z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793FFDDC23C74059ADFBF7C3794C3385</vt:lpwstr>
  </property>
</Properties>
</file>