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52"/>
          <w:highlight w:val="none"/>
        </w:rPr>
      </w:pPr>
      <w:bookmarkStart w:id="36" w:name="_GoBack"/>
      <w:bookmarkEnd w:id="36"/>
    </w:p>
    <w:p>
      <w:pPr>
        <w:jc w:val="center"/>
        <w:rPr>
          <w:b/>
          <w:bCs/>
          <w:sz w:val="52"/>
          <w:highlight w:val="none"/>
        </w:rPr>
      </w:pPr>
    </w:p>
    <w:p>
      <w:pPr>
        <w:widowControl/>
        <w:tabs>
          <w:tab w:val="center" w:pos="4677"/>
          <w:tab w:val="left" w:pos="7365"/>
        </w:tabs>
        <w:snapToGrid w:val="0"/>
        <w:spacing w:line="480" w:lineRule="atLeast"/>
        <w:ind w:left="466" w:leftChars="50" w:hanging="361" w:hangingChars="100"/>
        <w:jc w:val="center"/>
        <w:rPr>
          <w:rFonts w:hint="eastAsia"/>
          <w:b/>
          <w:sz w:val="36"/>
          <w:szCs w:val="36"/>
          <w:highlight w:val="none"/>
        </w:rPr>
      </w:pPr>
      <w:r>
        <w:rPr>
          <w:rFonts w:hAnsi="宋体"/>
          <w:b/>
          <w:color w:val="333333"/>
          <w:kern w:val="0"/>
          <w:sz w:val="36"/>
          <w:szCs w:val="36"/>
          <w:highlight w:val="none"/>
        </w:rPr>
        <w:t>义乌市稠江街道</w:t>
      </w:r>
      <w:r>
        <w:rPr>
          <w:rFonts w:hint="eastAsia"/>
          <w:b/>
          <w:sz w:val="36"/>
          <w:szCs w:val="36"/>
          <w:highlight w:val="none"/>
        </w:rPr>
        <w:t>锦都等五个社区</w:t>
      </w:r>
    </w:p>
    <w:p>
      <w:pPr>
        <w:widowControl/>
        <w:tabs>
          <w:tab w:val="center" w:pos="4677"/>
          <w:tab w:val="left" w:pos="7365"/>
        </w:tabs>
        <w:snapToGrid w:val="0"/>
        <w:spacing w:line="480" w:lineRule="atLeast"/>
        <w:ind w:left="466" w:leftChars="50" w:hanging="361" w:hangingChars="100"/>
        <w:jc w:val="center"/>
        <w:rPr>
          <w:rFonts w:hAnsi="宋体"/>
          <w:b/>
          <w:color w:val="333333"/>
          <w:kern w:val="0"/>
          <w:sz w:val="36"/>
          <w:szCs w:val="36"/>
          <w:highlight w:val="none"/>
        </w:rPr>
      </w:pPr>
      <w:r>
        <w:rPr>
          <w:rFonts w:hint="eastAsia"/>
          <w:b/>
          <w:sz w:val="36"/>
          <w:szCs w:val="36"/>
          <w:highlight w:val="none"/>
        </w:rPr>
        <w:t>2020年度</w:t>
      </w:r>
      <w:r>
        <w:rPr>
          <w:rFonts w:hAnsi="宋体"/>
          <w:b/>
          <w:color w:val="333333"/>
          <w:kern w:val="0"/>
          <w:sz w:val="36"/>
          <w:szCs w:val="36"/>
          <w:highlight w:val="none"/>
        </w:rPr>
        <w:t>清扫保洁服务采购</w:t>
      </w:r>
    </w:p>
    <w:p>
      <w:pPr>
        <w:jc w:val="center"/>
        <w:rPr>
          <w:b/>
          <w:sz w:val="48"/>
          <w:szCs w:val="48"/>
          <w:highlight w:val="none"/>
        </w:rPr>
      </w:pPr>
    </w:p>
    <w:p>
      <w:pPr>
        <w:tabs>
          <w:tab w:val="center" w:pos="4677"/>
          <w:tab w:val="left" w:pos="7365"/>
        </w:tabs>
        <w:jc w:val="center"/>
        <w:rPr>
          <w:b/>
          <w:bCs/>
          <w:sz w:val="36"/>
          <w:szCs w:val="36"/>
          <w:highlight w:val="none"/>
        </w:rPr>
      </w:pPr>
    </w:p>
    <w:p>
      <w:pPr>
        <w:tabs>
          <w:tab w:val="center" w:pos="4677"/>
          <w:tab w:val="left" w:pos="7365"/>
        </w:tabs>
        <w:jc w:val="center"/>
        <w:rPr>
          <w:b/>
          <w:bCs/>
          <w:sz w:val="36"/>
          <w:szCs w:val="36"/>
          <w:highlight w:val="none"/>
        </w:rPr>
      </w:pPr>
    </w:p>
    <w:p>
      <w:pPr>
        <w:tabs>
          <w:tab w:val="center" w:pos="4677"/>
          <w:tab w:val="left" w:pos="7365"/>
        </w:tabs>
        <w:jc w:val="center"/>
        <w:rPr>
          <w:sz w:val="52"/>
          <w:highlight w:val="none"/>
        </w:rPr>
      </w:pPr>
      <w:r>
        <w:rPr>
          <w:b/>
          <w:bCs/>
          <w:sz w:val="72"/>
          <w:highlight w:val="none"/>
        </w:rPr>
        <w:t>招标文件</w:t>
      </w:r>
    </w:p>
    <w:p>
      <w:pPr>
        <w:jc w:val="center"/>
        <w:rPr>
          <w:b/>
          <w:bCs/>
          <w:sz w:val="32"/>
          <w:highlight w:val="none"/>
        </w:rPr>
      </w:pPr>
    </w:p>
    <w:p>
      <w:pPr>
        <w:jc w:val="center"/>
        <w:rPr>
          <w:b/>
          <w:bCs/>
          <w:sz w:val="32"/>
          <w:highlight w:val="none"/>
          <w:u w:val="single"/>
        </w:rPr>
      </w:pPr>
      <w:r>
        <w:rPr>
          <w:b/>
          <w:bCs/>
          <w:sz w:val="32"/>
          <w:highlight w:val="none"/>
        </w:rPr>
        <w:t>采购编号：ZJKP20</w:t>
      </w:r>
      <w:r>
        <w:rPr>
          <w:rFonts w:hint="eastAsia"/>
          <w:b/>
          <w:bCs/>
          <w:sz w:val="32"/>
          <w:highlight w:val="none"/>
        </w:rPr>
        <w:t>20</w:t>
      </w:r>
      <w:r>
        <w:rPr>
          <w:b/>
          <w:bCs/>
          <w:sz w:val="32"/>
          <w:highlight w:val="none"/>
        </w:rPr>
        <w:t>YW149</w:t>
      </w:r>
      <w:r>
        <w:rPr>
          <w:rFonts w:hint="eastAsia"/>
          <w:b/>
          <w:bCs/>
          <w:color w:val="000000"/>
          <w:sz w:val="32"/>
          <w:highlight w:val="none"/>
        </w:rPr>
        <w:t>G</w:t>
      </w:r>
    </w:p>
    <w:p>
      <w:pPr>
        <w:jc w:val="center"/>
        <w:rPr>
          <w:b/>
          <w:bCs/>
          <w:sz w:val="32"/>
          <w:highlight w:val="none"/>
        </w:rPr>
      </w:pPr>
    </w:p>
    <w:p>
      <w:pPr>
        <w:jc w:val="center"/>
        <w:rPr>
          <w:b/>
          <w:bCs/>
          <w:sz w:val="36"/>
          <w:highlight w:val="none"/>
        </w:rPr>
      </w:pPr>
    </w:p>
    <w:p>
      <w:pPr>
        <w:jc w:val="center"/>
        <w:rPr>
          <w:b/>
          <w:bCs/>
          <w:sz w:val="36"/>
          <w:highlight w:val="none"/>
        </w:rPr>
      </w:pPr>
    </w:p>
    <w:p>
      <w:pPr>
        <w:jc w:val="center"/>
        <w:rPr>
          <w:b/>
          <w:bCs/>
          <w:sz w:val="36"/>
          <w:highlight w:val="none"/>
        </w:rPr>
      </w:pPr>
    </w:p>
    <w:p>
      <w:pPr>
        <w:jc w:val="center"/>
        <w:rPr>
          <w:b/>
          <w:bCs/>
          <w:sz w:val="36"/>
          <w:highlight w:val="none"/>
        </w:rPr>
      </w:pPr>
    </w:p>
    <w:p>
      <w:pPr>
        <w:jc w:val="center"/>
        <w:rPr>
          <w:b/>
          <w:bCs/>
          <w:sz w:val="36"/>
          <w:highlight w:val="none"/>
        </w:rPr>
      </w:pPr>
    </w:p>
    <w:p>
      <w:pPr>
        <w:widowControl/>
        <w:snapToGrid w:val="0"/>
        <w:spacing w:line="480" w:lineRule="atLeast"/>
        <w:ind w:firstLine="480"/>
        <w:jc w:val="left"/>
        <w:rPr>
          <w:bCs/>
          <w:color w:val="333333"/>
          <w:kern w:val="0"/>
          <w:sz w:val="36"/>
          <w:szCs w:val="36"/>
          <w:highlight w:val="none"/>
        </w:rPr>
      </w:pPr>
    </w:p>
    <w:p>
      <w:pPr>
        <w:widowControl/>
        <w:snapToGrid w:val="0"/>
        <w:spacing w:line="480" w:lineRule="atLeast"/>
        <w:ind w:firstLine="480"/>
        <w:jc w:val="left"/>
        <w:rPr>
          <w:bCs/>
          <w:color w:val="333333"/>
          <w:kern w:val="0"/>
          <w:sz w:val="36"/>
          <w:szCs w:val="36"/>
          <w:highlight w:val="none"/>
        </w:rPr>
      </w:pPr>
    </w:p>
    <w:p>
      <w:pPr>
        <w:widowControl/>
        <w:snapToGrid w:val="0"/>
        <w:spacing w:line="480" w:lineRule="atLeast"/>
        <w:ind w:firstLine="480"/>
        <w:jc w:val="left"/>
        <w:rPr>
          <w:bCs/>
          <w:color w:val="333333"/>
          <w:kern w:val="0"/>
          <w:sz w:val="36"/>
          <w:szCs w:val="36"/>
          <w:highlight w:val="none"/>
        </w:rPr>
      </w:pPr>
    </w:p>
    <w:p>
      <w:pPr>
        <w:pStyle w:val="13"/>
        <w:spacing w:line="360" w:lineRule="auto"/>
        <w:jc w:val="center"/>
        <w:rPr>
          <w:rFonts w:ascii="Times New Roman" w:hAnsi="Times New Roman"/>
          <w:b/>
          <w:sz w:val="36"/>
          <w:szCs w:val="36"/>
          <w:highlight w:val="none"/>
        </w:rPr>
      </w:pPr>
      <w:r>
        <w:rPr>
          <w:rFonts w:ascii="Times New Roman" w:hAnsi="宋体"/>
          <w:b/>
          <w:color w:val="333333"/>
          <w:kern w:val="0"/>
          <w:sz w:val="32"/>
          <w:szCs w:val="32"/>
          <w:highlight w:val="none"/>
        </w:rPr>
        <w:t>采购人：</w:t>
      </w:r>
      <w:r>
        <w:rPr>
          <w:rFonts w:ascii="Times New Roman" w:hAnsi="Times New Roman"/>
          <w:b/>
          <w:sz w:val="32"/>
          <w:szCs w:val="32"/>
          <w:highlight w:val="none"/>
        </w:rPr>
        <w:t>义乌市</w:t>
      </w:r>
      <w:r>
        <w:rPr>
          <w:rFonts w:hint="eastAsia" w:ascii="Times New Roman" w:hAnsi="Times New Roman"/>
          <w:b/>
          <w:sz w:val="32"/>
          <w:szCs w:val="32"/>
          <w:highlight w:val="none"/>
        </w:rPr>
        <w:t>人民政府</w:t>
      </w:r>
      <w:r>
        <w:rPr>
          <w:rFonts w:ascii="Times New Roman" w:hAnsi="Times New Roman"/>
          <w:b/>
          <w:sz w:val="32"/>
          <w:szCs w:val="32"/>
          <w:highlight w:val="none"/>
        </w:rPr>
        <w:t>稠江街道</w:t>
      </w:r>
      <w:r>
        <w:rPr>
          <w:rFonts w:hint="eastAsia" w:ascii="Times New Roman" w:hAnsi="Times New Roman"/>
          <w:b/>
          <w:sz w:val="32"/>
          <w:szCs w:val="32"/>
          <w:highlight w:val="none"/>
        </w:rPr>
        <w:t>办事处</w:t>
      </w:r>
    </w:p>
    <w:p>
      <w:pPr>
        <w:pStyle w:val="13"/>
        <w:spacing w:line="360" w:lineRule="auto"/>
        <w:jc w:val="center"/>
        <w:rPr>
          <w:rFonts w:ascii="Times New Roman" w:hAnsi="Times New Roman"/>
          <w:b/>
          <w:sz w:val="32"/>
          <w:szCs w:val="32"/>
          <w:highlight w:val="none"/>
        </w:rPr>
      </w:pPr>
      <w:r>
        <w:rPr>
          <w:rFonts w:hint="eastAsia" w:ascii="Times New Roman" w:hAnsi="Times New Roman"/>
          <w:b/>
          <w:sz w:val="32"/>
          <w:szCs w:val="32"/>
          <w:highlight w:val="none"/>
        </w:rPr>
        <w:t>采购代理机构：浙江开平企业管理咨询有限公司</w:t>
      </w:r>
    </w:p>
    <w:p>
      <w:pPr>
        <w:pStyle w:val="13"/>
        <w:spacing w:line="360" w:lineRule="auto"/>
        <w:jc w:val="center"/>
        <w:rPr>
          <w:rFonts w:ascii="Times New Roman" w:hAnsi="Times New Roman"/>
          <w:b/>
          <w:sz w:val="32"/>
          <w:szCs w:val="32"/>
          <w:highlight w:val="none"/>
        </w:rPr>
        <w:sectPr>
          <w:footerReference r:id="rId4" w:type="first"/>
          <w:headerReference r:id="rId3" w:type="default"/>
          <w:pgSz w:w="11906" w:h="16838"/>
          <w:pgMar w:top="1134" w:right="1134" w:bottom="1134" w:left="1418" w:header="851" w:footer="851" w:gutter="0"/>
          <w:pgNumType w:start="1"/>
          <w:cols w:space="720" w:num="1"/>
          <w:docGrid w:type="lines" w:linePitch="312" w:charSpace="0"/>
        </w:sectPr>
      </w:pPr>
      <w:r>
        <w:rPr>
          <w:rFonts w:hint="eastAsia" w:ascii="Times New Roman" w:hAnsi="Times New Roman"/>
          <w:b/>
          <w:sz w:val="32"/>
          <w:szCs w:val="32"/>
          <w:highlight w:val="none"/>
        </w:rPr>
        <w:t>二0二0年六月</w:t>
      </w:r>
    </w:p>
    <w:p>
      <w:pPr>
        <w:pStyle w:val="13"/>
        <w:spacing w:before="120" w:after="120" w:line="360" w:lineRule="auto"/>
        <w:ind w:firstLine="880" w:firstLineChars="200"/>
        <w:jc w:val="center"/>
        <w:rPr>
          <w:rFonts w:ascii="Times New Roman" w:hAnsi="Times New Roman"/>
          <w:b/>
          <w:sz w:val="44"/>
          <w:szCs w:val="44"/>
          <w:highlight w:val="none"/>
        </w:rPr>
      </w:pPr>
      <w:r>
        <w:rPr>
          <w:rFonts w:ascii="Times New Roman" w:hAnsi="Times New Roman"/>
          <w:b/>
          <w:sz w:val="44"/>
          <w:szCs w:val="44"/>
          <w:highlight w:val="none"/>
        </w:rPr>
        <w:t>招标文件目录</w:t>
      </w:r>
    </w:p>
    <w:p>
      <w:pPr>
        <w:pStyle w:val="19"/>
        <w:rPr>
          <w:b/>
          <w:highlight w:val="none"/>
        </w:rPr>
      </w:pPr>
    </w:p>
    <w:p>
      <w:pPr>
        <w:pStyle w:val="19"/>
        <w:rPr>
          <w:b/>
          <w:bCs/>
          <w:sz w:val="21"/>
          <w:highlight w:val="none"/>
        </w:rPr>
      </w:pPr>
      <w:r>
        <w:rPr>
          <w:b/>
          <w:highlight w:val="none"/>
        </w:rPr>
        <w:fldChar w:fldCharType="begin"/>
      </w:r>
      <w:r>
        <w:rPr>
          <w:b/>
          <w:highlight w:val="none"/>
        </w:rPr>
        <w:instrText xml:space="preserve"> TOC \o "1-3" \h \z \u </w:instrText>
      </w:r>
      <w:r>
        <w:rPr>
          <w:b/>
          <w:highlight w:val="none"/>
        </w:rPr>
        <w:fldChar w:fldCharType="separate"/>
      </w:r>
      <w:r>
        <w:rPr>
          <w:highlight w:val="none"/>
        </w:rPr>
        <w:fldChar w:fldCharType="begin"/>
      </w:r>
      <w:r>
        <w:rPr>
          <w:highlight w:val="none"/>
        </w:rPr>
        <w:instrText xml:space="preserve">HYPERLINK \l "_Toc362250684"</w:instrText>
      </w:r>
      <w:r>
        <w:rPr>
          <w:highlight w:val="none"/>
        </w:rPr>
        <w:fldChar w:fldCharType="separate"/>
      </w:r>
      <w:r>
        <w:rPr>
          <w:rStyle w:val="31"/>
          <w:color w:val="auto"/>
          <w:highlight w:val="none"/>
        </w:rPr>
        <w:t>第一章　采购</w:t>
      </w:r>
      <w:bookmarkStart w:id="0" w:name="_Hlt376766012"/>
      <w:bookmarkStart w:id="1" w:name="_Hlt376766013"/>
      <w:r>
        <w:rPr>
          <w:rStyle w:val="31"/>
          <w:color w:val="auto"/>
          <w:highlight w:val="none"/>
        </w:rPr>
        <w:t>公</w:t>
      </w:r>
      <w:bookmarkEnd w:id="0"/>
      <w:bookmarkEnd w:id="1"/>
      <w:r>
        <w:rPr>
          <w:rStyle w:val="31"/>
          <w:color w:val="auto"/>
          <w:highlight w:val="none"/>
        </w:rPr>
        <w:t>告</w:t>
      </w:r>
      <w:r>
        <w:rPr>
          <w:highlight w:val="none"/>
        </w:rPr>
        <w:fldChar w:fldCharType="end"/>
      </w:r>
    </w:p>
    <w:p>
      <w:pPr>
        <w:pStyle w:val="19"/>
        <w:rPr>
          <w:rStyle w:val="31"/>
          <w:color w:val="auto"/>
          <w:highlight w:val="none"/>
        </w:rPr>
      </w:pPr>
    </w:p>
    <w:p>
      <w:pPr>
        <w:pStyle w:val="19"/>
        <w:rPr>
          <w:b/>
          <w:bCs/>
          <w:sz w:val="21"/>
          <w:highlight w:val="none"/>
        </w:rPr>
      </w:pPr>
      <w:r>
        <w:rPr>
          <w:highlight w:val="none"/>
        </w:rPr>
        <w:fldChar w:fldCharType="begin"/>
      </w:r>
      <w:r>
        <w:rPr>
          <w:highlight w:val="none"/>
        </w:rPr>
        <w:instrText xml:space="preserve">HYPERLINK \l "_Toc362250685"</w:instrText>
      </w:r>
      <w:r>
        <w:rPr>
          <w:highlight w:val="none"/>
        </w:rPr>
        <w:fldChar w:fldCharType="separate"/>
      </w:r>
      <w:r>
        <w:rPr>
          <w:rStyle w:val="31"/>
          <w:color w:val="auto"/>
          <w:highlight w:val="none"/>
        </w:rPr>
        <w:t>第二章　投标须知和投标须知前附表</w:t>
      </w:r>
      <w:r>
        <w:rPr>
          <w:highlight w:val="none"/>
        </w:rPr>
        <w:fldChar w:fldCharType="end"/>
      </w:r>
    </w:p>
    <w:p>
      <w:pPr>
        <w:pStyle w:val="19"/>
        <w:rPr>
          <w:rStyle w:val="31"/>
          <w:color w:val="auto"/>
          <w:highlight w:val="none"/>
        </w:rPr>
      </w:pPr>
    </w:p>
    <w:p>
      <w:pPr>
        <w:pStyle w:val="19"/>
        <w:rPr>
          <w:highlight w:val="none"/>
        </w:rPr>
      </w:pPr>
      <w:r>
        <w:rPr>
          <w:highlight w:val="none"/>
        </w:rPr>
        <w:fldChar w:fldCharType="begin"/>
      </w:r>
      <w:r>
        <w:rPr>
          <w:highlight w:val="none"/>
        </w:rPr>
        <w:instrText xml:space="preserve">HYPERLINK \l "_Toc362250692"</w:instrText>
      </w:r>
      <w:r>
        <w:rPr>
          <w:highlight w:val="none"/>
        </w:rPr>
        <w:fldChar w:fldCharType="separate"/>
      </w:r>
      <w:r>
        <w:rPr>
          <w:rStyle w:val="31"/>
          <w:color w:val="auto"/>
          <w:highlight w:val="none"/>
        </w:rPr>
        <w:t>第三章  招标项目要求</w:t>
      </w:r>
      <w:r>
        <w:rPr>
          <w:highlight w:val="none"/>
        </w:rPr>
        <w:fldChar w:fldCharType="end"/>
      </w:r>
    </w:p>
    <w:p>
      <w:pPr>
        <w:pStyle w:val="19"/>
        <w:tabs>
          <w:tab w:val="left" w:pos="1260"/>
        </w:tabs>
        <w:rPr>
          <w:rStyle w:val="31"/>
          <w:color w:val="auto"/>
          <w:highlight w:val="none"/>
        </w:rPr>
      </w:pPr>
    </w:p>
    <w:p>
      <w:pPr>
        <w:pStyle w:val="19"/>
        <w:tabs>
          <w:tab w:val="left" w:pos="1020"/>
        </w:tabs>
        <w:rPr>
          <w:b/>
          <w:bCs/>
          <w:sz w:val="21"/>
          <w:highlight w:val="none"/>
        </w:rPr>
      </w:pPr>
      <w:r>
        <w:rPr>
          <w:highlight w:val="none"/>
        </w:rPr>
        <w:fldChar w:fldCharType="begin"/>
      </w:r>
      <w:r>
        <w:rPr>
          <w:highlight w:val="none"/>
        </w:rPr>
        <w:instrText xml:space="preserve">HYPERLINK \l "_Toc362250703"</w:instrText>
      </w:r>
      <w:r>
        <w:rPr>
          <w:highlight w:val="none"/>
        </w:rPr>
        <w:fldChar w:fldCharType="separate"/>
      </w:r>
      <w:r>
        <w:rPr>
          <w:rStyle w:val="31"/>
          <w:color w:val="auto"/>
          <w:highlight w:val="none"/>
        </w:rPr>
        <w:t>第</w:t>
      </w:r>
      <w:r>
        <w:rPr>
          <w:rStyle w:val="31"/>
          <w:rFonts w:hint="eastAsia"/>
          <w:color w:val="auto"/>
          <w:highlight w:val="none"/>
        </w:rPr>
        <w:t>四</w:t>
      </w:r>
      <w:r>
        <w:rPr>
          <w:rStyle w:val="31"/>
          <w:color w:val="auto"/>
          <w:highlight w:val="none"/>
        </w:rPr>
        <w:t>章</w:t>
      </w:r>
      <w:r>
        <w:rPr>
          <w:b/>
          <w:bCs/>
          <w:sz w:val="21"/>
          <w:highlight w:val="none"/>
        </w:rPr>
        <w:tab/>
      </w:r>
      <w:r>
        <w:rPr>
          <w:rStyle w:val="31"/>
          <w:color w:val="auto"/>
          <w:highlight w:val="none"/>
        </w:rPr>
        <w:t>开标、评标和定标须知</w:t>
      </w:r>
      <w:r>
        <w:rPr>
          <w:highlight w:val="none"/>
        </w:rPr>
        <w:fldChar w:fldCharType="end"/>
      </w:r>
    </w:p>
    <w:p>
      <w:pPr>
        <w:pStyle w:val="19"/>
        <w:rPr>
          <w:rStyle w:val="31"/>
          <w:color w:val="auto"/>
          <w:highlight w:val="none"/>
        </w:rPr>
      </w:pPr>
    </w:p>
    <w:p>
      <w:pPr>
        <w:pStyle w:val="19"/>
        <w:rPr>
          <w:b/>
          <w:bCs/>
          <w:sz w:val="21"/>
          <w:highlight w:val="none"/>
        </w:rPr>
      </w:pPr>
      <w:r>
        <w:rPr>
          <w:highlight w:val="none"/>
        </w:rPr>
        <w:fldChar w:fldCharType="begin"/>
      </w:r>
      <w:r>
        <w:rPr>
          <w:highlight w:val="none"/>
        </w:rPr>
        <w:instrText xml:space="preserve">HYPERLINK \l "_Toc362250707"</w:instrText>
      </w:r>
      <w:r>
        <w:rPr>
          <w:highlight w:val="none"/>
        </w:rPr>
        <w:fldChar w:fldCharType="separate"/>
      </w:r>
      <w:r>
        <w:rPr>
          <w:rStyle w:val="31"/>
          <w:color w:val="auto"/>
          <w:highlight w:val="none"/>
        </w:rPr>
        <w:t>第</w:t>
      </w:r>
      <w:r>
        <w:rPr>
          <w:rStyle w:val="31"/>
          <w:rFonts w:hint="eastAsia"/>
          <w:color w:val="auto"/>
          <w:highlight w:val="none"/>
        </w:rPr>
        <w:t>五</w:t>
      </w:r>
      <w:r>
        <w:rPr>
          <w:rStyle w:val="31"/>
          <w:color w:val="auto"/>
          <w:highlight w:val="none"/>
        </w:rPr>
        <w:t>章  投标文件的有效性</w:t>
      </w:r>
      <w:r>
        <w:rPr>
          <w:highlight w:val="none"/>
        </w:rPr>
        <w:fldChar w:fldCharType="end"/>
      </w:r>
    </w:p>
    <w:p>
      <w:pPr>
        <w:pStyle w:val="19"/>
        <w:rPr>
          <w:rStyle w:val="31"/>
          <w:color w:val="auto"/>
          <w:highlight w:val="none"/>
        </w:rPr>
      </w:pPr>
    </w:p>
    <w:p>
      <w:pPr>
        <w:pStyle w:val="19"/>
        <w:rPr>
          <w:b/>
          <w:bCs/>
          <w:sz w:val="21"/>
          <w:highlight w:val="none"/>
        </w:rPr>
      </w:pPr>
      <w:r>
        <w:rPr>
          <w:highlight w:val="none"/>
        </w:rPr>
        <w:fldChar w:fldCharType="begin"/>
      </w:r>
      <w:r>
        <w:rPr>
          <w:highlight w:val="none"/>
        </w:rPr>
        <w:instrText xml:space="preserve">HYPERLINK \l "_Toc362250708"</w:instrText>
      </w:r>
      <w:r>
        <w:rPr>
          <w:highlight w:val="none"/>
        </w:rPr>
        <w:fldChar w:fldCharType="separate"/>
      </w:r>
      <w:r>
        <w:rPr>
          <w:rStyle w:val="31"/>
          <w:color w:val="auto"/>
          <w:highlight w:val="none"/>
        </w:rPr>
        <w:t>第</w:t>
      </w:r>
      <w:r>
        <w:rPr>
          <w:rStyle w:val="31"/>
          <w:rFonts w:hint="eastAsia"/>
          <w:color w:val="auto"/>
          <w:highlight w:val="none"/>
        </w:rPr>
        <w:t>六</w:t>
      </w:r>
      <w:r>
        <w:rPr>
          <w:rStyle w:val="31"/>
          <w:color w:val="auto"/>
          <w:highlight w:val="none"/>
        </w:rPr>
        <w:t>章  评标办法</w:t>
      </w:r>
      <w:r>
        <w:rPr>
          <w:highlight w:val="none"/>
        </w:rPr>
        <w:fldChar w:fldCharType="end"/>
      </w:r>
    </w:p>
    <w:p>
      <w:pPr>
        <w:pStyle w:val="19"/>
        <w:rPr>
          <w:rStyle w:val="31"/>
          <w:color w:val="auto"/>
          <w:highlight w:val="none"/>
        </w:rPr>
      </w:pPr>
    </w:p>
    <w:p>
      <w:pPr>
        <w:pStyle w:val="19"/>
        <w:rPr>
          <w:b/>
          <w:bCs/>
          <w:sz w:val="21"/>
          <w:highlight w:val="none"/>
        </w:rPr>
      </w:pPr>
      <w:r>
        <w:rPr>
          <w:highlight w:val="none"/>
        </w:rPr>
        <w:fldChar w:fldCharType="begin"/>
      </w:r>
      <w:r>
        <w:rPr>
          <w:highlight w:val="none"/>
        </w:rPr>
        <w:instrText xml:space="preserve">HYPERLINK \l "_Toc362250711"</w:instrText>
      </w:r>
      <w:r>
        <w:rPr>
          <w:highlight w:val="none"/>
        </w:rPr>
        <w:fldChar w:fldCharType="separate"/>
      </w:r>
      <w:r>
        <w:rPr>
          <w:rStyle w:val="31"/>
          <w:color w:val="auto"/>
          <w:highlight w:val="none"/>
        </w:rPr>
        <w:t>第</w:t>
      </w:r>
      <w:r>
        <w:rPr>
          <w:rStyle w:val="31"/>
          <w:rFonts w:hint="eastAsia"/>
          <w:color w:val="auto"/>
          <w:highlight w:val="none"/>
        </w:rPr>
        <w:t>七</w:t>
      </w:r>
      <w:r>
        <w:rPr>
          <w:rStyle w:val="31"/>
          <w:color w:val="auto"/>
          <w:highlight w:val="none"/>
        </w:rPr>
        <w:t>章  合同主要条款</w:t>
      </w:r>
      <w:r>
        <w:rPr>
          <w:highlight w:val="none"/>
        </w:rPr>
        <w:fldChar w:fldCharType="end"/>
      </w:r>
    </w:p>
    <w:p>
      <w:pPr>
        <w:pStyle w:val="19"/>
        <w:rPr>
          <w:rStyle w:val="31"/>
          <w:color w:val="auto"/>
          <w:highlight w:val="none"/>
        </w:rPr>
      </w:pPr>
    </w:p>
    <w:p>
      <w:pPr>
        <w:pStyle w:val="19"/>
        <w:rPr>
          <w:b/>
          <w:bCs/>
          <w:sz w:val="21"/>
          <w:highlight w:val="none"/>
        </w:rPr>
      </w:pPr>
      <w:r>
        <w:rPr>
          <w:highlight w:val="none"/>
        </w:rPr>
        <w:fldChar w:fldCharType="begin"/>
      </w:r>
      <w:r>
        <w:rPr>
          <w:highlight w:val="none"/>
        </w:rPr>
        <w:instrText xml:space="preserve">HYPERLINK \l "_Toc362250712"</w:instrText>
      </w:r>
      <w:r>
        <w:rPr>
          <w:highlight w:val="none"/>
        </w:rPr>
        <w:fldChar w:fldCharType="separate"/>
      </w:r>
      <w:r>
        <w:rPr>
          <w:rStyle w:val="31"/>
          <w:color w:val="auto"/>
          <w:highlight w:val="none"/>
        </w:rPr>
        <w:t>第</w:t>
      </w:r>
      <w:r>
        <w:rPr>
          <w:rStyle w:val="31"/>
          <w:rFonts w:hint="eastAsia"/>
          <w:color w:val="auto"/>
          <w:highlight w:val="none"/>
        </w:rPr>
        <w:t>八</w:t>
      </w:r>
      <w:r>
        <w:rPr>
          <w:rStyle w:val="31"/>
          <w:color w:val="auto"/>
          <w:highlight w:val="none"/>
        </w:rPr>
        <w:t>章  投标文件部分格式</w:t>
      </w:r>
      <w:r>
        <w:rPr>
          <w:highlight w:val="none"/>
        </w:rPr>
        <w:fldChar w:fldCharType="end"/>
      </w:r>
    </w:p>
    <w:p>
      <w:pPr>
        <w:rPr>
          <w:highlight w:val="none"/>
        </w:rPr>
      </w:pPr>
      <w:r>
        <w:rPr>
          <w:b/>
          <w:szCs w:val="30"/>
          <w:highlight w:val="none"/>
        </w:rPr>
        <w:fldChar w:fldCharType="end"/>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rPr>
          <w:b/>
          <w:sz w:val="36"/>
          <w:szCs w:val="36"/>
          <w:highlight w:val="none"/>
        </w:rPr>
      </w:pPr>
      <w:r>
        <w:rPr>
          <w:b/>
          <w:sz w:val="36"/>
          <w:szCs w:val="36"/>
          <w:highlight w:val="none"/>
        </w:rPr>
        <w:t>第一章</w:t>
      </w:r>
      <w:r>
        <w:rPr>
          <w:rFonts w:hint="eastAsia"/>
          <w:b/>
          <w:sz w:val="36"/>
          <w:szCs w:val="36"/>
          <w:highlight w:val="none"/>
        </w:rPr>
        <w:t xml:space="preserve">  采购公告</w:t>
      </w:r>
    </w:p>
    <w:p>
      <w:pPr>
        <w:spacing w:line="360" w:lineRule="auto"/>
        <w:ind w:firstLine="480" w:firstLineChars="200"/>
        <w:rPr>
          <w:sz w:val="24"/>
          <w:highlight w:val="none"/>
        </w:rPr>
      </w:pPr>
      <w:r>
        <w:rPr>
          <w:rFonts w:hAnsi="宋体"/>
          <w:sz w:val="24"/>
          <w:highlight w:val="none"/>
        </w:rPr>
        <w:t>浙江开平企业管理咨询有限公司受</w:t>
      </w:r>
      <w:r>
        <w:rPr>
          <w:rFonts w:hint="eastAsia" w:hAnsi="宋体"/>
          <w:sz w:val="24"/>
          <w:highlight w:val="none"/>
        </w:rPr>
        <w:t>义乌市人民政府稠江街道办事处</w:t>
      </w:r>
      <w:r>
        <w:rPr>
          <w:rFonts w:hAnsi="宋体"/>
          <w:sz w:val="24"/>
          <w:highlight w:val="none"/>
        </w:rPr>
        <w:t>委托，就</w:t>
      </w:r>
      <w:r>
        <w:rPr>
          <w:rFonts w:hint="eastAsia"/>
          <w:sz w:val="24"/>
          <w:highlight w:val="none"/>
        </w:rPr>
        <w:t>义乌市稠江街道锦都等五个社区2020年度清扫保洁服务</w:t>
      </w:r>
      <w:r>
        <w:rPr>
          <w:rFonts w:hAnsi="宋体"/>
          <w:sz w:val="24"/>
          <w:highlight w:val="none"/>
        </w:rPr>
        <w:t>进行</w:t>
      </w:r>
      <w:r>
        <w:rPr>
          <w:rFonts w:hAnsi="宋体"/>
          <w:b/>
          <w:sz w:val="24"/>
          <w:highlight w:val="none"/>
          <w:u w:val="single"/>
        </w:rPr>
        <w:t>公开招标</w:t>
      </w:r>
      <w:r>
        <w:rPr>
          <w:rFonts w:hAnsi="宋体"/>
          <w:sz w:val="24"/>
          <w:highlight w:val="none"/>
        </w:rPr>
        <w:t>采购，欢迎国内有相应</w:t>
      </w:r>
      <w:r>
        <w:rPr>
          <w:rFonts w:hint="eastAsia" w:hAnsi="宋体"/>
          <w:sz w:val="24"/>
          <w:highlight w:val="none"/>
        </w:rPr>
        <w:t>服务</w:t>
      </w:r>
      <w:r>
        <w:rPr>
          <w:rFonts w:hAnsi="宋体"/>
          <w:sz w:val="24"/>
          <w:highlight w:val="none"/>
        </w:rPr>
        <w:t>能力的投标人参加投标。</w:t>
      </w:r>
    </w:p>
    <w:p>
      <w:pPr>
        <w:pStyle w:val="13"/>
        <w:adjustRightInd w:val="0"/>
        <w:snapToGrid w:val="0"/>
        <w:spacing w:line="360" w:lineRule="auto"/>
        <w:rPr>
          <w:rFonts w:ascii="Times New Roman" w:hAnsi="Times New Roman"/>
          <w:color w:val="000000"/>
          <w:sz w:val="24"/>
          <w:szCs w:val="24"/>
          <w:highlight w:val="none"/>
        </w:rPr>
      </w:pPr>
      <w:r>
        <w:rPr>
          <w:rFonts w:hint="eastAsia" w:ascii="Times New Roman" w:hAnsi="Times New Roman"/>
          <w:b/>
          <w:sz w:val="24"/>
          <w:szCs w:val="24"/>
          <w:highlight w:val="none"/>
        </w:rPr>
        <w:t>1、</w:t>
      </w:r>
      <w:r>
        <w:rPr>
          <w:rFonts w:ascii="Times New Roman" w:hAnsi="Times New Roman"/>
          <w:b/>
          <w:sz w:val="24"/>
          <w:szCs w:val="24"/>
          <w:highlight w:val="none"/>
        </w:rPr>
        <w:t>采购编号</w:t>
      </w:r>
      <w:r>
        <w:rPr>
          <w:rFonts w:ascii="Times New Roman" w:hAnsi="Times New Roman"/>
          <w:sz w:val="24"/>
          <w:szCs w:val="24"/>
          <w:highlight w:val="none"/>
        </w:rPr>
        <w:t>：</w:t>
      </w:r>
      <w:r>
        <w:rPr>
          <w:rFonts w:ascii="Times New Roman" w:hAnsi="Times New Roman"/>
          <w:color w:val="000000"/>
          <w:sz w:val="24"/>
          <w:szCs w:val="24"/>
          <w:highlight w:val="none"/>
        </w:rPr>
        <w:t>ZJKP20</w:t>
      </w:r>
      <w:r>
        <w:rPr>
          <w:rFonts w:hint="eastAsia" w:ascii="Times New Roman" w:hAnsi="Times New Roman"/>
          <w:color w:val="000000"/>
          <w:sz w:val="24"/>
          <w:szCs w:val="24"/>
          <w:highlight w:val="none"/>
        </w:rPr>
        <w:t>20</w:t>
      </w:r>
      <w:r>
        <w:rPr>
          <w:rFonts w:ascii="Times New Roman" w:hAnsi="Times New Roman"/>
          <w:color w:val="000000"/>
          <w:sz w:val="24"/>
          <w:szCs w:val="24"/>
          <w:highlight w:val="none"/>
        </w:rPr>
        <w:t>YW149</w:t>
      </w:r>
      <w:r>
        <w:rPr>
          <w:rFonts w:hint="eastAsia" w:ascii="Times New Roman" w:hAnsi="Times New Roman"/>
          <w:color w:val="000000"/>
          <w:sz w:val="24"/>
          <w:szCs w:val="24"/>
          <w:highlight w:val="none"/>
        </w:rPr>
        <w:t>G</w:t>
      </w:r>
    </w:p>
    <w:p>
      <w:pPr>
        <w:spacing w:line="360" w:lineRule="auto"/>
        <w:rPr>
          <w:sz w:val="24"/>
          <w:highlight w:val="none"/>
        </w:rPr>
      </w:pPr>
      <w:r>
        <w:rPr>
          <w:rFonts w:hint="eastAsia"/>
          <w:b/>
          <w:sz w:val="24"/>
          <w:highlight w:val="none"/>
        </w:rPr>
        <w:t>2、</w:t>
      </w:r>
      <w:r>
        <w:rPr>
          <w:b/>
          <w:sz w:val="24"/>
          <w:highlight w:val="none"/>
        </w:rPr>
        <w:t>采购内容：</w:t>
      </w:r>
      <w:r>
        <w:rPr>
          <w:rFonts w:hint="eastAsia"/>
          <w:sz w:val="24"/>
          <w:highlight w:val="none"/>
        </w:rPr>
        <w:t>义乌市稠江街道锦都等五个社区2020</w:t>
      </w:r>
      <w:r>
        <w:rPr>
          <w:sz w:val="24"/>
          <w:highlight w:val="none"/>
        </w:rPr>
        <w:t>年</w:t>
      </w:r>
      <w:r>
        <w:rPr>
          <w:rFonts w:hint="eastAsia"/>
          <w:sz w:val="24"/>
          <w:highlight w:val="none"/>
        </w:rPr>
        <w:t>度清扫保洁和垃圾清运服务</w:t>
      </w:r>
      <w:r>
        <w:rPr>
          <w:sz w:val="24"/>
          <w:highlight w:val="none"/>
        </w:rPr>
        <w:t>。</w:t>
      </w:r>
    </w:p>
    <w:p>
      <w:pPr>
        <w:spacing w:line="360" w:lineRule="auto"/>
        <w:rPr>
          <w:sz w:val="24"/>
          <w:highlight w:val="none"/>
        </w:rPr>
      </w:pPr>
      <w:r>
        <w:rPr>
          <w:rFonts w:hint="eastAsia"/>
          <w:b/>
          <w:sz w:val="24"/>
          <w:highlight w:val="none"/>
        </w:rPr>
        <w:t>3、服务期限：</w:t>
      </w:r>
      <w:r>
        <w:rPr>
          <w:rFonts w:hint="eastAsia"/>
          <w:sz w:val="24"/>
          <w:highlight w:val="none"/>
        </w:rPr>
        <w:t>一年</w:t>
      </w:r>
    </w:p>
    <w:p>
      <w:pPr>
        <w:spacing w:line="360" w:lineRule="auto"/>
        <w:jc w:val="left"/>
        <w:rPr>
          <w:rFonts w:hint="eastAsia"/>
          <w:b/>
          <w:sz w:val="24"/>
          <w:highlight w:val="none"/>
        </w:rPr>
      </w:pPr>
      <w:r>
        <w:rPr>
          <w:rFonts w:hint="eastAsia"/>
          <w:b/>
          <w:sz w:val="24"/>
          <w:highlight w:val="none"/>
        </w:rPr>
        <w:t>4、</w:t>
      </w:r>
      <w:r>
        <w:rPr>
          <w:b/>
          <w:sz w:val="24"/>
          <w:highlight w:val="none"/>
        </w:rPr>
        <w:t>采购预算及最高限价：</w:t>
      </w:r>
    </w:p>
    <w:tbl>
      <w:tblPr>
        <w:tblStyle w:val="25"/>
        <w:tblW w:w="104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270"/>
        <w:gridCol w:w="852"/>
        <w:gridCol w:w="853"/>
        <w:gridCol w:w="1279"/>
        <w:gridCol w:w="128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3"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标段</w:t>
            </w:r>
          </w:p>
        </w:tc>
        <w:tc>
          <w:tcPr>
            <w:tcW w:w="3270"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标项内容</w:t>
            </w:r>
          </w:p>
        </w:tc>
        <w:tc>
          <w:tcPr>
            <w:tcW w:w="852"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数量</w:t>
            </w:r>
          </w:p>
        </w:tc>
        <w:tc>
          <w:tcPr>
            <w:tcW w:w="853"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单位</w:t>
            </w:r>
          </w:p>
        </w:tc>
        <w:tc>
          <w:tcPr>
            <w:tcW w:w="1279"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预算金额（元）</w:t>
            </w:r>
          </w:p>
        </w:tc>
        <w:tc>
          <w:tcPr>
            <w:tcW w:w="1280"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最高限价（元）</w:t>
            </w:r>
          </w:p>
        </w:tc>
        <w:tc>
          <w:tcPr>
            <w:tcW w:w="2190"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11" w:type="dxa"/>
            <w:vMerge w:val="restart"/>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一</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ascii="新宋体" w:hAnsi="新宋体" w:eastAsia="新宋体"/>
                <w:iCs/>
                <w:color w:val="000000"/>
                <w:szCs w:val="21"/>
                <w:highlight w:val="none"/>
              </w:rPr>
              <w:t>锦都社区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551380</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551380</w:t>
            </w:r>
          </w:p>
        </w:tc>
        <w:tc>
          <w:tcPr>
            <w:tcW w:w="2190" w:type="dxa"/>
            <w:vMerge w:val="restart"/>
            <w:noWrap w:val="0"/>
            <w:vAlign w:val="top"/>
          </w:tcPr>
          <w:p>
            <w:pPr>
              <w:pStyle w:val="13"/>
              <w:adjustRightInd w:val="0"/>
              <w:snapToGrid w:val="0"/>
              <w:rPr>
                <w:rFonts w:hint="eastAsia" w:ascii="新宋体" w:hAnsi="新宋体" w:eastAsia="新宋体"/>
                <w:color w:val="000000"/>
                <w:szCs w:val="21"/>
                <w:highlight w:val="none"/>
              </w:rPr>
            </w:pPr>
            <w:r>
              <w:rPr>
                <w:rFonts w:hint="eastAsia" w:hAnsi="宋体"/>
                <w:color w:val="000000"/>
                <w:kern w:val="0"/>
                <w:szCs w:val="21"/>
                <w:highlight w:val="none"/>
              </w:rPr>
              <w:t>1.因市环卫体制改革、小区物业管理改革、城市有机更新等需要提前中止合同或部分减少保洁区域的，甲方应提前10个工作日通知乙方，乙方应无条件配合甲方解除合同或做好工作交接，其保洁费用根据实际工作量进行调整结算。</w:t>
            </w:r>
          </w:p>
          <w:p>
            <w:pPr>
              <w:pStyle w:val="13"/>
              <w:adjustRightInd w:val="0"/>
              <w:snapToGrid w:val="0"/>
              <w:rPr>
                <w:rFonts w:hint="eastAsia" w:ascii="新宋体" w:hAnsi="新宋体" w:eastAsia="新宋体"/>
                <w:color w:val="000000"/>
                <w:szCs w:val="21"/>
                <w:highlight w:val="none"/>
              </w:rPr>
            </w:pPr>
            <w:r>
              <w:rPr>
                <w:rFonts w:hint="eastAsia" w:ascii="新宋体" w:hAnsi="新宋体" w:eastAsia="新宋体"/>
                <w:color w:val="000000"/>
                <w:szCs w:val="21"/>
                <w:highlight w:val="none"/>
              </w:rPr>
              <w:t>2.投标报价＝最高限价×（1-让利率）</w:t>
            </w:r>
          </w:p>
          <w:p>
            <w:pPr>
              <w:pStyle w:val="13"/>
              <w:adjustRightInd w:val="0"/>
              <w:snapToGrid w:val="0"/>
              <w:rPr>
                <w:rFonts w:hint="eastAsia" w:ascii="新宋体" w:hAnsi="新宋体" w:eastAsia="新宋体"/>
                <w:iCs/>
                <w:color w:val="000000"/>
                <w:highlight w:val="none"/>
              </w:rPr>
            </w:pPr>
            <w:r>
              <w:rPr>
                <w:rFonts w:hint="eastAsia" w:ascii="新宋体" w:hAnsi="新宋体" w:eastAsia="新宋体"/>
                <w:color w:val="000000"/>
                <w:szCs w:val="21"/>
                <w:highlight w:val="none"/>
              </w:rPr>
              <w:t>3.具体要求见第三章《招标项目要求》。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711" w:type="dxa"/>
            <w:vMerge w:val="continue"/>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ascii="新宋体" w:hAnsi="新宋体" w:eastAsia="新宋体"/>
                <w:iCs/>
                <w:color w:val="000000"/>
                <w:szCs w:val="21"/>
                <w:highlight w:val="none"/>
              </w:rPr>
              <w:t>凤凰社区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485301</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485301</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8"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二</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color w:val="000000"/>
                <w:szCs w:val="21"/>
                <w:highlight w:val="none"/>
              </w:rPr>
              <w:t>松门里社区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2207019</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2207019</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6"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三</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color w:val="000000"/>
                <w:szCs w:val="21"/>
                <w:highlight w:val="none"/>
              </w:rPr>
              <w:t>黎明社区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1970067</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1970067</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四</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color w:val="000000"/>
                <w:szCs w:val="21"/>
                <w:highlight w:val="none"/>
              </w:rPr>
              <w:t>杨村社区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2566032</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2566032</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bl>
    <w:p>
      <w:pPr>
        <w:spacing w:line="360" w:lineRule="auto"/>
        <w:rPr>
          <w:b/>
          <w:sz w:val="24"/>
          <w:highlight w:val="none"/>
        </w:rPr>
      </w:pPr>
      <w:r>
        <w:rPr>
          <w:rFonts w:hint="eastAsia"/>
          <w:b/>
          <w:sz w:val="24"/>
          <w:highlight w:val="none"/>
        </w:rPr>
        <w:t>5</w:t>
      </w:r>
      <w:r>
        <w:rPr>
          <w:b/>
          <w:sz w:val="24"/>
          <w:highlight w:val="none"/>
        </w:rPr>
        <w:t>、投标人的资格要求：</w:t>
      </w:r>
    </w:p>
    <w:p>
      <w:pPr>
        <w:widowControl/>
        <w:spacing w:line="360" w:lineRule="auto"/>
        <w:jc w:val="left"/>
        <w:rPr>
          <w:rFonts w:ascii="新宋体" w:hAnsi="新宋体" w:eastAsia="新宋体" w:cs="Courier New"/>
          <w:sz w:val="24"/>
          <w:highlight w:val="none"/>
        </w:rPr>
      </w:pPr>
      <w:r>
        <w:rPr>
          <w:rFonts w:hint="eastAsia" w:hAnsi="宋体"/>
          <w:kern w:val="0"/>
          <w:sz w:val="24"/>
          <w:highlight w:val="none"/>
        </w:rPr>
        <w:t>（1）</w:t>
      </w:r>
      <w:r>
        <w:rPr>
          <w:rFonts w:hint="eastAsia" w:ascii="新宋体" w:hAnsi="新宋体" w:eastAsia="新宋体" w:cs="Courier New"/>
          <w:sz w:val="24"/>
          <w:highlight w:val="none"/>
        </w:rPr>
        <w:t>符合《中华人民共和国政府采购法》第二十二条要求，具有独立法人资格。</w:t>
      </w:r>
    </w:p>
    <w:p>
      <w:pPr>
        <w:widowControl/>
        <w:spacing w:line="360" w:lineRule="auto"/>
        <w:jc w:val="left"/>
        <w:rPr>
          <w:kern w:val="0"/>
          <w:sz w:val="24"/>
          <w:highlight w:val="none"/>
        </w:rPr>
      </w:pPr>
      <w:r>
        <w:rPr>
          <w:rFonts w:hint="eastAsia" w:eastAsia="新宋体"/>
          <w:sz w:val="24"/>
          <w:highlight w:val="none"/>
        </w:rPr>
        <w:t>（2）</w:t>
      </w:r>
      <w:r>
        <w:rPr>
          <w:rFonts w:hint="eastAsia" w:ascii="新宋体" w:hAnsi="新宋体" w:eastAsia="新宋体" w:cs="Courier New"/>
          <w:sz w:val="24"/>
          <w:highlight w:val="none"/>
        </w:rPr>
        <w:t>具有道路清扫保洁、生活垃圾经营性收集、运输经营范围，具有合法的道路运输经营许可证，且同时拥有</w:t>
      </w:r>
      <w:r>
        <w:rPr>
          <w:rFonts w:ascii="新宋体" w:hAnsi="新宋体" w:eastAsia="新宋体" w:cs="Courier New"/>
          <w:sz w:val="24"/>
          <w:highlight w:val="none"/>
        </w:rPr>
        <w:t>荷载≥5吨洒水车、荷载≥</w:t>
      </w:r>
      <w:r>
        <w:rPr>
          <w:rFonts w:hint="eastAsia" w:ascii="新宋体" w:hAnsi="新宋体" w:eastAsia="新宋体" w:cs="Courier New"/>
          <w:sz w:val="24"/>
          <w:highlight w:val="none"/>
        </w:rPr>
        <w:t>5</w:t>
      </w:r>
      <w:r>
        <w:rPr>
          <w:rFonts w:ascii="新宋体" w:hAnsi="新宋体" w:eastAsia="新宋体" w:cs="Courier New"/>
          <w:sz w:val="24"/>
          <w:highlight w:val="none"/>
        </w:rPr>
        <w:t>吨</w:t>
      </w:r>
      <w:r>
        <w:rPr>
          <w:rFonts w:hint="eastAsia" w:ascii="新宋体" w:hAnsi="新宋体" w:eastAsia="新宋体" w:cs="Courier New"/>
          <w:sz w:val="24"/>
          <w:highlight w:val="none"/>
        </w:rPr>
        <w:t>密封式垃圾压缩车、</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自装卸式垃圾收集车各一辆(</w:t>
      </w:r>
      <w:r>
        <w:rPr>
          <w:rFonts w:hint="eastAsia" w:ascii="新宋体" w:hAnsi="新宋体" w:eastAsia="新宋体" w:cs="Courier New"/>
          <w:color w:val="000000"/>
          <w:sz w:val="24"/>
          <w:highlight w:val="none"/>
        </w:rPr>
        <w:t>所有车辆均在投标人公司名下</w:t>
      </w:r>
      <w:r>
        <w:rPr>
          <w:rFonts w:ascii="新宋体" w:hAnsi="新宋体" w:eastAsia="新宋体" w:cs="Courier New"/>
          <w:sz w:val="24"/>
          <w:highlight w:val="none"/>
        </w:rPr>
        <w:t>) 的企业可报名参加</w:t>
      </w:r>
      <w:r>
        <w:rPr>
          <w:rFonts w:hint="eastAsia" w:ascii="新宋体" w:hAnsi="新宋体" w:eastAsia="新宋体" w:cs="Courier New"/>
          <w:sz w:val="24"/>
          <w:highlight w:val="none"/>
        </w:rPr>
        <w:t>。</w:t>
      </w:r>
    </w:p>
    <w:p>
      <w:pPr>
        <w:widowControl/>
        <w:spacing w:line="360" w:lineRule="auto"/>
        <w:jc w:val="left"/>
        <w:rPr>
          <w:sz w:val="24"/>
          <w:highlight w:val="none"/>
        </w:rPr>
      </w:pPr>
      <w:r>
        <w:rPr>
          <w:rFonts w:hint="eastAsia"/>
          <w:sz w:val="24"/>
          <w:highlight w:val="none"/>
        </w:rPr>
        <w:t>（3）</w:t>
      </w:r>
      <w:r>
        <w:rPr>
          <w:rFonts w:ascii="新宋体" w:hAnsi="新宋体" w:eastAsia="新宋体" w:cs="Courier New"/>
          <w:sz w:val="24"/>
          <w:highlight w:val="none"/>
        </w:rPr>
        <w:t>投标人</w:t>
      </w:r>
      <w:r>
        <w:rPr>
          <w:rFonts w:hint="eastAsia" w:ascii="新宋体" w:hAnsi="新宋体" w:eastAsia="新宋体" w:cs="Courier New"/>
          <w:sz w:val="24"/>
          <w:highlight w:val="none"/>
        </w:rPr>
        <w:t>至少有5名以本单位名义参投社会养老保险且在近</w:t>
      </w:r>
      <w:r>
        <w:rPr>
          <w:rFonts w:ascii="新宋体" w:hAnsi="新宋体" w:eastAsia="新宋体" w:cs="Courier New"/>
          <w:sz w:val="24"/>
          <w:highlight w:val="none"/>
        </w:rPr>
        <w:t>3</w:t>
      </w:r>
      <w:r>
        <w:rPr>
          <w:rFonts w:hint="eastAsia" w:ascii="新宋体" w:hAnsi="新宋体" w:eastAsia="新宋体" w:cs="Courier New"/>
          <w:sz w:val="24"/>
          <w:highlight w:val="none"/>
        </w:rPr>
        <w:t>个月</w:t>
      </w:r>
      <w:r>
        <w:rPr>
          <w:rFonts w:hint="eastAsia" w:ascii="新宋体" w:hAnsi="新宋体" w:eastAsia="新宋体" w:cs="Courier New"/>
          <w:color w:val="FF0000"/>
          <w:sz w:val="24"/>
          <w:highlight w:val="none"/>
        </w:rPr>
        <w:t>（2020年2月后的连续3个月）</w:t>
      </w:r>
      <w:r>
        <w:rPr>
          <w:rFonts w:hint="eastAsia" w:ascii="新宋体" w:hAnsi="新宋体" w:eastAsia="新宋体" w:cs="Courier New"/>
          <w:sz w:val="24"/>
          <w:highlight w:val="none"/>
        </w:rPr>
        <w:t>正常缴费的员工。</w:t>
      </w:r>
    </w:p>
    <w:p>
      <w:pPr>
        <w:widowControl/>
        <w:spacing w:line="360" w:lineRule="auto"/>
        <w:jc w:val="left"/>
        <w:rPr>
          <w:sz w:val="24"/>
          <w:highlight w:val="none"/>
        </w:rPr>
      </w:pPr>
      <w:r>
        <w:rPr>
          <w:rFonts w:hint="eastAsia" w:hAnsi="宋体"/>
          <w:kern w:val="0"/>
          <w:sz w:val="24"/>
          <w:highlight w:val="none"/>
        </w:rPr>
        <w:t>（4）</w:t>
      </w:r>
      <w:r>
        <w:rPr>
          <w:rFonts w:hint="eastAsia"/>
          <w:sz w:val="24"/>
          <w:highlight w:val="none"/>
        </w:rPr>
        <w:t>投标人自2017年1月1日起到中标公告期结束前无行贿犯罪记录（通过中国裁判文书网（http://wenshu.court.gov.cn/）查询，查询结果以网站页面显示内容为准）</w:t>
      </w:r>
      <w:r>
        <w:rPr>
          <w:sz w:val="24"/>
          <w:highlight w:val="none"/>
        </w:rPr>
        <w:t>。</w:t>
      </w:r>
    </w:p>
    <w:p>
      <w:pPr>
        <w:pStyle w:val="13"/>
        <w:adjustRightInd w:val="0"/>
        <w:snapToGrid w:val="0"/>
        <w:spacing w:line="360" w:lineRule="auto"/>
        <w:rPr>
          <w:rFonts w:ascii="Times New Roman" w:hAnsi="Times New Roman"/>
          <w:sz w:val="24"/>
          <w:szCs w:val="24"/>
          <w:highlight w:val="none"/>
        </w:rPr>
      </w:pPr>
      <w:r>
        <w:rPr>
          <w:rFonts w:hint="eastAsia" w:ascii="Times New Roman" w:hAnsi="Times New Roman"/>
          <w:sz w:val="24"/>
          <w:szCs w:val="24"/>
          <w:highlight w:val="none"/>
        </w:rPr>
        <w:t>（5）</w:t>
      </w:r>
      <w:r>
        <w:rPr>
          <w:rFonts w:ascii="Times New Roman" w:hAnsi="Times New Roman"/>
          <w:sz w:val="24"/>
          <w:szCs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5"/>
        <w:spacing w:line="360" w:lineRule="auto"/>
        <w:ind w:firstLine="0"/>
        <w:rPr>
          <w:sz w:val="24"/>
          <w:szCs w:val="24"/>
          <w:highlight w:val="none"/>
        </w:rPr>
      </w:pPr>
      <w:r>
        <w:rPr>
          <w:sz w:val="24"/>
          <w:szCs w:val="24"/>
          <w:highlight w:val="none"/>
        </w:rPr>
        <w:t>（</w:t>
      </w:r>
      <w:r>
        <w:rPr>
          <w:rFonts w:hint="eastAsia"/>
          <w:sz w:val="24"/>
          <w:szCs w:val="24"/>
          <w:highlight w:val="none"/>
        </w:rPr>
        <w:t>6</w:t>
      </w:r>
      <w:r>
        <w:rPr>
          <w:sz w:val="24"/>
          <w:szCs w:val="24"/>
          <w:highlight w:val="none"/>
        </w:rPr>
        <w:t>）根据《关于在全市公共资源交易活动中应用报告的通知》（义行服管【2017】17号）规定，信用等级为D、E类的投标人，不得参与本项目投标（以采购人或委托的代理机构在投标截止时间查询为准）。</w:t>
      </w:r>
    </w:p>
    <w:p>
      <w:pPr>
        <w:pStyle w:val="5"/>
        <w:spacing w:line="360" w:lineRule="auto"/>
        <w:ind w:firstLine="0"/>
        <w:rPr>
          <w:sz w:val="24"/>
          <w:szCs w:val="24"/>
          <w:highlight w:val="none"/>
        </w:rPr>
      </w:pPr>
      <w:r>
        <w:rPr>
          <w:sz w:val="24"/>
          <w:szCs w:val="24"/>
          <w:highlight w:val="none"/>
        </w:rPr>
        <w:t>（</w:t>
      </w:r>
      <w:r>
        <w:rPr>
          <w:rFonts w:hint="eastAsia"/>
          <w:sz w:val="24"/>
          <w:szCs w:val="24"/>
          <w:highlight w:val="none"/>
        </w:rPr>
        <w:t>7</w:t>
      </w:r>
      <w:r>
        <w:rPr>
          <w:sz w:val="24"/>
          <w:szCs w:val="24"/>
          <w:highlight w:val="none"/>
        </w:rPr>
        <w:t>）本项目不允许联合体投标。</w:t>
      </w:r>
    </w:p>
    <w:p>
      <w:pPr>
        <w:widowControl/>
        <w:spacing w:line="360" w:lineRule="auto"/>
        <w:jc w:val="left"/>
        <w:rPr>
          <w:sz w:val="24"/>
          <w:highlight w:val="none"/>
        </w:rPr>
      </w:pPr>
      <w:r>
        <w:rPr>
          <w:sz w:val="24"/>
          <w:highlight w:val="none"/>
        </w:rPr>
        <w:t>（</w:t>
      </w:r>
      <w:r>
        <w:rPr>
          <w:rFonts w:hint="eastAsia"/>
          <w:sz w:val="24"/>
          <w:highlight w:val="none"/>
        </w:rPr>
        <w:t>8</w:t>
      </w:r>
      <w:r>
        <w:rPr>
          <w:sz w:val="24"/>
          <w:highlight w:val="none"/>
        </w:rPr>
        <w:t>）</w:t>
      </w:r>
      <w:r>
        <w:rPr>
          <w:rFonts w:hAnsi="宋体"/>
          <w:kern w:val="0"/>
          <w:sz w:val="24"/>
          <w:highlight w:val="none"/>
        </w:rPr>
        <w:t>公益一类事业单位不属于政府购买服务的承接主体，不得参与承接购买服务。</w:t>
      </w:r>
    </w:p>
    <w:p>
      <w:pPr>
        <w:snapToGrid w:val="0"/>
        <w:spacing w:line="360" w:lineRule="auto"/>
        <w:rPr>
          <w:rFonts w:eastAsia="新宋体"/>
          <w:sz w:val="24"/>
          <w:highlight w:val="none"/>
        </w:rPr>
      </w:pPr>
      <w:r>
        <w:rPr>
          <w:rFonts w:hint="eastAsia"/>
          <w:b/>
          <w:sz w:val="24"/>
          <w:highlight w:val="none"/>
        </w:rPr>
        <w:t>6</w:t>
      </w:r>
      <w:r>
        <w:rPr>
          <w:b/>
          <w:sz w:val="24"/>
          <w:highlight w:val="none"/>
        </w:rPr>
        <w:t>、</w:t>
      </w:r>
      <w:r>
        <w:rPr>
          <w:rFonts w:hint="eastAsia" w:eastAsia="新宋体"/>
          <w:b/>
          <w:sz w:val="24"/>
          <w:highlight w:val="none"/>
        </w:rPr>
        <w:t>招标</w:t>
      </w:r>
      <w:r>
        <w:rPr>
          <w:rFonts w:eastAsia="新宋体"/>
          <w:b/>
          <w:sz w:val="24"/>
          <w:highlight w:val="none"/>
        </w:rPr>
        <w:t>文件获取时间和方式：</w:t>
      </w:r>
    </w:p>
    <w:p>
      <w:pPr>
        <w:snapToGrid w:val="0"/>
        <w:spacing w:line="360" w:lineRule="auto"/>
        <w:rPr>
          <w:rFonts w:eastAsia="新宋体"/>
          <w:sz w:val="24"/>
          <w:highlight w:val="none"/>
        </w:rPr>
      </w:pPr>
      <w:r>
        <w:rPr>
          <w:rFonts w:hint="eastAsia" w:hAnsi="新宋体" w:eastAsia="新宋体"/>
          <w:sz w:val="24"/>
          <w:highlight w:val="none"/>
        </w:rPr>
        <w:t>（1）</w:t>
      </w:r>
      <w:r>
        <w:rPr>
          <w:rFonts w:eastAsia="新宋体"/>
          <w:sz w:val="24"/>
          <w:highlight w:val="none"/>
        </w:rPr>
        <w:t>时间：自采购公告发布之日起至</w:t>
      </w:r>
      <w:r>
        <w:rPr>
          <w:rFonts w:eastAsia="新宋体"/>
          <w:color w:val="FF0000"/>
          <w:sz w:val="24"/>
          <w:highlight w:val="none"/>
        </w:rPr>
        <w:t>20</w:t>
      </w:r>
      <w:r>
        <w:rPr>
          <w:rFonts w:hint="eastAsia" w:eastAsia="新宋体"/>
          <w:color w:val="FF0000"/>
          <w:sz w:val="24"/>
          <w:highlight w:val="none"/>
        </w:rPr>
        <w:t>20</w:t>
      </w:r>
      <w:r>
        <w:rPr>
          <w:rFonts w:eastAsia="新宋体"/>
          <w:color w:val="FF0000"/>
          <w:sz w:val="24"/>
          <w:highlight w:val="none"/>
        </w:rPr>
        <w:t>年</w:t>
      </w:r>
      <w:r>
        <w:rPr>
          <w:rFonts w:hint="eastAsia" w:eastAsia="新宋体"/>
          <w:color w:val="FF0000"/>
          <w:sz w:val="24"/>
          <w:highlight w:val="none"/>
          <w:lang w:val="en-US" w:eastAsia="zh-CN"/>
        </w:rPr>
        <w:t>6</w:t>
      </w:r>
      <w:r>
        <w:rPr>
          <w:rFonts w:eastAsia="新宋体"/>
          <w:color w:val="FF0000"/>
          <w:sz w:val="24"/>
          <w:highlight w:val="none"/>
        </w:rPr>
        <w:t>月</w:t>
      </w:r>
      <w:r>
        <w:rPr>
          <w:rFonts w:hint="eastAsia" w:eastAsia="新宋体"/>
          <w:color w:val="FF0000"/>
          <w:sz w:val="24"/>
          <w:highlight w:val="none"/>
          <w:lang w:val="en-US" w:eastAsia="zh-CN"/>
        </w:rPr>
        <w:t>30</w:t>
      </w:r>
      <w:r>
        <w:rPr>
          <w:rFonts w:eastAsia="新宋体"/>
          <w:color w:val="FF0000"/>
          <w:sz w:val="24"/>
          <w:highlight w:val="none"/>
        </w:rPr>
        <w:t>日</w:t>
      </w:r>
      <w:r>
        <w:rPr>
          <w:rFonts w:eastAsia="新宋体"/>
          <w:sz w:val="24"/>
          <w:highlight w:val="none"/>
        </w:rPr>
        <w:t>获取招标文件，</w:t>
      </w:r>
      <w:r>
        <w:rPr>
          <w:rFonts w:hint="eastAsia" w:eastAsia="新宋体"/>
          <w:sz w:val="24"/>
          <w:highlight w:val="none"/>
        </w:rPr>
        <w:t>招标</w:t>
      </w:r>
      <w:r>
        <w:rPr>
          <w:rFonts w:eastAsia="新宋体"/>
          <w:sz w:val="24"/>
          <w:highlight w:val="none"/>
        </w:rPr>
        <w:t>文件获取截止时间之后至投标截止前潜在投标人仍可获取招标文件，如对招标文件有疑问的，答疑时间按招标文件规定执行。</w:t>
      </w:r>
    </w:p>
    <w:p>
      <w:pPr>
        <w:snapToGrid w:val="0"/>
        <w:spacing w:line="360" w:lineRule="auto"/>
        <w:rPr>
          <w:rFonts w:eastAsia="新宋体"/>
          <w:sz w:val="24"/>
          <w:highlight w:val="none"/>
        </w:rPr>
      </w:pPr>
      <w:r>
        <w:rPr>
          <w:rFonts w:hint="eastAsia" w:hAnsi="新宋体" w:eastAsia="新宋体"/>
          <w:sz w:val="24"/>
          <w:highlight w:val="none"/>
        </w:rPr>
        <w:t>（2）</w:t>
      </w:r>
      <w:r>
        <w:rPr>
          <w:rFonts w:eastAsia="新宋体"/>
          <w:sz w:val="24"/>
          <w:highlight w:val="none"/>
        </w:rPr>
        <w:t>注册：潜在投标方在获取招标文件前应在浙江省政府采购网上先行注册，注册流程详见浙江政府采购网-网上办事指南-投标人注册申请：</w:t>
      </w:r>
      <w:r>
        <w:rPr>
          <w:highlight w:val="none"/>
        </w:rPr>
        <w:fldChar w:fldCharType="begin"/>
      </w:r>
      <w:r>
        <w:rPr>
          <w:highlight w:val="none"/>
        </w:rPr>
        <w:instrText xml:space="preserve">HYPERLINK "http://www.zjzfcg.gov.cn/register/2017-07-24/6728.html?_=2018-05-11%2003:06:39"</w:instrText>
      </w:r>
      <w:r>
        <w:rPr>
          <w:highlight w:val="none"/>
        </w:rPr>
        <w:fldChar w:fldCharType="separate"/>
      </w:r>
      <w:r>
        <w:rPr>
          <w:rFonts w:eastAsia="新宋体"/>
          <w:sz w:val="24"/>
          <w:highlight w:val="none"/>
        </w:rPr>
        <w:t>http://www.zjzfcg.gov.cn/register/2017-07-24/6728.html?_=2018-05-11%2003:06:39</w:t>
      </w:r>
      <w:r>
        <w:rPr>
          <w:highlight w:val="none"/>
        </w:rPr>
        <w:fldChar w:fldCharType="end"/>
      </w:r>
      <w:r>
        <w:rPr>
          <w:rFonts w:eastAsia="新宋体"/>
          <w:sz w:val="24"/>
          <w:highlight w:val="none"/>
        </w:rPr>
        <w:t>。</w:t>
      </w:r>
    </w:p>
    <w:p>
      <w:pPr>
        <w:snapToGrid w:val="0"/>
        <w:spacing w:line="360" w:lineRule="auto"/>
        <w:rPr>
          <w:rFonts w:eastAsia="新宋体"/>
          <w:sz w:val="24"/>
          <w:highlight w:val="none"/>
        </w:rPr>
      </w:pPr>
      <w:r>
        <w:rPr>
          <w:rFonts w:hint="eastAsia" w:hAnsi="新宋体" w:eastAsia="新宋体"/>
          <w:sz w:val="24"/>
          <w:highlight w:val="none"/>
        </w:rPr>
        <w:t>（3）地点及方式：潜在投标人请自行登录浙江政府采购网(http://www.zjzfcg.gov.cn/ )免费下载且无需报名【在谷歌或360浏览器上，用政采云注册帐号、密码在系统登录后，点击（申请获取采购文件）按钮，填写获取采购文件的申请信息】</w:t>
      </w:r>
      <w:r>
        <w:rPr>
          <w:rFonts w:eastAsia="新宋体"/>
          <w:sz w:val="24"/>
          <w:highlight w:val="none"/>
        </w:rPr>
        <w:t>。</w:t>
      </w:r>
    </w:p>
    <w:p>
      <w:pPr>
        <w:pStyle w:val="13"/>
        <w:adjustRightInd w:val="0"/>
        <w:snapToGrid w:val="0"/>
        <w:spacing w:line="360" w:lineRule="auto"/>
        <w:rPr>
          <w:rFonts w:ascii="Times New Roman" w:hAnsi="Times New Roman" w:eastAsia="新宋体"/>
          <w:sz w:val="24"/>
          <w:szCs w:val="24"/>
          <w:highlight w:val="none"/>
        </w:rPr>
      </w:pPr>
      <w:r>
        <w:rPr>
          <w:rFonts w:ascii="Times New Roman" w:hAnsi="Times New Roman" w:eastAsia="新宋体"/>
          <w:b/>
          <w:sz w:val="24"/>
          <w:szCs w:val="24"/>
          <w:highlight w:val="none"/>
        </w:rPr>
        <w:t>7、资格审查：</w:t>
      </w:r>
      <w:r>
        <w:rPr>
          <w:rFonts w:ascii="Times New Roman" w:hAnsi="Times New Roman" w:eastAsia="新宋体"/>
          <w:sz w:val="24"/>
          <w:szCs w:val="24"/>
          <w:highlight w:val="none"/>
        </w:rPr>
        <w:t>投标人资格采用资格后审方式由评标委员会进行审查。</w:t>
      </w:r>
    </w:p>
    <w:p>
      <w:pPr>
        <w:pStyle w:val="13"/>
        <w:adjustRightInd w:val="0"/>
        <w:snapToGrid w:val="0"/>
        <w:spacing w:line="360" w:lineRule="auto"/>
        <w:rPr>
          <w:rFonts w:ascii="Times New Roman" w:hAnsi="Times New Roman" w:eastAsia="新宋体"/>
          <w:b/>
          <w:sz w:val="24"/>
          <w:szCs w:val="24"/>
          <w:highlight w:val="none"/>
        </w:rPr>
      </w:pPr>
      <w:r>
        <w:rPr>
          <w:rFonts w:ascii="Times New Roman" w:hAnsi="Times New Roman" w:eastAsia="新宋体"/>
          <w:b/>
          <w:sz w:val="24"/>
          <w:szCs w:val="24"/>
          <w:highlight w:val="none"/>
        </w:rPr>
        <w:t>8、</w:t>
      </w:r>
      <w:r>
        <w:rPr>
          <w:rFonts w:ascii="Times New Roman" w:hAnsi="新宋体" w:eastAsia="新宋体"/>
          <w:b/>
          <w:sz w:val="24"/>
          <w:szCs w:val="24"/>
          <w:highlight w:val="none"/>
        </w:rPr>
        <w:t>招标文件公告期：</w:t>
      </w:r>
      <w:r>
        <w:rPr>
          <w:rFonts w:ascii="Times New Roman" w:hAnsi="新宋体" w:eastAsia="新宋体"/>
          <w:sz w:val="24"/>
          <w:szCs w:val="24"/>
          <w:highlight w:val="none"/>
        </w:rPr>
        <w:t>自本公告发布后的第</w:t>
      </w:r>
      <w:r>
        <w:rPr>
          <w:rFonts w:ascii="Times New Roman" w:hAnsi="Times New Roman" w:eastAsia="新宋体"/>
          <w:sz w:val="24"/>
          <w:szCs w:val="24"/>
          <w:highlight w:val="none"/>
        </w:rPr>
        <w:t>6</w:t>
      </w:r>
      <w:r>
        <w:rPr>
          <w:rFonts w:ascii="Times New Roman" w:hAnsi="新宋体" w:eastAsia="新宋体"/>
          <w:sz w:val="24"/>
          <w:szCs w:val="24"/>
          <w:highlight w:val="none"/>
        </w:rPr>
        <w:t>个工作日止</w:t>
      </w:r>
      <w:r>
        <w:rPr>
          <w:rFonts w:hint="eastAsia" w:ascii="Times New Roman" w:hAnsi="新宋体" w:eastAsia="新宋体"/>
          <w:sz w:val="24"/>
          <w:szCs w:val="24"/>
          <w:highlight w:val="none"/>
        </w:rPr>
        <w:t>。</w:t>
      </w:r>
    </w:p>
    <w:p>
      <w:pPr>
        <w:pStyle w:val="13"/>
        <w:adjustRightInd w:val="0"/>
        <w:snapToGrid w:val="0"/>
        <w:spacing w:line="360" w:lineRule="auto"/>
        <w:rPr>
          <w:rFonts w:ascii="Times New Roman" w:hAnsi="Times New Roman" w:eastAsia="新宋体"/>
          <w:b/>
          <w:sz w:val="24"/>
          <w:szCs w:val="24"/>
          <w:highlight w:val="none"/>
        </w:rPr>
      </w:pPr>
      <w:r>
        <w:rPr>
          <w:rFonts w:ascii="Times New Roman" w:hAnsi="Times New Roman" w:eastAsia="新宋体"/>
          <w:b/>
          <w:sz w:val="24"/>
          <w:szCs w:val="24"/>
          <w:highlight w:val="none"/>
        </w:rPr>
        <w:t>9、投标与开标注意事项：</w:t>
      </w:r>
    </w:p>
    <w:p>
      <w:pPr>
        <w:pStyle w:val="13"/>
        <w:adjustRightInd w:val="0"/>
        <w:snapToGrid w:val="0"/>
        <w:spacing w:line="360" w:lineRule="auto"/>
        <w:rPr>
          <w:rFonts w:ascii="Times New Roman" w:hAnsi="Times New Roman" w:eastAsia="新宋体"/>
          <w:sz w:val="24"/>
          <w:szCs w:val="24"/>
          <w:highlight w:val="none"/>
        </w:rPr>
      </w:pPr>
      <w:r>
        <w:rPr>
          <w:rFonts w:ascii="Times New Roman" w:hAnsi="Times New Roman" w:eastAsia="新宋体"/>
          <w:sz w:val="24"/>
          <w:szCs w:val="24"/>
          <w:highlight w:val="none"/>
        </w:rPr>
        <w:t>（1）本项目实行网上投标，获取文件后投标人即可参投，投标方在投标截止时间之前上传电子投标文件。若投标人参与投标，自行承担投标一切费用。</w:t>
      </w:r>
    </w:p>
    <w:p>
      <w:pPr>
        <w:pStyle w:val="13"/>
        <w:adjustRightInd w:val="0"/>
        <w:snapToGrid w:val="0"/>
        <w:spacing w:line="360" w:lineRule="auto"/>
        <w:rPr>
          <w:rFonts w:ascii="Times New Roman" w:hAnsi="Times New Roman" w:eastAsia="新宋体"/>
          <w:sz w:val="24"/>
          <w:szCs w:val="24"/>
          <w:highlight w:val="none"/>
        </w:rPr>
      </w:pPr>
      <w:r>
        <w:rPr>
          <w:rFonts w:ascii="Times New Roman" w:hAnsi="Times New Roman" w:eastAsia="新宋体"/>
          <w:sz w:val="24"/>
          <w:szCs w:val="24"/>
          <w:highlight w:val="none"/>
        </w:rPr>
        <w:t>（2）</w:t>
      </w:r>
      <w:r>
        <w:rPr>
          <w:rFonts w:ascii="Times New Roman" w:hAnsi="宋体"/>
          <w:sz w:val="24"/>
          <w:szCs w:val="24"/>
          <w:highlight w:val="none"/>
        </w:rPr>
        <w:t>标前准备：各投标人应在开标前确保成为浙江省政府采购网正式注册入库投标人，并完成</w:t>
      </w:r>
      <w:r>
        <w:rPr>
          <w:rFonts w:ascii="Times New Roman" w:hAnsi="Times New Roman"/>
          <w:sz w:val="24"/>
          <w:szCs w:val="24"/>
          <w:highlight w:val="none"/>
        </w:rPr>
        <w:t>CA</w:t>
      </w:r>
      <w:r>
        <w:rPr>
          <w:rFonts w:ascii="Times New Roman" w:hAnsi="宋体"/>
          <w:sz w:val="24"/>
          <w:szCs w:val="24"/>
          <w:highlight w:val="none"/>
        </w:rPr>
        <w:t>数字证书办理。【办理流程详见</w:t>
      </w:r>
      <w:r>
        <w:rPr>
          <w:rFonts w:ascii="Times New Roman" w:hAnsi="Times New Roman"/>
          <w:sz w:val="24"/>
          <w:szCs w:val="24"/>
          <w:highlight w:val="none"/>
        </w:rPr>
        <w:t>http://www.zjzfcg.gov.cn/download/index.html?_=1571296580459&amp;tdsourcetag=s_pcqq_aiomsg</w:t>
      </w:r>
      <w:r>
        <w:rPr>
          <w:rFonts w:ascii="Times New Roman" w:hAnsi="宋体"/>
          <w:sz w:val="24"/>
          <w:szCs w:val="24"/>
          <w:highlight w:val="none"/>
        </w:rPr>
        <w:t>下载，（目前</w:t>
      </w:r>
      <w:r>
        <w:rPr>
          <w:rFonts w:ascii="Times New Roman" w:hAnsi="Times New Roman"/>
          <w:sz w:val="24"/>
          <w:szCs w:val="24"/>
          <w:highlight w:val="none"/>
        </w:rPr>
        <w:t>“</w:t>
      </w:r>
      <w:r>
        <w:rPr>
          <w:rFonts w:ascii="Times New Roman" w:hAnsi="宋体"/>
          <w:sz w:val="24"/>
          <w:szCs w:val="24"/>
          <w:highlight w:val="none"/>
        </w:rPr>
        <w:t>政采云</w:t>
      </w:r>
      <w:r>
        <w:rPr>
          <w:rFonts w:ascii="Times New Roman" w:hAnsi="Times New Roman"/>
          <w:sz w:val="24"/>
          <w:szCs w:val="24"/>
          <w:highlight w:val="none"/>
        </w:rPr>
        <w:t>”</w:t>
      </w:r>
      <w:r>
        <w:rPr>
          <w:rFonts w:ascii="Times New Roman" w:hAnsi="宋体"/>
          <w:sz w:val="24"/>
          <w:szCs w:val="24"/>
          <w:highlight w:val="none"/>
        </w:rPr>
        <w:t>平台仅支持浙江汇信或天谷</w:t>
      </w:r>
      <w:r>
        <w:rPr>
          <w:rFonts w:ascii="Times New Roman" w:hAnsi="Times New Roman"/>
          <w:sz w:val="24"/>
          <w:szCs w:val="24"/>
          <w:highlight w:val="none"/>
        </w:rPr>
        <w:t>CA</w:t>
      </w:r>
      <w:r>
        <w:rPr>
          <w:rFonts w:ascii="Times New Roman" w:hAnsi="宋体"/>
          <w:sz w:val="24"/>
          <w:szCs w:val="24"/>
          <w:highlight w:val="none"/>
        </w:rPr>
        <w:t>锁，个体工商户投标仅支持浙江汇信</w:t>
      </w:r>
      <w:r>
        <w:rPr>
          <w:rFonts w:ascii="Times New Roman" w:hAnsi="Times New Roman"/>
          <w:sz w:val="24"/>
          <w:szCs w:val="24"/>
          <w:highlight w:val="none"/>
        </w:rPr>
        <w:t>CA</w:t>
      </w:r>
      <w:r>
        <w:rPr>
          <w:rFonts w:ascii="Times New Roman" w:hAnsi="宋体"/>
          <w:sz w:val="24"/>
          <w:szCs w:val="24"/>
          <w:highlight w:val="none"/>
        </w:rPr>
        <w:t>锁），申领操作流程】。因未注册入库、未办理</w:t>
      </w:r>
      <w:r>
        <w:rPr>
          <w:rFonts w:ascii="Times New Roman" w:hAnsi="Times New Roman"/>
          <w:sz w:val="24"/>
          <w:szCs w:val="24"/>
          <w:highlight w:val="none"/>
        </w:rPr>
        <w:t>CA</w:t>
      </w:r>
      <w:r>
        <w:rPr>
          <w:rFonts w:ascii="Times New Roman" w:hAnsi="宋体"/>
          <w:sz w:val="24"/>
          <w:szCs w:val="24"/>
          <w:highlight w:val="none"/>
        </w:rPr>
        <w:t>数字证书等原因造成无法投标或投标失败等后果由投标人自行承担</w:t>
      </w:r>
      <w:r>
        <w:rPr>
          <w:rFonts w:ascii="Times New Roman" w:hAnsi="Times New Roman" w:eastAsia="新宋体"/>
          <w:sz w:val="24"/>
          <w:szCs w:val="24"/>
          <w:highlight w:val="none"/>
        </w:rPr>
        <w:t>。</w:t>
      </w:r>
    </w:p>
    <w:p>
      <w:pPr>
        <w:pStyle w:val="13"/>
        <w:adjustRightInd w:val="0"/>
        <w:snapToGrid w:val="0"/>
        <w:spacing w:line="360" w:lineRule="auto"/>
        <w:rPr>
          <w:rFonts w:ascii="Times New Roman" w:hAnsi="Times New Roman" w:eastAsia="新宋体"/>
          <w:sz w:val="24"/>
          <w:szCs w:val="24"/>
          <w:highlight w:val="none"/>
        </w:rPr>
      </w:pPr>
      <w:r>
        <w:rPr>
          <w:rFonts w:ascii="Times New Roman" w:hAnsi="Times New Roman" w:eastAsia="新宋体"/>
          <w:sz w:val="24"/>
          <w:szCs w:val="24"/>
          <w:highlight w:val="none"/>
        </w:rPr>
        <w:t>（3）投标文件制作：投标人通过“政采云”平台电子投标工具制作投标文件，电子投标工具请投标人自行前往http://www.zjzfcg.gov.cn/download/index.html?_=1571296580459&amp;tdsourcetag=s_pcqq_aiomsg下载并安装，投标文件制作具体流程详见“政采云投标人项目采购-电子招投标操作指南”（请投标投标人登陆政采云平台政府采购电子卖场后点击链接https://service.zcygov.cn/#/knowledges/CW1EtGwBFdiHxlNd6I3m/6IMVAG0BFdiHxlNdQ8Na）以获取最新操作指南。</w:t>
      </w:r>
    </w:p>
    <w:p>
      <w:pPr>
        <w:pStyle w:val="13"/>
        <w:adjustRightInd w:val="0"/>
        <w:snapToGrid w:val="0"/>
        <w:spacing w:line="360" w:lineRule="auto"/>
        <w:rPr>
          <w:rFonts w:ascii="Times New Roman" w:hAnsi="Times New Roman" w:eastAsia="新宋体"/>
          <w:sz w:val="24"/>
          <w:szCs w:val="24"/>
          <w:highlight w:val="none"/>
        </w:rPr>
      </w:pPr>
      <w:r>
        <w:rPr>
          <w:rFonts w:ascii="Times New Roman" w:hAnsi="Times New Roman" w:eastAsia="新宋体"/>
          <w:b/>
          <w:sz w:val="24"/>
          <w:szCs w:val="24"/>
          <w:highlight w:val="none"/>
        </w:rPr>
        <w:t>10、投标截止时间及地点：</w:t>
      </w:r>
      <w:r>
        <w:rPr>
          <w:rFonts w:ascii="Times New Roman" w:hAnsi="Times New Roman" w:eastAsia="新宋体"/>
          <w:sz w:val="24"/>
          <w:szCs w:val="24"/>
          <w:highlight w:val="none"/>
        </w:rPr>
        <w:t>投标人应于</w:t>
      </w:r>
      <w:r>
        <w:rPr>
          <w:rFonts w:ascii="Times New Roman" w:hAnsi="Times New Roman" w:eastAsia="新宋体"/>
          <w:color w:val="FF0000"/>
          <w:sz w:val="24"/>
          <w:szCs w:val="24"/>
          <w:highlight w:val="none"/>
        </w:rPr>
        <w:t>2020年</w:t>
      </w:r>
      <w:r>
        <w:rPr>
          <w:rFonts w:hint="eastAsia" w:ascii="Times New Roman" w:hAnsi="Times New Roman" w:eastAsia="新宋体"/>
          <w:color w:val="FF0000"/>
          <w:sz w:val="24"/>
          <w:szCs w:val="24"/>
          <w:highlight w:val="none"/>
          <w:lang w:val="en-US" w:eastAsia="zh-CN"/>
        </w:rPr>
        <w:t>7</w:t>
      </w:r>
      <w:r>
        <w:rPr>
          <w:rFonts w:ascii="Times New Roman" w:hAnsi="Times New Roman" w:eastAsia="新宋体"/>
          <w:color w:val="FF0000"/>
          <w:sz w:val="24"/>
          <w:szCs w:val="24"/>
          <w:highlight w:val="none"/>
        </w:rPr>
        <w:t>月</w:t>
      </w:r>
      <w:r>
        <w:rPr>
          <w:rFonts w:hint="eastAsia" w:ascii="Times New Roman" w:hAnsi="Times New Roman" w:eastAsia="新宋体"/>
          <w:color w:val="FF0000"/>
          <w:sz w:val="24"/>
          <w:szCs w:val="24"/>
          <w:highlight w:val="none"/>
          <w:lang w:val="en-US" w:eastAsia="zh-CN"/>
        </w:rPr>
        <w:t>13</w:t>
      </w:r>
      <w:r>
        <w:rPr>
          <w:rFonts w:ascii="Times New Roman" w:hAnsi="Times New Roman" w:eastAsia="新宋体"/>
          <w:color w:val="FF0000"/>
          <w:sz w:val="24"/>
          <w:szCs w:val="24"/>
          <w:highlight w:val="none"/>
        </w:rPr>
        <w:t>日上午09:30</w:t>
      </w:r>
      <w:r>
        <w:rPr>
          <w:rFonts w:ascii="Times New Roman" w:hAnsi="Times New Roman" w:eastAsia="新宋体"/>
          <w:sz w:val="24"/>
          <w:szCs w:val="24"/>
          <w:highlight w:val="none"/>
        </w:rPr>
        <w:t>前按照电子投标要求将电子加密标书上传到“政采云”平台，逾期或未上传成功的将导致无法投标或投标无效。</w:t>
      </w:r>
    </w:p>
    <w:p>
      <w:pPr>
        <w:pStyle w:val="13"/>
        <w:adjustRightInd w:val="0"/>
        <w:snapToGrid w:val="0"/>
        <w:spacing w:line="360" w:lineRule="auto"/>
        <w:ind w:firstLine="480" w:firstLineChars="200"/>
        <w:rPr>
          <w:rFonts w:ascii="Times New Roman" w:hAnsi="Times New Roman" w:eastAsia="新宋体"/>
          <w:sz w:val="24"/>
          <w:szCs w:val="24"/>
          <w:highlight w:val="none"/>
        </w:rPr>
      </w:pPr>
      <w:r>
        <w:rPr>
          <w:rFonts w:ascii="Times New Roman" w:hAnsi="Times New Roman" w:eastAsia="新宋体"/>
          <w:sz w:val="24"/>
          <w:szCs w:val="24"/>
          <w:highlight w:val="none"/>
        </w:rPr>
        <w:t>注意：为确保采购项目顺利实施，避免因政采云上电子投标文件解密失败导致投标方投标无效，投标方可在</w:t>
      </w:r>
      <w:r>
        <w:rPr>
          <w:rFonts w:ascii="Times New Roman" w:hAnsi="Times New Roman" w:eastAsia="新宋体"/>
          <w:color w:val="FF0000"/>
          <w:sz w:val="24"/>
          <w:szCs w:val="24"/>
          <w:highlight w:val="none"/>
        </w:rPr>
        <w:t>2020年</w:t>
      </w:r>
      <w:r>
        <w:rPr>
          <w:rFonts w:hint="eastAsia" w:ascii="Times New Roman" w:hAnsi="Times New Roman" w:eastAsia="新宋体"/>
          <w:color w:val="FF0000"/>
          <w:sz w:val="24"/>
          <w:szCs w:val="24"/>
          <w:highlight w:val="none"/>
          <w:lang w:val="en-US" w:eastAsia="zh-CN"/>
        </w:rPr>
        <w:t>7</w:t>
      </w:r>
      <w:r>
        <w:rPr>
          <w:rFonts w:ascii="Times New Roman" w:hAnsi="Times New Roman" w:eastAsia="新宋体"/>
          <w:color w:val="FF0000"/>
          <w:sz w:val="24"/>
          <w:szCs w:val="24"/>
          <w:highlight w:val="none"/>
        </w:rPr>
        <w:t>月</w:t>
      </w:r>
      <w:r>
        <w:rPr>
          <w:rFonts w:hint="eastAsia" w:ascii="Times New Roman" w:hAnsi="Times New Roman" w:eastAsia="新宋体"/>
          <w:color w:val="FF0000"/>
          <w:sz w:val="24"/>
          <w:szCs w:val="24"/>
          <w:highlight w:val="none"/>
          <w:lang w:val="en-US" w:eastAsia="zh-CN"/>
        </w:rPr>
        <w:t>13</w:t>
      </w:r>
      <w:r>
        <w:rPr>
          <w:rFonts w:ascii="Times New Roman" w:hAnsi="Times New Roman" w:eastAsia="新宋体"/>
          <w:color w:val="FF0000"/>
          <w:sz w:val="24"/>
          <w:szCs w:val="24"/>
          <w:highlight w:val="none"/>
        </w:rPr>
        <w:t>日上午09:30</w:t>
      </w:r>
      <w:r>
        <w:rPr>
          <w:rFonts w:ascii="Times New Roman" w:hAnsi="Times New Roman" w:eastAsia="新宋体"/>
          <w:sz w:val="24"/>
          <w:szCs w:val="24"/>
          <w:highlight w:val="none"/>
        </w:rPr>
        <w:t>前将在政采云平台上最后生成的具备电子签章的备份加密投标文件（文件名后缀为备份文件四字的首字母）以电子邮件方式传送至浙江开平企业管理咨询有限公司邮箱（zjkpemc@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163.com）的备份文件，并以备份文件作为替代电子投标文件，如投标方未按照规定时间（</w:t>
      </w:r>
      <w:r>
        <w:rPr>
          <w:rFonts w:ascii="Times New Roman" w:hAnsi="Times New Roman" w:eastAsia="新宋体"/>
          <w:color w:val="FF0000"/>
          <w:sz w:val="24"/>
          <w:szCs w:val="24"/>
          <w:highlight w:val="none"/>
        </w:rPr>
        <w:t>2020年</w:t>
      </w:r>
      <w:r>
        <w:rPr>
          <w:rFonts w:hint="eastAsia" w:ascii="Times New Roman" w:hAnsi="Times New Roman" w:eastAsia="新宋体"/>
          <w:color w:val="FF0000"/>
          <w:sz w:val="24"/>
          <w:szCs w:val="24"/>
          <w:highlight w:val="none"/>
          <w:lang w:val="en-US" w:eastAsia="zh-CN"/>
        </w:rPr>
        <w:t>7</w:t>
      </w:r>
      <w:r>
        <w:rPr>
          <w:rFonts w:ascii="Times New Roman" w:hAnsi="Times New Roman" w:eastAsia="新宋体"/>
          <w:color w:val="FF0000"/>
          <w:sz w:val="24"/>
          <w:szCs w:val="24"/>
          <w:highlight w:val="none"/>
        </w:rPr>
        <w:t>月</w:t>
      </w:r>
      <w:r>
        <w:rPr>
          <w:rFonts w:hint="eastAsia" w:ascii="Times New Roman" w:hAnsi="Times New Roman" w:eastAsia="新宋体"/>
          <w:color w:val="FF0000"/>
          <w:sz w:val="24"/>
          <w:szCs w:val="24"/>
          <w:highlight w:val="none"/>
          <w:lang w:val="en-US" w:eastAsia="zh-CN"/>
        </w:rPr>
        <w:t>13</w:t>
      </w:r>
      <w:r>
        <w:rPr>
          <w:rFonts w:ascii="Times New Roman" w:hAnsi="Times New Roman" w:eastAsia="新宋体"/>
          <w:color w:val="FF0000"/>
          <w:sz w:val="24"/>
          <w:szCs w:val="24"/>
          <w:highlight w:val="none"/>
        </w:rPr>
        <w:t>日上午09:30</w:t>
      </w:r>
      <w:r>
        <w:rPr>
          <w:rFonts w:ascii="Times New Roman" w:hAnsi="Times New Roman" w:eastAsia="新宋体"/>
          <w:sz w:val="24"/>
          <w:szCs w:val="24"/>
          <w:highlight w:val="none"/>
        </w:rPr>
        <w:t>前）及要求提供有效备份文件，同时政采云上投标文件解密失败的，将导致投标无效。</w:t>
      </w:r>
    </w:p>
    <w:p>
      <w:pPr>
        <w:pStyle w:val="13"/>
        <w:adjustRightInd w:val="0"/>
        <w:snapToGrid w:val="0"/>
        <w:spacing w:line="360" w:lineRule="auto"/>
        <w:ind w:firstLine="480" w:firstLineChars="200"/>
        <w:rPr>
          <w:rFonts w:ascii="Times New Roman" w:hAnsi="Times New Roman" w:eastAsia="新宋体"/>
          <w:sz w:val="24"/>
          <w:szCs w:val="24"/>
          <w:highlight w:val="none"/>
        </w:rPr>
      </w:pPr>
      <w:r>
        <w:rPr>
          <w:rFonts w:ascii="Times New Roman" w:hAnsi="Times New Roman" w:eastAsia="新宋体"/>
          <w:sz w:val="24"/>
          <w:szCs w:val="24"/>
          <w:highlight w:val="none"/>
        </w:rPr>
        <w:t>投标方无需在开标当天到达开标现场对电子投标进行解密，可在公司办公场地在规定时间内对电子投标文件进行解密。</w:t>
      </w:r>
    </w:p>
    <w:p>
      <w:pPr>
        <w:pStyle w:val="13"/>
        <w:adjustRightInd w:val="0"/>
        <w:snapToGrid w:val="0"/>
        <w:spacing w:line="360" w:lineRule="auto"/>
        <w:rPr>
          <w:rFonts w:ascii="Times New Roman" w:hAnsi="宋体"/>
          <w:sz w:val="24"/>
          <w:szCs w:val="24"/>
          <w:highlight w:val="none"/>
        </w:rPr>
      </w:pPr>
      <w:r>
        <w:rPr>
          <w:rFonts w:ascii="Times New Roman" w:hAnsi="Times New Roman" w:eastAsia="新宋体"/>
          <w:b/>
          <w:sz w:val="24"/>
          <w:szCs w:val="24"/>
          <w:highlight w:val="none"/>
        </w:rPr>
        <w:t>11、</w:t>
      </w:r>
      <w:r>
        <w:rPr>
          <w:rFonts w:ascii="Times New Roman" w:hAnsi="新宋体" w:eastAsia="新宋体"/>
          <w:b/>
          <w:sz w:val="24"/>
          <w:szCs w:val="24"/>
          <w:highlight w:val="none"/>
        </w:rPr>
        <w:t>答疑与澄清：</w:t>
      </w:r>
      <w:r>
        <w:rPr>
          <w:rFonts w:ascii="Times New Roman" w:hAnsi="新宋体" w:eastAsia="新宋体"/>
          <w:sz w:val="24"/>
          <w:szCs w:val="24"/>
          <w:highlight w:val="none"/>
        </w:rPr>
        <w:t>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w:t>
      </w:r>
      <w:r>
        <w:rPr>
          <w:rFonts w:ascii="Times New Roman" w:hAnsi="Times New Roman" w:eastAsia="新宋体"/>
          <w:sz w:val="24"/>
          <w:szCs w:val="24"/>
          <w:highlight w:val="none"/>
        </w:rPr>
        <w:t>6</w:t>
      </w:r>
      <w:r>
        <w:rPr>
          <w:rFonts w:ascii="Times New Roman" w:hAnsi="新宋体" w:eastAsia="新宋体"/>
          <w:sz w:val="24"/>
          <w:szCs w:val="24"/>
          <w:highlight w:val="none"/>
        </w:rPr>
        <w:t>个工作日）起</w:t>
      </w:r>
      <w:r>
        <w:rPr>
          <w:rFonts w:ascii="Times New Roman" w:hAnsi="Times New Roman" w:eastAsia="新宋体"/>
          <w:sz w:val="24"/>
          <w:szCs w:val="24"/>
          <w:highlight w:val="none"/>
        </w:rPr>
        <w:t>7</w:t>
      </w:r>
      <w:r>
        <w:rPr>
          <w:rFonts w:ascii="Times New Roman" w:hAnsi="新宋体" w:eastAsia="新宋体"/>
          <w:sz w:val="24"/>
          <w:szCs w:val="24"/>
          <w:highlight w:val="none"/>
        </w:rPr>
        <w:t>个工作日内，以书面递交或传真形式要求招标方作出书面解释、澄清或者一次性向招标方提出书面质疑；</w:t>
      </w:r>
      <w:r>
        <w:rPr>
          <w:rFonts w:ascii="Times New Roman" w:hAnsi="宋体"/>
          <w:sz w:val="24"/>
          <w:szCs w:val="24"/>
          <w:highlight w:val="none"/>
        </w:rPr>
        <w:t>本项目不组织答疑会；招标方的答疑内容和书面澄清文件是招标文件的组成部分，无论是招标方根据需要主动对招标文件进行必要澄清，或是根据投标人的要求对招标文件做出澄清，招标方的答疑内容（招标文件内容如有需修改的）和澄清文件均会在浙江省政府采购网(</w:t>
      </w:r>
      <w:r>
        <w:rPr>
          <w:rFonts w:ascii="Times New Roman" w:hAnsi="宋体"/>
          <w:sz w:val="24"/>
          <w:szCs w:val="24"/>
          <w:highlight w:val="none"/>
          <w:lang/>
        </w:rPr>
        <w:drawing>
          <wp:inline distT="0" distB="0" distL="114300" distR="114300">
            <wp:extent cx="190500" cy="1428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90500" cy="142875"/>
                    </a:xfrm>
                    <a:prstGeom prst="rect">
                      <a:avLst/>
                    </a:prstGeom>
                    <a:noFill/>
                    <a:ln>
                      <a:noFill/>
                    </a:ln>
                  </pic:spPr>
                </pic:pic>
              </a:graphicData>
            </a:graphic>
          </wp:inline>
        </w:drawing>
      </w:r>
      <w:r>
        <w:rPr>
          <w:rFonts w:ascii="Times New Roman" w:hAnsi="宋体"/>
          <w:sz w:val="24"/>
          <w:szCs w:val="24"/>
          <w:highlight w:val="none"/>
        </w:rPr>
        <w:t>http://www.zjzfcg.gov.cn/ )上统一以公告的形式发布，投标人在投标截止时间前应充分关注该网上发布的信息，如因投标人未及时关注网上发布的信息而导致的一切投标后果由投标人自行承担。</w:t>
      </w:r>
    </w:p>
    <w:p>
      <w:pPr>
        <w:pStyle w:val="13"/>
        <w:adjustRightInd w:val="0"/>
        <w:snapToGrid w:val="0"/>
        <w:spacing w:line="360" w:lineRule="auto"/>
        <w:rPr>
          <w:rFonts w:ascii="Times New Roman" w:hAnsi="Times New Roman"/>
          <w:sz w:val="24"/>
          <w:szCs w:val="24"/>
          <w:highlight w:val="none"/>
        </w:rPr>
      </w:pPr>
      <w:r>
        <w:rPr>
          <w:rFonts w:ascii="Times New Roman" w:hAnsi="Times New Roman"/>
          <w:b/>
          <w:sz w:val="24"/>
          <w:szCs w:val="24"/>
          <w:highlight w:val="none"/>
        </w:rPr>
        <w:t>12、开标时间：</w:t>
      </w:r>
      <w:r>
        <w:rPr>
          <w:rFonts w:ascii="Times New Roman" w:hAnsi="Times New Roman"/>
          <w:color w:val="FF0000"/>
          <w:sz w:val="24"/>
          <w:szCs w:val="24"/>
          <w:highlight w:val="none"/>
        </w:rPr>
        <w:t>2020年</w:t>
      </w:r>
      <w:r>
        <w:rPr>
          <w:rFonts w:hint="eastAsia" w:ascii="Times New Roman" w:hAnsi="Times New Roman"/>
          <w:color w:val="FF0000"/>
          <w:sz w:val="24"/>
          <w:szCs w:val="24"/>
          <w:highlight w:val="none"/>
          <w:lang w:val="en-US" w:eastAsia="zh-CN"/>
        </w:rPr>
        <w:t>7</w:t>
      </w:r>
      <w:r>
        <w:rPr>
          <w:rFonts w:ascii="Times New Roman" w:hAnsi="Times New Roman"/>
          <w:color w:val="FF0000"/>
          <w:sz w:val="24"/>
          <w:szCs w:val="24"/>
          <w:highlight w:val="none"/>
        </w:rPr>
        <w:t>月</w:t>
      </w:r>
      <w:r>
        <w:rPr>
          <w:rFonts w:hint="eastAsia" w:ascii="Times New Roman" w:hAnsi="Times New Roman"/>
          <w:color w:val="FF0000"/>
          <w:sz w:val="24"/>
          <w:szCs w:val="24"/>
          <w:highlight w:val="none"/>
          <w:lang w:val="en-US" w:eastAsia="zh-CN"/>
        </w:rPr>
        <w:t>13</w:t>
      </w:r>
      <w:r>
        <w:rPr>
          <w:rFonts w:ascii="Times New Roman" w:hAnsi="Times New Roman"/>
          <w:color w:val="FF0000"/>
          <w:sz w:val="24"/>
          <w:szCs w:val="24"/>
          <w:highlight w:val="none"/>
        </w:rPr>
        <w:t>日上午09：30</w:t>
      </w:r>
      <w:r>
        <w:rPr>
          <w:rFonts w:ascii="Times New Roman" w:hAnsi="Times New Roman"/>
          <w:sz w:val="24"/>
          <w:szCs w:val="24"/>
          <w:highlight w:val="none"/>
        </w:rPr>
        <w:t>时。</w:t>
      </w:r>
    </w:p>
    <w:p>
      <w:pPr>
        <w:pStyle w:val="13"/>
        <w:adjustRightInd w:val="0"/>
        <w:snapToGrid w:val="0"/>
        <w:spacing w:line="360" w:lineRule="auto"/>
        <w:ind w:firstLine="470" w:firstLineChars="196"/>
        <w:rPr>
          <w:rFonts w:ascii="Times New Roman" w:hAnsi="Times New Roman"/>
          <w:sz w:val="24"/>
          <w:szCs w:val="24"/>
          <w:highlight w:val="none"/>
        </w:rPr>
      </w:pPr>
      <w:r>
        <w:rPr>
          <w:rFonts w:ascii="Times New Roman" w:hAnsi="Times New Roman"/>
          <w:b/>
          <w:sz w:val="24"/>
          <w:szCs w:val="24"/>
          <w:highlight w:val="none"/>
        </w:rPr>
        <w:t>开标地点：</w:t>
      </w:r>
      <w:r>
        <w:rPr>
          <w:rFonts w:ascii="Times New Roman" w:hAnsi="Times New Roman"/>
          <w:sz w:val="24"/>
          <w:szCs w:val="24"/>
          <w:highlight w:val="none"/>
        </w:rPr>
        <w:t>义乌市望道路300号行政服务中心四楼电子开标室。</w:t>
      </w:r>
    </w:p>
    <w:p>
      <w:pPr>
        <w:pStyle w:val="13"/>
        <w:adjustRightInd w:val="0"/>
        <w:snapToGrid w:val="0"/>
        <w:spacing w:line="360" w:lineRule="auto"/>
        <w:ind w:firstLine="470" w:firstLineChars="196"/>
        <w:rPr>
          <w:rFonts w:ascii="Times New Roman" w:hAnsi="Times New Roman"/>
          <w:b/>
          <w:sz w:val="24"/>
          <w:szCs w:val="24"/>
          <w:highlight w:val="none"/>
        </w:rPr>
      </w:pPr>
      <w:r>
        <w:rPr>
          <w:rFonts w:ascii="Times New Roman" w:hAnsi="Times New Roman"/>
          <w:sz w:val="24"/>
          <w:szCs w:val="24"/>
          <w:highlight w:val="none"/>
        </w:rPr>
        <w:t>开标时间后1小时内（</w:t>
      </w:r>
      <w:r>
        <w:rPr>
          <w:rFonts w:ascii="Times New Roman" w:hAnsi="Times New Roman"/>
          <w:color w:val="FF0000"/>
          <w:sz w:val="24"/>
          <w:szCs w:val="24"/>
          <w:highlight w:val="none"/>
        </w:rPr>
        <w:t>2020年</w:t>
      </w:r>
      <w:r>
        <w:rPr>
          <w:rFonts w:hint="eastAsia" w:ascii="Times New Roman" w:hAnsi="Times New Roman"/>
          <w:color w:val="FF0000"/>
          <w:sz w:val="24"/>
          <w:szCs w:val="24"/>
          <w:highlight w:val="none"/>
          <w:lang w:val="en-US" w:eastAsia="zh-CN"/>
        </w:rPr>
        <w:t>7</w:t>
      </w:r>
      <w:r>
        <w:rPr>
          <w:rFonts w:ascii="Times New Roman" w:hAnsi="Times New Roman"/>
          <w:color w:val="FF0000"/>
          <w:sz w:val="24"/>
          <w:szCs w:val="24"/>
          <w:highlight w:val="none"/>
        </w:rPr>
        <w:t>月</w:t>
      </w:r>
      <w:r>
        <w:rPr>
          <w:rFonts w:hint="eastAsia" w:ascii="Times New Roman" w:hAnsi="Times New Roman"/>
          <w:color w:val="FF0000"/>
          <w:sz w:val="24"/>
          <w:szCs w:val="24"/>
          <w:highlight w:val="none"/>
          <w:lang w:val="en-US" w:eastAsia="zh-CN"/>
        </w:rPr>
        <w:t>13</w:t>
      </w:r>
      <w:r>
        <w:rPr>
          <w:rFonts w:ascii="Times New Roman" w:hAnsi="Times New Roman"/>
          <w:color w:val="FF0000"/>
          <w:sz w:val="24"/>
          <w:szCs w:val="24"/>
          <w:highlight w:val="none"/>
        </w:rPr>
        <w:t>日上午10:30</w:t>
      </w:r>
      <w:r>
        <w:rPr>
          <w:rFonts w:ascii="Times New Roman" w:hAnsi="Times New Roman"/>
          <w:sz w:val="24"/>
          <w:szCs w:val="24"/>
          <w:highlight w:val="none"/>
        </w:rPr>
        <w:t>前）投标人可以登录“政采云”平台，用“项目采购-开标评标”功能进行解密投标文件。</w:t>
      </w:r>
    </w:p>
    <w:p>
      <w:pPr>
        <w:pStyle w:val="13"/>
        <w:adjustRightInd w:val="0"/>
        <w:snapToGrid w:val="0"/>
        <w:spacing w:line="360" w:lineRule="auto"/>
        <w:rPr>
          <w:rFonts w:ascii="Times New Roman" w:hAnsi="Times New Roman"/>
          <w:b/>
          <w:sz w:val="24"/>
          <w:szCs w:val="24"/>
          <w:highlight w:val="none"/>
        </w:rPr>
      </w:pPr>
      <w:r>
        <w:rPr>
          <w:rFonts w:ascii="Times New Roman" w:hAnsi="Times New Roman"/>
          <w:b/>
          <w:sz w:val="24"/>
          <w:szCs w:val="24"/>
          <w:highlight w:val="none"/>
        </w:rPr>
        <w:t>13、投标保证金：无。</w:t>
      </w:r>
    </w:p>
    <w:p>
      <w:pPr>
        <w:pStyle w:val="13"/>
        <w:adjustRightInd w:val="0"/>
        <w:snapToGrid w:val="0"/>
        <w:spacing w:line="360" w:lineRule="auto"/>
        <w:rPr>
          <w:rFonts w:ascii="Times New Roman" w:hAnsi="Times New Roman"/>
          <w:b/>
          <w:sz w:val="24"/>
          <w:szCs w:val="24"/>
          <w:highlight w:val="none"/>
        </w:rPr>
      </w:pPr>
      <w:r>
        <w:rPr>
          <w:rFonts w:ascii="Times New Roman" w:hAnsi="Times New Roman"/>
          <w:sz w:val="24"/>
          <w:szCs w:val="24"/>
          <w:highlight w:val="none"/>
        </w:rPr>
        <w:t>14、</w:t>
      </w:r>
      <w:r>
        <w:rPr>
          <w:rFonts w:ascii="Times New Roman" w:hAnsi="Times New Roman"/>
          <w:b/>
          <w:sz w:val="24"/>
          <w:szCs w:val="24"/>
          <w:highlight w:val="none"/>
        </w:rPr>
        <w:t>业务咨询：</w:t>
      </w:r>
    </w:p>
    <w:p>
      <w:pPr>
        <w:pStyle w:val="13"/>
        <w:spacing w:line="360" w:lineRule="auto"/>
        <w:ind w:firstLine="360" w:firstLineChars="150"/>
        <w:rPr>
          <w:rFonts w:ascii="Times New Roman" w:hAnsi="Times New Roman"/>
          <w:sz w:val="24"/>
          <w:highlight w:val="none"/>
        </w:rPr>
      </w:pPr>
      <w:r>
        <w:rPr>
          <w:rFonts w:hint="eastAsia" w:ascii="Times New Roman" w:hAnsi="Times New Roman"/>
          <w:sz w:val="24"/>
          <w:highlight w:val="none"/>
        </w:rPr>
        <w:t>采购单位：义乌市人民政府稠江街道办事处</w:t>
      </w:r>
    </w:p>
    <w:p>
      <w:pPr>
        <w:pStyle w:val="13"/>
        <w:spacing w:line="360" w:lineRule="auto"/>
        <w:ind w:firstLine="360" w:firstLineChars="150"/>
        <w:rPr>
          <w:rFonts w:ascii="Times New Roman" w:hAnsi="Times New Roman"/>
          <w:color w:val="000000"/>
          <w:sz w:val="24"/>
          <w:highlight w:val="none"/>
        </w:rPr>
      </w:pPr>
      <w:r>
        <w:rPr>
          <w:rFonts w:hint="eastAsia" w:ascii="Times New Roman" w:hAnsi="Times New Roman"/>
          <w:sz w:val="24"/>
          <w:highlight w:val="none"/>
        </w:rPr>
        <w:t>联系人：</w:t>
      </w:r>
      <w:r>
        <w:rPr>
          <w:rFonts w:hint="eastAsia" w:ascii="Times New Roman" w:hAnsi="Times New Roman"/>
          <w:color w:val="000000"/>
          <w:sz w:val="24"/>
          <w:highlight w:val="none"/>
          <w:u w:val="single"/>
        </w:rPr>
        <w:t>彭坤军</w:t>
      </w:r>
      <w:r>
        <w:rPr>
          <w:rFonts w:hint="eastAsia" w:ascii="Times New Roman" w:hAnsi="Times New Roman"/>
          <w:color w:val="000000"/>
          <w:sz w:val="24"/>
          <w:highlight w:val="none"/>
        </w:rPr>
        <w:t xml:space="preserve">    电话：</w:t>
      </w:r>
      <w:r>
        <w:rPr>
          <w:rFonts w:hint="eastAsia" w:ascii="Times New Roman" w:hAnsi="Times New Roman"/>
          <w:color w:val="000000"/>
          <w:sz w:val="24"/>
          <w:highlight w:val="none"/>
          <w:u w:val="single"/>
        </w:rPr>
        <w:t>0579-85793206</w:t>
      </w:r>
      <w:r>
        <w:rPr>
          <w:rFonts w:ascii="Times New Roman" w:hAnsi="Times New Roman"/>
          <w:color w:val="000000"/>
          <w:sz w:val="24"/>
          <w:highlight w:val="none"/>
        </w:rPr>
        <w:t xml:space="preserve"> </w:t>
      </w:r>
    </w:p>
    <w:p>
      <w:pPr>
        <w:pStyle w:val="13"/>
        <w:spacing w:line="360" w:lineRule="auto"/>
        <w:ind w:firstLine="480" w:firstLineChars="200"/>
        <w:rPr>
          <w:rFonts w:ascii="Times New Roman" w:hAnsi="Times New Roman"/>
          <w:sz w:val="24"/>
          <w:szCs w:val="24"/>
          <w:highlight w:val="none"/>
        </w:rPr>
      </w:pPr>
    </w:p>
    <w:p>
      <w:pPr>
        <w:spacing w:line="360" w:lineRule="auto"/>
        <w:ind w:left="359" w:leftChars="171"/>
        <w:rPr>
          <w:sz w:val="24"/>
          <w:highlight w:val="none"/>
        </w:rPr>
      </w:pPr>
      <w:r>
        <w:rPr>
          <w:rFonts w:hAnsi="宋体"/>
          <w:sz w:val="24"/>
          <w:highlight w:val="none"/>
        </w:rPr>
        <w:t>采购代理机构：浙江开平企业管理咨询有限公司</w:t>
      </w:r>
    </w:p>
    <w:p>
      <w:pPr>
        <w:spacing w:line="360" w:lineRule="auto"/>
        <w:ind w:left="359" w:leftChars="171"/>
        <w:rPr>
          <w:sz w:val="24"/>
          <w:highlight w:val="none"/>
        </w:rPr>
      </w:pPr>
      <w:r>
        <w:rPr>
          <w:rFonts w:hAnsi="宋体"/>
          <w:sz w:val="24"/>
          <w:highlight w:val="none"/>
        </w:rPr>
        <w:t>详细地址：义乌市贝村路</w:t>
      </w:r>
      <w:r>
        <w:rPr>
          <w:sz w:val="24"/>
          <w:highlight w:val="none"/>
        </w:rPr>
        <w:t>178</w:t>
      </w:r>
      <w:r>
        <w:rPr>
          <w:rFonts w:hAnsi="宋体"/>
          <w:sz w:val="24"/>
          <w:highlight w:val="none"/>
        </w:rPr>
        <w:t>号</w:t>
      </w:r>
      <w:r>
        <w:rPr>
          <w:sz w:val="24"/>
          <w:highlight w:val="none"/>
        </w:rPr>
        <w:t>6</w:t>
      </w:r>
      <w:r>
        <w:rPr>
          <w:rFonts w:hAnsi="宋体"/>
          <w:sz w:val="24"/>
          <w:highlight w:val="none"/>
        </w:rPr>
        <w:t>楼</w:t>
      </w:r>
    </w:p>
    <w:p>
      <w:pPr>
        <w:spacing w:line="360" w:lineRule="auto"/>
        <w:ind w:left="359" w:leftChars="171"/>
        <w:rPr>
          <w:sz w:val="24"/>
          <w:highlight w:val="none"/>
        </w:rPr>
      </w:pPr>
      <w:r>
        <w:rPr>
          <w:rFonts w:hAnsi="宋体"/>
          <w:sz w:val="24"/>
          <w:highlight w:val="none"/>
        </w:rPr>
        <w:t>邮编：</w:t>
      </w:r>
      <w:r>
        <w:rPr>
          <w:sz w:val="24"/>
          <w:highlight w:val="none"/>
        </w:rPr>
        <w:t xml:space="preserve">322000                 </w:t>
      </w:r>
    </w:p>
    <w:p>
      <w:pPr>
        <w:spacing w:line="360" w:lineRule="auto"/>
        <w:ind w:left="359" w:leftChars="171"/>
        <w:rPr>
          <w:sz w:val="24"/>
          <w:highlight w:val="none"/>
        </w:rPr>
      </w:pPr>
      <w:r>
        <w:rPr>
          <w:rFonts w:hAnsi="宋体"/>
          <w:sz w:val="24"/>
          <w:highlight w:val="none"/>
        </w:rPr>
        <w:t>联系人：</w:t>
      </w:r>
      <w:r>
        <w:rPr>
          <w:rFonts w:hint="eastAsia" w:hAnsi="宋体"/>
          <w:sz w:val="24"/>
          <w:highlight w:val="none"/>
        </w:rPr>
        <w:t>陈</w:t>
      </w:r>
      <w:r>
        <w:rPr>
          <w:rFonts w:hAnsi="宋体"/>
          <w:sz w:val="24"/>
          <w:highlight w:val="none"/>
        </w:rPr>
        <w:t>开平</w:t>
      </w:r>
    </w:p>
    <w:p>
      <w:pPr>
        <w:spacing w:line="360" w:lineRule="auto"/>
        <w:ind w:left="359" w:leftChars="171"/>
        <w:rPr>
          <w:sz w:val="24"/>
          <w:highlight w:val="none"/>
        </w:rPr>
      </w:pPr>
      <w:r>
        <w:rPr>
          <w:rFonts w:hAnsi="宋体"/>
          <w:sz w:val="24"/>
          <w:highlight w:val="none"/>
        </w:rPr>
        <w:t>电话：</w:t>
      </w:r>
      <w:r>
        <w:rPr>
          <w:sz w:val="24"/>
          <w:highlight w:val="none"/>
        </w:rPr>
        <w:t>0579—85317081</w:t>
      </w:r>
      <w:r>
        <w:rPr>
          <w:rFonts w:hAnsi="宋体"/>
          <w:sz w:val="24"/>
          <w:highlight w:val="none"/>
        </w:rPr>
        <w:t>、</w:t>
      </w:r>
      <w:r>
        <w:rPr>
          <w:sz w:val="24"/>
          <w:highlight w:val="none"/>
        </w:rPr>
        <w:t xml:space="preserve">85328516     </w:t>
      </w:r>
    </w:p>
    <w:p>
      <w:pPr>
        <w:spacing w:line="360" w:lineRule="auto"/>
        <w:ind w:left="359" w:leftChars="171"/>
        <w:rPr>
          <w:sz w:val="24"/>
          <w:highlight w:val="none"/>
        </w:rPr>
      </w:pPr>
      <w:r>
        <w:rPr>
          <w:rFonts w:hAnsi="宋体"/>
          <w:sz w:val="24"/>
          <w:highlight w:val="none"/>
        </w:rPr>
        <w:t>传真：</w:t>
      </w:r>
      <w:r>
        <w:rPr>
          <w:sz w:val="24"/>
          <w:highlight w:val="none"/>
        </w:rPr>
        <w:t xml:space="preserve">0579—85321521    </w:t>
      </w:r>
    </w:p>
    <w:p>
      <w:pPr>
        <w:spacing w:line="360" w:lineRule="auto"/>
        <w:ind w:left="359" w:leftChars="171"/>
        <w:rPr>
          <w:sz w:val="24"/>
          <w:highlight w:val="none"/>
        </w:rPr>
      </w:pPr>
      <w:r>
        <w:rPr>
          <w:rFonts w:hAnsi="宋体"/>
          <w:sz w:val="24"/>
          <w:highlight w:val="none"/>
        </w:rPr>
        <w:t>财务：</w:t>
      </w:r>
      <w:r>
        <w:rPr>
          <w:sz w:val="24"/>
          <w:highlight w:val="none"/>
        </w:rPr>
        <w:t>0579—85321863</w:t>
      </w:r>
    </w:p>
    <w:p>
      <w:pPr>
        <w:pStyle w:val="13"/>
        <w:adjustRightInd w:val="0"/>
        <w:snapToGrid w:val="0"/>
        <w:spacing w:line="360" w:lineRule="auto"/>
        <w:ind w:firstLine="480" w:firstLineChars="200"/>
        <w:rPr>
          <w:rFonts w:ascii="Times New Roman" w:hAnsi="Times New Roman"/>
          <w:sz w:val="24"/>
          <w:szCs w:val="24"/>
          <w:highlight w:val="none"/>
        </w:rPr>
      </w:pPr>
    </w:p>
    <w:p>
      <w:pPr>
        <w:spacing w:line="360" w:lineRule="auto"/>
        <w:ind w:firstLine="360" w:firstLineChars="150"/>
        <w:rPr>
          <w:sz w:val="24"/>
          <w:highlight w:val="none"/>
        </w:rPr>
      </w:pPr>
      <w:r>
        <w:rPr>
          <w:rFonts w:hint="eastAsia"/>
          <w:sz w:val="24"/>
          <w:highlight w:val="none"/>
        </w:rPr>
        <w:t xml:space="preserve">监管部门：义乌市财政局     </w:t>
      </w:r>
    </w:p>
    <w:p>
      <w:pPr>
        <w:spacing w:line="360" w:lineRule="auto"/>
        <w:ind w:firstLine="360" w:firstLineChars="150"/>
        <w:rPr>
          <w:sz w:val="24"/>
          <w:highlight w:val="none"/>
        </w:rPr>
      </w:pPr>
      <w:r>
        <w:rPr>
          <w:rFonts w:hint="eastAsia"/>
          <w:sz w:val="24"/>
          <w:highlight w:val="none"/>
        </w:rPr>
        <w:t>联系电话：0579—89915058</w:t>
      </w:r>
    </w:p>
    <w:p>
      <w:pPr>
        <w:widowControl/>
        <w:spacing w:line="360" w:lineRule="auto"/>
        <w:jc w:val="left"/>
        <w:rPr>
          <w:sz w:val="24"/>
          <w:highlight w:val="none"/>
        </w:rPr>
      </w:pPr>
    </w:p>
    <w:p>
      <w:pPr>
        <w:widowControl/>
        <w:spacing w:line="360" w:lineRule="auto"/>
        <w:jc w:val="left"/>
        <w:rPr>
          <w:sz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60" w:lineRule="auto"/>
        <w:rPr>
          <w:rFonts w:ascii="Times New Roman" w:hAnsi="Times New Roman"/>
          <w:sz w:val="24"/>
          <w:szCs w:val="24"/>
          <w:highlight w:val="none"/>
        </w:rPr>
      </w:pPr>
    </w:p>
    <w:p>
      <w:pPr>
        <w:pStyle w:val="13"/>
        <w:adjustRightInd w:val="0"/>
        <w:snapToGrid w:val="0"/>
        <w:spacing w:line="360" w:lineRule="auto"/>
        <w:jc w:val="center"/>
        <w:rPr>
          <w:rFonts w:ascii="Times New Roman" w:hAnsi="Times New Roman"/>
          <w:b/>
          <w:sz w:val="24"/>
          <w:szCs w:val="24"/>
          <w:highlight w:val="none"/>
        </w:rPr>
      </w:pPr>
      <w:r>
        <w:rPr>
          <w:rFonts w:hint="eastAsia" w:ascii="Times New Roman" w:hAnsi="Times New Roman"/>
          <w:b/>
          <w:sz w:val="36"/>
          <w:szCs w:val="36"/>
          <w:highlight w:val="none"/>
        </w:rPr>
        <w:t xml:space="preserve">第二章  </w:t>
      </w:r>
      <w:r>
        <w:rPr>
          <w:b/>
          <w:sz w:val="36"/>
          <w:szCs w:val="36"/>
          <w:highlight w:val="none"/>
        </w:rPr>
        <w:t>投</w:t>
      </w:r>
      <w:r>
        <w:rPr>
          <w:b/>
          <w:sz w:val="36"/>
          <w:highlight w:val="none"/>
        </w:rPr>
        <w:t>标须知和投标须知前附表</w:t>
      </w:r>
    </w:p>
    <w:p>
      <w:pPr>
        <w:widowControl/>
        <w:spacing w:before="150" w:after="150" w:line="480" w:lineRule="atLeast"/>
        <w:ind w:left="705" w:right="300"/>
        <w:jc w:val="center"/>
        <w:rPr>
          <w:b/>
          <w:sz w:val="30"/>
          <w:szCs w:val="30"/>
          <w:highlight w:val="none"/>
        </w:rPr>
      </w:pPr>
      <w:bookmarkStart w:id="2" w:name="_Toc349741058"/>
      <w:r>
        <w:rPr>
          <w:b/>
          <w:sz w:val="30"/>
          <w:szCs w:val="30"/>
          <w:highlight w:val="none"/>
        </w:rPr>
        <w:t>投标须知前附表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2" w:hRule="atLeast"/>
          <w:jc w:val="center"/>
        </w:trPr>
        <w:tc>
          <w:tcPr>
            <w:tcW w:w="720" w:type="dxa"/>
            <w:noWrap w:val="0"/>
            <w:vAlign w:val="center"/>
          </w:tcPr>
          <w:p>
            <w:pPr>
              <w:rPr>
                <w:b/>
                <w:sz w:val="24"/>
                <w:highlight w:val="none"/>
              </w:rPr>
            </w:pPr>
            <w:r>
              <w:rPr>
                <w:rFonts w:ascii="宋体" w:hAnsi="宋体"/>
                <w:b/>
                <w:sz w:val="24"/>
                <w:highlight w:val="none"/>
              </w:rPr>
              <w:t>序号</w:t>
            </w:r>
          </w:p>
        </w:tc>
        <w:tc>
          <w:tcPr>
            <w:tcW w:w="9230" w:type="dxa"/>
            <w:gridSpan w:val="2"/>
            <w:noWrap w:val="0"/>
            <w:vAlign w:val="center"/>
          </w:tcPr>
          <w:p>
            <w:pPr>
              <w:rPr>
                <w:b/>
                <w:sz w:val="24"/>
                <w:highlight w:val="none"/>
              </w:rPr>
            </w:pPr>
            <w:r>
              <w:rPr>
                <w:rFonts w:ascii="宋体" w:hAnsi="宋体"/>
                <w:b/>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9" w:hRule="atLeast"/>
          <w:jc w:val="center"/>
        </w:trPr>
        <w:tc>
          <w:tcPr>
            <w:tcW w:w="720" w:type="dxa"/>
            <w:noWrap w:val="0"/>
            <w:vAlign w:val="center"/>
          </w:tcPr>
          <w:p>
            <w:pPr>
              <w:ind w:firstLine="240" w:firstLineChars="100"/>
              <w:rPr>
                <w:sz w:val="24"/>
                <w:highlight w:val="none"/>
              </w:rPr>
            </w:pPr>
            <w:r>
              <w:rPr>
                <w:sz w:val="24"/>
                <w:highlight w:val="none"/>
              </w:rPr>
              <w:t>1</w:t>
            </w:r>
          </w:p>
        </w:tc>
        <w:tc>
          <w:tcPr>
            <w:tcW w:w="1670" w:type="dxa"/>
            <w:noWrap w:val="0"/>
            <w:vAlign w:val="center"/>
          </w:tcPr>
          <w:p>
            <w:pPr>
              <w:jc w:val="center"/>
              <w:rPr>
                <w:sz w:val="24"/>
                <w:highlight w:val="none"/>
              </w:rPr>
            </w:pPr>
            <w:r>
              <w:rPr>
                <w:rFonts w:hint="eastAsia"/>
                <w:sz w:val="24"/>
                <w:highlight w:val="none"/>
              </w:rPr>
              <w:t>项目</w:t>
            </w:r>
            <w:r>
              <w:rPr>
                <w:sz w:val="24"/>
                <w:highlight w:val="none"/>
              </w:rPr>
              <w:t>名称</w:t>
            </w:r>
          </w:p>
        </w:tc>
        <w:tc>
          <w:tcPr>
            <w:tcW w:w="7560" w:type="dxa"/>
            <w:noWrap w:val="0"/>
            <w:vAlign w:val="center"/>
          </w:tcPr>
          <w:p>
            <w:pPr>
              <w:rPr>
                <w:sz w:val="24"/>
                <w:highlight w:val="none"/>
              </w:rPr>
            </w:pPr>
            <w:r>
              <w:rPr>
                <w:rFonts w:hint="eastAsia"/>
                <w:sz w:val="24"/>
                <w:highlight w:val="none"/>
              </w:rPr>
              <w:t>义乌市稠江街道锦都等五个社区2020</w:t>
            </w:r>
            <w:r>
              <w:rPr>
                <w:sz w:val="24"/>
                <w:highlight w:val="none"/>
              </w:rPr>
              <w:t>年</w:t>
            </w:r>
            <w:r>
              <w:rPr>
                <w:rFonts w:hint="eastAsia"/>
                <w:sz w:val="24"/>
                <w:highlight w:val="none"/>
              </w:rPr>
              <w:t>度清扫保洁服务</w:t>
            </w:r>
            <w:r>
              <w:rPr>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3" w:hRule="atLeast"/>
          <w:jc w:val="center"/>
        </w:trPr>
        <w:tc>
          <w:tcPr>
            <w:tcW w:w="720" w:type="dxa"/>
            <w:noWrap w:val="0"/>
            <w:vAlign w:val="center"/>
          </w:tcPr>
          <w:p>
            <w:pPr>
              <w:jc w:val="center"/>
              <w:rPr>
                <w:sz w:val="24"/>
                <w:highlight w:val="none"/>
              </w:rPr>
            </w:pPr>
            <w:r>
              <w:rPr>
                <w:sz w:val="24"/>
                <w:highlight w:val="none"/>
              </w:rPr>
              <w:t>2</w:t>
            </w:r>
          </w:p>
        </w:tc>
        <w:tc>
          <w:tcPr>
            <w:tcW w:w="1670" w:type="dxa"/>
            <w:noWrap w:val="0"/>
            <w:vAlign w:val="center"/>
          </w:tcPr>
          <w:p>
            <w:pPr>
              <w:jc w:val="center"/>
              <w:rPr>
                <w:sz w:val="24"/>
                <w:highlight w:val="none"/>
              </w:rPr>
            </w:pPr>
            <w:r>
              <w:rPr>
                <w:rFonts w:ascii="宋体" w:hAnsi="宋体"/>
                <w:sz w:val="24"/>
                <w:highlight w:val="none"/>
              </w:rPr>
              <w:t>招标方式</w:t>
            </w:r>
          </w:p>
        </w:tc>
        <w:tc>
          <w:tcPr>
            <w:tcW w:w="7560" w:type="dxa"/>
            <w:noWrap w:val="0"/>
            <w:vAlign w:val="center"/>
          </w:tcPr>
          <w:p>
            <w:pPr>
              <w:rPr>
                <w:sz w:val="24"/>
                <w:highlight w:val="none"/>
              </w:rPr>
            </w:pPr>
            <w:r>
              <w:rPr>
                <w:rFonts w:ascii="宋体" w:hAnsi="宋体"/>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jc w:val="center"/>
        </w:trPr>
        <w:tc>
          <w:tcPr>
            <w:tcW w:w="720" w:type="dxa"/>
            <w:noWrap w:val="0"/>
            <w:vAlign w:val="center"/>
          </w:tcPr>
          <w:p>
            <w:pPr>
              <w:jc w:val="center"/>
              <w:rPr>
                <w:sz w:val="24"/>
                <w:highlight w:val="none"/>
              </w:rPr>
            </w:pPr>
            <w:r>
              <w:rPr>
                <w:sz w:val="24"/>
                <w:highlight w:val="none"/>
              </w:rPr>
              <w:t>3</w:t>
            </w:r>
          </w:p>
        </w:tc>
        <w:tc>
          <w:tcPr>
            <w:tcW w:w="1670" w:type="dxa"/>
            <w:noWrap w:val="0"/>
            <w:vAlign w:val="center"/>
          </w:tcPr>
          <w:p>
            <w:pPr>
              <w:jc w:val="center"/>
              <w:rPr>
                <w:rFonts w:ascii="宋体" w:hAnsi="宋体"/>
                <w:sz w:val="24"/>
                <w:highlight w:val="none"/>
              </w:rPr>
            </w:pPr>
            <w:r>
              <w:rPr>
                <w:rFonts w:ascii="宋体" w:hAnsi="宋体"/>
                <w:sz w:val="24"/>
                <w:highlight w:val="none"/>
              </w:rPr>
              <w:t>投标单位</w:t>
            </w:r>
          </w:p>
          <w:p>
            <w:pPr>
              <w:jc w:val="center"/>
              <w:rPr>
                <w:sz w:val="24"/>
                <w:highlight w:val="none"/>
              </w:rPr>
            </w:pPr>
            <w:r>
              <w:rPr>
                <w:rFonts w:ascii="宋体" w:hAnsi="宋体"/>
                <w:sz w:val="24"/>
                <w:highlight w:val="none"/>
              </w:rPr>
              <w:t>资格要求</w:t>
            </w:r>
          </w:p>
        </w:tc>
        <w:tc>
          <w:tcPr>
            <w:tcW w:w="7560" w:type="dxa"/>
            <w:noWrap w:val="0"/>
            <w:vAlign w:val="center"/>
          </w:tcPr>
          <w:p>
            <w:pPr>
              <w:rPr>
                <w:sz w:val="24"/>
                <w:highlight w:val="none"/>
              </w:rPr>
            </w:pPr>
            <w:r>
              <w:rPr>
                <w:rFonts w:ascii="宋体" w:hAnsi="宋体"/>
                <w:sz w:val="24"/>
                <w:highlight w:val="none"/>
              </w:rPr>
              <w:t>详见</w:t>
            </w:r>
            <w:r>
              <w:rPr>
                <w:sz w:val="24"/>
                <w:highlight w:val="none"/>
              </w:rPr>
              <w:t>招标</w:t>
            </w:r>
            <w:r>
              <w:rPr>
                <w:rFonts w:ascii="宋体" w:hAnsi="宋体"/>
                <w:sz w:val="24"/>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8" w:hRule="atLeast"/>
          <w:jc w:val="center"/>
        </w:trPr>
        <w:tc>
          <w:tcPr>
            <w:tcW w:w="720" w:type="dxa"/>
            <w:noWrap w:val="0"/>
            <w:vAlign w:val="center"/>
          </w:tcPr>
          <w:p>
            <w:pPr>
              <w:jc w:val="center"/>
              <w:rPr>
                <w:sz w:val="24"/>
                <w:highlight w:val="none"/>
              </w:rPr>
            </w:pPr>
            <w:r>
              <w:rPr>
                <w:sz w:val="24"/>
                <w:highlight w:val="none"/>
              </w:rPr>
              <w:t>4</w:t>
            </w:r>
          </w:p>
        </w:tc>
        <w:tc>
          <w:tcPr>
            <w:tcW w:w="1670" w:type="dxa"/>
            <w:noWrap w:val="0"/>
            <w:vAlign w:val="center"/>
          </w:tcPr>
          <w:p>
            <w:pPr>
              <w:jc w:val="center"/>
              <w:rPr>
                <w:sz w:val="24"/>
                <w:highlight w:val="none"/>
              </w:rPr>
            </w:pPr>
            <w:r>
              <w:rPr>
                <w:rFonts w:ascii="宋体" w:hAnsi="宋体"/>
                <w:sz w:val="24"/>
                <w:highlight w:val="none"/>
              </w:rPr>
              <w:t>招标文件发售时间和地点</w:t>
            </w:r>
          </w:p>
        </w:tc>
        <w:tc>
          <w:tcPr>
            <w:tcW w:w="7560" w:type="dxa"/>
            <w:noWrap w:val="0"/>
            <w:vAlign w:val="center"/>
          </w:tcPr>
          <w:p>
            <w:pPr>
              <w:rPr>
                <w:sz w:val="24"/>
                <w:highlight w:val="none"/>
              </w:rPr>
            </w:pPr>
            <w:r>
              <w:rPr>
                <w:rFonts w:ascii="宋体" w:hAnsi="宋体"/>
                <w:sz w:val="24"/>
                <w:highlight w:val="none"/>
              </w:rPr>
              <w:t>详见</w:t>
            </w:r>
            <w:r>
              <w:rPr>
                <w:sz w:val="24"/>
                <w:highlight w:val="none"/>
              </w:rPr>
              <w:t>招标</w:t>
            </w:r>
            <w:r>
              <w:rPr>
                <w:rFonts w:ascii="宋体" w:hAnsi="宋体"/>
                <w:sz w:val="24"/>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1" w:hRule="atLeast"/>
          <w:jc w:val="center"/>
        </w:trPr>
        <w:tc>
          <w:tcPr>
            <w:tcW w:w="720" w:type="dxa"/>
            <w:noWrap w:val="0"/>
            <w:vAlign w:val="center"/>
          </w:tcPr>
          <w:p>
            <w:pPr>
              <w:jc w:val="center"/>
              <w:rPr>
                <w:sz w:val="24"/>
                <w:highlight w:val="none"/>
              </w:rPr>
            </w:pPr>
            <w:r>
              <w:rPr>
                <w:sz w:val="24"/>
                <w:highlight w:val="none"/>
              </w:rPr>
              <w:t>5</w:t>
            </w:r>
          </w:p>
        </w:tc>
        <w:tc>
          <w:tcPr>
            <w:tcW w:w="1670" w:type="dxa"/>
            <w:noWrap w:val="0"/>
            <w:vAlign w:val="center"/>
          </w:tcPr>
          <w:p>
            <w:pPr>
              <w:jc w:val="center"/>
              <w:rPr>
                <w:sz w:val="24"/>
                <w:highlight w:val="none"/>
              </w:rPr>
            </w:pPr>
            <w:r>
              <w:rPr>
                <w:sz w:val="24"/>
                <w:highlight w:val="none"/>
              </w:rPr>
              <w:t>服务期限</w:t>
            </w:r>
          </w:p>
        </w:tc>
        <w:tc>
          <w:tcPr>
            <w:tcW w:w="7560" w:type="dxa"/>
            <w:noWrap w:val="0"/>
            <w:vAlign w:val="center"/>
          </w:tcPr>
          <w:p>
            <w:pPr>
              <w:rPr>
                <w:sz w:val="24"/>
                <w:highlight w:val="none"/>
              </w:rPr>
            </w:pPr>
            <w:r>
              <w:rPr>
                <w:sz w:val="24"/>
                <w:highlight w:val="none"/>
              </w:rPr>
              <w:t>一年</w:t>
            </w:r>
            <w:r>
              <w:rPr>
                <w:rFonts w:ascii="宋体" w:hAnsi="宋体"/>
                <w:sz w:val="24"/>
                <w:highlight w:val="none"/>
              </w:rPr>
              <w:t>，具体时间甲乙双方在签订合同时确定。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70" w:hRule="atLeast"/>
          <w:jc w:val="center"/>
        </w:trPr>
        <w:tc>
          <w:tcPr>
            <w:tcW w:w="720" w:type="dxa"/>
            <w:noWrap w:val="0"/>
            <w:vAlign w:val="center"/>
          </w:tcPr>
          <w:p>
            <w:pPr>
              <w:jc w:val="center"/>
              <w:rPr>
                <w:sz w:val="24"/>
                <w:highlight w:val="none"/>
              </w:rPr>
            </w:pPr>
            <w:r>
              <w:rPr>
                <w:rFonts w:hint="eastAsia"/>
                <w:sz w:val="24"/>
                <w:highlight w:val="none"/>
              </w:rPr>
              <w:t>6</w:t>
            </w:r>
          </w:p>
        </w:tc>
        <w:tc>
          <w:tcPr>
            <w:tcW w:w="1670" w:type="dxa"/>
            <w:noWrap w:val="0"/>
            <w:vAlign w:val="center"/>
          </w:tcPr>
          <w:p>
            <w:pPr>
              <w:jc w:val="center"/>
              <w:rPr>
                <w:sz w:val="24"/>
                <w:highlight w:val="none"/>
              </w:rPr>
            </w:pPr>
            <w:r>
              <w:rPr>
                <w:rFonts w:ascii="宋体" w:hAnsi="宋体"/>
                <w:sz w:val="24"/>
                <w:highlight w:val="none"/>
              </w:rPr>
              <w:t>现场踏勘时间</w:t>
            </w:r>
          </w:p>
        </w:tc>
        <w:tc>
          <w:tcPr>
            <w:tcW w:w="7560" w:type="dxa"/>
            <w:noWrap w:val="0"/>
            <w:vAlign w:val="center"/>
          </w:tcPr>
          <w:p>
            <w:pPr>
              <w:rPr>
                <w:sz w:val="24"/>
                <w:highlight w:val="none"/>
              </w:rPr>
            </w:pPr>
            <w:r>
              <w:rPr>
                <w:rFonts w:hint="eastAsia" w:hAnsi="宋体"/>
                <w:sz w:val="24"/>
                <w:highlight w:val="none"/>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73" w:hRule="atLeast"/>
          <w:jc w:val="center"/>
        </w:trPr>
        <w:tc>
          <w:tcPr>
            <w:tcW w:w="720" w:type="dxa"/>
            <w:noWrap w:val="0"/>
            <w:vAlign w:val="center"/>
          </w:tcPr>
          <w:p>
            <w:pPr>
              <w:jc w:val="center"/>
              <w:rPr>
                <w:sz w:val="24"/>
                <w:highlight w:val="none"/>
              </w:rPr>
            </w:pPr>
            <w:r>
              <w:rPr>
                <w:rFonts w:hint="eastAsia"/>
                <w:sz w:val="24"/>
                <w:highlight w:val="none"/>
              </w:rPr>
              <w:t>7</w:t>
            </w:r>
          </w:p>
        </w:tc>
        <w:tc>
          <w:tcPr>
            <w:tcW w:w="1670" w:type="dxa"/>
            <w:noWrap w:val="0"/>
            <w:vAlign w:val="center"/>
          </w:tcPr>
          <w:p>
            <w:pPr>
              <w:jc w:val="center"/>
              <w:rPr>
                <w:rFonts w:ascii="宋体" w:hAnsi="宋体"/>
                <w:sz w:val="24"/>
                <w:highlight w:val="none"/>
              </w:rPr>
            </w:pPr>
            <w:r>
              <w:rPr>
                <w:rFonts w:ascii="宋体" w:hAnsi="宋体"/>
                <w:sz w:val="24"/>
                <w:highlight w:val="none"/>
              </w:rPr>
              <w:t>招标答疑</w:t>
            </w:r>
          </w:p>
          <w:p>
            <w:pPr>
              <w:jc w:val="center"/>
              <w:rPr>
                <w:sz w:val="24"/>
                <w:highlight w:val="none"/>
              </w:rPr>
            </w:pPr>
            <w:r>
              <w:rPr>
                <w:rFonts w:ascii="宋体" w:hAnsi="宋体"/>
                <w:sz w:val="24"/>
                <w:highlight w:val="none"/>
              </w:rPr>
              <w:t>截止时间</w:t>
            </w:r>
          </w:p>
        </w:tc>
        <w:tc>
          <w:tcPr>
            <w:tcW w:w="7560" w:type="dxa"/>
            <w:noWrap w:val="0"/>
            <w:vAlign w:val="center"/>
          </w:tcPr>
          <w:p>
            <w:pPr>
              <w:rPr>
                <w:sz w:val="24"/>
                <w:highlight w:val="none"/>
              </w:rPr>
            </w:pPr>
            <w:r>
              <w:rPr>
                <w:rFonts w:hint="eastAsia" w:hAnsi="宋体"/>
                <w:sz w:val="24"/>
                <w:highlight w:val="none"/>
              </w:rPr>
              <w:t>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文件是招标文件的组成部分，无论是招标方根据需要主动对招标文件进行必要澄清，或是根据投标人的要求对招标文件做出澄清，招标方的答疑内容（招标文件内容如有需修改的）和澄清文件均会在浙江省政府采购网( http://www.zjzfcg.gov.cn/ )上统一以公告的形式发布，供应商在投标截止时间前应充分关注该网上发布的信息，如因供应商未及时关注网上发布的信息而导致的一切投标后果由供应商自行承担。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720" w:type="dxa"/>
            <w:noWrap w:val="0"/>
            <w:vAlign w:val="center"/>
          </w:tcPr>
          <w:p>
            <w:pPr>
              <w:jc w:val="center"/>
              <w:rPr>
                <w:sz w:val="24"/>
                <w:highlight w:val="none"/>
              </w:rPr>
            </w:pPr>
            <w:r>
              <w:rPr>
                <w:rFonts w:hint="eastAsia"/>
                <w:sz w:val="24"/>
                <w:highlight w:val="none"/>
              </w:rPr>
              <w:t>8</w:t>
            </w:r>
          </w:p>
        </w:tc>
        <w:tc>
          <w:tcPr>
            <w:tcW w:w="1670" w:type="dxa"/>
            <w:noWrap w:val="0"/>
            <w:vAlign w:val="center"/>
          </w:tcPr>
          <w:p>
            <w:pPr>
              <w:jc w:val="center"/>
              <w:rPr>
                <w:sz w:val="24"/>
                <w:highlight w:val="none"/>
              </w:rPr>
            </w:pPr>
            <w:r>
              <w:rPr>
                <w:rFonts w:ascii="宋体" w:hAnsi="宋体"/>
                <w:sz w:val="24"/>
                <w:highlight w:val="none"/>
              </w:rPr>
              <w:t>投标有效期</w:t>
            </w:r>
          </w:p>
        </w:tc>
        <w:tc>
          <w:tcPr>
            <w:tcW w:w="7560" w:type="dxa"/>
            <w:noWrap w:val="0"/>
            <w:vAlign w:val="center"/>
          </w:tcPr>
          <w:p>
            <w:pPr>
              <w:rPr>
                <w:sz w:val="24"/>
                <w:highlight w:val="none"/>
              </w:rPr>
            </w:pPr>
            <w:r>
              <w:rPr>
                <w:rFonts w:ascii="宋体" w:hAnsi="宋体"/>
                <w:sz w:val="24"/>
                <w:highlight w:val="none"/>
              </w:rPr>
              <w:t>自开标之日起</w:t>
            </w:r>
            <w:r>
              <w:rPr>
                <w:sz w:val="24"/>
                <w:highlight w:val="none"/>
              </w:rPr>
              <w:t>60</w:t>
            </w:r>
            <w:r>
              <w:rPr>
                <w:rFonts w:ascii="宋体" w:hAnsi="宋体"/>
                <w:sz w:val="24"/>
                <w:highlight w:val="none"/>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720" w:type="dxa"/>
            <w:noWrap w:val="0"/>
            <w:vAlign w:val="center"/>
          </w:tcPr>
          <w:p>
            <w:pPr>
              <w:jc w:val="center"/>
              <w:rPr>
                <w:sz w:val="24"/>
                <w:highlight w:val="none"/>
              </w:rPr>
            </w:pPr>
            <w:r>
              <w:rPr>
                <w:rFonts w:hint="eastAsia"/>
                <w:sz w:val="24"/>
                <w:highlight w:val="none"/>
              </w:rPr>
              <w:t>9</w:t>
            </w:r>
          </w:p>
        </w:tc>
        <w:tc>
          <w:tcPr>
            <w:tcW w:w="1670" w:type="dxa"/>
            <w:noWrap w:val="0"/>
            <w:vAlign w:val="center"/>
          </w:tcPr>
          <w:p>
            <w:pPr>
              <w:jc w:val="center"/>
              <w:rPr>
                <w:rFonts w:ascii="宋体" w:hAnsi="宋体"/>
                <w:sz w:val="24"/>
                <w:highlight w:val="none"/>
              </w:rPr>
            </w:pPr>
            <w:r>
              <w:rPr>
                <w:rFonts w:hint="eastAsia" w:ascii="宋体" w:hAnsi="宋体"/>
                <w:sz w:val="24"/>
                <w:highlight w:val="none"/>
              </w:rPr>
              <w:t>上传电子投标文件时间</w:t>
            </w:r>
          </w:p>
        </w:tc>
        <w:tc>
          <w:tcPr>
            <w:tcW w:w="7560" w:type="dxa"/>
            <w:noWrap w:val="0"/>
            <w:vAlign w:val="center"/>
          </w:tcPr>
          <w:p>
            <w:pPr>
              <w:rPr>
                <w:sz w:val="24"/>
                <w:highlight w:val="none"/>
              </w:rPr>
            </w:pPr>
            <w:r>
              <w:rPr>
                <w:rFonts w:hint="eastAsia" w:ascii="宋体" w:hAnsi="宋体" w:cs="宋体"/>
                <w:sz w:val="24"/>
                <w:highlight w:val="none"/>
              </w:rPr>
              <w:t>投标人应于</w:t>
            </w:r>
            <w:r>
              <w:rPr>
                <w:color w:val="FF0000"/>
                <w:sz w:val="24"/>
                <w:highlight w:val="none"/>
              </w:rPr>
              <w:t>2020</w:t>
            </w:r>
            <w:r>
              <w:rPr>
                <w:rFonts w:hint="eastAsia" w:ascii="宋体" w:hAnsi="宋体" w:cs="宋体"/>
                <w:color w:val="FF0000"/>
                <w:sz w:val="24"/>
                <w:highlight w:val="none"/>
              </w:rPr>
              <w:t>年</w:t>
            </w:r>
            <w:r>
              <w:rPr>
                <w:rFonts w:hint="eastAsia" w:ascii="宋体" w:hAnsi="宋体" w:cs="宋体"/>
                <w:color w:val="FF0000"/>
                <w:sz w:val="24"/>
                <w:highlight w:val="none"/>
                <w:lang w:val="en-US" w:eastAsia="zh-CN"/>
              </w:rPr>
              <w:t>7</w:t>
            </w:r>
            <w:r>
              <w:rPr>
                <w:rFonts w:hint="eastAsia"/>
                <w:color w:val="FF0000"/>
                <w:sz w:val="24"/>
                <w:highlight w:val="none"/>
              </w:rPr>
              <w:t>月</w:t>
            </w:r>
            <w:r>
              <w:rPr>
                <w:rFonts w:hint="eastAsia"/>
                <w:color w:val="FF0000"/>
                <w:sz w:val="24"/>
                <w:highlight w:val="none"/>
                <w:lang w:val="en-US" w:eastAsia="zh-CN"/>
              </w:rPr>
              <w:t>13</w:t>
            </w:r>
            <w:r>
              <w:rPr>
                <w:rFonts w:hint="eastAsia"/>
                <w:color w:val="FF0000"/>
                <w:sz w:val="24"/>
                <w:highlight w:val="none"/>
              </w:rPr>
              <w:t>日</w:t>
            </w:r>
            <w:r>
              <w:rPr>
                <w:rFonts w:hint="eastAsia" w:ascii="宋体" w:hAnsi="宋体" w:cs="宋体"/>
                <w:color w:val="FF0000"/>
                <w:sz w:val="24"/>
                <w:highlight w:val="none"/>
              </w:rPr>
              <w:t>上午</w:t>
            </w:r>
            <w:r>
              <w:rPr>
                <w:color w:val="FF0000"/>
                <w:sz w:val="24"/>
                <w:highlight w:val="none"/>
              </w:rPr>
              <w:t>09</w:t>
            </w:r>
            <w:r>
              <w:rPr>
                <w:rFonts w:hint="eastAsia" w:ascii="宋体" w:hAnsi="宋体" w:cs="宋体"/>
                <w:color w:val="FF0000"/>
                <w:sz w:val="24"/>
                <w:highlight w:val="none"/>
              </w:rPr>
              <w:t>:</w:t>
            </w:r>
            <w:r>
              <w:rPr>
                <w:color w:val="FF0000"/>
                <w:sz w:val="24"/>
                <w:highlight w:val="none"/>
              </w:rPr>
              <w:t>30</w:t>
            </w:r>
            <w:r>
              <w:rPr>
                <w:rFonts w:hint="eastAsia" w:ascii="宋体" w:hAnsi="宋体" w:cs="宋体"/>
                <w:sz w:val="24"/>
                <w:highlight w:val="none"/>
              </w:rPr>
              <w:t>前在</w:t>
            </w:r>
            <w:r>
              <w:rPr>
                <w:sz w:val="24"/>
                <w:highlight w:val="none"/>
              </w:rPr>
              <w:t>“</w:t>
            </w:r>
            <w:r>
              <w:rPr>
                <w:rFonts w:hint="eastAsia" w:ascii="宋体" w:hAnsi="宋体" w:cs="宋体"/>
                <w:sz w:val="24"/>
                <w:highlight w:val="none"/>
              </w:rPr>
              <w:t>政采云</w:t>
            </w:r>
            <w:r>
              <w:rPr>
                <w:sz w:val="24"/>
                <w:highlight w:val="none"/>
              </w:rPr>
              <w:t>”</w:t>
            </w:r>
            <w:r>
              <w:rPr>
                <w:rFonts w:hint="eastAsia" w:ascii="宋体" w:hAnsi="宋体" w:cs="宋体"/>
                <w:sz w:val="24"/>
                <w:highlight w:val="none"/>
              </w:rPr>
              <w:t>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3" w:hRule="atLeast"/>
          <w:jc w:val="center"/>
        </w:trPr>
        <w:tc>
          <w:tcPr>
            <w:tcW w:w="720" w:type="dxa"/>
            <w:noWrap w:val="0"/>
            <w:vAlign w:val="center"/>
          </w:tcPr>
          <w:p>
            <w:pPr>
              <w:jc w:val="center"/>
              <w:rPr>
                <w:sz w:val="24"/>
                <w:highlight w:val="none"/>
              </w:rPr>
            </w:pPr>
            <w:r>
              <w:rPr>
                <w:rFonts w:hint="eastAsia"/>
                <w:sz w:val="24"/>
                <w:highlight w:val="none"/>
              </w:rPr>
              <w:t>10</w:t>
            </w:r>
          </w:p>
        </w:tc>
        <w:tc>
          <w:tcPr>
            <w:tcW w:w="1670" w:type="dxa"/>
            <w:noWrap w:val="0"/>
            <w:vAlign w:val="center"/>
          </w:tcPr>
          <w:p>
            <w:pPr>
              <w:jc w:val="center"/>
              <w:rPr>
                <w:rFonts w:ascii="宋体" w:hAnsi="宋体"/>
                <w:sz w:val="24"/>
                <w:highlight w:val="none"/>
              </w:rPr>
            </w:pPr>
            <w:r>
              <w:rPr>
                <w:rFonts w:hint="eastAsia" w:ascii="宋体" w:hAnsi="宋体"/>
                <w:sz w:val="24"/>
                <w:highlight w:val="none"/>
              </w:rPr>
              <w:t>开标时间</w:t>
            </w:r>
          </w:p>
          <w:p>
            <w:pPr>
              <w:jc w:val="center"/>
              <w:rPr>
                <w:rFonts w:ascii="宋体" w:hAnsi="宋体"/>
                <w:sz w:val="24"/>
                <w:highlight w:val="none"/>
              </w:rPr>
            </w:pPr>
            <w:r>
              <w:rPr>
                <w:rFonts w:hint="eastAsia" w:ascii="宋体" w:hAnsi="宋体"/>
                <w:sz w:val="24"/>
                <w:highlight w:val="none"/>
              </w:rPr>
              <w:t>和地点</w:t>
            </w:r>
          </w:p>
        </w:tc>
        <w:tc>
          <w:tcPr>
            <w:tcW w:w="7560" w:type="dxa"/>
            <w:noWrap w:val="0"/>
            <w:vAlign w:val="center"/>
          </w:tcPr>
          <w:p>
            <w:pPr>
              <w:rPr>
                <w:sz w:val="24"/>
                <w:highlight w:val="none"/>
              </w:rPr>
            </w:pPr>
            <w:r>
              <w:rPr>
                <w:rFonts w:ascii="宋体" w:hAnsi="宋体"/>
                <w:sz w:val="24"/>
                <w:highlight w:val="none"/>
              </w:rPr>
              <w:t>开标时间：</w:t>
            </w:r>
            <w:r>
              <w:rPr>
                <w:color w:val="FF0000"/>
                <w:sz w:val="24"/>
                <w:highlight w:val="none"/>
              </w:rPr>
              <w:t>2020</w:t>
            </w:r>
            <w:r>
              <w:rPr>
                <w:rFonts w:ascii="宋体" w:hAnsi="宋体"/>
                <w:color w:val="FF0000"/>
                <w:sz w:val="24"/>
                <w:highlight w:val="none"/>
              </w:rPr>
              <w:t>年</w:t>
            </w:r>
            <w:r>
              <w:rPr>
                <w:rFonts w:hint="eastAsia" w:ascii="宋体" w:hAnsi="宋体"/>
                <w:color w:val="FF0000"/>
                <w:sz w:val="24"/>
                <w:highlight w:val="none"/>
                <w:lang w:val="en-US" w:eastAsia="zh-CN"/>
              </w:rPr>
              <w:t>7</w:t>
            </w:r>
            <w:r>
              <w:rPr>
                <w:rFonts w:ascii="宋体" w:hAnsi="宋体"/>
                <w:color w:val="FF0000"/>
                <w:sz w:val="24"/>
                <w:highlight w:val="none"/>
              </w:rPr>
              <w:t>月</w:t>
            </w:r>
            <w:r>
              <w:rPr>
                <w:rFonts w:hint="eastAsia" w:ascii="宋体" w:hAnsi="宋体"/>
                <w:color w:val="FF0000"/>
                <w:sz w:val="24"/>
                <w:highlight w:val="none"/>
                <w:lang w:val="en-US" w:eastAsia="zh-CN"/>
              </w:rPr>
              <w:t>13</w:t>
            </w:r>
            <w:r>
              <w:rPr>
                <w:rFonts w:ascii="宋体" w:hAnsi="宋体"/>
                <w:color w:val="FF0000"/>
                <w:sz w:val="24"/>
                <w:highlight w:val="none"/>
              </w:rPr>
              <w:t>日上午</w:t>
            </w:r>
            <w:r>
              <w:rPr>
                <w:color w:val="FF0000"/>
                <w:sz w:val="24"/>
                <w:highlight w:val="none"/>
              </w:rPr>
              <w:t>09</w:t>
            </w:r>
            <w:r>
              <w:rPr>
                <w:rFonts w:hint="eastAsia" w:ascii="宋体" w:hAnsi="宋体"/>
                <w:color w:val="FF0000"/>
                <w:sz w:val="24"/>
                <w:highlight w:val="none"/>
              </w:rPr>
              <w:t>:</w:t>
            </w:r>
            <w:r>
              <w:rPr>
                <w:color w:val="FF0000"/>
                <w:sz w:val="24"/>
                <w:highlight w:val="none"/>
              </w:rPr>
              <w:t>30</w:t>
            </w:r>
          </w:p>
          <w:p>
            <w:pPr>
              <w:rPr>
                <w:sz w:val="24"/>
                <w:highlight w:val="none"/>
              </w:rPr>
            </w:pPr>
            <w:r>
              <w:rPr>
                <w:rFonts w:ascii="宋体" w:hAnsi="宋体"/>
                <w:sz w:val="24"/>
                <w:highlight w:val="none"/>
              </w:rPr>
              <w:t>开标地点：义乌市望道路</w:t>
            </w:r>
            <w:r>
              <w:rPr>
                <w:sz w:val="24"/>
                <w:highlight w:val="none"/>
              </w:rPr>
              <w:t>300</w:t>
            </w:r>
            <w:r>
              <w:rPr>
                <w:rFonts w:ascii="宋体" w:hAnsi="宋体"/>
                <w:sz w:val="24"/>
                <w:highlight w:val="none"/>
              </w:rPr>
              <w:t>号义乌市行政服务中心大楼</w:t>
            </w:r>
            <w:r>
              <w:rPr>
                <w:sz w:val="24"/>
                <w:highlight w:val="none"/>
              </w:rPr>
              <w:t>4</w:t>
            </w:r>
            <w:r>
              <w:rPr>
                <w:rFonts w:ascii="宋体" w:hAnsi="宋体"/>
                <w:sz w:val="24"/>
                <w:highlight w:val="none"/>
              </w:rPr>
              <w:t>楼电子开标室</w:t>
            </w:r>
          </w:p>
          <w:p>
            <w:pPr>
              <w:rPr>
                <w:rFonts w:ascii="宋体" w:hAnsi="宋体" w:cs="宋体"/>
                <w:sz w:val="24"/>
                <w:highlight w:val="none"/>
              </w:rPr>
            </w:pPr>
            <w:r>
              <w:rPr>
                <w:rFonts w:hint="eastAsia" w:ascii="宋体" w:hAnsi="宋体" w:cs="宋体"/>
                <w:sz w:val="24"/>
                <w:highlight w:val="none"/>
              </w:rPr>
              <w:t>开标时间后</w:t>
            </w:r>
            <w:r>
              <w:rPr>
                <w:sz w:val="24"/>
                <w:highlight w:val="none"/>
              </w:rPr>
              <w:t>1</w:t>
            </w:r>
            <w:r>
              <w:rPr>
                <w:rFonts w:hint="eastAsia" w:ascii="宋体" w:hAnsi="宋体" w:cs="宋体"/>
                <w:sz w:val="24"/>
                <w:highlight w:val="none"/>
              </w:rPr>
              <w:t>小时内（</w:t>
            </w:r>
            <w:r>
              <w:rPr>
                <w:color w:val="FF0000"/>
                <w:sz w:val="24"/>
                <w:highlight w:val="none"/>
              </w:rPr>
              <w:t>2020</w:t>
            </w:r>
            <w:r>
              <w:rPr>
                <w:rFonts w:hint="eastAsia" w:ascii="宋体" w:hAnsi="宋体" w:cs="宋体"/>
                <w:color w:val="FF0000"/>
                <w:sz w:val="24"/>
                <w:highlight w:val="none"/>
              </w:rPr>
              <w:t>年</w:t>
            </w:r>
            <w:r>
              <w:rPr>
                <w:rFonts w:hint="eastAsia" w:ascii="宋体" w:hAnsi="宋体" w:cs="宋体"/>
                <w:color w:val="FF0000"/>
                <w:sz w:val="24"/>
                <w:highlight w:val="none"/>
                <w:lang w:val="en-US" w:eastAsia="zh-CN"/>
              </w:rPr>
              <w:t>7</w:t>
            </w:r>
            <w:r>
              <w:rPr>
                <w:rFonts w:hint="eastAsia"/>
                <w:color w:val="FF0000"/>
                <w:sz w:val="24"/>
                <w:highlight w:val="none"/>
              </w:rPr>
              <w:t>月</w:t>
            </w:r>
            <w:r>
              <w:rPr>
                <w:rFonts w:hint="eastAsia"/>
                <w:color w:val="FF0000"/>
                <w:sz w:val="24"/>
                <w:highlight w:val="none"/>
                <w:lang w:val="en-US" w:eastAsia="zh-CN"/>
              </w:rPr>
              <w:t>13</w:t>
            </w:r>
            <w:r>
              <w:rPr>
                <w:rFonts w:hint="eastAsia"/>
                <w:color w:val="FF0000"/>
                <w:sz w:val="24"/>
                <w:highlight w:val="none"/>
              </w:rPr>
              <w:t>日</w:t>
            </w:r>
            <w:r>
              <w:rPr>
                <w:rFonts w:hint="eastAsia" w:ascii="宋体" w:hAnsi="宋体" w:cs="宋体"/>
                <w:color w:val="FF0000"/>
                <w:sz w:val="24"/>
                <w:highlight w:val="none"/>
              </w:rPr>
              <w:t>上午</w:t>
            </w:r>
            <w:r>
              <w:rPr>
                <w:color w:val="FF0000"/>
                <w:sz w:val="24"/>
                <w:highlight w:val="none"/>
              </w:rPr>
              <w:t>10:30</w:t>
            </w:r>
            <w:r>
              <w:rPr>
                <w:rFonts w:hint="eastAsia" w:ascii="宋体" w:hAnsi="宋体" w:cs="宋体"/>
                <w:sz w:val="24"/>
                <w:highlight w:val="none"/>
              </w:rPr>
              <w:t>前）供应商可以登录</w:t>
            </w:r>
            <w:r>
              <w:rPr>
                <w:sz w:val="24"/>
                <w:highlight w:val="none"/>
              </w:rPr>
              <w:t>“</w:t>
            </w:r>
            <w:r>
              <w:rPr>
                <w:rFonts w:hint="eastAsia" w:ascii="宋体" w:hAnsi="宋体" w:cs="宋体"/>
                <w:sz w:val="24"/>
                <w:highlight w:val="none"/>
              </w:rPr>
              <w:t>政采云</w:t>
            </w:r>
            <w:r>
              <w:rPr>
                <w:sz w:val="24"/>
                <w:highlight w:val="none"/>
              </w:rPr>
              <w:t>”</w:t>
            </w:r>
            <w:r>
              <w:rPr>
                <w:rFonts w:hint="eastAsia" w:ascii="宋体" w:hAnsi="宋体" w:cs="宋体"/>
                <w:sz w:val="24"/>
                <w:highlight w:val="none"/>
              </w:rPr>
              <w:t>平台，用</w:t>
            </w:r>
            <w:r>
              <w:rPr>
                <w:sz w:val="24"/>
                <w:highlight w:val="none"/>
              </w:rPr>
              <w:t>“</w:t>
            </w:r>
            <w:r>
              <w:rPr>
                <w:rFonts w:hint="eastAsia" w:ascii="宋体" w:hAnsi="宋体" w:cs="宋体"/>
                <w:sz w:val="24"/>
                <w:highlight w:val="none"/>
              </w:rPr>
              <w:t>项目采购</w:t>
            </w:r>
            <w:r>
              <w:rPr>
                <w:sz w:val="24"/>
                <w:highlight w:val="none"/>
              </w:rPr>
              <w:t>-</w:t>
            </w:r>
            <w:r>
              <w:rPr>
                <w:rFonts w:hint="eastAsia" w:ascii="宋体" w:hAnsi="宋体" w:cs="宋体"/>
                <w:sz w:val="24"/>
                <w:highlight w:val="none"/>
              </w:rPr>
              <w:t>开标评标</w:t>
            </w:r>
            <w:r>
              <w:rPr>
                <w:sz w:val="24"/>
                <w:highlight w:val="none"/>
              </w:rPr>
              <w:t>”</w:t>
            </w:r>
            <w:r>
              <w:rPr>
                <w:rFonts w:hint="eastAsia" w:ascii="宋体" w:hAnsi="宋体" w:cs="宋体"/>
                <w:sz w:val="24"/>
                <w:highlight w:val="none"/>
              </w:rPr>
              <w:t>功能进行解密投标文件。若供应商在规定时间内无法解密或解密失败，将导致投标无效或失败。</w:t>
            </w:r>
          </w:p>
          <w:p>
            <w:pPr>
              <w:rPr>
                <w:sz w:val="24"/>
                <w:highlight w:val="none"/>
              </w:rPr>
            </w:pPr>
            <w:r>
              <w:rPr>
                <w:rFonts w:hint="eastAsia" w:ascii="宋体" w:hAnsi="宋体" w:cs="宋体"/>
                <w:b/>
                <w:sz w:val="24"/>
                <w:highlight w:val="none"/>
              </w:rPr>
              <w:t>注</w:t>
            </w:r>
            <w:r>
              <w:rPr>
                <w:rFonts w:ascii="宋体" w:hAnsi="宋体"/>
                <w:b/>
                <w:kern w:val="0"/>
                <w:sz w:val="24"/>
                <w:highlight w:val="none"/>
              </w:rPr>
              <w:t>意</w:t>
            </w:r>
            <w:r>
              <w:rPr>
                <w:rFonts w:hint="eastAsia" w:ascii="宋体" w:hAnsi="宋体" w:cs="宋体"/>
                <w:b/>
                <w:kern w:val="0"/>
                <w:sz w:val="24"/>
                <w:highlight w:val="none"/>
              </w:rPr>
              <w:t>：</w:t>
            </w:r>
            <w:r>
              <w:rPr>
                <w:rFonts w:hint="eastAsia" w:ascii="宋体" w:hAnsi="宋体" w:cs="宋体"/>
                <w:kern w:val="0"/>
                <w:sz w:val="24"/>
                <w:highlight w:val="none"/>
              </w:rPr>
              <w:t>为确保采购项目顺利实施，避免因政采云上电子投标文件解密失败导致投标方投标无效，投标方可在</w:t>
            </w:r>
            <w:r>
              <w:rPr>
                <w:color w:val="FF0000"/>
                <w:sz w:val="24"/>
                <w:highlight w:val="none"/>
              </w:rPr>
              <w:t>2020</w:t>
            </w:r>
            <w:r>
              <w:rPr>
                <w:rFonts w:hint="eastAsia" w:ascii="宋体" w:hAnsi="宋体" w:cs="宋体"/>
                <w:color w:val="FF0000"/>
                <w:sz w:val="24"/>
                <w:highlight w:val="none"/>
              </w:rPr>
              <w:t>年</w:t>
            </w:r>
            <w:r>
              <w:rPr>
                <w:rFonts w:hint="eastAsia" w:ascii="宋体" w:hAnsi="宋体" w:cs="宋体"/>
                <w:color w:val="FF0000"/>
                <w:sz w:val="24"/>
                <w:highlight w:val="none"/>
                <w:lang w:val="en-US" w:eastAsia="zh-CN"/>
              </w:rPr>
              <w:t>7</w:t>
            </w:r>
            <w:r>
              <w:rPr>
                <w:rFonts w:hint="eastAsia"/>
                <w:color w:val="FF0000"/>
                <w:sz w:val="24"/>
                <w:highlight w:val="none"/>
              </w:rPr>
              <w:t>月</w:t>
            </w:r>
            <w:r>
              <w:rPr>
                <w:rFonts w:hint="eastAsia"/>
                <w:color w:val="FF0000"/>
                <w:sz w:val="24"/>
                <w:highlight w:val="none"/>
                <w:lang w:val="en-US" w:eastAsia="zh-CN"/>
              </w:rPr>
              <w:t>13</w:t>
            </w:r>
            <w:r>
              <w:rPr>
                <w:rFonts w:hint="eastAsia"/>
                <w:color w:val="FF0000"/>
                <w:sz w:val="24"/>
                <w:highlight w:val="none"/>
              </w:rPr>
              <w:t>日</w:t>
            </w:r>
            <w:r>
              <w:rPr>
                <w:rFonts w:hint="eastAsia" w:ascii="宋体" w:hAnsi="宋体" w:cs="宋体"/>
                <w:color w:val="FF0000"/>
                <w:kern w:val="0"/>
                <w:sz w:val="24"/>
                <w:highlight w:val="none"/>
              </w:rPr>
              <w:t>上午</w:t>
            </w:r>
            <w:r>
              <w:rPr>
                <w:rFonts w:hint="eastAsia"/>
                <w:color w:val="FF0000"/>
                <w:kern w:val="0"/>
                <w:sz w:val="24"/>
                <w:highlight w:val="none"/>
              </w:rPr>
              <w:t>09</w:t>
            </w:r>
            <w:r>
              <w:rPr>
                <w:color w:val="FF0000"/>
                <w:kern w:val="0"/>
                <w:sz w:val="24"/>
                <w:highlight w:val="none"/>
              </w:rPr>
              <w:t>:30</w:t>
            </w:r>
            <w:r>
              <w:rPr>
                <w:rFonts w:hint="eastAsia" w:ascii="宋体" w:hAnsi="宋体" w:cs="宋体"/>
                <w:kern w:val="0"/>
                <w:sz w:val="24"/>
                <w:highlight w:val="none"/>
              </w:rPr>
              <w:t>前将在政采云平台上最后生成的具备电子签章的备份加密投标文件（文件名后缀为备份文件四字的首字母）以电子邮件方式传送至浙江开平企业管理咨询有限公司邮箱（</w:t>
            </w:r>
            <w:r>
              <w:rPr>
                <w:kern w:val="0"/>
                <w:sz w:val="24"/>
                <w:highlight w:val="none"/>
              </w:rPr>
              <w:t>zjkpemc@163.com</w:t>
            </w:r>
            <w:r>
              <w:rPr>
                <w:rFonts w:hint="eastAsia" w:ascii="宋体" w:hAnsi="宋体" w:cs="宋体"/>
                <w:kern w:val="0"/>
                <w:sz w:val="24"/>
                <w:highlight w:val="none"/>
              </w:rPr>
              <w:t>），传送的备份电子投标文件需打包压缩并加密，加密密码由投标方自行保管，如政采云上电子投标文件出现解密失败情况（开标当日</w:t>
            </w:r>
            <w:r>
              <w:rPr>
                <w:kern w:val="0"/>
                <w:sz w:val="24"/>
                <w:highlight w:val="none"/>
              </w:rPr>
              <w:t>09:30-10:30</w:t>
            </w:r>
            <w:r>
              <w:rPr>
                <w:rFonts w:hint="eastAsia" w:ascii="宋体" w:hAnsi="宋体" w:cs="宋体"/>
                <w:kern w:val="0"/>
                <w:sz w:val="24"/>
                <w:highlight w:val="none"/>
              </w:rPr>
              <w:t>期间进行解密），投标方可按照自身意愿确认是否同意提供加密密码解密传送至浙江开平企业管理咨询有限公司邮箱（</w:t>
            </w:r>
            <w:r>
              <w:rPr>
                <w:kern w:val="0"/>
                <w:sz w:val="24"/>
                <w:highlight w:val="none"/>
              </w:rPr>
              <w:t>zjkpemc@163.com</w:t>
            </w:r>
            <w:r>
              <w:rPr>
                <w:rFonts w:hint="eastAsia" w:ascii="宋体" w:hAnsi="宋体" w:cs="宋体"/>
                <w:kern w:val="0"/>
                <w:sz w:val="24"/>
                <w:highlight w:val="none"/>
              </w:rPr>
              <w:t>）的备份文件，并以备份文件作为替代电子投标文件，如投标方未按照规定时间（</w:t>
            </w:r>
            <w:r>
              <w:rPr>
                <w:color w:val="FF0000"/>
                <w:kern w:val="0"/>
                <w:sz w:val="24"/>
                <w:highlight w:val="none"/>
              </w:rPr>
              <w:t>2020</w:t>
            </w:r>
            <w:r>
              <w:rPr>
                <w:rFonts w:hint="eastAsia" w:ascii="宋体" w:hAnsi="宋体" w:cs="宋体"/>
                <w:color w:val="FF0000"/>
                <w:kern w:val="0"/>
                <w:sz w:val="24"/>
                <w:highlight w:val="none"/>
              </w:rPr>
              <w:t>年</w:t>
            </w:r>
            <w:r>
              <w:rPr>
                <w:rFonts w:hint="eastAsia" w:ascii="宋体" w:hAnsi="宋体" w:cs="宋体"/>
                <w:color w:val="FF0000"/>
                <w:kern w:val="0"/>
                <w:sz w:val="24"/>
                <w:highlight w:val="none"/>
                <w:lang w:val="en-US" w:eastAsia="zh-CN"/>
              </w:rPr>
              <w:t>7</w:t>
            </w:r>
            <w:r>
              <w:rPr>
                <w:rFonts w:hint="eastAsia" w:ascii="宋体" w:hAnsi="宋体" w:cs="宋体"/>
                <w:color w:val="FF0000"/>
                <w:kern w:val="0"/>
                <w:sz w:val="24"/>
                <w:highlight w:val="none"/>
              </w:rPr>
              <w:t>月</w:t>
            </w:r>
            <w:r>
              <w:rPr>
                <w:rFonts w:hint="eastAsia" w:ascii="宋体" w:hAnsi="宋体" w:cs="宋体"/>
                <w:color w:val="FF0000"/>
                <w:kern w:val="0"/>
                <w:sz w:val="24"/>
                <w:highlight w:val="none"/>
                <w:lang w:val="en-US" w:eastAsia="zh-CN"/>
              </w:rPr>
              <w:t>13</w:t>
            </w:r>
            <w:r>
              <w:rPr>
                <w:rFonts w:hint="eastAsia" w:ascii="宋体" w:hAnsi="宋体" w:cs="宋体"/>
                <w:color w:val="FF0000"/>
                <w:sz w:val="24"/>
                <w:highlight w:val="none"/>
              </w:rPr>
              <w:t>日上午</w:t>
            </w:r>
            <w:r>
              <w:rPr>
                <w:color w:val="FF0000"/>
                <w:kern w:val="0"/>
                <w:sz w:val="24"/>
                <w:highlight w:val="none"/>
              </w:rPr>
              <w:t>09:30</w:t>
            </w:r>
            <w:r>
              <w:rPr>
                <w:rFonts w:hint="eastAsia" w:ascii="宋体" w:hAnsi="宋体" w:cs="宋体"/>
                <w:sz w:val="24"/>
                <w:highlight w:val="none"/>
              </w:rPr>
              <w:t>前）及要求提供有效备份文件，同时政采云上投标文件解密失败的，将导致投标无效。</w:t>
            </w:r>
          </w:p>
          <w:p>
            <w:pPr>
              <w:pStyle w:val="13"/>
              <w:adjustRightInd w:val="0"/>
              <w:snapToGrid w:val="0"/>
              <w:ind w:firstLine="480" w:firstLineChars="200"/>
              <w:rPr>
                <w:rFonts w:ascii="Times New Roman" w:hAnsi="Times New Roman"/>
                <w:b/>
                <w:kern w:val="0"/>
                <w:sz w:val="24"/>
                <w:szCs w:val="24"/>
                <w:highlight w:val="none"/>
                <w:u w:val="single"/>
              </w:rPr>
            </w:pPr>
            <w:r>
              <w:rPr>
                <w:rFonts w:hAnsi="宋体"/>
                <w:b/>
                <w:kern w:val="0"/>
                <w:sz w:val="24"/>
                <w:szCs w:val="24"/>
                <w:highlight w:val="none"/>
                <w:u w:val="single"/>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8" w:hRule="atLeast"/>
          <w:jc w:val="center"/>
        </w:trPr>
        <w:tc>
          <w:tcPr>
            <w:tcW w:w="720" w:type="dxa"/>
            <w:noWrap w:val="0"/>
            <w:vAlign w:val="center"/>
          </w:tcPr>
          <w:p>
            <w:pPr>
              <w:jc w:val="center"/>
              <w:rPr>
                <w:sz w:val="24"/>
                <w:highlight w:val="none"/>
              </w:rPr>
            </w:pPr>
            <w:r>
              <w:rPr>
                <w:rFonts w:hint="eastAsia"/>
                <w:sz w:val="24"/>
                <w:highlight w:val="none"/>
              </w:rPr>
              <w:t>11</w:t>
            </w:r>
          </w:p>
        </w:tc>
        <w:tc>
          <w:tcPr>
            <w:tcW w:w="1670" w:type="dxa"/>
            <w:noWrap w:val="0"/>
            <w:vAlign w:val="center"/>
          </w:tcPr>
          <w:p>
            <w:pPr>
              <w:jc w:val="center"/>
              <w:rPr>
                <w:sz w:val="24"/>
                <w:highlight w:val="none"/>
              </w:rPr>
            </w:pPr>
            <w:r>
              <w:rPr>
                <w:sz w:val="24"/>
                <w:highlight w:val="none"/>
              </w:rPr>
              <w:t>投标保证金</w:t>
            </w:r>
          </w:p>
        </w:tc>
        <w:tc>
          <w:tcPr>
            <w:tcW w:w="7560" w:type="dxa"/>
            <w:noWrap w:val="0"/>
            <w:vAlign w:val="center"/>
          </w:tcPr>
          <w:p>
            <w:pPr>
              <w:rPr>
                <w:sz w:val="24"/>
                <w:highlight w:val="none"/>
              </w:rPr>
            </w:pPr>
            <w:r>
              <w:rPr>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4" w:hRule="atLeast"/>
          <w:jc w:val="center"/>
        </w:trPr>
        <w:tc>
          <w:tcPr>
            <w:tcW w:w="720" w:type="dxa"/>
            <w:noWrap w:val="0"/>
            <w:vAlign w:val="center"/>
          </w:tcPr>
          <w:p>
            <w:pPr>
              <w:jc w:val="center"/>
              <w:rPr>
                <w:sz w:val="24"/>
                <w:highlight w:val="none"/>
              </w:rPr>
            </w:pPr>
            <w:r>
              <w:rPr>
                <w:rFonts w:hint="eastAsia"/>
                <w:sz w:val="24"/>
                <w:highlight w:val="none"/>
              </w:rPr>
              <w:t>12</w:t>
            </w:r>
          </w:p>
        </w:tc>
        <w:tc>
          <w:tcPr>
            <w:tcW w:w="1670" w:type="dxa"/>
            <w:noWrap w:val="0"/>
            <w:vAlign w:val="center"/>
          </w:tcPr>
          <w:p>
            <w:pPr>
              <w:jc w:val="center"/>
              <w:rPr>
                <w:sz w:val="24"/>
                <w:highlight w:val="none"/>
              </w:rPr>
            </w:pPr>
            <w:r>
              <w:rPr>
                <w:sz w:val="24"/>
                <w:highlight w:val="none"/>
              </w:rPr>
              <w:t>履约保证金</w:t>
            </w:r>
          </w:p>
        </w:tc>
        <w:tc>
          <w:tcPr>
            <w:tcW w:w="7560" w:type="dxa"/>
            <w:noWrap w:val="0"/>
            <w:vAlign w:val="center"/>
          </w:tcPr>
          <w:p>
            <w:pPr>
              <w:rPr>
                <w:sz w:val="24"/>
                <w:highlight w:val="none"/>
              </w:rPr>
            </w:pPr>
            <w:r>
              <w:rPr>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5" w:hRule="atLeast"/>
          <w:jc w:val="center"/>
        </w:trPr>
        <w:tc>
          <w:tcPr>
            <w:tcW w:w="720" w:type="dxa"/>
            <w:noWrap w:val="0"/>
            <w:vAlign w:val="center"/>
          </w:tcPr>
          <w:p>
            <w:pPr>
              <w:jc w:val="center"/>
              <w:rPr>
                <w:sz w:val="24"/>
                <w:highlight w:val="none"/>
              </w:rPr>
            </w:pPr>
            <w:r>
              <w:rPr>
                <w:rFonts w:hint="eastAsia"/>
                <w:sz w:val="24"/>
                <w:highlight w:val="none"/>
              </w:rPr>
              <w:t>13</w:t>
            </w:r>
          </w:p>
        </w:tc>
        <w:tc>
          <w:tcPr>
            <w:tcW w:w="1670" w:type="dxa"/>
            <w:noWrap w:val="0"/>
            <w:vAlign w:val="center"/>
          </w:tcPr>
          <w:p>
            <w:pPr>
              <w:jc w:val="center"/>
              <w:rPr>
                <w:sz w:val="24"/>
                <w:highlight w:val="none"/>
              </w:rPr>
            </w:pPr>
            <w:r>
              <w:rPr>
                <w:sz w:val="24"/>
                <w:highlight w:val="none"/>
              </w:rPr>
              <w:t>评标办法</w:t>
            </w:r>
          </w:p>
        </w:tc>
        <w:tc>
          <w:tcPr>
            <w:tcW w:w="7560" w:type="dxa"/>
            <w:noWrap w:val="0"/>
            <w:vAlign w:val="center"/>
          </w:tcPr>
          <w:p>
            <w:pPr>
              <w:rPr>
                <w:sz w:val="24"/>
                <w:highlight w:val="none"/>
              </w:rPr>
            </w:pPr>
            <w:r>
              <w:rPr>
                <w:rFonts w:hint="eastAsia"/>
                <w:sz w:val="24"/>
                <w:highlight w:val="none"/>
              </w:rPr>
              <w:t>最低</w:t>
            </w:r>
            <w:r>
              <w:rPr>
                <w:sz w:val="24"/>
                <w:highlight w:val="none"/>
              </w:rPr>
              <w:t>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8" w:hRule="atLeast"/>
          <w:jc w:val="center"/>
        </w:trPr>
        <w:tc>
          <w:tcPr>
            <w:tcW w:w="720" w:type="dxa"/>
            <w:noWrap w:val="0"/>
            <w:vAlign w:val="center"/>
          </w:tcPr>
          <w:p>
            <w:pPr>
              <w:jc w:val="center"/>
              <w:rPr>
                <w:sz w:val="24"/>
                <w:highlight w:val="none"/>
              </w:rPr>
            </w:pPr>
            <w:r>
              <w:rPr>
                <w:sz w:val="24"/>
                <w:highlight w:val="none"/>
              </w:rPr>
              <w:t>1</w:t>
            </w:r>
            <w:r>
              <w:rPr>
                <w:rFonts w:hint="eastAsia"/>
                <w:sz w:val="24"/>
                <w:highlight w:val="none"/>
              </w:rPr>
              <w:t>4</w:t>
            </w:r>
          </w:p>
        </w:tc>
        <w:tc>
          <w:tcPr>
            <w:tcW w:w="1670" w:type="dxa"/>
            <w:noWrap w:val="0"/>
            <w:vAlign w:val="center"/>
          </w:tcPr>
          <w:p>
            <w:pPr>
              <w:ind w:firstLine="240" w:firstLineChars="100"/>
              <w:jc w:val="center"/>
              <w:rPr>
                <w:sz w:val="24"/>
                <w:highlight w:val="none"/>
              </w:rPr>
            </w:pPr>
            <w:r>
              <w:rPr>
                <w:rFonts w:ascii="宋体"/>
                <w:sz w:val="24"/>
                <w:highlight w:val="none"/>
              </w:rPr>
              <w:t>付款方式</w:t>
            </w:r>
          </w:p>
        </w:tc>
        <w:tc>
          <w:tcPr>
            <w:tcW w:w="7560" w:type="dxa"/>
            <w:noWrap w:val="0"/>
            <w:vAlign w:val="center"/>
          </w:tcPr>
          <w:p>
            <w:pPr>
              <w:widowControl/>
              <w:jc w:val="left"/>
              <w:rPr>
                <w:sz w:val="24"/>
                <w:highlight w:val="none"/>
              </w:rPr>
            </w:pPr>
            <w:r>
              <w:rPr>
                <w:sz w:val="24"/>
                <w:highlight w:val="none"/>
              </w:rPr>
              <w:t>1</w:t>
            </w:r>
            <w:r>
              <w:rPr>
                <w:rFonts w:hint="eastAsia"/>
                <w:sz w:val="24"/>
                <w:highlight w:val="none"/>
              </w:rPr>
              <w:t>、合同签订后</w:t>
            </w:r>
            <w:r>
              <w:rPr>
                <w:sz w:val="24"/>
                <w:highlight w:val="none"/>
              </w:rPr>
              <w:t>15</w:t>
            </w:r>
            <w:r>
              <w:rPr>
                <w:rFonts w:hint="eastAsia"/>
                <w:sz w:val="24"/>
                <w:highlight w:val="none"/>
              </w:rPr>
              <w:t>个工作日内甲方向乙方支付合同总价</w:t>
            </w:r>
            <w:r>
              <w:rPr>
                <w:sz w:val="24"/>
                <w:highlight w:val="none"/>
              </w:rPr>
              <w:t>10%</w:t>
            </w:r>
            <w:r>
              <w:rPr>
                <w:rFonts w:hint="eastAsia"/>
                <w:sz w:val="24"/>
                <w:highlight w:val="none"/>
              </w:rPr>
              <w:t>的预付款。剩余款项按</w:t>
            </w:r>
            <w:r>
              <w:rPr>
                <w:sz w:val="24"/>
                <w:highlight w:val="none"/>
              </w:rPr>
              <w:t>12</w:t>
            </w:r>
            <w:r>
              <w:rPr>
                <w:rFonts w:hint="eastAsia"/>
                <w:sz w:val="24"/>
                <w:highlight w:val="none"/>
              </w:rPr>
              <w:t>个月平均计算每月承包款的金额，由社区、街道创建办组织人员对中标单位的实施情况进行检查考核，达到质量要求，在次月上旬支付（凭税务机关的正式发票，划至中标人单位账户）；未按实施方案、技术方案执行，达不到质量考核要求的，及时提出警告，并限期改正，视情扣款，并在限期内整改落实后再支付。</w:t>
            </w:r>
          </w:p>
          <w:p>
            <w:pPr>
              <w:rPr>
                <w:sz w:val="24"/>
                <w:highlight w:val="none"/>
              </w:rPr>
            </w:pPr>
            <w:r>
              <w:rPr>
                <w:sz w:val="24"/>
                <w:highlight w:val="none"/>
              </w:rPr>
              <w:t>2</w:t>
            </w:r>
            <w:r>
              <w:rPr>
                <w:rFonts w:hint="eastAsia"/>
                <w:sz w:val="24"/>
                <w:highlight w:val="none"/>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4" w:hRule="atLeast"/>
          <w:jc w:val="center"/>
        </w:trPr>
        <w:tc>
          <w:tcPr>
            <w:tcW w:w="720" w:type="dxa"/>
            <w:noWrap w:val="0"/>
            <w:vAlign w:val="center"/>
          </w:tcPr>
          <w:p>
            <w:pPr>
              <w:jc w:val="center"/>
              <w:rPr>
                <w:sz w:val="24"/>
                <w:highlight w:val="none"/>
              </w:rPr>
            </w:pPr>
            <w:r>
              <w:rPr>
                <w:sz w:val="24"/>
                <w:highlight w:val="none"/>
              </w:rPr>
              <w:t>1</w:t>
            </w:r>
            <w:r>
              <w:rPr>
                <w:rFonts w:hint="eastAsia"/>
                <w:sz w:val="24"/>
                <w:highlight w:val="none"/>
              </w:rPr>
              <w:t>5</w:t>
            </w:r>
          </w:p>
        </w:tc>
        <w:tc>
          <w:tcPr>
            <w:tcW w:w="1670" w:type="dxa"/>
            <w:noWrap w:val="0"/>
            <w:vAlign w:val="center"/>
          </w:tcPr>
          <w:p>
            <w:pPr>
              <w:jc w:val="center"/>
              <w:rPr>
                <w:sz w:val="24"/>
                <w:highlight w:val="none"/>
              </w:rPr>
            </w:pPr>
            <w:r>
              <w:rPr>
                <w:rFonts w:ascii="宋体"/>
                <w:sz w:val="24"/>
                <w:highlight w:val="none"/>
              </w:rPr>
              <w:t>其他</w:t>
            </w:r>
          </w:p>
        </w:tc>
        <w:tc>
          <w:tcPr>
            <w:tcW w:w="7560" w:type="dxa"/>
            <w:noWrap w:val="0"/>
            <w:vAlign w:val="center"/>
          </w:tcPr>
          <w:p>
            <w:pPr>
              <w:pStyle w:val="13"/>
              <w:rPr>
                <w:rFonts w:ascii="Times New Roman" w:hAnsi="Times New Roman"/>
                <w:sz w:val="24"/>
                <w:szCs w:val="24"/>
                <w:highlight w:val="none"/>
              </w:rPr>
            </w:pPr>
            <w:r>
              <w:rPr>
                <w:rFonts w:ascii="Times New Roman" w:hAnsi="Times New Roman"/>
                <w:sz w:val="24"/>
                <w:szCs w:val="24"/>
                <w:highlight w:val="none"/>
              </w:rPr>
              <w:t>（1）本项目设有最高限价，投标报价超过最高限价的，其投标均为无效标。</w:t>
            </w:r>
          </w:p>
          <w:p>
            <w:pPr>
              <w:pStyle w:val="13"/>
              <w:rPr>
                <w:rFonts w:ascii="Times New Roman" w:hAnsi="Times New Roman"/>
                <w:sz w:val="24"/>
                <w:szCs w:val="24"/>
                <w:highlight w:val="none"/>
              </w:rPr>
            </w:pPr>
            <w:r>
              <w:rPr>
                <w:rFonts w:ascii="Times New Roman" w:hAnsi="Times New Roman"/>
                <w:sz w:val="24"/>
                <w:szCs w:val="24"/>
                <w:highlight w:val="none"/>
              </w:rPr>
              <w:t>（2）招标文件中要求投标人在制作投标文件时，提供的复印件必须根据评审细则对评审的内容复印完整、清晰可辨，否则在评审时以最不利于投标人原则评审。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sz w:val="24"/>
                <w:highlight w:val="none"/>
              </w:rPr>
              <w:t>1</w:t>
            </w:r>
            <w:r>
              <w:rPr>
                <w:rFonts w:hint="eastAsia"/>
                <w:sz w:val="24"/>
                <w:highlight w:val="none"/>
              </w:rPr>
              <w:t>6</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rFonts w:ascii="宋体"/>
                <w:sz w:val="24"/>
                <w:highlight w:val="none"/>
              </w:rPr>
              <w:t>信用记录</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sz w:val="24"/>
                <w:highlight w:val="none"/>
              </w:rPr>
            </w:pPr>
            <w:r>
              <w:rPr>
                <w:rFonts w:hint="eastAsia"/>
                <w:sz w:val="24"/>
                <w:highlight w:val="none"/>
              </w:rPr>
              <w:t>参加政府采购活动前三年内，在经营活动中没有重大违法记录。投标人无以下不良行为：</w:t>
            </w:r>
            <w:r>
              <w:rPr>
                <w:rFonts w:ascii="宋体"/>
                <w:sz w:val="24"/>
                <w:highlight w:val="none"/>
              </w:rPr>
              <w:t>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w:t>
            </w:r>
            <w:r>
              <w:rPr>
                <w:sz w:val="24"/>
                <w:highlight w:val="none"/>
              </w:rPr>
              <w:t>“</w:t>
            </w:r>
            <w:r>
              <w:rPr>
                <w:rFonts w:ascii="宋体"/>
                <w:sz w:val="24"/>
                <w:highlight w:val="none"/>
              </w:rPr>
              <w:t>信用中国</w:t>
            </w:r>
            <w:r>
              <w:rPr>
                <w:sz w:val="24"/>
                <w:highlight w:val="none"/>
              </w:rPr>
              <w:t>”</w:t>
            </w:r>
            <w:r>
              <w:rPr>
                <w:rFonts w:ascii="宋体"/>
                <w:sz w:val="24"/>
                <w:highlight w:val="none"/>
              </w:rPr>
              <w:t>（</w:t>
            </w:r>
            <w:r>
              <w:rPr>
                <w:sz w:val="24"/>
                <w:highlight w:val="none"/>
              </w:rPr>
              <w:t>www.creditchina.gov.cn</w:t>
            </w:r>
            <w:r>
              <w:rPr>
                <w:rFonts w:ascii="宋体"/>
                <w:sz w:val="24"/>
                <w:highlight w:val="none"/>
              </w:rPr>
              <w:t>）、中国政府采购网（</w:t>
            </w:r>
            <w:r>
              <w:rPr>
                <w:sz w:val="24"/>
                <w:highlight w:val="none"/>
              </w:rPr>
              <w:t>www.ccgp.gov.cn</w:t>
            </w:r>
            <w:r>
              <w:rPr>
                <w:rFonts w:ascii="宋体"/>
                <w:sz w:val="24"/>
                <w:highlight w:val="none"/>
              </w:rPr>
              <w:t>）列入失信被执行人、重大税收违法案件当事人名单、政府采购严重违法失信行为记录名单的。</w:t>
            </w:r>
          </w:p>
          <w:p>
            <w:pPr>
              <w:pStyle w:val="185"/>
              <w:spacing w:line="240" w:lineRule="auto"/>
              <w:rPr>
                <w:szCs w:val="24"/>
                <w:highlight w:val="none"/>
                <w:lang w:val="en-US"/>
              </w:rPr>
            </w:pPr>
            <w:r>
              <w:rPr>
                <w:rFonts w:hint="eastAsia"/>
                <w:szCs w:val="24"/>
                <w:highlight w:val="none"/>
                <w:lang w:val="en-US"/>
              </w:rPr>
              <w:t>根据《关于在全市公共资源交易活动中应用报告的通知》（义行服管【2017】17号）规定，信用等级为D、E类的投标人，不得参与本项目投标（以采购人或委托的代理机构在投标截止时间查询为准）。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sz w:val="24"/>
                <w:highlight w:val="none"/>
              </w:rPr>
              <w:t>1</w:t>
            </w:r>
            <w:r>
              <w:rPr>
                <w:rFonts w:hint="eastAsia"/>
                <w:sz w:val="24"/>
                <w:highlight w:val="none"/>
              </w:rPr>
              <w:t>7</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rFonts w:ascii="宋体"/>
                <w:sz w:val="24"/>
                <w:highlight w:val="none"/>
              </w:rPr>
              <w:t>政府采购节能环保产品</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widowControl/>
              <w:rPr>
                <w:sz w:val="24"/>
                <w:highlight w:val="none"/>
              </w:rPr>
            </w:pPr>
            <w:r>
              <w:rPr>
                <w:rFonts w:hint="eastAsia" w:ascii="宋体" w:hAnsi="宋体"/>
                <w:sz w:val="24"/>
                <w:highlight w:val="none"/>
              </w:rPr>
              <w:t>（1）</w:t>
            </w:r>
            <w:r>
              <w:rPr>
                <w:rFonts w:ascii="宋体"/>
                <w:sz w:val="24"/>
                <w:highlight w:val="none"/>
              </w:rPr>
              <w:t>根据财政部</w:t>
            </w:r>
            <w:r>
              <w:rPr>
                <w:sz w:val="24"/>
                <w:highlight w:val="none"/>
              </w:rPr>
              <w:t> </w:t>
            </w:r>
            <w:r>
              <w:rPr>
                <w:rFonts w:ascii="宋体"/>
                <w:sz w:val="24"/>
                <w:highlight w:val="none"/>
              </w:rPr>
              <w:t>发展改革委</w:t>
            </w:r>
            <w:r>
              <w:rPr>
                <w:sz w:val="24"/>
                <w:highlight w:val="none"/>
              </w:rPr>
              <w:t> </w:t>
            </w:r>
            <w:r>
              <w:rPr>
                <w:rFonts w:ascii="宋体"/>
                <w:sz w:val="24"/>
                <w:highlight w:val="none"/>
              </w:rPr>
              <w:t>生态环境部</w:t>
            </w:r>
            <w:r>
              <w:rPr>
                <w:sz w:val="24"/>
                <w:highlight w:val="none"/>
              </w:rPr>
              <w:t> </w:t>
            </w:r>
            <w:r>
              <w:rPr>
                <w:rFonts w:ascii="宋体"/>
                <w:sz w:val="24"/>
                <w:highlight w:val="none"/>
              </w:rPr>
              <w:t>市场监管总局关于调整优化节能产品、环境标志产品政府采购执行机制的通知财库〔</w:t>
            </w:r>
            <w:r>
              <w:rPr>
                <w:sz w:val="24"/>
                <w:highlight w:val="none"/>
              </w:rPr>
              <w:t>2020</w:t>
            </w:r>
            <w:r>
              <w:rPr>
                <w:rFonts w:ascii="宋体"/>
                <w:sz w:val="24"/>
                <w:highlight w:val="none"/>
              </w:rPr>
              <w:t>〕</w:t>
            </w:r>
            <w:r>
              <w:rPr>
                <w:sz w:val="24"/>
                <w:highlight w:val="none"/>
              </w:rPr>
              <w:t>9</w:t>
            </w:r>
            <w:r>
              <w:rPr>
                <w:rFonts w:ascii="宋体"/>
                <w:sz w:val="24"/>
                <w:highlight w:val="none"/>
              </w:rPr>
              <w:t>号文件要求，投标方所投产品如属于节能产品政府采购品目清单或环境标志产品政府从采购品目清单内的，投标人所投的相应产品须在中国政府采购网节能清单查询目录（</w:t>
            </w:r>
            <w:r>
              <w:rPr>
                <w:sz w:val="24"/>
                <w:highlight w:val="none"/>
              </w:rPr>
              <w:t>http://www.ccgp.gov.cn/search/jnqdchaxun.htm</w:t>
            </w:r>
            <w:r>
              <w:rPr>
                <w:rFonts w:ascii="宋体"/>
                <w:sz w:val="24"/>
                <w:highlight w:val="none"/>
              </w:rPr>
              <w:t>）或环保清单查询目录（</w:t>
            </w:r>
            <w:r>
              <w:rPr>
                <w:sz w:val="24"/>
                <w:highlight w:val="none"/>
              </w:rPr>
              <w:t>http://www.ccgp.gov.cn/search/hbqdchaxun.htm</w:t>
            </w:r>
            <w:r>
              <w:rPr>
                <w:rFonts w:ascii="宋体"/>
                <w:sz w:val="24"/>
                <w:highlight w:val="none"/>
              </w:rPr>
              <w:t>）中可查询到。</w:t>
            </w:r>
          </w:p>
          <w:p>
            <w:pPr>
              <w:snapToGrid w:val="0"/>
              <w:rPr>
                <w:sz w:val="24"/>
                <w:highlight w:val="none"/>
              </w:rPr>
            </w:pPr>
            <w:r>
              <w:rPr>
                <w:rFonts w:ascii="宋体"/>
                <w:sz w:val="24"/>
                <w:highlight w:val="none"/>
              </w:rPr>
              <w:t>★</w:t>
            </w:r>
            <w:r>
              <w:rPr>
                <w:rFonts w:hint="eastAsia" w:ascii="宋体" w:hAnsi="宋体"/>
                <w:sz w:val="24"/>
                <w:highlight w:val="none"/>
              </w:rPr>
              <w:t>（2）</w:t>
            </w:r>
            <w:r>
              <w:rPr>
                <w:rFonts w:ascii="宋体"/>
                <w:sz w:val="24"/>
                <w:highlight w:val="none"/>
              </w:rPr>
              <w:t>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sz w:val="24"/>
                <w:highlight w:val="none"/>
              </w:rPr>
              <w:t>1</w:t>
            </w:r>
            <w:r>
              <w:rPr>
                <w:rFonts w:hint="eastAsia"/>
                <w:sz w:val="24"/>
                <w:highlight w:val="none"/>
              </w:rPr>
              <w:t>8</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highlight w:val="none"/>
              </w:rPr>
            </w:pPr>
            <w:r>
              <w:rPr>
                <w:rFonts w:ascii="宋体"/>
                <w:sz w:val="24"/>
                <w:highlight w:val="none"/>
              </w:rPr>
              <w:t>小微企业</w:t>
            </w:r>
          </w:p>
          <w:p>
            <w:pPr>
              <w:snapToGrid w:val="0"/>
              <w:jc w:val="center"/>
              <w:rPr>
                <w:sz w:val="24"/>
                <w:highlight w:val="none"/>
              </w:rPr>
            </w:pPr>
            <w:r>
              <w:rPr>
                <w:rFonts w:ascii="宋体"/>
                <w:sz w:val="24"/>
                <w:highlight w:val="none"/>
              </w:rPr>
              <w:t>有关政策</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napToGrid w:val="0"/>
              <w:rPr>
                <w:sz w:val="24"/>
                <w:highlight w:val="none"/>
              </w:rPr>
            </w:pPr>
            <w:r>
              <w:rPr>
                <w:rFonts w:hint="eastAsia" w:ascii="宋体" w:hAnsi="宋体"/>
                <w:sz w:val="24"/>
                <w:highlight w:val="none"/>
              </w:rPr>
              <w:t>（1）</w:t>
            </w:r>
            <w:r>
              <w:rPr>
                <w:rFonts w:ascii="宋体"/>
                <w:sz w:val="24"/>
                <w:highlight w:val="none"/>
              </w:rPr>
              <w:t>根据财库〔</w:t>
            </w:r>
            <w:r>
              <w:rPr>
                <w:sz w:val="24"/>
                <w:highlight w:val="none"/>
              </w:rPr>
              <w:t>2011</w:t>
            </w:r>
            <w:r>
              <w:rPr>
                <w:rFonts w:ascii="宋体"/>
                <w:sz w:val="24"/>
                <w:highlight w:val="none"/>
              </w:rPr>
              <w:t>〕</w:t>
            </w:r>
            <w:r>
              <w:rPr>
                <w:sz w:val="24"/>
                <w:highlight w:val="none"/>
              </w:rPr>
              <w:t>181</w:t>
            </w:r>
            <w:r>
              <w:rPr>
                <w:rFonts w:ascii="宋体"/>
                <w:sz w:val="24"/>
                <w:highlight w:val="none"/>
              </w:rPr>
              <w:t>号的相关规定，在评审时对最终认定为小型和微型企业的投标报价给予</w:t>
            </w:r>
            <w:r>
              <w:rPr>
                <w:sz w:val="24"/>
                <w:highlight w:val="none"/>
                <w:u w:val="single"/>
              </w:rPr>
              <w:t xml:space="preserve"> 6 </w:t>
            </w:r>
            <w:r>
              <w:rPr>
                <w:sz w:val="24"/>
                <w:highlight w:val="none"/>
              </w:rPr>
              <w:t>%</w:t>
            </w:r>
            <w:r>
              <w:rPr>
                <w:rFonts w:ascii="宋体"/>
                <w:sz w:val="24"/>
                <w:highlight w:val="none"/>
              </w:rPr>
              <w:t>的扣除，取扣除后的价格作为最终投标报价（此最终投标报价仅作为价格分计算）。属于小型和微型企业的，投标文件中投标人必须提供的《中小企业声明函》以及本单位、制造商（如有）</w:t>
            </w:r>
            <w:r>
              <w:rPr>
                <w:sz w:val="24"/>
                <w:highlight w:val="none"/>
              </w:rPr>
              <w:t>“</w:t>
            </w:r>
            <w:r>
              <w:rPr>
                <w:rFonts w:ascii="宋体"/>
                <w:sz w:val="24"/>
                <w:highlight w:val="none"/>
              </w:rPr>
              <w:t>国家企业信用信息公示系统</w:t>
            </w:r>
            <w:r>
              <w:rPr>
                <w:sz w:val="24"/>
                <w:highlight w:val="none"/>
              </w:rPr>
              <w:t>——</w:t>
            </w:r>
            <w:r>
              <w:rPr>
                <w:rFonts w:ascii="宋体"/>
                <w:sz w:val="24"/>
                <w:highlight w:val="none"/>
              </w:rPr>
              <w:t>小微企业名录</w:t>
            </w:r>
            <w:r>
              <w:rPr>
                <w:sz w:val="24"/>
                <w:highlight w:val="none"/>
              </w:rPr>
              <w:t>”</w:t>
            </w:r>
            <w:r>
              <w:rPr>
                <w:rFonts w:ascii="宋体"/>
                <w:sz w:val="24"/>
                <w:highlight w:val="none"/>
              </w:rPr>
              <w:t>页面查询结果</w:t>
            </w:r>
            <w:r>
              <w:rPr>
                <w:rFonts w:hint="eastAsia"/>
                <w:sz w:val="24"/>
                <w:highlight w:val="none"/>
              </w:rPr>
              <w:t>或当地小微企业官网的查询结果截图</w:t>
            </w:r>
            <w:r>
              <w:rPr>
                <w:rFonts w:ascii="宋体"/>
                <w:sz w:val="24"/>
                <w:highlight w:val="none"/>
              </w:rPr>
              <w:t>（查询时间为投标前一周内，并加盖本单位公章），并在报价明细表中说明制造商情况。</w:t>
            </w:r>
          </w:p>
          <w:p>
            <w:pPr>
              <w:snapToGrid w:val="0"/>
              <w:rPr>
                <w:sz w:val="24"/>
                <w:highlight w:val="none"/>
              </w:rPr>
            </w:pPr>
            <w:r>
              <w:rPr>
                <w:rFonts w:hint="eastAsia" w:ascii="宋体" w:hAnsi="宋体"/>
                <w:sz w:val="24"/>
                <w:highlight w:val="none"/>
              </w:rPr>
              <w:t>（2）</w:t>
            </w:r>
            <w:r>
              <w:rPr>
                <w:rFonts w:ascii="宋体"/>
                <w:sz w:val="24"/>
                <w:highlight w:val="none"/>
              </w:rPr>
              <w:t>根据财库</w:t>
            </w:r>
            <w:r>
              <w:rPr>
                <w:sz w:val="24"/>
                <w:highlight w:val="none"/>
              </w:rPr>
              <w:t>[2017]141</w:t>
            </w:r>
            <w:r>
              <w:rPr>
                <w:rFonts w:ascii="宋体"/>
                <w:sz w:val="24"/>
                <w:highlight w:val="none"/>
              </w:rPr>
              <w:t>号的相关规定，在政府采购活动中，残疾人福利性单位视同小型、微型企业，享受评审中价格扣除政策。属于享受政府采购支持政策的残疾人福利性单位，应满足财库</w:t>
            </w:r>
            <w:r>
              <w:rPr>
                <w:sz w:val="24"/>
                <w:highlight w:val="none"/>
              </w:rPr>
              <w:t>[2017]141</w:t>
            </w:r>
            <w:r>
              <w:rPr>
                <w:rFonts w:ascii="宋体"/>
                <w:sz w:val="24"/>
                <w:highlight w:val="none"/>
              </w:rPr>
              <w:t>号文件第一条的规定，并在投标文件中提供残疾人福利性单位声明函。</w:t>
            </w:r>
          </w:p>
          <w:p>
            <w:pPr>
              <w:snapToGrid w:val="0"/>
              <w:rPr>
                <w:sz w:val="24"/>
                <w:highlight w:val="none"/>
              </w:rPr>
            </w:pPr>
            <w:r>
              <w:rPr>
                <w:sz w:val="24"/>
                <w:highlight w:val="none"/>
              </w:rPr>
              <w:t>3.</w:t>
            </w:r>
            <w:r>
              <w:rPr>
                <w:rFonts w:ascii="宋体"/>
                <w:sz w:val="24"/>
                <w:highlight w:val="none"/>
              </w:rPr>
              <w:t>根据财库</w:t>
            </w:r>
            <w:r>
              <w:rPr>
                <w:sz w:val="24"/>
                <w:highlight w:val="none"/>
              </w:rPr>
              <w:t>[2014]68</w:t>
            </w:r>
            <w:r>
              <w:rPr>
                <w:rFonts w:ascii="宋体"/>
                <w:sz w:val="24"/>
                <w:highlight w:val="none"/>
              </w:rPr>
              <w:t>号的相关规定，在政府采购活动中，监狱企业视同小型、微型企业，享受评审中价格扣除政策，并在投标文件中提供由省级以上监狱管理局、戒毒管理局（含新疆生产建设兵团）出具的属于监狱企业的说明文件（格式自拟）。</w:t>
            </w:r>
            <w:r>
              <w:rPr>
                <w:sz w:val="24"/>
                <w:highlight w:val="none"/>
              </w:rPr>
              <w:t>”</w:t>
            </w:r>
          </w:p>
          <w:p>
            <w:pPr>
              <w:snapToGrid w:val="0"/>
              <w:rPr>
                <w:sz w:val="24"/>
                <w:highlight w:val="none"/>
              </w:rPr>
            </w:pPr>
            <w:r>
              <w:rPr>
                <w:b/>
                <w:sz w:val="24"/>
                <w:highlight w:val="none"/>
              </w:rPr>
              <w:t>(</w:t>
            </w:r>
            <w:r>
              <w:rPr>
                <w:rFonts w:ascii="宋体"/>
                <w:b/>
                <w:sz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rFonts w:hint="eastAsia"/>
                <w:sz w:val="24"/>
                <w:highlight w:val="none"/>
              </w:rPr>
              <w:t>19</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rFonts w:ascii="宋体"/>
                <w:sz w:val="24"/>
                <w:highlight w:val="none"/>
              </w:rPr>
              <w:t>政采贷</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napToGrid w:val="0"/>
              <w:rPr>
                <w:sz w:val="24"/>
                <w:highlight w:val="none"/>
              </w:rPr>
            </w:pPr>
            <w:r>
              <w:rPr>
                <w:rFonts w:ascii="宋体"/>
                <w:sz w:val="24"/>
                <w:highlight w:val="none"/>
              </w:rPr>
              <w:t>本项目中标单位与采购人签订的政府采购合同适用于义乌市政府采购贷款政策，简称</w:t>
            </w:r>
            <w:r>
              <w:rPr>
                <w:sz w:val="24"/>
                <w:highlight w:val="none"/>
              </w:rPr>
              <w:t>“</w:t>
            </w:r>
            <w:r>
              <w:rPr>
                <w:rFonts w:ascii="宋体"/>
                <w:sz w:val="24"/>
                <w:highlight w:val="none"/>
              </w:rPr>
              <w:t>政采贷</w:t>
            </w:r>
            <w:r>
              <w:rPr>
                <w:sz w:val="24"/>
                <w:highlight w:val="none"/>
              </w:rPr>
              <w:t>”</w:t>
            </w:r>
            <w:r>
              <w:rPr>
                <w:rFonts w:ascii="宋体"/>
                <w:sz w:val="24"/>
                <w:highlight w:val="none"/>
              </w:rPr>
              <w:t>，具体内容可参阅《义乌市政府采购支持中小企业信用融资暂行办法》：</w:t>
            </w:r>
            <w:r>
              <w:rPr>
                <w:sz w:val="24"/>
                <w:highlight w:val="none"/>
              </w:rPr>
              <w:t>http://www.yw.gov.cn/11330782002609848G/bmxxgk/11330782002610881M/06/01/202002/t20200220_3720981_2.html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highlight w:val="none"/>
              </w:rPr>
            </w:pPr>
            <w:r>
              <w:rPr>
                <w:rFonts w:hint="eastAsia"/>
                <w:sz w:val="24"/>
                <w:highlight w:val="none"/>
              </w:rPr>
              <w:t>20</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sz w:val="24"/>
                <w:highlight w:val="none"/>
              </w:rPr>
            </w:pPr>
            <w:r>
              <w:rPr>
                <w:sz w:val="24"/>
                <w:highlight w:val="none"/>
              </w:rPr>
              <w:t>失信行为处理</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sz w:val="24"/>
                <w:highlight w:val="none"/>
              </w:rPr>
            </w:pPr>
            <w:r>
              <w:rPr>
                <w:rFonts w:ascii="宋体"/>
                <w:sz w:val="24"/>
                <w:highlight w:val="none"/>
              </w:rPr>
              <w:t>投标人发生下列情况之一时，除严格依法依规进行处理外，还将通报市信用管理部门，列入严重失信名单：</w:t>
            </w:r>
          </w:p>
          <w:p>
            <w:pPr>
              <w:rPr>
                <w:sz w:val="24"/>
                <w:highlight w:val="none"/>
              </w:rPr>
            </w:pPr>
            <w:r>
              <w:rPr>
                <w:rFonts w:ascii="宋体"/>
                <w:sz w:val="24"/>
                <w:highlight w:val="none"/>
              </w:rPr>
              <w:t>（</w:t>
            </w:r>
            <w:r>
              <w:rPr>
                <w:sz w:val="24"/>
                <w:highlight w:val="none"/>
              </w:rPr>
              <w:t>1</w:t>
            </w:r>
            <w:r>
              <w:rPr>
                <w:rFonts w:ascii="宋体"/>
                <w:sz w:val="24"/>
                <w:highlight w:val="none"/>
              </w:rPr>
              <w:t>）投标人在规定的投标有效期内撤回投标或放弃中标的；</w:t>
            </w:r>
          </w:p>
          <w:p>
            <w:pPr>
              <w:rPr>
                <w:sz w:val="24"/>
                <w:highlight w:val="none"/>
              </w:rPr>
            </w:pPr>
            <w:r>
              <w:rPr>
                <w:rFonts w:ascii="宋体"/>
                <w:sz w:val="24"/>
                <w:highlight w:val="none"/>
              </w:rPr>
              <w:t>（</w:t>
            </w:r>
            <w:r>
              <w:rPr>
                <w:sz w:val="24"/>
                <w:highlight w:val="none"/>
              </w:rPr>
              <w:t>2</w:t>
            </w:r>
            <w:r>
              <w:rPr>
                <w:rFonts w:ascii="宋体"/>
                <w:sz w:val="24"/>
                <w:highlight w:val="none"/>
              </w:rPr>
              <w:t>）有意串标或提供虚假材料者的；</w:t>
            </w:r>
          </w:p>
          <w:p>
            <w:pPr>
              <w:rPr>
                <w:sz w:val="24"/>
                <w:highlight w:val="none"/>
              </w:rPr>
            </w:pPr>
            <w:r>
              <w:rPr>
                <w:rFonts w:ascii="宋体"/>
                <w:sz w:val="24"/>
                <w:highlight w:val="none"/>
              </w:rPr>
              <w:t>（</w:t>
            </w:r>
            <w:r>
              <w:rPr>
                <w:sz w:val="24"/>
                <w:highlight w:val="none"/>
              </w:rPr>
              <w:t>3</w:t>
            </w:r>
            <w:r>
              <w:rPr>
                <w:rFonts w:ascii="宋体"/>
                <w:sz w:val="24"/>
                <w:highlight w:val="none"/>
              </w:rPr>
              <w:t>）中标人在收到中标通知书后，因自身原因不能在投标有效期内和采购人签订合同。</w:t>
            </w:r>
          </w:p>
          <w:p>
            <w:pPr>
              <w:rPr>
                <w:sz w:val="24"/>
                <w:highlight w:val="none"/>
              </w:rPr>
            </w:pPr>
            <w:r>
              <w:rPr>
                <w:rFonts w:ascii="宋体"/>
                <w:sz w:val="24"/>
                <w:highlight w:val="none"/>
              </w:rPr>
              <w:t>（</w:t>
            </w:r>
            <w:r>
              <w:rPr>
                <w:sz w:val="24"/>
                <w:highlight w:val="none"/>
              </w:rPr>
              <w:t>4</w:t>
            </w:r>
            <w:r>
              <w:rPr>
                <w:rFonts w:ascii="宋体"/>
                <w:sz w:val="24"/>
                <w:highlight w:val="none"/>
              </w:rPr>
              <w:t>）中标人未在规定时间缴纳招标代理费的。</w:t>
            </w:r>
          </w:p>
          <w:p>
            <w:pPr>
              <w:rPr>
                <w:sz w:val="24"/>
                <w:highlight w:val="none"/>
              </w:rPr>
            </w:pPr>
            <w:r>
              <w:rPr>
                <w:rFonts w:ascii="宋体"/>
                <w:sz w:val="24"/>
                <w:highlight w:val="none"/>
              </w:rPr>
              <w:t>（</w:t>
            </w:r>
            <w:r>
              <w:rPr>
                <w:sz w:val="24"/>
                <w:highlight w:val="none"/>
              </w:rPr>
              <w:t>5</w:t>
            </w:r>
            <w:r>
              <w:rPr>
                <w:rFonts w:ascii="宋体"/>
                <w:sz w:val="24"/>
                <w:highlight w:val="none"/>
              </w:rPr>
              <w:t>）中标供应商在标后履约过程中未按合同约定的期限和要求履约的。</w:t>
            </w:r>
          </w:p>
          <w:p>
            <w:pPr>
              <w:rPr>
                <w:sz w:val="24"/>
                <w:highlight w:val="none"/>
              </w:rPr>
            </w:pPr>
            <w:r>
              <w:rPr>
                <w:rFonts w:ascii="宋体"/>
                <w:sz w:val="24"/>
                <w:highlight w:val="none"/>
              </w:rPr>
              <w:t>（</w:t>
            </w:r>
            <w:r>
              <w:rPr>
                <w:sz w:val="24"/>
                <w:highlight w:val="none"/>
              </w:rPr>
              <w:t>6</w:t>
            </w:r>
            <w:r>
              <w:rPr>
                <w:rFonts w:ascii="宋体"/>
                <w:sz w:val="24"/>
                <w:highlight w:val="none"/>
              </w:rPr>
              <w:t>）因中标供应商原因在标后履约过程中擅自终止合同的。</w:t>
            </w:r>
          </w:p>
          <w:p>
            <w:pPr>
              <w:rPr>
                <w:sz w:val="24"/>
                <w:highlight w:val="none"/>
              </w:rPr>
            </w:pPr>
            <w:r>
              <w:rPr>
                <w:rFonts w:ascii="宋体"/>
                <w:sz w:val="24"/>
                <w:highlight w:val="none"/>
              </w:rPr>
              <w:t>（</w:t>
            </w:r>
            <w:r>
              <w:rPr>
                <w:sz w:val="24"/>
                <w:highlight w:val="none"/>
              </w:rPr>
              <w:t>7</w:t>
            </w:r>
            <w:r>
              <w:rPr>
                <w:rFonts w:ascii="宋体"/>
                <w:sz w:val="24"/>
                <w:highlight w:val="none"/>
              </w:rPr>
              <w:t>）不符合招标文件要求的其他失信行为。</w:t>
            </w:r>
          </w:p>
        </w:tc>
      </w:tr>
    </w:tbl>
    <w:p>
      <w:pPr>
        <w:spacing w:line="360" w:lineRule="auto"/>
        <w:rPr>
          <w:b/>
          <w:highlight w:val="none"/>
        </w:rPr>
      </w:pPr>
    </w:p>
    <w:p>
      <w:pPr>
        <w:spacing w:line="360" w:lineRule="auto"/>
        <w:rPr>
          <w:rFonts w:hint="eastAsia"/>
          <w:b/>
          <w:sz w:val="24"/>
          <w:highlight w:val="none"/>
        </w:rPr>
      </w:pPr>
      <w:r>
        <w:rPr>
          <w:b/>
          <w:sz w:val="24"/>
          <w:highlight w:val="none"/>
        </w:rPr>
        <w:t>注：投标人须知前附表内容与本招标文件后述内容不一致的，以投标须知前附表为准。</w:t>
      </w:r>
      <w:bookmarkEnd w:id="2"/>
    </w:p>
    <w:p>
      <w:pPr>
        <w:widowControl/>
        <w:spacing w:line="360" w:lineRule="auto"/>
        <w:jc w:val="center"/>
        <w:rPr>
          <w:rFonts w:hint="eastAsia"/>
          <w:b/>
          <w:bCs/>
          <w:kern w:val="0"/>
          <w:sz w:val="36"/>
          <w:szCs w:val="36"/>
          <w:highlight w:val="none"/>
        </w:rPr>
      </w:pPr>
    </w:p>
    <w:p>
      <w:pPr>
        <w:widowControl/>
        <w:spacing w:line="360" w:lineRule="auto"/>
        <w:jc w:val="center"/>
        <w:rPr>
          <w:b/>
          <w:bCs/>
          <w:kern w:val="0"/>
          <w:sz w:val="36"/>
          <w:szCs w:val="36"/>
          <w:highlight w:val="none"/>
        </w:rPr>
      </w:pPr>
      <w:r>
        <w:rPr>
          <w:rFonts w:hint="eastAsia"/>
          <w:b/>
          <w:bCs/>
          <w:kern w:val="0"/>
          <w:sz w:val="36"/>
          <w:szCs w:val="36"/>
          <w:highlight w:val="none"/>
        </w:rPr>
        <w:t>投标须知</w:t>
      </w:r>
    </w:p>
    <w:p>
      <w:pPr>
        <w:widowControl/>
        <w:spacing w:line="360" w:lineRule="auto"/>
        <w:jc w:val="left"/>
        <w:rPr>
          <w:b/>
          <w:bCs/>
          <w:kern w:val="0"/>
          <w:sz w:val="24"/>
          <w:highlight w:val="none"/>
        </w:rPr>
      </w:pPr>
      <w:r>
        <w:rPr>
          <w:rFonts w:hint="eastAsia"/>
          <w:b/>
          <w:bCs/>
          <w:kern w:val="0"/>
          <w:sz w:val="24"/>
          <w:highlight w:val="none"/>
        </w:rPr>
        <w:t>一、说明</w:t>
      </w:r>
    </w:p>
    <w:p>
      <w:pPr>
        <w:widowControl/>
        <w:spacing w:line="360" w:lineRule="auto"/>
        <w:jc w:val="left"/>
        <w:rPr>
          <w:bCs/>
          <w:kern w:val="0"/>
          <w:sz w:val="24"/>
          <w:highlight w:val="none"/>
        </w:rPr>
      </w:pPr>
      <w:r>
        <w:rPr>
          <w:rFonts w:hint="eastAsia"/>
          <w:bCs/>
          <w:kern w:val="0"/>
          <w:sz w:val="24"/>
          <w:highlight w:val="none"/>
        </w:rPr>
        <w:t>1、适用范围</w:t>
      </w:r>
    </w:p>
    <w:p>
      <w:pPr>
        <w:widowControl/>
        <w:spacing w:line="360" w:lineRule="auto"/>
        <w:jc w:val="left"/>
        <w:rPr>
          <w:bCs/>
          <w:kern w:val="0"/>
          <w:sz w:val="24"/>
          <w:highlight w:val="none"/>
        </w:rPr>
      </w:pPr>
      <w:r>
        <w:rPr>
          <w:rFonts w:hint="eastAsia"/>
          <w:bCs/>
          <w:kern w:val="0"/>
          <w:sz w:val="24"/>
          <w:highlight w:val="none"/>
        </w:rPr>
        <w:t>1.1本招标文件仅适用于本次招标采购所叙述的服务。</w:t>
      </w:r>
    </w:p>
    <w:p>
      <w:pPr>
        <w:widowControl/>
        <w:spacing w:line="360" w:lineRule="auto"/>
        <w:jc w:val="left"/>
        <w:rPr>
          <w:kern w:val="0"/>
          <w:sz w:val="24"/>
          <w:highlight w:val="none"/>
        </w:rPr>
      </w:pPr>
      <w:r>
        <w:rPr>
          <w:b/>
          <w:bCs/>
          <w:kern w:val="0"/>
          <w:sz w:val="24"/>
          <w:highlight w:val="none"/>
        </w:rPr>
        <w:t>2、定义</w:t>
      </w:r>
    </w:p>
    <w:p>
      <w:pPr>
        <w:pStyle w:val="15"/>
        <w:spacing w:after="0" w:line="360" w:lineRule="auto"/>
        <w:ind w:left="0" w:leftChars="0"/>
        <w:rPr>
          <w:sz w:val="24"/>
          <w:highlight w:val="none"/>
        </w:rPr>
      </w:pPr>
      <w:r>
        <w:rPr>
          <w:sz w:val="24"/>
          <w:highlight w:val="none"/>
        </w:rPr>
        <w:t>2.1采购人：系指</w:t>
      </w:r>
      <w:r>
        <w:rPr>
          <w:rFonts w:hint="eastAsia" w:hAnsi="宋体"/>
          <w:sz w:val="24"/>
          <w:highlight w:val="none"/>
        </w:rPr>
        <w:t>义乌市人民政府稠江街道办事处</w:t>
      </w:r>
      <w:r>
        <w:rPr>
          <w:sz w:val="24"/>
          <w:highlight w:val="none"/>
        </w:rPr>
        <w:t>。</w:t>
      </w:r>
    </w:p>
    <w:p>
      <w:pPr>
        <w:pStyle w:val="15"/>
        <w:spacing w:after="0" w:line="360" w:lineRule="auto"/>
        <w:ind w:left="0" w:leftChars="0"/>
        <w:rPr>
          <w:sz w:val="24"/>
          <w:highlight w:val="none"/>
        </w:rPr>
      </w:pPr>
      <w:r>
        <w:rPr>
          <w:sz w:val="24"/>
          <w:highlight w:val="none"/>
        </w:rPr>
        <w:t>2.2招标代理机构：系指浙江开平企业管理咨询有限公司。</w:t>
      </w:r>
    </w:p>
    <w:p>
      <w:pPr>
        <w:pStyle w:val="15"/>
        <w:spacing w:after="0" w:line="360" w:lineRule="auto"/>
        <w:ind w:left="0" w:leftChars="0"/>
        <w:rPr>
          <w:sz w:val="24"/>
          <w:highlight w:val="none"/>
        </w:rPr>
      </w:pPr>
      <w:r>
        <w:rPr>
          <w:sz w:val="24"/>
          <w:highlight w:val="none"/>
        </w:rPr>
        <w:t>2.3投标人：系指符合采购公告要求的投标投标人。</w:t>
      </w:r>
    </w:p>
    <w:p>
      <w:pPr>
        <w:pStyle w:val="15"/>
        <w:spacing w:after="0" w:line="360" w:lineRule="auto"/>
        <w:ind w:left="0" w:leftChars="0"/>
        <w:rPr>
          <w:sz w:val="24"/>
          <w:highlight w:val="none"/>
        </w:rPr>
      </w:pPr>
      <w:r>
        <w:rPr>
          <w:sz w:val="24"/>
          <w:highlight w:val="none"/>
        </w:rPr>
        <w:t>2.4服务：系指招标文件规定投标人须承担的劳务及其它类似的服务。</w:t>
      </w:r>
    </w:p>
    <w:p>
      <w:pPr>
        <w:pStyle w:val="15"/>
        <w:spacing w:after="0" w:line="360" w:lineRule="auto"/>
        <w:ind w:left="0" w:leftChars="0"/>
        <w:rPr>
          <w:sz w:val="24"/>
          <w:highlight w:val="none"/>
        </w:rPr>
      </w:pPr>
      <w:r>
        <w:rPr>
          <w:sz w:val="24"/>
          <w:highlight w:val="none"/>
        </w:rPr>
        <w:t>2.5货物：系指按招标文件规定投标人须向采购人提供的一切材料、货物、机械、仪器仪表、工具及其它有关技术资料和文字材料。</w:t>
      </w:r>
    </w:p>
    <w:p>
      <w:pPr>
        <w:pStyle w:val="9"/>
        <w:spacing w:line="360" w:lineRule="auto"/>
        <w:rPr>
          <w:highlight w:val="none"/>
        </w:rPr>
      </w:pPr>
      <w:r>
        <w:rPr>
          <w:highlight w:val="none"/>
        </w:rPr>
        <w:t>2.6甲方：即采购人，在招投标阶段称为采购人，在签订和执行合同阶段称为甲方。</w:t>
      </w:r>
    </w:p>
    <w:p>
      <w:pPr>
        <w:pStyle w:val="9"/>
        <w:spacing w:line="360" w:lineRule="auto"/>
        <w:rPr>
          <w:highlight w:val="none"/>
        </w:rPr>
      </w:pPr>
      <w:r>
        <w:rPr>
          <w:highlight w:val="none"/>
        </w:rPr>
        <w:t>2.7乙方：在招投标阶段称为投标人，中标后在签订和执行合同阶段称为乙方。</w:t>
      </w:r>
    </w:p>
    <w:p>
      <w:pPr>
        <w:pStyle w:val="15"/>
        <w:spacing w:after="0" w:line="360" w:lineRule="auto"/>
        <w:ind w:left="0" w:leftChars="0"/>
        <w:rPr>
          <w:sz w:val="24"/>
          <w:highlight w:val="none"/>
        </w:rPr>
      </w:pPr>
      <w:r>
        <w:rPr>
          <w:sz w:val="24"/>
          <w:highlight w:val="none"/>
        </w:rPr>
        <w:t>2.8“原产地”是指货物开采、生长或生产、或提供有关服务的来源地。</w:t>
      </w:r>
    </w:p>
    <w:p>
      <w:pPr>
        <w:widowControl/>
        <w:tabs>
          <w:tab w:val="left" w:pos="284"/>
          <w:tab w:val="left" w:pos="851"/>
        </w:tabs>
        <w:spacing w:line="360" w:lineRule="auto"/>
        <w:jc w:val="left"/>
        <w:rPr>
          <w:sz w:val="24"/>
          <w:highlight w:val="none"/>
        </w:rPr>
      </w:pPr>
      <w:r>
        <w:rPr>
          <w:sz w:val="24"/>
          <w:highlight w:val="none"/>
        </w:rPr>
        <w:t>2.9中小企业（含中型、小型、微型）：符合中小企业划分标准（工信部联企业[2011]300号）的企业。</w:t>
      </w:r>
    </w:p>
    <w:p>
      <w:pPr>
        <w:widowControl/>
        <w:tabs>
          <w:tab w:val="left" w:pos="284"/>
          <w:tab w:val="left" w:pos="851"/>
        </w:tabs>
        <w:spacing w:line="360" w:lineRule="auto"/>
        <w:jc w:val="left"/>
        <w:rPr>
          <w:sz w:val="24"/>
          <w:highlight w:val="none"/>
        </w:rPr>
      </w:pPr>
      <w:r>
        <w:rPr>
          <w:sz w:val="24"/>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tabs>
          <w:tab w:val="left" w:pos="284"/>
          <w:tab w:val="left" w:pos="851"/>
        </w:tabs>
        <w:spacing w:line="360" w:lineRule="auto"/>
        <w:jc w:val="left"/>
        <w:rPr>
          <w:sz w:val="24"/>
          <w:highlight w:val="none"/>
        </w:rPr>
      </w:pPr>
      <w:r>
        <w:rPr>
          <w:sz w:val="24"/>
          <w:highlight w:val="none"/>
        </w:rPr>
        <w:t>2.11残疾人福利性单位：符合《财政部、民政部、中国残疾人联合会关于促进残疾人就业政府采购政策的通知》（财库〔2017〕141号）的规定单位。</w:t>
      </w:r>
    </w:p>
    <w:p>
      <w:pPr>
        <w:widowControl/>
        <w:tabs>
          <w:tab w:val="left" w:pos="284"/>
          <w:tab w:val="left" w:pos="851"/>
        </w:tabs>
        <w:spacing w:line="360" w:lineRule="auto"/>
        <w:jc w:val="left"/>
        <w:rPr>
          <w:sz w:val="24"/>
          <w:highlight w:val="none"/>
        </w:rPr>
      </w:pPr>
      <w:r>
        <w:rPr>
          <w:sz w:val="24"/>
          <w:highlight w:val="none"/>
        </w:rPr>
        <w:t>2.12 “★”标记系指必须满足不能负偏离或必须应答的条款。</w:t>
      </w:r>
    </w:p>
    <w:p>
      <w:pPr>
        <w:pStyle w:val="9"/>
        <w:spacing w:line="360" w:lineRule="auto"/>
        <w:rPr>
          <w:b/>
          <w:highlight w:val="none"/>
        </w:rPr>
      </w:pPr>
      <w:r>
        <w:rPr>
          <w:b/>
          <w:highlight w:val="none"/>
        </w:rPr>
        <w:t>3、合格的投标人</w:t>
      </w:r>
    </w:p>
    <w:p>
      <w:pPr>
        <w:widowControl/>
        <w:spacing w:line="360" w:lineRule="auto"/>
        <w:jc w:val="left"/>
        <w:rPr>
          <w:rFonts w:ascii="新宋体" w:hAnsi="新宋体" w:eastAsia="新宋体" w:cs="Courier New"/>
          <w:sz w:val="24"/>
          <w:highlight w:val="none"/>
        </w:rPr>
      </w:pPr>
      <w:r>
        <w:rPr>
          <w:rFonts w:hint="eastAsia" w:hAnsi="宋体"/>
          <w:kern w:val="0"/>
          <w:sz w:val="24"/>
          <w:highlight w:val="none"/>
        </w:rPr>
        <w:t>3.1</w:t>
      </w:r>
      <w:r>
        <w:rPr>
          <w:rFonts w:hint="eastAsia" w:ascii="新宋体" w:hAnsi="新宋体" w:eastAsia="新宋体" w:cs="Courier New"/>
          <w:sz w:val="24"/>
          <w:highlight w:val="none"/>
        </w:rPr>
        <w:t>符合《中华人民共和国政府采购法》第二十二条要求，具有独立法人资格。</w:t>
      </w:r>
    </w:p>
    <w:p>
      <w:pPr>
        <w:widowControl/>
        <w:spacing w:line="360" w:lineRule="auto"/>
        <w:jc w:val="left"/>
        <w:rPr>
          <w:kern w:val="0"/>
          <w:sz w:val="24"/>
          <w:highlight w:val="none"/>
        </w:rPr>
      </w:pPr>
      <w:r>
        <w:rPr>
          <w:rFonts w:eastAsia="新宋体"/>
          <w:sz w:val="24"/>
          <w:highlight w:val="none"/>
        </w:rPr>
        <w:t>3.2</w:t>
      </w:r>
      <w:r>
        <w:rPr>
          <w:rFonts w:hint="eastAsia" w:ascii="新宋体" w:hAnsi="新宋体" w:eastAsia="新宋体" w:cs="Courier New"/>
          <w:sz w:val="24"/>
          <w:highlight w:val="none"/>
        </w:rPr>
        <w:t>具有道路清扫保洁、生活垃圾经营性收集、运输经营范围，具有合法的道路运输经营许可证，且同时拥有</w:t>
      </w:r>
      <w:r>
        <w:rPr>
          <w:rFonts w:ascii="新宋体" w:hAnsi="新宋体" w:eastAsia="新宋体" w:cs="Courier New"/>
          <w:sz w:val="24"/>
          <w:highlight w:val="none"/>
        </w:rPr>
        <w:t>荷载≥5吨洒水车、荷载≥</w:t>
      </w:r>
      <w:r>
        <w:rPr>
          <w:rFonts w:hint="eastAsia" w:ascii="新宋体" w:hAnsi="新宋体" w:eastAsia="新宋体" w:cs="Courier New"/>
          <w:sz w:val="24"/>
          <w:highlight w:val="none"/>
        </w:rPr>
        <w:t>5</w:t>
      </w:r>
      <w:r>
        <w:rPr>
          <w:rFonts w:ascii="新宋体" w:hAnsi="新宋体" w:eastAsia="新宋体" w:cs="Courier New"/>
          <w:sz w:val="24"/>
          <w:highlight w:val="none"/>
        </w:rPr>
        <w:t>吨</w:t>
      </w:r>
      <w:r>
        <w:rPr>
          <w:rFonts w:hint="eastAsia" w:ascii="新宋体" w:hAnsi="新宋体" w:eastAsia="新宋体" w:cs="Courier New"/>
          <w:sz w:val="24"/>
          <w:highlight w:val="none"/>
        </w:rPr>
        <w:t>密封式垃圾压缩车、</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自装卸式垃圾收集车各一辆(</w:t>
      </w:r>
      <w:r>
        <w:rPr>
          <w:rFonts w:hint="eastAsia" w:ascii="新宋体" w:hAnsi="新宋体" w:eastAsia="新宋体" w:cs="Courier New"/>
          <w:color w:val="000000"/>
          <w:sz w:val="24"/>
          <w:highlight w:val="none"/>
        </w:rPr>
        <w:t>所有车辆均在投标人公司名下</w:t>
      </w:r>
      <w:r>
        <w:rPr>
          <w:rFonts w:ascii="新宋体" w:hAnsi="新宋体" w:eastAsia="新宋体" w:cs="Courier New"/>
          <w:sz w:val="24"/>
          <w:highlight w:val="none"/>
        </w:rPr>
        <w:t>) 的企业</w:t>
      </w:r>
      <w:r>
        <w:rPr>
          <w:rFonts w:hint="eastAsia" w:ascii="新宋体" w:hAnsi="新宋体" w:eastAsia="新宋体" w:cs="Courier New"/>
          <w:sz w:val="24"/>
          <w:highlight w:val="none"/>
        </w:rPr>
        <w:t>。</w:t>
      </w:r>
    </w:p>
    <w:p>
      <w:pPr>
        <w:widowControl/>
        <w:spacing w:line="360" w:lineRule="auto"/>
        <w:jc w:val="left"/>
        <w:rPr>
          <w:sz w:val="24"/>
          <w:highlight w:val="none"/>
        </w:rPr>
      </w:pPr>
      <w:r>
        <w:rPr>
          <w:rFonts w:hint="eastAsia"/>
          <w:sz w:val="24"/>
          <w:highlight w:val="none"/>
        </w:rPr>
        <w:t>3.3</w:t>
      </w:r>
      <w:r>
        <w:rPr>
          <w:rFonts w:ascii="新宋体" w:hAnsi="新宋体" w:eastAsia="新宋体" w:cs="Courier New"/>
          <w:sz w:val="24"/>
          <w:highlight w:val="none"/>
        </w:rPr>
        <w:t>投标人</w:t>
      </w:r>
      <w:r>
        <w:rPr>
          <w:rFonts w:hint="eastAsia" w:ascii="新宋体" w:hAnsi="新宋体" w:eastAsia="新宋体" w:cs="Courier New"/>
          <w:sz w:val="24"/>
          <w:highlight w:val="none"/>
        </w:rPr>
        <w:t>至少有5名以本单位名义参投社会养老保险且在近</w:t>
      </w:r>
      <w:r>
        <w:rPr>
          <w:rFonts w:ascii="新宋体" w:hAnsi="新宋体" w:eastAsia="新宋体" w:cs="Courier New"/>
          <w:sz w:val="24"/>
          <w:highlight w:val="none"/>
        </w:rPr>
        <w:t>3</w:t>
      </w:r>
      <w:r>
        <w:rPr>
          <w:rFonts w:hint="eastAsia" w:ascii="新宋体" w:hAnsi="新宋体" w:eastAsia="新宋体" w:cs="Courier New"/>
          <w:sz w:val="24"/>
          <w:highlight w:val="none"/>
        </w:rPr>
        <w:t>个月</w:t>
      </w:r>
      <w:r>
        <w:rPr>
          <w:rFonts w:hint="eastAsia" w:ascii="新宋体" w:hAnsi="新宋体" w:eastAsia="新宋体" w:cs="Courier New"/>
          <w:color w:val="FF0000"/>
          <w:sz w:val="24"/>
          <w:highlight w:val="none"/>
        </w:rPr>
        <w:t>（2020年2月后的连续3个月）</w:t>
      </w:r>
      <w:r>
        <w:rPr>
          <w:rFonts w:hint="eastAsia" w:ascii="新宋体" w:hAnsi="新宋体" w:eastAsia="新宋体" w:cs="Courier New"/>
          <w:sz w:val="24"/>
          <w:highlight w:val="none"/>
        </w:rPr>
        <w:t>正常缴费的员工。</w:t>
      </w:r>
    </w:p>
    <w:p>
      <w:pPr>
        <w:widowControl/>
        <w:spacing w:line="360" w:lineRule="auto"/>
        <w:jc w:val="left"/>
        <w:rPr>
          <w:sz w:val="24"/>
          <w:highlight w:val="none"/>
        </w:rPr>
      </w:pPr>
      <w:r>
        <w:rPr>
          <w:rFonts w:hint="eastAsia" w:hAnsi="宋体"/>
          <w:kern w:val="0"/>
          <w:sz w:val="24"/>
          <w:highlight w:val="none"/>
        </w:rPr>
        <w:t>3.4</w:t>
      </w:r>
      <w:r>
        <w:rPr>
          <w:rFonts w:hint="eastAsia"/>
          <w:sz w:val="24"/>
          <w:highlight w:val="none"/>
        </w:rPr>
        <w:t>投标人自2017年1月1日起到中标公告期结束前无行贿犯罪记录（通过中国裁判文书网（http://wenshu.court.gov.cn/）查询，查询结果以网站页面显示内容为准）</w:t>
      </w:r>
      <w:r>
        <w:rPr>
          <w:sz w:val="24"/>
          <w:highlight w:val="none"/>
        </w:rPr>
        <w:t>。</w:t>
      </w:r>
    </w:p>
    <w:p>
      <w:pPr>
        <w:widowControl/>
        <w:tabs>
          <w:tab w:val="left" w:pos="284"/>
          <w:tab w:val="left" w:pos="851"/>
        </w:tabs>
        <w:spacing w:line="360" w:lineRule="auto"/>
        <w:jc w:val="left"/>
        <w:rPr>
          <w:sz w:val="24"/>
          <w:highlight w:val="none"/>
        </w:rPr>
      </w:pPr>
      <w:r>
        <w:rPr>
          <w:sz w:val="24"/>
          <w:highlight w:val="none"/>
        </w:rPr>
        <w:t>3.</w:t>
      </w:r>
      <w:r>
        <w:rPr>
          <w:rFonts w:hint="eastAsia"/>
          <w:sz w:val="24"/>
          <w:highlight w:val="none"/>
        </w:rPr>
        <w:t>5参加政府采购活动前三年内，在经营活动中没有重大违法记录。投标人无以下不良行为：</w:t>
      </w:r>
      <w:r>
        <w:rPr>
          <w:sz w:val="24"/>
          <w:highlight w:val="none"/>
        </w:rPr>
        <w:t>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widowControl/>
        <w:tabs>
          <w:tab w:val="left" w:pos="284"/>
          <w:tab w:val="left" w:pos="851"/>
        </w:tabs>
        <w:spacing w:line="360" w:lineRule="auto"/>
        <w:jc w:val="left"/>
        <w:rPr>
          <w:kern w:val="0"/>
          <w:sz w:val="24"/>
          <w:highlight w:val="none"/>
        </w:rPr>
      </w:pPr>
      <w:r>
        <w:rPr>
          <w:sz w:val="24"/>
          <w:highlight w:val="none"/>
        </w:rPr>
        <w:t>3.</w:t>
      </w:r>
      <w:r>
        <w:rPr>
          <w:rFonts w:hint="eastAsia"/>
          <w:sz w:val="24"/>
          <w:highlight w:val="none"/>
        </w:rPr>
        <w:t>6</w:t>
      </w:r>
      <w:r>
        <w:rPr>
          <w:kern w:val="0"/>
          <w:sz w:val="24"/>
          <w:highlight w:val="none"/>
        </w:rPr>
        <w:t>根据《关于在全市公共资源交易活动中应用报告的通知》（义行服管【2017】17号）规定，信用等级为D、E类的投标人，不得参与本项目投标（以采购人或委托的代理机构在投标截止时间查询为准）。</w:t>
      </w:r>
    </w:p>
    <w:p>
      <w:pPr>
        <w:widowControl/>
        <w:spacing w:line="360" w:lineRule="auto"/>
        <w:jc w:val="left"/>
        <w:rPr>
          <w:kern w:val="0"/>
          <w:sz w:val="24"/>
          <w:highlight w:val="none"/>
        </w:rPr>
      </w:pPr>
      <w:r>
        <w:rPr>
          <w:kern w:val="0"/>
          <w:sz w:val="24"/>
          <w:highlight w:val="none"/>
        </w:rPr>
        <w:t>3.</w:t>
      </w:r>
      <w:r>
        <w:rPr>
          <w:rFonts w:hint="eastAsia"/>
          <w:kern w:val="0"/>
          <w:sz w:val="24"/>
          <w:highlight w:val="none"/>
        </w:rPr>
        <w:t>7</w:t>
      </w:r>
      <w:r>
        <w:rPr>
          <w:kern w:val="0"/>
          <w:sz w:val="24"/>
          <w:highlight w:val="none"/>
        </w:rPr>
        <w:t>公益一类事业单位不属于政府购买服务的承接主体，不得参与承接购买服务。</w:t>
      </w:r>
    </w:p>
    <w:p>
      <w:pPr>
        <w:pStyle w:val="185"/>
        <w:ind w:firstLine="0" w:firstLineChars="0"/>
        <w:rPr>
          <w:szCs w:val="24"/>
          <w:highlight w:val="none"/>
          <w:lang w:val="en-US"/>
        </w:rPr>
      </w:pPr>
      <w:r>
        <w:rPr>
          <w:rFonts w:ascii="Times New Roman" w:hAnsi="Times New Roman"/>
          <w:kern w:val="0"/>
          <w:szCs w:val="24"/>
          <w:highlight w:val="none"/>
          <w:lang w:val="en-US"/>
        </w:rPr>
        <w:t>3.8</w:t>
      </w:r>
      <w:r>
        <w:rPr>
          <w:kern w:val="0"/>
          <w:szCs w:val="24"/>
          <w:highlight w:val="none"/>
        </w:rPr>
        <w:t>符合采购公告中要求的条件。</w:t>
      </w:r>
    </w:p>
    <w:p>
      <w:pPr>
        <w:pStyle w:val="13"/>
        <w:spacing w:line="360" w:lineRule="auto"/>
        <w:rPr>
          <w:rFonts w:ascii="Times New Roman" w:hAnsi="Times New Roman"/>
          <w:sz w:val="24"/>
          <w:szCs w:val="24"/>
          <w:highlight w:val="none"/>
        </w:rPr>
      </w:pPr>
      <w:r>
        <w:rPr>
          <w:rFonts w:ascii="Times New Roman" w:hAnsi="Times New Roman"/>
          <w:b/>
          <w:sz w:val="24"/>
          <w:szCs w:val="24"/>
          <w:highlight w:val="none"/>
        </w:rPr>
        <w:t>4、投标资料和数据的真实性</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4.1投标单位应保证所提交给招标机构和采购人的资料和数据是真实的。</w:t>
      </w:r>
    </w:p>
    <w:p>
      <w:pPr>
        <w:pStyle w:val="13"/>
        <w:spacing w:line="360" w:lineRule="auto"/>
        <w:rPr>
          <w:rFonts w:ascii="Times New Roman" w:hAnsi="Times New Roman"/>
          <w:b/>
          <w:sz w:val="24"/>
          <w:szCs w:val="24"/>
          <w:highlight w:val="none"/>
        </w:rPr>
      </w:pPr>
      <w:r>
        <w:rPr>
          <w:rFonts w:ascii="Times New Roman" w:hAnsi="Times New Roman"/>
          <w:b/>
          <w:sz w:val="24"/>
          <w:szCs w:val="24"/>
          <w:highlight w:val="none"/>
        </w:rPr>
        <w:t>5、投标费用</w:t>
      </w:r>
    </w:p>
    <w:p>
      <w:pPr>
        <w:pStyle w:val="13"/>
        <w:spacing w:line="360" w:lineRule="auto"/>
        <w:rPr>
          <w:rFonts w:ascii="Times New Roman" w:hAnsi="Times New Roman"/>
          <w:b/>
          <w:sz w:val="24"/>
          <w:szCs w:val="24"/>
          <w:highlight w:val="none"/>
        </w:rPr>
      </w:pPr>
      <w:r>
        <w:rPr>
          <w:rFonts w:ascii="Times New Roman" w:hAnsi="Times New Roman"/>
          <w:sz w:val="24"/>
          <w:szCs w:val="24"/>
          <w:highlight w:val="none"/>
        </w:rPr>
        <w:t>5.1不论投标过程中的作法和结果如何，投标人应承担所有与投标有关的全部费用。采购人和采购代理机构在任何情况下均无义务和责任承担上述这些费用。</w:t>
      </w:r>
    </w:p>
    <w:p>
      <w:pPr>
        <w:pStyle w:val="13"/>
        <w:spacing w:line="360" w:lineRule="auto"/>
        <w:rPr>
          <w:rFonts w:ascii="Times New Roman" w:hAnsi="Times New Roman"/>
          <w:b/>
          <w:sz w:val="24"/>
          <w:szCs w:val="24"/>
          <w:highlight w:val="none"/>
        </w:rPr>
      </w:pPr>
      <w:r>
        <w:rPr>
          <w:rFonts w:ascii="Times New Roman" w:hAnsi="Times New Roman"/>
          <w:b/>
          <w:sz w:val="24"/>
          <w:szCs w:val="24"/>
          <w:highlight w:val="none"/>
        </w:rPr>
        <w:t xml:space="preserve">6、现场勘察 </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6.1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6.2投标人在考察过程中发生的各类事件及所发生的各项费用，均由投标人自行承担。采购人和代理机构概不负责。</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6.3采购人向投标人提供的有关现场的数据和资料，是采购人现有的能被投标人利用的资料，采购人对投标人据此做出的任何推论、理解和结论不负责任。</w:t>
      </w:r>
    </w:p>
    <w:p>
      <w:pPr>
        <w:spacing w:line="360" w:lineRule="auto"/>
        <w:rPr>
          <w:sz w:val="24"/>
          <w:highlight w:val="none"/>
        </w:rPr>
      </w:pPr>
      <w:r>
        <w:rPr>
          <w:sz w:val="24"/>
          <w:highlight w:val="none"/>
        </w:rPr>
        <w:t>6.4现场踏勘完毕，将认为投标人己了解现场情况，并充分理解了为之所承担的风险、义务和责任。</w:t>
      </w:r>
    </w:p>
    <w:p>
      <w:pPr>
        <w:widowControl/>
        <w:spacing w:line="360" w:lineRule="auto"/>
        <w:jc w:val="left"/>
        <w:rPr>
          <w:b/>
          <w:bCs/>
          <w:kern w:val="0"/>
          <w:sz w:val="24"/>
          <w:highlight w:val="none"/>
        </w:rPr>
      </w:pPr>
      <w:r>
        <w:rPr>
          <w:b/>
          <w:bCs/>
          <w:kern w:val="0"/>
          <w:sz w:val="24"/>
          <w:highlight w:val="none"/>
        </w:rPr>
        <w:t>7、联合体投标</w:t>
      </w:r>
    </w:p>
    <w:p>
      <w:pPr>
        <w:widowControl/>
        <w:spacing w:line="360" w:lineRule="auto"/>
        <w:jc w:val="left"/>
        <w:rPr>
          <w:sz w:val="24"/>
          <w:highlight w:val="none"/>
        </w:rPr>
      </w:pPr>
      <w:r>
        <w:rPr>
          <w:rFonts w:hint="eastAsia"/>
          <w:sz w:val="24"/>
          <w:highlight w:val="none"/>
        </w:rPr>
        <w:t>7.1</w:t>
      </w:r>
      <w:r>
        <w:rPr>
          <w:sz w:val="24"/>
          <w:highlight w:val="none"/>
        </w:rPr>
        <w:t>本项目不允许联合体投标。</w:t>
      </w:r>
    </w:p>
    <w:p>
      <w:pPr>
        <w:widowControl/>
        <w:spacing w:line="360" w:lineRule="auto"/>
        <w:jc w:val="left"/>
        <w:rPr>
          <w:b/>
          <w:sz w:val="24"/>
          <w:highlight w:val="none"/>
        </w:rPr>
      </w:pPr>
      <w:r>
        <w:rPr>
          <w:rFonts w:hint="eastAsia"/>
          <w:b/>
          <w:sz w:val="24"/>
          <w:highlight w:val="none"/>
        </w:rPr>
        <w:t>二、招标文件</w:t>
      </w:r>
    </w:p>
    <w:p>
      <w:pPr>
        <w:widowControl/>
        <w:spacing w:line="360" w:lineRule="auto"/>
        <w:jc w:val="left"/>
        <w:rPr>
          <w:b/>
          <w:sz w:val="24"/>
          <w:highlight w:val="none"/>
        </w:rPr>
      </w:pPr>
      <w:r>
        <w:rPr>
          <w:rFonts w:hint="eastAsia"/>
          <w:b/>
          <w:sz w:val="24"/>
          <w:highlight w:val="none"/>
        </w:rPr>
        <w:t>8、招标文件的组成</w:t>
      </w:r>
    </w:p>
    <w:p>
      <w:pPr>
        <w:adjustRightInd w:val="0"/>
        <w:snapToGrid w:val="0"/>
        <w:spacing w:before="50" w:after="50" w:line="360" w:lineRule="auto"/>
        <w:rPr>
          <w:sz w:val="24"/>
          <w:highlight w:val="none"/>
        </w:rPr>
      </w:pPr>
      <w:r>
        <w:rPr>
          <w:sz w:val="24"/>
          <w:highlight w:val="none"/>
        </w:rPr>
        <w:t>8.1招标文件包括下列内容：</w:t>
      </w:r>
    </w:p>
    <w:p>
      <w:pPr>
        <w:adjustRightInd w:val="0"/>
        <w:snapToGrid w:val="0"/>
        <w:spacing w:before="50" w:after="50" w:line="360" w:lineRule="auto"/>
        <w:ind w:firstLine="480" w:firstLineChars="200"/>
        <w:rPr>
          <w:sz w:val="24"/>
          <w:highlight w:val="none"/>
        </w:rPr>
      </w:pPr>
      <w:r>
        <w:rPr>
          <w:sz w:val="24"/>
          <w:highlight w:val="none"/>
        </w:rPr>
        <w:t>第一章  采购公告</w:t>
      </w:r>
    </w:p>
    <w:p>
      <w:pPr>
        <w:adjustRightInd w:val="0"/>
        <w:snapToGrid w:val="0"/>
        <w:spacing w:before="50" w:after="50" w:line="360" w:lineRule="auto"/>
        <w:ind w:firstLine="480" w:firstLineChars="200"/>
        <w:rPr>
          <w:sz w:val="24"/>
          <w:highlight w:val="none"/>
        </w:rPr>
      </w:pPr>
      <w:r>
        <w:rPr>
          <w:sz w:val="24"/>
          <w:highlight w:val="none"/>
        </w:rPr>
        <w:t>第二章  投标须知和投标须知前附表</w:t>
      </w:r>
    </w:p>
    <w:p>
      <w:pPr>
        <w:adjustRightInd w:val="0"/>
        <w:snapToGrid w:val="0"/>
        <w:spacing w:before="50" w:after="50" w:line="360" w:lineRule="auto"/>
        <w:ind w:firstLine="480" w:firstLineChars="200"/>
        <w:rPr>
          <w:sz w:val="24"/>
          <w:highlight w:val="none"/>
        </w:rPr>
      </w:pPr>
      <w:r>
        <w:rPr>
          <w:sz w:val="24"/>
          <w:highlight w:val="none"/>
        </w:rPr>
        <w:t>第三章  招标项目内容及技术要求</w:t>
      </w:r>
    </w:p>
    <w:p>
      <w:pPr>
        <w:adjustRightInd w:val="0"/>
        <w:snapToGrid w:val="0"/>
        <w:spacing w:before="50" w:after="50" w:line="360" w:lineRule="auto"/>
        <w:ind w:firstLine="480" w:firstLineChars="200"/>
        <w:rPr>
          <w:sz w:val="24"/>
          <w:highlight w:val="none"/>
        </w:rPr>
      </w:pPr>
      <w:r>
        <w:rPr>
          <w:sz w:val="24"/>
          <w:highlight w:val="none"/>
        </w:rPr>
        <w:t>第四章  开标、评标和定标</w:t>
      </w:r>
    </w:p>
    <w:p>
      <w:pPr>
        <w:adjustRightInd w:val="0"/>
        <w:snapToGrid w:val="0"/>
        <w:spacing w:before="50" w:after="50" w:line="360" w:lineRule="auto"/>
        <w:ind w:firstLine="480" w:firstLineChars="200"/>
        <w:rPr>
          <w:sz w:val="24"/>
          <w:highlight w:val="none"/>
        </w:rPr>
      </w:pPr>
      <w:r>
        <w:rPr>
          <w:sz w:val="24"/>
          <w:highlight w:val="none"/>
        </w:rPr>
        <w:t>第五章  投标文件的有效性</w:t>
      </w:r>
    </w:p>
    <w:p>
      <w:pPr>
        <w:adjustRightInd w:val="0"/>
        <w:snapToGrid w:val="0"/>
        <w:spacing w:before="50" w:after="50" w:line="360" w:lineRule="auto"/>
        <w:ind w:firstLine="480" w:firstLineChars="200"/>
        <w:rPr>
          <w:sz w:val="24"/>
          <w:highlight w:val="none"/>
        </w:rPr>
      </w:pPr>
      <w:r>
        <w:rPr>
          <w:sz w:val="24"/>
          <w:highlight w:val="none"/>
        </w:rPr>
        <w:t>第六章  评标办法</w:t>
      </w:r>
    </w:p>
    <w:p>
      <w:pPr>
        <w:adjustRightInd w:val="0"/>
        <w:snapToGrid w:val="0"/>
        <w:spacing w:before="50" w:after="50" w:line="360" w:lineRule="auto"/>
        <w:ind w:firstLine="480" w:firstLineChars="200"/>
        <w:rPr>
          <w:sz w:val="24"/>
          <w:highlight w:val="none"/>
        </w:rPr>
      </w:pPr>
      <w:r>
        <w:rPr>
          <w:sz w:val="24"/>
          <w:highlight w:val="none"/>
        </w:rPr>
        <w:t>第七章  合同主要条款</w:t>
      </w:r>
    </w:p>
    <w:p>
      <w:pPr>
        <w:adjustRightInd w:val="0"/>
        <w:snapToGrid w:val="0"/>
        <w:spacing w:before="50" w:after="50" w:line="360" w:lineRule="auto"/>
        <w:ind w:left="480"/>
        <w:rPr>
          <w:sz w:val="24"/>
          <w:highlight w:val="none"/>
        </w:rPr>
      </w:pPr>
      <w:r>
        <w:rPr>
          <w:sz w:val="24"/>
          <w:highlight w:val="none"/>
        </w:rPr>
        <w:t xml:space="preserve">第八章 </w:t>
      </w:r>
      <w:r>
        <w:rPr>
          <w:rFonts w:hint="eastAsia"/>
          <w:sz w:val="24"/>
          <w:highlight w:val="none"/>
        </w:rPr>
        <w:t xml:space="preserve"> </w:t>
      </w:r>
      <w:r>
        <w:rPr>
          <w:sz w:val="24"/>
          <w:highlight w:val="none"/>
        </w:rPr>
        <w:t>投标文件部分格式</w:t>
      </w:r>
    </w:p>
    <w:p>
      <w:pPr>
        <w:adjustRightInd w:val="0"/>
        <w:snapToGrid w:val="0"/>
        <w:spacing w:before="50" w:after="50" w:line="360" w:lineRule="auto"/>
        <w:rPr>
          <w:sz w:val="24"/>
          <w:highlight w:val="none"/>
        </w:rPr>
      </w:pPr>
      <w:r>
        <w:rPr>
          <w:sz w:val="24"/>
          <w:highlight w:val="none"/>
        </w:rPr>
        <w:t>8.2除8.1内容外，采购人在提交投标文件截止时间前，以书面形式发出的对招标文件的澄清或修改内容，均为招标文件的组成部分，对采购人和投标人起约束作用。</w:t>
      </w:r>
    </w:p>
    <w:p>
      <w:pPr>
        <w:adjustRightInd w:val="0"/>
        <w:snapToGrid w:val="0"/>
        <w:spacing w:before="50" w:after="50" w:line="360" w:lineRule="auto"/>
        <w:rPr>
          <w:sz w:val="24"/>
          <w:highlight w:val="none"/>
        </w:rPr>
      </w:pPr>
      <w:r>
        <w:rPr>
          <w:sz w:val="24"/>
          <w:highlight w:val="none"/>
        </w:rPr>
        <w:t>8.3上述所列8.1及8.2条内容均以书面文件为准，采购人（招标代理机构）的任何工作人员对投标人所作的任何口头解释、介绍、答复，对采购人和投标人无任何约束力。</w:t>
      </w:r>
    </w:p>
    <w:p>
      <w:pPr>
        <w:adjustRightInd w:val="0"/>
        <w:snapToGrid w:val="0"/>
        <w:spacing w:before="50" w:after="50" w:line="360" w:lineRule="auto"/>
        <w:rPr>
          <w:sz w:val="24"/>
          <w:highlight w:val="none"/>
          <w:shd w:val="clear" w:color="auto" w:fill="CCCCCC"/>
        </w:rPr>
      </w:pPr>
      <w:r>
        <w:rPr>
          <w:sz w:val="24"/>
          <w:highlight w:val="none"/>
        </w:rPr>
        <w:t>8.4</w:t>
      </w:r>
      <w:r>
        <w:rPr>
          <w:bCs/>
          <w:sz w:val="24"/>
          <w:highlight w:val="none"/>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360" w:lineRule="auto"/>
        <w:rPr>
          <w:b/>
          <w:bCs/>
          <w:sz w:val="24"/>
          <w:highlight w:val="none"/>
        </w:rPr>
      </w:pPr>
      <w:r>
        <w:rPr>
          <w:b/>
          <w:bCs/>
          <w:sz w:val="24"/>
          <w:highlight w:val="none"/>
        </w:rPr>
        <w:t>9、招标文件的澄清</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w:t>
      </w:r>
      <w:r>
        <w:rPr>
          <w:rFonts w:ascii="Times New Roman" w:hAnsi="宋体"/>
          <w:sz w:val="24"/>
          <w:szCs w:val="24"/>
          <w:highlight w:val="none"/>
        </w:rPr>
        <w:t>投标人若对招标文件有任何疑问，应于前附表规定的时间以书面形式送（传真）至浙江开平企业管理咨询有限公司（义乌市贝村路</w:t>
      </w:r>
      <w:r>
        <w:rPr>
          <w:rFonts w:ascii="Times New Roman" w:hAnsi="Times New Roman"/>
          <w:sz w:val="24"/>
          <w:szCs w:val="24"/>
          <w:highlight w:val="none"/>
        </w:rPr>
        <w:t>178</w:t>
      </w:r>
      <w:r>
        <w:rPr>
          <w:rFonts w:ascii="Times New Roman" w:hAnsi="宋体"/>
          <w:sz w:val="24"/>
          <w:szCs w:val="24"/>
          <w:highlight w:val="none"/>
        </w:rPr>
        <w:t>号</w:t>
      </w:r>
      <w:r>
        <w:rPr>
          <w:rFonts w:ascii="Times New Roman" w:hAnsi="Times New Roman"/>
          <w:sz w:val="24"/>
          <w:szCs w:val="24"/>
          <w:highlight w:val="none"/>
        </w:rPr>
        <w:t>6</w:t>
      </w:r>
      <w:r>
        <w:rPr>
          <w:rFonts w:ascii="Times New Roman" w:hAnsi="宋体"/>
          <w:sz w:val="24"/>
          <w:szCs w:val="24"/>
          <w:highlight w:val="none"/>
        </w:rPr>
        <w:t>楼）向采购人和代理机构提出。</w:t>
      </w:r>
    </w:p>
    <w:p>
      <w:pPr>
        <w:pStyle w:val="13"/>
        <w:spacing w:line="360" w:lineRule="auto"/>
        <w:rPr>
          <w:rFonts w:ascii="Times New Roman" w:hAnsi="宋体"/>
          <w:sz w:val="24"/>
          <w:szCs w:val="24"/>
          <w:highlight w:val="none"/>
        </w:rPr>
      </w:pPr>
      <w:r>
        <w:rPr>
          <w:rFonts w:ascii="Times New Roman" w:hAnsi="宋体"/>
          <w:sz w:val="24"/>
          <w:szCs w:val="24"/>
          <w:highlight w:val="none"/>
        </w:rPr>
        <w:t>9.2无论是采购方根据需要主动对招标文件进行必要澄清，或是根据投标人的要求对招标文件做出澄清，采购方的澄清文件会在浙江省政府采购网( http://www.zjzfcg.gov.cn/ )上统一以公告的形式发布，</w:t>
      </w:r>
      <w:r>
        <w:rPr>
          <w:rFonts w:ascii="新宋体" w:hAnsi="新宋体" w:eastAsia="新宋体"/>
          <w:sz w:val="24"/>
          <w:szCs w:val="24"/>
          <w:highlight w:val="none"/>
        </w:rPr>
        <w:t>同时政采云系统会向所有已按招标文件规定方式获取招标文件的潜在投标人发送更正提醒信息，潜在投标人请自行到浙江省政府采网上下载澄清（更正）文件，</w:t>
      </w:r>
      <w:r>
        <w:rPr>
          <w:rFonts w:hAnsi="宋体"/>
          <w:sz w:val="24"/>
          <w:szCs w:val="24"/>
          <w:highlight w:val="none"/>
        </w:rPr>
        <w:t>如因投标人未及时关注网上发布的信息而导致的一切投标后果由投标人自行承担</w:t>
      </w:r>
      <w:r>
        <w:rPr>
          <w:rFonts w:ascii="Times New Roman" w:hAnsi="宋体"/>
          <w:sz w:val="24"/>
          <w:szCs w:val="24"/>
          <w:highlight w:val="none"/>
        </w:rPr>
        <w:t>。</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9.3投标人在前附表规定时间未提交疑问的，视作默认对本次招标过程中招标文件无异议，采购人对其提出的问题可以不作解释。</w:t>
      </w:r>
    </w:p>
    <w:p>
      <w:pPr>
        <w:spacing w:line="360" w:lineRule="auto"/>
        <w:textAlignment w:val="baseline"/>
        <w:rPr>
          <w:spacing w:val="-4"/>
          <w:sz w:val="24"/>
          <w:highlight w:val="none"/>
        </w:rPr>
      </w:pPr>
      <w:r>
        <w:rPr>
          <w:sz w:val="24"/>
          <w:highlight w:val="none"/>
        </w:rPr>
        <w:t>9.4</w:t>
      </w:r>
      <w:r>
        <w:rPr>
          <w:spacing w:val="-4"/>
          <w:sz w:val="24"/>
          <w:highlight w:val="none"/>
        </w:rPr>
        <w:t>招标文件澄清、修改、补充等内容均以</w:t>
      </w:r>
      <w:r>
        <w:rPr>
          <w:rFonts w:hint="eastAsia"/>
          <w:spacing w:val="-4"/>
          <w:sz w:val="24"/>
          <w:highlight w:val="none"/>
        </w:rPr>
        <w:t>公告</w:t>
      </w:r>
      <w:r>
        <w:rPr>
          <w:spacing w:val="-4"/>
          <w:sz w:val="24"/>
          <w:highlight w:val="none"/>
        </w:rPr>
        <w:t>形式明确的内容为准。当招标文件、招标文件的澄清、修改、补充等在同一内容的表述上不一致时，以最后发出的</w:t>
      </w:r>
      <w:r>
        <w:rPr>
          <w:rFonts w:hint="eastAsia"/>
          <w:spacing w:val="-4"/>
          <w:sz w:val="24"/>
          <w:highlight w:val="none"/>
        </w:rPr>
        <w:t>公告</w:t>
      </w:r>
      <w:r>
        <w:rPr>
          <w:spacing w:val="-4"/>
          <w:sz w:val="24"/>
          <w:highlight w:val="none"/>
        </w:rPr>
        <w:t>文件为准。</w:t>
      </w:r>
    </w:p>
    <w:p>
      <w:pPr>
        <w:spacing w:line="360" w:lineRule="auto"/>
        <w:rPr>
          <w:spacing w:val="-6"/>
          <w:sz w:val="24"/>
          <w:highlight w:val="none"/>
        </w:rPr>
      </w:pPr>
      <w:r>
        <w:rPr>
          <w:bCs/>
          <w:spacing w:val="-4"/>
          <w:sz w:val="24"/>
          <w:highlight w:val="none"/>
        </w:rPr>
        <w:t>9.5</w:t>
      </w:r>
      <w:r>
        <w:rPr>
          <w:spacing w:val="-6"/>
          <w:sz w:val="24"/>
          <w:highlight w:val="none"/>
        </w:rPr>
        <w:t>采购人及招标代理机构工作人员向投标人所作的任何口头答复或电话通知一律无效。</w:t>
      </w:r>
    </w:p>
    <w:p>
      <w:pPr>
        <w:spacing w:line="360" w:lineRule="auto"/>
        <w:textAlignment w:val="baseline"/>
        <w:rPr>
          <w:spacing w:val="-4"/>
          <w:sz w:val="24"/>
          <w:highlight w:val="none"/>
        </w:rPr>
      </w:pPr>
      <w:r>
        <w:rPr>
          <w:spacing w:val="-4"/>
          <w:sz w:val="24"/>
          <w:highlight w:val="none"/>
        </w:rPr>
        <w:t>9.6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p>
    <w:p>
      <w:pPr>
        <w:spacing w:line="360" w:lineRule="auto"/>
        <w:textAlignment w:val="baseline"/>
        <w:rPr>
          <w:b/>
          <w:spacing w:val="-4"/>
          <w:sz w:val="24"/>
          <w:highlight w:val="none"/>
        </w:rPr>
      </w:pPr>
      <w:r>
        <w:rPr>
          <w:b/>
          <w:sz w:val="24"/>
          <w:highlight w:val="none"/>
        </w:rPr>
        <w:t>三、投标文件</w:t>
      </w:r>
    </w:p>
    <w:p>
      <w:pPr>
        <w:spacing w:line="360" w:lineRule="auto"/>
        <w:rPr>
          <w:sz w:val="24"/>
          <w:highlight w:val="none"/>
        </w:rPr>
      </w:pPr>
      <w:r>
        <w:rPr>
          <w:b/>
          <w:sz w:val="24"/>
          <w:highlight w:val="none"/>
        </w:rPr>
        <w:t>10、</w:t>
      </w:r>
      <w:r>
        <w:rPr>
          <w:b/>
          <w:bCs/>
          <w:sz w:val="24"/>
          <w:highlight w:val="none"/>
        </w:rPr>
        <w:t>投标文件的语言及度量衡单位</w:t>
      </w:r>
    </w:p>
    <w:p>
      <w:pPr>
        <w:spacing w:line="360" w:lineRule="auto"/>
        <w:rPr>
          <w:sz w:val="24"/>
          <w:highlight w:val="none"/>
        </w:rPr>
      </w:pPr>
      <w:r>
        <w:rPr>
          <w:sz w:val="24"/>
          <w:highlight w:val="none"/>
        </w:rPr>
        <w:t>10.1投标文件和与投标有关的所有文件均应使用汉语。</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10.2除工程规范另有规定外，投标文件使用的度量衡单位，均采用中华人民共和国法定计量单位。</w:t>
      </w:r>
    </w:p>
    <w:p>
      <w:pPr>
        <w:spacing w:line="360" w:lineRule="auto"/>
        <w:rPr>
          <w:kern w:val="0"/>
          <w:sz w:val="24"/>
          <w:highlight w:val="none"/>
        </w:rPr>
      </w:pPr>
      <w:r>
        <w:rPr>
          <w:b/>
          <w:bCs/>
          <w:sz w:val="24"/>
          <w:highlight w:val="none"/>
        </w:rPr>
        <w:t>11、对投标文件的要求</w:t>
      </w:r>
    </w:p>
    <w:p>
      <w:pPr>
        <w:pStyle w:val="22"/>
        <w:spacing w:after="0" w:line="360" w:lineRule="auto"/>
        <w:jc w:val="left"/>
        <w:textAlignment w:val="baseline"/>
        <w:rPr>
          <w:kern w:val="0"/>
          <w:sz w:val="24"/>
          <w:highlight w:val="none"/>
        </w:rPr>
      </w:pPr>
      <w:r>
        <w:rPr>
          <w:kern w:val="0"/>
          <w:sz w:val="24"/>
          <w:highlight w:val="none"/>
        </w:rPr>
        <w:t>11.1投标人应仔细阅读招标文件，了解招标文件的要求，在完全了解招标项目的技术要求和商务要求后，编制投标文件。</w:t>
      </w:r>
    </w:p>
    <w:p>
      <w:pPr>
        <w:pStyle w:val="9"/>
        <w:spacing w:line="360" w:lineRule="auto"/>
        <w:jc w:val="left"/>
        <w:rPr>
          <w:kern w:val="0"/>
          <w:highlight w:val="none"/>
        </w:rPr>
      </w:pPr>
      <w:r>
        <w:rPr>
          <w:kern w:val="0"/>
          <w:highlight w:val="none"/>
        </w:rPr>
        <w:t>11.2编制投标文件时，投标人对招标文件中技术及商务要求须逐项逐条作出实质性回答，</w:t>
      </w:r>
      <w:r>
        <w:rPr>
          <w:highlight w:val="none"/>
        </w:rPr>
        <w:t>若有偏离的均应在规范偏离表中提出。</w:t>
      </w:r>
      <w:r>
        <w:rPr>
          <w:kern w:val="0"/>
          <w:highlight w:val="none"/>
        </w:rPr>
        <w:t>顺序编号清楚，可用描述性文字及说明材料（说明材料必须加盖公章或授权代表签章）。</w:t>
      </w:r>
    </w:p>
    <w:p>
      <w:pPr>
        <w:spacing w:line="360" w:lineRule="auto"/>
        <w:rPr>
          <w:sz w:val="24"/>
          <w:highlight w:val="none"/>
        </w:rPr>
      </w:pPr>
      <w:r>
        <w:rPr>
          <w:sz w:val="24"/>
          <w:highlight w:val="none"/>
        </w:rPr>
        <w:t>11.3 在招标文件对技术要求中，投标人必须充分应答和满足用户的强制性的需求，如“</w:t>
      </w:r>
      <w:r>
        <w:rPr>
          <w:rFonts w:hint="eastAsia" w:ascii="宋体" w:hAnsi="宋体" w:cs="宋体"/>
          <w:sz w:val="24"/>
          <w:highlight w:val="none"/>
        </w:rPr>
        <w:t>★</w:t>
      </w:r>
      <w:r>
        <w:rPr>
          <w:sz w:val="24"/>
          <w:highlight w:val="none"/>
        </w:rPr>
        <w:t>”等，否则将导致废标。</w:t>
      </w:r>
    </w:p>
    <w:p>
      <w:pPr>
        <w:spacing w:line="360" w:lineRule="auto"/>
        <w:rPr>
          <w:bCs/>
          <w:sz w:val="24"/>
          <w:highlight w:val="none"/>
        </w:rPr>
      </w:pPr>
      <w:r>
        <w:rPr>
          <w:sz w:val="24"/>
          <w:highlight w:val="none"/>
        </w:rPr>
        <w:t>11.4</w:t>
      </w:r>
      <w:r>
        <w:rPr>
          <w:bCs/>
          <w:sz w:val="24"/>
          <w:highlight w:val="none"/>
        </w:rPr>
        <w:t>投标人应提供说明其拟提供的合格性及符合招标文件规定的文件，作为其投标文件的一部分。</w:t>
      </w:r>
    </w:p>
    <w:p>
      <w:pPr>
        <w:spacing w:line="360" w:lineRule="auto"/>
        <w:rPr>
          <w:sz w:val="24"/>
          <w:highlight w:val="none"/>
        </w:rPr>
      </w:pPr>
      <w:r>
        <w:rPr>
          <w:bCs/>
          <w:sz w:val="24"/>
          <w:highlight w:val="none"/>
        </w:rPr>
        <w:t>11.5</w:t>
      </w:r>
      <w:r>
        <w:rPr>
          <w:sz w:val="24"/>
          <w:highlight w:val="none"/>
        </w:rPr>
        <w:t>编制的投标文件对招标文件中有关条款未提出异议的，均被视为接受和同意。</w:t>
      </w:r>
    </w:p>
    <w:p>
      <w:pPr>
        <w:spacing w:line="360" w:lineRule="auto"/>
        <w:rPr>
          <w:b/>
          <w:bCs/>
          <w:sz w:val="24"/>
          <w:highlight w:val="none"/>
        </w:rPr>
      </w:pPr>
      <w:r>
        <w:rPr>
          <w:b/>
          <w:bCs/>
          <w:sz w:val="24"/>
          <w:highlight w:val="none"/>
        </w:rPr>
        <w:t>12、投标文件的组成</w:t>
      </w:r>
    </w:p>
    <w:p>
      <w:pPr>
        <w:spacing w:line="360" w:lineRule="auto"/>
        <w:rPr>
          <w:sz w:val="24"/>
          <w:highlight w:val="none"/>
        </w:rPr>
      </w:pPr>
      <w:r>
        <w:rPr>
          <w:sz w:val="24"/>
          <w:highlight w:val="none"/>
        </w:rPr>
        <w:t>12.1 招标文件“投标文件部分格式”所列的内容、格式及其投标人认为有必要提供的其他文件。</w:t>
      </w:r>
    </w:p>
    <w:p>
      <w:pPr>
        <w:spacing w:line="360" w:lineRule="auto"/>
        <w:rPr>
          <w:b/>
          <w:sz w:val="24"/>
          <w:highlight w:val="none"/>
        </w:rPr>
      </w:pPr>
      <w:r>
        <w:rPr>
          <w:rFonts w:hint="eastAsia" w:ascii="宋体" w:hAnsi="宋体" w:cs="宋体"/>
          <w:b/>
          <w:sz w:val="24"/>
          <w:highlight w:val="none"/>
        </w:rPr>
        <w:t>★</w:t>
      </w:r>
      <w:r>
        <w:rPr>
          <w:b/>
          <w:sz w:val="24"/>
          <w:highlight w:val="none"/>
        </w:rPr>
        <w:t>12.2 递交的投标文件应分为技术标和商务标，技术标为除商务报价外的所有内容，</w:t>
      </w:r>
      <w:r>
        <w:rPr>
          <w:rFonts w:hint="eastAsia"/>
          <w:b/>
          <w:sz w:val="24"/>
          <w:highlight w:val="none"/>
        </w:rPr>
        <w:t>电子投标文件中所有加盖公章均采用CA签章。</w:t>
      </w:r>
      <w:r>
        <w:rPr>
          <w:b/>
          <w:sz w:val="24"/>
          <w:highlight w:val="none"/>
          <w:u w:val="single"/>
        </w:rPr>
        <w:t>技术标（含资信与服务）不得含商务报价，否则作无效标处理</w:t>
      </w:r>
      <w:r>
        <w:rPr>
          <w:sz w:val="24"/>
          <w:highlight w:val="none"/>
        </w:rPr>
        <w:t>。</w:t>
      </w:r>
    </w:p>
    <w:p>
      <w:pPr>
        <w:pStyle w:val="13"/>
        <w:spacing w:line="360" w:lineRule="auto"/>
        <w:rPr>
          <w:rFonts w:ascii="Times New Roman" w:hAnsi="Times New Roman"/>
          <w:b/>
          <w:bCs/>
          <w:sz w:val="24"/>
          <w:szCs w:val="24"/>
          <w:highlight w:val="none"/>
        </w:rPr>
      </w:pPr>
      <w:r>
        <w:rPr>
          <w:rFonts w:ascii="Times New Roman" w:hAnsi="Times New Roman"/>
          <w:b/>
          <w:bCs/>
          <w:sz w:val="24"/>
          <w:szCs w:val="24"/>
          <w:highlight w:val="none"/>
        </w:rPr>
        <w:t>12.3技术标:</w:t>
      </w:r>
    </w:p>
    <w:p>
      <w:pPr>
        <w:pStyle w:val="13"/>
        <w:spacing w:line="360" w:lineRule="auto"/>
        <w:ind w:firstLine="480" w:firstLineChars="200"/>
        <w:rPr>
          <w:rFonts w:ascii="Times New Roman" w:hAnsi="Times New Roman"/>
          <w:b/>
          <w:bCs/>
          <w:sz w:val="24"/>
          <w:szCs w:val="24"/>
          <w:highlight w:val="none"/>
        </w:rPr>
      </w:pPr>
      <w:r>
        <w:rPr>
          <w:rFonts w:ascii="Times New Roman" w:hAnsi="Times New Roman"/>
          <w:b/>
          <w:bCs/>
          <w:sz w:val="24"/>
          <w:szCs w:val="24"/>
          <w:highlight w:val="none"/>
        </w:rPr>
        <w:t>应包括下列内容（并不仅限于以下）：</w:t>
      </w:r>
      <w:r>
        <w:rPr>
          <w:rFonts w:hint="eastAsia" w:ascii="Times New Roman" w:hAnsi="Times New Roman"/>
          <w:b/>
          <w:bCs/>
          <w:sz w:val="24"/>
          <w:szCs w:val="24"/>
          <w:highlight w:val="none"/>
        </w:rPr>
        <w:t>（</w:t>
      </w:r>
      <w:r>
        <w:rPr>
          <w:rFonts w:ascii="Times New Roman" w:hAnsi="Times New Roman"/>
          <w:b/>
          <w:bCs/>
          <w:sz w:val="24"/>
          <w:szCs w:val="24"/>
          <w:highlight w:val="none"/>
        </w:rPr>
        <w:t>复印件需加盖单位公章，提供的所有证书应在有效期内</w:t>
      </w:r>
      <w:r>
        <w:rPr>
          <w:rFonts w:hint="eastAsia" w:ascii="Times New Roman" w:hAnsi="Times New Roman"/>
          <w:b/>
          <w:bCs/>
          <w:sz w:val="24"/>
          <w:szCs w:val="24"/>
          <w:highlight w:val="none"/>
        </w:rPr>
        <w:t>）</w:t>
      </w:r>
    </w:p>
    <w:p>
      <w:pPr>
        <w:widowControl/>
        <w:spacing w:line="360" w:lineRule="auto"/>
        <w:jc w:val="left"/>
        <w:rPr>
          <w:kern w:val="0"/>
          <w:sz w:val="24"/>
          <w:highlight w:val="none"/>
        </w:rPr>
      </w:pPr>
      <w:r>
        <w:rPr>
          <w:kern w:val="0"/>
          <w:sz w:val="24"/>
          <w:highlight w:val="none"/>
        </w:rPr>
        <w:t>（1）</w:t>
      </w:r>
      <w:r>
        <w:rPr>
          <w:rFonts w:hint="eastAsia"/>
          <w:kern w:val="0"/>
          <w:sz w:val="24"/>
          <w:highlight w:val="none"/>
        </w:rPr>
        <w:t>投标人</w:t>
      </w:r>
      <w:r>
        <w:rPr>
          <w:kern w:val="0"/>
          <w:sz w:val="24"/>
          <w:highlight w:val="none"/>
        </w:rPr>
        <w:t>营业执照副本复印件；</w:t>
      </w:r>
    </w:p>
    <w:p>
      <w:pPr>
        <w:widowControl/>
        <w:spacing w:line="360" w:lineRule="auto"/>
        <w:jc w:val="left"/>
        <w:rPr>
          <w:kern w:val="0"/>
          <w:sz w:val="24"/>
          <w:highlight w:val="none"/>
        </w:rPr>
      </w:pPr>
      <w:r>
        <w:rPr>
          <w:kern w:val="0"/>
          <w:sz w:val="24"/>
          <w:highlight w:val="none"/>
        </w:rPr>
        <w:t>（2）道路运输许可证复印件；</w:t>
      </w:r>
    </w:p>
    <w:p>
      <w:pPr>
        <w:widowControl/>
        <w:spacing w:line="360" w:lineRule="auto"/>
        <w:jc w:val="left"/>
        <w:rPr>
          <w:kern w:val="0"/>
          <w:sz w:val="24"/>
          <w:highlight w:val="none"/>
        </w:rPr>
      </w:pPr>
      <w:r>
        <w:rPr>
          <w:kern w:val="0"/>
          <w:sz w:val="24"/>
          <w:highlight w:val="none"/>
        </w:rPr>
        <w:t>（3）</w:t>
      </w:r>
      <w:r>
        <w:rPr>
          <w:rFonts w:ascii="新宋体" w:hAnsi="新宋体" w:eastAsia="新宋体" w:cs="Courier New"/>
          <w:sz w:val="24"/>
          <w:highlight w:val="none"/>
        </w:rPr>
        <w:t>荷载≥5吨洒水车、荷载≥</w:t>
      </w:r>
      <w:r>
        <w:rPr>
          <w:rFonts w:hint="eastAsia" w:ascii="新宋体" w:hAnsi="新宋体" w:eastAsia="新宋体" w:cs="Courier New"/>
          <w:sz w:val="24"/>
          <w:highlight w:val="none"/>
        </w:rPr>
        <w:t>5</w:t>
      </w:r>
      <w:r>
        <w:rPr>
          <w:rFonts w:ascii="新宋体" w:hAnsi="新宋体" w:eastAsia="新宋体" w:cs="Courier New"/>
          <w:sz w:val="24"/>
          <w:highlight w:val="none"/>
        </w:rPr>
        <w:t>吨</w:t>
      </w:r>
      <w:r>
        <w:rPr>
          <w:rFonts w:hint="eastAsia" w:ascii="新宋体" w:hAnsi="新宋体" w:eastAsia="新宋体" w:cs="Courier New"/>
          <w:sz w:val="24"/>
          <w:highlight w:val="none"/>
        </w:rPr>
        <w:t>密封式垃圾压缩车、</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自装卸式垃圾收集车各一辆</w:t>
      </w:r>
      <w:r>
        <w:rPr>
          <w:rFonts w:hint="eastAsia" w:hAnsi="宋体"/>
          <w:sz w:val="24"/>
          <w:highlight w:val="none"/>
        </w:rPr>
        <w:t>（所有车辆需在投标公司名下）的</w:t>
      </w:r>
      <w:r>
        <w:rPr>
          <w:kern w:val="0"/>
          <w:sz w:val="24"/>
          <w:highlight w:val="none"/>
        </w:rPr>
        <w:t>行驶证复印件；</w:t>
      </w:r>
    </w:p>
    <w:p>
      <w:pPr>
        <w:pStyle w:val="13"/>
        <w:adjustRightInd w:val="0"/>
        <w:snapToGrid w:val="0"/>
        <w:spacing w:line="360" w:lineRule="auto"/>
        <w:rPr>
          <w:rFonts w:ascii="Times New Roman" w:hAnsi="Times New Roman"/>
          <w:kern w:val="0"/>
          <w:sz w:val="24"/>
          <w:szCs w:val="24"/>
          <w:highlight w:val="none"/>
        </w:rPr>
      </w:pPr>
      <w:r>
        <w:rPr>
          <w:rFonts w:ascii="Times New Roman" w:hAnsi="Times New Roman"/>
          <w:kern w:val="0"/>
          <w:sz w:val="24"/>
          <w:szCs w:val="24"/>
          <w:highlight w:val="none"/>
        </w:rPr>
        <w:t>（4）</w:t>
      </w:r>
      <w:r>
        <w:rPr>
          <w:rFonts w:ascii="新宋体" w:hAnsi="新宋体" w:eastAsia="新宋体" w:cs="Courier New"/>
          <w:sz w:val="24"/>
          <w:highlight w:val="none"/>
        </w:rPr>
        <w:t>投标人</w:t>
      </w:r>
      <w:r>
        <w:rPr>
          <w:rFonts w:hint="eastAsia" w:ascii="新宋体" w:hAnsi="新宋体" w:eastAsia="新宋体" w:cs="Courier New"/>
          <w:sz w:val="24"/>
          <w:highlight w:val="none"/>
        </w:rPr>
        <w:t>至少有5名以本单位名义参投社会养老保险且在近</w:t>
      </w:r>
      <w:r>
        <w:rPr>
          <w:rFonts w:ascii="新宋体" w:hAnsi="新宋体" w:eastAsia="新宋体" w:cs="Courier New"/>
          <w:sz w:val="24"/>
          <w:highlight w:val="none"/>
        </w:rPr>
        <w:t>3</w:t>
      </w:r>
      <w:r>
        <w:rPr>
          <w:rFonts w:hint="eastAsia" w:ascii="新宋体" w:hAnsi="新宋体" w:eastAsia="新宋体" w:cs="Courier New"/>
          <w:sz w:val="24"/>
          <w:highlight w:val="none"/>
        </w:rPr>
        <w:t>个月</w:t>
      </w:r>
      <w:r>
        <w:rPr>
          <w:rFonts w:hint="eastAsia" w:ascii="新宋体" w:hAnsi="新宋体" w:eastAsia="新宋体" w:cs="Courier New"/>
          <w:color w:val="FF0000"/>
          <w:sz w:val="24"/>
          <w:highlight w:val="none"/>
        </w:rPr>
        <w:t>（2020年2月后的连续3个月）</w:t>
      </w:r>
      <w:r>
        <w:rPr>
          <w:rFonts w:hint="eastAsia" w:ascii="新宋体" w:hAnsi="新宋体" w:eastAsia="新宋体" w:cs="Courier New"/>
          <w:sz w:val="24"/>
          <w:highlight w:val="none"/>
        </w:rPr>
        <w:t>正常缴费的员工</w:t>
      </w:r>
      <w:r>
        <w:rPr>
          <w:kern w:val="0"/>
          <w:sz w:val="24"/>
          <w:szCs w:val="24"/>
          <w:highlight w:val="none"/>
        </w:rPr>
        <w:t>社会养老保险缴纳情况(社保机构网上打印件与社保机构出具的具有同等效力）</w:t>
      </w:r>
      <w:r>
        <w:rPr>
          <w:rFonts w:hint="eastAsia"/>
          <w:kern w:val="0"/>
          <w:sz w:val="24"/>
          <w:szCs w:val="24"/>
          <w:highlight w:val="none"/>
        </w:rPr>
        <w:t>，</w:t>
      </w:r>
      <w:r>
        <w:rPr>
          <w:kern w:val="0"/>
          <w:sz w:val="24"/>
          <w:szCs w:val="24"/>
          <w:highlight w:val="none"/>
        </w:rPr>
        <w:t>复印件需加盖投标单位公章</w:t>
      </w:r>
      <w:r>
        <w:rPr>
          <w:rFonts w:ascii="Times New Roman" w:hAnsi="Times New Roman"/>
          <w:kern w:val="0"/>
          <w:sz w:val="24"/>
          <w:szCs w:val="24"/>
          <w:highlight w:val="none"/>
        </w:rPr>
        <w:t>；</w:t>
      </w:r>
    </w:p>
    <w:p>
      <w:pPr>
        <w:widowControl/>
        <w:spacing w:line="360" w:lineRule="auto"/>
        <w:jc w:val="left"/>
        <w:rPr>
          <w:kern w:val="0"/>
          <w:sz w:val="24"/>
          <w:highlight w:val="none"/>
        </w:rPr>
      </w:pPr>
      <w:r>
        <w:rPr>
          <w:kern w:val="0"/>
          <w:sz w:val="24"/>
          <w:highlight w:val="none"/>
        </w:rPr>
        <w:t>（5）法定代表人授权书；</w:t>
      </w:r>
    </w:p>
    <w:p>
      <w:pPr>
        <w:widowControl/>
        <w:spacing w:line="360" w:lineRule="auto"/>
        <w:jc w:val="left"/>
        <w:rPr>
          <w:kern w:val="0"/>
          <w:sz w:val="24"/>
          <w:highlight w:val="none"/>
        </w:rPr>
      </w:pPr>
      <w:r>
        <w:rPr>
          <w:rFonts w:hint="eastAsia"/>
          <w:kern w:val="0"/>
          <w:sz w:val="24"/>
          <w:highlight w:val="none"/>
        </w:rPr>
        <w:t>（6）</w:t>
      </w:r>
      <w:r>
        <w:rPr>
          <w:color w:val="000000"/>
          <w:kern w:val="0"/>
          <w:sz w:val="24"/>
          <w:highlight w:val="none"/>
        </w:rPr>
        <w:t>清扫保洁</w:t>
      </w:r>
      <w:r>
        <w:rPr>
          <w:rFonts w:hint="eastAsia"/>
          <w:color w:val="000000"/>
          <w:kern w:val="0"/>
          <w:sz w:val="24"/>
          <w:highlight w:val="none"/>
        </w:rPr>
        <w:t>、</w:t>
      </w:r>
      <w:r>
        <w:rPr>
          <w:color w:val="000000"/>
          <w:kern w:val="0"/>
          <w:sz w:val="24"/>
          <w:highlight w:val="none"/>
        </w:rPr>
        <w:t>清运人员一览表；</w:t>
      </w:r>
    </w:p>
    <w:p>
      <w:pPr>
        <w:widowControl/>
        <w:spacing w:line="360" w:lineRule="auto"/>
        <w:jc w:val="left"/>
        <w:rPr>
          <w:kern w:val="0"/>
          <w:sz w:val="24"/>
          <w:highlight w:val="none"/>
        </w:rPr>
      </w:pPr>
      <w:r>
        <w:rPr>
          <w:kern w:val="0"/>
          <w:sz w:val="24"/>
          <w:highlight w:val="none"/>
        </w:rPr>
        <w:t>（</w:t>
      </w:r>
      <w:r>
        <w:rPr>
          <w:rFonts w:hint="eastAsia"/>
          <w:kern w:val="0"/>
          <w:sz w:val="24"/>
          <w:highlight w:val="none"/>
        </w:rPr>
        <w:t>7</w:t>
      </w:r>
      <w:r>
        <w:rPr>
          <w:kern w:val="0"/>
          <w:sz w:val="24"/>
          <w:highlight w:val="none"/>
        </w:rPr>
        <w:t>）</w:t>
      </w:r>
      <w:r>
        <w:rPr>
          <w:rFonts w:hint="eastAsia"/>
          <w:kern w:val="0"/>
          <w:sz w:val="24"/>
          <w:highlight w:val="none"/>
        </w:rPr>
        <w:t>管理</w:t>
      </w:r>
      <w:r>
        <w:rPr>
          <w:kern w:val="0"/>
          <w:sz w:val="24"/>
          <w:highlight w:val="none"/>
        </w:rPr>
        <w:t>人员配置一览表；</w:t>
      </w:r>
    </w:p>
    <w:p>
      <w:pPr>
        <w:widowControl/>
        <w:spacing w:line="360" w:lineRule="auto"/>
        <w:jc w:val="left"/>
        <w:rPr>
          <w:kern w:val="0"/>
          <w:sz w:val="24"/>
          <w:highlight w:val="none"/>
        </w:rPr>
      </w:pPr>
      <w:r>
        <w:rPr>
          <w:kern w:val="0"/>
          <w:sz w:val="24"/>
          <w:highlight w:val="none"/>
        </w:rPr>
        <w:t>（</w:t>
      </w:r>
      <w:r>
        <w:rPr>
          <w:rFonts w:hint="eastAsia"/>
          <w:kern w:val="0"/>
          <w:sz w:val="24"/>
          <w:highlight w:val="none"/>
        </w:rPr>
        <w:t>8</w:t>
      </w:r>
      <w:r>
        <w:rPr>
          <w:kern w:val="0"/>
          <w:sz w:val="24"/>
          <w:highlight w:val="none"/>
        </w:rPr>
        <w:t>）质量保证承诺书；</w:t>
      </w:r>
    </w:p>
    <w:p>
      <w:pPr>
        <w:widowControl/>
        <w:spacing w:line="360" w:lineRule="auto"/>
        <w:jc w:val="left"/>
        <w:rPr>
          <w:bCs/>
          <w:kern w:val="0"/>
          <w:sz w:val="24"/>
          <w:highlight w:val="none"/>
        </w:rPr>
      </w:pPr>
      <w:r>
        <w:rPr>
          <w:rFonts w:hint="eastAsia"/>
          <w:kern w:val="0"/>
          <w:sz w:val="24"/>
          <w:highlight w:val="none"/>
        </w:rPr>
        <w:t>（9）</w:t>
      </w:r>
      <w:r>
        <w:rPr>
          <w:bCs/>
          <w:kern w:val="0"/>
          <w:sz w:val="24"/>
          <w:highlight w:val="none"/>
        </w:rPr>
        <w:t>车辆配备承诺书</w:t>
      </w:r>
      <w:r>
        <w:rPr>
          <w:rFonts w:hint="eastAsia"/>
          <w:sz w:val="24"/>
          <w:highlight w:val="none"/>
        </w:rPr>
        <w:t>；</w:t>
      </w:r>
    </w:p>
    <w:p>
      <w:pPr>
        <w:widowControl/>
        <w:spacing w:line="360" w:lineRule="auto"/>
        <w:jc w:val="left"/>
        <w:rPr>
          <w:sz w:val="24"/>
          <w:highlight w:val="none"/>
        </w:rPr>
      </w:pPr>
      <w:r>
        <w:rPr>
          <w:kern w:val="0"/>
          <w:sz w:val="24"/>
          <w:highlight w:val="none"/>
        </w:rPr>
        <w:t>（</w:t>
      </w:r>
      <w:r>
        <w:rPr>
          <w:rFonts w:hint="eastAsia"/>
          <w:kern w:val="0"/>
          <w:sz w:val="24"/>
          <w:highlight w:val="none"/>
        </w:rPr>
        <w:t>10</w:t>
      </w:r>
      <w:r>
        <w:rPr>
          <w:kern w:val="0"/>
          <w:sz w:val="24"/>
          <w:highlight w:val="none"/>
        </w:rPr>
        <w:t>）当前拥有车辆情况表</w:t>
      </w:r>
      <w:r>
        <w:rPr>
          <w:rFonts w:hint="eastAsia"/>
          <w:kern w:val="0"/>
          <w:sz w:val="24"/>
          <w:highlight w:val="none"/>
        </w:rPr>
        <w:t>（投标人名下）</w:t>
      </w:r>
      <w:r>
        <w:rPr>
          <w:rFonts w:hint="eastAsia"/>
          <w:sz w:val="24"/>
          <w:highlight w:val="none"/>
        </w:rPr>
        <w:t>；</w:t>
      </w:r>
    </w:p>
    <w:p>
      <w:pPr>
        <w:widowControl/>
        <w:spacing w:line="360" w:lineRule="auto"/>
        <w:jc w:val="left"/>
        <w:rPr>
          <w:sz w:val="24"/>
          <w:highlight w:val="none"/>
        </w:rPr>
      </w:pPr>
      <w:r>
        <w:rPr>
          <w:rFonts w:hint="eastAsia"/>
          <w:sz w:val="24"/>
          <w:highlight w:val="none"/>
        </w:rPr>
        <w:t>（11）</w:t>
      </w:r>
      <w:r>
        <w:rPr>
          <w:sz w:val="24"/>
          <w:highlight w:val="none"/>
        </w:rPr>
        <w:t>义乌市政府采购项目投标承诺书；</w:t>
      </w:r>
    </w:p>
    <w:p>
      <w:pPr>
        <w:widowControl/>
        <w:spacing w:line="360" w:lineRule="auto"/>
        <w:jc w:val="left"/>
        <w:rPr>
          <w:kern w:val="0"/>
          <w:sz w:val="24"/>
          <w:highlight w:val="none"/>
        </w:rPr>
      </w:pPr>
      <w:r>
        <w:rPr>
          <w:sz w:val="24"/>
          <w:highlight w:val="none"/>
        </w:rPr>
        <w:t>（</w:t>
      </w:r>
      <w:r>
        <w:rPr>
          <w:rFonts w:hint="eastAsia"/>
          <w:sz w:val="24"/>
          <w:highlight w:val="none"/>
        </w:rPr>
        <w:t>12</w:t>
      </w:r>
      <w:r>
        <w:rPr>
          <w:sz w:val="24"/>
          <w:highlight w:val="none"/>
        </w:rPr>
        <w:t>）投标人认为须提供的其他资料。</w:t>
      </w:r>
    </w:p>
    <w:p>
      <w:pPr>
        <w:pStyle w:val="13"/>
        <w:spacing w:line="360" w:lineRule="auto"/>
        <w:rPr>
          <w:rFonts w:ascii="Times New Roman" w:hAnsi="Times New Roman"/>
          <w:b/>
          <w:bCs/>
          <w:sz w:val="24"/>
          <w:szCs w:val="24"/>
          <w:highlight w:val="none"/>
        </w:rPr>
      </w:pPr>
      <w:r>
        <w:rPr>
          <w:rFonts w:ascii="Times New Roman" w:hAnsi="Times New Roman"/>
          <w:b/>
          <w:bCs/>
          <w:sz w:val="24"/>
          <w:szCs w:val="24"/>
          <w:highlight w:val="none"/>
        </w:rPr>
        <w:t>12.4商务标应包括下列内容（并不仅限于以下）：</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（1）投标函；</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（2）报价一览表；</w:t>
      </w:r>
    </w:p>
    <w:p>
      <w:pPr>
        <w:pStyle w:val="13"/>
        <w:spacing w:line="360" w:lineRule="auto"/>
        <w:rPr>
          <w:rFonts w:ascii="Times New Roman" w:hAnsi="Times New Roman"/>
          <w:sz w:val="24"/>
          <w:szCs w:val="24"/>
          <w:highlight w:val="none"/>
        </w:rPr>
      </w:pPr>
      <w:r>
        <w:rPr>
          <w:rFonts w:hint="eastAsia" w:hAnsi="宋体" w:cs="宋体"/>
          <w:b/>
          <w:sz w:val="24"/>
          <w:highlight w:val="none"/>
        </w:rPr>
        <w:t>★</w:t>
      </w:r>
      <w:r>
        <w:rPr>
          <w:rFonts w:hint="eastAsia" w:ascii="Times New Roman" w:hAnsi="Times New Roman"/>
          <w:b/>
          <w:sz w:val="24"/>
          <w:szCs w:val="24"/>
          <w:highlight w:val="none"/>
        </w:rPr>
        <w:t>（3）成本构成明细表（必须填写，供评标时核实是否低于成本价）；</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w:t>
      </w:r>
      <w:r>
        <w:rPr>
          <w:rFonts w:hint="eastAsia" w:ascii="Times New Roman" w:hAnsi="Times New Roman"/>
          <w:sz w:val="24"/>
          <w:szCs w:val="24"/>
          <w:highlight w:val="none"/>
        </w:rPr>
        <w:t>4</w:t>
      </w:r>
      <w:r>
        <w:rPr>
          <w:rFonts w:ascii="Times New Roman" w:hAnsi="Times New Roman"/>
          <w:sz w:val="24"/>
          <w:szCs w:val="24"/>
          <w:highlight w:val="none"/>
        </w:rPr>
        <w:t>）中小企业声明函及其相关的充分的说明材料（如有）；</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w:t>
      </w:r>
      <w:r>
        <w:rPr>
          <w:rFonts w:hint="eastAsia" w:ascii="Times New Roman" w:hAnsi="Times New Roman"/>
          <w:sz w:val="24"/>
          <w:szCs w:val="24"/>
          <w:highlight w:val="none"/>
        </w:rPr>
        <w:t>5</w:t>
      </w:r>
      <w:r>
        <w:rPr>
          <w:rFonts w:ascii="Times New Roman" w:hAnsi="Times New Roman"/>
          <w:sz w:val="24"/>
          <w:szCs w:val="24"/>
          <w:highlight w:val="none"/>
        </w:rPr>
        <w:t>）监狱企业声明函及其相关的充分的说明材料（如有）；</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w:t>
      </w:r>
      <w:r>
        <w:rPr>
          <w:rFonts w:hint="eastAsia" w:ascii="Times New Roman" w:hAnsi="Times New Roman"/>
          <w:sz w:val="24"/>
          <w:szCs w:val="24"/>
          <w:highlight w:val="none"/>
        </w:rPr>
        <w:t>6</w:t>
      </w:r>
      <w:r>
        <w:rPr>
          <w:rFonts w:ascii="Times New Roman" w:hAnsi="Times New Roman"/>
          <w:sz w:val="24"/>
          <w:szCs w:val="24"/>
          <w:highlight w:val="none"/>
        </w:rPr>
        <w:t>）残疾人福利性单位声明函（如有）；</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w:t>
      </w:r>
      <w:r>
        <w:rPr>
          <w:rFonts w:hint="eastAsia" w:ascii="Times New Roman" w:hAnsi="Times New Roman"/>
          <w:sz w:val="24"/>
          <w:szCs w:val="24"/>
          <w:highlight w:val="none"/>
        </w:rPr>
        <w:t>7</w:t>
      </w:r>
      <w:r>
        <w:rPr>
          <w:rFonts w:ascii="Times New Roman" w:hAnsi="Times New Roman"/>
          <w:sz w:val="24"/>
          <w:szCs w:val="24"/>
          <w:highlight w:val="none"/>
        </w:rPr>
        <w:t>）其他投标人认为须提供的资料。</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13、投标人资格的有关资料</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13.1投标人应提交能说明其有资格参加投标和中标后有能力履行合同的文件，并作为其投标文件的一部分。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13.2 投标人提交的合格性的说明文件应使采购人满意，投标人在投标时应是符合条件的投标人。</w:t>
      </w:r>
    </w:p>
    <w:p>
      <w:pPr>
        <w:pStyle w:val="13"/>
        <w:spacing w:line="360" w:lineRule="auto"/>
        <w:rPr>
          <w:rFonts w:ascii="Times New Roman" w:hAnsi="Times New Roman"/>
          <w:b/>
          <w:bCs/>
          <w:sz w:val="24"/>
          <w:szCs w:val="24"/>
          <w:highlight w:val="none"/>
        </w:rPr>
      </w:pPr>
      <w:r>
        <w:rPr>
          <w:rFonts w:ascii="Times New Roman" w:hAnsi="Times New Roman"/>
          <w:b/>
          <w:bCs/>
          <w:sz w:val="24"/>
          <w:szCs w:val="24"/>
          <w:highlight w:val="none"/>
        </w:rPr>
        <w:t>14、投标报价</w:t>
      </w:r>
    </w:p>
    <w:p>
      <w:pPr>
        <w:pStyle w:val="13"/>
        <w:spacing w:line="360" w:lineRule="auto"/>
        <w:rPr>
          <w:rFonts w:ascii="新宋体" w:hAnsi="新宋体" w:eastAsia="新宋体"/>
          <w:color w:val="000000"/>
          <w:sz w:val="24"/>
          <w:szCs w:val="24"/>
          <w:highlight w:val="none"/>
        </w:rPr>
      </w:pPr>
      <w:r>
        <w:rPr>
          <w:rFonts w:ascii="Times New Roman" w:hAnsi="Times New Roman"/>
          <w:sz w:val="24"/>
          <w:szCs w:val="24"/>
          <w:highlight w:val="none"/>
        </w:rPr>
        <w:t>14.1投标人应根据国家的有关规定和招标文件要求并结合企业的实际情况进行投标报价。投标报价以人民币为结算货币，</w:t>
      </w:r>
      <w:r>
        <w:rPr>
          <w:rFonts w:hint="eastAsia" w:ascii="新宋体" w:hAnsi="新宋体" w:eastAsia="新宋体"/>
          <w:color w:val="000000"/>
          <w:sz w:val="24"/>
          <w:szCs w:val="24"/>
          <w:highlight w:val="none"/>
        </w:rPr>
        <w:t>包括劳务(保洁、管理人员经费等)、工具费（含但不限于扫把、畚斗、集中收运三轮车、环卫作业装具等，每位保洁人员须配置以上工具）、管理费、按规定的道路洒水费用及生活垃圾清运费 (含但不限于司机、装车人员经费、油耗、水费、车辆修理费、保险费、车辆折旧费等)、保险、利润、税金、及市政、市容、环保、交通、治安等可能发生的费用、政策性文件规定及合同中明示或暗示的所有一般风险、责任和义务等整个项目一年的所有费用</w:t>
      </w:r>
      <w:r>
        <w:rPr>
          <w:rFonts w:ascii="新宋体" w:hAnsi="新宋体" w:eastAsia="新宋体"/>
          <w:color w:val="000000"/>
          <w:sz w:val="24"/>
          <w:szCs w:val="24"/>
          <w:highlight w:val="none"/>
        </w:rPr>
        <w:t>，如有漏项，视同已包含在其它项目中，合同价不做调整。</w:t>
      </w:r>
    </w:p>
    <w:p>
      <w:pPr>
        <w:pStyle w:val="13"/>
        <w:spacing w:line="360" w:lineRule="auto"/>
        <w:ind w:firstLine="480" w:firstLineChars="200"/>
        <w:rPr>
          <w:rFonts w:hint="eastAsia" w:hAnsi="宋体"/>
          <w:color w:val="000000"/>
          <w:kern w:val="0"/>
          <w:sz w:val="24"/>
          <w:highlight w:val="none"/>
        </w:rPr>
      </w:pPr>
      <w:r>
        <w:rPr>
          <w:rFonts w:hint="eastAsia" w:hAnsi="宋体"/>
          <w:color w:val="000000"/>
          <w:kern w:val="0"/>
          <w:sz w:val="24"/>
          <w:highlight w:val="none"/>
        </w:rPr>
        <w:t>因市环卫体制改革、小区物业管理改革、城市有机更新等需要提前中止合同或部分减少保洁区域的，甲方应提前10个工作日通知乙方，乙方应无条件配合甲方解除合同或做好工作交接，其保洁费用根据实际工作量进行调整结算。</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14.2投标文件报价出现前后不一致的，按照下列规定修正：</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（1）投标文件中开标一览表（报价表）内容与投标文件中相应内容不一致的，以开标一览表（报价表）为准；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（2）大写金额和小写金额不一致的，以大写金额为准；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（3）单价金额小数点或者百分比有明显错位的，以开标一览表的总价为准，并修改单价；</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（4）总价金额与按单价汇总金额不一致的，以单价金额计算结果为准。</w:t>
      </w:r>
    </w:p>
    <w:p>
      <w:pPr>
        <w:pStyle w:val="13"/>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同时出现两种以上不一致的，按照前款规定的顺序修正。修正后的报价由投标人法定代表人或其授权代表签字确认后产生约束力，投标人不确认的，其投标无效。</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14.3中标后，中标人所填写的单价在合同实施期间不因市场变化因素而变动；投标人在计算报价时应考虑一定的风险系数。</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14.4投标人应按招标文件规定的报价格式进行投标报价。投标人对每种服务只允许有一个报价，采购人不接受任何有选择性的报价。</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14.5</w:t>
      </w:r>
      <w:r>
        <w:rPr>
          <w:rFonts w:ascii="Times New Roman" w:hAnsi="Times New Roman"/>
          <w:spacing w:val="-8"/>
          <w:sz w:val="24"/>
          <w:szCs w:val="24"/>
          <w:highlight w:val="none"/>
        </w:rPr>
        <w:t>采购人不接受低于成本的投标报价，也不接受招标项目范围内的捐赠。</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14.6投标人按照上述要求编制投标报价。一旦确认某一投标人中标，除合同规定的可调整内容外，中标人不得要求追加任何费用。</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14.7须由中标单位开具正式发票。</w:t>
      </w:r>
    </w:p>
    <w:p>
      <w:pPr>
        <w:spacing w:line="360" w:lineRule="auto"/>
        <w:rPr>
          <w:sz w:val="24"/>
          <w:highlight w:val="none"/>
        </w:rPr>
      </w:pPr>
      <w:r>
        <w:rPr>
          <w:sz w:val="24"/>
          <w:highlight w:val="none"/>
        </w:rPr>
        <w:t>14.8招标文件中规定由投标单位承担并支付的相关费用在投标报价时应一并考虑。</w:t>
      </w:r>
    </w:p>
    <w:p>
      <w:pPr>
        <w:adjustRightInd w:val="0"/>
        <w:snapToGrid w:val="0"/>
        <w:spacing w:line="360" w:lineRule="auto"/>
        <w:rPr>
          <w:b/>
          <w:bCs/>
          <w:sz w:val="24"/>
          <w:highlight w:val="none"/>
        </w:rPr>
      </w:pPr>
      <w:r>
        <w:rPr>
          <w:b/>
          <w:bCs/>
          <w:sz w:val="24"/>
          <w:highlight w:val="none"/>
        </w:rPr>
        <w:t>15、投标文件格式</w:t>
      </w:r>
    </w:p>
    <w:p>
      <w:pPr>
        <w:adjustRightInd w:val="0"/>
        <w:snapToGrid w:val="0"/>
        <w:spacing w:line="360" w:lineRule="auto"/>
        <w:rPr>
          <w:sz w:val="24"/>
          <w:highlight w:val="none"/>
        </w:rPr>
      </w:pPr>
      <w:r>
        <w:rPr>
          <w:sz w:val="24"/>
          <w:highlight w:val="none"/>
        </w:rPr>
        <w:t>15.1投标文件须包括本须知第12条中规定的全部内容，投标人不按招标文件的要求提供的投标文件和资料将视为没有对招标文件作实质性响应，其投标将被拒绝，其风险由投标人自行承担。</w:t>
      </w:r>
    </w:p>
    <w:p>
      <w:pPr>
        <w:spacing w:line="360" w:lineRule="auto"/>
        <w:rPr>
          <w:sz w:val="24"/>
          <w:highlight w:val="none"/>
        </w:rPr>
      </w:pPr>
      <w:r>
        <w:rPr>
          <w:sz w:val="24"/>
          <w:highlight w:val="none"/>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3"/>
        <w:spacing w:line="360" w:lineRule="auto"/>
        <w:rPr>
          <w:rFonts w:ascii="Times New Roman" w:hAnsi="Times New Roman"/>
          <w:b/>
          <w:bCs/>
          <w:sz w:val="24"/>
          <w:szCs w:val="24"/>
          <w:highlight w:val="none"/>
        </w:rPr>
      </w:pPr>
      <w:r>
        <w:rPr>
          <w:rFonts w:ascii="Times New Roman" w:hAnsi="Times New Roman"/>
          <w:b/>
          <w:bCs/>
          <w:sz w:val="24"/>
          <w:szCs w:val="24"/>
          <w:highlight w:val="none"/>
        </w:rPr>
        <w:t>16、投标文件编制要求</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16.1</w:t>
      </w:r>
      <w:r>
        <w:rPr>
          <w:rFonts w:hAnsi="宋体"/>
          <w:sz w:val="24"/>
          <w:highlight w:val="none"/>
        </w:rPr>
        <w:t>投标人应根据电子投标操作指南按本招标文件规定的格式和顺序编制电子投标文件并进行关联定位</w:t>
      </w:r>
      <w:r>
        <w:rPr>
          <w:rFonts w:ascii="Times New Roman" w:hAnsi="Times New Roman"/>
          <w:sz w:val="24"/>
          <w:szCs w:val="24"/>
          <w:highlight w:val="none"/>
        </w:rPr>
        <w:t>。</w:t>
      </w:r>
    </w:p>
    <w:p>
      <w:pPr>
        <w:pStyle w:val="13"/>
        <w:spacing w:line="360" w:lineRule="auto"/>
        <w:rPr>
          <w:rFonts w:ascii="Times New Roman" w:hAnsi="Times New Roman"/>
          <w:spacing w:val="-4"/>
          <w:sz w:val="24"/>
          <w:szCs w:val="24"/>
          <w:highlight w:val="none"/>
        </w:rPr>
      </w:pPr>
      <w:r>
        <w:rPr>
          <w:rFonts w:ascii="Times New Roman" w:hAnsi="Times New Roman"/>
          <w:sz w:val="24"/>
          <w:szCs w:val="24"/>
          <w:highlight w:val="none"/>
        </w:rPr>
        <w:t>16.2</w:t>
      </w:r>
      <w:r>
        <w:rPr>
          <w:rFonts w:hAnsi="宋体"/>
          <w:sz w:val="24"/>
          <w:highlight w:val="none"/>
        </w:rPr>
        <w:t>由于未按招标文件的规定要求编制投标文件，导致评审小组作出的对投标方的误判，责任由投标方自己承担</w:t>
      </w:r>
      <w:r>
        <w:rPr>
          <w:rFonts w:ascii="Times New Roman" w:hAnsi="Times New Roman"/>
          <w:spacing w:val="-4"/>
          <w:sz w:val="24"/>
          <w:szCs w:val="24"/>
          <w:highlight w:val="none"/>
        </w:rPr>
        <w:t>。</w:t>
      </w:r>
    </w:p>
    <w:p>
      <w:pPr>
        <w:pStyle w:val="13"/>
        <w:spacing w:line="360" w:lineRule="auto"/>
        <w:rPr>
          <w:rFonts w:ascii="Times New Roman" w:hAnsi="Times New Roman"/>
          <w:b/>
          <w:spacing w:val="-4"/>
          <w:sz w:val="24"/>
          <w:szCs w:val="24"/>
          <w:highlight w:val="none"/>
        </w:rPr>
      </w:pPr>
      <w:r>
        <w:rPr>
          <w:rFonts w:ascii="Times New Roman" w:hAnsi="Times New Roman"/>
          <w:b/>
          <w:spacing w:val="-4"/>
          <w:sz w:val="24"/>
          <w:szCs w:val="24"/>
          <w:highlight w:val="none"/>
        </w:rPr>
        <w:t>17、投标人发生下列情况之一时，将按失信行为上报义乌市信用管理部门：</w:t>
      </w:r>
    </w:p>
    <w:p>
      <w:pPr>
        <w:spacing w:line="360" w:lineRule="auto"/>
        <w:rPr>
          <w:sz w:val="24"/>
          <w:highlight w:val="none"/>
        </w:rPr>
      </w:pPr>
      <w:r>
        <w:rPr>
          <w:rFonts w:hint="eastAsia"/>
          <w:sz w:val="24"/>
          <w:highlight w:val="none"/>
        </w:rPr>
        <w:t>（1）投标人在规定的投标有效期内撤回投标或放弃中标的；</w:t>
      </w:r>
    </w:p>
    <w:p>
      <w:pPr>
        <w:spacing w:line="360" w:lineRule="auto"/>
        <w:rPr>
          <w:sz w:val="24"/>
          <w:highlight w:val="none"/>
        </w:rPr>
      </w:pPr>
      <w:r>
        <w:rPr>
          <w:rFonts w:hint="eastAsia"/>
          <w:sz w:val="24"/>
          <w:highlight w:val="none"/>
        </w:rPr>
        <w:t>（2）有意串标或提供虚假材料者的；</w:t>
      </w:r>
    </w:p>
    <w:p>
      <w:pPr>
        <w:spacing w:line="360" w:lineRule="auto"/>
        <w:rPr>
          <w:sz w:val="24"/>
          <w:highlight w:val="none"/>
        </w:rPr>
      </w:pPr>
      <w:r>
        <w:rPr>
          <w:rFonts w:hint="eastAsia"/>
          <w:sz w:val="24"/>
          <w:highlight w:val="none"/>
        </w:rPr>
        <w:t>（3）中标人在收到中标通知书后，因自身原因不能在投标有效期内和采购人签订合同；</w:t>
      </w:r>
    </w:p>
    <w:p>
      <w:pPr>
        <w:spacing w:line="360" w:lineRule="auto"/>
        <w:rPr>
          <w:sz w:val="24"/>
          <w:highlight w:val="none"/>
        </w:rPr>
      </w:pPr>
      <w:r>
        <w:rPr>
          <w:rFonts w:hint="eastAsia"/>
          <w:sz w:val="24"/>
          <w:highlight w:val="none"/>
        </w:rPr>
        <w:t>（4）中标人未在规定时间缴纳招标代理费的；</w:t>
      </w:r>
    </w:p>
    <w:p>
      <w:pPr>
        <w:spacing w:line="360" w:lineRule="auto"/>
        <w:rPr>
          <w:sz w:val="24"/>
          <w:highlight w:val="none"/>
        </w:rPr>
      </w:pPr>
      <w:r>
        <w:rPr>
          <w:rFonts w:hint="eastAsia"/>
          <w:sz w:val="24"/>
          <w:highlight w:val="none"/>
        </w:rPr>
        <w:t>（5）中标投标人在标后履约过程中未按合同约定的期限和要求履约的；</w:t>
      </w:r>
    </w:p>
    <w:p>
      <w:pPr>
        <w:spacing w:line="360" w:lineRule="auto"/>
        <w:rPr>
          <w:sz w:val="24"/>
          <w:highlight w:val="none"/>
        </w:rPr>
      </w:pPr>
      <w:r>
        <w:rPr>
          <w:rFonts w:hint="eastAsia"/>
          <w:sz w:val="24"/>
          <w:highlight w:val="none"/>
        </w:rPr>
        <w:t>（6）因中标投标人原因在标后履约过程中擅自终止合同的；</w:t>
      </w:r>
    </w:p>
    <w:p>
      <w:pPr>
        <w:spacing w:line="360" w:lineRule="auto"/>
        <w:rPr>
          <w:spacing w:val="-4"/>
          <w:sz w:val="24"/>
          <w:highlight w:val="none"/>
        </w:rPr>
      </w:pPr>
      <w:r>
        <w:rPr>
          <w:rFonts w:hint="eastAsia"/>
          <w:sz w:val="24"/>
          <w:highlight w:val="none"/>
        </w:rPr>
        <w:t>（7）不符合招标文件要求的其他失信行为。</w:t>
      </w:r>
    </w:p>
    <w:p>
      <w:pPr>
        <w:tabs>
          <w:tab w:val="left" w:pos="2212"/>
        </w:tabs>
        <w:spacing w:line="360" w:lineRule="auto"/>
        <w:rPr>
          <w:sz w:val="24"/>
          <w:highlight w:val="none"/>
        </w:rPr>
      </w:pPr>
      <w:r>
        <w:rPr>
          <w:b/>
          <w:bCs/>
          <w:sz w:val="24"/>
          <w:highlight w:val="none"/>
        </w:rPr>
        <w:t>18、履约保证金：无</w:t>
      </w:r>
    </w:p>
    <w:p>
      <w:pPr>
        <w:widowControl/>
        <w:spacing w:line="360" w:lineRule="auto"/>
        <w:jc w:val="left"/>
        <w:rPr>
          <w:b/>
          <w:kern w:val="0"/>
          <w:sz w:val="24"/>
          <w:highlight w:val="none"/>
        </w:rPr>
      </w:pPr>
      <w:r>
        <w:rPr>
          <w:b/>
          <w:bCs/>
          <w:sz w:val="24"/>
          <w:highlight w:val="none"/>
        </w:rPr>
        <w:t>19、</w:t>
      </w:r>
      <w:r>
        <w:rPr>
          <w:b/>
          <w:kern w:val="0"/>
          <w:sz w:val="24"/>
          <w:highlight w:val="none"/>
        </w:rPr>
        <w:t>采购代理服务费</w:t>
      </w:r>
    </w:p>
    <w:p>
      <w:pPr>
        <w:pStyle w:val="13"/>
        <w:spacing w:line="360" w:lineRule="auto"/>
        <w:rPr>
          <w:rFonts w:ascii="Times New Roman" w:hAnsi="Times New Roman"/>
          <w:sz w:val="24"/>
          <w:szCs w:val="24"/>
          <w:highlight w:val="none"/>
        </w:rPr>
      </w:pPr>
      <w:r>
        <w:rPr>
          <w:rFonts w:ascii="Times New Roman" w:hAnsi="Times New Roman"/>
          <w:kern w:val="0"/>
          <w:sz w:val="24"/>
          <w:szCs w:val="24"/>
          <w:highlight w:val="none"/>
        </w:rPr>
        <w:t>19.1采购代理服务费：</w:t>
      </w:r>
      <w:r>
        <w:rPr>
          <w:rFonts w:ascii="Times New Roman" w:hAnsi="Times New Roman"/>
          <w:sz w:val="24"/>
          <w:szCs w:val="24"/>
          <w:highlight w:val="none"/>
        </w:rPr>
        <w:t>具体详见下表。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203"/>
        <w:gridCol w:w="5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7" w:hRule="atLeast"/>
          <w:jc w:val="center"/>
        </w:trPr>
        <w:tc>
          <w:tcPr>
            <w:tcW w:w="1974" w:type="dxa"/>
            <w:noWrap w:val="0"/>
            <w:vAlign w:val="center"/>
          </w:tcPr>
          <w:p>
            <w:pPr>
              <w:pStyle w:val="13"/>
              <w:spacing w:line="360" w:lineRule="auto"/>
              <w:rPr>
                <w:rFonts w:ascii="Times New Roman" w:hAnsi="Times New Roman"/>
                <w:sz w:val="24"/>
                <w:szCs w:val="24"/>
                <w:highlight w:val="none"/>
              </w:rPr>
            </w:pPr>
            <w:r>
              <w:rPr>
                <w:rFonts w:ascii="Times New Roman" w:hAnsi="Times New Roman"/>
                <w:sz w:val="24"/>
                <w:szCs w:val="24"/>
                <w:highlight w:val="none"/>
              </w:rPr>
              <w:t>中标金额（万元）</w:t>
            </w:r>
          </w:p>
        </w:tc>
        <w:tc>
          <w:tcPr>
            <w:tcW w:w="1203" w:type="dxa"/>
            <w:noWrap w:val="0"/>
            <w:vAlign w:val="center"/>
          </w:tcPr>
          <w:p>
            <w:pPr>
              <w:pStyle w:val="13"/>
              <w:spacing w:line="360" w:lineRule="auto"/>
              <w:rPr>
                <w:rFonts w:ascii="Times New Roman" w:hAnsi="Times New Roman"/>
                <w:sz w:val="24"/>
                <w:szCs w:val="24"/>
                <w:highlight w:val="none"/>
              </w:rPr>
            </w:pPr>
            <w:r>
              <w:rPr>
                <w:rFonts w:ascii="Times New Roman" w:hAnsi="Times New Roman"/>
                <w:sz w:val="24"/>
                <w:szCs w:val="24"/>
                <w:highlight w:val="none"/>
              </w:rPr>
              <w:t>收费标准</w:t>
            </w:r>
          </w:p>
        </w:tc>
        <w:tc>
          <w:tcPr>
            <w:tcW w:w="5666" w:type="dxa"/>
            <w:noWrap w:val="0"/>
            <w:vAlign w:val="center"/>
          </w:tcPr>
          <w:p>
            <w:pPr>
              <w:pStyle w:val="13"/>
              <w:spacing w:line="360" w:lineRule="auto"/>
              <w:ind w:firstLine="2400" w:firstLineChars="1000"/>
              <w:rPr>
                <w:rFonts w:ascii="Times New Roman" w:hAnsi="Times New Roman"/>
                <w:sz w:val="24"/>
                <w:szCs w:val="24"/>
                <w:highlight w:val="none"/>
              </w:rPr>
            </w:pPr>
            <w:r>
              <w:rPr>
                <w:rFonts w:ascii="Times New Roman" w:hAnsi="Times New Roman"/>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2" w:hRule="atLeast"/>
          <w:jc w:val="center"/>
        </w:trPr>
        <w:tc>
          <w:tcPr>
            <w:tcW w:w="1974" w:type="dxa"/>
            <w:noWrap w:val="0"/>
            <w:vAlign w:val="center"/>
          </w:tcPr>
          <w:p>
            <w:pPr>
              <w:pStyle w:val="13"/>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100以下</w:t>
            </w:r>
          </w:p>
        </w:tc>
        <w:tc>
          <w:tcPr>
            <w:tcW w:w="1203" w:type="dxa"/>
            <w:noWrap w:val="0"/>
            <w:vAlign w:val="center"/>
          </w:tcPr>
          <w:p>
            <w:pPr>
              <w:pStyle w:val="13"/>
              <w:spacing w:line="360" w:lineRule="auto"/>
              <w:rPr>
                <w:rFonts w:ascii="Times New Roman" w:hAnsi="Times New Roman"/>
                <w:sz w:val="24"/>
                <w:szCs w:val="24"/>
                <w:highlight w:val="none"/>
              </w:rPr>
            </w:pPr>
            <w:r>
              <w:rPr>
                <w:rFonts w:ascii="Times New Roman" w:hAnsi="Times New Roman"/>
                <w:sz w:val="24"/>
                <w:szCs w:val="24"/>
                <w:highlight w:val="none"/>
              </w:rPr>
              <w:t>1.5%</w:t>
            </w:r>
          </w:p>
        </w:tc>
        <w:tc>
          <w:tcPr>
            <w:tcW w:w="5666" w:type="dxa"/>
            <w:vMerge w:val="restart"/>
            <w:noWrap w:val="0"/>
            <w:vAlign w:val="center"/>
          </w:tcPr>
          <w:p>
            <w:pPr>
              <w:pStyle w:val="13"/>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招标服务采用差额定率累进法计算，向中标人单向收取。</w:t>
            </w:r>
          </w:p>
          <w:p>
            <w:pPr>
              <w:pStyle w:val="13"/>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例：中标金额为1000万。服务费=100万×1.5%+400万×0.8%+500万×0.45%=6.95万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0" w:hRule="atLeast"/>
          <w:jc w:val="center"/>
        </w:trPr>
        <w:tc>
          <w:tcPr>
            <w:tcW w:w="1974" w:type="dxa"/>
            <w:noWrap w:val="0"/>
            <w:vAlign w:val="center"/>
          </w:tcPr>
          <w:p>
            <w:pPr>
              <w:pStyle w:val="13"/>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100-500</w:t>
            </w:r>
          </w:p>
        </w:tc>
        <w:tc>
          <w:tcPr>
            <w:tcW w:w="1203" w:type="dxa"/>
            <w:noWrap w:val="0"/>
            <w:vAlign w:val="center"/>
          </w:tcPr>
          <w:p>
            <w:pPr>
              <w:pStyle w:val="13"/>
              <w:spacing w:line="360" w:lineRule="auto"/>
              <w:rPr>
                <w:rFonts w:ascii="Times New Roman" w:hAnsi="Times New Roman"/>
                <w:sz w:val="24"/>
                <w:szCs w:val="24"/>
                <w:highlight w:val="none"/>
              </w:rPr>
            </w:pPr>
            <w:r>
              <w:rPr>
                <w:rFonts w:ascii="Times New Roman" w:hAnsi="Times New Roman"/>
                <w:sz w:val="24"/>
                <w:szCs w:val="24"/>
                <w:highlight w:val="none"/>
              </w:rPr>
              <w:t>0.8%</w:t>
            </w:r>
          </w:p>
        </w:tc>
        <w:tc>
          <w:tcPr>
            <w:tcW w:w="5666" w:type="dxa"/>
            <w:vMerge w:val="continue"/>
            <w:noWrap w:val="0"/>
            <w:vAlign w:val="center"/>
          </w:tcPr>
          <w:p>
            <w:pPr>
              <w:pStyle w:val="13"/>
              <w:spacing w:line="360" w:lineRule="auto"/>
              <w:ind w:firstLine="480" w:firstLineChars="200"/>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jc w:val="center"/>
        </w:trPr>
        <w:tc>
          <w:tcPr>
            <w:tcW w:w="1974" w:type="dxa"/>
            <w:noWrap w:val="0"/>
            <w:vAlign w:val="center"/>
          </w:tcPr>
          <w:p>
            <w:pPr>
              <w:pStyle w:val="13"/>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500-1000</w:t>
            </w:r>
          </w:p>
        </w:tc>
        <w:tc>
          <w:tcPr>
            <w:tcW w:w="1203" w:type="dxa"/>
            <w:noWrap w:val="0"/>
            <w:vAlign w:val="center"/>
          </w:tcPr>
          <w:p>
            <w:pPr>
              <w:pStyle w:val="13"/>
              <w:spacing w:line="360" w:lineRule="auto"/>
              <w:rPr>
                <w:rFonts w:ascii="Times New Roman" w:hAnsi="Times New Roman"/>
                <w:sz w:val="24"/>
                <w:szCs w:val="24"/>
                <w:highlight w:val="none"/>
              </w:rPr>
            </w:pPr>
            <w:r>
              <w:rPr>
                <w:rFonts w:ascii="Times New Roman" w:hAnsi="Times New Roman"/>
                <w:sz w:val="24"/>
                <w:szCs w:val="24"/>
                <w:highlight w:val="none"/>
              </w:rPr>
              <w:t>0.45%</w:t>
            </w:r>
          </w:p>
        </w:tc>
        <w:tc>
          <w:tcPr>
            <w:tcW w:w="5666" w:type="dxa"/>
            <w:vMerge w:val="continue"/>
            <w:noWrap w:val="0"/>
            <w:vAlign w:val="center"/>
          </w:tcPr>
          <w:p>
            <w:pPr>
              <w:pStyle w:val="13"/>
              <w:spacing w:line="360" w:lineRule="auto"/>
              <w:ind w:firstLine="480" w:firstLineChars="200"/>
              <w:rPr>
                <w:rFonts w:ascii="Times New Roman" w:hAnsi="Times New Roman"/>
                <w:sz w:val="24"/>
                <w:szCs w:val="24"/>
                <w:highlight w:val="none"/>
              </w:rPr>
            </w:pPr>
          </w:p>
        </w:tc>
      </w:tr>
    </w:tbl>
    <w:p>
      <w:pPr>
        <w:widowControl/>
        <w:spacing w:line="360" w:lineRule="auto"/>
        <w:jc w:val="left"/>
        <w:rPr>
          <w:sz w:val="24"/>
          <w:highlight w:val="none"/>
        </w:rPr>
      </w:pPr>
      <w:r>
        <w:rPr>
          <w:kern w:val="0"/>
          <w:sz w:val="24"/>
          <w:highlight w:val="none"/>
        </w:rPr>
        <w:t>19.2采购代理服务费在</w:t>
      </w:r>
      <w:r>
        <w:rPr>
          <w:sz w:val="24"/>
          <w:highlight w:val="none"/>
        </w:rPr>
        <w:t>领取中标通知时</w:t>
      </w:r>
      <w:r>
        <w:rPr>
          <w:kern w:val="0"/>
          <w:sz w:val="24"/>
          <w:highlight w:val="none"/>
        </w:rPr>
        <w:t>向</w:t>
      </w:r>
      <w:r>
        <w:rPr>
          <w:kern w:val="0"/>
          <w:sz w:val="24"/>
          <w:highlight w:val="none"/>
          <w:u w:val="single"/>
        </w:rPr>
        <w:t>中标人</w:t>
      </w:r>
      <w:r>
        <w:rPr>
          <w:kern w:val="0"/>
          <w:sz w:val="24"/>
          <w:highlight w:val="none"/>
        </w:rPr>
        <w:t>收取，可用银行汇票、电汇、银行本票、现金等方式支付，</w:t>
      </w:r>
      <w:r>
        <w:rPr>
          <w:sz w:val="24"/>
          <w:highlight w:val="none"/>
        </w:rPr>
        <w:t>未按规定时间缴纳代理服务费的，将按失信行为上报义乌市信用管理部门。</w:t>
      </w:r>
    </w:p>
    <w:p>
      <w:pPr>
        <w:pStyle w:val="13"/>
        <w:adjustRightInd w:val="0"/>
        <w:snapToGrid w:val="0"/>
        <w:spacing w:line="360" w:lineRule="auto"/>
        <w:ind w:firstLine="360" w:firstLineChars="150"/>
        <w:rPr>
          <w:rFonts w:ascii="Times New Roman" w:hAnsi="Times New Roman"/>
          <w:sz w:val="24"/>
          <w:szCs w:val="24"/>
          <w:highlight w:val="none"/>
        </w:rPr>
      </w:pPr>
      <w:r>
        <w:rPr>
          <w:rFonts w:ascii="Times New Roman" w:hAnsi="Times New Roman"/>
          <w:sz w:val="24"/>
          <w:szCs w:val="24"/>
          <w:highlight w:val="none"/>
        </w:rPr>
        <w:t>采购代理服务费收款人：浙江开平企业管理咨询有限公司</w:t>
      </w:r>
    </w:p>
    <w:p>
      <w:pPr>
        <w:pStyle w:val="13"/>
        <w:adjustRightInd w:val="0"/>
        <w:snapToGrid w:val="0"/>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账    号：33001676248059000088</w:t>
      </w:r>
    </w:p>
    <w:p>
      <w:pPr>
        <w:pStyle w:val="13"/>
        <w:adjustRightInd w:val="0"/>
        <w:snapToGrid w:val="0"/>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开户银行：义乌市建行乐园分理处</w:t>
      </w:r>
    </w:p>
    <w:p>
      <w:pPr>
        <w:pStyle w:val="13"/>
        <w:adjustRightInd w:val="0"/>
        <w:snapToGrid w:val="0"/>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 xml:space="preserve">注：缴纳凭证应注明“采购代理服务费”字样。 </w:t>
      </w:r>
    </w:p>
    <w:p>
      <w:pPr>
        <w:spacing w:line="360" w:lineRule="auto"/>
        <w:rPr>
          <w:b/>
          <w:bCs/>
          <w:sz w:val="24"/>
          <w:highlight w:val="none"/>
        </w:rPr>
      </w:pPr>
      <w:r>
        <w:rPr>
          <w:b/>
          <w:bCs/>
          <w:sz w:val="24"/>
          <w:highlight w:val="none"/>
        </w:rPr>
        <w:t>20、投标有效期</w:t>
      </w:r>
    </w:p>
    <w:p>
      <w:pPr>
        <w:spacing w:line="360" w:lineRule="auto"/>
        <w:rPr>
          <w:b/>
          <w:bCs/>
          <w:sz w:val="24"/>
          <w:highlight w:val="none"/>
        </w:rPr>
      </w:pPr>
      <w:r>
        <w:rPr>
          <w:sz w:val="24"/>
          <w:highlight w:val="none"/>
        </w:rPr>
        <w:t>20.1 投标文件从开标之日起，投标有效期为60天。</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20.2 特殊情况下，在原投标有效期截止之前，采购人可要求投标人同意延长有效期，这种要求与答复均应以书面形式提交。</w:t>
      </w:r>
      <w:bookmarkStart w:id="3" w:name="_Toc274303232"/>
      <w:bookmarkStart w:id="4" w:name="_Toc362250690"/>
    </w:p>
    <w:p>
      <w:pPr>
        <w:pStyle w:val="13"/>
        <w:spacing w:line="360" w:lineRule="auto"/>
        <w:rPr>
          <w:rFonts w:ascii="Times New Roman" w:hAnsi="Times New Roman"/>
          <w:b/>
          <w:sz w:val="24"/>
          <w:szCs w:val="24"/>
          <w:highlight w:val="none"/>
        </w:rPr>
      </w:pPr>
      <w:r>
        <w:rPr>
          <w:rFonts w:ascii="Times New Roman" w:hAnsi="Times New Roman"/>
          <w:b/>
          <w:sz w:val="24"/>
          <w:szCs w:val="24"/>
          <w:highlight w:val="none"/>
        </w:rPr>
        <w:t>四、投标文件的递交</w:t>
      </w:r>
      <w:bookmarkEnd w:id="3"/>
      <w:bookmarkEnd w:id="4"/>
    </w:p>
    <w:p>
      <w:pPr>
        <w:tabs>
          <w:tab w:val="left" w:pos="315"/>
        </w:tabs>
        <w:spacing w:line="360" w:lineRule="auto"/>
        <w:rPr>
          <w:b/>
          <w:sz w:val="24"/>
          <w:highlight w:val="none"/>
        </w:rPr>
      </w:pPr>
      <w:r>
        <w:rPr>
          <w:rFonts w:hint="eastAsia"/>
          <w:b/>
          <w:sz w:val="24"/>
          <w:highlight w:val="none"/>
        </w:rPr>
        <w:t>21、电子投标文件上传的地点和截止时间</w:t>
      </w:r>
    </w:p>
    <w:p>
      <w:pPr>
        <w:tabs>
          <w:tab w:val="left" w:pos="315"/>
        </w:tabs>
        <w:spacing w:line="360" w:lineRule="auto"/>
        <w:ind w:firstLine="480" w:firstLineChars="200"/>
        <w:rPr>
          <w:sz w:val="24"/>
          <w:highlight w:val="none"/>
        </w:rPr>
      </w:pPr>
      <w:r>
        <w:rPr>
          <w:rFonts w:hint="eastAsia"/>
          <w:sz w:val="24"/>
          <w:highlight w:val="none"/>
        </w:rPr>
        <w:t>投标人应于</w:t>
      </w:r>
      <w:r>
        <w:rPr>
          <w:rFonts w:hint="eastAsia"/>
          <w:color w:val="FF0000"/>
          <w:sz w:val="24"/>
          <w:highlight w:val="none"/>
        </w:rPr>
        <w:t>2020年</w:t>
      </w:r>
      <w:r>
        <w:rPr>
          <w:rFonts w:hint="eastAsia"/>
          <w:color w:val="FF0000"/>
          <w:sz w:val="24"/>
          <w:highlight w:val="none"/>
          <w:lang w:val="en-US" w:eastAsia="zh-CN"/>
        </w:rPr>
        <w:t>7</w:t>
      </w:r>
      <w:r>
        <w:rPr>
          <w:rFonts w:hint="eastAsia"/>
          <w:color w:val="FF0000"/>
          <w:sz w:val="24"/>
          <w:highlight w:val="none"/>
        </w:rPr>
        <w:t>月</w:t>
      </w:r>
      <w:r>
        <w:rPr>
          <w:rFonts w:hint="eastAsia"/>
          <w:color w:val="FF0000"/>
          <w:sz w:val="24"/>
          <w:highlight w:val="none"/>
          <w:lang w:val="en-US" w:eastAsia="zh-CN"/>
        </w:rPr>
        <w:t>13</w:t>
      </w:r>
      <w:r>
        <w:rPr>
          <w:rFonts w:hint="eastAsia"/>
          <w:color w:val="FF0000"/>
          <w:sz w:val="24"/>
          <w:highlight w:val="none"/>
        </w:rPr>
        <w:t>日上午09</w:t>
      </w:r>
      <w:r>
        <w:rPr>
          <w:rFonts w:hint="eastAsia" w:ascii="宋体" w:hAnsi="宋体"/>
          <w:color w:val="FF0000"/>
          <w:sz w:val="24"/>
          <w:highlight w:val="none"/>
        </w:rPr>
        <w:t>:</w:t>
      </w:r>
      <w:r>
        <w:rPr>
          <w:rFonts w:hint="eastAsia"/>
          <w:color w:val="FF0000"/>
          <w:sz w:val="24"/>
          <w:highlight w:val="none"/>
        </w:rPr>
        <w:t>30</w:t>
      </w:r>
      <w:r>
        <w:rPr>
          <w:rFonts w:hint="eastAsia"/>
          <w:sz w:val="24"/>
          <w:highlight w:val="none"/>
        </w:rPr>
        <w:t>前在“政采云”平台上自行加密上传电子投标文件，逾期上传或未按要求上传的投标文件将予以拒收。</w:t>
      </w:r>
    </w:p>
    <w:p>
      <w:pPr>
        <w:tabs>
          <w:tab w:val="left" w:pos="315"/>
        </w:tabs>
        <w:spacing w:line="360" w:lineRule="auto"/>
        <w:rPr>
          <w:sz w:val="24"/>
          <w:highlight w:val="none"/>
        </w:rPr>
      </w:pPr>
      <w:r>
        <w:rPr>
          <w:rFonts w:hint="eastAsia"/>
          <w:sz w:val="24"/>
          <w:highlight w:val="none"/>
        </w:rPr>
        <w:t>22、迟交的投标文件</w:t>
      </w:r>
    </w:p>
    <w:p>
      <w:pPr>
        <w:tabs>
          <w:tab w:val="left" w:pos="315"/>
        </w:tabs>
        <w:spacing w:line="360" w:lineRule="auto"/>
        <w:ind w:firstLine="480" w:firstLineChars="200"/>
        <w:rPr>
          <w:sz w:val="24"/>
          <w:highlight w:val="none"/>
        </w:rPr>
      </w:pPr>
      <w:r>
        <w:rPr>
          <w:rFonts w:hint="eastAsia"/>
          <w:sz w:val="24"/>
          <w:highlight w:val="none"/>
        </w:rPr>
        <w:t>招标方在规定的投标截止时间以后“政采云”平台将不接收投标文件。</w:t>
      </w:r>
    </w:p>
    <w:p>
      <w:pPr>
        <w:tabs>
          <w:tab w:val="left" w:pos="315"/>
        </w:tabs>
        <w:spacing w:line="360" w:lineRule="auto"/>
        <w:rPr>
          <w:sz w:val="24"/>
          <w:highlight w:val="none"/>
        </w:rPr>
      </w:pPr>
      <w:r>
        <w:rPr>
          <w:rFonts w:hint="eastAsia"/>
          <w:sz w:val="24"/>
          <w:highlight w:val="none"/>
        </w:rPr>
        <w:t>23、投标文件解密</w:t>
      </w:r>
    </w:p>
    <w:p>
      <w:pPr>
        <w:tabs>
          <w:tab w:val="left" w:pos="315"/>
        </w:tabs>
        <w:spacing w:line="360" w:lineRule="auto"/>
        <w:ind w:firstLine="480" w:firstLineChars="200"/>
        <w:rPr>
          <w:sz w:val="24"/>
          <w:highlight w:val="none"/>
        </w:rPr>
      </w:pPr>
      <w:r>
        <w:rPr>
          <w:rFonts w:hint="eastAsia"/>
          <w:sz w:val="24"/>
          <w:highlight w:val="none"/>
        </w:rPr>
        <w:t>开标时间后1小时内（</w:t>
      </w:r>
      <w:r>
        <w:rPr>
          <w:rFonts w:hint="eastAsia"/>
          <w:color w:val="FF0000"/>
          <w:sz w:val="24"/>
          <w:highlight w:val="none"/>
        </w:rPr>
        <w:t>2020年</w:t>
      </w:r>
      <w:r>
        <w:rPr>
          <w:rFonts w:hint="eastAsia"/>
          <w:color w:val="FF0000"/>
          <w:sz w:val="24"/>
          <w:highlight w:val="none"/>
          <w:lang w:val="en-US" w:eastAsia="zh-CN"/>
        </w:rPr>
        <w:t>7</w:t>
      </w:r>
      <w:r>
        <w:rPr>
          <w:rFonts w:hint="eastAsia"/>
          <w:color w:val="FF0000"/>
          <w:sz w:val="24"/>
          <w:highlight w:val="none"/>
        </w:rPr>
        <w:t>月</w:t>
      </w:r>
      <w:r>
        <w:rPr>
          <w:rFonts w:hint="eastAsia"/>
          <w:color w:val="FF0000"/>
          <w:sz w:val="24"/>
          <w:highlight w:val="none"/>
          <w:lang w:val="en-US" w:eastAsia="zh-CN"/>
        </w:rPr>
        <w:t>13</w:t>
      </w:r>
      <w:r>
        <w:rPr>
          <w:rFonts w:hint="eastAsia"/>
          <w:color w:val="FF0000"/>
          <w:sz w:val="24"/>
          <w:highlight w:val="none"/>
        </w:rPr>
        <w:t>日上午10:30</w:t>
      </w:r>
      <w:r>
        <w:rPr>
          <w:rFonts w:hint="eastAsia"/>
          <w:sz w:val="24"/>
          <w:highlight w:val="none"/>
        </w:rPr>
        <w:t>前）供应商可以登录“政采云”平台，用“项目采购-开标评标”功能进行解密投标文件。若供应商在规定时间内（</w:t>
      </w:r>
      <w:r>
        <w:rPr>
          <w:rFonts w:hint="eastAsia"/>
          <w:color w:val="FF0000"/>
          <w:sz w:val="24"/>
          <w:highlight w:val="none"/>
        </w:rPr>
        <w:t>2020年</w:t>
      </w:r>
      <w:r>
        <w:rPr>
          <w:rFonts w:hint="eastAsia"/>
          <w:color w:val="FF0000"/>
          <w:sz w:val="24"/>
          <w:highlight w:val="none"/>
          <w:lang w:val="en-US" w:eastAsia="zh-CN"/>
        </w:rPr>
        <w:t>7</w:t>
      </w:r>
      <w:r>
        <w:rPr>
          <w:rFonts w:hint="eastAsia"/>
          <w:color w:val="FF0000"/>
          <w:sz w:val="24"/>
          <w:highlight w:val="none"/>
        </w:rPr>
        <w:t>月</w:t>
      </w:r>
      <w:r>
        <w:rPr>
          <w:rFonts w:hint="eastAsia"/>
          <w:color w:val="FF0000"/>
          <w:sz w:val="24"/>
          <w:highlight w:val="none"/>
          <w:lang w:val="en-US" w:eastAsia="zh-CN"/>
        </w:rPr>
        <w:t>13</w:t>
      </w:r>
      <w:r>
        <w:rPr>
          <w:rFonts w:hint="eastAsia"/>
          <w:color w:val="FF0000"/>
          <w:sz w:val="24"/>
          <w:highlight w:val="none"/>
        </w:rPr>
        <w:t>日上午10:30</w:t>
      </w:r>
      <w:r>
        <w:rPr>
          <w:rFonts w:hint="eastAsia"/>
          <w:sz w:val="24"/>
          <w:highlight w:val="none"/>
        </w:rPr>
        <w:t>前）无法解密或解密失败，将导致投标无效或失败。</w:t>
      </w:r>
    </w:p>
    <w:p>
      <w:pPr>
        <w:tabs>
          <w:tab w:val="left" w:pos="315"/>
        </w:tabs>
        <w:spacing w:line="360" w:lineRule="auto"/>
        <w:ind w:firstLine="480" w:firstLineChars="200"/>
        <w:rPr>
          <w:rFonts w:ascii="黑体" w:hAnsi="黑体" w:eastAsia="黑体"/>
          <w:sz w:val="24"/>
          <w:highlight w:val="none"/>
        </w:rPr>
      </w:pPr>
      <w:r>
        <w:rPr>
          <w:rFonts w:hint="eastAsia" w:ascii="黑体" w:hAnsi="黑体" w:eastAsia="黑体"/>
          <w:sz w:val="24"/>
          <w:highlight w:val="none"/>
        </w:rPr>
        <w:t>注意：为确保采购项目顺利实施，避免因政采云上电子投标文件解密失败导致投标方投标无效，投标方可在</w:t>
      </w:r>
      <w:r>
        <w:rPr>
          <w:rFonts w:hint="eastAsia" w:ascii="黑体" w:hAnsi="黑体" w:eastAsia="黑体"/>
          <w:color w:val="FF0000"/>
          <w:sz w:val="24"/>
          <w:highlight w:val="none"/>
        </w:rPr>
        <w:t>2020年</w:t>
      </w:r>
      <w:r>
        <w:rPr>
          <w:rFonts w:hint="eastAsia" w:ascii="黑体" w:hAnsi="黑体" w:eastAsia="黑体"/>
          <w:color w:val="FF0000"/>
          <w:sz w:val="24"/>
          <w:highlight w:val="none"/>
          <w:lang w:val="en-US" w:eastAsia="zh-CN"/>
        </w:rPr>
        <w:t>7</w:t>
      </w:r>
      <w:r>
        <w:rPr>
          <w:rFonts w:hint="eastAsia" w:ascii="黑体" w:hAnsi="黑体" w:eastAsia="黑体"/>
          <w:color w:val="FF0000"/>
          <w:sz w:val="24"/>
          <w:highlight w:val="none"/>
        </w:rPr>
        <w:t>月</w:t>
      </w:r>
      <w:r>
        <w:rPr>
          <w:rFonts w:hint="eastAsia" w:ascii="黑体" w:hAnsi="黑体" w:eastAsia="黑体"/>
          <w:color w:val="FF0000"/>
          <w:sz w:val="24"/>
          <w:highlight w:val="none"/>
          <w:lang w:val="en-US" w:eastAsia="zh-CN"/>
        </w:rPr>
        <w:t>13</w:t>
      </w:r>
      <w:r>
        <w:rPr>
          <w:rFonts w:hint="eastAsia" w:ascii="黑体" w:hAnsi="黑体" w:eastAsia="黑体"/>
          <w:color w:val="FF0000"/>
          <w:sz w:val="24"/>
          <w:highlight w:val="none"/>
        </w:rPr>
        <w:t>日上午09:30</w:t>
      </w:r>
      <w:r>
        <w:rPr>
          <w:rFonts w:hint="eastAsia" w:ascii="黑体" w:hAnsi="黑体" w:eastAsia="黑体"/>
          <w:sz w:val="24"/>
          <w:highlight w:val="none"/>
        </w:rPr>
        <w:t>前将在政采云平台上最后生成的具备电子签章的备份加密投标文件（文件名后缀为备份文件四字的首字母）以电子邮件方式传送至浙江开平企业管理咨询有限公司邮箱（zjkpemc@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163.com）的备份文件，并以备份文件作为替代电子投标文件，如投标方未按照规定时间（</w:t>
      </w:r>
      <w:r>
        <w:rPr>
          <w:rFonts w:hint="eastAsia" w:ascii="黑体" w:hAnsi="黑体" w:eastAsia="黑体"/>
          <w:color w:val="FF0000"/>
          <w:sz w:val="24"/>
          <w:highlight w:val="none"/>
        </w:rPr>
        <w:t>2020年</w:t>
      </w:r>
      <w:r>
        <w:rPr>
          <w:rFonts w:hint="eastAsia" w:ascii="黑体" w:hAnsi="黑体" w:eastAsia="黑体"/>
          <w:color w:val="FF0000"/>
          <w:sz w:val="24"/>
          <w:highlight w:val="none"/>
          <w:lang w:val="en-US" w:eastAsia="zh-CN"/>
        </w:rPr>
        <w:t>7</w:t>
      </w:r>
      <w:r>
        <w:rPr>
          <w:rFonts w:hint="eastAsia" w:ascii="黑体" w:hAnsi="黑体" w:eastAsia="黑体"/>
          <w:color w:val="FF0000"/>
          <w:sz w:val="24"/>
          <w:highlight w:val="none"/>
        </w:rPr>
        <w:t>月</w:t>
      </w:r>
      <w:r>
        <w:rPr>
          <w:rFonts w:hint="eastAsia" w:ascii="黑体" w:hAnsi="黑体" w:eastAsia="黑体"/>
          <w:color w:val="FF0000"/>
          <w:sz w:val="24"/>
          <w:highlight w:val="none"/>
          <w:lang w:val="en-US" w:eastAsia="zh-CN"/>
        </w:rPr>
        <w:t>13</w:t>
      </w:r>
      <w:r>
        <w:rPr>
          <w:rFonts w:hint="eastAsia" w:ascii="黑体" w:hAnsi="黑体" w:eastAsia="黑体"/>
          <w:color w:val="FF0000"/>
          <w:sz w:val="24"/>
          <w:highlight w:val="none"/>
        </w:rPr>
        <w:t>日上午09:30</w:t>
      </w:r>
      <w:r>
        <w:rPr>
          <w:rFonts w:hint="eastAsia" w:ascii="黑体" w:hAnsi="黑体" w:eastAsia="黑体"/>
          <w:sz w:val="24"/>
          <w:highlight w:val="none"/>
        </w:rPr>
        <w:t>前）及要求提供有效备份文件，同时政采云上投标文件解密失败的，将导致投标无效。</w:t>
      </w:r>
    </w:p>
    <w:p>
      <w:pPr>
        <w:tabs>
          <w:tab w:val="left" w:pos="315"/>
        </w:tabs>
        <w:spacing w:line="360" w:lineRule="auto"/>
        <w:rPr>
          <w:b/>
          <w:bCs/>
          <w:sz w:val="24"/>
          <w:highlight w:val="none"/>
        </w:rPr>
      </w:pPr>
      <w:r>
        <w:rPr>
          <w:b/>
          <w:sz w:val="24"/>
          <w:highlight w:val="none"/>
        </w:rPr>
        <w:t>24、</w:t>
      </w:r>
      <w:r>
        <w:rPr>
          <w:b/>
          <w:bCs/>
          <w:sz w:val="24"/>
          <w:highlight w:val="none"/>
        </w:rPr>
        <w:t>投标文件的补充、修改与撤回</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24.1投标人在提交投标文件以后，在规定的投标截止时间之前，可以以重新补充修改或撤回已上传的投标文件，补充、修改的内容为投标文件的组成部分。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24.2在投标截止时间之后，投标人不得对其投标做任何修改。</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24.3从投标截止时间至投标人在投标书格式中确定的投标有效期期满这段时间内，投标人不得撤回其投标。</w:t>
      </w:r>
      <w:bookmarkStart w:id="5" w:name="_Toc274303233"/>
      <w:bookmarkStart w:id="6" w:name="_Toc362250691"/>
    </w:p>
    <w:p>
      <w:pPr>
        <w:pStyle w:val="13"/>
        <w:spacing w:line="360" w:lineRule="auto"/>
        <w:rPr>
          <w:rFonts w:ascii="Times New Roman" w:hAnsi="Times New Roman"/>
          <w:b/>
          <w:spacing w:val="-8"/>
          <w:sz w:val="24"/>
          <w:szCs w:val="24"/>
          <w:highlight w:val="none"/>
        </w:rPr>
      </w:pPr>
      <w:r>
        <w:rPr>
          <w:rFonts w:ascii="Times New Roman" w:hAnsi="Times New Roman"/>
          <w:b/>
          <w:sz w:val="24"/>
          <w:szCs w:val="24"/>
          <w:highlight w:val="none"/>
        </w:rPr>
        <w:t>五、其它</w:t>
      </w:r>
      <w:bookmarkEnd w:id="5"/>
      <w:bookmarkEnd w:id="6"/>
    </w:p>
    <w:p>
      <w:pPr>
        <w:widowControl/>
        <w:spacing w:line="360" w:lineRule="auto"/>
        <w:jc w:val="left"/>
        <w:rPr>
          <w:kern w:val="0"/>
          <w:sz w:val="24"/>
          <w:highlight w:val="none"/>
        </w:rPr>
      </w:pPr>
      <w:r>
        <w:rPr>
          <w:sz w:val="24"/>
          <w:highlight w:val="none"/>
        </w:rPr>
        <w:t>25、本招标文件解释权归采购人。</w:t>
      </w: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 w:val="24"/>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pStyle w:val="13"/>
        <w:spacing w:line="360" w:lineRule="auto"/>
        <w:rPr>
          <w:rFonts w:ascii="Times New Roman" w:hAnsi="Times New Roman"/>
          <w:b/>
          <w:bCs/>
          <w:szCs w:val="24"/>
          <w:highlight w:val="none"/>
        </w:rPr>
      </w:pPr>
    </w:p>
    <w:p>
      <w:pPr>
        <w:snapToGrid w:val="0"/>
        <w:spacing w:line="360" w:lineRule="auto"/>
        <w:jc w:val="center"/>
        <w:rPr>
          <w:sz w:val="36"/>
          <w:szCs w:val="36"/>
          <w:highlight w:val="none"/>
        </w:rPr>
      </w:pPr>
      <w:r>
        <w:rPr>
          <w:rFonts w:hint="eastAsia"/>
          <w:b/>
          <w:bCs/>
          <w:sz w:val="36"/>
          <w:szCs w:val="36"/>
          <w:highlight w:val="none"/>
        </w:rPr>
        <w:t xml:space="preserve">第三章  </w:t>
      </w:r>
      <w:r>
        <w:rPr>
          <w:b/>
          <w:bCs/>
          <w:sz w:val="36"/>
          <w:szCs w:val="36"/>
          <w:highlight w:val="none"/>
        </w:rPr>
        <w:t>招标项目要求</w:t>
      </w:r>
      <w:bookmarkStart w:id="7" w:name="_Toc274303251"/>
      <w:bookmarkStart w:id="8" w:name="_Toc362250703"/>
      <w:bookmarkStart w:id="9" w:name="_Toc226973000"/>
    </w:p>
    <w:p>
      <w:pPr>
        <w:snapToGrid w:val="0"/>
        <w:spacing w:line="360" w:lineRule="auto"/>
        <w:textAlignment w:val="baseline"/>
        <w:rPr>
          <w:b/>
          <w:bCs/>
          <w:color w:val="000000"/>
          <w:sz w:val="24"/>
          <w:highlight w:val="none"/>
        </w:rPr>
      </w:pPr>
      <w:r>
        <w:rPr>
          <w:rFonts w:hint="eastAsia"/>
          <w:b/>
          <w:bCs/>
          <w:color w:val="000000"/>
          <w:sz w:val="24"/>
          <w:highlight w:val="none"/>
        </w:rPr>
        <w:t>一</w:t>
      </w:r>
      <w:r>
        <w:rPr>
          <w:b/>
          <w:bCs/>
          <w:color w:val="000000"/>
          <w:sz w:val="24"/>
          <w:highlight w:val="none"/>
        </w:rPr>
        <w:t>、</w:t>
      </w:r>
      <w:r>
        <w:rPr>
          <w:rFonts w:hint="eastAsia"/>
          <w:b/>
          <w:bCs/>
          <w:color w:val="000000"/>
          <w:sz w:val="24"/>
          <w:highlight w:val="none"/>
        </w:rPr>
        <w:t>招标</w:t>
      </w:r>
      <w:r>
        <w:rPr>
          <w:b/>
          <w:bCs/>
          <w:color w:val="000000"/>
          <w:sz w:val="24"/>
          <w:highlight w:val="none"/>
        </w:rPr>
        <w:t>项目内容</w:t>
      </w:r>
    </w:p>
    <w:p>
      <w:pPr>
        <w:widowControl/>
        <w:spacing w:line="360" w:lineRule="auto"/>
        <w:ind w:firstLine="480" w:firstLineChars="200"/>
        <w:jc w:val="left"/>
        <w:rPr>
          <w:rFonts w:hint="eastAsia" w:ascii="宋体" w:hAnsi="宋体" w:cs="宋体"/>
          <w:color w:val="000000"/>
          <w:kern w:val="0"/>
          <w:sz w:val="24"/>
          <w:highlight w:val="none"/>
        </w:rPr>
      </w:pPr>
      <w:r>
        <w:rPr>
          <w:color w:val="000000"/>
          <w:sz w:val="24"/>
          <w:highlight w:val="none"/>
        </w:rPr>
        <w:t>本次招标项目为义乌市稠江街道办事处锦都</w:t>
      </w:r>
      <w:r>
        <w:rPr>
          <w:rFonts w:hint="eastAsia"/>
          <w:color w:val="000000"/>
          <w:sz w:val="24"/>
          <w:highlight w:val="none"/>
        </w:rPr>
        <w:t>等</w:t>
      </w:r>
      <w:r>
        <w:rPr>
          <w:color w:val="000000"/>
          <w:sz w:val="24"/>
          <w:highlight w:val="none"/>
        </w:rPr>
        <w:t>五个社区</w:t>
      </w:r>
      <w:r>
        <w:rPr>
          <w:rFonts w:hint="eastAsia"/>
          <w:color w:val="000000"/>
          <w:sz w:val="24"/>
          <w:highlight w:val="none"/>
        </w:rPr>
        <w:t>2020年度清扫保洁服务。</w:t>
      </w:r>
    </w:p>
    <w:tbl>
      <w:tblPr>
        <w:tblStyle w:val="25"/>
        <w:tblW w:w="104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270"/>
        <w:gridCol w:w="852"/>
        <w:gridCol w:w="853"/>
        <w:gridCol w:w="1279"/>
        <w:gridCol w:w="128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3"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标段</w:t>
            </w:r>
          </w:p>
        </w:tc>
        <w:tc>
          <w:tcPr>
            <w:tcW w:w="3270"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标项内容</w:t>
            </w:r>
          </w:p>
        </w:tc>
        <w:tc>
          <w:tcPr>
            <w:tcW w:w="852"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数量</w:t>
            </w:r>
          </w:p>
        </w:tc>
        <w:tc>
          <w:tcPr>
            <w:tcW w:w="853"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单位</w:t>
            </w:r>
          </w:p>
        </w:tc>
        <w:tc>
          <w:tcPr>
            <w:tcW w:w="1279"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预算金额（元）</w:t>
            </w:r>
          </w:p>
        </w:tc>
        <w:tc>
          <w:tcPr>
            <w:tcW w:w="1280"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最高限价（元）</w:t>
            </w:r>
          </w:p>
        </w:tc>
        <w:tc>
          <w:tcPr>
            <w:tcW w:w="2190"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trPr>
        <w:tc>
          <w:tcPr>
            <w:tcW w:w="711" w:type="dxa"/>
            <w:vMerge w:val="restart"/>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一</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ascii="新宋体" w:hAnsi="新宋体" w:eastAsia="新宋体"/>
                <w:iCs/>
                <w:color w:val="000000"/>
                <w:szCs w:val="21"/>
                <w:highlight w:val="none"/>
              </w:rPr>
              <w:t>锦都社区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551380</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551380</w:t>
            </w:r>
          </w:p>
        </w:tc>
        <w:tc>
          <w:tcPr>
            <w:tcW w:w="2190" w:type="dxa"/>
            <w:vMerge w:val="restart"/>
            <w:noWrap w:val="0"/>
            <w:vAlign w:val="top"/>
          </w:tcPr>
          <w:p>
            <w:pPr>
              <w:pStyle w:val="13"/>
              <w:adjustRightInd w:val="0"/>
              <w:snapToGrid w:val="0"/>
              <w:rPr>
                <w:rFonts w:hint="eastAsia" w:ascii="新宋体" w:hAnsi="新宋体" w:eastAsia="新宋体"/>
                <w:color w:val="000000"/>
                <w:szCs w:val="21"/>
                <w:highlight w:val="none"/>
              </w:rPr>
            </w:pPr>
            <w:r>
              <w:rPr>
                <w:rFonts w:hint="eastAsia" w:hAnsi="宋体"/>
                <w:color w:val="000000"/>
                <w:kern w:val="0"/>
                <w:szCs w:val="21"/>
                <w:highlight w:val="none"/>
              </w:rPr>
              <w:t>1.因市环卫体制改革、小区物业管理改革、城市有机更新等需要提前中止合同或部分减少保洁区域的，甲方应提前10个工作日通知乙方，乙方应无条件配合甲方解除合同或做好工作交接，其保洁费用根据实际工作量进行调整结算。</w:t>
            </w:r>
          </w:p>
          <w:p>
            <w:pPr>
              <w:pStyle w:val="13"/>
              <w:adjustRightInd w:val="0"/>
              <w:snapToGrid w:val="0"/>
              <w:rPr>
                <w:rFonts w:hint="eastAsia" w:ascii="新宋体" w:hAnsi="新宋体" w:eastAsia="新宋体"/>
                <w:color w:val="000000"/>
                <w:szCs w:val="21"/>
                <w:highlight w:val="none"/>
              </w:rPr>
            </w:pPr>
            <w:r>
              <w:rPr>
                <w:rFonts w:hint="eastAsia" w:ascii="新宋体" w:hAnsi="新宋体" w:eastAsia="新宋体"/>
                <w:color w:val="000000"/>
                <w:szCs w:val="21"/>
                <w:highlight w:val="none"/>
              </w:rPr>
              <w:t>2.投标报价＝最高限价×（1-让利率）</w:t>
            </w:r>
          </w:p>
          <w:p>
            <w:pPr>
              <w:pStyle w:val="13"/>
              <w:adjustRightInd w:val="0"/>
              <w:snapToGrid w:val="0"/>
              <w:rPr>
                <w:rFonts w:hint="eastAsia" w:ascii="新宋体" w:hAnsi="新宋体" w:eastAsia="新宋体"/>
                <w:iCs/>
                <w:color w:val="000000"/>
                <w:highlight w:val="none"/>
              </w:rPr>
            </w:pPr>
            <w:r>
              <w:rPr>
                <w:rFonts w:hint="eastAsia" w:ascii="新宋体" w:hAnsi="新宋体" w:eastAsia="新宋体"/>
                <w:color w:val="000000"/>
                <w:szCs w:val="21"/>
                <w:highlight w:val="none"/>
              </w:rPr>
              <w:t>3.具体要求见第三章《招标项目要求》。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9" w:hRule="atLeast"/>
        </w:trPr>
        <w:tc>
          <w:tcPr>
            <w:tcW w:w="711" w:type="dxa"/>
            <w:vMerge w:val="continue"/>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ascii="新宋体" w:hAnsi="新宋体" w:eastAsia="新宋体"/>
                <w:iCs/>
                <w:color w:val="000000"/>
                <w:szCs w:val="21"/>
                <w:highlight w:val="none"/>
              </w:rPr>
              <w:t>凤凰社区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485301</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485301</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8"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二</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color w:val="000000"/>
                <w:szCs w:val="21"/>
                <w:highlight w:val="none"/>
              </w:rPr>
              <w:t>松门里社区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2207019</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2207019</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6"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三</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color w:val="000000"/>
                <w:szCs w:val="21"/>
                <w:highlight w:val="none"/>
              </w:rPr>
              <w:t>黎明社区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1970067</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1970067</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711" w:type="dxa"/>
            <w:noWrap w:val="0"/>
            <w:vAlign w:val="center"/>
          </w:tcPr>
          <w:p>
            <w:pPr>
              <w:pStyle w:val="13"/>
              <w:adjustRightInd w:val="0"/>
              <w:snapToGrid w:val="0"/>
              <w:spacing w:line="360" w:lineRule="auto"/>
              <w:jc w:val="center"/>
              <w:rPr>
                <w:rFonts w:hint="eastAsia" w:ascii="新宋体" w:hAnsi="新宋体" w:eastAsia="新宋体"/>
                <w:iCs/>
                <w:color w:val="000000"/>
                <w:highlight w:val="none"/>
              </w:rPr>
            </w:pPr>
            <w:r>
              <w:rPr>
                <w:rFonts w:hint="eastAsia" w:ascii="新宋体" w:hAnsi="新宋体" w:eastAsia="新宋体"/>
                <w:iCs/>
                <w:color w:val="000000"/>
                <w:highlight w:val="none"/>
              </w:rPr>
              <w:t>四</w:t>
            </w:r>
          </w:p>
        </w:tc>
        <w:tc>
          <w:tcPr>
            <w:tcW w:w="3270" w:type="dxa"/>
            <w:noWrap w:val="0"/>
            <w:vAlign w:val="center"/>
          </w:tcPr>
          <w:p>
            <w:pPr>
              <w:pStyle w:val="13"/>
              <w:adjustRightInd w:val="0"/>
              <w:snapToGrid w:val="0"/>
              <w:spacing w:line="360" w:lineRule="auto"/>
              <w:rPr>
                <w:rFonts w:hint="eastAsia" w:ascii="新宋体" w:hAnsi="新宋体" w:eastAsia="新宋体"/>
                <w:iCs/>
                <w:color w:val="000000"/>
                <w:szCs w:val="21"/>
                <w:highlight w:val="none"/>
              </w:rPr>
            </w:pPr>
            <w:r>
              <w:rPr>
                <w:rFonts w:hint="eastAsia"/>
                <w:color w:val="000000"/>
                <w:szCs w:val="21"/>
                <w:highlight w:val="none"/>
              </w:rPr>
              <w:t>杨村社区</w:t>
            </w:r>
            <w:r>
              <w:rPr>
                <w:color w:val="000000"/>
                <w:szCs w:val="21"/>
                <w:highlight w:val="none"/>
              </w:rPr>
              <w:t>清扫保洁</w:t>
            </w:r>
            <w:r>
              <w:rPr>
                <w:rFonts w:hint="eastAsia"/>
                <w:color w:val="000000"/>
                <w:szCs w:val="21"/>
                <w:highlight w:val="none"/>
              </w:rPr>
              <w:t>及垃圾清运</w:t>
            </w:r>
          </w:p>
        </w:tc>
        <w:tc>
          <w:tcPr>
            <w:tcW w:w="852"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1</w:t>
            </w:r>
          </w:p>
        </w:tc>
        <w:tc>
          <w:tcPr>
            <w:tcW w:w="853"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ascii="新宋体" w:hAnsi="新宋体" w:eastAsia="新宋体"/>
                <w:color w:val="000000"/>
                <w:highlight w:val="none"/>
              </w:rPr>
              <w:t>年</w:t>
            </w:r>
          </w:p>
        </w:tc>
        <w:tc>
          <w:tcPr>
            <w:tcW w:w="1279"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2566032</w:t>
            </w:r>
          </w:p>
        </w:tc>
        <w:tc>
          <w:tcPr>
            <w:tcW w:w="1280" w:type="dxa"/>
            <w:noWrap w:val="0"/>
            <w:vAlign w:val="center"/>
          </w:tcPr>
          <w:p>
            <w:pPr>
              <w:pStyle w:val="13"/>
              <w:adjustRightInd w:val="0"/>
              <w:snapToGrid w:val="0"/>
              <w:spacing w:line="360" w:lineRule="auto"/>
              <w:jc w:val="center"/>
              <w:rPr>
                <w:rFonts w:hint="eastAsia" w:ascii="新宋体" w:hAnsi="新宋体" w:eastAsia="新宋体"/>
                <w:color w:val="000000"/>
                <w:highlight w:val="none"/>
              </w:rPr>
            </w:pPr>
            <w:r>
              <w:rPr>
                <w:rFonts w:hint="eastAsia"/>
                <w:color w:val="000000"/>
                <w:sz w:val="24"/>
                <w:highlight w:val="none"/>
              </w:rPr>
              <w:t>2566032</w:t>
            </w:r>
          </w:p>
        </w:tc>
        <w:tc>
          <w:tcPr>
            <w:tcW w:w="2190" w:type="dxa"/>
            <w:vMerge w:val="continue"/>
            <w:noWrap w:val="0"/>
            <w:vAlign w:val="top"/>
          </w:tcPr>
          <w:p>
            <w:pPr>
              <w:pStyle w:val="13"/>
              <w:adjustRightInd w:val="0"/>
              <w:snapToGrid w:val="0"/>
              <w:spacing w:line="360" w:lineRule="auto"/>
              <w:rPr>
                <w:rFonts w:hint="eastAsia" w:ascii="新宋体" w:hAnsi="新宋体" w:eastAsia="新宋体"/>
                <w:color w:val="000000"/>
                <w:highlight w:val="none"/>
              </w:rPr>
            </w:pPr>
          </w:p>
        </w:tc>
      </w:tr>
    </w:tbl>
    <w:p>
      <w:pPr>
        <w:spacing w:line="360" w:lineRule="auto"/>
        <w:rPr>
          <w:color w:val="000000"/>
          <w:sz w:val="24"/>
          <w:highlight w:val="none"/>
        </w:rPr>
      </w:pPr>
      <w:r>
        <w:rPr>
          <w:rFonts w:hint="eastAsia"/>
          <w:color w:val="000000"/>
          <w:sz w:val="24"/>
          <w:highlight w:val="none"/>
        </w:rPr>
        <w:t>1、本项目各标段清扫保洁作业承包区域范围内的所有机动车道、非机动车道、人行道（扫到沿街门店面房为止）、</w:t>
      </w:r>
      <w:r>
        <w:rPr>
          <w:color w:val="000000"/>
          <w:sz w:val="24"/>
          <w:highlight w:val="none"/>
        </w:rPr>
        <w:t>绿化带</w:t>
      </w:r>
      <w:r>
        <w:rPr>
          <w:rFonts w:hint="eastAsia"/>
          <w:color w:val="000000"/>
          <w:sz w:val="24"/>
          <w:highlight w:val="none"/>
        </w:rPr>
        <w:t>、</w:t>
      </w:r>
      <w:r>
        <w:rPr>
          <w:color w:val="000000"/>
          <w:sz w:val="24"/>
          <w:highlight w:val="none"/>
        </w:rPr>
        <w:t>空闲地、</w:t>
      </w:r>
      <w:r>
        <w:rPr>
          <w:rFonts w:hint="eastAsia"/>
          <w:color w:val="000000"/>
          <w:sz w:val="24"/>
          <w:highlight w:val="none"/>
        </w:rPr>
        <w:t>停车场、广场、公园等公共活动场所、池塘、沟渠、居</w:t>
      </w:r>
      <w:r>
        <w:rPr>
          <w:color w:val="000000"/>
          <w:sz w:val="24"/>
          <w:highlight w:val="none"/>
        </w:rPr>
        <w:t>民房前屋后</w:t>
      </w:r>
      <w:r>
        <w:rPr>
          <w:rFonts w:hint="eastAsia"/>
          <w:color w:val="000000"/>
          <w:sz w:val="24"/>
          <w:highlight w:val="none"/>
        </w:rPr>
        <w:t>的清扫保洁，“牛皮癣”清除，承包范围内公厕、垃圾房（投放点、清洗间）、果壳箱、垃圾桶的清洗保洁管理，袋装化垃圾的收集，清扫垃圾、居民生活垃圾和规定的工业垃圾的分类清运，建筑装璜垃圾、大小件杂物等废弃物的清理、清运和处置，绿化带、人行道、边沟等杂草的清除，</w:t>
      </w:r>
      <w:r>
        <w:rPr>
          <w:color w:val="000000"/>
          <w:sz w:val="24"/>
          <w:highlight w:val="none"/>
        </w:rPr>
        <w:t>绿化带</w:t>
      </w:r>
      <w:r>
        <w:rPr>
          <w:rFonts w:hint="eastAsia"/>
          <w:color w:val="000000"/>
          <w:sz w:val="24"/>
          <w:highlight w:val="none"/>
        </w:rPr>
        <w:t>、</w:t>
      </w:r>
      <w:r>
        <w:rPr>
          <w:color w:val="000000"/>
          <w:sz w:val="24"/>
          <w:highlight w:val="none"/>
        </w:rPr>
        <w:t>空闲地</w:t>
      </w:r>
      <w:r>
        <w:rPr>
          <w:rFonts w:hint="eastAsia"/>
          <w:color w:val="000000"/>
          <w:sz w:val="24"/>
          <w:highlight w:val="none"/>
        </w:rPr>
        <w:t>共享单车的清理。</w:t>
      </w:r>
    </w:p>
    <w:p>
      <w:pPr>
        <w:spacing w:line="360" w:lineRule="auto"/>
        <w:rPr>
          <w:color w:val="000000"/>
          <w:sz w:val="24"/>
          <w:highlight w:val="none"/>
        </w:rPr>
      </w:pPr>
      <w:r>
        <w:rPr>
          <w:rFonts w:hint="eastAsia"/>
          <w:color w:val="000000"/>
          <w:sz w:val="24"/>
          <w:highlight w:val="none"/>
        </w:rPr>
        <w:t>2、各标段内主要</w:t>
      </w:r>
      <w:r>
        <w:rPr>
          <w:color w:val="000000"/>
          <w:sz w:val="24"/>
          <w:highlight w:val="none"/>
        </w:rPr>
        <w:t>道路应按</w:t>
      </w:r>
      <w:r>
        <w:rPr>
          <w:rFonts w:hint="eastAsia"/>
          <w:color w:val="000000"/>
          <w:sz w:val="24"/>
          <w:highlight w:val="none"/>
        </w:rPr>
        <w:t>市</w:t>
      </w:r>
      <w:r>
        <w:rPr>
          <w:color w:val="000000"/>
          <w:sz w:val="24"/>
          <w:highlight w:val="none"/>
        </w:rPr>
        <w:t>相关规定进行洒水，相关费用包含在投标报价中。</w:t>
      </w:r>
    </w:p>
    <w:p>
      <w:pPr>
        <w:spacing w:line="360" w:lineRule="auto"/>
        <w:rPr>
          <w:color w:val="000000"/>
          <w:sz w:val="24"/>
          <w:highlight w:val="none"/>
        </w:rPr>
      </w:pPr>
      <w:r>
        <w:rPr>
          <w:rFonts w:hint="eastAsia"/>
          <w:color w:val="000000"/>
          <w:sz w:val="24"/>
          <w:highlight w:val="none"/>
        </w:rPr>
        <w:t>3、</w:t>
      </w:r>
      <w:r>
        <w:rPr>
          <w:color w:val="000000"/>
          <w:sz w:val="24"/>
          <w:highlight w:val="none"/>
        </w:rPr>
        <w:t>道路清扫保洁范围包括主干道、绿化带、边沟、路肩、人行道</w:t>
      </w:r>
      <w:r>
        <w:rPr>
          <w:rFonts w:hint="eastAsia"/>
          <w:color w:val="000000"/>
          <w:sz w:val="24"/>
          <w:highlight w:val="none"/>
        </w:rPr>
        <w:t>，与市政、物业管理相邻的区域向外延伸2米。</w:t>
      </w:r>
    </w:p>
    <w:p>
      <w:pPr>
        <w:spacing w:line="360" w:lineRule="auto"/>
        <w:rPr>
          <w:color w:val="000000"/>
          <w:sz w:val="24"/>
          <w:highlight w:val="none"/>
        </w:rPr>
      </w:pPr>
      <w:r>
        <w:rPr>
          <w:rFonts w:hint="eastAsia"/>
          <w:color w:val="000000"/>
          <w:sz w:val="24"/>
          <w:highlight w:val="none"/>
        </w:rPr>
        <w:t>4、</w:t>
      </w:r>
      <w:r>
        <w:rPr>
          <w:color w:val="000000"/>
          <w:sz w:val="24"/>
          <w:highlight w:val="none"/>
        </w:rPr>
        <w:t>对沿街店面垃圾实行垃圾袋装化处理，要求垃圾车进行上门收集，相关费用包含在投标报价中。</w:t>
      </w:r>
    </w:p>
    <w:p>
      <w:pPr>
        <w:spacing w:line="360" w:lineRule="auto"/>
        <w:rPr>
          <w:color w:val="000000"/>
          <w:sz w:val="24"/>
          <w:highlight w:val="none"/>
        </w:rPr>
      </w:pPr>
      <w:r>
        <w:rPr>
          <w:rFonts w:hint="eastAsia"/>
          <w:color w:val="000000"/>
          <w:sz w:val="24"/>
          <w:highlight w:val="none"/>
        </w:rPr>
        <w:t>5、</w:t>
      </w:r>
      <w:r>
        <w:rPr>
          <w:color w:val="000000"/>
          <w:sz w:val="24"/>
          <w:highlight w:val="none"/>
        </w:rPr>
        <w:t>所有</w:t>
      </w:r>
      <w:r>
        <w:rPr>
          <w:rFonts w:hint="eastAsia"/>
          <w:color w:val="000000"/>
          <w:sz w:val="24"/>
          <w:highlight w:val="none"/>
        </w:rPr>
        <w:t>夜市和承包范围内</w:t>
      </w:r>
      <w:r>
        <w:rPr>
          <w:color w:val="000000"/>
          <w:sz w:val="24"/>
          <w:highlight w:val="none"/>
        </w:rPr>
        <w:t>垃圾房</w:t>
      </w:r>
      <w:r>
        <w:rPr>
          <w:rFonts w:hint="eastAsia"/>
          <w:color w:val="000000"/>
          <w:sz w:val="24"/>
          <w:highlight w:val="none"/>
        </w:rPr>
        <w:t>（清洗间、投放点）</w:t>
      </w:r>
      <w:r>
        <w:rPr>
          <w:color w:val="000000"/>
          <w:sz w:val="24"/>
          <w:highlight w:val="none"/>
        </w:rPr>
        <w:t>每</w:t>
      </w:r>
      <w:r>
        <w:rPr>
          <w:rFonts w:hint="eastAsia"/>
          <w:color w:val="000000"/>
          <w:sz w:val="24"/>
          <w:highlight w:val="none"/>
        </w:rPr>
        <w:t>周</w:t>
      </w:r>
      <w:r>
        <w:rPr>
          <w:color w:val="000000"/>
          <w:sz w:val="24"/>
          <w:highlight w:val="none"/>
        </w:rPr>
        <w:t>至少彻底清洗一次，清洗效果应达到采购人</w:t>
      </w:r>
      <w:r>
        <w:rPr>
          <w:rFonts w:hint="eastAsia"/>
          <w:color w:val="000000"/>
          <w:sz w:val="24"/>
          <w:highlight w:val="none"/>
        </w:rPr>
        <w:t>及文明</w:t>
      </w:r>
      <w:r>
        <w:rPr>
          <w:color w:val="000000"/>
          <w:sz w:val="24"/>
          <w:highlight w:val="none"/>
        </w:rPr>
        <w:t>创建</w:t>
      </w:r>
      <w:r>
        <w:rPr>
          <w:rFonts w:hint="eastAsia"/>
          <w:color w:val="000000"/>
          <w:sz w:val="24"/>
          <w:highlight w:val="none"/>
        </w:rPr>
        <w:t>相关</w:t>
      </w:r>
      <w:r>
        <w:rPr>
          <w:color w:val="000000"/>
          <w:sz w:val="24"/>
          <w:highlight w:val="none"/>
        </w:rPr>
        <w:t>要求，相关费用包含在投标报价中。</w:t>
      </w:r>
    </w:p>
    <w:p>
      <w:pPr>
        <w:spacing w:line="360" w:lineRule="auto"/>
        <w:rPr>
          <w:color w:val="000000"/>
          <w:sz w:val="24"/>
          <w:highlight w:val="none"/>
        </w:rPr>
      </w:pPr>
      <w:r>
        <w:rPr>
          <w:rFonts w:hint="eastAsia"/>
          <w:color w:val="000000"/>
          <w:sz w:val="24"/>
          <w:highlight w:val="none"/>
        </w:rPr>
        <w:t>6、文件</w:t>
      </w:r>
      <w:r>
        <w:rPr>
          <w:color w:val="000000"/>
          <w:sz w:val="24"/>
          <w:highlight w:val="none"/>
        </w:rPr>
        <w:t>中未列出但属于所投标段</w:t>
      </w:r>
      <w:r>
        <w:rPr>
          <w:rFonts w:hint="eastAsia"/>
          <w:color w:val="000000"/>
          <w:sz w:val="24"/>
          <w:highlight w:val="none"/>
        </w:rPr>
        <w:t>社区管辖</w:t>
      </w:r>
      <w:r>
        <w:rPr>
          <w:color w:val="000000"/>
          <w:sz w:val="24"/>
          <w:highlight w:val="none"/>
        </w:rPr>
        <w:t>范围内</w:t>
      </w:r>
      <w:r>
        <w:rPr>
          <w:rFonts w:hint="eastAsia"/>
          <w:color w:val="000000"/>
          <w:sz w:val="24"/>
          <w:highlight w:val="none"/>
        </w:rPr>
        <w:t>无物业等特定管理人</w:t>
      </w:r>
      <w:r>
        <w:rPr>
          <w:color w:val="000000"/>
          <w:sz w:val="24"/>
          <w:highlight w:val="none"/>
        </w:rPr>
        <w:t>的区域也应列入清扫保洁</w:t>
      </w:r>
      <w:r>
        <w:rPr>
          <w:rFonts w:hint="eastAsia"/>
          <w:color w:val="000000"/>
          <w:sz w:val="24"/>
          <w:highlight w:val="none"/>
        </w:rPr>
        <w:t>和</w:t>
      </w:r>
      <w:r>
        <w:rPr>
          <w:color w:val="000000"/>
          <w:sz w:val="24"/>
          <w:highlight w:val="none"/>
        </w:rPr>
        <w:t>清运</w:t>
      </w:r>
      <w:r>
        <w:rPr>
          <w:rFonts w:hint="eastAsia"/>
          <w:color w:val="000000"/>
          <w:sz w:val="24"/>
          <w:highlight w:val="none"/>
        </w:rPr>
        <w:t>范围，相关费用</w:t>
      </w:r>
      <w:r>
        <w:rPr>
          <w:color w:val="000000"/>
          <w:sz w:val="24"/>
          <w:highlight w:val="none"/>
        </w:rPr>
        <w:t>包含在投标报价中</w:t>
      </w:r>
      <w:r>
        <w:rPr>
          <w:rFonts w:hint="eastAsia"/>
          <w:color w:val="000000"/>
          <w:sz w:val="24"/>
          <w:highlight w:val="none"/>
        </w:rPr>
        <w:t>。</w:t>
      </w:r>
    </w:p>
    <w:p>
      <w:pPr>
        <w:spacing w:line="360" w:lineRule="auto"/>
        <w:rPr>
          <w:color w:val="000000"/>
          <w:sz w:val="24"/>
          <w:highlight w:val="none"/>
        </w:rPr>
      </w:pPr>
      <w:r>
        <w:rPr>
          <w:rFonts w:hint="eastAsia"/>
          <w:color w:val="000000"/>
          <w:sz w:val="24"/>
          <w:highlight w:val="none"/>
        </w:rPr>
        <w:t>7、</w:t>
      </w:r>
      <w:r>
        <w:rPr>
          <w:color w:val="000000"/>
          <w:sz w:val="24"/>
          <w:highlight w:val="none"/>
        </w:rPr>
        <w:t>所有</w:t>
      </w:r>
      <w:r>
        <w:rPr>
          <w:rFonts w:hint="eastAsia"/>
          <w:color w:val="000000"/>
          <w:sz w:val="24"/>
          <w:highlight w:val="none"/>
        </w:rPr>
        <w:t>生活垃圾</w:t>
      </w:r>
      <w:r>
        <w:rPr>
          <w:color w:val="000000"/>
          <w:sz w:val="24"/>
          <w:highlight w:val="none"/>
        </w:rPr>
        <w:t>均</w:t>
      </w:r>
      <w:r>
        <w:rPr>
          <w:rFonts w:hint="eastAsia"/>
          <w:color w:val="000000"/>
          <w:sz w:val="24"/>
          <w:highlight w:val="none"/>
        </w:rPr>
        <w:t>按市相关要求分类清</w:t>
      </w:r>
      <w:r>
        <w:rPr>
          <w:color w:val="000000"/>
          <w:sz w:val="24"/>
          <w:highlight w:val="none"/>
        </w:rPr>
        <w:t>运至</w:t>
      </w:r>
      <w:r>
        <w:rPr>
          <w:rFonts w:hint="eastAsia"/>
          <w:color w:val="000000"/>
          <w:sz w:val="24"/>
          <w:highlight w:val="none"/>
        </w:rPr>
        <w:t>指定的</w:t>
      </w:r>
      <w:r>
        <w:rPr>
          <w:color w:val="000000"/>
          <w:sz w:val="24"/>
          <w:highlight w:val="none"/>
        </w:rPr>
        <w:t>垃圾中转站</w:t>
      </w:r>
      <w:r>
        <w:rPr>
          <w:rFonts w:hint="eastAsia"/>
          <w:color w:val="000000"/>
          <w:sz w:val="24"/>
          <w:highlight w:val="none"/>
        </w:rPr>
        <w:t>，所有规定的工业</w:t>
      </w:r>
      <w:r>
        <w:rPr>
          <w:color w:val="000000"/>
          <w:sz w:val="24"/>
          <w:highlight w:val="none"/>
        </w:rPr>
        <w:t>垃圾</w:t>
      </w:r>
      <w:r>
        <w:rPr>
          <w:rFonts w:hint="eastAsia"/>
          <w:color w:val="000000"/>
          <w:sz w:val="24"/>
          <w:highlight w:val="none"/>
        </w:rPr>
        <w:t>均直运至</w:t>
      </w:r>
      <w:r>
        <w:rPr>
          <w:color w:val="000000"/>
          <w:sz w:val="24"/>
          <w:highlight w:val="none"/>
        </w:rPr>
        <w:t>焚烧场</w:t>
      </w:r>
      <w:r>
        <w:rPr>
          <w:rFonts w:hint="eastAsia"/>
          <w:color w:val="000000"/>
          <w:sz w:val="24"/>
          <w:highlight w:val="none"/>
        </w:rPr>
        <w:t>（填埋场），</w:t>
      </w:r>
      <w:bookmarkStart w:id="10" w:name="_GoBack"/>
      <w:bookmarkEnd w:id="10"/>
      <w:r>
        <w:rPr>
          <w:rFonts w:hint="eastAsia"/>
          <w:color w:val="000000"/>
          <w:sz w:val="24"/>
          <w:highlight w:val="none"/>
        </w:rPr>
        <w:t>建筑装璜垃圾、大小件杂物等废弃物分类清运至规范的场所进行处置，相关费用包含在投标报价中。</w:t>
      </w:r>
    </w:p>
    <w:p>
      <w:pPr>
        <w:spacing w:line="360" w:lineRule="auto"/>
        <w:rPr>
          <w:rFonts w:hint="eastAsia"/>
          <w:color w:val="000000"/>
          <w:sz w:val="24"/>
          <w:highlight w:val="none"/>
        </w:rPr>
      </w:pPr>
      <w:r>
        <w:rPr>
          <w:rFonts w:hint="eastAsia"/>
          <w:color w:val="000000"/>
          <w:sz w:val="24"/>
          <w:highlight w:val="none"/>
        </w:rPr>
        <w:t>8、各标段所有的生活垃圾均由各中标公司进行清运，所有清运车辆必须符合市政府有关规定和标段相关要求。</w:t>
      </w:r>
    </w:p>
    <w:p>
      <w:pPr>
        <w:widowControl/>
        <w:spacing w:line="360" w:lineRule="auto"/>
        <w:jc w:val="left"/>
        <w:rPr>
          <w:rFonts w:hint="eastAsia"/>
          <w:b/>
          <w:color w:val="000000"/>
          <w:sz w:val="24"/>
          <w:highlight w:val="none"/>
        </w:rPr>
      </w:pPr>
      <w:r>
        <w:rPr>
          <w:rFonts w:hint="eastAsia"/>
          <w:b/>
          <w:color w:val="000000"/>
          <w:sz w:val="24"/>
          <w:highlight w:val="none"/>
        </w:rPr>
        <w:t>二、道路基本情况、人员配备和车辆配置要求</w:t>
      </w:r>
    </w:p>
    <w:p>
      <w:pPr>
        <w:widowControl/>
        <w:spacing w:line="360" w:lineRule="auto"/>
        <w:jc w:val="left"/>
        <w:rPr>
          <w:rFonts w:hint="eastAsia"/>
          <w:b/>
          <w:sz w:val="24"/>
          <w:highlight w:val="none"/>
        </w:rPr>
      </w:pPr>
      <w:r>
        <w:rPr>
          <w:rFonts w:hint="eastAsia"/>
          <w:b/>
          <w:sz w:val="24"/>
          <w:highlight w:val="none"/>
        </w:rPr>
        <w:t>（一）标段一：锦都社区凤凰社区道路基本情况、人员配备和车辆配置要求</w:t>
      </w:r>
    </w:p>
    <w:p>
      <w:pPr>
        <w:widowControl/>
        <w:spacing w:line="360" w:lineRule="auto"/>
        <w:jc w:val="left"/>
        <w:rPr>
          <w:b/>
          <w:sz w:val="24"/>
          <w:highlight w:val="none"/>
        </w:rPr>
      </w:pPr>
      <w:r>
        <w:rPr>
          <w:rFonts w:hint="eastAsia"/>
          <w:b/>
          <w:sz w:val="24"/>
          <w:highlight w:val="none"/>
        </w:rPr>
        <w:t>1、锦都社区、凤凰社区</w:t>
      </w:r>
      <w:r>
        <w:rPr>
          <w:b/>
          <w:sz w:val="24"/>
          <w:highlight w:val="none"/>
        </w:rPr>
        <w:t>道路基本情况</w:t>
      </w:r>
    </w:p>
    <w:tbl>
      <w:tblPr>
        <w:tblStyle w:val="25"/>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713"/>
        <w:gridCol w:w="1239"/>
        <w:gridCol w:w="1194"/>
        <w:gridCol w:w="13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spacing w:line="360" w:lineRule="auto"/>
              <w:jc w:val="center"/>
              <w:rPr>
                <w:b/>
                <w:sz w:val="24"/>
                <w:highlight w:val="none"/>
              </w:rPr>
            </w:pPr>
            <w:r>
              <w:rPr>
                <w:b/>
                <w:sz w:val="24"/>
                <w:highlight w:val="none"/>
              </w:rPr>
              <w:t>序号</w:t>
            </w:r>
          </w:p>
        </w:tc>
        <w:tc>
          <w:tcPr>
            <w:tcW w:w="4713" w:type="dxa"/>
            <w:noWrap w:val="0"/>
            <w:vAlign w:val="center"/>
          </w:tcPr>
          <w:p>
            <w:pPr>
              <w:widowControl/>
              <w:spacing w:line="360" w:lineRule="auto"/>
              <w:jc w:val="center"/>
              <w:rPr>
                <w:b/>
                <w:sz w:val="24"/>
                <w:highlight w:val="none"/>
              </w:rPr>
            </w:pPr>
            <w:r>
              <w:rPr>
                <w:b/>
                <w:sz w:val="24"/>
                <w:highlight w:val="none"/>
              </w:rPr>
              <w:t>路名</w:t>
            </w:r>
          </w:p>
        </w:tc>
        <w:tc>
          <w:tcPr>
            <w:tcW w:w="1239" w:type="dxa"/>
            <w:noWrap w:val="0"/>
            <w:vAlign w:val="center"/>
          </w:tcPr>
          <w:p>
            <w:pPr>
              <w:widowControl/>
              <w:spacing w:line="360" w:lineRule="auto"/>
              <w:jc w:val="center"/>
              <w:rPr>
                <w:b/>
                <w:sz w:val="24"/>
                <w:highlight w:val="none"/>
              </w:rPr>
            </w:pPr>
            <w:r>
              <w:rPr>
                <w:b/>
                <w:sz w:val="24"/>
                <w:highlight w:val="none"/>
              </w:rPr>
              <w:t>清扫面积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194" w:type="dxa"/>
            <w:noWrap w:val="0"/>
            <w:vAlign w:val="center"/>
          </w:tcPr>
          <w:p>
            <w:pPr>
              <w:widowControl/>
              <w:spacing w:line="360" w:lineRule="auto"/>
              <w:jc w:val="center"/>
              <w:rPr>
                <w:b/>
                <w:sz w:val="24"/>
                <w:highlight w:val="none"/>
              </w:rPr>
            </w:pPr>
            <w:r>
              <w:rPr>
                <w:b/>
                <w:sz w:val="24"/>
                <w:highlight w:val="none"/>
              </w:rPr>
              <w:t>保洁面积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395" w:type="dxa"/>
            <w:noWrap w:val="0"/>
            <w:vAlign w:val="center"/>
          </w:tcPr>
          <w:p>
            <w:pPr>
              <w:widowControl/>
              <w:spacing w:line="360" w:lineRule="auto"/>
              <w:jc w:val="center"/>
              <w:rPr>
                <w:b/>
                <w:sz w:val="24"/>
                <w:highlight w:val="none"/>
              </w:rPr>
            </w:pPr>
            <w:r>
              <w:rPr>
                <w:b/>
                <w:sz w:val="24"/>
                <w:highlight w:val="none"/>
              </w:rPr>
              <w:t>道路等级</w:t>
            </w:r>
          </w:p>
        </w:tc>
        <w:tc>
          <w:tcPr>
            <w:tcW w:w="850" w:type="dxa"/>
            <w:noWrap w:val="0"/>
            <w:vAlign w:val="center"/>
          </w:tcPr>
          <w:p>
            <w:pPr>
              <w:widowControl/>
              <w:spacing w:line="360" w:lineRule="auto"/>
              <w:jc w:val="center"/>
              <w:rPr>
                <w:b/>
                <w:sz w:val="24"/>
                <w:highlight w:val="none"/>
              </w:rPr>
            </w:pPr>
            <w:r>
              <w:rPr>
                <w:b/>
                <w:sz w:val="24"/>
                <w:highlight w:val="none"/>
              </w:rPr>
              <w:t>台班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spacing w:line="360" w:lineRule="auto"/>
              <w:jc w:val="center"/>
              <w:rPr>
                <w:sz w:val="24"/>
                <w:highlight w:val="none"/>
              </w:rPr>
            </w:pPr>
            <w:r>
              <w:rPr>
                <w:rFonts w:hint="eastAsia"/>
                <w:b/>
                <w:sz w:val="24"/>
                <w:highlight w:val="none"/>
              </w:rPr>
              <w:t>锦都</w:t>
            </w:r>
            <w:r>
              <w:rPr>
                <w:b/>
                <w:sz w:val="24"/>
                <w:highlight w:val="none"/>
              </w:rPr>
              <w:t>社区道路基本情况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城店路（江滨西路－经发大道）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4730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望江塑料边支路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1170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大德药厂后支路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1820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经贝东区外环型支路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6384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经贝西区外环型支路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6384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经发大道222号胜河宾馆前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944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经发大道222-8号后及222号B幢前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644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920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经发大道222号A幢门前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224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441</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江滨西路239号至265号后</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624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江滨西路265号至285号后</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经发大道228号盛世豪门前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1488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经发大道230号澳门肚丸前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1503</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经发大道232号众泰汽车前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经发大道236号嘉华酒店前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江滨西路293号卢家湾前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27411</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3975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凤凰</w:t>
            </w:r>
            <w:r>
              <w:rPr>
                <w:b/>
                <w:sz w:val="24"/>
                <w:highlight w:val="none"/>
              </w:rPr>
              <w:t>社区道路基本情况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稠佛路1-30号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城中西路后门</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hint="eastAsia" w:ascii="宋体" w:hAnsi="宋体" w:cs="宋体"/>
                <w:kern w:val="0"/>
                <w:sz w:val="24"/>
                <w:highlight w:val="none"/>
              </w:rPr>
            </w:pPr>
            <w:r>
              <w:rPr>
                <w:rFonts w:hint="eastAsia"/>
                <w:b/>
                <w:sz w:val="24"/>
                <w:highlight w:val="none"/>
              </w:rPr>
              <w:t>凤凰</w:t>
            </w:r>
            <w:r>
              <w:rPr>
                <w:b/>
                <w:sz w:val="24"/>
                <w:highlight w:val="none"/>
              </w:rPr>
              <w:t>社区道路基本情况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丝绸厂宿舍1</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763</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丝绸厂宿舍2</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150.5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丝绸厂宿舍3</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268.75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丝绸厂宿舍4</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268.75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丝绸厂宿舍5</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268.75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丝绸厂宿舍6</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丝绸厂宿舍7</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丝绸厂宿舍8</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432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劳务市场南</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909.5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劳务市场北</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right"/>
              <w:rPr>
                <w:rFonts w:ascii="宋体" w:hAnsi="宋体" w:cs="宋体"/>
                <w:kern w:val="0"/>
                <w:sz w:val="24"/>
                <w:highlight w:val="none"/>
              </w:rPr>
            </w:pPr>
            <w:r>
              <w:rPr>
                <w:rFonts w:hint="eastAsia" w:ascii="宋体" w:hAnsi="宋体" w:cs="宋体"/>
                <w:kern w:val="0"/>
                <w:sz w:val="24"/>
                <w:highlight w:val="none"/>
              </w:rPr>
              <w:t>5624.25</w:t>
            </w:r>
          </w:p>
        </w:tc>
        <w:tc>
          <w:tcPr>
            <w:tcW w:w="1194" w:type="dxa"/>
            <w:noWrap w:val="0"/>
            <w:vAlign w:val="center"/>
          </w:tcPr>
          <w:p>
            <w:pPr>
              <w:widowControl/>
              <w:jc w:val="right"/>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hint="eastAsia" w:ascii="宋体" w:hAnsi="宋体" w:cs="宋体"/>
                <w:kern w:val="0"/>
                <w:sz w:val="24"/>
                <w:highlight w:val="none"/>
              </w:rPr>
            </w:pPr>
            <w:r>
              <w:rPr>
                <w:rFonts w:hint="eastAsia"/>
                <w:b/>
                <w:sz w:val="24"/>
                <w:highlight w:val="none"/>
              </w:rPr>
              <w:t>凤凰</w:t>
            </w:r>
            <w:r>
              <w:rPr>
                <w:b/>
                <w:sz w:val="24"/>
                <w:highlight w:val="none"/>
              </w:rPr>
              <w:t>社区道路基本情况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城南河边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假日中心</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稠州西路51号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公厕边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稠州西路81-3号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稠州西路81-3号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稠州西路81-5号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稠州西路81-7号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稠州西路81-9号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稠州西路81-23号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稠州西路81-3号后</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无名路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8780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bl>
    <w:p>
      <w:pPr>
        <w:widowControl/>
        <w:spacing w:line="360" w:lineRule="auto"/>
        <w:jc w:val="left"/>
        <w:rPr>
          <w:rFonts w:hint="eastAsia"/>
          <w:b/>
          <w:sz w:val="24"/>
          <w:highlight w:val="none"/>
        </w:rPr>
      </w:pPr>
    </w:p>
    <w:p>
      <w:pPr>
        <w:widowControl/>
        <w:spacing w:line="360" w:lineRule="auto"/>
        <w:jc w:val="left"/>
        <w:rPr>
          <w:b/>
          <w:sz w:val="24"/>
          <w:highlight w:val="none"/>
        </w:rPr>
      </w:pPr>
      <w:r>
        <w:rPr>
          <w:rFonts w:hint="eastAsia" w:ascii="宋体" w:hAnsi="宋体" w:cs="宋体"/>
          <w:b/>
          <w:sz w:val="24"/>
          <w:highlight w:val="none"/>
        </w:rPr>
        <w:t>★</w:t>
      </w:r>
      <w:r>
        <w:rPr>
          <w:rFonts w:hint="eastAsia"/>
          <w:b/>
          <w:sz w:val="24"/>
          <w:highlight w:val="none"/>
        </w:rPr>
        <w:t>2、人员配备要求</w:t>
      </w:r>
    </w:p>
    <w:p>
      <w:pPr>
        <w:spacing w:line="360" w:lineRule="auto"/>
        <w:jc w:val="center"/>
        <w:rPr>
          <w:b/>
          <w:sz w:val="24"/>
          <w:highlight w:val="none"/>
        </w:rPr>
      </w:pPr>
      <w:r>
        <w:rPr>
          <w:rFonts w:hint="eastAsia"/>
          <w:b/>
          <w:sz w:val="24"/>
          <w:highlight w:val="none"/>
        </w:rPr>
        <w:t>2020年稠江街道锦都社区清扫保洁清运总人数核定表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99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8" w:hRule="atLeast"/>
        </w:trPr>
        <w:tc>
          <w:tcPr>
            <w:tcW w:w="817" w:type="dxa"/>
            <w:noWrap w:val="0"/>
            <w:vAlign w:val="center"/>
          </w:tcPr>
          <w:p>
            <w:pPr>
              <w:spacing w:line="360" w:lineRule="auto"/>
              <w:jc w:val="center"/>
              <w:rPr>
                <w:b/>
                <w:sz w:val="24"/>
                <w:highlight w:val="none"/>
              </w:rPr>
            </w:pPr>
            <w:r>
              <w:rPr>
                <w:rFonts w:hint="eastAsia"/>
                <w:b/>
                <w:sz w:val="24"/>
                <w:highlight w:val="none"/>
              </w:rPr>
              <w:t>序号</w:t>
            </w:r>
          </w:p>
        </w:tc>
        <w:tc>
          <w:tcPr>
            <w:tcW w:w="3402" w:type="dxa"/>
            <w:noWrap w:val="0"/>
            <w:vAlign w:val="center"/>
          </w:tcPr>
          <w:p>
            <w:pPr>
              <w:spacing w:line="360" w:lineRule="auto"/>
              <w:jc w:val="center"/>
              <w:rPr>
                <w:b/>
                <w:sz w:val="24"/>
                <w:highlight w:val="none"/>
              </w:rPr>
            </w:pPr>
            <w:r>
              <w:rPr>
                <w:rFonts w:hint="eastAsia"/>
                <w:b/>
                <w:sz w:val="24"/>
                <w:highlight w:val="none"/>
              </w:rPr>
              <w:t>项目</w:t>
            </w:r>
          </w:p>
        </w:tc>
        <w:tc>
          <w:tcPr>
            <w:tcW w:w="992" w:type="dxa"/>
            <w:noWrap w:val="0"/>
            <w:vAlign w:val="center"/>
          </w:tcPr>
          <w:p>
            <w:pPr>
              <w:spacing w:line="360" w:lineRule="auto"/>
              <w:jc w:val="center"/>
              <w:rPr>
                <w:b/>
                <w:sz w:val="24"/>
                <w:highlight w:val="none"/>
              </w:rPr>
            </w:pPr>
            <w:r>
              <w:rPr>
                <w:rFonts w:hint="eastAsia"/>
                <w:b/>
                <w:sz w:val="24"/>
                <w:highlight w:val="none"/>
              </w:rPr>
              <w:t>人数</w:t>
            </w:r>
          </w:p>
        </w:tc>
        <w:tc>
          <w:tcPr>
            <w:tcW w:w="4111" w:type="dxa"/>
            <w:noWrap w:val="0"/>
            <w:vAlign w:val="center"/>
          </w:tcPr>
          <w:p>
            <w:pPr>
              <w:spacing w:line="360" w:lineRule="auto"/>
              <w:jc w:val="center"/>
              <w:rPr>
                <w:b/>
                <w:sz w:val="24"/>
                <w:highlight w:val="none"/>
              </w:rPr>
            </w:pPr>
            <w:r>
              <w:rPr>
                <w:rFonts w:hint="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1</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清扫人数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5</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2</w:t>
            </w:r>
          </w:p>
        </w:tc>
        <w:tc>
          <w:tcPr>
            <w:tcW w:w="3402"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sz w:val="24"/>
                <w:highlight w:val="none"/>
              </w:rPr>
              <w:t>垃圾清运驾驶员</w:t>
            </w:r>
          </w:p>
        </w:tc>
        <w:tc>
          <w:tcPr>
            <w:tcW w:w="992"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3</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牛皮癣清除人数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含牛皮癣清除材料费用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4</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替班人数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按每六人安排一名替班人员计算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5</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管理人数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19" w:type="dxa"/>
            <w:gridSpan w:val="2"/>
            <w:noWrap w:val="0"/>
            <w:vAlign w:val="center"/>
          </w:tcPr>
          <w:p>
            <w:pPr>
              <w:spacing w:line="360" w:lineRule="auto"/>
              <w:jc w:val="center"/>
              <w:rPr>
                <w:sz w:val="24"/>
                <w:highlight w:val="none"/>
              </w:rPr>
            </w:pPr>
            <w:r>
              <w:rPr>
                <w:rFonts w:hint="eastAsia"/>
                <w:sz w:val="24"/>
                <w:highlight w:val="none"/>
              </w:rPr>
              <w:t>小计</w:t>
            </w:r>
          </w:p>
        </w:tc>
        <w:tc>
          <w:tcPr>
            <w:tcW w:w="992" w:type="dxa"/>
            <w:noWrap w:val="0"/>
            <w:vAlign w:val="center"/>
          </w:tcPr>
          <w:p>
            <w:pPr>
              <w:spacing w:line="360" w:lineRule="auto"/>
              <w:jc w:val="center"/>
              <w:rPr>
                <w:sz w:val="24"/>
                <w:highlight w:val="none"/>
              </w:rPr>
            </w:pPr>
            <w:r>
              <w:rPr>
                <w:rFonts w:hint="eastAsia"/>
                <w:sz w:val="24"/>
                <w:highlight w:val="none"/>
              </w:rPr>
              <w:t>9</w:t>
            </w:r>
          </w:p>
        </w:tc>
        <w:tc>
          <w:tcPr>
            <w:tcW w:w="4111" w:type="dxa"/>
            <w:noWrap w:val="0"/>
            <w:vAlign w:val="center"/>
          </w:tcPr>
          <w:p>
            <w:pPr>
              <w:spacing w:line="360" w:lineRule="auto"/>
              <w:jc w:val="center"/>
              <w:rPr>
                <w:sz w:val="24"/>
                <w:highlight w:val="none"/>
              </w:rPr>
            </w:pPr>
          </w:p>
        </w:tc>
      </w:tr>
    </w:tbl>
    <w:p>
      <w:pPr>
        <w:spacing w:line="360" w:lineRule="auto"/>
        <w:jc w:val="center"/>
        <w:rPr>
          <w:rFonts w:hint="eastAsia"/>
          <w:b/>
          <w:sz w:val="24"/>
          <w:highlight w:val="none"/>
        </w:rPr>
      </w:pPr>
    </w:p>
    <w:p>
      <w:pPr>
        <w:spacing w:line="360" w:lineRule="auto"/>
        <w:jc w:val="center"/>
        <w:rPr>
          <w:b/>
          <w:sz w:val="24"/>
          <w:highlight w:val="none"/>
        </w:rPr>
      </w:pPr>
      <w:r>
        <w:rPr>
          <w:rFonts w:hint="eastAsia"/>
          <w:b/>
          <w:sz w:val="24"/>
          <w:highlight w:val="none"/>
        </w:rPr>
        <w:t>2020年稠江街道凤凰社区清扫保洁清运总人数核定表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99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8" w:hRule="atLeast"/>
        </w:trPr>
        <w:tc>
          <w:tcPr>
            <w:tcW w:w="817" w:type="dxa"/>
            <w:noWrap w:val="0"/>
            <w:vAlign w:val="center"/>
          </w:tcPr>
          <w:p>
            <w:pPr>
              <w:spacing w:line="360" w:lineRule="auto"/>
              <w:jc w:val="center"/>
              <w:rPr>
                <w:b/>
                <w:sz w:val="24"/>
                <w:highlight w:val="none"/>
              </w:rPr>
            </w:pPr>
            <w:r>
              <w:rPr>
                <w:rFonts w:hint="eastAsia"/>
                <w:b/>
                <w:sz w:val="24"/>
                <w:highlight w:val="none"/>
              </w:rPr>
              <w:t>序号</w:t>
            </w:r>
          </w:p>
        </w:tc>
        <w:tc>
          <w:tcPr>
            <w:tcW w:w="3402" w:type="dxa"/>
            <w:noWrap w:val="0"/>
            <w:vAlign w:val="center"/>
          </w:tcPr>
          <w:p>
            <w:pPr>
              <w:spacing w:line="360" w:lineRule="auto"/>
              <w:jc w:val="center"/>
              <w:rPr>
                <w:b/>
                <w:sz w:val="24"/>
                <w:highlight w:val="none"/>
              </w:rPr>
            </w:pPr>
            <w:r>
              <w:rPr>
                <w:rFonts w:hint="eastAsia"/>
                <w:b/>
                <w:sz w:val="24"/>
                <w:highlight w:val="none"/>
              </w:rPr>
              <w:t>项目</w:t>
            </w:r>
          </w:p>
        </w:tc>
        <w:tc>
          <w:tcPr>
            <w:tcW w:w="992" w:type="dxa"/>
            <w:noWrap w:val="0"/>
            <w:vAlign w:val="center"/>
          </w:tcPr>
          <w:p>
            <w:pPr>
              <w:spacing w:line="360" w:lineRule="auto"/>
              <w:jc w:val="center"/>
              <w:rPr>
                <w:b/>
                <w:sz w:val="24"/>
                <w:highlight w:val="none"/>
              </w:rPr>
            </w:pPr>
            <w:r>
              <w:rPr>
                <w:rFonts w:hint="eastAsia"/>
                <w:b/>
                <w:sz w:val="24"/>
                <w:highlight w:val="none"/>
              </w:rPr>
              <w:t>人数</w:t>
            </w:r>
          </w:p>
        </w:tc>
        <w:tc>
          <w:tcPr>
            <w:tcW w:w="4111" w:type="dxa"/>
            <w:noWrap w:val="0"/>
            <w:vAlign w:val="center"/>
          </w:tcPr>
          <w:p>
            <w:pPr>
              <w:spacing w:line="360" w:lineRule="auto"/>
              <w:jc w:val="center"/>
              <w:rPr>
                <w:b/>
                <w:sz w:val="24"/>
                <w:highlight w:val="none"/>
              </w:rPr>
            </w:pPr>
            <w:r>
              <w:rPr>
                <w:rFonts w:hint="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1</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清扫人数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4</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2</w:t>
            </w:r>
          </w:p>
        </w:tc>
        <w:tc>
          <w:tcPr>
            <w:tcW w:w="3402"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sz w:val="24"/>
                <w:highlight w:val="none"/>
              </w:rPr>
              <w:t>垃圾清运驾驶员</w:t>
            </w:r>
          </w:p>
        </w:tc>
        <w:tc>
          <w:tcPr>
            <w:tcW w:w="992"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3</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牛皮癣清除人数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含牛皮癣清除材料费用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4</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替班人数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按每六人安排一名替班人员计算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5</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管理人数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19" w:type="dxa"/>
            <w:gridSpan w:val="2"/>
            <w:noWrap w:val="0"/>
            <w:vAlign w:val="center"/>
          </w:tcPr>
          <w:p>
            <w:pPr>
              <w:spacing w:line="360" w:lineRule="auto"/>
              <w:jc w:val="center"/>
              <w:rPr>
                <w:sz w:val="24"/>
                <w:highlight w:val="none"/>
              </w:rPr>
            </w:pPr>
            <w:r>
              <w:rPr>
                <w:rFonts w:hint="eastAsia"/>
                <w:sz w:val="24"/>
                <w:highlight w:val="none"/>
              </w:rPr>
              <w:t>小计</w:t>
            </w:r>
          </w:p>
        </w:tc>
        <w:tc>
          <w:tcPr>
            <w:tcW w:w="992" w:type="dxa"/>
            <w:noWrap w:val="0"/>
            <w:vAlign w:val="center"/>
          </w:tcPr>
          <w:p>
            <w:pPr>
              <w:spacing w:line="360" w:lineRule="auto"/>
              <w:jc w:val="center"/>
              <w:rPr>
                <w:sz w:val="24"/>
                <w:highlight w:val="none"/>
              </w:rPr>
            </w:pPr>
            <w:r>
              <w:rPr>
                <w:rFonts w:hint="eastAsia"/>
                <w:sz w:val="24"/>
                <w:highlight w:val="none"/>
              </w:rPr>
              <w:t>8</w:t>
            </w:r>
          </w:p>
        </w:tc>
        <w:tc>
          <w:tcPr>
            <w:tcW w:w="4111" w:type="dxa"/>
            <w:noWrap w:val="0"/>
            <w:vAlign w:val="center"/>
          </w:tcPr>
          <w:p>
            <w:pPr>
              <w:spacing w:line="360" w:lineRule="auto"/>
              <w:jc w:val="center"/>
              <w:rPr>
                <w:sz w:val="24"/>
                <w:highlight w:val="none"/>
              </w:rPr>
            </w:pPr>
          </w:p>
        </w:tc>
      </w:tr>
    </w:tbl>
    <w:p>
      <w:pPr>
        <w:pStyle w:val="13"/>
        <w:spacing w:line="360" w:lineRule="auto"/>
        <w:rPr>
          <w:rFonts w:ascii="Times New Roman" w:hAnsi="Times New Roman"/>
          <w:b/>
          <w:bCs/>
          <w:sz w:val="24"/>
          <w:highlight w:val="none"/>
        </w:rPr>
      </w:pPr>
      <w:r>
        <w:rPr>
          <w:rFonts w:hint="eastAsia" w:hAnsi="宋体" w:cs="宋体"/>
          <w:b/>
          <w:sz w:val="24"/>
          <w:highlight w:val="none"/>
        </w:rPr>
        <w:t>★</w:t>
      </w:r>
      <w:r>
        <w:rPr>
          <w:rFonts w:hint="eastAsia" w:ascii="Times New Roman" w:hAnsi="Times New Roman"/>
          <w:b/>
          <w:bCs/>
          <w:sz w:val="24"/>
          <w:highlight w:val="none"/>
        </w:rPr>
        <w:t>3、锦都社区</w:t>
      </w:r>
      <w:r>
        <w:rPr>
          <w:rFonts w:hint="eastAsia"/>
          <w:b/>
          <w:sz w:val="24"/>
          <w:highlight w:val="none"/>
        </w:rPr>
        <w:t>车辆配置要求</w:t>
      </w:r>
    </w:p>
    <w:p>
      <w:pPr>
        <w:widowControl/>
        <w:spacing w:line="360" w:lineRule="auto"/>
        <w:ind w:firstLine="480" w:firstLineChars="200"/>
        <w:jc w:val="left"/>
        <w:rPr>
          <w:rFonts w:hint="eastAsia" w:ascii="新宋体" w:hAnsi="新宋体" w:eastAsia="新宋体" w:cs="Courier New"/>
          <w:sz w:val="24"/>
          <w:highlight w:val="none"/>
        </w:rPr>
      </w:pPr>
      <w:r>
        <w:rPr>
          <w:b/>
          <w:color w:val="000000"/>
          <w:sz w:val="24"/>
          <w:highlight w:val="none"/>
        </w:rPr>
        <w:t>中标单位在合同签订前至少应配备以下要求的车辆和工具投入到本项目的运营</w:t>
      </w:r>
      <w:r>
        <w:rPr>
          <w:rFonts w:hint="eastAsia"/>
          <w:b/>
          <w:color w:val="000000"/>
          <w:sz w:val="24"/>
          <w:highlight w:val="none"/>
        </w:rPr>
        <w:t>（如若不够，中标人应自行添置设备，直到满足垃圾清运等要求，相关费用包含在合同总价中，请投标人报价时自行考虑。）</w:t>
      </w:r>
      <w:r>
        <w:rPr>
          <w:b/>
          <w:sz w:val="24"/>
          <w:highlight w:val="none"/>
        </w:rPr>
        <w:t>：</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自装卸式垃圾分类收</w:t>
      </w:r>
      <w:r>
        <w:rPr>
          <w:rFonts w:hint="eastAsia" w:ascii="新宋体" w:hAnsi="新宋体" w:eastAsia="新宋体" w:cs="Courier New"/>
          <w:sz w:val="24"/>
          <w:highlight w:val="none"/>
        </w:rPr>
        <w:t>运</w:t>
      </w:r>
      <w:r>
        <w:rPr>
          <w:rFonts w:ascii="新宋体" w:hAnsi="新宋体" w:eastAsia="新宋体" w:cs="Courier New"/>
          <w:sz w:val="24"/>
          <w:highlight w:val="none"/>
        </w:rPr>
        <w:t>车</w:t>
      </w:r>
      <w:r>
        <w:rPr>
          <w:rFonts w:hint="eastAsia" w:ascii="新宋体" w:hAnsi="新宋体" w:eastAsia="新宋体" w:cs="Courier New"/>
          <w:sz w:val="24"/>
          <w:highlight w:val="none"/>
        </w:rPr>
        <w:t>1辆。</w:t>
      </w:r>
    </w:p>
    <w:p>
      <w:pPr>
        <w:widowControl/>
        <w:spacing w:line="360" w:lineRule="auto"/>
        <w:jc w:val="left"/>
        <w:rPr>
          <w:b/>
          <w:sz w:val="24"/>
          <w:highlight w:val="none"/>
        </w:rPr>
      </w:pPr>
      <w:r>
        <w:rPr>
          <w:rFonts w:hint="eastAsia" w:ascii="宋体" w:hAnsi="宋体" w:cs="宋体"/>
          <w:b/>
          <w:sz w:val="24"/>
          <w:highlight w:val="none"/>
        </w:rPr>
        <w:t>★</w:t>
      </w:r>
      <w:r>
        <w:rPr>
          <w:rFonts w:hint="eastAsia"/>
          <w:b/>
          <w:bCs/>
          <w:sz w:val="24"/>
          <w:highlight w:val="none"/>
        </w:rPr>
        <w:t>4、凤凰社区</w:t>
      </w:r>
      <w:r>
        <w:rPr>
          <w:rFonts w:hint="eastAsia"/>
          <w:b/>
          <w:sz w:val="24"/>
          <w:highlight w:val="none"/>
        </w:rPr>
        <w:t>车辆配置要求</w:t>
      </w:r>
    </w:p>
    <w:p>
      <w:pPr>
        <w:widowControl/>
        <w:spacing w:line="360" w:lineRule="auto"/>
        <w:ind w:firstLine="480" w:firstLineChars="200"/>
        <w:jc w:val="left"/>
        <w:rPr>
          <w:rFonts w:hint="eastAsia" w:ascii="新宋体" w:hAnsi="新宋体" w:eastAsia="新宋体" w:cs="Courier New"/>
          <w:sz w:val="24"/>
          <w:highlight w:val="none"/>
        </w:rPr>
      </w:pPr>
      <w:r>
        <w:rPr>
          <w:b/>
          <w:color w:val="000000"/>
          <w:sz w:val="24"/>
          <w:highlight w:val="none"/>
        </w:rPr>
        <w:t>中标单位在合同签订前至少应配备以下要求的车辆和工具投入到本项目的运营</w:t>
      </w:r>
      <w:r>
        <w:rPr>
          <w:rFonts w:hint="eastAsia"/>
          <w:b/>
          <w:color w:val="000000"/>
          <w:sz w:val="24"/>
          <w:highlight w:val="none"/>
        </w:rPr>
        <w:t>（如若不够，中标人应自行添置设备，直到满足清运要求，相关费用包含在合同总价中，请投标人报价时自行考虑。）</w:t>
      </w:r>
      <w:r>
        <w:rPr>
          <w:b/>
          <w:sz w:val="24"/>
          <w:highlight w:val="none"/>
        </w:rPr>
        <w:t>：</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自装卸式垃圾分类收</w:t>
      </w:r>
      <w:r>
        <w:rPr>
          <w:rFonts w:hint="eastAsia" w:ascii="新宋体" w:hAnsi="新宋体" w:eastAsia="新宋体" w:cs="Courier New"/>
          <w:sz w:val="24"/>
          <w:highlight w:val="none"/>
        </w:rPr>
        <w:t>运</w:t>
      </w:r>
      <w:r>
        <w:rPr>
          <w:rFonts w:ascii="新宋体" w:hAnsi="新宋体" w:eastAsia="新宋体" w:cs="Courier New"/>
          <w:sz w:val="24"/>
          <w:highlight w:val="none"/>
        </w:rPr>
        <w:t>车</w:t>
      </w:r>
      <w:r>
        <w:rPr>
          <w:rFonts w:hint="eastAsia" w:ascii="新宋体" w:hAnsi="新宋体" w:eastAsia="新宋体" w:cs="Courier New"/>
          <w:sz w:val="24"/>
          <w:highlight w:val="none"/>
        </w:rPr>
        <w:t>1辆。</w:t>
      </w:r>
    </w:p>
    <w:p>
      <w:pPr>
        <w:widowControl/>
        <w:spacing w:line="360" w:lineRule="auto"/>
        <w:jc w:val="left"/>
        <w:rPr>
          <w:rFonts w:hint="eastAsia"/>
          <w:b/>
          <w:sz w:val="24"/>
          <w:highlight w:val="none"/>
        </w:rPr>
      </w:pPr>
    </w:p>
    <w:p>
      <w:pPr>
        <w:widowControl/>
        <w:spacing w:line="360" w:lineRule="auto"/>
        <w:jc w:val="left"/>
        <w:rPr>
          <w:rFonts w:hint="eastAsia"/>
          <w:b/>
          <w:sz w:val="24"/>
          <w:highlight w:val="none"/>
        </w:rPr>
      </w:pPr>
      <w:r>
        <w:rPr>
          <w:rFonts w:hint="eastAsia"/>
          <w:b/>
          <w:sz w:val="24"/>
          <w:highlight w:val="none"/>
        </w:rPr>
        <w:t>（二）标段二：松门里社区道路基本情况、人员配备和车辆配置要求</w:t>
      </w:r>
    </w:p>
    <w:p>
      <w:pPr>
        <w:widowControl/>
        <w:spacing w:line="360" w:lineRule="auto"/>
        <w:jc w:val="left"/>
        <w:rPr>
          <w:b/>
          <w:sz w:val="24"/>
          <w:highlight w:val="none"/>
        </w:rPr>
      </w:pPr>
      <w:r>
        <w:rPr>
          <w:rFonts w:hint="eastAsia"/>
          <w:b/>
          <w:sz w:val="24"/>
          <w:highlight w:val="none"/>
        </w:rPr>
        <w:t>1、松门里社区道路基本情况</w:t>
      </w:r>
    </w:p>
    <w:tbl>
      <w:tblPr>
        <w:tblStyle w:val="25"/>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713"/>
        <w:gridCol w:w="1239"/>
        <w:gridCol w:w="1194"/>
        <w:gridCol w:w="13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spacing w:line="360" w:lineRule="auto"/>
              <w:jc w:val="center"/>
              <w:rPr>
                <w:b/>
                <w:sz w:val="24"/>
                <w:highlight w:val="none"/>
              </w:rPr>
            </w:pPr>
            <w:r>
              <w:rPr>
                <w:b/>
                <w:sz w:val="24"/>
                <w:highlight w:val="none"/>
              </w:rPr>
              <w:t>序号</w:t>
            </w:r>
          </w:p>
        </w:tc>
        <w:tc>
          <w:tcPr>
            <w:tcW w:w="4713" w:type="dxa"/>
            <w:noWrap w:val="0"/>
            <w:vAlign w:val="center"/>
          </w:tcPr>
          <w:p>
            <w:pPr>
              <w:widowControl/>
              <w:spacing w:line="360" w:lineRule="auto"/>
              <w:jc w:val="center"/>
              <w:rPr>
                <w:b/>
                <w:sz w:val="24"/>
                <w:highlight w:val="none"/>
              </w:rPr>
            </w:pPr>
            <w:r>
              <w:rPr>
                <w:b/>
                <w:sz w:val="24"/>
                <w:highlight w:val="none"/>
              </w:rPr>
              <w:t>路名</w:t>
            </w:r>
          </w:p>
        </w:tc>
        <w:tc>
          <w:tcPr>
            <w:tcW w:w="1239" w:type="dxa"/>
            <w:noWrap w:val="0"/>
            <w:vAlign w:val="center"/>
          </w:tcPr>
          <w:p>
            <w:pPr>
              <w:widowControl/>
              <w:spacing w:line="360" w:lineRule="auto"/>
              <w:jc w:val="center"/>
              <w:rPr>
                <w:b/>
                <w:sz w:val="24"/>
                <w:highlight w:val="none"/>
              </w:rPr>
            </w:pPr>
            <w:r>
              <w:rPr>
                <w:b/>
                <w:sz w:val="24"/>
                <w:highlight w:val="none"/>
              </w:rPr>
              <w:t>清扫面积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194" w:type="dxa"/>
            <w:noWrap w:val="0"/>
            <w:vAlign w:val="center"/>
          </w:tcPr>
          <w:p>
            <w:pPr>
              <w:widowControl/>
              <w:spacing w:line="360" w:lineRule="auto"/>
              <w:jc w:val="center"/>
              <w:rPr>
                <w:b/>
                <w:sz w:val="24"/>
                <w:highlight w:val="none"/>
              </w:rPr>
            </w:pPr>
            <w:r>
              <w:rPr>
                <w:b/>
                <w:sz w:val="24"/>
                <w:highlight w:val="none"/>
              </w:rPr>
              <w:t>保洁面积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395" w:type="dxa"/>
            <w:noWrap w:val="0"/>
            <w:vAlign w:val="center"/>
          </w:tcPr>
          <w:p>
            <w:pPr>
              <w:widowControl/>
              <w:spacing w:line="360" w:lineRule="auto"/>
              <w:jc w:val="center"/>
              <w:rPr>
                <w:b/>
                <w:sz w:val="24"/>
                <w:highlight w:val="none"/>
              </w:rPr>
            </w:pPr>
            <w:r>
              <w:rPr>
                <w:b/>
                <w:sz w:val="24"/>
                <w:highlight w:val="none"/>
              </w:rPr>
              <w:t>道路等级</w:t>
            </w:r>
          </w:p>
        </w:tc>
        <w:tc>
          <w:tcPr>
            <w:tcW w:w="850" w:type="dxa"/>
            <w:noWrap w:val="0"/>
            <w:vAlign w:val="center"/>
          </w:tcPr>
          <w:p>
            <w:pPr>
              <w:widowControl/>
              <w:spacing w:line="360" w:lineRule="auto"/>
              <w:jc w:val="center"/>
              <w:rPr>
                <w:b/>
                <w:sz w:val="24"/>
                <w:highlight w:val="none"/>
              </w:rPr>
            </w:pPr>
            <w:r>
              <w:rPr>
                <w:b/>
                <w:sz w:val="24"/>
                <w:highlight w:val="none"/>
              </w:rPr>
              <w:t>台班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spacing w:line="360" w:lineRule="auto"/>
              <w:jc w:val="center"/>
              <w:rPr>
                <w:sz w:val="24"/>
                <w:highlight w:val="none"/>
              </w:rPr>
            </w:pPr>
            <w:r>
              <w:rPr>
                <w:rFonts w:hint="eastAsia"/>
                <w:b/>
                <w:sz w:val="24"/>
                <w:highlight w:val="none"/>
              </w:rPr>
              <w:t>松门里社区道路基本情况（松门山区块）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察院厅路（戚继光路至国贸大道）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7740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生力路（察院厅路至稠州西路）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2130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450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松门里路（戚继光路至国贸大道桥洞）</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9450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松门里路（原王斌相框围墙绿化带硬化）</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754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3</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松门里东区干道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东区5至3幢之间路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247</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东区5幢前路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171</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东区11幢前路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171</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东区10至11幢之间路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624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东区9至10幢之间路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624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9幢北面路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东区2至3幢之间路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484.5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1至2幢之间路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510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1幢北面路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765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松门山综合楼东面主道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1576</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松门山1-2幢之间路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420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松门山3-2幢之间路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4-3幢之间路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410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5-4幢之间路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28816.5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610</w:t>
            </w:r>
          </w:p>
        </w:tc>
        <w:tc>
          <w:tcPr>
            <w:tcW w:w="1395" w:type="dxa"/>
            <w:noWrap w:val="0"/>
            <w:vAlign w:val="center"/>
          </w:tcPr>
          <w:p>
            <w:pPr>
              <w:widowControl/>
              <w:jc w:val="center"/>
              <w:rPr>
                <w:rFonts w:ascii="宋体" w:hAnsi="宋体" w:cs="宋体"/>
                <w:kern w:val="0"/>
                <w:sz w:val="24"/>
                <w:highlight w:val="none"/>
              </w:rPr>
            </w:pPr>
          </w:p>
        </w:tc>
        <w:tc>
          <w:tcPr>
            <w:tcW w:w="850" w:type="dxa"/>
            <w:noWrap w:val="0"/>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松门里社区道路基本情况（松门山区块）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6-5幢之间路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6幢后面至综合楼之间路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综合楼后村主道、至经发大道店面</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综合楼东村干道至戚继光通道1</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综合楼东村干道至戚继光通道2</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1幢前面路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经发大道店面屋后路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4500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松门山村朝经发大道出口1</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松门山村朝经发大道出口2</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配电房边7幢前路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7-8幢之间路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210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8-9幢之间路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210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松门山9-10幢之间路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9130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510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松门里社区道路基本情况（松门山区块）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28幢两面至松门山路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28幢至29幢之间路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27至28幢之间路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26至27幢之间路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25至26幢之间路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33至32幢之间路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32至31幢之间路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31至21幢北边路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松门里路店面后面</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630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21至26幢之间、松门里至经发大道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24至23幢之间路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23至22幢之间路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22至21幢之间路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9幢至24幢中间、松门里路至移动中心</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7680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1025</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松门里社区道路基本情况（松门山区块）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电信移动中心至经发大道边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未拆旧屋四周路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松门山东区停车场（国贸大道旁）</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1530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1920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松门山东区2幢1单元旁</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松门山东区1幢1单元旁停车场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187</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bCs/>
                <w:kern w:val="0"/>
                <w:sz w:val="18"/>
                <w:szCs w:val="18"/>
                <w:highlight w:val="none"/>
              </w:rPr>
            </w:pPr>
            <w:r>
              <w:rPr>
                <w:rFonts w:hint="eastAsia" w:ascii="宋体" w:hAnsi="宋体" w:cs="宋体"/>
                <w:bCs/>
                <w:kern w:val="0"/>
                <w:sz w:val="18"/>
                <w:szCs w:val="18"/>
                <w:highlight w:val="none"/>
              </w:rPr>
              <w:t>松门山东区9幢前及松门里路505号边临时停车场</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2000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　</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松门山东区9幢西侧停车场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松门山东区29幢到30幢西侧</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松门山东区29幢30幢之间路段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119</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经发大道268至242号后面路段加宽</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171</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松门山东区37幢至38幢后面路段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792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松门山东区37幢至38幢后面路段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496</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松门山东区33幢店面前面路段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312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松门山东区32幢与33幢之间新造路段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8707</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1920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松门里社区道路基本情况（松门山区块）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松门山东区31幢与32幢之间新造路段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松门山东区37幢与38幢之间路段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松门山东区37幢与38幢之间路段人行道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松门山路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4830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3</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松门山西区15幢与16幢之间路段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松门山西区15幢与16幢之间路段人行道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松门山西区15幢与8幢之间新建路段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松门山西区8幢与松门山小学之间新建路段</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松门山西区公园</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2600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6705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2600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松门里社区道路基本情况（大水畈区块）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37幢南面路、枫华路至静安户围墙</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616</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37幢至36幢到西城路口</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76.5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大水畈活动场所37幢前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544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23-24幢至枫华路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22-23幢、枫华路至一清路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1914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21-22幢、枫华路至一清路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2262</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20-21幢、枫华路至一清路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1914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19-20幢、枫华路至一清路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1914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18-19幢、枫华路至一清路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1914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18-34幢、枫华路至一清路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1914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33-34幢隔幢路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18-13幢隔幢路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19-14幢隔幢路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20-15幢隔幢路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21-16幢隔幢路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14018.5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松门里社区道路基本情况（大水畈区块）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22-17幢间隔幢路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67.5</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12-17幢间隔幢路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174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11-16幢间隔幢路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174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10-15幢间隔路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174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9-14幢间隔路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174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8-13幢间隔路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174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7-12幢间隔路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174</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1-7幢间隔路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2-8幢间隔路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3-9幢间隔路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4-10幢间隔路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5-11幢间隔路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6-12幢间隔路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90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1幢7幢前路、一清至察院路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1195</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一清路：西城路至察院路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2650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5496.5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松门里社区道路基本情况（大水畈区块）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综合楼前路：一清路至配电房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352.5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配电房南水泥地</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综合楼朝东屋后至简易房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综合楼南面路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38幢前路：枫华路至校舍围墙</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384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配电房西路：配电房南至西城路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315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枫华路：西城路至经发大道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松门里路（枫华路至戚继光路）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6840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松门里路至大水畈南路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大水畈环村南路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2530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26幢前面路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77</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16</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27幢前面路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495</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7</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28幢前面路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715</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50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29幢前面路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715</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30幢前面路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726</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4</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32064.5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773</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松门里社区道路基本情况（大水畈区块）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30幢后面路（枫华路至厅西路）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536</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厅西路（30幢至26幢）</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704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bCs/>
                <w:kern w:val="0"/>
                <w:szCs w:val="21"/>
                <w:highlight w:val="none"/>
              </w:rPr>
            </w:pPr>
            <w:r>
              <w:rPr>
                <w:rFonts w:hint="eastAsia" w:ascii="宋体" w:hAnsi="宋体" w:cs="宋体"/>
                <w:bCs/>
                <w:kern w:val="0"/>
                <w:szCs w:val="21"/>
                <w:highlight w:val="none"/>
              </w:rPr>
              <w:t>察院厅路（枫华路至戚继光路）</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8292.5</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800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3</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发森泡沫厂东边路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顺时针西边路（2号路）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1212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小红莓东边路（1号路）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1212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环村东路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土地殿周边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吴宝至禄银屋</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吴明屋前路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禄银屋前路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彩英屋前路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奎新屋至森泉路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奎新屋前路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祥银、彩英屋边路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15516.5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2200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松门里社区道路基本情况（大水畈区块）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27至28幢间延伸东面路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26至27幢间延伸东面路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25幢间延伸东面路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国松屋前路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祥娥饰品厂至厅东面路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厅前及周边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518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厅前路29幢至土地殿路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发森泡沫厂西、村东</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一清路北向南延伸路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31幢至枫华路村中路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1890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一浪屋前路（枫华路至察院路）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1575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辉洪屋前路（枫华路至诚民屋）</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1575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15"/>
                <w:szCs w:val="15"/>
                <w:highlight w:val="none"/>
              </w:rPr>
            </w:pPr>
            <w:r>
              <w:rPr>
                <w:rFonts w:hint="eastAsia" w:ascii="宋体" w:hAnsi="宋体" w:cs="宋体"/>
                <w:kern w:val="0"/>
                <w:szCs w:val="21"/>
                <w:highlight w:val="none"/>
              </w:rPr>
              <w:t>辉春屋前路</w:t>
            </w:r>
            <w:r>
              <w:rPr>
                <w:rFonts w:hint="eastAsia" w:ascii="宋体" w:hAnsi="宋体" w:cs="宋体"/>
                <w:kern w:val="0"/>
                <w:sz w:val="15"/>
                <w:szCs w:val="15"/>
                <w:highlight w:val="none"/>
              </w:rPr>
              <w:t>（枫华路至村老办公室前）</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村留商务用地</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厅西路延伸至察院路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1号停车场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792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2号停车场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592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察院厅</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855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1477</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村文化礼堂</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大水畈广场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3723</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22480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7177</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松门里社区道路基本情况（五里松区块）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宗泽东路（西城路至未建路）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宗泽北路靠西城路东西向1号路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宗泽东至西向2号路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宗泽东至西向3号路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西城路边宗泽村东北角</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隔栋（1号路）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宗宅东至西向4号路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宗宅东至西向5号路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宗宅东至西向6号路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1212.5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2号至6号两幢间隔路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宗泽东路（至城镇职校围墙）</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宗泽南路（至城镇职校北面围墙）</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宗泽村中大道（西城路至村南路）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3135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村中路、西城路至村南边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1330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14977.5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2"/>
                <w:szCs w:val="22"/>
                <w:highlight w:val="none"/>
              </w:rPr>
            </w:pPr>
            <w:r>
              <w:rPr>
                <w:rFonts w:hint="eastAsia"/>
                <w:b/>
                <w:sz w:val="24"/>
                <w:highlight w:val="none"/>
              </w:rPr>
              <w:t>松门里社区道路基本情况（五里松区块）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昌弟屋前路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村前南路（村东至村西）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村西路（西城路至村南路）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3200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教堂周边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9500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经发大道至教堂路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宗泽西（1村西路至村中大道东至西）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864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宗泽西（2村西路至村中大道东至西）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864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宗泽西（3村西路至村中大道东至西）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864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宗泽西（4村西路至村中大道东至西）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864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宗泽西（5村西路至村中大道东至西）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864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宗泽西（6村西路至村中大道东至西）</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864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宗泽西1至6隔幢路、南至北</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宗泽村西北角靠西城路边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bCs/>
                <w:kern w:val="0"/>
                <w:sz w:val="24"/>
                <w:highlight w:val="none"/>
              </w:rPr>
            </w:pPr>
            <w:r>
              <w:rPr>
                <w:rFonts w:hint="eastAsia" w:ascii="宋体" w:hAnsi="宋体" w:cs="宋体"/>
                <w:bCs/>
                <w:kern w:val="0"/>
                <w:sz w:val="24"/>
                <w:highlight w:val="none"/>
              </w:rPr>
              <w:t>察院厅路（枫华路至经发大道）</w:t>
            </w:r>
          </w:p>
        </w:tc>
        <w:tc>
          <w:tcPr>
            <w:tcW w:w="1239"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5030</w:t>
            </w:r>
          </w:p>
        </w:tc>
        <w:tc>
          <w:tcPr>
            <w:tcW w:w="1194"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230</w:t>
            </w:r>
          </w:p>
        </w:tc>
        <w:tc>
          <w:tcPr>
            <w:tcW w:w="1395"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3</w:t>
            </w:r>
          </w:p>
        </w:tc>
        <w:tc>
          <w:tcPr>
            <w:tcW w:w="850" w:type="dxa"/>
            <w:noWrap w:val="0"/>
            <w:vAlign w:val="center"/>
          </w:tcPr>
          <w:p>
            <w:pPr>
              <w:widowControl/>
              <w:jc w:val="center"/>
              <w:rPr>
                <w:rFonts w:ascii="宋体" w:hAnsi="宋体" w:cs="宋体"/>
                <w:bCs/>
                <w:kern w:val="0"/>
                <w:sz w:val="24"/>
                <w:highlight w:val="none"/>
              </w:rPr>
            </w:pPr>
            <w:r>
              <w:rPr>
                <w:rFonts w:hint="eastAsia" w:ascii="宋体" w:hAnsi="宋体" w:cs="宋体"/>
                <w:bCs/>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模具城南北通道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模具城东西通道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19254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9930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jc w:val="center"/>
              <w:rPr>
                <w:rFonts w:ascii="宋体" w:hAnsi="宋体" w:cs="宋体"/>
                <w:kern w:val="0"/>
                <w:sz w:val="24"/>
                <w:highlight w:val="none"/>
              </w:rPr>
            </w:pPr>
            <w:r>
              <w:rPr>
                <w:rFonts w:hint="eastAsia"/>
                <w:b/>
                <w:sz w:val="24"/>
                <w:highlight w:val="none"/>
              </w:rPr>
              <w:t>松门里社区道路基本情况（五里松区块）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教工宿舍西城路进入道路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教工宿舍内部道路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西城路（模具城至五里松绿化带）</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西城路（五里松绿化带至枫华路）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大水畈38－39幢之间通道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大水畈38幢－社区之间通道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经发大道316屋后路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504</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经发大道318号后面</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175.5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经发大道348号平房后面</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432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经发大道348号后面</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西城路837号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440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西城路839号洗车场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320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西城路789号</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五里松小区教堂边</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3920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五里松小区篮球场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3068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right"/>
              <w:rPr>
                <w:rFonts w:ascii="宋体" w:hAnsi="宋体" w:cs="宋体"/>
                <w:kern w:val="0"/>
                <w:sz w:val="24"/>
                <w:highlight w:val="none"/>
              </w:rPr>
            </w:pPr>
            <w:r>
              <w:rPr>
                <w:rFonts w:hint="eastAsia" w:ascii="宋体" w:hAnsi="宋体" w:cs="宋体"/>
                <w:kern w:val="0"/>
                <w:sz w:val="24"/>
                <w:highlight w:val="none"/>
              </w:rPr>
              <w:t>16489.5</w:t>
            </w:r>
          </w:p>
        </w:tc>
        <w:tc>
          <w:tcPr>
            <w:tcW w:w="1194" w:type="dxa"/>
            <w:noWrap w:val="0"/>
            <w:vAlign w:val="center"/>
          </w:tcPr>
          <w:p>
            <w:pPr>
              <w:widowControl/>
              <w:jc w:val="right"/>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bl>
    <w:p>
      <w:pPr>
        <w:widowControl/>
        <w:spacing w:line="360" w:lineRule="auto"/>
        <w:jc w:val="left"/>
        <w:rPr>
          <w:rFonts w:hint="eastAsia"/>
          <w:b/>
          <w:sz w:val="24"/>
          <w:highlight w:val="none"/>
        </w:rPr>
      </w:pPr>
    </w:p>
    <w:p>
      <w:pPr>
        <w:widowControl/>
        <w:spacing w:line="360" w:lineRule="auto"/>
        <w:jc w:val="left"/>
        <w:rPr>
          <w:b/>
          <w:sz w:val="24"/>
          <w:highlight w:val="none"/>
        </w:rPr>
      </w:pPr>
      <w:r>
        <w:rPr>
          <w:rFonts w:hint="eastAsia" w:ascii="宋体" w:hAnsi="宋体" w:cs="宋体"/>
          <w:b/>
          <w:sz w:val="24"/>
          <w:highlight w:val="none"/>
        </w:rPr>
        <w:t>★</w:t>
      </w:r>
      <w:r>
        <w:rPr>
          <w:rFonts w:hint="eastAsia"/>
          <w:b/>
          <w:sz w:val="24"/>
          <w:highlight w:val="none"/>
        </w:rPr>
        <w:t>2、人员配备要求</w:t>
      </w:r>
    </w:p>
    <w:p>
      <w:pPr>
        <w:spacing w:line="360" w:lineRule="auto"/>
        <w:jc w:val="center"/>
        <w:rPr>
          <w:b/>
          <w:sz w:val="24"/>
          <w:highlight w:val="none"/>
        </w:rPr>
      </w:pPr>
      <w:r>
        <w:rPr>
          <w:rFonts w:hint="eastAsia"/>
          <w:b/>
          <w:sz w:val="24"/>
          <w:highlight w:val="none"/>
        </w:rPr>
        <w:t>2020年稠江街道松门里社区清扫保洁清运总人数核定表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404"/>
        <w:gridCol w:w="993"/>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 w:hRule="atLeast"/>
        </w:trPr>
        <w:tc>
          <w:tcPr>
            <w:tcW w:w="818" w:type="dxa"/>
            <w:noWrap w:val="0"/>
            <w:vAlign w:val="center"/>
          </w:tcPr>
          <w:p>
            <w:pPr>
              <w:spacing w:line="360" w:lineRule="auto"/>
              <w:jc w:val="center"/>
              <w:rPr>
                <w:b/>
                <w:sz w:val="24"/>
                <w:highlight w:val="none"/>
              </w:rPr>
            </w:pPr>
            <w:r>
              <w:rPr>
                <w:rFonts w:hint="eastAsia"/>
                <w:b/>
                <w:sz w:val="24"/>
                <w:highlight w:val="none"/>
              </w:rPr>
              <w:t>序号</w:t>
            </w:r>
          </w:p>
        </w:tc>
        <w:tc>
          <w:tcPr>
            <w:tcW w:w="3404" w:type="dxa"/>
            <w:noWrap w:val="0"/>
            <w:vAlign w:val="center"/>
          </w:tcPr>
          <w:p>
            <w:pPr>
              <w:spacing w:line="360" w:lineRule="auto"/>
              <w:jc w:val="center"/>
              <w:rPr>
                <w:b/>
                <w:sz w:val="24"/>
                <w:highlight w:val="none"/>
              </w:rPr>
            </w:pPr>
            <w:r>
              <w:rPr>
                <w:rFonts w:hint="eastAsia"/>
                <w:b/>
                <w:sz w:val="24"/>
                <w:highlight w:val="none"/>
              </w:rPr>
              <w:t>项目</w:t>
            </w:r>
          </w:p>
        </w:tc>
        <w:tc>
          <w:tcPr>
            <w:tcW w:w="993" w:type="dxa"/>
            <w:noWrap w:val="0"/>
            <w:vAlign w:val="center"/>
          </w:tcPr>
          <w:p>
            <w:pPr>
              <w:spacing w:line="360" w:lineRule="auto"/>
              <w:jc w:val="center"/>
              <w:rPr>
                <w:b/>
                <w:sz w:val="24"/>
                <w:highlight w:val="none"/>
              </w:rPr>
            </w:pPr>
            <w:r>
              <w:rPr>
                <w:rFonts w:hint="eastAsia"/>
                <w:b/>
                <w:sz w:val="24"/>
                <w:highlight w:val="none"/>
              </w:rPr>
              <w:t>人数</w:t>
            </w:r>
          </w:p>
        </w:tc>
        <w:tc>
          <w:tcPr>
            <w:tcW w:w="4114" w:type="dxa"/>
            <w:noWrap w:val="0"/>
            <w:vAlign w:val="center"/>
          </w:tcPr>
          <w:p>
            <w:pPr>
              <w:spacing w:line="360" w:lineRule="auto"/>
              <w:jc w:val="center"/>
              <w:rPr>
                <w:b/>
                <w:sz w:val="24"/>
                <w:highlight w:val="none"/>
              </w:rPr>
            </w:pPr>
            <w:r>
              <w:rPr>
                <w:rFonts w:hint="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trPr>
        <w:tc>
          <w:tcPr>
            <w:tcW w:w="818" w:type="dxa"/>
            <w:noWrap w:val="0"/>
            <w:vAlign w:val="center"/>
          </w:tcPr>
          <w:p>
            <w:pPr>
              <w:spacing w:line="360" w:lineRule="auto"/>
              <w:jc w:val="center"/>
              <w:rPr>
                <w:sz w:val="24"/>
                <w:highlight w:val="none"/>
              </w:rPr>
            </w:pPr>
            <w:r>
              <w:rPr>
                <w:rFonts w:hint="eastAsia"/>
                <w:sz w:val="24"/>
                <w:highlight w:val="none"/>
              </w:rPr>
              <w:t>1</w:t>
            </w:r>
          </w:p>
        </w:tc>
        <w:tc>
          <w:tcPr>
            <w:tcW w:w="340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清扫人数</w:t>
            </w:r>
          </w:p>
        </w:tc>
        <w:tc>
          <w:tcPr>
            <w:tcW w:w="99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31</w:t>
            </w:r>
          </w:p>
        </w:tc>
        <w:tc>
          <w:tcPr>
            <w:tcW w:w="411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trPr>
        <w:tc>
          <w:tcPr>
            <w:tcW w:w="818" w:type="dxa"/>
            <w:noWrap w:val="0"/>
            <w:vAlign w:val="center"/>
          </w:tcPr>
          <w:p>
            <w:pPr>
              <w:spacing w:line="360" w:lineRule="auto"/>
              <w:jc w:val="center"/>
              <w:rPr>
                <w:sz w:val="24"/>
                <w:highlight w:val="none"/>
              </w:rPr>
            </w:pPr>
            <w:r>
              <w:rPr>
                <w:rFonts w:hint="eastAsia"/>
                <w:sz w:val="24"/>
                <w:highlight w:val="none"/>
              </w:rPr>
              <w:t>2</w:t>
            </w:r>
          </w:p>
        </w:tc>
        <w:tc>
          <w:tcPr>
            <w:tcW w:w="3404"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sz w:val="24"/>
                <w:highlight w:val="none"/>
              </w:rPr>
              <w:t>垃圾清运驾驶员</w:t>
            </w:r>
          </w:p>
        </w:tc>
        <w:tc>
          <w:tcPr>
            <w:tcW w:w="993"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ascii="宋体" w:cs="宋体"/>
                <w:color w:val="000000"/>
                <w:kern w:val="0"/>
                <w:sz w:val="24"/>
                <w:highlight w:val="none"/>
              </w:rPr>
              <w:t>2</w:t>
            </w:r>
          </w:p>
        </w:tc>
        <w:tc>
          <w:tcPr>
            <w:tcW w:w="411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trPr>
        <w:tc>
          <w:tcPr>
            <w:tcW w:w="818" w:type="dxa"/>
            <w:noWrap w:val="0"/>
            <w:vAlign w:val="center"/>
          </w:tcPr>
          <w:p>
            <w:pPr>
              <w:spacing w:line="360" w:lineRule="auto"/>
              <w:jc w:val="center"/>
              <w:rPr>
                <w:sz w:val="24"/>
                <w:highlight w:val="none"/>
              </w:rPr>
            </w:pPr>
            <w:r>
              <w:rPr>
                <w:rFonts w:hint="eastAsia"/>
                <w:sz w:val="24"/>
                <w:highlight w:val="none"/>
              </w:rPr>
              <w:t>3</w:t>
            </w:r>
          </w:p>
        </w:tc>
        <w:tc>
          <w:tcPr>
            <w:tcW w:w="340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牛皮癣清除人数</w:t>
            </w:r>
          </w:p>
        </w:tc>
        <w:tc>
          <w:tcPr>
            <w:tcW w:w="99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3</w:t>
            </w:r>
          </w:p>
        </w:tc>
        <w:tc>
          <w:tcPr>
            <w:tcW w:w="411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含牛皮癣清除材料费用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trPr>
        <w:tc>
          <w:tcPr>
            <w:tcW w:w="818" w:type="dxa"/>
            <w:noWrap w:val="0"/>
            <w:vAlign w:val="center"/>
          </w:tcPr>
          <w:p>
            <w:pPr>
              <w:spacing w:line="360" w:lineRule="auto"/>
              <w:jc w:val="center"/>
              <w:rPr>
                <w:sz w:val="24"/>
                <w:highlight w:val="none"/>
              </w:rPr>
            </w:pPr>
            <w:r>
              <w:rPr>
                <w:rFonts w:hint="eastAsia"/>
                <w:sz w:val="24"/>
                <w:highlight w:val="none"/>
              </w:rPr>
              <w:t>4</w:t>
            </w:r>
          </w:p>
        </w:tc>
        <w:tc>
          <w:tcPr>
            <w:tcW w:w="340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替班人数</w:t>
            </w:r>
          </w:p>
        </w:tc>
        <w:tc>
          <w:tcPr>
            <w:tcW w:w="99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5</w:t>
            </w:r>
          </w:p>
        </w:tc>
        <w:tc>
          <w:tcPr>
            <w:tcW w:w="411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按每六人安排一名替班人员计算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trPr>
        <w:tc>
          <w:tcPr>
            <w:tcW w:w="818" w:type="dxa"/>
            <w:noWrap w:val="0"/>
            <w:vAlign w:val="center"/>
          </w:tcPr>
          <w:p>
            <w:pPr>
              <w:spacing w:line="360" w:lineRule="auto"/>
              <w:jc w:val="center"/>
              <w:rPr>
                <w:sz w:val="24"/>
                <w:highlight w:val="none"/>
              </w:rPr>
            </w:pPr>
            <w:r>
              <w:rPr>
                <w:rFonts w:hint="eastAsia"/>
                <w:sz w:val="24"/>
                <w:highlight w:val="none"/>
              </w:rPr>
              <w:t>5</w:t>
            </w:r>
          </w:p>
        </w:tc>
        <w:tc>
          <w:tcPr>
            <w:tcW w:w="340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管理人数</w:t>
            </w:r>
          </w:p>
        </w:tc>
        <w:tc>
          <w:tcPr>
            <w:tcW w:w="99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2</w:t>
            </w:r>
          </w:p>
        </w:tc>
        <w:tc>
          <w:tcPr>
            <w:tcW w:w="411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trPr>
        <w:tc>
          <w:tcPr>
            <w:tcW w:w="4222" w:type="dxa"/>
            <w:gridSpan w:val="2"/>
            <w:noWrap w:val="0"/>
            <w:vAlign w:val="center"/>
          </w:tcPr>
          <w:p>
            <w:pPr>
              <w:spacing w:line="360" w:lineRule="auto"/>
              <w:jc w:val="center"/>
              <w:rPr>
                <w:sz w:val="24"/>
                <w:highlight w:val="none"/>
              </w:rPr>
            </w:pPr>
            <w:r>
              <w:rPr>
                <w:rFonts w:hint="eastAsia"/>
                <w:sz w:val="24"/>
                <w:highlight w:val="none"/>
              </w:rPr>
              <w:t>小计</w:t>
            </w:r>
          </w:p>
        </w:tc>
        <w:tc>
          <w:tcPr>
            <w:tcW w:w="993" w:type="dxa"/>
            <w:noWrap w:val="0"/>
            <w:vAlign w:val="center"/>
          </w:tcPr>
          <w:p>
            <w:pPr>
              <w:spacing w:line="360" w:lineRule="auto"/>
              <w:jc w:val="center"/>
              <w:rPr>
                <w:sz w:val="24"/>
                <w:highlight w:val="none"/>
              </w:rPr>
            </w:pPr>
            <w:r>
              <w:rPr>
                <w:rFonts w:hint="eastAsia"/>
                <w:sz w:val="24"/>
                <w:highlight w:val="none"/>
              </w:rPr>
              <w:t>43</w:t>
            </w:r>
          </w:p>
        </w:tc>
        <w:tc>
          <w:tcPr>
            <w:tcW w:w="4114" w:type="dxa"/>
            <w:noWrap w:val="0"/>
            <w:vAlign w:val="center"/>
          </w:tcPr>
          <w:p>
            <w:pPr>
              <w:spacing w:line="360" w:lineRule="auto"/>
              <w:jc w:val="center"/>
              <w:rPr>
                <w:sz w:val="24"/>
                <w:highlight w:val="none"/>
              </w:rPr>
            </w:pPr>
          </w:p>
        </w:tc>
      </w:tr>
    </w:tbl>
    <w:p>
      <w:pPr>
        <w:pStyle w:val="13"/>
        <w:spacing w:line="360" w:lineRule="auto"/>
        <w:rPr>
          <w:rFonts w:ascii="Times New Roman" w:hAnsi="Times New Roman"/>
          <w:b/>
          <w:bCs/>
          <w:sz w:val="24"/>
          <w:highlight w:val="none"/>
        </w:rPr>
      </w:pPr>
      <w:r>
        <w:rPr>
          <w:rFonts w:hint="eastAsia" w:hAnsi="宋体" w:cs="宋体"/>
          <w:b/>
          <w:sz w:val="24"/>
          <w:highlight w:val="none"/>
        </w:rPr>
        <w:t>★</w:t>
      </w:r>
      <w:r>
        <w:rPr>
          <w:rFonts w:hint="eastAsia" w:ascii="Times New Roman" w:hAnsi="Times New Roman"/>
          <w:b/>
          <w:bCs/>
          <w:sz w:val="24"/>
          <w:highlight w:val="none"/>
        </w:rPr>
        <w:t>3、</w:t>
      </w:r>
      <w:r>
        <w:rPr>
          <w:rFonts w:hint="eastAsia"/>
          <w:b/>
          <w:sz w:val="24"/>
          <w:highlight w:val="none"/>
        </w:rPr>
        <w:t>车辆配置要求</w:t>
      </w:r>
    </w:p>
    <w:p>
      <w:pPr>
        <w:widowControl/>
        <w:spacing w:line="360" w:lineRule="auto"/>
        <w:ind w:firstLine="480" w:firstLineChars="200"/>
        <w:jc w:val="left"/>
        <w:rPr>
          <w:rFonts w:hint="eastAsia"/>
          <w:b/>
          <w:sz w:val="24"/>
          <w:highlight w:val="none"/>
        </w:rPr>
      </w:pPr>
      <w:r>
        <w:rPr>
          <w:b/>
          <w:color w:val="000000"/>
          <w:sz w:val="24"/>
          <w:highlight w:val="none"/>
        </w:rPr>
        <w:t>中标单位在合同签订前至少应配备以下要求的车辆和工具投入到本项目的运营</w:t>
      </w:r>
      <w:r>
        <w:rPr>
          <w:rFonts w:hint="eastAsia"/>
          <w:b/>
          <w:color w:val="000000"/>
          <w:sz w:val="24"/>
          <w:highlight w:val="none"/>
        </w:rPr>
        <w:t>（如若不够，中标人应自行添置设备，直到满足垃圾清运等服务要求，相关费用包含在合同总价中，请投标人报价时自行考虑。）</w:t>
      </w:r>
      <w:r>
        <w:rPr>
          <w:b/>
          <w:sz w:val="24"/>
          <w:highlight w:val="none"/>
        </w:rPr>
        <w:t>：</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自装卸式垃圾分类收</w:t>
      </w:r>
      <w:r>
        <w:rPr>
          <w:rFonts w:hint="eastAsia" w:ascii="新宋体" w:hAnsi="新宋体" w:eastAsia="新宋体" w:cs="Courier New"/>
          <w:sz w:val="24"/>
          <w:highlight w:val="none"/>
        </w:rPr>
        <w:t>运</w:t>
      </w:r>
      <w:r>
        <w:rPr>
          <w:rFonts w:ascii="新宋体" w:hAnsi="新宋体" w:eastAsia="新宋体" w:cs="Courier New"/>
          <w:sz w:val="24"/>
          <w:highlight w:val="none"/>
        </w:rPr>
        <w:t>车</w:t>
      </w:r>
      <w:r>
        <w:rPr>
          <w:rFonts w:hint="eastAsia" w:ascii="新宋体" w:hAnsi="新宋体" w:eastAsia="新宋体" w:cs="Courier New"/>
          <w:sz w:val="24"/>
          <w:highlight w:val="none"/>
        </w:rPr>
        <w:t>2辆。</w:t>
      </w:r>
    </w:p>
    <w:p>
      <w:pPr>
        <w:widowControl/>
        <w:spacing w:line="360" w:lineRule="auto"/>
        <w:jc w:val="left"/>
        <w:rPr>
          <w:rFonts w:hint="eastAsia"/>
          <w:b/>
          <w:sz w:val="24"/>
          <w:highlight w:val="none"/>
        </w:rPr>
      </w:pPr>
      <w:r>
        <w:rPr>
          <w:rFonts w:hint="eastAsia"/>
          <w:b/>
          <w:sz w:val="24"/>
          <w:highlight w:val="none"/>
        </w:rPr>
        <w:t>（三）标段三：黎明社区道路基本情况、人员配备和车辆配置要求</w:t>
      </w:r>
    </w:p>
    <w:p>
      <w:pPr>
        <w:widowControl/>
        <w:spacing w:line="360" w:lineRule="auto"/>
        <w:jc w:val="left"/>
        <w:rPr>
          <w:b/>
          <w:sz w:val="24"/>
          <w:highlight w:val="none"/>
        </w:rPr>
      </w:pPr>
      <w:r>
        <w:rPr>
          <w:rFonts w:hint="eastAsia"/>
          <w:b/>
          <w:sz w:val="24"/>
          <w:highlight w:val="none"/>
        </w:rPr>
        <w:t>1、</w:t>
      </w:r>
      <w:r>
        <w:rPr>
          <w:b/>
          <w:sz w:val="24"/>
          <w:highlight w:val="none"/>
        </w:rPr>
        <w:t>黎明社区道路基本情况</w:t>
      </w:r>
    </w:p>
    <w:tbl>
      <w:tblPr>
        <w:tblStyle w:val="25"/>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713"/>
        <w:gridCol w:w="1239"/>
        <w:gridCol w:w="1194"/>
        <w:gridCol w:w="13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spacing w:line="360" w:lineRule="auto"/>
              <w:jc w:val="center"/>
              <w:rPr>
                <w:b/>
                <w:sz w:val="24"/>
                <w:highlight w:val="none"/>
              </w:rPr>
            </w:pPr>
            <w:r>
              <w:rPr>
                <w:b/>
                <w:sz w:val="24"/>
                <w:highlight w:val="none"/>
              </w:rPr>
              <w:t>序号</w:t>
            </w:r>
          </w:p>
        </w:tc>
        <w:tc>
          <w:tcPr>
            <w:tcW w:w="4713" w:type="dxa"/>
            <w:noWrap w:val="0"/>
            <w:vAlign w:val="center"/>
          </w:tcPr>
          <w:p>
            <w:pPr>
              <w:widowControl/>
              <w:spacing w:line="360" w:lineRule="auto"/>
              <w:jc w:val="center"/>
              <w:rPr>
                <w:b/>
                <w:sz w:val="24"/>
                <w:highlight w:val="none"/>
              </w:rPr>
            </w:pPr>
            <w:r>
              <w:rPr>
                <w:b/>
                <w:sz w:val="24"/>
                <w:highlight w:val="none"/>
              </w:rPr>
              <w:t>路名</w:t>
            </w:r>
          </w:p>
        </w:tc>
        <w:tc>
          <w:tcPr>
            <w:tcW w:w="1239" w:type="dxa"/>
            <w:noWrap w:val="0"/>
            <w:vAlign w:val="center"/>
          </w:tcPr>
          <w:p>
            <w:pPr>
              <w:widowControl/>
              <w:spacing w:line="360" w:lineRule="auto"/>
              <w:jc w:val="center"/>
              <w:rPr>
                <w:b/>
                <w:sz w:val="24"/>
                <w:highlight w:val="none"/>
              </w:rPr>
            </w:pPr>
            <w:r>
              <w:rPr>
                <w:b/>
                <w:sz w:val="24"/>
                <w:highlight w:val="none"/>
              </w:rPr>
              <w:t>清扫面积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194" w:type="dxa"/>
            <w:noWrap w:val="0"/>
            <w:vAlign w:val="center"/>
          </w:tcPr>
          <w:p>
            <w:pPr>
              <w:widowControl/>
              <w:spacing w:line="360" w:lineRule="auto"/>
              <w:jc w:val="center"/>
              <w:rPr>
                <w:b/>
                <w:sz w:val="24"/>
                <w:highlight w:val="none"/>
              </w:rPr>
            </w:pPr>
            <w:r>
              <w:rPr>
                <w:b/>
                <w:sz w:val="24"/>
                <w:highlight w:val="none"/>
              </w:rPr>
              <w:t>保洁面积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395" w:type="dxa"/>
            <w:noWrap w:val="0"/>
            <w:vAlign w:val="center"/>
          </w:tcPr>
          <w:p>
            <w:pPr>
              <w:widowControl/>
              <w:spacing w:line="360" w:lineRule="auto"/>
              <w:jc w:val="center"/>
              <w:rPr>
                <w:b/>
                <w:sz w:val="24"/>
                <w:highlight w:val="none"/>
              </w:rPr>
            </w:pPr>
            <w:r>
              <w:rPr>
                <w:b/>
                <w:sz w:val="24"/>
                <w:highlight w:val="none"/>
              </w:rPr>
              <w:t>道路等级</w:t>
            </w:r>
          </w:p>
        </w:tc>
        <w:tc>
          <w:tcPr>
            <w:tcW w:w="850" w:type="dxa"/>
            <w:noWrap w:val="0"/>
            <w:vAlign w:val="center"/>
          </w:tcPr>
          <w:p>
            <w:pPr>
              <w:widowControl/>
              <w:spacing w:line="360" w:lineRule="auto"/>
              <w:jc w:val="center"/>
              <w:rPr>
                <w:b/>
                <w:sz w:val="24"/>
                <w:highlight w:val="none"/>
              </w:rPr>
            </w:pPr>
            <w:r>
              <w:rPr>
                <w:b/>
                <w:sz w:val="24"/>
                <w:highlight w:val="none"/>
              </w:rPr>
              <w:t>台班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348" w:type="dxa"/>
            <w:gridSpan w:val="6"/>
            <w:noWrap w:val="0"/>
            <w:vAlign w:val="center"/>
          </w:tcPr>
          <w:p>
            <w:pPr>
              <w:widowControl/>
              <w:spacing w:line="360" w:lineRule="auto"/>
              <w:jc w:val="center"/>
              <w:rPr>
                <w:b/>
                <w:sz w:val="24"/>
                <w:highlight w:val="none"/>
              </w:rPr>
            </w:pPr>
            <w:r>
              <w:rPr>
                <w:b/>
                <w:sz w:val="24"/>
                <w:highlight w:val="none"/>
              </w:rPr>
              <w:t>黎明社区道路基本情况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石鱼路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19800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稠明路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9622.2</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文昌路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11900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经发大道</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4173.5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富康路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3741</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文华路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黎明一区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20277</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2114</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黎明二区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15531</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1532</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黎明三区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17325</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2922</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黎明四区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11646</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2082</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黎明五区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18880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591</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黎明六区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8348</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黎明广场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6689</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3650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铁西路</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18000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下门三区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11600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工业区</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3800</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1000</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 w:type="dxa"/>
            <w:noWrap w:val="0"/>
            <w:vAlign w:val="center"/>
          </w:tcPr>
          <w:p>
            <w:pPr>
              <w:widowControl/>
              <w:jc w:val="center"/>
              <w:rPr>
                <w:rFonts w:ascii="宋体" w:hAnsi="宋体" w:cs="宋体"/>
                <w:kern w:val="0"/>
                <w:sz w:val="24"/>
                <w:highlight w:val="none"/>
              </w:rPr>
            </w:pPr>
          </w:p>
        </w:tc>
        <w:tc>
          <w:tcPr>
            <w:tcW w:w="4713"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合计</w:t>
            </w:r>
          </w:p>
        </w:tc>
        <w:tc>
          <w:tcPr>
            <w:tcW w:w="1239"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193333</w:t>
            </w:r>
          </w:p>
        </w:tc>
        <w:tc>
          <w:tcPr>
            <w:tcW w:w="1194"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14191</w:t>
            </w:r>
          </w:p>
        </w:tc>
        <w:tc>
          <w:tcPr>
            <w:tcW w:w="139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85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bl>
    <w:p>
      <w:pPr>
        <w:widowControl/>
        <w:spacing w:line="360" w:lineRule="auto"/>
        <w:jc w:val="left"/>
        <w:rPr>
          <w:rFonts w:hint="eastAsia"/>
          <w:b/>
          <w:sz w:val="24"/>
          <w:highlight w:val="none"/>
        </w:rPr>
      </w:pPr>
    </w:p>
    <w:p>
      <w:pPr>
        <w:widowControl/>
        <w:spacing w:line="360" w:lineRule="auto"/>
        <w:jc w:val="left"/>
        <w:rPr>
          <w:b/>
          <w:sz w:val="24"/>
          <w:highlight w:val="none"/>
        </w:rPr>
      </w:pPr>
      <w:r>
        <w:rPr>
          <w:rFonts w:hint="eastAsia" w:ascii="宋体" w:hAnsi="宋体" w:cs="宋体"/>
          <w:b/>
          <w:sz w:val="24"/>
          <w:highlight w:val="none"/>
        </w:rPr>
        <w:t>★</w:t>
      </w:r>
      <w:r>
        <w:rPr>
          <w:rFonts w:hint="eastAsia"/>
          <w:b/>
          <w:sz w:val="24"/>
          <w:highlight w:val="none"/>
        </w:rPr>
        <w:t>2、人员配备要求</w:t>
      </w:r>
    </w:p>
    <w:p>
      <w:pPr>
        <w:spacing w:line="360" w:lineRule="auto"/>
        <w:jc w:val="center"/>
        <w:rPr>
          <w:b/>
          <w:sz w:val="24"/>
          <w:highlight w:val="none"/>
        </w:rPr>
      </w:pPr>
      <w:r>
        <w:rPr>
          <w:rFonts w:hint="eastAsia"/>
          <w:b/>
          <w:sz w:val="24"/>
          <w:highlight w:val="none"/>
        </w:rPr>
        <w:t>2020年稠江街道黎明社区清扫保洁清运总人数核定表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3413"/>
        <w:gridCol w:w="995"/>
        <w:gridCol w:w="4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trPr>
        <w:tc>
          <w:tcPr>
            <w:tcW w:w="820" w:type="dxa"/>
            <w:noWrap w:val="0"/>
            <w:vAlign w:val="center"/>
          </w:tcPr>
          <w:p>
            <w:pPr>
              <w:spacing w:line="360" w:lineRule="auto"/>
              <w:jc w:val="center"/>
              <w:rPr>
                <w:b/>
                <w:sz w:val="24"/>
                <w:highlight w:val="none"/>
              </w:rPr>
            </w:pPr>
            <w:r>
              <w:rPr>
                <w:rFonts w:hint="eastAsia"/>
                <w:b/>
                <w:sz w:val="24"/>
                <w:highlight w:val="none"/>
              </w:rPr>
              <w:t>序号</w:t>
            </w:r>
          </w:p>
        </w:tc>
        <w:tc>
          <w:tcPr>
            <w:tcW w:w="3413" w:type="dxa"/>
            <w:noWrap w:val="0"/>
            <w:vAlign w:val="center"/>
          </w:tcPr>
          <w:p>
            <w:pPr>
              <w:spacing w:line="360" w:lineRule="auto"/>
              <w:jc w:val="center"/>
              <w:rPr>
                <w:b/>
                <w:sz w:val="24"/>
                <w:highlight w:val="none"/>
              </w:rPr>
            </w:pPr>
            <w:r>
              <w:rPr>
                <w:rFonts w:hint="eastAsia"/>
                <w:b/>
                <w:sz w:val="24"/>
                <w:highlight w:val="none"/>
              </w:rPr>
              <w:t>项目</w:t>
            </w:r>
          </w:p>
        </w:tc>
        <w:tc>
          <w:tcPr>
            <w:tcW w:w="995" w:type="dxa"/>
            <w:noWrap w:val="0"/>
            <w:vAlign w:val="center"/>
          </w:tcPr>
          <w:p>
            <w:pPr>
              <w:spacing w:line="360" w:lineRule="auto"/>
              <w:jc w:val="center"/>
              <w:rPr>
                <w:b/>
                <w:sz w:val="24"/>
                <w:highlight w:val="none"/>
              </w:rPr>
            </w:pPr>
            <w:r>
              <w:rPr>
                <w:rFonts w:hint="eastAsia"/>
                <w:b/>
                <w:sz w:val="24"/>
                <w:highlight w:val="none"/>
              </w:rPr>
              <w:t>人数</w:t>
            </w:r>
          </w:p>
        </w:tc>
        <w:tc>
          <w:tcPr>
            <w:tcW w:w="4124" w:type="dxa"/>
            <w:noWrap w:val="0"/>
            <w:vAlign w:val="center"/>
          </w:tcPr>
          <w:p>
            <w:pPr>
              <w:spacing w:line="360" w:lineRule="auto"/>
              <w:jc w:val="center"/>
              <w:rPr>
                <w:b/>
                <w:sz w:val="24"/>
                <w:highlight w:val="none"/>
              </w:rPr>
            </w:pPr>
            <w:r>
              <w:rPr>
                <w:rFonts w:hint="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trPr>
        <w:tc>
          <w:tcPr>
            <w:tcW w:w="820" w:type="dxa"/>
            <w:noWrap w:val="0"/>
            <w:vAlign w:val="center"/>
          </w:tcPr>
          <w:p>
            <w:pPr>
              <w:spacing w:line="360" w:lineRule="auto"/>
              <w:jc w:val="center"/>
              <w:rPr>
                <w:sz w:val="24"/>
                <w:highlight w:val="none"/>
              </w:rPr>
            </w:pPr>
            <w:r>
              <w:rPr>
                <w:rFonts w:hint="eastAsia"/>
                <w:sz w:val="24"/>
                <w:highlight w:val="none"/>
              </w:rPr>
              <w:t>1</w:t>
            </w:r>
          </w:p>
        </w:tc>
        <w:tc>
          <w:tcPr>
            <w:tcW w:w="341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清扫人数</w:t>
            </w:r>
          </w:p>
        </w:tc>
        <w:tc>
          <w:tcPr>
            <w:tcW w:w="995"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27</w:t>
            </w:r>
          </w:p>
        </w:tc>
        <w:tc>
          <w:tcPr>
            <w:tcW w:w="412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trPr>
        <w:tc>
          <w:tcPr>
            <w:tcW w:w="820" w:type="dxa"/>
            <w:noWrap w:val="0"/>
            <w:vAlign w:val="center"/>
          </w:tcPr>
          <w:p>
            <w:pPr>
              <w:spacing w:line="360" w:lineRule="auto"/>
              <w:jc w:val="center"/>
              <w:rPr>
                <w:sz w:val="24"/>
                <w:highlight w:val="none"/>
              </w:rPr>
            </w:pPr>
            <w:r>
              <w:rPr>
                <w:rFonts w:hint="eastAsia"/>
                <w:sz w:val="24"/>
                <w:highlight w:val="none"/>
              </w:rPr>
              <w:t>2</w:t>
            </w:r>
          </w:p>
        </w:tc>
        <w:tc>
          <w:tcPr>
            <w:tcW w:w="3413"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sz w:val="24"/>
                <w:highlight w:val="none"/>
              </w:rPr>
              <w:t>垃圾清运驾驶员</w:t>
            </w:r>
          </w:p>
        </w:tc>
        <w:tc>
          <w:tcPr>
            <w:tcW w:w="995"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ascii="宋体" w:cs="宋体"/>
                <w:color w:val="000000"/>
                <w:kern w:val="0"/>
                <w:sz w:val="24"/>
                <w:highlight w:val="none"/>
              </w:rPr>
              <w:t>2</w:t>
            </w:r>
          </w:p>
        </w:tc>
        <w:tc>
          <w:tcPr>
            <w:tcW w:w="412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trPr>
        <w:tc>
          <w:tcPr>
            <w:tcW w:w="820" w:type="dxa"/>
            <w:noWrap w:val="0"/>
            <w:vAlign w:val="center"/>
          </w:tcPr>
          <w:p>
            <w:pPr>
              <w:spacing w:line="360" w:lineRule="auto"/>
              <w:jc w:val="center"/>
              <w:rPr>
                <w:sz w:val="24"/>
                <w:highlight w:val="none"/>
              </w:rPr>
            </w:pPr>
            <w:r>
              <w:rPr>
                <w:rFonts w:hint="eastAsia"/>
                <w:sz w:val="24"/>
                <w:highlight w:val="none"/>
              </w:rPr>
              <w:t>3</w:t>
            </w:r>
          </w:p>
        </w:tc>
        <w:tc>
          <w:tcPr>
            <w:tcW w:w="341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牛皮癣清除人数</w:t>
            </w:r>
          </w:p>
        </w:tc>
        <w:tc>
          <w:tcPr>
            <w:tcW w:w="995"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3</w:t>
            </w:r>
          </w:p>
        </w:tc>
        <w:tc>
          <w:tcPr>
            <w:tcW w:w="412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含牛皮癣清除材料费用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trPr>
        <w:tc>
          <w:tcPr>
            <w:tcW w:w="820" w:type="dxa"/>
            <w:noWrap w:val="0"/>
            <w:vAlign w:val="center"/>
          </w:tcPr>
          <w:p>
            <w:pPr>
              <w:spacing w:line="360" w:lineRule="auto"/>
              <w:jc w:val="center"/>
              <w:rPr>
                <w:sz w:val="24"/>
                <w:highlight w:val="none"/>
              </w:rPr>
            </w:pPr>
            <w:r>
              <w:rPr>
                <w:rFonts w:hint="eastAsia"/>
                <w:sz w:val="24"/>
                <w:highlight w:val="none"/>
              </w:rPr>
              <w:t>4</w:t>
            </w:r>
          </w:p>
        </w:tc>
        <w:tc>
          <w:tcPr>
            <w:tcW w:w="341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替班人数</w:t>
            </w:r>
          </w:p>
        </w:tc>
        <w:tc>
          <w:tcPr>
            <w:tcW w:w="995"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5</w:t>
            </w:r>
          </w:p>
        </w:tc>
        <w:tc>
          <w:tcPr>
            <w:tcW w:w="412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按每六人安排一名替班人员计算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trPr>
        <w:tc>
          <w:tcPr>
            <w:tcW w:w="820" w:type="dxa"/>
            <w:noWrap w:val="0"/>
            <w:vAlign w:val="center"/>
          </w:tcPr>
          <w:p>
            <w:pPr>
              <w:spacing w:line="360" w:lineRule="auto"/>
              <w:jc w:val="center"/>
              <w:rPr>
                <w:sz w:val="24"/>
                <w:highlight w:val="none"/>
              </w:rPr>
            </w:pPr>
            <w:r>
              <w:rPr>
                <w:rFonts w:hint="eastAsia"/>
                <w:sz w:val="24"/>
                <w:highlight w:val="none"/>
              </w:rPr>
              <w:t>5</w:t>
            </w:r>
          </w:p>
        </w:tc>
        <w:tc>
          <w:tcPr>
            <w:tcW w:w="3413"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管理人数</w:t>
            </w:r>
          </w:p>
        </w:tc>
        <w:tc>
          <w:tcPr>
            <w:tcW w:w="995"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24"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trPr>
        <w:tc>
          <w:tcPr>
            <w:tcW w:w="4233" w:type="dxa"/>
            <w:gridSpan w:val="2"/>
            <w:noWrap w:val="0"/>
            <w:vAlign w:val="center"/>
          </w:tcPr>
          <w:p>
            <w:pPr>
              <w:spacing w:line="360" w:lineRule="auto"/>
              <w:jc w:val="center"/>
              <w:rPr>
                <w:sz w:val="24"/>
                <w:highlight w:val="none"/>
              </w:rPr>
            </w:pPr>
            <w:r>
              <w:rPr>
                <w:rFonts w:hint="eastAsia"/>
                <w:sz w:val="24"/>
                <w:highlight w:val="none"/>
              </w:rPr>
              <w:t>小计</w:t>
            </w:r>
          </w:p>
        </w:tc>
        <w:tc>
          <w:tcPr>
            <w:tcW w:w="995" w:type="dxa"/>
            <w:noWrap w:val="0"/>
            <w:vAlign w:val="center"/>
          </w:tcPr>
          <w:p>
            <w:pPr>
              <w:spacing w:line="360" w:lineRule="auto"/>
              <w:jc w:val="center"/>
              <w:rPr>
                <w:sz w:val="24"/>
                <w:highlight w:val="none"/>
              </w:rPr>
            </w:pPr>
            <w:r>
              <w:rPr>
                <w:rFonts w:hint="eastAsia"/>
                <w:sz w:val="24"/>
                <w:highlight w:val="none"/>
              </w:rPr>
              <w:t>38</w:t>
            </w:r>
          </w:p>
        </w:tc>
        <w:tc>
          <w:tcPr>
            <w:tcW w:w="4124" w:type="dxa"/>
            <w:noWrap w:val="0"/>
            <w:vAlign w:val="center"/>
          </w:tcPr>
          <w:p>
            <w:pPr>
              <w:spacing w:line="360" w:lineRule="auto"/>
              <w:jc w:val="center"/>
              <w:rPr>
                <w:sz w:val="24"/>
                <w:highlight w:val="none"/>
              </w:rPr>
            </w:pPr>
          </w:p>
        </w:tc>
      </w:tr>
    </w:tbl>
    <w:p>
      <w:pPr>
        <w:pStyle w:val="13"/>
        <w:spacing w:line="360" w:lineRule="auto"/>
        <w:rPr>
          <w:rFonts w:ascii="Times New Roman" w:hAnsi="Times New Roman"/>
          <w:b/>
          <w:bCs/>
          <w:sz w:val="24"/>
          <w:highlight w:val="none"/>
        </w:rPr>
      </w:pPr>
      <w:r>
        <w:rPr>
          <w:rFonts w:hint="eastAsia" w:hAnsi="宋体" w:cs="宋体"/>
          <w:b/>
          <w:sz w:val="24"/>
          <w:highlight w:val="none"/>
        </w:rPr>
        <w:t>★</w:t>
      </w:r>
      <w:r>
        <w:rPr>
          <w:rFonts w:hint="eastAsia" w:ascii="Times New Roman" w:hAnsi="Times New Roman"/>
          <w:b/>
          <w:bCs/>
          <w:sz w:val="24"/>
          <w:highlight w:val="none"/>
        </w:rPr>
        <w:t>3、</w:t>
      </w:r>
      <w:r>
        <w:rPr>
          <w:rFonts w:hint="eastAsia"/>
          <w:b/>
          <w:sz w:val="24"/>
          <w:highlight w:val="none"/>
        </w:rPr>
        <w:t>车辆配置要求</w:t>
      </w:r>
    </w:p>
    <w:p>
      <w:pPr>
        <w:widowControl/>
        <w:spacing w:line="360" w:lineRule="auto"/>
        <w:ind w:firstLine="480" w:firstLineChars="200"/>
        <w:jc w:val="left"/>
        <w:rPr>
          <w:rFonts w:hint="eastAsia"/>
          <w:b/>
          <w:sz w:val="24"/>
          <w:highlight w:val="none"/>
        </w:rPr>
      </w:pPr>
      <w:r>
        <w:rPr>
          <w:b/>
          <w:color w:val="000000"/>
          <w:sz w:val="24"/>
          <w:highlight w:val="none"/>
        </w:rPr>
        <w:t>中标单位在合同签订前至少应配备以下要求的车辆和工具投入到本项目的运营</w:t>
      </w:r>
      <w:r>
        <w:rPr>
          <w:rFonts w:hint="eastAsia"/>
          <w:b/>
          <w:color w:val="000000"/>
          <w:sz w:val="24"/>
          <w:highlight w:val="none"/>
        </w:rPr>
        <w:t>（如若不够，中标人应自行添置设备，直到满足垃圾清运等要求，相关费用包含在合同总价中，请投标人报价时自行考虑。）</w:t>
      </w:r>
      <w:r>
        <w:rPr>
          <w:b/>
          <w:sz w:val="24"/>
          <w:highlight w:val="none"/>
        </w:rPr>
        <w:t>：</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自装卸式垃圾分类收</w:t>
      </w:r>
      <w:r>
        <w:rPr>
          <w:rFonts w:hint="eastAsia" w:ascii="新宋体" w:hAnsi="新宋体" w:eastAsia="新宋体" w:cs="Courier New"/>
          <w:sz w:val="24"/>
          <w:highlight w:val="none"/>
        </w:rPr>
        <w:t>运</w:t>
      </w:r>
      <w:r>
        <w:rPr>
          <w:rFonts w:ascii="新宋体" w:hAnsi="新宋体" w:eastAsia="新宋体" w:cs="Courier New"/>
          <w:sz w:val="24"/>
          <w:highlight w:val="none"/>
        </w:rPr>
        <w:t>车</w:t>
      </w:r>
      <w:r>
        <w:rPr>
          <w:rFonts w:hint="eastAsia" w:ascii="新宋体" w:hAnsi="新宋体" w:eastAsia="新宋体" w:cs="Courier New"/>
          <w:sz w:val="24"/>
          <w:highlight w:val="none"/>
        </w:rPr>
        <w:t>2辆。</w:t>
      </w:r>
    </w:p>
    <w:p>
      <w:pPr>
        <w:widowControl/>
        <w:spacing w:line="360" w:lineRule="auto"/>
        <w:jc w:val="left"/>
        <w:rPr>
          <w:rFonts w:hint="eastAsia"/>
          <w:b/>
          <w:sz w:val="24"/>
          <w:highlight w:val="none"/>
        </w:rPr>
      </w:pPr>
      <w:r>
        <w:rPr>
          <w:rFonts w:hint="eastAsia"/>
          <w:b/>
          <w:sz w:val="24"/>
          <w:highlight w:val="none"/>
        </w:rPr>
        <w:t>（四）标段四：杨村社区道路基本情况、人员配备和车辆配置要求</w:t>
      </w:r>
    </w:p>
    <w:p>
      <w:pPr>
        <w:widowControl/>
        <w:spacing w:line="360" w:lineRule="auto"/>
        <w:jc w:val="left"/>
        <w:rPr>
          <w:rFonts w:hint="eastAsia"/>
          <w:b/>
          <w:sz w:val="24"/>
          <w:highlight w:val="none"/>
        </w:rPr>
      </w:pPr>
      <w:r>
        <w:rPr>
          <w:rFonts w:hint="eastAsia"/>
          <w:b/>
          <w:sz w:val="24"/>
          <w:highlight w:val="none"/>
        </w:rPr>
        <w:t>1、杨村社区道路基本情况</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20"/>
        <w:gridCol w:w="1842"/>
        <w:gridCol w:w="1276"/>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spacing w:line="360" w:lineRule="auto"/>
              <w:jc w:val="center"/>
              <w:rPr>
                <w:b/>
                <w:sz w:val="24"/>
                <w:highlight w:val="none"/>
              </w:rPr>
            </w:pPr>
            <w:r>
              <w:rPr>
                <w:b/>
                <w:sz w:val="24"/>
                <w:highlight w:val="none"/>
              </w:rPr>
              <w:t>序号</w:t>
            </w:r>
          </w:p>
        </w:tc>
        <w:tc>
          <w:tcPr>
            <w:tcW w:w="4820" w:type="dxa"/>
            <w:noWrap w:val="0"/>
            <w:vAlign w:val="center"/>
          </w:tcPr>
          <w:p>
            <w:pPr>
              <w:widowControl/>
              <w:spacing w:line="360" w:lineRule="auto"/>
              <w:jc w:val="center"/>
              <w:rPr>
                <w:b/>
                <w:sz w:val="24"/>
                <w:highlight w:val="none"/>
              </w:rPr>
            </w:pPr>
            <w:r>
              <w:rPr>
                <w:b/>
                <w:sz w:val="24"/>
                <w:highlight w:val="none"/>
              </w:rPr>
              <w:t>路名</w:t>
            </w:r>
          </w:p>
        </w:tc>
        <w:tc>
          <w:tcPr>
            <w:tcW w:w="1842" w:type="dxa"/>
            <w:noWrap w:val="0"/>
            <w:vAlign w:val="center"/>
          </w:tcPr>
          <w:p>
            <w:pPr>
              <w:widowControl/>
              <w:spacing w:line="360" w:lineRule="auto"/>
              <w:jc w:val="center"/>
              <w:rPr>
                <w:b/>
                <w:sz w:val="24"/>
                <w:highlight w:val="none"/>
              </w:rPr>
            </w:pPr>
            <w:r>
              <w:rPr>
                <w:b/>
                <w:sz w:val="24"/>
                <w:highlight w:val="none"/>
              </w:rPr>
              <w:t>清扫面积</w:t>
            </w:r>
            <w:r>
              <w:rPr>
                <w:rFonts w:hint="eastAsia"/>
                <w:b/>
                <w:sz w:val="24"/>
                <w:highlight w:val="none"/>
              </w:rPr>
              <w:t>（m</w:t>
            </w:r>
            <w:r>
              <w:rPr>
                <w:rFonts w:hint="eastAsia" w:ascii="宋体" w:hAnsi="宋体"/>
                <w:b/>
                <w:sz w:val="24"/>
                <w:highlight w:val="none"/>
              </w:rPr>
              <w:t>²</w:t>
            </w:r>
            <w:r>
              <w:rPr>
                <w:rFonts w:hint="eastAsia"/>
                <w:b/>
                <w:sz w:val="24"/>
                <w:highlight w:val="none"/>
              </w:rPr>
              <w:t>）</w:t>
            </w:r>
          </w:p>
        </w:tc>
        <w:tc>
          <w:tcPr>
            <w:tcW w:w="1276" w:type="dxa"/>
            <w:noWrap w:val="0"/>
            <w:vAlign w:val="center"/>
          </w:tcPr>
          <w:p>
            <w:pPr>
              <w:widowControl/>
              <w:spacing w:line="360" w:lineRule="auto"/>
              <w:jc w:val="center"/>
              <w:rPr>
                <w:b/>
                <w:sz w:val="24"/>
                <w:highlight w:val="none"/>
              </w:rPr>
            </w:pPr>
            <w:r>
              <w:rPr>
                <w:b/>
                <w:sz w:val="24"/>
                <w:highlight w:val="none"/>
              </w:rPr>
              <w:t>道路等级</w:t>
            </w:r>
          </w:p>
        </w:tc>
        <w:tc>
          <w:tcPr>
            <w:tcW w:w="815" w:type="dxa"/>
            <w:noWrap w:val="0"/>
            <w:vAlign w:val="center"/>
          </w:tcPr>
          <w:p>
            <w:pPr>
              <w:widowControl/>
              <w:spacing w:line="360" w:lineRule="auto"/>
              <w:jc w:val="center"/>
              <w:rPr>
                <w:b/>
                <w:sz w:val="24"/>
                <w:highlight w:val="none"/>
              </w:rPr>
            </w:pPr>
            <w:r>
              <w:rPr>
                <w:b/>
                <w:sz w:val="24"/>
                <w:highlight w:val="none"/>
              </w:rPr>
              <w:t>台班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sz w:val="24"/>
                <w:highlight w:val="none"/>
              </w:rPr>
            </w:pPr>
            <w:r>
              <w:rPr>
                <w:rFonts w:hint="eastAsia"/>
                <w:b/>
                <w:sz w:val="24"/>
                <w:highlight w:val="none"/>
              </w:rPr>
              <w:t>杨村社区道路基本情况（杨一及工业区）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梧桐街（西城路－枫华路）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18010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西城路－宾王变电所</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1512.5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正觉路（新科路－经发大道）</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10200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步行街</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5040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杨村路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7080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杨一10幢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2560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19幢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23、25幢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28、29、31幢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3040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32、33、35幢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37、38、39、40幢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41、42、43、45</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46、47、48、49</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50、51、52、53</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55、56、57、58</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59、60、61、62</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61763</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sz w:val="24"/>
                <w:highlight w:val="none"/>
              </w:rPr>
            </w:pPr>
            <w:r>
              <w:rPr>
                <w:rFonts w:hint="eastAsia"/>
                <w:b/>
                <w:sz w:val="24"/>
                <w:highlight w:val="none"/>
              </w:rPr>
              <w:t>杨村社区道路基本情况（杨一及工业区）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63、65、66、67、68</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3072</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63、65、66、67、68</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4096</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69、70、71、72、73</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2048</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41、42、43、45</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46、47、48、49</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50、51、52、53</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55、56、57、58</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59、60、61、62</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69、70、71、72、73</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1278</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五区16幢-梧桐街206号</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3920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一区27幢-梧桐街198号</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3360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一区26幢-梧桐街190号</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3360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一区25幢-梧桐街182号</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3360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一区10幢-梧桐街176号</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3600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一区10幢-一区76幢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3600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高层9幢--一区87幢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5040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高屋7米路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2226</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高屋7米路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2385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47645</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sz w:val="24"/>
                <w:highlight w:val="none"/>
              </w:rPr>
            </w:pPr>
            <w:r>
              <w:rPr>
                <w:rFonts w:hint="eastAsia"/>
                <w:b/>
                <w:sz w:val="24"/>
                <w:highlight w:val="none"/>
              </w:rPr>
              <w:t>杨村社区道路基本情况（杨三及香山小学周边）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枫华路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10442</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香山小学前</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2366</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大润发前</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1430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杨三29－32幢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2343</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梧桐街延伸段</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27－28</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26</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495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25</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715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2970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15－16幢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13－13－1幢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1232.5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17－18幢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67－68幢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65－66幢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19－20</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21－71</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纵二路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8000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40064</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sz w:val="24"/>
                <w:highlight w:val="none"/>
              </w:rPr>
            </w:pPr>
            <w:r>
              <w:rPr>
                <w:rFonts w:hint="eastAsia"/>
                <w:b/>
                <w:sz w:val="24"/>
                <w:highlight w:val="none"/>
              </w:rPr>
              <w:t>杨村社区道路基本情况（杨三及香山小学周边）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戚继光路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横一路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6996</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横 二路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5760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横三路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5760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横四路</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5720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步行街</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795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23幢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583</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583</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10－12幢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1822.8</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5－1－9幢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52－57幢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47－51幢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2420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42－46幢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2808</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38－41幢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2365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33－37幢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2365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45138</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b/>
                <w:sz w:val="24"/>
                <w:highlight w:val="none"/>
              </w:rPr>
            </w:pPr>
            <w:r>
              <w:rPr>
                <w:b/>
                <w:sz w:val="24"/>
                <w:highlight w:val="none"/>
              </w:rPr>
              <w:t>杨二道路基本情况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3幢5幢6幢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7幢8幢9幢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2960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10幢11幢12幢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13幢厕所</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1020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15幢16幢17幢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18幢19幢20幢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21幢22幢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23幢25幢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26、27、28幢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29、30幢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82、83、85幢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2325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86幢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795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87幢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22050</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sz w:val="24"/>
                <w:highlight w:val="none"/>
              </w:rPr>
            </w:pPr>
            <w:r>
              <w:rPr>
                <w:b/>
                <w:sz w:val="24"/>
                <w:highlight w:val="none"/>
              </w:rPr>
              <w:t>杨二道路基本情况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92、93幢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32、33幢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35、36幢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39、50幢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51、52幢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1275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62、63幢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53、55、56幢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59、60、61幢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67、68、69幢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70、71、72幢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1725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76、77幢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65、66幢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73、75幢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19200</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70" w:type="dxa"/>
            <w:gridSpan w:val="5"/>
            <w:noWrap w:val="0"/>
            <w:vAlign w:val="center"/>
          </w:tcPr>
          <w:p>
            <w:pPr>
              <w:widowControl/>
              <w:spacing w:line="360" w:lineRule="auto"/>
              <w:jc w:val="center"/>
              <w:rPr>
                <w:sz w:val="24"/>
                <w:highlight w:val="none"/>
              </w:rPr>
            </w:pPr>
            <w:r>
              <w:rPr>
                <w:b/>
                <w:sz w:val="24"/>
                <w:highlight w:val="none"/>
              </w:rPr>
              <w:t>杨二道路基本情况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37幢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1800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38幛</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630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79、78幢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80、81幢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高楼边</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8580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6</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老糊粥铺边</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9680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7</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菜市场夜市</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8800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8</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3条横主干道</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15000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9</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88、89幢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10</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90、91幢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11</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95、96幢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12</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97、98幢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1650</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13</w:t>
            </w: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57、58幢</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1425</w:t>
            </w:r>
          </w:p>
        </w:tc>
        <w:tc>
          <w:tcPr>
            <w:tcW w:w="1276"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815"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widowControl/>
              <w:jc w:val="center"/>
              <w:rPr>
                <w:rFonts w:ascii="宋体" w:hAnsi="宋体" w:cs="宋体"/>
                <w:kern w:val="0"/>
                <w:sz w:val="24"/>
                <w:highlight w:val="none"/>
              </w:rPr>
            </w:pPr>
          </w:p>
        </w:tc>
        <w:tc>
          <w:tcPr>
            <w:tcW w:w="4820"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本页合计</w:t>
            </w:r>
          </w:p>
        </w:tc>
        <w:tc>
          <w:tcPr>
            <w:tcW w:w="1842"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55365</w:t>
            </w:r>
          </w:p>
        </w:tc>
        <w:tc>
          <w:tcPr>
            <w:tcW w:w="1276" w:type="dxa"/>
            <w:noWrap w:val="0"/>
            <w:vAlign w:val="center"/>
          </w:tcPr>
          <w:p>
            <w:pPr>
              <w:widowControl/>
              <w:spacing w:line="360" w:lineRule="auto"/>
              <w:jc w:val="center"/>
              <w:rPr>
                <w:sz w:val="24"/>
                <w:highlight w:val="none"/>
              </w:rPr>
            </w:pPr>
          </w:p>
        </w:tc>
        <w:tc>
          <w:tcPr>
            <w:tcW w:w="815" w:type="dxa"/>
            <w:noWrap w:val="0"/>
            <w:vAlign w:val="center"/>
          </w:tcPr>
          <w:p>
            <w:pPr>
              <w:widowControl/>
              <w:spacing w:line="360" w:lineRule="auto"/>
              <w:jc w:val="center"/>
              <w:rPr>
                <w:sz w:val="24"/>
                <w:highlight w:val="none"/>
              </w:rPr>
            </w:pPr>
          </w:p>
        </w:tc>
      </w:tr>
    </w:tbl>
    <w:p>
      <w:pPr>
        <w:widowControl/>
        <w:spacing w:line="360" w:lineRule="auto"/>
        <w:jc w:val="left"/>
        <w:rPr>
          <w:b/>
          <w:color w:val="FF0000"/>
          <w:sz w:val="24"/>
          <w:highlight w:val="none"/>
        </w:rPr>
      </w:pPr>
    </w:p>
    <w:p>
      <w:pPr>
        <w:widowControl/>
        <w:spacing w:line="360" w:lineRule="auto"/>
        <w:jc w:val="left"/>
        <w:rPr>
          <w:b/>
          <w:sz w:val="24"/>
          <w:highlight w:val="none"/>
        </w:rPr>
      </w:pPr>
      <w:r>
        <w:rPr>
          <w:rFonts w:hint="eastAsia" w:ascii="宋体" w:hAnsi="宋体" w:cs="宋体"/>
          <w:b/>
          <w:sz w:val="24"/>
          <w:highlight w:val="none"/>
        </w:rPr>
        <w:t>★</w:t>
      </w:r>
      <w:r>
        <w:rPr>
          <w:rFonts w:hint="eastAsia"/>
          <w:b/>
          <w:sz w:val="24"/>
          <w:highlight w:val="none"/>
        </w:rPr>
        <w:t>2、人员配备要求</w:t>
      </w:r>
    </w:p>
    <w:p>
      <w:pPr>
        <w:spacing w:line="360" w:lineRule="auto"/>
        <w:jc w:val="center"/>
        <w:rPr>
          <w:b/>
          <w:sz w:val="24"/>
          <w:highlight w:val="none"/>
        </w:rPr>
      </w:pPr>
      <w:r>
        <w:rPr>
          <w:rFonts w:hint="eastAsia"/>
          <w:b/>
          <w:sz w:val="24"/>
          <w:highlight w:val="none"/>
        </w:rPr>
        <w:t>2020年稠江街道杨村社区清扫保洁清运总人数核定表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99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8" w:hRule="atLeast"/>
        </w:trPr>
        <w:tc>
          <w:tcPr>
            <w:tcW w:w="817" w:type="dxa"/>
            <w:noWrap w:val="0"/>
            <w:vAlign w:val="center"/>
          </w:tcPr>
          <w:p>
            <w:pPr>
              <w:spacing w:line="360" w:lineRule="auto"/>
              <w:jc w:val="center"/>
              <w:rPr>
                <w:b/>
                <w:sz w:val="24"/>
                <w:highlight w:val="none"/>
              </w:rPr>
            </w:pPr>
            <w:r>
              <w:rPr>
                <w:rFonts w:hint="eastAsia"/>
                <w:b/>
                <w:sz w:val="24"/>
                <w:highlight w:val="none"/>
              </w:rPr>
              <w:t>序号</w:t>
            </w:r>
          </w:p>
        </w:tc>
        <w:tc>
          <w:tcPr>
            <w:tcW w:w="3402" w:type="dxa"/>
            <w:noWrap w:val="0"/>
            <w:vAlign w:val="center"/>
          </w:tcPr>
          <w:p>
            <w:pPr>
              <w:spacing w:line="360" w:lineRule="auto"/>
              <w:jc w:val="center"/>
              <w:rPr>
                <w:b/>
                <w:sz w:val="24"/>
                <w:highlight w:val="none"/>
              </w:rPr>
            </w:pPr>
            <w:r>
              <w:rPr>
                <w:rFonts w:hint="eastAsia"/>
                <w:b/>
                <w:sz w:val="24"/>
                <w:highlight w:val="none"/>
              </w:rPr>
              <w:t>项目</w:t>
            </w:r>
          </w:p>
        </w:tc>
        <w:tc>
          <w:tcPr>
            <w:tcW w:w="992" w:type="dxa"/>
            <w:noWrap w:val="0"/>
            <w:vAlign w:val="center"/>
          </w:tcPr>
          <w:p>
            <w:pPr>
              <w:spacing w:line="360" w:lineRule="auto"/>
              <w:jc w:val="center"/>
              <w:rPr>
                <w:b/>
                <w:sz w:val="24"/>
                <w:highlight w:val="none"/>
              </w:rPr>
            </w:pPr>
            <w:r>
              <w:rPr>
                <w:rFonts w:hint="eastAsia"/>
                <w:b/>
                <w:sz w:val="24"/>
                <w:highlight w:val="none"/>
              </w:rPr>
              <w:t>人数</w:t>
            </w:r>
          </w:p>
        </w:tc>
        <w:tc>
          <w:tcPr>
            <w:tcW w:w="4111" w:type="dxa"/>
            <w:noWrap w:val="0"/>
            <w:vAlign w:val="center"/>
          </w:tcPr>
          <w:p>
            <w:pPr>
              <w:spacing w:line="360" w:lineRule="auto"/>
              <w:jc w:val="center"/>
              <w:rPr>
                <w:b/>
                <w:sz w:val="24"/>
                <w:highlight w:val="none"/>
              </w:rPr>
            </w:pPr>
            <w:r>
              <w:rPr>
                <w:rFonts w:hint="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1</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清扫人数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39</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2</w:t>
            </w:r>
          </w:p>
        </w:tc>
        <w:tc>
          <w:tcPr>
            <w:tcW w:w="3402"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sz w:val="24"/>
                <w:highlight w:val="none"/>
              </w:rPr>
              <w:t>垃圾清运驾驶员</w:t>
            </w:r>
          </w:p>
        </w:tc>
        <w:tc>
          <w:tcPr>
            <w:tcW w:w="992" w:type="dxa"/>
            <w:noWrap w:val="0"/>
            <w:vAlign w:val="center"/>
          </w:tcPr>
          <w:p>
            <w:pPr>
              <w:autoSpaceDE w:val="0"/>
              <w:autoSpaceDN w:val="0"/>
              <w:adjustRightInd w:val="0"/>
              <w:spacing w:after="156" w:afterLines="50" w:line="560" w:lineRule="exact"/>
              <w:jc w:val="center"/>
              <w:rPr>
                <w:rFonts w:hint="eastAsia" w:ascii="宋体" w:cs="宋体"/>
                <w:color w:val="000000"/>
                <w:kern w:val="0"/>
                <w:sz w:val="24"/>
                <w:highlight w:val="none"/>
              </w:rPr>
            </w:pPr>
            <w:r>
              <w:rPr>
                <w:rFonts w:hint="eastAsia" w:ascii="宋体" w:cs="宋体"/>
                <w:color w:val="000000"/>
                <w:kern w:val="0"/>
                <w:sz w:val="24"/>
                <w:highlight w:val="none"/>
              </w:rPr>
              <w:t>2</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3</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牛皮癣清除人数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3</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含牛皮癣清除材料费用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4</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替班人数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6</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按每六人安排一名替班人员计算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17" w:type="dxa"/>
            <w:noWrap w:val="0"/>
            <w:vAlign w:val="center"/>
          </w:tcPr>
          <w:p>
            <w:pPr>
              <w:spacing w:line="360" w:lineRule="auto"/>
              <w:jc w:val="center"/>
              <w:rPr>
                <w:sz w:val="24"/>
                <w:highlight w:val="none"/>
              </w:rPr>
            </w:pPr>
            <w:r>
              <w:rPr>
                <w:rFonts w:hint="eastAsia"/>
                <w:sz w:val="24"/>
                <w:highlight w:val="none"/>
              </w:rPr>
              <w:t>5</w:t>
            </w:r>
          </w:p>
        </w:tc>
        <w:tc>
          <w:tcPr>
            <w:tcW w:w="340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管理人数</w:t>
            </w:r>
          </w:p>
        </w:tc>
        <w:tc>
          <w:tcPr>
            <w:tcW w:w="992"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r>
              <w:rPr>
                <w:rFonts w:hint="eastAsia" w:ascii="宋体" w:cs="宋体"/>
                <w:color w:val="000000"/>
                <w:kern w:val="0"/>
                <w:sz w:val="24"/>
                <w:highlight w:val="none"/>
              </w:rPr>
              <w:t>1</w:t>
            </w:r>
          </w:p>
        </w:tc>
        <w:tc>
          <w:tcPr>
            <w:tcW w:w="4111" w:type="dxa"/>
            <w:noWrap w:val="0"/>
            <w:vAlign w:val="center"/>
          </w:tcPr>
          <w:p>
            <w:pPr>
              <w:autoSpaceDE w:val="0"/>
              <w:autoSpaceDN w:val="0"/>
              <w:adjustRightInd w:val="0"/>
              <w:spacing w:after="156" w:afterLines="50" w:line="560" w:lineRule="exact"/>
              <w:jc w:val="center"/>
              <w:rPr>
                <w:rFonts w:asci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19" w:type="dxa"/>
            <w:gridSpan w:val="2"/>
            <w:noWrap w:val="0"/>
            <w:vAlign w:val="center"/>
          </w:tcPr>
          <w:p>
            <w:pPr>
              <w:spacing w:line="360" w:lineRule="auto"/>
              <w:jc w:val="center"/>
              <w:rPr>
                <w:sz w:val="24"/>
                <w:highlight w:val="none"/>
              </w:rPr>
            </w:pPr>
            <w:r>
              <w:rPr>
                <w:rFonts w:hint="eastAsia"/>
                <w:sz w:val="24"/>
                <w:highlight w:val="none"/>
              </w:rPr>
              <w:t>小计</w:t>
            </w:r>
          </w:p>
        </w:tc>
        <w:tc>
          <w:tcPr>
            <w:tcW w:w="992" w:type="dxa"/>
            <w:noWrap w:val="0"/>
            <w:vAlign w:val="center"/>
          </w:tcPr>
          <w:p>
            <w:pPr>
              <w:spacing w:line="360" w:lineRule="auto"/>
              <w:jc w:val="center"/>
              <w:rPr>
                <w:sz w:val="24"/>
                <w:highlight w:val="none"/>
              </w:rPr>
            </w:pPr>
            <w:r>
              <w:rPr>
                <w:rFonts w:hint="eastAsia"/>
                <w:sz w:val="24"/>
                <w:highlight w:val="none"/>
              </w:rPr>
              <w:t>51</w:t>
            </w:r>
          </w:p>
        </w:tc>
        <w:tc>
          <w:tcPr>
            <w:tcW w:w="4111" w:type="dxa"/>
            <w:noWrap w:val="0"/>
            <w:vAlign w:val="center"/>
          </w:tcPr>
          <w:p>
            <w:pPr>
              <w:spacing w:line="360" w:lineRule="auto"/>
              <w:jc w:val="center"/>
              <w:rPr>
                <w:sz w:val="24"/>
                <w:highlight w:val="none"/>
              </w:rPr>
            </w:pPr>
          </w:p>
        </w:tc>
      </w:tr>
    </w:tbl>
    <w:p>
      <w:pPr>
        <w:pStyle w:val="13"/>
        <w:spacing w:line="360" w:lineRule="auto"/>
        <w:rPr>
          <w:rFonts w:ascii="Times New Roman" w:hAnsi="Times New Roman"/>
          <w:b/>
          <w:bCs/>
          <w:sz w:val="24"/>
          <w:highlight w:val="none"/>
        </w:rPr>
      </w:pPr>
      <w:r>
        <w:rPr>
          <w:rFonts w:hint="eastAsia" w:hAnsi="宋体" w:cs="宋体"/>
          <w:b/>
          <w:sz w:val="24"/>
          <w:highlight w:val="none"/>
        </w:rPr>
        <w:t>★</w:t>
      </w:r>
      <w:r>
        <w:rPr>
          <w:rFonts w:hint="eastAsia" w:ascii="Times New Roman" w:hAnsi="Times New Roman"/>
          <w:b/>
          <w:bCs/>
          <w:sz w:val="24"/>
          <w:highlight w:val="none"/>
        </w:rPr>
        <w:t>3、</w:t>
      </w:r>
      <w:r>
        <w:rPr>
          <w:rFonts w:hint="eastAsia"/>
          <w:b/>
          <w:sz w:val="24"/>
          <w:highlight w:val="none"/>
        </w:rPr>
        <w:t>车辆配置要求</w:t>
      </w:r>
    </w:p>
    <w:p>
      <w:pPr>
        <w:widowControl/>
        <w:spacing w:line="360" w:lineRule="auto"/>
        <w:ind w:firstLine="480" w:firstLineChars="200"/>
        <w:jc w:val="left"/>
        <w:rPr>
          <w:rFonts w:hint="eastAsia"/>
          <w:b/>
          <w:sz w:val="24"/>
          <w:highlight w:val="none"/>
        </w:rPr>
      </w:pPr>
      <w:r>
        <w:rPr>
          <w:b/>
          <w:color w:val="000000"/>
          <w:sz w:val="24"/>
          <w:highlight w:val="none"/>
        </w:rPr>
        <w:t>中标单位在合同签订前至少应配备以下要求的车辆和工具投入到本项目的运营</w:t>
      </w:r>
      <w:r>
        <w:rPr>
          <w:rFonts w:hint="eastAsia"/>
          <w:b/>
          <w:color w:val="000000"/>
          <w:sz w:val="24"/>
          <w:highlight w:val="none"/>
        </w:rPr>
        <w:t>（如若不够，中标人应自行添置设备，直到满足清运要求，相关费用包含在合同总价中，请投标人报价时自行考虑。）</w:t>
      </w:r>
      <w:r>
        <w:rPr>
          <w:b/>
          <w:sz w:val="24"/>
          <w:highlight w:val="none"/>
        </w:rPr>
        <w:t>：</w:t>
      </w:r>
      <w:r>
        <w:rPr>
          <w:rFonts w:ascii="新宋体" w:hAnsi="新宋体" w:eastAsia="新宋体" w:cs="Courier New"/>
          <w:sz w:val="24"/>
          <w:highlight w:val="none"/>
        </w:rPr>
        <w:t>荷载</w:t>
      </w:r>
      <w:r>
        <w:rPr>
          <w:rFonts w:hint="eastAsia" w:ascii="新宋体" w:hAnsi="新宋体" w:eastAsia="新宋体" w:cs="Courier New"/>
          <w:sz w:val="24"/>
          <w:highlight w:val="none"/>
        </w:rPr>
        <w:t>2－3吨</w:t>
      </w:r>
      <w:r>
        <w:rPr>
          <w:rFonts w:ascii="新宋体" w:hAnsi="新宋体" w:eastAsia="新宋体" w:cs="Courier New"/>
          <w:sz w:val="24"/>
          <w:highlight w:val="none"/>
        </w:rPr>
        <w:t>自装卸式垃圾分类收</w:t>
      </w:r>
      <w:r>
        <w:rPr>
          <w:rFonts w:hint="eastAsia" w:ascii="新宋体" w:hAnsi="新宋体" w:eastAsia="新宋体" w:cs="Courier New"/>
          <w:sz w:val="24"/>
          <w:highlight w:val="none"/>
        </w:rPr>
        <w:t>运</w:t>
      </w:r>
      <w:r>
        <w:rPr>
          <w:rFonts w:ascii="新宋体" w:hAnsi="新宋体" w:eastAsia="新宋体" w:cs="Courier New"/>
          <w:sz w:val="24"/>
          <w:highlight w:val="none"/>
        </w:rPr>
        <w:t>车</w:t>
      </w:r>
      <w:r>
        <w:rPr>
          <w:rFonts w:hint="eastAsia" w:ascii="新宋体" w:hAnsi="新宋体" w:eastAsia="新宋体" w:cs="Courier New"/>
          <w:sz w:val="24"/>
          <w:highlight w:val="none"/>
        </w:rPr>
        <w:t>2辆。</w:t>
      </w:r>
    </w:p>
    <w:p>
      <w:pPr>
        <w:spacing w:line="360" w:lineRule="auto"/>
        <w:rPr>
          <w:rFonts w:ascii="新宋体" w:hAnsi="新宋体" w:eastAsia="新宋体" w:cs="Courier New"/>
          <w:b/>
          <w:sz w:val="24"/>
          <w:highlight w:val="none"/>
        </w:rPr>
      </w:pPr>
      <w:r>
        <w:rPr>
          <w:rFonts w:hint="eastAsia" w:ascii="新宋体" w:hAnsi="新宋体" w:eastAsia="新宋体" w:cs="Courier New"/>
          <w:b/>
          <w:sz w:val="24"/>
          <w:highlight w:val="none"/>
        </w:rPr>
        <w:t>三、其它要求：</w:t>
      </w:r>
    </w:p>
    <w:p>
      <w:pPr>
        <w:spacing w:line="360" w:lineRule="auto"/>
        <w:rPr>
          <w:rFonts w:ascii="新宋体" w:hAnsi="新宋体" w:eastAsia="新宋体" w:cs="Courier New"/>
          <w:sz w:val="24"/>
          <w:highlight w:val="none"/>
        </w:rPr>
      </w:pPr>
      <w:r>
        <w:rPr>
          <w:rFonts w:eastAsia="新宋体"/>
          <w:sz w:val="24"/>
          <w:highlight w:val="none"/>
        </w:rPr>
        <w:t>1</w:t>
      </w:r>
      <w:r>
        <w:rPr>
          <w:rFonts w:hAnsi="新宋体" w:eastAsia="新宋体"/>
          <w:sz w:val="24"/>
          <w:highlight w:val="none"/>
        </w:rPr>
        <w:t>、</w:t>
      </w:r>
      <w:r>
        <w:rPr>
          <w:rFonts w:hint="eastAsia" w:ascii="新宋体" w:hAnsi="新宋体" w:eastAsia="新宋体" w:cs="Courier New"/>
          <w:sz w:val="24"/>
          <w:highlight w:val="none"/>
        </w:rPr>
        <w:t>公司员</w:t>
      </w:r>
      <w:r>
        <w:rPr>
          <w:rFonts w:ascii="新宋体" w:hAnsi="新宋体" w:eastAsia="新宋体" w:cs="Courier New"/>
          <w:sz w:val="24"/>
          <w:highlight w:val="none"/>
        </w:rPr>
        <w:t>工</w:t>
      </w:r>
      <w:r>
        <w:rPr>
          <w:rFonts w:hint="eastAsia" w:ascii="新宋体" w:hAnsi="新宋体" w:eastAsia="新宋体" w:cs="Courier New"/>
          <w:sz w:val="24"/>
          <w:highlight w:val="none"/>
        </w:rPr>
        <w:t>实发</w:t>
      </w:r>
      <w:r>
        <w:rPr>
          <w:rFonts w:ascii="新宋体" w:hAnsi="新宋体" w:eastAsia="新宋体" w:cs="Courier New"/>
          <w:sz w:val="24"/>
          <w:highlight w:val="none"/>
        </w:rPr>
        <w:t>工资不得低于</w:t>
      </w:r>
      <w:r>
        <w:rPr>
          <w:rFonts w:hint="eastAsia" w:ascii="新宋体" w:hAnsi="新宋体" w:eastAsia="新宋体" w:cs="Courier New"/>
          <w:sz w:val="24"/>
          <w:highlight w:val="none"/>
        </w:rPr>
        <w:t>义乌市</w:t>
      </w:r>
      <w:r>
        <w:rPr>
          <w:rFonts w:ascii="新宋体" w:hAnsi="新宋体" w:eastAsia="新宋体" w:cs="Courier New"/>
          <w:sz w:val="24"/>
          <w:highlight w:val="none"/>
        </w:rPr>
        <w:t>最低工资</w:t>
      </w:r>
      <w:r>
        <w:rPr>
          <w:rFonts w:hint="eastAsia" w:ascii="新宋体" w:hAnsi="新宋体" w:eastAsia="新宋体" w:cs="Courier New"/>
          <w:sz w:val="24"/>
          <w:highlight w:val="none"/>
        </w:rPr>
        <w:t>标准，</w:t>
      </w:r>
      <w:r>
        <w:rPr>
          <w:rFonts w:ascii="新宋体" w:hAnsi="新宋体" w:eastAsia="新宋体" w:cs="Courier New"/>
          <w:sz w:val="24"/>
          <w:highlight w:val="none"/>
        </w:rPr>
        <w:t>否则评标小组可以认为低于成本价恶性竞争而判定为</w:t>
      </w:r>
      <w:r>
        <w:rPr>
          <w:rFonts w:hint="eastAsia" w:ascii="新宋体" w:hAnsi="新宋体" w:eastAsia="新宋体" w:cs="Courier New"/>
          <w:sz w:val="24"/>
          <w:highlight w:val="none"/>
        </w:rPr>
        <w:t>无效</w:t>
      </w:r>
      <w:r>
        <w:rPr>
          <w:rFonts w:ascii="新宋体" w:hAnsi="新宋体" w:eastAsia="新宋体" w:cs="Courier New"/>
          <w:sz w:val="24"/>
          <w:highlight w:val="none"/>
        </w:rPr>
        <w:t>标</w:t>
      </w:r>
      <w:r>
        <w:rPr>
          <w:rFonts w:hint="eastAsia" w:ascii="新宋体" w:hAnsi="新宋体" w:eastAsia="新宋体" w:cs="Courier New"/>
          <w:sz w:val="24"/>
          <w:highlight w:val="none"/>
        </w:rPr>
        <w:t>。</w:t>
      </w:r>
    </w:p>
    <w:p>
      <w:pPr>
        <w:spacing w:line="360" w:lineRule="auto"/>
        <w:rPr>
          <w:rFonts w:ascii="新宋体" w:hAnsi="新宋体" w:eastAsia="新宋体" w:cs="Courier New"/>
          <w:color w:val="000000"/>
          <w:sz w:val="24"/>
          <w:highlight w:val="none"/>
        </w:rPr>
      </w:pPr>
      <w:r>
        <w:rPr>
          <w:rFonts w:hint="eastAsia" w:ascii="宋体" w:hAnsi="宋体" w:cs="宋体"/>
          <w:b/>
          <w:sz w:val="24"/>
          <w:highlight w:val="none"/>
        </w:rPr>
        <w:t>★</w:t>
      </w:r>
      <w:r>
        <w:rPr>
          <w:rFonts w:eastAsia="新宋体"/>
          <w:sz w:val="24"/>
          <w:highlight w:val="none"/>
        </w:rPr>
        <w:t>2</w:t>
      </w:r>
      <w:r>
        <w:rPr>
          <w:rFonts w:hAnsi="新宋体" w:eastAsia="新宋体"/>
          <w:sz w:val="24"/>
          <w:highlight w:val="none"/>
        </w:rPr>
        <w:t>、</w:t>
      </w:r>
      <w:r>
        <w:rPr>
          <w:rFonts w:hint="eastAsia" w:ascii="新宋体" w:hAnsi="新宋体" w:eastAsia="新宋体" w:cs="Courier New"/>
          <w:sz w:val="24"/>
          <w:highlight w:val="none"/>
        </w:rPr>
        <w:t>中标通知后30日内提供保洁人员名册，且员工人员构成中，身体健康且年龄在18－50周岁，</w:t>
      </w:r>
      <w:r>
        <w:rPr>
          <w:rFonts w:hint="eastAsia" w:ascii="新宋体" w:hAnsi="新宋体" w:eastAsia="新宋体" w:cs="Courier New"/>
          <w:color w:val="000000"/>
          <w:sz w:val="24"/>
          <w:highlight w:val="none"/>
        </w:rPr>
        <w:t>以本单位名义服务于本项目的参投社会养老保险的保洁人员不得低于总人数的40%。</w:t>
      </w:r>
    </w:p>
    <w:p>
      <w:pPr>
        <w:spacing w:line="360" w:lineRule="auto"/>
        <w:rPr>
          <w:rFonts w:ascii="新宋体" w:hAnsi="新宋体" w:eastAsia="新宋体" w:cs="Courier New"/>
          <w:b/>
          <w:sz w:val="24"/>
          <w:highlight w:val="none"/>
        </w:rPr>
      </w:pPr>
      <w:r>
        <w:rPr>
          <w:rFonts w:hint="eastAsia" w:ascii="新宋体" w:hAnsi="新宋体" w:eastAsia="新宋体" w:cs="Courier New"/>
          <w:b/>
          <w:sz w:val="24"/>
          <w:highlight w:val="none"/>
        </w:rPr>
        <w:t>四、付款方式：</w:t>
      </w:r>
    </w:p>
    <w:p>
      <w:pPr>
        <w:widowControl/>
        <w:spacing w:line="360" w:lineRule="auto"/>
        <w:jc w:val="left"/>
        <w:rPr>
          <w:sz w:val="24"/>
          <w:highlight w:val="none"/>
        </w:rPr>
      </w:pPr>
      <w:r>
        <w:rPr>
          <w:sz w:val="24"/>
          <w:highlight w:val="none"/>
        </w:rPr>
        <w:t>1</w:t>
      </w:r>
      <w:r>
        <w:rPr>
          <w:rFonts w:hint="eastAsia"/>
          <w:sz w:val="24"/>
          <w:highlight w:val="none"/>
        </w:rPr>
        <w:t>、合同签订后</w:t>
      </w:r>
      <w:r>
        <w:rPr>
          <w:sz w:val="24"/>
          <w:highlight w:val="none"/>
        </w:rPr>
        <w:t>15</w:t>
      </w:r>
      <w:r>
        <w:rPr>
          <w:rFonts w:hint="eastAsia"/>
          <w:sz w:val="24"/>
          <w:highlight w:val="none"/>
        </w:rPr>
        <w:t>个工作日内甲方向乙方支付合同总价</w:t>
      </w:r>
      <w:r>
        <w:rPr>
          <w:sz w:val="24"/>
          <w:highlight w:val="none"/>
        </w:rPr>
        <w:t>10%</w:t>
      </w:r>
      <w:r>
        <w:rPr>
          <w:rFonts w:hint="eastAsia"/>
          <w:sz w:val="24"/>
          <w:highlight w:val="none"/>
        </w:rPr>
        <w:t>的预付款。剩余款项按</w:t>
      </w:r>
      <w:r>
        <w:rPr>
          <w:sz w:val="24"/>
          <w:highlight w:val="none"/>
        </w:rPr>
        <w:t>12</w:t>
      </w:r>
      <w:r>
        <w:rPr>
          <w:rFonts w:hint="eastAsia"/>
          <w:sz w:val="24"/>
          <w:highlight w:val="none"/>
        </w:rPr>
        <w:t>个月平均计算每月承包款的金额，由社区、街道创建办组织人员对中标单位的实施情况进行检查考核，达到质量要求，在次月上旬支付（凭税务机关的正式发票，划至中标人单位账户）；未按实施方案、技术方案执行，达不到质量考核要求的，及时提出警告，并限期改正，视情扣款，并在限期内整改落实后再支付。</w:t>
      </w:r>
    </w:p>
    <w:p>
      <w:pPr>
        <w:spacing w:line="360" w:lineRule="auto"/>
        <w:rPr>
          <w:rFonts w:ascii="新宋体" w:hAnsi="新宋体" w:eastAsia="新宋体" w:cs="Courier New"/>
          <w:sz w:val="24"/>
          <w:highlight w:val="none"/>
        </w:rPr>
      </w:pPr>
      <w:r>
        <w:rPr>
          <w:sz w:val="24"/>
          <w:highlight w:val="none"/>
        </w:rPr>
        <w:t>2</w:t>
      </w:r>
      <w:r>
        <w:rPr>
          <w:rFonts w:hint="eastAsia"/>
          <w:sz w:val="24"/>
          <w:highlight w:val="none"/>
        </w:rPr>
        <w:t>、在签订合同时，中标方明确表示无需预付款或者主动要求降低预付款比例的，采购单位可不支付或减少预付款支付比例。</w:t>
      </w:r>
    </w:p>
    <w:p>
      <w:pPr>
        <w:widowControl/>
        <w:spacing w:line="360" w:lineRule="auto"/>
        <w:jc w:val="left"/>
        <w:rPr>
          <w:rFonts w:ascii="新宋体" w:hAnsi="新宋体" w:eastAsia="新宋体" w:cs="Courier New"/>
          <w:b/>
          <w:sz w:val="24"/>
          <w:highlight w:val="none"/>
        </w:rPr>
      </w:pPr>
      <w:r>
        <w:rPr>
          <w:rFonts w:hint="eastAsia" w:ascii="新宋体" w:hAnsi="新宋体" w:eastAsia="新宋体" w:cs="Courier New"/>
          <w:b/>
          <w:sz w:val="24"/>
          <w:highlight w:val="none"/>
        </w:rPr>
        <w:t>五、参照标准</w:t>
      </w:r>
    </w:p>
    <w:p>
      <w:pPr>
        <w:widowControl/>
        <w:spacing w:line="360" w:lineRule="auto"/>
        <w:jc w:val="left"/>
        <w:rPr>
          <w:rFonts w:ascii="新宋体" w:hAnsi="新宋体" w:eastAsia="新宋体" w:cs="Courier New"/>
          <w:sz w:val="24"/>
          <w:highlight w:val="none"/>
        </w:rPr>
      </w:pPr>
      <w:r>
        <w:rPr>
          <w:rFonts w:hint="eastAsia" w:ascii="新宋体" w:hAnsi="新宋体" w:eastAsia="新宋体" w:cs="Courier New"/>
          <w:sz w:val="24"/>
          <w:highlight w:val="none"/>
        </w:rPr>
        <w:t>1、</w:t>
      </w:r>
      <w:r>
        <w:rPr>
          <w:color w:val="000000"/>
          <w:sz w:val="24"/>
          <w:highlight w:val="none"/>
        </w:rPr>
        <w:t>本招标文件成文时，下列标准和规范均有效。所有标准和规范都会被修订，投标人应达到下列标准和规范最新版本的要求。</w:t>
      </w:r>
    </w:p>
    <w:p>
      <w:pPr>
        <w:widowControl/>
        <w:spacing w:line="360" w:lineRule="auto"/>
        <w:jc w:val="left"/>
        <w:rPr>
          <w:color w:val="000000"/>
          <w:sz w:val="24"/>
          <w:highlight w:val="none"/>
        </w:rPr>
      </w:pPr>
      <w:r>
        <w:rPr>
          <w:color w:val="000000"/>
          <w:sz w:val="24"/>
          <w:highlight w:val="none"/>
        </w:rPr>
        <w:t>（1）《城市环境卫生质量标准》1997年2月3日建设部建城［1997］21号。</w:t>
      </w:r>
    </w:p>
    <w:p>
      <w:pPr>
        <w:widowControl/>
        <w:spacing w:line="360" w:lineRule="auto"/>
        <w:jc w:val="left"/>
        <w:rPr>
          <w:color w:val="000000"/>
          <w:sz w:val="24"/>
          <w:highlight w:val="none"/>
        </w:rPr>
      </w:pPr>
      <w:r>
        <w:rPr>
          <w:color w:val="000000"/>
          <w:sz w:val="24"/>
          <w:highlight w:val="none"/>
        </w:rPr>
        <w:t>（2）义乌市政府以及稠江街道办事处和城乡垃圾一体化文明卫生要求的规定。</w:t>
      </w:r>
    </w:p>
    <w:p>
      <w:pPr>
        <w:widowControl/>
        <w:spacing w:line="360" w:lineRule="auto"/>
        <w:jc w:val="left"/>
        <w:rPr>
          <w:color w:val="000000"/>
          <w:sz w:val="24"/>
          <w:highlight w:val="none"/>
        </w:rPr>
      </w:pPr>
      <w:r>
        <w:rPr>
          <w:color w:val="000000"/>
          <w:sz w:val="24"/>
          <w:highlight w:val="none"/>
        </w:rPr>
        <w:t>2、采购人认可的其它规定。</w:t>
      </w:r>
    </w:p>
    <w:p>
      <w:pPr>
        <w:widowControl/>
        <w:spacing w:line="360" w:lineRule="auto"/>
        <w:jc w:val="left"/>
        <w:rPr>
          <w:color w:val="000000"/>
          <w:sz w:val="24"/>
          <w:highlight w:val="none"/>
        </w:rPr>
      </w:pPr>
      <w:r>
        <w:rPr>
          <w:color w:val="000000"/>
          <w:sz w:val="24"/>
          <w:highlight w:val="none"/>
        </w:rPr>
        <w:t>3、投标人遵守不限于以上标准及规定时,应向采购人及时解释清楚。</w:t>
      </w:r>
    </w:p>
    <w:p>
      <w:pPr>
        <w:widowControl/>
        <w:spacing w:line="360" w:lineRule="auto"/>
        <w:jc w:val="left"/>
        <w:rPr>
          <w:color w:val="000000"/>
          <w:sz w:val="24"/>
          <w:highlight w:val="none"/>
        </w:rPr>
      </w:pPr>
      <w:r>
        <w:rPr>
          <w:color w:val="000000"/>
          <w:sz w:val="24"/>
          <w:highlight w:val="none"/>
        </w:rPr>
        <w:t>4、义乌市稠江街道</w:t>
      </w:r>
      <w:r>
        <w:rPr>
          <w:rFonts w:hint="eastAsia"/>
          <w:color w:val="000000"/>
          <w:sz w:val="24"/>
          <w:highlight w:val="none"/>
        </w:rPr>
        <w:t>清扫保洁运作质量要求及督查考核办法。</w:t>
      </w:r>
    </w:p>
    <w:p>
      <w:pPr>
        <w:widowControl/>
        <w:spacing w:line="360" w:lineRule="auto"/>
        <w:jc w:val="left"/>
        <w:rPr>
          <w:color w:val="000000"/>
          <w:kern w:val="0"/>
          <w:sz w:val="24"/>
          <w:highlight w:val="none"/>
        </w:rPr>
      </w:pPr>
      <w:r>
        <w:rPr>
          <w:rFonts w:hint="eastAsia"/>
          <w:color w:val="000000"/>
          <w:sz w:val="24"/>
          <w:highlight w:val="none"/>
        </w:rPr>
        <w:t>5、</w:t>
      </w:r>
      <w:r>
        <w:rPr>
          <w:rFonts w:hint="eastAsia"/>
          <w:color w:val="000000"/>
          <w:kern w:val="0"/>
          <w:sz w:val="24"/>
          <w:highlight w:val="none"/>
        </w:rPr>
        <w:t>义乌市稠江街道垃圾直运至市垃圾焚烧厂或填埋场考核方法。</w:t>
      </w:r>
    </w:p>
    <w:p>
      <w:pPr>
        <w:widowControl/>
        <w:spacing w:line="360" w:lineRule="auto"/>
        <w:jc w:val="left"/>
        <w:rPr>
          <w:b/>
          <w:color w:val="000000"/>
          <w:kern w:val="0"/>
          <w:sz w:val="24"/>
          <w:highlight w:val="none"/>
        </w:rPr>
      </w:pPr>
      <w:r>
        <w:rPr>
          <w:rFonts w:hint="eastAsia"/>
          <w:b/>
          <w:color w:val="000000"/>
          <w:kern w:val="0"/>
          <w:sz w:val="24"/>
          <w:highlight w:val="none"/>
        </w:rPr>
        <w:t>六、服务规范</w:t>
      </w:r>
    </w:p>
    <w:p>
      <w:pPr>
        <w:widowControl/>
        <w:spacing w:line="360" w:lineRule="auto"/>
        <w:jc w:val="left"/>
        <w:rPr>
          <w:color w:val="000000"/>
          <w:sz w:val="24"/>
          <w:highlight w:val="none"/>
        </w:rPr>
      </w:pPr>
      <w:r>
        <w:rPr>
          <w:rFonts w:hint="eastAsia"/>
          <w:color w:val="000000"/>
          <w:kern w:val="0"/>
          <w:sz w:val="24"/>
          <w:highlight w:val="none"/>
        </w:rPr>
        <w:t>1、</w:t>
      </w:r>
      <w:r>
        <w:rPr>
          <w:color w:val="000000"/>
          <w:sz w:val="24"/>
          <w:highlight w:val="none"/>
        </w:rPr>
        <w:t>建有较完整的规章制度和具体的保洁标准。</w:t>
      </w:r>
    </w:p>
    <w:p>
      <w:pPr>
        <w:widowControl/>
        <w:spacing w:line="360" w:lineRule="auto"/>
        <w:jc w:val="left"/>
        <w:rPr>
          <w:color w:val="000000"/>
          <w:sz w:val="24"/>
          <w:highlight w:val="none"/>
        </w:rPr>
      </w:pPr>
      <w:r>
        <w:rPr>
          <w:color w:val="000000"/>
          <w:sz w:val="24"/>
          <w:highlight w:val="none"/>
        </w:rPr>
        <w:t>2、岗位分工明确，配备专门人员从事清扫保洁工作。</w:t>
      </w:r>
    </w:p>
    <w:p>
      <w:pPr>
        <w:widowControl/>
        <w:spacing w:line="360" w:lineRule="auto"/>
        <w:jc w:val="left"/>
        <w:rPr>
          <w:color w:val="000000"/>
          <w:sz w:val="24"/>
          <w:highlight w:val="none"/>
        </w:rPr>
      </w:pPr>
      <w:r>
        <w:rPr>
          <w:color w:val="000000"/>
          <w:sz w:val="24"/>
          <w:highlight w:val="none"/>
        </w:rPr>
        <w:t>3、有严格的巡查制度、考核和奖惩办法。</w:t>
      </w:r>
    </w:p>
    <w:p>
      <w:pPr>
        <w:widowControl/>
        <w:spacing w:line="360" w:lineRule="auto"/>
        <w:jc w:val="left"/>
        <w:rPr>
          <w:color w:val="000000"/>
          <w:sz w:val="24"/>
          <w:highlight w:val="none"/>
        </w:rPr>
      </w:pPr>
      <w:r>
        <w:rPr>
          <w:color w:val="000000"/>
          <w:sz w:val="24"/>
          <w:highlight w:val="none"/>
        </w:rPr>
        <w:t>4、主动做好责任范围的环境保洁服务工作，确保市（村）容、道路整洁，自觉接受有关各方监管。</w:t>
      </w:r>
    </w:p>
    <w:p>
      <w:pPr>
        <w:widowControl/>
        <w:spacing w:line="360" w:lineRule="auto"/>
        <w:jc w:val="left"/>
        <w:rPr>
          <w:color w:val="000000"/>
          <w:sz w:val="24"/>
          <w:highlight w:val="none"/>
        </w:rPr>
      </w:pPr>
      <w:r>
        <w:rPr>
          <w:color w:val="000000"/>
          <w:sz w:val="24"/>
          <w:highlight w:val="none"/>
        </w:rPr>
        <w:t>5、严格操作规程，定期清扫和动态保养相结合。</w:t>
      </w:r>
    </w:p>
    <w:p>
      <w:pPr>
        <w:widowControl/>
        <w:spacing w:line="360" w:lineRule="auto"/>
        <w:jc w:val="left"/>
        <w:rPr>
          <w:color w:val="000000"/>
          <w:sz w:val="24"/>
          <w:highlight w:val="none"/>
        </w:rPr>
      </w:pPr>
      <w:r>
        <w:rPr>
          <w:color w:val="000000"/>
          <w:sz w:val="24"/>
          <w:highlight w:val="none"/>
        </w:rPr>
        <w:t xml:space="preserve">6、员工不得在垃圾房（筒）内拾荒，禁止焚烧垃圾、杂物。 </w:t>
      </w:r>
    </w:p>
    <w:p>
      <w:pPr>
        <w:widowControl/>
        <w:spacing w:line="360" w:lineRule="auto"/>
        <w:jc w:val="left"/>
        <w:rPr>
          <w:color w:val="000000"/>
          <w:sz w:val="24"/>
          <w:highlight w:val="none"/>
        </w:rPr>
      </w:pPr>
      <w:r>
        <w:rPr>
          <w:color w:val="000000"/>
          <w:sz w:val="24"/>
          <w:highlight w:val="none"/>
        </w:rPr>
        <w:t>7、公开监督电话。</w:t>
      </w:r>
    </w:p>
    <w:p>
      <w:pPr>
        <w:widowControl/>
        <w:spacing w:line="360" w:lineRule="auto"/>
        <w:jc w:val="left"/>
        <w:rPr>
          <w:b/>
          <w:sz w:val="24"/>
          <w:highlight w:val="none"/>
        </w:rPr>
      </w:pPr>
      <w:r>
        <w:rPr>
          <w:color w:val="000000"/>
          <w:sz w:val="24"/>
          <w:highlight w:val="none"/>
        </w:rPr>
        <w:t>8、员工着装规范。</w:t>
      </w:r>
    </w:p>
    <w:p>
      <w:pPr>
        <w:snapToGrid w:val="0"/>
        <w:spacing w:line="360" w:lineRule="auto"/>
        <w:textAlignment w:val="baseline"/>
        <w:rPr>
          <w:b/>
          <w:bCs/>
          <w:color w:val="000000"/>
          <w:sz w:val="24"/>
          <w:highlight w:val="none"/>
        </w:rPr>
      </w:pPr>
      <w:r>
        <w:rPr>
          <w:rFonts w:hint="eastAsia"/>
          <w:b/>
          <w:bCs/>
          <w:color w:val="000000"/>
          <w:sz w:val="24"/>
          <w:highlight w:val="none"/>
        </w:rPr>
        <w:t>七</w:t>
      </w:r>
      <w:r>
        <w:rPr>
          <w:b/>
          <w:bCs/>
          <w:color w:val="000000"/>
          <w:sz w:val="24"/>
          <w:highlight w:val="none"/>
        </w:rPr>
        <w:t>、服务人员基本素质要求</w:t>
      </w:r>
    </w:p>
    <w:p>
      <w:pPr>
        <w:widowControl/>
        <w:spacing w:line="360" w:lineRule="auto"/>
        <w:jc w:val="left"/>
        <w:rPr>
          <w:color w:val="000000"/>
          <w:sz w:val="24"/>
          <w:highlight w:val="none"/>
        </w:rPr>
      </w:pPr>
      <w:r>
        <w:rPr>
          <w:color w:val="000000"/>
          <w:sz w:val="24"/>
          <w:highlight w:val="none"/>
        </w:rPr>
        <w:t>1、身体健康无传染病，有正常的工作能力。</w:t>
      </w:r>
    </w:p>
    <w:p>
      <w:pPr>
        <w:widowControl/>
        <w:spacing w:line="360" w:lineRule="auto"/>
        <w:jc w:val="left"/>
        <w:rPr>
          <w:color w:val="000000"/>
          <w:sz w:val="24"/>
          <w:highlight w:val="none"/>
        </w:rPr>
      </w:pPr>
      <w:r>
        <w:rPr>
          <w:color w:val="000000"/>
          <w:sz w:val="24"/>
          <w:highlight w:val="none"/>
        </w:rPr>
        <w:t>2、思想进步，无犯罪纪录。</w:t>
      </w:r>
    </w:p>
    <w:p>
      <w:pPr>
        <w:widowControl/>
        <w:spacing w:line="360" w:lineRule="auto"/>
        <w:jc w:val="left"/>
        <w:rPr>
          <w:color w:val="000000"/>
          <w:sz w:val="24"/>
          <w:highlight w:val="none"/>
        </w:rPr>
      </w:pPr>
      <w:r>
        <w:rPr>
          <w:color w:val="000000"/>
          <w:sz w:val="24"/>
          <w:highlight w:val="none"/>
        </w:rPr>
        <w:t>3、管理人员要求在高中及以上的学历，年龄18-5</w:t>
      </w:r>
      <w:r>
        <w:rPr>
          <w:rFonts w:hint="eastAsia"/>
          <w:color w:val="000000"/>
          <w:sz w:val="24"/>
          <w:highlight w:val="none"/>
        </w:rPr>
        <w:t>0</w:t>
      </w:r>
      <w:r>
        <w:rPr>
          <w:color w:val="000000"/>
          <w:sz w:val="24"/>
          <w:highlight w:val="none"/>
        </w:rPr>
        <w:t>周岁。</w:t>
      </w:r>
    </w:p>
    <w:p>
      <w:pPr>
        <w:widowControl/>
        <w:spacing w:line="360" w:lineRule="auto"/>
        <w:jc w:val="left"/>
        <w:rPr>
          <w:rFonts w:ascii="宋体" w:hAnsi="宋体" w:cs="宋体"/>
          <w:color w:val="000000"/>
          <w:sz w:val="24"/>
          <w:highlight w:val="none"/>
        </w:rPr>
      </w:pPr>
      <w:r>
        <w:rPr>
          <w:rFonts w:hint="eastAsia"/>
          <w:color w:val="000000"/>
          <w:sz w:val="24"/>
          <w:highlight w:val="none"/>
        </w:rPr>
        <w:t>4、</w:t>
      </w:r>
      <w:r>
        <w:rPr>
          <w:rFonts w:hint="eastAsia" w:ascii="宋体" w:hAnsi="宋体" w:cs="宋体"/>
          <w:color w:val="000000"/>
          <w:sz w:val="24"/>
          <w:highlight w:val="none"/>
        </w:rPr>
        <w:t>遵守法纪法规。</w:t>
      </w:r>
    </w:p>
    <w:p>
      <w:pPr>
        <w:spacing w:line="360" w:lineRule="auto"/>
        <w:rPr>
          <w:b/>
          <w:sz w:val="24"/>
          <w:highlight w:val="none"/>
        </w:rPr>
      </w:pPr>
      <w:r>
        <w:rPr>
          <w:rFonts w:hint="eastAsia"/>
          <w:b/>
          <w:sz w:val="24"/>
          <w:highlight w:val="none"/>
        </w:rPr>
        <w:t>八</w:t>
      </w:r>
      <w:r>
        <w:rPr>
          <w:b/>
          <w:sz w:val="24"/>
          <w:highlight w:val="none"/>
        </w:rPr>
        <w:t>、应急预案</w:t>
      </w:r>
    </w:p>
    <w:p>
      <w:pPr>
        <w:spacing w:line="360" w:lineRule="auto"/>
        <w:rPr>
          <w:sz w:val="24"/>
          <w:highlight w:val="none"/>
        </w:rPr>
      </w:pPr>
      <w:r>
        <w:rPr>
          <w:b/>
          <w:sz w:val="24"/>
          <w:highlight w:val="none"/>
        </w:rPr>
        <w:t xml:space="preserve">    </w:t>
      </w:r>
      <w:r>
        <w:rPr>
          <w:sz w:val="24"/>
          <w:highlight w:val="none"/>
        </w:rPr>
        <w:t>中标单位应就各种恶劣天气（如台风、暴雨、暴雪等）制定出相应的应急预案，并采取相应的措施，保证人民群众的生命和财产安全。</w:t>
      </w:r>
    </w:p>
    <w:p>
      <w:pPr>
        <w:widowControl/>
        <w:spacing w:line="360" w:lineRule="auto"/>
        <w:jc w:val="left"/>
        <w:rPr>
          <w:rFonts w:ascii="宋体" w:hAnsi="宋体" w:cs="宋体"/>
          <w:b/>
          <w:color w:val="000000"/>
          <w:sz w:val="24"/>
          <w:highlight w:val="none"/>
        </w:rPr>
      </w:pPr>
      <w:r>
        <w:rPr>
          <w:rFonts w:hint="eastAsia" w:ascii="宋体" w:hAnsi="宋体" w:cs="宋体"/>
          <w:b/>
          <w:color w:val="000000"/>
          <w:sz w:val="24"/>
          <w:highlight w:val="none"/>
        </w:rPr>
        <w:t>九、义</w:t>
      </w:r>
      <w:r>
        <w:rPr>
          <w:rFonts w:hint="eastAsia"/>
          <w:b/>
          <w:color w:val="000000"/>
          <w:kern w:val="0"/>
          <w:sz w:val="24"/>
          <w:highlight w:val="none"/>
        </w:rPr>
        <w:t>乌市稠江街道清扫保洁运作质量要求及督查考核办法</w:t>
      </w:r>
    </w:p>
    <w:p>
      <w:pPr>
        <w:spacing w:line="400" w:lineRule="exact"/>
        <w:ind w:right="-506" w:rightChars="-241"/>
        <w:rPr>
          <w:rFonts w:ascii="宋体" w:hAnsi="宋体"/>
          <w:b/>
          <w:color w:val="000000"/>
          <w:sz w:val="24"/>
          <w:highlight w:val="none"/>
        </w:rPr>
      </w:pPr>
      <w:r>
        <w:rPr>
          <w:rFonts w:hint="eastAsia" w:ascii="宋体" w:hAnsi="宋体"/>
          <w:b/>
          <w:color w:val="000000"/>
          <w:sz w:val="24"/>
          <w:highlight w:val="none"/>
        </w:rPr>
        <w:t>（一）适用范围</w:t>
      </w:r>
    </w:p>
    <w:p>
      <w:pPr>
        <w:widowControl/>
        <w:spacing w:line="360" w:lineRule="auto"/>
        <w:ind w:firstLine="480" w:firstLineChars="200"/>
        <w:jc w:val="left"/>
        <w:rPr>
          <w:color w:val="000000"/>
          <w:sz w:val="24"/>
          <w:highlight w:val="none"/>
        </w:rPr>
      </w:pPr>
      <w:r>
        <w:rPr>
          <w:rFonts w:hint="eastAsia"/>
          <w:color w:val="000000"/>
          <w:sz w:val="24"/>
          <w:highlight w:val="none"/>
        </w:rPr>
        <w:t>清扫保洁作业承包范围内所有的机动车道、非机动车道、人行道（扫到沿街店面房为止）、绿化带、空闲地、停车场、村居公共活动场所、环村路、进村道路、沟渠的清扫保洁和废弃物清理，“牛皮癣”清除和农村公众信息栏管理，垃圾房（承包范围内公厕、清洗间、投放点）、果壳箱、垃圾桶的清洗保洁管理，袋装化垃圾的收集，生活垃圾和规定的工业垃圾的分类清运。各社区范围内池塘漂浮物清理，建筑装璜垃圾、大小件杂物等废弃物（下同）清运和处置，绿化带、人行道、边沟等杂草清除等。</w:t>
      </w:r>
    </w:p>
    <w:p>
      <w:pPr>
        <w:spacing w:line="360" w:lineRule="auto"/>
        <w:rPr>
          <w:rFonts w:ascii="宋体" w:hAnsi="宋体"/>
          <w:b/>
          <w:color w:val="000000"/>
          <w:sz w:val="24"/>
          <w:highlight w:val="none"/>
        </w:rPr>
      </w:pPr>
      <w:r>
        <w:rPr>
          <w:rFonts w:hint="eastAsia" w:ascii="宋体" w:hAnsi="宋体"/>
          <w:b/>
          <w:color w:val="000000"/>
          <w:sz w:val="24"/>
          <w:highlight w:val="none"/>
        </w:rPr>
        <w:t>（二）质量要求</w:t>
      </w:r>
    </w:p>
    <w:p>
      <w:pPr>
        <w:spacing w:line="360" w:lineRule="auto"/>
        <w:rPr>
          <w:rFonts w:ascii="宋体" w:hAnsi="宋体"/>
          <w:b/>
          <w:color w:val="000000"/>
          <w:sz w:val="24"/>
          <w:highlight w:val="none"/>
        </w:rPr>
      </w:pPr>
      <w:r>
        <w:rPr>
          <w:rFonts w:hint="eastAsia" w:ascii="宋体" w:hAnsi="宋体"/>
          <w:b/>
          <w:color w:val="000000"/>
          <w:sz w:val="24"/>
          <w:highlight w:val="none"/>
        </w:rPr>
        <w:t>1、普扫质量要求</w:t>
      </w:r>
    </w:p>
    <w:p>
      <w:pPr>
        <w:widowControl/>
        <w:spacing w:line="360" w:lineRule="auto"/>
        <w:ind w:firstLine="480" w:firstLineChars="200"/>
        <w:jc w:val="left"/>
        <w:rPr>
          <w:color w:val="000000"/>
          <w:sz w:val="24"/>
          <w:highlight w:val="none"/>
          <w:u w:val="single"/>
        </w:rPr>
      </w:pPr>
      <w:r>
        <w:rPr>
          <w:rFonts w:hint="eastAsia"/>
          <w:color w:val="000000"/>
          <w:sz w:val="24"/>
          <w:highlight w:val="none"/>
        </w:rPr>
        <w:t>（</w:t>
      </w:r>
      <w:r>
        <w:rPr>
          <w:color w:val="000000"/>
          <w:sz w:val="24"/>
          <w:highlight w:val="none"/>
        </w:rPr>
        <w:t>1</w:t>
      </w:r>
      <w:r>
        <w:rPr>
          <w:rFonts w:hint="eastAsia"/>
          <w:color w:val="000000"/>
          <w:sz w:val="24"/>
          <w:highlight w:val="none"/>
        </w:rPr>
        <w:t>）按规定完成清扫保洁任务。二班制保洁路段首次普扫应在6</w:t>
      </w:r>
      <w:r>
        <w:rPr>
          <w:color w:val="000000"/>
          <w:sz w:val="24"/>
          <w:highlight w:val="none"/>
        </w:rPr>
        <w:t>:</w:t>
      </w:r>
      <w:r>
        <w:rPr>
          <w:rFonts w:hint="eastAsia"/>
          <w:color w:val="000000"/>
          <w:sz w:val="24"/>
          <w:highlight w:val="none"/>
        </w:rPr>
        <w:t>3</w:t>
      </w:r>
      <w:r>
        <w:rPr>
          <w:color w:val="000000"/>
          <w:sz w:val="24"/>
          <w:highlight w:val="none"/>
        </w:rPr>
        <w:t>0</w:t>
      </w:r>
      <w:r>
        <w:rPr>
          <w:rFonts w:hint="eastAsia"/>
          <w:color w:val="000000"/>
          <w:sz w:val="24"/>
          <w:highlight w:val="none"/>
        </w:rPr>
        <w:t>前结束，下午普扫应在14：30前结束；一班制保洁路段首次普扫应在</w:t>
      </w:r>
      <w:r>
        <w:rPr>
          <w:color w:val="000000"/>
          <w:sz w:val="24"/>
          <w:highlight w:val="none"/>
        </w:rPr>
        <w:t>8:00</w:t>
      </w:r>
      <w:r>
        <w:rPr>
          <w:rFonts w:hint="eastAsia"/>
          <w:color w:val="000000"/>
          <w:sz w:val="24"/>
          <w:highlight w:val="none"/>
        </w:rPr>
        <w:t>前结束，下午普扫应在15：30前结束，保洁路段做到每天不少于</w:t>
      </w:r>
      <w:r>
        <w:rPr>
          <w:color w:val="000000"/>
          <w:sz w:val="24"/>
          <w:highlight w:val="none"/>
        </w:rPr>
        <w:t>2</w:t>
      </w:r>
      <w:r>
        <w:rPr>
          <w:rFonts w:hint="eastAsia"/>
          <w:color w:val="000000"/>
          <w:sz w:val="24"/>
          <w:highlight w:val="none"/>
        </w:rPr>
        <w:t>遍的普扫</w:t>
      </w:r>
      <w:r>
        <w:rPr>
          <w:color w:val="000000"/>
          <w:sz w:val="24"/>
          <w:highlight w:val="none"/>
        </w:rPr>
        <w:t xml:space="preserve"> (</w:t>
      </w:r>
      <w:r>
        <w:rPr>
          <w:rFonts w:hint="eastAsia"/>
          <w:color w:val="000000"/>
          <w:sz w:val="24"/>
          <w:highlight w:val="none"/>
        </w:rPr>
        <w:t>包括机动车道两个或四个边、非机动车道两个边以及人行道等所有需清扫保洁的面积</w:t>
      </w:r>
      <w:r>
        <w:rPr>
          <w:color w:val="000000"/>
          <w:sz w:val="24"/>
          <w:highlight w:val="none"/>
        </w:rPr>
        <w:t>)</w:t>
      </w:r>
      <w:r>
        <w:rPr>
          <w:rFonts w:hint="eastAsia"/>
          <w:color w:val="000000"/>
          <w:sz w:val="24"/>
          <w:highlight w:val="none"/>
        </w:rPr>
        <w:t>，普扫后应不间断地巡回保洁，二、三级道路一班制保洁时间延长至19：00结束。清扫保洁时间详见清扫保洁一日作业表。</w:t>
      </w:r>
    </w:p>
    <w:p>
      <w:pPr>
        <w:spacing w:line="360" w:lineRule="auto"/>
        <w:jc w:val="center"/>
        <w:rPr>
          <w:color w:val="000000"/>
          <w:sz w:val="24"/>
          <w:highlight w:val="none"/>
        </w:rPr>
      </w:pPr>
      <w:r>
        <w:rPr>
          <w:rFonts w:hint="eastAsia"/>
          <w:color w:val="000000"/>
          <w:sz w:val="24"/>
          <w:highlight w:val="none"/>
        </w:rPr>
        <w:t>清扫保洁一日作业表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81"/>
        <w:gridCol w:w="3060"/>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保洁类别</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时间段</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主</w:t>
            </w:r>
            <w:r>
              <w:rPr>
                <w:color w:val="000000"/>
                <w:sz w:val="24"/>
                <w:highlight w:val="none"/>
              </w:rPr>
              <w:t xml:space="preserve"> </w:t>
            </w:r>
            <w:r>
              <w:rPr>
                <w:rFonts w:hint="eastAsia"/>
                <w:color w:val="000000"/>
                <w:sz w:val="24"/>
                <w:highlight w:val="none"/>
              </w:rPr>
              <w:t>要</w:t>
            </w:r>
            <w:r>
              <w:rPr>
                <w:color w:val="000000"/>
                <w:sz w:val="24"/>
                <w:highlight w:val="none"/>
              </w:rPr>
              <w:t xml:space="preserve"> </w:t>
            </w:r>
            <w:r>
              <w:rPr>
                <w:rFonts w:hint="eastAsia"/>
                <w:color w:val="000000"/>
                <w:sz w:val="24"/>
                <w:highlight w:val="none"/>
              </w:rPr>
              <w:t>内　容</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18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二</w:t>
            </w:r>
          </w:p>
          <w:p>
            <w:pPr>
              <w:jc w:val="center"/>
              <w:rPr>
                <w:color w:val="000000"/>
                <w:sz w:val="24"/>
                <w:highlight w:val="none"/>
              </w:rPr>
            </w:pPr>
            <w:r>
              <w:rPr>
                <w:rFonts w:hint="eastAsia"/>
                <w:color w:val="000000"/>
                <w:sz w:val="24"/>
                <w:highlight w:val="none"/>
              </w:rPr>
              <w:t>班</w:t>
            </w:r>
          </w:p>
          <w:p>
            <w:pPr>
              <w:jc w:val="center"/>
              <w:rPr>
                <w:color w:val="000000"/>
                <w:sz w:val="24"/>
                <w:highlight w:val="none"/>
              </w:rPr>
            </w:pPr>
            <w:r>
              <w:rPr>
                <w:rFonts w:hint="eastAsia"/>
                <w:color w:val="000000"/>
                <w:sz w:val="24"/>
                <w:highlight w:val="none"/>
              </w:rPr>
              <w:t>制</w:t>
            </w:r>
          </w:p>
          <w:p>
            <w:pPr>
              <w:jc w:val="center"/>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4</w:t>
            </w:r>
            <w:r>
              <w:rPr>
                <w:color w:val="000000"/>
                <w:sz w:val="24"/>
                <w:highlight w:val="none"/>
              </w:rPr>
              <w:t>:</w:t>
            </w:r>
            <w:r>
              <w:rPr>
                <w:rFonts w:hint="eastAsia"/>
                <w:color w:val="000000"/>
                <w:sz w:val="24"/>
                <w:highlight w:val="none"/>
              </w:rPr>
              <w:t>0</w:t>
            </w:r>
            <w:r>
              <w:rPr>
                <w:color w:val="000000"/>
                <w:sz w:val="24"/>
                <w:highlight w:val="none"/>
              </w:rPr>
              <w:t>0~6:</w:t>
            </w:r>
            <w:r>
              <w:rPr>
                <w:rFonts w:hint="eastAsia"/>
                <w:color w:val="000000"/>
                <w:sz w:val="24"/>
                <w:highlight w:val="none"/>
              </w:rPr>
              <w:t>3</w:t>
            </w:r>
            <w:r>
              <w:rPr>
                <w:color w:val="000000"/>
                <w:sz w:val="24"/>
                <w:highlight w:val="none"/>
              </w:rPr>
              <w:t>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普遍清扫一次</w:t>
            </w:r>
          </w:p>
        </w:tc>
        <w:tc>
          <w:tcPr>
            <w:tcW w:w="2796" w:type="dxa"/>
            <w:tcBorders>
              <w:top w:val="single" w:color="auto" w:sz="4" w:space="0"/>
              <w:left w:val="single" w:color="auto" w:sz="4" w:space="0"/>
              <w:bottom w:val="single" w:color="auto" w:sz="4" w:space="0"/>
            </w:tcBorders>
            <w:noWrap w:val="0"/>
            <w:vAlign w:val="center"/>
          </w:tcPr>
          <w:p>
            <w:pPr>
              <w:jc w:val="center"/>
              <w:rPr>
                <w:color w:val="000000"/>
                <w:szCs w:val="21"/>
                <w:highlight w:val="none"/>
              </w:rPr>
            </w:pPr>
            <w:r>
              <w:rPr>
                <w:rFonts w:hint="eastAsia"/>
                <w:color w:val="000000"/>
                <w:szCs w:val="21"/>
                <w:highlight w:val="none"/>
              </w:rPr>
              <w:t>按市相关部门的规定洒水一次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7:00~1</w:t>
            </w:r>
            <w:r>
              <w:rPr>
                <w:rFonts w:hint="eastAsia"/>
                <w:color w:val="000000"/>
                <w:sz w:val="24"/>
                <w:highlight w:val="none"/>
              </w:rPr>
              <w:t>2</w:t>
            </w:r>
            <w:r>
              <w:rPr>
                <w:color w:val="000000"/>
                <w:sz w:val="24"/>
                <w:highlight w:val="none"/>
              </w:rPr>
              <w:t>:</w:t>
            </w:r>
            <w:r>
              <w:rPr>
                <w:rFonts w:hint="eastAsia"/>
                <w:color w:val="000000"/>
                <w:sz w:val="24"/>
                <w:highlight w:val="none"/>
              </w:rPr>
              <w:t>0</w:t>
            </w:r>
            <w:r>
              <w:rPr>
                <w:color w:val="000000"/>
                <w:sz w:val="24"/>
                <w:highlight w:val="none"/>
              </w:rPr>
              <w:t>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巡回保洁</w:t>
            </w:r>
          </w:p>
        </w:tc>
        <w:tc>
          <w:tcPr>
            <w:tcW w:w="2796" w:type="dxa"/>
            <w:tcBorders>
              <w:top w:val="single" w:color="auto" w:sz="4" w:space="0"/>
              <w:left w:val="single" w:color="auto" w:sz="4" w:space="0"/>
              <w:bottom w:val="single" w:color="auto" w:sz="4" w:space="0"/>
              <w:right w:val="single" w:color="auto" w:sz="4" w:space="0"/>
            </w:tcBorders>
            <w:noWrap w:val="0"/>
            <w:vAlign w:val="top"/>
          </w:tcPr>
          <w:p>
            <w:pP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1</w:t>
            </w:r>
            <w:r>
              <w:rPr>
                <w:rFonts w:hint="eastAsia"/>
                <w:color w:val="000000"/>
                <w:sz w:val="24"/>
                <w:highlight w:val="none"/>
              </w:rPr>
              <w:t>2</w:t>
            </w:r>
            <w:r>
              <w:rPr>
                <w:color w:val="000000"/>
                <w:sz w:val="24"/>
                <w:highlight w:val="none"/>
              </w:rPr>
              <w:t>:</w:t>
            </w:r>
            <w:r>
              <w:rPr>
                <w:rFonts w:hint="eastAsia"/>
                <w:color w:val="000000"/>
                <w:sz w:val="24"/>
                <w:highlight w:val="none"/>
              </w:rPr>
              <w:t>0</w:t>
            </w:r>
            <w:r>
              <w:rPr>
                <w:color w:val="000000"/>
                <w:sz w:val="24"/>
                <w:highlight w:val="none"/>
              </w:rPr>
              <w:t>0~1</w:t>
            </w:r>
            <w:r>
              <w:rPr>
                <w:rFonts w:hint="eastAsia"/>
                <w:color w:val="000000"/>
                <w:sz w:val="24"/>
                <w:highlight w:val="none"/>
              </w:rPr>
              <w:t>7</w:t>
            </w:r>
            <w:r>
              <w:rPr>
                <w:color w:val="000000"/>
                <w:sz w:val="24"/>
                <w:highlight w:val="none"/>
              </w:rPr>
              <w:t>:</w:t>
            </w:r>
            <w:r>
              <w:rPr>
                <w:rFonts w:hint="eastAsia"/>
                <w:color w:val="000000"/>
                <w:sz w:val="24"/>
                <w:highlight w:val="none"/>
              </w:rPr>
              <w:t>3</w:t>
            </w:r>
            <w:r>
              <w:rPr>
                <w:color w:val="000000"/>
                <w:sz w:val="24"/>
                <w:highlight w:val="none"/>
              </w:rPr>
              <w:t>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普遍清扫一次并巡回保洁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rFonts w:hint="eastAsia"/>
                <w:color w:val="000000"/>
                <w:szCs w:val="21"/>
                <w:highlight w:val="none"/>
              </w:rPr>
              <w:t>按市相关部门的规定洒水一次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19:00~2</w:t>
            </w:r>
            <w:r>
              <w:rPr>
                <w:rFonts w:hint="eastAsia"/>
                <w:color w:val="000000"/>
                <w:sz w:val="24"/>
                <w:highlight w:val="none"/>
              </w:rPr>
              <w:t>1</w:t>
            </w:r>
            <w:r>
              <w:rPr>
                <w:color w:val="000000"/>
                <w:sz w:val="24"/>
                <w:highlight w:val="none"/>
              </w:rPr>
              <w:t>:</w:t>
            </w:r>
            <w:r>
              <w:rPr>
                <w:rFonts w:hint="eastAsia"/>
                <w:color w:val="000000"/>
                <w:sz w:val="24"/>
                <w:highlight w:val="none"/>
              </w:rPr>
              <w:t>0</w:t>
            </w:r>
            <w:r>
              <w:rPr>
                <w:color w:val="000000"/>
                <w:sz w:val="24"/>
                <w:highlight w:val="none"/>
              </w:rPr>
              <w:t>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巡回保洁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8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一</w:t>
            </w:r>
          </w:p>
          <w:p>
            <w:pPr>
              <w:jc w:val="center"/>
              <w:rPr>
                <w:color w:val="000000"/>
                <w:sz w:val="24"/>
                <w:highlight w:val="none"/>
              </w:rPr>
            </w:pPr>
            <w:r>
              <w:rPr>
                <w:rFonts w:hint="eastAsia"/>
                <w:color w:val="000000"/>
                <w:sz w:val="24"/>
                <w:highlight w:val="none"/>
              </w:rPr>
              <w:t>班</w:t>
            </w:r>
          </w:p>
          <w:p>
            <w:pPr>
              <w:jc w:val="center"/>
              <w:rPr>
                <w:color w:val="000000"/>
                <w:sz w:val="24"/>
                <w:highlight w:val="none"/>
              </w:rPr>
            </w:pPr>
            <w:r>
              <w:rPr>
                <w:rFonts w:hint="eastAsia"/>
                <w:color w:val="000000"/>
                <w:sz w:val="24"/>
                <w:highlight w:val="none"/>
              </w:rPr>
              <w:t>制</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5:30~8:00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普遍清扫一次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rFonts w:hint="eastAsia"/>
                <w:color w:val="000000"/>
                <w:szCs w:val="21"/>
                <w:highlight w:val="none"/>
              </w:rPr>
              <w:t>按市相关部门的规定洒水一次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8:30~10:</w:t>
            </w:r>
            <w:r>
              <w:rPr>
                <w:rFonts w:hint="eastAsia"/>
                <w:color w:val="000000"/>
                <w:sz w:val="24"/>
                <w:highlight w:val="none"/>
              </w:rPr>
              <w:t>30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巡回保洁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13:00~15:30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普遍清扫一次并巡回保洁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rFonts w:hint="eastAsia"/>
                <w:color w:val="000000"/>
                <w:szCs w:val="21"/>
                <w:highlight w:val="none"/>
              </w:rPr>
              <w:t>按市相关部门的规定洒水一次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color w:val="000000"/>
                <w:sz w:val="24"/>
                <w:highlight w:val="none"/>
              </w:rPr>
              <w:t>15:30~17:00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巡回保洁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highlight w:val="none"/>
              </w:rPr>
            </w:pPr>
            <w:r>
              <w:rPr>
                <w:rFonts w:hint="eastAsia"/>
                <w:color w:val="000000"/>
                <w:szCs w:val="21"/>
                <w:highlight w:val="none"/>
              </w:rPr>
              <w:t>二、三级道路一班制保洁时间延长至19：00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8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垃圾房（公厕、清洗间、投放点）</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highlight w:val="none"/>
              </w:rPr>
            </w:pPr>
            <w:r>
              <w:rPr>
                <w:rFonts w:hint="eastAsia" w:ascii="宋体" w:hAnsi="宋体"/>
                <w:color w:val="000000"/>
                <w:sz w:val="24"/>
                <w:highlight w:val="none"/>
              </w:rPr>
              <w:t>4:00—8:00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清理、垃圾清运一次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ascii="宋体" w:hAnsi="宋体"/>
                <w:color w:val="000000"/>
                <w:sz w:val="24"/>
                <w:highlight w:val="none"/>
              </w:rPr>
              <w:t xml:space="preserve">12:00—14:00 </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清理、垃圾清运一次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4"/>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highlight w:val="none"/>
              </w:rPr>
            </w:pPr>
            <w:r>
              <w:rPr>
                <w:rFonts w:hint="eastAsia" w:ascii="宋体" w:hAnsi="宋体"/>
                <w:color w:val="000000"/>
                <w:sz w:val="24"/>
                <w:highlight w:val="none"/>
              </w:rPr>
              <w:t>16:00—17:00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highlight w:val="none"/>
              </w:rPr>
            </w:pPr>
            <w:r>
              <w:rPr>
                <w:rFonts w:hint="eastAsia"/>
                <w:color w:val="000000"/>
                <w:sz w:val="24"/>
                <w:highlight w:val="none"/>
              </w:rPr>
              <w:t>全面清理、冲洗、垃圾清运</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highlight w:val="none"/>
              </w:rPr>
            </w:pPr>
            <w:r>
              <w:rPr>
                <w:rFonts w:hint="eastAsia"/>
                <w:color w:val="000000"/>
                <w:szCs w:val="21"/>
                <w:highlight w:val="none"/>
              </w:rPr>
              <w:t>社区垃圾房、投放点清运、公厕清理延长时间至21：00</w:t>
            </w:r>
          </w:p>
        </w:tc>
      </w:tr>
    </w:tbl>
    <w:p>
      <w:pPr>
        <w:jc w:val="left"/>
        <w:rPr>
          <w:bCs/>
          <w:color w:val="000000"/>
          <w:sz w:val="24"/>
          <w:highlight w:val="none"/>
        </w:rPr>
      </w:pPr>
    </w:p>
    <w:p>
      <w:pPr>
        <w:widowControl/>
        <w:spacing w:line="360" w:lineRule="auto"/>
        <w:ind w:firstLine="480" w:firstLineChars="200"/>
        <w:jc w:val="left"/>
        <w:rPr>
          <w:color w:val="000000"/>
          <w:sz w:val="24"/>
          <w:highlight w:val="none"/>
        </w:rPr>
      </w:pPr>
      <w:r>
        <w:rPr>
          <w:rFonts w:hint="eastAsia"/>
          <w:color w:val="000000"/>
          <w:sz w:val="24"/>
          <w:highlight w:val="none"/>
        </w:rPr>
        <w:t>注：该作业表随稠江街道办事处调整而变动，承包方必须无条件按街道办事处调整后的作业时间执行。</w:t>
      </w:r>
    </w:p>
    <w:p>
      <w:pPr>
        <w:widowControl/>
        <w:spacing w:line="360" w:lineRule="auto"/>
        <w:ind w:firstLine="480" w:firstLineChars="200"/>
        <w:jc w:val="left"/>
        <w:rPr>
          <w:color w:val="000000"/>
          <w:sz w:val="24"/>
          <w:highlight w:val="none"/>
        </w:rPr>
      </w:pPr>
      <w:r>
        <w:rPr>
          <w:rFonts w:hint="eastAsia"/>
          <w:color w:val="000000"/>
          <w:sz w:val="24"/>
          <w:highlight w:val="none"/>
        </w:rPr>
        <w:t>（2）达到 “五无五净”标准，即：无果皮纸屑、无土石杂草、无积水积泥、无痰迹烟蒂、无垃圾堆积；路面干净、绿化带树圈干净、边角侧石干净、窨井盖畅通干净、果壳箱等环卫设施干净。</w:t>
      </w:r>
    </w:p>
    <w:p>
      <w:pPr>
        <w:widowControl/>
        <w:spacing w:line="360" w:lineRule="auto"/>
        <w:ind w:firstLine="480" w:firstLineChars="200"/>
        <w:jc w:val="left"/>
        <w:rPr>
          <w:color w:val="000000"/>
          <w:sz w:val="24"/>
          <w:highlight w:val="none"/>
        </w:rPr>
      </w:pPr>
      <w:r>
        <w:rPr>
          <w:rFonts w:hint="eastAsia"/>
          <w:color w:val="000000"/>
          <w:sz w:val="24"/>
          <w:highlight w:val="none"/>
        </w:rPr>
        <w:t>（3）绿化带、空闲地、边沟等无生活垃圾、建筑装璜垃圾、废弃物；绿化带、人行道、边沟等无明显杂草等。</w:t>
      </w:r>
    </w:p>
    <w:p>
      <w:pPr>
        <w:widowControl/>
        <w:spacing w:line="360" w:lineRule="auto"/>
        <w:ind w:firstLine="480" w:firstLineChars="200"/>
        <w:jc w:val="left"/>
        <w:rPr>
          <w:color w:val="000000"/>
          <w:sz w:val="24"/>
          <w:highlight w:val="none"/>
        </w:rPr>
      </w:pPr>
      <w:r>
        <w:rPr>
          <w:rFonts w:hint="eastAsia"/>
          <w:color w:val="000000"/>
          <w:sz w:val="24"/>
          <w:highlight w:val="none"/>
        </w:rPr>
        <w:t>（4）清扫保洁路段范围内无 “牛皮癣”，公众信息栏周边整洁有序。</w:t>
      </w:r>
    </w:p>
    <w:p>
      <w:pPr>
        <w:widowControl/>
        <w:spacing w:line="360" w:lineRule="auto"/>
        <w:ind w:firstLine="480" w:firstLineChars="200"/>
        <w:jc w:val="left"/>
        <w:rPr>
          <w:color w:val="000000"/>
          <w:sz w:val="24"/>
          <w:highlight w:val="none"/>
        </w:rPr>
      </w:pPr>
      <w:r>
        <w:rPr>
          <w:rFonts w:hint="eastAsia"/>
          <w:color w:val="000000"/>
          <w:sz w:val="24"/>
          <w:highlight w:val="none"/>
        </w:rPr>
        <w:t>（5）垃圾房的清理和清洗每天不少于2遍，且必须在8：00和17：00前完成，社区承包范围内垃圾房（投放点）、清洗间周边环境整洁、地面无生活垃圾，公厕整洁无异味。</w:t>
      </w:r>
    </w:p>
    <w:p>
      <w:pPr>
        <w:spacing w:line="360" w:lineRule="auto"/>
        <w:rPr>
          <w:rFonts w:ascii="宋体" w:hAnsi="宋体"/>
          <w:b/>
          <w:color w:val="000000"/>
          <w:sz w:val="24"/>
          <w:highlight w:val="none"/>
        </w:rPr>
      </w:pPr>
      <w:r>
        <w:rPr>
          <w:rFonts w:hint="eastAsia" w:ascii="宋体" w:hAnsi="宋体"/>
          <w:b/>
          <w:color w:val="000000"/>
          <w:sz w:val="24"/>
          <w:highlight w:val="none"/>
        </w:rPr>
        <w:t>2、量化质量标准</w:t>
      </w:r>
    </w:p>
    <w:p>
      <w:pPr>
        <w:widowControl/>
        <w:spacing w:line="360" w:lineRule="auto"/>
        <w:ind w:firstLine="480" w:firstLineChars="200"/>
        <w:jc w:val="left"/>
        <w:rPr>
          <w:color w:val="000000"/>
          <w:sz w:val="24"/>
          <w:highlight w:val="none"/>
        </w:rPr>
      </w:pPr>
      <w:r>
        <w:rPr>
          <w:rFonts w:hint="eastAsia"/>
          <w:color w:val="000000"/>
          <w:sz w:val="24"/>
          <w:highlight w:val="none"/>
        </w:rPr>
        <w:t>（1）一班制保洁道路普扫后路面残留粉尘每平方米不得超过25克；二级道路保洁道路完成普扫后路面所残留粉尘每平方米不得超过10克，人行道完成普扫后残留粉尘每平方米不得超过12克。</w:t>
      </w:r>
    </w:p>
    <w:p>
      <w:pPr>
        <w:widowControl/>
        <w:spacing w:line="360" w:lineRule="auto"/>
        <w:ind w:firstLine="480" w:firstLineChars="200"/>
        <w:jc w:val="left"/>
        <w:rPr>
          <w:color w:val="000000"/>
          <w:sz w:val="24"/>
          <w:highlight w:val="none"/>
        </w:rPr>
      </w:pPr>
      <w:r>
        <w:rPr>
          <w:rFonts w:hint="eastAsia"/>
          <w:color w:val="000000"/>
          <w:sz w:val="24"/>
          <w:highlight w:val="none"/>
        </w:rPr>
        <w:t>（2）路段内随机一点前后5米（共10米）距离内（机动车道、非机动车道、人行道至沿街店面房为止）“牛皮癣”数量不得超过2处（包括纸贴、喷印和手绘等），农村公众信息栏每日至少开箱张贴发布1次，对不规范张贴行为每日至少清理1次。</w:t>
      </w:r>
    </w:p>
    <w:p>
      <w:pPr>
        <w:widowControl/>
        <w:spacing w:line="360" w:lineRule="auto"/>
        <w:ind w:firstLine="480" w:firstLineChars="200"/>
        <w:jc w:val="left"/>
        <w:rPr>
          <w:color w:val="000000"/>
          <w:sz w:val="24"/>
          <w:highlight w:val="none"/>
        </w:rPr>
      </w:pPr>
      <w:r>
        <w:rPr>
          <w:rFonts w:hint="eastAsia"/>
          <w:color w:val="000000"/>
          <w:sz w:val="24"/>
          <w:highlight w:val="none"/>
        </w:rPr>
        <w:t>（3）路段内随机一点为中心1000平方米范围内，一级道路废弃物数量不得超过8张（个）和绿化带、空闲地内明显废弃物（共享单车）数量不得超过3张（个），且必须在25分钟内及时清理；二级道路废弃物数量不得超过14张（个）和绿化带、空闲地内明显废弃物（共享单车）数量不得超过5张（个），且必须在30分钟内及时清理；三级及以下道路废弃物数量不得超过19张（个）和绿化带、空闲地内内明显废弃物数量（共享单车）不得超过8张（个），且必须在50分钟内及时清理至临时集中存放点或分类清运到规范的垃圾处置场所，共享单车清理至非机动车泊位。</w:t>
      </w:r>
    </w:p>
    <w:p>
      <w:pPr>
        <w:widowControl/>
        <w:spacing w:line="360" w:lineRule="auto"/>
        <w:ind w:firstLine="480" w:firstLineChars="200"/>
        <w:jc w:val="left"/>
        <w:rPr>
          <w:color w:val="000000"/>
          <w:sz w:val="24"/>
          <w:highlight w:val="none"/>
        </w:rPr>
      </w:pPr>
      <w:r>
        <w:rPr>
          <w:rFonts w:hint="eastAsia"/>
          <w:color w:val="000000"/>
          <w:sz w:val="24"/>
          <w:highlight w:val="none"/>
        </w:rPr>
        <w:t>（4）社区清扫保洁范围内随机一点为中心100平方米范围内绿化带成片杂草不得超过3处，100米范围人行道、边沟等明显杂草数量不得超过5处。</w:t>
      </w:r>
    </w:p>
    <w:p>
      <w:pPr>
        <w:widowControl/>
        <w:spacing w:line="360" w:lineRule="auto"/>
        <w:ind w:firstLine="480" w:firstLineChars="200"/>
        <w:jc w:val="left"/>
        <w:rPr>
          <w:color w:val="000000"/>
          <w:sz w:val="24"/>
          <w:highlight w:val="none"/>
        </w:rPr>
      </w:pPr>
      <w:r>
        <w:rPr>
          <w:rFonts w:hint="eastAsia"/>
          <w:color w:val="000000"/>
          <w:sz w:val="24"/>
          <w:highlight w:val="none"/>
        </w:rPr>
        <w:t>（5）垃圾桶定点分类设置，做到干净整洁加盖，垃圾清运后及时清洁桶身、上口及边沿等，垃圾桶周边地面无垃圾外溢，桶体内外至少每周清洗1遍。</w:t>
      </w:r>
    </w:p>
    <w:p>
      <w:pPr>
        <w:widowControl/>
        <w:spacing w:line="360" w:lineRule="auto"/>
        <w:ind w:firstLine="480" w:firstLineChars="200"/>
        <w:jc w:val="left"/>
        <w:rPr>
          <w:color w:val="000000"/>
          <w:sz w:val="24"/>
          <w:highlight w:val="none"/>
        </w:rPr>
      </w:pPr>
      <w:r>
        <w:rPr>
          <w:rFonts w:hint="eastAsia"/>
          <w:color w:val="000000"/>
          <w:sz w:val="24"/>
          <w:highlight w:val="none"/>
        </w:rPr>
        <w:t>（6）垃圾房（社区承包范围内投放点、清洗间、公厕）实行专人负责，每日不少于2次清理，做到干净整洁无 “牛皮癣”，社区垃圾房（投放点）地面无生活垃圾和工业垃圾，垃圾桶成组分类摆放整齐，外表清洁完好，垃圾及时清运，大件废弃物垃圾日产日清，垃圾房外滞留垃圾必须在20分钟内清理干净，垃圾房周边零星垃圾必须在1小时内清理干净。</w:t>
      </w:r>
    </w:p>
    <w:p>
      <w:pPr>
        <w:widowControl/>
        <w:spacing w:line="360" w:lineRule="auto"/>
        <w:ind w:firstLine="480" w:firstLineChars="200"/>
        <w:jc w:val="left"/>
        <w:rPr>
          <w:rFonts w:hint="eastAsia"/>
          <w:color w:val="000000"/>
          <w:sz w:val="24"/>
          <w:highlight w:val="none"/>
        </w:rPr>
      </w:pPr>
      <w:r>
        <w:rPr>
          <w:rFonts w:hint="eastAsia"/>
          <w:color w:val="000000"/>
          <w:sz w:val="24"/>
          <w:highlight w:val="none"/>
        </w:rPr>
        <w:t>（7）按项目要求配置垃圾专用收集车辆，实施分类清运，车辆外表整洁，无污迹，分类标识等相关信息规范清晰，车身外观颜色喷涂符合市相关垃圾分类工作要求，严格做到密闭化运输，杜绝抛洒滴漏等问题。</w:t>
      </w:r>
    </w:p>
    <w:p>
      <w:pPr>
        <w:widowControl/>
        <w:spacing w:line="360" w:lineRule="auto"/>
        <w:ind w:firstLine="480" w:firstLineChars="200"/>
        <w:jc w:val="left"/>
        <w:rPr>
          <w:rFonts w:hint="eastAsia"/>
          <w:color w:val="000000"/>
          <w:sz w:val="24"/>
          <w:highlight w:val="none"/>
        </w:rPr>
      </w:pPr>
      <w:r>
        <w:rPr>
          <w:rFonts w:hint="eastAsia"/>
          <w:color w:val="000000"/>
          <w:sz w:val="24"/>
          <w:highlight w:val="none"/>
        </w:rPr>
        <w:t>（8）保洁公司须指配一名管理人员到所承包范围的区域办公，方便工作协调。</w:t>
      </w:r>
    </w:p>
    <w:p>
      <w:pPr>
        <w:spacing w:line="360" w:lineRule="auto"/>
        <w:ind w:left="-357" w:leftChars="-170" w:right="-506" w:rightChars="-241" w:firstLine="480" w:firstLineChars="200"/>
        <w:rPr>
          <w:rFonts w:ascii="宋体" w:hAnsi="宋体"/>
          <w:b/>
          <w:color w:val="000000"/>
          <w:sz w:val="24"/>
          <w:highlight w:val="none"/>
        </w:rPr>
      </w:pPr>
      <w:r>
        <w:rPr>
          <w:rFonts w:hint="eastAsia" w:ascii="宋体" w:hAnsi="宋体"/>
          <w:b/>
          <w:color w:val="000000"/>
          <w:sz w:val="24"/>
          <w:highlight w:val="none"/>
        </w:rPr>
        <w:t>（三）督查考核种类和方法</w:t>
      </w:r>
    </w:p>
    <w:p>
      <w:pPr>
        <w:spacing w:line="360" w:lineRule="auto"/>
        <w:rPr>
          <w:rFonts w:ascii="宋体" w:hAnsi="宋体"/>
          <w:b/>
          <w:color w:val="000000"/>
          <w:sz w:val="24"/>
          <w:highlight w:val="none"/>
        </w:rPr>
      </w:pPr>
      <w:r>
        <w:rPr>
          <w:rFonts w:hint="eastAsia" w:ascii="宋体" w:hAnsi="宋体"/>
          <w:b/>
          <w:color w:val="000000"/>
          <w:sz w:val="24"/>
          <w:highlight w:val="none"/>
        </w:rPr>
        <w:t>1、考核种类</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督查考核分为：日常考核、周考核、月考核、随机抽查（巡查）考核和定员定岗考核。</w:t>
      </w:r>
    </w:p>
    <w:p>
      <w:pPr>
        <w:spacing w:line="360" w:lineRule="auto"/>
        <w:rPr>
          <w:rFonts w:ascii="宋体" w:hAnsi="宋体"/>
          <w:b/>
          <w:color w:val="000000"/>
          <w:sz w:val="24"/>
          <w:highlight w:val="none"/>
        </w:rPr>
      </w:pPr>
      <w:r>
        <w:rPr>
          <w:rFonts w:hint="eastAsia" w:ascii="宋体" w:hAnsi="宋体"/>
          <w:b/>
          <w:color w:val="000000"/>
          <w:sz w:val="24"/>
          <w:highlight w:val="none"/>
        </w:rPr>
        <w:t>2、业务考核方法</w:t>
      </w:r>
    </w:p>
    <w:p>
      <w:pPr>
        <w:widowControl/>
        <w:spacing w:line="360" w:lineRule="auto"/>
        <w:ind w:firstLine="480" w:firstLineChars="200"/>
        <w:jc w:val="left"/>
        <w:rPr>
          <w:color w:val="000000"/>
          <w:sz w:val="24"/>
          <w:highlight w:val="none"/>
        </w:rPr>
      </w:pPr>
      <w:r>
        <w:rPr>
          <w:rFonts w:hint="eastAsia"/>
          <w:color w:val="000000"/>
          <w:sz w:val="24"/>
          <w:highlight w:val="none"/>
        </w:rPr>
        <w:t>（1）日常考核由村级组织和网格人员组织实施，每日应对保洁员</w:t>
      </w:r>
      <w:r>
        <w:rPr>
          <w:rFonts w:hint="eastAsia" w:ascii="宋体" w:hAnsi="宋体" w:cs="宋体"/>
          <w:sz w:val="24"/>
          <w:highlight w:val="none"/>
        </w:rPr>
        <w:t>在岗作业、清扫保洁质量、“牛皮癣”清除、垃圾清运和环卫设施管理、各类检查督查问题整改等方面情况</w:t>
      </w:r>
      <w:r>
        <w:rPr>
          <w:rFonts w:hint="eastAsia"/>
          <w:color w:val="000000"/>
          <w:sz w:val="24"/>
          <w:highlight w:val="none"/>
        </w:rPr>
        <w:t>进行检查并落实现场整改；考核发现问题经考核人员签字后由网格长上报区域共建委、社区，由共建委和社区对问题进行交办，保洁公司及时将整改情况进行反馈。检查结果作为当月村级组织和网格人员对保洁公司提出处罚建议的依据。</w:t>
      </w:r>
    </w:p>
    <w:p>
      <w:pPr>
        <w:widowControl/>
        <w:numPr>
          <w:ilvl w:val="0"/>
          <w:numId w:val="1"/>
        </w:numPr>
        <w:spacing w:line="360" w:lineRule="auto"/>
        <w:ind w:firstLine="480" w:firstLineChars="200"/>
        <w:jc w:val="left"/>
        <w:rPr>
          <w:color w:val="000000"/>
          <w:sz w:val="24"/>
          <w:highlight w:val="none"/>
        </w:rPr>
      </w:pPr>
      <w:r>
        <w:rPr>
          <w:rFonts w:hint="eastAsia"/>
          <w:color w:val="000000"/>
          <w:sz w:val="24"/>
          <w:highlight w:val="none"/>
        </w:rPr>
        <w:t>周考核由共建委、社区组织实施，</w:t>
      </w:r>
      <w:r>
        <w:rPr>
          <w:rFonts w:hint="eastAsia" w:ascii="宋体" w:hAnsi="宋体" w:cs="宋体"/>
          <w:sz w:val="24"/>
          <w:highlight w:val="none"/>
        </w:rPr>
        <w:t>社区每周不少于一次、</w:t>
      </w:r>
      <w:r>
        <w:rPr>
          <w:rFonts w:hint="eastAsia"/>
          <w:color w:val="000000"/>
          <w:sz w:val="24"/>
          <w:highlight w:val="none"/>
        </w:rPr>
        <w:t>共建委</w:t>
      </w:r>
      <w:r>
        <w:rPr>
          <w:rFonts w:hint="eastAsia" w:ascii="宋体" w:hAnsi="宋体" w:cs="宋体"/>
          <w:sz w:val="24"/>
          <w:highlight w:val="none"/>
        </w:rPr>
        <w:t>每月不少于二次，</w:t>
      </w:r>
      <w:r>
        <w:rPr>
          <w:rFonts w:hint="eastAsia"/>
          <w:color w:val="000000"/>
          <w:sz w:val="24"/>
          <w:highlight w:val="none"/>
        </w:rPr>
        <w:t>按日常考核或专项考核内容进行，</w:t>
      </w:r>
      <w:r>
        <w:rPr>
          <w:rFonts w:hint="eastAsia" w:ascii="宋体" w:hAnsi="宋体" w:cs="宋体"/>
          <w:sz w:val="24"/>
          <w:highlight w:val="none"/>
        </w:rPr>
        <w:t>重点对保洁公司</w:t>
      </w:r>
      <w:r>
        <w:rPr>
          <w:rFonts w:hint="eastAsia"/>
          <w:color w:val="000000"/>
          <w:sz w:val="24"/>
          <w:highlight w:val="none"/>
        </w:rPr>
        <w:t>清扫保洁质量情况、保洁员在岗和工作开展情况、上级督办和媒体曝光等问题整改情况进行量化考核，承包方可以派人参加，考核问题督办各网格，共建委和社区每月汇总后报街道城管办，共建委和社区存档一份，抄送保洁公司一份。考核结果作为共建委和社区对保洁公司进行处罚的依据。</w:t>
      </w:r>
    </w:p>
    <w:p>
      <w:pPr>
        <w:widowControl/>
        <w:numPr>
          <w:ilvl w:val="0"/>
          <w:numId w:val="1"/>
        </w:numPr>
        <w:spacing w:line="360" w:lineRule="auto"/>
        <w:ind w:firstLine="480" w:firstLineChars="200"/>
        <w:jc w:val="left"/>
        <w:rPr>
          <w:color w:val="000000"/>
          <w:sz w:val="24"/>
          <w:highlight w:val="none"/>
        </w:rPr>
      </w:pPr>
      <w:r>
        <w:rPr>
          <w:rFonts w:hint="eastAsia"/>
          <w:color w:val="000000"/>
          <w:sz w:val="24"/>
          <w:highlight w:val="none"/>
        </w:rPr>
        <w:t>月考核由稠江街道组织实施，每月一次，每次由两人以上（含两人）组成抽查小组或结合村（小区）红黄旗评比活动组成考评组进行检查考核，按日常考核或专项考核内容进行，重点检查清扫保洁质量情况、保洁员在岗情况、上级督办和媒体曝光等问题整改情况，承包方可以派人参加，考核问题交共建委和社区进行量化处罚。</w:t>
      </w:r>
    </w:p>
    <w:p>
      <w:pPr>
        <w:widowControl/>
        <w:numPr>
          <w:ilvl w:val="0"/>
          <w:numId w:val="1"/>
        </w:numPr>
        <w:spacing w:line="360" w:lineRule="auto"/>
        <w:ind w:firstLine="480" w:firstLineChars="200"/>
        <w:jc w:val="left"/>
        <w:rPr>
          <w:color w:val="000000"/>
          <w:sz w:val="24"/>
          <w:highlight w:val="none"/>
        </w:rPr>
      </w:pPr>
      <w:r>
        <w:rPr>
          <w:rFonts w:hint="eastAsia"/>
          <w:color w:val="000000"/>
          <w:sz w:val="24"/>
          <w:highlight w:val="none"/>
        </w:rPr>
        <w:t>随机抽查（巡查）以实地检查形式进行，由稠江街道相关领导、两代表一委员、相关科室、纪检监察、社会组织代表等人员组成巡查组，对各项目（标段）的检查每季度不少于1次，抽查地点和抽查种类由稠江街道确定，检查问题由街道通过网格系统等进行督办，并作为街道考核相关科室、共建委和社区、网格人员及村级组织等各层级正确履行对保洁公司监管责任，考核保洁公司履约、规范化管理制度落实情况，审核对保洁公司奖补和处罚，提出提前解除合同并向市信用管理部门进行通报，作为相关保洁公司、项目负责人列入严重失信名单等的依据。</w:t>
      </w:r>
    </w:p>
    <w:p>
      <w:pPr>
        <w:widowControl/>
        <w:spacing w:line="360" w:lineRule="auto"/>
        <w:jc w:val="left"/>
        <w:rPr>
          <w:color w:val="000000"/>
          <w:sz w:val="24"/>
          <w:highlight w:val="none"/>
        </w:rPr>
      </w:pPr>
      <w:r>
        <w:rPr>
          <w:rFonts w:hint="eastAsia"/>
          <w:color w:val="000000"/>
          <w:sz w:val="24"/>
          <w:highlight w:val="none"/>
        </w:rPr>
        <w:t>　　（5）路面残留粉尘考核点每月由共建委、社区提供20个点，承包方提供10个点，采取抽签的方式产生3个考核点（注：双方提供的考核点跟上一次提供的考核点只能有30%相同，并保证季度内不重复,不合格的点除外）。</w:t>
      </w:r>
    </w:p>
    <w:p>
      <w:pPr>
        <w:widowControl/>
        <w:spacing w:line="360" w:lineRule="auto"/>
        <w:ind w:firstLine="480" w:firstLineChars="200"/>
        <w:jc w:val="left"/>
        <w:rPr>
          <w:color w:val="000000"/>
          <w:sz w:val="24"/>
          <w:highlight w:val="none"/>
        </w:rPr>
      </w:pPr>
      <w:r>
        <w:rPr>
          <w:rFonts w:hint="eastAsia"/>
          <w:color w:val="000000"/>
          <w:sz w:val="24"/>
          <w:highlight w:val="none"/>
        </w:rPr>
        <w:t>（6）定员定岗考核，承包期内全面核查不少于4次，每月随机核查数次不限，需由二人以上(含二人)组成。核查以路面实际在岗清扫人员与承包方每月报送的清扫人员定岗定位名册和人员变动表及身份证信息、联系电话为依据，每个承包区域应统一设置保洁区域、承包单位、举报电话、保洁人员（含替班人员）姓名、联系电话等信息的监督牌。</w:t>
      </w:r>
    </w:p>
    <w:p>
      <w:pPr>
        <w:widowControl/>
        <w:spacing w:line="360" w:lineRule="auto"/>
        <w:ind w:firstLine="480" w:firstLineChars="200"/>
        <w:jc w:val="left"/>
        <w:rPr>
          <w:rFonts w:hint="eastAsia"/>
          <w:color w:val="000000"/>
          <w:sz w:val="24"/>
          <w:highlight w:val="none"/>
        </w:rPr>
      </w:pPr>
      <w:r>
        <w:rPr>
          <w:rFonts w:hint="eastAsia"/>
          <w:color w:val="000000"/>
          <w:sz w:val="24"/>
          <w:highlight w:val="none"/>
        </w:rPr>
        <w:t>（7）车辆配备和分类清运考核，承包期内全面核查不少于4次，每月随机核查数次不限，需由二人以上(含二人)组成。核查按项目要求配置垃圾专用收集车辆和实施分类清运情况。</w:t>
      </w:r>
    </w:p>
    <w:p>
      <w:pPr>
        <w:spacing w:line="360" w:lineRule="auto"/>
        <w:rPr>
          <w:rFonts w:ascii="宋体" w:hAnsi="宋体"/>
          <w:b/>
          <w:color w:val="000000"/>
          <w:sz w:val="24"/>
          <w:highlight w:val="none"/>
        </w:rPr>
      </w:pPr>
      <w:r>
        <w:rPr>
          <w:rFonts w:hint="eastAsia" w:ascii="宋体" w:hAnsi="宋体"/>
          <w:b/>
          <w:color w:val="000000"/>
          <w:sz w:val="24"/>
          <w:highlight w:val="none"/>
        </w:rPr>
        <w:t>（四）考核内容及处罚标准</w:t>
      </w:r>
    </w:p>
    <w:p>
      <w:pPr>
        <w:spacing w:line="360" w:lineRule="auto"/>
        <w:rPr>
          <w:rFonts w:ascii="宋体" w:hAnsi="宋体"/>
          <w:b/>
          <w:color w:val="000000"/>
          <w:sz w:val="24"/>
          <w:highlight w:val="none"/>
        </w:rPr>
      </w:pPr>
      <w:r>
        <w:rPr>
          <w:rFonts w:hint="eastAsia" w:ascii="宋体" w:hAnsi="宋体"/>
          <w:b/>
          <w:color w:val="000000"/>
          <w:sz w:val="24"/>
          <w:highlight w:val="none"/>
        </w:rPr>
        <w:t>1、日常考核、周考核、随机考核</w:t>
      </w:r>
    </w:p>
    <w:p>
      <w:pPr>
        <w:widowControl/>
        <w:spacing w:line="360" w:lineRule="auto"/>
        <w:ind w:firstLine="480" w:firstLineChars="200"/>
        <w:jc w:val="left"/>
        <w:rPr>
          <w:color w:val="000000"/>
          <w:sz w:val="24"/>
          <w:highlight w:val="none"/>
        </w:rPr>
      </w:pPr>
      <w:r>
        <w:rPr>
          <w:rFonts w:hint="eastAsia" w:ascii="宋体" w:hAnsi="宋体"/>
          <w:color w:val="000000"/>
          <w:sz w:val="24"/>
          <w:highlight w:val="none"/>
        </w:rPr>
        <w:t>（</w:t>
      </w:r>
      <w:r>
        <w:rPr>
          <w:rFonts w:hint="eastAsia"/>
          <w:color w:val="000000"/>
          <w:sz w:val="24"/>
          <w:highlight w:val="none"/>
        </w:rPr>
        <w:t>1）清扫保洁区域内道路路面、人行道、绿化带、边沟、空闲地等有零星垃圾和少量杂草，数量超出质量要求且在规定时间内未清除的，每发现一处扣人民币30元；有明显垃圾或影响环境的杂草，且未在规定时间内清除的，每发现一处扣人民币50元，有成堆垃圾等卫生死角或成片枯黄杂草未及时清理的，每发现一处扣人民币100元。</w:t>
      </w:r>
    </w:p>
    <w:p>
      <w:pPr>
        <w:widowControl/>
        <w:spacing w:line="360" w:lineRule="auto"/>
        <w:ind w:firstLine="480" w:firstLineChars="200"/>
        <w:jc w:val="left"/>
        <w:rPr>
          <w:color w:val="000000"/>
          <w:sz w:val="24"/>
          <w:highlight w:val="none"/>
        </w:rPr>
      </w:pPr>
      <w:r>
        <w:rPr>
          <w:rFonts w:hint="eastAsia"/>
          <w:color w:val="000000"/>
          <w:sz w:val="24"/>
          <w:highlight w:val="none"/>
        </w:rPr>
        <w:t>（2）在清扫保洁范围内建筑装璜垃圾、废弃物未及时清理，每发现一处扣人民币300元。</w:t>
      </w:r>
    </w:p>
    <w:p>
      <w:pPr>
        <w:widowControl/>
        <w:spacing w:line="360" w:lineRule="auto"/>
        <w:ind w:firstLine="480" w:firstLineChars="200"/>
        <w:jc w:val="left"/>
        <w:rPr>
          <w:color w:val="000000"/>
          <w:sz w:val="24"/>
          <w:highlight w:val="none"/>
        </w:rPr>
      </w:pPr>
      <w:r>
        <w:rPr>
          <w:rFonts w:hint="eastAsia"/>
          <w:color w:val="000000"/>
          <w:sz w:val="24"/>
          <w:highlight w:val="none"/>
        </w:rPr>
        <w:t>（3）规定范围内“牛皮癣” 数量超出质量要求的，且在规定时间内未清除的，每发现一处扣人民币30元。“牛皮癣” 数量明显超标且在规定时间内未清除的，每发现一处扣人民币50元，农村公众信息栏管理不规范，因广告滞留时间长造成纸张破损、起角，同一内容张贴多张，张贴违法内容广告，广告投放箱未每日开启发布的，每个扣50元。</w:t>
      </w:r>
    </w:p>
    <w:p>
      <w:pPr>
        <w:widowControl/>
        <w:spacing w:line="360" w:lineRule="auto"/>
        <w:ind w:firstLine="480" w:firstLineChars="200"/>
        <w:jc w:val="left"/>
        <w:rPr>
          <w:color w:val="000000"/>
          <w:sz w:val="24"/>
          <w:highlight w:val="none"/>
        </w:rPr>
      </w:pPr>
      <w:r>
        <w:rPr>
          <w:rFonts w:hint="eastAsia"/>
          <w:color w:val="000000"/>
          <w:sz w:val="24"/>
          <w:highlight w:val="none"/>
        </w:rPr>
        <w:t>（4）清扫保洁路面（包括人行道）有明显土石杂草、积水积泥的，绿化带、边沟杂草超过规定标准，每发现一处扣人民币50元。</w:t>
      </w:r>
    </w:p>
    <w:p>
      <w:pPr>
        <w:widowControl/>
        <w:spacing w:line="360" w:lineRule="auto"/>
        <w:ind w:firstLine="480" w:firstLineChars="200"/>
        <w:jc w:val="left"/>
        <w:rPr>
          <w:color w:val="000000"/>
          <w:sz w:val="24"/>
          <w:highlight w:val="none"/>
        </w:rPr>
      </w:pPr>
      <w:r>
        <w:rPr>
          <w:rFonts w:hint="eastAsia"/>
          <w:color w:val="000000"/>
          <w:sz w:val="24"/>
          <w:highlight w:val="none"/>
        </w:rPr>
        <w:t>（5）清扫保洁路段没有普扫的，每发现一人次扣人民币200元；在规定时间内未完成普扫的，每发现一人次扣人民币100元；花扫和漏扫的每发现一处扣人民币50元，花扫或漏扫多处的按实际处数累计处罚。</w:t>
      </w:r>
    </w:p>
    <w:p>
      <w:pPr>
        <w:widowControl/>
        <w:spacing w:line="360" w:lineRule="auto"/>
        <w:ind w:firstLine="480" w:firstLineChars="200"/>
        <w:jc w:val="left"/>
        <w:rPr>
          <w:color w:val="000000"/>
          <w:sz w:val="24"/>
          <w:highlight w:val="none"/>
        </w:rPr>
      </w:pPr>
      <w:r>
        <w:rPr>
          <w:rFonts w:hint="eastAsia"/>
          <w:color w:val="000000"/>
          <w:sz w:val="24"/>
          <w:highlight w:val="none"/>
        </w:rPr>
        <w:t>（6）作业时将清扫的垃圾（灰尘）扫入、停留在窨井上或将清扫的垃圾倒入马路边、河道（沟渠）内、绿化带内等，每发现一人次扣人民币50元；焚烧垃圾的,每发现一人次扣人民币100元。</w:t>
      </w:r>
    </w:p>
    <w:p>
      <w:pPr>
        <w:widowControl/>
        <w:spacing w:line="360" w:lineRule="auto"/>
        <w:ind w:firstLine="480" w:firstLineChars="200"/>
        <w:jc w:val="left"/>
        <w:rPr>
          <w:color w:val="000000"/>
          <w:sz w:val="24"/>
          <w:highlight w:val="none"/>
        </w:rPr>
      </w:pPr>
      <w:r>
        <w:rPr>
          <w:rFonts w:hint="eastAsia"/>
          <w:color w:val="000000"/>
          <w:sz w:val="24"/>
          <w:highlight w:val="none"/>
        </w:rPr>
        <w:t>（7）清扫人员不穿规定的安全工作服作业的，每发现一人次扣人民币20元。</w:t>
      </w:r>
    </w:p>
    <w:p>
      <w:pPr>
        <w:widowControl/>
        <w:spacing w:line="360" w:lineRule="auto"/>
        <w:ind w:firstLine="480" w:firstLineChars="200"/>
        <w:jc w:val="left"/>
        <w:rPr>
          <w:color w:val="000000"/>
          <w:sz w:val="24"/>
          <w:highlight w:val="none"/>
        </w:rPr>
      </w:pPr>
      <w:r>
        <w:rPr>
          <w:rFonts w:hint="eastAsia"/>
          <w:color w:val="000000"/>
          <w:sz w:val="24"/>
          <w:highlight w:val="none"/>
        </w:rPr>
        <w:t>（8）垃圾清运人员在垃圾中转站或规范的建筑装璜垃圾、废弃物处置场所倾倒垃圾时，不服从管理的，每发现一次扣人民币100元。</w:t>
      </w:r>
    </w:p>
    <w:p>
      <w:pPr>
        <w:widowControl/>
        <w:spacing w:line="360" w:lineRule="auto"/>
        <w:ind w:firstLine="480" w:firstLineChars="200"/>
        <w:jc w:val="left"/>
        <w:rPr>
          <w:color w:val="000000"/>
          <w:sz w:val="24"/>
          <w:highlight w:val="none"/>
        </w:rPr>
      </w:pPr>
      <w:r>
        <w:rPr>
          <w:rFonts w:hint="eastAsia"/>
          <w:color w:val="000000"/>
          <w:sz w:val="24"/>
          <w:highlight w:val="none"/>
        </w:rPr>
        <w:t>（9）在承包范围内发现路段无人保洁或保洁力度不够，造成路面清扫保洁质量不合格的，道路路面（人行道）残留粉尘重量超过质量要求规定的，每发现一处扣人民币100元。</w:t>
      </w:r>
    </w:p>
    <w:p>
      <w:pPr>
        <w:widowControl/>
        <w:spacing w:line="360" w:lineRule="auto"/>
        <w:ind w:firstLine="480" w:firstLineChars="200"/>
        <w:jc w:val="left"/>
        <w:rPr>
          <w:color w:val="000000"/>
          <w:sz w:val="24"/>
          <w:highlight w:val="none"/>
        </w:rPr>
      </w:pPr>
      <w:r>
        <w:rPr>
          <w:rFonts w:hint="eastAsia"/>
          <w:color w:val="000000"/>
          <w:sz w:val="24"/>
          <w:highlight w:val="none"/>
        </w:rPr>
        <w:t>（10）承包方所聘用保洁人员在上班期间有睡觉、喝酒、看书、看报、玩手机、带小孩、穿拖鞋、闲聊、未着环卫作业服等的，清运车辆车上载人、车外沿挂物等不文明或有损环卫形象的行为，每发现一人次扣人民币50元。</w:t>
      </w:r>
    </w:p>
    <w:p>
      <w:pPr>
        <w:widowControl/>
        <w:spacing w:line="360" w:lineRule="auto"/>
        <w:ind w:firstLine="480" w:firstLineChars="200"/>
        <w:jc w:val="left"/>
        <w:rPr>
          <w:color w:val="000000"/>
          <w:sz w:val="24"/>
          <w:highlight w:val="none"/>
        </w:rPr>
      </w:pPr>
      <w:r>
        <w:rPr>
          <w:rFonts w:hint="eastAsia"/>
          <w:color w:val="000000"/>
          <w:sz w:val="24"/>
          <w:highlight w:val="none"/>
        </w:rPr>
        <w:t>（11）垃圾房（投放点）管理人员不落实，日常管理不到位，每发现一处扣500元；垃圾房、投放点内的垃圾未及时清运，每发现一次扣人民币200元；垃圾房内容器摆放不整齐，表面不整洁，垃圾房内外墙面有污迹、“牛皮癣”，社区承包范围垃圾房（投放点）地面有生活垃圾和工业垃圾，农村垃圾房外有滞留垃圾，且在规定时间内未清除的，每发现一处扣人民币50元；发现清运人员焚烧垃圾的，每发现一次扣500元，对薰黑墙面未及时粉刷的每个扣500元。</w:t>
      </w:r>
    </w:p>
    <w:p>
      <w:pPr>
        <w:widowControl/>
        <w:spacing w:line="360" w:lineRule="auto"/>
        <w:ind w:firstLine="480" w:firstLineChars="200"/>
        <w:jc w:val="left"/>
        <w:rPr>
          <w:color w:val="000000"/>
          <w:sz w:val="24"/>
          <w:highlight w:val="none"/>
        </w:rPr>
      </w:pPr>
      <w:r>
        <w:rPr>
          <w:rFonts w:hint="eastAsia"/>
          <w:color w:val="000000"/>
          <w:sz w:val="24"/>
          <w:highlight w:val="none"/>
        </w:rPr>
        <w:t>（12）果壳箱、垃圾桶内的垃圾未按规定时间及时清运，造成垃圾溢出或果壳箱、垃圾桶表面有污迹、“牛皮癣”，且在规定时间内未清除的，每发现一处扣人民币50元；垃圾桶未定点加盖、不规范摆放的，每发现一处扣20元。</w:t>
      </w:r>
    </w:p>
    <w:p>
      <w:pPr>
        <w:widowControl/>
        <w:spacing w:line="360" w:lineRule="auto"/>
        <w:ind w:firstLine="480" w:firstLineChars="200"/>
        <w:jc w:val="left"/>
        <w:rPr>
          <w:rFonts w:hint="eastAsia"/>
          <w:color w:val="000000"/>
          <w:sz w:val="24"/>
          <w:highlight w:val="none"/>
        </w:rPr>
      </w:pPr>
      <w:r>
        <w:rPr>
          <w:rFonts w:hint="eastAsia"/>
          <w:color w:val="000000"/>
          <w:sz w:val="24"/>
          <w:highlight w:val="none"/>
        </w:rPr>
        <w:t>（13）清洗间、公厕管理人员不落实，日常管理不到位，每发现一个扣500元；清洗间地面有垃圾、污水排放口堵塞未及时疏通的，内外墙面有污迹、“牛皮癣”，每次扣50元；公厕臭味明显、地面积灰、污迹，小便斗尿垢，坑位未及时冲洗的每项扣50元；公厕长明灯、长流水，擅自允许外来人员取水、洗涤，留宿无关人员，残疾人坑位上锁、堆放杂物，化粪池满未及时报告造成堵塞，每次100元；强迫如厕人购买厕纸、厕纸以次充好，清洗作业时未摆放提示牌等不文明行为被投诉的，每次200元。</w:t>
      </w:r>
    </w:p>
    <w:p>
      <w:pPr>
        <w:widowControl/>
        <w:spacing w:line="360" w:lineRule="auto"/>
        <w:ind w:firstLine="480" w:firstLineChars="200"/>
        <w:jc w:val="left"/>
        <w:rPr>
          <w:rFonts w:hint="eastAsia"/>
          <w:color w:val="000000"/>
          <w:sz w:val="24"/>
          <w:highlight w:val="none"/>
        </w:rPr>
      </w:pPr>
      <w:r>
        <w:rPr>
          <w:rFonts w:hint="eastAsia"/>
          <w:color w:val="000000"/>
          <w:sz w:val="24"/>
          <w:highlight w:val="none"/>
        </w:rPr>
        <w:t>（14）未按照项目要求使用垃圾专用收集车辆，每发现一辆次不符合扣500元；车辆未实施分类清运，造成已分类垃圾混装，每发现一辆次不符合扣1000元；车辆外表不整洁，分类标识等相关信息不规范，车身外观颜色喷涂不符合市相关垃圾分类工作要求，运输中抛洒滴漏，每发现一项次扣100元。</w:t>
      </w:r>
    </w:p>
    <w:p>
      <w:pPr>
        <w:spacing w:line="360" w:lineRule="auto"/>
        <w:rPr>
          <w:rFonts w:ascii="宋体" w:hAnsi="宋体"/>
          <w:b/>
          <w:color w:val="000000"/>
          <w:sz w:val="24"/>
          <w:highlight w:val="none"/>
        </w:rPr>
      </w:pPr>
      <w:r>
        <w:rPr>
          <w:rFonts w:hint="eastAsia" w:ascii="宋体" w:hAnsi="宋体"/>
          <w:b/>
          <w:color w:val="000000"/>
          <w:sz w:val="24"/>
          <w:highlight w:val="none"/>
        </w:rPr>
        <w:t>2、专项考核</w:t>
      </w:r>
    </w:p>
    <w:p>
      <w:pPr>
        <w:widowControl/>
        <w:spacing w:line="360" w:lineRule="auto"/>
        <w:ind w:firstLine="480" w:firstLineChars="200"/>
        <w:jc w:val="left"/>
        <w:rPr>
          <w:color w:val="000000"/>
          <w:sz w:val="24"/>
          <w:highlight w:val="none"/>
        </w:rPr>
      </w:pPr>
      <w:r>
        <w:rPr>
          <w:rFonts w:hint="eastAsia"/>
          <w:color w:val="000000"/>
          <w:sz w:val="24"/>
          <w:highlight w:val="none"/>
        </w:rPr>
        <w:t>（1）粉尘考核</w:t>
      </w:r>
    </w:p>
    <w:p>
      <w:pPr>
        <w:widowControl/>
        <w:spacing w:line="360" w:lineRule="auto"/>
        <w:ind w:firstLine="480" w:firstLineChars="200"/>
        <w:jc w:val="left"/>
        <w:rPr>
          <w:color w:val="000000"/>
          <w:sz w:val="24"/>
          <w:highlight w:val="none"/>
        </w:rPr>
      </w:pPr>
      <w:r>
        <w:rPr>
          <w:rFonts w:hint="eastAsia"/>
          <w:color w:val="000000"/>
          <w:sz w:val="24"/>
          <w:highlight w:val="none"/>
        </w:rPr>
        <w:t>保洁道路普扫后路面残留粉尘每平方米25克以上（含25克）为不合格。</w:t>
      </w:r>
    </w:p>
    <w:p>
      <w:pPr>
        <w:widowControl/>
        <w:spacing w:line="360" w:lineRule="auto"/>
        <w:ind w:firstLine="480" w:firstLineChars="200"/>
        <w:jc w:val="left"/>
        <w:rPr>
          <w:color w:val="000000"/>
          <w:sz w:val="24"/>
          <w:highlight w:val="none"/>
        </w:rPr>
      </w:pPr>
      <w:r>
        <w:rPr>
          <w:rFonts w:hint="eastAsia"/>
          <w:color w:val="000000"/>
          <w:sz w:val="24"/>
          <w:highlight w:val="none"/>
        </w:rPr>
        <w:t>残留粉尘考核为普扫以后，如在质量要求第一款规定时间内没有完成首次普扫的,不影响考核结果；考核点在建筑工地出口附近的，在距离出口不足200米的情况下，可以移足200米；没有硬面化的路段和区块不进行粉尘考核。</w:t>
      </w:r>
    </w:p>
    <w:p>
      <w:pPr>
        <w:widowControl/>
        <w:spacing w:line="360" w:lineRule="auto"/>
        <w:ind w:firstLine="480" w:firstLineChars="200"/>
        <w:jc w:val="left"/>
        <w:rPr>
          <w:color w:val="000000"/>
          <w:sz w:val="24"/>
          <w:highlight w:val="none"/>
        </w:rPr>
      </w:pPr>
      <w:r>
        <w:rPr>
          <w:rFonts w:hint="eastAsia"/>
          <w:color w:val="000000"/>
          <w:sz w:val="24"/>
          <w:highlight w:val="none"/>
        </w:rPr>
        <w:t>（2）建筑装璜垃圾及废弃物考核</w:t>
      </w:r>
    </w:p>
    <w:p>
      <w:pPr>
        <w:widowControl/>
        <w:spacing w:line="360" w:lineRule="auto"/>
        <w:ind w:firstLine="480" w:firstLineChars="200"/>
        <w:jc w:val="left"/>
        <w:rPr>
          <w:color w:val="000000"/>
          <w:sz w:val="24"/>
          <w:highlight w:val="none"/>
        </w:rPr>
      </w:pPr>
      <w:r>
        <w:rPr>
          <w:rFonts w:hint="eastAsia"/>
          <w:color w:val="000000"/>
          <w:sz w:val="24"/>
          <w:highlight w:val="none"/>
        </w:rPr>
        <w:t>每次考核20个点,在考核范围内建筑装璜垃圾及废弃物数量超出规定量化质量标准，且在规定时间内未清除的为不合格。</w:t>
      </w:r>
    </w:p>
    <w:p>
      <w:pPr>
        <w:widowControl/>
        <w:spacing w:line="360" w:lineRule="auto"/>
        <w:ind w:firstLine="480" w:firstLineChars="200"/>
        <w:jc w:val="left"/>
        <w:rPr>
          <w:color w:val="000000"/>
          <w:sz w:val="24"/>
          <w:highlight w:val="none"/>
        </w:rPr>
      </w:pPr>
      <w:r>
        <w:rPr>
          <w:rFonts w:hint="eastAsia"/>
          <w:color w:val="000000"/>
          <w:sz w:val="24"/>
          <w:highlight w:val="none"/>
        </w:rPr>
        <w:t>（3）“牛皮癣”、公众信息栏管理考核</w:t>
      </w:r>
    </w:p>
    <w:p>
      <w:pPr>
        <w:widowControl/>
        <w:spacing w:line="360" w:lineRule="auto"/>
        <w:ind w:firstLine="480" w:firstLineChars="200"/>
        <w:jc w:val="left"/>
        <w:rPr>
          <w:color w:val="000000"/>
          <w:sz w:val="24"/>
          <w:highlight w:val="none"/>
        </w:rPr>
      </w:pPr>
      <w:r>
        <w:rPr>
          <w:rFonts w:hint="eastAsia"/>
          <w:color w:val="000000"/>
          <w:sz w:val="24"/>
          <w:highlight w:val="none"/>
        </w:rPr>
        <w:t>在考核范围内“牛皮癣”数量超过规定量化质量标准，且在规定时间内未清除的，2处以上公众信息栏管理不规范为不合格。</w:t>
      </w:r>
    </w:p>
    <w:p>
      <w:pPr>
        <w:widowControl/>
        <w:spacing w:line="360" w:lineRule="auto"/>
        <w:ind w:firstLine="480" w:firstLineChars="200"/>
        <w:jc w:val="left"/>
        <w:rPr>
          <w:color w:val="000000"/>
          <w:sz w:val="24"/>
          <w:highlight w:val="none"/>
        </w:rPr>
      </w:pPr>
      <w:r>
        <w:rPr>
          <w:rFonts w:hint="eastAsia"/>
          <w:color w:val="000000"/>
          <w:sz w:val="24"/>
          <w:highlight w:val="none"/>
        </w:rPr>
        <w:t>（4）垃圾桶、果壳箱考核</w:t>
      </w:r>
    </w:p>
    <w:p>
      <w:pPr>
        <w:widowControl/>
        <w:spacing w:line="360" w:lineRule="auto"/>
        <w:ind w:firstLine="480" w:firstLineChars="200"/>
        <w:jc w:val="left"/>
        <w:rPr>
          <w:color w:val="000000"/>
          <w:sz w:val="24"/>
          <w:highlight w:val="none"/>
        </w:rPr>
      </w:pPr>
      <w:r>
        <w:rPr>
          <w:rFonts w:hint="eastAsia"/>
          <w:color w:val="000000"/>
          <w:sz w:val="24"/>
          <w:highlight w:val="none"/>
        </w:rPr>
        <w:t>垃圾桶未定点加盖摆放、垃圾桶（果壳箱）表面及场面有明显污迹、 “牛皮癣”、 外溢垃圾未在25分钟内清理的为不合格。</w:t>
      </w:r>
    </w:p>
    <w:p>
      <w:pPr>
        <w:widowControl/>
        <w:spacing w:line="360" w:lineRule="auto"/>
        <w:ind w:firstLine="480" w:firstLineChars="200"/>
        <w:jc w:val="left"/>
        <w:rPr>
          <w:color w:val="000000"/>
          <w:sz w:val="24"/>
          <w:highlight w:val="none"/>
        </w:rPr>
      </w:pPr>
      <w:r>
        <w:rPr>
          <w:rFonts w:hint="eastAsia"/>
          <w:color w:val="000000"/>
          <w:sz w:val="24"/>
          <w:highlight w:val="none"/>
        </w:rPr>
        <w:t>（5）垃圾房、投放点考核</w:t>
      </w:r>
    </w:p>
    <w:p>
      <w:pPr>
        <w:widowControl/>
        <w:spacing w:line="360" w:lineRule="auto"/>
        <w:ind w:firstLine="480" w:firstLineChars="200"/>
        <w:jc w:val="left"/>
        <w:rPr>
          <w:color w:val="000000"/>
          <w:sz w:val="24"/>
          <w:highlight w:val="none"/>
        </w:rPr>
      </w:pPr>
      <w:r>
        <w:rPr>
          <w:rFonts w:hint="eastAsia"/>
          <w:color w:val="000000"/>
          <w:sz w:val="24"/>
          <w:highlight w:val="none"/>
        </w:rPr>
        <w:t>垃圾房内容器摆放不整齐，地面有生活垃圾和工业垃圾，垃圾房内、外墙有污迹、“牛皮癣”，农村垃圾房外有滞留垃圾，且未在20分钟内清理的为不合格。</w:t>
      </w:r>
    </w:p>
    <w:p>
      <w:pPr>
        <w:widowControl/>
        <w:spacing w:line="360" w:lineRule="auto"/>
        <w:ind w:firstLine="480" w:firstLineChars="200"/>
        <w:jc w:val="left"/>
        <w:rPr>
          <w:color w:val="000000"/>
          <w:sz w:val="24"/>
          <w:highlight w:val="none"/>
        </w:rPr>
      </w:pPr>
      <w:r>
        <w:rPr>
          <w:rFonts w:hint="eastAsia"/>
          <w:color w:val="000000"/>
          <w:sz w:val="24"/>
          <w:highlight w:val="none"/>
        </w:rPr>
        <w:t>（6）清洗间、公厕考核</w:t>
      </w:r>
    </w:p>
    <w:p>
      <w:pPr>
        <w:widowControl/>
        <w:spacing w:line="360" w:lineRule="auto"/>
        <w:ind w:firstLine="480" w:firstLineChars="200"/>
        <w:jc w:val="left"/>
        <w:rPr>
          <w:color w:val="000000"/>
          <w:sz w:val="24"/>
          <w:highlight w:val="none"/>
        </w:rPr>
      </w:pPr>
      <w:r>
        <w:rPr>
          <w:rFonts w:hint="eastAsia"/>
          <w:color w:val="000000"/>
          <w:sz w:val="24"/>
          <w:highlight w:val="none"/>
        </w:rPr>
        <w:t>清洗间地面有垃圾、污水排放口堵塞未及时处理的，内外墙面有污迹、“牛皮癣”；公厕臭味明显、地面积灰、污迹明显，多个小便斗尿垢，坑位未及时冲洗的；因公厕内部管理不规范造成下水管堵塞；管理人不文明行为被投诉的为不合格。</w:t>
      </w:r>
    </w:p>
    <w:p>
      <w:pPr>
        <w:widowControl/>
        <w:spacing w:line="360" w:lineRule="auto"/>
        <w:ind w:firstLine="480" w:firstLineChars="200"/>
        <w:jc w:val="left"/>
        <w:rPr>
          <w:color w:val="000000"/>
          <w:sz w:val="24"/>
          <w:highlight w:val="none"/>
        </w:rPr>
      </w:pPr>
      <w:r>
        <w:rPr>
          <w:rFonts w:hint="eastAsia"/>
          <w:color w:val="000000"/>
          <w:sz w:val="24"/>
          <w:highlight w:val="none"/>
        </w:rPr>
        <w:t>（7）处罚标准</w:t>
      </w:r>
    </w:p>
    <w:p>
      <w:pPr>
        <w:widowControl/>
        <w:spacing w:line="360" w:lineRule="auto"/>
        <w:ind w:firstLine="480" w:firstLineChars="200"/>
        <w:jc w:val="left"/>
        <w:rPr>
          <w:color w:val="000000"/>
          <w:sz w:val="24"/>
          <w:highlight w:val="none"/>
        </w:rPr>
      </w:pPr>
      <w:r>
        <w:rPr>
          <w:rFonts w:hint="eastAsia"/>
          <w:color w:val="000000"/>
          <w:sz w:val="24"/>
          <w:highlight w:val="none"/>
        </w:rPr>
        <w:t>在考核中，以每项每个考核点为单位，一个点不合格的扣人民币500元；二个点不合格的扣人民币1000元，以此类推。</w:t>
      </w:r>
    </w:p>
    <w:p>
      <w:pPr>
        <w:spacing w:line="360" w:lineRule="auto"/>
        <w:rPr>
          <w:rFonts w:ascii="宋体" w:hAnsi="宋体"/>
          <w:b/>
          <w:color w:val="000000"/>
          <w:sz w:val="24"/>
          <w:highlight w:val="none"/>
        </w:rPr>
      </w:pPr>
      <w:r>
        <w:rPr>
          <w:rFonts w:hint="eastAsia" w:ascii="宋体" w:hAnsi="宋体"/>
          <w:b/>
          <w:color w:val="000000"/>
          <w:sz w:val="24"/>
          <w:highlight w:val="none"/>
        </w:rPr>
        <w:t>3、定员定岗考核</w:t>
      </w:r>
    </w:p>
    <w:p>
      <w:pPr>
        <w:widowControl/>
        <w:spacing w:line="360" w:lineRule="auto"/>
        <w:ind w:firstLine="480" w:firstLineChars="200"/>
        <w:jc w:val="left"/>
        <w:rPr>
          <w:color w:val="000000"/>
          <w:sz w:val="24"/>
          <w:highlight w:val="none"/>
        </w:rPr>
      </w:pPr>
      <w:r>
        <w:rPr>
          <w:rFonts w:hint="eastAsia"/>
          <w:color w:val="000000"/>
          <w:sz w:val="24"/>
          <w:highlight w:val="none"/>
        </w:rPr>
        <w:t>以承包方当月报送的清扫保洁人员定员定岗名册及人员变动表为依据，实际在岗情况与所报送的定员定岗名册（变动表）不相符的，每人次扣人民币500元；未按照合同要求的人员构成标准配备的，每不符合一人次扣人民币500元；配备人数少于合同要求标准的，每减少一人次扣人民币1000元。</w:t>
      </w:r>
    </w:p>
    <w:p>
      <w:pPr>
        <w:spacing w:line="360" w:lineRule="auto"/>
        <w:rPr>
          <w:rFonts w:ascii="宋体" w:hAnsi="宋体"/>
          <w:b/>
          <w:color w:val="000000"/>
          <w:sz w:val="24"/>
          <w:highlight w:val="none"/>
        </w:rPr>
      </w:pPr>
      <w:r>
        <w:rPr>
          <w:rFonts w:hint="eastAsia" w:ascii="宋体" w:hAnsi="宋体"/>
          <w:b/>
          <w:color w:val="000000"/>
          <w:sz w:val="24"/>
          <w:highlight w:val="none"/>
        </w:rPr>
        <w:t>4、其他处罚标准</w:t>
      </w:r>
    </w:p>
    <w:p>
      <w:pPr>
        <w:widowControl/>
        <w:spacing w:line="360" w:lineRule="auto"/>
        <w:ind w:firstLine="480" w:firstLineChars="200"/>
        <w:jc w:val="left"/>
        <w:rPr>
          <w:color w:val="000000"/>
          <w:sz w:val="24"/>
          <w:highlight w:val="none"/>
        </w:rPr>
      </w:pPr>
      <w:r>
        <w:rPr>
          <w:rFonts w:hint="eastAsia"/>
          <w:color w:val="000000"/>
          <w:sz w:val="24"/>
          <w:highlight w:val="none"/>
        </w:rPr>
        <w:t>（1）因清扫保洁质量差被新闻单位公开曝光或受到上级单位(领导)督查考核批评的，经查实，每次扣人民币2000元。</w:t>
      </w:r>
    </w:p>
    <w:p>
      <w:pPr>
        <w:widowControl/>
        <w:spacing w:line="360" w:lineRule="auto"/>
        <w:ind w:firstLine="480" w:firstLineChars="200"/>
        <w:jc w:val="left"/>
        <w:rPr>
          <w:color w:val="000000"/>
          <w:sz w:val="24"/>
          <w:highlight w:val="none"/>
        </w:rPr>
      </w:pPr>
      <w:r>
        <w:rPr>
          <w:rFonts w:hint="eastAsia"/>
          <w:color w:val="000000"/>
          <w:sz w:val="24"/>
          <w:highlight w:val="none"/>
        </w:rPr>
        <w:t>（2）因清扫保洁质量差，受到群众举报包括96150、市长信箱等网上通报的，经查实，每处次人民币1000元，因保洁人员居住处环境脏乱造成群众投诉、上级督办的的，每处扣500元。</w:t>
      </w:r>
    </w:p>
    <w:p>
      <w:pPr>
        <w:widowControl/>
        <w:spacing w:line="360" w:lineRule="auto"/>
        <w:ind w:firstLine="480" w:firstLineChars="200"/>
        <w:jc w:val="left"/>
        <w:rPr>
          <w:color w:val="000000"/>
          <w:sz w:val="24"/>
          <w:highlight w:val="none"/>
        </w:rPr>
      </w:pPr>
      <w:r>
        <w:rPr>
          <w:rFonts w:hint="eastAsia"/>
          <w:color w:val="000000"/>
          <w:sz w:val="24"/>
          <w:highlight w:val="none"/>
        </w:rPr>
        <w:t>（3）承包方不按时报送清扫人员定员定岗名册（变动表）和责任路段表的，每超出一天扣人民币500元。</w:t>
      </w:r>
    </w:p>
    <w:p>
      <w:pPr>
        <w:widowControl/>
        <w:spacing w:line="360" w:lineRule="auto"/>
        <w:ind w:firstLine="480" w:firstLineChars="200"/>
        <w:jc w:val="left"/>
        <w:rPr>
          <w:color w:val="000000"/>
          <w:sz w:val="24"/>
          <w:highlight w:val="none"/>
        </w:rPr>
      </w:pPr>
      <w:r>
        <w:rPr>
          <w:rFonts w:hint="eastAsia"/>
          <w:color w:val="000000"/>
          <w:sz w:val="24"/>
          <w:highlight w:val="none"/>
        </w:rPr>
        <w:t>（4）承包方安排的清扫保洁作业人员数（以承包方每月提供的清扫作业人员名册及路段责任表以及上报的变动人员名单为依据），在规定的作业时间段，如同一责任路段内连续2天（次）检查都未有人在岗清扫的，按减少1人次扣人民币1000元。</w:t>
      </w:r>
    </w:p>
    <w:p>
      <w:pPr>
        <w:widowControl/>
        <w:spacing w:line="360" w:lineRule="auto"/>
        <w:ind w:firstLine="480" w:firstLineChars="200"/>
        <w:jc w:val="left"/>
        <w:rPr>
          <w:color w:val="000000"/>
          <w:sz w:val="24"/>
          <w:highlight w:val="none"/>
        </w:rPr>
      </w:pPr>
      <w:r>
        <w:rPr>
          <w:rFonts w:hint="eastAsia"/>
          <w:color w:val="000000"/>
          <w:sz w:val="24"/>
          <w:highlight w:val="none"/>
        </w:rPr>
        <w:t>（5）承包方将工业垃圾、建筑装璜垃圾、废弃物任意倾倒处理或焚烧的，经查实每次扣3000元。</w:t>
      </w:r>
    </w:p>
    <w:p>
      <w:pPr>
        <w:widowControl/>
        <w:spacing w:line="360" w:lineRule="auto"/>
        <w:ind w:firstLine="480" w:firstLineChars="200"/>
        <w:jc w:val="left"/>
        <w:rPr>
          <w:color w:val="000000"/>
          <w:sz w:val="24"/>
          <w:highlight w:val="none"/>
        </w:rPr>
      </w:pPr>
      <w:r>
        <w:rPr>
          <w:rFonts w:hint="eastAsia"/>
          <w:color w:val="000000"/>
          <w:sz w:val="24"/>
          <w:highlight w:val="none"/>
        </w:rPr>
        <w:t>（6）承包方未按照项目要求配备自装卸式（挂桶式）车辆进行清运的，每缺配一辆每月扣除5000元，未按照项目要求配备桶装垃圾清运车（尾板升降装卸式）进行清运的，每月扣除2000元，未按要求分类清运的每次扣1000元。</w:t>
      </w:r>
    </w:p>
    <w:p>
      <w:pPr>
        <w:widowControl/>
        <w:spacing w:line="360" w:lineRule="auto"/>
        <w:ind w:firstLine="480" w:firstLineChars="200"/>
        <w:jc w:val="left"/>
        <w:rPr>
          <w:rFonts w:ascii="宋体" w:hAnsi="宋体"/>
          <w:sz w:val="24"/>
          <w:highlight w:val="none"/>
        </w:rPr>
      </w:pPr>
      <w:r>
        <w:rPr>
          <w:rFonts w:hint="eastAsia"/>
          <w:color w:val="000000"/>
          <w:sz w:val="24"/>
          <w:highlight w:val="none"/>
        </w:rPr>
        <w:t>（7）因突击性创建任务或上级督办、媒体曝光问题整治等，对承包范围内保洁不到位的相关区域，在共建委、社区通知保洁公司后未及时配合整改的，经街道批准，由共建委、社区安排人员进行清理，相关经费经街道审批（支付）后，从当月承包合同支付额中扣除。</w:t>
      </w:r>
    </w:p>
    <w:p>
      <w:pPr>
        <w:widowControl/>
        <w:spacing w:line="360" w:lineRule="auto"/>
        <w:jc w:val="left"/>
        <w:rPr>
          <w:rFonts w:ascii="宋体" w:hAnsi="宋体" w:cs="宋体"/>
          <w:b/>
          <w:color w:val="000000"/>
          <w:sz w:val="24"/>
          <w:highlight w:val="none"/>
        </w:rPr>
      </w:pPr>
      <w:r>
        <w:rPr>
          <w:rFonts w:hint="eastAsia" w:ascii="宋体" w:hAnsi="宋体" w:cs="宋体"/>
          <w:b/>
          <w:color w:val="000000"/>
          <w:sz w:val="24"/>
          <w:highlight w:val="none"/>
        </w:rPr>
        <w:t>十、</w:t>
      </w:r>
      <w:r>
        <w:rPr>
          <w:rFonts w:hint="eastAsia"/>
          <w:b/>
          <w:color w:val="000000"/>
          <w:kern w:val="0"/>
          <w:sz w:val="24"/>
          <w:highlight w:val="none"/>
        </w:rPr>
        <w:t>义乌市稠江街道垃圾直运至市垃圾焚烧厂或填埋场考核方法</w:t>
      </w:r>
    </w:p>
    <w:p>
      <w:pPr>
        <w:spacing w:line="440" w:lineRule="exact"/>
        <w:rPr>
          <w:sz w:val="24"/>
          <w:highlight w:val="none"/>
        </w:rPr>
      </w:pPr>
      <w:r>
        <w:rPr>
          <w:rFonts w:hint="eastAsia"/>
          <w:sz w:val="24"/>
          <w:highlight w:val="none"/>
        </w:rPr>
        <w:t>1、从业单位不按规定作业，造成生活垃圾（或规定的工业垃圾）滞留或过夜的，或接到投诉的，经查实每次扣200元。</w:t>
      </w:r>
    </w:p>
    <w:p>
      <w:pPr>
        <w:spacing w:line="440" w:lineRule="exact"/>
        <w:rPr>
          <w:sz w:val="24"/>
          <w:highlight w:val="none"/>
        </w:rPr>
      </w:pPr>
      <w:r>
        <w:rPr>
          <w:rFonts w:hint="eastAsia"/>
          <w:sz w:val="24"/>
          <w:highlight w:val="none"/>
        </w:rPr>
        <w:t>2、从事生活垃圾（或规定的工业垃圾）收集、运输的从业单位未按照规定的运输路线运输到指定地点，任意倾倒处理或焚烧的，经查实每次扣2000元，二次以上的，解除承包协议。</w:t>
      </w:r>
    </w:p>
    <w:p>
      <w:pPr>
        <w:spacing w:line="440" w:lineRule="exact"/>
        <w:rPr>
          <w:sz w:val="24"/>
          <w:highlight w:val="none"/>
        </w:rPr>
      </w:pPr>
      <w:r>
        <w:rPr>
          <w:rFonts w:hint="eastAsia"/>
          <w:sz w:val="24"/>
          <w:highlight w:val="none"/>
        </w:rPr>
        <w:t>3、从业单位在生活垃圾（或规定的工业垃圾）运输时不服从垃圾处置场所现场管理人员指挥，造成影响的每次扣100元。</w:t>
      </w:r>
    </w:p>
    <w:p>
      <w:pPr>
        <w:spacing w:line="440" w:lineRule="exact"/>
        <w:rPr>
          <w:sz w:val="24"/>
          <w:highlight w:val="none"/>
        </w:rPr>
      </w:pPr>
      <w:r>
        <w:rPr>
          <w:rFonts w:hint="eastAsia"/>
          <w:sz w:val="24"/>
          <w:highlight w:val="none"/>
        </w:rPr>
        <w:t>4、从业单位车容车貌脏、乱、差的，每次扣50元</w:t>
      </w:r>
    </w:p>
    <w:p>
      <w:pPr>
        <w:spacing w:line="440" w:lineRule="exact"/>
        <w:rPr>
          <w:sz w:val="24"/>
          <w:highlight w:val="none"/>
        </w:rPr>
      </w:pPr>
      <w:r>
        <w:rPr>
          <w:rFonts w:hint="eastAsia"/>
          <w:sz w:val="24"/>
          <w:highlight w:val="none"/>
        </w:rPr>
        <w:t>5、服务态度恶劣，语言、行为不文明，造成不良影响的或接到投诉的，经查实每项扣200元。</w:t>
      </w:r>
    </w:p>
    <w:p>
      <w:pPr>
        <w:spacing w:line="440" w:lineRule="exact"/>
        <w:rPr>
          <w:sz w:val="24"/>
          <w:highlight w:val="none"/>
        </w:rPr>
      </w:pPr>
      <w:r>
        <w:rPr>
          <w:rFonts w:hint="eastAsia"/>
          <w:sz w:val="24"/>
          <w:highlight w:val="none"/>
        </w:rPr>
        <w:t>6、垃圾直运车辆未按规定时间作业，不按时出车并未按规定时间完成作业或影响垃圾直运工作的，每次扣150元。</w:t>
      </w:r>
    </w:p>
    <w:p>
      <w:pPr>
        <w:spacing w:line="440" w:lineRule="exact"/>
        <w:rPr>
          <w:sz w:val="24"/>
          <w:highlight w:val="none"/>
        </w:rPr>
      </w:pPr>
      <w:r>
        <w:rPr>
          <w:rFonts w:hint="eastAsia"/>
          <w:sz w:val="24"/>
          <w:highlight w:val="none"/>
        </w:rPr>
        <w:t>7、垃圾直运车辆在将一处收集点内垃圾装车后，未将该收集点清扫干净的，每次扣50元；没有打扫整理的，每次扣100元；没有清扫且严重影响单位形象的，每次扣500元。</w:t>
      </w:r>
    </w:p>
    <w:p>
      <w:pPr>
        <w:spacing w:line="440" w:lineRule="exact"/>
        <w:rPr>
          <w:sz w:val="24"/>
          <w:highlight w:val="none"/>
        </w:rPr>
      </w:pPr>
      <w:r>
        <w:rPr>
          <w:rFonts w:hint="eastAsia"/>
          <w:sz w:val="24"/>
          <w:highlight w:val="none"/>
        </w:rPr>
        <w:t>8、垃圾直运车辆必须将垃圾送到指定地点（焚烧厂或填埋场），如发现将承包范围内的垃圾运到垃圾中转站内倾倒的，每次扣1000元。三次以上的，解除承包协议。</w:t>
      </w:r>
    </w:p>
    <w:p>
      <w:pPr>
        <w:spacing w:line="440" w:lineRule="exact"/>
        <w:rPr>
          <w:sz w:val="24"/>
          <w:highlight w:val="none"/>
        </w:rPr>
      </w:pPr>
      <w:r>
        <w:rPr>
          <w:rFonts w:hint="eastAsia"/>
          <w:sz w:val="24"/>
          <w:highlight w:val="none"/>
        </w:rPr>
        <w:t>9、垃圾直运车辆在出车前未将排放口关闭，卸完垃圾后，未将污水厢内污水排放干净，沿途污水洒漏的，每次扣200元。</w:t>
      </w:r>
    </w:p>
    <w:p>
      <w:pPr>
        <w:spacing w:line="440" w:lineRule="exact"/>
        <w:rPr>
          <w:sz w:val="24"/>
          <w:highlight w:val="none"/>
        </w:rPr>
      </w:pPr>
      <w:r>
        <w:rPr>
          <w:rFonts w:hint="eastAsia"/>
          <w:sz w:val="24"/>
          <w:highlight w:val="none"/>
        </w:rPr>
        <w:t>10、垃圾直运车辆在运输过程中未将后方压缩板处于封闭状态，汽车底盘尾部、厢体周边悬挂垃圾的，每次扣50元。</w:t>
      </w:r>
    </w:p>
    <w:p>
      <w:pPr>
        <w:spacing w:line="440" w:lineRule="exact"/>
        <w:rPr>
          <w:sz w:val="24"/>
          <w:highlight w:val="none"/>
        </w:rPr>
      </w:pPr>
      <w:r>
        <w:rPr>
          <w:rFonts w:hint="eastAsia"/>
          <w:sz w:val="24"/>
          <w:highlight w:val="none"/>
        </w:rPr>
        <w:t>11、垃圾直运车辆必须采用5吨以上（含5吨）压缩式收集车，发现不用专业车辆的每次扣500元，并当场纠正；如不纠正的，每次扣3000元。</w:t>
      </w:r>
    </w:p>
    <w:p>
      <w:pPr>
        <w:spacing w:line="440" w:lineRule="exact"/>
        <w:rPr>
          <w:sz w:val="24"/>
          <w:highlight w:val="none"/>
        </w:rPr>
      </w:pPr>
      <w:r>
        <w:rPr>
          <w:rFonts w:hint="eastAsia"/>
          <w:sz w:val="24"/>
          <w:highlight w:val="none"/>
        </w:rPr>
        <w:t>12、因承包方工作不到位被新闻单位公开曝光或收到上级单位（领导）督办、批评、通报的，经查实，每次扣1000元。</w:t>
      </w:r>
    </w:p>
    <w:p>
      <w:pPr>
        <w:spacing w:line="560" w:lineRule="exact"/>
        <w:rPr>
          <w:rFonts w:hint="eastAsia"/>
          <w:sz w:val="24"/>
          <w:highlight w:val="none"/>
        </w:rPr>
      </w:pPr>
      <w:r>
        <w:rPr>
          <w:rFonts w:hint="eastAsia"/>
          <w:sz w:val="24"/>
          <w:highlight w:val="none"/>
        </w:rPr>
        <w:t>13、发生重大交通事故，造成恶劣影响或发生安全事故、环境污染事故的，每次扣2000元，属管理原因造成重大责任事故的，解除承包协议。</w:t>
      </w: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widowControl/>
        <w:spacing w:line="480" w:lineRule="atLeast"/>
        <w:rPr>
          <w:rFonts w:hint="eastAsia"/>
          <w:b/>
          <w:color w:val="000000"/>
          <w:kern w:val="0"/>
          <w:sz w:val="24"/>
          <w:highlight w:val="none"/>
        </w:rPr>
      </w:pPr>
    </w:p>
    <w:p>
      <w:pPr>
        <w:spacing w:line="460" w:lineRule="exact"/>
        <w:ind w:firstLine="2160" w:firstLineChars="600"/>
        <w:rPr>
          <w:b/>
          <w:sz w:val="36"/>
          <w:szCs w:val="36"/>
          <w:highlight w:val="none"/>
        </w:rPr>
      </w:pPr>
      <w:r>
        <w:rPr>
          <w:b/>
          <w:sz w:val="36"/>
          <w:szCs w:val="36"/>
          <w:highlight w:val="none"/>
        </w:rPr>
        <w:t>第四章   开标、评标和定标须知</w:t>
      </w:r>
      <w:bookmarkStart w:id="11" w:name="_Toc406413937"/>
      <w:bookmarkStart w:id="12" w:name="_Toc384297860"/>
      <w:bookmarkStart w:id="13" w:name="_Toc263090375"/>
      <w:bookmarkStart w:id="14" w:name="_Toc362250705"/>
      <w:bookmarkStart w:id="15" w:name="_Toc226973002"/>
      <w:bookmarkStart w:id="16" w:name="_Toc274303253"/>
      <w:bookmarkStart w:id="17" w:name="_Toc261519847"/>
    </w:p>
    <w:p>
      <w:pPr>
        <w:spacing w:line="460" w:lineRule="exact"/>
        <w:rPr>
          <w:b/>
          <w:sz w:val="24"/>
          <w:highlight w:val="none"/>
        </w:rPr>
      </w:pPr>
      <w:r>
        <w:rPr>
          <w:rFonts w:hAnsi="宋体"/>
          <w:b/>
          <w:sz w:val="24"/>
          <w:highlight w:val="none"/>
        </w:rPr>
        <w:t>一、开标</w:t>
      </w:r>
      <w:bookmarkEnd w:id="11"/>
      <w:bookmarkEnd w:id="12"/>
    </w:p>
    <w:p>
      <w:pPr>
        <w:spacing w:line="360" w:lineRule="auto"/>
        <w:rPr>
          <w:sz w:val="24"/>
          <w:highlight w:val="none"/>
        </w:rPr>
      </w:pPr>
      <w:r>
        <w:rPr>
          <w:sz w:val="24"/>
          <w:highlight w:val="none"/>
        </w:rPr>
        <w:t>1</w:t>
      </w:r>
      <w:r>
        <w:rPr>
          <w:rFonts w:hAnsi="宋体"/>
          <w:sz w:val="24"/>
          <w:highlight w:val="none"/>
        </w:rPr>
        <w:t>、本项目实行电子开评标，投标方无需前往开评标现场，只需在规定时间内在</w:t>
      </w:r>
      <w:r>
        <w:rPr>
          <w:sz w:val="24"/>
          <w:highlight w:val="none"/>
        </w:rPr>
        <w:t>“</w:t>
      </w:r>
      <w:r>
        <w:rPr>
          <w:rFonts w:hAnsi="宋体"/>
          <w:sz w:val="24"/>
          <w:highlight w:val="none"/>
        </w:rPr>
        <w:t>政采云</w:t>
      </w:r>
      <w:r>
        <w:rPr>
          <w:sz w:val="24"/>
          <w:highlight w:val="none"/>
        </w:rPr>
        <w:t>”</w:t>
      </w:r>
      <w:r>
        <w:rPr>
          <w:rFonts w:hAnsi="宋体"/>
          <w:sz w:val="24"/>
          <w:highlight w:val="none"/>
        </w:rPr>
        <w:t>平台上上传电子投标文件。</w:t>
      </w:r>
    </w:p>
    <w:p>
      <w:pPr>
        <w:spacing w:line="360" w:lineRule="auto"/>
        <w:rPr>
          <w:sz w:val="24"/>
          <w:highlight w:val="none"/>
        </w:rPr>
      </w:pPr>
      <w:r>
        <w:rPr>
          <w:sz w:val="24"/>
          <w:highlight w:val="none"/>
        </w:rPr>
        <w:t>2</w:t>
      </w:r>
      <w:r>
        <w:rPr>
          <w:rFonts w:hAnsi="宋体"/>
          <w:sz w:val="24"/>
          <w:highlight w:val="none"/>
        </w:rPr>
        <w:t>、电子开评标及评审程序</w:t>
      </w:r>
    </w:p>
    <w:p>
      <w:pPr>
        <w:spacing w:line="360" w:lineRule="auto"/>
        <w:rPr>
          <w:b/>
          <w:sz w:val="24"/>
          <w:highlight w:val="none"/>
        </w:rPr>
      </w:pPr>
      <w:r>
        <w:rPr>
          <w:b/>
          <w:sz w:val="24"/>
          <w:highlight w:val="none"/>
        </w:rPr>
        <w:t>2.1</w:t>
      </w:r>
      <w:r>
        <w:rPr>
          <w:rFonts w:hAnsi="宋体"/>
          <w:b/>
          <w:sz w:val="24"/>
          <w:highlight w:val="none"/>
        </w:rPr>
        <w:t>投标截止时间后的</w:t>
      </w:r>
      <w:r>
        <w:rPr>
          <w:b/>
          <w:sz w:val="24"/>
          <w:highlight w:val="none"/>
        </w:rPr>
        <w:t>1</w:t>
      </w:r>
      <w:r>
        <w:rPr>
          <w:rFonts w:hAnsi="宋体"/>
          <w:b/>
          <w:sz w:val="24"/>
          <w:highlight w:val="none"/>
        </w:rPr>
        <w:t>小时内（开标当日上午</w:t>
      </w:r>
      <w:r>
        <w:rPr>
          <w:b/>
          <w:sz w:val="24"/>
          <w:highlight w:val="none"/>
        </w:rPr>
        <w:t>10:00-11:00</w:t>
      </w:r>
      <w:r>
        <w:rPr>
          <w:rFonts w:hAnsi="宋体"/>
          <w:b/>
          <w:sz w:val="24"/>
          <w:highlight w:val="none"/>
        </w:rPr>
        <w:t>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w:t>
      </w:r>
      <w:r>
        <w:rPr>
          <w:b/>
          <w:sz w:val="24"/>
          <w:highlight w:val="none"/>
        </w:rPr>
        <w:t xml:space="preserve"> </w:t>
      </w:r>
    </w:p>
    <w:p>
      <w:pPr>
        <w:spacing w:line="360" w:lineRule="auto"/>
        <w:rPr>
          <w:sz w:val="24"/>
          <w:highlight w:val="none"/>
        </w:rPr>
      </w:pPr>
      <w:r>
        <w:rPr>
          <w:sz w:val="24"/>
          <w:highlight w:val="none"/>
        </w:rPr>
        <w:t>2.2.</w:t>
      </w:r>
      <w:r>
        <w:rPr>
          <w:rFonts w:hAnsi="宋体"/>
          <w:sz w:val="24"/>
          <w:highlight w:val="none"/>
        </w:rPr>
        <w:t>评标委员会对投标方的资格和商务技术响应文件进行评审；</w:t>
      </w:r>
    </w:p>
    <w:p>
      <w:pPr>
        <w:spacing w:line="360" w:lineRule="auto"/>
        <w:rPr>
          <w:sz w:val="24"/>
          <w:highlight w:val="none"/>
        </w:rPr>
      </w:pPr>
      <w:r>
        <w:rPr>
          <w:sz w:val="24"/>
          <w:highlight w:val="none"/>
        </w:rPr>
        <w:t>2.3</w:t>
      </w:r>
      <w:r>
        <w:rPr>
          <w:rFonts w:hAnsi="宋体"/>
          <w:sz w:val="24"/>
          <w:highlight w:val="none"/>
        </w:rPr>
        <w:t>评标委员会对报价情况进行评审；</w:t>
      </w:r>
    </w:p>
    <w:p>
      <w:pPr>
        <w:spacing w:line="360" w:lineRule="auto"/>
        <w:rPr>
          <w:sz w:val="24"/>
          <w:highlight w:val="none"/>
        </w:rPr>
      </w:pPr>
      <w:r>
        <w:rPr>
          <w:sz w:val="24"/>
          <w:highlight w:val="none"/>
        </w:rPr>
        <w:t>2.4</w:t>
      </w:r>
      <w:r>
        <w:rPr>
          <w:rFonts w:hAnsi="宋体"/>
          <w:sz w:val="24"/>
          <w:highlight w:val="none"/>
        </w:rPr>
        <w:t>在系统上公布评审结果。</w:t>
      </w:r>
    </w:p>
    <w:p>
      <w:pPr>
        <w:spacing w:line="360" w:lineRule="auto"/>
        <w:ind w:firstLine="480" w:firstLineChars="200"/>
        <w:rPr>
          <w:b/>
          <w:sz w:val="24"/>
          <w:highlight w:val="none"/>
          <w:u w:val="single"/>
        </w:rPr>
      </w:pPr>
      <w:r>
        <w:rPr>
          <w:b/>
          <w:sz w:val="24"/>
          <w:highlight w:val="none"/>
          <w:u w:val="single"/>
        </w:rPr>
        <w:t>特别说明：政采云公司如对电子化开标及评审程序有调整的，按调整后的程序操作。</w:t>
      </w:r>
      <w:r>
        <w:rPr>
          <w:b/>
          <w:sz w:val="24"/>
          <w:highlight w:val="none"/>
        </w:rPr>
        <w:t>二、评标</w:t>
      </w:r>
      <w:bookmarkEnd w:id="13"/>
      <w:bookmarkEnd w:id="14"/>
      <w:bookmarkEnd w:id="15"/>
      <w:bookmarkEnd w:id="16"/>
      <w:bookmarkEnd w:id="17"/>
    </w:p>
    <w:p>
      <w:pPr>
        <w:spacing w:line="360" w:lineRule="auto"/>
        <w:rPr>
          <w:b/>
          <w:kern w:val="0"/>
          <w:sz w:val="24"/>
          <w:highlight w:val="none"/>
        </w:rPr>
      </w:pPr>
      <w:r>
        <w:rPr>
          <w:b/>
          <w:kern w:val="0"/>
          <w:sz w:val="24"/>
          <w:highlight w:val="none"/>
        </w:rPr>
        <w:t>3、评标小组</w:t>
      </w:r>
    </w:p>
    <w:p>
      <w:pPr>
        <w:spacing w:line="360" w:lineRule="auto"/>
        <w:rPr>
          <w:sz w:val="24"/>
          <w:highlight w:val="none"/>
        </w:rPr>
      </w:pPr>
      <w:r>
        <w:rPr>
          <w:sz w:val="24"/>
          <w:highlight w:val="none"/>
        </w:rPr>
        <w:t>3.1 评标小组将根据招标采购项目的特点确定。其成员由技术方面专家和采购人代表5人及以上单数组成。评标小组对投标文件进行审查、质疑、评估和比较。</w:t>
      </w:r>
    </w:p>
    <w:p>
      <w:pPr>
        <w:spacing w:line="360" w:lineRule="auto"/>
        <w:rPr>
          <w:b/>
          <w:sz w:val="24"/>
          <w:highlight w:val="none"/>
        </w:rPr>
      </w:pPr>
      <w:r>
        <w:rPr>
          <w:b/>
          <w:sz w:val="24"/>
          <w:highlight w:val="none"/>
        </w:rPr>
        <w:t>4、评标原则</w:t>
      </w:r>
    </w:p>
    <w:p>
      <w:pPr>
        <w:spacing w:line="360" w:lineRule="auto"/>
        <w:rPr>
          <w:sz w:val="24"/>
          <w:highlight w:val="none"/>
        </w:rPr>
      </w:pPr>
      <w:r>
        <w:rPr>
          <w:sz w:val="24"/>
          <w:highlight w:val="none"/>
        </w:rPr>
        <w:t>4.1评标小组将遵循公开、公平、公正的原则，严格遵守评标工作纪律。</w:t>
      </w:r>
    </w:p>
    <w:p>
      <w:pPr>
        <w:spacing w:line="360" w:lineRule="auto"/>
        <w:rPr>
          <w:bCs/>
          <w:sz w:val="24"/>
          <w:highlight w:val="none"/>
        </w:rPr>
      </w:pPr>
      <w:r>
        <w:rPr>
          <w:sz w:val="24"/>
          <w:highlight w:val="none"/>
        </w:rPr>
        <w:t>4.2</w:t>
      </w:r>
      <w:r>
        <w:rPr>
          <w:bCs/>
          <w:sz w:val="24"/>
          <w:highlight w:val="none"/>
        </w:rPr>
        <w:t>先开技术标，再开商务标。</w:t>
      </w:r>
    </w:p>
    <w:p>
      <w:pPr>
        <w:spacing w:line="360" w:lineRule="auto"/>
        <w:rPr>
          <w:sz w:val="24"/>
          <w:highlight w:val="none"/>
        </w:rPr>
      </w:pPr>
      <w:r>
        <w:rPr>
          <w:bCs/>
          <w:sz w:val="24"/>
          <w:highlight w:val="none"/>
        </w:rPr>
        <w:t>4.3</w:t>
      </w:r>
      <w:r>
        <w:rPr>
          <w:sz w:val="24"/>
          <w:highlight w:val="none"/>
        </w:rPr>
        <w:t>客观公正对待所有投标人，对所有投标评标均采用相同的程序和标准。评标的依据为招标文件和投标文件。</w:t>
      </w:r>
    </w:p>
    <w:p>
      <w:pPr>
        <w:spacing w:line="360" w:lineRule="auto"/>
        <w:rPr>
          <w:sz w:val="24"/>
          <w:highlight w:val="none"/>
        </w:rPr>
      </w:pPr>
      <w:r>
        <w:rPr>
          <w:sz w:val="24"/>
          <w:highlight w:val="none"/>
        </w:rPr>
        <w:t>4.4有利于提高政府投资效益，节约建设资金。</w:t>
      </w:r>
    </w:p>
    <w:p>
      <w:pPr>
        <w:spacing w:line="360" w:lineRule="auto"/>
        <w:rPr>
          <w:sz w:val="24"/>
          <w:highlight w:val="none"/>
        </w:rPr>
      </w:pPr>
      <w:r>
        <w:rPr>
          <w:sz w:val="24"/>
          <w:highlight w:val="none"/>
        </w:rPr>
        <w:t>4.5在评标过程中，出现异常或特殊情况时，由评标小组集体讨论决定。</w:t>
      </w:r>
    </w:p>
    <w:p>
      <w:pPr>
        <w:pStyle w:val="13"/>
        <w:spacing w:line="360" w:lineRule="auto"/>
        <w:rPr>
          <w:rFonts w:ascii="Times New Roman" w:hAnsi="Times New Roman"/>
          <w:sz w:val="24"/>
          <w:szCs w:val="24"/>
          <w:highlight w:val="none"/>
        </w:rPr>
      </w:pPr>
      <w:r>
        <w:rPr>
          <w:rFonts w:ascii="Times New Roman" w:hAnsi="Times New Roman"/>
          <w:b/>
          <w:sz w:val="24"/>
          <w:szCs w:val="24"/>
          <w:highlight w:val="none"/>
        </w:rPr>
        <w:t>5、评标过程的保密</w:t>
      </w:r>
    </w:p>
    <w:p>
      <w:pPr>
        <w:spacing w:line="360" w:lineRule="auto"/>
        <w:rPr>
          <w:sz w:val="24"/>
          <w:highlight w:val="none"/>
        </w:rPr>
      </w:pPr>
      <w:r>
        <w:rPr>
          <w:sz w:val="24"/>
          <w:highlight w:val="none"/>
        </w:rPr>
        <w:t>5.1开标后，直至授予中标人合同为止，凡属于对投标文件的审查、澄清、评价和比较等有关的资料以及中标候选人的推荐情况等与评标有关的任何情况均严格保密。</w:t>
      </w:r>
    </w:p>
    <w:p>
      <w:pPr>
        <w:spacing w:line="360" w:lineRule="auto"/>
        <w:rPr>
          <w:sz w:val="24"/>
          <w:highlight w:val="none"/>
        </w:rPr>
      </w:pPr>
      <w:r>
        <w:rPr>
          <w:sz w:val="24"/>
          <w:highlight w:val="none"/>
        </w:rPr>
        <w:t>5.2在投标文件的评标和比较、中标候选人推荐以及授予合同的过程中，投标人向采购人和评标小组施加影响的任何行为，都将会导致其投标被拒绝。</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5.3中标人确认后，采购人不对未中标人就评标过程以及未能中标原因作出任何解释。未中标人不得向评标小组人员或其他有关人员索问评标过程的全部情况。</w:t>
      </w:r>
    </w:p>
    <w:p>
      <w:pPr>
        <w:spacing w:line="360" w:lineRule="auto"/>
        <w:rPr>
          <w:spacing w:val="-4"/>
          <w:sz w:val="24"/>
          <w:highlight w:val="none"/>
        </w:rPr>
      </w:pPr>
      <w:r>
        <w:rPr>
          <w:sz w:val="24"/>
          <w:highlight w:val="none"/>
        </w:rPr>
        <w:t>5.4</w:t>
      </w:r>
      <w:r>
        <w:rPr>
          <w:spacing w:val="-4"/>
          <w:sz w:val="24"/>
          <w:highlight w:val="none"/>
        </w:rPr>
        <w:t>为保证定标的公正性，在评标过程中，评标成员不得与投标人私人交换意见。在招标工作结束后，凡与评标情况有接触的任何人不得也不应将评标情况扩散出评标成员之外。</w:t>
      </w:r>
    </w:p>
    <w:p>
      <w:pPr>
        <w:pStyle w:val="13"/>
        <w:tabs>
          <w:tab w:val="left" w:pos="0"/>
        </w:tabs>
        <w:spacing w:line="360" w:lineRule="auto"/>
        <w:rPr>
          <w:rFonts w:ascii="Times New Roman" w:hAnsi="Times New Roman"/>
          <w:sz w:val="24"/>
          <w:szCs w:val="24"/>
          <w:highlight w:val="none"/>
        </w:rPr>
      </w:pPr>
      <w:r>
        <w:rPr>
          <w:rFonts w:ascii="Times New Roman" w:hAnsi="Times New Roman"/>
          <w:sz w:val="24"/>
          <w:szCs w:val="24"/>
          <w:highlight w:val="none"/>
        </w:rPr>
        <w:t>5.5评标小组不向落标方解释落标原因，不退还投标文件。</w:t>
      </w:r>
    </w:p>
    <w:p>
      <w:pPr>
        <w:spacing w:line="360" w:lineRule="auto"/>
        <w:rPr>
          <w:b/>
          <w:sz w:val="24"/>
          <w:highlight w:val="none"/>
        </w:rPr>
      </w:pPr>
      <w:r>
        <w:rPr>
          <w:b/>
          <w:sz w:val="24"/>
          <w:highlight w:val="none"/>
        </w:rPr>
        <w:t>6、投标人的认定</w:t>
      </w:r>
    </w:p>
    <w:p>
      <w:pPr>
        <w:pStyle w:val="13"/>
        <w:spacing w:line="360" w:lineRule="auto"/>
        <w:rPr>
          <w:rFonts w:ascii="Times New Roman" w:hAnsi="Times New Roman"/>
          <w:spacing w:val="-4"/>
          <w:sz w:val="24"/>
          <w:szCs w:val="24"/>
          <w:highlight w:val="none"/>
        </w:rPr>
      </w:pPr>
      <w:r>
        <w:rPr>
          <w:rFonts w:ascii="Times New Roman" w:hAnsi="Times New Roman"/>
          <w:sz w:val="24"/>
          <w:szCs w:val="24"/>
          <w:highlight w:val="none"/>
        </w:rPr>
        <w:t>6.1单位负责人为同一人或者存在直接控股、管理关系的不同供应商，不得参加同一合同项下的政府采购活动。</w:t>
      </w:r>
    </w:p>
    <w:p>
      <w:pPr>
        <w:spacing w:line="360" w:lineRule="auto"/>
        <w:rPr>
          <w:b/>
          <w:sz w:val="24"/>
          <w:highlight w:val="none"/>
        </w:rPr>
      </w:pPr>
      <w:r>
        <w:rPr>
          <w:b/>
          <w:sz w:val="24"/>
          <w:highlight w:val="none"/>
        </w:rPr>
        <w:t>7、投标文件的澄清</w:t>
      </w:r>
    </w:p>
    <w:p>
      <w:pPr>
        <w:spacing w:line="360" w:lineRule="auto"/>
        <w:rPr>
          <w:sz w:val="24"/>
          <w:highlight w:val="none"/>
        </w:rPr>
      </w:pPr>
      <w:r>
        <w:rPr>
          <w:rFonts w:hint="eastAsia"/>
          <w:sz w:val="24"/>
          <w:highlight w:val="none"/>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spacing w:line="360" w:lineRule="auto"/>
        <w:rPr>
          <w:sz w:val="24"/>
          <w:highlight w:val="none"/>
        </w:rPr>
      </w:pPr>
      <w:r>
        <w:rPr>
          <w:rFonts w:hint="eastAsia"/>
          <w:sz w:val="24"/>
          <w:highlight w:val="none"/>
        </w:rPr>
        <w:t>7.2如果投标方代表拒绝按评标委员会要求在“政采云”平台作出在线回复且无其他有效回复方式的，评标委员会可以对其作出无效标处理。</w:t>
      </w:r>
    </w:p>
    <w:p>
      <w:pPr>
        <w:spacing w:line="360" w:lineRule="auto"/>
        <w:rPr>
          <w:sz w:val="24"/>
          <w:highlight w:val="none"/>
        </w:rPr>
      </w:pPr>
      <w:r>
        <w:rPr>
          <w:sz w:val="24"/>
          <w:highlight w:val="none"/>
        </w:rPr>
        <w:t>8、</w:t>
      </w:r>
      <w:r>
        <w:rPr>
          <w:b/>
          <w:sz w:val="24"/>
          <w:highlight w:val="none"/>
        </w:rPr>
        <w:t>投标文件的初步评标</w:t>
      </w:r>
    </w:p>
    <w:p>
      <w:pPr>
        <w:spacing w:line="360" w:lineRule="auto"/>
        <w:rPr>
          <w:sz w:val="24"/>
          <w:highlight w:val="none"/>
        </w:rPr>
      </w:pPr>
      <w:r>
        <w:rPr>
          <w:sz w:val="24"/>
          <w:highlight w:val="none"/>
        </w:rPr>
        <w:t>8.1开标后，采购人应将投标文件提交评标小组进行初步评标，初步评标内容为是否出现第五章规定的内容</w:t>
      </w:r>
      <w:r>
        <w:rPr>
          <w:rFonts w:hint="eastAsia"/>
          <w:sz w:val="24"/>
          <w:highlight w:val="none"/>
        </w:rPr>
        <w:t>。</w:t>
      </w:r>
      <w:r>
        <w:rPr>
          <w:sz w:val="24"/>
          <w:highlight w:val="none"/>
        </w:rPr>
        <w:t>违反第五章规定的内容之一者，技术文件或商务文件初步评标不予通过，不列入商务标详细评标。</w:t>
      </w:r>
    </w:p>
    <w:p>
      <w:pPr>
        <w:tabs>
          <w:tab w:val="left" w:pos="1219"/>
        </w:tabs>
        <w:spacing w:line="360" w:lineRule="auto"/>
        <w:ind w:left="-67" w:leftChars="-32"/>
        <w:rPr>
          <w:sz w:val="24"/>
          <w:highlight w:val="none"/>
        </w:rPr>
      </w:pPr>
      <w:r>
        <w:rPr>
          <w:sz w:val="24"/>
          <w:highlight w:val="none"/>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rPr>
          <w:sz w:val="24"/>
          <w:highlight w:val="none"/>
        </w:rPr>
      </w:pPr>
      <w:r>
        <w:rPr>
          <w:sz w:val="24"/>
          <w:highlight w:val="none"/>
        </w:rPr>
        <w:t>8.3如果投标文件实质上不响应招标文件的各项要求，评标小组将予以拒绝，并且不允许投标人通过修改或撤销其不符合要求的差异或保留，使之成为具有响应性的投标。</w:t>
      </w:r>
    </w:p>
    <w:p>
      <w:pPr>
        <w:pStyle w:val="13"/>
        <w:spacing w:line="360" w:lineRule="auto"/>
        <w:rPr>
          <w:rFonts w:ascii="Times New Roman" w:hAnsi="Times New Roman"/>
          <w:b/>
          <w:sz w:val="24"/>
          <w:szCs w:val="24"/>
          <w:highlight w:val="none"/>
        </w:rPr>
      </w:pPr>
      <w:r>
        <w:rPr>
          <w:rFonts w:ascii="Times New Roman" w:hAnsi="Times New Roman"/>
          <w:b/>
          <w:sz w:val="24"/>
          <w:szCs w:val="24"/>
          <w:highlight w:val="none"/>
        </w:rPr>
        <w:t>9、投标文件计算错误的修正</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9.1评标小组将对确定为实质上响应招标文件要求的投标文件进行校核，看其是否有计算或表达上的错误，修正错误的原则如下：</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9.1.1《报价一览表》内容与组价分析表内容不一致的，以《报价一览表》为准；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9.1.2投标文件的大写金额和小写金额不一致的，以大写金额为准；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9.1.3总价金额与按单价汇总金额不一致的，以单价汇总金额计算结果为准；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9.1.4当单价与数量的乘积与合价不一致时，以单价为准，除非评标小组认为单价金额小数点有明显错误的，此时应以总价为准，并修改单价；</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9.1.5对不同文字文本投标文件的解释发生异义的，以中文文本为准。</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9.1.6客户端填写的报价与以pdf格式上传文件中的报价不一致的，应以Pdf格式上传文件中的报价为准。</w:t>
      </w:r>
    </w:p>
    <w:p>
      <w:pPr>
        <w:spacing w:line="360" w:lineRule="auto"/>
        <w:ind w:firstLine="480" w:firstLineChars="200"/>
        <w:rPr>
          <w:sz w:val="24"/>
          <w:highlight w:val="none"/>
        </w:rPr>
      </w:pPr>
      <w:r>
        <w:rPr>
          <w:rFonts w:hint="eastAsia"/>
          <w:sz w:val="24"/>
          <w:highlight w:val="none"/>
        </w:rPr>
        <w:t>评标委员会可以拒绝接受不是中文版的投标文件以及与投标相关的资料。</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9.2按上述修正错误的原则及方法调整或修正投标文件的投标报价，投标人同意后，调整后的投标报价对投标人起约束作用。如果投标人不接受修正后的报价，则其投标将被拒绝并且其投标担保也将被没收，并不影响评标工作。</w:t>
      </w:r>
    </w:p>
    <w:p>
      <w:pPr>
        <w:spacing w:line="360" w:lineRule="auto"/>
        <w:rPr>
          <w:b/>
          <w:sz w:val="24"/>
          <w:highlight w:val="none"/>
        </w:rPr>
      </w:pPr>
      <w:r>
        <w:rPr>
          <w:b/>
          <w:sz w:val="24"/>
          <w:highlight w:val="none"/>
        </w:rPr>
        <w:t>10、投标文件的评标、比较和否决</w:t>
      </w:r>
    </w:p>
    <w:p>
      <w:pPr>
        <w:spacing w:line="360" w:lineRule="auto"/>
        <w:rPr>
          <w:sz w:val="24"/>
          <w:highlight w:val="none"/>
        </w:rPr>
      </w:pPr>
      <w:r>
        <w:rPr>
          <w:sz w:val="24"/>
          <w:highlight w:val="none"/>
        </w:rPr>
        <w:t>10.1评标小组将按照本须知规定，仅对在实质上响应招标文件要求的投标文件进行评估和比较。</w:t>
      </w:r>
    </w:p>
    <w:p>
      <w:pPr>
        <w:spacing w:line="360" w:lineRule="auto"/>
        <w:rPr>
          <w:sz w:val="24"/>
          <w:highlight w:val="none"/>
        </w:rPr>
      </w:pPr>
      <w:r>
        <w:rPr>
          <w:sz w:val="24"/>
          <w:highlight w:val="none"/>
        </w:rPr>
        <w:t>10.2在评标过程</w:t>
      </w:r>
      <w:r>
        <w:rPr>
          <w:rFonts w:hint="eastAsia"/>
          <w:sz w:val="24"/>
          <w:highlight w:val="none"/>
        </w:rPr>
        <w:t>中</w:t>
      </w:r>
      <w:r>
        <w:rPr>
          <w:sz w:val="24"/>
          <w:highlight w:val="none"/>
        </w:rPr>
        <w:t>，评标小组可以要求投标人就投标文件中含义不明确的内容进行书面说明并提供相关材料。</w:t>
      </w:r>
    </w:p>
    <w:p>
      <w:pPr>
        <w:spacing w:line="360" w:lineRule="auto"/>
        <w:rPr>
          <w:sz w:val="24"/>
          <w:highlight w:val="none"/>
        </w:rPr>
      </w:pPr>
      <w:r>
        <w:rPr>
          <w:sz w:val="24"/>
          <w:highlight w:val="none"/>
        </w:rPr>
        <w:t>10.3评标小组在作出任何一项无效标决定前，都应当严格遵循以下程序：</w:t>
      </w:r>
    </w:p>
    <w:p>
      <w:pPr>
        <w:spacing w:line="360" w:lineRule="auto"/>
        <w:rPr>
          <w:sz w:val="24"/>
          <w:highlight w:val="none"/>
        </w:rPr>
      </w:pPr>
      <w:r>
        <w:rPr>
          <w:sz w:val="24"/>
          <w:highlight w:val="none"/>
        </w:rPr>
        <w:t>10.3.1要求当事投标人作相应的答辩；</w:t>
      </w:r>
    </w:p>
    <w:p>
      <w:pPr>
        <w:spacing w:line="360" w:lineRule="auto"/>
        <w:rPr>
          <w:sz w:val="24"/>
          <w:highlight w:val="none"/>
        </w:rPr>
      </w:pPr>
      <w:r>
        <w:rPr>
          <w:sz w:val="24"/>
          <w:highlight w:val="none"/>
        </w:rPr>
        <w:t>10.3.2在充分讨论的基础上集体表决；</w:t>
      </w:r>
    </w:p>
    <w:p>
      <w:pPr>
        <w:spacing w:line="360" w:lineRule="auto"/>
        <w:rPr>
          <w:b/>
          <w:sz w:val="24"/>
          <w:highlight w:val="none"/>
        </w:rPr>
      </w:pPr>
      <w:r>
        <w:rPr>
          <w:sz w:val="24"/>
          <w:highlight w:val="none"/>
        </w:rPr>
        <w:t>10.3.</w:t>
      </w:r>
      <w:r>
        <w:rPr>
          <w:rFonts w:hint="eastAsia"/>
          <w:sz w:val="24"/>
          <w:highlight w:val="none"/>
        </w:rPr>
        <w:t>3</w:t>
      </w:r>
      <w:r>
        <w:rPr>
          <w:sz w:val="24"/>
          <w:highlight w:val="none"/>
        </w:rPr>
        <w:t>若表决通过无效标决定，告知当事投标人，并在评标报告中详细载明废标理由、依据、答辩的情况和集体表决的情况（同意废标和不同意废标的评标小组成员均应当注明）。</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10.4评标小组经评标，认为所有投标都不符合招标文件要求时，可以否决所有投标。所有投标被否决后，采购人应当依法重新招标。</w:t>
      </w:r>
    </w:p>
    <w:p>
      <w:pPr>
        <w:pStyle w:val="13"/>
        <w:spacing w:line="360" w:lineRule="auto"/>
        <w:rPr>
          <w:rFonts w:ascii="Times New Roman" w:hAnsi="Times New Roman"/>
          <w:b/>
          <w:spacing w:val="-4"/>
          <w:sz w:val="24"/>
          <w:szCs w:val="24"/>
          <w:highlight w:val="none"/>
        </w:rPr>
      </w:pPr>
      <w:r>
        <w:rPr>
          <w:rFonts w:ascii="Times New Roman" w:hAnsi="Times New Roman"/>
          <w:b/>
          <w:spacing w:val="-4"/>
          <w:sz w:val="24"/>
          <w:szCs w:val="24"/>
          <w:highlight w:val="none"/>
        </w:rPr>
        <w:t>11、评标办法</w:t>
      </w:r>
    </w:p>
    <w:p>
      <w:pPr>
        <w:spacing w:line="360" w:lineRule="auto"/>
        <w:rPr>
          <w:b/>
          <w:sz w:val="24"/>
          <w:highlight w:val="none"/>
        </w:rPr>
      </w:pPr>
      <w:r>
        <w:rPr>
          <w:b/>
          <w:sz w:val="24"/>
          <w:highlight w:val="none"/>
        </w:rPr>
        <w:t>11.1本项目</w:t>
      </w:r>
      <w:r>
        <w:rPr>
          <w:rFonts w:hint="eastAsia"/>
          <w:b/>
          <w:sz w:val="24"/>
          <w:highlight w:val="none"/>
        </w:rPr>
        <w:t>采用</w:t>
      </w:r>
      <w:r>
        <w:rPr>
          <w:b/>
          <w:sz w:val="24"/>
          <w:highlight w:val="none"/>
        </w:rPr>
        <w:t>最低评标价法（具体评标办法见后）。</w:t>
      </w:r>
    </w:p>
    <w:p>
      <w:pPr>
        <w:spacing w:line="360" w:lineRule="auto"/>
        <w:rPr>
          <w:b/>
          <w:sz w:val="24"/>
          <w:highlight w:val="none"/>
        </w:rPr>
      </w:pPr>
      <w:r>
        <w:rPr>
          <w:b/>
          <w:sz w:val="24"/>
          <w:highlight w:val="none"/>
        </w:rPr>
        <w:t>12、决标</w:t>
      </w:r>
    </w:p>
    <w:p>
      <w:pPr>
        <w:spacing w:line="360" w:lineRule="auto"/>
        <w:ind w:firstLine="573"/>
        <w:rPr>
          <w:sz w:val="24"/>
          <w:highlight w:val="none"/>
        </w:rPr>
      </w:pPr>
      <w:r>
        <w:rPr>
          <w:sz w:val="24"/>
          <w:highlight w:val="none"/>
        </w:rPr>
        <w:t>评标小组依据本招标文件规定的评标标准和方法，对投标文件进行评标和比较，向采购人提出书面评标报告，并直接确定中标候选人。</w:t>
      </w:r>
      <w:bookmarkStart w:id="18" w:name="_Toc226973003"/>
      <w:bookmarkStart w:id="19" w:name="_Toc263090376"/>
      <w:bookmarkStart w:id="20" w:name="_Toc261519848"/>
      <w:bookmarkStart w:id="21" w:name="_Toc274303254"/>
      <w:bookmarkStart w:id="22" w:name="_Toc362250706"/>
    </w:p>
    <w:p>
      <w:pPr>
        <w:spacing w:line="360" w:lineRule="auto"/>
        <w:rPr>
          <w:b/>
          <w:sz w:val="24"/>
          <w:highlight w:val="none"/>
        </w:rPr>
      </w:pPr>
      <w:r>
        <w:rPr>
          <w:b/>
          <w:sz w:val="24"/>
          <w:highlight w:val="none"/>
        </w:rPr>
        <w:t>三、定标</w:t>
      </w:r>
      <w:bookmarkEnd w:id="18"/>
      <w:bookmarkEnd w:id="19"/>
      <w:bookmarkEnd w:id="20"/>
      <w:bookmarkEnd w:id="21"/>
      <w:bookmarkEnd w:id="22"/>
    </w:p>
    <w:p>
      <w:pPr>
        <w:spacing w:line="360" w:lineRule="auto"/>
        <w:rPr>
          <w:b/>
          <w:bCs/>
          <w:sz w:val="24"/>
          <w:highlight w:val="none"/>
        </w:rPr>
      </w:pPr>
      <w:r>
        <w:rPr>
          <w:b/>
          <w:kern w:val="0"/>
          <w:sz w:val="24"/>
          <w:highlight w:val="none"/>
        </w:rPr>
        <w:t>13、</w:t>
      </w:r>
      <w:r>
        <w:rPr>
          <w:b/>
          <w:bCs/>
          <w:sz w:val="24"/>
          <w:highlight w:val="none"/>
        </w:rPr>
        <w:t>中标通知</w:t>
      </w:r>
    </w:p>
    <w:p>
      <w:pPr>
        <w:pStyle w:val="13"/>
        <w:snapToGrid w:val="0"/>
        <w:spacing w:line="460" w:lineRule="exact"/>
        <w:rPr>
          <w:rFonts w:ascii="Times New Roman" w:hAnsi="Times New Roman"/>
          <w:b/>
          <w:bCs/>
          <w:sz w:val="24"/>
          <w:szCs w:val="24"/>
          <w:highlight w:val="none"/>
        </w:rPr>
      </w:pPr>
      <w:r>
        <w:rPr>
          <w:rFonts w:ascii="Times New Roman" w:hAnsi="Times New Roman"/>
          <w:sz w:val="24"/>
          <w:szCs w:val="24"/>
          <w:highlight w:val="none"/>
        </w:rPr>
        <w:t>13.1评标结束后，评标结果公告</w:t>
      </w:r>
      <w:r>
        <w:rPr>
          <w:rFonts w:ascii="Times New Roman" w:hAnsi="Times New Roman"/>
          <w:sz w:val="24"/>
          <w:szCs w:val="24"/>
          <w:highlight w:val="none"/>
          <w:u w:val="single"/>
        </w:rPr>
        <w:t>1</w:t>
      </w:r>
      <w:r>
        <w:rPr>
          <w:rFonts w:ascii="Times New Roman" w:hAnsi="Times New Roman"/>
          <w:sz w:val="24"/>
          <w:szCs w:val="24"/>
          <w:highlight w:val="none"/>
        </w:rPr>
        <w:t>个工作日，发布评标结果公告的媒体为：浙江省政府采购网 http://www.zjzfcg.gov.cn/、义乌市公共资源交易平台http://www.ywjypt.com。</w:t>
      </w:r>
    </w:p>
    <w:p>
      <w:pPr>
        <w:spacing w:line="360" w:lineRule="auto"/>
        <w:rPr>
          <w:sz w:val="24"/>
          <w:highlight w:val="none"/>
        </w:rPr>
      </w:pPr>
      <w:r>
        <w:rPr>
          <w:sz w:val="24"/>
          <w:highlight w:val="none"/>
        </w:rPr>
        <w:t>13.2发放中标通知书前，采购人或其委托的采购代理机构应在中国裁判文书网上查询供应商自201</w:t>
      </w:r>
      <w:r>
        <w:rPr>
          <w:rFonts w:hint="eastAsia"/>
          <w:sz w:val="24"/>
          <w:highlight w:val="none"/>
        </w:rPr>
        <w:t>7</w:t>
      </w:r>
      <w:r>
        <w:rPr>
          <w:sz w:val="24"/>
          <w:highlight w:val="none"/>
        </w:rPr>
        <w:t>年1月1日至中标公告期结束前行贿犯罪记录情况，查询结果以网站页面显示内容为准。经查实，中标供应商有前述行贿犯罪记录的，取消其中标资格，采购人依法重新组织采购。</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13.3公告期结束后，由采购人和浙江开平企业管理咨询有限公司共同签发《中标通知书》，中标方凭有效说明到浙江开平企业管理咨询有限公司领取《中标通知书》。《中标通知书》一经发出即发生法律效力。</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13.4开标过程中，投标人对开标有异议的，</w:t>
      </w:r>
      <w:r>
        <w:rPr>
          <w:rFonts w:hAnsi="宋体"/>
          <w:sz w:val="24"/>
          <w:szCs w:val="24"/>
          <w:highlight w:val="none"/>
        </w:rPr>
        <w:t>应当在“政采云”平台上及时提出</w:t>
      </w:r>
      <w:r>
        <w:rPr>
          <w:rFonts w:ascii="Times New Roman" w:hAnsi="Times New Roman"/>
          <w:sz w:val="24"/>
          <w:szCs w:val="24"/>
          <w:highlight w:val="none"/>
        </w:rPr>
        <w:t>，评标委员会应对异常情况作记录。</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13.5开评标结束后，投标人或者其他利害关系人对依法必须进行招标的项目的评标结果有异议的，应在公告期限届满之日起7个工作日内首先依据招投标相关法律法规向采购人、招标代理机构提出质疑。采购人或招标代理机构将在收到书面质疑后七个工作日内对质疑内容作出答复。若投标人对采购人或招标代理机构的答复、处理结果不满意，应在收到采购人或招标代理机构的书面答复后十五个工作日内到招标投标管理部门投诉。</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13.6质疑投诉的相关规定</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（1）质疑投诉递交的资料需为书面材料。质疑投诉书面材料需法人代表人或授权代表签字并加盖公章。</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（2）质疑投诉属于以下情况之一的，将不予受理：</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1）质疑投诉人不是所投诉项目的参与者，或者与质疑投诉项目无任何利害关系。</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2）质疑投诉事项不具体，且未提供有效线索，难以查证。</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3）未提供书面质疑或者质疑未加盖公章的；投诉人为法人或者其他组织，其投诉书未经法定代表人或者主要负责人签字并加盖公章的。</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4）已超过招标文件规定质疑投诉提出期限的事项。</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5）投诉事项已作出处理决定，并且投诉人没有提出新的证据；</w:t>
      </w:r>
    </w:p>
    <w:p>
      <w:pPr>
        <w:pStyle w:val="13"/>
        <w:tabs>
          <w:tab w:val="left" w:pos="900"/>
        </w:tabs>
        <w:spacing w:line="360" w:lineRule="auto"/>
        <w:rPr>
          <w:rFonts w:ascii="Times New Roman" w:hAnsi="Times New Roman"/>
          <w:sz w:val="24"/>
          <w:szCs w:val="24"/>
          <w:highlight w:val="none"/>
        </w:rPr>
      </w:pPr>
      <w:r>
        <w:rPr>
          <w:rFonts w:ascii="Times New Roman" w:hAnsi="Times New Roman"/>
          <w:sz w:val="24"/>
          <w:szCs w:val="24"/>
          <w:highlight w:val="none"/>
        </w:rPr>
        <w:t>6）质疑投诉的事项已经进入行政复议或者行政诉讼程序的；投诉事项应先提出质疑而没有提出质疑的。</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7）不符合《政府采购质疑和投诉办法》（财政部令第94号）和《关于印发&lt;浙江省政府采购供应商质疑处理办法&gt;的通知》（浙财采监〔2012〕18号）等有关规定的质疑投诉。</w:t>
      </w:r>
    </w:p>
    <w:p>
      <w:pPr>
        <w:pStyle w:val="13"/>
        <w:tabs>
          <w:tab w:val="left" w:pos="900"/>
        </w:tabs>
        <w:spacing w:line="360" w:lineRule="auto"/>
        <w:rPr>
          <w:rFonts w:ascii="Times New Roman" w:hAnsi="Times New Roman"/>
          <w:b/>
          <w:sz w:val="24"/>
          <w:szCs w:val="24"/>
          <w:highlight w:val="none"/>
        </w:rPr>
      </w:pPr>
      <w:r>
        <w:rPr>
          <w:rFonts w:ascii="Times New Roman" w:hAnsi="Times New Roman"/>
          <w:b/>
          <w:sz w:val="24"/>
          <w:szCs w:val="24"/>
          <w:highlight w:val="none"/>
        </w:rPr>
        <w:t>14、合同签订</w:t>
      </w:r>
    </w:p>
    <w:p>
      <w:pPr>
        <w:spacing w:line="360" w:lineRule="auto"/>
        <w:rPr>
          <w:sz w:val="24"/>
          <w:highlight w:val="none"/>
        </w:rPr>
      </w:pPr>
      <w:r>
        <w:rPr>
          <w:sz w:val="24"/>
          <w:highlight w:val="none"/>
        </w:rPr>
        <w:t>14.1中标人自接到《中标通知书》后应在三十天内与采购人签订合同。</w:t>
      </w:r>
    </w:p>
    <w:p>
      <w:pPr>
        <w:spacing w:line="360" w:lineRule="auto"/>
        <w:rPr>
          <w:sz w:val="24"/>
          <w:highlight w:val="none"/>
        </w:rPr>
      </w:pPr>
      <w:r>
        <w:rPr>
          <w:sz w:val="24"/>
          <w:highlight w:val="none"/>
        </w:rPr>
        <w:t>14.2招标文件、中标人的投标文件、评标过程中投标人在询标时作出的承诺及其澄清文件等，均为签订合同的依据。</w:t>
      </w:r>
    </w:p>
    <w:p>
      <w:pPr>
        <w:spacing w:line="360" w:lineRule="auto"/>
        <w:rPr>
          <w:sz w:val="24"/>
          <w:highlight w:val="none"/>
        </w:rPr>
      </w:pPr>
      <w:r>
        <w:rPr>
          <w:sz w:val="24"/>
          <w:highlight w:val="none"/>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auto"/>
        <w:rPr>
          <w:sz w:val="24"/>
          <w:highlight w:val="none"/>
        </w:rPr>
      </w:pPr>
      <w:r>
        <w:rPr>
          <w:sz w:val="24"/>
          <w:highlight w:val="none"/>
        </w:rPr>
        <w:t>14.4采购人与中标人签订合同后招标代理机构将中标结果通知落选投标人，采购人和招标代理机构对评标结果不负责解释。</w:t>
      </w:r>
    </w:p>
    <w:p>
      <w:pPr>
        <w:spacing w:line="360" w:lineRule="auto"/>
        <w:rPr>
          <w:sz w:val="24"/>
          <w:highlight w:val="none"/>
        </w:rPr>
      </w:pPr>
      <w:r>
        <w:rPr>
          <w:sz w:val="24"/>
          <w:highlight w:val="none"/>
        </w:rPr>
        <w:t>14.5采购人变更数量的权利</w:t>
      </w:r>
    </w:p>
    <w:p>
      <w:pPr>
        <w:spacing w:line="360" w:lineRule="auto"/>
        <w:ind w:firstLine="480" w:firstLineChars="200"/>
        <w:rPr>
          <w:sz w:val="24"/>
          <w:highlight w:val="none"/>
        </w:rPr>
      </w:pPr>
      <w:r>
        <w:rPr>
          <w:sz w:val="24"/>
          <w:highlight w:val="none"/>
        </w:rPr>
        <w:t>采购人在授予合同时有权对“技术要求及招标范围”中规定的服务予以增加或减少，但必须符合《中华人民共和国政府采购法》及义乌市政府采购的相关规定。</w:t>
      </w:r>
    </w:p>
    <w:p>
      <w:pPr>
        <w:spacing w:line="420" w:lineRule="exact"/>
        <w:ind w:firstLine="480" w:firstLineChars="200"/>
        <w:rPr>
          <w:sz w:val="24"/>
          <w:highlight w:val="none"/>
        </w:rPr>
      </w:pPr>
    </w:p>
    <w:p>
      <w:pPr>
        <w:spacing w:line="420" w:lineRule="exact"/>
        <w:rPr>
          <w:highlight w:val="none"/>
        </w:rPr>
      </w:pPr>
    </w:p>
    <w:p>
      <w:pPr>
        <w:spacing w:line="420" w:lineRule="exact"/>
        <w:rPr>
          <w:highlight w:val="none"/>
        </w:rPr>
      </w:pPr>
    </w:p>
    <w:p>
      <w:pPr>
        <w:spacing w:line="420" w:lineRule="exact"/>
        <w:rPr>
          <w:highlight w:val="none"/>
        </w:rPr>
      </w:pPr>
    </w:p>
    <w:p>
      <w:pPr>
        <w:pStyle w:val="185"/>
        <w:rPr>
          <w:highlight w:val="none"/>
          <w:lang w:val="en-US"/>
        </w:rPr>
      </w:pPr>
    </w:p>
    <w:p>
      <w:pPr>
        <w:pStyle w:val="185"/>
        <w:rPr>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rFonts w:hint="eastAsia"/>
          <w:highlight w:val="none"/>
          <w:lang w:val="en-US"/>
        </w:rPr>
      </w:pPr>
    </w:p>
    <w:p>
      <w:pPr>
        <w:pStyle w:val="185"/>
        <w:rPr>
          <w:highlight w:val="none"/>
          <w:lang w:val="en-US"/>
        </w:rPr>
      </w:pPr>
    </w:p>
    <w:p>
      <w:pPr>
        <w:pStyle w:val="185"/>
        <w:ind w:firstLine="723"/>
        <w:jc w:val="center"/>
        <w:rPr>
          <w:b/>
          <w:sz w:val="36"/>
          <w:szCs w:val="36"/>
          <w:highlight w:val="none"/>
          <w:lang w:val="en-US"/>
        </w:rPr>
      </w:pPr>
      <w:r>
        <w:rPr>
          <w:rFonts w:hint="eastAsia"/>
          <w:b/>
          <w:sz w:val="36"/>
          <w:szCs w:val="36"/>
          <w:highlight w:val="none"/>
          <w:lang w:val="en-US"/>
        </w:rPr>
        <w:t>第五章  投标文件的有效性</w:t>
      </w:r>
    </w:p>
    <w:p>
      <w:pPr>
        <w:pStyle w:val="13"/>
        <w:spacing w:line="360" w:lineRule="auto"/>
        <w:rPr>
          <w:rFonts w:ascii="Times New Roman" w:hAnsi="Times New Roman"/>
          <w:b/>
          <w:sz w:val="24"/>
          <w:szCs w:val="24"/>
          <w:highlight w:val="none"/>
        </w:rPr>
      </w:pPr>
      <w:r>
        <w:rPr>
          <w:rFonts w:ascii="Times New Roman" w:hAnsi="Times New Roman"/>
          <w:b/>
          <w:sz w:val="24"/>
          <w:szCs w:val="24"/>
          <w:highlight w:val="none"/>
        </w:rPr>
        <w:t>1</w:t>
      </w:r>
      <w:r>
        <w:rPr>
          <w:rFonts w:ascii="Times New Roman" w:hAnsi="宋体"/>
          <w:b/>
          <w:sz w:val="24"/>
          <w:szCs w:val="24"/>
          <w:highlight w:val="none"/>
        </w:rPr>
        <w:t>、有下列情形之一的，招标方将不予受理投标文件：</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1.1</w:t>
      </w:r>
      <w:r>
        <w:rPr>
          <w:rFonts w:ascii="Times New Roman" w:hAnsi="宋体"/>
          <w:sz w:val="24"/>
          <w:szCs w:val="24"/>
          <w:highlight w:val="none"/>
        </w:rPr>
        <w:t>逾期上传电子档投标文件至</w:t>
      </w:r>
      <w:r>
        <w:rPr>
          <w:rFonts w:ascii="Times New Roman" w:hAnsi="Times New Roman"/>
          <w:sz w:val="24"/>
          <w:szCs w:val="24"/>
          <w:highlight w:val="none"/>
        </w:rPr>
        <w:t>“</w:t>
      </w:r>
      <w:r>
        <w:rPr>
          <w:rFonts w:ascii="Times New Roman" w:hAnsi="宋体"/>
          <w:sz w:val="24"/>
          <w:szCs w:val="24"/>
          <w:highlight w:val="none"/>
        </w:rPr>
        <w:t>政采云</w:t>
      </w:r>
      <w:r>
        <w:rPr>
          <w:rFonts w:ascii="Times New Roman" w:hAnsi="Times New Roman"/>
          <w:sz w:val="24"/>
          <w:szCs w:val="24"/>
          <w:highlight w:val="none"/>
        </w:rPr>
        <w:t>”</w:t>
      </w:r>
      <w:r>
        <w:rPr>
          <w:rFonts w:ascii="Times New Roman" w:hAnsi="宋体"/>
          <w:sz w:val="24"/>
          <w:szCs w:val="24"/>
          <w:highlight w:val="none"/>
        </w:rPr>
        <w:t>平台的。</w:t>
      </w:r>
    </w:p>
    <w:p>
      <w:pPr>
        <w:spacing w:line="360" w:lineRule="auto"/>
        <w:rPr>
          <w:sz w:val="24"/>
          <w:highlight w:val="none"/>
        </w:rPr>
      </w:pPr>
      <w:r>
        <w:rPr>
          <w:sz w:val="24"/>
          <w:highlight w:val="none"/>
        </w:rPr>
        <w:t>1.2</w:t>
      </w:r>
      <w:r>
        <w:rPr>
          <w:rFonts w:hAnsi="宋体"/>
          <w:sz w:val="24"/>
          <w:highlight w:val="none"/>
        </w:rPr>
        <w:t>投标文件只有商务技术标或者商务技术标与报价标部分上传在一份文档中的。</w:t>
      </w:r>
    </w:p>
    <w:p>
      <w:pPr>
        <w:adjustRightInd w:val="0"/>
        <w:snapToGrid w:val="0"/>
        <w:spacing w:line="360" w:lineRule="auto"/>
        <w:rPr>
          <w:b/>
          <w:sz w:val="24"/>
          <w:highlight w:val="none"/>
        </w:rPr>
      </w:pPr>
      <w:r>
        <w:rPr>
          <w:b/>
          <w:sz w:val="24"/>
          <w:highlight w:val="none"/>
        </w:rPr>
        <w:t>2</w:t>
      </w:r>
      <w:r>
        <w:rPr>
          <w:rFonts w:hAnsi="宋体"/>
          <w:b/>
          <w:sz w:val="24"/>
          <w:highlight w:val="none"/>
        </w:rPr>
        <w:t>、投标文件在技术标评审出现下列情形之一的，由评标委员会审核后按无效投标文件处理：</w:t>
      </w:r>
    </w:p>
    <w:p>
      <w:pPr>
        <w:tabs>
          <w:tab w:val="left" w:pos="5325"/>
        </w:tabs>
        <w:adjustRightInd w:val="0"/>
        <w:snapToGrid w:val="0"/>
        <w:spacing w:line="360" w:lineRule="auto"/>
        <w:rPr>
          <w:sz w:val="24"/>
          <w:highlight w:val="none"/>
        </w:rPr>
      </w:pPr>
      <w:r>
        <w:rPr>
          <w:sz w:val="24"/>
          <w:highlight w:val="none"/>
        </w:rPr>
        <w:t>2.1</w:t>
      </w:r>
      <w:r>
        <w:rPr>
          <w:rFonts w:hAnsi="宋体"/>
          <w:sz w:val="24"/>
          <w:highlight w:val="none"/>
        </w:rPr>
        <w:t>商务技术标中包含投标报价的</w:t>
      </w:r>
    </w:p>
    <w:p>
      <w:pPr>
        <w:tabs>
          <w:tab w:val="left" w:pos="5325"/>
        </w:tabs>
        <w:adjustRightInd w:val="0"/>
        <w:snapToGrid w:val="0"/>
        <w:spacing w:line="360" w:lineRule="auto"/>
        <w:rPr>
          <w:sz w:val="24"/>
          <w:highlight w:val="none"/>
        </w:rPr>
      </w:pPr>
      <w:r>
        <w:rPr>
          <w:sz w:val="24"/>
          <w:highlight w:val="none"/>
        </w:rPr>
        <w:t>2.2</w:t>
      </w:r>
      <w:r>
        <w:rPr>
          <w:rFonts w:hAnsi="宋体"/>
          <w:sz w:val="24"/>
          <w:highlight w:val="none"/>
        </w:rPr>
        <w:t>招标文件关于投标文件组成内容技术标要求中打</w:t>
      </w:r>
      <w:r>
        <w:rPr>
          <w:sz w:val="24"/>
          <w:highlight w:val="none"/>
        </w:rPr>
        <w:t>“</w:t>
      </w:r>
      <w:r>
        <w:rPr>
          <w:rFonts w:hAnsi="宋体"/>
          <w:sz w:val="24"/>
          <w:highlight w:val="none"/>
        </w:rPr>
        <w:t>★</w:t>
      </w:r>
      <w:r>
        <w:rPr>
          <w:sz w:val="24"/>
          <w:highlight w:val="none"/>
        </w:rPr>
        <w:t>”</w:t>
      </w:r>
      <w:r>
        <w:rPr>
          <w:rFonts w:hAnsi="宋体"/>
          <w:sz w:val="24"/>
          <w:highlight w:val="none"/>
        </w:rPr>
        <w:t>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rPr>
          <w:sz w:val="24"/>
          <w:highlight w:val="none"/>
        </w:rPr>
      </w:pPr>
      <w:r>
        <w:rPr>
          <w:sz w:val="24"/>
          <w:highlight w:val="none"/>
        </w:rPr>
        <w:t>2.3</w:t>
      </w:r>
      <w:r>
        <w:rPr>
          <w:rFonts w:hAnsi="宋体"/>
          <w:sz w:val="24"/>
          <w:highlight w:val="none"/>
        </w:rPr>
        <w:t>投标方的投标资格未符合招标文件的资格要求规定</w:t>
      </w:r>
    </w:p>
    <w:p>
      <w:pPr>
        <w:adjustRightInd w:val="0"/>
        <w:snapToGrid w:val="0"/>
        <w:spacing w:line="360" w:lineRule="auto"/>
        <w:rPr>
          <w:sz w:val="24"/>
          <w:highlight w:val="none"/>
        </w:rPr>
      </w:pPr>
      <w:r>
        <w:rPr>
          <w:sz w:val="24"/>
          <w:highlight w:val="none"/>
        </w:rPr>
        <w:t>2.4</w:t>
      </w:r>
      <w:r>
        <w:rPr>
          <w:rFonts w:hAnsi="宋体"/>
          <w:sz w:val="24"/>
          <w:highlight w:val="none"/>
        </w:rPr>
        <w:t>投标人递交两份或多份内容不同的投标文件，且未声明哪一个有效，但按招标文件规定提交备选投标方案的除外。</w:t>
      </w:r>
    </w:p>
    <w:p>
      <w:pPr>
        <w:tabs>
          <w:tab w:val="left" w:pos="5325"/>
        </w:tabs>
        <w:adjustRightInd w:val="0"/>
        <w:snapToGrid w:val="0"/>
        <w:spacing w:line="360" w:lineRule="auto"/>
        <w:rPr>
          <w:sz w:val="24"/>
          <w:highlight w:val="none"/>
        </w:rPr>
      </w:pPr>
      <w:r>
        <w:rPr>
          <w:sz w:val="24"/>
          <w:highlight w:val="none"/>
        </w:rPr>
        <w:t>2.5</w:t>
      </w:r>
      <w:r>
        <w:rPr>
          <w:rFonts w:hAnsi="宋体"/>
          <w:sz w:val="24"/>
          <w:highlight w:val="none"/>
        </w:rPr>
        <w:t>投标方所投产品的数量不符合招标文件规定的</w:t>
      </w:r>
    </w:p>
    <w:p>
      <w:pPr>
        <w:spacing w:line="360" w:lineRule="auto"/>
        <w:rPr>
          <w:sz w:val="24"/>
          <w:highlight w:val="none"/>
        </w:rPr>
      </w:pPr>
      <w:r>
        <w:rPr>
          <w:sz w:val="24"/>
          <w:highlight w:val="none"/>
        </w:rPr>
        <w:t>2.6</w:t>
      </w:r>
      <w:r>
        <w:rPr>
          <w:rFonts w:hAnsi="宋体"/>
          <w:sz w:val="24"/>
          <w:highlight w:val="none"/>
        </w:rPr>
        <w:t>投标方借用或冒用他人名义或证件、涂改文件、伪造或编造投标文件的</w:t>
      </w:r>
    </w:p>
    <w:p>
      <w:pPr>
        <w:spacing w:line="360" w:lineRule="auto"/>
        <w:rPr>
          <w:sz w:val="24"/>
          <w:highlight w:val="none"/>
        </w:rPr>
      </w:pPr>
      <w:r>
        <w:rPr>
          <w:sz w:val="24"/>
          <w:highlight w:val="none"/>
        </w:rPr>
        <w:t>2.7</w:t>
      </w:r>
      <w:r>
        <w:rPr>
          <w:rFonts w:hAnsi="宋体"/>
          <w:sz w:val="24"/>
          <w:highlight w:val="none"/>
        </w:rPr>
        <w:t>投标中不同投标单位的投标文件出现雷同或相似（包括部分雷同或相似），对所有雷同或相似投标人按废标处理，投标方串标的，招标方将保留进一步追究责任的权利</w:t>
      </w:r>
    </w:p>
    <w:p>
      <w:pPr>
        <w:spacing w:line="360" w:lineRule="auto"/>
        <w:rPr>
          <w:sz w:val="24"/>
          <w:highlight w:val="none"/>
        </w:rPr>
      </w:pPr>
      <w:r>
        <w:rPr>
          <w:sz w:val="24"/>
          <w:highlight w:val="none"/>
        </w:rPr>
        <w:t>2.8</w:t>
      </w:r>
      <w:r>
        <w:rPr>
          <w:rFonts w:hAnsi="宋体"/>
          <w:sz w:val="24"/>
          <w:highlight w:val="none"/>
        </w:rPr>
        <w:t>其它对本招标文件中打★号的条款未完全响应的</w:t>
      </w:r>
    </w:p>
    <w:p>
      <w:pPr>
        <w:spacing w:line="360" w:lineRule="auto"/>
        <w:rPr>
          <w:sz w:val="24"/>
          <w:highlight w:val="none"/>
        </w:rPr>
      </w:pPr>
      <w:r>
        <w:rPr>
          <w:sz w:val="24"/>
          <w:highlight w:val="none"/>
        </w:rPr>
        <w:t>2.9</w:t>
      </w:r>
      <w:r>
        <w:rPr>
          <w:rFonts w:hAnsi="宋体"/>
          <w:sz w:val="24"/>
          <w:highlight w:val="none"/>
        </w:rPr>
        <w:t>经评标委员会认定，投标文件附有采购人不能接受的条件</w:t>
      </w:r>
    </w:p>
    <w:p>
      <w:pPr>
        <w:spacing w:line="360" w:lineRule="auto"/>
        <w:rPr>
          <w:sz w:val="24"/>
          <w:highlight w:val="none"/>
        </w:rPr>
      </w:pPr>
      <w:r>
        <w:rPr>
          <w:sz w:val="24"/>
          <w:highlight w:val="none"/>
        </w:rPr>
        <w:t>2.10</w:t>
      </w:r>
      <w:r>
        <w:rPr>
          <w:rFonts w:hAnsi="宋体"/>
          <w:sz w:val="24"/>
          <w:highlight w:val="none"/>
        </w:rPr>
        <w:t>对于评标委员会提出的要求投标方澄清或说明的，如果投标方代表拒绝澄清或说明，或者拒绝签字的，评标委员会可以对其作出无效标处理。</w:t>
      </w:r>
    </w:p>
    <w:p>
      <w:pPr>
        <w:spacing w:line="360" w:lineRule="auto"/>
        <w:rPr>
          <w:b/>
          <w:sz w:val="24"/>
          <w:highlight w:val="none"/>
        </w:rPr>
      </w:pPr>
      <w:r>
        <w:rPr>
          <w:b/>
          <w:sz w:val="24"/>
          <w:highlight w:val="none"/>
        </w:rPr>
        <w:t>2.12</w:t>
      </w:r>
      <w:r>
        <w:rPr>
          <w:rFonts w:hAnsi="宋体"/>
          <w:b/>
          <w:sz w:val="24"/>
          <w:highlight w:val="none"/>
        </w:rPr>
        <w:t>单位负责人为同一人或者存在直接控股、管理关系的不同供应商。</w:t>
      </w:r>
    </w:p>
    <w:p>
      <w:pPr>
        <w:adjustRightInd w:val="0"/>
        <w:snapToGrid w:val="0"/>
        <w:spacing w:line="360" w:lineRule="auto"/>
        <w:rPr>
          <w:b/>
          <w:sz w:val="24"/>
          <w:highlight w:val="none"/>
        </w:rPr>
      </w:pPr>
      <w:r>
        <w:rPr>
          <w:b/>
          <w:sz w:val="24"/>
          <w:highlight w:val="none"/>
        </w:rPr>
        <w:t>3</w:t>
      </w:r>
      <w:r>
        <w:rPr>
          <w:rFonts w:hAnsi="宋体"/>
          <w:b/>
          <w:sz w:val="24"/>
          <w:highlight w:val="none"/>
        </w:rPr>
        <w:t>、投标文件商务标评审出现下列情形之一的，由评标委员会审核后按无效投标文件处理：</w:t>
      </w:r>
    </w:p>
    <w:p>
      <w:pPr>
        <w:adjustRightInd w:val="0"/>
        <w:snapToGrid w:val="0"/>
        <w:spacing w:line="360" w:lineRule="auto"/>
        <w:rPr>
          <w:sz w:val="24"/>
          <w:highlight w:val="none"/>
        </w:rPr>
      </w:pPr>
      <w:r>
        <w:rPr>
          <w:sz w:val="24"/>
          <w:highlight w:val="none"/>
        </w:rPr>
        <w:t>3.1.</w:t>
      </w:r>
      <w:r>
        <w:rPr>
          <w:rFonts w:hAnsi="宋体"/>
          <w:sz w:val="24"/>
          <w:highlight w:val="none"/>
        </w:rPr>
        <w:t>招标文件关于投标文件组成内容商务标要求中打</w:t>
      </w:r>
      <w:r>
        <w:rPr>
          <w:sz w:val="24"/>
          <w:highlight w:val="none"/>
        </w:rPr>
        <w:t>“</w:t>
      </w:r>
      <w:r>
        <w:rPr>
          <w:rFonts w:hAnsi="宋体"/>
          <w:sz w:val="24"/>
          <w:highlight w:val="none"/>
        </w:rPr>
        <w:t>★</w:t>
      </w:r>
      <w:r>
        <w:rPr>
          <w:sz w:val="24"/>
          <w:highlight w:val="none"/>
        </w:rPr>
        <w:t>”</w:t>
      </w:r>
      <w:r>
        <w:rPr>
          <w:rFonts w:hAnsi="宋体"/>
          <w:sz w:val="24"/>
          <w:highlight w:val="none"/>
        </w:rPr>
        <w:t>的内容，投标方的投标文件内容未提提供完整或关键字迹模糊、无法辨认的或未按其规定的格式及要求填写、签字、盖章或提供的投标文件内容不符合招标文件的中有关打★号的条款的规定</w:t>
      </w:r>
    </w:p>
    <w:p>
      <w:pPr>
        <w:adjustRightInd w:val="0"/>
        <w:snapToGrid w:val="0"/>
        <w:spacing w:line="360" w:lineRule="auto"/>
        <w:rPr>
          <w:sz w:val="24"/>
          <w:highlight w:val="none"/>
        </w:rPr>
      </w:pPr>
      <w:r>
        <w:rPr>
          <w:sz w:val="24"/>
          <w:highlight w:val="none"/>
        </w:rPr>
        <w:t>3.2投标报价</w:t>
      </w:r>
      <w:r>
        <w:rPr>
          <w:rFonts w:hint="eastAsia"/>
          <w:sz w:val="24"/>
          <w:highlight w:val="none"/>
        </w:rPr>
        <w:t>高于最高限价或</w:t>
      </w:r>
      <w:r>
        <w:rPr>
          <w:sz w:val="24"/>
          <w:highlight w:val="none"/>
        </w:rPr>
        <w:t>低于企业成本价者或未填报企业成本价者；投标函中的投标报价与报价一览表中的合计金额不一致的</w:t>
      </w:r>
    </w:p>
    <w:p>
      <w:pPr>
        <w:adjustRightInd w:val="0"/>
        <w:snapToGrid w:val="0"/>
        <w:spacing w:line="360" w:lineRule="auto"/>
        <w:rPr>
          <w:sz w:val="24"/>
          <w:highlight w:val="none"/>
        </w:rPr>
      </w:pPr>
      <w:r>
        <w:rPr>
          <w:sz w:val="24"/>
          <w:highlight w:val="none"/>
        </w:rPr>
        <w:t>3.3</w:t>
      </w:r>
      <w:r>
        <w:rPr>
          <w:rFonts w:hAnsi="宋体"/>
          <w:sz w:val="24"/>
          <w:highlight w:val="none"/>
        </w:rPr>
        <w:t>投标方的所投产品的数量不符合招标文件规定的</w:t>
      </w:r>
    </w:p>
    <w:p>
      <w:pPr>
        <w:adjustRightInd w:val="0"/>
        <w:snapToGrid w:val="0"/>
        <w:spacing w:line="360" w:lineRule="auto"/>
        <w:rPr>
          <w:sz w:val="24"/>
          <w:highlight w:val="none"/>
        </w:rPr>
      </w:pPr>
      <w:r>
        <w:rPr>
          <w:sz w:val="24"/>
          <w:highlight w:val="none"/>
        </w:rPr>
        <w:t>3.4</w:t>
      </w:r>
      <w:r>
        <w:rPr>
          <w:rFonts w:hAnsi="宋体"/>
          <w:sz w:val="24"/>
          <w:highlight w:val="none"/>
        </w:rPr>
        <w:t>投标方对同一采购项目两个或两个以上（两种或两种以上方案）报价的或两个或两个以上（两种或两种以上方案）成本价的，且未声明哪一个有效</w:t>
      </w:r>
    </w:p>
    <w:p>
      <w:pPr>
        <w:adjustRightInd w:val="0"/>
        <w:snapToGrid w:val="0"/>
        <w:spacing w:line="360" w:lineRule="auto"/>
        <w:rPr>
          <w:sz w:val="24"/>
          <w:highlight w:val="none"/>
        </w:rPr>
      </w:pPr>
      <w:r>
        <w:rPr>
          <w:sz w:val="24"/>
          <w:highlight w:val="none"/>
        </w:rPr>
        <w:t>3.5</w:t>
      </w:r>
      <w:r>
        <w:rPr>
          <w:rFonts w:hAnsi="宋体"/>
          <w:sz w:val="24"/>
          <w:highlight w:val="none"/>
        </w:rPr>
        <w:t>经评标委员会审议认为投标文件附有采购人不能接受的条件，评标委员会认为投标人的报价明显低于其他通过符合性审查投标人的报价，有可能影响产品质量或者不能诚信履约的，要求其通过</w:t>
      </w:r>
      <w:r>
        <w:rPr>
          <w:sz w:val="24"/>
          <w:highlight w:val="none"/>
        </w:rPr>
        <w:t>“</w:t>
      </w:r>
      <w:r>
        <w:rPr>
          <w:rFonts w:hAnsi="宋体"/>
          <w:sz w:val="24"/>
          <w:highlight w:val="none"/>
        </w:rPr>
        <w:t>政采云</w:t>
      </w:r>
      <w:r>
        <w:rPr>
          <w:sz w:val="24"/>
          <w:highlight w:val="none"/>
        </w:rPr>
        <w:t>”</w:t>
      </w:r>
      <w:r>
        <w:rPr>
          <w:rFonts w:hAnsi="宋体"/>
          <w:sz w:val="24"/>
          <w:highlight w:val="none"/>
        </w:rPr>
        <w:t>平台在规定的时间内提供</w:t>
      </w:r>
      <w:r>
        <w:rPr>
          <w:sz w:val="24"/>
          <w:highlight w:val="none"/>
        </w:rPr>
        <w:t>CA</w:t>
      </w:r>
      <w:r>
        <w:rPr>
          <w:rFonts w:hAnsi="宋体"/>
          <w:sz w:val="24"/>
          <w:highlight w:val="none"/>
        </w:rPr>
        <w:t>签章的材料；投标人不能佐证其报价合理性的。</w:t>
      </w:r>
    </w:p>
    <w:p>
      <w:pPr>
        <w:adjustRightInd w:val="0"/>
        <w:snapToGrid w:val="0"/>
        <w:spacing w:line="360" w:lineRule="auto"/>
        <w:rPr>
          <w:sz w:val="24"/>
          <w:highlight w:val="none"/>
        </w:rPr>
      </w:pPr>
      <w:r>
        <w:rPr>
          <w:sz w:val="24"/>
          <w:highlight w:val="none"/>
        </w:rPr>
        <w:t>3.6</w:t>
      </w:r>
      <w:r>
        <w:rPr>
          <w:rFonts w:hAnsi="宋体"/>
          <w:sz w:val="24"/>
          <w:highlight w:val="none"/>
        </w:rPr>
        <w:t>其它对本招标文件中打★号的条款未完全响应的</w:t>
      </w:r>
    </w:p>
    <w:p>
      <w:pPr>
        <w:adjustRightInd w:val="0"/>
        <w:snapToGrid w:val="0"/>
        <w:spacing w:line="360" w:lineRule="auto"/>
        <w:rPr>
          <w:sz w:val="24"/>
          <w:highlight w:val="none"/>
        </w:rPr>
      </w:pPr>
      <w:r>
        <w:rPr>
          <w:sz w:val="24"/>
          <w:highlight w:val="none"/>
        </w:rPr>
        <w:t>3.7</w:t>
      </w:r>
      <w:r>
        <w:rPr>
          <w:rFonts w:hAnsi="宋体"/>
          <w:sz w:val="24"/>
          <w:highlight w:val="none"/>
        </w:rPr>
        <w:t>当投标人由于报价计算错误，投标人拒绝接受按招标文件的规定进行的修正处理（或拒绝签名确认）。</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4</w:t>
      </w:r>
      <w:r>
        <w:rPr>
          <w:rFonts w:ascii="Times New Roman" w:hAnsi="宋体"/>
          <w:sz w:val="24"/>
          <w:szCs w:val="24"/>
          <w:highlight w:val="none"/>
        </w:rPr>
        <w:t>、其他违反法律法规的的情况。</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5</w:t>
      </w:r>
      <w:r>
        <w:rPr>
          <w:rFonts w:ascii="Times New Roman" w:hAnsi="宋体"/>
          <w:sz w:val="24"/>
          <w:szCs w:val="24"/>
          <w:highlight w:val="none"/>
        </w:rPr>
        <w:t>、评标过程中，非上述所罗列的情况，不得以无效标处理。</w:t>
      </w:r>
    </w:p>
    <w:p>
      <w:pPr>
        <w:widowControl/>
        <w:spacing w:line="360" w:lineRule="auto"/>
        <w:rPr>
          <w:b/>
          <w:color w:val="000000"/>
          <w:kern w:val="0"/>
          <w:sz w:val="24"/>
          <w:highlight w:val="none"/>
        </w:rPr>
      </w:pPr>
    </w:p>
    <w:p>
      <w:pPr>
        <w:widowControl/>
        <w:spacing w:line="480" w:lineRule="atLeast"/>
        <w:rPr>
          <w:b/>
          <w:color w:val="000000"/>
          <w:kern w:val="0"/>
          <w:sz w:val="24"/>
          <w:highlight w:val="none"/>
        </w:rPr>
      </w:pPr>
    </w:p>
    <w:p>
      <w:pPr>
        <w:widowControl/>
        <w:spacing w:line="480" w:lineRule="atLeast"/>
        <w:rPr>
          <w:b/>
          <w:color w:val="000000"/>
          <w:kern w:val="0"/>
          <w:sz w:val="24"/>
          <w:highlight w:val="none"/>
        </w:rPr>
      </w:pPr>
    </w:p>
    <w:p>
      <w:pPr>
        <w:spacing w:line="420" w:lineRule="exact"/>
        <w:ind w:firstLine="420" w:firstLineChars="200"/>
        <w:rPr>
          <w:color w:val="000000"/>
          <w:highlight w:val="none"/>
        </w:rPr>
      </w:pPr>
    </w:p>
    <w:p>
      <w:pPr>
        <w:rPr>
          <w:color w:val="000000"/>
          <w:highlight w:val="none"/>
        </w:rPr>
      </w:pPr>
    </w:p>
    <w:bookmarkEnd w:id="7"/>
    <w:bookmarkEnd w:id="8"/>
    <w:bookmarkEnd w:id="9"/>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ind w:firstLine="420" w:firstLineChars="200"/>
        <w:rPr>
          <w:highlight w:val="none"/>
        </w:rPr>
      </w:pPr>
    </w:p>
    <w:p>
      <w:pPr>
        <w:spacing w:line="420" w:lineRule="exact"/>
        <w:rPr>
          <w:highlight w:val="none"/>
        </w:rPr>
      </w:pPr>
    </w:p>
    <w:p>
      <w:pPr>
        <w:pStyle w:val="13"/>
        <w:spacing w:line="360" w:lineRule="auto"/>
        <w:ind w:firstLine="720" w:firstLineChars="200"/>
        <w:jc w:val="center"/>
        <w:rPr>
          <w:rFonts w:ascii="Times New Roman" w:hAnsi="Times New Roman"/>
          <w:b/>
          <w:color w:val="000000"/>
          <w:sz w:val="36"/>
          <w:szCs w:val="36"/>
          <w:highlight w:val="none"/>
        </w:rPr>
      </w:pPr>
      <w:r>
        <w:rPr>
          <w:rFonts w:hint="eastAsia" w:ascii="Times New Roman" w:hAnsi="Times New Roman"/>
          <w:b/>
          <w:color w:val="000000"/>
          <w:sz w:val="36"/>
          <w:szCs w:val="36"/>
          <w:highlight w:val="none"/>
        </w:rPr>
        <w:t>第六章  评标办法</w:t>
      </w:r>
    </w:p>
    <w:p>
      <w:pPr>
        <w:pStyle w:val="13"/>
        <w:spacing w:line="360" w:lineRule="auto"/>
        <w:ind w:firstLine="480" w:firstLineChars="200"/>
        <w:rPr>
          <w:rFonts w:ascii="Times New Roman" w:hAnsi="Times New Roman"/>
          <w:color w:val="000000"/>
          <w:sz w:val="24"/>
          <w:highlight w:val="none"/>
        </w:rPr>
      </w:pPr>
      <w:r>
        <w:rPr>
          <w:rFonts w:hint="eastAsia" w:ascii="Times New Roman" w:hAnsi="Times New Roman"/>
          <w:color w:val="000000"/>
          <w:sz w:val="24"/>
          <w:highlight w:val="none"/>
        </w:rPr>
        <w:t>根据《中华人民共和国政府采购法》和《中华人民共和国招标投标法》的有关规定，为更好地做到公开、公平、公正，结合本次招标的特点，特制定本评标办法。评标小组用</w:t>
      </w:r>
      <w:r>
        <w:rPr>
          <w:rFonts w:hint="eastAsia" w:ascii="Times New Roman" w:hAnsi="Times New Roman"/>
          <w:color w:val="000000"/>
          <w:sz w:val="24"/>
          <w:highlight w:val="none"/>
          <w:u w:val="single"/>
        </w:rPr>
        <w:t>最低评标价法</w:t>
      </w:r>
      <w:r>
        <w:rPr>
          <w:rFonts w:hint="eastAsia" w:ascii="Times New Roman" w:hAnsi="Times New Roman"/>
          <w:color w:val="000000"/>
          <w:sz w:val="24"/>
          <w:highlight w:val="none"/>
        </w:rPr>
        <w:t>对招标项目作出评标结论。</w:t>
      </w:r>
    </w:p>
    <w:p>
      <w:pPr>
        <w:pStyle w:val="13"/>
        <w:spacing w:line="360" w:lineRule="auto"/>
        <w:rPr>
          <w:rFonts w:hAnsi="宋体"/>
          <w:b/>
          <w:color w:val="000000"/>
          <w:sz w:val="24"/>
          <w:highlight w:val="none"/>
        </w:rPr>
      </w:pPr>
      <w:r>
        <w:rPr>
          <w:rFonts w:hint="eastAsia" w:hAnsi="宋体"/>
          <w:b/>
          <w:color w:val="000000"/>
          <w:sz w:val="24"/>
          <w:highlight w:val="none"/>
        </w:rPr>
        <w:t>一、评审程序</w:t>
      </w:r>
    </w:p>
    <w:p>
      <w:pPr>
        <w:spacing w:line="360" w:lineRule="auto"/>
        <w:ind w:firstLine="480" w:firstLineChars="200"/>
        <w:rPr>
          <w:rFonts w:ascii="新宋体" w:hAnsi="新宋体" w:eastAsia="新宋体"/>
          <w:color w:val="000000"/>
          <w:sz w:val="24"/>
          <w:highlight w:val="none"/>
        </w:rPr>
      </w:pPr>
      <w:r>
        <w:rPr>
          <w:rFonts w:hint="eastAsia" w:ascii="新宋体" w:hAnsi="新宋体" w:eastAsia="新宋体"/>
          <w:color w:val="000000"/>
          <w:sz w:val="24"/>
          <w:highlight w:val="none"/>
        </w:rPr>
        <w:t xml:space="preserve">评标委员会以开标、评标、询标情况为基本依据，按照招标文件的规定，对各投标人的投标文件分技术部分、商务报价二个部分按以下程序进行分析、评议： </w:t>
      </w:r>
    </w:p>
    <w:p>
      <w:pPr>
        <w:spacing w:line="360" w:lineRule="auto"/>
        <w:rPr>
          <w:rFonts w:ascii="新宋体" w:hAnsi="新宋体" w:eastAsia="新宋体"/>
          <w:color w:val="000000"/>
          <w:sz w:val="24"/>
          <w:highlight w:val="none"/>
        </w:rPr>
      </w:pPr>
      <w:r>
        <w:rPr>
          <w:rFonts w:hint="eastAsia" w:ascii="新宋体" w:hAnsi="新宋体" w:eastAsia="新宋体"/>
          <w:color w:val="000000"/>
          <w:sz w:val="24"/>
          <w:highlight w:val="none"/>
        </w:rPr>
        <w:t>1、对投标人的技术文件进行符合性审查，确定技术标有效单位；</w:t>
      </w:r>
    </w:p>
    <w:p>
      <w:pPr>
        <w:spacing w:line="360" w:lineRule="auto"/>
        <w:rPr>
          <w:rFonts w:ascii="新宋体" w:hAnsi="新宋体" w:eastAsia="新宋体"/>
          <w:color w:val="000000"/>
          <w:sz w:val="24"/>
          <w:highlight w:val="none"/>
        </w:rPr>
      </w:pPr>
      <w:r>
        <w:rPr>
          <w:rFonts w:hint="eastAsia" w:ascii="新宋体" w:hAnsi="新宋体" w:eastAsia="新宋体"/>
          <w:color w:val="000000"/>
          <w:sz w:val="24"/>
          <w:highlight w:val="none"/>
        </w:rPr>
        <w:t xml:space="preserve">2、对技术标有效的投标人的商务标进行公开唱标； </w:t>
      </w:r>
    </w:p>
    <w:p>
      <w:pPr>
        <w:spacing w:line="360" w:lineRule="auto"/>
        <w:rPr>
          <w:rFonts w:ascii="新宋体" w:hAnsi="新宋体" w:eastAsia="新宋体"/>
          <w:color w:val="000000"/>
          <w:sz w:val="24"/>
          <w:highlight w:val="none"/>
        </w:rPr>
      </w:pPr>
      <w:r>
        <w:rPr>
          <w:rFonts w:hint="eastAsia" w:ascii="新宋体" w:hAnsi="新宋体" w:eastAsia="新宋体"/>
          <w:color w:val="000000"/>
          <w:sz w:val="24"/>
          <w:highlight w:val="none"/>
        </w:rPr>
        <w:t>3、评标委员会对技术标有效的投标人进行商务标评审，确定商务标评审有效投标人。</w:t>
      </w:r>
    </w:p>
    <w:p>
      <w:pPr>
        <w:pStyle w:val="13"/>
        <w:spacing w:line="360" w:lineRule="auto"/>
        <w:rPr>
          <w:rFonts w:ascii="Times New Roman" w:hAnsi="Times New Roman"/>
          <w:color w:val="000000"/>
          <w:sz w:val="24"/>
          <w:highlight w:val="none"/>
        </w:rPr>
      </w:pPr>
      <w:r>
        <w:rPr>
          <w:rFonts w:ascii="Times New Roman" w:hAnsi="Times New Roman"/>
          <w:color w:val="000000"/>
          <w:sz w:val="24"/>
          <w:highlight w:val="none"/>
        </w:rPr>
        <w:t>4</w:t>
      </w:r>
      <w:r>
        <w:rPr>
          <w:rFonts w:hint="eastAsia" w:ascii="Times New Roman" w:hAnsi="Times New Roman"/>
          <w:color w:val="000000"/>
          <w:sz w:val="24"/>
          <w:highlight w:val="none"/>
        </w:rPr>
        <w:t>、推荐中标候选人、出具评标报告。</w:t>
      </w:r>
    </w:p>
    <w:p>
      <w:pPr>
        <w:pStyle w:val="13"/>
        <w:spacing w:line="360" w:lineRule="auto"/>
        <w:rPr>
          <w:rFonts w:ascii="Times New Roman" w:hAnsi="Times New Roman"/>
          <w:b/>
          <w:color w:val="000000"/>
          <w:sz w:val="24"/>
          <w:highlight w:val="none"/>
        </w:rPr>
      </w:pPr>
      <w:r>
        <w:rPr>
          <w:rFonts w:hint="eastAsia" w:ascii="Times New Roman" w:hAnsi="Times New Roman"/>
          <w:b/>
          <w:color w:val="000000"/>
          <w:sz w:val="24"/>
          <w:highlight w:val="none"/>
        </w:rPr>
        <w:t>5、本次招标分四个标段，按标段一至标段四依次评标，已中前面标段的投标人不再参加后面标段的评审。</w:t>
      </w:r>
    </w:p>
    <w:p>
      <w:pPr>
        <w:pStyle w:val="13"/>
        <w:spacing w:line="360" w:lineRule="auto"/>
        <w:ind w:firstLine="480"/>
        <w:rPr>
          <w:rFonts w:ascii="Times New Roman" w:hAnsi="Times New Roman"/>
          <w:b/>
          <w:color w:val="000000"/>
          <w:spacing w:val="-4"/>
          <w:sz w:val="24"/>
          <w:highlight w:val="none"/>
        </w:rPr>
      </w:pPr>
      <w:r>
        <w:rPr>
          <w:rFonts w:hint="eastAsia" w:ascii="Times New Roman" w:hAnsi="Times New Roman"/>
          <w:color w:val="000000"/>
          <w:sz w:val="24"/>
          <w:highlight w:val="none"/>
        </w:rPr>
        <w:t>评标小组以开标、评标、询标情况为基本依据，</w:t>
      </w:r>
      <w:r>
        <w:rPr>
          <w:rFonts w:hint="eastAsia" w:ascii="Times New Roman" w:hAnsi="Times New Roman"/>
          <w:color w:val="000000"/>
          <w:spacing w:val="-4"/>
          <w:sz w:val="24"/>
          <w:highlight w:val="none"/>
        </w:rPr>
        <w:t>对有效的投标文件分技术部分、商务报价二个部分进行分析、评议，</w:t>
      </w:r>
      <w:r>
        <w:rPr>
          <w:rFonts w:hint="eastAsia" w:ascii="Times New Roman" w:hAnsi="Times New Roman"/>
          <w:b/>
          <w:color w:val="000000"/>
          <w:spacing w:val="-4"/>
          <w:sz w:val="24"/>
          <w:highlight w:val="none"/>
        </w:rPr>
        <w:t>先评技术标，技术标有效单位进行商务报价评标，商务标在开标室进行开封、唱标并作记录；对技术无效投标人不再进行商务标的评审。</w:t>
      </w:r>
    </w:p>
    <w:p>
      <w:pPr>
        <w:pStyle w:val="13"/>
        <w:spacing w:line="360" w:lineRule="auto"/>
        <w:rPr>
          <w:rFonts w:ascii="Times New Roman" w:hAnsi="Times New Roman"/>
          <w:b/>
          <w:bCs/>
          <w:color w:val="000000"/>
          <w:sz w:val="24"/>
          <w:highlight w:val="none"/>
        </w:rPr>
      </w:pPr>
      <w:r>
        <w:rPr>
          <w:rFonts w:hint="eastAsia" w:ascii="Times New Roman" w:hAnsi="Times New Roman"/>
          <w:b/>
          <w:bCs/>
          <w:color w:val="000000"/>
          <w:sz w:val="24"/>
          <w:highlight w:val="none"/>
        </w:rPr>
        <w:t>二、评标办法</w:t>
      </w:r>
    </w:p>
    <w:p>
      <w:pPr>
        <w:pStyle w:val="13"/>
        <w:spacing w:line="360" w:lineRule="auto"/>
        <w:rPr>
          <w:rFonts w:ascii="Times New Roman" w:hAnsi="Times New Roman"/>
          <w:b/>
          <w:bCs/>
          <w:color w:val="000000"/>
          <w:sz w:val="24"/>
          <w:highlight w:val="none"/>
        </w:rPr>
      </w:pPr>
      <w:r>
        <w:rPr>
          <w:rFonts w:ascii="Times New Roman" w:hAnsi="Times New Roman"/>
          <w:b/>
          <w:bCs/>
          <w:color w:val="000000"/>
          <w:sz w:val="24"/>
          <w:highlight w:val="none"/>
        </w:rPr>
        <w:t>1</w:t>
      </w:r>
      <w:r>
        <w:rPr>
          <w:rFonts w:hint="eastAsia" w:ascii="Times New Roman" w:hAnsi="Times New Roman"/>
          <w:b/>
          <w:bCs/>
          <w:color w:val="000000"/>
          <w:sz w:val="24"/>
          <w:highlight w:val="none"/>
        </w:rPr>
        <w:t>、技术标评标</w:t>
      </w:r>
    </w:p>
    <w:p>
      <w:pPr>
        <w:pStyle w:val="13"/>
        <w:spacing w:line="360" w:lineRule="auto"/>
        <w:rPr>
          <w:rFonts w:ascii="Times New Roman" w:hAnsi="Times New Roman"/>
          <w:sz w:val="24"/>
          <w:highlight w:val="none"/>
        </w:rPr>
      </w:pPr>
      <w:r>
        <w:rPr>
          <w:rFonts w:ascii="Times New Roman" w:hAnsi="Times New Roman"/>
          <w:sz w:val="24"/>
          <w:highlight w:val="none"/>
        </w:rPr>
        <w:t>1.1</w:t>
      </w:r>
      <w:r>
        <w:rPr>
          <w:rFonts w:ascii="Times New Roman" w:hAnsi="Times New Roman"/>
          <w:bCs/>
          <w:sz w:val="24"/>
          <w:highlight w:val="none"/>
        </w:rPr>
        <w:t>检查投标文件中是否有法定代表人或授权代表签字及加盖单位公章；</w:t>
      </w:r>
    </w:p>
    <w:p>
      <w:pPr>
        <w:pStyle w:val="13"/>
        <w:spacing w:line="360" w:lineRule="auto"/>
        <w:rPr>
          <w:rFonts w:ascii="Times New Roman" w:hAnsi="Times New Roman"/>
          <w:sz w:val="24"/>
          <w:highlight w:val="none"/>
        </w:rPr>
      </w:pPr>
      <w:r>
        <w:rPr>
          <w:rFonts w:ascii="Times New Roman" w:hAnsi="Times New Roman"/>
          <w:sz w:val="24"/>
          <w:highlight w:val="none"/>
        </w:rPr>
        <w:t>1.2检查标书的完整性，如营业执照、资质证书、法人委托书等招标文件要求提供的资料是否齐全；</w:t>
      </w:r>
    </w:p>
    <w:p>
      <w:pPr>
        <w:pStyle w:val="13"/>
        <w:spacing w:line="360" w:lineRule="auto"/>
        <w:rPr>
          <w:rFonts w:ascii="Times New Roman" w:hAnsi="Times New Roman"/>
          <w:sz w:val="24"/>
          <w:highlight w:val="none"/>
        </w:rPr>
      </w:pPr>
      <w:r>
        <w:rPr>
          <w:rFonts w:ascii="Times New Roman" w:hAnsi="Times New Roman"/>
          <w:sz w:val="24"/>
          <w:highlight w:val="none"/>
        </w:rPr>
        <w:t>1.3检查</w:t>
      </w:r>
      <w:r>
        <w:rPr>
          <w:rFonts w:hint="eastAsia" w:ascii="Times New Roman" w:hAnsi="Times New Roman"/>
          <w:sz w:val="24"/>
          <w:highlight w:val="none"/>
        </w:rPr>
        <w:t>服务人员及服务车辆</w:t>
      </w:r>
      <w:r>
        <w:rPr>
          <w:rFonts w:ascii="Times New Roman" w:hAnsi="Times New Roman"/>
          <w:sz w:val="24"/>
          <w:highlight w:val="none"/>
        </w:rPr>
        <w:t>是否满足招标文件及本项目的要求；</w:t>
      </w:r>
    </w:p>
    <w:p>
      <w:pPr>
        <w:pStyle w:val="13"/>
        <w:spacing w:line="360" w:lineRule="auto"/>
        <w:rPr>
          <w:rFonts w:ascii="Times New Roman" w:hAnsi="Times New Roman"/>
          <w:sz w:val="24"/>
          <w:highlight w:val="none"/>
        </w:rPr>
      </w:pPr>
      <w:r>
        <w:rPr>
          <w:rFonts w:ascii="Times New Roman" w:hAnsi="Times New Roman"/>
          <w:bCs/>
          <w:sz w:val="24"/>
          <w:highlight w:val="none"/>
        </w:rPr>
        <w:t>1.</w:t>
      </w:r>
      <w:r>
        <w:rPr>
          <w:rFonts w:hint="eastAsia" w:ascii="Times New Roman" w:hAnsi="Times New Roman"/>
          <w:bCs/>
          <w:sz w:val="24"/>
          <w:highlight w:val="none"/>
        </w:rPr>
        <w:t>4</w:t>
      </w:r>
      <w:r>
        <w:rPr>
          <w:rFonts w:ascii="Times New Roman" w:hAnsi="Times New Roman"/>
          <w:sz w:val="24"/>
          <w:highlight w:val="none"/>
        </w:rPr>
        <w:t>检查服务承诺是否提供，是否符合招标文件的要求；</w:t>
      </w:r>
    </w:p>
    <w:p>
      <w:pPr>
        <w:pStyle w:val="13"/>
        <w:spacing w:line="360" w:lineRule="auto"/>
        <w:rPr>
          <w:rFonts w:ascii="Times New Roman" w:hAnsi="Times New Roman"/>
          <w:color w:val="000000"/>
          <w:sz w:val="24"/>
          <w:szCs w:val="24"/>
          <w:highlight w:val="none"/>
        </w:rPr>
      </w:pPr>
      <w:r>
        <w:rPr>
          <w:rFonts w:ascii="Times New Roman" w:hAnsi="Times New Roman"/>
          <w:bCs/>
          <w:color w:val="000000"/>
          <w:sz w:val="24"/>
          <w:szCs w:val="24"/>
          <w:highlight w:val="none"/>
        </w:rPr>
        <w:t>1.</w:t>
      </w:r>
      <w:r>
        <w:rPr>
          <w:rFonts w:hint="eastAsia" w:ascii="Times New Roman" w:hAnsi="Times New Roman"/>
          <w:bCs/>
          <w:color w:val="000000"/>
          <w:sz w:val="24"/>
          <w:szCs w:val="24"/>
          <w:highlight w:val="none"/>
        </w:rPr>
        <w:t>5</w:t>
      </w:r>
      <w:r>
        <w:rPr>
          <w:rFonts w:hint="eastAsia" w:ascii="Times New Roman" w:hAnsi="Times New Roman"/>
          <w:color w:val="000000"/>
          <w:sz w:val="24"/>
          <w:szCs w:val="24"/>
          <w:highlight w:val="none"/>
        </w:rPr>
        <w:t>所有通过技术评审的投标人为有效投标人。</w:t>
      </w:r>
    </w:p>
    <w:p>
      <w:pPr>
        <w:pStyle w:val="13"/>
        <w:spacing w:line="360" w:lineRule="auto"/>
        <w:rPr>
          <w:rFonts w:ascii="Times New Roman" w:hAnsi="Times New Roman"/>
          <w:b/>
          <w:bCs/>
          <w:color w:val="000000"/>
          <w:sz w:val="24"/>
          <w:szCs w:val="24"/>
          <w:highlight w:val="none"/>
        </w:rPr>
      </w:pPr>
      <w:r>
        <w:rPr>
          <w:rFonts w:ascii="Times New Roman" w:hAnsi="Times New Roman"/>
          <w:b/>
          <w:bCs/>
          <w:color w:val="000000"/>
          <w:sz w:val="24"/>
          <w:szCs w:val="24"/>
          <w:highlight w:val="none"/>
        </w:rPr>
        <w:t>2</w:t>
      </w:r>
      <w:r>
        <w:rPr>
          <w:rFonts w:hint="eastAsia" w:ascii="Times New Roman" w:hAnsi="宋体"/>
          <w:b/>
          <w:bCs/>
          <w:color w:val="000000"/>
          <w:sz w:val="24"/>
          <w:szCs w:val="24"/>
          <w:highlight w:val="none"/>
        </w:rPr>
        <w:t>、商务标评审</w:t>
      </w:r>
    </w:p>
    <w:p>
      <w:pPr>
        <w:adjustRightInd w:val="0"/>
        <w:snapToGrid w:val="0"/>
        <w:spacing w:line="360" w:lineRule="auto"/>
        <w:rPr>
          <w:rFonts w:hAnsi="宋体"/>
          <w:color w:val="000000"/>
          <w:sz w:val="24"/>
          <w:highlight w:val="none"/>
        </w:rPr>
      </w:pPr>
      <w:r>
        <w:rPr>
          <w:b/>
          <w:color w:val="000000"/>
          <w:sz w:val="24"/>
          <w:highlight w:val="none"/>
        </w:rPr>
        <w:t>2.1</w:t>
      </w:r>
      <w:r>
        <w:rPr>
          <w:rFonts w:hint="eastAsia" w:hAnsi="宋体"/>
          <w:b/>
          <w:color w:val="000000"/>
          <w:sz w:val="24"/>
          <w:highlight w:val="none"/>
        </w:rPr>
        <w:t>甄别异常报价</w:t>
      </w:r>
    </w:p>
    <w:p>
      <w:pPr>
        <w:adjustRightInd w:val="0"/>
        <w:snapToGrid w:val="0"/>
        <w:spacing w:line="360" w:lineRule="auto"/>
        <w:ind w:firstLine="480" w:firstLineChars="200"/>
        <w:rPr>
          <w:color w:val="000000"/>
          <w:sz w:val="24"/>
          <w:highlight w:val="none"/>
        </w:rPr>
      </w:pPr>
      <w:r>
        <w:rPr>
          <w:rFonts w:hint="eastAsia" w:hAnsi="宋体"/>
          <w:color w:val="000000"/>
          <w:sz w:val="24"/>
          <w:highlight w:val="none"/>
        </w:rPr>
        <w:t>分析总报价及各个分项报价是否合理、报价范围是否完整、有否重大错漏项。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列为异常报价，确定该投标为无效标。</w:t>
      </w:r>
    </w:p>
    <w:p>
      <w:pPr>
        <w:spacing w:line="360" w:lineRule="auto"/>
        <w:rPr>
          <w:b/>
          <w:color w:val="000000"/>
          <w:sz w:val="24"/>
          <w:highlight w:val="none"/>
        </w:rPr>
      </w:pPr>
      <w:r>
        <w:rPr>
          <w:rFonts w:hint="eastAsia"/>
          <w:b/>
          <w:color w:val="000000"/>
          <w:sz w:val="24"/>
          <w:highlight w:val="none"/>
        </w:rPr>
        <w:t>3</w:t>
      </w:r>
      <w:r>
        <w:rPr>
          <w:b/>
          <w:color w:val="000000"/>
          <w:sz w:val="24"/>
          <w:highlight w:val="none"/>
        </w:rPr>
        <w:t>、推荐中标候选人，完成评标报告</w:t>
      </w:r>
    </w:p>
    <w:p>
      <w:pPr>
        <w:spacing w:line="360" w:lineRule="auto"/>
        <w:rPr>
          <w:color w:val="000000"/>
          <w:sz w:val="24"/>
          <w:highlight w:val="none"/>
        </w:rPr>
      </w:pPr>
      <w:r>
        <w:rPr>
          <w:rFonts w:hint="eastAsia"/>
          <w:color w:val="000000"/>
          <w:sz w:val="24"/>
          <w:highlight w:val="none"/>
        </w:rPr>
        <w:t>3.1</w:t>
      </w:r>
      <w:r>
        <w:rPr>
          <w:color w:val="000000"/>
          <w:sz w:val="24"/>
          <w:highlight w:val="none"/>
        </w:rPr>
        <w:t>确定中标候选人</w:t>
      </w:r>
    </w:p>
    <w:p>
      <w:pPr>
        <w:spacing w:line="360" w:lineRule="auto"/>
        <w:rPr>
          <w:rFonts w:hint="eastAsia" w:ascii="新宋体" w:hAnsi="新宋体" w:eastAsia="新宋体"/>
          <w:color w:val="000000"/>
          <w:sz w:val="24"/>
          <w:highlight w:val="none"/>
        </w:rPr>
      </w:pPr>
      <w:r>
        <w:rPr>
          <w:rFonts w:hint="eastAsia"/>
          <w:color w:val="000000"/>
          <w:sz w:val="24"/>
          <w:highlight w:val="none"/>
        </w:rPr>
        <w:t>（1）</w:t>
      </w:r>
      <w:r>
        <w:rPr>
          <w:rFonts w:hint="eastAsia" w:ascii="新宋体" w:hAnsi="新宋体" w:eastAsia="新宋体"/>
          <w:color w:val="000000"/>
          <w:sz w:val="24"/>
          <w:highlight w:val="none"/>
        </w:rPr>
        <w:t>投标报价＝最高限价×（1-让利率）</w:t>
      </w:r>
    </w:p>
    <w:p>
      <w:pPr>
        <w:spacing w:line="360" w:lineRule="auto"/>
        <w:rPr>
          <w:rFonts w:hint="eastAsia"/>
          <w:color w:val="000000"/>
          <w:sz w:val="24"/>
          <w:highlight w:val="none"/>
        </w:rPr>
      </w:pPr>
      <w:r>
        <w:rPr>
          <w:rFonts w:hint="eastAsia" w:ascii="新宋体" w:hAnsi="新宋体" w:eastAsia="新宋体"/>
          <w:color w:val="000000"/>
          <w:sz w:val="24"/>
          <w:highlight w:val="none"/>
        </w:rPr>
        <w:t>（2）标段一的评标价＝锦都社区的投标报价+凤凰社区的投标报价</w:t>
      </w:r>
    </w:p>
    <w:p>
      <w:pPr>
        <w:spacing w:line="360" w:lineRule="auto"/>
        <w:rPr>
          <w:color w:val="000000"/>
          <w:sz w:val="24"/>
          <w:highlight w:val="none"/>
        </w:rPr>
      </w:pPr>
      <w:r>
        <w:rPr>
          <w:rFonts w:hint="eastAsia"/>
          <w:color w:val="000000"/>
          <w:sz w:val="24"/>
          <w:highlight w:val="none"/>
        </w:rPr>
        <w:t>（3）</w:t>
      </w:r>
      <w:r>
        <w:rPr>
          <w:color w:val="000000"/>
          <w:sz w:val="24"/>
          <w:highlight w:val="none"/>
        </w:rPr>
        <w:t>符合上述要求的有效投标人的投标报价即为评标价</w:t>
      </w:r>
      <w:r>
        <w:rPr>
          <w:rFonts w:hint="eastAsia"/>
          <w:sz w:val="24"/>
          <w:highlight w:val="none"/>
        </w:rPr>
        <w:t>（因落实政府采购政策进行价格调整的，以调整后的价格计算评标价）</w:t>
      </w:r>
      <w:r>
        <w:rPr>
          <w:color w:val="000000"/>
          <w:sz w:val="24"/>
          <w:highlight w:val="none"/>
        </w:rPr>
        <w:t>。</w:t>
      </w:r>
      <w:r>
        <w:rPr>
          <w:sz w:val="24"/>
          <w:highlight w:val="none"/>
        </w:rPr>
        <w:t>评标委员会完成评标后，按</w:t>
      </w:r>
      <w:r>
        <w:rPr>
          <w:rFonts w:hint="eastAsia"/>
          <w:sz w:val="24"/>
          <w:highlight w:val="none"/>
        </w:rPr>
        <w:t>评标价</w:t>
      </w:r>
      <w:r>
        <w:rPr>
          <w:sz w:val="24"/>
          <w:highlight w:val="none"/>
        </w:rPr>
        <w:t>由</w:t>
      </w:r>
      <w:r>
        <w:rPr>
          <w:rFonts w:hint="eastAsia"/>
          <w:sz w:val="24"/>
          <w:highlight w:val="none"/>
        </w:rPr>
        <w:t>低</w:t>
      </w:r>
      <w:r>
        <w:rPr>
          <w:sz w:val="24"/>
          <w:highlight w:val="none"/>
        </w:rPr>
        <w:t>到</w:t>
      </w:r>
      <w:r>
        <w:rPr>
          <w:rFonts w:hint="eastAsia"/>
          <w:sz w:val="24"/>
          <w:highlight w:val="none"/>
        </w:rPr>
        <w:t>高</w:t>
      </w:r>
      <w:r>
        <w:rPr>
          <w:sz w:val="24"/>
          <w:highlight w:val="none"/>
        </w:rPr>
        <w:t>排定顺序（</w:t>
      </w:r>
      <w:r>
        <w:rPr>
          <w:rFonts w:hint="eastAsia"/>
          <w:sz w:val="24"/>
          <w:highlight w:val="none"/>
        </w:rPr>
        <w:t>评标价</w:t>
      </w:r>
      <w:r>
        <w:rPr>
          <w:sz w:val="24"/>
          <w:highlight w:val="none"/>
        </w:rPr>
        <w:t>相同的，按投标报价由低到高顺序排列；</w:t>
      </w:r>
      <w:r>
        <w:rPr>
          <w:rFonts w:hint="eastAsia"/>
          <w:sz w:val="24"/>
          <w:highlight w:val="none"/>
        </w:rPr>
        <w:t>评标价</w:t>
      </w:r>
      <w:r>
        <w:rPr>
          <w:sz w:val="24"/>
          <w:highlight w:val="none"/>
        </w:rPr>
        <w:t>且投标报价相同的，由采购人代表随机抽取决定排序），评标委员会根据以上排序直接确定第一名的投标单位为中标候选人</w:t>
      </w:r>
      <w:r>
        <w:rPr>
          <w:kern w:val="0"/>
          <w:sz w:val="24"/>
          <w:highlight w:val="none"/>
        </w:rPr>
        <w:t>。</w:t>
      </w:r>
    </w:p>
    <w:p>
      <w:pPr>
        <w:spacing w:line="360" w:lineRule="auto"/>
        <w:rPr>
          <w:color w:val="000000"/>
          <w:sz w:val="24"/>
          <w:highlight w:val="none"/>
        </w:rPr>
      </w:pPr>
      <w:r>
        <w:rPr>
          <w:rFonts w:hint="eastAsia"/>
          <w:color w:val="000000"/>
          <w:sz w:val="24"/>
          <w:highlight w:val="none"/>
        </w:rPr>
        <w:t>（4）</w:t>
      </w:r>
      <w:r>
        <w:rPr>
          <w:color w:val="000000"/>
          <w:sz w:val="24"/>
          <w:highlight w:val="none"/>
        </w:rPr>
        <w:t>当确定的中标人放弃中标，因不可抗力提出不能履行合同的，重新组织招标。</w:t>
      </w:r>
    </w:p>
    <w:p>
      <w:pPr>
        <w:spacing w:line="360" w:lineRule="auto"/>
        <w:rPr>
          <w:color w:val="000000"/>
          <w:sz w:val="24"/>
          <w:highlight w:val="none"/>
        </w:rPr>
      </w:pPr>
      <w:r>
        <w:rPr>
          <w:rFonts w:hint="eastAsia"/>
          <w:color w:val="000000"/>
          <w:sz w:val="24"/>
          <w:highlight w:val="none"/>
        </w:rPr>
        <w:t>3.2</w:t>
      </w:r>
      <w:r>
        <w:rPr>
          <w:color w:val="000000"/>
          <w:sz w:val="24"/>
          <w:highlight w:val="none"/>
        </w:rPr>
        <w:t>完成评标报告</w:t>
      </w:r>
    </w:p>
    <w:p>
      <w:pPr>
        <w:pStyle w:val="13"/>
        <w:spacing w:line="360" w:lineRule="auto"/>
        <w:ind w:firstLine="480" w:firstLineChars="200"/>
        <w:rPr>
          <w:color w:val="000000"/>
          <w:sz w:val="24"/>
          <w:highlight w:val="none"/>
        </w:rPr>
      </w:pPr>
      <w:r>
        <w:rPr>
          <w:color w:val="000000"/>
          <w:kern w:val="0"/>
          <w:sz w:val="24"/>
          <w:highlight w:val="none"/>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Pr>
          <w:color w:val="000000"/>
          <w:sz w:val="24"/>
          <w:highlight w:val="none"/>
        </w:rPr>
        <w:t>。</w:t>
      </w:r>
    </w:p>
    <w:p>
      <w:pPr>
        <w:adjustRightInd w:val="0"/>
        <w:snapToGrid w:val="0"/>
        <w:spacing w:line="360" w:lineRule="auto"/>
        <w:rPr>
          <w:b/>
          <w:sz w:val="24"/>
          <w:highlight w:val="none"/>
        </w:rPr>
      </w:pPr>
      <w:r>
        <w:rPr>
          <w:rFonts w:hint="eastAsia"/>
          <w:b/>
          <w:sz w:val="24"/>
          <w:highlight w:val="none"/>
        </w:rPr>
        <w:t>3</w:t>
      </w:r>
      <w:r>
        <w:rPr>
          <w:b/>
          <w:sz w:val="24"/>
          <w:highlight w:val="none"/>
        </w:rPr>
        <w:t>.3扶持政策说明：</w:t>
      </w:r>
    </w:p>
    <w:p>
      <w:pPr>
        <w:spacing w:line="360" w:lineRule="auto"/>
        <w:rPr>
          <w:sz w:val="24"/>
          <w:highlight w:val="none"/>
        </w:rPr>
      </w:pPr>
      <w:r>
        <w:rPr>
          <w:sz w:val="24"/>
          <w:highlight w:val="none"/>
        </w:rPr>
        <w:t>（1）根据财政部、工业和信息化部制定的《政府采购促进中小企业发展暂行办法》和转发财政部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w:t>
      </w:r>
      <w:r>
        <w:rPr>
          <w:rFonts w:hint="eastAsia"/>
          <w:sz w:val="24"/>
          <w:highlight w:val="none"/>
        </w:rPr>
        <w:t>评标</w:t>
      </w:r>
      <w:r>
        <w:rPr>
          <w:sz w:val="24"/>
          <w:highlight w:val="none"/>
        </w:rPr>
        <w:t>价。</w:t>
      </w:r>
    </w:p>
    <w:p>
      <w:pPr>
        <w:spacing w:line="360" w:lineRule="auto"/>
        <w:ind w:firstLine="480" w:firstLineChars="200"/>
        <w:rPr>
          <w:sz w:val="24"/>
          <w:highlight w:val="none"/>
        </w:rPr>
      </w:pPr>
      <w:r>
        <w:rPr>
          <w:sz w:val="24"/>
          <w:highlight w:val="none"/>
        </w:rPr>
        <w:t>同时符合以下所有要求的投标人被认定为小型、微型企业：</w:t>
      </w:r>
    </w:p>
    <w:p>
      <w:pPr>
        <w:spacing w:line="360" w:lineRule="auto"/>
        <w:rPr>
          <w:sz w:val="24"/>
          <w:highlight w:val="none"/>
        </w:rPr>
      </w:pPr>
      <w:r>
        <w:rPr>
          <w:rFonts w:hint="eastAsia"/>
          <w:sz w:val="24"/>
          <w:highlight w:val="none"/>
        </w:rPr>
        <w:t>1）</w:t>
      </w:r>
      <w:r>
        <w:rPr>
          <w:sz w:val="24"/>
          <w:highlight w:val="none"/>
        </w:rPr>
        <w:t>投标人按照《关于印发中小企业划型标准规定的通知》（工信部联企业〔2011〕300号）的所属行业规定为小型、微型企业【注：按《关于印发中小企业划型标准规定的通知》规定提供《中小企业声明函》】；</w:t>
      </w:r>
    </w:p>
    <w:p>
      <w:pPr>
        <w:spacing w:line="360" w:lineRule="auto"/>
        <w:rPr>
          <w:sz w:val="24"/>
          <w:highlight w:val="none"/>
        </w:rPr>
      </w:pPr>
      <w:r>
        <w:rPr>
          <w:rFonts w:hint="eastAsia"/>
          <w:sz w:val="24"/>
          <w:highlight w:val="none"/>
        </w:rPr>
        <w:t>2）</w:t>
      </w:r>
      <w:r>
        <w:rPr>
          <w:sz w:val="24"/>
          <w:highlight w:val="none"/>
        </w:rPr>
        <w:t>投标人已列入国家企业信用信息公示系统——小微企业名录（http://xwqy.gsxt.gov.cn/），并提供页面查询结果（网站截图或打印页面）</w:t>
      </w:r>
      <w:r>
        <w:rPr>
          <w:rFonts w:hint="eastAsia"/>
          <w:sz w:val="24"/>
          <w:highlight w:val="none"/>
        </w:rPr>
        <w:t>或当地小微企业官网的查询结果</w:t>
      </w:r>
      <w:r>
        <w:rPr>
          <w:kern w:val="1"/>
          <w:sz w:val="24"/>
          <w:highlight w:val="none"/>
        </w:rPr>
        <w:t>（网站截图或打印页面）</w:t>
      </w:r>
      <w:r>
        <w:rPr>
          <w:sz w:val="24"/>
          <w:highlight w:val="none"/>
        </w:rPr>
        <w:t>。</w:t>
      </w:r>
    </w:p>
    <w:p>
      <w:pPr>
        <w:spacing w:line="360" w:lineRule="auto"/>
        <w:rPr>
          <w:sz w:val="24"/>
          <w:highlight w:val="none"/>
        </w:rPr>
      </w:pPr>
      <w:r>
        <w:rPr>
          <w:rFonts w:hint="eastAsia"/>
          <w:sz w:val="24"/>
          <w:highlight w:val="none"/>
        </w:rPr>
        <w:t>3）</w:t>
      </w:r>
      <w:r>
        <w:rPr>
          <w:sz w:val="24"/>
          <w:highlight w:val="none"/>
        </w:rPr>
        <w:t>投标人已通过浙江政府采购网（http://www.zjzfcg.gov.cn）申请注册并成为正式入库投标人（提供正式入库投标人的网站截图或打印页面，网页中应显示为小型或微型企业）。</w:t>
      </w:r>
    </w:p>
    <w:p>
      <w:pPr>
        <w:spacing w:line="360" w:lineRule="auto"/>
        <w:rPr>
          <w:sz w:val="24"/>
          <w:highlight w:val="none"/>
        </w:rPr>
      </w:pPr>
      <w:r>
        <w:rPr>
          <w:sz w:val="24"/>
          <w:highlight w:val="none"/>
        </w:rPr>
        <w:t>（2）监狱企业参加投标【提供《监狱企业声明函》及其相关的充分的证明材料】，视为小型、微型企业，享受小微企业政策扶持。</w:t>
      </w:r>
    </w:p>
    <w:p>
      <w:pPr>
        <w:spacing w:line="360" w:lineRule="auto"/>
        <w:rPr>
          <w:rFonts w:hint="eastAsia"/>
          <w:sz w:val="24"/>
          <w:highlight w:val="none"/>
        </w:rPr>
      </w:pPr>
      <w:r>
        <w:rPr>
          <w:sz w:val="24"/>
          <w:highlight w:val="none"/>
        </w:rPr>
        <w:t>（3）残疾人福利性单位参加投标【提供《残疾人福利性单位声明函》】，视为小型、微型企业，享受小微企业政策扶持，残疾人福利性单位属于小型、微型企业的，不重复享受政策。</w:t>
      </w: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rFonts w:hint="eastAsia"/>
          <w:sz w:val="24"/>
          <w:highlight w:val="none"/>
        </w:rPr>
      </w:pPr>
    </w:p>
    <w:p>
      <w:pPr>
        <w:spacing w:line="360" w:lineRule="auto"/>
        <w:rPr>
          <w:sz w:val="24"/>
          <w:highlight w:val="none"/>
        </w:rPr>
      </w:pPr>
    </w:p>
    <w:p>
      <w:pPr>
        <w:widowControl/>
        <w:spacing w:line="360" w:lineRule="auto"/>
        <w:jc w:val="center"/>
        <w:rPr>
          <w:b/>
          <w:kern w:val="0"/>
          <w:sz w:val="36"/>
          <w:szCs w:val="36"/>
          <w:highlight w:val="none"/>
        </w:rPr>
      </w:pPr>
      <w:bookmarkStart w:id="23" w:name="_Toc187829774"/>
      <w:bookmarkStart w:id="24" w:name="_Toc235778631"/>
      <w:bookmarkStart w:id="25" w:name="_Toc274303259"/>
      <w:bookmarkStart w:id="26" w:name="_Toc213038698"/>
      <w:bookmarkStart w:id="27" w:name="_Toc238878129"/>
      <w:bookmarkStart w:id="28" w:name="_Toc362250712"/>
      <w:r>
        <w:rPr>
          <w:rFonts w:hint="eastAsia"/>
          <w:b/>
          <w:kern w:val="0"/>
          <w:sz w:val="36"/>
          <w:szCs w:val="36"/>
          <w:highlight w:val="none"/>
        </w:rPr>
        <w:t>第七章  合同主要条款</w:t>
      </w:r>
    </w:p>
    <w:p>
      <w:pPr>
        <w:widowControl/>
        <w:spacing w:line="360" w:lineRule="auto"/>
        <w:ind w:firstLine="480" w:firstLineChars="200"/>
        <w:jc w:val="center"/>
        <w:rPr>
          <w:b/>
          <w:kern w:val="0"/>
          <w:sz w:val="24"/>
          <w:highlight w:val="none"/>
        </w:rPr>
      </w:pPr>
      <w:r>
        <w:rPr>
          <w:b/>
          <w:kern w:val="0"/>
          <w:sz w:val="24"/>
          <w:highlight w:val="none"/>
        </w:rPr>
        <w:t>义乌市政府采购合同（样本）</w:t>
      </w:r>
    </w:p>
    <w:p>
      <w:pPr>
        <w:widowControl/>
        <w:spacing w:line="360" w:lineRule="auto"/>
        <w:jc w:val="left"/>
        <w:rPr>
          <w:color w:val="000000"/>
          <w:kern w:val="0"/>
          <w:sz w:val="24"/>
          <w:highlight w:val="none"/>
          <w:u w:val="single"/>
        </w:rPr>
      </w:pPr>
      <w:r>
        <w:rPr>
          <w:color w:val="000000"/>
          <w:kern w:val="0"/>
          <w:sz w:val="24"/>
          <w:highlight w:val="none"/>
        </w:rPr>
        <w:t>甲方：</w:t>
      </w:r>
      <w:r>
        <w:rPr>
          <w:b/>
          <w:bCs/>
          <w:color w:val="000000"/>
          <w:kern w:val="0"/>
          <w:sz w:val="24"/>
          <w:highlight w:val="none"/>
          <w:u w:val="single"/>
        </w:rPr>
        <w:t>　　　　　　　　　　　　　　　　</w:t>
      </w:r>
    </w:p>
    <w:p>
      <w:pPr>
        <w:widowControl/>
        <w:spacing w:line="360" w:lineRule="auto"/>
        <w:jc w:val="left"/>
        <w:rPr>
          <w:color w:val="000000"/>
          <w:kern w:val="0"/>
          <w:sz w:val="24"/>
          <w:highlight w:val="none"/>
          <w:u w:val="single"/>
        </w:rPr>
      </w:pPr>
      <w:r>
        <w:rPr>
          <w:color w:val="000000"/>
          <w:kern w:val="0"/>
          <w:sz w:val="24"/>
          <w:highlight w:val="none"/>
        </w:rPr>
        <w:t>乙方：</w:t>
      </w:r>
      <w:r>
        <w:rPr>
          <w:b/>
          <w:bCs/>
          <w:color w:val="000000"/>
          <w:kern w:val="0"/>
          <w:sz w:val="24"/>
          <w:highlight w:val="none"/>
          <w:u w:val="single"/>
        </w:rPr>
        <w:t>　　　　　　　　　　　　　　　　</w:t>
      </w:r>
    </w:p>
    <w:p>
      <w:pPr>
        <w:widowControl/>
        <w:spacing w:line="360" w:lineRule="auto"/>
        <w:ind w:firstLine="480" w:firstLineChars="200"/>
        <w:jc w:val="left"/>
        <w:rPr>
          <w:rFonts w:hint="eastAsia" w:ascii="宋体" w:hAnsi="宋体" w:eastAsia="宋体"/>
          <w:color w:val="000000"/>
          <w:kern w:val="0"/>
          <w:sz w:val="24"/>
          <w:highlight w:val="none"/>
          <w:lang w:eastAsia="zh-CN"/>
        </w:rPr>
      </w:pPr>
      <w:r>
        <w:rPr>
          <w:color w:val="000000"/>
          <w:kern w:val="0"/>
          <w:sz w:val="24"/>
          <w:highlight w:val="none"/>
        </w:rPr>
        <w:t>甲、乙双方根据</w:t>
      </w:r>
      <w:r>
        <w:rPr>
          <w:color w:val="000000"/>
          <w:kern w:val="0"/>
          <w:sz w:val="24"/>
          <w:highlight w:val="none"/>
          <w:u w:val="single"/>
        </w:rPr>
        <w:t>　　　</w:t>
      </w:r>
      <w:r>
        <w:rPr>
          <w:color w:val="000000"/>
          <w:kern w:val="0"/>
          <w:sz w:val="24"/>
          <w:highlight w:val="none"/>
        </w:rPr>
        <w:t>年</w:t>
      </w:r>
      <w:r>
        <w:rPr>
          <w:color w:val="000000"/>
          <w:kern w:val="0"/>
          <w:sz w:val="24"/>
          <w:highlight w:val="none"/>
          <w:u w:val="single"/>
        </w:rPr>
        <w:t>　</w:t>
      </w:r>
      <w:r>
        <w:rPr>
          <w:color w:val="000000"/>
          <w:kern w:val="0"/>
          <w:sz w:val="24"/>
          <w:highlight w:val="none"/>
        </w:rPr>
        <w:t>月</w:t>
      </w:r>
      <w:r>
        <w:rPr>
          <w:color w:val="000000"/>
          <w:kern w:val="0"/>
          <w:sz w:val="24"/>
          <w:highlight w:val="none"/>
          <w:u w:val="single"/>
        </w:rPr>
        <w:t>　　</w:t>
      </w:r>
      <w:r>
        <w:rPr>
          <w:color w:val="000000"/>
          <w:kern w:val="0"/>
          <w:sz w:val="24"/>
          <w:highlight w:val="none"/>
        </w:rPr>
        <w:t>日义乌市</w:t>
      </w:r>
      <w:r>
        <w:rPr>
          <w:color w:val="000000"/>
          <w:kern w:val="0"/>
          <w:sz w:val="24"/>
          <w:highlight w:val="none"/>
          <w:u w:val="single"/>
        </w:rPr>
        <w:t>　　　　　　       　　　　　</w:t>
      </w:r>
      <w:r>
        <w:rPr>
          <w:color w:val="000000"/>
          <w:kern w:val="0"/>
          <w:sz w:val="24"/>
          <w:highlight w:val="none"/>
        </w:rPr>
        <w:t>项目（</w:t>
      </w:r>
      <w:r>
        <w:rPr>
          <w:color w:val="000000"/>
          <w:kern w:val="0"/>
          <w:sz w:val="24"/>
          <w:highlight w:val="none"/>
          <w:u w:val="single"/>
        </w:rPr>
        <w:t xml:space="preserve">采购编号：          </w:t>
      </w:r>
      <w:r>
        <w:rPr>
          <w:color w:val="000000"/>
          <w:kern w:val="0"/>
          <w:sz w:val="24"/>
          <w:highlight w:val="none"/>
        </w:rPr>
        <w:t>）招标结果和招标文件的要求，并经双方协调一致，订立本采购合同。</w:t>
      </w:r>
      <w:r>
        <w:rPr>
          <w:color w:val="000000"/>
          <w:kern w:val="0"/>
          <w:sz w:val="24"/>
          <w:szCs w:val="20"/>
          <w:highlight w:val="none"/>
        </w:rPr>
        <w:t>招标文件、投标响应文件、技术澄清及询标承诺的所有内容是构成合同不可分割的部分，</w:t>
      </w:r>
      <w:r>
        <w:rPr>
          <w:rFonts w:ascii="宋体" w:hAnsi="宋体"/>
          <w:color w:val="000000"/>
          <w:kern w:val="0"/>
          <w:sz w:val="24"/>
          <w:szCs w:val="20"/>
          <w:highlight w:val="none"/>
        </w:rPr>
        <w:t>与合同具有同等法律效力。</w:t>
      </w:r>
      <w:r>
        <w:rPr>
          <w:rFonts w:ascii="宋体" w:hAnsi="宋体"/>
          <w:sz w:val="24"/>
          <w:highlight w:val="none"/>
        </w:rPr>
        <w:t>本合同（□是 □否）为可融资合同</w:t>
      </w:r>
      <w:r>
        <w:rPr>
          <w:rFonts w:hint="eastAsia" w:ascii="宋体" w:hAnsi="宋体"/>
          <w:sz w:val="24"/>
          <w:highlight w:val="none"/>
          <w:lang w:eastAsia="zh-CN"/>
        </w:rPr>
        <w:t>。</w:t>
      </w:r>
    </w:p>
    <w:p>
      <w:pPr>
        <w:widowControl/>
        <w:spacing w:line="360" w:lineRule="auto"/>
        <w:jc w:val="left"/>
        <w:rPr>
          <w:rFonts w:ascii="宋体" w:hAnsi="宋体"/>
          <w:b/>
          <w:color w:val="000000"/>
          <w:kern w:val="0"/>
          <w:sz w:val="24"/>
          <w:szCs w:val="20"/>
          <w:highlight w:val="none"/>
        </w:rPr>
      </w:pPr>
      <w:r>
        <w:rPr>
          <w:rFonts w:ascii="宋体" w:hAnsi="宋体"/>
          <w:b/>
          <w:color w:val="000000"/>
          <w:kern w:val="0"/>
          <w:sz w:val="24"/>
          <w:szCs w:val="20"/>
          <w:highlight w:val="none"/>
        </w:rPr>
        <w:t>一、合同金额</w:t>
      </w:r>
      <w:r>
        <w:rPr>
          <w:rFonts w:hint="eastAsia" w:ascii="宋体" w:hAnsi="宋体"/>
          <w:b/>
          <w:color w:val="000000"/>
          <w:kern w:val="0"/>
          <w:sz w:val="24"/>
          <w:szCs w:val="20"/>
          <w:highlight w:val="none"/>
        </w:rPr>
        <w:t>：</w:t>
      </w:r>
    </w:p>
    <w:p>
      <w:pPr>
        <w:pStyle w:val="13"/>
        <w:spacing w:line="360" w:lineRule="auto"/>
        <w:ind w:firstLine="547" w:firstLineChars="228"/>
        <w:rPr>
          <w:rFonts w:ascii="新宋体" w:hAnsi="新宋体" w:eastAsia="新宋体"/>
          <w:color w:val="000000"/>
          <w:sz w:val="24"/>
          <w:szCs w:val="24"/>
          <w:highlight w:val="none"/>
        </w:rPr>
      </w:pPr>
      <w:r>
        <w:rPr>
          <w:rFonts w:hint="eastAsia" w:hAnsi="宋体"/>
          <w:b/>
          <w:color w:val="000000"/>
          <w:kern w:val="0"/>
          <w:sz w:val="24"/>
          <w:highlight w:val="none"/>
        </w:rPr>
        <w:t xml:space="preserve">  </w:t>
      </w:r>
      <w:r>
        <w:rPr>
          <w:rFonts w:hint="eastAsia" w:hAnsi="宋体"/>
          <w:b/>
          <w:i/>
          <w:iCs/>
          <w:color w:val="000000"/>
          <w:kern w:val="0"/>
          <w:sz w:val="24"/>
          <w:highlight w:val="none"/>
        </w:rPr>
        <w:t xml:space="preserve"> </w:t>
      </w:r>
      <w:r>
        <w:rPr>
          <w:rFonts w:hint="eastAsia" w:ascii="新宋体" w:hAnsi="新宋体" w:eastAsia="新宋体"/>
          <w:color w:val="000000"/>
          <w:sz w:val="24"/>
          <w:szCs w:val="24"/>
          <w:highlight w:val="none"/>
        </w:rPr>
        <w:t>合同金额:</w:t>
      </w:r>
      <w:r>
        <w:rPr>
          <w:rFonts w:hint="eastAsia" w:ascii="新宋体" w:hAnsi="新宋体" w:eastAsia="新宋体"/>
          <w:color w:val="000000"/>
          <w:sz w:val="24"/>
          <w:szCs w:val="24"/>
          <w:highlight w:val="none"/>
          <w:u w:val="single"/>
        </w:rPr>
        <w:t>人民币             整（¥：       元）</w:t>
      </w:r>
      <w:r>
        <w:rPr>
          <w:rFonts w:hint="eastAsia" w:ascii="新宋体" w:hAnsi="新宋体" w:eastAsia="新宋体"/>
          <w:color w:val="000000"/>
          <w:sz w:val="24"/>
          <w:szCs w:val="24"/>
          <w:highlight w:val="none"/>
        </w:rPr>
        <w:t>。包括劳务(保洁、管理人员经费等)、工具费（含但不限于扫把、畚斗、集中收运三轮车、环卫作业装具等，每位保洁人员须配置以上工具）、管理费、按规定的道路洒水费用及生活垃圾清运费 (含但不限于司机、装车人员经费、油耗、水费、车辆修理费、保险费、车辆折旧费等)、保险、利润、税金、及市政、市容、环保、交通、治安等可能发生的费用、政策性文件规定及合同中明示或暗示的所有一般风险、责任和义务等整个项目一年的所有费用</w:t>
      </w:r>
      <w:r>
        <w:rPr>
          <w:rFonts w:ascii="新宋体" w:hAnsi="新宋体" w:eastAsia="新宋体"/>
          <w:color w:val="000000"/>
          <w:sz w:val="24"/>
          <w:szCs w:val="24"/>
          <w:highlight w:val="none"/>
        </w:rPr>
        <w:t>，如有漏项，视同已包含在其它项目中，合同价不做调整。</w:t>
      </w:r>
    </w:p>
    <w:p>
      <w:pPr>
        <w:pStyle w:val="13"/>
        <w:spacing w:line="360" w:lineRule="auto"/>
        <w:ind w:firstLine="720" w:firstLineChars="300"/>
        <w:rPr>
          <w:rFonts w:hint="eastAsia" w:hAnsi="宋体"/>
          <w:color w:val="000000"/>
          <w:kern w:val="0"/>
          <w:sz w:val="24"/>
          <w:highlight w:val="none"/>
        </w:rPr>
      </w:pPr>
      <w:r>
        <w:rPr>
          <w:rFonts w:hint="eastAsia" w:hAnsi="宋体"/>
          <w:color w:val="000000"/>
          <w:kern w:val="0"/>
          <w:sz w:val="24"/>
          <w:highlight w:val="none"/>
        </w:rPr>
        <w:t>因市环卫体制改革、小区物业管理改革、城市有机更新等需要提前中止合同或部分减少保洁区域的，甲方应提前10个工作日通知乙方，乙方应无条件配合甲方解除合同或做好工作交接，其保洁费用根据实际工作量进行调整结算。</w:t>
      </w:r>
    </w:p>
    <w:p>
      <w:pPr>
        <w:widowControl/>
        <w:spacing w:line="360" w:lineRule="auto"/>
        <w:jc w:val="left"/>
        <w:rPr>
          <w:rFonts w:ascii="宋体" w:hAnsi="宋体"/>
          <w:b/>
          <w:color w:val="000000"/>
          <w:kern w:val="0"/>
          <w:sz w:val="24"/>
          <w:szCs w:val="20"/>
          <w:highlight w:val="none"/>
        </w:rPr>
      </w:pPr>
      <w:r>
        <w:rPr>
          <w:rFonts w:ascii="宋体" w:hAnsi="宋体"/>
          <w:b/>
          <w:color w:val="000000"/>
          <w:kern w:val="0"/>
          <w:sz w:val="24"/>
          <w:szCs w:val="20"/>
          <w:highlight w:val="none"/>
        </w:rPr>
        <w:t>二</w:t>
      </w:r>
      <w:r>
        <w:rPr>
          <w:rFonts w:hint="eastAsia" w:ascii="宋体" w:hAnsi="宋体"/>
          <w:b/>
          <w:color w:val="000000"/>
          <w:kern w:val="0"/>
          <w:sz w:val="24"/>
          <w:szCs w:val="20"/>
          <w:highlight w:val="none"/>
        </w:rPr>
        <w:t>、</w:t>
      </w:r>
      <w:r>
        <w:rPr>
          <w:rFonts w:ascii="宋体" w:hAnsi="宋体"/>
          <w:b/>
          <w:color w:val="000000"/>
          <w:kern w:val="0"/>
          <w:sz w:val="24"/>
          <w:szCs w:val="20"/>
          <w:highlight w:val="none"/>
        </w:rPr>
        <w:t>道清扫保洁范围及服务内容：</w:t>
      </w:r>
    </w:p>
    <w:p>
      <w:pPr>
        <w:widowControl/>
        <w:spacing w:line="360" w:lineRule="auto"/>
        <w:ind w:firstLine="600" w:firstLineChars="250"/>
        <w:jc w:val="left"/>
        <w:rPr>
          <w:rFonts w:ascii="宋体" w:hAnsi="宋体"/>
          <w:color w:val="000000"/>
          <w:kern w:val="0"/>
          <w:sz w:val="24"/>
          <w:szCs w:val="20"/>
          <w:highlight w:val="none"/>
        </w:rPr>
      </w:pP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w:t>
      </w:r>
      <w:r>
        <w:rPr>
          <w:rFonts w:ascii="新宋体" w:hAnsi="新宋体" w:eastAsia="新宋体"/>
          <w:color w:val="000000"/>
          <w:sz w:val="24"/>
          <w:highlight w:val="none"/>
        </w:rPr>
        <w:t>（与招标文件一致）</w:t>
      </w:r>
    </w:p>
    <w:p>
      <w:pPr>
        <w:widowControl/>
        <w:spacing w:line="360" w:lineRule="auto"/>
        <w:jc w:val="left"/>
        <w:rPr>
          <w:rFonts w:ascii="宋体" w:hAnsi="宋体"/>
          <w:b/>
          <w:color w:val="000000"/>
          <w:kern w:val="0"/>
          <w:sz w:val="24"/>
          <w:szCs w:val="20"/>
          <w:highlight w:val="none"/>
        </w:rPr>
      </w:pPr>
      <w:r>
        <w:rPr>
          <w:rFonts w:hint="eastAsia" w:ascii="宋体" w:hAnsi="宋体"/>
          <w:b/>
          <w:color w:val="000000"/>
          <w:kern w:val="0"/>
          <w:sz w:val="24"/>
          <w:szCs w:val="20"/>
          <w:highlight w:val="none"/>
        </w:rPr>
        <w:t>三</w:t>
      </w:r>
      <w:r>
        <w:rPr>
          <w:rFonts w:ascii="宋体" w:hAnsi="宋体"/>
          <w:b/>
          <w:color w:val="000000"/>
          <w:kern w:val="0"/>
          <w:sz w:val="24"/>
          <w:szCs w:val="20"/>
          <w:highlight w:val="none"/>
        </w:rPr>
        <w:t>、人员及车辆核定</w:t>
      </w:r>
    </w:p>
    <w:p>
      <w:pPr>
        <w:widowControl/>
        <w:spacing w:line="360" w:lineRule="auto"/>
        <w:ind w:firstLine="600" w:firstLineChars="250"/>
        <w:jc w:val="left"/>
        <w:rPr>
          <w:rFonts w:ascii="宋体" w:hAnsi="宋体"/>
          <w:color w:val="000000"/>
          <w:kern w:val="0"/>
          <w:sz w:val="24"/>
          <w:szCs w:val="20"/>
          <w:highlight w:val="none"/>
        </w:rPr>
      </w:pP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w:t>
      </w:r>
      <w:r>
        <w:rPr>
          <w:rFonts w:ascii="新宋体" w:hAnsi="新宋体" w:eastAsia="新宋体"/>
          <w:color w:val="000000"/>
          <w:sz w:val="24"/>
          <w:highlight w:val="none"/>
        </w:rPr>
        <w:t>（与招标文件一致）</w:t>
      </w:r>
    </w:p>
    <w:p>
      <w:pPr>
        <w:widowControl/>
        <w:spacing w:line="360" w:lineRule="auto"/>
        <w:jc w:val="left"/>
        <w:rPr>
          <w:rFonts w:ascii="宋体" w:hAnsi="宋体"/>
          <w:b/>
          <w:color w:val="000000"/>
          <w:kern w:val="0"/>
          <w:sz w:val="24"/>
          <w:szCs w:val="20"/>
          <w:highlight w:val="none"/>
        </w:rPr>
      </w:pPr>
      <w:r>
        <w:rPr>
          <w:rFonts w:hint="eastAsia" w:ascii="宋体" w:hAnsi="宋体"/>
          <w:b/>
          <w:color w:val="000000"/>
          <w:kern w:val="0"/>
          <w:sz w:val="24"/>
          <w:szCs w:val="20"/>
          <w:highlight w:val="none"/>
        </w:rPr>
        <w:t>四</w:t>
      </w:r>
      <w:r>
        <w:rPr>
          <w:rFonts w:ascii="宋体" w:hAnsi="宋体"/>
          <w:b/>
          <w:color w:val="000000"/>
          <w:kern w:val="0"/>
          <w:sz w:val="24"/>
          <w:szCs w:val="20"/>
          <w:highlight w:val="none"/>
        </w:rPr>
        <w:t>、清扫保洁清运时间和质量要求及考核标准</w:t>
      </w:r>
    </w:p>
    <w:p>
      <w:pPr>
        <w:widowControl/>
        <w:spacing w:line="360" w:lineRule="auto"/>
        <w:jc w:val="left"/>
        <w:rPr>
          <w:rFonts w:ascii="宋体" w:hAnsi="宋体"/>
          <w:color w:val="000000"/>
          <w:kern w:val="0"/>
          <w:sz w:val="24"/>
          <w:szCs w:val="20"/>
          <w:highlight w:val="none"/>
        </w:rPr>
      </w:pPr>
      <w:r>
        <w:rPr>
          <w:rFonts w:hint="eastAsia" w:ascii="宋体" w:hAnsi="宋体"/>
          <w:b/>
          <w:color w:val="000000"/>
          <w:kern w:val="0"/>
          <w:sz w:val="24"/>
          <w:szCs w:val="20"/>
          <w:highlight w:val="none"/>
        </w:rPr>
        <w:t xml:space="preserve">    </w:t>
      </w:r>
      <w:r>
        <w:rPr>
          <w:rFonts w:hint="eastAsia" w:ascii="宋体" w:hAnsi="宋体"/>
          <w:color w:val="000000"/>
          <w:kern w:val="0"/>
          <w:sz w:val="24"/>
          <w:szCs w:val="20"/>
          <w:highlight w:val="none"/>
        </w:rPr>
        <w:t>详见招标文件第三章。</w:t>
      </w:r>
    </w:p>
    <w:p>
      <w:pPr>
        <w:widowControl/>
        <w:spacing w:line="360" w:lineRule="auto"/>
        <w:jc w:val="left"/>
        <w:rPr>
          <w:rFonts w:ascii="宋体" w:hAnsi="宋体"/>
          <w:b/>
          <w:color w:val="000000"/>
          <w:kern w:val="0"/>
          <w:sz w:val="24"/>
          <w:szCs w:val="20"/>
          <w:highlight w:val="none"/>
        </w:rPr>
      </w:pPr>
      <w:r>
        <w:rPr>
          <w:rFonts w:hint="eastAsia" w:ascii="宋体" w:hAnsi="宋体"/>
          <w:b/>
          <w:color w:val="000000"/>
          <w:kern w:val="0"/>
          <w:sz w:val="24"/>
          <w:szCs w:val="20"/>
          <w:highlight w:val="none"/>
        </w:rPr>
        <w:t>五</w:t>
      </w:r>
      <w:r>
        <w:rPr>
          <w:rFonts w:ascii="宋体" w:hAnsi="宋体"/>
          <w:b/>
          <w:color w:val="000000"/>
          <w:kern w:val="0"/>
          <w:sz w:val="24"/>
          <w:szCs w:val="20"/>
          <w:highlight w:val="none"/>
        </w:rPr>
        <w:t>、承包期限</w:t>
      </w:r>
    </w:p>
    <w:p>
      <w:pPr>
        <w:widowControl/>
        <w:spacing w:line="360" w:lineRule="auto"/>
        <w:ind w:firstLine="480" w:firstLineChars="200"/>
        <w:jc w:val="left"/>
        <w:rPr>
          <w:rFonts w:ascii="宋体" w:hAnsi="宋体"/>
          <w:color w:val="000000"/>
          <w:kern w:val="0"/>
          <w:sz w:val="24"/>
          <w:szCs w:val="20"/>
          <w:highlight w:val="none"/>
        </w:rPr>
      </w:pPr>
      <w:r>
        <w:rPr>
          <w:rFonts w:ascii="宋体" w:hAnsi="宋体"/>
          <w:color w:val="000000"/>
          <w:kern w:val="0"/>
          <w:sz w:val="24"/>
          <w:szCs w:val="20"/>
          <w:highlight w:val="none"/>
        </w:rPr>
        <w:t>承包期限为从</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年</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月</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日至</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年</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月</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日止。</w:t>
      </w:r>
    </w:p>
    <w:p>
      <w:pPr>
        <w:widowControl/>
        <w:spacing w:line="360" w:lineRule="auto"/>
        <w:jc w:val="left"/>
        <w:rPr>
          <w:rFonts w:ascii="宋体" w:hAnsi="宋体"/>
          <w:b/>
          <w:color w:val="000000"/>
          <w:kern w:val="0"/>
          <w:sz w:val="24"/>
          <w:szCs w:val="20"/>
          <w:highlight w:val="none"/>
        </w:rPr>
      </w:pPr>
      <w:r>
        <w:rPr>
          <w:rFonts w:hint="eastAsia" w:ascii="宋体" w:hAnsi="宋体"/>
          <w:b/>
          <w:color w:val="000000"/>
          <w:kern w:val="0"/>
          <w:sz w:val="24"/>
          <w:szCs w:val="20"/>
          <w:highlight w:val="none"/>
        </w:rPr>
        <w:t>六</w:t>
      </w:r>
      <w:r>
        <w:rPr>
          <w:rFonts w:ascii="宋体" w:hAnsi="宋体"/>
          <w:b/>
          <w:color w:val="000000"/>
          <w:kern w:val="0"/>
          <w:sz w:val="24"/>
          <w:szCs w:val="20"/>
          <w:highlight w:val="none"/>
        </w:rPr>
        <w:t>、承包款支付方式</w:t>
      </w:r>
    </w:p>
    <w:p>
      <w:pPr>
        <w:widowControl/>
        <w:spacing w:line="360" w:lineRule="auto"/>
        <w:jc w:val="left"/>
        <w:rPr>
          <w:sz w:val="24"/>
          <w:highlight w:val="none"/>
        </w:rPr>
      </w:pPr>
      <w:r>
        <w:rPr>
          <w:sz w:val="24"/>
          <w:highlight w:val="none"/>
        </w:rPr>
        <w:t>1</w:t>
      </w:r>
      <w:r>
        <w:rPr>
          <w:rFonts w:hint="eastAsia"/>
          <w:sz w:val="24"/>
          <w:highlight w:val="none"/>
        </w:rPr>
        <w:t>、合同签订后</w:t>
      </w:r>
      <w:r>
        <w:rPr>
          <w:sz w:val="24"/>
          <w:highlight w:val="none"/>
        </w:rPr>
        <w:t>15</w:t>
      </w:r>
      <w:r>
        <w:rPr>
          <w:rFonts w:hint="eastAsia"/>
          <w:sz w:val="24"/>
          <w:highlight w:val="none"/>
        </w:rPr>
        <w:t>个工作日内甲方向乙方支付合同总价</w:t>
      </w:r>
      <w:r>
        <w:rPr>
          <w:sz w:val="24"/>
          <w:highlight w:val="none"/>
        </w:rPr>
        <w:t>10%</w:t>
      </w:r>
      <w:r>
        <w:rPr>
          <w:rFonts w:hint="eastAsia"/>
          <w:sz w:val="24"/>
          <w:highlight w:val="none"/>
        </w:rPr>
        <w:t>的预付款。剩余款项按</w:t>
      </w:r>
      <w:r>
        <w:rPr>
          <w:sz w:val="24"/>
          <w:highlight w:val="none"/>
        </w:rPr>
        <w:t>12</w:t>
      </w:r>
      <w:r>
        <w:rPr>
          <w:rFonts w:hint="eastAsia"/>
          <w:sz w:val="24"/>
          <w:highlight w:val="none"/>
        </w:rPr>
        <w:t>个月平均计算每月承包款的金额，由社区、街道创建办组织人员对中标单位的实施情况进行检查考核，达到质量要求，在次月上旬支付（凭税务机关的正式发票，划至中标人单位账户）；未按实施方案、技术方案执行，达不到质量考核要求的，及时提出警告，并限期改正，视情扣款，并在限期内整改落实后再支付。</w:t>
      </w:r>
    </w:p>
    <w:p>
      <w:pPr>
        <w:widowControl/>
        <w:spacing w:line="360" w:lineRule="auto"/>
        <w:jc w:val="left"/>
        <w:rPr>
          <w:rFonts w:ascii="宋体" w:hAnsi="宋体"/>
          <w:color w:val="000000"/>
          <w:sz w:val="24"/>
          <w:highlight w:val="none"/>
        </w:rPr>
      </w:pPr>
      <w:r>
        <w:rPr>
          <w:sz w:val="24"/>
          <w:highlight w:val="none"/>
        </w:rPr>
        <w:t>2</w:t>
      </w:r>
      <w:r>
        <w:rPr>
          <w:rFonts w:hint="eastAsia"/>
          <w:sz w:val="24"/>
          <w:highlight w:val="none"/>
        </w:rPr>
        <w:t>、在签订合同时，中标方明确表示无需预付款或者主动要求降低预付款比例的，采购单位可不支付或减少预付款支付比例。</w:t>
      </w:r>
    </w:p>
    <w:p>
      <w:pPr>
        <w:widowControl/>
        <w:spacing w:line="360" w:lineRule="auto"/>
        <w:jc w:val="left"/>
        <w:rPr>
          <w:rFonts w:ascii="宋体" w:hAnsi="宋体"/>
          <w:b/>
          <w:color w:val="000000"/>
          <w:kern w:val="0"/>
          <w:sz w:val="24"/>
          <w:szCs w:val="20"/>
          <w:highlight w:val="none"/>
        </w:rPr>
      </w:pPr>
      <w:r>
        <w:rPr>
          <w:rFonts w:hint="eastAsia" w:ascii="宋体" w:hAnsi="宋体"/>
          <w:b/>
          <w:color w:val="000000"/>
          <w:kern w:val="0"/>
          <w:sz w:val="24"/>
          <w:szCs w:val="20"/>
          <w:highlight w:val="none"/>
        </w:rPr>
        <w:t>七</w:t>
      </w:r>
      <w:r>
        <w:rPr>
          <w:rFonts w:ascii="宋体" w:hAnsi="宋体"/>
          <w:b/>
          <w:color w:val="000000"/>
          <w:kern w:val="0"/>
          <w:sz w:val="24"/>
          <w:szCs w:val="20"/>
          <w:highlight w:val="none"/>
        </w:rPr>
        <w:t>、权力和义务</w:t>
      </w:r>
    </w:p>
    <w:p>
      <w:pPr>
        <w:widowControl/>
        <w:spacing w:line="360" w:lineRule="auto"/>
        <w:jc w:val="left"/>
        <w:rPr>
          <w:rFonts w:ascii="宋体" w:hAnsi="宋体"/>
          <w:b/>
          <w:color w:val="000000"/>
          <w:kern w:val="0"/>
          <w:sz w:val="24"/>
          <w:highlight w:val="none"/>
        </w:rPr>
      </w:pPr>
      <w:r>
        <w:rPr>
          <w:rFonts w:ascii="宋体" w:hAnsi="宋体"/>
          <w:b/>
          <w:color w:val="000000"/>
          <w:kern w:val="0"/>
          <w:sz w:val="24"/>
          <w:szCs w:val="20"/>
          <w:highlight w:val="none"/>
        </w:rPr>
        <w:t>(一</w:t>
      </w:r>
      <w:r>
        <w:rPr>
          <w:rFonts w:ascii="宋体" w:hAnsi="宋体"/>
          <w:b/>
          <w:color w:val="000000"/>
          <w:kern w:val="0"/>
          <w:sz w:val="24"/>
          <w:highlight w:val="none"/>
        </w:rPr>
        <w:t>)甲方权利与义务</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rPr>
        <w:t>l、甲方有权随时检查和督查乙方清扫保洁的情况，并根据检查和督查情况进行奖惩；有权根据季节的不同和实际情况调整作业时间（含首次普扫完成时间）</w:t>
      </w:r>
      <w:r>
        <w:rPr>
          <w:rFonts w:ascii="宋体" w:hAnsi="宋体"/>
          <w:color w:val="000000"/>
          <w:kern w:val="0"/>
          <w:sz w:val="24"/>
          <w:szCs w:val="20"/>
          <w:highlight w:val="none"/>
          <w:lang w:val="zh-CN"/>
        </w:rPr>
        <w:t>。</w:t>
      </w:r>
    </w:p>
    <w:p>
      <w:pPr>
        <w:widowControl/>
        <w:spacing w:line="360" w:lineRule="auto"/>
        <w:jc w:val="left"/>
        <w:rPr>
          <w:rFonts w:ascii="宋体" w:hAnsi="宋体"/>
          <w:color w:val="000000"/>
          <w:kern w:val="0"/>
          <w:sz w:val="24"/>
          <w:szCs w:val="20"/>
          <w:highlight w:val="none"/>
          <w:lang w:val="zh-CN"/>
        </w:rPr>
      </w:pPr>
      <w:r>
        <w:rPr>
          <w:rFonts w:ascii="宋体" w:hAnsi="宋体"/>
          <w:iCs/>
          <w:color w:val="000000"/>
          <w:kern w:val="0"/>
          <w:sz w:val="24"/>
          <w:szCs w:val="20"/>
          <w:highlight w:val="none"/>
        </w:rPr>
        <w:t>2、</w:t>
      </w:r>
      <w:r>
        <w:rPr>
          <w:rFonts w:hint="eastAsia" w:ascii="宋体" w:hAnsi="宋体"/>
          <w:iCs/>
          <w:color w:val="000000"/>
          <w:kern w:val="0"/>
          <w:sz w:val="24"/>
          <w:szCs w:val="20"/>
          <w:highlight w:val="none"/>
        </w:rPr>
        <w:t>按规定向乙方核拨</w:t>
      </w:r>
      <w:r>
        <w:rPr>
          <w:rFonts w:ascii="宋体" w:hAnsi="宋体"/>
          <w:iCs/>
          <w:color w:val="000000"/>
          <w:sz w:val="24"/>
          <w:highlight w:val="none"/>
        </w:rPr>
        <w:t>承包款</w:t>
      </w:r>
      <w:r>
        <w:rPr>
          <w:rFonts w:ascii="宋体" w:hAnsi="宋体"/>
          <w:color w:val="000000"/>
          <w:kern w:val="0"/>
          <w:sz w:val="24"/>
          <w:szCs w:val="20"/>
          <w:highlight w:val="none"/>
          <w:lang w:val="zh-CN"/>
        </w:rPr>
        <w:t>。</w:t>
      </w:r>
    </w:p>
    <w:p>
      <w:pPr>
        <w:widowControl/>
        <w:spacing w:line="360" w:lineRule="auto"/>
        <w:jc w:val="left"/>
        <w:rPr>
          <w:rFonts w:ascii="宋体" w:hAnsi="宋体"/>
          <w:b/>
          <w:color w:val="000000"/>
          <w:kern w:val="0"/>
          <w:sz w:val="24"/>
          <w:szCs w:val="20"/>
          <w:highlight w:val="none"/>
        </w:rPr>
      </w:pPr>
      <w:r>
        <w:rPr>
          <w:rFonts w:ascii="宋体" w:hAnsi="宋体"/>
          <w:b/>
          <w:color w:val="000000"/>
          <w:kern w:val="0"/>
          <w:sz w:val="24"/>
          <w:szCs w:val="20"/>
          <w:highlight w:val="none"/>
        </w:rPr>
        <w:t xml:space="preserve"> (二)乙方的权利与义务</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rPr>
        <w:t>l、乙方必须遵守国家的法律法规，照章经营，按章纳税，工作人员必须</w:t>
      </w:r>
      <w:r>
        <w:rPr>
          <w:rFonts w:ascii="宋体" w:hAnsi="宋体"/>
          <w:color w:val="000000"/>
          <w:kern w:val="0"/>
          <w:sz w:val="24"/>
          <w:szCs w:val="20"/>
          <w:highlight w:val="none"/>
          <w:lang w:val="zh-CN"/>
        </w:rPr>
        <w:t>持证上岗</w:t>
      </w:r>
      <w:r>
        <w:rPr>
          <w:rFonts w:ascii="宋体" w:hAnsi="宋体"/>
          <w:color w:val="000000"/>
          <w:kern w:val="0"/>
          <w:sz w:val="24"/>
          <w:szCs w:val="20"/>
          <w:highlight w:val="none"/>
        </w:rPr>
        <w:t>。</w:t>
      </w:r>
    </w:p>
    <w:p>
      <w:pPr>
        <w:pStyle w:val="13"/>
        <w:spacing w:line="440" w:lineRule="exact"/>
        <w:rPr>
          <w:rFonts w:hAnsi="宋体"/>
          <w:color w:val="000000"/>
          <w:kern w:val="0"/>
          <w:sz w:val="24"/>
          <w:highlight w:val="none"/>
        </w:rPr>
      </w:pPr>
      <w:r>
        <w:rPr>
          <w:rFonts w:hAnsi="宋体"/>
          <w:color w:val="000000"/>
          <w:kern w:val="0"/>
          <w:sz w:val="24"/>
          <w:highlight w:val="none"/>
        </w:rPr>
        <w:t>2、乙方必须严格执行《义乌市稠江街道清扫保洁运作质量要求及</w:t>
      </w:r>
      <w:r>
        <w:rPr>
          <w:rFonts w:hint="eastAsia" w:hAnsi="宋体"/>
          <w:color w:val="000000"/>
          <w:kern w:val="0"/>
          <w:sz w:val="24"/>
          <w:highlight w:val="none"/>
        </w:rPr>
        <w:t>督查</w:t>
      </w:r>
      <w:r>
        <w:rPr>
          <w:rFonts w:hAnsi="宋体"/>
          <w:color w:val="000000"/>
          <w:kern w:val="0"/>
          <w:sz w:val="24"/>
          <w:highlight w:val="none"/>
        </w:rPr>
        <w:t>考核办法》</w:t>
      </w:r>
      <w:r>
        <w:rPr>
          <w:rFonts w:hint="eastAsia" w:hAnsi="宋体"/>
          <w:color w:val="000000"/>
          <w:kern w:val="0"/>
          <w:sz w:val="24"/>
          <w:highlight w:val="none"/>
        </w:rPr>
        <w:t>、《义乌市稠江街道垃圾直运至市垃圾焚烧厂或填埋场考核方法》等相关要求，提供清扫保洁、垃圾清运等相关服务，</w:t>
      </w:r>
      <w:r>
        <w:rPr>
          <w:rFonts w:hint="eastAsia" w:ascii="新宋体" w:hAnsi="新宋体" w:eastAsia="新宋体"/>
          <w:color w:val="000000"/>
          <w:sz w:val="24"/>
          <w:szCs w:val="24"/>
          <w:highlight w:val="none"/>
        </w:rPr>
        <w:t>并接受甲方和相关部门的监管和考核。</w:t>
      </w:r>
    </w:p>
    <w:p>
      <w:pPr>
        <w:widowControl/>
        <w:tabs>
          <w:tab w:val="left" w:pos="6521"/>
        </w:tabs>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rPr>
        <w:t>3、乙方</w:t>
      </w:r>
      <w:r>
        <w:rPr>
          <w:rFonts w:ascii="宋体" w:hAnsi="宋体"/>
          <w:color w:val="000000"/>
          <w:kern w:val="0"/>
          <w:sz w:val="24"/>
          <w:szCs w:val="20"/>
          <w:highlight w:val="none"/>
          <w:lang w:val="zh-CN"/>
        </w:rPr>
        <w:t>所收集、清扫的生活垃圾必须运往</w:t>
      </w:r>
      <w:r>
        <w:rPr>
          <w:rFonts w:ascii="宋体" w:hAnsi="宋体"/>
          <w:color w:val="000000"/>
          <w:kern w:val="0"/>
          <w:sz w:val="24"/>
          <w:highlight w:val="none"/>
          <w:u w:val="single"/>
          <w:lang w:val="zh-CN"/>
        </w:rPr>
        <w:t xml:space="preserve">                                   </w:t>
      </w:r>
      <w:r>
        <w:rPr>
          <w:rFonts w:ascii="宋体" w:hAnsi="宋体"/>
          <w:color w:val="000000"/>
          <w:kern w:val="0"/>
          <w:sz w:val="24"/>
          <w:highlight w:val="none"/>
          <w:lang w:val="zh-CN"/>
        </w:rPr>
        <w:t>。</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rPr>
        <w:t>4、</w:t>
      </w:r>
      <w:r>
        <w:rPr>
          <w:rFonts w:ascii="宋体" w:hAnsi="宋体"/>
          <w:color w:val="000000"/>
          <w:kern w:val="0"/>
          <w:sz w:val="24"/>
          <w:szCs w:val="20"/>
          <w:highlight w:val="none"/>
          <w:lang w:val="zh-CN"/>
        </w:rPr>
        <w:t>乙方在聘用工作人员时，需遵守《劳动法》及相关法律法规的规定，若有违反《劳动法》及相关法律法规的行为或事件，责任由乙方自行承担。</w:t>
      </w:r>
    </w:p>
    <w:p>
      <w:pPr>
        <w:widowControl/>
        <w:spacing w:line="360" w:lineRule="auto"/>
        <w:jc w:val="left"/>
        <w:rPr>
          <w:rFonts w:ascii="宋体" w:hAnsi="宋体"/>
          <w:color w:val="000000"/>
          <w:kern w:val="0"/>
          <w:sz w:val="24"/>
          <w:highlight w:val="none"/>
          <w:lang w:val="zh-CN"/>
        </w:rPr>
      </w:pPr>
      <w:r>
        <w:rPr>
          <w:rFonts w:ascii="宋体" w:hAnsi="宋体"/>
          <w:color w:val="000000"/>
          <w:kern w:val="0"/>
          <w:sz w:val="24"/>
          <w:szCs w:val="20"/>
          <w:highlight w:val="none"/>
        </w:rPr>
        <w:t>5、</w:t>
      </w:r>
      <w:r>
        <w:rPr>
          <w:rFonts w:ascii="宋体" w:hAnsi="宋体"/>
          <w:color w:val="000000"/>
          <w:kern w:val="0"/>
          <w:sz w:val="24"/>
          <w:szCs w:val="20"/>
          <w:highlight w:val="none"/>
          <w:lang w:val="zh-CN"/>
        </w:rPr>
        <w:t>乙方必须保证按核定的清扫保洁人员上班作业，</w:t>
      </w:r>
      <w:r>
        <w:rPr>
          <w:rFonts w:ascii="宋体" w:hAnsi="宋体"/>
          <w:color w:val="000000"/>
          <w:kern w:val="0"/>
          <w:sz w:val="24"/>
          <w:szCs w:val="20"/>
          <w:highlight w:val="none"/>
        </w:rPr>
        <w:t>并在每月</w:t>
      </w:r>
      <w:r>
        <w:rPr>
          <w:rFonts w:ascii="宋体" w:hAnsi="宋体"/>
          <w:color w:val="000000"/>
          <w:kern w:val="0"/>
          <w:sz w:val="24"/>
          <w:szCs w:val="20"/>
          <w:highlight w:val="none"/>
          <w:u w:val="single"/>
        </w:rPr>
        <w:t xml:space="preserve">  </w:t>
      </w:r>
      <w:r>
        <w:rPr>
          <w:rFonts w:ascii="宋体" w:hAnsi="宋体"/>
          <w:color w:val="000000"/>
          <w:kern w:val="0"/>
          <w:sz w:val="24"/>
          <w:szCs w:val="20"/>
          <w:highlight w:val="none"/>
        </w:rPr>
        <w:t>日前向甲方报送清扫工人员名册及责任路段，如报送后需变动责任区块或更换管理人员的，必须在变动后1个工作日内以书面形式通知甲方，需附变动人员名单和相关责任路段等资料。</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lang w:val="zh-CN"/>
        </w:rPr>
        <w:t>6、乙方清扫保洁人员在上班作业时必须穿戴和使用统一的、有醒目乙方标志的环卫安全工作服和垃圾清运车、三轮垃圾车、铁皮畚斗、草帽等，保证环卫车辆的整洁，严禁车上载人和车外挂物；上班作业时不允许穿拖鞋、带小孩、闲聊、睡觉、喝酒、看书、看电视</w:t>
      </w:r>
      <w:r>
        <w:rPr>
          <w:rFonts w:hint="eastAsia" w:ascii="宋体" w:hAnsi="宋体"/>
          <w:color w:val="000000"/>
          <w:kern w:val="0"/>
          <w:sz w:val="24"/>
          <w:szCs w:val="20"/>
          <w:highlight w:val="none"/>
          <w:lang w:val="zh-CN"/>
        </w:rPr>
        <w:t>、玩手机</w:t>
      </w:r>
      <w:r>
        <w:rPr>
          <w:rFonts w:ascii="宋体" w:hAnsi="宋体"/>
          <w:color w:val="000000"/>
          <w:kern w:val="0"/>
          <w:sz w:val="24"/>
          <w:szCs w:val="20"/>
          <w:highlight w:val="none"/>
          <w:lang w:val="zh-CN"/>
        </w:rPr>
        <w:t>等有损环卫形象的行为或干与工作无关的事情。</w:t>
      </w:r>
      <w:r>
        <w:rPr>
          <w:rFonts w:ascii="宋体" w:hAnsi="宋体"/>
          <w:color w:val="000000"/>
          <w:kern w:val="0"/>
          <w:sz w:val="24"/>
          <w:szCs w:val="20"/>
          <w:highlight w:val="none"/>
        </w:rPr>
        <w:t xml:space="preserve"> </w:t>
      </w:r>
    </w:p>
    <w:p>
      <w:pPr>
        <w:widowControl/>
        <w:spacing w:line="360" w:lineRule="auto"/>
        <w:jc w:val="left"/>
        <w:rPr>
          <w:rFonts w:ascii="宋体" w:hAnsi="宋体"/>
          <w:color w:val="000000"/>
          <w:kern w:val="0"/>
          <w:sz w:val="24"/>
          <w:szCs w:val="20"/>
          <w:highlight w:val="none"/>
          <w:lang w:val="zh-CN"/>
        </w:rPr>
      </w:pPr>
      <w:r>
        <w:rPr>
          <w:rFonts w:ascii="宋体" w:hAnsi="宋体"/>
          <w:color w:val="000000"/>
          <w:kern w:val="0"/>
          <w:sz w:val="24"/>
          <w:szCs w:val="20"/>
          <w:highlight w:val="none"/>
        </w:rPr>
        <w:t>7、乙方</w:t>
      </w:r>
      <w:r>
        <w:rPr>
          <w:rFonts w:ascii="宋体" w:hAnsi="宋体"/>
          <w:color w:val="000000"/>
          <w:kern w:val="0"/>
          <w:sz w:val="24"/>
          <w:szCs w:val="20"/>
          <w:highlight w:val="none"/>
          <w:lang w:val="zh-CN"/>
        </w:rPr>
        <w:t>负责所聘用人员的劳动安全培训教育和管理，清扫人员作业过程中如发生安全和交通等意外事故，一切责任由乙方自行承担。</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rPr>
        <w:t>8、乙方法人代表及管理人员必须按时参加甲方、社区组织的有关会议。</w:t>
      </w:r>
    </w:p>
    <w:p>
      <w:pPr>
        <w:widowControl/>
        <w:spacing w:line="360" w:lineRule="auto"/>
        <w:jc w:val="left"/>
        <w:rPr>
          <w:rFonts w:ascii="宋体" w:hAnsi="宋体"/>
          <w:color w:val="000000"/>
          <w:kern w:val="0"/>
          <w:sz w:val="24"/>
          <w:szCs w:val="20"/>
          <w:highlight w:val="none"/>
          <w:lang w:val="zh-CN"/>
        </w:rPr>
      </w:pPr>
      <w:r>
        <w:rPr>
          <w:rFonts w:ascii="宋体" w:hAnsi="宋体"/>
          <w:color w:val="000000"/>
          <w:kern w:val="0"/>
          <w:sz w:val="24"/>
          <w:szCs w:val="20"/>
          <w:highlight w:val="none"/>
        </w:rPr>
        <w:t>9、乙方</w:t>
      </w:r>
      <w:r>
        <w:rPr>
          <w:rFonts w:ascii="宋体" w:hAnsi="宋体"/>
          <w:color w:val="000000"/>
          <w:kern w:val="0"/>
          <w:sz w:val="24"/>
          <w:szCs w:val="20"/>
          <w:highlight w:val="none"/>
          <w:lang w:val="zh-CN"/>
        </w:rPr>
        <w:t>不得转包或发包所承包的路段。</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rPr>
        <w:t>10、乙方对</w:t>
      </w:r>
      <w:r>
        <w:rPr>
          <w:rFonts w:hint="eastAsia" w:ascii="宋体" w:hAnsi="宋体"/>
          <w:color w:val="000000"/>
          <w:kern w:val="0"/>
          <w:sz w:val="24"/>
          <w:szCs w:val="20"/>
          <w:highlight w:val="none"/>
        </w:rPr>
        <w:t>承包范围内</w:t>
      </w:r>
      <w:r>
        <w:rPr>
          <w:rFonts w:ascii="宋体" w:hAnsi="宋体"/>
          <w:color w:val="000000"/>
          <w:kern w:val="0"/>
          <w:sz w:val="24"/>
          <w:szCs w:val="20"/>
          <w:highlight w:val="none"/>
        </w:rPr>
        <w:t>建筑渣土或装璜垃圾堆放污染路面问题负有举报责任，发现路面被严重污染，应及时告知甲方并向96310举报；未经甲方许可，不得以建筑渣土撒落或装璜垃圾堆放应由建筑工地或装璜物业业主负责清理为由不安排清扫保洁人员</w:t>
      </w:r>
      <w:r>
        <w:rPr>
          <w:rFonts w:hint="eastAsia" w:ascii="宋体" w:hAnsi="宋体"/>
          <w:color w:val="000000"/>
          <w:kern w:val="0"/>
          <w:sz w:val="24"/>
          <w:szCs w:val="20"/>
          <w:highlight w:val="none"/>
        </w:rPr>
        <w:t>进行清理</w:t>
      </w:r>
      <w:r>
        <w:rPr>
          <w:rFonts w:ascii="宋体" w:hAnsi="宋体"/>
          <w:color w:val="000000"/>
          <w:kern w:val="0"/>
          <w:sz w:val="24"/>
          <w:szCs w:val="20"/>
          <w:highlight w:val="none"/>
        </w:rPr>
        <w:t>或向其收取清扫保洁费用。</w:t>
      </w:r>
    </w:p>
    <w:p>
      <w:pPr>
        <w:widowControl/>
        <w:spacing w:line="360" w:lineRule="auto"/>
        <w:jc w:val="left"/>
        <w:rPr>
          <w:rFonts w:ascii="宋体" w:hAnsi="宋体"/>
          <w:color w:val="000000"/>
          <w:kern w:val="0"/>
          <w:sz w:val="24"/>
          <w:highlight w:val="none"/>
        </w:rPr>
      </w:pPr>
      <w:r>
        <w:rPr>
          <w:rFonts w:ascii="宋体" w:hAnsi="宋体"/>
          <w:color w:val="000000"/>
          <w:kern w:val="0"/>
          <w:sz w:val="24"/>
          <w:szCs w:val="20"/>
          <w:highlight w:val="none"/>
        </w:rPr>
        <w:t>11、乙方有义务也有权利派人员参加由甲方或市</w:t>
      </w:r>
      <w:r>
        <w:rPr>
          <w:rFonts w:hint="eastAsia" w:ascii="宋体" w:hAnsi="宋体"/>
          <w:color w:val="000000"/>
          <w:kern w:val="0"/>
          <w:sz w:val="24"/>
          <w:szCs w:val="20"/>
          <w:highlight w:val="none"/>
        </w:rPr>
        <w:t>相关部门</w:t>
      </w:r>
      <w:r>
        <w:rPr>
          <w:rFonts w:ascii="宋体" w:hAnsi="宋体"/>
          <w:color w:val="000000"/>
          <w:kern w:val="0"/>
          <w:sz w:val="24"/>
          <w:szCs w:val="20"/>
          <w:highlight w:val="none"/>
        </w:rPr>
        <w:t>的需乙方共同参与的检查或考核任务。</w:t>
      </w:r>
      <w:r>
        <w:rPr>
          <w:rFonts w:ascii="宋体" w:hAnsi="宋体"/>
          <w:color w:val="000000"/>
          <w:kern w:val="0"/>
          <w:sz w:val="24"/>
          <w:highlight w:val="none"/>
        </w:rPr>
        <w:t xml:space="preserve"> </w:t>
      </w:r>
    </w:p>
    <w:p>
      <w:pPr>
        <w:widowControl/>
        <w:spacing w:line="360" w:lineRule="auto"/>
        <w:jc w:val="left"/>
        <w:rPr>
          <w:rFonts w:ascii="宋体" w:hAnsi="宋体"/>
          <w:color w:val="000000"/>
          <w:kern w:val="0"/>
          <w:sz w:val="24"/>
          <w:szCs w:val="20"/>
          <w:highlight w:val="none"/>
        </w:rPr>
      </w:pPr>
      <w:r>
        <w:rPr>
          <w:rFonts w:hint="eastAsia" w:ascii="宋体" w:hAnsi="宋体"/>
          <w:color w:val="000000"/>
          <w:kern w:val="0"/>
          <w:sz w:val="24"/>
          <w:szCs w:val="20"/>
          <w:highlight w:val="none"/>
        </w:rPr>
        <w:t>12、</w:t>
      </w:r>
      <w:r>
        <w:rPr>
          <w:rFonts w:ascii="宋体" w:hAnsi="宋体"/>
          <w:color w:val="000000"/>
          <w:kern w:val="0"/>
          <w:sz w:val="24"/>
          <w:szCs w:val="20"/>
          <w:highlight w:val="none"/>
        </w:rPr>
        <w:t>遇创建或市委市府临时性任务，乙方必须无条件按甲方安排的工作任务及时完成，如需延长工作时间在</w:t>
      </w:r>
      <w:r>
        <w:rPr>
          <w:rFonts w:hint="eastAsia" w:ascii="宋体" w:hAnsi="宋体"/>
          <w:color w:val="000000"/>
          <w:kern w:val="0"/>
          <w:sz w:val="24"/>
          <w:highlight w:val="none"/>
          <w:u w:val="single"/>
        </w:rPr>
        <w:t>2</w:t>
      </w:r>
      <w:r>
        <w:rPr>
          <w:rFonts w:ascii="宋体" w:hAnsi="宋体"/>
          <w:color w:val="000000"/>
          <w:kern w:val="0"/>
          <w:sz w:val="24"/>
          <w:highlight w:val="none"/>
        </w:rPr>
        <w:t>小时以上的（延长工作时间人数须由甲方批准），经甲方核准后由乙方按最低小时工资标准支付。</w:t>
      </w:r>
    </w:p>
    <w:p>
      <w:pPr>
        <w:widowControl/>
        <w:spacing w:line="360" w:lineRule="auto"/>
        <w:jc w:val="left"/>
        <w:rPr>
          <w:rFonts w:ascii="宋体" w:hAnsi="宋体"/>
          <w:b/>
          <w:color w:val="000000"/>
          <w:kern w:val="0"/>
          <w:sz w:val="24"/>
          <w:szCs w:val="20"/>
          <w:highlight w:val="none"/>
        </w:rPr>
      </w:pPr>
      <w:r>
        <w:rPr>
          <w:rFonts w:hint="eastAsia" w:ascii="宋体" w:hAnsi="宋体"/>
          <w:b/>
          <w:color w:val="000000"/>
          <w:kern w:val="0"/>
          <w:sz w:val="24"/>
          <w:szCs w:val="20"/>
          <w:highlight w:val="none"/>
        </w:rPr>
        <w:t>八</w:t>
      </w:r>
      <w:r>
        <w:rPr>
          <w:rFonts w:ascii="宋体" w:hAnsi="宋体"/>
          <w:b/>
          <w:color w:val="000000"/>
          <w:kern w:val="0"/>
          <w:sz w:val="24"/>
          <w:szCs w:val="20"/>
          <w:highlight w:val="none"/>
        </w:rPr>
        <w:t>、终止合同条件及违约责任</w:t>
      </w:r>
    </w:p>
    <w:p>
      <w:pPr>
        <w:widowControl/>
        <w:spacing w:line="360" w:lineRule="auto"/>
        <w:jc w:val="left"/>
        <w:rPr>
          <w:rFonts w:ascii="宋体" w:hAnsi="宋体"/>
          <w:color w:val="000000"/>
          <w:kern w:val="0"/>
          <w:sz w:val="24"/>
          <w:szCs w:val="20"/>
          <w:highlight w:val="none"/>
          <w:lang w:val="zh-CN"/>
        </w:rPr>
      </w:pPr>
      <w:r>
        <w:rPr>
          <w:rFonts w:ascii="宋体" w:hAnsi="宋体"/>
          <w:color w:val="000000"/>
          <w:kern w:val="0"/>
          <w:sz w:val="24"/>
          <w:szCs w:val="20"/>
          <w:highlight w:val="none"/>
          <w:lang w:val="zh-CN"/>
        </w:rPr>
        <w:t>1、如乙方连续2次（2个月）或累计4次考核中不合格率在25%以上的；因卫生差被新闻单位公开曝光二次以上（含二次）或者年度内处罚金额在合同中标价3%及以上的（包括考核不合格扣除的金额），甲方有权终止本合同。</w:t>
      </w:r>
    </w:p>
    <w:p>
      <w:pPr>
        <w:widowControl/>
        <w:spacing w:line="360" w:lineRule="auto"/>
        <w:jc w:val="left"/>
        <w:rPr>
          <w:rFonts w:ascii="宋体" w:hAnsi="宋体"/>
          <w:color w:val="000000"/>
          <w:kern w:val="0"/>
          <w:sz w:val="30"/>
          <w:szCs w:val="30"/>
          <w:highlight w:val="none"/>
          <w:lang w:val="zh-CN"/>
        </w:rPr>
      </w:pPr>
      <w:r>
        <w:rPr>
          <w:rFonts w:ascii="宋体" w:hAnsi="宋体"/>
          <w:color w:val="000000"/>
          <w:kern w:val="0"/>
          <w:sz w:val="24"/>
          <w:szCs w:val="20"/>
          <w:highlight w:val="none"/>
        </w:rPr>
        <w:t>2、</w:t>
      </w:r>
      <w:r>
        <w:rPr>
          <w:rFonts w:ascii="宋体" w:hAnsi="宋体"/>
          <w:color w:val="000000"/>
          <w:kern w:val="0"/>
          <w:sz w:val="24"/>
          <w:szCs w:val="20"/>
          <w:highlight w:val="none"/>
          <w:lang w:val="zh-CN"/>
        </w:rPr>
        <w:t>乙方擅自转包或发包所承包的路段的，甲方有权终止本合同</w:t>
      </w:r>
      <w:r>
        <w:rPr>
          <w:rFonts w:ascii="宋体" w:hAnsi="宋体"/>
          <w:color w:val="000000"/>
          <w:kern w:val="0"/>
          <w:sz w:val="30"/>
          <w:szCs w:val="30"/>
          <w:highlight w:val="none"/>
          <w:lang w:val="zh-CN"/>
        </w:rPr>
        <w:t>。</w:t>
      </w:r>
    </w:p>
    <w:p>
      <w:pPr>
        <w:widowControl/>
        <w:spacing w:line="360" w:lineRule="auto"/>
        <w:jc w:val="left"/>
        <w:rPr>
          <w:rFonts w:ascii="宋体" w:hAnsi="宋体"/>
          <w:color w:val="000000"/>
          <w:kern w:val="0"/>
          <w:sz w:val="24"/>
          <w:szCs w:val="20"/>
          <w:highlight w:val="none"/>
        </w:rPr>
      </w:pPr>
      <w:r>
        <w:rPr>
          <w:rFonts w:ascii="宋体" w:hAnsi="宋体"/>
          <w:color w:val="000000"/>
          <w:kern w:val="0"/>
          <w:sz w:val="24"/>
          <w:szCs w:val="20"/>
          <w:highlight w:val="none"/>
          <w:lang w:val="zh-CN"/>
        </w:rPr>
        <w:t>3、在乙方不按时足额发放工资时（次月</w:t>
      </w:r>
      <w:r>
        <w:rPr>
          <w:rFonts w:ascii="宋体" w:hAnsi="宋体"/>
          <w:color w:val="000000"/>
          <w:kern w:val="0"/>
          <w:sz w:val="24"/>
          <w:highlight w:val="none"/>
          <w:u w:val="single"/>
          <w:lang w:val="zh-CN"/>
        </w:rPr>
        <w:t xml:space="preserve">  </w:t>
      </w:r>
      <w:r>
        <w:rPr>
          <w:rFonts w:ascii="宋体" w:hAnsi="宋体"/>
          <w:color w:val="000000"/>
          <w:kern w:val="0"/>
          <w:sz w:val="24"/>
          <w:highlight w:val="none"/>
          <w:lang w:val="zh-CN"/>
        </w:rPr>
        <w:t>日前），甲方有权代为支付乙方职工的工资，并终止本合同。</w:t>
      </w:r>
    </w:p>
    <w:p>
      <w:pPr>
        <w:widowControl/>
        <w:spacing w:line="360" w:lineRule="auto"/>
        <w:jc w:val="left"/>
        <w:rPr>
          <w:rFonts w:ascii="宋体" w:hAnsi="宋体"/>
          <w:color w:val="000000"/>
          <w:kern w:val="0"/>
          <w:sz w:val="24"/>
          <w:szCs w:val="20"/>
          <w:highlight w:val="none"/>
          <w:lang w:val="zh-CN"/>
        </w:rPr>
      </w:pPr>
      <w:r>
        <w:rPr>
          <w:rFonts w:ascii="宋体" w:hAnsi="宋体"/>
          <w:color w:val="000000"/>
          <w:kern w:val="0"/>
          <w:sz w:val="24"/>
          <w:szCs w:val="20"/>
          <w:highlight w:val="none"/>
          <w:lang w:val="zh-CN"/>
        </w:rPr>
        <w:t>4、如果甲方没有按规定支付承包款的，乙方有权终止本合同。</w:t>
      </w:r>
    </w:p>
    <w:p>
      <w:pPr>
        <w:pStyle w:val="13"/>
        <w:spacing w:line="440" w:lineRule="exact"/>
        <w:rPr>
          <w:rFonts w:hint="eastAsia" w:hAnsi="宋体" w:cs="宋体"/>
          <w:color w:val="000000"/>
          <w:sz w:val="24"/>
          <w:szCs w:val="24"/>
          <w:highlight w:val="none"/>
        </w:rPr>
      </w:pPr>
      <w:r>
        <w:rPr>
          <w:rFonts w:hint="eastAsia" w:hAnsi="宋体" w:cs="宋体"/>
          <w:color w:val="000000"/>
          <w:sz w:val="24"/>
          <w:szCs w:val="24"/>
          <w:highlight w:val="none"/>
        </w:rPr>
        <w:t>5、甲方无正当理由拒收接受服务的，甲方向乙方偿付合同款项百分之五作为违约金。</w:t>
      </w:r>
    </w:p>
    <w:p>
      <w:pPr>
        <w:pStyle w:val="13"/>
        <w:spacing w:line="440" w:lineRule="exact"/>
        <w:rPr>
          <w:rFonts w:hint="eastAsia" w:hAnsi="宋体" w:cs="宋体"/>
          <w:color w:val="000000"/>
          <w:sz w:val="24"/>
          <w:szCs w:val="24"/>
          <w:highlight w:val="none"/>
        </w:rPr>
      </w:pPr>
      <w:r>
        <w:rPr>
          <w:rFonts w:hint="eastAsia" w:hAnsi="宋体" w:cs="宋体"/>
          <w:color w:val="000000"/>
          <w:sz w:val="24"/>
          <w:szCs w:val="24"/>
          <w:highlight w:val="none"/>
        </w:rPr>
        <w:t>6、甲方无故逾期验收和办理款项支付手续的,甲方应按逾期付款总额每日万分之五向乙方支付违约金。</w:t>
      </w:r>
    </w:p>
    <w:p>
      <w:pPr>
        <w:pStyle w:val="13"/>
        <w:spacing w:line="440" w:lineRule="exact"/>
        <w:rPr>
          <w:rFonts w:hint="eastAsia" w:hAnsi="宋体" w:cs="宋体"/>
          <w:color w:val="000000"/>
          <w:sz w:val="24"/>
          <w:szCs w:val="24"/>
          <w:highlight w:val="none"/>
        </w:rPr>
      </w:pPr>
      <w:r>
        <w:rPr>
          <w:rFonts w:hint="eastAsia" w:hAnsi="宋体" w:cs="宋体"/>
          <w:color w:val="000000"/>
          <w:sz w:val="24"/>
          <w:szCs w:val="24"/>
          <w:highlight w:val="none"/>
        </w:rPr>
        <w:t xml:space="preserve">7、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3"/>
        <w:spacing w:line="440" w:lineRule="exact"/>
        <w:rPr>
          <w:rFonts w:hint="eastAsia" w:hAnsi="宋体" w:cs="宋体"/>
          <w:color w:val="000000"/>
          <w:sz w:val="24"/>
          <w:szCs w:val="24"/>
          <w:highlight w:val="none"/>
        </w:rPr>
      </w:pPr>
      <w:r>
        <w:rPr>
          <w:rFonts w:hint="eastAsia" w:hAnsi="宋体" w:cs="宋体"/>
          <w:color w:val="000000"/>
          <w:sz w:val="24"/>
          <w:szCs w:val="24"/>
          <w:highlight w:val="none"/>
        </w:rPr>
        <w:t>8、如果乙方提供的服务项目的质量未达到本合同规定标准的，则甲方有权拒绝，乙方需向甲方偿付合同款项的3%的违约金。如造成甲方损失超过违约金的，超出部分由乙方继续承担赔偿责任。</w:t>
      </w:r>
    </w:p>
    <w:p>
      <w:pPr>
        <w:pStyle w:val="13"/>
        <w:spacing w:line="440" w:lineRule="exact"/>
        <w:rPr>
          <w:rFonts w:hint="eastAsia" w:hAnsi="宋体" w:cs="宋体"/>
          <w:color w:val="000000"/>
          <w:sz w:val="24"/>
          <w:szCs w:val="24"/>
          <w:highlight w:val="none"/>
        </w:rPr>
      </w:pPr>
      <w:r>
        <w:rPr>
          <w:rFonts w:hint="eastAsia" w:hAnsi="宋体" w:cs="宋体"/>
          <w:color w:val="000000"/>
          <w:sz w:val="24"/>
          <w:szCs w:val="24"/>
          <w:highlight w:val="none"/>
        </w:rPr>
        <w:t>9、因乙方原因造成</w:t>
      </w:r>
      <w:r>
        <w:rPr>
          <w:rFonts w:hint="eastAsia" w:hAnsi="宋体" w:cs="宋体"/>
          <w:color w:val="000000"/>
          <w:sz w:val="24"/>
          <w:szCs w:val="24"/>
          <w:highlight w:val="none"/>
          <w:lang w:val="zh-CN"/>
        </w:rPr>
        <w:t>甲方终止本合同的，乙方三年内不得参加甲方组织的清扫保洁项目招投标。</w:t>
      </w:r>
    </w:p>
    <w:p>
      <w:pPr>
        <w:widowControl/>
        <w:spacing w:line="360" w:lineRule="auto"/>
        <w:jc w:val="left"/>
        <w:rPr>
          <w:rFonts w:ascii="宋体" w:hAnsi="宋体"/>
          <w:color w:val="000000"/>
          <w:kern w:val="0"/>
          <w:sz w:val="24"/>
          <w:szCs w:val="20"/>
          <w:highlight w:val="none"/>
        </w:rPr>
      </w:pPr>
      <w:r>
        <w:rPr>
          <w:rFonts w:hint="eastAsia" w:ascii="宋体" w:hAnsi="宋体"/>
          <w:b/>
          <w:color w:val="000000"/>
          <w:kern w:val="0"/>
          <w:sz w:val="24"/>
          <w:szCs w:val="20"/>
          <w:highlight w:val="none"/>
        </w:rPr>
        <w:t>九</w:t>
      </w:r>
      <w:r>
        <w:rPr>
          <w:rFonts w:ascii="宋体" w:hAnsi="宋体"/>
          <w:b/>
          <w:color w:val="000000"/>
          <w:kern w:val="0"/>
          <w:sz w:val="24"/>
          <w:szCs w:val="20"/>
          <w:highlight w:val="none"/>
        </w:rPr>
        <w:t>、</w:t>
      </w:r>
      <w:r>
        <w:rPr>
          <w:rFonts w:ascii="宋体" w:hAnsi="宋体"/>
          <w:color w:val="000000"/>
          <w:kern w:val="0"/>
          <w:sz w:val="24"/>
          <w:szCs w:val="20"/>
          <w:highlight w:val="none"/>
        </w:rPr>
        <w:t>本合同发生争议产生的诉讼，可向义乌市人民法院提起诉讼。</w:t>
      </w:r>
    </w:p>
    <w:p>
      <w:pPr>
        <w:widowControl/>
        <w:snapToGrid w:val="0"/>
        <w:spacing w:before="120" w:after="120" w:line="360" w:lineRule="auto"/>
        <w:jc w:val="left"/>
        <w:rPr>
          <w:rFonts w:hint="eastAsia" w:ascii="宋体" w:hAnsi="宋体"/>
          <w:b/>
          <w:color w:val="000000"/>
          <w:kern w:val="0"/>
          <w:sz w:val="24"/>
          <w:highlight w:val="none"/>
        </w:rPr>
      </w:pPr>
      <w:r>
        <w:rPr>
          <w:rFonts w:ascii="宋体" w:hAnsi="宋体"/>
          <w:b/>
          <w:color w:val="000000"/>
          <w:kern w:val="0"/>
          <w:sz w:val="24"/>
          <w:highlight w:val="none"/>
        </w:rPr>
        <w:t>十、合同双方确认</w:t>
      </w:r>
    </w:p>
    <w:p>
      <w:pPr>
        <w:widowControl/>
        <w:snapToGrid w:val="0"/>
        <w:spacing w:before="120" w:after="120" w:line="360" w:lineRule="auto"/>
        <w:ind w:firstLine="470" w:firstLineChars="196"/>
        <w:jc w:val="left"/>
        <w:rPr>
          <w:rFonts w:ascii="宋体" w:hAnsi="宋体"/>
          <w:kern w:val="0"/>
          <w:sz w:val="24"/>
          <w:highlight w:val="none"/>
        </w:rPr>
      </w:pPr>
      <w:r>
        <w:rPr>
          <w:rFonts w:ascii="宋体" w:hAnsi="宋体"/>
          <w:color w:val="000000"/>
          <w:kern w:val="0"/>
          <w:sz w:val="24"/>
          <w:highlight w:val="none"/>
        </w:rPr>
        <w:t>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w:t>
      </w:r>
      <w:r>
        <w:rPr>
          <w:rFonts w:ascii="宋体" w:hAnsi="宋体"/>
          <w:kern w:val="0"/>
          <w:sz w:val="24"/>
          <w:highlight w:val="none"/>
        </w:rPr>
        <w:t>方不构成任何合同或法律约束力。</w:t>
      </w:r>
    </w:p>
    <w:p>
      <w:pPr>
        <w:widowControl/>
        <w:snapToGrid w:val="0"/>
        <w:spacing w:before="120" w:after="120" w:line="360" w:lineRule="auto"/>
        <w:jc w:val="left"/>
        <w:rPr>
          <w:rFonts w:ascii="宋体" w:hAnsi="宋体"/>
          <w:b/>
          <w:kern w:val="0"/>
          <w:sz w:val="24"/>
          <w:highlight w:val="none"/>
        </w:rPr>
      </w:pPr>
      <w:r>
        <w:rPr>
          <w:rFonts w:ascii="宋体" w:hAnsi="宋体"/>
          <w:b/>
          <w:kern w:val="0"/>
          <w:sz w:val="24"/>
          <w:highlight w:val="none"/>
        </w:rPr>
        <w:t>十</w:t>
      </w:r>
      <w:r>
        <w:rPr>
          <w:rFonts w:hint="eastAsia" w:ascii="宋体" w:hAnsi="宋体"/>
          <w:b/>
          <w:kern w:val="0"/>
          <w:sz w:val="24"/>
          <w:highlight w:val="none"/>
        </w:rPr>
        <w:t>一</w:t>
      </w:r>
      <w:r>
        <w:rPr>
          <w:rFonts w:ascii="宋体" w:hAnsi="宋体"/>
          <w:b/>
          <w:kern w:val="0"/>
          <w:sz w:val="24"/>
          <w:highlight w:val="none"/>
        </w:rPr>
        <w:t>、合同生效及其它</w:t>
      </w:r>
    </w:p>
    <w:p>
      <w:pPr>
        <w:widowControl/>
        <w:snapToGrid w:val="0"/>
        <w:spacing w:line="360" w:lineRule="auto"/>
        <w:jc w:val="left"/>
        <w:rPr>
          <w:kern w:val="0"/>
          <w:sz w:val="24"/>
          <w:highlight w:val="none"/>
        </w:rPr>
      </w:pPr>
      <w:r>
        <w:rPr>
          <w:kern w:val="0"/>
          <w:sz w:val="24"/>
          <w:highlight w:val="none"/>
        </w:rPr>
        <w:t>1、合同经双方法定代表人或授权代表签字并加盖单位公章后生效。</w:t>
      </w:r>
    </w:p>
    <w:p>
      <w:pPr>
        <w:widowControl/>
        <w:snapToGrid w:val="0"/>
        <w:spacing w:line="360" w:lineRule="auto"/>
        <w:jc w:val="left"/>
        <w:rPr>
          <w:kern w:val="0"/>
          <w:sz w:val="24"/>
          <w:highlight w:val="none"/>
        </w:rPr>
      </w:pPr>
      <w:r>
        <w:rPr>
          <w:rFonts w:hint="eastAsia"/>
          <w:kern w:val="0"/>
          <w:sz w:val="24"/>
          <w:highlight w:val="none"/>
        </w:rPr>
        <w:t>2</w:t>
      </w:r>
      <w:r>
        <w:rPr>
          <w:kern w:val="0"/>
          <w:sz w:val="24"/>
          <w:highlight w:val="none"/>
        </w:rPr>
        <w:t>、本合同未尽事宜，遵照《合同法》有关条文执行。</w:t>
      </w:r>
    </w:p>
    <w:p>
      <w:pPr>
        <w:widowControl/>
        <w:spacing w:line="360" w:lineRule="auto"/>
        <w:jc w:val="left"/>
        <w:rPr>
          <w:kern w:val="0"/>
          <w:sz w:val="24"/>
          <w:highlight w:val="none"/>
        </w:rPr>
      </w:pPr>
      <w:r>
        <w:rPr>
          <w:b/>
          <w:bCs/>
          <w:kern w:val="0"/>
          <w:sz w:val="24"/>
          <w:highlight w:val="none"/>
        </w:rPr>
        <w:t>十</w:t>
      </w:r>
      <w:r>
        <w:rPr>
          <w:rFonts w:hint="eastAsia"/>
          <w:b/>
          <w:bCs/>
          <w:kern w:val="0"/>
          <w:sz w:val="24"/>
          <w:highlight w:val="none"/>
        </w:rPr>
        <w:t>二</w:t>
      </w:r>
      <w:r>
        <w:rPr>
          <w:b/>
          <w:bCs/>
          <w:kern w:val="0"/>
          <w:sz w:val="24"/>
          <w:highlight w:val="none"/>
        </w:rPr>
        <w:t>、本合同一式</w:t>
      </w:r>
      <w:r>
        <w:rPr>
          <w:b/>
          <w:bCs/>
          <w:kern w:val="0"/>
          <w:sz w:val="24"/>
          <w:highlight w:val="none"/>
          <w:u w:val="single"/>
        </w:rPr>
        <w:t xml:space="preserve"> </w:t>
      </w:r>
      <w:r>
        <w:rPr>
          <w:rFonts w:hint="eastAsia"/>
          <w:b/>
          <w:bCs/>
          <w:kern w:val="0"/>
          <w:sz w:val="24"/>
          <w:highlight w:val="none"/>
          <w:u w:val="single"/>
        </w:rPr>
        <w:t>陆</w:t>
      </w:r>
      <w:r>
        <w:rPr>
          <w:b/>
          <w:bCs/>
          <w:kern w:val="0"/>
          <w:sz w:val="24"/>
          <w:highlight w:val="none"/>
          <w:u w:val="single"/>
        </w:rPr>
        <w:t xml:space="preserve"> </w:t>
      </w:r>
      <w:r>
        <w:rPr>
          <w:b/>
          <w:bCs/>
          <w:kern w:val="0"/>
          <w:sz w:val="24"/>
          <w:highlight w:val="none"/>
        </w:rPr>
        <w:t>份，供需双方各执</w:t>
      </w:r>
      <w:r>
        <w:rPr>
          <w:b/>
          <w:bCs/>
          <w:kern w:val="0"/>
          <w:sz w:val="24"/>
          <w:highlight w:val="none"/>
          <w:u w:val="single"/>
        </w:rPr>
        <w:t xml:space="preserve"> </w:t>
      </w:r>
      <w:r>
        <w:rPr>
          <w:rFonts w:hint="eastAsia"/>
          <w:b/>
          <w:bCs/>
          <w:kern w:val="0"/>
          <w:sz w:val="24"/>
          <w:highlight w:val="none"/>
          <w:u w:val="single"/>
        </w:rPr>
        <w:t>贰</w:t>
      </w:r>
      <w:r>
        <w:rPr>
          <w:b/>
          <w:bCs/>
          <w:kern w:val="0"/>
          <w:sz w:val="24"/>
          <w:highlight w:val="none"/>
          <w:u w:val="single"/>
        </w:rPr>
        <w:t xml:space="preserve"> </w:t>
      </w:r>
      <w:r>
        <w:rPr>
          <w:b/>
          <w:bCs/>
          <w:kern w:val="0"/>
          <w:sz w:val="24"/>
          <w:highlight w:val="none"/>
        </w:rPr>
        <w:t>份，浙江开平企业管理咨询有限公司执一份，义乌市</w:t>
      </w:r>
      <w:r>
        <w:rPr>
          <w:rFonts w:hint="eastAsia"/>
          <w:b/>
          <w:bCs/>
          <w:kern w:val="0"/>
          <w:sz w:val="24"/>
          <w:highlight w:val="none"/>
        </w:rPr>
        <w:t>财政</w:t>
      </w:r>
      <w:r>
        <w:rPr>
          <w:b/>
          <w:bCs/>
          <w:kern w:val="0"/>
          <w:sz w:val="24"/>
          <w:highlight w:val="none"/>
        </w:rPr>
        <w:t>局执一份，均具同等效力。</w:t>
      </w:r>
    </w:p>
    <w:p>
      <w:pPr>
        <w:widowControl/>
        <w:spacing w:line="360" w:lineRule="auto"/>
        <w:ind w:firstLine="240" w:firstLineChars="100"/>
        <w:jc w:val="left"/>
        <w:rPr>
          <w:kern w:val="0"/>
          <w:sz w:val="24"/>
          <w:highlight w:val="none"/>
        </w:rPr>
      </w:pPr>
    </w:p>
    <w:p>
      <w:pPr>
        <w:widowControl/>
        <w:spacing w:line="360" w:lineRule="auto"/>
        <w:jc w:val="left"/>
        <w:rPr>
          <w:kern w:val="0"/>
          <w:sz w:val="24"/>
          <w:highlight w:val="none"/>
        </w:rPr>
      </w:pPr>
    </w:p>
    <w:p>
      <w:pPr>
        <w:widowControl/>
        <w:spacing w:line="360" w:lineRule="auto"/>
        <w:ind w:firstLine="240" w:firstLineChars="100"/>
        <w:jc w:val="left"/>
        <w:rPr>
          <w:kern w:val="0"/>
          <w:sz w:val="24"/>
          <w:highlight w:val="none"/>
        </w:rPr>
      </w:pPr>
      <w:r>
        <w:rPr>
          <w:kern w:val="0"/>
          <w:sz w:val="24"/>
          <w:highlight w:val="none"/>
        </w:rPr>
        <w:t>供    方：____________________需    方：________________________</w:t>
      </w:r>
    </w:p>
    <w:p>
      <w:pPr>
        <w:widowControl/>
        <w:spacing w:line="360" w:lineRule="auto"/>
        <w:ind w:firstLine="240" w:firstLineChars="100"/>
        <w:jc w:val="left"/>
        <w:rPr>
          <w:kern w:val="0"/>
          <w:sz w:val="24"/>
          <w:highlight w:val="none"/>
        </w:rPr>
      </w:pPr>
      <w:r>
        <w:rPr>
          <w:kern w:val="0"/>
          <w:sz w:val="24"/>
          <w:highlight w:val="none"/>
        </w:rPr>
        <w:t>地    址：____________________地    址：________________________</w:t>
      </w:r>
    </w:p>
    <w:p>
      <w:pPr>
        <w:widowControl/>
        <w:spacing w:line="360" w:lineRule="auto"/>
        <w:ind w:firstLine="240" w:firstLineChars="100"/>
        <w:jc w:val="left"/>
        <w:rPr>
          <w:kern w:val="0"/>
          <w:sz w:val="24"/>
          <w:highlight w:val="none"/>
        </w:rPr>
      </w:pPr>
      <w:r>
        <w:rPr>
          <w:kern w:val="0"/>
          <w:sz w:val="24"/>
          <w:highlight w:val="none"/>
        </w:rPr>
        <w:t>法定代表人：___________________法定代表人：______________________</w:t>
      </w:r>
    </w:p>
    <w:p>
      <w:pPr>
        <w:widowControl/>
        <w:spacing w:line="360" w:lineRule="auto"/>
        <w:ind w:firstLine="240" w:firstLineChars="100"/>
        <w:jc w:val="left"/>
        <w:rPr>
          <w:kern w:val="0"/>
          <w:sz w:val="24"/>
          <w:highlight w:val="none"/>
        </w:rPr>
      </w:pPr>
      <w:r>
        <w:rPr>
          <w:kern w:val="0"/>
          <w:sz w:val="24"/>
          <w:highlight w:val="none"/>
        </w:rPr>
        <w:t>授权代表：___________________ 授权代表：____________________</w:t>
      </w:r>
      <w:r>
        <w:rPr>
          <w:kern w:val="0"/>
          <w:sz w:val="24"/>
          <w:highlight w:val="none"/>
          <w:u w:val="single"/>
        </w:rPr>
        <w:t xml:space="preserve">    </w:t>
      </w:r>
    </w:p>
    <w:p>
      <w:pPr>
        <w:widowControl/>
        <w:spacing w:line="360" w:lineRule="auto"/>
        <w:ind w:firstLine="240" w:firstLineChars="100"/>
        <w:jc w:val="left"/>
        <w:rPr>
          <w:kern w:val="0"/>
          <w:sz w:val="24"/>
          <w:highlight w:val="none"/>
        </w:rPr>
      </w:pPr>
      <w:r>
        <w:rPr>
          <w:kern w:val="0"/>
          <w:sz w:val="24"/>
          <w:highlight w:val="none"/>
        </w:rPr>
        <w:t>电    话：____________________电    话：________________________</w:t>
      </w:r>
    </w:p>
    <w:p>
      <w:pPr>
        <w:widowControl/>
        <w:spacing w:line="360" w:lineRule="auto"/>
        <w:ind w:firstLine="240" w:firstLineChars="100"/>
        <w:jc w:val="left"/>
        <w:rPr>
          <w:kern w:val="0"/>
          <w:sz w:val="24"/>
          <w:highlight w:val="none"/>
        </w:rPr>
      </w:pPr>
      <w:r>
        <w:rPr>
          <w:kern w:val="0"/>
          <w:sz w:val="24"/>
          <w:highlight w:val="none"/>
        </w:rPr>
        <w:t>帐户名称：____________________帐户名称：________________________</w:t>
      </w:r>
    </w:p>
    <w:p>
      <w:pPr>
        <w:widowControl/>
        <w:spacing w:line="360" w:lineRule="auto"/>
        <w:ind w:firstLine="240" w:firstLineChars="100"/>
        <w:jc w:val="left"/>
        <w:rPr>
          <w:kern w:val="0"/>
          <w:sz w:val="24"/>
          <w:highlight w:val="none"/>
        </w:rPr>
      </w:pPr>
      <w:r>
        <w:rPr>
          <w:kern w:val="0"/>
          <w:sz w:val="24"/>
          <w:highlight w:val="none"/>
        </w:rPr>
        <w:t>开户银行：____________________开户银行：________________________</w:t>
      </w:r>
    </w:p>
    <w:p>
      <w:pPr>
        <w:widowControl/>
        <w:spacing w:line="360" w:lineRule="auto"/>
        <w:ind w:firstLine="240" w:firstLineChars="100"/>
        <w:jc w:val="left"/>
        <w:rPr>
          <w:kern w:val="0"/>
          <w:sz w:val="24"/>
          <w:highlight w:val="none"/>
        </w:rPr>
      </w:pPr>
      <w:r>
        <w:rPr>
          <w:kern w:val="0"/>
          <w:sz w:val="24"/>
          <w:highlight w:val="none"/>
        </w:rPr>
        <w:t>帐    号：____________________帐    号：________________________</w:t>
      </w:r>
    </w:p>
    <w:p>
      <w:pPr>
        <w:widowControl/>
        <w:spacing w:line="360" w:lineRule="auto"/>
        <w:ind w:firstLine="240" w:firstLineChars="100"/>
        <w:jc w:val="left"/>
        <w:rPr>
          <w:kern w:val="0"/>
          <w:sz w:val="24"/>
          <w:highlight w:val="none"/>
        </w:rPr>
      </w:pPr>
    </w:p>
    <w:p>
      <w:pPr>
        <w:widowControl/>
        <w:spacing w:line="360" w:lineRule="auto"/>
        <w:ind w:firstLine="240" w:firstLineChars="100"/>
        <w:jc w:val="left"/>
        <w:rPr>
          <w:kern w:val="0"/>
          <w:sz w:val="24"/>
          <w:highlight w:val="none"/>
        </w:rPr>
      </w:pPr>
    </w:p>
    <w:p>
      <w:pPr>
        <w:widowControl/>
        <w:spacing w:line="360" w:lineRule="auto"/>
        <w:ind w:firstLine="240" w:firstLineChars="100"/>
        <w:jc w:val="left"/>
        <w:rPr>
          <w:kern w:val="0"/>
          <w:sz w:val="24"/>
          <w:highlight w:val="none"/>
        </w:rPr>
      </w:pPr>
      <w:r>
        <w:rPr>
          <w:kern w:val="0"/>
          <w:sz w:val="24"/>
          <w:highlight w:val="none"/>
        </w:rPr>
        <w:t>签约时间：____________________签约地点：</w:t>
      </w:r>
      <w:r>
        <w:rPr>
          <w:kern w:val="0"/>
          <w:sz w:val="24"/>
          <w:highlight w:val="none"/>
          <w:u w:val="single"/>
        </w:rPr>
        <w:t xml:space="preserve">                        </w:t>
      </w:r>
      <w:r>
        <w:rPr>
          <w:kern w:val="0"/>
          <w:sz w:val="24"/>
          <w:highlight w:val="none"/>
        </w:rPr>
        <w:t xml:space="preserve"> </w:t>
      </w:r>
    </w:p>
    <w:p>
      <w:pPr>
        <w:widowControl/>
        <w:spacing w:before="340" w:after="330" w:line="270" w:lineRule="atLeast"/>
        <w:jc w:val="center"/>
        <w:outlineLvl w:val="0"/>
        <w:rPr>
          <w:bCs/>
          <w:kern w:val="36"/>
          <w:sz w:val="36"/>
          <w:szCs w:val="36"/>
          <w:highlight w:val="none"/>
        </w:rPr>
      </w:pPr>
      <w:r>
        <w:rPr>
          <w:b/>
          <w:bCs/>
          <w:kern w:val="36"/>
          <w:sz w:val="36"/>
          <w:szCs w:val="36"/>
          <w:highlight w:val="none"/>
        </w:rPr>
        <w:br w:type="page"/>
      </w:r>
      <w:r>
        <w:rPr>
          <w:b/>
          <w:bCs/>
          <w:kern w:val="36"/>
          <w:sz w:val="36"/>
          <w:szCs w:val="36"/>
          <w:highlight w:val="none"/>
        </w:rPr>
        <w:t xml:space="preserve">第八章  </w:t>
      </w:r>
      <w:r>
        <w:rPr>
          <w:rFonts w:eastAsia="黑体"/>
          <w:bCs/>
          <w:kern w:val="0"/>
          <w:sz w:val="36"/>
          <w:szCs w:val="36"/>
          <w:highlight w:val="none"/>
        </w:rPr>
        <w:t>附件</w:t>
      </w:r>
      <w:r>
        <w:rPr>
          <w:bCs/>
          <w:kern w:val="36"/>
          <w:sz w:val="36"/>
          <w:szCs w:val="36"/>
          <w:highlight w:val="none"/>
        </w:rPr>
        <w:t>—投标文件格式</w:t>
      </w:r>
    </w:p>
    <w:p>
      <w:pPr>
        <w:spacing w:before="156" w:beforeLines="50" w:after="156" w:afterLines="50" w:line="600" w:lineRule="exact"/>
        <w:rPr>
          <w:sz w:val="24"/>
          <w:highlight w:val="none"/>
        </w:rPr>
      </w:pPr>
      <w:r>
        <w:rPr>
          <w:sz w:val="24"/>
          <w:highlight w:val="none"/>
        </w:rPr>
        <w:t>一、技术标部分格式：</w:t>
      </w:r>
    </w:p>
    <w:p>
      <w:pPr>
        <w:tabs>
          <w:tab w:val="left" w:pos="1050"/>
        </w:tabs>
        <w:snapToGrid w:val="0"/>
        <w:spacing w:line="520" w:lineRule="exact"/>
        <w:ind w:left="528"/>
        <w:rPr>
          <w:sz w:val="24"/>
          <w:highlight w:val="none"/>
        </w:rPr>
      </w:pPr>
      <w:r>
        <w:rPr>
          <w:sz w:val="24"/>
          <w:highlight w:val="none"/>
        </w:rPr>
        <w:t>1、关于资格的声明函</w:t>
      </w:r>
    </w:p>
    <w:p>
      <w:pPr>
        <w:tabs>
          <w:tab w:val="left" w:pos="1050"/>
        </w:tabs>
        <w:snapToGrid w:val="0"/>
        <w:spacing w:line="520" w:lineRule="exact"/>
        <w:ind w:left="528"/>
        <w:rPr>
          <w:sz w:val="24"/>
          <w:highlight w:val="none"/>
        </w:rPr>
      </w:pPr>
      <w:r>
        <w:rPr>
          <w:sz w:val="24"/>
          <w:highlight w:val="none"/>
        </w:rPr>
        <w:t>2、法定代表人资格书（格式）</w:t>
      </w:r>
    </w:p>
    <w:p>
      <w:pPr>
        <w:tabs>
          <w:tab w:val="left" w:pos="1050"/>
        </w:tabs>
        <w:snapToGrid w:val="0"/>
        <w:spacing w:line="520" w:lineRule="exact"/>
        <w:ind w:left="528"/>
        <w:rPr>
          <w:sz w:val="24"/>
          <w:highlight w:val="none"/>
        </w:rPr>
      </w:pPr>
      <w:r>
        <w:rPr>
          <w:sz w:val="24"/>
          <w:highlight w:val="none"/>
        </w:rPr>
        <w:t>3、法定代表人授权书（格式）</w:t>
      </w:r>
    </w:p>
    <w:p>
      <w:pPr>
        <w:tabs>
          <w:tab w:val="left" w:pos="1050"/>
        </w:tabs>
        <w:snapToGrid w:val="0"/>
        <w:spacing w:line="520" w:lineRule="exact"/>
        <w:ind w:left="528"/>
        <w:rPr>
          <w:sz w:val="24"/>
          <w:highlight w:val="none"/>
        </w:rPr>
      </w:pPr>
      <w:r>
        <w:rPr>
          <w:sz w:val="24"/>
          <w:highlight w:val="none"/>
        </w:rPr>
        <w:t>4、义乌市政府采购项目投标承诺书</w:t>
      </w:r>
    </w:p>
    <w:p>
      <w:pPr>
        <w:spacing w:line="440" w:lineRule="exact"/>
        <w:ind w:firstLine="480" w:firstLineChars="200"/>
        <w:rPr>
          <w:sz w:val="24"/>
          <w:highlight w:val="none"/>
        </w:rPr>
      </w:pPr>
    </w:p>
    <w:p>
      <w:pPr>
        <w:spacing w:before="156" w:beforeLines="50" w:after="156" w:afterLines="50" w:line="600" w:lineRule="exact"/>
        <w:rPr>
          <w:sz w:val="24"/>
          <w:highlight w:val="none"/>
        </w:rPr>
      </w:pPr>
      <w:r>
        <w:rPr>
          <w:sz w:val="24"/>
          <w:highlight w:val="none"/>
        </w:rPr>
        <w:t>二、商务标投标文件部分格式：</w:t>
      </w:r>
    </w:p>
    <w:p>
      <w:pPr>
        <w:tabs>
          <w:tab w:val="left" w:pos="1050"/>
        </w:tabs>
        <w:spacing w:line="520" w:lineRule="exact"/>
        <w:ind w:left="528"/>
        <w:rPr>
          <w:sz w:val="24"/>
          <w:highlight w:val="none"/>
        </w:rPr>
      </w:pPr>
      <w:r>
        <w:rPr>
          <w:sz w:val="24"/>
          <w:highlight w:val="none"/>
        </w:rPr>
        <w:t>1、投标函格式</w:t>
      </w:r>
    </w:p>
    <w:p>
      <w:pPr>
        <w:tabs>
          <w:tab w:val="left" w:pos="1080"/>
        </w:tabs>
        <w:spacing w:line="520" w:lineRule="exact"/>
        <w:ind w:left="528"/>
        <w:rPr>
          <w:sz w:val="24"/>
          <w:highlight w:val="none"/>
        </w:rPr>
      </w:pPr>
      <w:r>
        <w:rPr>
          <w:sz w:val="24"/>
          <w:highlight w:val="none"/>
        </w:rPr>
        <w:t>2、报价一览表</w:t>
      </w:r>
      <w:r>
        <w:rPr>
          <w:rFonts w:hint="eastAsia"/>
          <w:sz w:val="24"/>
          <w:highlight w:val="none"/>
        </w:rPr>
        <w:t xml:space="preserve"> （</w:t>
      </w:r>
      <w:r>
        <w:rPr>
          <w:sz w:val="24"/>
          <w:highlight w:val="none"/>
        </w:rPr>
        <w:t>开标一览表</w:t>
      </w:r>
      <w:r>
        <w:rPr>
          <w:rFonts w:hint="eastAsia"/>
          <w:sz w:val="24"/>
          <w:highlight w:val="none"/>
        </w:rPr>
        <w:t>）</w:t>
      </w:r>
      <w:r>
        <w:rPr>
          <w:sz w:val="24"/>
          <w:highlight w:val="none"/>
        </w:rPr>
        <w:t>格式</w:t>
      </w:r>
    </w:p>
    <w:p>
      <w:pPr>
        <w:tabs>
          <w:tab w:val="left" w:pos="1080"/>
        </w:tabs>
        <w:spacing w:line="520" w:lineRule="exact"/>
        <w:ind w:left="528"/>
        <w:rPr>
          <w:sz w:val="24"/>
          <w:highlight w:val="none"/>
        </w:rPr>
      </w:pPr>
      <w:r>
        <w:rPr>
          <w:rFonts w:hint="eastAsia"/>
          <w:sz w:val="24"/>
          <w:highlight w:val="none"/>
        </w:rPr>
        <w:t>3、成本构成明细表</w:t>
      </w:r>
    </w:p>
    <w:p>
      <w:pPr>
        <w:tabs>
          <w:tab w:val="left" w:pos="1050"/>
        </w:tabs>
        <w:snapToGrid w:val="0"/>
        <w:spacing w:line="520" w:lineRule="exact"/>
        <w:ind w:left="528"/>
        <w:rPr>
          <w:sz w:val="24"/>
          <w:highlight w:val="none"/>
        </w:rPr>
      </w:pPr>
      <w:r>
        <w:rPr>
          <w:rFonts w:hint="eastAsia"/>
          <w:sz w:val="24"/>
          <w:highlight w:val="none"/>
        </w:rPr>
        <w:t>4</w:t>
      </w:r>
      <w:r>
        <w:rPr>
          <w:sz w:val="24"/>
          <w:highlight w:val="none"/>
        </w:rPr>
        <w:t>、残疾人福利性单位声明函</w:t>
      </w:r>
    </w:p>
    <w:p>
      <w:pPr>
        <w:tabs>
          <w:tab w:val="left" w:pos="1050"/>
        </w:tabs>
        <w:snapToGrid w:val="0"/>
        <w:spacing w:line="520" w:lineRule="exact"/>
        <w:ind w:left="528"/>
        <w:rPr>
          <w:sz w:val="24"/>
          <w:highlight w:val="none"/>
        </w:rPr>
      </w:pPr>
      <w:r>
        <w:rPr>
          <w:rFonts w:hint="eastAsia"/>
          <w:sz w:val="24"/>
          <w:highlight w:val="none"/>
        </w:rPr>
        <w:t>5</w:t>
      </w:r>
      <w:r>
        <w:rPr>
          <w:sz w:val="24"/>
          <w:highlight w:val="none"/>
        </w:rPr>
        <w:t>、监狱企业声明函</w:t>
      </w:r>
    </w:p>
    <w:p>
      <w:pPr>
        <w:tabs>
          <w:tab w:val="left" w:pos="1050"/>
        </w:tabs>
        <w:snapToGrid w:val="0"/>
        <w:spacing w:line="520" w:lineRule="exact"/>
        <w:ind w:left="528"/>
        <w:rPr>
          <w:sz w:val="24"/>
          <w:highlight w:val="none"/>
        </w:rPr>
      </w:pPr>
      <w:r>
        <w:rPr>
          <w:rFonts w:hint="eastAsia"/>
          <w:sz w:val="24"/>
          <w:highlight w:val="none"/>
        </w:rPr>
        <w:t>6</w:t>
      </w:r>
      <w:r>
        <w:rPr>
          <w:sz w:val="24"/>
          <w:highlight w:val="none"/>
        </w:rPr>
        <w:t>、中小企业声明函</w:t>
      </w:r>
    </w:p>
    <w:p>
      <w:pPr>
        <w:rPr>
          <w:sz w:val="30"/>
          <w:highlight w:val="none"/>
        </w:rPr>
      </w:pPr>
    </w:p>
    <w:p>
      <w:pPr>
        <w:rPr>
          <w:sz w:val="30"/>
          <w:highlight w:val="none"/>
        </w:rPr>
      </w:pPr>
    </w:p>
    <w:p>
      <w:pPr>
        <w:rPr>
          <w:sz w:val="30"/>
          <w:highlight w:val="none"/>
        </w:rPr>
      </w:pPr>
    </w:p>
    <w:p>
      <w:pPr>
        <w:rPr>
          <w:sz w:val="30"/>
          <w:highlight w:val="none"/>
        </w:rPr>
      </w:pPr>
    </w:p>
    <w:p>
      <w:pPr>
        <w:jc w:val="center"/>
        <w:rPr>
          <w:highlight w:val="none"/>
          <w:u w:val="single"/>
        </w:rPr>
      </w:pPr>
    </w:p>
    <w:p>
      <w:pPr>
        <w:widowControl/>
        <w:tabs>
          <w:tab w:val="left" w:pos="0"/>
        </w:tabs>
        <w:snapToGrid w:val="0"/>
        <w:spacing w:line="360" w:lineRule="auto"/>
        <w:jc w:val="left"/>
        <w:rPr>
          <w:b/>
          <w:bCs/>
          <w:kern w:val="0"/>
          <w:sz w:val="32"/>
          <w:szCs w:val="32"/>
          <w:highlight w:val="none"/>
        </w:rPr>
      </w:pPr>
    </w:p>
    <w:p>
      <w:pPr>
        <w:widowControl/>
        <w:tabs>
          <w:tab w:val="left" w:pos="0"/>
        </w:tabs>
        <w:snapToGrid w:val="0"/>
        <w:spacing w:line="360" w:lineRule="auto"/>
        <w:jc w:val="left"/>
        <w:rPr>
          <w:b/>
          <w:bCs/>
          <w:kern w:val="0"/>
          <w:sz w:val="32"/>
          <w:szCs w:val="32"/>
          <w:highlight w:val="none"/>
        </w:rPr>
      </w:pPr>
    </w:p>
    <w:p>
      <w:pPr>
        <w:widowControl/>
        <w:tabs>
          <w:tab w:val="left" w:pos="0"/>
        </w:tabs>
        <w:snapToGrid w:val="0"/>
        <w:spacing w:line="360" w:lineRule="auto"/>
        <w:jc w:val="left"/>
        <w:rPr>
          <w:b/>
          <w:bCs/>
          <w:kern w:val="0"/>
          <w:sz w:val="32"/>
          <w:szCs w:val="32"/>
          <w:highlight w:val="none"/>
        </w:rPr>
      </w:pPr>
    </w:p>
    <w:p>
      <w:pPr>
        <w:widowControl/>
        <w:tabs>
          <w:tab w:val="left" w:pos="0"/>
        </w:tabs>
        <w:snapToGrid w:val="0"/>
        <w:spacing w:line="360" w:lineRule="auto"/>
        <w:jc w:val="left"/>
        <w:rPr>
          <w:b/>
          <w:bCs/>
          <w:kern w:val="0"/>
          <w:sz w:val="32"/>
          <w:szCs w:val="32"/>
          <w:highlight w:val="none"/>
        </w:rPr>
      </w:pPr>
    </w:p>
    <w:p>
      <w:pPr>
        <w:widowControl/>
        <w:tabs>
          <w:tab w:val="left" w:pos="0"/>
        </w:tabs>
        <w:snapToGrid w:val="0"/>
        <w:spacing w:line="360" w:lineRule="auto"/>
        <w:jc w:val="left"/>
        <w:rPr>
          <w:rFonts w:hint="eastAsia"/>
          <w:b/>
          <w:bCs/>
          <w:kern w:val="0"/>
          <w:sz w:val="32"/>
          <w:szCs w:val="32"/>
          <w:highlight w:val="none"/>
        </w:rPr>
      </w:pPr>
    </w:p>
    <w:p>
      <w:pPr>
        <w:widowControl/>
        <w:tabs>
          <w:tab w:val="left" w:pos="0"/>
        </w:tabs>
        <w:snapToGrid w:val="0"/>
        <w:spacing w:line="360" w:lineRule="auto"/>
        <w:jc w:val="left"/>
        <w:rPr>
          <w:rFonts w:hint="eastAsia"/>
          <w:b/>
          <w:bCs/>
          <w:kern w:val="0"/>
          <w:sz w:val="32"/>
          <w:szCs w:val="32"/>
          <w:highlight w:val="none"/>
        </w:rPr>
      </w:pPr>
    </w:p>
    <w:p>
      <w:pPr>
        <w:widowControl/>
        <w:tabs>
          <w:tab w:val="left" w:pos="0"/>
        </w:tabs>
        <w:snapToGrid w:val="0"/>
        <w:spacing w:line="360" w:lineRule="auto"/>
        <w:jc w:val="left"/>
        <w:rPr>
          <w:b/>
          <w:bCs/>
          <w:kern w:val="0"/>
          <w:sz w:val="32"/>
          <w:szCs w:val="32"/>
          <w:highlight w:val="none"/>
        </w:rPr>
      </w:pPr>
    </w:p>
    <w:p>
      <w:pPr>
        <w:widowControl/>
        <w:tabs>
          <w:tab w:val="left" w:pos="0"/>
        </w:tabs>
        <w:snapToGrid w:val="0"/>
        <w:spacing w:line="360" w:lineRule="auto"/>
        <w:jc w:val="left"/>
        <w:rPr>
          <w:b/>
          <w:bCs/>
          <w:kern w:val="0"/>
          <w:sz w:val="32"/>
          <w:szCs w:val="32"/>
          <w:highlight w:val="none"/>
        </w:rPr>
      </w:pPr>
      <w:r>
        <w:rPr>
          <w:kern w:val="0"/>
          <w:highlight w:val="none"/>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99060</wp:posOffset>
                </wp:positionV>
                <wp:extent cx="1028700" cy="495300"/>
                <wp:effectExtent l="4445" t="4445" r="14605" b="14605"/>
                <wp:wrapNone/>
                <wp:docPr id="1" name="Text Box 2"/>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tLeast"/>
                              <w:rPr>
                                <w:rFonts w:ascii="Verdana" w:hAnsi="Verdana"/>
                                <w:b/>
                                <w:sz w:val="28"/>
                                <w:szCs w:val="28"/>
                              </w:rPr>
                            </w:pPr>
                            <w:r>
                              <w:rPr>
                                <w:rFonts w:hint="eastAsia"/>
                                <w:b/>
                                <w:sz w:val="28"/>
                                <w:szCs w:val="28"/>
                              </w:rPr>
                              <w:t>正（副）本</w:t>
                            </w:r>
                          </w:p>
                        </w:txbxContent>
                      </wps:txbx>
                      <wps:bodyPr wrap="square" upright="1"/>
                    </wps:wsp>
                  </a:graphicData>
                </a:graphic>
              </wp:anchor>
            </w:drawing>
          </mc:Choice>
          <mc:Fallback>
            <w:pict>
              <v:shape id="Text Box 2" o:spid="_x0000_s1026" o:spt="202" type="#_x0000_t202" style="position:absolute;left:0pt;margin-left:378pt;margin-top:7.8pt;height:39pt;width:81pt;z-index:251659264;mso-width-relative:page;mso-height-relative:page;" fillcolor="#FFFFFF" filled="t" stroked="t" coordsize="21600,21600" o:gfxdata="UEsDBAoAAAAAAIdO4kAAAAAAAAAAAAAAAAAEAAAAZHJzL1BLAwQUAAAACACHTuJAKIk1g9gAAAAJ AQAADwAAAGRycy9kb3ducmV2LnhtbE2PQU/DMAyF70j8h8hIXBBLy1jWlaY7IIHgNgaCa9Z4bUXi lCbrxr/HnOBm+z09f69an7wTE46xD6Qhn2UgkJpge2o1vL0+XBcgYjJkjQuEGr4xwro+P6tMacOR XnDaplZwCMXSaOhSGkopY9OhN3EWBiTW9mH0JvE6ttKO5sjh3smbLFPSm574Q2cGvO+w+dwevIbi 9mn6iM/zzXuj9m6VrpbT49eo9eVFnt2BSHhKf2b4xWd0qJlpFw5ko3AalgvFXRILCwWCDau84MOO h7kCWVfyf4P6B1BLAwQUAAAACACHTuJAdMQYWwICAABDBAAADgAAAGRycy9lMm9Eb2MueG1srVNN j9MwEL0j8R8s39lkC4XdqOlKUMoFAdIuP2BqO4klf+Fxm/TfM3ZK9wMOPZCDM/Y8v5l5M17dTdaw g4qovWv59VXNmXLCS+36lv982L654QwTOAnGO9Xyo0J+t379ajWGRi384I1UkRGJw2YMLR9SCk1V oRiUBbzyQTlydj5aSLSNfSUjjMRuTbWo6/fV6KMM0QuFSKeb2clPjPESQt91WqiNF3urXJpZozKQ qCQcdEC+Ltl2nRLpe9ehSsy0nCpNZaUgZO/yWq1X0PQRwqDFKQW4JIUXNVnQjoKeqTaQgO2j/ovK ahE9+i5dCW+ruZCiCFVxXb/Q5n6AoEotJDWGs+j4/2jFt8OPyLSkSeDMgaWGP6gpsY9+Youszhiw IdB9IFia6DgjT+dIh7noqYs2/6kcRn7S9njWNpOJfKle3HyoySXI9+52+ZZsoqkeb4eI6YvylmWj 5ZF6VySFw1dMM/QPJAdDb7TcamPKJva7TyayA1Cft+U7sT+DGcfGlt8uF0vKA2h4OxoaMm0gAdD1 Jd6zG/iUuC7fv4hzYhvAYU6gMGQYNFYnFYs1KJCfnWTpGEhkR2+L52SskpwZRU8xWwWZQJtLkKSd cSRhbtHcimylaTcRTTZ3Xh6pbSONN5X3aw+RYu5D1P1AApc2lss0W6UTp3eQh/fpvoR4fPvr3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HMEAABb Q29udGVudF9UeXBlc10ueG1sUEsBAhQACgAAAAAAh07iQAAAAAAAAAAAAAAAAAYAAAAAAAAAAAAQ AAAAVQMAAF9yZWxzL1BLAQIUABQAAAAIAIdO4kCKFGY80QAAAJQBAAALAAAAAAAAAAEAIAAAAHkD AABfcmVscy8ucmVsc1BLAQIUAAoAAAAAAIdO4kAAAAAAAAAAAAAAAAAEAAAAAAAAAAAAEAAAAAAA AABkcnMvUEsBAhQAFAAAAAgAh07iQCiJNYPYAAAACQEAAA8AAAAAAAAAAQAgAAAAIgAAAGRycy9k b3ducmV2LnhtbFBLAQIUABQAAAAIAIdO4kB0xBhbAgIAAEMEAAAOAAAAAAAAAAEAIAAAACcBAABk cnMvZTJvRG9jLnhtbFBLBQYAAAAABgAGAFkBAACbBQAAAAA= ">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bookmarkStart w:id="29" w:name="_Toc350938485"/>
      <w:r>
        <w:rPr>
          <w:rFonts w:eastAsia="黑体"/>
          <w:b/>
          <w:bCs/>
          <w:kern w:val="0"/>
          <w:sz w:val="36"/>
          <w:szCs w:val="36"/>
          <w:highlight w:val="none"/>
        </w:rPr>
        <w:t>附件</w:t>
      </w:r>
      <w:r>
        <w:rPr>
          <w:b/>
          <w:bCs/>
          <w:kern w:val="0"/>
          <w:sz w:val="36"/>
          <w:szCs w:val="36"/>
          <w:highlight w:val="none"/>
        </w:rPr>
        <w:t xml:space="preserve">1                  </w:t>
      </w:r>
      <w:r>
        <w:rPr>
          <w:rFonts w:eastAsia="黑体"/>
          <w:b/>
          <w:bCs/>
          <w:kern w:val="0"/>
          <w:sz w:val="36"/>
          <w:szCs w:val="36"/>
          <w:highlight w:val="none"/>
        </w:rPr>
        <w:t>封面格式</w:t>
      </w:r>
      <w:r>
        <w:rPr>
          <w:b/>
          <w:bCs/>
          <w:kern w:val="0"/>
          <w:sz w:val="36"/>
          <w:szCs w:val="36"/>
          <w:highlight w:val="none"/>
        </w:rPr>
        <w:t>1</w:t>
      </w:r>
      <w:bookmarkEnd w:id="29"/>
    </w:p>
    <w:p>
      <w:pPr>
        <w:widowControl/>
        <w:tabs>
          <w:tab w:val="left" w:pos="8280"/>
        </w:tabs>
        <w:spacing w:line="360" w:lineRule="auto"/>
        <w:ind w:firstLine="480"/>
        <w:jc w:val="center"/>
        <w:rPr>
          <w:rFonts w:eastAsia="仿宋_GB2312"/>
          <w:b/>
          <w:kern w:val="0"/>
          <w:sz w:val="32"/>
          <w:szCs w:val="32"/>
          <w:highlight w:val="none"/>
        </w:rPr>
      </w:pPr>
    </w:p>
    <w:p>
      <w:pPr>
        <w:pStyle w:val="185"/>
        <w:rPr>
          <w:highlight w:val="none"/>
          <w:lang w:val="en-US"/>
        </w:rPr>
      </w:pPr>
    </w:p>
    <w:p>
      <w:pPr>
        <w:widowControl/>
        <w:tabs>
          <w:tab w:val="left" w:pos="450"/>
          <w:tab w:val="left" w:pos="8280"/>
        </w:tabs>
        <w:spacing w:line="360" w:lineRule="auto"/>
        <w:jc w:val="left"/>
        <w:rPr>
          <w:rFonts w:eastAsia="仿宋_GB2312"/>
          <w:b/>
          <w:kern w:val="0"/>
          <w:sz w:val="44"/>
          <w:szCs w:val="44"/>
          <w:highlight w:val="none"/>
        </w:rPr>
      </w:pPr>
      <w:r>
        <w:rPr>
          <w:rFonts w:eastAsia="仿宋_GB2312"/>
          <w:b/>
          <w:kern w:val="0"/>
          <w:sz w:val="36"/>
          <w:szCs w:val="36"/>
          <w:highlight w:val="none"/>
          <w:u w:val="single"/>
        </w:rPr>
        <w:t xml:space="preserve">                            </w:t>
      </w:r>
      <w:r>
        <w:rPr>
          <w:rFonts w:eastAsia="仿宋_GB2312"/>
          <w:b/>
          <w:kern w:val="0"/>
          <w:sz w:val="44"/>
          <w:szCs w:val="44"/>
          <w:highlight w:val="none"/>
        </w:rPr>
        <w:t>项目</w:t>
      </w:r>
      <w:r>
        <w:rPr>
          <w:rFonts w:hint="eastAsia" w:eastAsia="仿宋_GB2312"/>
          <w:b/>
          <w:kern w:val="0"/>
          <w:sz w:val="44"/>
          <w:szCs w:val="44"/>
          <w:highlight w:val="none"/>
        </w:rPr>
        <w:t>（标段</w:t>
      </w:r>
      <w:r>
        <w:rPr>
          <w:rFonts w:hint="eastAsia" w:eastAsia="仿宋_GB2312"/>
          <w:b/>
          <w:kern w:val="0"/>
          <w:sz w:val="44"/>
          <w:szCs w:val="44"/>
          <w:highlight w:val="none"/>
          <w:u w:val="single"/>
        </w:rPr>
        <w:t xml:space="preserve">    </w:t>
      </w:r>
      <w:r>
        <w:rPr>
          <w:rFonts w:hint="eastAsia" w:eastAsia="仿宋_GB2312"/>
          <w:b/>
          <w:kern w:val="0"/>
          <w:sz w:val="44"/>
          <w:szCs w:val="44"/>
          <w:highlight w:val="none"/>
        </w:rPr>
        <w:t>）</w:t>
      </w:r>
    </w:p>
    <w:p>
      <w:pPr>
        <w:widowControl/>
        <w:tabs>
          <w:tab w:val="left" w:pos="450"/>
          <w:tab w:val="left" w:pos="8280"/>
        </w:tabs>
        <w:spacing w:line="360" w:lineRule="auto"/>
        <w:ind w:firstLine="1078" w:firstLineChars="245"/>
        <w:jc w:val="left"/>
        <w:rPr>
          <w:rFonts w:eastAsia="仿宋_GB2312"/>
          <w:b/>
          <w:kern w:val="0"/>
          <w:sz w:val="44"/>
          <w:szCs w:val="44"/>
          <w:highlight w:val="none"/>
        </w:rPr>
      </w:pPr>
    </w:p>
    <w:p>
      <w:pPr>
        <w:widowControl/>
        <w:tabs>
          <w:tab w:val="left" w:pos="450"/>
          <w:tab w:val="left" w:pos="8280"/>
        </w:tabs>
        <w:spacing w:line="360" w:lineRule="auto"/>
        <w:ind w:firstLine="480"/>
        <w:jc w:val="center"/>
        <w:rPr>
          <w:rFonts w:eastAsia="仿宋_GB2312"/>
          <w:b/>
          <w:kern w:val="0"/>
          <w:sz w:val="44"/>
          <w:szCs w:val="44"/>
          <w:highlight w:val="none"/>
        </w:rPr>
      </w:pPr>
    </w:p>
    <w:p>
      <w:pPr>
        <w:widowControl/>
        <w:tabs>
          <w:tab w:val="left" w:pos="450"/>
          <w:tab w:val="left" w:pos="8280"/>
        </w:tabs>
        <w:spacing w:line="360" w:lineRule="auto"/>
        <w:ind w:firstLine="480"/>
        <w:jc w:val="center"/>
        <w:rPr>
          <w:rFonts w:eastAsia="仿宋_GB2312"/>
          <w:b/>
          <w:kern w:val="0"/>
          <w:sz w:val="44"/>
          <w:szCs w:val="44"/>
          <w:highlight w:val="none"/>
        </w:rPr>
      </w:pPr>
      <w:r>
        <w:rPr>
          <w:rFonts w:eastAsia="仿宋_GB2312"/>
          <w:b/>
          <w:kern w:val="0"/>
          <w:sz w:val="44"/>
          <w:szCs w:val="44"/>
          <w:highlight w:val="none"/>
        </w:rPr>
        <w:t>投标文件</w:t>
      </w:r>
    </w:p>
    <w:p>
      <w:pPr>
        <w:widowControl/>
        <w:tabs>
          <w:tab w:val="left" w:pos="8280"/>
        </w:tabs>
        <w:spacing w:line="360" w:lineRule="auto"/>
        <w:ind w:firstLine="480"/>
        <w:jc w:val="center"/>
        <w:rPr>
          <w:rFonts w:eastAsia="仿宋_GB2312"/>
          <w:b/>
          <w:kern w:val="0"/>
          <w:sz w:val="32"/>
          <w:szCs w:val="32"/>
          <w:highlight w:val="none"/>
        </w:rPr>
      </w:pPr>
      <w:r>
        <w:rPr>
          <w:rFonts w:eastAsia="仿宋_GB2312"/>
          <w:b/>
          <w:kern w:val="0"/>
          <w:sz w:val="32"/>
          <w:szCs w:val="32"/>
          <w:highlight w:val="none"/>
        </w:rPr>
        <w:t>（技术文件）</w:t>
      </w:r>
    </w:p>
    <w:p>
      <w:pPr>
        <w:widowControl/>
        <w:tabs>
          <w:tab w:val="left" w:pos="275"/>
          <w:tab w:val="left" w:pos="8280"/>
        </w:tabs>
        <w:spacing w:line="360" w:lineRule="auto"/>
        <w:ind w:firstLine="480"/>
        <w:jc w:val="left"/>
        <w:rPr>
          <w:rFonts w:eastAsia="仿宋_GB2312"/>
          <w:b/>
          <w:kern w:val="0"/>
          <w:sz w:val="36"/>
          <w:szCs w:val="36"/>
          <w:highlight w:val="none"/>
        </w:rPr>
      </w:pPr>
      <w:r>
        <w:rPr>
          <w:rFonts w:eastAsia="仿宋_GB2312"/>
          <w:b/>
          <w:kern w:val="0"/>
          <w:sz w:val="36"/>
          <w:szCs w:val="36"/>
          <w:highlight w:val="none"/>
        </w:rPr>
        <w:tab/>
      </w:r>
    </w:p>
    <w:p>
      <w:pPr>
        <w:widowControl/>
        <w:tabs>
          <w:tab w:val="left" w:pos="275"/>
          <w:tab w:val="left" w:pos="8280"/>
        </w:tabs>
        <w:spacing w:line="360" w:lineRule="auto"/>
        <w:ind w:firstLine="480"/>
        <w:jc w:val="left"/>
        <w:rPr>
          <w:rFonts w:eastAsia="仿宋_GB2312"/>
          <w:b/>
          <w:kern w:val="0"/>
          <w:sz w:val="32"/>
          <w:szCs w:val="32"/>
          <w:highlight w:val="none"/>
        </w:rPr>
      </w:pPr>
    </w:p>
    <w:p>
      <w:pPr>
        <w:widowControl/>
        <w:tabs>
          <w:tab w:val="left" w:pos="275"/>
          <w:tab w:val="left" w:pos="8280"/>
        </w:tabs>
        <w:spacing w:line="360" w:lineRule="auto"/>
        <w:ind w:firstLine="480"/>
        <w:jc w:val="left"/>
        <w:rPr>
          <w:rFonts w:eastAsia="仿宋_GB2312"/>
          <w:b/>
          <w:kern w:val="0"/>
          <w:sz w:val="32"/>
          <w:szCs w:val="32"/>
          <w:highlight w:val="none"/>
        </w:rPr>
      </w:pPr>
    </w:p>
    <w:p>
      <w:pPr>
        <w:widowControl/>
        <w:tabs>
          <w:tab w:val="left" w:pos="275"/>
          <w:tab w:val="left" w:pos="8280"/>
        </w:tabs>
        <w:spacing w:line="360" w:lineRule="auto"/>
        <w:ind w:firstLine="480"/>
        <w:jc w:val="left"/>
        <w:rPr>
          <w:rFonts w:eastAsia="仿宋_GB2312"/>
          <w:b/>
          <w:kern w:val="0"/>
          <w:sz w:val="32"/>
          <w:szCs w:val="32"/>
          <w:highlight w:val="none"/>
        </w:rPr>
      </w:pPr>
    </w:p>
    <w:p>
      <w:pPr>
        <w:widowControl/>
        <w:tabs>
          <w:tab w:val="left" w:pos="275"/>
          <w:tab w:val="left" w:pos="8280"/>
        </w:tabs>
        <w:spacing w:line="360" w:lineRule="auto"/>
        <w:ind w:firstLine="313" w:firstLineChars="98"/>
        <w:jc w:val="left"/>
        <w:rPr>
          <w:rFonts w:eastAsia="仿宋_GB2312"/>
          <w:b/>
          <w:kern w:val="0"/>
          <w:sz w:val="36"/>
          <w:szCs w:val="36"/>
          <w:highlight w:val="none"/>
        </w:rPr>
      </w:pPr>
      <w:r>
        <w:rPr>
          <w:rFonts w:eastAsia="仿宋_GB2312"/>
          <w:b/>
          <w:kern w:val="0"/>
          <w:sz w:val="32"/>
          <w:szCs w:val="32"/>
          <w:highlight w:val="none"/>
        </w:rPr>
        <w:t>采购项目编号：</w:t>
      </w:r>
      <w:r>
        <w:rPr>
          <w:rFonts w:eastAsia="仿宋_GB2312"/>
          <w:b/>
          <w:kern w:val="0"/>
          <w:sz w:val="36"/>
          <w:szCs w:val="36"/>
          <w:highlight w:val="none"/>
          <w:u w:val="single"/>
        </w:rPr>
        <w:t xml:space="preserve">                                 </w:t>
      </w:r>
    </w:p>
    <w:p>
      <w:pPr>
        <w:widowControl/>
        <w:tabs>
          <w:tab w:val="left" w:pos="765"/>
          <w:tab w:val="left" w:pos="8280"/>
        </w:tabs>
        <w:spacing w:line="360" w:lineRule="auto"/>
        <w:ind w:firstLine="480"/>
        <w:jc w:val="left"/>
        <w:rPr>
          <w:rFonts w:eastAsia="仿宋_GB2312"/>
          <w:b/>
          <w:kern w:val="0"/>
          <w:sz w:val="36"/>
          <w:szCs w:val="36"/>
          <w:highlight w:val="none"/>
        </w:rPr>
      </w:pPr>
      <w:r>
        <w:rPr>
          <w:rFonts w:eastAsia="仿宋_GB2312"/>
          <w:b/>
          <w:kern w:val="0"/>
          <w:sz w:val="36"/>
          <w:szCs w:val="36"/>
          <w:highlight w:val="none"/>
        </w:rPr>
        <w:tab/>
      </w:r>
    </w:p>
    <w:p>
      <w:pPr>
        <w:widowControl/>
        <w:tabs>
          <w:tab w:val="left" w:pos="765"/>
          <w:tab w:val="left" w:pos="8280"/>
        </w:tabs>
        <w:spacing w:line="360" w:lineRule="auto"/>
        <w:ind w:firstLine="313" w:firstLineChars="98"/>
        <w:jc w:val="left"/>
        <w:rPr>
          <w:rFonts w:eastAsia="仿宋_GB2312"/>
          <w:b/>
          <w:kern w:val="0"/>
          <w:sz w:val="36"/>
          <w:szCs w:val="36"/>
          <w:highlight w:val="none"/>
        </w:rPr>
      </w:pPr>
      <w:r>
        <w:rPr>
          <w:rFonts w:hint="eastAsia" w:eastAsia="仿宋_GB2312"/>
          <w:b/>
          <w:kern w:val="0"/>
          <w:sz w:val="32"/>
          <w:szCs w:val="32"/>
          <w:highlight w:val="none"/>
        </w:rPr>
        <w:t>投标人</w:t>
      </w:r>
      <w:r>
        <w:rPr>
          <w:rFonts w:eastAsia="仿宋_GB2312"/>
          <w:b/>
          <w:kern w:val="0"/>
          <w:sz w:val="32"/>
          <w:szCs w:val="32"/>
          <w:highlight w:val="none"/>
        </w:rPr>
        <w:t>（公章）：</w:t>
      </w:r>
      <w:r>
        <w:rPr>
          <w:rFonts w:eastAsia="仿宋_GB2312"/>
          <w:b/>
          <w:kern w:val="0"/>
          <w:sz w:val="36"/>
          <w:szCs w:val="36"/>
          <w:highlight w:val="none"/>
          <w:u w:val="single"/>
        </w:rPr>
        <w:t xml:space="preserve">                                </w:t>
      </w:r>
    </w:p>
    <w:p>
      <w:pPr>
        <w:widowControl/>
        <w:tabs>
          <w:tab w:val="left" w:pos="8280"/>
        </w:tabs>
        <w:spacing w:line="360" w:lineRule="auto"/>
        <w:ind w:firstLine="480"/>
        <w:jc w:val="center"/>
        <w:rPr>
          <w:rFonts w:eastAsia="仿宋_GB2312"/>
          <w:b/>
          <w:kern w:val="0"/>
          <w:sz w:val="32"/>
          <w:szCs w:val="32"/>
          <w:highlight w:val="none"/>
        </w:rPr>
      </w:pPr>
    </w:p>
    <w:p>
      <w:pPr>
        <w:widowControl/>
        <w:tabs>
          <w:tab w:val="left" w:pos="350"/>
          <w:tab w:val="left" w:pos="8280"/>
        </w:tabs>
        <w:spacing w:line="360" w:lineRule="auto"/>
        <w:ind w:firstLine="313" w:firstLineChars="98"/>
        <w:jc w:val="left"/>
        <w:rPr>
          <w:rFonts w:eastAsia="仿宋_GB2312"/>
          <w:b/>
          <w:kern w:val="0"/>
          <w:sz w:val="32"/>
          <w:szCs w:val="32"/>
          <w:highlight w:val="none"/>
        </w:rPr>
      </w:pPr>
      <w:r>
        <w:rPr>
          <w:rFonts w:hint="eastAsia" w:eastAsia="仿宋_GB2312"/>
          <w:b/>
          <w:kern w:val="0"/>
          <w:sz w:val="32"/>
          <w:szCs w:val="32"/>
          <w:highlight w:val="none"/>
        </w:rPr>
        <w:t>投标人</w:t>
      </w:r>
      <w:r>
        <w:rPr>
          <w:rFonts w:eastAsia="仿宋_GB2312"/>
          <w:b/>
          <w:kern w:val="0"/>
          <w:sz w:val="32"/>
          <w:szCs w:val="32"/>
          <w:highlight w:val="none"/>
        </w:rPr>
        <w:t>法定代表人或其委托人（签字）：</w:t>
      </w:r>
      <w:r>
        <w:rPr>
          <w:rFonts w:eastAsia="仿宋_GB2312"/>
          <w:b/>
          <w:kern w:val="0"/>
          <w:sz w:val="36"/>
          <w:szCs w:val="36"/>
          <w:highlight w:val="none"/>
          <w:u w:val="single"/>
        </w:rPr>
        <w:t xml:space="preserve">                            </w:t>
      </w:r>
    </w:p>
    <w:p>
      <w:pPr>
        <w:widowControl/>
        <w:tabs>
          <w:tab w:val="left" w:pos="8280"/>
        </w:tabs>
        <w:spacing w:line="360" w:lineRule="auto"/>
        <w:rPr>
          <w:rFonts w:eastAsia="仿宋_GB2312"/>
          <w:b/>
          <w:kern w:val="0"/>
          <w:sz w:val="32"/>
          <w:szCs w:val="32"/>
          <w:highlight w:val="none"/>
        </w:rPr>
      </w:pPr>
    </w:p>
    <w:p>
      <w:pPr>
        <w:widowControl/>
        <w:tabs>
          <w:tab w:val="left" w:pos="350"/>
          <w:tab w:val="left" w:pos="8280"/>
        </w:tabs>
        <w:spacing w:line="360" w:lineRule="auto"/>
        <w:ind w:firstLine="480"/>
        <w:jc w:val="left"/>
        <w:rPr>
          <w:rFonts w:eastAsia="仿宋_GB2312"/>
          <w:b/>
          <w:kern w:val="0"/>
          <w:sz w:val="32"/>
          <w:szCs w:val="32"/>
          <w:highlight w:val="none"/>
        </w:rPr>
      </w:pPr>
      <w:r>
        <w:rPr>
          <w:rFonts w:eastAsia="仿宋_GB2312"/>
          <w:b/>
          <w:kern w:val="0"/>
          <w:sz w:val="36"/>
          <w:szCs w:val="36"/>
          <w:highlight w:val="none"/>
        </w:rPr>
        <w:t xml:space="preserve">                   </w:t>
      </w:r>
      <w:r>
        <w:rPr>
          <w:rFonts w:eastAsia="仿宋_GB2312"/>
          <w:b/>
          <w:kern w:val="0"/>
          <w:sz w:val="32"/>
          <w:szCs w:val="32"/>
          <w:highlight w:val="none"/>
        </w:rPr>
        <w:t>年</w:t>
      </w:r>
      <w:r>
        <w:rPr>
          <w:rFonts w:eastAsia="仿宋_GB2312"/>
          <w:b/>
          <w:kern w:val="0"/>
          <w:sz w:val="36"/>
          <w:szCs w:val="36"/>
          <w:highlight w:val="none"/>
        </w:rPr>
        <w:t xml:space="preserve">     </w:t>
      </w:r>
      <w:r>
        <w:rPr>
          <w:rFonts w:eastAsia="仿宋_GB2312"/>
          <w:b/>
          <w:kern w:val="0"/>
          <w:sz w:val="32"/>
          <w:szCs w:val="32"/>
          <w:highlight w:val="none"/>
        </w:rPr>
        <w:t>月</w:t>
      </w:r>
      <w:r>
        <w:rPr>
          <w:rFonts w:eastAsia="仿宋_GB2312"/>
          <w:b/>
          <w:kern w:val="0"/>
          <w:sz w:val="36"/>
          <w:szCs w:val="36"/>
          <w:highlight w:val="none"/>
        </w:rPr>
        <w:t xml:space="preserve">     </w:t>
      </w:r>
      <w:r>
        <w:rPr>
          <w:rFonts w:eastAsia="仿宋_GB2312"/>
          <w:b/>
          <w:kern w:val="0"/>
          <w:sz w:val="32"/>
          <w:szCs w:val="32"/>
          <w:highlight w:val="none"/>
        </w:rPr>
        <w:t>日</w:t>
      </w:r>
    </w:p>
    <w:p>
      <w:pPr>
        <w:widowControl/>
        <w:tabs>
          <w:tab w:val="left" w:pos="0"/>
        </w:tabs>
        <w:snapToGrid w:val="0"/>
        <w:spacing w:line="360" w:lineRule="auto"/>
        <w:rPr>
          <w:rFonts w:hint="eastAsia" w:eastAsia="黑体"/>
          <w:b/>
          <w:bCs/>
          <w:kern w:val="0"/>
          <w:sz w:val="36"/>
          <w:szCs w:val="36"/>
          <w:highlight w:val="none"/>
        </w:rPr>
      </w:pPr>
      <w:r>
        <w:rPr>
          <w:rFonts w:eastAsia="黑体"/>
          <w:b/>
          <w:bCs/>
          <w:kern w:val="0"/>
          <w:sz w:val="36"/>
          <w:szCs w:val="36"/>
          <w:highlight w:val="none"/>
        </w:rPr>
        <w:br w:type="page"/>
      </w:r>
    </w:p>
    <w:p>
      <w:pPr>
        <w:widowControl/>
        <w:tabs>
          <w:tab w:val="left" w:pos="0"/>
        </w:tabs>
        <w:snapToGrid w:val="0"/>
        <w:spacing w:line="360" w:lineRule="auto"/>
        <w:rPr>
          <w:b/>
          <w:bCs/>
          <w:kern w:val="0"/>
          <w:sz w:val="32"/>
          <w:szCs w:val="32"/>
          <w:highlight w:val="none"/>
        </w:rPr>
      </w:pPr>
      <w:r>
        <w:rPr>
          <w:rFonts w:eastAsia="黑体"/>
          <w:b/>
          <w:bCs/>
          <w:kern w:val="0"/>
          <w:sz w:val="36"/>
          <w:szCs w:val="36"/>
          <w:highlight w:val="none"/>
        </w:rPr>
        <w:t>附件</w:t>
      </w:r>
      <w:r>
        <w:rPr>
          <w:b/>
          <w:bCs/>
          <w:kern w:val="0"/>
          <w:sz w:val="36"/>
          <w:szCs w:val="36"/>
          <w:highlight w:val="none"/>
        </w:rPr>
        <w:t>2</w:t>
      </w:r>
      <w:r>
        <w:rPr>
          <w:kern w:val="0"/>
          <w:highlight w:val="none"/>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99060</wp:posOffset>
                </wp:positionV>
                <wp:extent cx="1028700" cy="4953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tLeast"/>
                              <w:rPr>
                                <w:rFonts w:ascii="Verdana" w:hAnsi="Verdana"/>
                                <w:b/>
                                <w:sz w:val="28"/>
                                <w:szCs w:val="28"/>
                              </w:rPr>
                            </w:pPr>
                            <w:r>
                              <w:rPr>
                                <w:rFonts w:hint="eastAsia"/>
                                <w:b/>
                                <w:sz w:val="28"/>
                                <w:szCs w:val="28"/>
                              </w:rPr>
                              <w:t>正（副）本</w:t>
                            </w:r>
                          </w:p>
                        </w:txbxContent>
                      </wps:txbx>
                      <wps:bodyPr wrap="square" upright="1"/>
                    </wps:wsp>
                  </a:graphicData>
                </a:graphic>
              </wp:anchor>
            </w:drawing>
          </mc:Choice>
          <mc:Fallback>
            <w:pict>
              <v:shape id="Text Box 3" o:spid="_x0000_s1026" o:spt="202" type="#_x0000_t202" style="position:absolute;left:0pt;margin-left:378pt;margin-top:7.8pt;height:39pt;width:81pt;z-index:251660288;mso-width-relative:page;mso-height-relative:page;" fillcolor="#FFFFFF" filled="t" stroked="t" coordsize="21600,21600" o:gfxdata="UEsDBAoAAAAAAIdO4kAAAAAAAAAAAAAAAAAEAAAAZHJzL1BLAwQUAAAACACHTuJAKIk1g9gAAAAJ AQAADwAAAGRycy9kb3ducmV2LnhtbE2PQU/DMAyF70j8h8hIXBBLy1jWlaY7IIHgNgaCa9Z4bUXi lCbrxr/HnOBm+z09f69an7wTE46xD6Qhn2UgkJpge2o1vL0+XBcgYjJkjQuEGr4xwro+P6tMacOR XnDaplZwCMXSaOhSGkopY9OhN3EWBiTW9mH0JvE6ttKO5sjh3smbLFPSm574Q2cGvO+w+dwevIbi 9mn6iM/zzXuj9m6VrpbT49eo9eVFnt2BSHhKf2b4xWd0qJlpFw5ko3AalgvFXRILCwWCDau84MOO h7kCWVfyf4P6B1BLAwQUAAAACACHTuJA/ghAtgQCAABDBAAADgAAAGRycy9lMm9Eb2MueG1srVNN j9MwEL0j8R8s32myWQq7UdOVoJQLAqRdfsDUcRJL/sLjNum/Z+x0ux9w6IEcnLFn/Gbem/HqbjKa HWRA5WzDrxYlZ9IK1yrbN/zXw/bdDWcYwbagnZUNP0rkd+u3b1ajr2XlBqdbGRiBWKxH3/AhRl8X BYpBGsCF89KSs3PBQKRt6Is2wEjoRhdVWX4oRhdaH5yQiHS6mZ38hBguAXRdp4TcOLE30sYZNUgN kSjhoDzyda6266SIP7oOZWS64cQ05pWSkL1La7FeQd0H8IMSpxLgkhJecTKgLCU9Q20gAtsH9ReU USI4dF1cCGeKmUhWhFhcla+0uR/Ay8yFpEZ/Fh3/H6z4fvgZmGobXnFmwVDDH+QU2Sc3seukzuix pqB7T2FxomOamcdzpMNEeuqCSX+iw8hP2h7P2iYwkS6V1c3HklyCfO9vl9dkE3zxdNsHjF+lMywZ DQ/UuywpHL5hnEMfQ1IydFq1W6V13oR+91kHdgDq8zZ/J/QXYdqyseG3y2pJdQANb0dDQ6bxJADa Pud7cQOfA5f5+xdwKmwDOMwFZIQUBrVRUYZsDRLaL7Zl8ehJZEtvi6dijGw505KeYrJyZASlL4kk 7bQlCVOL5lYkK067iWCSuXPtkdo20ngTvd97CJRz74PqBxI4tzFfptnKnTi9gzS8z/c5xdP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KIk1g9gAAAAJAQAADwAAAAAAAAABACAAAAAiAAAAZHJz L2Rvd25yZXYueG1sUEsBAhQAFAAAAAgAh07iQP4IQLYEAgAAQwQAAA4AAAAAAAAAAQAgAAAAJwEA AGRycy9lMm9Eb2MueG1sUEsFBgAAAAAGAAYAWQEAAJ0FAAAAAA== ">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bookmarkStart w:id="30" w:name="_Toc350938486"/>
      <w:r>
        <w:rPr>
          <w:rFonts w:hint="eastAsia"/>
          <w:b/>
          <w:bCs/>
          <w:kern w:val="0"/>
          <w:sz w:val="36"/>
          <w:szCs w:val="36"/>
          <w:highlight w:val="none"/>
        </w:rPr>
        <w:t xml:space="preserve">               </w:t>
      </w:r>
      <w:r>
        <w:rPr>
          <w:rFonts w:eastAsia="黑体"/>
          <w:b/>
          <w:bCs/>
          <w:kern w:val="0"/>
          <w:sz w:val="36"/>
          <w:szCs w:val="36"/>
          <w:highlight w:val="none"/>
        </w:rPr>
        <w:t>封面格式</w:t>
      </w:r>
      <w:r>
        <w:rPr>
          <w:b/>
          <w:bCs/>
          <w:kern w:val="0"/>
          <w:sz w:val="36"/>
          <w:szCs w:val="36"/>
          <w:highlight w:val="none"/>
        </w:rPr>
        <w:t>2</w:t>
      </w:r>
      <w:bookmarkEnd w:id="30"/>
    </w:p>
    <w:p>
      <w:pPr>
        <w:widowControl/>
        <w:tabs>
          <w:tab w:val="left" w:pos="8280"/>
        </w:tabs>
        <w:spacing w:line="360" w:lineRule="auto"/>
        <w:ind w:firstLine="480"/>
        <w:jc w:val="center"/>
        <w:rPr>
          <w:rFonts w:eastAsia="仿宋_GB2312"/>
          <w:b/>
          <w:kern w:val="0"/>
          <w:sz w:val="32"/>
          <w:szCs w:val="32"/>
          <w:highlight w:val="none"/>
        </w:rPr>
      </w:pPr>
    </w:p>
    <w:p>
      <w:pPr>
        <w:pStyle w:val="185"/>
        <w:rPr>
          <w:highlight w:val="none"/>
          <w:lang w:val="en-US"/>
        </w:rPr>
      </w:pPr>
    </w:p>
    <w:p>
      <w:pPr>
        <w:widowControl/>
        <w:tabs>
          <w:tab w:val="left" w:pos="450"/>
          <w:tab w:val="left" w:pos="8280"/>
        </w:tabs>
        <w:spacing w:line="360" w:lineRule="auto"/>
        <w:jc w:val="left"/>
        <w:rPr>
          <w:rFonts w:eastAsia="仿宋_GB2312"/>
          <w:b/>
          <w:kern w:val="0"/>
          <w:sz w:val="44"/>
          <w:szCs w:val="44"/>
          <w:highlight w:val="none"/>
        </w:rPr>
      </w:pPr>
      <w:r>
        <w:rPr>
          <w:rFonts w:eastAsia="仿宋_GB2312"/>
          <w:b/>
          <w:kern w:val="0"/>
          <w:sz w:val="36"/>
          <w:szCs w:val="36"/>
          <w:highlight w:val="none"/>
          <w:u w:val="single"/>
        </w:rPr>
        <w:t xml:space="preserve">                            </w:t>
      </w:r>
      <w:r>
        <w:rPr>
          <w:rFonts w:eastAsia="仿宋_GB2312"/>
          <w:b/>
          <w:kern w:val="0"/>
          <w:sz w:val="44"/>
          <w:szCs w:val="44"/>
          <w:highlight w:val="none"/>
        </w:rPr>
        <w:t>项目</w:t>
      </w:r>
      <w:r>
        <w:rPr>
          <w:rFonts w:hint="eastAsia" w:eastAsia="仿宋_GB2312"/>
          <w:b/>
          <w:kern w:val="0"/>
          <w:sz w:val="44"/>
          <w:szCs w:val="44"/>
          <w:highlight w:val="none"/>
        </w:rPr>
        <w:t>（标段</w:t>
      </w:r>
      <w:r>
        <w:rPr>
          <w:rFonts w:hint="eastAsia" w:eastAsia="仿宋_GB2312"/>
          <w:b/>
          <w:kern w:val="0"/>
          <w:sz w:val="44"/>
          <w:szCs w:val="44"/>
          <w:highlight w:val="none"/>
          <w:u w:val="single"/>
        </w:rPr>
        <w:t xml:space="preserve">    </w:t>
      </w:r>
      <w:r>
        <w:rPr>
          <w:rFonts w:hint="eastAsia" w:eastAsia="仿宋_GB2312"/>
          <w:b/>
          <w:kern w:val="0"/>
          <w:sz w:val="44"/>
          <w:szCs w:val="44"/>
          <w:highlight w:val="none"/>
        </w:rPr>
        <w:t>）</w:t>
      </w:r>
    </w:p>
    <w:p>
      <w:pPr>
        <w:widowControl/>
        <w:tabs>
          <w:tab w:val="left" w:pos="450"/>
          <w:tab w:val="left" w:pos="8280"/>
        </w:tabs>
        <w:spacing w:line="360" w:lineRule="auto"/>
        <w:ind w:firstLine="646" w:firstLineChars="147"/>
        <w:jc w:val="left"/>
        <w:rPr>
          <w:rFonts w:eastAsia="仿宋_GB2312"/>
          <w:b/>
          <w:kern w:val="0"/>
          <w:sz w:val="44"/>
          <w:szCs w:val="44"/>
          <w:highlight w:val="none"/>
        </w:rPr>
      </w:pPr>
    </w:p>
    <w:p>
      <w:pPr>
        <w:widowControl/>
        <w:tabs>
          <w:tab w:val="left" w:pos="450"/>
          <w:tab w:val="left" w:pos="8280"/>
        </w:tabs>
        <w:spacing w:line="360" w:lineRule="auto"/>
        <w:ind w:firstLine="480"/>
        <w:jc w:val="center"/>
        <w:rPr>
          <w:rFonts w:eastAsia="仿宋_GB2312"/>
          <w:b/>
          <w:kern w:val="0"/>
          <w:sz w:val="44"/>
          <w:szCs w:val="44"/>
          <w:highlight w:val="none"/>
        </w:rPr>
      </w:pPr>
    </w:p>
    <w:p>
      <w:pPr>
        <w:widowControl/>
        <w:tabs>
          <w:tab w:val="left" w:pos="450"/>
          <w:tab w:val="left" w:pos="8280"/>
        </w:tabs>
        <w:spacing w:line="360" w:lineRule="auto"/>
        <w:ind w:firstLine="480"/>
        <w:jc w:val="center"/>
        <w:rPr>
          <w:rFonts w:eastAsia="仿宋_GB2312"/>
          <w:b/>
          <w:kern w:val="0"/>
          <w:sz w:val="44"/>
          <w:szCs w:val="44"/>
          <w:highlight w:val="none"/>
        </w:rPr>
      </w:pPr>
      <w:r>
        <w:rPr>
          <w:rFonts w:eastAsia="仿宋_GB2312"/>
          <w:b/>
          <w:kern w:val="0"/>
          <w:sz w:val="44"/>
          <w:szCs w:val="44"/>
          <w:highlight w:val="none"/>
        </w:rPr>
        <w:t>投标文件</w:t>
      </w:r>
    </w:p>
    <w:p>
      <w:pPr>
        <w:widowControl/>
        <w:tabs>
          <w:tab w:val="left" w:pos="8280"/>
        </w:tabs>
        <w:spacing w:line="360" w:lineRule="auto"/>
        <w:ind w:firstLine="480"/>
        <w:jc w:val="center"/>
        <w:rPr>
          <w:rFonts w:eastAsia="仿宋_GB2312"/>
          <w:b/>
          <w:kern w:val="0"/>
          <w:sz w:val="32"/>
          <w:szCs w:val="32"/>
          <w:highlight w:val="none"/>
        </w:rPr>
      </w:pPr>
      <w:r>
        <w:rPr>
          <w:rFonts w:eastAsia="仿宋_GB2312"/>
          <w:b/>
          <w:kern w:val="0"/>
          <w:sz w:val="32"/>
          <w:szCs w:val="32"/>
          <w:highlight w:val="none"/>
        </w:rPr>
        <w:t>（商务文件）</w:t>
      </w:r>
    </w:p>
    <w:p>
      <w:pPr>
        <w:widowControl/>
        <w:tabs>
          <w:tab w:val="left" w:pos="275"/>
          <w:tab w:val="left" w:pos="8280"/>
        </w:tabs>
        <w:spacing w:line="360" w:lineRule="auto"/>
        <w:ind w:firstLine="480"/>
        <w:jc w:val="left"/>
        <w:rPr>
          <w:rFonts w:eastAsia="仿宋_GB2312"/>
          <w:b/>
          <w:kern w:val="0"/>
          <w:sz w:val="36"/>
          <w:szCs w:val="36"/>
          <w:highlight w:val="none"/>
        </w:rPr>
      </w:pPr>
      <w:r>
        <w:rPr>
          <w:rFonts w:eastAsia="仿宋_GB2312"/>
          <w:b/>
          <w:kern w:val="0"/>
          <w:sz w:val="36"/>
          <w:szCs w:val="36"/>
          <w:highlight w:val="none"/>
        </w:rPr>
        <w:tab/>
      </w:r>
    </w:p>
    <w:p>
      <w:pPr>
        <w:widowControl/>
        <w:tabs>
          <w:tab w:val="left" w:pos="275"/>
          <w:tab w:val="left" w:pos="8280"/>
        </w:tabs>
        <w:spacing w:line="360" w:lineRule="auto"/>
        <w:ind w:firstLine="480"/>
        <w:jc w:val="left"/>
        <w:rPr>
          <w:rFonts w:eastAsia="仿宋_GB2312"/>
          <w:b/>
          <w:kern w:val="0"/>
          <w:sz w:val="32"/>
          <w:szCs w:val="32"/>
          <w:highlight w:val="none"/>
        </w:rPr>
      </w:pPr>
    </w:p>
    <w:p>
      <w:pPr>
        <w:widowControl/>
        <w:tabs>
          <w:tab w:val="left" w:pos="275"/>
          <w:tab w:val="left" w:pos="8280"/>
        </w:tabs>
        <w:spacing w:line="360" w:lineRule="auto"/>
        <w:ind w:firstLine="480"/>
        <w:jc w:val="left"/>
        <w:rPr>
          <w:rFonts w:eastAsia="仿宋_GB2312"/>
          <w:b/>
          <w:kern w:val="0"/>
          <w:sz w:val="32"/>
          <w:szCs w:val="32"/>
          <w:highlight w:val="none"/>
        </w:rPr>
      </w:pPr>
    </w:p>
    <w:p>
      <w:pPr>
        <w:pStyle w:val="185"/>
        <w:rPr>
          <w:highlight w:val="none"/>
          <w:lang w:val="en-US"/>
        </w:rPr>
      </w:pPr>
    </w:p>
    <w:p>
      <w:pPr>
        <w:widowControl/>
        <w:tabs>
          <w:tab w:val="left" w:pos="275"/>
          <w:tab w:val="left" w:pos="8280"/>
        </w:tabs>
        <w:spacing w:line="360" w:lineRule="auto"/>
        <w:ind w:firstLine="313" w:firstLineChars="98"/>
        <w:jc w:val="left"/>
        <w:rPr>
          <w:rFonts w:eastAsia="仿宋_GB2312"/>
          <w:b/>
          <w:kern w:val="0"/>
          <w:sz w:val="36"/>
          <w:szCs w:val="36"/>
          <w:highlight w:val="none"/>
        </w:rPr>
      </w:pPr>
      <w:bookmarkStart w:id="31" w:name="_Toc350938487"/>
      <w:r>
        <w:rPr>
          <w:rFonts w:eastAsia="仿宋_GB2312"/>
          <w:b/>
          <w:kern w:val="0"/>
          <w:sz w:val="32"/>
          <w:szCs w:val="32"/>
          <w:highlight w:val="none"/>
        </w:rPr>
        <w:t>采购项目编号：</w:t>
      </w:r>
      <w:r>
        <w:rPr>
          <w:rFonts w:eastAsia="仿宋_GB2312"/>
          <w:b/>
          <w:kern w:val="0"/>
          <w:sz w:val="36"/>
          <w:szCs w:val="36"/>
          <w:highlight w:val="none"/>
          <w:u w:val="single"/>
        </w:rPr>
        <w:t xml:space="preserve">                                 </w:t>
      </w:r>
    </w:p>
    <w:p>
      <w:pPr>
        <w:widowControl/>
        <w:tabs>
          <w:tab w:val="left" w:pos="765"/>
          <w:tab w:val="left" w:pos="8280"/>
        </w:tabs>
        <w:spacing w:line="360" w:lineRule="auto"/>
        <w:ind w:firstLine="480"/>
        <w:jc w:val="left"/>
        <w:rPr>
          <w:rFonts w:eastAsia="仿宋_GB2312"/>
          <w:b/>
          <w:kern w:val="0"/>
          <w:sz w:val="36"/>
          <w:szCs w:val="36"/>
          <w:highlight w:val="none"/>
        </w:rPr>
      </w:pPr>
      <w:r>
        <w:rPr>
          <w:rFonts w:eastAsia="仿宋_GB2312"/>
          <w:b/>
          <w:kern w:val="0"/>
          <w:sz w:val="36"/>
          <w:szCs w:val="36"/>
          <w:highlight w:val="none"/>
        </w:rPr>
        <w:tab/>
      </w:r>
    </w:p>
    <w:p>
      <w:pPr>
        <w:widowControl/>
        <w:tabs>
          <w:tab w:val="left" w:pos="765"/>
          <w:tab w:val="left" w:pos="8280"/>
        </w:tabs>
        <w:spacing w:line="360" w:lineRule="auto"/>
        <w:ind w:firstLine="313" w:firstLineChars="98"/>
        <w:jc w:val="left"/>
        <w:rPr>
          <w:rFonts w:eastAsia="仿宋_GB2312"/>
          <w:b/>
          <w:kern w:val="0"/>
          <w:sz w:val="36"/>
          <w:szCs w:val="36"/>
          <w:highlight w:val="none"/>
        </w:rPr>
      </w:pPr>
      <w:r>
        <w:rPr>
          <w:rFonts w:hint="eastAsia" w:eastAsia="仿宋_GB2312"/>
          <w:b/>
          <w:kern w:val="0"/>
          <w:sz w:val="32"/>
          <w:szCs w:val="32"/>
          <w:highlight w:val="none"/>
        </w:rPr>
        <w:t>投标人</w:t>
      </w:r>
      <w:r>
        <w:rPr>
          <w:rFonts w:eastAsia="仿宋_GB2312"/>
          <w:b/>
          <w:kern w:val="0"/>
          <w:sz w:val="32"/>
          <w:szCs w:val="32"/>
          <w:highlight w:val="none"/>
        </w:rPr>
        <w:t>（公章）：</w:t>
      </w:r>
      <w:r>
        <w:rPr>
          <w:rFonts w:eastAsia="仿宋_GB2312"/>
          <w:b/>
          <w:kern w:val="0"/>
          <w:sz w:val="36"/>
          <w:szCs w:val="36"/>
          <w:highlight w:val="none"/>
          <w:u w:val="single"/>
        </w:rPr>
        <w:t xml:space="preserve">                                </w:t>
      </w:r>
    </w:p>
    <w:p>
      <w:pPr>
        <w:widowControl/>
        <w:tabs>
          <w:tab w:val="left" w:pos="8280"/>
        </w:tabs>
        <w:spacing w:line="360" w:lineRule="auto"/>
        <w:ind w:firstLine="480"/>
        <w:jc w:val="center"/>
        <w:rPr>
          <w:rFonts w:eastAsia="仿宋_GB2312"/>
          <w:b/>
          <w:kern w:val="0"/>
          <w:sz w:val="32"/>
          <w:szCs w:val="32"/>
          <w:highlight w:val="none"/>
        </w:rPr>
      </w:pPr>
    </w:p>
    <w:p>
      <w:pPr>
        <w:widowControl/>
        <w:tabs>
          <w:tab w:val="left" w:pos="350"/>
          <w:tab w:val="left" w:pos="8280"/>
        </w:tabs>
        <w:spacing w:line="360" w:lineRule="auto"/>
        <w:ind w:firstLine="313" w:firstLineChars="98"/>
        <w:jc w:val="left"/>
        <w:rPr>
          <w:rFonts w:eastAsia="仿宋_GB2312"/>
          <w:b/>
          <w:kern w:val="0"/>
          <w:sz w:val="32"/>
          <w:szCs w:val="32"/>
          <w:highlight w:val="none"/>
        </w:rPr>
      </w:pPr>
      <w:r>
        <w:rPr>
          <w:rFonts w:hint="eastAsia" w:eastAsia="仿宋_GB2312"/>
          <w:b/>
          <w:kern w:val="0"/>
          <w:sz w:val="32"/>
          <w:szCs w:val="32"/>
          <w:highlight w:val="none"/>
        </w:rPr>
        <w:t>投标人</w:t>
      </w:r>
      <w:r>
        <w:rPr>
          <w:rFonts w:eastAsia="仿宋_GB2312"/>
          <w:b/>
          <w:kern w:val="0"/>
          <w:sz w:val="32"/>
          <w:szCs w:val="32"/>
          <w:highlight w:val="none"/>
        </w:rPr>
        <w:t>法定代表人或其委托人（签字）：</w:t>
      </w:r>
      <w:r>
        <w:rPr>
          <w:rFonts w:eastAsia="仿宋_GB2312"/>
          <w:b/>
          <w:kern w:val="0"/>
          <w:sz w:val="36"/>
          <w:szCs w:val="36"/>
          <w:highlight w:val="none"/>
          <w:u w:val="single"/>
        </w:rPr>
        <w:t xml:space="preserve">                            </w:t>
      </w:r>
    </w:p>
    <w:p>
      <w:pPr>
        <w:widowControl/>
        <w:tabs>
          <w:tab w:val="left" w:pos="8280"/>
        </w:tabs>
        <w:spacing w:line="360" w:lineRule="auto"/>
        <w:rPr>
          <w:rFonts w:eastAsia="仿宋_GB2312"/>
          <w:b/>
          <w:kern w:val="0"/>
          <w:sz w:val="32"/>
          <w:szCs w:val="32"/>
          <w:highlight w:val="none"/>
        </w:rPr>
      </w:pPr>
    </w:p>
    <w:p>
      <w:pPr>
        <w:widowControl/>
        <w:tabs>
          <w:tab w:val="left" w:pos="350"/>
          <w:tab w:val="left" w:pos="8280"/>
        </w:tabs>
        <w:spacing w:line="360" w:lineRule="auto"/>
        <w:ind w:firstLine="480"/>
        <w:jc w:val="left"/>
        <w:rPr>
          <w:rFonts w:eastAsia="仿宋_GB2312"/>
          <w:b/>
          <w:kern w:val="0"/>
          <w:sz w:val="32"/>
          <w:szCs w:val="32"/>
          <w:highlight w:val="none"/>
        </w:rPr>
      </w:pPr>
      <w:r>
        <w:rPr>
          <w:rFonts w:eastAsia="仿宋_GB2312"/>
          <w:b/>
          <w:kern w:val="0"/>
          <w:sz w:val="36"/>
          <w:szCs w:val="36"/>
          <w:highlight w:val="none"/>
        </w:rPr>
        <w:t xml:space="preserve">                   </w:t>
      </w:r>
      <w:r>
        <w:rPr>
          <w:rFonts w:eastAsia="仿宋_GB2312"/>
          <w:b/>
          <w:kern w:val="0"/>
          <w:sz w:val="32"/>
          <w:szCs w:val="32"/>
          <w:highlight w:val="none"/>
        </w:rPr>
        <w:t>年</w:t>
      </w:r>
      <w:r>
        <w:rPr>
          <w:rFonts w:eastAsia="仿宋_GB2312"/>
          <w:b/>
          <w:kern w:val="0"/>
          <w:sz w:val="36"/>
          <w:szCs w:val="36"/>
          <w:highlight w:val="none"/>
        </w:rPr>
        <w:t xml:space="preserve">     </w:t>
      </w:r>
      <w:r>
        <w:rPr>
          <w:rFonts w:eastAsia="仿宋_GB2312"/>
          <w:b/>
          <w:kern w:val="0"/>
          <w:sz w:val="32"/>
          <w:szCs w:val="32"/>
          <w:highlight w:val="none"/>
        </w:rPr>
        <w:t>月</w:t>
      </w:r>
      <w:r>
        <w:rPr>
          <w:rFonts w:eastAsia="仿宋_GB2312"/>
          <w:b/>
          <w:kern w:val="0"/>
          <w:sz w:val="36"/>
          <w:szCs w:val="36"/>
          <w:highlight w:val="none"/>
        </w:rPr>
        <w:t xml:space="preserve">     </w:t>
      </w:r>
      <w:r>
        <w:rPr>
          <w:rFonts w:eastAsia="仿宋_GB2312"/>
          <w:b/>
          <w:kern w:val="0"/>
          <w:sz w:val="32"/>
          <w:szCs w:val="32"/>
          <w:highlight w:val="none"/>
        </w:rPr>
        <w:t>日</w:t>
      </w:r>
    </w:p>
    <w:p>
      <w:pPr>
        <w:widowControl/>
        <w:spacing w:before="260" w:after="260" w:line="270" w:lineRule="atLeast"/>
        <w:jc w:val="left"/>
        <w:outlineLvl w:val="2"/>
        <w:rPr>
          <w:rFonts w:eastAsia="黑体"/>
          <w:b/>
          <w:bCs/>
          <w:kern w:val="0"/>
          <w:sz w:val="36"/>
          <w:szCs w:val="36"/>
          <w:highlight w:val="none"/>
        </w:rPr>
      </w:pPr>
    </w:p>
    <w:p>
      <w:pPr>
        <w:pStyle w:val="185"/>
        <w:rPr>
          <w:highlight w:val="none"/>
          <w:lang w:val="en-US"/>
        </w:rPr>
      </w:pPr>
    </w:p>
    <w:p>
      <w:pPr>
        <w:pStyle w:val="185"/>
        <w:rPr>
          <w:highlight w:val="none"/>
          <w:lang w:val="en-US"/>
        </w:rPr>
      </w:pPr>
    </w:p>
    <w:p>
      <w:pPr>
        <w:pStyle w:val="185"/>
        <w:rPr>
          <w:highlight w:val="none"/>
          <w:lang w:val="en-US"/>
        </w:rPr>
      </w:pPr>
    </w:p>
    <w:p>
      <w:pPr>
        <w:rPr>
          <w:b/>
          <w:bCs/>
          <w:sz w:val="36"/>
          <w:szCs w:val="36"/>
          <w:highlight w:val="none"/>
        </w:rPr>
      </w:pPr>
      <w:r>
        <w:rPr>
          <w:rFonts w:hint="eastAsia"/>
          <w:b/>
          <w:sz w:val="36"/>
          <w:szCs w:val="36"/>
          <w:highlight w:val="none"/>
        </w:rPr>
        <w:t xml:space="preserve">附件3           </w:t>
      </w:r>
      <w:r>
        <w:rPr>
          <w:b/>
          <w:bCs/>
          <w:sz w:val="36"/>
          <w:szCs w:val="36"/>
          <w:highlight w:val="none"/>
        </w:rPr>
        <w:t>关于资格的声明函（格式）</w:t>
      </w:r>
    </w:p>
    <w:p>
      <w:pPr>
        <w:pStyle w:val="9"/>
        <w:rPr>
          <w:b/>
          <w:bCs/>
          <w:sz w:val="36"/>
          <w:szCs w:val="36"/>
          <w:highlight w:val="none"/>
        </w:rPr>
      </w:pPr>
    </w:p>
    <w:p>
      <w:pPr>
        <w:pStyle w:val="9"/>
        <w:rPr>
          <w:b/>
          <w:bCs/>
          <w:highlight w:val="none"/>
          <w:u w:val="single"/>
        </w:rPr>
      </w:pPr>
      <w:r>
        <w:rPr>
          <w:b/>
          <w:bCs/>
          <w:highlight w:val="none"/>
        </w:rPr>
        <w:t>致：（</w:t>
      </w:r>
      <w:r>
        <w:rPr>
          <w:b/>
          <w:bCs/>
          <w:highlight w:val="none"/>
          <w:u w:val="single"/>
        </w:rPr>
        <w:t xml:space="preserve">采购人名称）                    </w:t>
      </w:r>
    </w:p>
    <w:p>
      <w:pPr>
        <w:spacing w:line="480" w:lineRule="auto"/>
        <w:ind w:firstLine="480" w:firstLineChars="200"/>
        <w:rPr>
          <w:sz w:val="24"/>
          <w:highlight w:val="none"/>
          <w:u w:val="single"/>
        </w:rPr>
      </w:pPr>
      <w:r>
        <w:rPr>
          <w:sz w:val="24"/>
          <w:highlight w:val="none"/>
          <w:u w:val="single"/>
        </w:rPr>
        <w:t xml:space="preserve">（招标代理机构名称）             </w:t>
      </w:r>
    </w:p>
    <w:p>
      <w:pPr>
        <w:spacing w:line="460" w:lineRule="exact"/>
        <w:ind w:firstLine="480" w:firstLineChars="200"/>
        <w:rPr>
          <w:sz w:val="24"/>
          <w:highlight w:val="none"/>
        </w:rPr>
      </w:pPr>
      <w:r>
        <w:rPr>
          <w:sz w:val="24"/>
          <w:highlight w:val="none"/>
        </w:rPr>
        <w:t>关于贵方</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日第</w:t>
      </w:r>
      <w:r>
        <w:rPr>
          <w:sz w:val="24"/>
          <w:highlight w:val="none"/>
          <w:u w:val="single"/>
        </w:rPr>
        <w:t xml:space="preserve">                </w:t>
      </w:r>
      <w:r>
        <w:rPr>
          <w:sz w:val="24"/>
          <w:highlight w:val="none"/>
        </w:rPr>
        <w:t>（采购编号）招标公告，本签字人愿意参加投标，按招标文件要求提供</w:t>
      </w:r>
      <w:r>
        <w:rPr>
          <w:sz w:val="24"/>
          <w:highlight w:val="none"/>
          <w:u w:val="single"/>
        </w:rPr>
        <w:t xml:space="preserve">                         </w:t>
      </w:r>
      <w:r>
        <w:rPr>
          <w:sz w:val="24"/>
          <w:highlight w:val="none"/>
        </w:rPr>
        <w:t>（项目名称）的 设备和服务，并证明提交的下列文件和说明是正确和真实的。</w:t>
      </w:r>
    </w:p>
    <w:p>
      <w:pPr>
        <w:spacing w:line="460" w:lineRule="exact"/>
        <w:ind w:firstLine="480" w:firstLineChars="200"/>
        <w:rPr>
          <w:sz w:val="24"/>
          <w:highlight w:val="none"/>
        </w:rPr>
      </w:pPr>
      <w:r>
        <w:rPr>
          <w:sz w:val="24"/>
          <w:highlight w:val="none"/>
        </w:rPr>
        <w:t>1、由</w:t>
      </w:r>
      <w:r>
        <w:rPr>
          <w:sz w:val="24"/>
          <w:highlight w:val="none"/>
          <w:u w:val="single"/>
        </w:rPr>
        <w:t xml:space="preserve">                         </w:t>
      </w:r>
      <w:r>
        <w:rPr>
          <w:sz w:val="24"/>
          <w:highlight w:val="none"/>
        </w:rPr>
        <w:t>（签发单位）签发的我方工商营业执照副本（复印件加盖公章后附该声明函后）。</w:t>
      </w:r>
    </w:p>
    <w:p>
      <w:pPr>
        <w:spacing w:line="460" w:lineRule="exact"/>
        <w:ind w:firstLine="480" w:firstLineChars="200"/>
        <w:rPr>
          <w:sz w:val="24"/>
          <w:highlight w:val="none"/>
        </w:rPr>
      </w:pPr>
      <w:r>
        <w:rPr>
          <w:sz w:val="24"/>
          <w:highlight w:val="none"/>
        </w:rPr>
        <w:t>2、由</w:t>
      </w:r>
      <w:r>
        <w:rPr>
          <w:sz w:val="24"/>
          <w:highlight w:val="none"/>
          <w:u w:val="single"/>
        </w:rPr>
        <w:t xml:space="preserve">                     </w:t>
      </w:r>
      <w:r>
        <w:rPr>
          <w:sz w:val="24"/>
          <w:highlight w:val="none"/>
        </w:rPr>
        <w:t>（签发人）签发的投标人情况介绍。</w:t>
      </w:r>
    </w:p>
    <w:p>
      <w:pPr>
        <w:spacing w:line="460" w:lineRule="exact"/>
        <w:ind w:firstLine="480" w:firstLineChars="200"/>
        <w:jc w:val="left"/>
        <w:rPr>
          <w:sz w:val="24"/>
          <w:highlight w:val="none"/>
          <w:u w:val="single"/>
        </w:rPr>
      </w:pPr>
      <w:r>
        <w:rPr>
          <w:sz w:val="24"/>
          <w:highlight w:val="none"/>
        </w:rPr>
        <w:t>3、其他资格、资质文件：</w:t>
      </w:r>
      <w:r>
        <w:rPr>
          <w:sz w:val="24"/>
          <w:highlight w:val="none"/>
          <w:u w:val="single"/>
        </w:rPr>
        <w:t xml:space="preserve">                </w:t>
      </w:r>
      <w:r>
        <w:rPr>
          <w:sz w:val="24"/>
          <w:highlight w:val="none"/>
        </w:rPr>
        <w:t>、</w:t>
      </w:r>
      <w:r>
        <w:rPr>
          <w:sz w:val="24"/>
          <w:highlight w:val="none"/>
          <w:u w:val="single"/>
        </w:rPr>
        <w:t xml:space="preserve">                 </w:t>
      </w:r>
      <w:r>
        <w:rPr>
          <w:sz w:val="24"/>
          <w:highlight w:val="none"/>
        </w:rPr>
        <w:t>、</w:t>
      </w:r>
      <w:r>
        <w:rPr>
          <w:sz w:val="24"/>
          <w:highlight w:val="none"/>
          <w:u w:val="single"/>
        </w:rPr>
        <w:t xml:space="preserve">             </w:t>
      </w:r>
      <w:r>
        <w:rPr>
          <w:sz w:val="24"/>
          <w:highlight w:val="none"/>
        </w:rPr>
        <w:t>、</w:t>
      </w:r>
    </w:p>
    <w:p>
      <w:pPr>
        <w:spacing w:line="460" w:lineRule="exact"/>
        <w:rPr>
          <w:sz w:val="24"/>
          <w:highlight w:val="none"/>
        </w:rPr>
      </w:pPr>
      <w:r>
        <w:rPr>
          <w:sz w:val="24"/>
          <w:highlight w:val="none"/>
          <w:u w:val="single"/>
        </w:rPr>
        <w:t xml:space="preserve">                   </w:t>
      </w:r>
      <w:r>
        <w:rPr>
          <w:sz w:val="24"/>
          <w:highlight w:val="none"/>
        </w:rPr>
        <w:t>、</w:t>
      </w:r>
      <w:r>
        <w:rPr>
          <w:sz w:val="24"/>
          <w:highlight w:val="none"/>
          <w:u w:val="single"/>
        </w:rPr>
        <w:t xml:space="preserve">                 </w:t>
      </w:r>
      <w:r>
        <w:rPr>
          <w:sz w:val="24"/>
          <w:highlight w:val="none"/>
        </w:rPr>
        <w:t>、</w:t>
      </w:r>
      <w:r>
        <w:rPr>
          <w:sz w:val="24"/>
          <w:highlight w:val="none"/>
          <w:u w:val="single"/>
        </w:rPr>
        <w:t xml:space="preserve">                    </w:t>
      </w:r>
      <w:r>
        <w:rPr>
          <w:sz w:val="24"/>
          <w:highlight w:val="none"/>
        </w:rPr>
        <w:t>（空格处填写资格证书名称、复印件加盖公章后附该声明函后）。</w:t>
      </w:r>
    </w:p>
    <w:p>
      <w:pPr>
        <w:spacing w:line="460" w:lineRule="exact"/>
        <w:ind w:firstLine="480" w:firstLineChars="200"/>
        <w:rPr>
          <w:sz w:val="24"/>
          <w:highlight w:val="none"/>
        </w:rPr>
      </w:pPr>
      <w:r>
        <w:rPr>
          <w:sz w:val="24"/>
          <w:highlight w:val="none"/>
        </w:rPr>
        <w:t>4、本签字人确认所提供的投标文件内容是真实的、准确的。</w:t>
      </w:r>
    </w:p>
    <w:p>
      <w:pPr>
        <w:spacing w:line="460" w:lineRule="exact"/>
        <w:ind w:firstLine="480" w:firstLineChars="200"/>
        <w:rPr>
          <w:sz w:val="24"/>
          <w:highlight w:val="none"/>
        </w:rPr>
      </w:pPr>
    </w:p>
    <w:p>
      <w:pPr>
        <w:spacing w:line="460" w:lineRule="exact"/>
        <w:ind w:firstLine="480" w:firstLineChars="200"/>
        <w:rPr>
          <w:sz w:val="24"/>
          <w:highlight w:val="none"/>
        </w:rPr>
      </w:pPr>
    </w:p>
    <w:p>
      <w:pPr>
        <w:spacing w:line="460" w:lineRule="exact"/>
        <w:rPr>
          <w:sz w:val="24"/>
          <w:highlight w:val="none"/>
        </w:rPr>
      </w:pPr>
    </w:p>
    <w:p>
      <w:pPr>
        <w:spacing w:line="800" w:lineRule="exact"/>
        <w:rPr>
          <w:sz w:val="24"/>
          <w:highlight w:val="none"/>
        </w:rPr>
      </w:pPr>
      <w:r>
        <w:rPr>
          <w:sz w:val="24"/>
          <w:highlight w:val="none"/>
        </w:rPr>
        <w:t>单位的名称和地址                         授权签署本资格文件人</w:t>
      </w:r>
    </w:p>
    <w:p>
      <w:pPr>
        <w:spacing w:line="800" w:lineRule="exact"/>
        <w:rPr>
          <w:sz w:val="24"/>
          <w:highlight w:val="none"/>
        </w:rPr>
      </w:pPr>
      <w:r>
        <w:rPr>
          <w:sz w:val="24"/>
          <w:highlight w:val="none"/>
        </w:rPr>
        <w:t>名称（盖章）：</w:t>
      </w:r>
      <w:r>
        <w:rPr>
          <w:sz w:val="24"/>
          <w:highlight w:val="none"/>
          <w:u w:val="single"/>
        </w:rPr>
        <w:t xml:space="preserve">                        </w:t>
      </w:r>
      <w:r>
        <w:rPr>
          <w:sz w:val="24"/>
          <w:highlight w:val="none"/>
        </w:rPr>
        <w:t xml:space="preserve">    签字（或盖章）：</w:t>
      </w:r>
      <w:r>
        <w:rPr>
          <w:sz w:val="24"/>
          <w:highlight w:val="none"/>
          <w:u w:val="single"/>
        </w:rPr>
        <w:t xml:space="preserve">                 </w:t>
      </w:r>
    </w:p>
    <w:p>
      <w:pPr>
        <w:spacing w:line="800" w:lineRule="exact"/>
        <w:rPr>
          <w:sz w:val="24"/>
          <w:highlight w:val="none"/>
        </w:rPr>
      </w:pPr>
      <w:r>
        <w:rPr>
          <w:sz w:val="24"/>
          <w:highlight w:val="none"/>
        </w:rPr>
        <w:t>地址：</w:t>
      </w:r>
      <w:r>
        <w:rPr>
          <w:sz w:val="24"/>
          <w:highlight w:val="none"/>
          <w:u w:val="single"/>
        </w:rPr>
        <w:t xml:space="preserve">                               </w:t>
      </w:r>
      <w:r>
        <w:rPr>
          <w:sz w:val="24"/>
          <w:highlight w:val="none"/>
        </w:rPr>
        <w:t xml:space="preserve">    职务：</w:t>
      </w:r>
      <w:r>
        <w:rPr>
          <w:sz w:val="24"/>
          <w:highlight w:val="none"/>
          <w:u w:val="single"/>
        </w:rPr>
        <w:t xml:space="preserve">                        </w:t>
      </w:r>
    </w:p>
    <w:p>
      <w:pPr>
        <w:spacing w:line="800" w:lineRule="exact"/>
        <w:rPr>
          <w:sz w:val="24"/>
          <w:highlight w:val="none"/>
          <w:u w:val="single"/>
        </w:rPr>
      </w:pPr>
      <w:r>
        <w:rPr>
          <w:sz w:val="24"/>
          <w:highlight w:val="none"/>
        </w:rPr>
        <w:t>传真：</w:t>
      </w:r>
      <w:r>
        <w:rPr>
          <w:sz w:val="24"/>
          <w:highlight w:val="none"/>
          <w:u w:val="single"/>
        </w:rPr>
        <w:t xml:space="preserve">                              </w:t>
      </w:r>
      <w:r>
        <w:rPr>
          <w:sz w:val="24"/>
          <w:highlight w:val="none"/>
        </w:rPr>
        <w:t xml:space="preserve">     电话：</w:t>
      </w:r>
      <w:r>
        <w:rPr>
          <w:sz w:val="24"/>
          <w:highlight w:val="none"/>
          <w:u w:val="single"/>
        </w:rPr>
        <w:t xml:space="preserve">                        </w:t>
      </w:r>
      <w:r>
        <w:rPr>
          <w:sz w:val="24"/>
          <w:highlight w:val="none"/>
        </w:rPr>
        <w:t xml:space="preserve"> </w:t>
      </w:r>
    </w:p>
    <w:p>
      <w:pPr>
        <w:spacing w:line="800" w:lineRule="exact"/>
        <w:rPr>
          <w:sz w:val="24"/>
          <w:highlight w:val="none"/>
          <w:u w:val="single"/>
        </w:rPr>
      </w:pPr>
      <w:r>
        <w:rPr>
          <w:sz w:val="24"/>
          <w:highlight w:val="none"/>
        </w:rPr>
        <w:t>邮编：</w:t>
      </w:r>
      <w:r>
        <w:rPr>
          <w:sz w:val="24"/>
          <w:highlight w:val="none"/>
          <w:u w:val="single"/>
        </w:rPr>
        <w:t xml:space="preserve">                               </w:t>
      </w:r>
      <w:r>
        <w:rPr>
          <w:sz w:val="24"/>
          <w:highlight w:val="none"/>
        </w:rPr>
        <w:t xml:space="preserve">    签署日期：</w:t>
      </w:r>
      <w:r>
        <w:rPr>
          <w:sz w:val="24"/>
          <w:highlight w:val="none"/>
          <w:u w:val="single"/>
        </w:rPr>
        <w:t xml:space="preserve">                    </w:t>
      </w:r>
    </w:p>
    <w:p>
      <w:pPr>
        <w:spacing w:line="800" w:lineRule="exact"/>
        <w:rPr>
          <w:sz w:val="24"/>
          <w:highlight w:val="none"/>
        </w:rPr>
      </w:pPr>
    </w:p>
    <w:p>
      <w:pPr>
        <w:pStyle w:val="185"/>
        <w:ind w:firstLine="0" w:firstLineChars="0"/>
        <w:rPr>
          <w:highlight w:val="none"/>
          <w:lang w:val="en-US"/>
        </w:rPr>
      </w:pPr>
    </w:p>
    <w:p>
      <w:pPr>
        <w:widowControl/>
        <w:spacing w:before="260" w:after="260" w:line="270" w:lineRule="atLeast"/>
        <w:jc w:val="left"/>
        <w:outlineLvl w:val="2"/>
        <w:rPr>
          <w:rFonts w:eastAsia="黑体"/>
          <w:b/>
          <w:bCs/>
          <w:kern w:val="0"/>
          <w:sz w:val="36"/>
          <w:szCs w:val="36"/>
          <w:highlight w:val="none"/>
        </w:rPr>
      </w:pPr>
      <w:r>
        <w:rPr>
          <w:rFonts w:eastAsia="黑体"/>
          <w:b/>
          <w:bCs/>
          <w:kern w:val="0"/>
          <w:sz w:val="36"/>
          <w:szCs w:val="36"/>
          <w:highlight w:val="none"/>
        </w:rPr>
        <w:t>附件</w:t>
      </w:r>
      <w:r>
        <w:rPr>
          <w:rFonts w:hint="eastAsia"/>
          <w:b/>
          <w:bCs/>
          <w:kern w:val="0"/>
          <w:sz w:val="36"/>
          <w:szCs w:val="36"/>
          <w:highlight w:val="none"/>
        </w:rPr>
        <w:t>4</w:t>
      </w:r>
      <w:r>
        <w:rPr>
          <w:b/>
          <w:bCs/>
          <w:kern w:val="0"/>
          <w:sz w:val="36"/>
          <w:szCs w:val="36"/>
          <w:highlight w:val="none"/>
        </w:rPr>
        <w:t xml:space="preserve">             </w:t>
      </w:r>
      <w:r>
        <w:rPr>
          <w:rFonts w:eastAsia="黑体"/>
          <w:b/>
          <w:bCs/>
          <w:kern w:val="0"/>
          <w:sz w:val="36"/>
          <w:szCs w:val="36"/>
          <w:highlight w:val="none"/>
        </w:rPr>
        <w:t>法定代表人申明书</w:t>
      </w:r>
      <w:bookmarkEnd w:id="31"/>
    </w:p>
    <w:p>
      <w:pPr>
        <w:widowControl/>
        <w:spacing w:line="540" w:lineRule="exact"/>
        <w:jc w:val="left"/>
        <w:rPr>
          <w:kern w:val="0"/>
          <w:sz w:val="24"/>
          <w:highlight w:val="none"/>
        </w:rPr>
      </w:pPr>
    </w:p>
    <w:p>
      <w:pPr>
        <w:widowControl/>
        <w:spacing w:line="540" w:lineRule="exact"/>
        <w:ind w:firstLine="480"/>
        <w:jc w:val="left"/>
        <w:rPr>
          <w:kern w:val="0"/>
          <w:sz w:val="24"/>
          <w:highlight w:val="none"/>
          <w:u w:val="single"/>
        </w:rPr>
      </w:pPr>
      <w:r>
        <w:rPr>
          <w:kern w:val="0"/>
          <w:sz w:val="24"/>
          <w:highlight w:val="none"/>
        </w:rPr>
        <w:t>姓名：</w:t>
      </w:r>
    </w:p>
    <w:p>
      <w:pPr>
        <w:widowControl/>
        <w:spacing w:line="540" w:lineRule="exact"/>
        <w:ind w:firstLine="480"/>
        <w:jc w:val="left"/>
        <w:rPr>
          <w:kern w:val="0"/>
          <w:sz w:val="24"/>
          <w:highlight w:val="none"/>
        </w:rPr>
      </w:pPr>
      <w:r>
        <w:rPr>
          <w:kern w:val="0"/>
          <w:sz w:val="24"/>
          <w:highlight w:val="none"/>
        </w:rPr>
        <w:t>性别：</w:t>
      </w:r>
      <w:r>
        <w:rPr>
          <w:rFonts w:hint="eastAsia"/>
          <w:kern w:val="0"/>
          <w:sz w:val="24"/>
          <w:highlight w:val="none"/>
          <w:u w:val="single"/>
        </w:rPr>
        <w:t xml:space="preserve"> </w:t>
      </w:r>
      <w:r>
        <w:rPr>
          <w:rFonts w:hint="eastAsia"/>
          <w:kern w:val="0"/>
          <w:sz w:val="24"/>
          <w:highlight w:val="none"/>
        </w:rPr>
        <w:t xml:space="preserve"> </w:t>
      </w:r>
    </w:p>
    <w:p>
      <w:pPr>
        <w:widowControl/>
        <w:spacing w:line="540" w:lineRule="exact"/>
        <w:ind w:firstLine="480"/>
        <w:jc w:val="left"/>
        <w:rPr>
          <w:kern w:val="0"/>
          <w:sz w:val="24"/>
          <w:highlight w:val="none"/>
          <w:u w:val="single"/>
        </w:rPr>
      </w:pPr>
      <w:r>
        <w:rPr>
          <w:kern w:val="0"/>
          <w:sz w:val="24"/>
          <w:highlight w:val="none"/>
        </w:rPr>
        <w:t>年龄：</w:t>
      </w:r>
    </w:p>
    <w:p>
      <w:pPr>
        <w:widowControl/>
        <w:spacing w:line="540" w:lineRule="exact"/>
        <w:ind w:firstLine="480"/>
        <w:jc w:val="left"/>
        <w:rPr>
          <w:kern w:val="0"/>
          <w:sz w:val="24"/>
          <w:highlight w:val="none"/>
        </w:rPr>
      </w:pPr>
      <w:r>
        <w:rPr>
          <w:kern w:val="0"/>
          <w:sz w:val="24"/>
          <w:highlight w:val="none"/>
        </w:rPr>
        <w:t>职务：</w:t>
      </w:r>
      <w:r>
        <w:rPr>
          <w:kern w:val="0"/>
          <w:sz w:val="24"/>
          <w:highlight w:val="none"/>
          <w:u w:val="single"/>
        </w:rPr>
        <w:t xml:space="preserve">              </w:t>
      </w:r>
    </w:p>
    <w:p>
      <w:pPr>
        <w:widowControl/>
        <w:spacing w:line="540" w:lineRule="exact"/>
        <w:ind w:firstLine="480"/>
        <w:jc w:val="left"/>
        <w:rPr>
          <w:kern w:val="0"/>
          <w:sz w:val="24"/>
          <w:highlight w:val="none"/>
        </w:rPr>
      </w:pPr>
      <w:r>
        <w:rPr>
          <w:kern w:val="0"/>
          <w:sz w:val="24"/>
          <w:highlight w:val="none"/>
        </w:rPr>
        <w:t>身份证号码：</w:t>
      </w:r>
      <w:r>
        <w:rPr>
          <w:kern w:val="0"/>
          <w:sz w:val="24"/>
          <w:highlight w:val="none"/>
          <w:u w:val="single"/>
        </w:rPr>
        <w:t xml:space="preserve">                                       </w:t>
      </w:r>
    </w:p>
    <w:p>
      <w:pPr>
        <w:widowControl/>
        <w:spacing w:line="540" w:lineRule="exact"/>
        <w:ind w:firstLine="480" w:firstLineChars="200"/>
        <w:jc w:val="left"/>
        <w:rPr>
          <w:kern w:val="0"/>
          <w:sz w:val="24"/>
          <w:highlight w:val="none"/>
        </w:rPr>
      </w:pPr>
      <w:r>
        <w:rPr>
          <w:kern w:val="0"/>
          <w:sz w:val="24"/>
          <w:highlight w:val="none"/>
          <w:u w:val="single"/>
        </w:rPr>
        <w:t xml:space="preserve">   </w:t>
      </w:r>
      <w:r>
        <w:rPr>
          <w:rFonts w:hint="eastAsia"/>
          <w:kern w:val="0"/>
          <w:sz w:val="24"/>
          <w:highlight w:val="none"/>
          <w:u w:val="single"/>
        </w:rPr>
        <w:t>（姓名）</w:t>
      </w:r>
      <w:r>
        <w:rPr>
          <w:kern w:val="0"/>
          <w:sz w:val="24"/>
          <w:highlight w:val="none"/>
          <w:u w:val="single"/>
        </w:rPr>
        <w:t xml:space="preserve">   </w:t>
      </w:r>
      <w:r>
        <w:rPr>
          <w:kern w:val="0"/>
          <w:sz w:val="24"/>
          <w:highlight w:val="none"/>
        </w:rPr>
        <w:t>系</w:t>
      </w:r>
      <w:r>
        <w:rPr>
          <w:kern w:val="0"/>
          <w:sz w:val="24"/>
          <w:highlight w:val="none"/>
          <w:u w:val="single"/>
        </w:rPr>
        <w:t xml:space="preserve">         （单位名称）         </w:t>
      </w:r>
      <w:r>
        <w:rPr>
          <w:kern w:val="0"/>
          <w:sz w:val="24"/>
          <w:highlight w:val="none"/>
        </w:rPr>
        <w:t>的法定代表人，法定地址：</w:t>
      </w:r>
      <w:r>
        <w:rPr>
          <w:kern w:val="0"/>
          <w:sz w:val="24"/>
          <w:highlight w:val="none"/>
          <w:u w:val="single"/>
        </w:rPr>
        <w:t xml:space="preserve">                              </w:t>
      </w:r>
      <w:r>
        <w:rPr>
          <w:kern w:val="0"/>
          <w:sz w:val="24"/>
          <w:highlight w:val="none"/>
        </w:rPr>
        <w:t>。为</w:t>
      </w:r>
      <w:r>
        <w:rPr>
          <w:kern w:val="0"/>
          <w:sz w:val="24"/>
          <w:highlight w:val="none"/>
          <w:u w:val="single"/>
        </w:rPr>
        <w:t xml:space="preserve">                                 </w:t>
      </w:r>
      <w:r>
        <w:rPr>
          <w:kern w:val="0"/>
          <w:sz w:val="24"/>
          <w:highlight w:val="none"/>
        </w:rPr>
        <w:t>项目的招标、开标等事宜，签署上述招标响应文件，进行合同谈判、签署合同和处理与之有关的一切事务。</w:t>
      </w:r>
    </w:p>
    <w:p>
      <w:pPr>
        <w:widowControl/>
        <w:spacing w:line="540" w:lineRule="exact"/>
        <w:ind w:firstLine="480" w:firstLineChars="200"/>
        <w:jc w:val="left"/>
        <w:rPr>
          <w:kern w:val="0"/>
          <w:sz w:val="24"/>
          <w:highlight w:val="none"/>
        </w:rPr>
      </w:pPr>
    </w:p>
    <w:p>
      <w:pPr>
        <w:widowControl/>
        <w:spacing w:line="540" w:lineRule="exact"/>
        <w:ind w:firstLine="480" w:firstLineChars="200"/>
        <w:jc w:val="left"/>
        <w:rPr>
          <w:kern w:val="0"/>
          <w:sz w:val="24"/>
          <w:highlight w:val="none"/>
        </w:rPr>
      </w:pPr>
      <w:r>
        <w:rPr>
          <w:kern w:val="0"/>
          <w:sz w:val="24"/>
          <w:highlight w:val="none"/>
        </w:rPr>
        <w:t>特此申明</w:t>
      </w:r>
    </w:p>
    <w:p>
      <w:pPr>
        <w:widowControl/>
        <w:spacing w:line="540" w:lineRule="exact"/>
        <w:ind w:firstLine="480"/>
        <w:jc w:val="left"/>
        <w:rPr>
          <w:kern w:val="0"/>
          <w:sz w:val="24"/>
          <w:highlight w:val="none"/>
        </w:rPr>
      </w:pPr>
      <w:r>
        <w:rPr>
          <w:kern w:val="0"/>
          <w:sz w:val="24"/>
          <w:highlight w:val="none"/>
        </w:rPr>
        <w:t>身份证复印件：</w:t>
      </w:r>
    </w:p>
    <w:p>
      <w:pPr>
        <w:widowControl/>
        <w:spacing w:line="540" w:lineRule="exact"/>
        <w:ind w:firstLine="480"/>
        <w:jc w:val="left"/>
        <w:rPr>
          <w:kern w:val="0"/>
          <w:sz w:val="24"/>
          <w:highlight w:val="none"/>
        </w:rPr>
      </w:pPr>
    </w:p>
    <w:p>
      <w:pPr>
        <w:widowControl/>
        <w:spacing w:line="540" w:lineRule="exact"/>
        <w:ind w:firstLine="480"/>
        <w:jc w:val="left"/>
        <w:rPr>
          <w:kern w:val="0"/>
          <w:sz w:val="24"/>
          <w:highlight w:val="none"/>
        </w:rPr>
      </w:pPr>
    </w:p>
    <w:p>
      <w:pPr>
        <w:widowControl/>
        <w:spacing w:line="540" w:lineRule="exact"/>
        <w:ind w:firstLine="480"/>
        <w:jc w:val="left"/>
        <w:rPr>
          <w:kern w:val="0"/>
          <w:sz w:val="24"/>
          <w:highlight w:val="none"/>
        </w:rPr>
      </w:pPr>
    </w:p>
    <w:p>
      <w:pPr>
        <w:widowControl/>
        <w:spacing w:line="540" w:lineRule="exact"/>
        <w:ind w:firstLine="480"/>
        <w:jc w:val="left"/>
        <w:rPr>
          <w:kern w:val="0"/>
          <w:sz w:val="24"/>
          <w:highlight w:val="none"/>
        </w:rPr>
      </w:pPr>
    </w:p>
    <w:p>
      <w:pPr>
        <w:pStyle w:val="185"/>
        <w:rPr>
          <w:szCs w:val="24"/>
          <w:highlight w:val="none"/>
          <w:lang w:val="en-US"/>
        </w:rPr>
      </w:pPr>
    </w:p>
    <w:p>
      <w:pPr>
        <w:widowControl/>
        <w:spacing w:line="540" w:lineRule="exact"/>
        <w:ind w:firstLine="3960" w:firstLineChars="1650"/>
        <w:jc w:val="left"/>
        <w:rPr>
          <w:kern w:val="0"/>
          <w:sz w:val="24"/>
          <w:highlight w:val="none"/>
        </w:rPr>
      </w:pPr>
      <w:r>
        <w:rPr>
          <w:rFonts w:hint="eastAsia"/>
          <w:kern w:val="0"/>
          <w:sz w:val="24"/>
          <w:highlight w:val="none"/>
        </w:rPr>
        <w:t>投标人</w:t>
      </w:r>
      <w:r>
        <w:rPr>
          <w:kern w:val="0"/>
          <w:sz w:val="24"/>
          <w:highlight w:val="none"/>
        </w:rPr>
        <w:t>名称（盖章）：</w:t>
      </w:r>
      <w:r>
        <w:rPr>
          <w:kern w:val="0"/>
          <w:sz w:val="24"/>
          <w:highlight w:val="none"/>
          <w:u w:val="single"/>
        </w:rPr>
        <w:t xml:space="preserve">                </w:t>
      </w:r>
    </w:p>
    <w:p>
      <w:pPr>
        <w:widowControl/>
        <w:spacing w:line="540" w:lineRule="exact"/>
        <w:ind w:firstLine="480"/>
        <w:jc w:val="left"/>
        <w:rPr>
          <w:kern w:val="0"/>
          <w:sz w:val="24"/>
          <w:highlight w:val="none"/>
        </w:rPr>
      </w:pPr>
    </w:p>
    <w:p>
      <w:pPr>
        <w:widowControl/>
        <w:spacing w:line="480" w:lineRule="atLeast"/>
        <w:ind w:firstLine="5400" w:firstLineChars="2250"/>
        <w:jc w:val="left"/>
        <w:rPr>
          <w:kern w:val="0"/>
          <w:sz w:val="24"/>
          <w:highlight w:val="none"/>
        </w:rPr>
      </w:pPr>
      <w:r>
        <w:rPr>
          <w:kern w:val="0"/>
          <w:sz w:val="24"/>
          <w:highlight w:val="none"/>
        </w:rPr>
        <w:t>日  期：</w:t>
      </w:r>
      <w:r>
        <w:rPr>
          <w:kern w:val="0"/>
          <w:sz w:val="24"/>
          <w:highlight w:val="none"/>
          <w:u w:val="single"/>
        </w:rPr>
        <w:t xml:space="preserve">                           </w:t>
      </w:r>
    </w:p>
    <w:p>
      <w:pPr>
        <w:widowControl/>
        <w:spacing w:line="480" w:lineRule="atLeast"/>
        <w:ind w:firstLine="480"/>
        <w:jc w:val="left"/>
        <w:rPr>
          <w:kern w:val="0"/>
          <w:sz w:val="24"/>
          <w:highlight w:val="none"/>
        </w:rPr>
      </w:pPr>
    </w:p>
    <w:p>
      <w:pPr>
        <w:widowControl/>
        <w:spacing w:before="260" w:after="260" w:line="270" w:lineRule="atLeast"/>
        <w:jc w:val="left"/>
        <w:outlineLvl w:val="2"/>
        <w:rPr>
          <w:kern w:val="0"/>
          <w:sz w:val="24"/>
          <w:highlight w:val="none"/>
        </w:rPr>
      </w:pPr>
      <w:bookmarkStart w:id="32" w:name="_Toc350938488"/>
    </w:p>
    <w:p>
      <w:pPr>
        <w:widowControl/>
        <w:spacing w:before="260" w:after="260" w:line="270" w:lineRule="atLeast"/>
        <w:jc w:val="left"/>
        <w:outlineLvl w:val="2"/>
        <w:rPr>
          <w:kern w:val="0"/>
          <w:highlight w:val="none"/>
        </w:rPr>
      </w:pPr>
    </w:p>
    <w:p>
      <w:pPr>
        <w:widowControl/>
        <w:spacing w:before="260" w:after="260" w:line="270" w:lineRule="atLeast"/>
        <w:jc w:val="left"/>
        <w:outlineLvl w:val="2"/>
        <w:rPr>
          <w:b/>
          <w:bCs/>
          <w:kern w:val="0"/>
          <w:sz w:val="36"/>
          <w:szCs w:val="36"/>
          <w:highlight w:val="none"/>
        </w:rPr>
      </w:pPr>
      <w:r>
        <w:rPr>
          <w:rFonts w:eastAsia="黑体"/>
          <w:b/>
          <w:bCs/>
          <w:kern w:val="0"/>
          <w:sz w:val="36"/>
          <w:szCs w:val="36"/>
          <w:highlight w:val="none"/>
        </w:rPr>
        <w:t>附件</w:t>
      </w:r>
      <w:r>
        <w:rPr>
          <w:rFonts w:hint="eastAsia"/>
          <w:b/>
          <w:bCs/>
          <w:kern w:val="0"/>
          <w:sz w:val="36"/>
          <w:szCs w:val="36"/>
          <w:highlight w:val="none"/>
        </w:rPr>
        <w:t>5</w:t>
      </w:r>
      <w:r>
        <w:rPr>
          <w:b/>
          <w:bCs/>
          <w:kern w:val="0"/>
          <w:sz w:val="36"/>
          <w:szCs w:val="36"/>
          <w:highlight w:val="none"/>
        </w:rPr>
        <w:t xml:space="preserve">              </w:t>
      </w:r>
      <w:r>
        <w:rPr>
          <w:rFonts w:eastAsia="黑体"/>
          <w:b/>
          <w:bCs/>
          <w:kern w:val="0"/>
          <w:sz w:val="36"/>
          <w:szCs w:val="36"/>
          <w:highlight w:val="none"/>
        </w:rPr>
        <w:t>法定代表人授权书</w:t>
      </w:r>
      <w:bookmarkEnd w:id="32"/>
    </w:p>
    <w:p>
      <w:pPr>
        <w:widowControl/>
        <w:spacing w:line="480" w:lineRule="atLeast"/>
        <w:ind w:firstLine="480"/>
        <w:jc w:val="left"/>
        <w:rPr>
          <w:kern w:val="0"/>
          <w:sz w:val="24"/>
          <w:highlight w:val="none"/>
        </w:rPr>
      </w:pPr>
    </w:p>
    <w:p>
      <w:pPr>
        <w:widowControl/>
        <w:spacing w:line="480" w:lineRule="auto"/>
        <w:ind w:firstLine="480" w:firstLineChars="200"/>
        <w:jc w:val="left"/>
        <w:rPr>
          <w:kern w:val="0"/>
          <w:sz w:val="24"/>
          <w:highlight w:val="none"/>
        </w:rPr>
      </w:pPr>
      <w:r>
        <w:rPr>
          <w:kern w:val="0"/>
          <w:sz w:val="24"/>
          <w:highlight w:val="none"/>
        </w:rPr>
        <w:t>本授权书声明：注册于</w:t>
      </w:r>
      <w:r>
        <w:rPr>
          <w:kern w:val="0"/>
          <w:sz w:val="24"/>
          <w:highlight w:val="none"/>
          <w:u w:val="single"/>
        </w:rPr>
        <w:t>（地区的名称）</w:t>
      </w:r>
      <w:r>
        <w:rPr>
          <w:kern w:val="0"/>
          <w:sz w:val="24"/>
          <w:highlight w:val="none"/>
        </w:rPr>
        <w:t>的</w:t>
      </w:r>
      <w:r>
        <w:rPr>
          <w:kern w:val="0"/>
          <w:sz w:val="24"/>
          <w:highlight w:val="none"/>
          <w:u w:val="single"/>
        </w:rPr>
        <w:t>（单位名称）</w:t>
      </w:r>
      <w:r>
        <w:rPr>
          <w:kern w:val="0"/>
          <w:sz w:val="24"/>
          <w:highlight w:val="none"/>
        </w:rPr>
        <w:t>的在下面签字的</w:t>
      </w:r>
      <w:r>
        <w:rPr>
          <w:kern w:val="0"/>
          <w:sz w:val="24"/>
          <w:highlight w:val="none"/>
          <w:u w:val="single"/>
        </w:rPr>
        <w:t>（法定代表人、职务）</w:t>
      </w:r>
      <w:r>
        <w:rPr>
          <w:kern w:val="0"/>
          <w:sz w:val="24"/>
          <w:highlight w:val="none"/>
        </w:rPr>
        <w:t>代表本公司授权</w:t>
      </w:r>
      <w:r>
        <w:rPr>
          <w:kern w:val="0"/>
          <w:sz w:val="24"/>
          <w:highlight w:val="none"/>
          <w:u w:val="single"/>
        </w:rPr>
        <w:t>（单位名称）</w:t>
      </w:r>
      <w:r>
        <w:rPr>
          <w:kern w:val="0"/>
          <w:sz w:val="24"/>
          <w:highlight w:val="none"/>
        </w:rPr>
        <w:t>的在下面签字的</w:t>
      </w:r>
      <w:r>
        <w:rPr>
          <w:kern w:val="0"/>
          <w:sz w:val="24"/>
          <w:highlight w:val="none"/>
          <w:u w:val="single"/>
        </w:rPr>
        <w:t>（被授权人的姓名、职务）</w:t>
      </w:r>
      <w:r>
        <w:rPr>
          <w:kern w:val="0"/>
          <w:sz w:val="24"/>
          <w:highlight w:val="none"/>
        </w:rPr>
        <w:t>为本公司的合法代理人，就</w:t>
      </w:r>
      <w:r>
        <w:rPr>
          <w:kern w:val="0"/>
          <w:sz w:val="24"/>
          <w:highlight w:val="none"/>
          <w:u w:val="single"/>
        </w:rPr>
        <w:t>（采购人名称）</w:t>
      </w:r>
      <w:r>
        <w:rPr>
          <w:kern w:val="0"/>
          <w:sz w:val="24"/>
          <w:highlight w:val="none"/>
        </w:rPr>
        <w:t>的</w:t>
      </w:r>
      <w:r>
        <w:rPr>
          <w:kern w:val="0"/>
          <w:sz w:val="24"/>
          <w:highlight w:val="none"/>
          <w:u w:val="single"/>
        </w:rPr>
        <w:t>（项目名称）</w:t>
      </w:r>
      <w:r>
        <w:rPr>
          <w:kern w:val="0"/>
          <w:sz w:val="24"/>
          <w:highlight w:val="none"/>
        </w:rPr>
        <w:t>供应，以本公司名义处理一切与之有关的事务。</w:t>
      </w:r>
    </w:p>
    <w:p>
      <w:pPr>
        <w:widowControl/>
        <w:spacing w:line="480" w:lineRule="auto"/>
        <w:ind w:firstLine="480" w:firstLineChars="200"/>
        <w:jc w:val="left"/>
        <w:rPr>
          <w:kern w:val="0"/>
          <w:sz w:val="24"/>
          <w:highlight w:val="none"/>
        </w:rPr>
      </w:pPr>
      <w:r>
        <w:rPr>
          <w:kern w:val="0"/>
          <w:sz w:val="24"/>
          <w:highlight w:val="none"/>
        </w:rPr>
        <w:t>本授权书于</w:t>
      </w:r>
      <w:r>
        <w:rPr>
          <w:kern w:val="0"/>
          <w:sz w:val="24"/>
          <w:highlight w:val="none"/>
          <w:u w:val="single"/>
        </w:rPr>
        <w:t xml:space="preserve">     </w:t>
      </w:r>
      <w:r>
        <w:rPr>
          <w:kern w:val="0"/>
          <w:sz w:val="24"/>
          <w:highlight w:val="none"/>
        </w:rPr>
        <w:t>年</w:t>
      </w:r>
      <w:r>
        <w:rPr>
          <w:kern w:val="0"/>
          <w:sz w:val="24"/>
          <w:highlight w:val="none"/>
          <w:u w:val="single"/>
        </w:rPr>
        <w:t xml:space="preserve">    </w:t>
      </w:r>
      <w:r>
        <w:rPr>
          <w:kern w:val="0"/>
          <w:sz w:val="24"/>
          <w:highlight w:val="none"/>
        </w:rPr>
        <w:t>月</w:t>
      </w:r>
      <w:r>
        <w:rPr>
          <w:kern w:val="0"/>
          <w:sz w:val="24"/>
          <w:highlight w:val="none"/>
          <w:u w:val="single"/>
        </w:rPr>
        <w:t xml:space="preserve">    </w:t>
      </w:r>
      <w:r>
        <w:rPr>
          <w:kern w:val="0"/>
          <w:sz w:val="24"/>
          <w:highlight w:val="none"/>
        </w:rPr>
        <w:t>日签字生效，特此声明。</w:t>
      </w:r>
    </w:p>
    <w:p>
      <w:pPr>
        <w:widowControl/>
        <w:spacing w:line="480" w:lineRule="auto"/>
        <w:ind w:firstLine="480"/>
        <w:jc w:val="left"/>
        <w:rPr>
          <w:kern w:val="0"/>
          <w:sz w:val="24"/>
          <w:highlight w:val="none"/>
          <w:u w:val="single"/>
        </w:rPr>
      </w:pPr>
      <w:r>
        <w:rPr>
          <w:kern w:val="0"/>
          <w:sz w:val="24"/>
          <w:highlight w:val="none"/>
        </w:rPr>
        <w:t>法定代表人签字或盖章：</w:t>
      </w:r>
      <w:r>
        <w:rPr>
          <w:kern w:val="0"/>
          <w:sz w:val="24"/>
          <w:highlight w:val="none"/>
          <w:u w:val="single"/>
        </w:rPr>
        <w:t xml:space="preserve">                          </w:t>
      </w:r>
    </w:p>
    <w:p>
      <w:pPr>
        <w:widowControl/>
        <w:spacing w:line="480" w:lineRule="auto"/>
        <w:ind w:firstLine="480"/>
        <w:jc w:val="left"/>
        <w:rPr>
          <w:kern w:val="0"/>
          <w:sz w:val="24"/>
          <w:highlight w:val="none"/>
        </w:rPr>
      </w:pPr>
      <w:r>
        <w:rPr>
          <w:kern w:val="0"/>
          <w:sz w:val="24"/>
          <w:highlight w:val="none"/>
        </w:rPr>
        <w:t>被授权人签字或盖章：</w:t>
      </w:r>
      <w:r>
        <w:rPr>
          <w:kern w:val="0"/>
          <w:sz w:val="24"/>
          <w:highlight w:val="none"/>
          <w:u w:val="single"/>
        </w:rPr>
        <w:t xml:space="preserve">                            </w:t>
      </w:r>
    </w:p>
    <w:p>
      <w:pPr>
        <w:widowControl/>
        <w:spacing w:line="480" w:lineRule="auto"/>
        <w:ind w:firstLine="480"/>
        <w:jc w:val="left"/>
        <w:rPr>
          <w:kern w:val="0"/>
          <w:sz w:val="24"/>
          <w:highlight w:val="none"/>
        </w:rPr>
      </w:pPr>
      <w:r>
        <w:rPr>
          <w:kern w:val="0"/>
          <w:sz w:val="24"/>
          <w:highlight w:val="none"/>
        </w:rPr>
        <w:t>（授权代表的身份证复印件加盖公章附后）</w:t>
      </w:r>
    </w:p>
    <w:p>
      <w:pPr>
        <w:widowControl/>
        <w:spacing w:line="480" w:lineRule="auto"/>
        <w:ind w:firstLine="480"/>
        <w:jc w:val="left"/>
        <w:rPr>
          <w:kern w:val="0"/>
          <w:sz w:val="24"/>
          <w:highlight w:val="none"/>
        </w:rPr>
      </w:pPr>
    </w:p>
    <w:p>
      <w:pPr>
        <w:widowControl/>
        <w:spacing w:line="480" w:lineRule="auto"/>
        <w:ind w:firstLine="480"/>
        <w:jc w:val="left"/>
        <w:rPr>
          <w:kern w:val="0"/>
          <w:sz w:val="24"/>
          <w:highlight w:val="none"/>
        </w:rPr>
      </w:pPr>
    </w:p>
    <w:p>
      <w:pPr>
        <w:widowControl/>
        <w:spacing w:line="480" w:lineRule="auto"/>
        <w:ind w:firstLine="480"/>
        <w:jc w:val="left"/>
        <w:rPr>
          <w:kern w:val="0"/>
          <w:sz w:val="24"/>
          <w:highlight w:val="none"/>
        </w:rPr>
      </w:pPr>
    </w:p>
    <w:p>
      <w:pPr>
        <w:widowControl/>
        <w:spacing w:line="480" w:lineRule="auto"/>
        <w:ind w:firstLine="480"/>
        <w:jc w:val="left"/>
        <w:rPr>
          <w:kern w:val="0"/>
          <w:sz w:val="24"/>
          <w:highlight w:val="none"/>
        </w:rPr>
      </w:pPr>
    </w:p>
    <w:p>
      <w:pPr>
        <w:widowControl/>
        <w:spacing w:line="480" w:lineRule="auto"/>
        <w:ind w:firstLine="4800" w:firstLineChars="2000"/>
        <w:jc w:val="left"/>
        <w:rPr>
          <w:kern w:val="0"/>
          <w:sz w:val="24"/>
          <w:highlight w:val="none"/>
        </w:rPr>
      </w:pPr>
    </w:p>
    <w:p>
      <w:pPr>
        <w:widowControl/>
        <w:spacing w:line="480" w:lineRule="atLeast"/>
        <w:ind w:firstLine="4800" w:firstLineChars="2000"/>
        <w:jc w:val="left"/>
        <w:rPr>
          <w:kern w:val="0"/>
          <w:sz w:val="24"/>
          <w:highlight w:val="none"/>
        </w:rPr>
      </w:pPr>
    </w:p>
    <w:p>
      <w:pPr>
        <w:widowControl/>
        <w:spacing w:line="480" w:lineRule="atLeast"/>
        <w:ind w:firstLine="4800" w:firstLineChars="2000"/>
        <w:jc w:val="left"/>
        <w:rPr>
          <w:kern w:val="0"/>
          <w:sz w:val="24"/>
          <w:highlight w:val="none"/>
        </w:rPr>
      </w:pPr>
    </w:p>
    <w:p>
      <w:pPr>
        <w:widowControl/>
        <w:spacing w:line="480" w:lineRule="atLeast"/>
        <w:ind w:firstLine="2160" w:firstLineChars="900"/>
        <w:jc w:val="left"/>
        <w:rPr>
          <w:kern w:val="0"/>
          <w:sz w:val="24"/>
          <w:highlight w:val="none"/>
          <w:u w:val="single"/>
        </w:rPr>
      </w:pPr>
      <w:r>
        <w:rPr>
          <w:kern w:val="0"/>
          <w:sz w:val="24"/>
          <w:highlight w:val="none"/>
        </w:rPr>
        <w:t>投标人名称（盖章）：</w:t>
      </w:r>
      <w:r>
        <w:rPr>
          <w:kern w:val="0"/>
          <w:sz w:val="24"/>
          <w:highlight w:val="none"/>
          <w:u w:val="single"/>
        </w:rPr>
        <w:t xml:space="preserve">                 </w:t>
      </w:r>
    </w:p>
    <w:p>
      <w:pPr>
        <w:widowControl/>
        <w:spacing w:line="480" w:lineRule="atLeast"/>
        <w:ind w:firstLine="3600" w:firstLineChars="1500"/>
        <w:jc w:val="left"/>
        <w:rPr>
          <w:kern w:val="0"/>
          <w:sz w:val="24"/>
          <w:highlight w:val="none"/>
        </w:rPr>
      </w:pPr>
    </w:p>
    <w:p>
      <w:pPr>
        <w:widowControl/>
        <w:spacing w:line="480" w:lineRule="atLeast"/>
        <w:ind w:firstLine="3600" w:firstLineChars="1500"/>
        <w:jc w:val="left"/>
        <w:rPr>
          <w:kern w:val="0"/>
          <w:sz w:val="24"/>
          <w:highlight w:val="none"/>
          <w:u w:val="single"/>
        </w:rPr>
      </w:pPr>
      <w:r>
        <w:rPr>
          <w:kern w:val="0"/>
          <w:sz w:val="24"/>
          <w:highlight w:val="none"/>
        </w:rPr>
        <w:t>日  期：</w:t>
      </w:r>
      <w:r>
        <w:rPr>
          <w:kern w:val="0"/>
          <w:sz w:val="24"/>
          <w:highlight w:val="none"/>
          <w:u w:val="single"/>
        </w:rPr>
        <w:t xml:space="preserve">                  </w:t>
      </w:r>
    </w:p>
    <w:p>
      <w:pPr>
        <w:widowControl/>
        <w:spacing w:line="480" w:lineRule="atLeast"/>
        <w:ind w:firstLine="480"/>
        <w:jc w:val="left"/>
        <w:rPr>
          <w:kern w:val="0"/>
          <w:sz w:val="24"/>
          <w:highlight w:val="none"/>
        </w:rPr>
      </w:pPr>
    </w:p>
    <w:p>
      <w:pPr>
        <w:spacing w:line="480" w:lineRule="auto"/>
        <w:rPr>
          <w:rFonts w:hint="eastAsia"/>
          <w:kern w:val="0"/>
          <w:sz w:val="24"/>
          <w:highlight w:val="none"/>
        </w:rPr>
      </w:pPr>
      <w:bookmarkStart w:id="33" w:name="_Toc350938490"/>
    </w:p>
    <w:p>
      <w:pPr>
        <w:spacing w:line="480" w:lineRule="auto"/>
        <w:rPr>
          <w:rFonts w:hint="eastAsia"/>
          <w:kern w:val="0"/>
          <w:sz w:val="24"/>
          <w:highlight w:val="none"/>
        </w:rPr>
      </w:pPr>
    </w:p>
    <w:p>
      <w:pPr>
        <w:spacing w:line="480" w:lineRule="auto"/>
        <w:rPr>
          <w:sz w:val="32"/>
          <w:szCs w:val="32"/>
          <w:highlight w:val="none"/>
        </w:rPr>
      </w:pPr>
    </w:p>
    <w:p>
      <w:pPr>
        <w:spacing w:line="360" w:lineRule="auto"/>
        <w:rPr>
          <w:highlight w:val="none"/>
        </w:rPr>
      </w:pPr>
      <w:r>
        <w:rPr>
          <w:b/>
          <w:sz w:val="32"/>
          <w:highlight w:val="none"/>
        </w:rPr>
        <w:t>附件</w:t>
      </w:r>
      <w:r>
        <w:rPr>
          <w:rFonts w:hint="eastAsia"/>
          <w:sz w:val="32"/>
          <w:highlight w:val="none"/>
        </w:rPr>
        <w:t>6</w:t>
      </w:r>
      <w:r>
        <w:rPr>
          <w:sz w:val="32"/>
          <w:highlight w:val="none"/>
        </w:rPr>
        <w:t xml:space="preserve">             </w:t>
      </w:r>
      <w:r>
        <w:rPr>
          <w:highlight w:val="none"/>
        </w:rPr>
        <w:t xml:space="preserve">      </w:t>
      </w:r>
      <w:r>
        <w:rPr>
          <w:b/>
          <w:bCs/>
          <w:sz w:val="28"/>
          <w:szCs w:val="28"/>
          <w:highlight w:val="none"/>
        </w:rPr>
        <w:t>质量保证承诺书</w:t>
      </w:r>
    </w:p>
    <w:p>
      <w:pPr>
        <w:spacing w:line="360" w:lineRule="auto"/>
        <w:rPr>
          <w:b/>
          <w:bCs/>
          <w:highlight w:val="none"/>
        </w:rPr>
      </w:pPr>
      <w:r>
        <w:rPr>
          <w:b/>
          <w:bCs/>
          <w:highlight w:val="none"/>
        </w:rPr>
        <w:t xml:space="preserve">   </w:t>
      </w:r>
    </w:p>
    <w:p>
      <w:pPr>
        <w:spacing w:line="360" w:lineRule="auto"/>
        <w:rPr>
          <w:bCs/>
          <w:sz w:val="24"/>
          <w:highlight w:val="none"/>
        </w:rPr>
      </w:pPr>
      <w:r>
        <w:rPr>
          <w:b/>
          <w:bCs/>
          <w:sz w:val="24"/>
          <w:highlight w:val="none"/>
        </w:rPr>
        <w:t xml:space="preserve"> </w:t>
      </w:r>
      <w:r>
        <w:rPr>
          <w:sz w:val="24"/>
          <w:highlight w:val="none"/>
        </w:rPr>
        <w:t>致：</w:t>
      </w:r>
      <w:r>
        <w:rPr>
          <w:rFonts w:hint="eastAsia"/>
          <w:bCs/>
          <w:sz w:val="24"/>
          <w:highlight w:val="none"/>
        </w:rPr>
        <w:t xml:space="preserve"> </w:t>
      </w:r>
    </w:p>
    <w:p>
      <w:pPr>
        <w:spacing w:line="360" w:lineRule="auto"/>
        <w:rPr>
          <w:bCs/>
          <w:sz w:val="24"/>
          <w:highlight w:val="none"/>
        </w:rPr>
      </w:pPr>
    </w:p>
    <w:p>
      <w:pPr>
        <w:spacing w:line="360" w:lineRule="auto"/>
        <w:ind w:firstLine="480" w:firstLineChars="200"/>
        <w:rPr>
          <w:sz w:val="24"/>
          <w:highlight w:val="none"/>
        </w:rPr>
      </w:pPr>
      <w:r>
        <w:rPr>
          <w:sz w:val="24"/>
          <w:highlight w:val="none"/>
        </w:rPr>
        <w:t>我公司在此声明，招标文件所提供的所有文件均是真实和准确的，同时郑重承诺：我方若中标，保证按照招标文件的规定配备好设备和服务人员，并完全按照招标文件的要求向贵方提供优质的服务，并承担相应的一切费用。</w:t>
      </w:r>
    </w:p>
    <w:p>
      <w:pPr>
        <w:tabs>
          <w:tab w:val="left" w:pos="1980"/>
        </w:tabs>
        <w:spacing w:line="360" w:lineRule="auto"/>
        <w:rPr>
          <w:sz w:val="24"/>
          <w:highlight w:val="none"/>
        </w:rPr>
      </w:pPr>
    </w:p>
    <w:p>
      <w:pPr>
        <w:tabs>
          <w:tab w:val="left" w:pos="1980"/>
        </w:tabs>
        <w:spacing w:line="360" w:lineRule="auto"/>
        <w:rPr>
          <w:sz w:val="24"/>
          <w:highlight w:val="none"/>
        </w:rPr>
      </w:pPr>
    </w:p>
    <w:p>
      <w:pPr>
        <w:tabs>
          <w:tab w:val="left" w:pos="1980"/>
        </w:tabs>
        <w:spacing w:line="360" w:lineRule="auto"/>
        <w:rPr>
          <w:sz w:val="24"/>
          <w:highlight w:val="none"/>
        </w:rPr>
      </w:pPr>
    </w:p>
    <w:p>
      <w:pPr>
        <w:tabs>
          <w:tab w:val="left" w:pos="1980"/>
        </w:tabs>
        <w:spacing w:line="360" w:lineRule="auto"/>
        <w:rPr>
          <w:sz w:val="24"/>
          <w:highlight w:val="none"/>
        </w:rPr>
      </w:pPr>
    </w:p>
    <w:p>
      <w:pPr>
        <w:tabs>
          <w:tab w:val="left" w:pos="1980"/>
        </w:tabs>
        <w:spacing w:line="360" w:lineRule="auto"/>
        <w:rPr>
          <w:sz w:val="24"/>
          <w:highlight w:val="none"/>
        </w:rPr>
      </w:pPr>
    </w:p>
    <w:p>
      <w:pPr>
        <w:tabs>
          <w:tab w:val="left" w:pos="1980"/>
        </w:tabs>
        <w:spacing w:line="360" w:lineRule="auto"/>
        <w:rPr>
          <w:sz w:val="24"/>
          <w:highlight w:val="none"/>
        </w:rPr>
      </w:pPr>
    </w:p>
    <w:p>
      <w:pPr>
        <w:spacing w:line="360" w:lineRule="auto"/>
        <w:rPr>
          <w:sz w:val="24"/>
          <w:highlight w:val="none"/>
        </w:rPr>
      </w:pPr>
    </w:p>
    <w:p>
      <w:pPr>
        <w:spacing w:line="360" w:lineRule="auto"/>
        <w:ind w:firstLine="3840" w:firstLineChars="1600"/>
        <w:rPr>
          <w:sz w:val="24"/>
          <w:highlight w:val="none"/>
        </w:rPr>
      </w:pPr>
      <w:r>
        <w:rPr>
          <w:rFonts w:hint="eastAsia"/>
          <w:sz w:val="24"/>
          <w:highlight w:val="none"/>
        </w:rPr>
        <w:t>投标人</w:t>
      </w:r>
      <w:r>
        <w:rPr>
          <w:sz w:val="24"/>
          <w:highlight w:val="none"/>
        </w:rPr>
        <w:t>名称（盖章）</w:t>
      </w:r>
      <w:r>
        <w:rPr>
          <w:rFonts w:hint="eastAsia"/>
          <w:sz w:val="24"/>
          <w:highlight w:val="none"/>
        </w:rPr>
        <w:t>：</w:t>
      </w:r>
      <w:r>
        <w:rPr>
          <w:sz w:val="24"/>
          <w:highlight w:val="none"/>
          <w:u w:val="single"/>
        </w:rPr>
        <w:t xml:space="preserve">                   </w:t>
      </w:r>
    </w:p>
    <w:p>
      <w:pPr>
        <w:spacing w:line="360" w:lineRule="auto"/>
        <w:ind w:firstLine="4440" w:firstLineChars="1850"/>
        <w:rPr>
          <w:sz w:val="24"/>
          <w:highlight w:val="none"/>
          <w:u w:val="single"/>
        </w:rPr>
      </w:pPr>
      <w:r>
        <w:rPr>
          <w:sz w:val="24"/>
          <w:highlight w:val="none"/>
        </w:rPr>
        <w:t>授权代表签字</w:t>
      </w:r>
      <w:r>
        <w:rPr>
          <w:rFonts w:hint="eastAsia"/>
          <w:sz w:val="24"/>
          <w:highlight w:val="none"/>
        </w:rPr>
        <w:t>：</w:t>
      </w:r>
      <w:r>
        <w:rPr>
          <w:sz w:val="24"/>
          <w:highlight w:val="none"/>
          <w:u w:val="single"/>
        </w:rPr>
        <w:t xml:space="preserve">                      </w:t>
      </w:r>
    </w:p>
    <w:p>
      <w:pPr>
        <w:spacing w:line="400" w:lineRule="exact"/>
        <w:ind w:firstLine="6360"/>
        <w:rPr>
          <w:sz w:val="24"/>
          <w:highlight w:val="none"/>
        </w:rPr>
      </w:pPr>
      <w:r>
        <w:rPr>
          <w:sz w:val="24"/>
          <w:highlight w:val="none"/>
        </w:rPr>
        <w:t>年     月     日</w:t>
      </w:r>
    </w:p>
    <w:p>
      <w:pPr>
        <w:spacing w:line="480" w:lineRule="auto"/>
        <w:ind w:firstLine="3360" w:firstLineChars="1400"/>
        <w:rPr>
          <w:sz w:val="24"/>
          <w:highlight w:val="none"/>
        </w:rPr>
      </w:pPr>
    </w:p>
    <w:p>
      <w:pPr>
        <w:pStyle w:val="135"/>
        <w:spacing w:line="360" w:lineRule="auto"/>
        <w:rPr>
          <w:rFonts w:ascii="Times New Roman" w:hAnsi="Times New Roman" w:eastAsia="仿宋"/>
          <w:sz w:val="24"/>
          <w:szCs w:val="24"/>
          <w:highlight w:val="none"/>
        </w:rPr>
      </w:pPr>
    </w:p>
    <w:p>
      <w:pPr>
        <w:pStyle w:val="13"/>
        <w:rPr>
          <w:rFonts w:ascii="Times New Roman" w:hAnsi="Times New Roman"/>
          <w:sz w:val="24"/>
          <w:szCs w:val="24"/>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pStyle w:val="13"/>
        <w:rPr>
          <w:rFonts w:ascii="Times New Roman" w:hAnsi="Times New Roman"/>
          <w:highlight w:val="none"/>
        </w:rPr>
      </w:pPr>
    </w:p>
    <w:p>
      <w:pPr>
        <w:rPr>
          <w:highlight w:val="none"/>
        </w:rPr>
      </w:pPr>
    </w:p>
    <w:p>
      <w:pPr>
        <w:pStyle w:val="13"/>
        <w:spacing w:line="360" w:lineRule="auto"/>
        <w:rPr>
          <w:rFonts w:ascii="Times New Roman" w:hAnsi="Times New Roman" w:eastAsia="黑体"/>
          <w:b/>
          <w:bCs/>
          <w:kern w:val="0"/>
          <w:sz w:val="36"/>
          <w:szCs w:val="36"/>
          <w:highlight w:val="none"/>
        </w:rPr>
      </w:pPr>
    </w:p>
    <w:bookmarkEnd w:id="33"/>
    <w:p>
      <w:pPr>
        <w:widowControl/>
        <w:spacing w:before="260" w:after="260" w:line="270" w:lineRule="atLeast"/>
        <w:jc w:val="left"/>
        <w:outlineLvl w:val="2"/>
        <w:rPr>
          <w:b/>
          <w:bCs/>
          <w:sz w:val="36"/>
          <w:szCs w:val="36"/>
          <w:highlight w:val="none"/>
        </w:rPr>
      </w:pPr>
      <w:bookmarkStart w:id="34" w:name="_Toc350938491"/>
      <w:r>
        <w:rPr>
          <w:rFonts w:eastAsia="黑体"/>
          <w:b/>
          <w:bCs/>
          <w:kern w:val="0"/>
          <w:sz w:val="36"/>
          <w:szCs w:val="36"/>
          <w:highlight w:val="none"/>
        </w:rPr>
        <w:t>附件</w:t>
      </w:r>
      <w:r>
        <w:rPr>
          <w:rFonts w:hint="eastAsia" w:eastAsia="黑体"/>
          <w:b/>
          <w:bCs/>
          <w:kern w:val="0"/>
          <w:sz w:val="36"/>
          <w:szCs w:val="36"/>
          <w:highlight w:val="none"/>
        </w:rPr>
        <w:t>7</w:t>
      </w:r>
      <w:r>
        <w:rPr>
          <w:b/>
          <w:bCs/>
          <w:kern w:val="0"/>
          <w:sz w:val="36"/>
          <w:szCs w:val="36"/>
          <w:highlight w:val="none"/>
        </w:rPr>
        <w:t xml:space="preserve">            </w:t>
      </w:r>
      <w:r>
        <w:rPr>
          <w:b/>
          <w:bCs/>
          <w:sz w:val="36"/>
          <w:szCs w:val="36"/>
          <w:highlight w:val="none"/>
        </w:rPr>
        <w:t>投标函（格式）</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致：</w:t>
      </w:r>
      <w:r>
        <w:rPr>
          <w:rFonts w:ascii="Times New Roman" w:hAnsi="Times New Roman"/>
          <w:sz w:val="24"/>
          <w:szCs w:val="24"/>
          <w:highlight w:val="none"/>
          <w:u w:val="single"/>
        </w:rPr>
        <w:t xml:space="preserve">                  </w:t>
      </w:r>
    </w:p>
    <w:p>
      <w:pPr>
        <w:pStyle w:val="13"/>
        <w:spacing w:line="360" w:lineRule="auto"/>
        <w:rPr>
          <w:rFonts w:ascii="Times New Roman" w:hAnsi="Times New Roman"/>
          <w:sz w:val="24"/>
          <w:szCs w:val="24"/>
          <w:highlight w:val="none"/>
        </w:rPr>
      </w:pPr>
      <w:r>
        <w:rPr>
          <w:rFonts w:ascii="Times New Roman" w:hAnsi="Times New Roman"/>
          <w:sz w:val="24"/>
          <w:szCs w:val="24"/>
          <w:highlight w:val="none"/>
        </w:rPr>
        <w:t xml:space="preserve">     _________________________（投标人全称）授权_________________（全名、职务）为全权代表参加贵方组织的_________________________</w:t>
      </w:r>
      <w:r>
        <w:rPr>
          <w:rFonts w:ascii="Times New Roman" w:hAnsi="Times New Roman"/>
          <w:sz w:val="24"/>
          <w:szCs w:val="24"/>
          <w:highlight w:val="none"/>
          <w:u w:val="single"/>
        </w:rPr>
        <w:t xml:space="preserve">              </w:t>
      </w:r>
      <w:r>
        <w:rPr>
          <w:rFonts w:ascii="Times New Roman" w:hAnsi="Times New Roman"/>
          <w:sz w:val="24"/>
          <w:szCs w:val="24"/>
          <w:highlight w:val="none"/>
        </w:rPr>
        <w:t>项目（招标项目名称、招标编号）</w:t>
      </w:r>
      <w:r>
        <w:rPr>
          <w:rFonts w:ascii="Times New Roman" w:hAnsi="Times New Roman"/>
          <w:sz w:val="24"/>
          <w:szCs w:val="24"/>
          <w:highlight w:val="none"/>
          <w:u w:val="single"/>
        </w:rPr>
        <w:t xml:space="preserve">       </w:t>
      </w:r>
      <w:r>
        <w:rPr>
          <w:rFonts w:ascii="Times New Roman" w:hAnsi="Times New Roman"/>
          <w:sz w:val="24"/>
          <w:szCs w:val="24"/>
          <w:highlight w:val="none"/>
        </w:rPr>
        <w:t>标段的招标、投标等有关活动，为此提交下述文件：</w:t>
      </w:r>
    </w:p>
    <w:p>
      <w:pPr>
        <w:spacing w:line="360" w:lineRule="auto"/>
        <w:ind w:firstLine="480" w:firstLineChars="200"/>
        <w:rPr>
          <w:sz w:val="24"/>
          <w:highlight w:val="none"/>
        </w:rPr>
      </w:pPr>
      <w:r>
        <w:rPr>
          <w:sz w:val="24"/>
          <w:highlight w:val="none"/>
        </w:rPr>
        <w:t>1、技术标</w:t>
      </w:r>
      <w:r>
        <w:rPr>
          <w:rFonts w:hint="eastAsia"/>
          <w:sz w:val="24"/>
          <w:highlight w:val="none"/>
        </w:rPr>
        <w:t>文件</w:t>
      </w:r>
      <w:r>
        <w:rPr>
          <w:sz w:val="24"/>
          <w:highlight w:val="none"/>
        </w:rPr>
        <w:t>；</w:t>
      </w:r>
    </w:p>
    <w:p>
      <w:pPr>
        <w:spacing w:line="360" w:lineRule="auto"/>
        <w:ind w:firstLine="480" w:firstLineChars="200"/>
        <w:rPr>
          <w:sz w:val="24"/>
          <w:highlight w:val="none"/>
        </w:rPr>
      </w:pPr>
      <w:r>
        <w:rPr>
          <w:sz w:val="24"/>
          <w:highlight w:val="none"/>
        </w:rPr>
        <w:t>2、商务</w:t>
      </w:r>
      <w:r>
        <w:rPr>
          <w:rFonts w:hint="eastAsia"/>
          <w:sz w:val="24"/>
          <w:highlight w:val="none"/>
        </w:rPr>
        <w:t>报价文件</w:t>
      </w:r>
      <w:r>
        <w:rPr>
          <w:sz w:val="24"/>
          <w:highlight w:val="none"/>
        </w:rPr>
        <w:t>；</w:t>
      </w:r>
    </w:p>
    <w:p>
      <w:pPr>
        <w:spacing w:line="360" w:lineRule="auto"/>
        <w:ind w:firstLine="480" w:firstLineChars="200"/>
        <w:rPr>
          <w:sz w:val="24"/>
          <w:highlight w:val="none"/>
        </w:rPr>
      </w:pPr>
      <w:r>
        <w:rPr>
          <w:sz w:val="24"/>
          <w:highlight w:val="none"/>
        </w:rPr>
        <w:t>3、其他：</w:t>
      </w:r>
    </w:p>
    <w:p>
      <w:pPr>
        <w:spacing w:line="360" w:lineRule="auto"/>
        <w:ind w:firstLine="480" w:firstLineChars="200"/>
        <w:rPr>
          <w:sz w:val="24"/>
          <w:highlight w:val="none"/>
        </w:rPr>
      </w:pPr>
      <w:r>
        <w:rPr>
          <w:sz w:val="24"/>
          <w:highlight w:val="none"/>
        </w:rPr>
        <w:t>4、据此函，签字代表宣布同意如下：</w:t>
      </w:r>
    </w:p>
    <w:p>
      <w:pPr>
        <w:spacing w:line="360" w:lineRule="auto"/>
        <w:ind w:firstLine="480" w:firstLineChars="200"/>
        <w:rPr>
          <w:sz w:val="24"/>
          <w:highlight w:val="none"/>
        </w:rPr>
      </w:pPr>
      <w:r>
        <w:rPr>
          <w:sz w:val="24"/>
          <w:highlight w:val="none"/>
        </w:rPr>
        <w:t>1）</w:t>
      </w:r>
      <w:r>
        <w:rPr>
          <w:spacing w:val="12"/>
          <w:sz w:val="24"/>
          <w:highlight w:val="none"/>
        </w:rPr>
        <w:t xml:space="preserve">所附投标报价表中规定的应提供和支付的设备和服务投标总价为（人民币） </w:t>
      </w:r>
      <w:r>
        <w:rPr>
          <w:sz w:val="24"/>
          <w:highlight w:val="none"/>
        </w:rPr>
        <w:t>______</w:t>
      </w:r>
      <w:r>
        <w:rPr>
          <w:sz w:val="24"/>
          <w:highlight w:val="none"/>
          <w:u w:val="single"/>
        </w:rPr>
        <w:t xml:space="preserve">        </w:t>
      </w:r>
      <w:r>
        <w:rPr>
          <w:sz w:val="24"/>
          <w:highlight w:val="none"/>
        </w:rPr>
        <w:t>_， 即 __________________________________________________（大写）。（企业成本价为</w:t>
      </w:r>
      <w:r>
        <w:rPr>
          <w:sz w:val="24"/>
          <w:highlight w:val="none"/>
          <w:u w:val="single"/>
        </w:rPr>
        <w:t xml:space="preserve">                </w:t>
      </w:r>
      <w:r>
        <w:rPr>
          <w:sz w:val="24"/>
          <w:highlight w:val="none"/>
        </w:rPr>
        <w:t>元）</w:t>
      </w:r>
    </w:p>
    <w:p>
      <w:pPr>
        <w:spacing w:line="360" w:lineRule="auto"/>
        <w:ind w:firstLine="480" w:firstLineChars="200"/>
        <w:rPr>
          <w:sz w:val="24"/>
          <w:highlight w:val="none"/>
        </w:rPr>
      </w:pPr>
      <w:r>
        <w:rPr>
          <w:sz w:val="24"/>
          <w:highlight w:val="none"/>
        </w:rPr>
        <w:t>2）投标方已详细审查全部招标文件，我们完全理解并同意放弃对这方面有不明及误解的权利。</w:t>
      </w:r>
    </w:p>
    <w:p>
      <w:pPr>
        <w:spacing w:line="360" w:lineRule="auto"/>
        <w:ind w:firstLine="480" w:firstLineChars="200"/>
        <w:rPr>
          <w:sz w:val="24"/>
          <w:highlight w:val="none"/>
        </w:rPr>
      </w:pPr>
      <w:r>
        <w:rPr>
          <w:sz w:val="24"/>
          <w:highlight w:val="none"/>
        </w:rPr>
        <w:t>3）投标方将按招标文件规定履行合同责任和义务。</w:t>
      </w:r>
    </w:p>
    <w:p>
      <w:pPr>
        <w:spacing w:line="360" w:lineRule="auto"/>
        <w:ind w:firstLine="480" w:firstLineChars="200"/>
        <w:rPr>
          <w:sz w:val="24"/>
          <w:highlight w:val="none"/>
        </w:rPr>
      </w:pPr>
      <w:r>
        <w:rPr>
          <w:sz w:val="24"/>
          <w:highlight w:val="none"/>
        </w:rPr>
        <w:t>4）其投标自开标之日起有效期</w:t>
      </w:r>
      <w:r>
        <w:rPr>
          <w:sz w:val="24"/>
          <w:highlight w:val="none"/>
          <w:u w:val="single"/>
        </w:rPr>
        <w:t>____</w:t>
      </w:r>
      <w:r>
        <w:rPr>
          <w:sz w:val="24"/>
          <w:highlight w:val="none"/>
        </w:rPr>
        <w:t>个日历天。</w:t>
      </w:r>
    </w:p>
    <w:p>
      <w:pPr>
        <w:spacing w:line="360" w:lineRule="auto"/>
        <w:ind w:firstLine="480" w:firstLineChars="200"/>
        <w:rPr>
          <w:sz w:val="24"/>
          <w:highlight w:val="none"/>
        </w:rPr>
      </w:pPr>
      <w:r>
        <w:rPr>
          <w:sz w:val="24"/>
          <w:highlight w:val="none"/>
        </w:rPr>
        <w:t>5）投标方同意提供按照贵方可能要求的与其投标有关的一切数据或资料，理解贵方不一定要接受最低价的投标或收到的任何投标。</w:t>
      </w:r>
    </w:p>
    <w:p>
      <w:pPr>
        <w:spacing w:line="360" w:lineRule="auto"/>
        <w:ind w:firstLine="480" w:firstLineChars="200"/>
        <w:rPr>
          <w:sz w:val="24"/>
          <w:highlight w:val="none"/>
        </w:rPr>
      </w:pPr>
      <w:r>
        <w:rPr>
          <w:sz w:val="24"/>
          <w:highlight w:val="none"/>
        </w:rPr>
        <w:t>6）与本投标有关的一切正式往来通讯请寄：</w:t>
      </w:r>
    </w:p>
    <w:p>
      <w:pPr>
        <w:spacing w:line="600" w:lineRule="exact"/>
        <w:rPr>
          <w:sz w:val="24"/>
          <w:highlight w:val="none"/>
        </w:rPr>
      </w:pPr>
      <w:r>
        <w:rPr>
          <w:sz w:val="24"/>
          <w:highlight w:val="none"/>
        </w:rPr>
        <w:t>地址：______________________</w:t>
      </w:r>
      <w:r>
        <w:rPr>
          <w:sz w:val="24"/>
          <w:highlight w:val="none"/>
          <w:u w:val="single"/>
        </w:rPr>
        <w:t xml:space="preserve">      </w:t>
      </w:r>
      <w:r>
        <w:rPr>
          <w:sz w:val="24"/>
          <w:highlight w:val="none"/>
        </w:rPr>
        <w:t xml:space="preserve">       邮编：______________________  </w:t>
      </w:r>
    </w:p>
    <w:p>
      <w:pPr>
        <w:spacing w:line="600" w:lineRule="exact"/>
        <w:rPr>
          <w:sz w:val="24"/>
          <w:highlight w:val="none"/>
        </w:rPr>
      </w:pPr>
      <w:r>
        <w:rPr>
          <w:sz w:val="24"/>
          <w:highlight w:val="none"/>
        </w:rPr>
        <w:t>电话：______________________</w:t>
      </w:r>
      <w:r>
        <w:rPr>
          <w:sz w:val="24"/>
          <w:highlight w:val="none"/>
          <w:u w:val="single"/>
        </w:rPr>
        <w:t xml:space="preserve">  </w:t>
      </w:r>
      <w:r>
        <w:rPr>
          <w:rFonts w:hint="eastAsia"/>
          <w:sz w:val="24"/>
          <w:highlight w:val="none"/>
          <w:u w:val="single"/>
        </w:rPr>
        <w:t xml:space="preserve">   </w:t>
      </w:r>
      <w:r>
        <w:rPr>
          <w:sz w:val="24"/>
          <w:highlight w:val="none"/>
          <w:u w:val="single"/>
        </w:rPr>
        <w:t xml:space="preserve"> </w:t>
      </w:r>
      <w:r>
        <w:rPr>
          <w:sz w:val="24"/>
          <w:highlight w:val="none"/>
        </w:rPr>
        <w:t xml:space="preserve">       传真：______________________ </w:t>
      </w:r>
    </w:p>
    <w:p>
      <w:pPr>
        <w:spacing w:line="600" w:lineRule="exact"/>
        <w:rPr>
          <w:sz w:val="24"/>
          <w:highlight w:val="none"/>
        </w:rPr>
      </w:pPr>
      <w:r>
        <w:rPr>
          <w:sz w:val="24"/>
          <w:highlight w:val="none"/>
        </w:rPr>
        <w:t>投标</w:t>
      </w:r>
      <w:r>
        <w:rPr>
          <w:rFonts w:hint="eastAsia"/>
          <w:sz w:val="24"/>
          <w:highlight w:val="none"/>
        </w:rPr>
        <w:t>人</w:t>
      </w:r>
      <w:r>
        <w:rPr>
          <w:sz w:val="24"/>
          <w:highlight w:val="none"/>
        </w:rPr>
        <w:t xml:space="preserve">名称（公章）：__________________________ </w:t>
      </w:r>
    </w:p>
    <w:p>
      <w:pPr>
        <w:spacing w:line="600" w:lineRule="exact"/>
        <w:rPr>
          <w:sz w:val="24"/>
          <w:highlight w:val="none"/>
        </w:rPr>
      </w:pPr>
      <w:r>
        <w:rPr>
          <w:sz w:val="24"/>
          <w:highlight w:val="none"/>
        </w:rPr>
        <w:t>投标</w:t>
      </w:r>
      <w:r>
        <w:rPr>
          <w:rFonts w:hint="eastAsia"/>
          <w:sz w:val="24"/>
          <w:highlight w:val="none"/>
        </w:rPr>
        <w:t>人</w:t>
      </w:r>
      <w:r>
        <w:rPr>
          <w:sz w:val="24"/>
          <w:highlight w:val="none"/>
        </w:rPr>
        <w:t>代表职务：</w:t>
      </w:r>
      <w:r>
        <w:rPr>
          <w:sz w:val="24"/>
          <w:highlight w:val="none"/>
          <w:u w:val="single"/>
        </w:rPr>
        <w:t xml:space="preserve"> ____</w:t>
      </w:r>
      <w:r>
        <w:rPr>
          <w:rFonts w:hint="eastAsia"/>
          <w:sz w:val="24"/>
          <w:highlight w:val="none"/>
          <w:u w:val="single"/>
        </w:rPr>
        <w:t xml:space="preserve">       </w:t>
      </w:r>
      <w:r>
        <w:rPr>
          <w:sz w:val="24"/>
          <w:highlight w:val="none"/>
          <w:u w:val="single"/>
        </w:rPr>
        <w:t>_</w:t>
      </w:r>
      <w:r>
        <w:rPr>
          <w:sz w:val="24"/>
          <w:highlight w:val="none"/>
        </w:rPr>
        <w:t xml:space="preserve"> </w:t>
      </w:r>
    </w:p>
    <w:p>
      <w:pPr>
        <w:spacing w:line="600" w:lineRule="exact"/>
        <w:rPr>
          <w:sz w:val="24"/>
          <w:highlight w:val="none"/>
        </w:rPr>
      </w:pPr>
      <w:r>
        <w:rPr>
          <w:sz w:val="24"/>
          <w:highlight w:val="none"/>
        </w:rPr>
        <w:t>全权代表签字：</w:t>
      </w:r>
      <w:r>
        <w:rPr>
          <w:sz w:val="24"/>
          <w:highlight w:val="none"/>
          <w:u w:val="single"/>
        </w:rPr>
        <w:t xml:space="preserve"> __________</w:t>
      </w:r>
      <w:r>
        <w:rPr>
          <w:rFonts w:hint="eastAsia"/>
          <w:sz w:val="24"/>
          <w:highlight w:val="none"/>
          <w:u w:val="single"/>
        </w:rPr>
        <w:t xml:space="preserve">  </w:t>
      </w:r>
      <w:r>
        <w:rPr>
          <w:sz w:val="24"/>
          <w:highlight w:val="none"/>
          <w:u w:val="single"/>
        </w:rPr>
        <w:t>__</w:t>
      </w:r>
    </w:p>
    <w:p>
      <w:pPr>
        <w:widowControl/>
        <w:spacing w:before="260" w:after="260" w:line="270" w:lineRule="atLeast"/>
        <w:jc w:val="left"/>
        <w:outlineLvl w:val="2"/>
        <w:rPr>
          <w:rFonts w:hint="eastAsia"/>
          <w:sz w:val="24"/>
          <w:highlight w:val="none"/>
        </w:rPr>
      </w:pPr>
      <w:r>
        <w:rPr>
          <w:sz w:val="24"/>
          <w:highlight w:val="none"/>
        </w:rPr>
        <w:t>投标日期： _______年____月____日</w:t>
      </w:r>
    </w:p>
    <w:p>
      <w:pPr>
        <w:widowControl/>
        <w:spacing w:before="260" w:after="260" w:line="270" w:lineRule="atLeast"/>
        <w:jc w:val="left"/>
        <w:outlineLvl w:val="2"/>
        <w:rPr>
          <w:rFonts w:eastAsia="黑体"/>
          <w:b/>
          <w:bCs/>
          <w:kern w:val="0"/>
          <w:sz w:val="36"/>
          <w:szCs w:val="36"/>
          <w:highlight w:val="none"/>
        </w:rPr>
      </w:pPr>
    </w:p>
    <w:p>
      <w:pPr>
        <w:widowControl/>
        <w:spacing w:before="260" w:after="260" w:line="270" w:lineRule="atLeast"/>
        <w:jc w:val="left"/>
        <w:outlineLvl w:val="2"/>
        <w:rPr>
          <w:rFonts w:ascii="宋体" w:hAnsi="宋体"/>
          <w:b/>
          <w:bCs/>
          <w:kern w:val="0"/>
          <w:sz w:val="36"/>
          <w:szCs w:val="36"/>
          <w:highlight w:val="none"/>
        </w:rPr>
      </w:pPr>
      <w:r>
        <w:rPr>
          <w:rFonts w:ascii="宋体" w:hAnsi="宋体"/>
          <w:b/>
          <w:bCs/>
          <w:kern w:val="0"/>
          <w:sz w:val="36"/>
          <w:szCs w:val="36"/>
          <w:highlight w:val="none"/>
        </w:rPr>
        <w:t>附件</w:t>
      </w:r>
      <w:r>
        <w:rPr>
          <w:rFonts w:hint="eastAsia" w:ascii="宋体" w:hAnsi="宋体"/>
          <w:b/>
          <w:bCs/>
          <w:kern w:val="0"/>
          <w:sz w:val="36"/>
          <w:szCs w:val="36"/>
          <w:highlight w:val="none"/>
        </w:rPr>
        <w:t>8</w:t>
      </w:r>
      <w:r>
        <w:rPr>
          <w:rFonts w:ascii="宋体" w:hAnsi="宋体"/>
          <w:b/>
          <w:bCs/>
          <w:kern w:val="0"/>
          <w:sz w:val="36"/>
          <w:szCs w:val="36"/>
          <w:highlight w:val="none"/>
        </w:rPr>
        <w:t xml:space="preserve">              报价一览表</w:t>
      </w:r>
      <w:bookmarkEnd w:id="34"/>
    </w:p>
    <w:p>
      <w:pPr>
        <w:widowControl/>
        <w:spacing w:before="260" w:after="260" w:line="270" w:lineRule="atLeast"/>
        <w:jc w:val="center"/>
        <w:outlineLvl w:val="2"/>
        <w:rPr>
          <w:kern w:val="0"/>
          <w:sz w:val="24"/>
          <w:highlight w:val="none"/>
        </w:rPr>
      </w:pPr>
      <w:r>
        <w:rPr>
          <w:kern w:val="0"/>
          <w:sz w:val="24"/>
          <w:highlight w:val="none"/>
        </w:rPr>
        <w:t>（开标一览表）</w:t>
      </w:r>
    </w:p>
    <w:p>
      <w:pPr>
        <w:widowControl/>
        <w:spacing w:line="480" w:lineRule="atLeast"/>
        <w:jc w:val="left"/>
        <w:rPr>
          <w:kern w:val="0"/>
          <w:sz w:val="24"/>
          <w:highlight w:val="none"/>
        </w:rPr>
      </w:pPr>
      <w:r>
        <w:rPr>
          <w:rFonts w:hint="eastAsia"/>
          <w:kern w:val="0"/>
          <w:sz w:val="24"/>
          <w:highlight w:val="none"/>
        </w:rPr>
        <w:t>投标人</w:t>
      </w:r>
      <w:r>
        <w:rPr>
          <w:kern w:val="0"/>
          <w:sz w:val="24"/>
          <w:highlight w:val="none"/>
        </w:rPr>
        <w:t>名称（盖章）：</w:t>
      </w:r>
      <w:r>
        <w:rPr>
          <w:kern w:val="0"/>
          <w:sz w:val="24"/>
          <w:highlight w:val="none"/>
          <w:u w:val="single"/>
        </w:rPr>
        <w:t xml:space="preserve">                    </w:t>
      </w:r>
      <w:r>
        <w:rPr>
          <w:kern w:val="0"/>
          <w:sz w:val="24"/>
          <w:highlight w:val="none"/>
        </w:rPr>
        <w:t xml:space="preserve">           </w:t>
      </w:r>
    </w:p>
    <w:p>
      <w:pPr>
        <w:widowControl/>
        <w:spacing w:line="480" w:lineRule="atLeast"/>
        <w:jc w:val="left"/>
        <w:rPr>
          <w:kern w:val="0"/>
          <w:sz w:val="24"/>
          <w:highlight w:val="none"/>
          <w:u w:val="single"/>
        </w:rPr>
      </w:pPr>
      <w:r>
        <w:rPr>
          <w:kern w:val="0"/>
          <w:sz w:val="24"/>
          <w:highlight w:val="none"/>
        </w:rPr>
        <w:t>采购编号：</w:t>
      </w:r>
      <w:r>
        <w:rPr>
          <w:kern w:val="0"/>
          <w:sz w:val="24"/>
          <w:highlight w:val="none"/>
          <w:u w:val="single"/>
        </w:rPr>
        <w:t xml:space="preserve">  </w:t>
      </w:r>
      <w:r>
        <w:rPr>
          <w:rFonts w:hint="eastAsia"/>
          <w:kern w:val="0"/>
          <w:sz w:val="24"/>
          <w:highlight w:val="none"/>
          <w:u w:val="single"/>
        </w:rPr>
        <w:t xml:space="preserve">                     </w:t>
      </w:r>
    </w:p>
    <w:p>
      <w:pPr>
        <w:widowControl/>
        <w:spacing w:line="480" w:lineRule="atLeast"/>
        <w:jc w:val="left"/>
        <w:rPr>
          <w:kern w:val="0"/>
          <w:sz w:val="24"/>
          <w:highlight w:val="none"/>
          <w:u w:val="single"/>
        </w:rPr>
      </w:pPr>
      <w:r>
        <w:rPr>
          <w:rFonts w:hint="eastAsia"/>
          <w:kern w:val="0"/>
          <w:sz w:val="24"/>
          <w:highlight w:val="none"/>
        </w:rPr>
        <w:t>标段号：</w:t>
      </w:r>
      <w:r>
        <w:rPr>
          <w:rFonts w:hint="eastAsia"/>
          <w:kern w:val="0"/>
          <w:sz w:val="24"/>
          <w:highlight w:val="none"/>
          <w:u w:val="single"/>
        </w:rPr>
        <w:t xml:space="preserve">                         </w:t>
      </w:r>
    </w:p>
    <w:p>
      <w:pPr>
        <w:widowControl/>
        <w:spacing w:line="480" w:lineRule="atLeast"/>
        <w:jc w:val="left"/>
        <w:rPr>
          <w:kern w:val="0"/>
          <w:sz w:val="24"/>
          <w:highlight w:val="none"/>
          <w:u w:val="single"/>
        </w:rPr>
      </w:pPr>
      <w:r>
        <w:rPr>
          <w:kern w:val="0"/>
          <w:sz w:val="24"/>
          <w:highlight w:val="none"/>
          <w:u w:val="single"/>
        </w:rPr>
        <w:t xml:space="preserve">          </w:t>
      </w:r>
    </w:p>
    <w:tbl>
      <w:tblPr>
        <w:tblStyle w:val="25"/>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686"/>
        <w:gridCol w:w="1410"/>
        <w:gridCol w:w="3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4" w:hRule="atLeast"/>
        </w:trPr>
        <w:tc>
          <w:tcPr>
            <w:tcW w:w="1242" w:type="dxa"/>
            <w:noWrap w:val="0"/>
            <w:vAlign w:val="center"/>
          </w:tcPr>
          <w:p>
            <w:pPr>
              <w:widowControl/>
              <w:spacing w:line="360" w:lineRule="auto"/>
              <w:jc w:val="center"/>
              <w:rPr>
                <w:rFonts w:eastAsia="新宋体"/>
                <w:b/>
                <w:bCs/>
                <w:kern w:val="0"/>
                <w:sz w:val="24"/>
                <w:highlight w:val="none"/>
              </w:rPr>
            </w:pPr>
            <w:r>
              <w:rPr>
                <w:rFonts w:eastAsia="新宋体"/>
                <w:b/>
                <w:bCs/>
                <w:kern w:val="0"/>
                <w:sz w:val="24"/>
                <w:highlight w:val="none"/>
              </w:rPr>
              <w:t>标段号</w:t>
            </w:r>
          </w:p>
        </w:tc>
        <w:tc>
          <w:tcPr>
            <w:tcW w:w="3686" w:type="dxa"/>
            <w:tcBorders>
              <w:right w:val="single" w:color="auto" w:sz="4" w:space="0"/>
            </w:tcBorders>
            <w:noWrap w:val="0"/>
            <w:vAlign w:val="center"/>
          </w:tcPr>
          <w:p>
            <w:pPr>
              <w:spacing w:line="360" w:lineRule="auto"/>
              <w:jc w:val="center"/>
              <w:rPr>
                <w:rFonts w:eastAsia="新宋体"/>
                <w:b/>
                <w:bCs/>
                <w:kern w:val="0"/>
                <w:sz w:val="24"/>
                <w:highlight w:val="none"/>
              </w:rPr>
            </w:pPr>
            <w:r>
              <w:rPr>
                <w:rFonts w:eastAsia="新宋体"/>
                <w:b/>
                <w:bCs/>
                <w:kern w:val="0"/>
                <w:sz w:val="24"/>
                <w:highlight w:val="none"/>
              </w:rPr>
              <w:t>项目名称</w:t>
            </w:r>
          </w:p>
        </w:tc>
        <w:tc>
          <w:tcPr>
            <w:tcW w:w="1410" w:type="dxa"/>
            <w:tcBorders>
              <w:left w:val="single" w:color="auto" w:sz="4" w:space="0"/>
              <w:right w:val="single" w:color="auto" w:sz="4" w:space="0"/>
            </w:tcBorders>
            <w:noWrap w:val="0"/>
            <w:vAlign w:val="center"/>
          </w:tcPr>
          <w:p>
            <w:pPr>
              <w:spacing w:line="360" w:lineRule="auto"/>
              <w:jc w:val="center"/>
              <w:rPr>
                <w:rFonts w:eastAsia="新宋体"/>
                <w:b/>
                <w:bCs/>
                <w:iCs/>
                <w:color w:val="000000"/>
                <w:kern w:val="0"/>
                <w:sz w:val="24"/>
                <w:highlight w:val="none"/>
              </w:rPr>
            </w:pPr>
            <w:r>
              <w:rPr>
                <w:rFonts w:hint="eastAsia" w:eastAsia="新宋体"/>
                <w:b/>
                <w:bCs/>
                <w:iCs/>
                <w:color w:val="000000"/>
                <w:kern w:val="0"/>
                <w:sz w:val="24"/>
                <w:highlight w:val="none"/>
              </w:rPr>
              <w:t>让利率%</w:t>
            </w:r>
          </w:p>
        </w:tc>
        <w:tc>
          <w:tcPr>
            <w:tcW w:w="3268" w:type="dxa"/>
            <w:tcBorders>
              <w:left w:val="single" w:color="auto" w:sz="4" w:space="0"/>
            </w:tcBorders>
            <w:noWrap w:val="0"/>
            <w:vAlign w:val="center"/>
          </w:tcPr>
          <w:p>
            <w:pPr>
              <w:spacing w:line="360" w:lineRule="auto"/>
              <w:jc w:val="center"/>
              <w:rPr>
                <w:rFonts w:eastAsia="新宋体"/>
                <w:b/>
                <w:bCs/>
                <w:kern w:val="0"/>
                <w:sz w:val="24"/>
                <w:highlight w:val="none"/>
              </w:rPr>
            </w:pPr>
            <w:r>
              <w:rPr>
                <w:rFonts w:eastAsia="新宋体"/>
                <w:b/>
                <w:bCs/>
                <w:kern w:val="0"/>
                <w:sz w:val="24"/>
                <w:highlight w:val="none"/>
              </w:rPr>
              <w:t>总价（元</w:t>
            </w:r>
            <w:r>
              <w:rPr>
                <w:rFonts w:hint="eastAsia" w:eastAsia="新宋体"/>
                <w:b/>
                <w:bCs/>
                <w:kern w:val="0"/>
                <w:sz w:val="24"/>
                <w:highlight w:val="none"/>
              </w:rPr>
              <w:t>/年</w:t>
            </w:r>
            <w:r>
              <w:rPr>
                <w:rFonts w:eastAsia="新宋体"/>
                <w:b/>
                <w:bCs/>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08" w:hRule="atLeast"/>
        </w:trPr>
        <w:tc>
          <w:tcPr>
            <w:tcW w:w="1242" w:type="dxa"/>
            <w:noWrap w:val="0"/>
            <w:vAlign w:val="center"/>
          </w:tcPr>
          <w:p>
            <w:pPr>
              <w:spacing w:line="400" w:lineRule="exact"/>
              <w:jc w:val="center"/>
              <w:rPr>
                <w:rFonts w:eastAsia="新宋体"/>
                <w:sz w:val="24"/>
                <w:highlight w:val="none"/>
              </w:rPr>
            </w:pPr>
          </w:p>
        </w:tc>
        <w:tc>
          <w:tcPr>
            <w:tcW w:w="3686" w:type="dxa"/>
            <w:tcBorders>
              <w:right w:val="single" w:color="auto" w:sz="4" w:space="0"/>
            </w:tcBorders>
            <w:noWrap w:val="0"/>
            <w:vAlign w:val="center"/>
          </w:tcPr>
          <w:p>
            <w:pPr>
              <w:widowControl/>
              <w:spacing w:line="360" w:lineRule="auto"/>
              <w:jc w:val="center"/>
              <w:rPr>
                <w:rFonts w:eastAsia="新宋体"/>
                <w:kern w:val="0"/>
                <w:sz w:val="24"/>
                <w:highlight w:val="none"/>
              </w:rPr>
            </w:pPr>
          </w:p>
        </w:tc>
        <w:tc>
          <w:tcPr>
            <w:tcW w:w="1410" w:type="dxa"/>
            <w:tcBorders>
              <w:left w:val="single" w:color="auto" w:sz="4" w:space="0"/>
              <w:right w:val="single" w:color="auto" w:sz="4" w:space="0"/>
            </w:tcBorders>
            <w:noWrap w:val="0"/>
            <w:vAlign w:val="center"/>
          </w:tcPr>
          <w:p>
            <w:pPr>
              <w:widowControl/>
              <w:spacing w:line="360" w:lineRule="auto"/>
              <w:jc w:val="center"/>
              <w:rPr>
                <w:rFonts w:eastAsia="新宋体"/>
                <w:iCs/>
                <w:color w:val="FF0000"/>
                <w:kern w:val="0"/>
                <w:sz w:val="24"/>
                <w:highlight w:val="none"/>
              </w:rPr>
            </w:pPr>
          </w:p>
        </w:tc>
        <w:tc>
          <w:tcPr>
            <w:tcW w:w="3268" w:type="dxa"/>
            <w:tcBorders>
              <w:left w:val="single" w:color="auto" w:sz="4" w:space="0"/>
            </w:tcBorders>
            <w:noWrap w:val="0"/>
            <w:vAlign w:val="center"/>
          </w:tcPr>
          <w:p>
            <w:pPr>
              <w:widowControl/>
              <w:spacing w:line="360" w:lineRule="auto"/>
              <w:jc w:val="center"/>
              <w:rPr>
                <w:rFonts w:eastAsia="新宋体"/>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56" w:hRule="atLeast"/>
        </w:trPr>
        <w:tc>
          <w:tcPr>
            <w:tcW w:w="9606" w:type="dxa"/>
            <w:gridSpan w:val="4"/>
            <w:noWrap w:val="0"/>
            <w:vAlign w:val="center"/>
          </w:tcPr>
          <w:p>
            <w:pPr>
              <w:spacing w:line="400" w:lineRule="exact"/>
              <w:ind w:firstLine="480" w:firstLineChars="200"/>
              <w:rPr>
                <w:kern w:val="0"/>
                <w:sz w:val="24"/>
                <w:highlight w:val="none"/>
              </w:rPr>
            </w:pPr>
            <w:r>
              <w:rPr>
                <w:kern w:val="0"/>
                <w:sz w:val="24"/>
                <w:highlight w:val="none"/>
              </w:rPr>
              <w:t>投标总价（元）合计：大写：</w:t>
            </w:r>
            <w:r>
              <w:rPr>
                <w:rFonts w:eastAsia="新宋体"/>
                <w:sz w:val="24"/>
                <w:highlight w:val="none"/>
                <w:u w:val="single"/>
              </w:rPr>
              <w:t xml:space="preserve">   </w:t>
            </w:r>
            <w:r>
              <w:rPr>
                <w:rFonts w:hint="eastAsia" w:eastAsia="新宋体"/>
                <w:sz w:val="24"/>
                <w:highlight w:val="none"/>
                <w:u w:val="single"/>
              </w:rPr>
              <w:t xml:space="preserve">  </w:t>
            </w:r>
            <w:r>
              <w:rPr>
                <w:rFonts w:eastAsia="新宋体"/>
                <w:sz w:val="24"/>
                <w:highlight w:val="none"/>
                <w:u w:val="single"/>
              </w:rPr>
              <w:t xml:space="preserve"> </w:t>
            </w:r>
            <w:r>
              <w:rPr>
                <w:rFonts w:hint="eastAsia" w:eastAsia="新宋体"/>
                <w:sz w:val="24"/>
                <w:highlight w:val="none"/>
                <w:u w:val="single"/>
              </w:rPr>
              <w:t xml:space="preserve">                </w:t>
            </w:r>
            <w:r>
              <w:rPr>
                <w:rFonts w:eastAsia="新宋体"/>
                <w:sz w:val="24"/>
                <w:highlight w:val="none"/>
                <w:u w:val="single"/>
              </w:rPr>
              <w:t xml:space="preserve"> </w:t>
            </w:r>
            <w:r>
              <w:rPr>
                <w:rFonts w:hint="eastAsia"/>
                <w:kern w:val="0"/>
                <w:sz w:val="24"/>
                <w:highlight w:val="none"/>
              </w:rPr>
              <w:t xml:space="preserve">      </w:t>
            </w:r>
            <w:r>
              <w:rPr>
                <w:kern w:val="0"/>
                <w:sz w:val="24"/>
                <w:highlight w:val="none"/>
              </w:rPr>
              <w:t>小写：</w:t>
            </w:r>
            <w:r>
              <w:rPr>
                <w:rFonts w:hint="eastAsia" w:ascii="宋体" w:hAnsi="宋体"/>
                <w:kern w:val="0"/>
                <w:sz w:val="24"/>
                <w:highlight w:val="none"/>
              </w:rPr>
              <w:t>¥</w:t>
            </w:r>
            <w:r>
              <w:rPr>
                <w:rFonts w:eastAsia="新宋体"/>
                <w:sz w:val="24"/>
                <w:highlight w:val="none"/>
                <w:u w:val="single"/>
              </w:rPr>
              <w:t xml:space="preserve">           </w:t>
            </w:r>
          </w:p>
        </w:tc>
      </w:tr>
    </w:tbl>
    <w:p>
      <w:pPr>
        <w:widowControl/>
        <w:spacing w:line="400" w:lineRule="exact"/>
        <w:jc w:val="left"/>
        <w:rPr>
          <w:kern w:val="0"/>
          <w:sz w:val="24"/>
          <w:highlight w:val="none"/>
        </w:rPr>
      </w:pPr>
    </w:p>
    <w:p>
      <w:pPr>
        <w:widowControl/>
        <w:spacing w:line="400" w:lineRule="exact"/>
        <w:jc w:val="left"/>
        <w:rPr>
          <w:kern w:val="0"/>
          <w:sz w:val="24"/>
          <w:highlight w:val="none"/>
        </w:rPr>
      </w:pPr>
      <w:r>
        <w:rPr>
          <w:rFonts w:hint="eastAsia"/>
          <w:kern w:val="0"/>
          <w:sz w:val="24"/>
          <w:highlight w:val="none"/>
        </w:rPr>
        <w:t>投标人</w:t>
      </w:r>
      <w:r>
        <w:rPr>
          <w:kern w:val="0"/>
          <w:sz w:val="24"/>
          <w:highlight w:val="none"/>
        </w:rPr>
        <w:t>法定代表人或其授权代表签字：</w:t>
      </w:r>
      <w:r>
        <w:rPr>
          <w:kern w:val="0"/>
          <w:sz w:val="24"/>
          <w:highlight w:val="none"/>
          <w:u w:val="single"/>
        </w:rPr>
        <w:t xml:space="preserve">           </w:t>
      </w:r>
      <w:r>
        <w:rPr>
          <w:kern w:val="0"/>
          <w:sz w:val="24"/>
          <w:highlight w:val="none"/>
        </w:rPr>
        <w:t xml:space="preserve">  职 务：</w:t>
      </w:r>
      <w:r>
        <w:rPr>
          <w:kern w:val="0"/>
          <w:sz w:val="24"/>
          <w:highlight w:val="none"/>
          <w:u w:val="single"/>
        </w:rPr>
        <w:t xml:space="preserve">        </w:t>
      </w:r>
      <w:r>
        <w:rPr>
          <w:kern w:val="0"/>
          <w:sz w:val="24"/>
          <w:highlight w:val="none"/>
        </w:rPr>
        <w:t>日 期：</w:t>
      </w:r>
      <w:r>
        <w:rPr>
          <w:kern w:val="0"/>
          <w:sz w:val="24"/>
          <w:highlight w:val="none"/>
          <w:u w:val="single"/>
        </w:rPr>
        <w:t xml:space="preserve">                </w:t>
      </w:r>
    </w:p>
    <w:p>
      <w:pPr>
        <w:widowControl/>
        <w:spacing w:line="400" w:lineRule="exact"/>
        <w:jc w:val="left"/>
        <w:rPr>
          <w:kern w:val="0"/>
          <w:sz w:val="24"/>
          <w:highlight w:val="none"/>
        </w:rPr>
      </w:pPr>
    </w:p>
    <w:p>
      <w:pPr>
        <w:widowControl/>
        <w:spacing w:line="400" w:lineRule="exact"/>
        <w:jc w:val="left"/>
        <w:rPr>
          <w:kern w:val="0"/>
          <w:sz w:val="24"/>
          <w:highlight w:val="none"/>
        </w:rPr>
      </w:pPr>
      <w:r>
        <w:rPr>
          <w:kern w:val="0"/>
          <w:sz w:val="24"/>
          <w:highlight w:val="none"/>
        </w:rPr>
        <w:t>注：</w:t>
      </w:r>
    </w:p>
    <w:p>
      <w:pPr>
        <w:widowControl/>
        <w:spacing w:line="360" w:lineRule="auto"/>
        <w:jc w:val="left"/>
        <w:rPr>
          <w:rFonts w:hint="eastAsia"/>
          <w:b/>
          <w:sz w:val="24"/>
          <w:highlight w:val="none"/>
        </w:rPr>
      </w:pPr>
      <w:r>
        <w:rPr>
          <w:rFonts w:hint="eastAsia"/>
          <w:b/>
          <w:sz w:val="24"/>
          <w:highlight w:val="none"/>
        </w:rPr>
        <w:t>1、标段一锦都社区和凤凰社区应分开报价，并不得超过各自的采购预算，超过采购预算按废标处理。评标时锦都社区和凤凰社区的合计价作为标段一的总价进行评标。</w:t>
      </w:r>
    </w:p>
    <w:p>
      <w:pPr>
        <w:pStyle w:val="13"/>
        <w:spacing w:line="360" w:lineRule="auto"/>
        <w:rPr>
          <w:rFonts w:ascii="新宋体" w:hAnsi="新宋体" w:eastAsia="新宋体"/>
          <w:color w:val="000000"/>
          <w:sz w:val="24"/>
          <w:szCs w:val="24"/>
          <w:highlight w:val="none"/>
        </w:rPr>
      </w:pPr>
      <w:r>
        <w:rPr>
          <w:rFonts w:hint="eastAsia"/>
          <w:sz w:val="24"/>
          <w:highlight w:val="none"/>
        </w:rPr>
        <w:t>2、</w:t>
      </w:r>
      <w:r>
        <w:rPr>
          <w:sz w:val="24"/>
          <w:highlight w:val="none"/>
        </w:rPr>
        <w:t>报价以人民币为结算货币，</w:t>
      </w:r>
      <w:bookmarkStart w:id="35" w:name="_Toc387126429"/>
      <w:r>
        <w:rPr>
          <w:sz w:val="24"/>
          <w:highlight w:val="none"/>
        </w:rPr>
        <w:t>投标报价须</w:t>
      </w:r>
      <w:r>
        <w:rPr>
          <w:rFonts w:hint="eastAsia" w:ascii="新宋体" w:hAnsi="新宋体" w:eastAsia="新宋体"/>
          <w:color w:val="000000"/>
          <w:sz w:val="24"/>
          <w:szCs w:val="24"/>
          <w:highlight w:val="none"/>
        </w:rPr>
        <w:t>包括劳务(保洁、管理人员经费等)、工具费（含但不限于扫把、畚斗、集中收运三轮车、环卫作业装具等，每位保洁人员须配置以上工具）、管理费、按规定的道路洒水费用及生活垃圾清运费 (含但不限于司机、装车人员经费、油耗、水费、车辆修理费、保险费、车辆折旧费等)、保险、利润、税金、及市政、市容、环保、交通、治安等可能发生的费用、政策性文件规定及合同中明示或暗示的所有一般风险、责任和义务等整个项目一年的所有费用</w:t>
      </w:r>
      <w:r>
        <w:rPr>
          <w:rFonts w:ascii="新宋体" w:hAnsi="新宋体" w:eastAsia="新宋体"/>
          <w:color w:val="000000"/>
          <w:sz w:val="24"/>
          <w:szCs w:val="24"/>
          <w:highlight w:val="none"/>
        </w:rPr>
        <w:t>，如有漏项，视同已包含在其它项目中，合同价不做调整。</w:t>
      </w:r>
    </w:p>
    <w:p>
      <w:pPr>
        <w:pStyle w:val="13"/>
        <w:spacing w:line="360" w:lineRule="auto"/>
        <w:ind w:firstLine="720" w:firstLineChars="300"/>
        <w:rPr>
          <w:rFonts w:hAnsi="宋体"/>
          <w:color w:val="000000"/>
          <w:kern w:val="0"/>
          <w:sz w:val="24"/>
          <w:highlight w:val="none"/>
        </w:rPr>
      </w:pPr>
      <w:r>
        <w:rPr>
          <w:rFonts w:hint="eastAsia" w:hAnsi="宋体"/>
          <w:color w:val="000000"/>
          <w:kern w:val="0"/>
          <w:sz w:val="24"/>
          <w:highlight w:val="none"/>
        </w:rPr>
        <w:t>因市环卫体制改革、小区物业管理改革、城市有机更新等需要提前中止合同或部分减少保洁区域的，甲方应提前10个工作日通知乙方，乙方应无条件配合甲方解除合同或做好工作交接，其保洁费用根据实际工作量进行调整结算。</w:t>
      </w:r>
    </w:p>
    <w:p>
      <w:pPr>
        <w:widowControl/>
        <w:spacing w:line="360" w:lineRule="auto"/>
        <w:jc w:val="left"/>
        <w:rPr>
          <w:sz w:val="24"/>
          <w:highlight w:val="none"/>
        </w:rPr>
      </w:pPr>
      <w:r>
        <w:rPr>
          <w:rFonts w:hint="eastAsia"/>
          <w:sz w:val="24"/>
          <w:highlight w:val="none"/>
        </w:rPr>
        <w:t>3、</w:t>
      </w:r>
      <w:r>
        <w:rPr>
          <w:sz w:val="24"/>
          <w:highlight w:val="none"/>
        </w:rPr>
        <w:t>此表在不改变表式内容的情况下，可自行制作</w:t>
      </w:r>
      <w:r>
        <w:rPr>
          <w:rFonts w:hint="eastAsia"/>
          <w:sz w:val="24"/>
          <w:highlight w:val="none"/>
        </w:rPr>
        <w:t>。</w:t>
      </w:r>
    </w:p>
    <w:p>
      <w:pPr>
        <w:widowControl/>
        <w:spacing w:before="260" w:after="260" w:line="270" w:lineRule="atLeast"/>
        <w:outlineLvl w:val="2"/>
        <w:rPr>
          <w:b/>
          <w:color w:val="000000"/>
          <w:highlight w:val="none"/>
        </w:rPr>
      </w:pPr>
    </w:p>
    <w:p>
      <w:pPr>
        <w:widowControl/>
        <w:spacing w:before="260" w:after="260" w:line="270" w:lineRule="atLeast"/>
        <w:outlineLvl w:val="2"/>
        <w:rPr>
          <w:b/>
          <w:color w:val="000000"/>
          <w:sz w:val="36"/>
          <w:szCs w:val="36"/>
          <w:highlight w:val="none"/>
        </w:rPr>
      </w:pPr>
      <w:r>
        <w:rPr>
          <w:b/>
          <w:color w:val="000000"/>
          <w:sz w:val="36"/>
          <w:szCs w:val="36"/>
          <w:highlight w:val="none"/>
        </w:rPr>
        <w:t>附件</w:t>
      </w:r>
      <w:r>
        <w:rPr>
          <w:rFonts w:hint="eastAsia"/>
          <w:b/>
          <w:color w:val="000000"/>
          <w:sz w:val="36"/>
          <w:szCs w:val="36"/>
          <w:highlight w:val="none"/>
        </w:rPr>
        <w:t>9             成本构成明细表</w:t>
      </w:r>
    </w:p>
    <w:p>
      <w:pPr>
        <w:widowControl/>
        <w:spacing w:line="480" w:lineRule="atLeast"/>
        <w:jc w:val="left"/>
        <w:rPr>
          <w:color w:val="000000"/>
          <w:kern w:val="0"/>
          <w:sz w:val="24"/>
          <w:highlight w:val="none"/>
        </w:rPr>
      </w:pPr>
      <w:r>
        <w:rPr>
          <w:rFonts w:hint="eastAsia"/>
          <w:color w:val="000000"/>
          <w:kern w:val="0"/>
          <w:sz w:val="24"/>
          <w:highlight w:val="none"/>
        </w:rPr>
        <w:t>投标人</w:t>
      </w:r>
      <w:r>
        <w:rPr>
          <w:color w:val="000000"/>
          <w:kern w:val="0"/>
          <w:sz w:val="24"/>
          <w:highlight w:val="none"/>
        </w:rPr>
        <w:t>名称（盖章）：</w:t>
      </w:r>
      <w:r>
        <w:rPr>
          <w:color w:val="000000"/>
          <w:kern w:val="0"/>
          <w:sz w:val="24"/>
          <w:highlight w:val="none"/>
          <w:u w:val="single"/>
        </w:rPr>
        <w:t xml:space="preserve">                    </w:t>
      </w:r>
      <w:r>
        <w:rPr>
          <w:color w:val="000000"/>
          <w:kern w:val="0"/>
          <w:sz w:val="24"/>
          <w:highlight w:val="none"/>
        </w:rPr>
        <w:t xml:space="preserve">           </w:t>
      </w:r>
    </w:p>
    <w:p>
      <w:pPr>
        <w:widowControl/>
        <w:spacing w:line="480" w:lineRule="atLeast"/>
        <w:jc w:val="left"/>
        <w:rPr>
          <w:color w:val="000000"/>
          <w:kern w:val="0"/>
          <w:sz w:val="24"/>
          <w:highlight w:val="none"/>
          <w:u w:val="single"/>
        </w:rPr>
      </w:pPr>
      <w:r>
        <w:rPr>
          <w:color w:val="000000"/>
          <w:kern w:val="0"/>
          <w:sz w:val="24"/>
          <w:highlight w:val="none"/>
        </w:rPr>
        <w:t>采购编号：</w:t>
      </w:r>
      <w:r>
        <w:rPr>
          <w:color w:val="000000"/>
          <w:kern w:val="0"/>
          <w:sz w:val="24"/>
          <w:highlight w:val="none"/>
          <w:u w:val="single"/>
        </w:rPr>
        <w:t xml:space="preserve">  </w:t>
      </w:r>
      <w:r>
        <w:rPr>
          <w:rFonts w:hint="eastAsia"/>
          <w:color w:val="000000"/>
          <w:kern w:val="0"/>
          <w:sz w:val="24"/>
          <w:highlight w:val="none"/>
          <w:u w:val="single"/>
        </w:rPr>
        <w:t xml:space="preserve">                     </w:t>
      </w:r>
    </w:p>
    <w:p>
      <w:pPr>
        <w:widowControl/>
        <w:spacing w:line="480" w:lineRule="atLeast"/>
        <w:jc w:val="left"/>
        <w:rPr>
          <w:rFonts w:hint="eastAsia"/>
          <w:color w:val="000000"/>
          <w:kern w:val="0"/>
          <w:sz w:val="24"/>
          <w:highlight w:val="none"/>
          <w:u w:val="single"/>
        </w:rPr>
      </w:pPr>
      <w:r>
        <w:rPr>
          <w:rFonts w:hint="eastAsia"/>
          <w:color w:val="000000"/>
          <w:kern w:val="0"/>
          <w:sz w:val="24"/>
          <w:highlight w:val="none"/>
        </w:rPr>
        <w:t>标段号：</w:t>
      </w:r>
      <w:r>
        <w:rPr>
          <w:rFonts w:hint="eastAsia"/>
          <w:color w:val="000000"/>
          <w:kern w:val="0"/>
          <w:sz w:val="24"/>
          <w:highlight w:val="none"/>
          <w:u w:val="single"/>
        </w:rPr>
        <w:t xml:space="preserve">                         </w:t>
      </w:r>
    </w:p>
    <w:p>
      <w:pPr>
        <w:widowControl/>
        <w:spacing w:line="480" w:lineRule="atLeast"/>
        <w:jc w:val="left"/>
        <w:rPr>
          <w:color w:val="000000"/>
          <w:kern w:val="0"/>
          <w:sz w:val="24"/>
          <w:highlight w:val="none"/>
          <w:u w:val="single"/>
        </w:rPr>
      </w:pPr>
    </w:p>
    <w:tbl>
      <w:tblPr>
        <w:tblStyle w:val="25"/>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82"/>
        <w:gridCol w:w="1164"/>
        <w:gridCol w:w="1534"/>
        <w:gridCol w:w="1718"/>
        <w:gridCol w:w="1416"/>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r>
              <w:rPr>
                <w:rFonts w:hint="eastAsia"/>
                <w:b/>
                <w:color w:val="000000"/>
                <w:sz w:val="24"/>
                <w:highlight w:val="none"/>
              </w:rPr>
              <w:t>项目</w:t>
            </w: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r>
              <w:rPr>
                <w:b/>
                <w:color w:val="000000"/>
                <w:sz w:val="24"/>
                <w:highlight w:val="none"/>
              </w:rPr>
              <w:t>分项费用</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r>
              <w:rPr>
                <w:rFonts w:hint="eastAsia"/>
                <w:b/>
                <w:color w:val="000000"/>
                <w:sz w:val="24"/>
                <w:highlight w:val="none"/>
              </w:rPr>
              <w:t>数量（单位）</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r>
              <w:rPr>
                <w:rFonts w:hint="eastAsia"/>
                <w:b/>
                <w:color w:val="000000"/>
                <w:sz w:val="24"/>
                <w:highlight w:val="none"/>
              </w:rPr>
              <w:t>单价</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r>
              <w:rPr>
                <w:rFonts w:hint="eastAsia"/>
                <w:b/>
                <w:color w:val="000000"/>
                <w:sz w:val="24"/>
                <w:highlight w:val="none"/>
              </w:rPr>
              <w:t>总价（元）</w:t>
            </w: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r>
              <w:rPr>
                <w:rFonts w:hint="eastAsia"/>
                <w:b/>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837" w:type="dxa"/>
            <w:vMerge w:val="restart"/>
            <w:tcBorders>
              <w:top w:val="single" w:color="auto" w:sz="4" w:space="0"/>
              <w:left w:val="single" w:color="auto" w:sz="4" w:space="0"/>
              <w:right w:val="single" w:color="auto" w:sz="4" w:space="0"/>
            </w:tcBorders>
            <w:noWrap w:val="0"/>
            <w:vAlign w:val="center"/>
          </w:tcPr>
          <w:p>
            <w:pPr>
              <w:spacing w:line="360" w:lineRule="auto"/>
              <w:jc w:val="center"/>
              <w:rPr>
                <w:color w:val="000000"/>
                <w:sz w:val="24"/>
                <w:highlight w:val="none"/>
              </w:rPr>
            </w:pPr>
            <w:r>
              <w:rPr>
                <w:color w:val="000000"/>
                <w:sz w:val="24"/>
                <w:highlight w:val="none"/>
              </w:rPr>
              <w:t>清扫保洁</w:t>
            </w: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保洁人员经费</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人</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元</w:t>
            </w:r>
            <w:r>
              <w:rPr>
                <w:color w:val="000000"/>
                <w:sz w:val="24"/>
                <w:highlight w:val="none"/>
              </w:rPr>
              <w:t>/</w:t>
            </w:r>
            <w:r>
              <w:rPr>
                <w:rFonts w:hint="eastAsia"/>
                <w:color w:val="000000"/>
                <w:sz w:val="24"/>
                <w:highlight w:val="none"/>
              </w:rPr>
              <w:t>人</w:t>
            </w:r>
            <w:r>
              <w:rPr>
                <w:color w:val="000000"/>
                <w:sz w:val="24"/>
                <w:highlight w:val="none"/>
              </w:rPr>
              <w:t>/</w:t>
            </w:r>
            <w:r>
              <w:rPr>
                <w:rFonts w:hint="eastAsia"/>
                <w:color w:val="000000"/>
                <w:sz w:val="24"/>
                <w:highlight w:val="none"/>
              </w:rPr>
              <w:t>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管理人员经费</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人</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元</w:t>
            </w:r>
            <w:r>
              <w:rPr>
                <w:color w:val="000000"/>
                <w:sz w:val="24"/>
                <w:highlight w:val="none"/>
              </w:rPr>
              <w:t>/</w:t>
            </w:r>
            <w:r>
              <w:rPr>
                <w:rFonts w:hint="eastAsia"/>
                <w:color w:val="000000"/>
                <w:sz w:val="24"/>
                <w:highlight w:val="none"/>
              </w:rPr>
              <w:t>人</w:t>
            </w:r>
            <w:r>
              <w:rPr>
                <w:color w:val="000000"/>
                <w:sz w:val="24"/>
                <w:highlight w:val="none"/>
              </w:rPr>
              <w:t>/</w:t>
            </w:r>
            <w:r>
              <w:rPr>
                <w:rFonts w:hint="eastAsia"/>
                <w:color w:val="000000"/>
                <w:sz w:val="24"/>
                <w:highlight w:val="none"/>
              </w:rPr>
              <w:t>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工具费</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套</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元</w:t>
            </w:r>
            <w:r>
              <w:rPr>
                <w:color w:val="000000"/>
                <w:sz w:val="24"/>
                <w:highlight w:val="none"/>
              </w:rPr>
              <w:t>/</w:t>
            </w:r>
            <w:r>
              <w:rPr>
                <w:rFonts w:hint="eastAsia"/>
                <w:color w:val="000000"/>
                <w:sz w:val="24"/>
                <w:highlight w:val="none"/>
              </w:rPr>
              <w:t>套</w:t>
            </w:r>
            <w:r>
              <w:rPr>
                <w:color w:val="000000"/>
                <w:sz w:val="24"/>
                <w:highlight w:val="none"/>
              </w:rPr>
              <w:t>/</w:t>
            </w:r>
            <w:r>
              <w:rPr>
                <w:rFonts w:hint="eastAsia"/>
                <w:color w:val="000000"/>
                <w:sz w:val="24"/>
                <w:highlight w:val="none"/>
              </w:rPr>
              <w:t>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Ansi="宋体"/>
                <w:color w:val="000000"/>
                <w:sz w:val="24"/>
                <w:highlight w:val="none"/>
              </w:rPr>
            </w:pPr>
            <w:r>
              <w:rPr>
                <w:rFonts w:hint="eastAsia" w:hAnsi="宋体"/>
                <w:color w:val="000000"/>
                <w:sz w:val="24"/>
                <w:highlight w:val="none"/>
              </w:rPr>
              <w:t>包括：扫把、畚斗、分类收运三轮车、环卫作业装具等费用。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000000"/>
                <w:sz w:val="24"/>
                <w:highlight w:val="none"/>
              </w:rPr>
            </w:pPr>
            <w:r>
              <w:rPr>
                <w:rFonts w:hint="eastAsia"/>
                <w:color w:val="000000"/>
                <w:sz w:val="24"/>
                <w:highlight w:val="none"/>
              </w:rPr>
              <w:t>管理费等</w:t>
            </w:r>
          </w:p>
          <w:p>
            <w:pPr>
              <w:spacing w:line="360" w:lineRule="auto"/>
              <w:jc w:val="center"/>
              <w:rPr>
                <w:color w:val="000000"/>
                <w:sz w:val="24"/>
                <w:highlight w:val="none"/>
              </w:rPr>
            </w:pPr>
            <w:r>
              <w:rPr>
                <w:rFonts w:hint="eastAsia"/>
                <w:color w:val="000000"/>
                <w:sz w:val="24"/>
                <w:highlight w:val="none"/>
              </w:rPr>
              <w:t>其它费用</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小计</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税</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税率按</w:t>
            </w:r>
            <w:r>
              <w:rPr>
                <w:color w:val="000000"/>
                <w:sz w:val="24"/>
                <w:highlight w:val="none"/>
              </w:rPr>
              <w:t>3%计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合计1</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restart"/>
            <w:tcBorders>
              <w:left w:val="single" w:color="auto" w:sz="4" w:space="0"/>
              <w:right w:val="single" w:color="auto" w:sz="4" w:space="0"/>
            </w:tcBorders>
            <w:noWrap w:val="0"/>
            <w:vAlign w:val="center"/>
          </w:tcPr>
          <w:p>
            <w:pPr>
              <w:spacing w:line="360" w:lineRule="auto"/>
              <w:jc w:val="center"/>
              <w:rPr>
                <w:color w:val="000000"/>
                <w:sz w:val="24"/>
                <w:highlight w:val="none"/>
              </w:rPr>
            </w:pPr>
            <w:r>
              <w:rPr>
                <w:color w:val="000000"/>
                <w:sz w:val="24"/>
                <w:highlight w:val="none"/>
              </w:rPr>
              <w:t>垃圾清运</w:t>
            </w: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驾驶员经费</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人</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 xml:space="preserve">     元</w:t>
            </w:r>
            <w:r>
              <w:rPr>
                <w:color w:val="000000"/>
                <w:sz w:val="24"/>
                <w:highlight w:val="none"/>
              </w:rPr>
              <w:t>/</w:t>
            </w:r>
            <w:r>
              <w:rPr>
                <w:rFonts w:hint="eastAsia"/>
                <w:color w:val="000000"/>
                <w:sz w:val="24"/>
                <w:highlight w:val="none"/>
              </w:rPr>
              <w:t>人</w:t>
            </w:r>
            <w:r>
              <w:rPr>
                <w:color w:val="000000"/>
                <w:sz w:val="24"/>
                <w:highlight w:val="none"/>
              </w:rPr>
              <w:t>/</w:t>
            </w:r>
            <w:r>
              <w:rPr>
                <w:rFonts w:hint="eastAsia"/>
                <w:color w:val="000000"/>
                <w:sz w:val="24"/>
                <w:highlight w:val="none"/>
              </w:rPr>
              <w:t>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582" w:type="dxa"/>
            <w:vMerge w:val="restart"/>
            <w:tcBorders>
              <w:top w:val="single" w:color="auto" w:sz="4" w:space="0"/>
              <w:left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垃圾</w:t>
            </w:r>
            <w:r>
              <w:rPr>
                <w:color w:val="000000"/>
                <w:sz w:val="24"/>
                <w:highlight w:val="none"/>
              </w:rPr>
              <w:t>分类收运车</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油耗</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582"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修理费</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582"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工具费</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582"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保险费</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582"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年审费</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582" w:type="dxa"/>
            <w:vMerge w:val="continue"/>
            <w:tcBorders>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000000"/>
                <w:sz w:val="24"/>
                <w:highlight w:val="none"/>
              </w:rPr>
            </w:pPr>
            <w:r>
              <w:rPr>
                <w:rFonts w:hint="eastAsia"/>
                <w:color w:val="000000"/>
                <w:sz w:val="24"/>
                <w:highlight w:val="none"/>
              </w:rPr>
              <w:t>车辆</w:t>
            </w:r>
          </w:p>
          <w:p>
            <w:pPr>
              <w:spacing w:line="360" w:lineRule="auto"/>
              <w:jc w:val="center"/>
              <w:rPr>
                <w:color w:val="000000"/>
                <w:sz w:val="24"/>
                <w:highlight w:val="none"/>
              </w:rPr>
            </w:pPr>
            <w:r>
              <w:rPr>
                <w:rFonts w:hint="eastAsia"/>
                <w:color w:val="000000"/>
                <w:sz w:val="24"/>
                <w:highlight w:val="none"/>
              </w:rPr>
              <w:t>折旧费</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000000"/>
                <w:sz w:val="24"/>
                <w:highlight w:val="none"/>
              </w:rPr>
            </w:pPr>
            <w:r>
              <w:rPr>
                <w:rFonts w:hint="eastAsia"/>
                <w:color w:val="000000"/>
                <w:sz w:val="24"/>
                <w:highlight w:val="none"/>
              </w:rPr>
              <w:t>管理费等</w:t>
            </w:r>
          </w:p>
          <w:p>
            <w:pPr>
              <w:spacing w:line="360" w:lineRule="auto"/>
              <w:jc w:val="center"/>
              <w:rPr>
                <w:color w:val="000000"/>
                <w:sz w:val="24"/>
                <w:highlight w:val="none"/>
              </w:rPr>
            </w:pPr>
            <w:r>
              <w:rPr>
                <w:rFonts w:hint="eastAsia"/>
                <w:color w:val="000000"/>
                <w:sz w:val="24"/>
                <w:highlight w:val="none"/>
              </w:rPr>
              <w:t>其它费用</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小计</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税</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税率按</w:t>
            </w:r>
            <w:r>
              <w:rPr>
                <w:color w:val="000000"/>
                <w:sz w:val="24"/>
                <w:highlight w:val="none"/>
              </w:rPr>
              <w:t>3%计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837" w:type="dxa"/>
            <w:vMerge w:val="continue"/>
            <w:tcBorders>
              <w:left w:val="single" w:color="auto" w:sz="4" w:space="0"/>
              <w:right w:val="single" w:color="auto" w:sz="4" w:space="0"/>
            </w:tcBorders>
            <w:noWrap w:val="0"/>
            <w:vAlign w:val="center"/>
          </w:tcPr>
          <w:p>
            <w:pPr>
              <w:spacing w:line="360" w:lineRule="auto"/>
              <w:jc w:val="center"/>
              <w:rPr>
                <w:color w:val="000000"/>
                <w:sz w:val="24"/>
                <w:highlight w:val="none"/>
              </w:rPr>
            </w:pP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合计2</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000000"/>
                <w:sz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1" w:hRule="atLeast"/>
        </w:trPr>
        <w:tc>
          <w:tcPr>
            <w:tcW w:w="2583" w:type="dxa"/>
            <w:gridSpan w:val="3"/>
            <w:tcBorders>
              <w:left w:val="single" w:color="auto" w:sz="4" w:space="0"/>
              <w:bottom w:val="single" w:color="auto" w:sz="4" w:space="0"/>
              <w:right w:val="single" w:color="auto" w:sz="4" w:space="0"/>
            </w:tcBorders>
            <w:noWrap w:val="0"/>
            <w:vAlign w:val="center"/>
          </w:tcPr>
          <w:p>
            <w:pPr>
              <w:spacing w:line="360" w:lineRule="auto"/>
              <w:jc w:val="center"/>
              <w:rPr>
                <w:color w:val="000000"/>
                <w:sz w:val="24"/>
                <w:highlight w:val="none"/>
              </w:rPr>
            </w:pPr>
            <w:r>
              <w:rPr>
                <w:rFonts w:hint="eastAsia"/>
                <w:color w:val="000000"/>
                <w:sz w:val="24"/>
                <w:highlight w:val="none"/>
              </w:rPr>
              <w:t>总计</w:t>
            </w:r>
          </w:p>
        </w:tc>
        <w:tc>
          <w:tcPr>
            <w:tcW w:w="805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sz w:val="24"/>
                <w:highlight w:val="none"/>
              </w:rPr>
            </w:pPr>
            <w:r>
              <w:rPr>
                <w:color w:val="000000"/>
                <w:sz w:val="24"/>
                <w:highlight w:val="none"/>
              </w:rPr>
              <w:t>总计</w:t>
            </w:r>
            <w:r>
              <w:rPr>
                <w:rFonts w:hint="eastAsia"/>
                <w:color w:val="000000"/>
                <w:sz w:val="24"/>
                <w:highlight w:val="none"/>
              </w:rPr>
              <w:t>=</w:t>
            </w:r>
            <w:r>
              <w:rPr>
                <w:color w:val="000000"/>
                <w:sz w:val="24"/>
                <w:highlight w:val="none"/>
              </w:rPr>
              <w:t>合计</w:t>
            </w:r>
            <w:r>
              <w:rPr>
                <w:rFonts w:hint="eastAsia"/>
                <w:color w:val="000000"/>
                <w:sz w:val="24"/>
                <w:highlight w:val="none"/>
              </w:rPr>
              <w:t>1+合计2</w:t>
            </w:r>
          </w:p>
          <w:p>
            <w:pPr>
              <w:spacing w:line="360" w:lineRule="auto"/>
              <w:rPr>
                <w:color w:val="000000"/>
                <w:sz w:val="24"/>
                <w:highlight w:val="none"/>
              </w:rPr>
            </w:pPr>
          </w:p>
          <w:p>
            <w:pPr>
              <w:spacing w:line="360" w:lineRule="auto"/>
              <w:rPr>
                <w:color w:val="000000"/>
                <w:sz w:val="24"/>
                <w:highlight w:val="none"/>
              </w:rPr>
            </w:pPr>
            <w:r>
              <w:rPr>
                <w:color w:val="000000"/>
                <w:kern w:val="0"/>
                <w:sz w:val="24"/>
                <w:highlight w:val="none"/>
              </w:rPr>
              <w:t>大写：</w:t>
            </w:r>
            <w:r>
              <w:rPr>
                <w:rFonts w:eastAsia="新宋体"/>
                <w:color w:val="000000"/>
                <w:sz w:val="24"/>
                <w:highlight w:val="none"/>
                <w:u w:val="single"/>
              </w:rPr>
              <w:t xml:space="preserve">   </w:t>
            </w:r>
            <w:r>
              <w:rPr>
                <w:rFonts w:hint="eastAsia" w:eastAsia="新宋体"/>
                <w:color w:val="000000"/>
                <w:sz w:val="24"/>
                <w:highlight w:val="none"/>
                <w:u w:val="single"/>
              </w:rPr>
              <w:t xml:space="preserve">  </w:t>
            </w:r>
            <w:r>
              <w:rPr>
                <w:rFonts w:eastAsia="新宋体"/>
                <w:color w:val="000000"/>
                <w:sz w:val="24"/>
                <w:highlight w:val="none"/>
                <w:u w:val="single"/>
              </w:rPr>
              <w:t xml:space="preserve"> </w:t>
            </w:r>
            <w:r>
              <w:rPr>
                <w:rFonts w:hint="eastAsia" w:eastAsia="新宋体"/>
                <w:color w:val="000000"/>
                <w:sz w:val="24"/>
                <w:highlight w:val="none"/>
                <w:u w:val="single"/>
              </w:rPr>
              <w:t xml:space="preserve">                           </w:t>
            </w:r>
            <w:r>
              <w:rPr>
                <w:rFonts w:eastAsia="新宋体"/>
                <w:color w:val="000000"/>
                <w:sz w:val="24"/>
                <w:highlight w:val="none"/>
                <w:u w:val="single"/>
              </w:rPr>
              <w:t xml:space="preserve"> </w:t>
            </w:r>
            <w:r>
              <w:rPr>
                <w:rFonts w:hint="eastAsia"/>
                <w:color w:val="000000"/>
                <w:kern w:val="0"/>
                <w:sz w:val="24"/>
                <w:highlight w:val="none"/>
              </w:rPr>
              <w:t xml:space="preserve">      </w:t>
            </w:r>
            <w:r>
              <w:rPr>
                <w:color w:val="000000"/>
                <w:kern w:val="0"/>
                <w:sz w:val="24"/>
                <w:highlight w:val="none"/>
              </w:rPr>
              <w:t>小写：</w:t>
            </w:r>
            <w:r>
              <w:rPr>
                <w:rFonts w:hint="eastAsia" w:ascii="宋体" w:hAnsi="宋体"/>
                <w:color w:val="000000"/>
                <w:kern w:val="0"/>
                <w:sz w:val="24"/>
                <w:highlight w:val="none"/>
              </w:rPr>
              <w:t>¥</w:t>
            </w:r>
            <w:r>
              <w:rPr>
                <w:rFonts w:eastAsia="新宋体"/>
                <w:color w:val="000000"/>
                <w:sz w:val="24"/>
                <w:highlight w:val="none"/>
                <w:u w:val="single"/>
              </w:rPr>
              <w:t xml:space="preserve">           </w:t>
            </w:r>
          </w:p>
        </w:tc>
      </w:tr>
    </w:tbl>
    <w:p>
      <w:pPr>
        <w:widowControl/>
        <w:jc w:val="left"/>
        <w:rPr>
          <w:color w:val="000000"/>
          <w:kern w:val="0"/>
          <w:sz w:val="24"/>
          <w:highlight w:val="none"/>
        </w:rPr>
      </w:pPr>
    </w:p>
    <w:p>
      <w:pPr>
        <w:widowControl/>
        <w:jc w:val="left"/>
        <w:rPr>
          <w:color w:val="000000"/>
          <w:kern w:val="0"/>
          <w:sz w:val="24"/>
          <w:highlight w:val="none"/>
          <w:u w:val="single"/>
        </w:rPr>
      </w:pPr>
      <w:r>
        <w:rPr>
          <w:rFonts w:hint="eastAsia"/>
          <w:color w:val="000000"/>
          <w:kern w:val="0"/>
          <w:sz w:val="24"/>
          <w:highlight w:val="none"/>
        </w:rPr>
        <w:t>投标人</w:t>
      </w:r>
      <w:r>
        <w:rPr>
          <w:color w:val="000000"/>
          <w:kern w:val="0"/>
          <w:sz w:val="24"/>
          <w:highlight w:val="none"/>
        </w:rPr>
        <w:t>法定代表人或其授权代表签字：</w:t>
      </w:r>
      <w:r>
        <w:rPr>
          <w:color w:val="000000"/>
          <w:kern w:val="0"/>
          <w:sz w:val="24"/>
          <w:highlight w:val="none"/>
          <w:u w:val="single"/>
        </w:rPr>
        <w:t xml:space="preserve">           </w:t>
      </w:r>
      <w:r>
        <w:rPr>
          <w:color w:val="000000"/>
          <w:kern w:val="0"/>
          <w:sz w:val="24"/>
          <w:highlight w:val="none"/>
        </w:rPr>
        <w:t xml:space="preserve">  职 务：</w:t>
      </w:r>
      <w:r>
        <w:rPr>
          <w:color w:val="000000"/>
          <w:kern w:val="0"/>
          <w:sz w:val="24"/>
          <w:highlight w:val="none"/>
          <w:u w:val="single"/>
        </w:rPr>
        <w:t xml:space="preserve">        </w:t>
      </w:r>
      <w:r>
        <w:rPr>
          <w:color w:val="000000"/>
          <w:kern w:val="0"/>
          <w:sz w:val="24"/>
          <w:highlight w:val="none"/>
        </w:rPr>
        <w:t>日 期：</w:t>
      </w:r>
      <w:r>
        <w:rPr>
          <w:color w:val="000000"/>
          <w:kern w:val="0"/>
          <w:sz w:val="24"/>
          <w:highlight w:val="none"/>
          <w:u w:val="single"/>
        </w:rPr>
        <w:t xml:space="preserve">        </w:t>
      </w:r>
    </w:p>
    <w:p>
      <w:pPr>
        <w:widowControl/>
        <w:jc w:val="left"/>
        <w:rPr>
          <w:color w:val="000000"/>
          <w:kern w:val="0"/>
          <w:sz w:val="24"/>
          <w:highlight w:val="none"/>
          <w:u w:val="single"/>
        </w:rPr>
      </w:pPr>
    </w:p>
    <w:p>
      <w:pPr>
        <w:widowControl/>
        <w:jc w:val="left"/>
        <w:rPr>
          <w:color w:val="000000"/>
          <w:kern w:val="0"/>
          <w:sz w:val="24"/>
          <w:highlight w:val="none"/>
          <w:u w:val="single"/>
        </w:rPr>
      </w:pPr>
    </w:p>
    <w:p>
      <w:pPr>
        <w:widowControl/>
        <w:spacing w:line="360" w:lineRule="auto"/>
        <w:jc w:val="left"/>
        <w:rPr>
          <w:color w:val="000000"/>
          <w:kern w:val="0"/>
          <w:sz w:val="24"/>
          <w:highlight w:val="none"/>
          <w:u w:val="single"/>
        </w:rPr>
      </w:pPr>
    </w:p>
    <w:p>
      <w:pPr>
        <w:widowControl/>
        <w:spacing w:line="360" w:lineRule="auto"/>
        <w:jc w:val="left"/>
        <w:rPr>
          <w:b/>
          <w:color w:val="000000"/>
          <w:kern w:val="0"/>
          <w:sz w:val="24"/>
          <w:highlight w:val="none"/>
        </w:rPr>
      </w:pPr>
      <w:r>
        <w:rPr>
          <w:rFonts w:hint="eastAsia"/>
          <w:b/>
          <w:color w:val="000000"/>
          <w:kern w:val="0"/>
          <w:sz w:val="24"/>
          <w:highlight w:val="none"/>
        </w:rPr>
        <w:t>说明：</w:t>
      </w:r>
    </w:p>
    <w:p>
      <w:pPr>
        <w:widowControl/>
        <w:spacing w:line="360" w:lineRule="auto"/>
        <w:jc w:val="left"/>
        <w:rPr>
          <w:color w:val="000000"/>
          <w:kern w:val="0"/>
          <w:sz w:val="24"/>
          <w:highlight w:val="none"/>
        </w:rPr>
      </w:pPr>
      <w:r>
        <w:rPr>
          <w:rFonts w:hint="eastAsia"/>
          <w:color w:val="000000"/>
          <w:kern w:val="0"/>
          <w:sz w:val="24"/>
          <w:highlight w:val="none"/>
        </w:rPr>
        <w:t>1、成本构成明细表用于评标时评标专家对投标人的投标报价是否低于成本价的判断，因此成本构成明细表必须填写，否则按废标处理。</w:t>
      </w:r>
    </w:p>
    <w:p>
      <w:pPr>
        <w:widowControl/>
        <w:spacing w:line="360" w:lineRule="auto"/>
        <w:jc w:val="left"/>
        <w:rPr>
          <w:rFonts w:hint="eastAsia" w:ascii="新宋体" w:hAnsi="新宋体" w:eastAsia="新宋体" w:cs="Courier New"/>
          <w:color w:val="000000"/>
          <w:sz w:val="24"/>
          <w:highlight w:val="none"/>
        </w:rPr>
      </w:pPr>
      <w:r>
        <w:rPr>
          <w:rFonts w:hint="eastAsia"/>
          <w:color w:val="000000"/>
          <w:sz w:val="24"/>
          <w:highlight w:val="none"/>
        </w:rPr>
        <w:t>2、</w:t>
      </w:r>
      <w:r>
        <w:rPr>
          <w:rFonts w:hint="eastAsia" w:ascii="新宋体" w:hAnsi="新宋体" w:eastAsia="新宋体" w:cs="Courier New"/>
          <w:color w:val="000000"/>
          <w:sz w:val="24"/>
          <w:highlight w:val="none"/>
        </w:rPr>
        <w:t>员</w:t>
      </w:r>
      <w:r>
        <w:rPr>
          <w:rFonts w:ascii="新宋体" w:hAnsi="新宋体" w:eastAsia="新宋体" w:cs="Courier New"/>
          <w:color w:val="000000"/>
          <w:sz w:val="24"/>
          <w:highlight w:val="none"/>
        </w:rPr>
        <w:t>工</w:t>
      </w:r>
      <w:r>
        <w:rPr>
          <w:rFonts w:hint="eastAsia" w:ascii="新宋体" w:hAnsi="新宋体" w:eastAsia="新宋体" w:cs="Courier New"/>
          <w:color w:val="000000"/>
          <w:sz w:val="24"/>
          <w:highlight w:val="none"/>
        </w:rPr>
        <w:t>实发</w:t>
      </w:r>
      <w:r>
        <w:rPr>
          <w:rFonts w:ascii="新宋体" w:hAnsi="新宋体" w:eastAsia="新宋体" w:cs="Courier New"/>
          <w:color w:val="000000"/>
          <w:sz w:val="24"/>
          <w:highlight w:val="none"/>
        </w:rPr>
        <w:t>工资不得低于</w:t>
      </w:r>
      <w:r>
        <w:rPr>
          <w:rFonts w:hint="eastAsia" w:ascii="新宋体" w:hAnsi="新宋体" w:eastAsia="新宋体" w:cs="Courier New"/>
          <w:color w:val="000000"/>
          <w:sz w:val="24"/>
          <w:highlight w:val="none"/>
        </w:rPr>
        <w:t>义乌市</w:t>
      </w:r>
      <w:r>
        <w:rPr>
          <w:rFonts w:ascii="新宋体" w:hAnsi="新宋体" w:eastAsia="新宋体" w:cs="Courier New"/>
          <w:color w:val="000000"/>
          <w:sz w:val="24"/>
          <w:highlight w:val="none"/>
        </w:rPr>
        <w:t>最低工资</w:t>
      </w:r>
      <w:r>
        <w:rPr>
          <w:rFonts w:hint="eastAsia" w:ascii="新宋体" w:hAnsi="新宋体" w:eastAsia="新宋体" w:cs="Courier New"/>
          <w:color w:val="000000"/>
          <w:sz w:val="24"/>
          <w:highlight w:val="none"/>
        </w:rPr>
        <w:t>标准，</w:t>
      </w:r>
      <w:r>
        <w:rPr>
          <w:rFonts w:ascii="新宋体" w:hAnsi="新宋体" w:eastAsia="新宋体" w:cs="Courier New"/>
          <w:color w:val="000000"/>
          <w:sz w:val="24"/>
          <w:highlight w:val="none"/>
        </w:rPr>
        <w:t>否则评标小组可以认为低于成本价恶性竞争而判定为</w:t>
      </w:r>
      <w:r>
        <w:rPr>
          <w:rFonts w:hint="eastAsia" w:ascii="新宋体" w:hAnsi="新宋体" w:eastAsia="新宋体" w:cs="Courier New"/>
          <w:color w:val="000000"/>
          <w:sz w:val="24"/>
          <w:highlight w:val="none"/>
        </w:rPr>
        <w:t>无效</w:t>
      </w:r>
      <w:r>
        <w:rPr>
          <w:rFonts w:ascii="新宋体" w:hAnsi="新宋体" w:eastAsia="新宋体" w:cs="Courier New"/>
          <w:color w:val="000000"/>
          <w:sz w:val="24"/>
          <w:highlight w:val="none"/>
        </w:rPr>
        <w:t>标</w:t>
      </w:r>
      <w:r>
        <w:rPr>
          <w:rFonts w:hint="eastAsia" w:ascii="新宋体" w:hAnsi="新宋体" w:eastAsia="新宋体" w:cs="Courier New"/>
          <w:color w:val="000000"/>
          <w:sz w:val="24"/>
          <w:highlight w:val="none"/>
        </w:rPr>
        <w:t>。</w:t>
      </w:r>
    </w:p>
    <w:p>
      <w:pPr>
        <w:widowControl/>
        <w:spacing w:line="360" w:lineRule="auto"/>
        <w:jc w:val="left"/>
        <w:rPr>
          <w:rFonts w:ascii="新宋体" w:hAnsi="新宋体" w:eastAsia="新宋体" w:cs="Courier New"/>
          <w:color w:val="000000"/>
          <w:sz w:val="24"/>
          <w:highlight w:val="none"/>
        </w:rPr>
      </w:pPr>
      <w:r>
        <w:rPr>
          <w:rFonts w:hint="eastAsia" w:ascii="新宋体" w:hAnsi="新宋体" w:eastAsia="新宋体" w:cs="Courier New"/>
          <w:color w:val="000000"/>
          <w:sz w:val="24"/>
          <w:highlight w:val="none"/>
        </w:rPr>
        <w:t>3、</w:t>
      </w:r>
      <w:r>
        <w:rPr>
          <w:rFonts w:hint="eastAsia" w:ascii="新宋体" w:hAnsi="新宋体" w:eastAsia="新宋体" w:cs="Courier New"/>
          <w:b/>
          <w:bCs/>
          <w:color w:val="000000"/>
          <w:sz w:val="24"/>
          <w:highlight w:val="none"/>
        </w:rPr>
        <w:t>中标通知后30日内提供保洁人员名册，且员工人员构成中，身体健康且年龄在18－50周岁，以本单位名义服务于本项目的参投社会养老保险的保洁人员不得低于总人数的40%。</w:t>
      </w:r>
    </w:p>
    <w:p>
      <w:pPr>
        <w:widowControl/>
        <w:spacing w:line="360" w:lineRule="auto"/>
        <w:jc w:val="left"/>
        <w:rPr>
          <w:color w:val="000000"/>
          <w:sz w:val="24"/>
          <w:highlight w:val="none"/>
        </w:rPr>
      </w:pPr>
      <w:r>
        <w:rPr>
          <w:rFonts w:hint="eastAsia"/>
          <w:color w:val="000000"/>
          <w:kern w:val="0"/>
          <w:sz w:val="24"/>
          <w:highlight w:val="none"/>
        </w:rPr>
        <w:t>4、</w:t>
      </w:r>
      <w:r>
        <w:rPr>
          <w:color w:val="000000"/>
          <w:sz w:val="24"/>
          <w:highlight w:val="none"/>
        </w:rPr>
        <w:t>此表在不改变表式内容的情况下，可自行制作</w:t>
      </w:r>
      <w:r>
        <w:rPr>
          <w:rFonts w:hint="eastAsia"/>
          <w:color w:val="000000"/>
          <w:sz w:val="24"/>
          <w:highlight w:val="none"/>
        </w:rPr>
        <w:t>。</w:t>
      </w:r>
    </w:p>
    <w:p>
      <w:pPr>
        <w:widowControl/>
        <w:spacing w:line="360" w:lineRule="auto"/>
        <w:jc w:val="left"/>
        <w:rPr>
          <w:color w:val="000000"/>
          <w:sz w:val="24"/>
          <w:highlight w:val="none"/>
        </w:rPr>
      </w:pPr>
    </w:p>
    <w:p>
      <w:pPr>
        <w:widowControl/>
        <w:spacing w:line="360" w:lineRule="auto"/>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b/>
          <w:color w:val="000000"/>
          <w:sz w:val="24"/>
          <w:highlight w:val="none"/>
        </w:rPr>
      </w:pPr>
    </w:p>
    <w:p>
      <w:pPr>
        <w:widowControl/>
        <w:jc w:val="left"/>
        <w:rPr>
          <w:rFonts w:hint="eastAsia"/>
          <w:b/>
          <w:color w:val="000000"/>
          <w:sz w:val="24"/>
          <w:highlight w:val="none"/>
        </w:rPr>
      </w:pPr>
    </w:p>
    <w:p>
      <w:pPr>
        <w:widowControl/>
        <w:jc w:val="left"/>
        <w:rPr>
          <w:b/>
          <w:color w:val="000000"/>
          <w:sz w:val="24"/>
          <w:highlight w:val="none"/>
        </w:rPr>
      </w:pPr>
    </w:p>
    <w:p>
      <w:pPr>
        <w:spacing w:line="300" w:lineRule="auto"/>
        <w:rPr>
          <w:rFonts w:eastAsia="华文中宋"/>
          <w:b/>
          <w:bCs/>
          <w:sz w:val="36"/>
          <w:szCs w:val="36"/>
          <w:highlight w:val="none"/>
        </w:rPr>
      </w:pPr>
      <w:r>
        <w:rPr>
          <w:rFonts w:eastAsia="黑体"/>
          <w:b/>
          <w:bCs/>
          <w:kern w:val="0"/>
          <w:sz w:val="36"/>
          <w:szCs w:val="36"/>
          <w:highlight w:val="none"/>
        </w:rPr>
        <w:t>附件</w:t>
      </w:r>
      <w:r>
        <w:rPr>
          <w:rFonts w:hint="eastAsia" w:eastAsia="黑体"/>
          <w:b/>
          <w:bCs/>
          <w:kern w:val="0"/>
          <w:sz w:val="36"/>
          <w:szCs w:val="36"/>
          <w:highlight w:val="none"/>
        </w:rPr>
        <w:t>10</w:t>
      </w:r>
      <w:r>
        <w:rPr>
          <w:rFonts w:eastAsia="黑体"/>
          <w:b/>
          <w:bCs/>
          <w:kern w:val="0"/>
          <w:sz w:val="36"/>
          <w:szCs w:val="36"/>
          <w:highlight w:val="none"/>
        </w:rPr>
        <w:t xml:space="preserve">           </w:t>
      </w:r>
      <w:r>
        <w:rPr>
          <w:b/>
          <w:bCs/>
          <w:kern w:val="0"/>
          <w:sz w:val="36"/>
          <w:szCs w:val="36"/>
          <w:highlight w:val="none"/>
        </w:rPr>
        <w:t xml:space="preserve"> </w:t>
      </w:r>
      <w:r>
        <w:rPr>
          <w:rFonts w:hint="eastAsia"/>
          <w:b/>
          <w:bCs/>
          <w:kern w:val="0"/>
          <w:sz w:val="36"/>
          <w:szCs w:val="36"/>
          <w:highlight w:val="none"/>
        </w:rPr>
        <w:t xml:space="preserve"> </w:t>
      </w:r>
      <w:r>
        <w:rPr>
          <w:rFonts w:eastAsia="华文中宋"/>
          <w:b/>
          <w:bCs/>
          <w:sz w:val="36"/>
          <w:szCs w:val="36"/>
          <w:highlight w:val="none"/>
        </w:rPr>
        <w:t>中小企业声明函</w:t>
      </w:r>
    </w:p>
    <w:p>
      <w:pPr>
        <w:widowControl/>
        <w:snapToGrid w:val="0"/>
        <w:spacing w:line="300" w:lineRule="auto"/>
        <w:jc w:val="center"/>
        <w:rPr>
          <w:b/>
          <w:bCs/>
          <w:sz w:val="24"/>
          <w:highlight w:val="none"/>
        </w:rPr>
      </w:pPr>
      <w:r>
        <w:rPr>
          <w:b/>
          <w:sz w:val="24"/>
          <w:highlight w:val="none"/>
        </w:rPr>
        <w:t>【</w:t>
      </w:r>
      <w:r>
        <w:rPr>
          <w:b/>
          <w:bCs/>
          <w:sz w:val="24"/>
          <w:highlight w:val="none"/>
        </w:rPr>
        <w:t>非小微企业不用提供</w:t>
      </w:r>
      <w:r>
        <w:rPr>
          <w:b/>
          <w:sz w:val="24"/>
          <w:highlight w:val="none"/>
        </w:rPr>
        <w:t>】</w:t>
      </w:r>
    </w:p>
    <w:p>
      <w:pPr>
        <w:widowControl/>
        <w:snapToGrid w:val="0"/>
        <w:spacing w:line="360" w:lineRule="auto"/>
        <w:ind w:firstLine="480" w:firstLineChars="200"/>
        <w:jc w:val="left"/>
        <w:rPr>
          <w:sz w:val="24"/>
          <w:highlight w:val="none"/>
        </w:rPr>
      </w:pPr>
      <w:r>
        <w:rPr>
          <w:sz w:val="24"/>
          <w:highlight w:val="none"/>
        </w:rPr>
        <w:t>本企业郑重声明，根据《政府采购促进中小企业发展暂行办法》（财库[2011]181号）的规定，本企业为</w:t>
      </w:r>
      <w:r>
        <w:rPr>
          <w:sz w:val="24"/>
          <w:highlight w:val="none"/>
          <w:u w:val="single"/>
        </w:rPr>
        <w:t xml:space="preserve">        </w:t>
      </w:r>
      <w:r>
        <w:rPr>
          <w:sz w:val="24"/>
          <w:highlight w:val="none"/>
        </w:rPr>
        <w:t>（填写行业）</w:t>
      </w:r>
      <w:r>
        <w:rPr>
          <w:sz w:val="24"/>
          <w:highlight w:val="none"/>
          <w:u w:val="single"/>
        </w:rPr>
        <w:t xml:space="preserve">          </w:t>
      </w:r>
      <w:r>
        <w:rPr>
          <w:sz w:val="24"/>
          <w:highlight w:val="none"/>
        </w:rPr>
        <w:t>（请填写：小型、微型）企业。即，本企业同时满足以下条件：</w:t>
      </w:r>
    </w:p>
    <w:p>
      <w:pPr>
        <w:widowControl/>
        <w:snapToGrid w:val="0"/>
        <w:spacing w:line="360" w:lineRule="auto"/>
        <w:ind w:firstLine="480" w:firstLineChars="200"/>
        <w:jc w:val="left"/>
        <w:rPr>
          <w:sz w:val="24"/>
          <w:highlight w:val="none"/>
        </w:rPr>
      </w:pPr>
      <w:r>
        <w:rPr>
          <w:sz w:val="24"/>
          <w:highlight w:val="none"/>
        </w:rPr>
        <w:t>1.根据《工业和信息化部、国家统计局、国家发展和改革委员会、财政部关于印发中小企业划型标准规定的通知》（工信部联企业[2011]300号）规定的划分标准，本企业为</w:t>
      </w:r>
      <w:r>
        <w:rPr>
          <w:b/>
          <w:bCs/>
          <w:sz w:val="24"/>
          <w:highlight w:val="none"/>
          <w:u w:val="single"/>
        </w:rPr>
        <w:t xml:space="preserve">           </w:t>
      </w:r>
      <w:r>
        <w:rPr>
          <w:sz w:val="24"/>
          <w:highlight w:val="none"/>
        </w:rPr>
        <w:t>（请填写：小型、微型）企业。</w:t>
      </w:r>
    </w:p>
    <w:p>
      <w:pPr>
        <w:widowControl/>
        <w:snapToGrid w:val="0"/>
        <w:spacing w:line="360" w:lineRule="auto"/>
        <w:ind w:firstLine="480" w:firstLineChars="200"/>
        <w:jc w:val="left"/>
        <w:rPr>
          <w:sz w:val="24"/>
          <w:highlight w:val="none"/>
        </w:rPr>
      </w:pPr>
      <w:r>
        <w:rPr>
          <w:sz w:val="24"/>
          <w:highlight w:val="none"/>
        </w:rPr>
        <w:t>2.本企业参加</w:t>
      </w:r>
      <w:r>
        <w:rPr>
          <w:b/>
          <w:bCs/>
          <w:sz w:val="24"/>
          <w:highlight w:val="none"/>
          <w:u w:val="single"/>
        </w:rPr>
        <w:t xml:space="preserve">           </w:t>
      </w:r>
      <w:r>
        <w:rPr>
          <w:sz w:val="24"/>
          <w:highlight w:val="none"/>
        </w:rPr>
        <w:t>（采购人）的</w:t>
      </w:r>
      <w:r>
        <w:rPr>
          <w:b/>
          <w:bCs/>
          <w:sz w:val="24"/>
          <w:highlight w:val="none"/>
          <w:u w:val="single"/>
        </w:rPr>
        <w:t xml:space="preserve">           </w:t>
      </w:r>
      <w:r>
        <w:rPr>
          <w:sz w:val="24"/>
          <w:highlight w:val="none"/>
        </w:rPr>
        <w:t>（项目名称）采购活动，由本企业为本项目提供服务。</w:t>
      </w:r>
    </w:p>
    <w:p>
      <w:pPr>
        <w:widowControl/>
        <w:snapToGrid w:val="0"/>
        <w:spacing w:line="360" w:lineRule="auto"/>
        <w:ind w:firstLine="480" w:firstLineChars="200"/>
        <w:jc w:val="left"/>
        <w:rPr>
          <w:b/>
          <w:sz w:val="24"/>
          <w:highlight w:val="none"/>
          <w:u w:val="single"/>
        </w:rPr>
      </w:pPr>
      <w:r>
        <w:rPr>
          <w:b/>
          <w:sz w:val="24"/>
          <w:highlight w:val="none"/>
          <w:u w:val="single"/>
        </w:rPr>
        <w:t>本企业对上述声明的真实性负责。如有虚假，将依法承担相应责任。</w:t>
      </w:r>
    </w:p>
    <w:p>
      <w:pPr>
        <w:adjustRightInd w:val="0"/>
        <w:snapToGrid w:val="0"/>
        <w:spacing w:line="360" w:lineRule="auto"/>
        <w:ind w:firstLine="480" w:firstLineChars="200"/>
        <w:rPr>
          <w:sz w:val="24"/>
          <w:highlight w:val="none"/>
        </w:rPr>
      </w:pPr>
    </w:p>
    <w:p>
      <w:pPr>
        <w:pStyle w:val="185"/>
        <w:rPr>
          <w:szCs w:val="24"/>
          <w:highlight w:val="none"/>
          <w:lang w:val="en-US"/>
        </w:rPr>
      </w:pPr>
    </w:p>
    <w:p>
      <w:pPr>
        <w:pStyle w:val="185"/>
        <w:rPr>
          <w:szCs w:val="24"/>
          <w:highlight w:val="none"/>
          <w:lang w:val="en-US"/>
        </w:rPr>
      </w:pPr>
    </w:p>
    <w:p>
      <w:pPr>
        <w:adjustRightInd w:val="0"/>
        <w:snapToGrid w:val="0"/>
        <w:spacing w:line="360" w:lineRule="auto"/>
        <w:ind w:firstLine="480" w:firstLineChars="200"/>
        <w:rPr>
          <w:sz w:val="24"/>
          <w:highlight w:val="none"/>
          <w:u w:val="single"/>
        </w:rPr>
      </w:pPr>
      <w:r>
        <w:rPr>
          <w:rFonts w:hint="eastAsia"/>
          <w:sz w:val="24"/>
          <w:highlight w:val="none"/>
        </w:rPr>
        <w:t>投标人</w:t>
      </w:r>
      <w:r>
        <w:rPr>
          <w:sz w:val="24"/>
          <w:highlight w:val="none"/>
        </w:rPr>
        <w:t>名称（盖章）：</w:t>
      </w:r>
      <w:r>
        <w:rPr>
          <w:sz w:val="24"/>
          <w:highlight w:val="none"/>
          <w:u w:val="single"/>
        </w:rPr>
        <w:t xml:space="preserve">            </w:t>
      </w:r>
    </w:p>
    <w:p>
      <w:pPr>
        <w:adjustRightInd w:val="0"/>
        <w:snapToGrid w:val="0"/>
        <w:spacing w:line="360" w:lineRule="auto"/>
        <w:ind w:firstLine="480" w:firstLineChars="200"/>
        <w:rPr>
          <w:sz w:val="24"/>
          <w:highlight w:val="none"/>
        </w:rPr>
      </w:pPr>
      <w:r>
        <w:rPr>
          <w:sz w:val="24"/>
          <w:highlight w:val="none"/>
        </w:rPr>
        <w:t>法定代表人（签字或盖章）：</w:t>
      </w:r>
      <w:r>
        <w:rPr>
          <w:sz w:val="24"/>
          <w:highlight w:val="none"/>
          <w:u w:val="single"/>
        </w:rPr>
        <w:t xml:space="preserve">          </w:t>
      </w:r>
      <w:r>
        <w:rPr>
          <w:sz w:val="24"/>
          <w:highlight w:val="none"/>
        </w:rPr>
        <w:t xml:space="preserve">   </w:t>
      </w:r>
    </w:p>
    <w:p>
      <w:pPr>
        <w:adjustRightInd w:val="0"/>
        <w:snapToGrid w:val="0"/>
        <w:spacing w:line="360" w:lineRule="auto"/>
        <w:ind w:firstLine="480" w:firstLineChars="200"/>
        <w:rPr>
          <w:sz w:val="24"/>
          <w:highlight w:val="none"/>
        </w:rPr>
      </w:pPr>
      <w:r>
        <w:rPr>
          <w:sz w:val="24"/>
          <w:highlight w:val="none"/>
        </w:rPr>
        <w:t>日期：   年  月  日</w:t>
      </w:r>
    </w:p>
    <w:p>
      <w:pPr>
        <w:spacing w:line="360" w:lineRule="auto"/>
        <w:ind w:firstLine="480"/>
        <w:rPr>
          <w:sz w:val="24"/>
          <w:highlight w:val="none"/>
        </w:rPr>
      </w:pPr>
    </w:p>
    <w:p>
      <w:pPr>
        <w:spacing w:line="360" w:lineRule="auto"/>
        <w:ind w:firstLine="480"/>
        <w:rPr>
          <w:sz w:val="24"/>
          <w:highlight w:val="none"/>
        </w:rPr>
      </w:pPr>
    </w:p>
    <w:p>
      <w:pPr>
        <w:spacing w:line="360" w:lineRule="auto"/>
        <w:ind w:firstLine="480"/>
        <w:rPr>
          <w:sz w:val="24"/>
          <w:highlight w:val="none"/>
        </w:rPr>
      </w:pPr>
    </w:p>
    <w:p>
      <w:pPr>
        <w:pStyle w:val="13"/>
        <w:adjustRightInd w:val="0"/>
        <w:snapToGrid w:val="0"/>
        <w:spacing w:line="360" w:lineRule="auto"/>
        <w:ind w:firstLine="480" w:firstLineChars="200"/>
        <w:rPr>
          <w:rFonts w:ascii="Times New Roman" w:hAnsi="Times New Roman"/>
          <w:b/>
          <w:sz w:val="24"/>
          <w:szCs w:val="24"/>
          <w:highlight w:val="none"/>
        </w:rPr>
      </w:pPr>
      <w:r>
        <w:rPr>
          <w:rFonts w:ascii="Times New Roman" w:hAnsi="Times New Roman"/>
          <w:b/>
          <w:sz w:val="24"/>
          <w:szCs w:val="24"/>
          <w:highlight w:val="none"/>
        </w:rPr>
        <w:t>说明：</w:t>
      </w:r>
    </w:p>
    <w:p>
      <w:pPr>
        <w:pStyle w:val="13"/>
        <w:adjustRightInd w:val="0"/>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投标人为小型、微型企业的提供此函，其他类型单位不需提供此表。</w:t>
      </w:r>
    </w:p>
    <w:p>
      <w:pPr>
        <w:pStyle w:val="13"/>
        <w:adjustRightInd w:val="0"/>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后附：国家企业信用信息公示系统——小微企业名录（http://xwqy.gsxt.gov.cn/）页面查询结果（网站截图或打印页面）</w:t>
      </w:r>
      <w:r>
        <w:rPr>
          <w:rFonts w:hint="eastAsia" w:ascii="Times New Roman" w:hAnsi="Times New Roman"/>
          <w:sz w:val="24"/>
          <w:szCs w:val="24"/>
          <w:highlight w:val="none"/>
          <w:lang w:eastAsia="zh-CN"/>
        </w:rPr>
        <w:t>，</w:t>
      </w:r>
      <w:r>
        <w:rPr>
          <w:rFonts w:hint="eastAsia" w:ascii="Arial" w:hAnsi="Arial" w:cs="Arial"/>
          <w:sz w:val="24"/>
          <w:szCs w:val="24"/>
          <w:highlight w:val="none"/>
        </w:rPr>
        <w:t>或当地小微企业官网的查询结果</w:t>
      </w:r>
      <w:r>
        <w:rPr>
          <w:kern w:val="1"/>
          <w:sz w:val="24"/>
          <w:highlight w:val="none"/>
        </w:rPr>
        <w:t>（网站截图或打印页面）</w:t>
      </w:r>
      <w:r>
        <w:rPr>
          <w:rFonts w:ascii="Times New Roman" w:hAnsi="Times New Roman"/>
          <w:sz w:val="24"/>
          <w:szCs w:val="24"/>
          <w:highlight w:val="none"/>
        </w:rPr>
        <w:t>。</w:t>
      </w:r>
    </w:p>
    <w:p>
      <w:pPr>
        <w:pStyle w:val="13"/>
        <w:adjustRightInd w:val="0"/>
        <w:snapToGrid w:val="0"/>
        <w:spacing w:line="360" w:lineRule="auto"/>
        <w:ind w:firstLine="480" w:firstLineChars="200"/>
        <w:rPr>
          <w:rFonts w:ascii="Times New Roman" w:hAnsi="Times New Roman"/>
          <w:sz w:val="24"/>
          <w:szCs w:val="24"/>
          <w:highlight w:val="none"/>
        </w:rPr>
      </w:pPr>
    </w:p>
    <w:p>
      <w:pPr>
        <w:pStyle w:val="13"/>
        <w:adjustRightInd w:val="0"/>
        <w:snapToGrid w:val="0"/>
        <w:spacing w:line="300" w:lineRule="auto"/>
        <w:ind w:firstLine="480" w:firstLineChars="200"/>
        <w:rPr>
          <w:rFonts w:ascii="Times New Roman" w:hAnsi="Times New Roman"/>
          <w:highlight w:val="none"/>
        </w:rPr>
      </w:pPr>
      <w:r>
        <w:rPr>
          <w:rFonts w:ascii="Times New Roman" w:hAnsi="Times New Roman"/>
          <w:sz w:val="24"/>
          <w:szCs w:val="24"/>
          <w:highlight w:val="none"/>
        </w:rPr>
        <w:br w:type="page"/>
      </w:r>
      <w:r>
        <w:rPr>
          <w:rFonts w:ascii="Times New Roman" w:hAnsi="Times New Roman" w:eastAsia="黑体"/>
          <w:b/>
          <w:bCs/>
          <w:kern w:val="0"/>
          <w:sz w:val="36"/>
          <w:szCs w:val="36"/>
          <w:highlight w:val="none"/>
        </w:rPr>
        <w:t>附件</w:t>
      </w:r>
      <w:r>
        <w:rPr>
          <w:rFonts w:hint="eastAsia" w:ascii="Times New Roman" w:hAnsi="Times New Roman" w:eastAsia="黑体"/>
          <w:b/>
          <w:bCs/>
          <w:kern w:val="0"/>
          <w:sz w:val="36"/>
          <w:szCs w:val="36"/>
          <w:highlight w:val="none"/>
        </w:rPr>
        <w:t>11</w:t>
      </w:r>
      <w:r>
        <w:rPr>
          <w:rFonts w:ascii="Times New Roman" w:hAnsi="Times New Roman"/>
          <w:b/>
          <w:bCs/>
          <w:kern w:val="0"/>
          <w:sz w:val="36"/>
          <w:szCs w:val="36"/>
          <w:highlight w:val="none"/>
        </w:rPr>
        <w:t xml:space="preserve"> </w:t>
      </w:r>
      <w:r>
        <w:rPr>
          <w:rFonts w:hint="eastAsia" w:ascii="Times New Roman" w:hAnsi="Times New Roman"/>
          <w:b/>
          <w:bCs/>
          <w:kern w:val="0"/>
          <w:sz w:val="36"/>
          <w:szCs w:val="36"/>
          <w:highlight w:val="none"/>
        </w:rPr>
        <w:t xml:space="preserve">         </w:t>
      </w:r>
      <w:r>
        <w:rPr>
          <w:rFonts w:eastAsia="华文中宋"/>
          <w:b/>
          <w:bCs/>
          <w:sz w:val="36"/>
          <w:szCs w:val="36"/>
          <w:highlight w:val="none"/>
        </w:rPr>
        <w:t>监狱企业声明函</w:t>
      </w:r>
    </w:p>
    <w:p>
      <w:pPr>
        <w:adjustRightInd w:val="0"/>
        <w:snapToGrid w:val="0"/>
        <w:spacing w:line="300" w:lineRule="auto"/>
        <w:jc w:val="center"/>
        <w:rPr>
          <w:b/>
          <w:sz w:val="24"/>
          <w:highlight w:val="none"/>
        </w:rPr>
      </w:pPr>
      <w:r>
        <w:rPr>
          <w:rFonts w:hint="eastAsia"/>
          <w:b/>
          <w:sz w:val="24"/>
          <w:highlight w:val="none"/>
        </w:rPr>
        <w:t xml:space="preserve"> </w:t>
      </w:r>
      <w:r>
        <w:rPr>
          <w:b/>
          <w:sz w:val="24"/>
          <w:highlight w:val="none"/>
        </w:rPr>
        <w:t>【</w:t>
      </w:r>
      <w:r>
        <w:rPr>
          <w:b/>
          <w:bCs/>
          <w:sz w:val="24"/>
          <w:highlight w:val="none"/>
        </w:rPr>
        <w:t>非监狱企业不用提供</w:t>
      </w:r>
      <w:r>
        <w:rPr>
          <w:b/>
          <w:sz w:val="24"/>
          <w:highlight w:val="none"/>
        </w:rPr>
        <w:t>】</w:t>
      </w:r>
    </w:p>
    <w:p>
      <w:pPr>
        <w:widowControl/>
        <w:adjustRightInd w:val="0"/>
        <w:snapToGrid w:val="0"/>
        <w:spacing w:line="300" w:lineRule="auto"/>
        <w:ind w:firstLine="480" w:firstLineChars="200"/>
        <w:rPr>
          <w:sz w:val="24"/>
          <w:highlight w:val="none"/>
        </w:rPr>
      </w:pPr>
    </w:p>
    <w:p>
      <w:pPr>
        <w:widowControl/>
        <w:adjustRightInd w:val="0"/>
        <w:snapToGrid w:val="0"/>
        <w:spacing w:line="360" w:lineRule="auto"/>
        <w:ind w:firstLine="480" w:firstLineChars="200"/>
        <w:jc w:val="left"/>
        <w:rPr>
          <w:sz w:val="24"/>
          <w:highlight w:val="none"/>
        </w:rPr>
      </w:pPr>
      <w:r>
        <w:rPr>
          <w:sz w:val="24"/>
          <w:highlight w:val="none"/>
        </w:rPr>
        <w:t>本企业郑重声明，根据《关于政府采购支持监狱企业发展有关问题的通知》（财库[2014]68号）的规定，本企业为</w:t>
      </w:r>
      <w:r>
        <w:rPr>
          <w:sz w:val="24"/>
          <w:highlight w:val="none"/>
          <w:u w:val="single"/>
        </w:rPr>
        <w:t>监狱企业</w:t>
      </w:r>
      <w:r>
        <w:rPr>
          <w:sz w:val="24"/>
          <w:highlight w:val="none"/>
        </w:rPr>
        <w:t>。</w:t>
      </w:r>
    </w:p>
    <w:p>
      <w:pPr>
        <w:widowControl/>
        <w:adjustRightInd w:val="0"/>
        <w:snapToGrid w:val="0"/>
        <w:spacing w:line="360" w:lineRule="auto"/>
        <w:ind w:firstLine="480" w:firstLineChars="200"/>
        <w:jc w:val="left"/>
        <w:rPr>
          <w:sz w:val="24"/>
          <w:highlight w:val="none"/>
        </w:rPr>
      </w:pPr>
      <w:r>
        <w:rPr>
          <w:sz w:val="24"/>
          <w:highlight w:val="none"/>
        </w:rPr>
        <w:t>根据上述标准，我企业属于</w:t>
      </w:r>
      <w:r>
        <w:rPr>
          <w:sz w:val="24"/>
          <w:highlight w:val="none"/>
          <w:u w:val="single"/>
        </w:rPr>
        <w:t>监狱企业</w:t>
      </w:r>
      <w:r>
        <w:rPr>
          <w:sz w:val="24"/>
          <w:highlight w:val="none"/>
        </w:rPr>
        <w:t>的理由为：</w:t>
      </w:r>
      <w:r>
        <w:rPr>
          <w:sz w:val="24"/>
          <w:highlight w:val="none"/>
          <w:u w:val="single"/>
        </w:rPr>
        <w:t xml:space="preserve">        </w:t>
      </w:r>
      <w:r>
        <w:rPr>
          <w:sz w:val="24"/>
          <w:highlight w:val="none"/>
        </w:rPr>
        <w:t xml:space="preserve"> 。</w:t>
      </w:r>
    </w:p>
    <w:p>
      <w:pPr>
        <w:widowControl/>
        <w:adjustRightInd w:val="0"/>
        <w:snapToGrid w:val="0"/>
        <w:spacing w:line="360" w:lineRule="auto"/>
        <w:ind w:firstLine="480" w:firstLineChars="200"/>
        <w:rPr>
          <w:sz w:val="24"/>
          <w:highlight w:val="none"/>
        </w:rPr>
      </w:pPr>
      <w:r>
        <w:rPr>
          <w:sz w:val="24"/>
          <w:highlight w:val="none"/>
        </w:rPr>
        <w:t>本企业为参加（项目名称：</w:t>
      </w:r>
      <w:r>
        <w:rPr>
          <w:sz w:val="24"/>
          <w:highlight w:val="none"/>
          <w:u w:val="single"/>
        </w:rPr>
        <w:t xml:space="preserve">     </w:t>
      </w:r>
      <w:r>
        <w:rPr>
          <w:sz w:val="24"/>
          <w:highlight w:val="none"/>
        </w:rPr>
        <w:t>）（项目编号：</w:t>
      </w:r>
      <w:r>
        <w:rPr>
          <w:sz w:val="24"/>
          <w:highlight w:val="none"/>
          <w:u w:val="single"/>
        </w:rPr>
        <w:t xml:space="preserve">    </w:t>
      </w:r>
      <w:r>
        <w:rPr>
          <w:sz w:val="24"/>
          <w:highlight w:val="none"/>
        </w:rPr>
        <w:t>）采购活动提供本企业</w:t>
      </w:r>
      <w:r>
        <w:rPr>
          <w:sz w:val="24"/>
          <w:highlight w:val="none"/>
          <w:u w:val="single"/>
        </w:rPr>
        <w:t>的服务</w:t>
      </w:r>
      <w:r>
        <w:rPr>
          <w:sz w:val="24"/>
          <w:highlight w:val="none"/>
        </w:rPr>
        <w:t>。</w:t>
      </w:r>
    </w:p>
    <w:p>
      <w:pPr>
        <w:widowControl/>
        <w:adjustRightInd w:val="0"/>
        <w:snapToGrid w:val="0"/>
        <w:spacing w:line="360" w:lineRule="auto"/>
        <w:ind w:firstLine="480" w:firstLineChars="200"/>
        <w:rPr>
          <w:sz w:val="24"/>
          <w:highlight w:val="none"/>
        </w:rPr>
      </w:pPr>
      <w:r>
        <w:rPr>
          <w:b/>
          <w:sz w:val="24"/>
          <w:highlight w:val="none"/>
          <w:u w:val="single"/>
        </w:rPr>
        <w:t>本企业对上述声明的真实性负责。如有虚假，将依法承担相应责任</w:t>
      </w:r>
      <w:r>
        <w:rPr>
          <w:sz w:val="24"/>
          <w:highlight w:val="none"/>
        </w:rPr>
        <w:t>。</w:t>
      </w:r>
    </w:p>
    <w:p>
      <w:pPr>
        <w:adjustRightInd w:val="0"/>
        <w:snapToGrid w:val="0"/>
        <w:spacing w:line="360" w:lineRule="auto"/>
        <w:ind w:firstLine="480" w:firstLineChars="200"/>
        <w:jc w:val="center"/>
        <w:rPr>
          <w:sz w:val="24"/>
          <w:highlight w:val="none"/>
        </w:rPr>
      </w:pPr>
    </w:p>
    <w:p>
      <w:pPr>
        <w:pStyle w:val="185"/>
        <w:rPr>
          <w:szCs w:val="24"/>
          <w:highlight w:val="none"/>
          <w:lang w:val="en-US"/>
        </w:rPr>
      </w:pPr>
    </w:p>
    <w:p>
      <w:pPr>
        <w:adjustRightInd w:val="0"/>
        <w:snapToGrid w:val="0"/>
        <w:spacing w:line="360" w:lineRule="auto"/>
        <w:ind w:firstLine="480" w:firstLineChars="200"/>
        <w:rPr>
          <w:sz w:val="24"/>
          <w:highlight w:val="none"/>
          <w:u w:val="single"/>
        </w:rPr>
      </w:pPr>
      <w:r>
        <w:rPr>
          <w:rFonts w:hint="eastAsia"/>
          <w:sz w:val="24"/>
          <w:highlight w:val="none"/>
        </w:rPr>
        <w:t>投标人</w:t>
      </w:r>
      <w:r>
        <w:rPr>
          <w:sz w:val="24"/>
          <w:highlight w:val="none"/>
        </w:rPr>
        <w:t>名称（盖章）：</w:t>
      </w:r>
      <w:r>
        <w:rPr>
          <w:sz w:val="24"/>
          <w:highlight w:val="none"/>
          <w:u w:val="single"/>
        </w:rPr>
        <w:t xml:space="preserve">            </w:t>
      </w:r>
    </w:p>
    <w:p>
      <w:pPr>
        <w:adjustRightInd w:val="0"/>
        <w:snapToGrid w:val="0"/>
        <w:spacing w:line="360" w:lineRule="auto"/>
        <w:ind w:firstLine="480" w:firstLineChars="200"/>
        <w:rPr>
          <w:sz w:val="24"/>
          <w:highlight w:val="none"/>
        </w:rPr>
      </w:pPr>
      <w:r>
        <w:rPr>
          <w:sz w:val="24"/>
          <w:highlight w:val="none"/>
        </w:rPr>
        <w:t>法定代表人（签字或盖章）：</w:t>
      </w:r>
      <w:r>
        <w:rPr>
          <w:sz w:val="24"/>
          <w:highlight w:val="none"/>
          <w:u w:val="single"/>
        </w:rPr>
        <w:t xml:space="preserve">          </w:t>
      </w:r>
      <w:r>
        <w:rPr>
          <w:sz w:val="24"/>
          <w:highlight w:val="none"/>
        </w:rPr>
        <w:t xml:space="preserve">   </w:t>
      </w:r>
    </w:p>
    <w:p>
      <w:pPr>
        <w:adjustRightInd w:val="0"/>
        <w:snapToGrid w:val="0"/>
        <w:spacing w:line="360" w:lineRule="auto"/>
        <w:ind w:firstLine="480" w:firstLineChars="200"/>
        <w:rPr>
          <w:sz w:val="24"/>
          <w:highlight w:val="none"/>
        </w:rPr>
      </w:pPr>
      <w:r>
        <w:rPr>
          <w:sz w:val="24"/>
          <w:highlight w:val="none"/>
        </w:rPr>
        <w:t>日期：   年  月  日</w:t>
      </w:r>
    </w:p>
    <w:p>
      <w:pPr>
        <w:widowControl/>
        <w:snapToGrid w:val="0"/>
        <w:spacing w:line="360" w:lineRule="auto"/>
        <w:ind w:firstLine="480" w:firstLineChars="200"/>
        <w:rPr>
          <w:sz w:val="24"/>
          <w:highlight w:val="none"/>
        </w:rPr>
      </w:pPr>
    </w:p>
    <w:p>
      <w:pPr>
        <w:widowControl/>
        <w:snapToGrid w:val="0"/>
        <w:spacing w:line="360" w:lineRule="auto"/>
        <w:ind w:firstLine="480" w:firstLineChars="200"/>
        <w:rPr>
          <w:sz w:val="24"/>
          <w:highlight w:val="none"/>
        </w:rPr>
      </w:pPr>
    </w:p>
    <w:p>
      <w:pPr>
        <w:widowControl/>
        <w:snapToGrid w:val="0"/>
        <w:spacing w:line="360" w:lineRule="auto"/>
        <w:ind w:firstLine="480" w:firstLineChars="200"/>
        <w:rPr>
          <w:sz w:val="24"/>
          <w:highlight w:val="none"/>
        </w:rPr>
      </w:pPr>
    </w:p>
    <w:p>
      <w:pPr>
        <w:widowControl/>
        <w:snapToGrid w:val="0"/>
        <w:spacing w:line="360" w:lineRule="auto"/>
        <w:ind w:firstLine="480" w:firstLineChars="200"/>
        <w:rPr>
          <w:b/>
          <w:sz w:val="24"/>
          <w:highlight w:val="none"/>
        </w:rPr>
      </w:pPr>
      <w:r>
        <w:rPr>
          <w:b/>
          <w:sz w:val="24"/>
          <w:highlight w:val="none"/>
        </w:rPr>
        <w:t>说明</w:t>
      </w:r>
      <w:r>
        <w:rPr>
          <w:rFonts w:hint="eastAsia"/>
          <w:b/>
          <w:sz w:val="24"/>
          <w:highlight w:val="none"/>
        </w:rPr>
        <w:t>：</w:t>
      </w:r>
    </w:p>
    <w:p>
      <w:pPr>
        <w:widowControl/>
        <w:snapToGrid w:val="0"/>
        <w:spacing w:line="360" w:lineRule="auto"/>
        <w:ind w:firstLine="480" w:firstLineChars="200"/>
        <w:rPr>
          <w:sz w:val="24"/>
          <w:highlight w:val="none"/>
        </w:rPr>
      </w:pPr>
      <w:r>
        <w:rPr>
          <w:rFonts w:hint="eastAsia"/>
          <w:sz w:val="24"/>
          <w:highlight w:val="none"/>
        </w:rPr>
        <w:t>1、</w:t>
      </w:r>
      <w:r>
        <w:rPr>
          <w:sz w:val="24"/>
          <w:highlight w:val="none"/>
        </w:rPr>
        <w:t>监狱企业参加政府采购活动时，应当提供由省级以上监狱管理局、戒毒管理局（含新疆生产建设兵团）出具的属于监狱企业的说明文件。</w:t>
      </w:r>
    </w:p>
    <w:p>
      <w:pPr>
        <w:widowControl/>
        <w:snapToGrid w:val="0"/>
        <w:spacing w:line="360" w:lineRule="auto"/>
        <w:ind w:firstLine="480" w:firstLineChars="200"/>
        <w:rPr>
          <w:sz w:val="24"/>
          <w:highlight w:val="none"/>
        </w:rPr>
      </w:pPr>
      <w:r>
        <w:rPr>
          <w:rFonts w:hint="eastAsia"/>
          <w:sz w:val="24"/>
          <w:highlight w:val="none"/>
        </w:rPr>
        <w:t>2、</w:t>
      </w:r>
      <w:r>
        <w:rPr>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3"/>
        <w:adjustRightInd w:val="0"/>
        <w:snapToGrid w:val="0"/>
        <w:spacing w:line="300" w:lineRule="auto"/>
        <w:ind w:firstLine="480" w:firstLineChars="200"/>
        <w:rPr>
          <w:rFonts w:ascii="Times New Roman" w:hAnsi="Times New Roman"/>
          <w:sz w:val="24"/>
          <w:szCs w:val="24"/>
          <w:highlight w:val="none"/>
        </w:rPr>
      </w:pPr>
    </w:p>
    <w:p>
      <w:pPr>
        <w:pStyle w:val="13"/>
        <w:adjustRightInd w:val="0"/>
        <w:snapToGrid w:val="0"/>
        <w:spacing w:line="300" w:lineRule="auto"/>
        <w:ind w:firstLine="480" w:firstLineChars="200"/>
        <w:rPr>
          <w:rFonts w:ascii="Times New Roman" w:hAnsi="Times New Roman"/>
          <w:sz w:val="24"/>
          <w:szCs w:val="24"/>
          <w:highlight w:val="none"/>
        </w:rPr>
      </w:pPr>
    </w:p>
    <w:p>
      <w:pPr>
        <w:spacing w:line="300" w:lineRule="auto"/>
        <w:rPr>
          <w:rFonts w:eastAsia="华文中宋"/>
          <w:b/>
          <w:bCs/>
          <w:sz w:val="36"/>
          <w:szCs w:val="36"/>
          <w:highlight w:val="none"/>
        </w:rPr>
      </w:pPr>
      <w:r>
        <w:rPr>
          <w:rFonts w:eastAsia="华文中宋"/>
          <w:b/>
          <w:bCs/>
          <w:sz w:val="36"/>
          <w:szCs w:val="36"/>
          <w:highlight w:val="none"/>
        </w:rPr>
        <w:br w:type="page"/>
      </w:r>
      <w:r>
        <w:rPr>
          <w:rFonts w:eastAsia="黑体"/>
          <w:b/>
          <w:bCs/>
          <w:kern w:val="0"/>
          <w:sz w:val="36"/>
          <w:szCs w:val="36"/>
          <w:highlight w:val="none"/>
        </w:rPr>
        <w:t>附件1</w:t>
      </w:r>
      <w:r>
        <w:rPr>
          <w:rFonts w:hint="eastAsia" w:eastAsia="黑体"/>
          <w:b/>
          <w:bCs/>
          <w:kern w:val="0"/>
          <w:sz w:val="36"/>
          <w:szCs w:val="36"/>
          <w:highlight w:val="none"/>
        </w:rPr>
        <w:t>2</w:t>
      </w:r>
      <w:r>
        <w:rPr>
          <w:b/>
          <w:bCs/>
          <w:kern w:val="0"/>
          <w:sz w:val="36"/>
          <w:szCs w:val="36"/>
          <w:highlight w:val="none"/>
        </w:rPr>
        <w:t xml:space="preserve">        </w:t>
      </w:r>
      <w:r>
        <w:rPr>
          <w:rFonts w:eastAsia="华文中宋"/>
          <w:b/>
          <w:bCs/>
          <w:sz w:val="36"/>
          <w:szCs w:val="36"/>
          <w:highlight w:val="none"/>
        </w:rPr>
        <w:t>残疾人福利性单位声明函</w:t>
      </w:r>
    </w:p>
    <w:p>
      <w:pPr>
        <w:snapToGrid w:val="0"/>
        <w:spacing w:line="300" w:lineRule="auto"/>
        <w:ind w:firstLine="444" w:firstLineChars="200"/>
        <w:rPr>
          <w:spacing w:val="6"/>
          <w:szCs w:val="21"/>
          <w:highlight w:val="none"/>
        </w:rPr>
      </w:pPr>
    </w:p>
    <w:p>
      <w:pPr>
        <w:snapToGrid w:val="0"/>
        <w:spacing w:line="360" w:lineRule="auto"/>
        <w:ind w:firstLine="504" w:firstLineChars="200"/>
        <w:rPr>
          <w:spacing w:val="6"/>
          <w:sz w:val="24"/>
          <w:highlight w:val="none"/>
        </w:rPr>
      </w:pPr>
      <w:r>
        <w:rPr>
          <w:spacing w:val="6"/>
          <w:sz w:val="24"/>
          <w:highlight w:val="none"/>
        </w:rPr>
        <w:t>本单位郑重声明，根据《财政部、民政部、中国残疾人联合会关于促进残疾人就业政府采购政策的通知》（财库</w:t>
      </w:r>
      <w:r>
        <w:rPr>
          <w:sz w:val="24"/>
          <w:highlight w:val="none"/>
        </w:rPr>
        <w:t>〔2017〕141</w:t>
      </w:r>
      <w:r>
        <w:rPr>
          <w:spacing w:val="6"/>
          <w:sz w:val="24"/>
          <w:highlight w:val="none"/>
        </w:rPr>
        <w:t>号）的规定，本单位为符合条件的残疾人福利性单位，且本单位参加</w:t>
      </w:r>
      <w:r>
        <w:rPr>
          <w:spacing w:val="6"/>
          <w:sz w:val="24"/>
          <w:highlight w:val="none"/>
          <w:u w:val="single"/>
        </w:rPr>
        <w:t xml:space="preserve"> （采购人名称）  </w:t>
      </w:r>
      <w:r>
        <w:rPr>
          <w:spacing w:val="6"/>
          <w:sz w:val="24"/>
          <w:highlight w:val="none"/>
        </w:rPr>
        <w:t>单位的</w:t>
      </w:r>
      <w:r>
        <w:rPr>
          <w:spacing w:val="6"/>
          <w:sz w:val="24"/>
          <w:highlight w:val="none"/>
          <w:u w:val="single"/>
        </w:rPr>
        <w:t xml:space="preserve">   （项目名称）    </w:t>
      </w:r>
      <w:r>
        <w:rPr>
          <w:spacing w:val="6"/>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4" w:firstLineChars="200"/>
        <w:rPr>
          <w:spacing w:val="6"/>
          <w:sz w:val="24"/>
          <w:highlight w:val="none"/>
        </w:rPr>
      </w:pPr>
      <w:r>
        <w:rPr>
          <w:b/>
          <w:spacing w:val="6"/>
          <w:sz w:val="24"/>
          <w:highlight w:val="none"/>
          <w:u w:val="single"/>
        </w:rPr>
        <w:t>本单位对上述声明的真实性负责。如有虚假，将依法承担相应责任</w:t>
      </w:r>
      <w:r>
        <w:rPr>
          <w:spacing w:val="6"/>
          <w:sz w:val="24"/>
          <w:highlight w:val="none"/>
        </w:rPr>
        <w:t>。</w:t>
      </w:r>
    </w:p>
    <w:p>
      <w:pPr>
        <w:snapToGrid w:val="0"/>
        <w:spacing w:line="360" w:lineRule="auto"/>
        <w:ind w:firstLine="504" w:firstLineChars="200"/>
        <w:rPr>
          <w:spacing w:val="6"/>
          <w:sz w:val="24"/>
          <w:highlight w:val="none"/>
        </w:rPr>
      </w:pPr>
    </w:p>
    <w:p>
      <w:pPr>
        <w:snapToGrid w:val="0"/>
        <w:spacing w:line="360" w:lineRule="auto"/>
        <w:ind w:firstLine="504" w:firstLineChars="200"/>
        <w:rPr>
          <w:spacing w:val="6"/>
          <w:sz w:val="24"/>
          <w:highlight w:val="none"/>
        </w:rPr>
      </w:pPr>
    </w:p>
    <w:p>
      <w:pPr>
        <w:pStyle w:val="185"/>
        <w:rPr>
          <w:szCs w:val="24"/>
          <w:highlight w:val="none"/>
          <w:lang w:val="en-US"/>
        </w:rPr>
      </w:pPr>
    </w:p>
    <w:p>
      <w:pPr>
        <w:adjustRightInd w:val="0"/>
        <w:snapToGrid w:val="0"/>
        <w:spacing w:line="360" w:lineRule="auto"/>
        <w:ind w:firstLine="480" w:firstLineChars="200"/>
        <w:rPr>
          <w:sz w:val="24"/>
          <w:highlight w:val="none"/>
          <w:u w:val="single"/>
        </w:rPr>
      </w:pPr>
      <w:r>
        <w:rPr>
          <w:rFonts w:hint="eastAsia"/>
          <w:sz w:val="24"/>
          <w:highlight w:val="none"/>
        </w:rPr>
        <w:t>投标人</w:t>
      </w:r>
      <w:r>
        <w:rPr>
          <w:sz w:val="24"/>
          <w:highlight w:val="none"/>
        </w:rPr>
        <w:t>名称（盖章）：</w:t>
      </w:r>
      <w:r>
        <w:rPr>
          <w:sz w:val="24"/>
          <w:highlight w:val="none"/>
          <w:u w:val="single"/>
        </w:rPr>
        <w:t xml:space="preserve">            </w:t>
      </w:r>
    </w:p>
    <w:p>
      <w:pPr>
        <w:adjustRightInd w:val="0"/>
        <w:snapToGrid w:val="0"/>
        <w:spacing w:line="360" w:lineRule="auto"/>
        <w:ind w:firstLine="480" w:firstLineChars="200"/>
        <w:rPr>
          <w:sz w:val="24"/>
          <w:highlight w:val="none"/>
        </w:rPr>
      </w:pPr>
      <w:r>
        <w:rPr>
          <w:sz w:val="24"/>
          <w:highlight w:val="none"/>
        </w:rPr>
        <w:t>法定代表人（签字或盖章）：</w:t>
      </w:r>
      <w:r>
        <w:rPr>
          <w:sz w:val="24"/>
          <w:highlight w:val="none"/>
          <w:u w:val="single"/>
        </w:rPr>
        <w:t xml:space="preserve">          </w:t>
      </w:r>
      <w:r>
        <w:rPr>
          <w:sz w:val="24"/>
          <w:highlight w:val="none"/>
        </w:rPr>
        <w:t xml:space="preserve">   </w:t>
      </w:r>
    </w:p>
    <w:p>
      <w:pPr>
        <w:adjustRightInd w:val="0"/>
        <w:snapToGrid w:val="0"/>
        <w:spacing w:line="360" w:lineRule="auto"/>
        <w:ind w:firstLine="480" w:firstLineChars="200"/>
        <w:rPr>
          <w:sz w:val="24"/>
          <w:highlight w:val="none"/>
        </w:rPr>
      </w:pPr>
      <w:r>
        <w:rPr>
          <w:sz w:val="24"/>
          <w:highlight w:val="none"/>
        </w:rPr>
        <w:t>日期：   年  月  日</w:t>
      </w:r>
    </w:p>
    <w:p>
      <w:pPr>
        <w:pStyle w:val="13"/>
        <w:adjustRightInd w:val="0"/>
        <w:snapToGrid w:val="0"/>
        <w:spacing w:line="300" w:lineRule="auto"/>
        <w:ind w:firstLine="480" w:firstLineChars="200"/>
        <w:rPr>
          <w:rFonts w:ascii="Times New Roman" w:hAnsi="Times New Roman"/>
          <w:sz w:val="24"/>
          <w:szCs w:val="24"/>
          <w:highlight w:val="none"/>
        </w:rPr>
      </w:pPr>
    </w:p>
    <w:p>
      <w:pPr>
        <w:spacing w:line="360" w:lineRule="auto"/>
        <w:rPr>
          <w:b/>
          <w:sz w:val="24"/>
          <w:highlight w:val="none"/>
        </w:rPr>
      </w:pPr>
    </w:p>
    <w:p>
      <w:pPr>
        <w:spacing w:line="340" w:lineRule="exact"/>
        <w:ind w:firstLine="2400" w:firstLineChars="1000"/>
        <w:rPr>
          <w:kern w:val="0"/>
          <w:sz w:val="24"/>
          <w:highlight w:val="none"/>
        </w:rPr>
      </w:pPr>
    </w:p>
    <w:p>
      <w:pPr>
        <w:widowControl/>
        <w:spacing w:before="260" w:after="260" w:line="270" w:lineRule="atLeast"/>
        <w:outlineLvl w:val="2"/>
        <w:rPr>
          <w:b/>
          <w:sz w:val="24"/>
          <w:highlight w:val="none"/>
        </w:rPr>
      </w:pPr>
    </w:p>
    <w:p>
      <w:pPr>
        <w:widowControl/>
        <w:spacing w:before="260" w:after="260" w:line="270" w:lineRule="atLeast"/>
        <w:outlineLvl w:val="2"/>
        <w:rPr>
          <w:b/>
          <w:sz w:val="24"/>
          <w:highlight w:val="none"/>
        </w:rPr>
      </w:pPr>
    </w:p>
    <w:p>
      <w:pPr>
        <w:widowControl/>
        <w:spacing w:before="260" w:after="260" w:line="270" w:lineRule="atLeast"/>
        <w:outlineLvl w:val="2"/>
        <w:rPr>
          <w:b/>
          <w:sz w:val="24"/>
          <w:highlight w:val="none"/>
        </w:rPr>
      </w:pPr>
    </w:p>
    <w:p>
      <w:pPr>
        <w:widowControl/>
        <w:spacing w:before="260" w:after="260" w:line="270" w:lineRule="atLeast"/>
        <w:outlineLvl w:val="2"/>
        <w:rPr>
          <w:b/>
          <w:sz w:val="24"/>
          <w:highlight w:val="none"/>
        </w:rPr>
      </w:pPr>
    </w:p>
    <w:p>
      <w:pPr>
        <w:widowControl/>
        <w:spacing w:before="260" w:after="260" w:line="270" w:lineRule="atLeast"/>
        <w:outlineLvl w:val="2"/>
        <w:rPr>
          <w:b/>
          <w:highlight w:val="none"/>
        </w:rPr>
      </w:pPr>
    </w:p>
    <w:p>
      <w:pPr>
        <w:widowControl/>
        <w:spacing w:before="260" w:after="260" w:line="270" w:lineRule="atLeast"/>
        <w:outlineLvl w:val="2"/>
        <w:rPr>
          <w:b/>
          <w:highlight w:val="none"/>
        </w:rPr>
      </w:pPr>
    </w:p>
    <w:p>
      <w:pPr>
        <w:widowControl/>
        <w:spacing w:before="260" w:after="260" w:line="270" w:lineRule="atLeast"/>
        <w:outlineLvl w:val="2"/>
        <w:rPr>
          <w:b/>
          <w:highlight w:val="none"/>
        </w:rPr>
      </w:pPr>
    </w:p>
    <w:p>
      <w:pPr>
        <w:widowControl/>
        <w:spacing w:before="260" w:after="260" w:line="270" w:lineRule="atLeast"/>
        <w:outlineLvl w:val="2"/>
        <w:rPr>
          <w:b/>
          <w:highlight w:val="none"/>
        </w:rPr>
      </w:pPr>
    </w:p>
    <w:p>
      <w:pPr>
        <w:widowControl/>
        <w:spacing w:before="260" w:after="260" w:line="270" w:lineRule="atLeast"/>
        <w:outlineLvl w:val="2"/>
        <w:rPr>
          <w:b/>
          <w:highlight w:val="none"/>
        </w:rPr>
      </w:pPr>
    </w:p>
    <w:p>
      <w:pPr>
        <w:widowControl/>
        <w:spacing w:before="260" w:after="260" w:line="270" w:lineRule="atLeast"/>
        <w:outlineLvl w:val="2"/>
        <w:rPr>
          <w:b/>
          <w:highlight w:val="none"/>
        </w:rPr>
      </w:pPr>
    </w:p>
    <w:p>
      <w:pPr>
        <w:widowControl/>
        <w:spacing w:before="260" w:after="260" w:line="270" w:lineRule="atLeast"/>
        <w:outlineLvl w:val="2"/>
        <w:rPr>
          <w:b/>
          <w:highlight w:val="none"/>
        </w:rPr>
      </w:pPr>
    </w:p>
    <w:p>
      <w:pPr>
        <w:pStyle w:val="13"/>
        <w:spacing w:line="460" w:lineRule="exact"/>
        <w:rPr>
          <w:rFonts w:ascii="Times New Roman" w:hAnsi="Times New Roman"/>
          <w:b/>
          <w:sz w:val="36"/>
          <w:szCs w:val="36"/>
          <w:highlight w:val="none"/>
        </w:rPr>
      </w:pPr>
      <w:r>
        <w:rPr>
          <w:rFonts w:ascii="Times New Roman" w:hAnsi="Times New Roman"/>
          <w:b/>
          <w:sz w:val="36"/>
          <w:szCs w:val="36"/>
          <w:highlight w:val="none"/>
        </w:rPr>
        <w:t>附件</w:t>
      </w:r>
      <w:bookmarkEnd w:id="35"/>
      <w:r>
        <w:rPr>
          <w:rFonts w:ascii="Times New Roman" w:hAnsi="Times New Roman"/>
          <w:b/>
          <w:sz w:val="36"/>
          <w:szCs w:val="36"/>
          <w:highlight w:val="none"/>
        </w:rPr>
        <w:t>1</w:t>
      </w:r>
      <w:r>
        <w:rPr>
          <w:rFonts w:hint="eastAsia" w:ascii="Times New Roman" w:hAnsi="Times New Roman"/>
          <w:b/>
          <w:sz w:val="36"/>
          <w:szCs w:val="36"/>
          <w:highlight w:val="none"/>
        </w:rPr>
        <w:t>3</w:t>
      </w:r>
      <w:r>
        <w:rPr>
          <w:rFonts w:ascii="Times New Roman" w:hAnsi="Times New Roman"/>
          <w:b/>
          <w:sz w:val="36"/>
          <w:szCs w:val="36"/>
          <w:highlight w:val="none"/>
        </w:rPr>
        <w:t xml:space="preserve">     义乌市政府采购项目投标承诺书</w:t>
      </w:r>
    </w:p>
    <w:p>
      <w:pPr>
        <w:ind w:firstLine="600" w:firstLineChars="250"/>
        <w:rPr>
          <w:b/>
          <w:sz w:val="24"/>
          <w:highlight w:val="none"/>
        </w:rPr>
      </w:pPr>
      <w:r>
        <w:rPr>
          <w:sz w:val="24"/>
          <w:highlight w:val="none"/>
        </w:rPr>
        <w:t>1、我单位已认真阅读了本项目的采购公告、招标文件、技术要求、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spacing w:line="380" w:lineRule="exact"/>
        <w:ind w:firstLine="480" w:firstLineChars="200"/>
        <w:rPr>
          <w:sz w:val="24"/>
          <w:highlight w:val="none"/>
        </w:rPr>
      </w:pPr>
      <w:r>
        <w:rPr>
          <w:sz w:val="24"/>
          <w:highlight w:val="none"/>
        </w:rPr>
        <w:t>2、自愿接受义乌市财政局（以下简称市财政局）的管理，并严格遵守政府采购监督管理部门制定的招投标管理制度、规范和纪律。</w:t>
      </w:r>
    </w:p>
    <w:p>
      <w:pPr>
        <w:spacing w:line="380" w:lineRule="exact"/>
        <w:ind w:left="-33" w:leftChars="-16" w:firstLine="480" w:firstLineChars="200"/>
        <w:rPr>
          <w:sz w:val="24"/>
          <w:highlight w:val="none"/>
        </w:rPr>
      </w:pPr>
      <w:r>
        <w:rPr>
          <w:sz w:val="24"/>
          <w:highlight w:val="none"/>
        </w:rPr>
        <w:t>3、我单位承诺参与本次投标的资格符合《中华人民共和国政府采购法》的规定，并承诺近三年内，在经营活动中没有重大违法记录。</w:t>
      </w:r>
    </w:p>
    <w:p>
      <w:pPr>
        <w:spacing w:line="380" w:lineRule="exact"/>
        <w:ind w:firstLine="480" w:firstLineChars="200"/>
        <w:rPr>
          <w:sz w:val="24"/>
          <w:highlight w:val="none"/>
        </w:rPr>
      </w:pPr>
      <w:r>
        <w:rPr>
          <w:sz w:val="24"/>
          <w:highlight w:val="none"/>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380" w:lineRule="exact"/>
        <w:ind w:firstLine="480" w:firstLineChars="200"/>
        <w:rPr>
          <w:sz w:val="24"/>
          <w:highlight w:val="none"/>
        </w:rPr>
      </w:pPr>
      <w:r>
        <w:rPr>
          <w:sz w:val="24"/>
          <w:highlight w:val="none"/>
        </w:rPr>
        <w:t>5、不转让、出借、涂改、伪造资质（资格）证书或者以其他方式允许其他单位（个人）以我单位（本人）名义承接业务。</w:t>
      </w:r>
    </w:p>
    <w:p>
      <w:pPr>
        <w:spacing w:line="380" w:lineRule="exact"/>
        <w:ind w:left="-33" w:leftChars="-16" w:firstLine="480" w:firstLineChars="200"/>
        <w:rPr>
          <w:sz w:val="24"/>
          <w:highlight w:val="none"/>
        </w:rPr>
      </w:pPr>
      <w:r>
        <w:rPr>
          <w:sz w:val="24"/>
          <w:highlight w:val="none"/>
        </w:rPr>
        <w:t>6、不与采购人或者其他投标人相互串通投标，围标，不以行贿等不正当手段谋取中标。</w:t>
      </w:r>
    </w:p>
    <w:p>
      <w:pPr>
        <w:spacing w:line="380" w:lineRule="exact"/>
        <w:ind w:left="-33" w:leftChars="-16" w:firstLine="480" w:firstLineChars="200"/>
        <w:rPr>
          <w:sz w:val="24"/>
          <w:highlight w:val="none"/>
        </w:rPr>
      </w:pPr>
      <w:r>
        <w:rPr>
          <w:sz w:val="24"/>
          <w:highlight w:val="none"/>
        </w:rPr>
        <w:t>7、在备案、招标、投标、报名、开标、评标、询标、中标、签订合同、合同备案等招投标预备和进行的全过程中提供的资料均真实、有效，不弄虚作假。</w:t>
      </w:r>
    </w:p>
    <w:p>
      <w:pPr>
        <w:tabs>
          <w:tab w:val="left" w:pos="8820"/>
        </w:tabs>
        <w:spacing w:line="380" w:lineRule="exact"/>
        <w:ind w:firstLine="480" w:firstLineChars="200"/>
        <w:rPr>
          <w:sz w:val="24"/>
          <w:highlight w:val="none"/>
        </w:rPr>
      </w:pPr>
      <w:r>
        <w:rPr>
          <w:sz w:val="24"/>
          <w:highlight w:val="none"/>
        </w:rPr>
        <w:t>8、我方已详细审核全部招标文件，包括修改文件(如果有的话)，及有关附件，我方同意放弃提出含糊不清或误解的权力。 </w:t>
      </w:r>
    </w:p>
    <w:p>
      <w:pPr>
        <w:tabs>
          <w:tab w:val="left" w:pos="8820"/>
        </w:tabs>
        <w:spacing w:line="380" w:lineRule="exact"/>
        <w:ind w:firstLine="480" w:firstLineChars="200"/>
        <w:rPr>
          <w:sz w:val="24"/>
          <w:highlight w:val="none"/>
        </w:rPr>
      </w:pPr>
      <w:r>
        <w:rPr>
          <w:sz w:val="24"/>
          <w:highlight w:val="none"/>
        </w:rPr>
        <w:t>9、我方同意所递交的投标文件在招标期内有效，在此期间内我方有可能为中标人，我方将受此约束。</w:t>
      </w:r>
    </w:p>
    <w:p>
      <w:pPr>
        <w:tabs>
          <w:tab w:val="left" w:pos="8820"/>
        </w:tabs>
        <w:spacing w:line="380" w:lineRule="exact"/>
        <w:ind w:firstLine="480" w:firstLineChars="200"/>
        <w:rPr>
          <w:sz w:val="24"/>
          <w:highlight w:val="none"/>
        </w:rPr>
      </w:pPr>
      <w:r>
        <w:rPr>
          <w:sz w:val="24"/>
          <w:highlight w:val="none"/>
        </w:rPr>
        <w:t>10、我方相信贵方的招标结果是公正、合法的，无论我方为中标人还是落标，我方将接受这一结果。 </w:t>
      </w:r>
    </w:p>
    <w:p>
      <w:pPr>
        <w:tabs>
          <w:tab w:val="left" w:pos="8820"/>
        </w:tabs>
        <w:spacing w:line="380" w:lineRule="exact"/>
        <w:ind w:firstLine="480" w:firstLineChars="200"/>
        <w:rPr>
          <w:sz w:val="24"/>
          <w:highlight w:val="none"/>
        </w:rPr>
      </w:pPr>
      <w:r>
        <w:rPr>
          <w:sz w:val="24"/>
          <w:highlight w:val="none"/>
        </w:rPr>
        <w:t>11、一旦我方为中标人，我方将严格依照招标文件中的相关规定与招标方签订合同。</w:t>
      </w:r>
    </w:p>
    <w:p>
      <w:pPr>
        <w:spacing w:line="380" w:lineRule="exact"/>
        <w:ind w:left="-33" w:leftChars="-16" w:firstLine="480" w:firstLineChars="200"/>
        <w:rPr>
          <w:sz w:val="24"/>
          <w:highlight w:val="none"/>
        </w:rPr>
      </w:pPr>
      <w:r>
        <w:rPr>
          <w:sz w:val="24"/>
          <w:highlight w:val="none"/>
        </w:rPr>
        <w:t>12、不低于企业成本价投标，不恶意过高报价，不扰乱招投标的正常秩序。</w:t>
      </w:r>
    </w:p>
    <w:p>
      <w:pPr>
        <w:spacing w:line="380" w:lineRule="exact"/>
        <w:ind w:left="-33" w:leftChars="-16" w:firstLine="480" w:firstLineChars="200"/>
        <w:rPr>
          <w:sz w:val="24"/>
          <w:highlight w:val="none"/>
        </w:rPr>
      </w:pPr>
      <w:r>
        <w:rPr>
          <w:sz w:val="24"/>
          <w:highlight w:val="none"/>
        </w:rPr>
        <w:t>13、严格遵守开标会议纪律，不在开标会场吵闹、滋事，服从工作人员指挥。</w:t>
      </w:r>
    </w:p>
    <w:p>
      <w:pPr>
        <w:spacing w:line="380" w:lineRule="exact"/>
        <w:ind w:firstLine="480" w:firstLineChars="200"/>
        <w:rPr>
          <w:sz w:val="24"/>
          <w:highlight w:val="none"/>
        </w:rPr>
      </w:pPr>
      <w:r>
        <w:rPr>
          <w:sz w:val="24"/>
          <w:highlight w:val="none"/>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380" w:lineRule="exact"/>
        <w:ind w:firstLine="480" w:firstLineChars="200"/>
        <w:rPr>
          <w:sz w:val="24"/>
          <w:highlight w:val="none"/>
        </w:rPr>
      </w:pPr>
      <w:r>
        <w:rPr>
          <w:sz w:val="24"/>
          <w:highlight w:val="none"/>
        </w:rPr>
        <w:t>上述承诺事项已认真逐项核对，均表达我单位真实意见，愿承担任何责任。若有任何弄虚作假内容或未遵守上述约定的，经查实后，愿意放弃投标及中标资格，给采购人造成报价的差额损失的，同意对超过部分予以赔偿。如我单位违反上述承诺事项，无条件接受市财政局或相关监管部门作出的任何管理和处理决定，并自愿承担一切不利的后果。</w:t>
      </w:r>
    </w:p>
    <w:p>
      <w:pPr>
        <w:spacing w:line="380" w:lineRule="exact"/>
        <w:ind w:firstLine="480" w:firstLineChars="200"/>
        <w:rPr>
          <w:sz w:val="24"/>
          <w:highlight w:val="none"/>
        </w:rPr>
      </w:pPr>
    </w:p>
    <w:p>
      <w:pPr>
        <w:spacing w:line="380" w:lineRule="exact"/>
        <w:rPr>
          <w:b/>
          <w:sz w:val="24"/>
          <w:highlight w:val="none"/>
        </w:rPr>
      </w:pPr>
      <w:r>
        <w:rPr>
          <w:rFonts w:hint="eastAsia"/>
          <w:sz w:val="24"/>
          <w:highlight w:val="none"/>
        </w:rPr>
        <w:t>投标人</w:t>
      </w:r>
      <w:r>
        <w:rPr>
          <w:sz w:val="24"/>
          <w:highlight w:val="none"/>
        </w:rPr>
        <w:t>（公章）：    法定代表人或其授权的委托代理人（签字或盖章）：  年   月   日</w:t>
      </w:r>
    </w:p>
    <w:p>
      <w:pPr>
        <w:pStyle w:val="13"/>
        <w:spacing w:line="360" w:lineRule="auto"/>
        <w:rPr>
          <w:rFonts w:ascii="Times New Roman" w:hAnsi="Times New Roman" w:eastAsia="黑体"/>
          <w:b/>
          <w:bCs/>
          <w:kern w:val="0"/>
          <w:sz w:val="36"/>
          <w:szCs w:val="36"/>
          <w:highlight w:val="none"/>
        </w:rPr>
      </w:pPr>
    </w:p>
    <w:p>
      <w:pPr>
        <w:pStyle w:val="13"/>
        <w:spacing w:line="360" w:lineRule="auto"/>
        <w:rPr>
          <w:rFonts w:ascii="Times New Roman" w:hAnsi="Times New Roman"/>
          <w:b/>
          <w:bCs/>
          <w:sz w:val="36"/>
          <w:szCs w:val="36"/>
          <w:highlight w:val="none"/>
        </w:rPr>
      </w:pPr>
      <w:r>
        <w:rPr>
          <w:rFonts w:hAnsi="宋体"/>
          <w:b/>
          <w:bCs/>
          <w:kern w:val="0"/>
          <w:sz w:val="36"/>
          <w:szCs w:val="36"/>
          <w:highlight w:val="none"/>
        </w:rPr>
        <w:t>附件1</w:t>
      </w:r>
      <w:r>
        <w:rPr>
          <w:rFonts w:hint="eastAsia" w:hAnsi="宋体"/>
          <w:b/>
          <w:bCs/>
          <w:kern w:val="0"/>
          <w:sz w:val="36"/>
          <w:szCs w:val="36"/>
          <w:highlight w:val="none"/>
        </w:rPr>
        <w:t>4</w:t>
      </w:r>
      <w:r>
        <w:rPr>
          <w:rFonts w:hAnsi="宋体"/>
          <w:b/>
          <w:bCs/>
          <w:kern w:val="0"/>
          <w:sz w:val="36"/>
          <w:szCs w:val="36"/>
          <w:highlight w:val="none"/>
        </w:rPr>
        <w:t xml:space="preserve"> </w:t>
      </w:r>
      <w:r>
        <w:rPr>
          <w:rFonts w:ascii="Times New Roman" w:hAnsi="Times New Roman"/>
          <w:b/>
          <w:bCs/>
          <w:kern w:val="0"/>
          <w:sz w:val="36"/>
          <w:szCs w:val="36"/>
          <w:highlight w:val="none"/>
        </w:rPr>
        <w:t xml:space="preserve">   其它应提交的资料（加盖单位公章）</w:t>
      </w:r>
    </w:p>
    <w:p>
      <w:pPr>
        <w:widowControl/>
        <w:spacing w:line="360" w:lineRule="auto"/>
        <w:jc w:val="left"/>
        <w:rPr>
          <w:kern w:val="0"/>
          <w:highlight w:val="none"/>
        </w:rPr>
      </w:pPr>
    </w:p>
    <w:p>
      <w:pPr>
        <w:widowControl/>
        <w:spacing w:line="360" w:lineRule="auto"/>
        <w:jc w:val="left"/>
        <w:rPr>
          <w:kern w:val="0"/>
          <w:highlight w:val="none"/>
        </w:rPr>
      </w:pPr>
      <w:r>
        <w:rPr>
          <w:rFonts w:hint="eastAsia"/>
          <w:kern w:val="0"/>
          <w:highlight w:val="none"/>
        </w:rPr>
        <w:t>1、投标人</w:t>
      </w:r>
      <w:r>
        <w:rPr>
          <w:kern w:val="0"/>
          <w:highlight w:val="none"/>
        </w:rPr>
        <w:t>营业执照副本复印件；</w:t>
      </w:r>
    </w:p>
    <w:p>
      <w:pPr>
        <w:widowControl/>
        <w:spacing w:line="360" w:lineRule="auto"/>
        <w:jc w:val="left"/>
        <w:rPr>
          <w:kern w:val="0"/>
          <w:highlight w:val="none"/>
        </w:rPr>
      </w:pPr>
      <w:r>
        <w:rPr>
          <w:rFonts w:hint="eastAsia"/>
          <w:kern w:val="0"/>
          <w:highlight w:val="none"/>
        </w:rPr>
        <w:t>2、</w:t>
      </w:r>
      <w:r>
        <w:rPr>
          <w:kern w:val="0"/>
          <w:highlight w:val="none"/>
        </w:rPr>
        <w:t>道路运输许可证复印件；</w:t>
      </w:r>
    </w:p>
    <w:p>
      <w:pPr>
        <w:widowControl/>
        <w:spacing w:line="360" w:lineRule="auto"/>
        <w:jc w:val="left"/>
        <w:rPr>
          <w:kern w:val="0"/>
          <w:highlight w:val="none"/>
        </w:rPr>
      </w:pPr>
      <w:r>
        <w:rPr>
          <w:rFonts w:hint="eastAsia"/>
          <w:kern w:val="0"/>
          <w:highlight w:val="none"/>
        </w:rPr>
        <w:t>3、</w:t>
      </w:r>
      <w:r>
        <w:rPr>
          <w:kern w:val="0"/>
          <w:highlight w:val="none"/>
        </w:rPr>
        <w:t>用于清运车辆的行驶证复印件；</w:t>
      </w:r>
    </w:p>
    <w:p>
      <w:pPr>
        <w:pStyle w:val="13"/>
        <w:adjustRightInd w:val="0"/>
        <w:snapToGrid w:val="0"/>
        <w:spacing w:line="360" w:lineRule="auto"/>
        <w:rPr>
          <w:rFonts w:ascii="Times New Roman" w:hAnsi="Times New Roman"/>
          <w:kern w:val="0"/>
          <w:sz w:val="24"/>
          <w:highlight w:val="none"/>
        </w:rPr>
      </w:pPr>
      <w:r>
        <w:rPr>
          <w:rFonts w:ascii="Times New Roman" w:hAnsi="Times New Roman"/>
          <w:kern w:val="0"/>
          <w:sz w:val="24"/>
          <w:highlight w:val="none"/>
        </w:rPr>
        <w:t>4、企业人员的养老保险清单复印件（</w:t>
      </w:r>
      <w:r>
        <w:rPr>
          <w:rFonts w:hint="eastAsia" w:ascii="Times New Roman" w:hAnsi="Times New Roman"/>
          <w:color w:val="000000"/>
          <w:kern w:val="0"/>
          <w:sz w:val="24"/>
          <w:highlight w:val="none"/>
        </w:rPr>
        <w:t>2020年2月后的连续3个月，</w:t>
      </w:r>
      <w:r>
        <w:rPr>
          <w:rFonts w:ascii="Times New Roman" w:hAnsi="Times New Roman"/>
          <w:kern w:val="0"/>
          <w:sz w:val="24"/>
          <w:highlight w:val="none"/>
        </w:rPr>
        <w:t>至少5人）；</w:t>
      </w:r>
    </w:p>
    <w:p>
      <w:pPr>
        <w:widowControl/>
        <w:spacing w:line="360" w:lineRule="auto"/>
        <w:jc w:val="left"/>
        <w:rPr>
          <w:kern w:val="0"/>
          <w:highlight w:val="none"/>
        </w:rPr>
      </w:pPr>
      <w:r>
        <w:rPr>
          <w:rFonts w:hint="eastAsia"/>
          <w:kern w:val="0"/>
          <w:highlight w:val="none"/>
        </w:rPr>
        <w:t>5、管理</w:t>
      </w:r>
      <w:r>
        <w:rPr>
          <w:kern w:val="0"/>
          <w:highlight w:val="none"/>
        </w:rPr>
        <w:t>人员配置一览表；</w:t>
      </w:r>
    </w:p>
    <w:p>
      <w:pPr>
        <w:widowControl/>
        <w:spacing w:line="360" w:lineRule="auto"/>
        <w:jc w:val="left"/>
        <w:rPr>
          <w:bCs/>
          <w:kern w:val="0"/>
          <w:highlight w:val="none"/>
        </w:rPr>
      </w:pPr>
      <w:r>
        <w:rPr>
          <w:rFonts w:hint="eastAsia"/>
          <w:kern w:val="0"/>
          <w:highlight w:val="none"/>
        </w:rPr>
        <w:t>6、</w:t>
      </w:r>
      <w:r>
        <w:rPr>
          <w:bCs/>
          <w:kern w:val="0"/>
          <w:highlight w:val="none"/>
        </w:rPr>
        <w:t>车辆配备承诺书</w:t>
      </w:r>
      <w:r>
        <w:rPr>
          <w:rFonts w:hint="eastAsia"/>
          <w:highlight w:val="none"/>
        </w:rPr>
        <w:t>；</w:t>
      </w:r>
    </w:p>
    <w:p>
      <w:pPr>
        <w:widowControl/>
        <w:spacing w:line="360" w:lineRule="auto"/>
        <w:jc w:val="left"/>
        <w:rPr>
          <w:highlight w:val="none"/>
        </w:rPr>
      </w:pPr>
      <w:r>
        <w:rPr>
          <w:rFonts w:hint="eastAsia"/>
          <w:kern w:val="0"/>
          <w:highlight w:val="none"/>
        </w:rPr>
        <w:t>7、</w:t>
      </w:r>
      <w:r>
        <w:rPr>
          <w:kern w:val="0"/>
          <w:highlight w:val="none"/>
        </w:rPr>
        <w:t>当前拥有车辆情况表</w:t>
      </w:r>
      <w:r>
        <w:rPr>
          <w:rFonts w:hint="eastAsia"/>
          <w:highlight w:val="none"/>
        </w:rPr>
        <w:t>；</w:t>
      </w:r>
    </w:p>
    <w:p>
      <w:pPr>
        <w:spacing w:line="360" w:lineRule="auto"/>
        <w:rPr>
          <w:rFonts w:ascii="新宋体" w:hAnsi="新宋体" w:eastAsia="新宋体" w:cs="新宋体"/>
          <w:szCs w:val="21"/>
          <w:highlight w:val="none"/>
        </w:rPr>
      </w:pPr>
      <w:r>
        <w:rPr>
          <w:rFonts w:hint="eastAsia" w:ascii="新宋体" w:hAnsi="新宋体" w:eastAsia="新宋体" w:cs="新宋体"/>
          <w:szCs w:val="21"/>
          <w:highlight w:val="none"/>
        </w:rPr>
        <w:t>8、自2017年1月1日以来垃圾清运项目业绩【须提供相应业绩的中标通知书复印件（或中标公告网址打印件）和合同复印件】；</w:t>
      </w:r>
    </w:p>
    <w:p>
      <w:pPr>
        <w:pStyle w:val="185"/>
        <w:ind w:firstLine="0" w:firstLineChars="0"/>
        <w:rPr>
          <w:rFonts w:ascii="新宋体" w:hAnsi="新宋体" w:eastAsia="新宋体" w:cs="宋体"/>
          <w:highlight w:val="none"/>
        </w:rPr>
      </w:pPr>
      <w:r>
        <w:rPr>
          <w:rFonts w:hint="eastAsia" w:ascii="新宋体" w:hAnsi="新宋体" w:eastAsia="新宋体" w:cs="宋体"/>
          <w:highlight w:val="none"/>
          <w:lang w:val="en-US"/>
        </w:rPr>
        <w:t>9、</w:t>
      </w:r>
      <w:r>
        <w:rPr>
          <w:rFonts w:hint="eastAsia" w:ascii="新宋体" w:hAnsi="新宋体" w:eastAsia="新宋体" w:cs="宋体"/>
          <w:highlight w:val="none"/>
        </w:rPr>
        <w:t>按照本项目的性质特点提出目标和建议、现场作业的重点难点等描述形成的总体方案；</w:t>
      </w:r>
    </w:p>
    <w:p>
      <w:pPr>
        <w:pStyle w:val="185"/>
        <w:ind w:firstLine="0" w:firstLineChars="0"/>
        <w:rPr>
          <w:highlight w:val="none"/>
          <w:lang w:val="en-US"/>
        </w:rPr>
      </w:pPr>
      <w:r>
        <w:rPr>
          <w:rFonts w:hint="eastAsia"/>
          <w:highlight w:val="none"/>
          <w:lang w:val="en-US"/>
        </w:rPr>
        <w:t>10、生活垃圾清运方案（包括工作安排、清运路线、收集方案、规章制度等）；</w:t>
      </w:r>
    </w:p>
    <w:p>
      <w:pPr>
        <w:pStyle w:val="185"/>
        <w:ind w:firstLine="0" w:firstLineChars="0"/>
        <w:rPr>
          <w:highlight w:val="none"/>
          <w:lang w:val="en-US"/>
        </w:rPr>
      </w:pPr>
      <w:r>
        <w:rPr>
          <w:rFonts w:hint="eastAsia"/>
          <w:highlight w:val="none"/>
          <w:lang w:val="en-US"/>
        </w:rPr>
        <w:t>11、建筑垃圾废弃物、餐厨垃圾清运方案（包括工作安排、清运路线、收集方案、规章制度等）；</w:t>
      </w:r>
    </w:p>
    <w:p>
      <w:pPr>
        <w:pStyle w:val="185"/>
        <w:ind w:firstLine="0" w:firstLineChars="0"/>
        <w:rPr>
          <w:highlight w:val="none"/>
          <w:lang w:val="en-US"/>
        </w:rPr>
      </w:pPr>
      <w:r>
        <w:rPr>
          <w:rFonts w:hint="eastAsia"/>
          <w:highlight w:val="none"/>
          <w:lang w:val="en-US"/>
        </w:rPr>
        <w:t>12、工业垃圾清运方案（包括工作安排、清运路线、收集方案、规章制度等）；</w:t>
      </w:r>
    </w:p>
    <w:p>
      <w:pPr>
        <w:pStyle w:val="185"/>
        <w:ind w:firstLine="0" w:firstLineChars="0"/>
        <w:rPr>
          <w:highlight w:val="none"/>
          <w:lang w:val="en-US"/>
        </w:rPr>
      </w:pPr>
      <w:r>
        <w:rPr>
          <w:rFonts w:hint="eastAsia"/>
          <w:highlight w:val="none"/>
          <w:lang w:val="en-US"/>
        </w:rPr>
        <w:t>13、企业内部考核制度；</w:t>
      </w:r>
    </w:p>
    <w:p>
      <w:pPr>
        <w:widowControl/>
        <w:spacing w:line="360" w:lineRule="auto"/>
        <w:jc w:val="left"/>
        <w:rPr>
          <w:kern w:val="0"/>
          <w:highlight w:val="none"/>
        </w:rPr>
      </w:pPr>
      <w:r>
        <w:rPr>
          <w:rFonts w:hint="eastAsia"/>
          <w:highlight w:val="none"/>
        </w:rPr>
        <w:t>14、</w:t>
      </w:r>
      <w:r>
        <w:rPr>
          <w:highlight w:val="none"/>
        </w:rPr>
        <w:t>投标人认为须提供的其他资料。</w:t>
      </w:r>
    </w:p>
    <w:p>
      <w:pPr>
        <w:spacing w:line="480" w:lineRule="auto"/>
        <w:ind w:left="178" w:leftChars="85"/>
        <w:jc w:val="center"/>
        <w:rPr>
          <w:b/>
          <w:sz w:val="44"/>
          <w:szCs w:val="44"/>
          <w:highlight w:val="none"/>
        </w:rPr>
      </w:pPr>
    </w:p>
    <w:p>
      <w:pPr>
        <w:spacing w:line="480" w:lineRule="auto"/>
        <w:ind w:left="178" w:leftChars="85"/>
        <w:jc w:val="center"/>
        <w:rPr>
          <w:b/>
          <w:sz w:val="44"/>
          <w:szCs w:val="44"/>
          <w:highlight w:val="none"/>
        </w:rPr>
      </w:pPr>
    </w:p>
    <w:p>
      <w:pPr>
        <w:spacing w:line="480" w:lineRule="auto"/>
        <w:ind w:left="178" w:leftChars="85"/>
        <w:jc w:val="center"/>
        <w:rPr>
          <w:b/>
          <w:sz w:val="44"/>
          <w:szCs w:val="44"/>
          <w:highlight w:val="none"/>
        </w:rPr>
      </w:pPr>
    </w:p>
    <w:p>
      <w:pPr>
        <w:spacing w:line="480" w:lineRule="auto"/>
        <w:ind w:left="178" w:leftChars="85"/>
        <w:jc w:val="center"/>
        <w:rPr>
          <w:b/>
          <w:sz w:val="44"/>
          <w:szCs w:val="44"/>
          <w:highlight w:val="none"/>
        </w:rPr>
      </w:pPr>
    </w:p>
    <w:p>
      <w:pPr>
        <w:spacing w:line="480" w:lineRule="auto"/>
        <w:ind w:left="178" w:leftChars="85"/>
        <w:jc w:val="center"/>
        <w:rPr>
          <w:b/>
          <w:sz w:val="44"/>
          <w:szCs w:val="44"/>
          <w:highlight w:val="none"/>
        </w:rPr>
      </w:pPr>
    </w:p>
    <w:p>
      <w:pPr>
        <w:spacing w:line="480" w:lineRule="auto"/>
        <w:ind w:left="178" w:leftChars="85"/>
        <w:jc w:val="center"/>
        <w:rPr>
          <w:b/>
          <w:sz w:val="44"/>
          <w:szCs w:val="44"/>
          <w:highlight w:val="none"/>
        </w:rPr>
      </w:pPr>
    </w:p>
    <w:p>
      <w:pPr>
        <w:spacing w:line="480" w:lineRule="auto"/>
        <w:ind w:left="178" w:leftChars="85"/>
        <w:jc w:val="center"/>
        <w:rPr>
          <w:b/>
          <w:sz w:val="44"/>
          <w:szCs w:val="44"/>
          <w:highlight w:val="none"/>
        </w:rPr>
      </w:pPr>
    </w:p>
    <w:p>
      <w:pPr>
        <w:widowControl/>
        <w:spacing w:line="360" w:lineRule="auto"/>
        <w:ind w:firstLine="2700" w:firstLineChars="900"/>
        <w:jc w:val="left"/>
        <w:rPr>
          <w:kern w:val="0"/>
          <w:sz w:val="30"/>
          <w:szCs w:val="20"/>
          <w:highlight w:val="none"/>
        </w:rPr>
      </w:pPr>
    </w:p>
    <w:p>
      <w:pPr>
        <w:pStyle w:val="185"/>
        <w:ind w:firstLine="0" w:firstLineChars="0"/>
        <w:rPr>
          <w:highlight w:val="none"/>
          <w:lang w:val="en-US"/>
        </w:rPr>
      </w:pPr>
    </w:p>
    <w:bookmarkEnd w:id="23"/>
    <w:bookmarkEnd w:id="24"/>
    <w:bookmarkEnd w:id="25"/>
    <w:bookmarkEnd w:id="26"/>
    <w:bookmarkEnd w:id="27"/>
    <w:bookmarkEnd w:id="28"/>
    <w:p>
      <w:pPr>
        <w:widowControl/>
        <w:spacing w:line="360" w:lineRule="auto"/>
        <w:jc w:val="left"/>
        <w:rPr>
          <w:b/>
          <w:bCs/>
          <w:color w:val="333333"/>
          <w:kern w:val="0"/>
          <w:sz w:val="36"/>
          <w:szCs w:val="36"/>
          <w:highlight w:val="none"/>
        </w:rPr>
      </w:pPr>
      <w:r>
        <w:rPr>
          <w:color w:val="333333"/>
          <w:kern w:val="0"/>
          <w:sz w:val="36"/>
          <w:szCs w:val="36"/>
          <w:highlight w:val="none"/>
        </w:rPr>
        <w:t>附件</w:t>
      </w:r>
      <w:r>
        <w:rPr>
          <w:rFonts w:hint="eastAsia"/>
          <w:color w:val="333333"/>
          <w:kern w:val="0"/>
          <w:sz w:val="36"/>
          <w:szCs w:val="36"/>
          <w:highlight w:val="none"/>
        </w:rPr>
        <w:t>15</w:t>
      </w:r>
      <w:r>
        <w:rPr>
          <w:color w:val="333333"/>
          <w:kern w:val="0"/>
          <w:sz w:val="36"/>
          <w:szCs w:val="36"/>
          <w:highlight w:val="none"/>
        </w:rPr>
        <w:t xml:space="preserve">             </w:t>
      </w:r>
      <w:r>
        <w:rPr>
          <w:b/>
          <w:bCs/>
          <w:color w:val="333333"/>
          <w:kern w:val="0"/>
          <w:sz w:val="36"/>
          <w:szCs w:val="36"/>
          <w:highlight w:val="none"/>
        </w:rPr>
        <w:t>车辆配备承诺书</w:t>
      </w:r>
    </w:p>
    <w:p>
      <w:pPr>
        <w:widowControl/>
        <w:spacing w:line="360" w:lineRule="auto"/>
        <w:ind w:firstLine="600" w:firstLineChars="200"/>
        <w:jc w:val="left"/>
        <w:rPr>
          <w:color w:val="333333"/>
          <w:kern w:val="0"/>
          <w:sz w:val="30"/>
          <w:szCs w:val="30"/>
          <w:highlight w:val="none"/>
          <w:u w:val="single"/>
        </w:rPr>
      </w:pPr>
      <w:r>
        <w:rPr>
          <w:color w:val="333333"/>
          <w:kern w:val="0"/>
          <w:sz w:val="30"/>
          <w:szCs w:val="30"/>
          <w:highlight w:val="none"/>
        </w:rPr>
        <w:t xml:space="preserve">                  </w:t>
      </w:r>
    </w:p>
    <w:p>
      <w:pPr>
        <w:spacing w:line="360" w:lineRule="auto"/>
        <w:ind w:firstLine="900" w:firstLineChars="300"/>
        <w:rPr>
          <w:color w:val="FF0000"/>
          <w:kern w:val="0"/>
          <w:sz w:val="30"/>
          <w:szCs w:val="30"/>
          <w:highlight w:val="none"/>
        </w:rPr>
      </w:pPr>
      <w:r>
        <w:rPr>
          <w:color w:val="333333"/>
          <w:kern w:val="0"/>
          <w:sz w:val="30"/>
          <w:szCs w:val="30"/>
          <w:highlight w:val="none"/>
        </w:rPr>
        <w:t>我单位在中标通知书收到后的15个日历日内保证配备以下车辆</w:t>
      </w:r>
      <w:r>
        <w:rPr>
          <w:color w:val="333333"/>
          <w:kern w:val="0"/>
          <w:sz w:val="30"/>
          <w:szCs w:val="30"/>
          <w:highlight w:val="none"/>
          <w:u w:val="single"/>
        </w:rPr>
        <w:t xml:space="preserve">     </w:t>
      </w:r>
      <w:r>
        <w:rPr>
          <w:rFonts w:hint="eastAsia"/>
          <w:color w:val="333333"/>
          <w:kern w:val="0"/>
          <w:sz w:val="30"/>
          <w:szCs w:val="30"/>
          <w:highlight w:val="none"/>
          <w:u w:val="single"/>
        </w:rPr>
        <w:t xml:space="preserve">             </w:t>
      </w:r>
      <w:r>
        <w:rPr>
          <w:color w:val="333333"/>
          <w:kern w:val="0"/>
          <w:sz w:val="30"/>
          <w:szCs w:val="30"/>
          <w:highlight w:val="none"/>
          <w:u w:val="single"/>
        </w:rPr>
        <w:t xml:space="preserve">     </w:t>
      </w:r>
      <w:r>
        <w:rPr>
          <w:color w:val="333333"/>
          <w:kern w:val="0"/>
          <w:sz w:val="30"/>
          <w:szCs w:val="30"/>
          <w:highlight w:val="none"/>
        </w:rPr>
        <w:t>，保证所配备的车辆是本单位名下，并保证投入到本项目的运营，否则我单位愿被视为放弃中标权，并接受有关部门对我单位作出的任何处理。</w:t>
      </w:r>
    </w:p>
    <w:p>
      <w:pPr>
        <w:widowControl/>
        <w:spacing w:line="360" w:lineRule="auto"/>
        <w:jc w:val="left"/>
        <w:rPr>
          <w:color w:val="333333"/>
          <w:kern w:val="0"/>
          <w:sz w:val="24"/>
          <w:highlight w:val="none"/>
        </w:rPr>
      </w:pPr>
      <w:r>
        <w:rPr>
          <w:color w:val="333333"/>
          <w:kern w:val="0"/>
          <w:sz w:val="24"/>
          <w:highlight w:val="none"/>
        </w:rPr>
        <w:t xml:space="preserve">                       </w:t>
      </w:r>
    </w:p>
    <w:p>
      <w:pPr>
        <w:widowControl/>
        <w:spacing w:line="360" w:lineRule="auto"/>
        <w:jc w:val="left"/>
        <w:rPr>
          <w:color w:val="333333"/>
          <w:kern w:val="0"/>
          <w:sz w:val="24"/>
          <w:szCs w:val="20"/>
          <w:highlight w:val="none"/>
        </w:rPr>
      </w:pPr>
    </w:p>
    <w:p>
      <w:pPr>
        <w:widowControl/>
        <w:spacing w:line="360" w:lineRule="auto"/>
        <w:jc w:val="left"/>
        <w:rPr>
          <w:color w:val="333333"/>
          <w:kern w:val="0"/>
          <w:sz w:val="24"/>
          <w:szCs w:val="20"/>
          <w:highlight w:val="none"/>
        </w:rPr>
      </w:pPr>
    </w:p>
    <w:p>
      <w:pPr>
        <w:widowControl/>
        <w:spacing w:line="360" w:lineRule="auto"/>
        <w:ind w:firstLine="5040" w:firstLineChars="2100"/>
        <w:jc w:val="left"/>
        <w:rPr>
          <w:color w:val="333333"/>
          <w:kern w:val="0"/>
          <w:sz w:val="24"/>
          <w:szCs w:val="20"/>
          <w:highlight w:val="none"/>
        </w:rPr>
      </w:pPr>
      <w:r>
        <w:rPr>
          <w:rFonts w:hint="eastAsia"/>
          <w:color w:val="333333"/>
          <w:kern w:val="0"/>
          <w:sz w:val="24"/>
          <w:szCs w:val="20"/>
          <w:highlight w:val="none"/>
        </w:rPr>
        <w:t>投标人</w:t>
      </w:r>
      <w:r>
        <w:rPr>
          <w:color w:val="333333"/>
          <w:kern w:val="0"/>
          <w:sz w:val="24"/>
          <w:szCs w:val="20"/>
          <w:highlight w:val="none"/>
        </w:rPr>
        <w:t>名称（盖章）</w:t>
      </w:r>
      <w:r>
        <w:rPr>
          <w:rFonts w:hint="eastAsia"/>
          <w:color w:val="333333"/>
          <w:kern w:val="0"/>
          <w:sz w:val="24"/>
          <w:szCs w:val="20"/>
          <w:highlight w:val="none"/>
        </w:rPr>
        <w:t>：</w:t>
      </w:r>
      <w:r>
        <w:rPr>
          <w:color w:val="333333"/>
          <w:kern w:val="0"/>
          <w:sz w:val="24"/>
          <w:szCs w:val="20"/>
          <w:highlight w:val="none"/>
          <w:u w:val="single"/>
        </w:rPr>
        <w:t xml:space="preserve">                   </w:t>
      </w:r>
    </w:p>
    <w:p>
      <w:pPr>
        <w:widowControl/>
        <w:spacing w:line="360" w:lineRule="auto"/>
        <w:ind w:firstLine="5160" w:firstLineChars="2150"/>
        <w:jc w:val="left"/>
        <w:rPr>
          <w:color w:val="333333"/>
          <w:kern w:val="0"/>
          <w:sz w:val="24"/>
          <w:highlight w:val="none"/>
          <w:u w:val="single"/>
        </w:rPr>
      </w:pPr>
      <w:r>
        <w:rPr>
          <w:color w:val="333333"/>
          <w:kern w:val="0"/>
          <w:sz w:val="24"/>
          <w:szCs w:val="20"/>
          <w:highlight w:val="none"/>
        </w:rPr>
        <w:t>授权代表签字</w:t>
      </w:r>
      <w:r>
        <w:rPr>
          <w:rFonts w:hint="eastAsia"/>
          <w:color w:val="333333"/>
          <w:kern w:val="0"/>
          <w:sz w:val="24"/>
          <w:szCs w:val="20"/>
          <w:highlight w:val="none"/>
        </w:rPr>
        <w:t>：</w:t>
      </w:r>
      <w:r>
        <w:rPr>
          <w:color w:val="333333"/>
          <w:kern w:val="0"/>
          <w:sz w:val="24"/>
          <w:highlight w:val="none"/>
          <w:u w:val="single"/>
        </w:rPr>
        <w:t xml:space="preserve">                        </w:t>
      </w:r>
    </w:p>
    <w:p>
      <w:pPr>
        <w:widowControl/>
        <w:spacing w:line="360" w:lineRule="auto"/>
        <w:ind w:firstLine="6960" w:firstLineChars="2900"/>
        <w:jc w:val="left"/>
        <w:rPr>
          <w:color w:val="333333"/>
          <w:kern w:val="0"/>
          <w:sz w:val="24"/>
          <w:szCs w:val="20"/>
          <w:highlight w:val="none"/>
        </w:rPr>
      </w:pPr>
      <w:r>
        <w:rPr>
          <w:color w:val="333333"/>
          <w:kern w:val="0"/>
          <w:sz w:val="24"/>
          <w:szCs w:val="20"/>
          <w:highlight w:val="none"/>
        </w:rPr>
        <w:t>年     月     日</w:t>
      </w:r>
    </w:p>
    <w:p>
      <w:pPr>
        <w:widowControl/>
        <w:spacing w:line="360" w:lineRule="auto"/>
        <w:jc w:val="left"/>
        <w:rPr>
          <w:b/>
          <w:bCs/>
          <w:color w:val="333333"/>
          <w:kern w:val="0"/>
          <w:sz w:val="32"/>
          <w:szCs w:val="20"/>
          <w:highlight w:val="none"/>
        </w:rPr>
      </w:pPr>
    </w:p>
    <w:p>
      <w:pPr>
        <w:widowControl/>
        <w:spacing w:line="360" w:lineRule="auto"/>
        <w:jc w:val="left"/>
        <w:rPr>
          <w:color w:val="FF0000"/>
          <w:kern w:val="0"/>
          <w:sz w:val="24"/>
          <w:szCs w:val="20"/>
          <w:highlight w:val="none"/>
        </w:rPr>
      </w:pPr>
    </w:p>
    <w:p>
      <w:pPr>
        <w:widowControl/>
        <w:spacing w:line="360" w:lineRule="auto"/>
        <w:jc w:val="left"/>
        <w:rPr>
          <w:color w:val="FF0000"/>
          <w:kern w:val="0"/>
          <w:sz w:val="24"/>
          <w:szCs w:val="20"/>
          <w:highlight w:val="none"/>
        </w:rPr>
      </w:pPr>
    </w:p>
    <w:p>
      <w:pPr>
        <w:widowControl/>
        <w:spacing w:line="360" w:lineRule="auto"/>
        <w:jc w:val="left"/>
        <w:rPr>
          <w:color w:val="000000"/>
          <w:kern w:val="0"/>
          <w:sz w:val="24"/>
          <w:szCs w:val="20"/>
          <w:highlight w:val="none"/>
        </w:rPr>
      </w:pPr>
    </w:p>
    <w:p>
      <w:pPr>
        <w:widowControl/>
        <w:spacing w:line="360" w:lineRule="auto"/>
        <w:jc w:val="left"/>
        <w:rPr>
          <w:color w:val="333333"/>
          <w:kern w:val="0"/>
          <w:sz w:val="32"/>
          <w:szCs w:val="20"/>
          <w:highlight w:val="none"/>
        </w:rPr>
      </w:pPr>
    </w:p>
    <w:p>
      <w:pPr>
        <w:widowControl/>
        <w:spacing w:line="360" w:lineRule="auto"/>
        <w:jc w:val="left"/>
        <w:rPr>
          <w:color w:val="333333"/>
          <w:kern w:val="0"/>
          <w:sz w:val="32"/>
          <w:szCs w:val="20"/>
          <w:highlight w:val="none"/>
        </w:rPr>
      </w:pPr>
    </w:p>
    <w:p>
      <w:pPr>
        <w:widowControl/>
        <w:spacing w:line="360" w:lineRule="auto"/>
        <w:jc w:val="left"/>
        <w:rPr>
          <w:color w:val="333333"/>
          <w:kern w:val="0"/>
          <w:sz w:val="32"/>
          <w:szCs w:val="20"/>
          <w:highlight w:val="none"/>
        </w:rPr>
      </w:pPr>
    </w:p>
    <w:p>
      <w:pPr>
        <w:widowControl/>
        <w:spacing w:line="360" w:lineRule="auto"/>
        <w:jc w:val="left"/>
        <w:rPr>
          <w:color w:val="333333"/>
          <w:kern w:val="0"/>
          <w:sz w:val="32"/>
          <w:szCs w:val="20"/>
          <w:highlight w:val="none"/>
        </w:rPr>
      </w:pPr>
    </w:p>
    <w:p>
      <w:pPr>
        <w:widowControl/>
        <w:spacing w:line="360" w:lineRule="auto"/>
        <w:jc w:val="left"/>
        <w:rPr>
          <w:color w:val="333333"/>
          <w:kern w:val="0"/>
          <w:sz w:val="32"/>
          <w:szCs w:val="20"/>
          <w:highlight w:val="none"/>
        </w:rPr>
      </w:pPr>
    </w:p>
    <w:p>
      <w:pPr>
        <w:widowControl/>
        <w:tabs>
          <w:tab w:val="left" w:pos="1980"/>
        </w:tabs>
        <w:spacing w:line="360" w:lineRule="auto"/>
        <w:jc w:val="left"/>
        <w:rPr>
          <w:color w:val="000000"/>
          <w:kern w:val="0"/>
          <w:sz w:val="32"/>
          <w:szCs w:val="20"/>
          <w:highlight w:val="none"/>
        </w:rPr>
      </w:pPr>
    </w:p>
    <w:p>
      <w:pPr>
        <w:widowControl/>
        <w:tabs>
          <w:tab w:val="left" w:pos="1980"/>
        </w:tabs>
        <w:spacing w:line="360" w:lineRule="auto"/>
        <w:jc w:val="left"/>
        <w:rPr>
          <w:color w:val="000000"/>
          <w:kern w:val="0"/>
          <w:sz w:val="32"/>
          <w:szCs w:val="20"/>
          <w:highlight w:val="none"/>
        </w:rPr>
      </w:pPr>
    </w:p>
    <w:p>
      <w:pPr>
        <w:widowControl/>
        <w:tabs>
          <w:tab w:val="left" w:pos="1980"/>
        </w:tabs>
        <w:spacing w:line="360" w:lineRule="auto"/>
        <w:jc w:val="left"/>
        <w:rPr>
          <w:b/>
          <w:bCs/>
          <w:color w:val="000000"/>
          <w:kern w:val="0"/>
          <w:sz w:val="36"/>
          <w:szCs w:val="36"/>
          <w:highlight w:val="none"/>
        </w:rPr>
      </w:pPr>
      <w:r>
        <w:rPr>
          <w:color w:val="000000"/>
          <w:kern w:val="0"/>
          <w:sz w:val="32"/>
          <w:szCs w:val="20"/>
          <w:highlight w:val="none"/>
        </w:rPr>
        <w:br w:type="page"/>
      </w:r>
      <w:r>
        <w:rPr>
          <w:b/>
          <w:color w:val="000000"/>
          <w:kern w:val="0"/>
          <w:sz w:val="36"/>
          <w:szCs w:val="36"/>
          <w:highlight w:val="none"/>
        </w:rPr>
        <w:t>附件</w:t>
      </w:r>
      <w:r>
        <w:rPr>
          <w:rFonts w:hint="eastAsia"/>
          <w:b/>
          <w:color w:val="000000"/>
          <w:kern w:val="0"/>
          <w:sz w:val="36"/>
          <w:szCs w:val="36"/>
          <w:highlight w:val="none"/>
        </w:rPr>
        <w:t>16</w:t>
      </w:r>
      <w:r>
        <w:rPr>
          <w:b/>
          <w:color w:val="000000"/>
          <w:kern w:val="0"/>
          <w:sz w:val="36"/>
          <w:szCs w:val="36"/>
          <w:highlight w:val="none"/>
        </w:rPr>
        <w:t xml:space="preserve">           当前拥有车辆情况表</w:t>
      </w:r>
    </w:p>
    <w:tbl>
      <w:tblPr>
        <w:tblStyle w:val="25"/>
        <w:tblpPr w:leftFromText="180" w:rightFromText="180" w:vertAnchor="text" w:horzAnchor="margin"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23"/>
        <w:gridCol w:w="1945"/>
        <w:gridCol w:w="1423"/>
        <w:gridCol w:w="1423"/>
        <w:gridCol w:w="142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8"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序号</w:t>
            </w: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车辆名称</w:t>
            </w: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核载质量或容积</w:t>
            </w: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行驶证号</w:t>
            </w: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车架号</w:t>
            </w: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发动机号</w:t>
            </w: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bCs/>
                <w:color w:val="000000"/>
                <w:kern w:val="0"/>
                <w:sz w:val="24"/>
                <w:szCs w:val="20"/>
                <w:highlight w:val="none"/>
              </w:rPr>
            </w:pPr>
            <w:r>
              <w:rPr>
                <w:bCs/>
                <w:color w:val="000000"/>
                <w:kern w:val="0"/>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8"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trPr>
        <w:tc>
          <w:tcPr>
            <w:tcW w:w="9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94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bCs/>
                <w:color w:val="000000"/>
                <w:kern w:val="0"/>
                <w:sz w:val="24"/>
                <w:szCs w:val="20"/>
                <w:highlight w:val="none"/>
              </w:rPr>
            </w:pPr>
          </w:p>
        </w:tc>
      </w:tr>
    </w:tbl>
    <w:p>
      <w:pPr>
        <w:widowControl/>
        <w:spacing w:line="360" w:lineRule="auto"/>
        <w:jc w:val="left"/>
        <w:rPr>
          <w:bCs/>
          <w:color w:val="000000"/>
          <w:kern w:val="0"/>
          <w:sz w:val="24"/>
          <w:szCs w:val="20"/>
          <w:highlight w:val="none"/>
        </w:rPr>
      </w:pPr>
      <w:r>
        <w:rPr>
          <w:bCs/>
          <w:color w:val="000000"/>
          <w:kern w:val="0"/>
          <w:sz w:val="24"/>
          <w:szCs w:val="21"/>
          <w:highlight w:val="none"/>
        </w:rPr>
        <w:t xml:space="preserve">   </w:t>
      </w:r>
    </w:p>
    <w:p>
      <w:pPr>
        <w:widowControl/>
        <w:spacing w:line="360" w:lineRule="auto"/>
        <w:jc w:val="left"/>
        <w:rPr>
          <w:color w:val="000000"/>
          <w:kern w:val="0"/>
          <w:sz w:val="24"/>
          <w:szCs w:val="20"/>
          <w:highlight w:val="none"/>
        </w:rPr>
      </w:pPr>
    </w:p>
    <w:p>
      <w:pPr>
        <w:widowControl/>
        <w:spacing w:line="360" w:lineRule="auto"/>
        <w:jc w:val="left"/>
        <w:rPr>
          <w:color w:val="000000"/>
          <w:kern w:val="0"/>
          <w:sz w:val="24"/>
          <w:szCs w:val="20"/>
          <w:highlight w:val="none"/>
        </w:rPr>
      </w:pPr>
    </w:p>
    <w:p>
      <w:pPr>
        <w:widowControl/>
        <w:spacing w:line="360" w:lineRule="auto"/>
        <w:jc w:val="left"/>
        <w:rPr>
          <w:color w:val="000000"/>
          <w:kern w:val="0"/>
          <w:sz w:val="24"/>
          <w:szCs w:val="20"/>
          <w:highlight w:val="none"/>
        </w:rPr>
      </w:pPr>
    </w:p>
    <w:p>
      <w:pPr>
        <w:widowControl/>
        <w:spacing w:line="360" w:lineRule="auto"/>
        <w:jc w:val="left"/>
        <w:rPr>
          <w:color w:val="000000"/>
          <w:kern w:val="0"/>
          <w:sz w:val="24"/>
          <w:szCs w:val="20"/>
          <w:highlight w:val="none"/>
        </w:rPr>
      </w:pPr>
    </w:p>
    <w:p>
      <w:pPr>
        <w:widowControl/>
        <w:spacing w:line="360" w:lineRule="auto"/>
        <w:ind w:firstLine="4920" w:firstLineChars="2050"/>
        <w:jc w:val="left"/>
        <w:rPr>
          <w:color w:val="000000"/>
          <w:kern w:val="0"/>
          <w:sz w:val="24"/>
          <w:szCs w:val="20"/>
          <w:highlight w:val="none"/>
        </w:rPr>
      </w:pPr>
      <w:r>
        <w:rPr>
          <w:rFonts w:hint="eastAsia"/>
          <w:color w:val="000000"/>
          <w:kern w:val="0"/>
          <w:sz w:val="24"/>
          <w:szCs w:val="20"/>
          <w:highlight w:val="none"/>
        </w:rPr>
        <w:t>投标人</w:t>
      </w:r>
      <w:r>
        <w:rPr>
          <w:color w:val="000000"/>
          <w:kern w:val="0"/>
          <w:sz w:val="24"/>
          <w:szCs w:val="20"/>
          <w:highlight w:val="none"/>
        </w:rPr>
        <w:t>名称（盖章）</w:t>
      </w:r>
      <w:r>
        <w:rPr>
          <w:rFonts w:hint="eastAsia"/>
          <w:color w:val="000000"/>
          <w:kern w:val="0"/>
          <w:sz w:val="24"/>
          <w:szCs w:val="20"/>
          <w:highlight w:val="none"/>
        </w:rPr>
        <w:t>：</w:t>
      </w:r>
      <w:r>
        <w:rPr>
          <w:color w:val="000000"/>
          <w:kern w:val="0"/>
          <w:sz w:val="24"/>
          <w:szCs w:val="20"/>
          <w:highlight w:val="none"/>
          <w:u w:val="single"/>
        </w:rPr>
        <w:t xml:space="preserve">                   </w:t>
      </w:r>
    </w:p>
    <w:p>
      <w:pPr>
        <w:widowControl/>
        <w:spacing w:line="360" w:lineRule="auto"/>
        <w:ind w:firstLine="5400" w:firstLineChars="2250"/>
        <w:jc w:val="left"/>
        <w:rPr>
          <w:color w:val="000000"/>
          <w:kern w:val="0"/>
          <w:sz w:val="24"/>
          <w:highlight w:val="none"/>
          <w:u w:val="single"/>
        </w:rPr>
      </w:pPr>
      <w:r>
        <w:rPr>
          <w:color w:val="000000"/>
          <w:kern w:val="0"/>
          <w:sz w:val="24"/>
          <w:szCs w:val="20"/>
          <w:highlight w:val="none"/>
        </w:rPr>
        <w:t>授权代表签字</w:t>
      </w:r>
      <w:r>
        <w:rPr>
          <w:rFonts w:hint="eastAsia"/>
          <w:color w:val="000000"/>
          <w:kern w:val="0"/>
          <w:sz w:val="24"/>
          <w:szCs w:val="20"/>
          <w:highlight w:val="none"/>
        </w:rPr>
        <w:t>：</w:t>
      </w:r>
      <w:r>
        <w:rPr>
          <w:color w:val="000000"/>
          <w:kern w:val="0"/>
          <w:sz w:val="24"/>
          <w:highlight w:val="none"/>
          <w:u w:val="single"/>
        </w:rPr>
        <w:t xml:space="preserve">                     </w:t>
      </w:r>
    </w:p>
    <w:p>
      <w:pPr>
        <w:widowControl/>
        <w:spacing w:line="360" w:lineRule="auto"/>
        <w:jc w:val="center"/>
        <w:rPr>
          <w:color w:val="000000"/>
          <w:kern w:val="0"/>
          <w:sz w:val="24"/>
          <w:szCs w:val="20"/>
          <w:highlight w:val="none"/>
        </w:rPr>
      </w:pPr>
      <w:r>
        <w:rPr>
          <w:color w:val="000000"/>
          <w:kern w:val="0"/>
          <w:sz w:val="24"/>
          <w:szCs w:val="20"/>
          <w:highlight w:val="none"/>
        </w:rPr>
        <w:t xml:space="preserve">                                           年     月      日</w:t>
      </w:r>
    </w:p>
    <w:p>
      <w:pPr>
        <w:spacing w:line="340" w:lineRule="exact"/>
        <w:rPr>
          <w:color w:val="FF0000"/>
          <w:sz w:val="28"/>
          <w:szCs w:val="28"/>
          <w:highlight w:val="none"/>
        </w:rPr>
      </w:pPr>
    </w:p>
    <w:sectPr>
      <w:footerReference r:id="rId5" w:type="default"/>
      <w:pgSz w:w="11906" w:h="16838"/>
      <w:pgMar w:top="1134" w:right="1134" w:bottom="1134"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zjaf">
    <w:altName w:val="Times New Roman"/>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ingLiU">
    <w:altName w:val="PMingLiU-ExtB"/>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0</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rPr>
    </w:pPr>
  </w:p>
  <w:p>
    <w:pPr>
      <w:framePr w:wrap="around" w:vAnchor="text" w:hAnchor="page" w:x="1419" w:y="16"/>
      <w:rPr>
        <w:sz w:val="18"/>
      </w:rPr>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4445" r="0" b="5080"/>
              <wp:wrapNone/>
              <wp:docPr id="4" name="直线 2"/>
              <wp:cNvGraphicFramePr/>
              <a:graphic xmlns:a="http://schemas.openxmlformats.org/drawingml/2006/main">
                <a:graphicData uri="http://schemas.microsoft.com/office/word/2010/wordprocessingShape">
                  <wps:wsp>
                    <wps:cNvSp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05pt;height:0pt;width:468pt;z-index:251659264;mso-width-relative:page;mso-height-relative:page;" filled="f" stroked="t" coordsize="21600,21600" o:gfxdata="UEsDBAoAAAAAAIdO4kAAAAAAAAAAAAAAAAAEAAAAZHJzL1BLAwQUAAAACACHTuJAD5wsz9MAAAAG AQAADwAAAGRycy9kb3ducmV2LnhtbE2PzU7DMBCE70i8g7VIXKrWTitFEOL0AOTGhVLEdRsvSUS8 TmP3B56eRRzgODOrmW/L9dkP6khT7ANbyBYGFHETXM+the1LPb8BFROywyEwWfikCOvq8qLEwoUT P9Nxk1olJRwLtNClNBZax6Yjj3ERRmLJ3sPkMYmcWu0mPEm5H/TSmFx77FkWOhzpvqPmY3PwFmL9 Svv6a9bMzNuqDbTcPzw9orXXV5m5A5XonP6O4Qdf0KESpl04sItqsCCPJAvzPAMl6e0qF2P3a+iq 1P/xq29QSwMEFAAAAAgAh07iQO45b1zoAQAA2wMAAA4AAABkcnMvZTJvRG9jLnhtbK1TzY7TMBC+ I/EOlu80admu2KjpHijLBcFKCw8wtZ3Ekv/kcZv2WXgNTlx4nH0Nxk63C8ulB3Jwxp7xN/N9M17d HqxhexVRe9fy+azmTDnhpXZ9y799vXvzjjNM4CQY71TLjwr57fr1q9UYGrXwgzdSRUYgDpsxtHxI KTRVhWJQFnDmg3Lk7Hy0kGgb+0pGGAndmmpR19fV6KMM0QuFSKebyclPiPESQN91WqiNFzurXJpQ ozKQiBIOOiBfl2q7Ton0petQJWZaTkxTWSkJ2du8VusVNH2EMGhxKgEuKeEFJwvaUdIz1AYSsF3U /0BZLaJH36WZ8LaaiBRFiMW8fqHNwwBBFS4kNYaz6Pj/YMXn/X1kWrb8ijMHlhr++P3H489fbJG1 GQM2FPIQ7uNph2Rmoocu2vwnCuxQ9Dye9VSHxAQdLm+u3l7XJLV48lXPF0PE9FF5y7LRcqNdpgoN 7D9homQU+hSSj41jY8tvloslwQHNXUf9JtMGqh1dX+6iN1reaWPyDYz99r2JbA+59+XLlAj3r7Cc ZAM4THHFNU3FoEB+cJKlYyBVHD0GnkuwSnJmFL2dbBEgNAm0uSSSUhtHFWRVJx2ztfXySD3Yhaj7 gZSYlyqzh3pe6j3NZx6qP/cF6flNrn8D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D5wsz9MAAAAG AQAADwAAAAAAAAABACAAAAAiAAAAZHJzL2Rvd25yZXYueG1sUEsBAhQAFAAAAAgAh07iQO45b1zo AQAA2wMAAA4AAAAAAAAAAQAgAAAAIgEAAGRycy9lMm9Eb2MueG1sUEsFBgAAAAAGAAYAWQEAAHwF AAAAAA== ">
              <v:fill on="f" focussize="0,0"/>
              <v:stroke color="#000000" joinstyle="round"/>
              <v:imagedata o:title=""/>
              <o:lock v:ext="edit" aspectratio="f"/>
            </v:line>
          </w:pict>
        </mc:Fallback>
      </mc:AlternateContent>
    </w:r>
    <w:r>
      <w:rPr>
        <w:rFonts w:hint="eastAsia"/>
        <w:sz w:val="18"/>
      </w:rPr>
      <w:t>浙江开平企业管理咨询有限公司招标文件       电话:0579—85317081                传真:0579—85321521</w:t>
    </w:r>
  </w:p>
  <w:p>
    <w:pPr>
      <w:pStyle w:val="17"/>
      <w:framePr w:wrap="around" w:vAnchor="text" w:hAnchor="page" w:x="1419" w:y="16"/>
      <w:rPr>
        <w:rStyle w:val="29"/>
      </w:rPr>
    </w:pPr>
  </w:p>
  <w:p>
    <w:pPr>
      <w:pStyle w:val="17"/>
      <w:framePr w:wrap="around" w:vAnchor="text" w:hAnchor="page" w:x="5919" w:y="181"/>
      <w:rPr>
        <w:rStyle w:val="29"/>
      </w:rPr>
    </w:pPr>
    <w:r>
      <w:fldChar w:fldCharType="begin"/>
    </w:r>
    <w:r>
      <w:rPr>
        <w:rStyle w:val="29"/>
      </w:rPr>
      <w:instrText xml:space="preserve">PAGE  </w:instrText>
    </w:r>
    <w:r>
      <w:fldChar w:fldCharType="separate"/>
    </w:r>
    <w:r>
      <w:rPr>
        <w:rStyle w:val="29"/>
        <w:lang/>
      </w:rPr>
      <w:t>7</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义乌市稠江街道锦都等五个社区2020</w:t>
    </w:r>
    <w:r>
      <w:t>年</w:t>
    </w:r>
    <w:r>
      <w:rPr>
        <w:rFonts w:hint="eastAsia"/>
      </w:rPr>
      <w:t>度清扫保洁服务采购招标文件</w:t>
    </w:r>
  </w:p>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6E6E1"/>
    <w:multiLevelType w:val="singleLevel"/>
    <w:tmpl w:val="1DC6E6E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A3"/>
    <w:rsid w:val="00005953"/>
    <w:rsid w:val="0001005B"/>
    <w:rsid w:val="00010706"/>
    <w:rsid w:val="00012ED1"/>
    <w:rsid w:val="000168B2"/>
    <w:rsid w:val="00016E6F"/>
    <w:rsid w:val="00017E63"/>
    <w:rsid w:val="000241A7"/>
    <w:rsid w:val="0002521F"/>
    <w:rsid w:val="0003261D"/>
    <w:rsid w:val="000333E7"/>
    <w:rsid w:val="00033633"/>
    <w:rsid w:val="00034F2D"/>
    <w:rsid w:val="0003646F"/>
    <w:rsid w:val="00041B51"/>
    <w:rsid w:val="00045316"/>
    <w:rsid w:val="000462C0"/>
    <w:rsid w:val="000463B6"/>
    <w:rsid w:val="0005121F"/>
    <w:rsid w:val="00051D63"/>
    <w:rsid w:val="00052D55"/>
    <w:rsid w:val="000559FB"/>
    <w:rsid w:val="00056586"/>
    <w:rsid w:val="00066F68"/>
    <w:rsid w:val="00072B27"/>
    <w:rsid w:val="00072F40"/>
    <w:rsid w:val="0007391D"/>
    <w:rsid w:val="000756AE"/>
    <w:rsid w:val="00077A42"/>
    <w:rsid w:val="00080943"/>
    <w:rsid w:val="00081B6C"/>
    <w:rsid w:val="000833DE"/>
    <w:rsid w:val="00097841"/>
    <w:rsid w:val="000A6A44"/>
    <w:rsid w:val="000B2312"/>
    <w:rsid w:val="000B2B77"/>
    <w:rsid w:val="000B49B6"/>
    <w:rsid w:val="000B58AE"/>
    <w:rsid w:val="000C6E92"/>
    <w:rsid w:val="000C74E1"/>
    <w:rsid w:val="000D266F"/>
    <w:rsid w:val="000D2D98"/>
    <w:rsid w:val="000D56A5"/>
    <w:rsid w:val="000D7A0D"/>
    <w:rsid w:val="000E04E8"/>
    <w:rsid w:val="000F1BC5"/>
    <w:rsid w:val="000F512C"/>
    <w:rsid w:val="000F5BA1"/>
    <w:rsid w:val="000F720F"/>
    <w:rsid w:val="0010172C"/>
    <w:rsid w:val="00103BB8"/>
    <w:rsid w:val="0010522B"/>
    <w:rsid w:val="00112B5B"/>
    <w:rsid w:val="00113414"/>
    <w:rsid w:val="00116237"/>
    <w:rsid w:val="00116F57"/>
    <w:rsid w:val="00120931"/>
    <w:rsid w:val="00120BF1"/>
    <w:rsid w:val="00122BA9"/>
    <w:rsid w:val="00126784"/>
    <w:rsid w:val="0013338D"/>
    <w:rsid w:val="00135DAF"/>
    <w:rsid w:val="00140018"/>
    <w:rsid w:val="00143665"/>
    <w:rsid w:val="0014451E"/>
    <w:rsid w:val="0014646C"/>
    <w:rsid w:val="001467FD"/>
    <w:rsid w:val="0015039B"/>
    <w:rsid w:val="00152440"/>
    <w:rsid w:val="001529FF"/>
    <w:rsid w:val="0015350A"/>
    <w:rsid w:val="00167623"/>
    <w:rsid w:val="00172A27"/>
    <w:rsid w:val="00173DDB"/>
    <w:rsid w:val="00175BF0"/>
    <w:rsid w:val="001775B8"/>
    <w:rsid w:val="00182308"/>
    <w:rsid w:val="00182600"/>
    <w:rsid w:val="00184E35"/>
    <w:rsid w:val="001902BD"/>
    <w:rsid w:val="00190DB2"/>
    <w:rsid w:val="00194A4E"/>
    <w:rsid w:val="001957B1"/>
    <w:rsid w:val="00195F1C"/>
    <w:rsid w:val="001A1FAA"/>
    <w:rsid w:val="001A50B1"/>
    <w:rsid w:val="001A60DD"/>
    <w:rsid w:val="001A72D0"/>
    <w:rsid w:val="001B308B"/>
    <w:rsid w:val="001B4144"/>
    <w:rsid w:val="001B7B64"/>
    <w:rsid w:val="001C2CF1"/>
    <w:rsid w:val="001C3E43"/>
    <w:rsid w:val="001C687C"/>
    <w:rsid w:val="001D4522"/>
    <w:rsid w:val="001D6E5E"/>
    <w:rsid w:val="001E3DC4"/>
    <w:rsid w:val="001E63F6"/>
    <w:rsid w:val="001E702B"/>
    <w:rsid w:val="001F2012"/>
    <w:rsid w:val="001F57BF"/>
    <w:rsid w:val="001F7410"/>
    <w:rsid w:val="0020167B"/>
    <w:rsid w:val="0020295D"/>
    <w:rsid w:val="0020316A"/>
    <w:rsid w:val="00205586"/>
    <w:rsid w:val="002124B7"/>
    <w:rsid w:val="00215BDE"/>
    <w:rsid w:val="0022615E"/>
    <w:rsid w:val="002268AF"/>
    <w:rsid w:val="00226DFD"/>
    <w:rsid w:val="002273A0"/>
    <w:rsid w:val="00232C9F"/>
    <w:rsid w:val="00245090"/>
    <w:rsid w:val="00247B64"/>
    <w:rsid w:val="0025104C"/>
    <w:rsid w:val="0025448D"/>
    <w:rsid w:val="00257B0C"/>
    <w:rsid w:val="00257E71"/>
    <w:rsid w:val="0026392C"/>
    <w:rsid w:val="00265988"/>
    <w:rsid w:val="00267317"/>
    <w:rsid w:val="00275643"/>
    <w:rsid w:val="002760E4"/>
    <w:rsid w:val="002765AC"/>
    <w:rsid w:val="00284122"/>
    <w:rsid w:val="00284F9A"/>
    <w:rsid w:val="0028564D"/>
    <w:rsid w:val="00285E80"/>
    <w:rsid w:val="00285FC5"/>
    <w:rsid w:val="00286079"/>
    <w:rsid w:val="00290BA5"/>
    <w:rsid w:val="002925F7"/>
    <w:rsid w:val="002A3FC4"/>
    <w:rsid w:val="002A6304"/>
    <w:rsid w:val="002A7164"/>
    <w:rsid w:val="002B1EBC"/>
    <w:rsid w:val="002C5BAA"/>
    <w:rsid w:val="002C7473"/>
    <w:rsid w:val="002D1344"/>
    <w:rsid w:val="002D1F7F"/>
    <w:rsid w:val="002D2E9A"/>
    <w:rsid w:val="002D4CE8"/>
    <w:rsid w:val="002D5483"/>
    <w:rsid w:val="002D7734"/>
    <w:rsid w:val="002E09A5"/>
    <w:rsid w:val="002E4064"/>
    <w:rsid w:val="002E6B86"/>
    <w:rsid w:val="002F2163"/>
    <w:rsid w:val="002F34AD"/>
    <w:rsid w:val="002F54AA"/>
    <w:rsid w:val="002F58E9"/>
    <w:rsid w:val="002F59A3"/>
    <w:rsid w:val="00300BDC"/>
    <w:rsid w:val="00301403"/>
    <w:rsid w:val="00305025"/>
    <w:rsid w:val="00317822"/>
    <w:rsid w:val="003230FE"/>
    <w:rsid w:val="003246CA"/>
    <w:rsid w:val="00324903"/>
    <w:rsid w:val="00325039"/>
    <w:rsid w:val="00336936"/>
    <w:rsid w:val="003456A8"/>
    <w:rsid w:val="00347494"/>
    <w:rsid w:val="00355F22"/>
    <w:rsid w:val="00360F54"/>
    <w:rsid w:val="003612D1"/>
    <w:rsid w:val="00361DA2"/>
    <w:rsid w:val="00373534"/>
    <w:rsid w:val="00376EFD"/>
    <w:rsid w:val="00377C9D"/>
    <w:rsid w:val="0038061F"/>
    <w:rsid w:val="00381F43"/>
    <w:rsid w:val="003861BC"/>
    <w:rsid w:val="003930B3"/>
    <w:rsid w:val="00396735"/>
    <w:rsid w:val="003A47E7"/>
    <w:rsid w:val="003A69D4"/>
    <w:rsid w:val="003B1639"/>
    <w:rsid w:val="003B2BBF"/>
    <w:rsid w:val="003C251A"/>
    <w:rsid w:val="003C26F7"/>
    <w:rsid w:val="003D02AF"/>
    <w:rsid w:val="003D0941"/>
    <w:rsid w:val="003D2B7A"/>
    <w:rsid w:val="003D3252"/>
    <w:rsid w:val="003D3C99"/>
    <w:rsid w:val="003D3FA4"/>
    <w:rsid w:val="003D4DF0"/>
    <w:rsid w:val="003D519B"/>
    <w:rsid w:val="003D7331"/>
    <w:rsid w:val="003E1C0F"/>
    <w:rsid w:val="003E2188"/>
    <w:rsid w:val="003E6997"/>
    <w:rsid w:val="003E7061"/>
    <w:rsid w:val="003E7643"/>
    <w:rsid w:val="003E7990"/>
    <w:rsid w:val="003F0624"/>
    <w:rsid w:val="003F0ADA"/>
    <w:rsid w:val="003F59A8"/>
    <w:rsid w:val="003F7BE8"/>
    <w:rsid w:val="00400168"/>
    <w:rsid w:val="00402912"/>
    <w:rsid w:val="00402E2D"/>
    <w:rsid w:val="004034AE"/>
    <w:rsid w:val="00404378"/>
    <w:rsid w:val="004149FF"/>
    <w:rsid w:val="00416D20"/>
    <w:rsid w:val="004223B0"/>
    <w:rsid w:val="00423F65"/>
    <w:rsid w:val="0042445B"/>
    <w:rsid w:val="00424A2A"/>
    <w:rsid w:val="00426981"/>
    <w:rsid w:val="004311DB"/>
    <w:rsid w:val="00431ED2"/>
    <w:rsid w:val="0043394A"/>
    <w:rsid w:val="004407F5"/>
    <w:rsid w:val="004534EA"/>
    <w:rsid w:val="004542FB"/>
    <w:rsid w:val="00457A60"/>
    <w:rsid w:val="004611F2"/>
    <w:rsid w:val="00464534"/>
    <w:rsid w:val="00475E2D"/>
    <w:rsid w:val="00481403"/>
    <w:rsid w:val="00485A30"/>
    <w:rsid w:val="00485E1A"/>
    <w:rsid w:val="004878F8"/>
    <w:rsid w:val="00490EEA"/>
    <w:rsid w:val="00493B5F"/>
    <w:rsid w:val="004944AD"/>
    <w:rsid w:val="004952A5"/>
    <w:rsid w:val="004A311D"/>
    <w:rsid w:val="004B2EB5"/>
    <w:rsid w:val="004B5C41"/>
    <w:rsid w:val="004C431E"/>
    <w:rsid w:val="004C47CB"/>
    <w:rsid w:val="004C5A2E"/>
    <w:rsid w:val="004C5DB0"/>
    <w:rsid w:val="004E2A39"/>
    <w:rsid w:val="004E2C0A"/>
    <w:rsid w:val="004F1FF6"/>
    <w:rsid w:val="004F4AAE"/>
    <w:rsid w:val="004F7474"/>
    <w:rsid w:val="00502F53"/>
    <w:rsid w:val="0050574B"/>
    <w:rsid w:val="00505EED"/>
    <w:rsid w:val="00506704"/>
    <w:rsid w:val="00507124"/>
    <w:rsid w:val="005071A8"/>
    <w:rsid w:val="005076A0"/>
    <w:rsid w:val="00510F1C"/>
    <w:rsid w:val="0051133D"/>
    <w:rsid w:val="00512A85"/>
    <w:rsid w:val="00512EB9"/>
    <w:rsid w:val="0051339F"/>
    <w:rsid w:val="005207B0"/>
    <w:rsid w:val="005227B9"/>
    <w:rsid w:val="00523A4C"/>
    <w:rsid w:val="00525E1B"/>
    <w:rsid w:val="00526394"/>
    <w:rsid w:val="00527AB5"/>
    <w:rsid w:val="00527F54"/>
    <w:rsid w:val="00534473"/>
    <w:rsid w:val="005350DB"/>
    <w:rsid w:val="00540E45"/>
    <w:rsid w:val="00543CD5"/>
    <w:rsid w:val="00544DF8"/>
    <w:rsid w:val="00544ED7"/>
    <w:rsid w:val="005461F0"/>
    <w:rsid w:val="00546648"/>
    <w:rsid w:val="00547C4C"/>
    <w:rsid w:val="005506B9"/>
    <w:rsid w:val="00551D45"/>
    <w:rsid w:val="00555096"/>
    <w:rsid w:val="00561F64"/>
    <w:rsid w:val="00565541"/>
    <w:rsid w:val="005800AC"/>
    <w:rsid w:val="0058211D"/>
    <w:rsid w:val="00582233"/>
    <w:rsid w:val="005839B1"/>
    <w:rsid w:val="00584791"/>
    <w:rsid w:val="00585446"/>
    <w:rsid w:val="00585AE2"/>
    <w:rsid w:val="00593C9E"/>
    <w:rsid w:val="005941A2"/>
    <w:rsid w:val="005946FA"/>
    <w:rsid w:val="00597E15"/>
    <w:rsid w:val="005A110F"/>
    <w:rsid w:val="005A269A"/>
    <w:rsid w:val="005A29B5"/>
    <w:rsid w:val="005A5449"/>
    <w:rsid w:val="005A6AAE"/>
    <w:rsid w:val="005B186A"/>
    <w:rsid w:val="005B2377"/>
    <w:rsid w:val="005B462B"/>
    <w:rsid w:val="005B47C0"/>
    <w:rsid w:val="005B69B5"/>
    <w:rsid w:val="005C2F23"/>
    <w:rsid w:val="005C30FB"/>
    <w:rsid w:val="005C3721"/>
    <w:rsid w:val="005C4716"/>
    <w:rsid w:val="005C48AB"/>
    <w:rsid w:val="005C50C5"/>
    <w:rsid w:val="005D0F62"/>
    <w:rsid w:val="005E4487"/>
    <w:rsid w:val="005E6271"/>
    <w:rsid w:val="00603C92"/>
    <w:rsid w:val="00603F33"/>
    <w:rsid w:val="006102FD"/>
    <w:rsid w:val="00613DB2"/>
    <w:rsid w:val="0061789D"/>
    <w:rsid w:val="00621E76"/>
    <w:rsid w:val="00624294"/>
    <w:rsid w:val="0062452E"/>
    <w:rsid w:val="006253F0"/>
    <w:rsid w:val="00631021"/>
    <w:rsid w:val="0063276B"/>
    <w:rsid w:val="00632FA6"/>
    <w:rsid w:val="00633A02"/>
    <w:rsid w:val="00633D3C"/>
    <w:rsid w:val="00643612"/>
    <w:rsid w:val="00643DF6"/>
    <w:rsid w:val="00645645"/>
    <w:rsid w:val="00651C8E"/>
    <w:rsid w:val="00657140"/>
    <w:rsid w:val="00657423"/>
    <w:rsid w:val="00657472"/>
    <w:rsid w:val="00657AC2"/>
    <w:rsid w:val="00661929"/>
    <w:rsid w:val="006649AA"/>
    <w:rsid w:val="00667A9B"/>
    <w:rsid w:val="00667BCD"/>
    <w:rsid w:val="00670124"/>
    <w:rsid w:val="00670ADE"/>
    <w:rsid w:val="00672235"/>
    <w:rsid w:val="00672ED7"/>
    <w:rsid w:val="00676525"/>
    <w:rsid w:val="006871EC"/>
    <w:rsid w:val="00687246"/>
    <w:rsid w:val="00691271"/>
    <w:rsid w:val="006937A6"/>
    <w:rsid w:val="00694042"/>
    <w:rsid w:val="00697F48"/>
    <w:rsid w:val="006A6F9C"/>
    <w:rsid w:val="006A7931"/>
    <w:rsid w:val="006B4F3E"/>
    <w:rsid w:val="006C0B6F"/>
    <w:rsid w:val="006C232D"/>
    <w:rsid w:val="006C7788"/>
    <w:rsid w:val="006D1DD0"/>
    <w:rsid w:val="006D503C"/>
    <w:rsid w:val="006D6EC9"/>
    <w:rsid w:val="006E5750"/>
    <w:rsid w:val="006F0577"/>
    <w:rsid w:val="006F15BE"/>
    <w:rsid w:val="006F2811"/>
    <w:rsid w:val="006F3FDB"/>
    <w:rsid w:val="00700F8D"/>
    <w:rsid w:val="00707098"/>
    <w:rsid w:val="00711C98"/>
    <w:rsid w:val="00717F8A"/>
    <w:rsid w:val="00724BC1"/>
    <w:rsid w:val="007277F5"/>
    <w:rsid w:val="0073071A"/>
    <w:rsid w:val="0073712A"/>
    <w:rsid w:val="00737B58"/>
    <w:rsid w:val="007441AB"/>
    <w:rsid w:val="0074732B"/>
    <w:rsid w:val="00747451"/>
    <w:rsid w:val="00751292"/>
    <w:rsid w:val="00753690"/>
    <w:rsid w:val="00753CAB"/>
    <w:rsid w:val="00771278"/>
    <w:rsid w:val="0077196F"/>
    <w:rsid w:val="00773F02"/>
    <w:rsid w:val="007757F2"/>
    <w:rsid w:val="00775C13"/>
    <w:rsid w:val="007776CE"/>
    <w:rsid w:val="00777C74"/>
    <w:rsid w:val="00780D63"/>
    <w:rsid w:val="007852D9"/>
    <w:rsid w:val="00785359"/>
    <w:rsid w:val="0079058E"/>
    <w:rsid w:val="00792046"/>
    <w:rsid w:val="007A0FD9"/>
    <w:rsid w:val="007A320D"/>
    <w:rsid w:val="007A5A7B"/>
    <w:rsid w:val="007A794A"/>
    <w:rsid w:val="007B39A8"/>
    <w:rsid w:val="007C147A"/>
    <w:rsid w:val="007C2335"/>
    <w:rsid w:val="007C58CD"/>
    <w:rsid w:val="007C79DE"/>
    <w:rsid w:val="007D15DD"/>
    <w:rsid w:val="007D2AFE"/>
    <w:rsid w:val="007D3EB3"/>
    <w:rsid w:val="007E2E2F"/>
    <w:rsid w:val="007E598D"/>
    <w:rsid w:val="007F0E26"/>
    <w:rsid w:val="007F2C03"/>
    <w:rsid w:val="00800571"/>
    <w:rsid w:val="00801722"/>
    <w:rsid w:val="00802110"/>
    <w:rsid w:val="00802463"/>
    <w:rsid w:val="00802480"/>
    <w:rsid w:val="008035FF"/>
    <w:rsid w:val="00803BBA"/>
    <w:rsid w:val="008107A1"/>
    <w:rsid w:val="0081253E"/>
    <w:rsid w:val="00813025"/>
    <w:rsid w:val="00816BE1"/>
    <w:rsid w:val="00816FCE"/>
    <w:rsid w:val="00817B13"/>
    <w:rsid w:val="00817E94"/>
    <w:rsid w:val="00825779"/>
    <w:rsid w:val="00827870"/>
    <w:rsid w:val="00827D37"/>
    <w:rsid w:val="00830821"/>
    <w:rsid w:val="00840618"/>
    <w:rsid w:val="00841990"/>
    <w:rsid w:val="00841B1A"/>
    <w:rsid w:val="008433CB"/>
    <w:rsid w:val="0084376E"/>
    <w:rsid w:val="00844281"/>
    <w:rsid w:val="0084534A"/>
    <w:rsid w:val="00851522"/>
    <w:rsid w:val="00852DF5"/>
    <w:rsid w:val="00854599"/>
    <w:rsid w:val="00854A2C"/>
    <w:rsid w:val="0086197D"/>
    <w:rsid w:val="00862A9E"/>
    <w:rsid w:val="008741ED"/>
    <w:rsid w:val="00876CCE"/>
    <w:rsid w:val="0088018A"/>
    <w:rsid w:val="008801C4"/>
    <w:rsid w:val="00880CC7"/>
    <w:rsid w:val="0088141B"/>
    <w:rsid w:val="00881B1C"/>
    <w:rsid w:val="00885D3D"/>
    <w:rsid w:val="008866E3"/>
    <w:rsid w:val="00891BE9"/>
    <w:rsid w:val="008948F5"/>
    <w:rsid w:val="0089555B"/>
    <w:rsid w:val="008A0183"/>
    <w:rsid w:val="008A0BD8"/>
    <w:rsid w:val="008A2782"/>
    <w:rsid w:val="008A3093"/>
    <w:rsid w:val="008A3629"/>
    <w:rsid w:val="008A362E"/>
    <w:rsid w:val="008A3E9E"/>
    <w:rsid w:val="008A4790"/>
    <w:rsid w:val="008A4F56"/>
    <w:rsid w:val="008A70C6"/>
    <w:rsid w:val="008B1AEE"/>
    <w:rsid w:val="008B2A0A"/>
    <w:rsid w:val="008B2FEB"/>
    <w:rsid w:val="008B41E0"/>
    <w:rsid w:val="008B48EA"/>
    <w:rsid w:val="008C4EEC"/>
    <w:rsid w:val="008C50AC"/>
    <w:rsid w:val="008C51B6"/>
    <w:rsid w:val="008C71AB"/>
    <w:rsid w:val="008C7376"/>
    <w:rsid w:val="008D0CA5"/>
    <w:rsid w:val="008D2F26"/>
    <w:rsid w:val="008E2493"/>
    <w:rsid w:val="008E7955"/>
    <w:rsid w:val="008F2087"/>
    <w:rsid w:val="008F2278"/>
    <w:rsid w:val="008F25B5"/>
    <w:rsid w:val="008F2AA8"/>
    <w:rsid w:val="008F30C3"/>
    <w:rsid w:val="008F3F1F"/>
    <w:rsid w:val="008F517C"/>
    <w:rsid w:val="008F53D3"/>
    <w:rsid w:val="008F78F0"/>
    <w:rsid w:val="00902520"/>
    <w:rsid w:val="00904719"/>
    <w:rsid w:val="009063C1"/>
    <w:rsid w:val="009066DC"/>
    <w:rsid w:val="00910773"/>
    <w:rsid w:val="00911F03"/>
    <w:rsid w:val="00916A93"/>
    <w:rsid w:val="00922BC3"/>
    <w:rsid w:val="00924A0D"/>
    <w:rsid w:val="00926422"/>
    <w:rsid w:val="00926A26"/>
    <w:rsid w:val="00926BFD"/>
    <w:rsid w:val="00930270"/>
    <w:rsid w:val="00931FA4"/>
    <w:rsid w:val="0093243A"/>
    <w:rsid w:val="00933B07"/>
    <w:rsid w:val="00937157"/>
    <w:rsid w:val="009415FE"/>
    <w:rsid w:val="00941937"/>
    <w:rsid w:val="00942B32"/>
    <w:rsid w:val="009470D4"/>
    <w:rsid w:val="009471EB"/>
    <w:rsid w:val="009601B3"/>
    <w:rsid w:val="00976AB1"/>
    <w:rsid w:val="00977294"/>
    <w:rsid w:val="00977C76"/>
    <w:rsid w:val="00983803"/>
    <w:rsid w:val="00990679"/>
    <w:rsid w:val="009953B5"/>
    <w:rsid w:val="00995529"/>
    <w:rsid w:val="00995B0F"/>
    <w:rsid w:val="00995DE1"/>
    <w:rsid w:val="009961B6"/>
    <w:rsid w:val="009A4B72"/>
    <w:rsid w:val="009A4D15"/>
    <w:rsid w:val="009A65E2"/>
    <w:rsid w:val="009A6905"/>
    <w:rsid w:val="009B0A1A"/>
    <w:rsid w:val="009B2E6C"/>
    <w:rsid w:val="009B3575"/>
    <w:rsid w:val="009B39E0"/>
    <w:rsid w:val="009C3A15"/>
    <w:rsid w:val="009C715E"/>
    <w:rsid w:val="009D161C"/>
    <w:rsid w:val="009E0A4F"/>
    <w:rsid w:val="009E2372"/>
    <w:rsid w:val="009E5BDE"/>
    <w:rsid w:val="009E62DC"/>
    <w:rsid w:val="009F2D0F"/>
    <w:rsid w:val="009F2EB9"/>
    <w:rsid w:val="009F394E"/>
    <w:rsid w:val="009F3BC9"/>
    <w:rsid w:val="009F54D9"/>
    <w:rsid w:val="009F5E15"/>
    <w:rsid w:val="009F7CFC"/>
    <w:rsid w:val="00A02DEE"/>
    <w:rsid w:val="00A075D8"/>
    <w:rsid w:val="00A10868"/>
    <w:rsid w:val="00A11063"/>
    <w:rsid w:val="00A12C91"/>
    <w:rsid w:val="00A15C7D"/>
    <w:rsid w:val="00A1698D"/>
    <w:rsid w:val="00A17AD6"/>
    <w:rsid w:val="00A2279C"/>
    <w:rsid w:val="00A30E22"/>
    <w:rsid w:val="00A31877"/>
    <w:rsid w:val="00A362A9"/>
    <w:rsid w:val="00A41D70"/>
    <w:rsid w:val="00A449B1"/>
    <w:rsid w:val="00A47326"/>
    <w:rsid w:val="00A51D2F"/>
    <w:rsid w:val="00A53B17"/>
    <w:rsid w:val="00A574E2"/>
    <w:rsid w:val="00A67DFD"/>
    <w:rsid w:val="00A71666"/>
    <w:rsid w:val="00A73C03"/>
    <w:rsid w:val="00A754B8"/>
    <w:rsid w:val="00A7643D"/>
    <w:rsid w:val="00A76DC6"/>
    <w:rsid w:val="00A80D74"/>
    <w:rsid w:val="00A85872"/>
    <w:rsid w:val="00A8675D"/>
    <w:rsid w:val="00A87F5A"/>
    <w:rsid w:val="00A90FF1"/>
    <w:rsid w:val="00A93954"/>
    <w:rsid w:val="00A9463A"/>
    <w:rsid w:val="00A961C9"/>
    <w:rsid w:val="00A97A02"/>
    <w:rsid w:val="00AA0858"/>
    <w:rsid w:val="00AA3A4F"/>
    <w:rsid w:val="00AB0A29"/>
    <w:rsid w:val="00AB4A36"/>
    <w:rsid w:val="00AB4CF3"/>
    <w:rsid w:val="00AB6F74"/>
    <w:rsid w:val="00AB6F7E"/>
    <w:rsid w:val="00AC0537"/>
    <w:rsid w:val="00AC08D3"/>
    <w:rsid w:val="00AC1FE0"/>
    <w:rsid w:val="00AC1FFC"/>
    <w:rsid w:val="00AC37B4"/>
    <w:rsid w:val="00AD1F77"/>
    <w:rsid w:val="00AD3276"/>
    <w:rsid w:val="00AE031C"/>
    <w:rsid w:val="00AE3C64"/>
    <w:rsid w:val="00AE6D99"/>
    <w:rsid w:val="00AE779B"/>
    <w:rsid w:val="00AF01A6"/>
    <w:rsid w:val="00AF0491"/>
    <w:rsid w:val="00AF0A11"/>
    <w:rsid w:val="00AF42FB"/>
    <w:rsid w:val="00AF504D"/>
    <w:rsid w:val="00AF557F"/>
    <w:rsid w:val="00AF5804"/>
    <w:rsid w:val="00AF63E6"/>
    <w:rsid w:val="00AF6BCE"/>
    <w:rsid w:val="00AF70AE"/>
    <w:rsid w:val="00B0072C"/>
    <w:rsid w:val="00B0089B"/>
    <w:rsid w:val="00B056A7"/>
    <w:rsid w:val="00B06414"/>
    <w:rsid w:val="00B065B5"/>
    <w:rsid w:val="00B07BC5"/>
    <w:rsid w:val="00B11372"/>
    <w:rsid w:val="00B11D5F"/>
    <w:rsid w:val="00B137D9"/>
    <w:rsid w:val="00B22C9F"/>
    <w:rsid w:val="00B31FDE"/>
    <w:rsid w:val="00B35450"/>
    <w:rsid w:val="00B37612"/>
    <w:rsid w:val="00B40236"/>
    <w:rsid w:val="00B40C3E"/>
    <w:rsid w:val="00B444FE"/>
    <w:rsid w:val="00B50B12"/>
    <w:rsid w:val="00B563A6"/>
    <w:rsid w:val="00B575F6"/>
    <w:rsid w:val="00B6298C"/>
    <w:rsid w:val="00B63A9C"/>
    <w:rsid w:val="00B661A8"/>
    <w:rsid w:val="00B72337"/>
    <w:rsid w:val="00B72DA7"/>
    <w:rsid w:val="00B85150"/>
    <w:rsid w:val="00B85A7D"/>
    <w:rsid w:val="00B86AFE"/>
    <w:rsid w:val="00B87F14"/>
    <w:rsid w:val="00B90555"/>
    <w:rsid w:val="00B91379"/>
    <w:rsid w:val="00BA040B"/>
    <w:rsid w:val="00BB33BD"/>
    <w:rsid w:val="00BB4B0F"/>
    <w:rsid w:val="00BC0AFF"/>
    <w:rsid w:val="00BC1EB4"/>
    <w:rsid w:val="00BC5BA8"/>
    <w:rsid w:val="00BC5ECA"/>
    <w:rsid w:val="00BD1EEC"/>
    <w:rsid w:val="00BD3B2A"/>
    <w:rsid w:val="00BD527B"/>
    <w:rsid w:val="00BE2912"/>
    <w:rsid w:val="00BE7689"/>
    <w:rsid w:val="00BF1C71"/>
    <w:rsid w:val="00BF1ECA"/>
    <w:rsid w:val="00BF2502"/>
    <w:rsid w:val="00BF59F1"/>
    <w:rsid w:val="00C00046"/>
    <w:rsid w:val="00C02438"/>
    <w:rsid w:val="00C02AA7"/>
    <w:rsid w:val="00C107CC"/>
    <w:rsid w:val="00C115A8"/>
    <w:rsid w:val="00C13313"/>
    <w:rsid w:val="00C16A54"/>
    <w:rsid w:val="00C224EA"/>
    <w:rsid w:val="00C23F94"/>
    <w:rsid w:val="00C24846"/>
    <w:rsid w:val="00C264EB"/>
    <w:rsid w:val="00C2779C"/>
    <w:rsid w:val="00C313B0"/>
    <w:rsid w:val="00C3140D"/>
    <w:rsid w:val="00C33F56"/>
    <w:rsid w:val="00C4112E"/>
    <w:rsid w:val="00C4318F"/>
    <w:rsid w:val="00C4519D"/>
    <w:rsid w:val="00C46056"/>
    <w:rsid w:val="00C47A41"/>
    <w:rsid w:val="00C47BEF"/>
    <w:rsid w:val="00C517DE"/>
    <w:rsid w:val="00C53648"/>
    <w:rsid w:val="00C53A79"/>
    <w:rsid w:val="00C55A5A"/>
    <w:rsid w:val="00C73E8D"/>
    <w:rsid w:val="00C75870"/>
    <w:rsid w:val="00C77D87"/>
    <w:rsid w:val="00C80AF1"/>
    <w:rsid w:val="00C84BBA"/>
    <w:rsid w:val="00C85923"/>
    <w:rsid w:val="00C9123A"/>
    <w:rsid w:val="00C94267"/>
    <w:rsid w:val="00C976B7"/>
    <w:rsid w:val="00C97EFA"/>
    <w:rsid w:val="00CA1919"/>
    <w:rsid w:val="00CA23E0"/>
    <w:rsid w:val="00CA2A56"/>
    <w:rsid w:val="00CA43DF"/>
    <w:rsid w:val="00CA66F8"/>
    <w:rsid w:val="00CA75FB"/>
    <w:rsid w:val="00CA778E"/>
    <w:rsid w:val="00CB0528"/>
    <w:rsid w:val="00CB504E"/>
    <w:rsid w:val="00CB5EF4"/>
    <w:rsid w:val="00CC2E19"/>
    <w:rsid w:val="00CC711B"/>
    <w:rsid w:val="00CD062D"/>
    <w:rsid w:val="00CD3032"/>
    <w:rsid w:val="00CD4312"/>
    <w:rsid w:val="00CD49E8"/>
    <w:rsid w:val="00CD6D0E"/>
    <w:rsid w:val="00CE0DD6"/>
    <w:rsid w:val="00CE10D5"/>
    <w:rsid w:val="00CE26FD"/>
    <w:rsid w:val="00CE4767"/>
    <w:rsid w:val="00CE6BAE"/>
    <w:rsid w:val="00CF2862"/>
    <w:rsid w:val="00CF31BD"/>
    <w:rsid w:val="00CF3CCC"/>
    <w:rsid w:val="00D06550"/>
    <w:rsid w:val="00D0767E"/>
    <w:rsid w:val="00D133CD"/>
    <w:rsid w:val="00D16651"/>
    <w:rsid w:val="00D169DE"/>
    <w:rsid w:val="00D206CB"/>
    <w:rsid w:val="00D23F27"/>
    <w:rsid w:val="00D26F3E"/>
    <w:rsid w:val="00D26FAE"/>
    <w:rsid w:val="00D326F3"/>
    <w:rsid w:val="00D3330E"/>
    <w:rsid w:val="00D35C09"/>
    <w:rsid w:val="00D374BB"/>
    <w:rsid w:val="00D379B8"/>
    <w:rsid w:val="00D421FA"/>
    <w:rsid w:val="00D43120"/>
    <w:rsid w:val="00D56094"/>
    <w:rsid w:val="00D70223"/>
    <w:rsid w:val="00D73BE8"/>
    <w:rsid w:val="00D7666D"/>
    <w:rsid w:val="00D821C5"/>
    <w:rsid w:val="00D829BC"/>
    <w:rsid w:val="00D83F91"/>
    <w:rsid w:val="00D83FD5"/>
    <w:rsid w:val="00D84395"/>
    <w:rsid w:val="00D878F3"/>
    <w:rsid w:val="00D9449D"/>
    <w:rsid w:val="00D956B5"/>
    <w:rsid w:val="00DA1C3D"/>
    <w:rsid w:val="00DA670F"/>
    <w:rsid w:val="00DB50C3"/>
    <w:rsid w:val="00DB61D9"/>
    <w:rsid w:val="00DC257E"/>
    <w:rsid w:val="00DD087E"/>
    <w:rsid w:val="00DD0EE0"/>
    <w:rsid w:val="00DD19B0"/>
    <w:rsid w:val="00DD3EC8"/>
    <w:rsid w:val="00DD7192"/>
    <w:rsid w:val="00DE080F"/>
    <w:rsid w:val="00DE0E13"/>
    <w:rsid w:val="00DF186C"/>
    <w:rsid w:val="00DF5B4D"/>
    <w:rsid w:val="00DF5E2E"/>
    <w:rsid w:val="00E00E30"/>
    <w:rsid w:val="00E02D07"/>
    <w:rsid w:val="00E03D63"/>
    <w:rsid w:val="00E04466"/>
    <w:rsid w:val="00E04FCB"/>
    <w:rsid w:val="00E11D74"/>
    <w:rsid w:val="00E12FEC"/>
    <w:rsid w:val="00E268B1"/>
    <w:rsid w:val="00E275C5"/>
    <w:rsid w:val="00E27965"/>
    <w:rsid w:val="00E30A6E"/>
    <w:rsid w:val="00E31714"/>
    <w:rsid w:val="00E32366"/>
    <w:rsid w:val="00E34C37"/>
    <w:rsid w:val="00E35525"/>
    <w:rsid w:val="00E358AD"/>
    <w:rsid w:val="00E41BA1"/>
    <w:rsid w:val="00E43D94"/>
    <w:rsid w:val="00E44539"/>
    <w:rsid w:val="00E47FE6"/>
    <w:rsid w:val="00E535A9"/>
    <w:rsid w:val="00E55D6B"/>
    <w:rsid w:val="00E55D9C"/>
    <w:rsid w:val="00E618A5"/>
    <w:rsid w:val="00E64958"/>
    <w:rsid w:val="00E70477"/>
    <w:rsid w:val="00E75595"/>
    <w:rsid w:val="00E76B9D"/>
    <w:rsid w:val="00E80890"/>
    <w:rsid w:val="00E87168"/>
    <w:rsid w:val="00E92A31"/>
    <w:rsid w:val="00E9561B"/>
    <w:rsid w:val="00E968B6"/>
    <w:rsid w:val="00EA250B"/>
    <w:rsid w:val="00EA4F16"/>
    <w:rsid w:val="00EA5813"/>
    <w:rsid w:val="00EA6EDC"/>
    <w:rsid w:val="00EB3E06"/>
    <w:rsid w:val="00EB4C02"/>
    <w:rsid w:val="00EC1003"/>
    <w:rsid w:val="00EC50C0"/>
    <w:rsid w:val="00EC7520"/>
    <w:rsid w:val="00ED0932"/>
    <w:rsid w:val="00ED1C21"/>
    <w:rsid w:val="00ED5620"/>
    <w:rsid w:val="00EE097A"/>
    <w:rsid w:val="00EE1B88"/>
    <w:rsid w:val="00EE3875"/>
    <w:rsid w:val="00EF367F"/>
    <w:rsid w:val="00EF44EC"/>
    <w:rsid w:val="00F06E29"/>
    <w:rsid w:val="00F106B6"/>
    <w:rsid w:val="00F211B3"/>
    <w:rsid w:val="00F21922"/>
    <w:rsid w:val="00F22D76"/>
    <w:rsid w:val="00F24E15"/>
    <w:rsid w:val="00F25F64"/>
    <w:rsid w:val="00F26464"/>
    <w:rsid w:val="00F269CF"/>
    <w:rsid w:val="00F313B9"/>
    <w:rsid w:val="00F503C2"/>
    <w:rsid w:val="00F522B9"/>
    <w:rsid w:val="00F5248A"/>
    <w:rsid w:val="00F535DA"/>
    <w:rsid w:val="00F572A4"/>
    <w:rsid w:val="00F5732A"/>
    <w:rsid w:val="00F66199"/>
    <w:rsid w:val="00F77793"/>
    <w:rsid w:val="00F806CE"/>
    <w:rsid w:val="00F808E6"/>
    <w:rsid w:val="00F87351"/>
    <w:rsid w:val="00F956BE"/>
    <w:rsid w:val="00F956CE"/>
    <w:rsid w:val="00F956EA"/>
    <w:rsid w:val="00F96380"/>
    <w:rsid w:val="00FA02A6"/>
    <w:rsid w:val="00FB12CD"/>
    <w:rsid w:val="00FB609A"/>
    <w:rsid w:val="00FC1ED4"/>
    <w:rsid w:val="00FD0049"/>
    <w:rsid w:val="00FD31AD"/>
    <w:rsid w:val="00FD6EEF"/>
    <w:rsid w:val="00FE0C43"/>
    <w:rsid w:val="00FE1C63"/>
    <w:rsid w:val="00FE2777"/>
    <w:rsid w:val="00FF0DAC"/>
    <w:rsid w:val="00FF39CE"/>
    <w:rsid w:val="00FF759B"/>
    <w:rsid w:val="01B756E6"/>
    <w:rsid w:val="028F23FA"/>
    <w:rsid w:val="0772429C"/>
    <w:rsid w:val="0946143E"/>
    <w:rsid w:val="09FE38C4"/>
    <w:rsid w:val="0BCE7A39"/>
    <w:rsid w:val="0C5F4A03"/>
    <w:rsid w:val="0C6B2D68"/>
    <w:rsid w:val="12761592"/>
    <w:rsid w:val="157D6D26"/>
    <w:rsid w:val="15A74DF4"/>
    <w:rsid w:val="165F4DD1"/>
    <w:rsid w:val="16F66920"/>
    <w:rsid w:val="16FB28EE"/>
    <w:rsid w:val="177839E5"/>
    <w:rsid w:val="17CE662F"/>
    <w:rsid w:val="17DE6E5D"/>
    <w:rsid w:val="19A76466"/>
    <w:rsid w:val="1A366CC3"/>
    <w:rsid w:val="1B9F291D"/>
    <w:rsid w:val="1D342737"/>
    <w:rsid w:val="1D617291"/>
    <w:rsid w:val="1E4D1316"/>
    <w:rsid w:val="1E6768DC"/>
    <w:rsid w:val="1FBA1900"/>
    <w:rsid w:val="22506D3E"/>
    <w:rsid w:val="25E14F44"/>
    <w:rsid w:val="26F60BD8"/>
    <w:rsid w:val="281F1ACB"/>
    <w:rsid w:val="29E517A7"/>
    <w:rsid w:val="2A0027C0"/>
    <w:rsid w:val="2A8418C1"/>
    <w:rsid w:val="2AC1402D"/>
    <w:rsid w:val="2AEC1FE7"/>
    <w:rsid w:val="2B183068"/>
    <w:rsid w:val="2CF333F3"/>
    <w:rsid w:val="2E58203E"/>
    <w:rsid w:val="2FE61124"/>
    <w:rsid w:val="3160380F"/>
    <w:rsid w:val="32D172FF"/>
    <w:rsid w:val="33A66A74"/>
    <w:rsid w:val="37074803"/>
    <w:rsid w:val="391B3233"/>
    <w:rsid w:val="3A9B7CB9"/>
    <w:rsid w:val="3CA46C58"/>
    <w:rsid w:val="3F1E252B"/>
    <w:rsid w:val="42E04EE5"/>
    <w:rsid w:val="450C3E89"/>
    <w:rsid w:val="46D74602"/>
    <w:rsid w:val="47C5267E"/>
    <w:rsid w:val="49211FF0"/>
    <w:rsid w:val="4E0D0DA8"/>
    <w:rsid w:val="4E466B47"/>
    <w:rsid w:val="4FC82452"/>
    <w:rsid w:val="5121136D"/>
    <w:rsid w:val="52E06DE4"/>
    <w:rsid w:val="586B4370"/>
    <w:rsid w:val="58C246FC"/>
    <w:rsid w:val="58D73CC7"/>
    <w:rsid w:val="599F4F11"/>
    <w:rsid w:val="5CE00F52"/>
    <w:rsid w:val="5D57321B"/>
    <w:rsid w:val="64057FA6"/>
    <w:rsid w:val="645353F2"/>
    <w:rsid w:val="64586DD5"/>
    <w:rsid w:val="67CA0488"/>
    <w:rsid w:val="6B100428"/>
    <w:rsid w:val="6C77517C"/>
    <w:rsid w:val="6D984293"/>
    <w:rsid w:val="71740303"/>
    <w:rsid w:val="71AF4286"/>
    <w:rsid w:val="738521FE"/>
    <w:rsid w:val="75A37DBE"/>
    <w:rsid w:val="76E43351"/>
    <w:rsid w:val="79481C90"/>
    <w:rsid w:val="7B3A0150"/>
    <w:rsid w:val="7C300DD0"/>
    <w:rsid w:val="7C4A7B2D"/>
    <w:rsid w:val="7D02123B"/>
    <w:rsid w:val="7FE16F5E"/>
    <w:rsid w:val="7FEB41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120" w:after="120"/>
      <w:jc w:val="left"/>
      <w:outlineLvl w:val="2"/>
    </w:pPr>
    <w:rPr>
      <w:b/>
      <w:bCs/>
      <w:sz w:val="24"/>
      <w:szCs w:val="32"/>
    </w:rPr>
  </w:style>
  <w:style w:type="character" w:default="1" w:styleId="27">
    <w:name w:val="Default Paragraph Font"/>
    <w:unhideWhenUsed/>
    <w:uiPriority w:val="1"/>
  </w:style>
  <w:style w:type="table" w:default="1" w:styleId="25">
    <w:name w:val="Normal Table"/>
    <w:unhideWhenUsed/>
    <w:qFormat/>
    <w:uiPriority w:val="99"/>
    <w:tblPr>
      <w:tblStyle w:val="25"/>
      <w:tblCellMar>
        <w:top w:w="0" w:type="dxa"/>
        <w:left w:w="108" w:type="dxa"/>
        <w:bottom w:w="0" w:type="dxa"/>
        <w:right w:w="108" w:type="dxa"/>
      </w:tblCellMar>
    </w:tblPr>
  </w:style>
  <w:style w:type="paragraph" w:styleId="5">
    <w:name w:val="Normal Indent"/>
    <w:basedOn w:val="1"/>
    <w:uiPriority w:val="0"/>
    <w:pPr>
      <w:ind w:firstLine="420"/>
    </w:pPr>
    <w:rPr>
      <w:szCs w:val="20"/>
    </w:rPr>
  </w:style>
  <w:style w:type="paragraph" w:styleId="6">
    <w:name w:val="Document Map"/>
    <w:basedOn w:val="1"/>
    <w:semiHidden/>
    <w:uiPriority w:val="0"/>
    <w:pPr>
      <w:shd w:val="clear" w:color="auto" w:fill="000080"/>
    </w:pPr>
    <w:rPr>
      <w:sz w:val="24"/>
    </w:rPr>
  </w:style>
  <w:style w:type="paragraph" w:styleId="7">
    <w:name w:val="annotation text"/>
    <w:basedOn w:val="1"/>
    <w:link w:val="41"/>
    <w:uiPriority w:val="0"/>
    <w:pPr>
      <w:jc w:val="left"/>
    </w:pPr>
    <w:rPr>
      <w:sz w:val="24"/>
    </w:rPr>
  </w:style>
  <w:style w:type="paragraph" w:styleId="8">
    <w:name w:val="Body Text 3"/>
    <w:basedOn w:val="1"/>
    <w:uiPriority w:val="0"/>
    <w:pPr>
      <w:autoSpaceDE w:val="0"/>
      <w:autoSpaceDN w:val="0"/>
      <w:spacing w:line="360" w:lineRule="auto"/>
    </w:pPr>
    <w:rPr>
      <w:sz w:val="24"/>
      <w:szCs w:val="21"/>
    </w:rPr>
  </w:style>
  <w:style w:type="paragraph" w:styleId="9">
    <w:name w:val="Body Text"/>
    <w:basedOn w:val="1"/>
    <w:link w:val="33"/>
    <w:uiPriority w:val="0"/>
    <w:rPr>
      <w:sz w:val="24"/>
    </w:rPr>
  </w:style>
  <w:style w:type="paragraph" w:styleId="10">
    <w:name w:val="Body Text Indent"/>
    <w:basedOn w:val="1"/>
    <w:uiPriority w:val="0"/>
    <w:pPr>
      <w:spacing w:after="120"/>
      <w:ind w:left="420" w:leftChars="200"/>
    </w:pPr>
  </w:style>
  <w:style w:type="paragraph" w:styleId="11">
    <w:name w:val="List 2"/>
    <w:basedOn w:val="1"/>
    <w:uiPriority w:val="0"/>
    <w:pPr>
      <w:widowControl/>
      <w:ind w:left="100" w:leftChars="200" w:hanging="200" w:hangingChars="200"/>
    </w:pPr>
    <w:rPr>
      <w:szCs w:val="20"/>
    </w:rPr>
  </w:style>
  <w:style w:type="paragraph" w:styleId="12">
    <w:name w:val="toc 3"/>
    <w:basedOn w:val="1"/>
    <w:next w:val="1"/>
    <w:uiPriority w:val="0"/>
    <w:pPr>
      <w:ind w:left="840" w:leftChars="400"/>
    </w:pPr>
    <w:rPr>
      <w:sz w:val="24"/>
    </w:rPr>
  </w:style>
  <w:style w:type="paragraph" w:styleId="13">
    <w:name w:val="Plain Text"/>
    <w:basedOn w:val="1"/>
    <w:link w:val="34"/>
    <w:qFormat/>
    <w:uiPriority w:val="0"/>
    <w:rPr>
      <w:rFonts w:ascii="宋体" w:hAnsi="Courier New"/>
      <w:szCs w:val="20"/>
    </w:rPr>
  </w:style>
  <w:style w:type="paragraph" w:styleId="14">
    <w:name w:val="Date"/>
    <w:basedOn w:val="1"/>
    <w:next w:val="1"/>
    <w:uiPriority w:val="0"/>
    <w:pPr>
      <w:ind w:left="100" w:leftChars="2500"/>
    </w:pPr>
    <w:rPr>
      <w:sz w:val="24"/>
    </w:rPr>
  </w:style>
  <w:style w:type="paragraph" w:styleId="15">
    <w:name w:val="Body Text Indent 2"/>
    <w:basedOn w:val="1"/>
    <w:uiPriority w:val="0"/>
    <w:pPr>
      <w:spacing w:after="120" w:line="480" w:lineRule="auto"/>
      <w:ind w:left="420" w:leftChars="200"/>
    </w:pPr>
  </w:style>
  <w:style w:type="paragraph" w:styleId="16">
    <w:name w:val="Balloon Text"/>
    <w:basedOn w:val="1"/>
    <w:link w:val="52"/>
    <w:uiPriority w:val="0"/>
    <w:rPr>
      <w:sz w:val="18"/>
      <w:szCs w:val="18"/>
    </w:rPr>
  </w:style>
  <w:style w:type="paragraph" w:styleId="17">
    <w:name w:val="footer"/>
    <w:basedOn w:val="1"/>
    <w:link w:val="36"/>
    <w:uiPriority w:val="99"/>
    <w:pPr>
      <w:tabs>
        <w:tab w:val="center" w:pos="4153"/>
        <w:tab w:val="right" w:pos="8306"/>
      </w:tabs>
      <w:snapToGrid w:val="0"/>
      <w:jc w:val="left"/>
    </w:pPr>
    <w:rPr>
      <w:sz w:val="18"/>
      <w:szCs w:val="18"/>
    </w:rPr>
  </w:style>
  <w:style w:type="paragraph" w:styleId="18">
    <w:name w:val="header"/>
    <w:basedOn w:val="1"/>
    <w:link w:val="43"/>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iPriority w:val="0"/>
    <w:pPr>
      <w:tabs>
        <w:tab w:val="right" w:leader="dot" w:pos="9344"/>
      </w:tabs>
      <w:spacing w:line="360" w:lineRule="auto"/>
    </w:pPr>
    <w:rPr>
      <w:sz w:val="24"/>
    </w:rPr>
  </w:style>
  <w:style w:type="paragraph" w:styleId="20">
    <w:name w:val="List"/>
    <w:basedOn w:val="1"/>
    <w:uiPriority w:val="0"/>
    <w:pPr>
      <w:widowControl/>
      <w:ind w:left="200" w:hanging="200" w:hangingChars="200"/>
    </w:pPr>
    <w:rPr>
      <w:szCs w:val="20"/>
    </w:rPr>
  </w:style>
  <w:style w:type="paragraph" w:styleId="21">
    <w:name w:val="Body Text Indent 3"/>
    <w:basedOn w:val="1"/>
    <w:uiPriority w:val="0"/>
    <w:pPr>
      <w:spacing w:after="120"/>
      <w:ind w:left="420" w:leftChars="200"/>
    </w:pPr>
    <w:rPr>
      <w:sz w:val="16"/>
      <w:szCs w:val="16"/>
    </w:rPr>
  </w:style>
  <w:style w:type="paragraph" w:styleId="22">
    <w:name w:val="Body Text 2"/>
    <w:basedOn w:val="1"/>
    <w:uiPriority w:val="0"/>
    <w:pPr>
      <w:spacing w:after="120" w:line="480" w:lineRule="auto"/>
    </w:pPr>
  </w:style>
  <w:style w:type="paragraph" w:styleId="23">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24">
    <w:name w:val="annotation subject"/>
    <w:basedOn w:val="7"/>
    <w:next w:val="7"/>
    <w:link w:val="37"/>
    <w:uiPriority w:val="0"/>
    <w:rPr>
      <w:b/>
      <w:bCs/>
    </w:rPr>
  </w:style>
  <w:style w:type="table" w:styleId="26">
    <w:name w:val="Table Grid"/>
    <w:basedOn w:val="25"/>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uiPriority w:val="0"/>
  </w:style>
  <w:style w:type="character" w:styleId="30">
    <w:name w:val="FollowedHyperlink"/>
    <w:uiPriority w:val="0"/>
    <w:rPr>
      <w:color w:val="800080"/>
      <w:u w:val="single"/>
    </w:rPr>
  </w:style>
  <w:style w:type="character" w:styleId="31">
    <w:name w:val="Hyperlink"/>
    <w:uiPriority w:val="99"/>
    <w:rPr>
      <w:color w:val="0000FF"/>
      <w:u w:val="single"/>
    </w:rPr>
  </w:style>
  <w:style w:type="character" w:styleId="32">
    <w:name w:val="annotation reference"/>
    <w:uiPriority w:val="0"/>
    <w:rPr>
      <w:sz w:val="21"/>
      <w:szCs w:val="21"/>
    </w:rPr>
  </w:style>
  <w:style w:type="character" w:customStyle="1" w:styleId="33">
    <w:name w:val="正文文本 Char"/>
    <w:link w:val="9"/>
    <w:uiPriority w:val="0"/>
    <w:rPr>
      <w:kern w:val="2"/>
      <w:sz w:val="24"/>
      <w:szCs w:val="24"/>
    </w:rPr>
  </w:style>
  <w:style w:type="character" w:customStyle="1" w:styleId="34">
    <w:name w:val="纯文本 Char1"/>
    <w:link w:val="13"/>
    <w:uiPriority w:val="0"/>
    <w:rPr>
      <w:rFonts w:ascii="宋体" w:hAnsi="Courier New" w:eastAsia="宋体"/>
      <w:kern w:val="2"/>
      <w:sz w:val="21"/>
      <w:lang w:val="en-US" w:eastAsia="zh-CN" w:bidi="ar-SA"/>
    </w:rPr>
  </w:style>
  <w:style w:type="character" w:customStyle="1" w:styleId="35">
    <w:name w:val="纯文本 Char Char Char Char Char Char Char Char Char Char"/>
    <w:aliases w:val="纯文本 Char Char Char Char Char Char Char Char Char C Char,纯文本 Char Char Char Char Char Char Char Char Char Char Char Char,纯文本 Char Char Char Char Char Char Char Char Char1"/>
    <w:uiPriority w:val="0"/>
    <w:rPr>
      <w:rFonts w:ascii="宋体" w:hAnsi="Courier New" w:eastAsia="宋体"/>
      <w:sz w:val="21"/>
      <w:szCs w:val="21"/>
      <w:lang w:val="en-US" w:eastAsia="zh-CN" w:bidi="ar-SA"/>
    </w:rPr>
  </w:style>
  <w:style w:type="character" w:customStyle="1" w:styleId="36">
    <w:name w:val="页脚 Char"/>
    <w:link w:val="17"/>
    <w:uiPriority w:val="99"/>
    <w:rPr>
      <w:rFonts w:eastAsia="宋体"/>
      <w:kern w:val="2"/>
      <w:sz w:val="18"/>
      <w:szCs w:val="18"/>
      <w:lang w:val="en-US" w:eastAsia="zh-CN" w:bidi="ar-SA"/>
    </w:rPr>
  </w:style>
  <w:style w:type="character" w:customStyle="1" w:styleId="37">
    <w:name w:val="批注主题 Char"/>
    <w:link w:val="24"/>
    <w:uiPriority w:val="0"/>
    <w:rPr>
      <w:rFonts w:eastAsia="宋体"/>
      <w:b/>
      <w:bCs/>
      <w:kern w:val="2"/>
      <w:sz w:val="24"/>
      <w:szCs w:val="24"/>
      <w:lang w:bidi="ar-SA"/>
    </w:rPr>
  </w:style>
  <w:style w:type="character" w:customStyle="1" w:styleId="38">
    <w:name w:val="zbggmain style9"/>
    <w:basedOn w:val="27"/>
    <w:uiPriority w:val="0"/>
  </w:style>
  <w:style w:type="character" w:customStyle="1" w:styleId="39">
    <w:name w:val="普通文字 Char Char1"/>
    <w:aliases w:val="纯文本 Char Char Char,普通文字 Char Char Char,Texte Char,普通文字 Char Char Char Char Char,0921 Char,小 Char,普通文字1 Char,一般文字 字元 Char,一般文字 字元 字元 字元 字元 Char,一般文字 字元 字元 字元 字元 字元 字元 字元 字元 Char,一般文字 字元 字元 字元 字元 字元 字元 字元 Char,一般文字 字元 字元 字元 Char,普通文字 Char2"/>
    <w:uiPriority w:val="0"/>
    <w:rPr>
      <w:rFonts w:ascii="宋体" w:hAnsi="Courier New" w:eastAsia="宋体"/>
      <w:kern w:val="2"/>
      <w:sz w:val="21"/>
      <w:lang w:val="en-US" w:eastAsia="zh-CN" w:bidi="ar-SA"/>
    </w:rPr>
  </w:style>
  <w:style w:type="character" w:customStyle="1" w:styleId="40">
    <w:name w:val="纯文本 Char"/>
    <w:qFormat/>
    <w:uiPriority w:val="0"/>
    <w:rPr>
      <w:rFonts w:ascii="宋体" w:hAnsi="Courier New" w:eastAsia="宋体"/>
      <w:kern w:val="2"/>
      <w:sz w:val="21"/>
      <w:lang w:val="en-US" w:eastAsia="zh-CN" w:bidi="ar-SA"/>
    </w:rPr>
  </w:style>
  <w:style w:type="character" w:customStyle="1" w:styleId="41">
    <w:name w:val="批注文字 Char"/>
    <w:link w:val="7"/>
    <w:uiPriority w:val="0"/>
    <w:rPr>
      <w:rFonts w:eastAsia="宋体"/>
      <w:kern w:val="2"/>
      <w:sz w:val="24"/>
      <w:szCs w:val="24"/>
      <w:lang w:bidi="ar-SA"/>
    </w:rPr>
  </w:style>
  <w:style w:type="character" w:customStyle="1" w:styleId="42">
    <w:name w:val="content"/>
    <w:basedOn w:val="27"/>
    <w:uiPriority w:val="0"/>
  </w:style>
  <w:style w:type="character" w:customStyle="1" w:styleId="43">
    <w:name w:val="页眉 Char"/>
    <w:link w:val="18"/>
    <w:uiPriority w:val="99"/>
    <w:rPr>
      <w:rFonts w:eastAsia="宋体"/>
      <w:kern w:val="2"/>
      <w:sz w:val="18"/>
      <w:szCs w:val="18"/>
      <w:lang w:val="en-US" w:eastAsia="zh-CN" w:bidi="ar-SA"/>
    </w:rPr>
  </w:style>
  <w:style w:type="character" w:customStyle="1" w:styleId="44">
    <w:name w:val="Char Char"/>
    <w:uiPriority w:val="0"/>
    <w:rPr>
      <w:rFonts w:eastAsia="宋体"/>
      <w:kern w:val="2"/>
      <w:sz w:val="21"/>
      <w:lang w:val="en-US" w:eastAsia="zh-CN" w:bidi="ar-SA"/>
    </w:rPr>
  </w:style>
  <w:style w:type="character" w:customStyle="1" w:styleId="45">
    <w:name w:val="Char Char3"/>
    <w:uiPriority w:val="0"/>
    <w:rPr>
      <w:rFonts w:ascii="宋体" w:hAnsi="Courier New" w:eastAsia="宋体"/>
      <w:kern w:val="2"/>
      <w:sz w:val="21"/>
      <w:lang w:val="en-US" w:eastAsia="zh-CN" w:bidi="ar-SA"/>
    </w:rPr>
  </w:style>
  <w:style w:type="character" w:customStyle="1" w:styleId="46">
    <w:name w:val="zjaf121"/>
    <w:uiPriority w:val="0"/>
    <w:rPr>
      <w:rFonts w:hint="default" w:ascii="zjaf" w:hAnsi="zjaf"/>
      <w:sz w:val="20"/>
    </w:rPr>
  </w:style>
  <w:style w:type="character" w:customStyle="1" w:styleId="47">
    <w:name w:val="标题 2 Char"/>
    <w:uiPriority w:val="0"/>
    <w:rPr>
      <w:rFonts w:ascii="Arial" w:hAnsi="Arial" w:eastAsia="黑体"/>
      <w:b/>
      <w:bCs/>
      <w:kern w:val="2"/>
      <w:sz w:val="32"/>
      <w:szCs w:val="32"/>
    </w:rPr>
  </w:style>
  <w:style w:type="character" w:customStyle="1" w:styleId="48">
    <w:name w:val="无间隔 Char"/>
    <w:link w:val="49"/>
    <w:uiPriority w:val="1"/>
    <w:rPr>
      <w:rFonts w:ascii="Calibri" w:hAnsi="Calibri"/>
      <w:sz w:val="22"/>
      <w:szCs w:val="22"/>
      <w:lang w:val="en-US" w:eastAsia="zh-CN" w:bidi="ar-SA"/>
    </w:rPr>
  </w:style>
  <w:style w:type="paragraph" w:styleId="49">
    <w:name w:val="No Spacing"/>
    <w:link w:val="48"/>
    <w:qFormat/>
    <w:uiPriority w:val="1"/>
    <w:rPr>
      <w:rFonts w:ascii="Calibri" w:hAnsi="Calibri"/>
      <w:sz w:val="22"/>
      <w:szCs w:val="22"/>
      <w:lang w:val="en-US" w:eastAsia="zh-CN" w:bidi="ar-SA"/>
    </w:rPr>
  </w:style>
  <w:style w:type="character" w:customStyle="1" w:styleId="50">
    <w:name w:val="Char Char2"/>
    <w:uiPriority w:val="0"/>
    <w:rPr>
      <w:rFonts w:eastAsia="宋体"/>
      <w:kern w:val="2"/>
      <w:sz w:val="18"/>
      <w:szCs w:val="18"/>
      <w:lang w:val="en-US" w:eastAsia="zh-CN" w:bidi="ar-SA"/>
    </w:rPr>
  </w:style>
  <w:style w:type="character" w:customStyle="1" w:styleId="51">
    <w:name w:val="纯文本 Char2"/>
    <w:uiPriority w:val="0"/>
    <w:rPr>
      <w:rFonts w:ascii="宋体" w:hAnsi="Courier New" w:eastAsia="宋体"/>
      <w:kern w:val="2"/>
      <w:sz w:val="21"/>
      <w:lang w:val="en-US" w:eastAsia="zh-CN" w:bidi="ar-SA"/>
    </w:rPr>
  </w:style>
  <w:style w:type="character" w:customStyle="1" w:styleId="52">
    <w:name w:val="批注框文本 Char"/>
    <w:link w:val="16"/>
    <w:uiPriority w:val="0"/>
    <w:rPr>
      <w:rFonts w:eastAsia="宋体"/>
      <w:kern w:val="2"/>
      <w:sz w:val="18"/>
      <w:szCs w:val="18"/>
      <w:lang w:bidi="ar-SA"/>
    </w:rPr>
  </w:style>
  <w:style w:type="character" w:customStyle="1" w:styleId="53">
    <w:name w:val="apple-style-span"/>
    <w:basedOn w:val="27"/>
    <w:uiPriority w:val="0"/>
  </w:style>
  <w:style w:type="paragraph" w:customStyle="1" w:styleId="54">
    <w:name w:val="xl96"/>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55">
    <w:name w:val="xl6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56">
    <w:name w:val="xl123"/>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Narrow" w:hAnsi="Arial Narrow" w:cs="宋体"/>
      <w:kern w:val="0"/>
      <w:sz w:val="20"/>
      <w:szCs w:val="20"/>
    </w:rPr>
  </w:style>
  <w:style w:type="paragraph" w:customStyle="1" w:styleId="57">
    <w:name w:val="xl142"/>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58">
    <w:name w:val="xl143"/>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59">
    <w:name w:val="xl119"/>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4"/>
    </w:rPr>
  </w:style>
  <w:style w:type="paragraph" w:customStyle="1" w:styleId="60">
    <w:name w:val="Default"/>
    <w:uiPriority w:val="0"/>
    <w:pPr>
      <w:widowControl w:val="0"/>
      <w:autoSpaceDE w:val="0"/>
      <w:autoSpaceDN w:val="0"/>
      <w:adjustRightInd w:val="0"/>
    </w:pPr>
    <w:rPr>
      <w:rFonts w:ascii="Arial" w:hAnsi="Arial" w:cs="Arial"/>
      <w:color w:val="000000"/>
      <w:sz w:val="24"/>
      <w:szCs w:val="24"/>
      <w:lang w:val="en-US" w:eastAsia="zh-CN" w:bidi="ar-SA"/>
    </w:rPr>
  </w:style>
  <w:style w:type="paragraph" w:customStyle="1" w:styleId="61">
    <w:name w:val="font19"/>
    <w:basedOn w:val="1"/>
    <w:uiPriority w:val="0"/>
    <w:pPr>
      <w:widowControl/>
      <w:spacing w:before="100" w:beforeAutospacing="1" w:after="100" w:afterAutospacing="1"/>
      <w:jc w:val="left"/>
    </w:pPr>
    <w:rPr>
      <w:color w:val="FF0000"/>
      <w:kern w:val="0"/>
      <w:sz w:val="20"/>
      <w:szCs w:val="20"/>
    </w:rPr>
  </w:style>
  <w:style w:type="paragraph" w:customStyle="1" w:styleId="62">
    <w:name w:val="xl1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3">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4">
    <w:name w:val="xl156"/>
    <w:basedOn w:val="1"/>
    <w:uiPriority w:val="0"/>
    <w:pPr>
      <w:widowControl/>
      <w:spacing w:before="100" w:beforeAutospacing="1" w:after="100" w:afterAutospacing="1"/>
      <w:jc w:val="left"/>
    </w:pPr>
    <w:rPr>
      <w:rFonts w:ascii="宋体" w:hAnsi="宋体" w:cs="宋体"/>
      <w:color w:val="FF0000"/>
      <w:kern w:val="0"/>
      <w:sz w:val="24"/>
    </w:rPr>
  </w:style>
  <w:style w:type="paragraph" w:customStyle="1" w:styleId="65">
    <w:name w:val="样式9"/>
    <w:basedOn w:val="18"/>
    <w:uiPriority w:val="0"/>
    <w:pPr>
      <w:pBdr>
        <w:bottom w:val="none" w:color="auto" w:sz="0" w:space="0"/>
      </w:pBdr>
      <w:jc w:val="both"/>
    </w:pPr>
    <w:rPr>
      <w:u w:val="thick"/>
    </w:rPr>
  </w:style>
  <w:style w:type="paragraph" w:customStyle="1" w:styleId="66">
    <w:name w:val="Char"/>
    <w:basedOn w:val="1"/>
    <w:uiPriority w:val="0"/>
    <w:rPr>
      <w:szCs w:val="20"/>
    </w:rPr>
  </w:style>
  <w:style w:type="paragraph" w:customStyle="1" w:styleId="67">
    <w:name w:val="Char Char Char Char Char Char Char Char Char"/>
    <w:basedOn w:val="1"/>
    <w:uiPriority w:val="0"/>
  </w:style>
  <w:style w:type="paragraph" w:customStyle="1" w:styleId="68">
    <w:name w:val="xl97"/>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69">
    <w:name w:val="xl16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70">
    <w:name w:val="xl127"/>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71">
    <w:name w:val="xl91"/>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72">
    <w:name w:val="Char Char Char Char1 Char Char Char Char Char Char"/>
    <w:basedOn w:val="6"/>
    <w:uiPriority w:val="0"/>
    <w:pPr>
      <w:spacing w:line="436" w:lineRule="exact"/>
    </w:pPr>
    <w:rPr>
      <w:rFonts w:ascii="Tahoma" w:hAnsi="Tahoma"/>
      <w:b/>
    </w:rPr>
  </w:style>
  <w:style w:type="paragraph" w:customStyle="1" w:styleId="73">
    <w:name w:val="xl7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4"/>
    </w:rPr>
  </w:style>
  <w:style w:type="paragraph" w:customStyle="1" w:styleId="74">
    <w:name w:val="xl16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2"/>
      <w:szCs w:val="22"/>
    </w:rPr>
  </w:style>
  <w:style w:type="paragraph" w:customStyle="1" w:styleId="75">
    <w:name w:val="xl148"/>
    <w:basedOn w:val="1"/>
    <w:uiPriority w:val="0"/>
    <w:pPr>
      <w:widowControl/>
      <w:spacing w:before="100" w:beforeAutospacing="1" w:after="100" w:afterAutospacing="1"/>
      <w:jc w:val="center"/>
    </w:pPr>
    <w:rPr>
      <w:rFonts w:ascii="宋体" w:hAnsi="宋体" w:cs="宋体"/>
      <w:kern w:val="0"/>
      <w:sz w:val="24"/>
    </w:rPr>
  </w:style>
  <w:style w:type="paragraph" w:customStyle="1" w:styleId="76">
    <w:name w:val="xl77"/>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77">
    <w:name w:val="Char Char Char1 Char"/>
    <w:basedOn w:val="1"/>
    <w:uiPriority w:val="0"/>
    <w:pPr>
      <w:adjustRightInd w:val="0"/>
      <w:spacing w:line="312" w:lineRule="atLeast"/>
      <w:textAlignment w:val="baseline"/>
    </w:pPr>
    <w:rPr>
      <w:kern w:val="0"/>
      <w:sz w:val="20"/>
      <w:szCs w:val="20"/>
    </w:rPr>
  </w:style>
  <w:style w:type="paragraph" w:customStyle="1" w:styleId="78">
    <w:name w:val="xl105"/>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79">
    <w:name w:val="xl145"/>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80">
    <w:name w:val="xl6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81">
    <w:name w:val="xl1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Narrow" w:hAnsi="Arial Narrow" w:cs="宋体"/>
      <w:kern w:val="0"/>
      <w:sz w:val="20"/>
      <w:szCs w:val="20"/>
    </w:rPr>
  </w:style>
  <w:style w:type="paragraph" w:customStyle="1" w:styleId="82">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FF0000"/>
      <w:kern w:val="0"/>
      <w:sz w:val="20"/>
      <w:szCs w:val="20"/>
    </w:rPr>
  </w:style>
  <w:style w:type="paragraph" w:customStyle="1" w:styleId="83">
    <w:name w:val="xl7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84">
    <w:name w:val="xl16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FF0000"/>
      <w:kern w:val="0"/>
      <w:sz w:val="20"/>
      <w:szCs w:val="20"/>
    </w:rPr>
  </w:style>
  <w:style w:type="paragraph" w:customStyle="1" w:styleId="85">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86">
    <w:name w:val="xl14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FF0000"/>
      <w:kern w:val="0"/>
      <w:sz w:val="22"/>
      <w:szCs w:val="22"/>
    </w:rPr>
  </w:style>
  <w:style w:type="paragraph" w:customStyle="1" w:styleId="87">
    <w:name w:val="xl12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88">
    <w:name w:val="xl144"/>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4"/>
    </w:rPr>
  </w:style>
  <w:style w:type="paragraph" w:customStyle="1" w:styleId="89">
    <w:name w:val="xl11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4"/>
    </w:rPr>
  </w:style>
  <w:style w:type="paragraph" w:customStyle="1" w:styleId="90">
    <w:name w:val="样式 样式 标题 4 + 非加粗 + (中文) 黑体 段前: 0 磅 段后: 0 磅 行距: 固定值 22 磅"/>
    <w:basedOn w:val="1"/>
    <w:uiPriority w:val="0"/>
    <w:pPr>
      <w:keepNext/>
      <w:keepLines/>
      <w:spacing w:beforeLines="50" w:afterLines="50" w:line="500" w:lineRule="exact"/>
      <w:outlineLvl w:val="3"/>
    </w:pPr>
    <w:rPr>
      <w:rFonts w:ascii="Arial" w:hAnsi="Arial" w:cs="宋体"/>
      <w:b/>
      <w:bCs/>
      <w:sz w:val="24"/>
    </w:rPr>
  </w:style>
  <w:style w:type="paragraph" w:customStyle="1" w:styleId="91">
    <w:name w:val="xl16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2"/>
      <w:szCs w:val="22"/>
    </w:rPr>
  </w:style>
  <w:style w:type="paragraph" w:customStyle="1" w:styleId="92">
    <w:name w:val="font6"/>
    <w:basedOn w:val="1"/>
    <w:uiPriority w:val="0"/>
    <w:pPr>
      <w:widowControl/>
      <w:spacing w:before="100" w:beforeAutospacing="1" w:after="100" w:afterAutospacing="1"/>
      <w:jc w:val="left"/>
    </w:pPr>
    <w:rPr>
      <w:rFonts w:ascii="宋体" w:hAnsi="宋体" w:cs="宋体"/>
      <w:kern w:val="0"/>
      <w:sz w:val="24"/>
    </w:rPr>
  </w:style>
  <w:style w:type="paragraph" w:customStyle="1" w:styleId="93">
    <w:name w:val="Char1"/>
    <w:basedOn w:val="18"/>
    <w:next w:val="18"/>
    <w:uiPriority w:val="0"/>
    <w:pPr>
      <w:snapToGrid/>
      <w:jc w:val="right"/>
    </w:pPr>
    <w:rPr>
      <w:rFonts w:ascii="宋体" w:hAnsi="宋体"/>
      <w:b/>
      <w:sz w:val="21"/>
      <w:szCs w:val="21"/>
    </w:rPr>
  </w:style>
  <w:style w:type="paragraph" w:customStyle="1" w:styleId="94">
    <w:name w:val="xl95"/>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4"/>
    </w:rPr>
  </w:style>
  <w:style w:type="paragraph" w:customStyle="1" w:styleId="95">
    <w:name w:val="xl153"/>
    <w:basedOn w:val="1"/>
    <w:uiPriority w:val="0"/>
    <w:pPr>
      <w:widowControl/>
      <w:shd w:val="clear" w:color="auto" w:fill="FFFF00"/>
      <w:spacing w:before="100" w:beforeAutospacing="1" w:after="100" w:afterAutospacing="1"/>
      <w:jc w:val="left"/>
    </w:pPr>
    <w:rPr>
      <w:rFonts w:ascii="宋体" w:hAnsi="宋体" w:cs="宋体"/>
      <w:kern w:val="0"/>
      <w:sz w:val="24"/>
    </w:rPr>
  </w:style>
  <w:style w:type="paragraph" w:customStyle="1" w:styleId="96">
    <w:name w:val="样式 四号 行距: 1.5 倍行距"/>
    <w:basedOn w:val="1"/>
    <w:uiPriority w:val="0"/>
    <w:rPr>
      <w:rFonts w:cs="宋体"/>
      <w:sz w:val="24"/>
      <w:szCs w:val="20"/>
    </w:rPr>
  </w:style>
  <w:style w:type="paragraph" w:customStyle="1" w:styleId="97">
    <w:name w:val="xl122"/>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kern w:val="0"/>
      <w:sz w:val="24"/>
    </w:rPr>
  </w:style>
  <w:style w:type="paragraph" w:customStyle="1" w:styleId="98">
    <w:name w:val="Char Char Char4 Char Char Char Char Char Char Char Char Char Char Char Char Char Char Char Char Char Char Char Char Char Char Char Char"/>
    <w:basedOn w:val="1"/>
    <w:uiPriority w:val="0"/>
  </w:style>
  <w:style w:type="paragraph" w:customStyle="1" w:styleId="99">
    <w:name w:val="font14"/>
    <w:basedOn w:val="1"/>
    <w:uiPriority w:val="0"/>
    <w:pPr>
      <w:widowControl/>
      <w:spacing w:before="100" w:beforeAutospacing="1" w:after="100" w:afterAutospacing="1"/>
      <w:jc w:val="left"/>
    </w:pPr>
    <w:rPr>
      <w:kern w:val="0"/>
      <w:sz w:val="20"/>
      <w:szCs w:val="20"/>
    </w:rPr>
  </w:style>
  <w:style w:type="paragraph" w:customStyle="1" w:styleId="100">
    <w:name w:val="xl107"/>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01">
    <w:name w:val="Char Char Char1 Char Char Char Char Char Char Char Char Char Char Char Char Char Char Char Char"/>
    <w:basedOn w:val="1"/>
    <w:uiPriority w:val="0"/>
    <w:rPr>
      <w:szCs w:val="20"/>
    </w:rPr>
  </w:style>
  <w:style w:type="paragraph" w:customStyle="1" w:styleId="102">
    <w:name w:val="xl109"/>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color w:val="FF0000"/>
      <w:kern w:val="0"/>
      <w:sz w:val="22"/>
      <w:szCs w:val="22"/>
    </w:rPr>
  </w:style>
  <w:style w:type="paragraph" w:customStyle="1" w:styleId="103">
    <w:name w:val="xl1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104">
    <w:name w:val="font10"/>
    <w:basedOn w:val="1"/>
    <w:uiPriority w:val="0"/>
    <w:pPr>
      <w:widowControl/>
      <w:spacing w:before="100" w:beforeAutospacing="1" w:after="100" w:afterAutospacing="1"/>
      <w:jc w:val="left"/>
    </w:pPr>
    <w:rPr>
      <w:rFonts w:ascii="宋体" w:hAnsi="宋体" w:cs="宋体"/>
      <w:b/>
      <w:bCs/>
      <w:kern w:val="0"/>
      <w:sz w:val="24"/>
    </w:rPr>
  </w:style>
  <w:style w:type="paragraph" w:customStyle="1" w:styleId="105">
    <w:name w:val="xl94"/>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06">
    <w:name w:val="font9"/>
    <w:basedOn w:val="1"/>
    <w:uiPriority w:val="0"/>
    <w:pPr>
      <w:widowControl/>
      <w:spacing w:before="100" w:beforeAutospacing="1" w:after="100" w:afterAutospacing="1"/>
      <w:jc w:val="left"/>
    </w:pPr>
    <w:rPr>
      <w:kern w:val="0"/>
      <w:sz w:val="22"/>
      <w:szCs w:val="22"/>
    </w:rPr>
  </w:style>
  <w:style w:type="paragraph" w:customStyle="1" w:styleId="107">
    <w:name w:val="xl151"/>
    <w:basedOn w:val="1"/>
    <w:uiPriority w:val="0"/>
    <w:pPr>
      <w:widowControl/>
      <w:shd w:val="clear" w:color="auto" w:fill="FFFFFF"/>
      <w:spacing w:before="100" w:beforeAutospacing="1" w:after="100" w:afterAutospacing="1"/>
      <w:jc w:val="left"/>
    </w:pPr>
    <w:rPr>
      <w:color w:val="FF0000"/>
      <w:kern w:val="0"/>
      <w:sz w:val="20"/>
      <w:szCs w:val="20"/>
    </w:rPr>
  </w:style>
  <w:style w:type="paragraph" w:customStyle="1" w:styleId="108">
    <w:name w:val="xl168"/>
    <w:basedOn w:val="1"/>
    <w:uiPriority w:val="0"/>
    <w:pPr>
      <w:widowControl/>
      <w:pBdr>
        <w:bottom w:val="single" w:color="auto" w:sz="4" w:space="0"/>
      </w:pBdr>
      <w:shd w:val="clear" w:color="auto" w:fill="FFFFFF"/>
      <w:spacing w:before="100" w:beforeAutospacing="1" w:after="100" w:afterAutospacing="1"/>
      <w:jc w:val="left"/>
      <w:textAlignment w:val="center"/>
    </w:pPr>
    <w:rPr>
      <w:rFonts w:ascii="隶书" w:hAnsi="宋体" w:eastAsia="隶书" w:cs="宋体"/>
      <w:kern w:val="0"/>
      <w:sz w:val="40"/>
      <w:szCs w:val="40"/>
    </w:rPr>
  </w:style>
  <w:style w:type="paragraph" w:customStyle="1" w:styleId="109">
    <w:name w:val="xl13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Narrow" w:hAnsi="Arial Narrow" w:cs="宋体"/>
      <w:kern w:val="0"/>
      <w:sz w:val="20"/>
      <w:szCs w:val="20"/>
    </w:rPr>
  </w:style>
  <w:style w:type="paragraph" w:customStyle="1" w:styleId="110">
    <w:name w:val="font20"/>
    <w:basedOn w:val="1"/>
    <w:uiPriority w:val="0"/>
    <w:pPr>
      <w:widowControl/>
      <w:spacing w:before="100" w:beforeAutospacing="1" w:after="100" w:afterAutospacing="1"/>
      <w:jc w:val="left"/>
    </w:pPr>
    <w:rPr>
      <w:rFonts w:ascii="宋体" w:hAnsi="宋体" w:cs="宋体"/>
      <w:b/>
      <w:bCs/>
      <w:color w:val="FF0000"/>
      <w:kern w:val="0"/>
      <w:sz w:val="20"/>
      <w:szCs w:val="20"/>
    </w:rPr>
  </w:style>
  <w:style w:type="paragraph" w:customStyle="1" w:styleId="111">
    <w:name w:val="Char Char Char1 Char Char Char Char Char Char Char Char Char Char Char Char Char"/>
    <w:basedOn w:val="1"/>
    <w:uiPriority w:val="0"/>
    <w:rPr>
      <w:szCs w:val="20"/>
    </w:rPr>
  </w:style>
  <w:style w:type="paragraph" w:customStyle="1" w:styleId="112">
    <w:name w:val="xl15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2"/>
      <w:szCs w:val="22"/>
    </w:rPr>
  </w:style>
  <w:style w:type="paragraph" w:customStyle="1" w:styleId="113">
    <w:name w:val="样式 正文（首行缩进两字） + 宋体 首行缩进:  0 字符"/>
    <w:basedOn w:val="5"/>
    <w:uiPriority w:val="0"/>
    <w:pPr>
      <w:spacing w:line="460" w:lineRule="exact"/>
      <w:ind w:firstLine="0"/>
    </w:pPr>
    <w:rPr>
      <w:rFonts w:ascii="宋体" w:hAnsi="宋体" w:cs="宋体"/>
      <w:spacing w:val="6"/>
      <w:kern w:val="24"/>
      <w:sz w:val="24"/>
      <w:szCs w:val="24"/>
    </w:rPr>
  </w:style>
  <w:style w:type="paragraph" w:customStyle="1" w:styleId="114">
    <w:name w:val="Char Char3 Char Char"/>
    <w:basedOn w:val="6"/>
    <w:uiPriority w:val="0"/>
    <w:rPr>
      <w:rFonts w:ascii="Tahoma" w:hAnsi="Tahoma"/>
    </w:rPr>
  </w:style>
  <w:style w:type="paragraph" w:customStyle="1" w:styleId="115">
    <w:name w:val="xl7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16">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Narrow" w:hAnsi="Arial Narrow" w:cs="宋体"/>
      <w:kern w:val="0"/>
      <w:sz w:val="20"/>
      <w:szCs w:val="20"/>
    </w:rPr>
  </w:style>
  <w:style w:type="paragraph" w:customStyle="1" w:styleId="117">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18">
    <w:name w:val="xl116"/>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19">
    <w:name w:val="font17"/>
    <w:basedOn w:val="1"/>
    <w:uiPriority w:val="0"/>
    <w:pPr>
      <w:widowControl/>
      <w:spacing w:before="100" w:beforeAutospacing="1" w:after="100" w:afterAutospacing="1"/>
      <w:jc w:val="left"/>
    </w:pPr>
    <w:rPr>
      <w:rFonts w:ascii="宋体" w:hAnsi="宋体" w:cs="宋体"/>
      <w:kern w:val="0"/>
      <w:sz w:val="24"/>
    </w:rPr>
  </w:style>
  <w:style w:type="paragraph" w:customStyle="1" w:styleId="120">
    <w:name w:val="xl150"/>
    <w:basedOn w:val="1"/>
    <w:uiPriority w:val="0"/>
    <w:pPr>
      <w:widowControl/>
      <w:spacing w:before="100" w:beforeAutospacing="1" w:after="100" w:afterAutospacing="1"/>
      <w:jc w:val="left"/>
    </w:pPr>
    <w:rPr>
      <w:rFonts w:ascii="宋体" w:hAnsi="宋体" w:cs="宋体"/>
      <w:color w:val="FF0000"/>
      <w:kern w:val="0"/>
      <w:sz w:val="24"/>
    </w:rPr>
  </w:style>
  <w:style w:type="paragraph" w:customStyle="1" w:styleId="121">
    <w:name w:val="xl15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4"/>
    </w:rPr>
  </w:style>
  <w:style w:type="paragraph" w:customStyle="1" w:styleId="122">
    <w:name w:val="font13"/>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3">
    <w:name w:val="xl10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b/>
      <w:bCs/>
      <w:kern w:val="0"/>
      <w:sz w:val="22"/>
      <w:szCs w:val="22"/>
    </w:rPr>
  </w:style>
  <w:style w:type="paragraph" w:customStyle="1" w:styleId="124">
    <w:name w:val="xl101"/>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25">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4"/>
    </w:rPr>
  </w:style>
  <w:style w:type="paragraph" w:customStyle="1" w:styleId="126">
    <w:name w:val="xl112"/>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27">
    <w:name w:val="xl131"/>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Narrow" w:hAnsi="Arial Narrow" w:cs="宋体"/>
      <w:kern w:val="0"/>
      <w:sz w:val="20"/>
      <w:szCs w:val="20"/>
    </w:rPr>
  </w:style>
  <w:style w:type="paragraph" w:customStyle="1" w:styleId="128">
    <w:name w:val="xl149"/>
    <w:basedOn w:val="1"/>
    <w:uiPriority w:val="0"/>
    <w:pPr>
      <w:widowControl/>
      <w:spacing w:before="100" w:beforeAutospacing="1" w:after="100" w:afterAutospacing="1"/>
      <w:jc w:val="center"/>
    </w:pPr>
    <w:rPr>
      <w:rFonts w:ascii="宋体" w:hAnsi="宋体" w:cs="宋体"/>
      <w:color w:val="FF0000"/>
      <w:kern w:val="0"/>
      <w:sz w:val="24"/>
    </w:rPr>
  </w:style>
  <w:style w:type="paragraph" w:customStyle="1" w:styleId="129">
    <w:name w:val="xl100"/>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30">
    <w:name w:val="xl165"/>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31">
    <w:name w:val="xl87"/>
    <w:basedOn w:val="1"/>
    <w:uiPriority w:val="0"/>
    <w:pPr>
      <w:widowControl/>
      <w:shd w:val="clear" w:color="auto" w:fill="FFFFFF"/>
      <w:spacing w:before="100" w:beforeAutospacing="1" w:after="100" w:afterAutospacing="1"/>
      <w:jc w:val="center"/>
      <w:textAlignment w:val="center"/>
    </w:pPr>
    <w:rPr>
      <w:color w:val="FF0000"/>
      <w:kern w:val="0"/>
      <w:sz w:val="20"/>
      <w:szCs w:val="20"/>
    </w:rPr>
  </w:style>
  <w:style w:type="paragraph" w:customStyle="1" w:styleId="132">
    <w:name w:val="xl15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0"/>
      <w:szCs w:val="20"/>
    </w:rPr>
  </w:style>
  <w:style w:type="paragraph" w:customStyle="1" w:styleId="133">
    <w:name w:val="xl15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134">
    <w:name w:val="xl10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35">
    <w:name w:val="4"/>
    <w:basedOn w:val="1"/>
    <w:next w:val="13"/>
    <w:uiPriority w:val="0"/>
    <w:rPr>
      <w:rFonts w:ascii="宋体" w:hAnsi="Courier New"/>
      <w:szCs w:val="20"/>
    </w:rPr>
  </w:style>
  <w:style w:type="paragraph" w:customStyle="1" w:styleId="136">
    <w:name w:val="xl1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137">
    <w:name w:val="xl7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38">
    <w:name w:val="_Style 7"/>
    <w:basedOn w:val="1"/>
    <w:uiPriority w:val="0"/>
  </w:style>
  <w:style w:type="paragraph" w:customStyle="1" w:styleId="139">
    <w:name w:val="font8"/>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140">
    <w:name w:val="xl132"/>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41">
    <w:name w:val="xl6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42">
    <w:name w:val="_Style 9"/>
    <w:basedOn w:val="1"/>
    <w:uiPriority w:val="0"/>
  </w:style>
  <w:style w:type="paragraph" w:customStyle="1" w:styleId="143">
    <w:name w:val="font22"/>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44">
    <w:name w:val="xl14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45">
    <w:name w:val="xl98"/>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46">
    <w:name w:val="font1"/>
    <w:basedOn w:val="1"/>
    <w:uiPriority w:val="0"/>
    <w:pPr>
      <w:widowControl/>
      <w:spacing w:before="100" w:beforeAutospacing="1" w:after="100" w:afterAutospacing="1"/>
      <w:jc w:val="left"/>
    </w:pPr>
    <w:rPr>
      <w:rFonts w:ascii="宋体" w:hAnsi="宋体" w:cs="宋体"/>
      <w:kern w:val="0"/>
      <w:sz w:val="24"/>
    </w:rPr>
  </w:style>
  <w:style w:type="paragraph" w:customStyle="1" w:styleId="147">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148">
    <w:name w:val="xl8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49">
    <w:name w:val="样式2"/>
    <w:basedOn w:val="1"/>
    <w:uiPriority w:val="0"/>
    <w:pPr>
      <w:adjustRightInd w:val="0"/>
      <w:spacing w:line="410" w:lineRule="atLeast"/>
      <w:jc w:val="left"/>
      <w:textAlignment w:val="baseline"/>
    </w:pPr>
    <w:rPr>
      <w:kern w:val="0"/>
      <w:sz w:val="24"/>
      <w:szCs w:val="20"/>
    </w:rPr>
  </w:style>
  <w:style w:type="paragraph" w:customStyle="1" w:styleId="150">
    <w:name w:val="font5"/>
    <w:basedOn w:val="1"/>
    <w:uiPriority w:val="0"/>
    <w:pPr>
      <w:widowControl/>
      <w:spacing w:before="100" w:beforeAutospacing="1" w:after="100" w:afterAutospacing="1"/>
      <w:jc w:val="left"/>
    </w:pPr>
    <w:rPr>
      <w:kern w:val="0"/>
      <w:sz w:val="24"/>
    </w:rPr>
  </w:style>
  <w:style w:type="paragraph" w:customStyle="1" w:styleId="151">
    <w:name w:val="font15"/>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152">
    <w:name w:val="xl111"/>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53">
    <w:name w:val="xl8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154">
    <w:name w:val="xl140"/>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55">
    <w:name w:val="xl93"/>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56">
    <w:name w:val="xl129"/>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color w:val="FF0000"/>
      <w:kern w:val="0"/>
      <w:sz w:val="22"/>
      <w:szCs w:val="22"/>
    </w:rPr>
  </w:style>
  <w:style w:type="paragraph" w:customStyle="1" w:styleId="157">
    <w:name w:val="xl120"/>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58">
    <w:name w:val="xl125"/>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4"/>
    </w:rPr>
  </w:style>
  <w:style w:type="paragraph" w:customStyle="1" w:styleId="159">
    <w:name w:val="xl8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60">
    <w:name w:val="xl152"/>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b/>
      <w:bCs/>
      <w:kern w:val="0"/>
      <w:sz w:val="20"/>
      <w:szCs w:val="20"/>
    </w:rPr>
  </w:style>
  <w:style w:type="paragraph" w:customStyle="1" w:styleId="161">
    <w:name w:val="WPS Plain"/>
    <w:uiPriority w:val="0"/>
    <w:rPr>
      <w:lang w:val="en-US" w:eastAsia="zh-CN" w:bidi="ar-SA"/>
    </w:rPr>
  </w:style>
  <w:style w:type="paragraph" w:customStyle="1" w:styleId="162">
    <w:name w:val="xl114"/>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63">
    <w:name w:val="样式 标题 2 + (中文) 黑体 四号 黑色"/>
    <w:basedOn w:val="3"/>
    <w:uiPriority w:val="0"/>
    <w:pPr>
      <w:spacing w:line="520" w:lineRule="exact"/>
      <w:jc w:val="left"/>
    </w:pPr>
    <w:rPr>
      <w:color w:val="000000"/>
      <w:kern w:val="24"/>
      <w:sz w:val="28"/>
      <w:szCs w:val="20"/>
    </w:rPr>
  </w:style>
  <w:style w:type="paragraph" w:customStyle="1" w:styleId="164">
    <w:name w:val="xl92"/>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65">
    <w:name w:val="xl13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ˎ̥" w:hAnsi="ˎ̥" w:cs="宋体"/>
      <w:kern w:val="0"/>
      <w:sz w:val="20"/>
      <w:szCs w:val="20"/>
    </w:rPr>
  </w:style>
  <w:style w:type="paragraph" w:customStyle="1" w:styleId="166">
    <w:name w:val="Char Char Char1"/>
    <w:basedOn w:val="1"/>
    <w:uiPriority w:val="0"/>
    <w:rPr>
      <w:rFonts w:ascii="Tahoma" w:hAnsi="Tahoma"/>
      <w:sz w:val="24"/>
      <w:szCs w:val="20"/>
    </w:rPr>
  </w:style>
  <w:style w:type="paragraph" w:customStyle="1" w:styleId="167">
    <w:name w:val="xl133"/>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68">
    <w:name w:val="Char Char Char2 Char"/>
    <w:basedOn w:val="1"/>
    <w:uiPriority w:val="0"/>
    <w:rPr>
      <w:sz w:val="24"/>
    </w:rPr>
  </w:style>
  <w:style w:type="paragraph" w:customStyle="1" w:styleId="169">
    <w:name w:val="xl103"/>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70">
    <w:name w:val="xl71"/>
    <w:basedOn w:val="1"/>
    <w:uiPriority w:val="0"/>
    <w:pPr>
      <w:widowControl/>
      <w:shd w:val="clear" w:color="auto" w:fill="FFFFFF"/>
      <w:spacing w:before="100" w:beforeAutospacing="1" w:after="100" w:afterAutospacing="1"/>
      <w:jc w:val="center"/>
      <w:textAlignment w:val="center"/>
    </w:pPr>
    <w:rPr>
      <w:kern w:val="0"/>
      <w:sz w:val="22"/>
      <w:szCs w:val="22"/>
    </w:rPr>
  </w:style>
  <w:style w:type="paragraph" w:customStyle="1" w:styleId="171">
    <w:name w:val="xl99"/>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72">
    <w:name w:val="font1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73">
    <w:name w:val="xl169"/>
    <w:basedOn w:val="1"/>
    <w:uiPriority w:val="0"/>
    <w:pPr>
      <w:widowControl/>
      <w:pBdr>
        <w:bottom w:val="single" w:color="auto" w:sz="4" w:space="0"/>
      </w:pBdr>
      <w:shd w:val="clear" w:color="auto" w:fill="FFFFFF"/>
      <w:spacing w:before="100" w:beforeAutospacing="1" w:after="100" w:afterAutospacing="1"/>
      <w:jc w:val="left"/>
      <w:textAlignment w:val="center"/>
    </w:pPr>
    <w:rPr>
      <w:rFonts w:ascii="隶书" w:hAnsi="宋体" w:eastAsia="隶书" w:cs="宋体"/>
      <w:kern w:val="0"/>
      <w:sz w:val="20"/>
      <w:szCs w:val="20"/>
    </w:rPr>
  </w:style>
  <w:style w:type="paragraph" w:customStyle="1" w:styleId="174">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FF0000"/>
      <w:kern w:val="0"/>
      <w:sz w:val="20"/>
      <w:szCs w:val="20"/>
    </w:rPr>
  </w:style>
  <w:style w:type="paragraph" w:customStyle="1" w:styleId="175">
    <w:name w:val="xl167"/>
    <w:basedOn w:val="1"/>
    <w:uiPriority w:val="0"/>
    <w:pPr>
      <w:widowControl/>
      <w:pBdr>
        <w:bottom w:val="single" w:color="auto" w:sz="4" w:space="0"/>
      </w:pBdr>
      <w:shd w:val="clear" w:color="auto" w:fill="FFFFFF"/>
      <w:spacing w:before="100" w:beforeAutospacing="1" w:after="100" w:afterAutospacing="1"/>
      <w:jc w:val="left"/>
      <w:textAlignment w:val="center"/>
    </w:pPr>
    <w:rPr>
      <w:rFonts w:ascii="隶书" w:hAnsi="宋体" w:eastAsia="隶书" w:cs="宋体"/>
      <w:kern w:val="0"/>
      <w:sz w:val="36"/>
      <w:szCs w:val="36"/>
    </w:rPr>
  </w:style>
  <w:style w:type="paragraph" w:customStyle="1" w:styleId="176">
    <w:name w:val="节标题"/>
    <w:basedOn w:val="1"/>
    <w:next w:val="1"/>
    <w:uiPriority w:val="0"/>
    <w:pPr>
      <w:widowControl/>
      <w:spacing w:line="867" w:lineRule="atLeast"/>
      <w:jc w:val="center"/>
      <w:textAlignment w:val="baseline"/>
    </w:pPr>
    <w:rPr>
      <w:color w:val="000000"/>
      <w:kern w:val="0"/>
      <w:sz w:val="28"/>
      <w:szCs w:val="20"/>
      <w:u w:val="none" w:color="000000"/>
    </w:rPr>
  </w:style>
  <w:style w:type="paragraph" w:customStyle="1" w:styleId="177">
    <w:name w:val="xl80"/>
    <w:basedOn w:val="1"/>
    <w:uiPriority w:val="0"/>
    <w:pPr>
      <w:widowControl/>
      <w:shd w:val="clear" w:color="auto" w:fill="FFFFFF"/>
      <w:spacing w:before="100" w:beforeAutospacing="1" w:after="100" w:afterAutospacing="1"/>
      <w:jc w:val="center"/>
      <w:textAlignment w:val="center"/>
    </w:pPr>
    <w:rPr>
      <w:kern w:val="0"/>
      <w:sz w:val="20"/>
      <w:szCs w:val="20"/>
    </w:rPr>
  </w:style>
  <w:style w:type="paragraph" w:customStyle="1" w:styleId="178">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rPr>
  </w:style>
  <w:style w:type="paragraph" w:customStyle="1" w:styleId="179">
    <w:name w:val="样式 宋体 首行缩进:  0.87 厘米"/>
    <w:basedOn w:val="1"/>
    <w:uiPriority w:val="0"/>
    <w:pPr>
      <w:spacing w:line="480" w:lineRule="exact"/>
      <w:ind w:firstLine="493"/>
    </w:pPr>
    <w:rPr>
      <w:rFonts w:ascii="宋体" w:hAnsi="宋体" w:cs="宋体"/>
      <w:spacing w:val="6"/>
      <w:sz w:val="24"/>
    </w:rPr>
  </w:style>
  <w:style w:type="paragraph" w:customStyle="1" w:styleId="180">
    <w:name w:val="xl13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styleId="181">
    <w:name w:val="List Paragraph"/>
    <w:basedOn w:val="1"/>
    <w:qFormat/>
    <w:uiPriority w:val="0"/>
    <w:pPr>
      <w:widowControl/>
      <w:overflowPunct w:val="0"/>
      <w:autoSpaceDE w:val="0"/>
      <w:autoSpaceDN w:val="0"/>
      <w:adjustRightInd w:val="0"/>
      <w:ind w:firstLine="420" w:firstLineChars="200"/>
      <w:jc w:val="left"/>
      <w:textAlignment w:val="baseline"/>
    </w:pPr>
    <w:rPr>
      <w:rFonts w:eastAsia="MingLiU"/>
      <w:kern w:val="0"/>
      <w:sz w:val="24"/>
      <w:szCs w:val="20"/>
      <w:lang w:eastAsia="zh-TW"/>
    </w:rPr>
  </w:style>
  <w:style w:type="paragraph" w:customStyle="1" w:styleId="182">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183">
    <w:name w:val="xl115"/>
    <w:basedOn w:val="1"/>
    <w:uiPriority w:val="0"/>
    <w:pPr>
      <w:widowControl/>
      <w:shd w:val="clear" w:color="auto" w:fill="FFFFFF"/>
      <w:spacing w:before="100" w:beforeAutospacing="1" w:after="100" w:afterAutospacing="1"/>
      <w:jc w:val="center"/>
      <w:textAlignment w:val="center"/>
    </w:pPr>
    <w:rPr>
      <w:kern w:val="0"/>
      <w:sz w:val="24"/>
    </w:rPr>
  </w:style>
  <w:style w:type="paragraph" w:customStyle="1" w:styleId="184">
    <w:name w:val="xl126"/>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85">
    <w:name w:val="首行缩进"/>
    <w:basedOn w:val="1"/>
    <w:qFormat/>
    <w:uiPriority w:val="0"/>
    <w:pPr>
      <w:spacing w:line="360" w:lineRule="auto"/>
      <w:ind w:firstLine="480" w:firstLineChars="200"/>
    </w:pPr>
    <w:rPr>
      <w:rFonts w:ascii="Calibri" w:hAnsi="Calibri"/>
      <w:sz w:val="24"/>
      <w:szCs w:val="22"/>
      <w:lang w:val="zh-CN"/>
    </w:rPr>
  </w:style>
  <w:style w:type="paragraph" w:customStyle="1" w:styleId="186">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FF0000"/>
      <w:kern w:val="0"/>
      <w:sz w:val="20"/>
      <w:szCs w:val="20"/>
    </w:rPr>
  </w:style>
  <w:style w:type="paragraph" w:customStyle="1" w:styleId="187">
    <w:name w:val="章标题"/>
    <w:basedOn w:val="1"/>
    <w:next w:val="176"/>
    <w:uiPriority w:val="0"/>
    <w:pPr>
      <w:widowControl/>
      <w:spacing w:before="158" w:after="153" w:line="969" w:lineRule="atLeast"/>
      <w:jc w:val="center"/>
      <w:textAlignment w:val="baseline"/>
    </w:pPr>
    <w:rPr>
      <w:rFonts w:ascii="Arial" w:eastAsia="黑体"/>
      <w:color w:val="000000"/>
      <w:kern w:val="0"/>
      <w:sz w:val="31"/>
      <w:szCs w:val="20"/>
      <w:u w:val="none" w:color="000000"/>
    </w:rPr>
  </w:style>
  <w:style w:type="paragraph" w:customStyle="1" w:styleId="188">
    <w:name w:val="Char Char Char Char Char Char Char"/>
    <w:basedOn w:val="1"/>
    <w:uiPriority w:val="0"/>
    <w:rPr>
      <w:rFonts w:ascii="Tahoma" w:hAnsi="Tahoma"/>
      <w:sz w:val="24"/>
      <w:szCs w:val="20"/>
    </w:rPr>
  </w:style>
  <w:style w:type="paragraph" w:customStyle="1" w:styleId="189">
    <w:name w:val="xl7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90">
    <w:name w:val="font1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91">
    <w:name w:val="Char Char Char1 Char Char Char Char Char Char1 Char"/>
    <w:basedOn w:val="1"/>
    <w:uiPriority w:val="0"/>
    <w:rPr>
      <w:szCs w:val="20"/>
    </w:rPr>
  </w:style>
  <w:style w:type="paragraph" w:customStyle="1" w:styleId="192">
    <w:name w:val="xl8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93">
    <w:name w:val="font21"/>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194">
    <w:name w:val="font18"/>
    <w:basedOn w:val="1"/>
    <w:uiPriority w:val="0"/>
    <w:pPr>
      <w:widowControl/>
      <w:spacing w:before="100" w:beforeAutospacing="1" w:after="100" w:afterAutospacing="1"/>
      <w:jc w:val="left"/>
    </w:pPr>
    <w:rPr>
      <w:rFonts w:ascii="宋体" w:hAnsi="宋体" w:cs="宋体"/>
      <w:color w:val="FF0000"/>
      <w:kern w:val="0"/>
      <w:sz w:val="24"/>
    </w:rPr>
  </w:style>
  <w:style w:type="paragraph" w:customStyle="1" w:styleId="195">
    <w:name w:val="xl9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96">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197">
    <w:name w:val="Char Char Char"/>
    <w:basedOn w:val="1"/>
    <w:uiPriority w:val="0"/>
    <w:rPr>
      <w:rFonts w:ascii="Tahoma" w:hAnsi="Tahoma"/>
      <w:sz w:val="24"/>
      <w:szCs w:val="20"/>
    </w:rPr>
  </w:style>
  <w:style w:type="paragraph" w:customStyle="1" w:styleId="198">
    <w:name w:val="xl161"/>
    <w:basedOn w:val="1"/>
    <w:uiPriority w:val="0"/>
    <w:pPr>
      <w:widowControl/>
      <w:spacing w:before="100" w:beforeAutospacing="1" w:after="100" w:afterAutospacing="1"/>
      <w:jc w:val="left"/>
    </w:pPr>
    <w:rPr>
      <w:rFonts w:ascii="宋体" w:hAnsi="宋体" w:cs="宋体"/>
      <w:kern w:val="0"/>
      <w:sz w:val="24"/>
    </w:rPr>
  </w:style>
  <w:style w:type="paragraph" w:customStyle="1" w:styleId="199">
    <w:name w:val="xl117"/>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2"/>
      <w:szCs w:val="22"/>
    </w:rPr>
  </w:style>
  <w:style w:type="paragraph" w:customStyle="1" w:styleId="200">
    <w:name w:val="xl154"/>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b/>
      <w:bCs/>
      <w:kern w:val="0"/>
      <w:sz w:val="20"/>
      <w:szCs w:val="20"/>
    </w:rPr>
  </w:style>
  <w:style w:type="paragraph" w:customStyle="1" w:styleId="201">
    <w:name w:val="xl130"/>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Narrow" w:hAnsi="Arial Narrow" w:cs="宋体"/>
      <w:kern w:val="0"/>
      <w:sz w:val="20"/>
      <w:szCs w:val="20"/>
    </w:rPr>
  </w:style>
  <w:style w:type="paragraph" w:customStyle="1" w:styleId="202">
    <w:name w:val="main"/>
    <w:basedOn w:val="1"/>
    <w:uiPriority w:val="0"/>
    <w:pPr>
      <w:widowControl/>
      <w:spacing w:before="100" w:beforeAutospacing="1" w:after="100" w:afterAutospacing="1" w:line="368" w:lineRule="atLeast"/>
      <w:jc w:val="left"/>
    </w:pPr>
    <w:rPr>
      <w:rFonts w:ascii="宋体" w:hAnsi="宋体" w:cs="宋体"/>
      <w:kern w:val="0"/>
      <w:sz w:val="24"/>
    </w:rPr>
  </w:style>
  <w:style w:type="paragraph" w:customStyle="1" w:styleId="203">
    <w:name w:val="xl121"/>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204">
    <w:name w:val="font12"/>
    <w:basedOn w:val="1"/>
    <w:uiPriority w:val="0"/>
    <w:pPr>
      <w:widowControl/>
      <w:spacing w:before="100" w:beforeAutospacing="1" w:after="100" w:afterAutospacing="1"/>
      <w:jc w:val="left"/>
    </w:pPr>
    <w:rPr>
      <w:rFonts w:ascii="楷体_GB2312" w:hAnsi="宋体" w:eastAsia="楷体_GB2312" w:cs="宋体"/>
      <w:b/>
      <w:bCs/>
      <w:kern w:val="0"/>
      <w:sz w:val="40"/>
      <w:szCs w:val="40"/>
    </w:rPr>
  </w:style>
  <w:style w:type="paragraph" w:customStyle="1" w:styleId="205">
    <w:name w:val="xl110"/>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color w:val="FF0000"/>
      <w:kern w:val="0"/>
      <w:sz w:val="22"/>
      <w:szCs w:val="22"/>
    </w:rPr>
  </w:style>
  <w:style w:type="paragraph" w:customStyle="1" w:styleId="206">
    <w:name w:val="xl108"/>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207">
    <w:name w:val="xl128"/>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kern w:val="0"/>
      <w:sz w:val="24"/>
    </w:rPr>
  </w:style>
  <w:style w:type="paragraph" w:customStyle="1" w:styleId="208">
    <w:name w:val="xl166"/>
    <w:basedOn w:val="1"/>
    <w:uiPriority w:val="0"/>
    <w:pPr>
      <w:widowControl/>
      <w:pBdr>
        <w:left w:val="single" w:color="auto" w:sz="8" w:space="0"/>
        <w:bottom w:val="single" w:color="auto" w:sz="4" w:space="0"/>
      </w:pBdr>
      <w:shd w:val="clear" w:color="auto" w:fill="FFFFFF"/>
      <w:spacing w:before="100" w:beforeAutospacing="1" w:after="100" w:afterAutospacing="1"/>
      <w:jc w:val="left"/>
      <w:textAlignment w:val="center"/>
    </w:pPr>
    <w:rPr>
      <w:rFonts w:ascii="隶书" w:hAnsi="宋体" w:eastAsia="隶书" w:cs="宋体"/>
      <w:kern w:val="0"/>
      <w:sz w:val="36"/>
      <w:szCs w:val="36"/>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74</Pages>
  <Words>7951</Words>
  <Characters>45325</Characters>
  <Lines>377</Lines>
  <Paragraphs>106</Paragraphs>
  <TotalTime>5</TotalTime>
  <ScaleCrop>false</ScaleCrop>
  <LinksUpToDate>false</LinksUpToDate>
  <CharactersWithSpaces>53170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2020-05-09T06:31:00Z</dcterms:created>
  <dc:creator>Legend User</dc:creator>
  <cp:lastModifiedBy>WPS_1701756769</cp:lastModifiedBy>
  <cp:lastPrinted>2018-03-13T04:54:00Z</cp:lastPrinted>
  <dcterms:modified xsi:type="dcterms:W3CDTF">2024-02-26T02:35:48Z</dcterms:modified>
  <cp:revision>12</cp:revision>
  <dc:title>义乌市八方电气承装有限公司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6725B4D10B5540FF983F135F0AA29370_13</vt:lpwstr>
  </property>
</Properties>
</file>