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7" w:firstLineChars="68"/>
        <w:jc w:val="right"/>
        <w:rPr>
          <w:rFonts w:hint="eastAsia" w:ascii="仿宋" w:hAnsi="仿宋" w:eastAsia="仿宋" w:cs="仿宋"/>
          <w:bCs/>
          <w:snapToGrid w:val="0"/>
          <w:color w:val="auto"/>
          <w:sz w:val="32"/>
          <w:szCs w:val="32"/>
          <w:highlight w:val="none"/>
        </w:rPr>
      </w:pPr>
      <w:bookmarkStart w:id="0" w:name="_Toc152043786"/>
    </w:p>
    <w:p>
      <w:pPr>
        <w:ind w:firstLine="217" w:firstLineChars="68"/>
        <w:jc w:val="right"/>
        <w:rPr>
          <w:rFonts w:hint="eastAsia" w:ascii="仿宋" w:hAnsi="仿宋" w:eastAsia="仿宋" w:cs="仿宋"/>
          <w:bCs/>
          <w:snapToGrid w:val="0"/>
          <w:color w:val="auto"/>
          <w:sz w:val="32"/>
          <w:szCs w:val="32"/>
          <w:highlight w:val="none"/>
        </w:rPr>
      </w:pPr>
      <w:r>
        <w:rPr>
          <w:rFonts w:hint="eastAsia" w:ascii="仿宋" w:hAnsi="仿宋" w:eastAsia="仿宋" w:cs="仿宋"/>
          <w:bCs/>
          <w:snapToGrid w:val="0"/>
          <w:color w:val="auto"/>
          <w:sz w:val="32"/>
          <w:szCs w:val="32"/>
          <w:highlight w:val="none"/>
        </w:rPr>
        <w:t xml:space="preserve">                                                 </w:t>
      </w:r>
    </w:p>
    <w:p>
      <w:pPr>
        <w:ind w:firstLine="382" w:firstLineChars="68"/>
        <w:jc w:val="center"/>
        <w:rPr>
          <w:rFonts w:hint="eastAsia" w:ascii="宋体" w:hAnsi="宋体" w:eastAsia="宋体" w:cs="宋体"/>
          <w:b/>
          <w:bCs w:val="0"/>
          <w:snapToGrid w:val="0"/>
          <w:color w:val="auto"/>
          <w:sz w:val="56"/>
          <w:szCs w:val="56"/>
          <w:highlight w:val="none"/>
        </w:rPr>
      </w:pPr>
      <w:r>
        <w:rPr>
          <w:rFonts w:hint="eastAsia" w:ascii="宋体" w:hAnsi="宋体" w:eastAsia="宋体" w:cs="宋体"/>
          <w:b/>
          <w:bCs w:val="0"/>
          <w:snapToGrid w:val="0"/>
          <w:color w:val="auto"/>
          <w:sz w:val="56"/>
          <w:szCs w:val="56"/>
          <w:highlight w:val="none"/>
        </w:rPr>
        <w:t>南浔区数字经济综合门户建设项目</w:t>
      </w:r>
    </w:p>
    <w:p>
      <w:pPr>
        <w:spacing w:line="480" w:lineRule="auto"/>
        <w:ind w:firstLine="190" w:firstLineChars="68"/>
        <w:jc w:val="center"/>
        <w:rPr>
          <w:rFonts w:hint="eastAsia" w:ascii="仿宋" w:hAnsi="仿宋" w:eastAsia="仿宋" w:cs="仿宋"/>
          <w:bCs/>
          <w:snapToGrid w:val="0"/>
          <w:color w:val="auto"/>
          <w:sz w:val="28"/>
          <w:szCs w:val="28"/>
          <w:highlight w:val="none"/>
          <w:lang w:eastAsia="zh-CN"/>
        </w:rPr>
      </w:pPr>
      <w:r>
        <w:rPr>
          <w:rFonts w:hint="eastAsia" w:ascii="仿宋" w:hAnsi="仿宋" w:eastAsia="仿宋" w:cs="仿宋"/>
          <w:bCs/>
          <w:snapToGrid w:val="0"/>
          <w:color w:val="auto"/>
          <w:sz w:val="28"/>
          <w:szCs w:val="28"/>
          <w:highlight w:val="none"/>
        </w:rPr>
        <w:t>财政审批编号：临[2023]78号</w:t>
      </w:r>
      <w:r>
        <w:rPr>
          <w:rFonts w:hint="eastAsia" w:ascii="仿宋" w:hAnsi="仿宋" w:eastAsia="仿宋" w:cs="仿宋"/>
          <w:bCs/>
          <w:snapToGrid w:val="0"/>
          <w:color w:val="auto"/>
          <w:sz w:val="28"/>
          <w:szCs w:val="28"/>
          <w:highlight w:val="none"/>
          <w:lang w:val="en-US" w:eastAsia="zh-CN"/>
        </w:rPr>
        <w:t xml:space="preserve"> </w:t>
      </w:r>
    </w:p>
    <w:p>
      <w:pPr>
        <w:ind w:firstLine="299" w:firstLineChars="68"/>
        <w:jc w:val="center"/>
        <w:rPr>
          <w:rFonts w:hint="eastAsia" w:ascii="仿宋" w:hAnsi="仿宋" w:eastAsia="仿宋" w:cs="仿宋"/>
          <w:bCs/>
          <w:snapToGrid w:val="0"/>
          <w:color w:val="auto"/>
          <w:sz w:val="44"/>
          <w:szCs w:val="44"/>
          <w:highlight w:val="none"/>
        </w:rPr>
      </w:pPr>
    </w:p>
    <w:p>
      <w:pPr>
        <w:ind w:firstLine="522" w:firstLineChars="68"/>
        <w:jc w:val="center"/>
        <w:rPr>
          <w:rFonts w:hint="eastAsia" w:ascii="仿宋" w:hAnsi="仿宋" w:eastAsia="仿宋" w:cs="仿宋"/>
          <w:color w:val="auto"/>
          <w:w w:val="80"/>
          <w:kern w:val="0"/>
          <w:sz w:val="96"/>
          <w:szCs w:val="48"/>
          <w:highlight w:val="none"/>
        </w:rPr>
      </w:pPr>
    </w:p>
    <w:p>
      <w:pPr>
        <w:ind w:firstLine="299" w:firstLineChars="68"/>
        <w:jc w:val="center"/>
        <w:rPr>
          <w:rFonts w:hint="eastAsia" w:ascii="仿宋" w:hAnsi="仿宋" w:eastAsia="仿宋" w:cs="仿宋"/>
          <w:bCs/>
          <w:snapToGrid w:val="0"/>
          <w:color w:val="auto"/>
          <w:sz w:val="44"/>
          <w:szCs w:val="44"/>
          <w:highlight w:val="none"/>
        </w:rPr>
      </w:pPr>
    </w:p>
    <w:p>
      <w:pPr>
        <w:ind w:firstLine="299" w:firstLineChars="68"/>
        <w:jc w:val="center"/>
        <w:rPr>
          <w:rFonts w:hint="eastAsia" w:ascii="仿宋" w:hAnsi="仿宋" w:eastAsia="仿宋" w:cs="仿宋"/>
          <w:bCs/>
          <w:snapToGrid w:val="0"/>
          <w:color w:val="auto"/>
          <w:sz w:val="44"/>
          <w:szCs w:val="44"/>
          <w:highlight w:val="none"/>
        </w:rPr>
      </w:pPr>
      <w:r>
        <w:rPr>
          <w:rFonts w:hint="eastAsia" w:ascii="仿宋" w:hAnsi="仿宋" w:eastAsia="仿宋" w:cs="仿宋"/>
          <w:bCs/>
          <w:snapToGrid w:val="0"/>
          <w:color w:val="auto"/>
          <w:sz w:val="44"/>
          <w:szCs w:val="44"/>
          <w:highlight w:val="none"/>
        </w:rPr>
        <w:t>公开招标采购文件</w:t>
      </w:r>
    </w:p>
    <w:p>
      <w:pPr>
        <w:ind w:firstLine="299" w:firstLineChars="68"/>
        <w:jc w:val="center"/>
        <w:rPr>
          <w:rFonts w:hint="eastAsia" w:ascii="仿宋" w:hAnsi="仿宋" w:eastAsia="仿宋" w:cs="仿宋"/>
          <w:bCs/>
          <w:snapToGrid w:val="0"/>
          <w:color w:val="auto"/>
          <w:sz w:val="44"/>
          <w:szCs w:val="44"/>
          <w:highlight w:val="none"/>
        </w:rPr>
      </w:pPr>
      <w:r>
        <w:rPr>
          <w:rFonts w:hint="eastAsia" w:ascii="仿宋" w:hAnsi="仿宋" w:eastAsia="仿宋" w:cs="仿宋"/>
          <w:bCs/>
          <w:snapToGrid w:val="0"/>
          <w:color w:val="auto"/>
          <w:sz w:val="44"/>
          <w:szCs w:val="44"/>
          <w:highlight w:val="none"/>
        </w:rPr>
        <w:t>（电子交易项目）</w:t>
      </w:r>
    </w:p>
    <w:p>
      <w:pPr>
        <w:ind w:firstLine="299" w:firstLineChars="68"/>
        <w:jc w:val="center"/>
        <w:rPr>
          <w:rFonts w:hint="eastAsia" w:ascii="仿宋" w:hAnsi="仿宋" w:eastAsia="仿宋" w:cs="仿宋"/>
          <w:bCs/>
          <w:snapToGrid w:val="0"/>
          <w:color w:val="auto"/>
          <w:sz w:val="44"/>
          <w:szCs w:val="44"/>
          <w:highlight w:val="none"/>
        </w:rPr>
      </w:pPr>
    </w:p>
    <w:p>
      <w:pPr>
        <w:ind w:firstLine="299" w:firstLineChars="68"/>
        <w:jc w:val="center"/>
        <w:rPr>
          <w:rFonts w:hint="eastAsia" w:ascii="仿宋" w:hAnsi="仿宋" w:eastAsia="仿宋" w:cs="仿宋"/>
          <w:bCs/>
          <w:snapToGrid w:val="0"/>
          <w:color w:val="auto"/>
          <w:sz w:val="44"/>
          <w:szCs w:val="44"/>
          <w:highlight w:val="none"/>
        </w:rPr>
      </w:pPr>
    </w:p>
    <w:p>
      <w:pPr>
        <w:ind w:firstLine="299" w:firstLineChars="68"/>
        <w:jc w:val="center"/>
        <w:rPr>
          <w:rFonts w:hint="eastAsia" w:ascii="仿宋" w:hAnsi="仿宋" w:eastAsia="仿宋" w:cs="仿宋"/>
          <w:bCs/>
          <w:snapToGrid w:val="0"/>
          <w:color w:val="auto"/>
          <w:sz w:val="44"/>
          <w:szCs w:val="44"/>
          <w:highlight w:val="none"/>
        </w:rPr>
      </w:pPr>
    </w:p>
    <w:p>
      <w:pPr>
        <w:rPr>
          <w:rFonts w:hint="eastAsia" w:ascii="仿宋" w:hAnsi="仿宋" w:eastAsia="仿宋" w:cs="仿宋"/>
          <w:bCs/>
          <w:snapToGrid w:val="0"/>
          <w:color w:val="auto"/>
          <w:sz w:val="24"/>
          <w:highlight w:val="none"/>
        </w:rPr>
      </w:pPr>
    </w:p>
    <w:p>
      <w:pPr>
        <w:rPr>
          <w:rFonts w:hint="eastAsia" w:ascii="仿宋" w:hAnsi="仿宋" w:eastAsia="仿宋" w:cs="仿宋"/>
          <w:bCs/>
          <w:snapToGrid w:val="0"/>
          <w:color w:val="auto"/>
          <w:sz w:val="22"/>
          <w:szCs w:val="22"/>
          <w:highlight w:val="none"/>
        </w:rPr>
      </w:pPr>
    </w:p>
    <w:p>
      <w:pPr>
        <w:rPr>
          <w:rFonts w:hint="eastAsia" w:ascii="仿宋" w:hAnsi="仿宋" w:eastAsia="仿宋" w:cs="仿宋"/>
          <w:b/>
          <w:color w:val="auto"/>
          <w:sz w:val="22"/>
          <w:szCs w:val="22"/>
          <w:highlight w:val="none"/>
        </w:rPr>
      </w:pPr>
      <w:r>
        <w:rPr>
          <w:rFonts w:hint="eastAsia" w:ascii="仿宋" w:hAnsi="仿宋" w:eastAsia="仿宋" w:cs="仿宋"/>
          <w:color w:val="auto"/>
          <w:kern w:val="0"/>
          <w:sz w:val="22"/>
          <w:szCs w:val="22"/>
          <w:highlight w:val="none"/>
        </w:rPr>
        <w:t>项目编号：</w:t>
      </w:r>
      <w:r>
        <w:rPr>
          <w:rFonts w:hint="eastAsia" w:ascii="仿宋" w:hAnsi="仿宋" w:eastAsia="仿宋" w:cs="仿宋"/>
          <w:color w:val="auto"/>
          <w:kern w:val="0"/>
          <w:sz w:val="22"/>
          <w:szCs w:val="22"/>
          <w:highlight w:val="none"/>
          <w:u w:val="single"/>
          <w:lang w:eastAsia="zh-CN"/>
        </w:rPr>
        <w:t>ZJCY（湖采）-2023004</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u w:val="single"/>
          <w:lang w:val="en-US" w:eastAsia="zh-CN"/>
        </w:rPr>
        <w:t xml:space="preserve">   </w:t>
      </w:r>
      <w:r>
        <w:rPr>
          <w:rFonts w:hint="eastAsia" w:ascii="仿宋" w:hAnsi="仿宋" w:eastAsia="仿宋" w:cs="仿宋"/>
          <w:color w:val="auto"/>
          <w:kern w:val="0"/>
          <w:sz w:val="22"/>
          <w:szCs w:val="22"/>
          <w:highlight w:val="none"/>
          <w:u w:val="single"/>
        </w:rPr>
        <w:t xml:space="preserve">  </w:t>
      </w:r>
    </w:p>
    <w:p>
      <w:pPr>
        <w:adjustRightInd w:val="0"/>
        <w:snapToGrid w:val="0"/>
        <w:spacing w:line="500" w:lineRule="exact"/>
        <w:rPr>
          <w:rFonts w:hint="eastAsia" w:ascii="仿宋" w:hAnsi="仿宋" w:eastAsia="仿宋" w:cs="仿宋"/>
          <w:bCs/>
          <w:snapToGrid w:val="0"/>
          <w:color w:val="auto"/>
          <w:sz w:val="22"/>
          <w:szCs w:val="22"/>
          <w:highlight w:val="none"/>
        </w:rPr>
      </w:pPr>
      <w:r>
        <w:rPr>
          <w:rFonts w:hint="eastAsia" w:ascii="仿宋" w:hAnsi="仿宋" w:eastAsia="仿宋" w:cs="仿宋"/>
          <w:bCs/>
          <w:snapToGrid w:val="0"/>
          <w:color w:val="auto"/>
          <w:sz w:val="22"/>
          <w:szCs w:val="22"/>
          <w:highlight w:val="none"/>
        </w:rPr>
        <w:t xml:space="preserve">  </w:t>
      </w:r>
    </w:p>
    <w:p>
      <w:pPr>
        <w:rPr>
          <w:rFonts w:hint="eastAsia" w:ascii="仿宋" w:hAnsi="仿宋" w:eastAsia="仿宋" w:cs="仿宋"/>
          <w:bCs/>
          <w:snapToGrid w:val="0"/>
          <w:color w:val="auto"/>
          <w:sz w:val="22"/>
          <w:szCs w:val="22"/>
          <w:highlight w:val="none"/>
        </w:rPr>
      </w:pPr>
      <w:r>
        <w:rPr>
          <w:rFonts w:hint="eastAsia" w:ascii="仿宋" w:hAnsi="仿宋" w:eastAsia="仿宋" w:cs="仿宋"/>
          <w:bCs/>
          <w:snapToGrid w:val="0"/>
          <w:color w:val="auto"/>
          <w:sz w:val="22"/>
          <w:szCs w:val="22"/>
          <w:highlight w:val="none"/>
        </w:rPr>
        <w:t>项目名称：</w:t>
      </w:r>
      <w:r>
        <w:rPr>
          <w:rFonts w:hint="eastAsia" w:ascii="仿宋" w:hAnsi="仿宋" w:eastAsia="仿宋" w:cs="仿宋"/>
          <w:color w:val="auto"/>
          <w:kern w:val="0"/>
          <w:sz w:val="22"/>
          <w:szCs w:val="22"/>
          <w:highlight w:val="none"/>
          <w:u w:val="single"/>
        </w:rPr>
        <w:t xml:space="preserve">南浔区数字经济综合门户建设项目                         </w:t>
      </w:r>
      <w:r>
        <w:rPr>
          <w:rFonts w:hint="eastAsia" w:ascii="仿宋" w:hAnsi="仿宋" w:eastAsia="仿宋" w:cs="仿宋"/>
          <w:color w:val="auto"/>
          <w:kern w:val="0"/>
          <w:sz w:val="22"/>
          <w:szCs w:val="22"/>
          <w:highlight w:val="none"/>
          <w:u w:val="single"/>
          <w:lang w:val="en-US" w:eastAsia="zh-CN"/>
        </w:rPr>
        <w:t xml:space="preserve">       </w:t>
      </w:r>
      <w:r>
        <w:rPr>
          <w:rFonts w:hint="eastAsia" w:ascii="仿宋" w:hAnsi="仿宋" w:eastAsia="仿宋" w:cs="仿宋"/>
          <w:color w:val="auto"/>
          <w:kern w:val="0"/>
          <w:sz w:val="22"/>
          <w:szCs w:val="22"/>
          <w:highlight w:val="none"/>
          <w:u w:val="single"/>
        </w:rPr>
        <w:t xml:space="preserve">  </w:t>
      </w:r>
    </w:p>
    <w:p>
      <w:pPr>
        <w:adjustRightInd w:val="0"/>
        <w:snapToGrid w:val="0"/>
        <w:spacing w:line="500" w:lineRule="exact"/>
        <w:rPr>
          <w:rFonts w:ascii="仿宋" w:hAnsi="仿宋" w:eastAsia="仿宋" w:cs="仿宋"/>
          <w:bCs/>
          <w:snapToGrid w:val="0"/>
          <w:color w:val="auto"/>
          <w:sz w:val="22"/>
          <w:szCs w:val="22"/>
          <w:highlight w:val="none"/>
        </w:rPr>
      </w:pPr>
      <w:r>
        <w:rPr>
          <w:rFonts w:hint="eastAsia" w:ascii="仿宋" w:hAnsi="仿宋" w:eastAsia="仿宋" w:cs="仿宋"/>
          <w:bCs/>
          <w:snapToGrid w:val="0"/>
          <w:color w:val="auto"/>
          <w:sz w:val="22"/>
          <w:szCs w:val="22"/>
          <w:highlight w:val="none"/>
        </w:rPr>
        <w:t xml:space="preserve">  </w:t>
      </w:r>
    </w:p>
    <w:p>
      <w:pPr>
        <w:rPr>
          <w:rFonts w:hint="eastAsia" w:ascii="仿宋" w:hAnsi="仿宋" w:eastAsia="仿宋" w:cs="仿宋"/>
          <w:color w:val="auto"/>
          <w:sz w:val="22"/>
          <w:szCs w:val="22"/>
          <w:highlight w:val="none"/>
          <w:u w:val="single"/>
        </w:rPr>
      </w:pPr>
      <w:r>
        <w:rPr>
          <w:rFonts w:hint="eastAsia" w:ascii="仿宋" w:hAnsi="仿宋" w:eastAsia="仿宋" w:cs="仿宋"/>
          <w:bCs/>
          <w:snapToGrid w:val="0"/>
          <w:color w:val="auto"/>
          <w:sz w:val="22"/>
          <w:szCs w:val="22"/>
          <w:highlight w:val="none"/>
        </w:rPr>
        <w:t>招标人：</w:t>
      </w:r>
      <w:r>
        <w:rPr>
          <w:rFonts w:hint="eastAsia" w:ascii="仿宋" w:hAnsi="仿宋" w:eastAsia="仿宋" w:cs="仿宋"/>
          <w:bCs/>
          <w:snapToGrid w:val="0"/>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浙江省湖州市南浔区发展改革和经济信息化局</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lang w:eastAsia="zh-CN"/>
        </w:rPr>
        <w:t>（</w:t>
      </w:r>
      <w:r>
        <w:rPr>
          <w:rFonts w:hint="eastAsia" w:ascii="仿宋" w:hAnsi="仿宋" w:eastAsia="仿宋" w:cs="仿宋"/>
          <w:color w:val="auto"/>
          <w:sz w:val="22"/>
          <w:szCs w:val="22"/>
          <w:highlight w:val="none"/>
          <w:u w:val="single"/>
        </w:rPr>
        <w:t>盖章）</w:t>
      </w:r>
    </w:p>
    <w:p>
      <w:pPr>
        <w:adjustRightInd w:val="0"/>
        <w:snapToGrid w:val="0"/>
        <w:spacing w:line="500" w:lineRule="exact"/>
        <w:ind w:firstLine="576" w:firstLineChars="262"/>
        <w:rPr>
          <w:rFonts w:hint="eastAsia" w:ascii="仿宋" w:hAnsi="仿宋" w:eastAsia="仿宋" w:cs="仿宋"/>
          <w:bCs/>
          <w:snapToGrid w:val="0"/>
          <w:color w:val="auto"/>
          <w:sz w:val="22"/>
          <w:szCs w:val="22"/>
          <w:highlight w:val="none"/>
        </w:rPr>
      </w:pPr>
    </w:p>
    <w:p>
      <w:pPr>
        <w:adjustRightInd w:val="0"/>
        <w:snapToGrid w:val="0"/>
        <w:spacing w:line="500" w:lineRule="exact"/>
        <w:rPr>
          <w:rFonts w:hint="eastAsia" w:ascii="仿宋" w:hAnsi="仿宋" w:eastAsia="仿宋" w:cs="仿宋"/>
          <w:bCs/>
          <w:snapToGrid w:val="0"/>
          <w:color w:val="auto"/>
          <w:sz w:val="22"/>
          <w:szCs w:val="22"/>
          <w:highlight w:val="none"/>
        </w:rPr>
      </w:pPr>
      <w:r>
        <w:rPr>
          <w:rFonts w:hint="eastAsia" w:ascii="仿宋" w:hAnsi="仿宋" w:eastAsia="仿宋" w:cs="仿宋"/>
          <w:bCs/>
          <w:snapToGrid w:val="0"/>
          <w:color w:val="auto"/>
          <w:sz w:val="22"/>
          <w:szCs w:val="22"/>
          <w:highlight w:val="none"/>
        </w:rPr>
        <w:t>采购代理机构：</w:t>
      </w:r>
      <w:r>
        <w:rPr>
          <w:rFonts w:hint="eastAsia" w:ascii="仿宋" w:hAnsi="仿宋" w:eastAsia="仿宋" w:cs="仿宋"/>
          <w:bCs/>
          <w:snapToGrid w:val="0"/>
          <w:color w:val="auto"/>
          <w:sz w:val="22"/>
          <w:szCs w:val="22"/>
          <w:highlight w:val="none"/>
          <w:u w:val="single"/>
          <w:lang w:eastAsia="zh-CN"/>
        </w:rPr>
        <w:t>浙江诚远工程咨询有限公司</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bCs/>
          <w:snapToGrid w:val="0"/>
          <w:color w:val="auto"/>
          <w:sz w:val="22"/>
          <w:szCs w:val="22"/>
          <w:highlight w:val="none"/>
          <w:u w:val="single"/>
        </w:rPr>
        <w:t>（盖章）</w:t>
      </w:r>
    </w:p>
    <w:p>
      <w:pPr>
        <w:spacing w:line="360" w:lineRule="auto"/>
        <w:rPr>
          <w:rFonts w:hint="eastAsia" w:ascii="仿宋" w:hAnsi="仿宋" w:eastAsia="仿宋" w:cs="仿宋"/>
          <w:b/>
          <w:color w:val="auto"/>
          <w:sz w:val="22"/>
          <w:szCs w:val="22"/>
          <w:highlight w:val="none"/>
        </w:rPr>
      </w:pPr>
    </w:p>
    <w:p>
      <w:pPr>
        <w:spacing w:line="36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val="en-US" w:eastAsia="zh-CN"/>
        </w:rPr>
        <w:t>2023</w:t>
      </w:r>
      <w:r>
        <w:rPr>
          <w:rFonts w:hint="eastAsia" w:ascii="仿宋" w:hAnsi="仿宋" w:eastAsia="仿宋" w:cs="仿宋"/>
          <w:b/>
          <w:color w:val="auto"/>
          <w:sz w:val="22"/>
          <w:szCs w:val="22"/>
          <w:highlight w:val="none"/>
        </w:rPr>
        <w:t>年</w:t>
      </w:r>
      <w:r>
        <w:rPr>
          <w:rFonts w:hint="eastAsia" w:ascii="仿宋" w:hAnsi="仿宋" w:eastAsia="仿宋" w:cs="仿宋"/>
          <w:b/>
          <w:color w:val="auto"/>
          <w:sz w:val="22"/>
          <w:szCs w:val="22"/>
          <w:highlight w:val="none"/>
          <w:lang w:val="en-US" w:eastAsia="zh-CN"/>
        </w:rPr>
        <w:t>4</w:t>
      </w:r>
      <w:r>
        <w:rPr>
          <w:rFonts w:hint="eastAsia" w:ascii="仿宋" w:hAnsi="仿宋" w:eastAsia="仿宋" w:cs="仿宋"/>
          <w:b/>
          <w:color w:val="auto"/>
          <w:sz w:val="22"/>
          <w:szCs w:val="22"/>
          <w:highlight w:val="none"/>
        </w:rPr>
        <w:t>月</w:t>
      </w:r>
    </w:p>
    <w:p>
      <w:pPr>
        <w:spacing w:line="480" w:lineRule="auto"/>
        <w:jc w:val="center"/>
        <w:rPr>
          <w:rFonts w:hint="eastAsia" w:ascii="仿宋" w:hAnsi="仿宋" w:eastAsia="仿宋" w:cs="仿宋"/>
          <w:b/>
          <w:color w:val="auto"/>
          <w:sz w:val="44"/>
          <w:szCs w:val="44"/>
          <w:highlight w:val="none"/>
        </w:rPr>
      </w:pPr>
    </w:p>
    <w:p>
      <w:pPr>
        <w:pStyle w:val="2"/>
        <w:rPr>
          <w:rFonts w:hint="eastAsia" w:ascii="仿宋" w:hAnsi="仿宋" w:eastAsia="仿宋" w:cs="仿宋"/>
          <w:b/>
          <w:color w:val="auto"/>
          <w:sz w:val="44"/>
          <w:szCs w:val="44"/>
          <w:highlight w:val="none"/>
        </w:rPr>
      </w:pPr>
    </w:p>
    <w:p>
      <w:pPr>
        <w:pStyle w:val="2"/>
        <w:rPr>
          <w:rFonts w:hint="eastAsia" w:ascii="仿宋" w:hAnsi="仿宋" w:eastAsia="仿宋" w:cs="仿宋"/>
          <w:b/>
          <w:color w:val="auto"/>
          <w:sz w:val="44"/>
          <w:szCs w:val="44"/>
          <w:highlight w:val="none"/>
        </w:rPr>
      </w:pPr>
    </w:p>
    <w:p>
      <w:pPr>
        <w:spacing w:line="48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第一章  公开招标采购公告</w:t>
      </w:r>
    </w:p>
    <w:p>
      <w:pPr>
        <w:pStyle w:val="4"/>
        <w:tabs>
          <w:tab w:val="left" w:pos="0"/>
        </w:tabs>
        <w:autoSpaceDE w:val="0"/>
        <w:autoSpaceDN w:val="0"/>
        <w:adjustRightInd w:val="0"/>
        <w:spacing w:before="0" w:after="0" w:line="360" w:lineRule="auto"/>
        <w:jc w:val="center"/>
        <w:rPr>
          <w:rFonts w:hint="eastAsia" w:ascii="仿宋" w:hAnsi="仿宋" w:eastAsia="仿宋" w:cs="仿宋"/>
          <w:color w:val="auto"/>
          <w:sz w:val="32"/>
          <w:highlight w:val="none"/>
        </w:rPr>
      </w:pPr>
      <w:bookmarkStart w:id="1" w:name="_Toc28359011"/>
      <w:bookmarkStart w:id="2" w:name="_Toc35393797"/>
      <w:r>
        <w:rPr>
          <w:rFonts w:hint="eastAsia" w:ascii="仿宋" w:hAnsi="仿宋" w:eastAsia="仿宋" w:cs="仿宋"/>
          <w:color w:val="auto"/>
          <w:sz w:val="32"/>
          <w:highlight w:val="none"/>
        </w:rPr>
        <w:t xml:space="preserve"> 南浔区数字经济综合门户建设项目公开招标公告</w:t>
      </w:r>
      <w:bookmarkEnd w:id="1"/>
      <w:bookmarkEnd w:id="2"/>
    </w:p>
    <w:p>
      <w:pPr>
        <w:pBdr>
          <w:top w:val="single" w:color="auto" w:sz="4" w:space="1"/>
          <w:left w:val="single" w:color="auto" w:sz="4" w:space="4"/>
          <w:bottom w:val="single" w:color="auto" w:sz="4" w:space="1"/>
          <w:right w:val="single" w:color="auto" w:sz="4" w:space="4"/>
        </w:pBd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南浔区数字经济综合门户建设项目公开招标公告采购项目的潜在供应商应在浙江政府采购网：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"http://zfcg.czt.zj.gov.cn/获取采购文件，并于2020年" </w:instrText>
      </w:r>
      <w:r>
        <w:rPr>
          <w:rFonts w:hint="eastAsia" w:ascii="仿宋" w:hAnsi="仿宋" w:eastAsia="仿宋" w:cs="仿宋"/>
          <w:color w:val="auto"/>
          <w:sz w:val="24"/>
          <w:highlight w:val="none"/>
        </w:rPr>
        <w:fldChar w:fldCharType="separate"/>
      </w:r>
      <w:r>
        <w:rPr>
          <w:rStyle w:val="21"/>
          <w:rFonts w:hint="eastAsia" w:ascii="仿宋" w:hAnsi="仿宋" w:eastAsia="仿宋" w:cs="仿宋"/>
          <w:color w:val="auto"/>
          <w:sz w:val="24"/>
          <w:highlight w:val="none"/>
        </w:rPr>
        <w:t>http://zfcg.czt.zj.gov.cn/获取采购文件，并于202</w:t>
      </w:r>
      <w:r>
        <w:rPr>
          <w:rStyle w:val="21"/>
          <w:rFonts w:hint="eastAsia" w:ascii="仿宋" w:hAnsi="仿宋" w:eastAsia="仿宋" w:cs="仿宋"/>
          <w:color w:val="auto"/>
          <w:sz w:val="24"/>
          <w:highlight w:val="none"/>
          <w:lang w:val="en-US" w:eastAsia="zh-CN"/>
        </w:rPr>
        <w:t>3</w:t>
      </w:r>
      <w:r>
        <w:rPr>
          <w:rStyle w:val="21"/>
          <w:rFonts w:hint="eastAsia" w:ascii="仿宋" w:hAnsi="仿宋" w:eastAsia="仿宋" w:cs="仿宋"/>
          <w:color w:val="auto"/>
          <w:sz w:val="24"/>
          <w:highlight w:val="none"/>
        </w:rPr>
        <w:t>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green"/>
        </w:rPr>
        <w:t>月</w:t>
      </w:r>
      <w:r>
        <w:rPr>
          <w:rFonts w:hint="eastAsia" w:ascii="仿宋" w:hAnsi="仿宋" w:eastAsia="仿宋" w:cs="仿宋"/>
          <w:color w:val="auto"/>
          <w:sz w:val="24"/>
          <w:highlight w:val="green"/>
          <w:lang w:val="en-US" w:eastAsia="zh-CN"/>
        </w:rPr>
        <w:t>9日</w:t>
      </w:r>
      <w:r>
        <w:rPr>
          <w:rFonts w:hint="eastAsia" w:ascii="仿宋" w:hAnsi="仿宋" w:eastAsia="仿宋" w:cs="仿宋"/>
          <w:color w:val="auto"/>
          <w:sz w:val="24"/>
          <w:highlight w:val="green"/>
        </w:rPr>
        <w:t xml:space="preserve"> </w:t>
      </w:r>
      <w:r>
        <w:rPr>
          <w:rFonts w:hint="eastAsia" w:ascii="仿宋" w:hAnsi="仿宋" w:eastAsia="仿宋" w:cs="仿宋"/>
          <w:color w:val="auto"/>
          <w:sz w:val="24"/>
          <w:highlight w:val="green"/>
          <w:lang w:val="en-US" w:eastAsia="zh-CN"/>
        </w:rPr>
        <w:t>9</w:t>
      </w:r>
      <w:r>
        <w:rPr>
          <w:rFonts w:hint="eastAsia" w:ascii="仿宋" w:hAnsi="仿宋" w:eastAsia="仿宋" w:cs="仿宋"/>
          <w:color w:val="auto"/>
          <w:sz w:val="24"/>
          <w:highlight w:val="green"/>
        </w:rPr>
        <w:t>点</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分（北京时间）前提交（上传）响应文件。</w:t>
      </w:r>
    </w:p>
    <w:p>
      <w:pPr>
        <w:pStyle w:val="5"/>
        <w:spacing w:line="360" w:lineRule="auto"/>
        <w:rPr>
          <w:rFonts w:hint="eastAsia" w:ascii="仿宋" w:hAnsi="仿宋" w:eastAsia="仿宋" w:cs="仿宋"/>
          <w:color w:val="auto"/>
          <w:sz w:val="28"/>
          <w:szCs w:val="28"/>
          <w:highlight w:val="none"/>
        </w:rPr>
      </w:pPr>
      <w:bookmarkStart w:id="3" w:name="_Toc35393798"/>
      <w:bookmarkStart w:id="4" w:name="_Toc28359089"/>
      <w:bookmarkStart w:id="5" w:name="_Toc28359012"/>
      <w:bookmarkStart w:id="6" w:name="_Toc35393629"/>
      <w:r>
        <w:rPr>
          <w:rFonts w:hint="eastAsia" w:ascii="仿宋" w:hAnsi="仿宋" w:eastAsia="仿宋" w:cs="仿宋"/>
          <w:color w:val="auto"/>
          <w:sz w:val="28"/>
          <w:szCs w:val="28"/>
          <w:highlight w:val="none"/>
        </w:rPr>
        <w:t>一、项目基本情况</w:t>
      </w:r>
      <w:bookmarkEnd w:id="3"/>
      <w:bookmarkEnd w:id="4"/>
      <w:bookmarkEnd w:id="5"/>
      <w:bookmarkEnd w:id="6"/>
    </w:p>
    <w:p>
      <w:pPr>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ZJCY（湖采）-2023004</w:t>
      </w:r>
    </w:p>
    <w:p>
      <w:pPr>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项目名称：南浔区数字经济综合门户建设项目</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2389"/>
        <w:gridCol w:w="1111"/>
        <w:gridCol w:w="1144"/>
        <w:gridCol w:w="2212"/>
        <w:gridCol w:w="14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采购内容</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单位</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数量</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预算金额</w:t>
            </w:r>
          </w:p>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（人民币）</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i w:val="0"/>
                <w:iCs w:val="0"/>
                <w:caps w:val="0"/>
                <w:color w:val="000000"/>
                <w:spacing w:val="0"/>
                <w:sz w:val="24"/>
                <w:szCs w:val="24"/>
              </w:rPr>
              <w:t>南浔区</w:t>
            </w:r>
            <w:r>
              <w:rPr>
                <w:rFonts w:hint="eastAsia" w:ascii="仿宋" w:hAnsi="仿宋" w:eastAsia="仿宋" w:cs="仿宋"/>
                <w:i w:val="0"/>
                <w:iCs w:val="0"/>
                <w:caps w:val="0"/>
                <w:color w:val="000000"/>
                <w:spacing w:val="0"/>
                <w:sz w:val="24"/>
                <w:szCs w:val="24"/>
                <w:lang w:val="en-US" w:eastAsia="zh-CN"/>
              </w:rPr>
              <w:t>数字经济</w:t>
            </w:r>
            <w:r>
              <w:rPr>
                <w:rFonts w:hint="eastAsia" w:ascii="仿宋" w:hAnsi="仿宋" w:eastAsia="仿宋" w:cs="仿宋"/>
                <w:i w:val="0"/>
                <w:iCs w:val="0"/>
                <w:caps w:val="0"/>
                <w:color w:val="000000"/>
                <w:spacing w:val="0"/>
                <w:sz w:val="24"/>
                <w:szCs w:val="24"/>
              </w:rPr>
              <w:t>门户建设项目</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项</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85</w:t>
            </w:r>
            <w:r>
              <w:rPr>
                <w:rFonts w:hint="eastAsia" w:ascii="仿宋" w:hAnsi="仿宋" w:eastAsia="仿宋" w:cs="仿宋"/>
                <w:bCs/>
                <w:color w:val="auto"/>
                <w:sz w:val="24"/>
                <w:szCs w:val="24"/>
              </w:rPr>
              <w:t>万元</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color w:val="auto"/>
                <w:sz w:val="24"/>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注</w:t>
            </w:r>
          </w:p>
        </w:tc>
        <w:tc>
          <w:tcPr>
            <w:tcW w:w="833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投标报价时不得超过预算金额，否则作无效标处理。</w:t>
            </w:r>
          </w:p>
        </w:tc>
      </w:tr>
    </w:tbl>
    <w:p>
      <w:pPr>
        <w:ind w:firstLine="480" w:firstLineChars="200"/>
        <w:rPr>
          <w:rFonts w:hint="eastAsia" w:ascii="仿宋" w:hAnsi="仿宋" w:eastAsia="仿宋" w:cs="仿宋"/>
          <w:color w:val="auto"/>
          <w:sz w:val="24"/>
          <w:highlight w:val="none"/>
        </w:rPr>
      </w:pP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采购方式：公开招标</w:t>
      </w:r>
    </w:p>
    <w:p>
      <w:pPr>
        <w:pStyle w:val="5"/>
        <w:spacing w:line="360" w:lineRule="auto"/>
        <w:rPr>
          <w:rFonts w:hint="eastAsia" w:ascii="仿宋" w:hAnsi="仿宋" w:eastAsia="仿宋" w:cs="仿宋"/>
          <w:color w:val="auto"/>
          <w:sz w:val="28"/>
          <w:szCs w:val="28"/>
          <w:highlight w:val="none"/>
        </w:rPr>
      </w:pPr>
      <w:bookmarkStart w:id="7" w:name="_Toc35393630"/>
      <w:bookmarkStart w:id="8" w:name="_Toc28359013"/>
      <w:bookmarkStart w:id="9" w:name="_Toc28359090"/>
      <w:bookmarkStart w:id="10" w:name="_Toc35393799"/>
      <w:r>
        <w:rPr>
          <w:rFonts w:hint="eastAsia" w:ascii="仿宋" w:hAnsi="仿宋" w:eastAsia="仿宋" w:cs="仿宋"/>
          <w:color w:val="auto"/>
          <w:sz w:val="28"/>
          <w:szCs w:val="28"/>
          <w:highlight w:val="none"/>
        </w:rPr>
        <w:t>二、申请人的资格要求：</w:t>
      </w:r>
      <w:bookmarkEnd w:id="7"/>
      <w:bookmarkEnd w:id="8"/>
      <w:bookmarkEnd w:id="9"/>
      <w:bookmarkEnd w:id="10"/>
    </w:p>
    <w:p>
      <w:pPr>
        <w:ind w:firstLine="360" w:firstLineChars="150"/>
        <w:rPr>
          <w:rFonts w:hint="eastAsia" w:ascii="仿宋" w:hAnsi="仿宋" w:eastAsia="仿宋" w:cs="仿宋"/>
          <w:color w:val="auto"/>
          <w:sz w:val="24"/>
          <w:highlight w:val="none"/>
        </w:rPr>
      </w:pPr>
      <w:bookmarkStart w:id="11" w:name="_Toc28359014"/>
      <w:bookmarkStart w:id="12" w:name="_Toc28359091"/>
      <w:r>
        <w:rPr>
          <w:rFonts w:hint="eastAsia" w:ascii="仿宋" w:hAnsi="仿宋" w:eastAsia="仿宋" w:cs="仿宋"/>
          <w:color w:val="auto"/>
          <w:sz w:val="24"/>
          <w:highlight w:val="none"/>
        </w:rPr>
        <w:t>1、符合《政府采购法》第二十二条规定：具有独立承担民事责任的能力；具有良好的商业信誉和健全的财务会计制度；具有履行合同所必需的设备和专业技术能力；有依法缴纳税收和社会保障资金的良好记录；近三年内在经营活动中无重大违法记录 ；</w:t>
      </w:r>
    </w:p>
    <w:p>
      <w:pPr>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至本项目投标响应截止时间前，供应商未列入失信被执行人、重大税收违法案件当事人名单、政府采购严重违法失信行为记录名单的（以“信用中国”网站www.creditchina.gov.cn、“中国政府采购网”www.ccgp.gov.cn）查询结果为准）；</w:t>
      </w:r>
    </w:p>
    <w:p>
      <w:pPr>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3、本项目接受联合体，拒绝转包和分包。</w:t>
      </w:r>
    </w:p>
    <w:p>
      <w:pPr>
        <w:pStyle w:val="5"/>
        <w:spacing w:line="360" w:lineRule="auto"/>
        <w:rPr>
          <w:rFonts w:hint="eastAsia" w:ascii="仿宋" w:hAnsi="仿宋" w:eastAsia="仿宋" w:cs="仿宋"/>
          <w:color w:val="auto"/>
          <w:sz w:val="28"/>
          <w:szCs w:val="28"/>
          <w:highlight w:val="none"/>
        </w:rPr>
      </w:pPr>
      <w:bookmarkStart w:id="13" w:name="_Toc35393631"/>
      <w:bookmarkStart w:id="14" w:name="_Toc35393800"/>
      <w:r>
        <w:rPr>
          <w:rFonts w:hint="eastAsia" w:ascii="仿宋" w:hAnsi="仿宋" w:eastAsia="仿宋" w:cs="仿宋"/>
          <w:color w:val="auto"/>
          <w:sz w:val="28"/>
          <w:szCs w:val="28"/>
          <w:highlight w:val="none"/>
        </w:rPr>
        <w:t>三、获取采购文件</w:t>
      </w:r>
      <w:bookmarkEnd w:id="11"/>
      <w:bookmarkEnd w:id="12"/>
      <w:bookmarkEnd w:id="13"/>
      <w:bookmarkEnd w:id="14"/>
    </w:p>
    <w:p>
      <w:pPr>
        <w:spacing w:line="360" w:lineRule="auto"/>
        <w:ind w:firstLine="540"/>
        <w:rPr>
          <w:rFonts w:hint="eastAsia" w:ascii="仿宋" w:hAnsi="仿宋" w:eastAsia="仿宋" w:cs="仿宋"/>
          <w:color w:val="auto"/>
          <w:sz w:val="24"/>
          <w:highlight w:val="green"/>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green"/>
        </w:rPr>
        <w:t>至202</w:t>
      </w:r>
      <w:r>
        <w:rPr>
          <w:rFonts w:hint="eastAsia" w:ascii="仿宋" w:hAnsi="仿宋" w:eastAsia="仿宋" w:cs="仿宋"/>
          <w:color w:val="auto"/>
          <w:sz w:val="24"/>
          <w:highlight w:val="green"/>
          <w:lang w:val="en-US" w:eastAsia="zh-CN"/>
        </w:rPr>
        <w:t>3</w:t>
      </w:r>
      <w:r>
        <w:rPr>
          <w:rFonts w:hint="eastAsia" w:ascii="仿宋" w:hAnsi="仿宋" w:eastAsia="仿宋" w:cs="仿宋"/>
          <w:color w:val="auto"/>
          <w:sz w:val="24"/>
          <w:highlight w:val="green"/>
        </w:rPr>
        <w:t>年</w:t>
      </w:r>
      <w:r>
        <w:rPr>
          <w:rFonts w:hint="eastAsia" w:ascii="仿宋" w:hAnsi="仿宋" w:eastAsia="仿宋" w:cs="仿宋"/>
          <w:color w:val="auto"/>
          <w:sz w:val="24"/>
          <w:highlight w:val="green"/>
          <w:lang w:val="en-US" w:eastAsia="zh-CN"/>
        </w:rPr>
        <w:t xml:space="preserve"> 5 </w:t>
      </w:r>
      <w:r>
        <w:rPr>
          <w:rFonts w:hint="eastAsia" w:ascii="仿宋" w:hAnsi="仿宋" w:eastAsia="仿宋" w:cs="仿宋"/>
          <w:color w:val="auto"/>
          <w:sz w:val="24"/>
          <w:highlight w:val="green"/>
        </w:rPr>
        <w:t>月</w:t>
      </w:r>
      <w:r>
        <w:rPr>
          <w:rFonts w:hint="eastAsia" w:ascii="仿宋" w:hAnsi="仿宋" w:eastAsia="仿宋" w:cs="仿宋"/>
          <w:color w:val="auto"/>
          <w:sz w:val="24"/>
          <w:highlight w:val="green"/>
          <w:lang w:val="en-US" w:eastAsia="zh-CN"/>
        </w:rPr>
        <w:t xml:space="preserve"> 9 </w:t>
      </w:r>
      <w:r>
        <w:rPr>
          <w:rFonts w:hint="eastAsia" w:ascii="仿宋" w:hAnsi="仿宋" w:eastAsia="仿宋" w:cs="仿宋"/>
          <w:color w:val="auto"/>
          <w:sz w:val="24"/>
          <w:highlight w:val="green"/>
        </w:rPr>
        <w:t>日</w:t>
      </w:r>
      <w:r>
        <w:rPr>
          <w:rFonts w:hint="eastAsia" w:ascii="仿宋" w:hAnsi="仿宋" w:eastAsia="仿宋" w:cs="仿宋"/>
          <w:color w:val="auto"/>
          <w:sz w:val="24"/>
          <w:highlight w:val="green"/>
          <w:lang w:val="en-US" w:eastAsia="zh-CN"/>
        </w:rPr>
        <w:t>9</w:t>
      </w:r>
      <w:r>
        <w:rPr>
          <w:rFonts w:hint="eastAsia" w:ascii="仿宋" w:hAnsi="仿宋" w:eastAsia="仿宋" w:cs="仿宋"/>
          <w:color w:val="auto"/>
          <w:sz w:val="24"/>
          <w:highlight w:val="green"/>
        </w:rPr>
        <w:t>：</w:t>
      </w:r>
      <w:r>
        <w:rPr>
          <w:rFonts w:hint="eastAsia" w:ascii="仿宋" w:hAnsi="仿宋" w:eastAsia="仿宋" w:cs="仿宋"/>
          <w:color w:val="auto"/>
          <w:sz w:val="24"/>
          <w:highlight w:val="green"/>
          <w:lang w:val="en-US" w:eastAsia="zh-CN"/>
        </w:rPr>
        <w:t>3</w:t>
      </w:r>
      <w:r>
        <w:rPr>
          <w:rFonts w:hint="eastAsia" w:ascii="仿宋" w:hAnsi="仿宋" w:eastAsia="仿宋" w:cs="仿宋"/>
          <w:color w:val="auto"/>
          <w:sz w:val="24"/>
          <w:highlight w:val="green"/>
        </w:rPr>
        <w:t>0</w:t>
      </w:r>
    </w:p>
    <w:p>
      <w:pPr>
        <w:spacing w:line="360" w:lineRule="auto"/>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北京时间，线上获取法定节假日均可</w:t>
      </w:r>
    </w:p>
    <w:p>
      <w:pPr>
        <w:spacing w:line="360" w:lineRule="auto"/>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潜在供应商获取公开招标文件前应当在电子交易平台上注册账号并登录，截止时间后不再接受潜在供应商获取公开招标文件。</w:t>
      </w:r>
    </w:p>
    <w:p>
      <w:pPr>
        <w:spacing w:line="360" w:lineRule="auto"/>
        <w:ind w:firstLine="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地点：本次公开招标文件实行网上免费获取，无需供应商现场报名。</w:t>
      </w:r>
    </w:p>
    <w:p>
      <w:pPr>
        <w:spacing w:line="360" w:lineRule="auto"/>
        <w:ind w:firstLine="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方式：网上获取</w:t>
      </w:r>
    </w:p>
    <w:p>
      <w:pPr>
        <w:spacing w:line="360" w:lineRule="auto"/>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售价：网上免费获取</w:t>
      </w:r>
    </w:p>
    <w:p>
      <w:pPr>
        <w:spacing w:line="360" w:lineRule="auto"/>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注：公开招标文件同时以本公告附件形式发布，该公开招标文件仅供阅览使用，潜在供应商只有在“政府采购云平台”完成注册并下载了公开招标文件后才视作依法获取公开招标文件，未在政采云平台上获取公开招标文件的潜在供应商均无资格参加本次招标。已依法获取公开招标文件的供应商不代表已通过资格审查，资格审查由采购人代表在开标前根据供应商提交的投标响应文件认定。</w:t>
      </w:r>
    </w:p>
    <w:p>
      <w:pPr>
        <w:pStyle w:val="5"/>
        <w:spacing w:line="360" w:lineRule="auto"/>
        <w:rPr>
          <w:rFonts w:hint="eastAsia" w:ascii="仿宋" w:hAnsi="仿宋" w:eastAsia="仿宋" w:cs="仿宋"/>
          <w:color w:val="auto"/>
          <w:sz w:val="28"/>
          <w:szCs w:val="28"/>
          <w:highlight w:val="none"/>
        </w:rPr>
      </w:pPr>
      <w:bookmarkStart w:id="15" w:name="_Toc28359092"/>
      <w:bookmarkStart w:id="16" w:name="_Toc35393801"/>
      <w:bookmarkStart w:id="17" w:name="_Toc35393632"/>
      <w:bookmarkStart w:id="18" w:name="_Toc28359015"/>
      <w:r>
        <w:rPr>
          <w:rFonts w:hint="eastAsia" w:ascii="仿宋" w:hAnsi="仿宋" w:eastAsia="仿宋" w:cs="仿宋"/>
          <w:color w:val="auto"/>
          <w:sz w:val="28"/>
          <w:szCs w:val="28"/>
          <w:highlight w:val="none"/>
        </w:rPr>
        <w:t>四、响应文件提交</w:t>
      </w:r>
      <w:bookmarkEnd w:id="15"/>
      <w:bookmarkEnd w:id="16"/>
      <w:bookmarkEnd w:id="17"/>
      <w:bookmarkEnd w:id="18"/>
    </w:p>
    <w:p>
      <w:pPr>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截止时间：202</w:t>
      </w:r>
      <w:r>
        <w:rPr>
          <w:rFonts w:hint="eastAsia" w:ascii="仿宋" w:hAnsi="仿宋" w:eastAsia="仿宋" w:cs="仿宋"/>
          <w:color w:val="auto"/>
          <w:sz w:val="24"/>
          <w:highlight w:val="green"/>
          <w:lang w:val="en-US" w:eastAsia="zh-CN"/>
        </w:rPr>
        <w:t>3</w:t>
      </w:r>
      <w:r>
        <w:rPr>
          <w:rFonts w:hint="eastAsia" w:ascii="仿宋" w:hAnsi="仿宋" w:eastAsia="仿宋" w:cs="仿宋"/>
          <w:color w:val="auto"/>
          <w:sz w:val="24"/>
          <w:highlight w:val="green"/>
        </w:rPr>
        <w:t>年</w:t>
      </w:r>
      <w:r>
        <w:rPr>
          <w:rFonts w:hint="eastAsia" w:ascii="仿宋" w:hAnsi="仿宋" w:eastAsia="仿宋" w:cs="仿宋"/>
          <w:color w:val="auto"/>
          <w:sz w:val="24"/>
          <w:highlight w:val="green"/>
          <w:lang w:val="en-US" w:eastAsia="zh-CN"/>
        </w:rPr>
        <w:t xml:space="preserve"> 5 </w:t>
      </w:r>
      <w:r>
        <w:rPr>
          <w:rFonts w:hint="eastAsia" w:ascii="仿宋" w:hAnsi="仿宋" w:eastAsia="仿宋" w:cs="仿宋"/>
          <w:color w:val="auto"/>
          <w:sz w:val="24"/>
          <w:highlight w:val="green"/>
        </w:rPr>
        <w:t>月</w:t>
      </w:r>
      <w:r>
        <w:rPr>
          <w:rFonts w:hint="eastAsia" w:ascii="仿宋" w:hAnsi="仿宋" w:eastAsia="仿宋" w:cs="仿宋"/>
          <w:color w:val="auto"/>
          <w:sz w:val="24"/>
          <w:highlight w:val="green"/>
          <w:lang w:val="en-US" w:eastAsia="zh-CN"/>
        </w:rPr>
        <w:t xml:space="preserve"> 9 </w:t>
      </w:r>
      <w:r>
        <w:rPr>
          <w:rFonts w:hint="eastAsia" w:ascii="仿宋" w:hAnsi="仿宋" w:eastAsia="仿宋" w:cs="仿宋"/>
          <w:color w:val="auto"/>
          <w:sz w:val="24"/>
          <w:highlight w:val="green"/>
        </w:rPr>
        <w:t>日</w:t>
      </w:r>
      <w:r>
        <w:rPr>
          <w:rFonts w:hint="eastAsia" w:ascii="仿宋" w:hAnsi="仿宋" w:eastAsia="仿宋" w:cs="仿宋"/>
          <w:color w:val="auto"/>
          <w:sz w:val="24"/>
          <w:highlight w:val="green"/>
          <w:lang w:val="en-US" w:eastAsia="zh-CN"/>
        </w:rPr>
        <w:t>9</w:t>
      </w:r>
      <w:r>
        <w:rPr>
          <w:rFonts w:hint="eastAsia" w:ascii="仿宋" w:hAnsi="仿宋" w:eastAsia="仿宋" w:cs="仿宋"/>
          <w:color w:val="auto"/>
          <w:sz w:val="24"/>
          <w:highlight w:val="green"/>
        </w:rPr>
        <w:t>点</w:t>
      </w:r>
      <w:r>
        <w:rPr>
          <w:rFonts w:hint="eastAsia" w:ascii="仿宋" w:hAnsi="仿宋" w:eastAsia="仿宋" w:cs="仿宋"/>
          <w:color w:val="auto"/>
          <w:sz w:val="24"/>
          <w:highlight w:val="green"/>
          <w:lang w:val="en-US" w:eastAsia="zh-CN"/>
        </w:rPr>
        <w:t>3</w:t>
      </w:r>
      <w:r>
        <w:rPr>
          <w:rFonts w:hint="eastAsia" w:ascii="仿宋" w:hAnsi="仿宋" w:eastAsia="仿宋" w:cs="仿宋"/>
          <w:color w:val="auto"/>
          <w:sz w:val="24"/>
          <w:highlight w:val="green"/>
        </w:rPr>
        <w:t>0</w:t>
      </w:r>
      <w:r>
        <w:rPr>
          <w:rFonts w:hint="eastAsia" w:ascii="仿宋" w:hAnsi="仿宋" w:eastAsia="仿宋" w:cs="仿宋"/>
          <w:color w:val="auto"/>
          <w:sz w:val="24"/>
          <w:highlight w:val="none"/>
        </w:rPr>
        <w:t>分（北京时间）</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eastAsia="zh-CN"/>
        </w:rPr>
        <w:t>湖州市公共资源交易中心2号楼二楼开标室（湖州市仁皇山片区金盖山路66号2号楼，届时详见二楼休息区电子显示屏）</w:t>
      </w:r>
    </w:p>
    <w:p>
      <w:pPr>
        <w:pStyle w:val="5"/>
        <w:spacing w:line="360" w:lineRule="auto"/>
        <w:rPr>
          <w:rFonts w:hint="eastAsia" w:ascii="仿宋" w:hAnsi="仿宋" w:eastAsia="仿宋" w:cs="仿宋"/>
          <w:color w:val="auto"/>
          <w:sz w:val="28"/>
          <w:szCs w:val="28"/>
          <w:highlight w:val="none"/>
        </w:rPr>
      </w:pPr>
      <w:bookmarkStart w:id="19" w:name="_Toc28359093"/>
      <w:bookmarkStart w:id="20" w:name="_Toc35393633"/>
      <w:bookmarkStart w:id="21" w:name="_Toc28359016"/>
      <w:bookmarkStart w:id="22" w:name="_Toc35393802"/>
      <w:r>
        <w:rPr>
          <w:rFonts w:hint="eastAsia" w:ascii="仿宋" w:hAnsi="仿宋" w:eastAsia="仿宋" w:cs="仿宋"/>
          <w:color w:val="auto"/>
          <w:sz w:val="28"/>
          <w:szCs w:val="28"/>
          <w:highlight w:val="none"/>
        </w:rPr>
        <w:t>五、开启</w:t>
      </w:r>
      <w:bookmarkEnd w:id="19"/>
      <w:bookmarkEnd w:id="20"/>
      <w:bookmarkEnd w:id="21"/>
      <w:bookmarkEnd w:id="22"/>
    </w:p>
    <w:p>
      <w:pPr>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时间：202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green"/>
          <w:lang w:val="en-US" w:eastAsia="zh-CN"/>
        </w:rPr>
        <w:t xml:space="preserve"> 5 </w:t>
      </w:r>
      <w:r>
        <w:rPr>
          <w:rFonts w:hint="eastAsia" w:ascii="仿宋" w:hAnsi="仿宋" w:eastAsia="仿宋" w:cs="仿宋"/>
          <w:color w:val="auto"/>
          <w:sz w:val="24"/>
          <w:highlight w:val="green"/>
        </w:rPr>
        <w:t>月</w:t>
      </w:r>
      <w:r>
        <w:rPr>
          <w:rFonts w:hint="eastAsia" w:ascii="仿宋" w:hAnsi="仿宋" w:eastAsia="仿宋" w:cs="仿宋"/>
          <w:color w:val="auto"/>
          <w:sz w:val="24"/>
          <w:highlight w:val="green"/>
          <w:lang w:val="en-US" w:eastAsia="zh-CN"/>
        </w:rPr>
        <w:t xml:space="preserve"> 9 </w:t>
      </w:r>
      <w:r>
        <w:rPr>
          <w:rFonts w:hint="eastAsia" w:ascii="仿宋" w:hAnsi="仿宋" w:eastAsia="仿宋" w:cs="仿宋"/>
          <w:color w:val="auto"/>
          <w:sz w:val="24"/>
          <w:highlight w:val="green"/>
        </w:rPr>
        <w:t xml:space="preserve">日 </w:t>
      </w:r>
      <w:r>
        <w:rPr>
          <w:rFonts w:hint="eastAsia" w:ascii="仿宋" w:hAnsi="仿宋" w:eastAsia="仿宋" w:cs="仿宋"/>
          <w:color w:val="auto"/>
          <w:sz w:val="24"/>
          <w:highlight w:val="green"/>
          <w:lang w:val="en-US" w:eastAsia="zh-CN"/>
        </w:rPr>
        <w:t>9</w:t>
      </w:r>
      <w:r>
        <w:rPr>
          <w:rFonts w:hint="eastAsia" w:ascii="仿宋" w:hAnsi="仿宋" w:eastAsia="仿宋" w:cs="仿宋"/>
          <w:color w:val="auto"/>
          <w:sz w:val="24"/>
          <w:highlight w:val="green"/>
        </w:rPr>
        <w:t>点</w:t>
      </w:r>
      <w:r>
        <w:rPr>
          <w:rFonts w:hint="eastAsia" w:ascii="仿宋" w:hAnsi="仿宋" w:eastAsia="仿宋" w:cs="仿宋"/>
          <w:color w:val="auto"/>
          <w:sz w:val="24"/>
          <w:highlight w:val="green"/>
          <w:lang w:val="en-US" w:eastAsia="zh-CN"/>
        </w:rPr>
        <w:t>3</w:t>
      </w:r>
      <w:r>
        <w:rPr>
          <w:rFonts w:hint="eastAsia" w:ascii="仿宋" w:hAnsi="仿宋" w:eastAsia="仿宋" w:cs="仿宋"/>
          <w:color w:val="auto"/>
          <w:sz w:val="24"/>
          <w:highlight w:val="green"/>
        </w:rPr>
        <w:t>0分（北</w:t>
      </w:r>
      <w:r>
        <w:rPr>
          <w:rFonts w:hint="eastAsia" w:ascii="仿宋" w:hAnsi="仿宋" w:eastAsia="仿宋" w:cs="仿宋"/>
          <w:color w:val="auto"/>
          <w:sz w:val="24"/>
          <w:highlight w:val="none"/>
        </w:rPr>
        <w:t>京时间）</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地点：</w:t>
      </w:r>
      <w:r>
        <w:rPr>
          <w:rFonts w:hint="eastAsia" w:ascii="仿宋" w:hAnsi="仿宋" w:eastAsia="仿宋" w:cs="仿宋"/>
          <w:b w:val="0"/>
          <w:bCs w:val="0"/>
          <w:kern w:val="0"/>
          <w:sz w:val="24"/>
          <w:szCs w:val="24"/>
          <w:highlight w:val="none"/>
          <w:lang w:eastAsia="zh-CN"/>
        </w:rPr>
        <w:t>湖州市公共资源交易中心2号楼二楼开标室（湖州市仁皇山片区金盖山路66号2号楼，届时详见二楼休息区电子显示屏）</w:t>
      </w:r>
    </w:p>
    <w:p>
      <w:pPr>
        <w:pStyle w:val="5"/>
        <w:spacing w:line="360" w:lineRule="auto"/>
        <w:rPr>
          <w:rFonts w:hint="eastAsia" w:ascii="仿宋" w:hAnsi="仿宋" w:eastAsia="仿宋" w:cs="仿宋"/>
          <w:color w:val="auto"/>
          <w:kern w:val="0"/>
          <w:sz w:val="24"/>
          <w:szCs w:val="24"/>
          <w:highlight w:val="none"/>
        </w:rPr>
      </w:pPr>
      <w:bookmarkStart w:id="23" w:name="_Toc28359094"/>
      <w:bookmarkStart w:id="24" w:name="_Toc35393803"/>
      <w:bookmarkStart w:id="25" w:name="_Toc35393634"/>
      <w:bookmarkStart w:id="26" w:name="_Toc28359017"/>
      <w:r>
        <w:rPr>
          <w:rFonts w:hint="eastAsia" w:ascii="仿宋" w:hAnsi="仿宋" w:eastAsia="仿宋" w:cs="仿宋"/>
          <w:color w:val="auto"/>
          <w:sz w:val="28"/>
          <w:szCs w:val="28"/>
          <w:highlight w:val="none"/>
        </w:rPr>
        <w:t>六、公告期限</w:t>
      </w:r>
      <w:bookmarkEnd w:id="23"/>
      <w:bookmarkEnd w:id="24"/>
      <w:bookmarkEnd w:id="25"/>
      <w:bookmarkEnd w:id="26"/>
      <w:r>
        <w:rPr>
          <w:rFonts w:hint="eastAsia" w:ascii="仿宋" w:hAnsi="仿宋" w:eastAsia="仿宋" w:cs="仿宋"/>
          <w:color w:val="auto"/>
          <w:sz w:val="28"/>
          <w:szCs w:val="28"/>
          <w:highlight w:val="none"/>
        </w:rPr>
        <w:t>：</w:t>
      </w:r>
      <w:r>
        <w:rPr>
          <w:rFonts w:hint="eastAsia" w:ascii="仿宋" w:hAnsi="仿宋" w:eastAsia="仿宋" w:cs="仿宋"/>
          <w:b w:val="0"/>
          <w:color w:val="auto"/>
          <w:sz w:val="24"/>
          <w:szCs w:val="24"/>
          <w:highlight w:val="none"/>
        </w:rPr>
        <w:t>至投标截止时间。</w:t>
      </w:r>
    </w:p>
    <w:p>
      <w:pPr>
        <w:pStyle w:val="5"/>
        <w:spacing w:line="360" w:lineRule="auto"/>
        <w:rPr>
          <w:rFonts w:hint="eastAsia" w:ascii="仿宋" w:hAnsi="仿宋" w:eastAsia="仿宋" w:cs="仿宋"/>
          <w:color w:val="auto"/>
          <w:sz w:val="28"/>
          <w:szCs w:val="28"/>
          <w:highlight w:val="none"/>
        </w:rPr>
      </w:pPr>
      <w:bookmarkStart w:id="27" w:name="_Toc35393804"/>
      <w:bookmarkStart w:id="28" w:name="_Toc35393635"/>
      <w:r>
        <w:rPr>
          <w:rFonts w:hint="eastAsia" w:ascii="仿宋" w:hAnsi="仿宋" w:eastAsia="仿宋" w:cs="仿宋"/>
          <w:color w:val="auto"/>
          <w:sz w:val="28"/>
          <w:szCs w:val="28"/>
          <w:highlight w:val="none"/>
        </w:rPr>
        <w:t>七、其他补充事宜</w:t>
      </w:r>
      <w:bookmarkEnd w:id="27"/>
      <w:bookmarkEnd w:id="28"/>
    </w:p>
    <w:p>
      <w:pPr>
        <w:pStyle w:val="10"/>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一）、潜在供应商已依法获取（依法获取指：供应商按本项目招标公告要求在政采云系统上获取并报名成功）其可质疑的公开招标文件，可以对该文件提出质疑。未按照规定方式依法获取公开招标文件的，不得对公开招标文件提起质疑投诉。</w:t>
      </w:r>
    </w:p>
    <w:p>
      <w:pPr>
        <w:pStyle w:val="10"/>
        <w:ind w:firstLine="600" w:firstLineChars="25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二）、质疑投诉根据《中华人民共和国财政部令第 94 号-政府采购质疑和投诉办法》规定,供应商须在法定质疑期内一次性提出针对同一采购程序环节的质疑。质疑函范本、投诉书范本请到浙江政府采购网下载专区下载。</w:t>
      </w:r>
    </w:p>
    <w:p>
      <w:pPr>
        <w:ind w:firstLine="600" w:firstLineChars="250"/>
        <w:rPr>
          <w:rFonts w:hint="eastAsia" w:ascii="仿宋" w:hAnsi="仿宋" w:eastAsia="仿宋" w:cs="仿宋"/>
          <w:color w:val="auto"/>
          <w:highlight w:val="none"/>
        </w:rPr>
      </w:pPr>
      <w:r>
        <w:rPr>
          <w:rFonts w:hint="eastAsia" w:ascii="仿宋" w:hAnsi="仿宋" w:eastAsia="仿宋" w:cs="仿宋"/>
          <w:color w:val="auto"/>
          <w:sz w:val="24"/>
          <w:highlight w:val="none"/>
        </w:rPr>
        <w:t>三）、答疑内容是公开招标文件的组成部分，并将在网上发布补充（答疑、澄清）文件， 潜在供应商应自行关注网站公告，采购人不再一一通知，供应商因自身贻误行为导致投标响应失效的，责任自负。</w:t>
      </w:r>
    </w:p>
    <w:p>
      <w:pPr>
        <w:pStyle w:val="10"/>
        <w:ind w:left="420" w:leftChars="200" w:firstLine="24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四）、各供应商不需要到现场参加开标。（备份发文件由供应商自愿决定是否邮寄）</w:t>
      </w:r>
    </w:p>
    <w:p>
      <w:pPr>
        <w:pStyle w:val="10"/>
        <w:ind w:firstLine="600" w:firstLineChars="25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供应商不参加现场开标的，采用邮寄方式递交备份投标文件（以介质存储的数据电文形式的备份投标文件，按政采云平台项目采购-电子交易操作指南中上传的电子投标文件格式，以U盘形式存储提供）。邮寄地址：</w:t>
      </w:r>
      <w:r>
        <w:rPr>
          <w:rFonts w:hint="eastAsia" w:ascii="仿宋" w:hAnsi="仿宋" w:eastAsia="仿宋" w:cs="仿宋"/>
          <w:b w:val="0"/>
          <w:color w:val="auto"/>
          <w:sz w:val="24"/>
          <w:highlight w:val="none"/>
          <w:lang w:val="zh-CN"/>
        </w:rPr>
        <w:t>浙江诚远工程咨询有限公司（湖州市吴兴区谈家扇花园小区社区管理房1幢201室）</w:t>
      </w:r>
      <w:r>
        <w:rPr>
          <w:rFonts w:hint="eastAsia" w:ascii="仿宋" w:hAnsi="仿宋" w:eastAsia="仿宋" w:cs="仿宋"/>
          <w:b w:val="0"/>
          <w:color w:val="auto"/>
          <w:sz w:val="24"/>
          <w:highlight w:val="none"/>
        </w:rPr>
        <w:t>；联系人：</w:t>
      </w:r>
      <w:r>
        <w:rPr>
          <w:rFonts w:hint="eastAsia" w:ascii="仿宋" w:hAnsi="仿宋" w:eastAsia="仿宋" w:cs="仿宋"/>
          <w:b w:val="0"/>
          <w:color w:val="auto"/>
          <w:sz w:val="24"/>
          <w:highlight w:val="none"/>
          <w:lang w:eastAsia="zh-CN"/>
        </w:rPr>
        <w:t>沈雍</w:t>
      </w:r>
      <w:r>
        <w:rPr>
          <w:rFonts w:hint="eastAsia" w:ascii="仿宋" w:hAnsi="仿宋" w:eastAsia="仿宋" w:cs="仿宋"/>
          <w:b w:val="0"/>
          <w:color w:val="auto"/>
          <w:sz w:val="24"/>
          <w:highlight w:val="none"/>
        </w:rPr>
        <w:t>，联系电话：</w:t>
      </w:r>
      <w:r>
        <w:rPr>
          <w:rFonts w:hint="eastAsia" w:ascii="仿宋" w:hAnsi="仿宋" w:eastAsia="仿宋" w:cs="仿宋"/>
          <w:b w:val="0"/>
          <w:color w:val="auto"/>
          <w:sz w:val="24"/>
          <w:highlight w:val="none"/>
          <w:lang w:eastAsia="zh-CN"/>
        </w:rPr>
        <w:t>0572-2052970</w:t>
      </w:r>
      <w:r>
        <w:rPr>
          <w:rFonts w:hint="eastAsia" w:ascii="仿宋" w:hAnsi="仿宋" w:eastAsia="仿宋" w:cs="仿宋"/>
          <w:b w:val="0"/>
          <w:color w:val="auto"/>
          <w:sz w:val="24"/>
          <w:highlight w:val="none"/>
        </w:rPr>
        <w:t>。</w:t>
      </w:r>
    </w:p>
    <w:p>
      <w:pPr>
        <w:pStyle w:val="10"/>
        <w:ind w:left="420" w:leftChars="200" w:firstLine="24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（1）公告之日起至投标截止时间，供应商需留足投标响应备份文件邮寄时间,确保投标响应备份文件于投标截止时间前送达，因自身贻误行为导致投标失败的，责任自负。</w:t>
      </w:r>
    </w:p>
    <w:p>
      <w:pPr>
        <w:pStyle w:val="10"/>
        <w:ind w:left="420" w:leftChars="200" w:firstLine="24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（2）邮寄时，外包封袋上可不注明投标单位名称，但应注明投标单位的联系人、联系电话及投标项目名称。</w:t>
      </w:r>
    </w:p>
    <w:p>
      <w:pPr>
        <w:pStyle w:val="10"/>
        <w:ind w:firstLine="720" w:firstLineChars="3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五）、CA 锁解密时间为开标当日投标截止时间后，各供应商须提供符合要求的 CA 加密后的电子响应文件、有效的 CA 锁供开标解密。投标截止时间止未完成上传的电子响应文件或未按公开招标文件要求密封、包装的数据电子备份响应文件（U 盘）将拒绝接收，作无效标处理。整个开标过程中若因投标供应商问题造成电子响应文件无法正常解密的，均认定为未提交电子响应文件，作无效标处理。若因网络或者其他非供应商问题造成电子响应文件无法正常解密的，启用数据电子备份响应文件。若正常解密成功，则数据电子备份响应文件（U 盘）不予开启。在下一顺位的响应文件启用时，前一顺位的响应文件自动失效。</w:t>
      </w:r>
    </w:p>
    <w:p>
      <w:pPr>
        <w:pStyle w:val="10"/>
        <w:ind w:firstLine="240"/>
        <w:rPr>
          <w:rFonts w:hint="default" w:ascii="仿宋" w:hAnsi="仿宋" w:eastAsia="仿宋" w:cs="仿宋"/>
          <w:color w:val="auto"/>
          <w:highlight w:val="none"/>
          <w:lang w:val="en-US" w:eastAsia="zh-CN"/>
        </w:rPr>
      </w:pPr>
      <w:r>
        <w:rPr>
          <w:rFonts w:hint="eastAsia" w:ascii="仿宋" w:hAnsi="仿宋" w:eastAsia="仿宋" w:cs="仿宋"/>
          <w:b w:val="0"/>
          <w:color w:val="auto"/>
          <w:sz w:val="24"/>
          <w:highlight w:val="none"/>
        </w:rPr>
        <w:t>六）</w:t>
      </w:r>
      <w:r>
        <w:rPr>
          <w:rFonts w:hint="eastAsia" w:ascii="仿宋" w:hAnsi="仿宋" w:eastAsia="仿宋" w:cs="仿宋"/>
          <w:color w:val="auto"/>
          <w:sz w:val="24"/>
          <w:highlight w:val="none"/>
        </w:rPr>
        <w:t>、根据《政府采购促进中小企业发展管理办法》（财库（2020）46号），本项目是否专门面向中小企业采购：</w:t>
      </w:r>
      <w:r>
        <w:rPr>
          <w:rFonts w:hint="eastAsia" w:ascii="仿宋" w:hAnsi="仿宋" w:eastAsia="仿宋" w:cs="仿宋"/>
          <w:color w:val="auto"/>
          <w:sz w:val="24"/>
          <w:highlight w:val="none"/>
          <w:lang w:val="en-US" w:eastAsia="zh-CN"/>
        </w:rPr>
        <w:t>否</w:t>
      </w:r>
    </w:p>
    <w:p>
      <w:pPr>
        <w:pStyle w:val="5"/>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8"/>
          <w:szCs w:val="28"/>
          <w:highlight w:val="none"/>
        </w:rPr>
        <w:t>八、</w:t>
      </w:r>
      <w:r>
        <w:rPr>
          <w:rFonts w:hint="eastAsia" w:ascii="仿宋" w:hAnsi="仿宋" w:eastAsia="仿宋" w:cs="仿宋"/>
          <w:color w:val="auto"/>
          <w:kern w:val="0"/>
          <w:sz w:val="28"/>
          <w:szCs w:val="28"/>
          <w:highlight w:val="none"/>
        </w:rPr>
        <w:t>中标（成交）供应商融资途径信息</w:t>
      </w:r>
    </w:p>
    <w:p>
      <w:pPr>
        <w:pStyle w:val="5"/>
        <w:spacing w:line="360" w:lineRule="auto"/>
        <w:ind w:firstLine="480" w:firstLineChars="200"/>
        <w:rPr>
          <w:rFonts w:hint="eastAsia" w:ascii="仿宋" w:hAnsi="仿宋" w:eastAsia="仿宋" w:cs="仿宋"/>
          <w:b w:val="0"/>
          <w:bCs w:val="0"/>
          <w:color w:val="auto"/>
          <w:kern w:val="0"/>
          <w:sz w:val="24"/>
          <w:highlight w:val="none"/>
        </w:rPr>
      </w:pPr>
      <w:bookmarkStart w:id="29" w:name="_Toc28359095"/>
      <w:bookmarkStart w:id="30" w:name="_Toc35393636"/>
      <w:bookmarkStart w:id="31" w:name="_Toc28359018"/>
      <w:bookmarkStart w:id="32" w:name="_Toc35393805"/>
      <w:r>
        <w:rPr>
          <w:rFonts w:hint="eastAsia" w:ascii="仿宋" w:hAnsi="仿宋" w:eastAsia="仿宋" w:cs="仿宋"/>
          <w:b w:val="0"/>
          <w:bCs w:val="0"/>
          <w:color w:val="auto"/>
          <w:kern w:val="0"/>
          <w:sz w:val="24"/>
          <w:highlight w:val="none"/>
        </w:rPr>
        <w:t>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pStyle w:val="5"/>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九、凡对本次采购提出询问，请按以下方式联系。</w:t>
      </w:r>
      <w:bookmarkEnd w:id="29"/>
      <w:bookmarkEnd w:id="30"/>
      <w:bookmarkEnd w:id="31"/>
      <w:bookmarkEnd w:id="32"/>
    </w:p>
    <w:p>
      <w:pPr>
        <w:pStyle w:val="5"/>
        <w:spacing w:line="240" w:lineRule="auto"/>
        <w:ind w:firstLine="720" w:firstLineChars="300"/>
        <w:rPr>
          <w:rFonts w:hint="eastAsia" w:ascii="仿宋" w:hAnsi="仿宋" w:eastAsia="仿宋" w:cs="仿宋"/>
          <w:b w:val="0"/>
          <w:color w:val="auto"/>
          <w:sz w:val="24"/>
          <w:szCs w:val="24"/>
          <w:highlight w:val="none"/>
        </w:rPr>
      </w:pPr>
      <w:bookmarkStart w:id="33" w:name="_Toc35393637"/>
      <w:bookmarkStart w:id="34" w:name="_Toc28359019"/>
      <w:bookmarkStart w:id="35" w:name="_Toc35393806"/>
      <w:bookmarkStart w:id="36" w:name="_Toc28359096"/>
      <w:r>
        <w:rPr>
          <w:rFonts w:hint="eastAsia" w:ascii="仿宋" w:hAnsi="仿宋" w:eastAsia="仿宋" w:cs="仿宋"/>
          <w:b w:val="0"/>
          <w:color w:val="auto"/>
          <w:sz w:val="24"/>
          <w:szCs w:val="24"/>
          <w:highlight w:val="none"/>
        </w:rPr>
        <w:t>1.采购人信息</w:t>
      </w:r>
      <w:bookmarkEnd w:id="33"/>
      <w:bookmarkEnd w:id="34"/>
      <w:bookmarkEnd w:id="35"/>
      <w:bookmarkEnd w:id="36"/>
    </w:p>
    <w:p>
      <w:pPr>
        <w:ind w:left="1079" w:leftChars="371" w:hanging="300" w:hangingChars="125"/>
        <w:jc w:val="left"/>
        <w:rPr>
          <w:rFonts w:hint="eastAsia" w:ascii="仿宋" w:hAnsi="仿宋" w:eastAsia="仿宋" w:cs="仿宋"/>
          <w:color w:val="auto"/>
          <w:sz w:val="24"/>
          <w:highlight w:val="none"/>
        </w:rPr>
      </w:pPr>
      <w:bookmarkStart w:id="37" w:name="_Toc28359097"/>
      <w:bookmarkStart w:id="38" w:name="_Toc35393638"/>
      <w:bookmarkStart w:id="39" w:name="_Toc35393807"/>
      <w:bookmarkStart w:id="40" w:name="_Toc28359020"/>
      <w:r>
        <w:rPr>
          <w:rFonts w:hint="eastAsia" w:ascii="仿宋" w:hAnsi="仿宋" w:eastAsia="仿宋" w:cs="仿宋"/>
          <w:color w:val="auto"/>
          <w:sz w:val="24"/>
          <w:highlight w:val="none"/>
        </w:rPr>
        <w:t>名    称：  浙江省湖州市南浔区发展改革和经济信息化局</w:t>
      </w:r>
    </w:p>
    <w:p>
      <w:pPr>
        <w:ind w:left="1079" w:leftChars="371" w:hanging="300" w:hangingChars="125"/>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湖州市南浔区南浔镇向阳路601号</w:t>
      </w:r>
    </w:p>
    <w:p>
      <w:pPr>
        <w:ind w:left="1079" w:leftChars="371" w:hanging="300" w:hangingChars="125"/>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钱杰</w:t>
      </w:r>
    </w:p>
    <w:p>
      <w:pPr>
        <w:ind w:left="1079" w:leftChars="371" w:hanging="300" w:hangingChars="125"/>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联系电话：</w:t>
      </w:r>
      <w:r>
        <w:rPr>
          <w:rFonts w:hint="eastAsia" w:ascii="仿宋" w:hAnsi="仿宋" w:eastAsia="仿宋" w:cs="仿宋"/>
          <w:highlight w:val="none"/>
        </w:rPr>
        <w:t>15705721315</w:t>
      </w:r>
    </w:p>
    <w:p>
      <w:pPr>
        <w:pStyle w:val="5"/>
        <w:spacing w:line="240" w:lineRule="auto"/>
        <w:ind w:firstLine="720" w:firstLineChars="3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2.采购代理机构信息</w:t>
      </w:r>
      <w:bookmarkEnd w:id="37"/>
      <w:bookmarkEnd w:id="38"/>
      <w:bookmarkEnd w:id="39"/>
      <w:bookmarkEnd w:id="40"/>
    </w:p>
    <w:p>
      <w:pPr>
        <w:pStyle w:val="12"/>
        <w:ind w:firstLine="720" w:firstLineChars="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浙江诚远工程咨询有限公司</w:t>
      </w:r>
    </w:p>
    <w:p>
      <w:pPr>
        <w:pStyle w:val="12"/>
        <w:ind w:firstLine="720" w:firstLineChars="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湖州市吴兴区谈家扇花园小区社区管理房1幢201室</w:t>
      </w:r>
    </w:p>
    <w:p>
      <w:pPr>
        <w:pStyle w:val="12"/>
        <w:ind w:firstLine="720" w:firstLineChars="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沈雍</w:t>
      </w:r>
    </w:p>
    <w:p>
      <w:pPr>
        <w:pStyle w:val="12"/>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18857221260</w:t>
      </w:r>
    </w:p>
    <w:p>
      <w:pPr>
        <w:pStyle w:val="12"/>
        <w:ind w:firstLine="720" w:firstLineChars="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eastAsia="zh-CN"/>
        </w:rPr>
        <w:t>陈女士</w:t>
      </w:r>
    </w:p>
    <w:p>
      <w:pPr>
        <w:pStyle w:val="12"/>
        <w:ind w:firstLine="720" w:firstLineChars="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eastAsia="zh-CN"/>
        </w:rPr>
        <w:t>0572-2052970</w:t>
      </w:r>
    </w:p>
    <w:p>
      <w:pPr>
        <w:pStyle w:val="12"/>
        <w:ind w:firstLine="720" w:firstLineChars="300"/>
        <w:rPr>
          <w:rFonts w:hint="eastAsia" w:ascii="仿宋" w:hAnsi="仿宋" w:eastAsia="仿宋" w:cs="仿宋"/>
          <w:color w:val="auto"/>
          <w:sz w:val="24"/>
          <w:szCs w:val="24"/>
          <w:highlight w:val="none"/>
        </w:rPr>
      </w:pPr>
      <w:bookmarkStart w:id="41" w:name="_Toc35393808"/>
      <w:bookmarkStart w:id="42" w:name="_Toc28359098"/>
      <w:bookmarkStart w:id="43" w:name="_Toc28359021"/>
      <w:bookmarkStart w:id="44" w:name="_Toc35393639"/>
    </w:p>
    <w:p>
      <w:pPr>
        <w:pStyle w:val="12"/>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End w:id="41"/>
      <w:bookmarkEnd w:id="42"/>
      <w:bookmarkEnd w:id="43"/>
      <w:bookmarkEnd w:id="44"/>
      <w:r>
        <w:rPr>
          <w:rFonts w:hint="eastAsia" w:ascii="仿宋" w:hAnsi="仿宋" w:eastAsia="仿宋" w:cs="仿宋"/>
          <w:color w:val="auto"/>
          <w:sz w:val="24"/>
          <w:szCs w:val="24"/>
          <w:highlight w:val="none"/>
        </w:rPr>
        <w:t xml:space="preserve"> 政府采购行政监管及投诉受理部门：</w:t>
      </w:r>
    </w:p>
    <w:p>
      <w:pPr>
        <w:pStyle w:val="12"/>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称：湖州市南浔区财政局政府采购监管科             </w:t>
      </w:r>
    </w:p>
    <w:p>
      <w:pPr>
        <w:pStyle w:val="12"/>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地 址：湖州市南浔镇向阳路601号 </w:t>
      </w:r>
      <w:r>
        <w:rPr>
          <w:rFonts w:hint="eastAsia" w:ascii="仿宋" w:hAnsi="仿宋" w:eastAsia="仿宋" w:cs="仿宋"/>
          <w:color w:val="auto"/>
          <w:kern w:val="0"/>
          <w:sz w:val="24"/>
          <w:highlight w:val="none"/>
        </w:rPr>
        <w:t>                      </w:t>
      </w:r>
    </w:p>
    <w:p>
      <w:pPr>
        <w:widowControl/>
        <w:spacing w:before="75" w:after="75"/>
        <w:ind w:firstLine="720" w:firstLineChars="3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联系人 ：孙主任            </w:t>
      </w:r>
    </w:p>
    <w:p>
      <w:pPr>
        <w:widowControl/>
        <w:spacing w:before="75" w:after="75"/>
        <w:ind w:firstLine="720" w:firstLineChars="300"/>
        <w:jc w:val="left"/>
        <w:rPr>
          <w:rFonts w:hint="eastAsia" w:ascii="仿宋" w:hAnsi="仿宋" w:eastAsia="仿宋" w:cs="仿宋"/>
          <w:color w:val="auto"/>
          <w:spacing w:val="4"/>
          <w:highlight w:val="none"/>
        </w:rPr>
      </w:pPr>
      <w:r>
        <w:rPr>
          <w:rFonts w:hint="eastAsia" w:ascii="仿宋" w:hAnsi="仿宋" w:eastAsia="仿宋" w:cs="仿宋"/>
          <w:color w:val="auto"/>
          <w:kern w:val="0"/>
          <w:sz w:val="24"/>
          <w:highlight w:val="none"/>
        </w:rPr>
        <w:t>监督投诉电话：0572-3026731</w:t>
      </w:r>
    </w:p>
    <w:p>
      <w:pPr>
        <w:spacing w:line="360" w:lineRule="auto"/>
        <w:ind w:left="1079" w:leftChars="371" w:hanging="300" w:hangingChars="125"/>
        <w:jc w:val="right"/>
        <w:rPr>
          <w:rFonts w:hint="eastAsia" w:ascii="仿宋" w:hAnsi="仿宋" w:eastAsia="仿宋" w:cs="仿宋"/>
          <w:color w:val="auto"/>
          <w:sz w:val="24"/>
          <w:highlight w:val="none"/>
        </w:rPr>
      </w:pPr>
    </w:p>
    <w:p>
      <w:pPr>
        <w:spacing w:line="360" w:lineRule="auto"/>
        <w:ind w:left="1079" w:leftChars="371" w:hanging="300" w:hangingChars="125"/>
        <w:jc w:val="right"/>
        <w:rPr>
          <w:rFonts w:hint="eastAsia" w:ascii="仿宋" w:hAnsi="仿宋" w:eastAsia="仿宋" w:cs="仿宋"/>
          <w:color w:val="auto"/>
          <w:sz w:val="24"/>
          <w:highlight w:val="none"/>
        </w:rPr>
      </w:pPr>
    </w:p>
    <w:p>
      <w:pPr>
        <w:spacing w:line="360" w:lineRule="auto"/>
        <w:ind w:left="1079" w:leftChars="371" w:hanging="300" w:hangingChars="125"/>
        <w:jc w:val="righ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浙江诚远工程咨询有限公司</w:t>
      </w:r>
    </w:p>
    <w:p>
      <w:pPr>
        <w:spacing w:line="360" w:lineRule="auto"/>
        <w:ind w:left="1079" w:leftChars="371" w:hanging="300" w:hangingChars="125"/>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4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17 </w:t>
      </w:r>
      <w:r>
        <w:rPr>
          <w:rFonts w:hint="eastAsia" w:ascii="仿宋" w:hAnsi="仿宋" w:eastAsia="仿宋" w:cs="仿宋"/>
          <w:color w:val="auto"/>
          <w:sz w:val="24"/>
          <w:highlight w:val="none"/>
        </w:rPr>
        <w:t>日</w:t>
      </w:r>
    </w:p>
    <w:p>
      <w:pPr>
        <w:numPr>
          <w:ilvl w:val="0"/>
          <w:numId w:val="2"/>
        </w:numPr>
        <w:spacing w:line="480" w:lineRule="auto"/>
        <w:jc w:val="center"/>
        <w:rPr>
          <w:rFonts w:hint="eastAsia" w:ascii="仿宋" w:hAnsi="仿宋" w:eastAsia="仿宋" w:cs="仿宋"/>
          <w:b/>
          <w:color w:val="auto"/>
          <w:sz w:val="44"/>
          <w:szCs w:val="44"/>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44"/>
          <w:szCs w:val="44"/>
          <w:highlight w:val="none"/>
        </w:rPr>
        <w:t xml:space="preserve"> </w:t>
      </w:r>
      <w:bookmarkEnd w:id="0"/>
      <w:r>
        <w:rPr>
          <w:rFonts w:hint="eastAsia" w:ascii="仿宋" w:hAnsi="仿宋" w:eastAsia="仿宋" w:cs="仿宋"/>
          <w:b/>
          <w:color w:val="auto"/>
          <w:sz w:val="44"/>
          <w:szCs w:val="44"/>
          <w:highlight w:val="none"/>
        </w:rPr>
        <w:t>招标采购需求</w:t>
      </w:r>
      <w:bookmarkStart w:id="45" w:name="_Toc152043787"/>
    </w:p>
    <w:p>
      <w:pPr>
        <w:pStyle w:val="4"/>
        <w:numPr>
          <w:ilvl w:val="0"/>
          <w:numId w:val="3"/>
        </w:numPr>
        <w:bidi w:val="0"/>
        <w:spacing w:line="360" w:lineRule="auto"/>
        <w:ind w:left="0" w:leftChars="0" w:firstLine="482"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采购清单</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2863"/>
        <w:gridCol w:w="993"/>
        <w:gridCol w:w="1013"/>
        <w:gridCol w:w="1875"/>
        <w:gridCol w:w="15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采购内容</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单位</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数量</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预算金额</w:t>
            </w:r>
          </w:p>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（人民币）</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i w:val="0"/>
                <w:iCs w:val="0"/>
                <w:caps w:val="0"/>
                <w:color w:val="000000"/>
                <w:spacing w:val="0"/>
                <w:sz w:val="24"/>
                <w:szCs w:val="24"/>
              </w:rPr>
              <w:t>南浔区</w:t>
            </w:r>
            <w:r>
              <w:rPr>
                <w:rFonts w:hint="eastAsia" w:ascii="仿宋" w:hAnsi="仿宋" w:eastAsia="仿宋" w:cs="仿宋"/>
                <w:i w:val="0"/>
                <w:iCs w:val="0"/>
                <w:caps w:val="0"/>
                <w:color w:val="000000"/>
                <w:spacing w:val="0"/>
                <w:sz w:val="24"/>
                <w:szCs w:val="24"/>
                <w:lang w:val="en-US" w:eastAsia="zh-CN"/>
              </w:rPr>
              <w:t>数字经济</w:t>
            </w:r>
            <w:r>
              <w:rPr>
                <w:rFonts w:hint="eastAsia" w:ascii="仿宋" w:hAnsi="仿宋" w:eastAsia="仿宋" w:cs="仿宋"/>
                <w:i w:val="0"/>
                <w:iCs w:val="0"/>
                <w:caps w:val="0"/>
                <w:color w:val="000000"/>
                <w:spacing w:val="0"/>
                <w:sz w:val="24"/>
                <w:szCs w:val="24"/>
              </w:rPr>
              <w:t>门户建设项目</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项</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85</w:t>
            </w:r>
            <w:r>
              <w:rPr>
                <w:rFonts w:hint="eastAsia" w:ascii="仿宋" w:hAnsi="仿宋" w:eastAsia="仿宋" w:cs="仿宋"/>
                <w:bCs/>
                <w:color w:val="auto"/>
                <w:sz w:val="24"/>
                <w:szCs w:val="24"/>
              </w:rPr>
              <w:t>万元</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color w:val="auto"/>
                <w:sz w:val="24"/>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注</w:t>
            </w:r>
          </w:p>
        </w:tc>
        <w:tc>
          <w:tcPr>
            <w:tcW w:w="833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投标报价时不得超过预算金额，否则作无效标处理。</w:t>
            </w:r>
          </w:p>
        </w:tc>
      </w:tr>
    </w:tbl>
    <w:p>
      <w:pPr>
        <w:pStyle w:val="4"/>
        <w:numPr>
          <w:ilvl w:val="0"/>
          <w:numId w:val="3"/>
        </w:numPr>
        <w:bidi w:val="0"/>
        <w:spacing w:line="360" w:lineRule="auto"/>
        <w:ind w:left="0" w:leftChars="0"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项目概述</w:t>
      </w:r>
    </w:p>
    <w:p>
      <w:pPr>
        <w:pStyle w:val="5"/>
        <w:numPr>
          <w:ilvl w:val="0"/>
          <w:numId w:val="0"/>
        </w:numPr>
        <w:bidi w:val="0"/>
        <w:spacing w:line="360" w:lineRule="auto"/>
        <w:ind w:leftChars="0" w:firstLine="723" w:firstLineChars="3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项目背景</w:t>
      </w:r>
    </w:p>
    <w:p>
      <w:pPr>
        <w:spacing w:line="360" w:lineRule="auto"/>
        <w:ind w:firstLine="480"/>
        <w:rPr>
          <w:rFonts w:hint="eastAsia" w:ascii="仿宋" w:hAnsi="仿宋" w:eastAsia="仿宋" w:cs="仿宋"/>
          <w:sz w:val="24"/>
          <w:szCs w:val="24"/>
        </w:rPr>
      </w:pPr>
      <w:bookmarkStart w:id="46" w:name="_Toc3314"/>
      <w:bookmarkStart w:id="47" w:name="_Toc81507138"/>
      <w:bookmarkStart w:id="48" w:name="_Toc19066"/>
      <w:r>
        <w:rPr>
          <w:rFonts w:hint="eastAsia" w:ascii="仿宋" w:hAnsi="仿宋" w:eastAsia="仿宋" w:cs="仿宋"/>
          <w:sz w:val="24"/>
          <w:szCs w:val="24"/>
        </w:rPr>
        <w:t>根据《中共浙江省委全面深化改革委员会关于印发〈浙江省数字化改革总体方案〉的通知》（浙委改发〔2021〕2 号）与浙江省委全省数字化改革大会（2021年2月18日）的会议和通知精神，浙江省已全面部署并推进数字化改革工作。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2021年3月6日，浙江省经济和信息化厅印发浙江省数字经济系统建设工作专班关于印发《浙江省数字经济系统建设工作指南》的通知（以下简称“通知”），该通知对数字经济系统建设的主要任务及整体框架、任务分工、工作要求提出了明确要求，其中数字经济综合应用门户作为主要任务之一，有省经信厅牵头推进。</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省委省政府对重点任务进行了部署，概括为“1</w:t>
      </w:r>
      <w:r>
        <w:rPr>
          <w:rFonts w:hint="eastAsia" w:ascii="仿宋" w:hAnsi="仿宋" w:eastAsia="仿宋" w:cs="仿宋"/>
          <w:sz w:val="24"/>
          <w:szCs w:val="24"/>
          <w:lang w:val="en-US" w:eastAsia="zh-CN"/>
        </w:rPr>
        <w:t>612</w:t>
      </w:r>
      <w:r>
        <w:rPr>
          <w:rFonts w:hint="eastAsia" w:ascii="仿宋" w:hAnsi="仿宋" w:eastAsia="仿宋" w:cs="仿宋"/>
          <w:sz w:val="24"/>
          <w:szCs w:val="24"/>
        </w:rPr>
        <w:t>”即1个一体化智能化公共数据平台，</w:t>
      </w:r>
      <w:r>
        <w:rPr>
          <w:rFonts w:hint="eastAsia" w:ascii="仿宋" w:hAnsi="仿宋" w:eastAsia="仿宋" w:cs="仿宋"/>
          <w:sz w:val="24"/>
          <w:szCs w:val="24"/>
          <w:lang w:val="en-US" w:eastAsia="zh-CN"/>
        </w:rPr>
        <w:t>6</w:t>
      </w:r>
      <w:r>
        <w:rPr>
          <w:rFonts w:hint="eastAsia" w:ascii="仿宋" w:hAnsi="仿宋" w:eastAsia="仿宋" w:cs="仿宋"/>
          <w:sz w:val="24"/>
          <w:szCs w:val="24"/>
        </w:rPr>
        <w:t>个综合应用（党政机关整体智治、数字政府、数字经济、</w:t>
      </w:r>
      <w:r>
        <w:rPr>
          <w:rFonts w:hint="eastAsia" w:ascii="仿宋" w:hAnsi="仿宋" w:eastAsia="仿宋" w:cs="仿宋"/>
          <w:sz w:val="24"/>
          <w:szCs w:val="24"/>
          <w:lang w:eastAsia="zh-CN"/>
        </w:rPr>
        <w:t>数字经济、</w:t>
      </w:r>
      <w:r>
        <w:rPr>
          <w:rFonts w:hint="eastAsia" w:ascii="仿宋" w:hAnsi="仿宋" w:eastAsia="仿宋" w:cs="仿宋"/>
          <w:sz w:val="24"/>
          <w:szCs w:val="24"/>
        </w:rPr>
        <w:t>数字文化、数字法治），第二个“1”即基层治理系统，2就是构建理论和制度体系。</w:t>
      </w:r>
      <w:r>
        <w:rPr>
          <w:rFonts w:hint="eastAsia" w:ascii="仿宋" w:hAnsi="仿宋" w:eastAsia="仿宋" w:cs="仿宋"/>
          <w:sz w:val="24"/>
          <w:szCs w:val="24"/>
          <w:lang w:val="en-US" w:eastAsia="zh-CN"/>
        </w:rPr>
        <w:t>区发改经信局</w:t>
      </w:r>
      <w:r>
        <w:rPr>
          <w:rFonts w:hint="eastAsia" w:ascii="仿宋" w:hAnsi="仿宋" w:eastAsia="仿宋" w:cs="仿宋"/>
          <w:sz w:val="24"/>
          <w:szCs w:val="24"/>
        </w:rPr>
        <w:t>作为数字经济综合应用的建设方，应根据全省数字化改革精神和省经信厅关于数字经济的整体架构，谋划上线</w:t>
      </w:r>
      <w:r>
        <w:rPr>
          <w:rFonts w:hint="eastAsia" w:ascii="仿宋" w:hAnsi="仿宋" w:eastAsia="仿宋" w:cs="仿宋"/>
          <w:sz w:val="24"/>
          <w:szCs w:val="24"/>
          <w:lang w:val="en-US" w:eastAsia="zh-CN"/>
        </w:rPr>
        <w:t>南浔区</w:t>
      </w:r>
      <w:r>
        <w:rPr>
          <w:rFonts w:hint="eastAsia" w:ascii="仿宋" w:hAnsi="仿宋" w:eastAsia="仿宋" w:cs="仿宋"/>
          <w:sz w:val="24"/>
          <w:szCs w:val="24"/>
        </w:rPr>
        <w:t>数字经济门户系统。</w:t>
      </w:r>
    </w:p>
    <w:p>
      <w:pPr>
        <w:pStyle w:val="5"/>
        <w:numPr>
          <w:ilvl w:val="0"/>
          <w:numId w:val="0"/>
        </w:numPr>
        <w:bidi w:val="0"/>
        <w:spacing w:line="360" w:lineRule="auto"/>
        <w:ind w:leftChars="0" w:firstLine="482"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业务需求</w:t>
      </w:r>
      <w:bookmarkEnd w:id="46"/>
      <w:bookmarkEnd w:id="47"/>
      <w:bookmarkEnd w:id="48"/>
    </w:p>
    <w:p>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数字化改革是省委省政府部署的重大任务，全省一盘棋。其中数字经济系统有省经信厅牵头推进，省经信厅对省、市、区县关于数字经济系统的建设和分工如哪些内容省统建和哪些内容区县自建做了规定和要求。</w:t>
      </w:r>
    </w:p>
    <w:p>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本项目对标省数字化改革、数字经济综合门户建设标准及框架，在标准和框架之内，针对南浔经济特色及本地需求而建立南浔本地特色的数字经济综合门户。</w:t>
      </w:r>
    </w:p>
    <w:p>
      <w:pPr>
        <w:pStyle w:val="5"/>
        <w:numPr>
          <w:ilvl w:val="0"/>
          <w:numId w:val="0"/>
        </w:numPr>
        <w:bidi w:val="0"/>
        <w:spacing w:line="360" w:lineRule="auto"/>
        <w:ind w:leftChars="0" w:firstLine="482"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招标内容与要求</w:t>
      </w:r>
    </w:p>
    <w:p>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深入贯彻落实全省数字化改革大会精神和省委省政府、市委市政府决策部署，根据省经信厅部署的数字经济系统重大任务，结合南浔区发改经信局实际情况及南浔经济产业特色，建设南浔数字经济门户系统，主要内容如下:</w:t>
      </w:r>
    </w:p>
    <w:p>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数字经济综合应用门户政府侧按照数字经济系统最新的构架迭代形成驾驶舱形式，综合集成了跑道及其重大应用、地市门户和地方特色应用。门户政府侧 PC 端以驾驶舱形式呈现，以应用快速触达为原则进行改版设计。驾驶舱自上而下分为两个部分：顶部导航区域、中间跑道区域。</w:t>
      </w:r>
    </w:p>
    <w:p>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1.顶部导航区域。南浔区数字经济系统建设的地方特色应用、应用搜索、分区应用、当前登录用户姓名等。</w:t>
      </w:r>
    </w:p>
    <w:p>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中间跑道区域。数字经济系统最新跑道，在每条跑道下设置若干个重大应用。中间跑道区域主要包括两类功能：数字经济及各跑道重要指标的展示、各跑道下所属应用跳转入口。具体包含浙企智造、浙企畅链、浙企投资、浙企共富、浙里贸易、浙里消费、浙里要素、浙企创新、浙企服务、地图总概览等模块。</w:t>
      </w:r>
    </w:p>
    <w:tbl>
      <w:tblPr>
        <w:tblStyle w:val="18"/>
        <w:tblW w:w="91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3"/>
        <w:gridCol w:w="1515"/>
        <w:gridCol w:w="1327"/>
        <w:gridCol w:w="5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043" w:type="dxa"/>
            <w:tcBorders>
              <w:top w:val="single" w:color="000000" w:sz="8" w:space="0"/>
              <w:left w:val="single" w:color="000000" w:sz="8" w:space="0"/>
              <w:bottom w:val="single" w:color="auto" w:sz="4" w:space="0"/>
              <w:right w:val="single" w:color="000000" w:sz="8" w:space="0"/>
            </w:tcBorders>
            <w:shd w:val="clear" w:color="auto" w:fill="F2F2F2"/>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w:t>
            </w:r>
          </w:p>
        </w:tc>
        <w:tc>
          <w:tcPr>
            <w:tcW w:w="1515" w:type="dxa"/>
            <w:tcBorders>
              <w:top w:val="single" w:color="000000" w:sz="8" w:space="0"/>
              <w:left w:val="nil"/>
              <w:bottom w:val="single" w:color="auto" w:sz="4" w:space="0"/>
              <w:right w:val="single" w:color="000000" w:sz="8" w:space="0"/>
            </w:tcBorders>
            <w:shd w:val="clear" w:color="auto" w:fill="F2F2F2"/>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功能模块</w:t>
            </w:r>
          </w:p>
        </w:tc>
        <w:tc>
          <w:tcPr>
            <w:tcW w:w="1327" w:type="dxa"/>
            <w:tcBorders>
              <w:top w:val="single" w:color="000000" w:sz="8" w:space="0"/>
              <w:left w:val="nil"/>
              <w:bottom w:val="single" w:color="auto" w:sz="4" w:space="0"/>
              <w:right w:val="single" w:color="000000" w:sz="8" w:space="0"/>
            </w:tcBorders>
            <w:shd w:val="clear" w:color="auto" w:fill="F2F2F2"/>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子模块</w:t>
            </w:r>
          </w:p>
        </w:tc>
        <w:tc>
          <w:tcPr>
            <w:tcW w:w="5273" w:type="dxa"/>
            <w:tcBorders>
              <w:top w:val="single" w:color="000000" w:sz="8" w:space="0"/>
              <w:left w:val="nil"/>
              <w:bottom w:val="single" w:color="auto" w:sz="4" w:space="0"/>
              <w:right w:val="single" w:color="000000" w:sz="8" w:space="0"/>
            </w:tcBorders>
            <w:shd w:val="clear" w:color="auto" w:fill="F2F2F2"/>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3" w:type="dxa"/>
            <w:vMerge w:val="restart"/>
            <w:tcBorders>
              <w:top w:val="single" w:color="auto" w:sz="4" w:space="0"/>
              <w:left w:val="single" w:color="auto" w:sz="4" w:space="0"/>
              <w:bottom w:val="single" w:color="auto" w:sz="4" w:space="0"/>
              <w:right w:val="single" w:color="auto" w:sz="4" w:space="0"/>
            </w:tcBorders>
            <w:shd w:val="clear" w:color="auto" w:fill="F2F2F2"/>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南浔区数字经济综合门户</w:t>
            </w:r>
          </w:p>
        </w:tc>
        <w:tc>
          <w:tcPr>
            <w:tcW w:w="15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综合页面</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地图总览</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结合GIS地图对南浔区经济发展运行情况做总体展示。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3"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jc w:val="center"/>
              <w:rPr>
                <w:rFonts w:hint="eastAsia" w:ascii="仿宋" w:hAnsi="仿宋" w:eastAsia="仿宋" w:cs="仿宋"/>
                <w:b/>
                <w:bCs/>
                <w:i w:val="0"/>
                <w:iCs w:val="0"/>
                <w:color w:val="000000"/>
                <w:sz w:val="24"/>
                <w:szCs w:val="24"/>
                <w:u w:val="none"/>
              </w:rPr>
            </w:pPr>
          </w:p>
        </w:tc>
        <w:tc>
          <w:tcPr>
            <w:tcW w:w="151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sz w:val="24"/>
                <w:szCs w:val="24"/>
                <w:u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浙企智造</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浙企智造展示南浔区历年两化融合示范企业、省市智能工厂（数字化车间）、上云标杆企业及重点企业智造视频轮播展示。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3"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jc w:val="center"/>
              <w:rPr>
                <w:rFonts w:hint="eastAsia" w:ascii="仿宋" w:hAnsi="仿宋" w:eastAsia="仿宋" w:cs="仿宋"/>
                <w:b/>
                <w:bCs/>
                <w:i w:val="0"/>
                <w:iCs w:val="0"/>
                <w:color w:val="000000"/>
                <w:sz w:val="24"/>
                <w:szCs w:val="24"/>
                <w:u w:val="none"/>
              </w:rPr>
            </w:pPr>
          </w:p>
        </w:tc>
        <w:tc>
          <w:tcPr>
            <w:tcW w:w="151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sz w:val="24"/>
                <w:szCs w:val="24"/>
                <w:u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浙企畅链</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浙企畅链展示南浔区规上工业主要指标累计增幅情况、重点产业增幅情况等等。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43"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jc w:val="center"/>
              <w:rPr>
                <w:rFonts w:hint="eastAsia" w:ascii="仿宋" w:hAnsi="仿宋" w:eastAsia="仿宋" w:cs="仿宋"/>
                <w:b/>
                <w:bCs/>
                <w:i w:val="0"/>
                <w:iCs w:val="0"/>
                <w:color w:val="000000"/>
                <w:sz w:val="24"/>
                <w:szCs w:val="24"/>
                <w:u w:val="none"/>
              </w:rPr>
            </w:pPr>
          </w:p>
        </w:tc>
        <w:tc>
          <w:tcPr>
            <w:tcW w:w="151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sz w:val="24"/>
                <w:szCs w:val="24"/>
                <w:u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浙企投资</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浙企畅链展示南浔区近1年固定资产投资增速情况、工业投资增速情况情况等。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jc w:val="center"/>
              <w:rPr>
                <w:rFonts w:hint="eastAsia" w:ascii="仿宋" w:hAnsi="仿宋" w:eastAsia="仿宋" w:cs="仿宋"/>
                <w:b/>
                <w:bCs/>
                <w:i w:val="0"/>
                <w:iCs w:val="0"/>
                <w:color w:val="000000"/>
                <w:sz w:val="24"/>
                <w:szCs w:val="24"/>
                <w:u w:val="none"/>
              </w:rPr>
            </w:pPr>
          </w:p>
        </w:tc>
        <w:tc>
          <w:tcPr>
            <w:tcW w:w="151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sz w:val="24"/>
                <w:szCs w:val="24"/>
                <w:u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浙企共富</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浙企畅链展示南浔区农业经济指标情况包含农林牧渔业增加值、农林牧渔业总产值、经济作物面积、淡水产品产值等各项指标。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jc w:val="center"/>
              <w:rPr>
                <w:rFonts w:hint="eastAsia" w:ascii="仿宋" w:hAnsi="仿宋" w:eastAsia="仿宋" w:cs="仿宋"/>
                <w:b/>
                <w:bCs/>
                <w:i w:val="0"/>
                <w:iCs w:val="0"/>
                <w:color w:val="000000"/>
                <w:sz w:val="24"/>
                <w:szCs w:val="24"/>
                <w:u w:val="none"/>
              </w:rPr>
            </w:pPr>
          </w:p>
        </w:tc>
        <w:tc>
          <w:tcPr>
            <w:tcW w:w="151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sz w:val="24"/>
                <w:szCs w:val="24"/>
                <w:u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浙里贸易</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浙企贸易展示全区近1年每月进出口总额具体情况等。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jc w:val="center"/>
              <w:rPr>
                <w:rFonts w:hint="eastAsia" w:ascii="仿宋" w:hAnsi="仿宋" w:eastAsia="仿宋" w:cs="仿宋"/>
                <w:b/>
                <w:bCs/>
                <w:i w:val="0"/>
                <w:iCs w:val="0"/>
                <w:color w:val="000000"/>
                <w:sz w:val="24"/>
                <w:szCs w:val="24"/>
                <w:u w:val="none"/>
              </w:rPr>
            </w:pPr>
          </w:p>
        </w:tc>
        <w:tc>
          <w:tcPr>
            <w:tcW w:w="151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sz w:val="24"/>
                <w:szCs w:val="24"/>
                <w:u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浙里消费</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浙企消费对南浔区社会消费品零售总额、限额以上批零贸易业销售总额、限额以上住宿餐饮业营业额等指标情况进行可视化展示。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43"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jc w:val="center"/>
              <w:rPr>
                <w:rFonts w:hint="eastAsia" w:ascii="仿宋" w:hAnsi="仿宋" w:eastAsia="仿宋" w:cs="仿宋"/>
                <w:b/>
                <w:bCs/>
                <w:i w:val="0"/>
                <w:iCs w:val="0"/>
                <w:color w:val="000000"/>
                <w:sz w:val="24"/>
                <w:szCs w:val="24"/>
                <w:u w:val="none"/>
              </w:rPr>
            </w:pPr>
          </w:p>
        </w:tc>
        <w:tc>
          <w:tcPr>
            <w:tcW w:w="151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sz w:val="24"/>
                <w:szCs w:val="24"/>
                <w:u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浙里要素</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浙企要素主要对规上工业能源消费量情况近1年情况、全区金额综合情况等指标进行可视化展示。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jc w:val="center"/>
              <w:rPr>
                <w:rFonts w:hint="eastAsia" w:ascii="仿宋" w:hAnsi="仿宋" w:eastAsia="仿宋" w:cs="仿宋"/>
                <w:b/>
                <w:bCs/>
                <w:i w:val="0"/>
                <w:iCs w:val="0"/>
                <w:color w:val="000000"/>
                <w:sz w:val="24"/>
                <w:szCs w:val="24"/>
                <w:u w:val="none"/>
              </w:rPr>
            </w:pPr>
          </w:p>
        </w:tc>
        <w:tc>
          <w:tcPr>
            <w:tcW w:w="15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浙企创新</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浙企要素对全区高新企业、省级研发中心、省级重点企业研究院、省级研究院、市级研发中心进行整体展示。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jc w:val="center"/>
              <w:rPr>
                <w:rFonts w:hint="eastAsia" w:ascii="仿宋" w:hAnsi="仿宋" w:eastAsia="仿宋" w:cs="仿宋"/>
                <w:b/>
                <w:bCs/>
                <w:i w:val="0"/>
                <w:iCs w:val="0"/>
                <w:color w:val="000000"/>
                <w:sz w:val="24"/>
                <w:szCs w:val="24"/>
                <w:u w:val="none"/>
              </w:rPr>
            </w:pPr>
          </w:p>
        </w:tc>
        <w:tc>
          <w:tcPr>
            <w:tcW w:w="151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000000"/>
                <w:sz w:val="24"/>
                <w:szCs w:val="24"/>
                <w:u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浙企服务</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浙企服务对南浔区各特色标签企业进行全面展示。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043" w:type="dxa"/>
            <w:vMerge w:val="restart"/>
            <w:tcBorders>
              <w:top w:val="single" w:color="auto" w:sz="4" w:space="0"/>
              <w:left w:val="single" w:color="auto" w:sz="4" w:space="0"/>
              <w:bottom w:val="single" w:color="auto" w:sz="4" w:space="0"/>
              <w:right w:val="single" w:color="auto" w:sz="4" w:space="0"/>
            </w:tcBorders>
            <w:shd w:val="clear" w:color="auto" w:fill="F2F2F2"/>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数据服务</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通用服务</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统一搜索服务、统一用户及权限服务、统一埋点服务、统一设计规范</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按照省数字化改革标准，建立统一搜索服务、统一用户及权限、统一埋点服务、统一UI设计标准规范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43"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jc w:val="center"/>
              <w:rPr>
                <w:rFonts w:hint="eastAsia" w:ascii="仿宋" w:hAnsi="仿宋" w:eastAsia="仿宋" w:cs="仿宋"/>
                <w:b/>
                <w:bCs/>
                <w:i w:val="0"/>
                <w:iCs w:val="0"/>
                <w:color w:val="000000"/>
                <w:sz w:val="24"/>
                <w:szCs w:val="24"/>
                <w:u w:val="none"/>
              </w:rPr>
            </w:pPr>
          </w:p>
        </w:tc>
        <w:tc>
          <w:tcPr>
            <w:tcW w:w="15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任务数据仓</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对接省数改统一任务仓，建立南浔区任务数据仓</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南浔区依据省级下发任务，确定相关联的指标数源，建立南浔区任务数据仓，对外推送数据，同时及时获取其他应用推送过来的数据并加以处理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43"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jc w:val="center"/>
              <w:rPr>
                <w:rFonts w:hint="eastAsia" w:ascii="仿宋" w:hAnsi="仿宋" w:eastAsia="仿宋" w:cs="仿宋"/>
                <w:b/>
                <w:bCs/>
                <w:i w:val="0"/>
                <w:iCs w:val="0"/>
                <w:color w:val="000000"/>
                <w:sz w:val="24"/>
                <w:szCs w:val="24"/>
                <w:u w:val="none"/>
              </w:rPr>
            </w:pPr>
          </w:p>
        </w:tc>
        <w:tc>
          <w:tcPr>
            <w:tcW w:w="151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olor w:val="000000"/>
                <w:sz w:val="24"/>
                <w:szCs w:val="24"/>
                <w:u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对接本地公共数据服务</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对接南浔区公共数据服务平台数据，建立南浔区数字经济门户。</w:t>
            </w:r>
          </w:p>
        </w:tc>
      </w:tr>
    </w:tbl>
    <w:p>
      <w:pPr>
        <w:pStyle w:val="5"/>
        <w:numPr>
          <w:ilvl w:val="0"/>
          <w:numId w:val="0"/>
        </w:numPr>
        <w:bidi w:val="0"/>
        <w:spacing w:line="360" w:lineRule="auto"/>
        <w:ind w:leftChars="0" w:firstLine="482"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工期</w:t>
      </w:r>
      <w:r>
        <w:rPr>
          <w:rFonts w:hint="eastAsia" w:ascii="仿宋" w:hAnsi="仿宋" w:eastAsia="仿宋" w:cs="仿宋"/>
          <w:color w:val="auto"/>
          <w:sz w:val="24"/>
          <w:szCs w:val="24"/>
          <w:lang w:val="en-US" w:eastAsia="zh-CN"/>
        </w:rPr>
        <w:t>及维护</w:t>
      </w:r>
      <w:r>
        <w:rPr>
          <w:rFonts w:hint="eastAsia" w:ascii="仿宋" w:hAnsi="仿宋" w:eastAsia="仿宋" w:cs="仿宋"/>
          <w:color w:val="auto"/>
          <w:sz w:val="24"/>
          <w:szCs w:val="24"/>
        </w:rPr>
        <w:t>要求</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服务期限：合同签订之日起3个月内完成项目建设，验收合格之日起三年免费维保。</w:t>
      </w:r>
    </w:p>
    <w:p>
      <w:pPr>
        <w:pStyle w:val="5"/>
        <w:rPr>
          <w:rFonts w:hint="default"/>
          <w:lang w:val="en-US" w:eastAsia="zh-CN"/>
        </w:rPr>
      </w:pPr>
      <w:r>
        <w:rPr>
          <w:rFonts w:hint="eastAsia" w:ascii="仿宋" w:hAnsi="仿宋" w:eastAsia="仿宋" w:cs="仿宋"/>
          <w:b w:val="0"/>
          <w:bCs w:val="0"/>
          <w:color w:val="auto"/>
          <w:sz w:val="24"/>
          <w:highlight w:val="none"/>
          <w:lang w:val="en-US" w:eastAsia="zh-CN"/>
        </w:rPr>
        <w:t>维护要求：4小时内响应并到达现场，一般故障24小时内修复。</w:t>
      </w:r>
    </w:p>
    <w:p>
      <w:pPr>
        <w:pStyle w:val="4"/>
        <w:numPr>
          <w:ilvl w:val="0"/>
          <w:numId w:val="3"/>
        </w:numPr>
        <w:bidi w:val="0"/>
        <w:spacing w:line="360" w:lineRule="auto"/>
        <w:ind w:left="0" w:leftChars="0"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付款方式</w:t>
      </w:r>
    </w:p>
    <w:p>
      <w:pPr>
        <w:pStyle w:val="5"/>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b w:val="0"/>
          <w:bCs w:val="0"/>
          <w:color w:val="auto"/>
          <w:kern w:val="2"/>
          <w:sz w:val="24"/>
          <w:szCs w:val="24"/>
          <w:highlight w:val="yellow"/>
          <w:u w:val="none"/>
          <w:lang w:val="en-US" w:eastAsia="zh-CN" w:bidi="ar-SA"/>
        </w:rPr>
      </w:pPr>
      <w:r>
        <w:rPr>
          <w:rFonts w:hint="eastAsia" w:ascii="仿宋" w:hAnsi="仿宋" w:eastAsia="仿宋" w:cs="仿宋"/>
          <w:b w:val="0"/>
          <w:bCs w:val="0"/>
          <w:color w:val="auto"/>
          <w:kern w:val="2"/>
          <w:sz w:val="24"/>
          <w:szCs w:val="24"/>
          <w:highlight w:val="yellow"/>
          <w:u w:val="none"/>
          <w:lang w:val="en-US" w:eastAsia="zh-CN" w:bidi="ar-SA"/>
        </w:rPr>
        <w:t>采购人自采购合同生效及具备实施条件后7个工作日内支付合同总价的50%作为预付款，项目完成验收合格后15个工作日内付清余款。</w:t>
      </w:r>
    </w:p>
    <w:p>
      <w:pPr>
        <w:rPr>
          <w:rFonts w:hint="default"/>
          <w:lang w:val="en-US" w:eastAsia="zh-CN"/>
        </w:rPr>
      </w:pPr>
      <w:r>
        <w:rPr>
          <w:rFonts w:hint="eastAsia" w:ascii="仿宋" w:hAnsi="仿宋" w:eastAsia="仿宋" w:cs="仿宋"/>
          <w:b w:val="0"/>
          <w:bCs w:val="0"/>
          <w:color w:val="auto"/>
          <w:kern w:val="2"/>
          <w:sz w:val="24"/>
          <w:szCs w:val="24"/>
          <w:highlight w:val="yellow"/>
          <w:u w:val="none"/>
          <w:lang w:val="en-US" w:eastAsia="zh-CN" w:bidi="ar-SA"/>
        </w:rPr>
        <w:t xml:space="preserve">   </w:t>
      </w:r>
      <w:r>
        <w:rPr>
          <w:rFonts w:hint="eastAsia" w:ascii="仿宋" w:hAnsi="仿宋" w:eastAsia="仿宋" w:cs="仿宋"/>
          <w:b/>
          <w:bCs/>
          <w:color w:val="auto"/>
          <w:kern w:val="44"/>
          <w:sz w:val="24"/>
          <w:szCs w:val="24"/>
          <w:lang w:val="en-US" w:eastAsia="zh-CN" w:bidi="ar-SA"/>
        </w:rPr>
        <w:t xml:space="preserve"> 4.其他</w:t>
      </w:r>
    </w:p>
    <w:p>
      <w:pPr>
        <w:numPr>
          <w:ilvl w:val="0"/>
          <w:numId w:val="0"/>
        </w:numPr>
        <w:spacing w:line="480" w:lineRule="auto"/>
        <w:ind w:firstLine="480" w:firstLineChars="200"/>
        <w:jc w:val="left"/>
      </w:pPr>
      <w:r>
        <w:rPr>
          <w:rFonts w:hint="eastAsia" w:ascii="仿宋" w:hAnsi="仿宋" w:eastAsia="仿宋" w:cs="仿宋"/>
          <w:b w:val="0"/>
          <w:bCs w:val="0"/>
          <w:sz w:val="24"/>
          <w:szCs w:val="24"/>
          <w:highlight w:val="none"/>
          <w:lang w:val="en-US" w:eastAsia="zh-CN"/>
        </w:rPr>
        <w:t>针对本项目，新定制开发软件部分的知识产权归采招标人享有，采用已有知识成果所有权归属投标人。</w:t>
      </w:r>
    </w:p>
    <w:p>
      <w:pPr>
        <w:pStyle w:val="5"/>
        <w:rPr>
          <w:rFonts w:hint="eastAsia"/>
        </w:rPr>
      </w:pPr>
    </w:p>
    <w:p>
      <w:pPr>
        <w:rPr>
          <w:rFonts w:hint="eastAsia"/>
        </w:rPr>
      </w:pPr>
    </w:p>
    <w:p>
      <w:pP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pPr>
        <w:numPr>
          <w:ilvl w:val="0"/>
          <w:numId w:val="0"/>
        </w:numPr>
        <w:spacing w:line="480" w:lineRule="auto"/>
        <w:ind w:firstLine="3092" w:firstLineChars="700"/>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第三章  投标须知</w:t>
      </w:r>
    </w:p>
    <w:p>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前附表</w:t>
      </w:r>
    </w:p>
    <w:tbl>
      <w:tblPr>
        <w:tblStyle w:val="18"/>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1"/>
        <w:gridCol w:w="8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序号</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snapToGrid w:val="0"/>
              <w:ind w:firstLine="3240" w:firstLineChars="135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1</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南浔区数字经济门户建设项目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2</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采购内容及数量：详见招标需求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3</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投标报价及费用：</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1、本项目投标应以人民币报价；</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2、不论投标结果如何，供应商均应自行承担所有与投标有关的全部费用；</w:t>
            </w:r>
          </w:p>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3、本项目代理服务费按照计价格（2002）1980号文件标准向中标供应商收取。</w:t>
            </w:r>
            <w:r>
              <w:rPr>
                <w:rFonts w:hint="eastAsia" w:ascii="仿宋" w:hAnsi="仿宋" w:eastAsia="仿宋" w:cs="仿宋"/>
                <w:color w:val="auto"/>
                <w:sz w:val="24"/>
                <w:highlight w:val="none"/>
                <w:lang w:val="en-US" w:eastAsia="zh-CN"/>
              </w:rPr>
              <w:t>共计15350元人民币。</w:t>
            </w:r>
          </w:p>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单位名称：</w:t>
            </w:r>
            <w:r>
              <w:rPr>
                <w:rFonts w:hint="eastAsia" w:ascii="仿宋" w:hAnsi="仿宋" w:eastAsia="仿宋" w:cs="仿宋"/>
                <w:color w:val="auto"/>
                <w:sz w:val="24"/>
                <w:highlight w:val="none"/>
                <w:lang w:eastAsia="zh-CN"/>
              </w:rPr>
              <w:t>浙江诚远工程咨询有限公司</w:t>
            </w:r>
            <w:r>
              <w:rPr>
                <w:rFonts w:hint="eastAsia" w:ascii="仿宋" w:hAnsi="仿宋" w:eastAsia="仿宋" w:cs="仿宋"/>
                <w:color w:val="auto"/>
                <w:sz w:val="24"/>
                <w:highlight w:val="none"/>
                <w:lang w:val="en-US" w:eastAsia="zh-CN"/>
              </w:rPr>
              <w:t>湖州分公司</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lang w:eastAsia="zh-CN"/>
              </w:rPr>
              <w:t>中国农业银行股份有限公司湖州逮溪支行</w:t>
            </w:r>
            <w:r>
              <w:rPr>
                <w:rFonts w:hint="eastAsia" w:ascii="仿宋" w:hAnsi="仿宋" w:eastAsia="仿宋" w:cs="仿宋"/>
                <w:color w:val="auto"/>
                <w:sz w:val="24"/>
                <w:highlight w:val="none"/>
              </w:rPr>
              <w:t xml:space="preserve"> </w:t>
            </w:r>
          </w:p>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银行账号：</w:t>
            </w:r>
            <w:r>
              <w:rPr>
                <w:rFonts w:hint="eastAsia" w:ascii="仿宋" w:hAnsi="仿宋" w:eastAsia="仿宋" w:cs="仿宋"/>
                <w:color w:val="auto"/>
                <w:sz w:val="24"/>
                <w:highlight w:val="none"/>
                <w:lang w:eastAsia="zh-CN"/>
              </w:rPr>
              <w:t>19120301040016765</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采购代理服务费缴纳凭证将作为采购人合同付款和验收的前提条件，中标供应商未按公开招标采购文件规定和投标文件投标时承诺缴纳采购代理服务费的，合同款不予支付、合同验收不予通过。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4</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答疑与澄清：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组织机构将在规定的时间内统一进行澄清和修改，并以电子邮件形式通知所有认购公开招标采购文件的供应商。供应商未按规定要求提出的，则视同认可公开招标采购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5</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采购预算：</w:t>
            </w:r>
            <w:r>
              <w:rPr>
                <w:rFonts w:hint="eastAsia" w:ascii="仿宋" w:hAnsi="仿宋" w:eastAsia="仿宋" w:cs="仿宋"/>
                <w:color w:val="auto"/>
                <w:sz w:val="24"/>
                <w:highlight w:val="none"/>
                <w:lang w:val="en-US" w:eastAsia="zh-CN"/>
              </w:rPr>
              <w:t>85</w:t>
            </w:r>
            <w:r>
              <w:rPr>
                <w:rFonts w:hint="eastAsia" w:ascii="仿宋" w:hAnsi="仿宋" w:eastAsia="仿宋" w:cs="仿宋"/>
                <w:color w:val="auto"/>
                <w:sz w:val="24"/>
                <w:highlight w:val="none"/>
                <w:lang w:eastAsia="zh-CN"/>
              </w:rPr>
              <w:t>万元</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投标文件组成：</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(1)投标文件组成：资格文件、技术商务资信及其他文件、报价文件。</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(2)投标文件编制：</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供应商应先安装“政采云电子交易客户端”，并按照本采购文件和“政采云平台”的要求，通过“政采云电子交易客户端”编制并加密投标文件。</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(3)投标文件的形式：</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电子投标文件：（“电子加密投标文件”，允许供应商提供“备份投标文件”，在投标文件编制完成后同时生成）。</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(4)投标文件份数：</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“电子加密投标文件”：在线上传递交一份；允许投标人递交备份投标文件，仅提交备份投标文件的，投标无效。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投标文件编制：供应商应先安装“政采云电子交易客户端”，并按照公开招标采购文件和“政府采购云平台”的要求，通过“政采云电子交易客户端”编制并加密投标文件。</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投标文件签章：电子签章，按公开招标采购文件标注的要求进行盖章、签署（电子签章）。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投标文件的份数：“电子加密投标文件”在线上传递交一份。</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投标文件的形式：电子加密投标文件（即“电子加密投标文件”[文件格式.jmbs]）；</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注：“电子加密投标文件”是指通过“政采云电子交易客户端”完成投标文件编制后生成并加密的数据电文形式的投标文件。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备份投标文件形式：备份投标文件（即“备份投标文件” [文件格式.bfbs]）；</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注：“备份投标文件”是指与“电子加密投标文件”同时生成的数据电文形式的未加密的电子文件（备份标书），其他方式编制的备份投标文件视为无效备份投标文件。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8"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投标文件的上传和递交：“电子加密投标文件”的上传、递交：</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（1）投标供应商应在投标截止时间前将“电子加密投标文件”成功上传递交至“政府采购云平台”，否则投标无效。</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（2）“电子加密投标文件”成功上传递交后，投标供应商可自行打印投标文件接收回执。</w:t>
            </w:r>
          </w:p>
          <w:p>
            <w:pPr>
              <w:snapToGrid w:val="0"/>
              <w:rPr>
                <w:rFonts w:hint="eastAsia" w:ascii="仿宋" w:hAnsi="仿宋" w:eastAsia="仿宋" w:cs="仿宋"/>
                <w:bCs/>
                <w:color w:val="auto"/>
                <w:sz w:val="24"/>
                <w:highlight w:val="none"/>
              </w:rPr>
            </w:pPr>
            <w:r>
              <w:rPr>
                <w:rFonts w:hint="eastAsia" w:ascii="仿宋" w:hAnsi="仿宋" w:eastAsia="仿宋" w:cs="仿宋"/>
                <w:color w:val="auto"/>
                <w:sz w:val="24"/>
                <w:highlight w:val="none"/>
              </w:rPr>
              <w:t>（3）通过“政府采购云平台”成功上传递交的“电子加密投标文件”应按时解密。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“备份投标文件”的密封包装、递交（自愿决定是否邮寄）：</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（1）投标供应商在“政府采购云平台”完成“电子加密投标文件”的上传递交后，还可以在投标截止时间前另行递交以介质</w:t>
            </w:r>
            <w:r>
              <w:rPr>
                <w:rFonts w:hint="eastAsia" w:ascii="仿宋" w:hAnsi="仿宋" w:eastAsia="仿宋" w:cs="仿宋"/>
                <w:bCs/>
                <w:color w:val="auto"/>
                <w:sz w:val="24"/>
                <w:highlight w:val="none"/>
              </w:rPr>
              <w:t>存储</w:t>
            </w:r>
            <w:r>
              <w:rPr>
                <w:rFonts w:hint="eastAsia" w:ascii="仿宋" w:hAnsi="仿宋" w:eastAsia="仿宋" w:cs="仿宋"/>
                <w:color w:val="auto"/>
                <w:sz w:val="24"/>
                <w:highlight w:val="none"/>
              </w:rPr>
              <w:t>（U盘）的</w:t>
            </w:r>
            <w:r>
              <w:rPr>
                <w:rFonts w:hint="eastAsia" w:ascii="仿宋" w:hAnsi="仿宋" w:eastAsia="仿宋" w:cs="仿宋"/>
                <w:bCs/>
                <w:color w:val="auto"/>
                <w:sz w:val="24"/>
                <w:highlight w:val="none"/>
              </w:rPr>
              <w:t>数据电文形式</w:t>
            </w:r>
            <w:r>
              <w:rPr>
                <w:rFonts w:hint="eastAsia" w:ascii="仿宋" w:hAnsi="仿宋" w:eastAsia="仿宋" w:cs="仿宋"/>
                <w:color w:val="auto"/>
                <w:sz w:val="24"/>
                <w:highlight w:val="none"/>
              </w:rPr>
              <w:t>的“备份投标文件”（一份）。</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（2）“备份投标文件”应当密封包装，并在包装上标注投标项目名称、投标单位名称并加盖公章。没有密封包装或者逾期送达至指定地点的“备份投标文件”将不予接收。</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（3）通过“政府采购云平台”成功上传递交的“电子加密投标文件”且按时解密的，“备份投标文件”自动失效。</w:t>
            </w:r>
          </w:p>
          <w:p>
            <w:pPr>
              <w:snapToGrid w:val="0"/>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“备份响应文件”（U盘）可以通过邮寄方式或当面递交方式送达（如邮寄则须统一采用EMS）</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1、“备份响应文件” （U盘）邮寄及当面递交截止时间：投标供应商应于开标前一个工作日内下午17:00时前准时送达，逾期不予受理。投标供应商须留足邮寄、当面递交时间,确保“备份响应文件” （U盘）于规定的时间前送达指定地点，未按时送达的，均按未提供处理。</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“备份响应文件”邮寄、递交地址：</w:t>
            </w:r>
            <w:r>
              <w:rPr>
                <w:rFonts w:hint="eastAsia" w:ascii="仿宋" w:hAnsi="仿宋" w:eastAsia="仿宋" w:cs="仿宋"/>
                <w:color w:val="auto"/>
                <w:sz w:val="24"/>
                <w:highlight w:val="none"/>
                <w:lang w:eastAsia="zh-CN"/>
              </w:rPr>
              <w:t>浙江诚远工程咨询有限公司</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湖州市吴兴区谈家扇花园小区社区管理房1幢201室</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沈雍</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0572-205</w:t>
            </w:r>
            <w:r>
              <w:rPr>
                <w:rFonts w:hint="eastAsia" w:ascii="仿宋" w:hAnsi="仿宋" w:eastAsia="仿宋" w:cs="仿宋"/>
                <w:color w:val="auto"/>
                <w:sz w:val="24"/>
                <w:highlight w:val="none"/>
                <w:lang w:val="en-US" w:eastAsia="zh-CN"/>
              </w:rPr>
              <w:t>2851</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电子加密投标文件的解密和异常情况处理：</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开标会议开始后，采购组织机构将向各投标供应商发出“电子加密投标文件”的解密通知，各投标供应商代表应当在接到解密通知后30分钟内自行完成“电子加密投标文件”的在线解密。若正常解密成功，则“备份投标文件”不予开启。在下一顺位的投标文件启用时，前一顺位的投标自动失效。 </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通过“政府采购云平台”成功上传递交的“电子加密投标文件”无法按时解密，视为投标文件撤回。投标供应商如额外递交了“备份投标文件”的，以“备份投标文件”为依据（由采购组织机构按“政府采购云平台”操作规范将“备份投标文件”上传至“政府采购云平台”，上传成功后，“电子加密投标文件”自动失效），否则视为投标文件撤回。因投标供应商自身原因造成“备份投标文件”无法打开的，作无效标处理。</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开标时间与地点：以公开招标采购公告为准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评标办法：附后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中标结果公示：开评标结束后2天内，中标结果公示于：</w:t>
            </w:r>
          </w:p>
          <w:p>
            <w:pPr>
              <w:autoSpaceDE w:val="0"/>
              <w:autoSpaceDN w:val="0"/>
              <w:snapToGrid w:val="0"/>
              <w:jc w:val="lef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浙江省政府采购网 （http://zfcg.czt.zj.gov.cn/）；</w:t>
            </w:r>
          </w:p>
          <w:p>
            <w:pPr>
              <w:autoSpaceDE w:val="0"/>
              <w:autoSpaceDN w:val="0"/>
              <w:snapToGrid w:val="0"/>
              <w:jc w:val="left"/>
              <w:textAlignment w:val="bottom"/>
              <w:rPr>
                <w:rFonts w:hint="eastAsia" w:ascii="仿宋" w:hAnsi="仿宋" w:eastAsia="仿宋" w:cs="仿宋"/>
                <w:color w:val="auto"/>
                <w:spacing w:val="-20"/>
                <w:sz w:val="24"/>
                <w:highlight w:val="none"/>
              </w:rPr>
            </w:pPr>
            <w:r>
              <w:rPr>
                <w:rFonts w:hint="eastAsia" w:ascii="仿宋" w:hAnsi="仿宋" w:eastAsia="仿宋" w:cs="仿宋"/>
                <w:color w:val="auto"/>
                <w:sz w:val="24"/>
                <w:highlight w:val="none"/>
              </w:rPr>
              <w:t>湖州市公共资源交易中心  （http://ggzy.huzhou.gov.cn/）；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《中标通知书》：公示结束无疑义后，向中标供应商发出《中标通知书》。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履约保证金的收取及退还:无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付款方式：详见公开招标采购文件。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投标文件有效期：</w:t>
            </w:r>
            <w:r>
              <w:rPr>
                <w:rFonts w:hint="eastAsia" w:ascii="仿宋" w:hAnsi="仿宋" w:eastAsia="仿宋" w:cs="仿宋"/>
                <w:color w:val="auto"/>
                <w:sz w:val="24"/>
                <w:highlight w:val="none"/>
                <w:u w:val="single"/>
              </w:rPr>
              <w:t>60</w:t>
            </w:r>
            <w:r>
              <w:rPr>
                <w:rFonts w:hint="eastAsia" w:ascii="仿宋" w:hAnsi="仿宋" w:eastAsia="仿宋" w:cs="仿宋"/>
                <w:color w:val="auto"/>
                <w:sz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解释：本公开招标采购文件的解释权属于招标采购单位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45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在确定中标供应商后，签订合同前，中标供应商须提供两份完整的纸质投标文件给采购人和代理机构，纸质投标文件须与电子投标文件格式及内容一致。</w:t>
            </w:r>
          </w:p>
        </w:tc>
      </w:tr>
    </w:tbl>
    <w:p>
      <w:pPr>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一、说  明</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（一）总则</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采购文件适用于南浔区数字经济门户建设项目的招标、投标、评标、定标、验收、合同履约、付款等行为（法律、法规另有规定的，从其规定）。</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（二）项目基本信息： </w:t>
      </w:r>
    </w:p>
    <w:p>
      <w:pPr>
        <w:pStyle w:val="12"/>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1、项目名称： </w:t>
      </w:r>
      <w:r>
        <w:rPr>
          <w:rFonts w:hint="eastAsia" w:ascii="仿宋" w:hAnsi="仿宋" w:eastAsia="仿宋" w:cs="仿宋"/>
          <w:color w:val="auto"/>
          <w:kern w:val="0"/>
          <w:sz w:val="24"/>
          <w:highlight w:val="none"/>
          <w:lang w:eastAsia="zh-CN"/>
        </w:rPr>
        <w:t>南浔区数字经济门户建设项目</w:t>
      </w:r>
      <w:r>
        <w:rPr>
          <w:rFonts w:hint="eastAsia" w:ascii="仿宋" w:hAnsi="仿宋" w:eastAsia="仿宋" w:cs="仿宋"/>
          <w:color w:val="auto"/>
          <w:kern w:val="0"/>
          <w:sz w:val="24"/>
          <w:highlight w:val="none"/>
        </w:rPr>
        <w:t>；</w:t>
      </w:r>
    </w:p>
    <w:p>
      <w:pPr>
        <w:pStyle w:val="12"/>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2、项目编号：</w:t>
      </w:r>
      <w:r>
        <w:rPr>
          <w:rFonts w:hint="eastAsia" w:ascii="仿宋" w:hAnsi="仿宋" w:eastAsia="仿宋" w:cs="仿宋"/>
          <w:color w:val="auto"/>
          <w:kern w:val="0"/>
          <w:sz w:val="24"/>
          <w:highlight w:val="none"/>
          <w:lang w:eastAsia="zh-CN"/>
        </w:rPr>
        <w:t>ZJCY（湖采）-2023004</w:t>
      </w:r>
      <w:r>
        <w:rPr>
          <w:rFonts w:hint="eastAsia" w:ascii="仿宋" w:hAnsi="仿宋" w:eastAsia="仿宋" w:cs="仿宋"/>
          <w:color w:val="auto"/>
          <w:kern w:val="0"/>
          <w:sz w:val="24"/>
          <w:highlight w:val="none"/>
        </w:rPr>
        <w:t>；</w:t>
      </w:r>
    </w:p>
    <w:p>
      <w:pPr>
        <w:pStyle w:val="12"/>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3、采购内容：详见《第二章 招标采购需求》及《第七章 采购清单》；</w:t>
      </w:r>
    </w:p>
    <w:p>
      <w:pPr>
        <w:pStyle w:val="12"/>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4、采购预算（最高限价）：采购预算</w:t>
      </w:r>
      <w:r>
        <w:rPr>
          <w:rFonts w:hint="eastAsia" w:ascii="仿宋" w:hAnsi="仿宋" w:eastAsia="仿宋" w:cs="仿宋"/>
          <w:color w:val="auto"/>
          <w:sz w:val="24"/>
          <w:highlight w:val="none"/>
          <w:lang w:val="en-US" w:eastAsia="zh-CN"/>
        </w:rPr>
        <w:t>85万元</w:t>
      </w:r>
      <w:r>
        <w:rPr>
          <w:rFonts w:hint="eastAsia" w:ascii="仿宋" w:hAnsi="仿宋" w:eastAsia="仿宋" w:cs="仿宋"/>
          <w:color w:val="auto"/>
          <w:kern w:val="0"/>
          <w:sz w:val="24"/>
          <w:highlight w:val="none"/>
        </w:rPr>
        <w:t>；</w:t>
      </w:r>
    </w:p>
    <w:p>
      <w:pPr>
        <w:pStyle w:val="12"/>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5、资金落实情况：财政资金；</w:t>
      </w:r>
    </w:p>
    <w:p>
      <w:pPr>
        <w:pStyle w:val="12"/>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6、采购人：</w:t>
      </w:r>
      <w:r>
        <w:rPr>
          <w:rFonts w:hint="eastAsia" w:ascii="仿宋" w:hAnsi="仿宋" w:eastAsia="仿宋" w:cs="仿宋"/>
          <w:color w:val="auto"/>
          <w:kern w:val="0"/>
          <w:sz w:val="24"/>
          <w:highlight w:val="none"/>
          <w:lang w:val="en-US" w:eastAsia="zh-CN"/>
        </w:rPr>
        <w:t> 浙江省湖州市南浔区发展改革和经济信息化局</w:t>
      </w:r>
      <w:r>
        <w:rPr>
          <w:rFonts w:hint="eastAsia" w:ascii="仿宋" w:hAnsi="仿宋" w:eastAsia="仿宋" w:cs="仿宋"/>
          <w:color w:val="auto"/>
          <w:kern w:val="0"/>
          <w:sz w:val="24"/>
          <w:highlight w:val="none"/>
        </w:rPr>
        <w:t>；</w:t>
      </w:r>
    </w:p>
    <w:p>
      <w:pPr>
        <w:pStyle w:val="12"/>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7、采购代理机构：</w:t>
      </w:r>
      <w:r>
        <w:rPr>
          <w:rFonts w:hint="eastAsia" w:ascii="仿宋" w:hAnsi="仿宋" w:eastAsia="仿宋" w:cs="仿宋"/>
          <w:color w:val="auto"/>
          <w:kern w:val="0"/>
          <w:sz w:val="24"/>
          <w:highlight w:val="none"/>
          <w:lang w:eastAsia="zh-CN"/>
        </w:rPr>
        <w:t>浙江诚远工程咨询有限公司</w:t>
      </w:r>
      <w:r>
        <w:rPr>
          <w:rFonts w:hint="eastAsia" w:ascii="仿宋" w:hAnsi="仿宋" w:eastAsia="仿宋" w:cs="仿宋"/>
          <w:color w:val="auto"/>
          <w:kern w:val="0"/>
          <w:sz w:val="24"/>
          <w:highlight w:val="none"/>
        </w:rPr>
        <w:t>；</w:t>
      </w:r>
    </w:p>
    <w:p>
      <w:pPr>
        <w:pStyle w:val="12"/>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8、交易方式：电子交易；</w:t>
      </w:r>
    </w:p>
    <w:p>
      <w:pPr>
        <w:pStyle w:val="12"/>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9、电子交易平台：政府采购云平台；</w:t>
      </w:r>
    </w:p>
    <w:p>
      <w:pPr>
        <w:pStyle w:val="12"/>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10、采购方式：公开招标；</w:t>
      </w:r>
    </w:p>
    <w:p>
      <w:pPr>
        <w:pStyle w:val="12"/>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11、采购组织类型：分散采购-分散委托中介。</w:t>
      </w:r>
    </w:p>
    <w:p>
      <w:pPr>
        <w:pStyle w:val="12"/>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12、合格供应商“基本资格”要求：见《第一章 公开招标采购公告》；</w:t>
      </w:r>
    </w:p>
    <w:p>
      <w:pPr>
        <w:pStyle w:val="12"/>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13、合格供应商“特定资格”要求：见《第一章 公开招标采购公告》。</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（三）定义</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是指依法组织进行政府采购的国家机关、事业单位、团体组织，即本政府采购项目的招标、签订合同、实施管理、验收的单位（按阶段不同，分别理解为招标人、发包人、甲方）。本项目的采购人是指“</w:t>
      </w:r>
      <w:r>
        <w:rPr>
          <w:rFonts w:hint="eastAsia" w:ascii="仿宋" w:hAnsi="仿宋" w:eastAsia="仿宋" w:cs="仿宋"/>
          <w:color w:val="auto"/>
          <w:sz w:val="24"/>
          <w:szCs w:val="24"/>
          <w:highlight w:val="none"/>
          <w:lang w:eastAsia="zh-CN"/>
        </w:rPr>
        <w:t xml:space="preserve"> 浙江南浔经济开发区管理委员会</w:t>
      </w:r>
      <w:r>
        <w:rPr>
          <w:rFonts w:hint="eastAsia" w:ascii="仿宋" w:hAnsi="仿宋" w:eastAsia="仿宋" w:cs="仿宋"/>
          <w:color w:val="auto"/>
          <w:sz w:val="24"/>
          <w:szCs w:val="24"/>
          <w:highlight w:val="none"/>
        </w:rPr>
        <w:t>”。</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2、“采购代理机构”：是指受采购人委托，在委托的范围内办理政府采购事宜的机构。本项目的采购代理机构是指“</w:t>
      </w:r>
      <w:r>
        <w:rPr>
          <w:rFonts w:hint="eastAsia" w:ascii="仿宋" w:hAnsi="仿宋" w:eastAsia="仿宋" w:cs="仿宋"/>
          <w:color w:val="auto"/>
          <w:sz w:val="24"/>
          <w:szCs w:val="24"/>
          <w:highlight w:val="none"/>
          <w:lang w:eastAsia="zh-CN"/>
        </w:rPr>
        <w:t>浙江诚远工程咨询有限公司</w:t>
      </w:r>
      <w:r>
        <w:rPr>
          <w:rFonts w:hint="eastAsia" w:ascii="仿宋" w:hAnsi="仿宋" w:eastAsia="仿宋" w:cs="仿宋"/>
          <w:color w:val="auto"/>
          <w:sz w:val="24"/>
          <w:szCs w:val="24"/>
          <w:highlight w:val="none"/>
        </w:rPr>
        <w:t>”</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3、“采购组织机构”：是指采购人和受采购人委托的采购代理机构。</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4、“投标供应商”：是指向采购组织机构提交响应招标、参加投标竞争的法人、其他组织或者自然人。</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5、“投标供应商代表”：是指参加本项目投标活动的投标供应商的法定代表人或</w:t>
      </w:r>
      <w:r>
        <w:rPr>
          <w:rFonts w:hint="eastAsia" w:ascii="仿宋" w:hAnsi="仿宋" w:eastAsia="仿宋" w:cs="仿宋"/>
          <w:bCs/>
          <w:color w:val="auto"/>
          <w:sz w:val="24"/>
          <w:szCs w:val="24"/>
          <w:highlight w:val="none"/>
        </w:rPr>
        <w:t>法</w:t>
      </w:r>
      <w:r>
        <w:rPr>
          <w:rFonts w:hint="eastAsia" w:ascii="仿宋" w:hAnsi="仿宋" w:eastAsia="仿宋" w:cs="仿宋"/>
          <w:color w:val="auto"/>
          <w:sz w:val="24"/>
          <w:szCs w:val="24"/>
          <w:highlight w:val="none"/>
        </w:rPr>
        <w:t>定代表人授权委托人。</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6、“投标联合体”：是指两个或以上供应商组成联合体，以一个投标供应商的身份参加投标。</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7、“中标供应商”：是指经评审小组推荐并经采购人确认的中标或成交单位，即政府采购合同中的“乙方”。</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8、“同级政府采购监督管理部门”：是指“</w:t>
      </w:r>
      <w:r>
        <w:rPr>
          <w:rFonts w:hint="eastAsia" w:ascii="仿宋" w:hAnsi="仿宋" w:eastAsia="仿宋" w:cs="仿宋"/>
          <w:color w:val="auto"/>
          <w:sz w:val="24"/>
          <w:highlight w:val="none"/>
        </w:rPr>
        <w:t>吴兴区财政局</w:t>
      </w:r>
      <w:r>
        <w:rPr>
          <w:rFonts w:hint="eastAsia" w:ascii="仿宋" w:hAnsi="仿宋" w:eastAsia="仿宋" w:cs="仿宋"/>
          <w:color w:val="auto"/>
          <w:sz w:val="24"/>
          <w:szCs w:val="24"/>
          <w:highlight w:val="none"/>
        </w:rPr>
        <w:t>”。</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9、“采购文件（或公开招标采购文件）”：是指本文件。</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10、“书面形式”：是指按要求提供的加盖有单位公章的信函、电子扫描件等等。</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11、“项目”：是指投标供应商按</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采购文件规定向采购人提供的产品和服务或工程。</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12、“制造商”：是指拥有投标产品自主知识产权的单位。</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13、“产品”系指供应商按公开招标采购文件规定，须向采购人提供的一切设备、保险、税金、备品备件、工具、手册及其它有关技术资料和材料。</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14、“进口产品”：是指通过中国海关报关验放进入中国境内且产自关境外的产品。</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15、“服务”：是指公开招标采购文件规定投标供应商须承担的相关的安装、调试、技术协助、校准、培训、技术指导以及其他类似的义务。</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16、“▲”：是指实质性要求条款。供应商投标时应对所有“实质性条款（或要求）”作出实质性投标，且不得出现负偏离，否则投标无效。</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17、中小企业（含中型、小型、微型）：是指符合中小企业划分标准（工信部联企业[2011]300号）的企业。</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19、残疾人福利性单位：是指符合《财政部 民政部 中国残疾人联合会关于促进残疾人就业政府采购政策的通知》（财库〔2017〕141号）的规定单位。</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（四）招标方式</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本次招标采用公开招标方式进行。</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（五）投标委托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投标供应商的法定代表人可以授权其单位的其他在职员工全权处理本次投标有关的事项，但其授权委托人必须持有法定代表人出具的《法定代表人授权委托书》、法人有效身份证件及</w:t>
      </w:r>
      <w:r>
        <w:rPr>
          <w:rFonts w:hint="eastAsia" w:ascii="仿宋" w:hAnsi="仿宋" w:eastAsia="仿宋" w:cs="仿宋"/>
          <w:bCs/>
          <w:color w:val="auto"/>
          <w:sz w:val="24"/>
          <w:highlight w:val="none"/>
        </w:rPr>
        <w:t>法</w:t>
      </w:r>
      <w:r>
        <w:rPr>
          <w:rFonts w:hint="eastAsia" w:ascii="仿宋" w:hAnsi="仿宋" w:eastAsia="仿宋" w:cs="仿宋"/>
          <w:color w:val="auto"/>
          <w:sz w:val="24"/>
          <w:highlight w:val="none"/>
        </w:rPr>
        <w:t>定代表人授权委托人有效身份证件等资料。《法定代表人授权委托书》必须经法定代表人签字（或盖章），否则视为无效授权（等同未提供）。</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投标供应商代表为法定代表人须提供有效身份证件及营业执照相关资料。</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（六）投标费用</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1、投标供应商应自行承担投标过程中的所有相关费用，不论中标与否，采购组织机构在任何情况下不承担有关费用。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2、在《中标通知书》发出当日一次性结清。本项目招标代理服务费</w:t>
      </w:r>
      <w:r>
        <w:rPr>
          <w:rFonts w:hint="eastAsia" w:ascii="仿宋" w:hAnsi="仿宋" w:eastAsia="仿宋" w:cs="仿宋"/>
          <w:color w:val="auto"/>
          <w:sz w:val="24"/>
          <w:highlight w:val="none"/>
          <w:lang w:val="en-US" w:eastAsia="zh-CN"/>
        </w:rPr>
        <w:t>按15350元</w:t>
      </w:r>
      <w:bookmarkStart w:id="52" w:name="_GoBack"/>
      <w:bookmarkEnd w:id="52"/>
      <w:r>
        <w:rPr>
          <w:rFonts w:hint="eastAsia" w:ascii="仿宋" w:hAnsi="仿宋" w:eastAsia="仿宋" w:cs="仿宋"/>
          <w:color w:val="auto"/>
          <w:sz w:val="24"/>
          <w:highlight w:val="none"/>
          <w:lang w:val="en-US" w:eastAsia="zh-CN"/>
        </w:rPr>
        <w:t>支付</w:t>
      </w:r>
      <w:r>
        <w:rPr>
          <w:rFonts w:hint="eastAsia" w:ascii="仿宋" w:hAnsi="仿宋" w:eastAsia="仿宋" w:cs="仿宋"/>
          <w:color w:val="auto"/>
          <w:sz w:val="24"/>
          <w:highlight w:val="none"/>
        </w:rPr>
        <w:t>。由本项目中标人在收到中标通知书当日分别一次性缴纳。</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（七）联合体投标</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1、本项目不接受联合体投标。</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2、如规定接受联合体投标的，参加投标的联合体应遵守以下规定：</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（1）两个或以上供应商可以组成一个联合体，以一个投标供应商的身份共同参加投标。</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中型企业和其他自然人、法人或者其他组织与小型、微型企业可以组成联合体共同参加非专门面向中小企业的政府采购活动。联合协议中如约定，小型、微型企业的协议合同金额占到联合体协议合同总金额30%以上的，在报价评审时可给予联合体2%的价格扣除。联合体各方均为小型、微型企业的，联合体视同为小型、微型企业享受本文件规定的6%价格扣除优惠扶持（比例详见本章第2.2.2条约定）。组成联合体的大中型企业和其他自然人、法人或者其他组织，与小型、微型企业之间不得存在投资关系。</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（3）两个或以上供应商组成联合体参加本项目投标的，在登记获取</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采购文件时应予以说明备注，并在资格文件中提交《联合投标协议书》，未提交《联合投标协议书》的联合体无效。</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以联合体形式参加本项目投标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联合体各方之间须签订《联合投标协议书》，明确约定联合体各方承担的工作和相应的责任，在《联合投标协议书》中指定本项目主办人，并将《联合投标协议书》作投标文件组成的一部分；本项目的主体、关键性工作须由主办人完成，并在《联合投标协议书》中进行说明。</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（6）联合体各方签订《联合投标协议书》后，不得再以自己名义单独在本项目中参加投标，也不得组成新的联合体参加本项目投标。</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（7）联合体各方共同与采购人签订采购合同，就采购合同约定的事项对采购人承担连带责任。</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（8）联合体投标文件应由主办人按规定进行签章。</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（9）采购代理服务费可由主办人一方缴纳，也可以由联合体各方共同缴纳（具体缴纳金额须在《联合投标协议书》中明确）。</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（八）进口产品投标</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1、本项目不允许进口产品投标。</w:t>
      </w:r>
    </w:p>
    <w:p>
      <w:pPr>
        <w:pStyle w:val="12"/>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2、如未标明允许进口产品投标的合同项（标项）一律拒绝“进口产品”参加投标。</w:t>
      </w:r>
    </w:p>
    <w:p>
      <w:pPr>
        <w:pStyle w:val="12"/>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3、“进口产品”系指通过中国海关报关验放进入中国境内且产自关境外的产品，“国外品牌产品”不等于“进口产品”。</w:t>
      </w:r>
    </w:p>
    <w:p>
      <w:pPr>
        <w:pStyle w:val="12"/>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进口产品”投标的必须在投标文件中放入相关产品的中国海关报关验放资料及关境外生产证明资料。上述资料如以中文以外的文字表述的，须同时提供中文翻译；未提供翻译或为未如实提供翻译资料的，所引起的一系列后果由投标人自行承担。</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（九）转包与分包</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1、本项目不允许转包，也不可以分包。</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2、如声明允许分包的，投标供应商可以根据</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采购文件的规定和采购项目的实际情况进行分包。投标供应商根据</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的规定和采购项目的实际情况，拟在中标后将中标项目的非主体、非关键性工作分包的，应当在投标文件中载明分包承担主体，分包承担主体应当具备相应资质条件且不得再次分包。政府采购合同分包履行的，中标、成交供应商就采购项目和分包项目向采购人负责，分包供应商就分包项目承担责任。</w:t>
      </w:r>
    </w:p>
    <w:p>
      <w:pPr>
        <w:pStyle w:val="1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（十）语言文字及计量单位</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1、语言文字：除专业术语、签名、盖章、名称等特殊情形外，与本项目工作有关的所有材料、来往函电语言均应使用中文，专业术语、名称应附有中文注释。仅以中文以外的文字表述的材料视同未提供。</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2、计量单位：公开招标采购文件已有明确规定的，使用</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采购文件规定的计量单位；</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采购文件没有规定的，应采用中华人民共和国法定计量单位，否则视同未响应。</w:t>
      </w:r>
    </w:p>
    <w:p>
      <w:pPr>
        <w:pStyle w:val="1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（十一）质疑和投诉</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根据《中华人民共和国财政部令第94号-政府采购质疑和投诉办法》第二章规定。</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认为采购文件、采购过程、中标或者中标结果使自己的权益受到损害的，可以在知道或者应知其权益受到损害之日起7个工作日内，以书面形式向采购人、采购代理机构提出质疑。采购文件可以要求供应商在法定质疑期内一次性提出针对同一采购程序环节的质疑。</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2.提出质疑的供应商（以下简称质疑供应商）应当是参与所质疑项目采购活动的供应商。</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潜在供应商已依法获取其可质疑的采购文件的，可以对该文件提出质疑。对采购文件提出质疑的，应当在获取采购文件或者采购文件公告期限届满之日起7个工作日内提出。</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3.供应商提出质疑应当提交质疑函和必要的证明材料。质疑函应当包括下列内容:</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（1）供应商的姓名或者名称、地址、邮编、联系人及联系电话；</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（2）质疑项目的名称、编号；</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（3）具体、明确的质疑事项和与质疑事项相关的请求；</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（4）事实依据；</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（5）必要的法律依据；</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（6）提出质疑的日期。</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供应商为自然人的，应当由本人签字；供应商为法人或者其他组织的，应当由法定代表人、主要负责人，或者其授权代表签字或者盖章，并加盖公章。</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4.采购人、采购代理机构不得拒收质疑供应商在法定质疑期内发出的质疑函，应当在收到质疑函后7个工作日内作出答复，并以书面形式通知质疑供应商和其他有关供应商。</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5.供应商对评审过程、中标或者中标结果提出质疑的，采购人、采购代理机构可以组织原评标委员会、竞争性谈判小组、询价小组或者竞争性投标小组协助答复质疑。</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6.质疑答复应当包括下列内容：</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（1）质疑供应商的姓名或者名称；</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（2）收到质疑函的日期、质疑项目名称及编号；</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（3）质疑事项、质疑答复的具体内容、事实依据和法律依据；</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（4）告知质疑供应商依法投诉的权利；</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（5）质疑答复人名称；</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（6）答复质疑的日期。</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质疑答复的内容不得涉及商业秘密。</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7.采购人、采购代理机构认为供应商质疑不成立，或者成立但未对中标、中标结果构成影响的，继续开展采购活动；认为供应商质疑成立且影响或者可能影响中标、中标结果的，按照下列情况处理：</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（1）对采购文件提出的质疑，依法通过澄清或者修改可以继续开展采购活动的，澄清或者修改采购文件后继续开展采购活动；否则应当修改采购文件后重新开展采购活动。</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质疑答复导致中标、中标结果改变的，采购人或者采购代理机构应当将有关情况书面报告本级财政部门。</w:t>
      </w:r>
    </w:p>
    <w:p>
      <w:pPr>
        <w:spacing w:line="400" w:lineRule="exact"/>
        <w:ind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未按规定格式、内容提出的，采购人、采购代理机构将不予受理。</w:t>
      </w:r>
    </w:p>
    <w:p>
      <w:pPr>
        <w:pStyle w:val="1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（十六）特别说明：</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讨论决定。</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▲2.投标人投标所使用的资格、信誉、荣誉、业绩与企业认证必须为本法人所拥有。投标人投标所使用的采购项目实施人员必须为本法人员工（或必须为本法人或控股公司正式员工）。</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▲3.投标人应仔细阅读招标文件的所有内容，按照招标文件的要求提交投标文件，并对所提供的全部资料的真实性承担法律责任。</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二、采购文件</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（一）公开招标采购文件的组成</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1、公开招标采购公告</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2、招标采购需求</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3、投标供应商须知</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4、评审办法及标准</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5、合同主要条款</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6、投标文件格式</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招标采购清单</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8、附件（如有）</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9、本项目</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采购文件的澄清、答复、修改、补充的内容（如有）</w:t>
      </w:r>
    </w:p>
    <w:p>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（二）投标供应商的风险</w:t>
      </w:r>
    </w:p>
    <w:p>
      <w:pPr>
        <w:pStyle w:val="6"/>
        <w:widowControl w:val="0"/>
        <w:tabs>
          <w:tab w:val="left" w:pos="420"/>
          <w:tab w:val="left" w:pos="720"/>
          <w:tab w:val="left" w:pos="900"/>
        </w:tabs>
        <w:spacing w:after="0" w:afterLines="0" w:line="360" w:lineRule="auto"/>
        <w:ind w:left="0"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投标供应商没有按照</w:t>
      </w:r>
      <w:r>
        <w:rPr>
          <w:rFonts w:hint="eastAsia" w:ascii="仿宋" w:hAnsi="仿宋" w:eastAsia="仿宋" w:cs="仿宋"/>
          <w:color w:val="auto"/>
          <w:sz w:val="24"/>
          <w:szCs w:val="24"/>
          <w:highlight w:val="none"/>
        </w:rPr>
        <w:t>公开招标</w:t>
      </w:r>
      <w:r>
        <w:rPr>
          <w:rFonts w:hint="eastAsia" w:ascii="仿宋" w:hAnsi="仿宋" w:eastAsia="仿宋" w:cs="仿宋"/>
          <w:color w:val="auto"/>
          <w:kern w:val="2"/>
          <w:sz w:val="24"/>
          <w:szCs w:val="24"/>
          <w:highlight w:val="none"/>
        </w:rPr>
        <w:t>采购文件要求提供全部资料，或者投标供应商没有对</w:t>
      </w:r>
      <w:r>
        <w:rPr>
          <w:rFonts w:hint="eastAsia" w:ascii="仿宋" w:hAnsi="仿宋" w:eastAsia="仿宋" w:cs="仿宋"/>
          <w:color w:val="auto"/>
          <w:sz w:val="24"/>
          <w:szCs w:val="24"/>
          <w:highlight w:val="none"/>
        </w:rPr>
        <w:t>公开招标</w:t>
      </w:r>
      <w:r>
        <w:rPr>
          <w:rFonts w:hint="eastAsia" w:ascii="仿宋" w:hAnsi="仿宋" w:eastAsia="仿宋" w:cs="仿宋"/>
          <w:color w:val="auto"/>
          <w:kern w:val="2"/>
          <w:sz w:val="24"/>
          <w:szCs w:val="24"/>
          <w:highlight w:val="none"/>
        </w:rPr>
        <w:t>采购文件在各方面作出实质性响应是投标供应商的风险，并可能导致其投标被拒绝。</w:t>
      </w:r>
    </w:p>
    <w:p>
      <w:pPr>
        <w:pStyle w:val="6"/>
        <w:widowControl w:val="0"/>
        <w:tabs>
          <w:tab w:val="left" w:pos="420"/>
          <w:tab w:val="left" w:pos="720"/>
          <w:tab w:val="left" w:pos="900"/>
        </w:tabs>
        <w:spacing w:after="0" w:afterLines="0" w:line="360" w:lineRule="auto"/>
        <w:ind w:left="0" w:firstLine="482" w:firstLineChars="200"/>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（三）公开招标采购文件的澄清</w:t>
      </w:r>
    </w:p>
    <w:p>
      <w:pPr>
        <w:pStyle w:val="6"/>
        <w:widowControl w:val="0"/>
        <w:numPr>
          <w:ilvl w:val="0"/>
          <w:numId w:val="4"/>
        </w:numPr>
        <w:tabs>
          <w:tab w:val="left" w:pos="420"/>
          <w:tab w:val="left" w:pos="720"/>
          <w:tab w:val="left" w:pos="900"/>
        </w:tabs>
        <w:spacing w:after="0" w:afterLines="0" w:line="360" w:lineRule="auto"/>
        <w:ind w:left="0"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采购代理机构对已发出的</w:t>
      </w:r>
      <w:r>
        <w:rPr>
          <w:rFonts w:hint="eastAsia" w:ascii="仿宋" w:hAnsi="仿宋" w:eastAsia="仿宋" w:cs="仿宋"/>
          <w:color w:val="auto"/>
          <w:sz w:val="24"/>
          <w:szCs w:val="24"/>
          <w:highlight w:val="none"/>
        </w:rPr>
        <w:t>公开招标</w:t>
      </w:r>
      <w:r>
        <w:rPr>
          <w:rFonts w:hint="eastAsia" w:ascii="仿宋" w:hAnsi="仿宋" w:eastAsia="仿宋" w:cs="仿宋"/>
          <w:color w:val="auto"/>
          <w:kern w:val="2"/>
          <w:sz w:val="24"/>
          <w:szCs w:val="24"/>
          <w:highlight w:val="none"/>
        </w:rPr>
        <w:t>采购文件进行必要澄清、答复、修改（更正）或补充的，应当在</w:t>
      </w:r>
      <w:r>
        <w:rPr>
          <w:rFonts w:hint="eastAsia" w:ascii="仿宋" w:hAnsi="仿宋" w:eastAsia="仿宋" w:cs="仿宋"/>
          <w:color w:val="auto"/>
          <w:sz w:val="24"/>
          <w:szCs w:val="24"/>
          <w:highlight w:val="none"/>
        </w:rPr>
        <w:t>公开招标</w:t>
      </w:r>
      <w:r>
        <w:rPr>
          <w:rFonts w:hint="eastAsia" w:ascii="仿宋" w:hAnsi="仿宋" w:eastAsia="仿宋" w:cs="仿宋"/>
          <w:color w:val="auto"/>
          <w:kern w:val="2"/>
          <w:sz w:val="24"/>
          <w:szCs w:val="24"/>
          <w:highlight w:val="none"/>
        </w:rPr>
        <w:t>采购文件要求提交投标文件截止时间 15日前，在财政部门指定的原政府采购公告信息发布媒体上发布澄清或更正公告，并以电子邮件（原文扫描件）或网上公告等形式告知所有已登记获取采购文件的供应商。</w:t>
      </w:r>
    </w:p>
    <w:p>
      <w:pPr>
        <w:pStyle w:val="6"/>
        <w:widowControl w:val="0"/>
        <w:numPr>
          <w:ilvl w:val="0"/>
          <w:numId w:val="4"/>
        </w:numPr>
        <w:tabs>
          <w:tab w:val="left" w:pos="420"/>
          <w:tab w:val="left" w:pos="720"/>
          <w:tab w:val="left" w:pos="900"/>
        </w:tabs>
        <w:spacing w:after="0" w:afterLines="0" w:line="360" w:lineRule="auto"/>
        <w:ind w:left="0"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公开招标</w:t>
      </w:r>
      <w:r>
        <w:rPr>
          <w:rFonts w:hint="eastAsia" w:ascii="仿宋" w:hAnsi="仿宋" w:eastAsia="仿宋" w:cs="仿宋"/>
          <w:color w:val="auto"/>
          <w:kern w:val="2"/>
          <w:sz w:val="24"/>
          <w:szCs w:val="24"/>
          <w:highlight w:val="none"/>
        </w:rPr>
        <w:t>采购文件澄清、答复、修改（更正）、补充的内容为</w:t>
      </w:r>
      <w:r>
        <w:rPr>
          <w:rFonts w:hint="eastAsia" w:ascii="仿宋" w:hAnsi="仿宋" w:eastAsia="仿宋" w:cs="仿宋"/>
          <w:color w:val="auto"/>
          <w:sz w:val="24"/>
          <w:szCs w:val="24"/>
          <w:highlight w:val="none"/>
        </w:rPr>
        <w:t>公开招标</w:t>
      </w:r>
      <w:r>
        <w:rPr>
          <w:rFonts w:hint="eastAsia" w:ascii="仿宋" w:hAnsi="仿宋" w:eastAsia="仿宋" w:cs="仿宋"/>
          <w:color w:val="auto"/>
          <w:kern w:val="2"/>
          <w:sz w:val="24"/>
          <w:szCs w:val="24"/>
          <w:highlight w:val="none"/>
        </w:rPr>
        <w:t>采购文件的组成部分。当</w:t>
      </w:r>
      <w:r>
        <w:rPr>
          <w:rFonts w:hint="eastAsia" w:ascii="仿宋" w:hAnsi="仿宋" w:eastAsia="仿宋" w:cs="仿宋"/>
          <w:color w:val="auto"/>
          <w:sz w:val="24"/>
          <w:szCs w:val="24"/>
          <w:highlight w:val="none"/>
        </w:rPr>
        <w:t>公开招标</w:t>
      </w:r>
      <w:r>
        <w:rPr>
          <w:rFonts w:hint="eastAsia" w:ascii="仿宋" w:hAnsi="仿宋" w:eastAsia="仿宋" w:cs="仿宋"/>
          <w:color w:val="auto"/>
          <w:kern w:val="2"/>
          <w:sz w:val="24"/>
          <w:szCs w:val="24"/>
          <w:highlight w:val="none"/>
        </w:rPr>
        <w:t>采购文件与采购文件的答复、澄清、修改、补充通知就同一内容的表述不一致时，以最后发出的书面文件为准。</w:t>
      </w:r>
    </w:p>
    <w:p>
      <w:pPr>
        <w:pStyle w:val="6"/>
        <w:widowControl w:val="0"/>
        <w:numPr>
          <w:ilvl w:val="0"/>
          <w:numId w:val="4"/>
        </w:numPr>
        <w:tabs>
          <w:tab w:val="left" w:pos="420"/>
          <w:tab w:val="left" w:pos="720"/>
          <w:tab w:val="left" w:pos="900"/>
        </w:tabs>
        <w:spacing w:after="0" w:afterLines="0" w:line="360" w:lineRule="auto"/>
        <w:ind w:left="0"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供应商收到采购组织机构发出的澄清、答复、修改（更正）、补充文件后，应在24小时内向采购组织机构提交书面回执；逾期不回复的，视为已经收到并知晓文件所述内容。</w:t>
      </w:r>
    </w:p>
    <w:p>
      <w:pPr>
        <w:pStyle w:val="6"/>
        <w:widowControl w:val="0"/>
        <w:numPr>
          <w:ilvl w:val="0"/>
          <w:numId w:val="4"/>
        </w:numPr>
        <w:tabs>
          <w:tab w:val="left" w:pos="420"/>
          <w:tab w:val="left" w:pos="720"/>
          <w:tab w:val="left" w:pos="900"/>
        </w:tabs>
        <w:spacing w:after="0" w:afterLines="0" w:line="360" w:lineRule="auto"/>
        <w:ind w:left="0"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供应商对收到的澄清、答复、修改（更正）、补充文件内容有疑问的，应当同时在书面回执中加注说明并与采购组织机构确认，疑问内容应加盖单位公章、写明日期。</w:t>
      </w:r>
    </w:p>
    <w:p>
      <w:pPr>
        <w:pStyle w:val="6"/>
        <w:widowControl w:val="0"/>
        <w:numPr>
          <w:ilvl w:val="0"/>
          <w:numId w:val="4"/>
        </w:numPr>
        <w:tabs>
          <w:tab w:val="left" w:pos="420"/>
          <w:tab w:val="left" w:pos="720"/>
          <w:tab w:val="left" w:pos="900"/>
        </w:tabs>
        <w:spacing w:after="0" w:afterLines="0" w:line="360" w:lineRule="auto"/>
        <w:ind w:left="0"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供应商应认真阅读公开招标采购文件，发现其中有误或有不合理要求的，供应商应当在依法获取</w:t>
      </w:r>
      <w:r>
        <w:rPr>
          <w:rFonts w:hint="eastAsia" w:ascii="仿宋" w:hAnsi="仿宋" w:eastAsia="仿宋" w:cs="仿宋"/>
          <w:color w:val="auto"/>
          <w:sz w:val="24"/>
          <w:szCs w:val="24"/>
          <w:highlight w:val="none"/>
        </w:rPr>
        <w:t>公开招标</w:t>
      </w:r>
      <w:r>
        <w:rPr>
          <w:rFonts w:hint="eastAsia" w:ascii="仿宋" w:hAnsi="仿宋" w:eastAsia="仿宋" w:cs="仿宋"/>
          <w:color w:val="auto"/>
          <w:kern w:val="2"/>
          <w:sz w:val="24"/>
          <w:szCs w:val="24"/>
          <w:highlight w:val="none"/>
        </w:rPr>
        <w:t>采购文件之日（报名截止日之后收到采购文件的，以报名截止日为准）或者公开招标采购文件公告期限届满之日（招标公告为公告发布后至第6个工作日）起7个工作日内以书面形式要求采购代理机构澄清，否则逾期视为默认。</w:t>
      </w:r>
    </w:p>
    <w:p>
      <w:pPr>
        <w:pStyle w:val="6"/>
        <w:widowControl w:val="0"/>
        <w:numPr>
          <w:ilvl w:val="0"/>
          <w:numId w:val="4"/>
        </w:numPr>
        <w:tabs>
          <w:tab w:val="left" w:pos="420"/>
          <w:tab w:val="left" w:pos="720"/>
          <w:tab w:val="left" w:pos="900"/>
        </w:tabs>
        <w:spacing w:after="0" w:afterLines="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注：</w:t>
      </w:r>
      <w:r>
        <w:rPr>
          <w:rFonts w:hint="eastAsia" w:ascii="仿宋" w:hAnsi="仿宋" w:eastAsia="仿宋" w:cs="仿宋"/>
          <w:color w:val="auto"/>
          <w:sz w:val="24"/>
          <w:szCs w:val="24"/>
          <w:highlight w:val="none"/>
        </w:rPr>
        <w:t>供应商如对公开招标采购文件内容要求有异议需要</w:t>
      </w:r>
      <w:r>
        <w:rPr>
          <w:rFonts w:hint="eastAsia" w:ascii="仿宋" w:hAnsi="仿宋" w:eastAsia="仿宋" w:cs="仿宋"/>
          <w:color w:val="auto"/>
          <w:kern w:val="2"/>
          <w:sz w:val="24"/>
          <w:szCs w:val="24"/>
          <w:highlight w:val="none"/>
        </w:rPr>
        <w:t>采购代理机构进行澄清说明的</w:t>
      </w:r>
      <w:r>
        <w:rPr>
          <w:rFonts w:hint="eastAsia" w:ascii="仿宋" w:hAnsi="仿宋" w:eastAsia="仿宋" w:cs="仿宋"/>
          <w:color w:val="auto"/>
          <w:sz w:val="24"/>
          <w:szCs w:val="24"/>
          <w:highlight w:val="none"/>
        </w:rPr>
        <w:t>，应在公开招标采购文件规定的时间内提出；逾期提出的，采购组织机构可以不予受理、答复。</w:t>
      </w:r>
    </w:p>
    <w:p>
      <w:pPr>
        <w:pStyle w:val="6"/>
        <w:widowControl w:val="0"/>
        <w:numPr>
          <w:ilvl w:val="0"/>
          <w:numId w:val="4"/>
        </w:numPr>
        <w:tabs>
          <w:tab w:val="left" w:pos="420"/>
          <w:tab w:val="left" w:pos="720"/>
          <w:tab w:val="left" w:pos="900"/>
        </w:tabs>
        <w:spacing w:after="0" w:afterLines="0" w:line="360" w:lineRule="auto"/>
        <w:ind w:left="0"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采购组织机构</w:t>
      </w:r>
      <w:r>
        <w:rPr>
          <w:rFonts w:hint="eastAsia" w:ascii="仿宋" w:hAnsi="仿宋" w:eastAsia="仿宋" w:cs="仿宋"/>
          <w:color w:val="auto"/>
          <w:kern w:val="2"/>
          <w:sz w:val="24"/>
          <w:szCs w:val="24"/>
          <w:highlight w:val="none"/>
        </w:rPr>
        <w:t>必须以书面形式答复供应商要求澄清的问题，并将不包含问题来源的答复以电子邮件（原文扫描件）或网上公告等形式告知所有已登记获取</w:t>
      </w:r>
      <w:r>
        <w:rPr>
          <w:rFonts w:hint="eastAsia" w:ascii="仿宋" w:hAnsi="仿宋" w:eastAsia="仿宋" w:cs="仿宋"/>
          <w:color w:val="auto"/>
          <w:sz w:val="24"/>
          <w:szCs w:val="24"/>
          <w:highlight w:val="none"/>
        </w:rPr>
        <w:t>公开招标</w:t>
      </w:r>
      <w:r>
        <w:rPr>
          <w:rFonts w:hint="eastAsia" w:ascii="仿宋" w:hAnsi="仿宋" w:eastAsia="仿宋" w:cs="仿宋"/>
          <w:color w:val="auto"/>
          <w:kern w:val="2"/>
          <w:sz w:val="24"/>
          <w:szCs w:val="24"/>
          <w:highlight w:val="none"/>
        </w:rPr>
        <w:t>采购文件的供应商；除上述方式以外的其他澄清方式及澄清内容均无效。</w:t>
      </w:r>
    </w:p>
    <w:p>
      <w:pPr>
        <w:pStyle w:val="6"/>
        <w:widowControl w:val="0"/>
        <w:numPr>
          <w:ilvl w:val="0"/>
          <w:numId w:val="4"/>
        </w:numPr>
        <w:tabs>
          <w:tab w:val="left" w:pos="420"/>
          <w:tab w:val="left" w:pos="720"/>
          <w:tab w:val="left" w:pos="900"/>
        </w:tabs>
        <w:spacing w:after="0" w:afterLines="0" w:line="360" w:lineRule="auto"/>
        <w:ind w:left="0"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公开招标</w:t>
      </w:r>
      <w:r>
        <w:rPr>
          <w:rFonts w:hint="eastAsia" w:ascii="仿宋" w:hAnsi="仿宋" w:eastAsia="仿宋" w:cs="仿宋"/>
          <w:color w:val="auto"/>
          <w:kern w:val="2"/>
          <w:sz w:val="24"/>
          <w:szCs w:val="24"/>
          <w:highlight w:val="none"/>
        </w:rPr>
        <w:t>采购文件的澄清、修改的内容影响到供应商投标文件编制的，采购人或采购代理机构将按相关规定顺延投标截止时间及开标时间，使之满足政府采购相关规定。</w:t>
      </w:r>
    </w:p>
    <w:p>
      <w:pPr>
        <w:pStyle w:val="6"/>
        <w:widowControl w:val="0"/>
        <w:numPr>
          <w:ilvl w:val="0"/>
          <w:numId w:val="4"/>
        </w:numPr>
        <w:tabs>
          <w:tab w:val="left" w:pos="420"/>
          <w:tab w:val="left" w:pos="720"/>
          <w:tab w:val="left" w:pos="900"/>
        </w:tabs>
        <w:spacing w:after="0" w:afterLines="0" w:line="360" w:lineRule="auto"/>
        <w:ind w:left="0"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公开招标</w:t>
      </w:r>
      <w:r>
        <w:rPr>
          <w:rFonts w:hint="eastAsia" w:ascii="仿宋" w:hAnsi="仿宋" w:eastAsia="仿宋" w:cs="仿宋"/>
          <w:color w:val="auto"/>
          <w:kern w:val="2"/>
          <w:sz w:val="24"/>
          <w:szCs w:val="24"/>
          <w:highlight w:val="none"/>
        </w:rPr>
        <w:t>采购文件的澄清、答复、修改或补充都应该通过采购代理机构以法定形式发布；非通过采购代理机构的，不得擅自澄清、答复、修改或补充</w:t>
      </w:r>
      <w:r>
        <w:rPr>
          <w:rFonts w:hint="eastAsia" w:ascii="仿宋" w:hAnsi="仿宋" w:eastAsia="仿宋" w:cs="仿宋"/>
          <w:color w:val="auto"/>
          <w:sz w:val="24"/>
          <w:szCs w:val="24"/>
          <w:highlight w:val="none"/>
        </w:rPr>
        <w:t>公开招标</w:t>
      </w:r>
      <w:r>
        <w:rPr>
          <w:rFonts w:hint="eastAsia" w:ascii="仿宋" w:hAnsi="仿宋" w:eastAsia="仿宋" w:cs="仿宋"/>
          <w:color w:val="auto"/>
          <w:kern w:val="2"/>
          <w:sz w:val="24"/>
          <w:szCs w:val="24"/>
          <w:highlight w:val="none"/>
        </w:rPr>
        <w:t>采购文件。</w:t>
      </w:r>
    </w:p>
    <w:p>
      <w:pPr>
        <w:pStyle w:val="6"/>
        <w:widowControl w:val="0"/>
        <w:numPr>
          <w:ilvl w:val="0"/>
          <w:numId w:val="4"/>
        </w:numPr>
        <w:tabs>
          <w:tab w:val="left" w:pos="420"/>
          <w:tab w:val="left" w:pos="720"/>
          <w:tab w:val="left" w:pos="900"/>
        </w:tabs>
        <w:spacing w:after="0" w:afterLines="0" w:line="360" w:lineRule="auto"/>
        <w:ind w:left="0"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任何口头形式的答复、说明均不属于</w:t>
      </w:r>
      <w:r>
        <w:rPr>
          <w:rFonts w:hint="eastAsia" w:ascii="仿宋" w:hAnsi="仿宋" w:eastAsia="仿宋" w:cs="仿宋"/>
          <w:color w:val="auto"/>
          <w:sz w:val="24"/>
          <w:szCs w:val="24"/>
          <w:highlight w:val="none"/>
        </w:rPr>
        <w:t>公开招标</w:t>
      </w:r>
      <w:r>
        <w:rPr>
          <w:rFonts w:hint="eastAsia" w:ascii="仿宋" w:hAnsi="仿宋" w:eastAsia="仿宋" w:cs="仿宋"/>
          <w:color w:val="auto"/>
          <w:kern w:val="2"/>
          <w:sz w:val="24"/>
          <w:szCs w:val="24"/>
          <w:highlight w:val="none"/>
        </w:rPr>
        <w:t>采购文件的组成部分。</w:t>
      </w:r>
    </w:p>
    <w:p>
      <w:pPr>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三、投标文件的编制要求</w:t>
      </w:r>
    </w:p>
    <w:p>
      <w:pPr>
        <w:snapToGrid w:val="0"/>
        <w:spacing w:line="580" w:lineRule="exact"/>
        <w:ind w:left="472"/>
        <w:jc w:val="lef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（一）投标文件的形式和效力：</w:t>
      </w:r>
    </w:p>
    <w:p>
      <w:pPr>
        <w:snapToGrid w:val="0"/>
        <w:spacing w:line="58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1.投标文件分为“电子加密投标文件”，允许供应商提供“备份投标文件”，具体内容如下：</w:t>
      </w:r>
    </w:p>
    <w:p>
      <w:pPr>
        <w:snapToGrid w:val="0"/>
        <w:spacing w:line="58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1.1电子投标文件：按政采云平台项目采购-电子交易操作指南及本招标文件要求制作、加密并递交，供应商电子交易操作指南详见网址：https://help.zcygov.cn/web/site_2/2018/12-28/2573.html）。</w:t>
      </w:r>
    </w:p>
    <w:p>
      <w:pPr>
        <w:snapToGrid w:val="0"/>
        <w:spacing w:line="58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供应商如需提供数据电子备份投标文件（U盘）：以U盘形式提供的数据电子备份投标文件格式及内容须与政采云平台项目采购-电子交易操作指南中制作、加密并递交的电子投标文件格式及内容一致。“备份投标文件”：“备份投标文件”是指与“电子加密投标文件”同时生成的数据电文形式的电子文件，其他方式编制的备份投标文件无效。</w:t>
      </w:r>
      <w:r>
        <w:rPr>
          <w:rFonts w:hint="eastAsia" w:ascii="仿宋" w:hAnsi="仿宋" w:eastAsia="仿宋" w:cs="仿宋"/>
          <w:b/>
          <w:color w:val="auto"/>
          <w:sz w:val="24"/>
          <w:highlight w:val="none"/>
          <w:shd w:val="pct10" w:color="auto" w:fill="FFFFFF"/>
        </w:rPr>
        <w:t>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pPr>
        <w:snapToGrid w:val="0"/>
        <w:spacing w:line="580" w:lineRule="exact"/>
        <w:ind w:left="472"/>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2、投标文件的效力：</w:t>
      </w:r>
    </w:p>
    <w:p>
      <w:pPr>
        <w:snapToGrid w:val="0"/>
        <w:spacing w:line="580" w:lineRule="exact"/>
        <w:ind w:firstLine="482" w:firstLineChars="200"/>
        <w:jc w:val="lef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启用：按先后顺位分别为电子投标文件，供应商递交数据电子备份投标文件（U盘）的。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pacing w:line="360" w:lineRule="auto"/>
        <w:ind w:firstLine="482" w:firstLineChars="200"/>
        <w:jc w:val="left"/>
        <w:outlineLvl w:val="0"/>
        <w:rPr>
          <w:rFonts w:hint="eastAsia" w:ascii="仿宋" w:hAnsi="仿宋" w:eastAsia="仿宋" w:cs="仿宋"/>
          <w:b/>
          <w:color w:val="auto"/>
          <w:sz w:val="24"/>
          <w:szCs w:val="20"/>
          <w:highlight w:val="none"/>
        </w:rPr>
      </w:pPr>
      <w:r>
        <w:rPr>
          <w:rFonts w:hint="eastAsia" w:ascii="仿宋" w:hAnsi="仿宋" w:eastAsia="仿宋" w:cs="仿宋"/>
          <w:b/>
          <w:color w:val="auto"/>
          <w:sz w:val="24"/>
          <w:highlight w:val="none"/>
        </w:rPr>
        <w:t>（二）投标文件的组成</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《投标文件》由资格文件、技术文件、商务资信及其他部分文件、报价文件四部份组成。</w:t>
      </w:r>
    </w:p>
    <w:p>
      <w:pPr>
        <w:autoSpaceDE w:val="0"/>
        <w:autoSpaceDN w:val="0"/>
        <w:adjustRightInd w:val="0"/>
        <w:spacing w:line="360" w:lineRule="auto"/>
        <w:ind w:firstLine="361" w:firstLineChars="150"/>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rPr>
        <w:t>1、技术文件：</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25" w:firstLine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评分索引表；</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25" w:firstLine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技术响应表；</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25" w:firstLine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项目总体实施方案；</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25" w:firstLine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系统演示；</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25" w:firstLine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项目实施人员安排；</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25" w:firstLine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投标供应商针对技术需要说明的其他材料。</w:t>
      </w:r>
    </w:p>
    <w:p>
      <w:pPr>
        <w:pStyle w:val="17"/>
        <w:rPr>
          <w:rFonts w:hint="eastAsia" w:ascii="仿宋" w:hAnsi="仿宋" w:eastAsia="仿宋" w:cs="仿宋"/>
          <w:color w:val="auto"/>
          <w:sz w:val="24"/>
          <w:highlight w:val="none"/>
          <w:lang w:val="zh-CN"/>
        </w:rPr>
      </w:pPr>
    </w:p>
    <w:p>
      <w:pPr>
        <w:autoSpaceDE w:val="0"/>
        <w:autoSpaceDN w:val="0"/>
        <w:adjustRightInd w:val="0"/>
        <w:spacing w:line="360" w:lineRule="auto"/>
        <w:ind w:firstLine="602" w:firstLineChars="25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 商务资信及其他文件：</w:t>
      </w:r>
    </w:p>
    <w:p>
      <w:pPr>
        <w:pStyle w:val="17"/>
        <w:spacing w:line="360" w:lineRule="auto"/>
        <w:rPr>
          <w:rFonts w:hint="eastAsia" w:ascii="仿宋" w:hAnsi="仿宋" w:eastAsia="仿宋" w:cs="仿宋"/>
          <w:color w:val="auto"/>
          <w:sz w:val="24"/>
          <w:highlight w:val="none"/>
          <w:lang w:val="zh-CN"/>
        </w:rPr>
      </w:pPr>
    </w:p>
    <w:p>
      <w:pPr>
        <w:pStyle w:val="17"/>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5" w:leftChars="0" w:firstLine="425" w:firstLine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商务响应表（格式见附件）；</w:t>
      </w:r>
    </w:p>
    <w:p>
      <w:pPr>
        <w:pStyle w:val="17"/>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5" w:leftChars="0" w:firstLine="425" w:firstLine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售后服务方案及承诺；</w:t>
      </w:r>
    </w:p>
    <w:p>
      <w:pPr>
        <w:pStyle w:val="17"/>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5" w:leftChars="0" w:firstLine="425" w:firstLine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维护网点设置；</w:t>
      </w:r>
    </w:p>
    <w:p>
      <w:pPr>
        <w:pStyle w:val="17"/>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5" w:leftChars="0" w:firstLine="425" w:firstLine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企业实力；</w:t>
      </w:r>
    </w:p>
    <w:p>
      <w:pPr>
        <w:pStyle w:val="17"/>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5" w:leftChars="0" w:firstLine="425" w:firstLine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投标供应商认为需要提供的文件和资料。</w:t>
      </w:r>
    </w:p>
    <w:p>
      <w:pPr>
        <w:autoSpaceDE w:val="0"/>
        <w:autoSpaceDN w:val="0"/>
        <w:adjustRightInd w:val="0"/>
        <w:spacing w:line="360" w:lineRule="auto"/>
        <w:ind w:firstLine="602" w:firstLineChars="250"/>
        <w:jc w:val="left"/>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lang w:val="zh-CN"/>
        </w:rPr>
        <w:t xml:space="preserve"> 报价文件：</w:t>
      </w:r>
    </w:p>
    <w:p>
      <w:pPr>
        <w:autoSpaceDE w:val="0"/>
        <w:autoSpaceDN w:val="0"/>
        <w:adjustRightInd w:val="0"/>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1）投标函；</w:t>
      </w:r>
    </w:p>
    <w:p>
      <w:pPr>
        <w:autoSpaceDE w:val="0"/>
        <w:autoSpaceDN w:val="0"/>
        <w:adjustRightInd w:val="0"/>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2）报价一览表；</w:t>
      </w:r>
    </w:p>
    <w:p>
      <w:pPr>
        <w:autoSpaceDE w:val="0"/>
        <w:autoSpaceDN w:val="0"/>
        <w:adjustRightInd w:val="0"/>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3）项目报价明细表；</w:t>
      </w:r>
    </w:p>
    <w:p>
      <w:pPr>
        <w:autoSpaceDE w:val="0"/>
        <w:autoSpaceDN w:val="0"/>
        <w:adjustRightInd w:val="0"/>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4）中小企业声明函及相关证明材料（若有，格式见附件）；</w:t>
      </w:r>
    </w:p>
    <w:p>
      <w:pPr>
        <w:autoSpaceDE w:val="0"/>
        <w:autoSpaceDN w:val="0"/>
        <w:adjustRightInd w:val="0"/>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5）残疾人福利企业声明函及相关证明材料（若有，格式见附件）；</w:t>
      </w:r>
    </w:p>
    <w:p>
      <w:pPr>
        <w:autoSpaceDE w:val="0"/>
        <w:autoSpaceDN w:val="0"/>
        <w:adjustRightInd w:val="0"/>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6）属于监狱企业的相关证明文件（若有）；</w:t>
      </w:r>
    </w:p>
    <w:p>
      <w:pPr>
        <w:autoSpaceDE w:val="0"/>
        <w:autoSpaceDN w:val="0"/>
        <w:adjustRightInd w:val="0"/>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）投标供应商针对报价需要说明的其他文件和说明。</w:t>
      </w:r>
    </w:p>
    <w:p>
      <w:pPr>
        <w:autoSpaceDE w:val="0"/>
        <w:autoSpaceDN w:val="0"/>
        <w:adjustRightInd w:val="0"/>
        <w:spacing w:line="360" w:lineRule="auto"/>
        <w:ind w:firstLine="361" w:firstLineChars="1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▲注：法定代表人授权委托书、投标声明书、投标函、报价一览表必须由法定代表人或其授权委托人签名（签章）并加盖单位公章。</w:t>
      </w:r>
    </w:p>
    <w:p>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资格文件</w:t>
      </w:r>
    </w:p>
    <w:p>
      <w:pPr>
        <w:autoSpaceDE w:val="0"/>
        <w:autoSpaceDN w:val="0"/>
        <w:adjustRightInd w:val="0"/>
        <w:spacing w:line="360" w:lineRule="auto"/>
        <w:ind w:firstLine="36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1）法人营业执照副本、组织机构代码证及税务登记证或“三证合一”证书或“五证合一”证书；</w:t>
      </w:r>
    </w:p>
    <w:p>
      <w:pPr>
        <w:autoSpaceDE w:val="0"/>
        <w:autoSpaceDN w:val="0"/>
        <w:adjustRightInd w:val="0"/>
        <w:spacing w:line="360" w:lineRule="auto"/>
        <w:ind w:firstLine="36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2）法定代表人授权委托书及法定代表人授权委托人有效身份证明；</w:t>
      </w:r>
    </w:p>
    <w:p>
      <w:pPr>
        <w:autoSpaceDE w:val="0"/>
        <w:autoSpaceDN w:val="0"/>
        <w:adjustRightInd w:val="0"/>
        <w:spacing w:line="360" w:lineRule="auto"/>
        <w:ind w:firstLine="36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3）承诺符合参与政府采购活动的资格条件并且没有税收缴纳、社会保障等方面的失信记录；</w:t>
      </w:r>
    </w:p>
    <w:p>
      <w:pPr>
        <w:autoSpaceDE w:val="0"/>
        <w:autoSpaceDN w:val="0"/>
        <w:adjustRightInd w:val="0"/>
        <w:spacing w:line="360" w:lineRule="auto"/>
        <w:ind w:firstLine="36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4）信用查询证明资料网页版（必须同时提供“信用中国”及“中国政府采购网”网页资料）；</w:t>
      </w:r>
    </w:p>
    <w:p>
      <w:pPr>
        <w:autoSpaceDE w:val="0"/>
        <w:autoSpaceDN w:val="0"/>
        <w:adjustRightInd w:val="0"/>
        <w:spacing w:line="360" w:lineRule="auto"/>
        <w:ind w:firstLine="36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5）提供《参加政府采购活动前 3 年内在经营活动中没有重大违法记录的声明函》（格式见附件）。</w:t>
      </w:r>
    </w:p>
    <w:p>
      <w:pPr>
        <w:autoSpaceDE w:val="0"/>
        <w:autoSpaceDN w:val="0"/>
        <w:adjustRightInd w:val="0"/>
        <w:spacing w:line="360" w:lineRule="auto"/>
        <w:ind w:firstLine="36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val="zh-CN"/>
        </w:rPr>
        <w:t>投标声明书（格式见附件）；</w:t>
      </w:r>
    </w:p>
    <w:p>
      <w:pPr>
        <w:autoSpaceDE w:val="0"/>
        <w:autoSpaceDN w:val="0"/>
        <w:adjustRightInd w:val="0"/>
        <w:spacing w:line="360" w:lineRule="auto"/>
        <w:ind w:firstLine="36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7）</w:t>
      </w:r>
      <w:r>
        <w:rPr>
          <w:rFonts w:hint="eastAsia" w:ascii="仿宋" w:hAnsi="仿宋" w:eastAsia="仿宋" w:cs="仿宋"/>
          <w:color w:val="auto"/>
          <w:kern w:val="0"/>
          <w:sz w:val="24"/>
          <w:highlight w:val="none"/>
          <w:lang w:val="zh-CN"/>
        </w:rPr>
        <w:t>信用承诺书；</w:t>
      </w:r>
    </w:p>
    <w:p>
      <w:pPr>
        <w:autoSpaceDE w:val="0"/>
        <w:autoSpaceDN w:val="0"/>
        <w:adjustRightInd w:val="0"/>
        <w:spacing w:line="360" w:lineRule="auto"/>
        <w:ind w:firstLine="360"/>
        <w:rPr>
          <w:rFonts w:hint="eastAsia"/>
          <w:color w:val="auto"/>
          <w:highlight w:val="none"/>
        </w:rPr>
      </w:pPr>
      <w:r>
        <w:rPr>
          <w:rFonts w:hint="eastAsia" w:ascii="仿宋" w:hAnsi="仿宋" w:eastAsia="仿宋" w:cs="仿宋"/>
          <w:color w:val="auto"/>
          <w:kern w:val="0"/>
          <w:sz w:val="24"/>
          <w:highlight w:val="none"/>
        </w:rPr>
        <w:t>8）</w:t>
      </w:r>
      <w:r>
        <w:rPr>
          <w:rFonts w:hint="eastAsia" w:ascii="仿宋" w:hAnsi="仿宋" w:eastAsia="仿宋" w:cs="仿宋"/>
          <w:color w:val="auto"/>
          <w:kern w:val="0"/>
          <w:sz w:val="24"/>
          <w:highlight w:val="none"/>
          <w:lang w:val="zh-CN"/>
        </w:rPr>
        <w:t>招标代理服务费承诺函；</w:t>
      </w:r>
    </w:p>
    <w:p>
      <w:pPr>
        <w:pStyle w:val="6"/>
        <w:widowControl w:val="0"/>
        <w:numPr>
          <w:ilvl w:val="0"/>
          <w:numId w:val="4"/>
        </w:numPr>
        <w:tabs>
          <w:tab w:val="left" w:pos="720"/>
        </w:tabs>
        <w:snapToGrid w:val="0"/>
        <w:spacing w:after="0" w:afterLines="0" w:line="580" w:lineRule="exact"/>
        <w:ind w:left="0" w:firstLine="472" w:firstLineChars="196"/>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（五）投标文件的有效期</w:t>
      </w:r>
    </w:p>
    <w:p>
      <w:pPr>
        <w:pStyle w:val="6"/>
        <w:widowControl w:val="0"/>
        <w:numPr>
          <w:ilvl w:val="0"/>
          <w:numId w:val="0"/>
        </w:numPr>
        <w:tabs>
          <w:tab w:val="left" w:pos="720"/>
          <w:tab w:val="clear" w:pos="360"/>
        </w:tabs>
        <w:snapToGrid w:val="0"/>
        <w:spacing w:after="0" w:afterLines="0" w:line="580" w:lineRule="exact"/>
        <w:ind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▲1.自投标截止日起</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天投标文件应保持有效。有效期不足的投标文件将被拒绝。</w:t>
      </w:r>
    </w:p>
    <w:p>
      <w:pPr>
        <w:pStyle w:val="6"/>
        <w:widowControl w:val="0"/>
        <w:numPr>
          <w:ilvl w:val="0"/>
          <w:numId w:val="0"/>
        </w:numPr>
        <w:tabs>
          <w:tab w:val="left" w:pos="720"/>
          <w:tab w:val="clear" w:pos="360"/>
        </w:tabs>
        <w:snapToGrid w:val="0"/>
        <w:spacing w:after="0" w:afterLines="0" w:line="580" w:lineRule="exact"/>
        <w:ind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2.在特殊情况下，采购人可与供应商协商延长投标书的有效期，这种要求和答复均以书面形式进行。</w:t>
      </w:r>
    </w:p>
    <w:p>
      <w:pPr>
        <w:snapToGrid w:val="0"/>
        <w:spacing w:line="580" w:lineRule="exact"/>
        <w:ind w:firstLine="480" w:firstLineChars="200"/>
        <w:jc w:val="left"/>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3.中标供应商的投标文件自开标之日起至合同履行完毕止均应保持有效。</w:t>
      </w:r>
    </w:p>
    <w:p>
      <w:pPr>
        <w:snapToGrid w:val="0"/>
        <w:spacing w:line="58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（六）投标文件的签署和份数</w:t>
      </w:r>
    </w:p>
    <w:p>
      <w:pPr>
        <w:snapToGrid w:val="0"/>
        <w:spacing w:line="580" w:lineRule="exact"/>
        <w:ind w:firstLine="42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1.电子投标文件：</w:t>
      </w:r>
    </w:p>
    <w:p>
      <w:pPr>
        <w:snapToGrid w:val="0"/>
        <w:spacing w:line="58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pPr>
        <w:snapToGrid w:val="0"/>
        <w:spacing w:line="580" w:lineRule="exact"/>
        <w:ind w:firstLine="42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2.供应商如需提供数据电子备份投标文件（U盘）：</w:t>
      </w:r>
    </w:p>
    <w:p>
      <w:pPr>
        <w:snapToGrid w:val="0"/>
        <w:spacing w:line="58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电子投标文件的备份文件以U盘形式存储。数据电子备份投标文件格式及内容须与政采云平台项目采购-电子交易操作指南中制作、加密并递交的电子投标文件格式及内容一致。</w:t>
      </w:r>
      <w:r>
        <w:rPr>
          <w:rFonts w:hint="eastAsia" w:ascii="仿宋" w:hAnsi="仿宋" w:eastAsia="仿宋" w:cs="仿宋"/>
          <w:b/>
          <w:color w:val="auto"/>
          <w:sz w:val="24"/>
          <w:highlight w:val="none"/>
          <w:shd w:val="pct10" w:color="auto" w:fill="FFFFFF"/>
        </w:rPr>
        <w:t>数据电子备份投标文件（U盘）应包含《资格文件》、《技术、商务、资信及其他文件》和《报价文件》，供应商应将数据电子备份投标文件（U盘）形式单独密封、包装应并在包装上标注投标项目名称、供应商名称并加盖公章。因不按规定密封、包装的数据电子备份投标文件（U盘）而产生的对投标供应商的不利后果由供应商自行承担。其中《资格文件》、《技术、商务、资信及其他文件》均不得体现报价部分内容</w:t>
      </w:r>
      <w:r>
        <w:rPr>
          <w:rFonts w:hint="eastAsia" w:ascii="仿宋" w:hAnsi="仿宋" w:eastAsia="仿宋" w:cs="仿宋"/>
          <w:color w:val="auto"/>
          <w:sz w:val="24"/>
          <w:highlight w:val="none"/>
        </w:rPr>
        <w:t>。凡是参加两个或者以上标项投标的，必须按标项分别单独密封、包装、单独提交。</w:t>
      </w:r>
    </w:p>
    <w:p>
      <w:pPr>
        <w:snapToGrid w:val="0"/>
        <w:spacing w:line="580" w:lineRule="exact"/>
        <w:ind w:firstLine="42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3.其他：</w:t>
      </w:r>
    </w:p>
    <w:p>
      <w:pPr>
        <w:snapToGrid w:val="0"/>
        <w:spacing w:line="580" w:lineRule="exact"/>
        <w:ind w:firstLine="352" w:firstLineChars="14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3.1投标文件需按招标文件要求的格式填写并签字盖章。</w:t>
      </w:r>
    </w:p>
    <w:p>
      <w:pPr>
        <w:snapToGrid w:val="0"/>
        <w:spacing w:line="580" w:lineRule="exact"/>
        <w:ind w:firstLine="352" w:firstLineChars="14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3.2投标文件不应涂改或行间插字和增删, 如有修改，修改处须加盖供应商的公章或由法定代表人或其授权委托人签字或盖章。投标文件因字迹潦草或表达不清所引起的后果由供应商负责。</w:t>
      </w:r>
    </w:p>
    <w:p>
      <w:pPr>
        <w:snapToGrid w:val="0"/>
        <w:spacing w:line="58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（六）投标文件的包装、递交、修改和撤回</w:t>
      </w:r>
    </w:p>
    <w:p>
      <w:pPr>
        <w:snapToGrid w:val="0"/>
        <w:spacing w:line="5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pPr>
        <w:snapToGrid w:val="0"/>
        <w:spacing w:line="58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p>
    <w:p>
      <w:pPr>
        <w:snapToGrid w:val="0"/>
        <w:spacing w:line="58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在“政采云平台”完成“电子加密投标文件”的上传递交后，允许在投标截止时间前递交以介质（U盘）存储的数据电文形式的“备份投标文件”。“备份投标文件”是指与“电子加密投标文件”同时生成的数据电文形式的电子文件，其他方式编制的备份投标文件无效。“备份投标文件”应当密封包装并在包装上标注投标项目名称、供应商名称并加盖公章。</w:t>
      </w:r>
    </w:p>
    <w:p>
      <w:pPr>
        <w:snapToGrid w:val="0"/>
        <w:spacing w:line="58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pPr>
        <w:snapToGrid w:val="0"/>
        <w:spacing w:line="58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4.供应商如需提交数据电子备份投标文件（U盘）的，应当在规定时间前密封、包装并在包装上标注投标项目名称、供应商名称并加盖公章。邮寄地址：</w:t>
      </w:r>
      <w:r>
        <w:rPr>
          <w:rFonts w:hint="eastAsia" w:ascii="仿宋" w:hAnsi="仿宋" w:eastAsia="仿宋" w:cs="仿宋"/>
          <w:color w:val="auto"/>
          <w:sz w:val="24"/>
          <w:highlight w:val="none"/>
          <w:lang w:eastAsia="zh-CN"/>
        </w:rPr>
        <w:t>湖州市吴兴区谈家扇花园小区社区管理房1幢201室</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0572-2052851</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沈</w:t>
      </w:r>
      <w:r>
        <w:rPr>
          <w:rFonts w:hint="eastAsia" w:ascii="仿宋" w:hAnsi="仿宋" w:eastAsia="仿宋" w:cs="仿宋"/>
          <w:color w:val="auto"/>
          <w:sz w:val="24"/>
          <w:highlight w:val="none"/>
        </w:rPr>
        <w:t>先生，由代理机构人员统一负责接收投标文件，做好接收记录，与投标资料一并归档。邮寄时，应注明投标单位名称、投标单位的联系人、联系电话及投标项目名称。</w:t>
      </w:r>
    </w:p>
    <w:p>
      <w:pPr>
        <w:snapToGrid w:val="0"/>
        <w:spacing w:line="580" w:lineRule="exac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pPr>
        <w:snapToGrid w:val="0"/>
        <w:spacing w:line="580" w:lineRule="exact"/>
        <w:ind w:firstLine="472" w:firstLineChars="196"/>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（七）投标无效的情形</w:t>
      </w:r>
    </w:p>
    <w:p>
      <w:pPr>
        <w:snapToGrid w:val="0"/>
        <w:spacing w:line="58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snapToGrid w:val="0"/>
        <w:spacing w:line="58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1.在开标结束后（评标开始前），采购人或采购代理机构对供应商的资格进行审查，如发现下列情形之一的，投标文件将被视为无效，不在进行下一步评审：</w:t>
      </w:r>
    </w:p>
    <w:p>
      <w:pPr>
        <w:widowControl/>
        <w:spacing w:line="580" w:lineRule="exact"/>
        <w:ind w:right="6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（1）未提供有效的营业执照、税务登记证、组织机构代码证或未提供“三证合一”的营业执照或未提供“五证合一”的营业执照或事业单位法人身份证明书；</w:t>
      </w:r>
    </w:p>
    <w:p>
      <w:pPr>
        <w:widowControl/>
        <w:spacing w:line="580" w:lineRule="exact"/>
        <w:ind w:right="6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（2）未提供法定代表人有效身份证明书及身份证或未提供法定代表人授权书与授权人身份证或与法定代表人授权委托人身份不符的；</w:t>
      </w:r>
    </w:p>
    <w:p>
      <w:pPr>
        <w:widowControl/>
        <w:spacing w:line="580" w:lineRule="exact"/>
        <w:ind w:right="6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（3）未提供</w:t>
      </w:r>
      <w:r>
        <w:rPr>
          <w:rFonts w:hint="eastAsia" w:ascii="仿宋" w:hAnsi="仿宋" w:eastAsia="仿宋" w:cs="仿宋"/>
          <w:color w:val="auto"/>
          <w:kern w:val="0"/>
          <w:sz w:val="24"/>
          <w:highlight w:val="none"/>
        </w:rPr>
        <w:t>授权代理人最近一个月个人社保缴纳证明文件；</w:t>
      </w:r>
    </w:p>
    <w:p>
      <w:pPr>
        <w:widowControl/>
        <w:spacing w:line="580" w:lineRule="exact"/>
        <w:ind w:right="6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（4）未</w:t>
      </w:r>
      <w:r>
        <w:rPr>
          <w:rFonts w:hint="eastAsia" w:ascii="仿宋" w:hAnsi="仿宋" w:eastAsia="仿宋" w:cs="仿宋"/>
          <w:color w:val="auto"/>
          <w:kern w:val="0"/>
          <w:sz w:val="24"/>
          <w:highlight w:val="none"/>
        </w:rPr>
        <w:t>提供供应商最近三个月企业正常纳税情况和社保基金缴纳情况证明文书；</w:t>
      </w:r>
    </w:p>
    <w:p>
      <w:pPr>
        <w:widowControl/>
        <w:spacing w:line="580" w:lineRule="exact"/>
        <w:ind w:right="6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（5）自采购公告发布之日起至投标截止日内，在“信用中国”（www.creditchina.gov.cn）被列入失信被执行人、重大税收违法当事人名单、政府采购严重违法失信行为记录名单的供应商，资格审查时不予以通过； </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（6）投标截止前，在“中国政府采购网”(www.ccgp.gov.cn)被列入政府采购严重违法失信行为记录名单中的供应商且在处罚有效期内的供应商，资格审查时不予以通过；</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（7）未提供信用承诺书的；</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（8）其他重大违法、违规记录；</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（9）资格证明文件不全的，或者不符合招标文件标明的资格要求的。</w:t>
      </w:r>
    </w:p>
    <w:p>
      <w:pPr>
        <w:pStyle w:val="3"/>
        <w:tabs>
          <w:tab w:val="left" w:pos="0"/>
          <w:tab w:val="left" w:pos="993"/>
          <w:tab w:val="left" w:pos="1134"/>
        </w:tabs>
        <w:snapToGrid w:val="0"/>
        <w:spacing w:line="580" w:lineRule="exact"/>
        <w:ind w:firstLine="48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2.在符合性审查和商务评审时，如发现下列情形之一的，投标文件将被视为无效：</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（1）投标文件未按招标文件要求签字或盖章；</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（2）《资格文件》或《技术、商务、资信及其他文件》中出现报价的；</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（3）未在浙江政府采购网（政采云平台）完成本项目网上报名的；</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（4）在投标截止时间以后传送的电子投标文件的；</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（5）投标文件格式不规范、项目不齐全或者内容虚假的；</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（6）投标文件的实质性内容未使用中文表述、意思表述不明确、前后矛盾或者使用计量单位不符合招标文件要求的（经评标委员会认定并允许其当场更正的笔误除外）；</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（7）投标有效期、服务期（工期）、服务质量保证期等商务条款不能满足招标文件要求的；</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（8）未实质性响应招标文件要求或者投标文件有采购人不能接受的附加条件的。</w:t>
      </w:r>
    </w:p>
    <w:p>
      <w:pPr>
        <w:pStyle w:val="3"/>
        <w:tabs>
          <w:tab w:val="left" w:pos="0"/>
          <w:tab w:val="left" w:pos="993"/>
          <w:tab w:val="left" w:pos="1134"/>
        </w:tabs>
        <w:snapToGrid w:val="0"/>
        <w:spacing w:line="580" w:lineRule="exact"/>
        <w:ind w:firstLine="48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3.在技术评审时，如发现下列情形之一的，投标文件将被视为无效：</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（1）未提供或未如实提供投标货物的技术参数，或者投标文件标明的响应或偏离与事实不符或虚假投标的；</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（2）明显不符合招标文件要求的规格型号、质量标准，或者与招标文件中标“▲”的技术指标、主要功能项目发生实质性偏离的；</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（3）投标技术方案不明确，存在一个或一个以上备选（替代）投标方案的；</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（4）与其他参加本次投标供应商的投标文件（技术文件）的文字表述内容相同连续20行以上或者差错相同2处以上的。</w:t>
      </w:r>
    </w:p>
    <w:p>
      <w:pPr>
        <w:pStyle w:val="3"/>
        <w:tabs>
          <w:tab w:val="left" w:pos="0"/>
          <w:tab w:val="left" w:pos="993"/>
          <w:tab w:val="left" w:pos="1134"/>
        </w:tabs>
        <w:snapToGrid w:val="0"/>
        <w:spacing w:line="580" w:lineRule="exact"/>
        <w:ind w:firstLine="48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4.在报价评审时，如发现下列情形之一的，投标文件将被视为无效：</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（1）未采用人民币报价或者未按照招标文件标明的币种报价的；</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（2）报价超出最高限价，采购人不能支付的；</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（3）投标报价具有选择性，或者开标价格与投标文件承诺的优惠（折扣）价格不一致的。      </w:t>
      </w:r>
    </w:p>
    <w:p>
      <w:pPr>
        <w:pStyle w:val="3"/>
        <w:tabs>
          <w:tab w:val="left" w:pos="0"/>
          <w:tab w:val="left" w:pos="993"/>
          <w:tab w:val="left" w:pos="1134"/>
        </w:tabs>
        <w:snapToGrid w:val="0"/>
        <w:spacing w:line="580" w:lineRule="exact"/>
        <w:ind w:firstLine="48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5.被拒绝的投标文件为无效。</w:t>
      </w:r>
    </w:p>
    <w:p>
      <w:pPr>
        <w:pStyle w:val="3"/>
        <w:tabs>
          <w:tab w:val="left" w:pos="0"/>
          <w:tab w:val="left" w:pos="993"/>
          <w:tab w:val="left" w:pos="1134"/>
        </w:tabs>
        <w:snapToGrid w:val="0"/>
        <w:spacing w:line="580" w:lineRule="exact"/>
        <w:ind w:firstLine="48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6.供应商有下列情形之一的，视为供应商串通投标，其投标无效：</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（1）不同供应商的投标（响应）文件由同一单位或者个人编制； </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（2）不同供应商委托同一单位或者个人办理投标事宜； </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（3）不同供应商的投标文件或响应文件载明的项目管理成员或者联系人员为同一人； </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（4）不同供应商的投标（响应）文件件异常一致或者投标报价呈规律性差异； </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（5）不同供应商的投标（响应）文件相互混装。</w:t>
      </w:r>
    </w:p>
    <w:p>
      <w:pPr>
        <w:pStyle w:val="3"/>
        <w:tabs>
          <w:tab w:val="left" w:pos="0"/>
          <w:tab w:val="left" w:pos="993"/>
          <w:tab w:val="left" w:pos="1134"/>
        </w:tabs>
        <w:snapToGrid w:val="0"/>
        <w:spacing w:line="580" w:lineRule="exact"/>
        <w:ind w:firstLine="48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7.供应商有下列情形之一的，属于恶意串通，其投标无效：</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（1）供应商直接或者间接从采购人或者采购代理机构处获得其他供应商的相关情况并修改其投标（响应）文件； </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（2）供应商按照采购人或者采购代理机构的授意撤换、修改投标（响应）文件； </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（3）供应商之间协商报价、技术方案等投标（响应）文件的实质性内容； </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（4）属于同一集团、协会、商会等组织成员的供应商按照该组织要求协同参加政府采购活动；</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（5）供应商之间事先约定由某一特定供应商中标、成交； </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（6）供应商之间商定部分供应商放弃参加政府采购活动或者放弃中标、成交； </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（7）供应商与采购人或者采购代理机构之间、供应商相互之间，为谋求特定供应商中标、成交或者排斥其他供应商的其他串通行为。</w:t>
      </w:r>
    </w:p>
    <w:p>
      <w:pPr>
        <w:pStyle w:val="3"/>
        <w:tabs>
          <w:tab w:val="left" w:pos="0"/>
          <w:tab w:val="left" w:pos="993"/>
          <w:tab w:val="left" w:pos="1134"/>
        </w:tabs>
        <w:snapToGrid w:val="0"/>
        <w:spacing w:line="580" w:lineRule="exact"/>
        <w:ind w:firstLine="48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8.出现以下情形，导致电子交易平台无法正常进行，或者无法保证电子交易的公平、公正和安全时，中止电子交易活动：</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（1）电子交易平台发生故障而无法登录访问的；</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（2）电子交易平台应用或数据库出现错误，不能进行正常操作的；</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（3）电子交易平台发现严重安全漏洞，有潜在泄密危险的；</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（4）病毒发作导致不能进行正常操作的；</w:t>
      </w:r>
    </w:p>
    <w:p>
      <w:pPr>
        <w:pStyle w:val="3"/>
        <w:tabs>
          <w:tab w:val="left" w:pos="0"/>
          <w:tab w:val="left" w:pos="993"/>
          <w:tab w:val="left" w:pos="1134"/>
        </w:tabs>
        <w:snapToGrid w:val="0"/>
        <w:spacing w:line="58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（5）其他无法保证电子交易的公平、公正和安全的情况。</w:t>
      </w:r>
    </w:p>
    <w:p>
      <w:pPr>
        <w:pStyle w:val="3"/>
        <w:tabs>
          <w:tab w:val="left" w:pos="0"/>
          <w:tab w:val="left" w:pos="993"/>
          <w:tab w:val="left" w:pos="1134"/>
        </w:tabs>
        <w:snapToGrid w:val="0"/>
        <w:spacing w:line="580" w:lineRule="exact"/>
        <w:ind w:firstLine="482"/>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出现上述情形，不影响采购公平、公正性的，采购组织机构可以待上述情形消除后继续组织电子交易活动，也可以决定某些环节以纸质形式进行；影响或可能影响采购公平、公正性的，应当重新采购。</w:t>
      </w:r>
    </w:p>
    <w:p>
      <w:pPr>
        <w:pStyle w:val="3"/>
        <w:ind w:firstLine="0" w:firstLineChars="0"/>
        <w:outlineLvl w:val="1"/>
        <w:rPr>
          <w:rFonts w:hint="eastAsia" w:ascii="仿宋" w:hAnsi="仿宋" w:eastAsia="仿宋" w:cs="仿宋"/>
          <w:b w:val="0"/>
          <w:snapToGrid w:val="0"/>
          <w:color w:val="auto"/>
          <w:sz w:val="32"/>
          <w:szCs w:val="32"/>
          <w:highlight w:val="none"/>
        </w:rPr>
      </w:pPr>
      <w:r>
        <w:rPr>
          <w:rFonts w:hint="eastAsia" w:ascii="仿宋" w:hAnsi="仿宋" w:eastAsia="仿宋" w:cs="仿宋"/>
          <w:b w:val="0"/>
          <w:color w:val="auto"/>
          <w:sz w:val="32"/>
          <w:szCs w:val="32"/>
          <w:highlight w:val="none"/>
        </w:rPr>
        <w:t>四、开标</w:t>
      </w:r>
    </w:p>
    <w:p>
      <w:pPr>
        <w:pStyle w:val="1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（一）开标准备</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kern w:val="0"/>
          <w:sz w:val="24"/>
          <w:highlight w:val="none"/>
        </w:rPr>
        <w:t>采购组织机构</w:t>
      </w:r>
      <w:r>
        <w:rPr>
          <w:rFonts w:hint="eastAsia" w:ascii="仿宋" w:hAnsi="仿宋" w:eastAsia="仿宋" w:cs="仿宋"/>
          <w:bCs/>
          <w:color w:val="auto"/>
          <w:sz w:val="24"/>
          <w:szCs w:val="24"/>
          <w:highlight w:val="none"/>
        </w:rPr>
        <w:t>将在规定的时间和地点进行开标。</w:t>
      </w:r>
      <w:r>
        <w:rPr>
          <w:rFonts w:hint="eastAsia" w:ascii="仿宋" w:hAnsi="仿宋" w:eastAsia="仿宋" w:cs="仿宋"/>
          <w:color w:val="auto"/>
          <w:kern w:val="0"/>
          <w:sz w:val="24"/>
          <w:highlight w:val="none"/>
        </w:rPr>
        <w:t>采购组织机构</w:t>
      </w:r>
      <w:r>
        <w:rPr>
          <w:rFonts w:hint="eastAsia" w:ascii="仿宋" w:hAnsi="仿宋" w:eastAsia="仿宋" w:cs="仿宋"/>
          <w:bCs/>
          <w:color w:val="auto"/>
          <w:sz w:val="24"/>
          <w:szCs w:val="24"/>
          <w:highlight w:val="none"/>
        </w:rPr>
        <w:t>将按照公开招标采购文件规定的时间通过“政府采购云平台”组织开标、开启投标文件，所有投标供应商均应当准时在线参加。投标供应商如不参加开标会议的，视同认可开标结果，事后不得对采购相关人员、开标过程和开标结果提出异议，同时投标供应商因未参加开标而导致投标文件无法按时解密等一切后果由投标供应商自己承担。开标会议现场谢绝无关人员进入。</w:t>
      </w:r>
    </w:p>
    <w:p>
      <w:pPr>
        <w:pStyle w:val="1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 开标程序：</w:t>
      </w:r>
    </w:p>
    <w:p>
      <w:pPr>
        <w:pStyle w:val="1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第一阶段：</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开标会议准时开始。主持人介绍开标现场的人员情况，宣读开标纪律、应当回避的情形等注意事项。向各投标供应商发出电子加密投标文件【开始解密】通知，由投标供应商按公开招标采购文件规定的时间内自行进行投标文件解密；</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异常情况处理：</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1、通过“政府采购云平台”成功上传递交的“电子加密投标文件”无法按时解密，视为投标文件撤回。</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供应商如额外递交了“备份投标文件”的，以“备份投标文件”为依据（由采购组织机构按“政府采购云平台”操作规范将“备份投标文件”上传至“政府采购云平台”，上传成功后，“电子加密投标文件”自动失效），否则视为投标文件撤回。</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2、开标截止时间前，投标供应商仅递交了“备份投标文件”而未将“电子加密投标文件”成功上传至“政府采购云平台”的，投标无效。</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3、“备份投标文件”应与投标供应商在解密截止时间前提交的“电子加密投标文件”一致，不得进行更改或替换，否则视为投标供应商在规定的时间内无法完成已递交的“电子加密投标文件”解密。</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（二）宣布投标文件解密情况（投标文件成功解密的投标供应商名单等信息），组织签署《政府采购活动现场确认声明书</w:t>
      </w:r>
      <w:r>
        <w:rPr>
          <w:rFonts w:hint="eastAsia" w:ascii="仿宋" w:hAnsi="仿宋" w:eastAsia="仿宋" w:cs="仿宋"/>
          <w:bCs/>
          <w:i w:val="0"/>
          <w:iCs w:val="0"/>
          <w:color w:val="auto"/>
          <w:sz w:val="24"/>
          <w:szCs w:val="24"/>
          <w:highlight w:val="none"/>
        </w:rPr>
        <w:t>》</w:t>
      </w:r>
      <w:r>
        <w:rPr>
          <w:rFonts w:hint="eastAsia" w:ascii="仿宋" w:hAnsi="仿宋" w:eastAsia="仿宋" w:cs="仿宋"/>
          <w:bCs/>
          <w:color w:val="auto"/>
          <w:sz w:val="24"/>
          <w:szCs w:val="24"/>
          <w:highlight w:val="none"/>
        </w:rPr>
        <w:t>；</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（三）投标文件解密结束后，进入“开标记录”环节，开启标书信息（资格文件、技术文件、商务文件、资信及其他文件）；</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资格审查。标书信息开启后，首先由采购人在线对投标供应商的资格文件进行审查，审查投标供应商的资格符合情况。通过资格审查的投标文件送评审小组评审；不符合要求的，作无效标处理，并由投标供应商确认。资格审查合格的投标供应商数量不足三家的，项目不再进行评审；</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（五）符合性评审。资格审查结束后进入商务技术资信评审。评审小组对投标文件有效性、完整性和对投标文件的投标性进行审查，并在线录入符合性审查的最终结果；</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（六）商务技术资信评分。评审小组对各有效的投标供应商进行在线商务技术资信评分。评分结束后，在线进行商务技术资信评分汇总；</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在评标过程中，如评审小组对投标文件有疑问，评审小组组长将组员的询标内容汇总后，发起询标函（在线询标），投标供应商应在“澄清截止时间（30分钟内）”内作出澄清，上传“澄清函”。对需要核查的原件由投标供应商在接到询标函（在线询标）30分钟内将原件拍照或以原件扫描件形式传送至指定邮箱（</w:t>
      </w:r>
      <w:r>
        <w:rPr>
          <w:rFonts w:hint="eastAsia" w:ascii="仿宋" w:hAnsi="仿宋" w:eastAsia="仿宋" w:cs="仿宋"/>
          <w:bCs/>
          <w:color w:val="auto"/>
          <w:sz w:val="24"/>
          <w:szCs w:val="24"/>
          <w:highlight w:val="none"/>
          <w:lang w:eastAsia="zh-CN"/>
        </w:rPr>
        <w:t>741697632@qq.com</w:t>
      </w:r>
      <w:r>
        <w:rPr>
          <w:rFonts w:hint="eastAsia" w:ascii="仿宋" w:hAnsi="仿宋" w:eastAsia="仿宋" w:cs="仿宋"/>
          <w:bCs/>
          <w:color w:val="auto"/>
          <w:sz w:val="24"/>
          <w:szCs w:val="24"/>
          <w:highlight w:val="none"/>
        </w:rPr>
        <w:t>）。投标供应商已经明确表示澄清说明或补正完毕的除外；</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（八）商务技术资信评审评分结束后，由主持人公布无效投标的投标供应商名单、投标无效的原因及其他有效投标的评分结果；</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（九）第一阶段结束。</w:t>
      </w:r>
    </w:p>
    <w:p>
      <w:pPr>
        <w:pStyle w:val="1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第二阶段：</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（一）商务技术资信评审结束后，在线开启《报价文件》；</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根据项目情况，开启“投标供应商投标报价”，并通过“政府采购云平台在线确认”。投标供应商不予确认的应说明理由，否则视为无异议。唱标结束后，由评审小组对报价的合理性、准确性等进行审查核实；</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（三）报价文件开启结束后，进入在线“报价评审”，计算各投标供应商的报价得分；</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（四）得分汇总。汇总各投标供应商的总得分情况；</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（五）</w:t>
      </w:r>
      <w:r>
        <w:rPr>
          <w:rFonts w:hint="eastAsia" w:ascii="仿宋" w:hAnsi="仿宋" w:eastAsia="仿宋" w:cs="仿宋"/>
          <w:color w:val="auto"/>
          <w:sz w:val="24"/>
          <w:szCs w:val="24"/>
          <w:highlight w:val="none"/>
        </w:rPr>
        <w:t>推荐中标候选人；</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w:t>
      </w:r>
      <w:r>
        <w:rPr>
          <w:rFonts w:hint="eastAsia" w:ascii="仿宋" w:hAnsi="仿宋" w:eastAsia="仿宋" w:cs="仿宋"/>
          <w:color w:val="auto"/>
          <w:sz w:val="24"/>
          <w:szCs w:val="24"/>
          <w:highlight w:val="none"/>
        </w:rPr>
        <w:t>确定中标供应商；</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（七）结果公布。</w:t>
      </w:r>
    </w:p>
    <w:p>
      <w:pPr>
        <w:pStyle w:val="1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特别说明：如遇“政府采购云平台”电子化招标或评审程序调整的，按调整后程序执行。</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如果投标供应商在满足公开招标采购文件规定要求的基础上（除价格外）提供其他优惠条件，仅作为投标的参考依据，不作为最终确定中标的投标供应商的必要条件。</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评审小组对投标文件是否作出了实质性投标的判定，只依据投标文件（含补充文件）本身的内容，不依据在最后报价程序后的任何外来证明。</w:t>
      </w:r>
    </w:p>
    <w:p>
      <w:pPr>
        <w:pStyle w:val="12"/>
        <w:spacing w:line="360" w:lineRule="auto"/>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五、评审</w:t>
      </w:r>
    </w:p>
    <w:p>
      <w:pPr>
        <w:pStyle w:val="1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（一）组建评审小组</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采购人将根据公开招标采购项目的特点，依照有关规定组建评审小组。成员人数为</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人或以上单数，其成员由经济、技术等方面的评审专家5人组成。其中评审专家不少于成员总数的三分之二，并由评审小组推选小组负责人。</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评审专家从市级或以上财政部门设立的政府采购评审专家库中通过随机方式抽取产生。评审小组成员名单在采购结果公告前保密。</w:t>
      </w:r>
    </w:p>
    <w:p>
      <w:pPr>
        <w:pStyle w:val="1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（二）评审小组的职责</w:t>
      </w:r>
    </w:p>
    <w:p>
      <w:pPr>
        <w:pStyle w:val="12"/>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1、评审小组负责具体评审事务，并独立履行下列职责：</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（1）审查、评价投标文件是否符合</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采购文件的商务、技术等实质性要求；</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（2）要求投标供应商对投标文件有关事项作出澄清或者说明；</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（3）对投标文件进行比较和评价；</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（4）确定中标候选供应商名单，以及根据采购人委托直接确定中标供应商；</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（5）向采购人、采购代理机构或者有关部门报告评审中发现的违法行为。</w:t>
      </w:r>
    </w:p>
    <w:p>
      <w:pPr>
        <w:pStyle w:val="1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（三）评审原则</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1、评审原则：评审小组会按照客观、公正、审慎、择优的原则，根据</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采购文件规定的评审程序、评审方法和评审标准进行独立评审。</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2、评审工作将依据</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采购文件、投标文件及</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采购文件中事先已列明的内容进行（如现场方案讲解、演示、样品等）。</w:t>
      </w:r>
    </w:p>
    <w:p>
      <w:pPr>
        <w:pStyle w:val="1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（四）评审意见的争议处理</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评审小组成员对需要共同认定的事项存在争议的，按照少数服从多数的原则作出结论。持不同意见的评审小组成员应当在评审报告上签署不同意见及理由，否则视为同意评审报告。</w:t>
      </w:r>
    </w:p>
    <w:p>
      <w:pPr>
        <w:pStyle w:val="1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（五）评审纪律</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小组成员必须严格遵守保密规定，不得泄露评审的有关情况，任何单位和个人不得干扰、影响评标的正常进行，评审小组成员不得私下与投标供应商接触，不得出现浙江省政府采购活动现场组织管理办法中规定的其他禁止行为。</w:t>
      </w:r>
    </w:p>
    <w:p>
      <w:pPr>
        <w:pStyle w:val="1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（六）评审的方式</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本项目采用不公开方式评审，评审的依据为公开招标采购文件和投标文件。</w:t>
      </w:r>
    </w:p>
    <w:p>
      <w:pPr>
        <w:pStyle w:val="12"/>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（七）</w:t>
      </w:r>
      <w:r>
        <w:rPr>
          <w:rFonts w:hint="eastAsia" w:ascii="仿宋" w:hAnsi="仿宋" w:eastAsia="仿宋" w:cs="仿宋"/>
          <w:b/>
          <w:bCs/>
          <w:color w:val="auto"/>
          <w:sz w:val="24"/>
          <w:szCs w:val="24"/>
          <w:highlight w:val="none"/>
        </w:rPr>
        <w:t>评审程序</w:t>
      </w:r>
    </w:p>
    <w:p>
      <w:pPr>
        <w:pStyle w:val="12"/>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资格审查：采购人代表对投标供应商的资格进行审查。</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1、形式审查</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采购人代表和代理机构工作人员协助评审小组对投标供应商投标文件的完整性、合法性等进行审查。</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2、实质审查与比较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（1）评审小组审查投标文件的实质性内容是否符合公开招标采购文件的实质性要求。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评审小组将根据投标供应商的投标文件进行审查、核对,如有疑问,将对投标供应商进行询问,投标供应商要向评审小组澄清有关问题,并最终以书面形式进行答复。投标供应商代表未在规定时间内做出澄清或者拒绝澄清或者澄清的内容改变了投标文件的实质性内容的，评审小组有权对该投标文件作出不利于投标供应商的评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（3）各投标供应商的技术得分为所有评审小组成员的有效评分的算术平均数，由指定专人进行计算复核。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（4）代理机构工作人员协助评审小组根据本项目的评分标准计算各投标供应商的报价得分。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（5）评审小组完成评审后, 对各部分得分汇总,计算出本项目最终得分。评审小组按评审原则推荐中标候选人同时起草评标报告。</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（八）澄清问题的形式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投标文件中含义不明确、同类问题表述不一致或者有明显文字和计算错误的内容，评审小组可要求投标供应商作出必要的澄清、说明或者纠正。投标供应商的澄清、说明或者补正不得超出投标文件的范围或者改变投标文件的实质性内容。</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（九）错误修正</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投标文件如果出现计算或表达上的错误，修正错误的原则如下：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1、开标一览表总价与投标报价明细表汇总数不一致的，以开标一览表为准；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2、投标文件的大写金额和小写金额不一致的，以大写金额为准；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3、总价金额与按单价汇总金额不一致的，以单价金额计算结果为准；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4、对不同文字文本投标文件的解释发生异议的，以中文文本为准。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pPr>
        <w:pStyle w:val="12"/>
        <w:tabs>
          <w:tab w:val="left" w:pos="630"/>
        </w:tabs>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（十）评审办法</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评审办法。本项目评审办法是</w:t>
      </w:r>
      <w:r>
        <w:rPr>
          <w:rFonts w:hint="eastAsia" w:ascii="仿宋" w:hAnsi="仿宋" w:eastAsia="仿宋" w:cs="仿宋"/>
          <w:color w:val="auto"/>
          <w:sz w:val="24"/>
          <w:szCs w:val="24"/>
          <w:highlight w:val="none"/>
          <w:u w:val="single"/>
        </w:rPr>
        <w:t>综合评分法</w:t>
      </w:r>
      <w:r>
        <w:rPr>
          <w:rFonts w:hint="eastAsia" w:ascii="仿宋" w:hAnsi="仿宋" w:eastAsia="仿宋" w:cs="仿宋"/>
          <w:color w:val="auto"/>
          <w:sz w:val="24"/>
          <w:szCs w:val="24"/>
          <w:highlight w:val="none"/>
        </w:rPr>
        <w:t>，具体评审内容及评分标准等详见《第四章：评审办法及评分标准》。</w:t>
      </w:r>
    </w:p>
    <w:p>
      <w:pPr>
        <w:pStyle w:val="1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（十一）评审过程的监控</w:t>
      </w:r>
    </w:p>
    <w:p>
      <w:pPr>
        <w:pStyle w:val="1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本项目评审过程实行全程录音、录像监控，投标供应商在评审过程中所进行的试图影响评审结果的不公正活动，可能导致其投标被拒绝。</w:t>
      </w:r>
    </w:p>
    <w:p>
      <w:pPr>
        <w:pStyle w:val="12"/>
        <w:spacing w:line="360" w:lineRule="auto"/>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六、定标</w:t>
      </w:r>
    </w:p>
    <w:p>
      <w:pPr>
        <w:pStyle w:val="12"/>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（一）本项目由采购人根据评标委员会小组提交的《评审报告》，通过“政府采购云平台”依法确定成交人。</w:t>
      </w:r>
    </w:p>
    <w:p>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采购代理机构在评标结束后2个工作日内将评标报告交采购人确认。</w:t>
      </w:r>
    </w:p>
    <w:p>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采购人应当自收到评标报告之日起5个工作日内，在评标报告确定的中标候选人中按顺序确认中标人。</w:t>
      </w:r>
    </w:p>
    <w:p>
      <w:pPr>
        <w:pStyle w:val="12"/>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采购人依法确定中标人后2个工作日内，采购代理机构以书面形式发出《中标通知书》,并同时在相关网站上发布中标结果公告。</w:t>
      </w:r>
    </w:p>
    <w:p>
      <w:pPr>
        <w:pStyle w:val="12"/>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4.中标通知书发出后，采购人改变中标结果，或者中标供应商放弃中标，应当承担相应的法律责任。</w:t>
      </w:r>
    </w:p>
    <w:p>
      <w:pPr>
        <w:pStyle w:val="12"/>
        <w:spacing w:line="440" w:lineRule="exact"/>
        <w:ind w:firstLine="472" w:firstLineChars="196"/>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（二）中标通知书</w:t>
      </w:r>
    </w:p>
    <w:p>
      <w:pPr>
        <w:pStyle w:val="12"/>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采购代理机构将在中标人确定之日起2个工作日内通过“政府采购云平台”向中标人签发《中标通知书》，同时在省级以上人民政府财政部门指定的媒体（浙江政府采购网）上公告采购结果，采购文件随中标结果同时公告。</w:t>
      </w:r>
    </w:p>
    <w:p>
      <w:pPr>
        <w:pStyle w:val="12"/>
        <w:spacing w:line="440" w:lineRule="exact"/>
        <w:ind w:firstLine="593" w:firstLineChars="24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中标通知书发出后，中标人无正当理由不得放弃中标。</w:t>
      </w:r>
    </w:p>
    <w:p>
      <w:pPr>
        <w:pStyle w:val="12"/>
        <w:spacing w:line="44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根据浙江省财政厅《关于印发浙江省政府采购供应商注册及诚信管理暂行办法的通知》[浙财采监字〔2009〕28号]精神，中标供应商在领取中标通知书前，必须在《浙江政府采购网》上完成供应商的注册工作，经初审、终审及公示后方可正式领取中标通知书。</w:t>
      </w:r>
    </w:p>
    <w:p>
      <w:pPr>
        <w:pStyle w:val="12"/>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3.中标通知书为双方签订合同的依据。</w:t>
      </w:r>
    </w:p>
    <w:p>
      <w:pPr>
        <w:pStyle w:val="12"/>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4.中标供应商应根据中标通知书中规定的时间内，由法定代表人或其授权代理人与采购人签订合同。</w:t>
      </w:r>
    </w:p>
    <w:p>
      <w:pPr>
        <w:pStyle w:val="12"/>
        <w:spacing w:line="44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（三）采购过程、采购结果的质疑</w:t>
      </w:r>
    </w:p>
    <w:p>
      <w:pPr>
        <w:pStyle w:val="1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12"/>
        <w:spacing w:line="360" w:lineRule="auto"/>
        <w:jc w:val="left"/>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七、合同授予</w:t>
      </w:r>
    </w:p>
    <w:p>
      <w:pPr>
        <w:pStyle w:val="1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（一）签订合同</w:t>
      </w:r>
    </w:p>
    <w:p>
      <w:pPr>
        <w:pStyle w:val="1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1.采购人与中标供应商应当在《中标通知书》发出之日起30日内签订政府采购合同。同时，采购代理机构对合同内容进行审查，如发现与采购结果和投标承诺内容不一致的，应予以纠正。</w:t>
      </w:r>
    </w:p>
    <w:p>
      <w:pPr>
        <w:pStyle w:val="1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2.中标供应商拖延、拒签合同的,将被取消中标资格。</w:t>
      </w:r>
    </w:p>
    <w:p>
      <w:pPr>
        <w:keepNext/>
        <w:keepLines/>
        <w:spacing w:before="280" w:after="290" w:line="372" w:lineRule="auto"/>
        <w:ind w:firstLine="482" w:firstLineChars="200"/>
        <w:outlineLvl w:val="3"/>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（二）履约保证金：无</w:t>
      </w:r>
    </w:p>
    <w:p>
      <w:pPr>
        <w:pStyle w:val="12"/>
        <w:spacing w:line="360" w:lineRule="auto"/>
        <w:ind w:firstLine="482" w:firstLineChars="200"/>
        <w:jc w:val="left"/>
        <w:rPr>
          <w:rFonts w:hint="eastAsia" w:ascii="仿宋" w:hAnsi="仿宋" w:eastAsia="仿宋" w:cs="仿宋"/>
          <w:b/>
          <w:color w:val="auto"/>
          <w:sz w:val="24"/>
          <w:szCs w:val="24"/>
          <w:highlight w:val="none"/>
        </w:rPr>
      </w:pPr>
    </w:p>
    <w:p>
      <w:pPr>
        <w:pStyle w:val="12"/>
        <w:spacing w:line="360" w:lineRule="auto"/>
        <w:ind w:firstLine="883" w:firstLineChars="20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r>
        <w:rPr>
          <w:rFonts w:hint="eastAsia" w:ascii="仿宋" w:hAnsi="仿宋" w:eastAsia="仿宋" w:cs="仿宋"/>
          <w:b/>
          <w:color w:val="auto"/>
          <w:sz w:val="44"/>
          <w:szCs w:val="44"/>
          <w:highlight w:val="none"/>
        </w:rPr>
        <w:t>第四章  评审办法及评分标准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为公正、公平、科学地选择中标供应商，根据《中华人民共和国政府采购法》等有关法律法规的规定，并结合本项目的实际，制定本办法。</w:t>
      </w:r>
    </w:p>
    <w:p>
      <w:pPr>
        <w:spacing w:before="120" w:beforeLines="50"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一、总则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本次评审采用综合评分法，</w:t>
      </w:r>
      <w:r>
        <w:rPr>
          <w:rFonts w:hint="eastAsia" w:ascii="仿宋" w:hAnsi="仿宋" w:eastAsia="仿宋" w:cs="仿宋"/>
          <w:b/>
          <w:color w:val="auto"/>
          <w:sz w:val="24"/>
          <w:highlight w:val="none"/>
        </w:rPr>
        <w:t>总分为100分，其中价格分</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分、技术分、商务分和资信及其他部分权值</w:t>
      </w:r>
      <w:r>
        <w:rPr>
          <w:rFonts w:hint="eastAsia" w:ascii="仿宋" w:hAnsi="仿宋" w:eastAsia="仿宋" w:cs="仿宋"/>
          <w:b/>
          <w:color w:val="auto"/>
          <w:sz w:val="24"/>
          <w:highlight w:val="none"/>
          <w:lang w:val="en-US" w:eastAsia="zh-CN"/>
        </w:rPr>
        <w:t>90</w:t>
      </w:r>
      <w:r>
        <w:rPr>
          <w:rFonts w:hint="eastAsia" w:ascii="仿宋" w:hAnsi="仿宋" w:eastAsia="仿宋" w:cs="仿宋"/>
          <w:b/>
          <w:color w:val="auto"/>
          <w:sz w:val="24"/>
          <w:highlight w:val="none"/>
        </w:rPr>
        <w:t>分</w:t>
      </w:r>
      <w:r>
        <w:rPr>
          <w:rFonts w:hint="eastAsia" w:ascii="仿宋" w:hAnsi="仿宋" w:eastAsia="仿宋" w:cs="仿宋"/>
          <w:color w:val="auto"/>
          <w:sz w:val="24"/>
          <w:highlight w:val="none"/>
        </w:rPr>
        <w:t>。合格投标供应商的评审得分为各项目汇总得分。本项目由采购人授权的评审小组直接确定中标供应商。评分过程中采用四舍五入法，并保留小数2位。</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各投标供应商最终得分=技术分、商务分和资信及其他分得分+价格分得分。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小组将对实质上投标响应本项目的投标供应商根据其报价、技术、商务情况由各评委独立记名打分。中标候选资格按评标得分由高到低顺序排列，得分相同的；按投标报价由低到高顺序排列；排名第一的投标供应商为第一中标 候选人，排名第二的投标供应商为第二中标候选人……其他投标供应商中标候选资格依次类推。</w:t>
      </w:r>
    </w:p>
    <w:p>
      <w:pPr>
        <w:spacing w:before="120" w:beforeLines="50"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二、评审内容及标准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（1）价格分10分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价格分采用低价优先法计算，即满足招标文件要求且投标价格最低的折扣率为评标基准价，其他供应商的价格分按照下列公式计算：</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价格分=（评标基准价/投标报价）×10%×100</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 根据财政部、工业和信息化部制定的《政府采购促进中小企业发展管理办法》 的通知（财库【2020】46 号）和《财政部关于进一步加大政府采购支持中小企业力度的通知》（财库【2022】19 号）有关规定，对小型和微型企业的产品投标报价给予 20%的 扣除，并用扣除后的价格计算价格评分。（提供明确以上事项的《中小企业声明函》， 不提供的不予认可） 同时符合以下所有要求的供应商被认定为小型、微型企业： 1）供应商按照《关于印发中小企业划型标准规定的通知》（工信部联企业【2011】 300 号）的所属行业规定为小型、微型企业【按《关于印发中小企业划型标准规定的通 知》规定提供《中小企业声明函》，不提供不予认可】。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2.监狱企业参加投标【提供《监狱企业声明函》及其相关的证明材料，不提供不予 认可】，视为小型、微型企业，享受小微企业政策扶持，监狱企业属于小型、微型企业 的，不重复享受政策。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3.残疾人福利性单位参加投标【提供《残疾人福利性单位声明函》及其相关的证明 材料，不提供不予认可】，视为小型、微型企业，享受小微企业政策扶持，残疾人福利 性单位属于小型、微型企业的，不重复享受政策。 供应商按照规定提供声明函内容不实的，属于提供虚假材料谋取中标（成交），依 照《中华人民共和国政府采购法》等国家有关规定追究相应责任。 此项由评标委员会集体核实后统一打分。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（2）技术分、商务分、资信分90分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本项目技术分</w:t>
      </w:r>
      <w:r>
        <w:rPr>
          <w:rFonts w:hint="eastAsia" w:ascii="仿宋" w:hAnsi="仿宋" w:eastAsia="仿宋" w:cs="仿宋"/>
          <w:color w:val="auto"/>
          <w:sz w:val="24"/>
          <w:highlight w:val="none"/>
          <w:lang w:val="en-US" w:eastAsia="zh-CN"/>
        </w:rPr>
        <w:t>70</w:t>
      </w:r>
      <w:r>
        <w:rPr>
          <w:rFonts w:hint="eastAsia" w:ascii="仿宋" w:hAnsi="仿宋" w:eastAsia="仿宋" w:cs="仿宋"/>
          <w:color w:val="auto"/>
          <w:sz w:val="24"/>
          <w:highlight w:val="none"/>
        </w:rPr>
        <w:t>分，商务资信及其他分</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分。确定进入报价评审的供应商。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（3）技术分、商务分、资信分的计算</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技术、商务、资信及其他分按照评标委员会成员的独立评分结果汇总数的算术平均分计算，计算公式为：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技术分、商务分、资信及其他分=（评标委员会所有成员评分合计数）/（评标委员会组成人员数）</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附件：</w:t>
      </w:r>
    </w:p>
    <w:tbl>
      <w:tblPr>
        <w:tblStyle w:val="18"/>
        <w:tblW w:w="9581" w:type="dxa"/>
        <w:tblInd w:w="0" w:type="dxa"/>
        <w:tblLayout w:type="fixed"/>
        <w:tblCellMar>
          <w:top w:w="0" w:type="dxa"/>
          <w:left w:w="108" w:type="dxa"/>
          <w:bottom w:w="0" w:type="dxa"/>
          <w:right w:w="108" w:type="dxa"/>
        </w:tblCellMar>
      </w:tblPr>
      <w:tblGrid>
        <w:gridCol w:w="1316"/>
        <w:gridCol w:w="6960"/>
        <w:gridCol w:w="1305"/>
      </w:tblGrid>
      <w:tr>
        <w:tblPrEx>
          <w:tblCellMar>
            <w:top w:w="0" w:type="dxa"/>
            <w:left w:w="108" w:type="dxa"/>
            <w:bottom w:w="0" w:type="dxa"/>
            <w:right w:w="108" w:type="dxa"/>
          </w:tblCellMar>
        </w:tblPrEx>
        <w:trPr>
          <w:trHeight w:val="940" w:hRule="atLeast"/>
        </w:trPr>
        <w:tc>
          <w:tcPr>
            <w:tcW w:w="131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评定</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69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评定内容</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分值范围</w:t>
            </w:r>
          </w:p>
        </w:tc>
      </w:tr>
      <w:tr>
        <w:tblPrEx>
          <w:tblCellMar>
            <w:top w:w="0" w:type="dxa"/>
            <w:left w:w="108" w:type="dxa"/>
            <w:bottom w:w="0" w:type="dxa"/>
            <w:right w:w="108" w:type="dxa"/>
          </w:tblCellMar>
        </w:tblPrEx>
        <w:trPr>
          <w:trHeight w:val="381" w:hRule="atLeast"/>
        </w:trPr>
        <w:tc>
          <w:tcPr>
            <w:tcW w:w="827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技术部分</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70分</w:t>
            </w:r>
          </w:p>
        </w:tc>
      </w:tr>
      <w:tr>
        <w:tblPrEx>
          <w:tblCellMar>
            <w:top w:w="0" w:type="dxa"/>
            <w:left w:w="108" w:type="dxa"/>
            <w:bottom w:w="0" w:type="dxa"/>
            <w:right w:w="108" w:type="dxa"/>
          </w:tblCellMar>
        </w:tblPrEx>
        <w:trPr>
          <w:trHeight w:val="560" w:hRule="atLeast"/>
        </w:trPr>
        <w:tc>
          <w:tcPr>
            <w:tcW w:w="131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项目总体实施方案</w:t>
            </w:r>
          </w:p>
        </w:tc>
        <w:tc>
          <w:tcPr>
            <w:tcW w:w="69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eastAsia="zh-CN"/>
              </w:rPr>
              <w:t>根据投标人对现状分析、项目目标和建设意见进行评审：熟悉该项目建设现状，对项目目标的把握准确到位，提供合理并切实可行的建设意见；现状分析到位，项目目标把握准确，建设意见合理可行；方案有缺陷或不符合本项目的每项扣2分，扣完为止。最高得5分。</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2.投标人提供的实施方案项目管理、质量保障、培训等合理性和可实施性进行评审：项目管理、质量保障方案合理的得4-5分；项目管理及质量保障方案相对合理的得2-3分；项目管理及质量保障方案较差的得0-1分，未提供实施方案不得分，最高得5分</w:t>
            </w:r>
            <w:r>
              <w:rPr>
                <w:rFonts w:hint="eastAsia" w:ascii="仿宋" w:hAnsi="仿宋" w:eastAsia="仿宋" w:cs="仿宋"/>
                <w:sz w:val="24"/>
                <w:szCs w:val="24"/>
                <w:lang w:val="en-US" w:eastAsia="zh-CN"/>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3.是否具有相应的应急解决方案：方案制订明确，可行性强的的得4-5分；有方案制作，但流程不清晰的得2-3分；方案简单，可行性不强的得0-1分；最高得5分。</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根据投标人提供的对南浔区数字经济综合门户对浙企智造、浙企畅链、浙企投资、浙企共富、浙里贸易、浙里消费、浙里要素、浙企创新、浙企服务、地图总概览等设计的合理性、先进性和内容完整程度进行评审：功能设计合理、先进且内容完整的得15-20分，功能设计一般，内容相对完整的得8-14分；功能设计较差，内容不完整的得1-7分。</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5.供应商具有有效的售中管理工具：（需提供功能界面截图，功能截图上需有公司名称或简称，不提供不得分）</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1）竞标人售中管理工具中有项目启动管理功能的得1分；</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2）竞标人具有售中管理工具有项目进场管理功能的得1分；</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3）竞标人具有售中管理工具有项目实施管理功能的得1分；</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4）竞标人具有售中管理工具有项目上线管理功能的得1分；</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5）竞标人具有售中管理工具有项目验收管理功能的得1分；</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40</w:t>
            </w:r>
          </w:p>
        </w:tc>
      </w:tr>
      <w:tr>
        <w:tblPrEx>
          <w:tblCellMar>
            <w:top w:w="0" w:type="dxa"/>
            <w:left w:w="108" w:type="dxa"/>
            <w:bottom w:w="0" w:type="dxa"/>
            <w:right w:w="108" w:type="dxa"/>
          </w:tblCellMar>
        </w:tblPrEx>
        <w:trPr>
          <w:trHeight w:val="1550" w:hRule="atLeast"/>
        </w:trPr>
        <w:tc>
          <w:tcPr>
            <w:tcW w:w="131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系统演示</w:t>
            </w:r>
            <w:r>
              <w:rPr>
                <w:rFonts w:hint="eastAsia" w:ascii="仿宋" w:hAnsi="仿宋" w:eastAsia="仿宋" w:cs="仿宋"/>
                <w:i w:val="0"/>
                <w:iCs w:val="0"/>
                <w:color w:val="000000"/>
                <w:kern w:val="0"/>
                <w:sz w:val="24"/>
                <w:szCs w:val="24"/>
                <w:u w:val="none"/>
                <w:lang w:val="en-US" w:eastAsia="zh-CN" w:bidi="ar"/>
              </w:rPr>
              <w:t>（演示内容录制成视频，演示总时间不超过10分钟）</w:t>
            </w:r>
          </w:p>
        </w:tc>
        <w:tc>
          <w:tcPr>
            <w:tcW w:w="69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1）地图总概览板块展示南浔区总体地图情况及规上企业数、规模以上工业营业收入、利润总额、出口额、规上工业总产值等指标展示，并且要求数据真实有效，可认为满足要求（2分）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（2）浙企制造，可展示南浔区重点规上企业相关情况及企业视频介绍。（2分）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（3）浙企畅链，可展示南浔区规上工业增加值、规上工业能源消费量指标全年数据情况展示，并且要求数据真实有效，可认为满足要求。（2分）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（4）浙企投资，可展示南浔区固定资产投资增速、工业投资增速指标数据情况展示，并且要求数据真实有效，可认为满足要求。（2分）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（5）浙企共富，可展示南浔区农林牧渔业总产值、经济作物面积、淡水产品产量等指标数据情况展示。（2分）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（6）浙里贸易，可展示南浔区进出口总额指标全年走势数据情况展示。（2分）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（7）浙里消费，可展示南浔区社会消费品零售总额增速指标全年走势情况展示。（2分）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（8）浙里要素，可展示南浔区规上工业能源消费量累计增幅走势图指标数据情况展示，并且要求数据真实有效，可认为满足要求。（2分）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（9）浙企创新，可展示南浔区高新企业数、省级研发中心数、省级重点企业研究院数、省级研究院、市级研发中心等指标数据情况展示；并可在该模块跳转南浔区创新评动力系统（2分）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（10）浙企服务，可展示浙江省“放水养鱼”行动计划培育库企业南浔区企业情况展示。（2分）</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0</w:t>
            </w:r>
          </w:p>
        </w:tc>
      </w:tr>
      <w:tr>
        <w:tblPrEx>
          <w:tblCellMar>
            <w:top w:w="0" w:type="dxa"/>
            <w:left w:w="108" w:type="dxa"/>
            <w:bottom w:w="0" w:type="dxa"/>
            <w:right w:w="108" w:type="dxa"/>
          </w:tblCellMar>
        </w:tblPrEx>
        <w:trPr>
          <w:trHeight w:val="560" w:hRule="atLeast"/>
        </w:trPr>
        <w:tc>
          <w:tcPr>
            <w:tcW w:w="131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项目实施人员安排</w:t>
            </w:r>
          </w:p>
        </w:tc>
        <w:tc>
          <w:tcPr>
            <w:tcW w:w="69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1.拟投入本项目的项目经理同时具有PMP证书、信息系统项目管理师（高级）证书、通信工程师（互联网技术）、一级建造师（通信与广电）证书的得6分，同时具备三个得3分，其他不得分。</w:t>
            </w:r>
          </w:p>
          <w:p>
            <w:pPr>
              <w:spacing w:line="360" w:lineRule="auto"/>
              <w:ind w:firstLine="480" w:firstLineChars="200"/>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2.拟投入本项目实施人员（除项目经理外）</w:t>
            </w:r>
          </w:p>
          <w:p>
            <w:pPr>
              <w:spacing w:line="360" w:lineRule="auto"/>
              <w:ind w:firstLine="480" w:firstLineChars="200"/>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（1）项目实施人员具备高级工程师证书的，每证得2分，最高得2分；</w:t>
            </w:r>
          </w:p>
          <w:p>
            <w:pPr>
              <w:spacing w:line="360" w:lineRule="auto"/>
              <w:ind w:firstLine="480" w:firstLineChars="200"/>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（2）项目实施人员具备PMP证书的，每证得1分，最高得2分；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Hans"/>
              </w:rPr>
              <w:t>注：须提供证书复印件及最近3个月中任意1个月的社保缴纳证明并加盖公章，不提供不得分。</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r>
      <w:tr>
        <w:tblPrEx>
          <w:tblCellMar>
            <w:top w:w="0" w:type="dxa"/>
            <w:left w:w="108" w:type="dxa"/>
            <w:bottom w:w="0" w:type="dxa"/>
            <w:right w:w="108" w:type="dxa"/>
          </w:tblCellMar>
        </w:tblPrEx>
        <w:trPr>
          <w:trHeight w:val="90" w:hRule="atLeast"/>
        </w:trPr>
        <w:tc>
          <w:tcPr>
            <w:tcW w:w="827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商务、资信及其他部分</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r>
      <w:tr>
        <w:tblPrEx>
          <w:tblCellMar>
            <w:top w:w="0" w:type="dxa"/>
            <w:left w:w="108" w:type="dxa"/>
            <w:bottom w:w="0" w:type="dxa"/>
            <w:right w:w="108" w:type="dxa"/>
          </w:tblCellMar>
        </w:tblPrEx>
        <w:trPr>
          <w:trHeight w:val="560" w:hRule="atLeast"/>
        </w:trPr>
        <w:tc>
          <w:tcPr>
            <w:tcW w:w="131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售后服务方案及承诺</w:t>
            </w:r>
          </w:p>
        </w:tc>
        <w:tc>
          <w:tcPr>
            <w:tcW w:w="69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供的方案应包括但不限于后续服务能力、技术支持力量、服务内容承诺及保障措施、服务响应时间、故障恢复时间等。售后方案全面且周到得4-5分，方案存在欠缺的，得2-3分，方案可行性差得1分；无方案的不得分。</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r>
      <w:tr>
        <w:tblPrEx>
          <w:tblCellMar>
            <w:top w:w="0" w:type="dxa"/>
            <w:left w:w="108" w:type="dxa"/>
            <w:bottom w:w="0" w:type="dxa"/>
            <w:right w:w="108" w:type="dxa"/>
          </w:tblCellMar>
        </w:tblPrEx>
        <w:trPr>
          <w:trHeight w:val="405" w:hRule="atLeast"/>
        </w:trPr>
        <w:tc>
          <w:tcPr>
            <w:tcW w:w="131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维护网点设置</w:t>
            </w:r>
          </w:p>
        </w:tc>
        <w:tc>
          <w:tcPr>
            <w:tcW w:w="69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供应商在项目所在地市配有维护服务网点的得2分，未配有不得分。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注：须提供服务网点营业执照复印件并加盖公章。</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tblPrEx>
          <w:tblCellMar>
            <w:top w:w="0" w:type="dxa"/>
            <w:left w:w="108" w:type="dxa"/>
            <w:bottom w:w="0" w:type="dxa"/>
            <w:right w:w="108" w:type="dxa"/>
          </w:tblCellMar>
        </w:tblPrEx>
        <w:trPr>
          <w:trHeight w:val="560" w:hRule="atLeast"/>
        </w:trPr>
        <w:tc>
          <w:tcPr>
            <w:tcW w:w="131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企业实力</w:t>
            </w:r>
          </w:p>
        </w:tc>
        <w:tc>
          <w:tcPr>
            <w:tcW w:w="69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1.供应商具有有效质量管理体系认证证书的，得1分；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2.供应商具有有效环境管理体系认证证书的，得1分；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3.供应商具有有效职业健康安全管理体系认证证书的，得1分；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4.供应商具有有效信息技术服务管理体系认证证书的，得1分；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5.供应商具有有效信息安全管理体系认证证书的，得1分；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6.供应商同时具备基础电信业务经营许可证和增值电信业务经营许可证得4分，否则不得分。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7.评标小组根据供应商提供的2019年1月1日至今有效的政府行政职能部门颁发投标企业荣誉证书进行评分：国家级的荣誉得3分；省级的荣誉得2分；市级的荣誉得1分。（不重复计分）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eastAsia="zh-Hans"/>
              </w:rPr>
              <w:t>应答人提供20</w:t>
            </w: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eastAsia="zh-Hans"/>
              </w:rPr>
              <w:t>年1月1日以来</w:t>
            </w:r>
            <w:r>
              <w:rPr>
                <w:rFonts w:hint="eastAsia" w:ascii="仿宋" w:hAnsi="仿宋" w:eastAsia="仿宋" w:cs="仿宋"/>
                <w:color w:val="auto"/>
                <w:sz w:val="24"/>
                <w:highlight w:val="none"/>
              </w:rPr>
              <w:t>具有</w:t>
            </w:r>
            <w:r>
              <w:rPr>
                <w:rFonts w:hint="eastAsia" w:ascii="仿宋" w:hAnsi="仿宋" w:eastAsia="仿宋" w:cs="仿宋"/>
                <w:color w:val="auto"/>
                <w:sz w:val="24"/>
                <w:highlight w:val="none"/>
                <w:lang w:eastAsia="zh-Hans"/>
              </w:rPr>
              <w:t>（以合同签订时间为准）</w:t>
            </w:r>
            <w:r>
              <w:rPr>
                <w:rFonts w:hint="eastAsia" w:ascii="仿宋" w:hAnsi="仿宋" w:eastAsia="仿宋" w:cs="仿宋"/>
                <w:color w:val="auto"/>
                <w:sz w:val="24"/>
                <w:highlight w:val="none"/>
              </w:rPr>
              <w:t>类似</w:t>
            </w:r>
            <w:r>
              <w:rPr>
                <w:rFonts w:hint="eastAsia" w:ascii="仿宋" w:hAnsi="仿宋" w:eastAsia="仿宋" w:cs="仿宋"/>
                <w:color w:val="auto"/>
                <w:sz w:val="24"/>
                <w:highlight w:val="none"/>
                <w:lang w:eastAsia="zh-Hans"/>
              </w:rPr>
              <w:t>项目业绩的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Hans"/>
              </w:rPr>
              <w:t>每个得</w:t>
            </w:r>
            <w:r>
              <w:rPr>
                <w:rFonts w:hint="eastAsia" w:ascii="仿宋" w:hAnsi="仿宋" w:eastAsia="仿宋" w:cs="仿宋"/>
                <w:color w:val="auto"/>
                <w:sz w:val="24"/>
                <w:highlight w:val="none"/>
              </w:rPr>
              <w:t>0.5</w:t>
            </w:r>
            <w:r>
              <w:rPr>
                <w:rFonts w:hint="eastAsia" w:ascii="仿宋" w:hAnsi="仿宋" w:eastAsia="仿宋" w:cs="仿宋"/>
                <w:color w:val="auto"/>
                <w:sz w:val="24"/>
                <w:highlight w:val="none"/>
                <w:lang w:eastAsia="zh-Hans"/>
              </w:rPr>
              <w:t>分，最高</w:t>
            </w:r>
            <w:r>
              <w:rPr>
                <w:rFonts w:hint="eastAsia" w:ascii="仿宋" w:hAnsi="仿宋" w:eastAsia="仿宋" w:cs="仿宋"/>
                <w:color w:val="auto"/>
                <w:sz w:val="24"/>
                <w:highlight w:val="none"/>
              </w:rPr>
              <w:t>得1分。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注：须提供相关证书</w:t>
            </w:r>
            <w:r>
              <w:rPr>
                <w:rFonts w:hint="eastAsia" w:ascii="仿宋" w:hAnsi="仿宋" w:eastAsia="仿宋" w:cs="仿宋"/>
                <w:color w:val="auto"/>
                <w:sz w:val="24"/>
                <w:highlight w:val="none"/>
                <w:lang w:eastAsia="zh-Hans"/>
              </w:rPr>
              <w:t>、合同</w:t>
            </w:r>
            <w:r>
              <w:rPr>
                <w:rFonts w:hint="eastAsia" w:ascii="仿宋" w:hAnsi="仿宋" w:eastAsia="仿宋" w:cs="仿宋"/>
                <w:color w:val="auto"/>
                <w:sz w:val="24"/>
                <w:highlight w:val="none"/>
              </w:rPr>
              <w:t>或证明材料复印件，并加盖公章，不提供不得分。</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r>
    </w:tbl>
    <w:p/>
    <w:p>
      <w:pPr>
        <w:spacing w:before="120" w:beforeLines="50" w:after="120" w:afterLines="50"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三、其他评审事项规定</w:t>
      </w:r>
    </w:p>
    <w:p>
      <w:pPr>
        <w:pStyle w:val="3"/>
        <w:ind w:left="420" w:leftChars="200" w:firstLine="361" w:firstLineChars="1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1、串通投标的认定</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1）在评审过程中发现以下情形，被视为串通投标的：</w:t>
      </w:r>
    </w:p>
    <w:p>
      <w:pPr>
        <w:pStyle w:val="3"/>
        <w:ind w:left="420" w:leftChars="200" w:firstLine="120" w:firstLineChars="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（1）不同投标供应商的投标文件由同一单位或个人编制；</w:t>
      </w:r>
    </w:p>
    <w:p>
      <w:pPr>
        <w:pStyle w:val="3"/>
        <w:ind w:left="420" w:leftChars="200" w:firstLine="120" w:firstLineChars="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（2）不同投标供应商委托同一单位或个人办理投标事宜；</w:t>
      </w:r>
    </w:p>
    <w:p>
      <w:pPr>
        <w:pStyle w:val="3"/>
        <w:ind w:left="420" w:leftChars="200" w:firstLine="120" w:firstLineChars="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（3）不同投标供应商的投标文件载明的项目管理成员或联系人员为同一人；</w:t>
      </w:r>
    </w:p>
    <w:p>
      <w:pPr>
        <w:pStyle w:val="3"/>
        <w:ind w:left="420" w:leftChars="200" w:firstLine="120" w:firstLineChars="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（4）不同投标供应商的投标文件异常一致或者投标报价呈规律性差异；</w:t>
      </w:r>
    </w:p>
    <w:p>
      <w:pPr>
        <w:pStyle w:val="3"/>
        <w:ind w:left="420" w:leftChars="200" w:firstLine="120" w:firstLineChars="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（5）不同投标供应商的投标文件互相混装。</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投标供应商应当遵循公平竞争的原则，不得恶意串通，不得妨碍其他投标供应商的竞争行为，不得损害采购人或者其他投标供应商的合法权益。在评审过程中，发现投标供应商有上述串通投标情形的，投标无效，并书面报告本级财政部门。</w:t>
      </w:r>
    </w:p>
    <w:p>
      <w:pPr>
        <w:pStyle w:val="3"/>
        <w:ind w:left="420" w:leftChars="200" w:firstLine="361" w:firstLineChars="1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2、投标供应商违法等重大事项的处理</w:t>
      </w:r>
    </w:p>
    <w:p>
      <w:pPr>
        <w:pStyle w:val="3"/>
        <w:ind w:left="420" w:leftChars="200" w:firstLine="240" w:firstLineChars="1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投标供应商有下列情形之一的，投标无效且将《投标文件》、《询标记录》等报同级政府采购监管部门或有关职能部门查处：</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1）未如实提供债权债务、重大违法记录、利害关系等信息，影响或者可能影响中标结果的；</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2）不遵循公平竞争原则、恶意串通、妨碍其他投标供应商的竞争、损害采购人或其他投标供应商合法权益的；</w:t>
      </w:r>
    </w:p>
    <w:p>
      <w:pPr>
        <w:pStyle w:val="3"/>
        <w:ind w:left="420" w:leftChars="200" w:firstLine="240" w:firstLineChars="1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3）政府采购活动中存在违法行为的；</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4）其他严重干扰招投标秩序的行为的。</w:t>
      </w:r>
    </w:p>
    <w:p>
      <w:pPr>
        <w:pStyle w:val="3"/>
        <w:ind w:left="420" w:leftChars="200" w:firstLine="361" w:firstLineChars="1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 评审中合格投标供应商不足法定数量的处理</w:t>
      </w:r>
    </w:p>
    <w:p>
      <w:pPr>
        <w:pStyle w:val="3"/>
        <w:ind w:left="420" w:leftChars="200" w:firstLine="240" w:firstLineChars="1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公开招标的采购项目，在评审过程中，若符合条件的有效投标供应商不足三家的，除采购任务取消情形外，采购人可选择将本项目作废标处理，重新组织采购。</w:t>
      </w:r>
    </w:p>
    <w:p>
      <w:pPr>
        <w:pStyle w:val="3"/>
        <w:ind w:left="420" w:leftChars="200" w:firstLine="361" w:firstLineChars="1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 废标适用情形</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在公开招标采购过程中，出现下列情形之一的，项目将予以废标：</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1）符合专业条件的投标供应商或者对公开招标采购文件作实质响应的投标供应商不足三家的；</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2）出现影响采购公正的违法、违规行为的；</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3）投标供应商的报价均超过了采购预算，采购人不能支付的；</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4）因重大变故，采购任务取消的。</w:t>
      </w:r>
    </w:p>
    <w:p>
      <w:pPr>
        <w:pStyle w:val="3"/>
        <w:ind w:left="420" w:leftChars="200" w:firstLine="361" w:firstLineChars="1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5、可中止电子交易活动的情形</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采购过程中出现以下情形，导致电子交易平台无法正常运行，或者无法保证电子交易的公平、公正和安全时，采购组织机构可中止电子交易活动：</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1）电子交易平台发生故障而无法登录访问的；</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2）电子交易平台应用或数据库出现错误，不能进行正常操作的；</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3）电子交易平台发现严重安全漏洞，有潜在泄密危险的；</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4）病毒发作导致不能进行正常操作的；</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5）其他无法保证电子交易的公平、公正和安全的情况。</w:t>
      </w:r>
    </w:p>
    <w:p>
      <w:pPr>
        <w:pStyle w:val="3"/>
        <w:ind w:left="420" w:leftChars="200" w:firstLine="360" w:firstLineChars="150"/>
        <w:jc w:val="left"/>
        <w:rPr>
          <w:rFonts w:hint="eastAsia" w:ascii="仿宋" w:hAnsi="仿宋" w:eastAsia="仿宋" w:cs="仿宋"/>
          <w:b w:val="0"/>
          <w:color w:val="auto"/>
          <w:sz w:val="44"/>
          <w:szCs w:val="44"/>
          <w:highlight w:val="none"/>
        </w:rPr>
      </w:pPr>
      <w:r>
        <w:rPr>
          <w:rFonts w:hint="eastAsia" w:ascii="仿宋" w:hAnsi="仿宋" w:eastAsia="仿宋" w:cs="仿宋"/>
          <w:b w:val="0"/>
          <w:bCs/>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bookmarkEnd w:id="45"/>
      <w:bookmarkStart w:id="49" w:name="_Toc251160747"/>
      <w:bookmarkStart w:id="50" w:name="_Toc152043788"/>
      <w:r>
        <w:rPr>
          <w:rFonts w:hint="eastAsia" w:ascii="仿宋" w:hAnsi="仿宋" w:eastAsia="仿宋" w:cs="仿宋"/>
          <w:b w:val="0"/>
          <w:sz w:val="44"/>
          <w:szCs w:val="44"/>
        </w:rPr>
        <w:t>第五章  合同主要条款（仅供参考）</w:t>
      </w:r>
    </w:p>
    <w:p>
      <w:pPr>
        <w:jc w:val="center"/>
        <w:rPr>
          <w:rFonts w:hint="eastAsia" w:ascii="宋体" w:hAnsi="宋体" w:cs="宋体"/>
          <w:b/>
          <w:sz w:val="28"/>
          <w:szCs w:val="28"/>
          <w:highlight w:val="none"/>
        </w:rPr>
      </w:pPr>
      <w:r>
        <w:rPr>
          <w:rFonts w:hint="eastAsia" w:ascii="宋体" w:hAnsi="宋体" w:cs="宋体"/>
          <w:b/>
          <w:sz w:val="28"/>
          <w:szCs w:val="28"/>
          <w:highlight w:val="none"/>
        </w:rPr>
        <w:t>（服务类）</w:t>
      </w:r>
    </w:p>
    <w:p>
      <w:pPr>
        <w:pStyle w:val="3"/>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财政审批编号:                                        招标文件编号:  </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1.定义</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本合同中的下列术语应解释为：</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1.1“合同”系指供需双方签署的、合同格式中载明的供需双方所达成的协议，包括所有的附件、附录和构成合同的所有文件；</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1.2“合同价”系指根据合同规定，采购人在供应商完全履行合同义务后应付给的价格；</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1.3“货物”系指供应商根据合同规定向采购人提供的一切货物、质量保证书和其他技术资料及技术参数；</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1.4“服务”系指根据合同规定供应商承担与供货有关的辅助服务，如运输、装卸、安装、保险以及其他的服务，例如安装、调试提供技术援助、培训和其他类似的义务；</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1.5“采购人”系指具体使用货物和接受服务的使用单位；</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1.6“供应商”系指根据合同规定提供采购项目货物和服务的具有法人资格的公司、企业或实体；</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1.7“财政审批编号”系指市财政局审批编号。</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2.合同项目与内容</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西苕溪流域超标准洪水防御预案采购项目   </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3.服务时间与服务地点</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服务时间：详见招标文件要求；</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服务地点：由采购单位指定。</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4.签署合同的要求</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4.1、供应商必须按照竞标文件和询标过程中承诺的条款以及中标通知书中规定的时间、地点与采购人签订合同；</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4.2、所签订的合同内容不得对招标文件和供应商的投标文件作实质性修改；</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4.3、采购人不得向供应商提出任何不合理的要求，作为签订合同的条件，不得与供应商私下订立背离合同实质性内容的协议；</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4.4、自采购合同签订之日起 7个工作日内，将采购合同副本 2份送本项目招标代理机构、同级人民政府财政部门备案。</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5.技术规范</w:t>
      </w:r>
    </w:p>
    <w:p>
      <w:pPr>
        <w:pStyle w:val="3"/>
        <w:ind w:left="420" w:leftChars="200" w:firstLine="360" w:firstLineChars="150"/>
        <w:jc w:val="left"/>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本合同执行国家及本省、市现行项目实施及验收规范及有关条例、实施办法等。</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提供和交付的服务技术规范应与招标文件规定的技术规范相一致。</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6.知识产权</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供应商保证所提供的服务及货物均不存在知识产权纠纷。供应商应保证采购人在使用时不受第三方提出侵犯其专利权、商标权等知识产权的诉讼。</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7. 工作考核及付款方式</w:t>
      </w:r>
    </w:p>
    <w:p>
      <w:pPr>
        <w:pStyle w:val="3"/>
        <w:ind w:left="420" w:leftChars="200" w:firstLine="360" w:firstLineChars="150"/>
        <w:jc w:val="left"/>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根据省财政厅《浙江省财政厅关于进一步加大政府采购支持中小企业力度 助力扎实稳住经济的通知》（浙财采监【2022】8号）要求，</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付款方式：</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（在签订合同时，供应商明确表示无需预付款或者主动要求降低预付款比例的，采购合同可不适用前述规定。）</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8.支付：支付应使用人民币；</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9.技术服务</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供应商应负责安排采购人相关人员进行操作、维修的培训。具体时间及培训内容在投标时由供应商提出建议；</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10.售后服务及承诺</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10.1供应商应明确承诺售后服务各项内容和措施，提供详细的服务地点、联系人、电话等有关资料；</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10.2服务期：详见招标文件要求。在服务期内，因服务质量所发生的一切费用均由供应商承担；</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11.履约保证及后续服务</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11.1 供应商应在签订本合同之日起/日内提供履约保证金/元，提供由银行、保险公司出具保函形式提交履约保证金。</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11.2 供应商应按招标文件规定的服务标准向采购人提供服务。</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11.3 如采购人检查发现供应商提供的服务服务不符合标准要求，供应商应立即进行整改，直到符合要求为止。采购人可根据考核标准中扣除供应商因检查不合格而应该扣罚的款项（扣罚款项在签订合同时明确）。</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11.4 供应商提供的服务人员不符合本合同约定的数额，供应商应当自接到采购人通知之日起2日内予以补足，采购人有权按照缺岗天数及缺岗人数扣除相应的履约保证金。</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11.5 由于供应商服务人员原因在服务工作中给采购人的设施、材料造成损失，供应商应负责赔偿。</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11.6 在使用过程中发生问题，供应商在接到采购人通知后在    小时内到达采购人现场。</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11.7 在服务质量保证期内，供应商应对出现的服务质量及安全问题负责处理解决并承担一切费用。</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11.8 在本合同履行完毕后，采购人扣除供应商在履约过程中产生的本合同涉及的相关赔偿金额后，在/日内将剩余履约保证金退还至供应商。</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12.违约责任</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12.1 采购人无正当理由拒收接受服务的，采购人向供应商偿付合同款项百分之五作为违约金。</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12.2 采购人无故逾期验收和办理款项支付手续的,采购人应按逾期付款总额每日万分之五向供应商支付违约金。</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12.4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 </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13.不可抗力事件处理</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13.1 在合同有效期内，任何一方因不可抗力事件导致不能履行合同，则合同履行期可延长，其延长期与不可抗力影响期相同。</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13.2 不可抗力事件发生后，应立即通知对方，并寄送有关权威机构出具的证明。</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13.3 不可抗力事件延续120天以上，双方应通过友好协商，确定是否继续履行合同。</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14. 争议解决</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14.1在执行本合同中所发生的或与本合同有关的一切争端，合同双方应通过友好协商解决，经过协商仍不能解决，双方选择通过下列第x种方式解决：</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（1）将争端提交湖州仲裁委员会仲裁</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（2）直接向采购人所在地有管辖权的人民法院起诉。</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14.2仲裁费用或诉讼费用应由败诉方负担。</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14.3在仲裁或诉讼期间，除进行仲裁或诉讼的部分外，本合同其它部分应继续执行。</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15.转让或分包</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15.1本合同范围的服务，应由供应商提供，不得转让他人供应；</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15.3本合同全部或部分的分包不能减轻供应商承担的责任，供应商仍须将分包人的任何行动、错误或疏忽当作是自己完成的并负全责；</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15.4在任何分包合同中，须注明分包人按分包合同的范围履行，在供应商按本合同的履行终止时（不论任何原因），亦同时一并终止；</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15.5如有转让和未经采购人同意的分包行为，采购人有权给予终止合同。</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16.适用法律</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合同适用法律有《中华人民共和国政府采购法》、《中华人民共和国民法典》、《中华人民共和国产品质量法》和浙江省有关条例等。</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17.合同生效及其他</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17.1本合同经双方法人及法定代表人签字盖章生效；</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17.2本合同一式三份，供应商、采购人各执一份；市财政局执一份。</w:t>
      </w:r>
    </w:p>
    <w:p>
      <w:pPr>
        <w:pStyle w:val="3"/>
        <w:ind w:left="420" w:leftChars="200" w:firstLine="360" w:firstLineChars="150"/>
        <w:jc w:val="left"/>
        <w:rPr>
          <w:rFonts w:hint="eastAsia" w:ascii="仿宋" w:hAnsi="仿宋" w:eastAsia="仿宋" w:cs="仿宋"/>
          <w:b w:val="0"/>
          <w:bCs/>
          <w:color w:val="auto"/>
          <w:sz w:val="24"/>
          <w:highlight w:val="none"/>
        </w:rPr>
      </w:pP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采购人：                                 供应商： </w:t>
      </w:r>
    </w:p>
    <w:p>
      <w:pPr>
        <w:pStyle w:val="3"/>
        <w:ind w:left="420" w:leftChars="200" w:firstLine="360" w:firstLineChars="150"/>
        <w:jc w:val="left"/>
        <w:rPr>
          <w:rFonts w:hint="eastAsia" w:ascii="仿宋" w:hAnsi="仿宋" w:eastAsia="仿宋" w:cs="仿宋"/>
          <w:b w:val="0"/>
          <w:bCs/>
          <w:color w:val="auto"/>
          <w:sz w:val="24"/>
          <w:highlight w:val="none"/>
        </w:rPr>
      </w:pP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地址：                                   地址： </w:t>
      </w:r>
    </w:p>
    <w:p>
      <w:pPr>
        <w:pStyle w:val="3"/>
        <w:ind w:left="420" w:leftChars="200" w:firstLine="360" w:firstLineChars="150"/>
        <w:jc w:val="left"/>
        <w:rPr>
          <w:rFonts w:hint="eastAsia" w:ascii="仿宋" w:hAnsi="仿宋" w:eastAsia="仿宋" w:cs="仿宋"/>
          <w:b w:val="0"/>
          <w:bCs/>
          <w:color w:val="auto"/>
          <w:sz w:val="24"/>
          <w:highlight w:val="none"/>
        </w:rPr>
      </w:pP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法定（或授权）代表人：            </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rPr>
        <w:t>法定（或授权）代表人：</w:t>
      </w:r>
    </w:p>
    <w:p>
      <w:pPr>
        <w:pStyle w:val="3"/>
        <w:ind w:left="420" w:leftChars="200" w:firstLine="360" w:firstLineChars="150"/>
        <w:jc w:val="left"/>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    </w:t>
      </w:r>
    </w:p>
    <w:p>
      <w:pPr>
        <w:pStyle w:val="3"/>
        <w:ind w:left="420" w:leftChars="200" w:firstLine="360" w:firstLineChars="1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签字日期：   年  月  日         </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rPr>
        <w:t xml:space="preserve"> 签字日期：   年  月  日</w:t>
      </w:r>
    </w:p>
    <w:p>
      <w:pPr>
        <w:pStyle w:val="9"/>
        <w:tabs>
          <w:tab w:val="left" w:pos="6025"/>
          <w:tab w:val="left" w:pos="8147"/>
        </w:tabs>
        <w:spacing w:before="173" w:line="360" w:lineRule="auto"/>
        <w:ind w:right="493"/>
        <w:rPr>
          <w:rFonts w:hint="eastAsia" w:ascii="宋体" w:hAnsi="宋体" w:cs="宋体"/>
          <w:sz w:val="24"/>
          <w:highlight w:val="none"/>
        </w:rPr>
      </w:pPr>
    </w:p>
    <w:p>
      <w:pPr>
        <w:autoSpaceDE w:val="0"/>
        <w:autoSpaceDN w:val="0"/>
        <w:spacing w:line="360" w:lineRule="auto"/>
        <w:ind w:firstLine="240" w:firstLineChars="100"/>
        <w:textAlignment w:val="bottom"/>
        <w:rPr>
          <w:rFonts w:hint="eastAsia" w:ascii="仿宋" w:hAnsi="仿宋" w:eastAsia="仿宋" w:cs="仿宋"/>
          <w:color w:val="auto"/>
          <w:sz w:val="24"/>
          <w:highlight w:val="none"/>
        </w:rPr>
      </w:pPr>
    </w:p>
    <w:bookmarkEnd w:id="49"/>
    <w:p>
      <w:pPr>
        <w:spacing w:after="240" w:afterLines="100" w:line="500" w:lineRule="exact"/>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spacing w:after="240" w:afterLines="100" w:line="50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第六章  投标文件附件格式</w:t>
      </w:r>
      <w:bookmarkEnd w:id="50"/>
    </w:p>
    <w:p>
      <w:pPr>
        <w:snapToGrid w:val="0"/>
        <w:spacing w:before="120" w:beforeLines="50" w:after="50"/>
        <w:rPr>
          <w:rFonts w:hint="eastAsia" w:ascii="仿宋" w:hAnsi="仿宋" w:eastAsia="仿宋" w:cs="仿宋"/>
          <w:b/>
          <w:color w:val="auto"/>
          <w:sz w:val="24"/>
          <w:szCs w:val="20"/>
          <w:highlight w:val="none"/>
        </w:rPr>
      </w:pPr>
      <w:r>
        <w:rPr>
          <w:rFonts w:hint="eastAsia" w:ascii="仿宋" w:hAnsi="仿宋" w:eastAsia="仿宋" w:cs="仿宋"/>
          <w:b/>
          <w:color w:val="auto"/>
          <w:sz w:val="24"/>
          <w:highlight w:val="none"/>
        </w:rPr>
        <w:t>1、</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投标文件外包装封面格式</w:t>
      </w:r>
    </w:p>
    <w:p>
      <w:pPr>
        <w:snapToGrid w:val="0"/>
        <w:spacing w:before="120" w:beforeLines="50" w:after="50"/>
        <w:rPr>
          <w:rFonts w:hint="eastAsia" w:ascii="仿宋" w:hAnsi="仿宋" w:eastAsia="仿宋" w:cs="仿宋"/>
          <w:b/>
          <w:bCs/>
          <w:color w:val="auto"/>
          <w:sz w:val="32"/>
          <w:szCs w:val="20"/>
          <w:highlight w:val="none"/>
        </w:rPr>
      </w:pPr>
      <w:r>
        <w:rPr>
          <w:rFonts w:hint="eastAsia" w:ascii="仿宋" w:hAnsi="仿宋" w:eastAsia="仿宋" w:cs="仿宋"/>
          <w:color w:val="auto"/>
          <w:sz w:val="24"/>
          <w:highlight w:val="none"/>
        </w:rPr>
        <w:t xml:space="preserve">                                                   </w:t>
      </w:r>
    </w:p>
    <w:p>
      <w:pPr>
        <w:snapToGrid w:val="0"/>
        <w:spacing w:before="120" w:beforeLines="50" w:after="50"/>
        <w:rPr>
          <w:rFonts w:hint="eastAsia" w:ascii="仿宋" w:hAnsi="仿宋" w:eastAsia="仿宋" w:cs="仿宋"/>
          <w:bCs/>
          <w:color w:val="auto"/>
          <w:sz w:val="24"/>
          <w:szCs w:val="20"/>
          <w:highlight w:val="none"/>
        </w:rPr>
      </w:pPr>
    </w:p>
    <w:p>
      <w:pPr>
        <w:snapToGrid w:val="0"/>
        <w:spacing w:before="120" w:beforeLines="50" w:after="50"/>
        <w:jc w:val="center"/>
        <w:rPr>
          <w:rFonts w:hint="eastAsia" w:ascii="仿宋" w:hAnsi="仿宋" w:eastAsia="仿宋" w:cs="仿宋"/>
          <w:bCs/>
          <w:color w:val="auto"/>
          <w:sz w:val="24"/>
          <w:szCs w:val="20"/>
          <w:highlight w:val="none"/>
        </w:rPr>
      </w:pPr>
      <w:r>
        <w:rPr>
          <w:rFonts w:hint="eastAsia" w:ascii="仿宋" w:hAnsi="仿宋" w:eastAsia="仿宋" w:cs="仿宋"/>
          <w:bCs/>
          <w:color w:val="auto"/>
          <w:sz w:val="24"/>
          <w:highlight w:val="none"/>
        </w:rPr>
        <w:t>资格/技术、商务、资信及其他文件（报价文件）</w:t>
      </w:r>
    </w:p>
    <w:p>
      <w:pPr>
        <w:snapToGrid w:val="0"/>
        <w:spacing w:before="120" w:beforeLines="50" w:after="50"/>
        <w:rPr>
          <w:rFonts w:hint="eastAsia" w:ascii="仿宋" w:hAnsi="仿宋" w:eastAsia="仿宋" w:cs="仿宋"/>
          <w:bCs/>
          <w:color w:val="auto"/>
          <w:sz w:val="24"/>
          <w:szCs w:val="20"/>
          <w:highlight w:val="none"/>
        </w:rPr>
      </w:pPr>
    </w:p>
    <w:p>
      <w:pPr>
        <w:snapToGrid w:val="0"/>
        <w:spacing w:before="120" w:beforeLines="50" w:after="50"/>
        <w:ind w:firstLine="1068" w:firstLineChars="44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p>
    <w:p>
      <w:pPr>
        <w:snapToGrid w:val="0"/>
        <w:spacing w:before="120" w:beforeLines="50" w:after="50"/>
        <w:ind w:firstLine="1068" w:firstLineChars="44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项目编号：</w:t>
      </w:r>
    </w:p>
    <w:p>
      <w:pPr>
        <w:snapToGrid w:val="0"/>
        <w:spacing w:before="120" w:beforeLines="50" w:after="50"/>
        <w:ind w:firstLine="1068" w:firstLineChars="44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投标供应商名称：</w:t>
      </w:r>
    </w:p>
    <w:p>
      <w:pPr>
        <w:snapToGrid w:val="0"/>
        <w:spacing w:before="120" w:beforeLines="50" w:after="50"/>
        <w:ind w:firstLine="1068" w:firstLineChars="44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投标供应商地址：</w:t>
      </w:r>
    </w:p>
    <w:p>
      <w:pPr>
        <w:snapToGrid w:val="0"/>
        <w:spacing w:before="120" w:beforeLines="50" w:after="50"/>
        <w:ind w:firstLine="1428" w:firstLineChars="5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  年  月  日  时  分之前不得启封</w:t>
      </w:r>
    </w:p>
    <w:p>
      <w:pPr>
        <w:tabs>
          <w:tab w:val="left" w:pos="0"/>
        </w:tabs>
        <w:snapToGrid w:val="0"/>
        <w:spacing w:line="360" w:lineRule="auto"/>
        <w:rPr>
          <w:rFonts w:hint="eastAsia" w:ascii="仿宋" w:hAnsi="仿宋" w:eastAsia="仿宋" w:cs="仿宋"/>
          <w:bCs/>
          <w:color w:val="auto"/>
          <w:sz w:val="24"/>
          <w:szCs w:val="32"/>
          <w:highlight w:val="none"/>
        </w:rPr>
      </w:pPr>
    </w:p>
    <w:p>
      <w:pPr>
        <w:tabs>
          <w:tab w:val="left" w:pos="0"/>
        </w:tabs>
        <w:snapToGrid w:val="0"/>
        <w:spacing w:line="360" w:lineRule="auto"/>
        <w:rPr>
          <w:rFonts w:hint="eastAsia" w:ascii="仿宋" w:hAnsi="仿宋" w:eastAsia="仿宋" w:cs="仿宋"/>
          <w:bCs/>
          <w:color w:val="auto"/>
          <w:sz w:val="24"/>
          <w:szCs w:val="32"/>
          <w:highlight w:val="none"/>
        </w:rPr>
      </w:pPr>
    </w:p>
    <w:p>
      <w:pPr>
        <w:tabs>
          <w:tab w:val="left" w:pos="0"/>
        </w:tabs>
        <w:snapToGrid w:val="0"/>
        <w:spacing w:line="360" w:lineRule="auto"/>
        <w:rPr>
          <w:rFonts w:hint="eastAsia" w:ascii="仿宋" w:hAnsi="仿宋" w:eastAsia="仿宋" w:cs="仿宋"/>
          <w:bCs/>
          <w:color w:val="auto"/>
          <w:sz w:val="24"/>
          <w:szCs w:val="32"/>
          <w:highlight w:val="none"/>
        </w:rPr>
      </w:pPr>
    </w:p>
    <w:p>
      <w:pPr>
        <w:tabs>
          <w:tab w:val="left" w:pos="0"/>
        </w:tabs>
        <w:snapToGrid w:val="0"/>
        <w:spacing w:line="360" w:lineRule="auto"/>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2、投标文件封面格式</w:t>
      </w:r>
    </w:p>
    <w:p>
      <w:pPr>
        <w:tabs>
          <w:tab w:val="left" w:pos="0"/>
        </w:tabs>
        <w:snapToGrid w:val="0"/>
        <w:spacing w:line="360" w:lineRule="auto"/>
        <w:rPr>
          <w:rFonts w:hint="eastAsia" w:ascii="仿宋" w:hAnsi="仿宋" w:eastAsia="仿宋" w:cs="仿宋"/>
          <w:bCs/>
          <w:color w:val="auto"/>
          <w:sz w:val="24"/>
          <w:szCs w:val="32"/>
          <w:highlight w:val="none"/>
        </w:rPr>
      </w:pPr>
    </w:p>
    <w:p>
      <w:pPr>
        <w:snapToGrid w:val="0"/>
        <w:spacing w:before="120" w:beforeLines="50" w:after="50"/>
        <w:jc w:val="center"/>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 xml:space="preserve">                                  </w:t>
      </w:r>
    </w:p>
    <w:p>
      <w:pPr>
        <w:snapToGrid w:val="0"/>
        <w:spacing w:before="120" w:beforeLines="50" w:after="50"/>
        <w:jc w:val="center"/>
        <w:rPr>
          <w:rFonts w:hint="eastAsia" w:ascii="仿宋" w:hAnsi="仿宋" w:eastAsia="仿宋" w:cs="仿宋"/>
          <w:bCs/>
          <w:color w:val="auto"/>
          <w:sz w:val="24"/>
          <w:szCs w:val="20"/>
          <w:highlight w:val="none"/>
        </w:rPr>
      </w:pPr>
      <w:r>
        <w:rPr>
          <w:rFonts w:hint="eastAsia" w:ascii="仿宋" w:hAnsi="仿宋" w:eastAsia="仿宋" w:cs="仿宋"/>
          <w:bCs/>
          <w:color w:val="auto"/>
          <w:sz w:val="24"/>
          <w:highlight w:val="none"/>
        </w:rPr>
        <w:t>资格/技术、商务、资信及其他文件（报价文件）</w:t>
      </w:r>
    </w:p>
    <w:p>
      <w:pPr>
        <w:snapToGrid w:val="0"/>
        <w:spacing w:before="120" w:beforeLines="50" w:after="50"/>
        <w:rPr>
          <w:rFonts w:hint="eastAsia" w:ascii="仿宋" w:hAnsi="仿宋" w:eastAsia="仿宋" w:cs="仿宋"/>
          <w:bCs/>
          <w:color w:val="auto"/>
          <w:sz w:val="24"/>
          <w:szCs w:val="20"/>
          <w:highlight w:val="none"/>
        </w:rPr>
      </w:pPr>
    </w:p>
    <w:p>
      <w:pPr>
        <w:snapToGrid w:val="0"/>
        <w:spacing w:before="120" w:beforeLines="50" w:after="50"/>
        <w:ind w:firstLine="1068" w:firstLineChars="44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p>
    <w:p>
      <w:pPr>
        <w:snapToGrid w:val="0"/>
        <w:spacing w:before="120" w:beforeLines="50" w:after="50"/>
        <w:ind w:firstLine="1068" w:firstLineChars="44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项目编号：</w:t>
      </w:r>
    </w:p>
    <w:p>
      <w:pPr>
        <w:snapToGrid w:val="0"/>
        <w:spacing w:before="120" w:beforeLines="50" w:after="50"/>
        <w:ind w:firstLine="1068" w:firstLineChars="44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投标供应商名称：</w:t>
      </w:r>
    </w:p>
    <w:p>
      <w:pPr>
        <w:snapToGrid w:val="0"/>
        <w:spacing w:before="120" w:beforeLines="50" w:after="50"/>
        <w:ind w:firstLine="1068" w:firstLineChars="44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投标供应商地址：</w:t>
      </w:r>
    </w:p>
    <w:p>
      <w:pPr>
        <w:snapToGrid w:val="0"/>
        <w:spacing w:before="120" w:beforeLines="50" w:after="50"/>
        <w:jc w:val="center"/>
        <w:rPr>
          <w:rFonts w:hint="eastAsia" w:ascii="仿宋" w:hAnsi="仿宋" w:eastAsia="仿宋" w:cs="仿宋"/>
          <w:bCs/>
          <w:color w:val="auto"/>
          <w:sz w:val="24"/>
          <w:highlight w:val="none"/>
        </w:rPr>
      </w:pPr>
    </w:p>
    <w:p>
      <w:pPr>
        <w:snapToGrid w:val="0"/>
        <w:spacing w:before="120" w:beforeLines="50" w:after="5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法定代表人或其授权代表签字或盖章：</w:t>
      </w:r>
    </w:p>
    <w:p>
      <w:pPr>
        <w:snapToGrid w:val="0"/>
        <w:spacing w:before="120" w:beforeLines="50" w:after="50"/>
        <w:jc w:val="center"/>
        <w:rPr>
          <w:rFonts w:hint="eastAsia" w:ascii="仿宋" w:hAnsi="仿宋" w:eastAsia="仿宋" w:cs="仿宋"/>
          <w:bCs/>
          <w:color w:val="auto"/>
          <w:sz w:val="24"/>
          <w:highlight w:val="none"/>
        </w:rPr>
      </w:pPr>
    </w:p>
    <w:p>
      <w:pPr>
        <w:snapToGrid w:val="0"/>
        <w:spacing w:before="120" w:beforeLines="50" w:after="50"/>
        <w:jc w:val="center"/>
        <w:rPr>
          <w:rFonts w:hint="eastAsia" w:ascii="仿宋" w:hAnsi="仿宋" w:eastAsia="仿宋" w:cs="仿宋"/>
          <w:bCs/>
          <w:color w:val="auto"/>
          <w:sz w:val="24"/>
          <w:highlight w:val="none"/>
        </w:rPr>
      </w:pPr>
    </w:p>
    <w:p>
      <w:pPr>
        <w:snapToGrid w:val="0"/>
        <w:spacing w:before="120" w:beforeLines="50" w:after="50"/>
        <w:jc w:val="center"/>
        <w:rPr>
          <w:rFonts w:hint="eastAsia" w:ascii="仿宋" w:hAnsi="仿宋" w:eastAsia="仿宋" w:cs="仿宋"/>
          <w:bCs/>
          <w:color w:val="auto"/>
          <w:sz w:val="24"/>
          <w:highlight w:val="none"/>
        </w:rPr>
      </w:pPr>
    </w:p>
    <w:p>
      <w:pPr>
        <w:snapToGrid w:val="0"/>
        <w:spacing w:before="120" w:beforeLines="50" w:after="50"/>
        <w:jc w:val="center"/>
        <w:rPr>
          <w:rFonts w:hint="eastAsia" w:ascii="仿宋" w:hAnsi="仿宋" w:eastAsia="仿宋" w:cs="仿宋"/>
          <w:bCs/>
          <w:color w:val="auto"/>
          <w:sz w:val="24"/>
          <w:highlight w:val="none"/>
        </w:rPr>
      </w:pPr>
    </w:p>
    <w:p>
      <w:pPr>
        <w:snapToGrid w:val="0"/>
        <w:spacing w:before="120" w:beforeLines="50" w:after="50"/>
        <w:rPr>
          <w:rFonts w:hint="eastAsia" w:ascii="仿宋" w:hAnsi="仿宋" w:eastAsia="仿宋" w:cs="仿宋"/>
          <w:bCs/>
          <w:color w:val="auto"/>
          <w:sz w:val="24"/>
          <w:highlight w:val="none"/>
        </w:rPr>
      </w:pPr>
    </w:p>
    <w:p>
      <w:pPr>
        <w:snapToGrid w:val="0"/>
        <w:spacing w:before="120" w:beforeLines="50" w:after="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3、资格文件目录</w:t>
      </w:r>
    </w:p>
    <w:p>
      <w:pPr>
        <w:numPr>
          <w:ilvl w:val="0"/>
          <w:numId w:val="7"/>
        </w:numPr>
        <w:autoSpaceDE w:val="0"/>
        <w:autoSpaceDN w:val="0"/>
        <w:adjustRightInd w:val="0"/>
        <w:spacing w:line="360" w:lineRule="auto"/>
        <w:ind w:left="425" w:leftChars="0" w:hanging="425" w:firstLine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法人营业执照副本、组织机构代码证及税务登记证或“三证合一”证书或“五证合一”证书；</w:t>
      </w:r>
    </w:p>
    <w:p>
      <w:pPr>
        <w:numPr>
          <w:ilvl w:val="0"/>
          <w:numId w:val="7"/>
        </w:numPr>
        <w:autoSpaceDE w:val="0"/>
        <w:autoSpaceDN w:val="0"/>
        <w:adjustRightInd w:val="0"/>
        <w:spacing w:line="360" w:lineRule="auto"/>
        <w:ind w:left="425" w:leftChars="0" w:hanging="425" w:firstLine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法定代表人授权委托书及法定代表人授权委托人有效身份证明；</w:t>
      </w:r>
    </w:p>
    <w:p>
      <w:pPr>
        <w:numPr>
          <w:ilvl w:val="0"/>
          <w:numId w:val="7"/>
        </w:numPr>
        <w:autoSpaceDE w:val="0"/>
        <w:autoSpaceDN w:val="0"/>
        <w:adjustRightInd w:val="0"/>
        <w:spacing w:line="360" w:lineRule="auto"/>
        <w:ind w:left="425" w:leftChars="0" w:hanging="425" w:firstLine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最近3个月中任意一个月依法缴纳税收和社保费的证明（税费凭证复印件加盖公章，或者依法缴纳税费或依法免缴税费的证明）；</w:t>
      </w:r>
    </w:p>
    <w:p>
      <w:pPr>
        <w:numPr>
          <w:ilvl w:val="0"/>
          <w:numId w:val="7"/>
        </w:numPr>
        <w:autoSpaceDE w:val="0"/>
        <w:autoSpaceDN w:val="0"/>
        <w:adjustRightInd w:val="0"/>
        <w:spacing w:line="360" w:lineRule="auto"/>
        <w:ind w:left="425" w:leftChars="0" w:hanging="425" w:firstLine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信用查询证明资料网页版（必须同时提供“信用中国”及“中国政府采购网”网页资料）；</w:t>
      </w:r>
    </w:p>
    <w:p>
      <w:pPr>
        <w:numPr>
          <w:ilvl w:val="0"/>
          <w:numId w:val="7"/>
        </w:numPr>
        <w:autoSpaceDE w:val="0"/>
        <w:autoSpaceDN w:val="0"/>
        <w:adjustRightInd w:val="0"/>
        <w:spacing w:line="360" w:lineRule="auto"/>
        <w:ind w:left="425" w:leftChars="0" w:hanging="425" w:firstLine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提供《参加政府采购活动前 3 年内在经营活动中没有重大违法记录的声明函》（格式见附件）。</w:t>
      </w:r>
    </w:p>
    <w:p>
      <w:pPr>
        <w:numPr>
          <w:ilvl w:val="0"/>
          <w:numId w:val="7"/>
        </w:numPr>
        <w:autoSpaceDE w:val="0"/>
        <w:autoSpaceDN w:val="0"/>
        <w:adjustRightInd w:val="0"/>
        <w:spacing w:line="360" w:lineRule="auto"/>
        <w:ind w:left="425" w:leftChars="0" w:hanging="425" w:firstLineChars="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投标声明书（格式见附件）；</w:t>
      </w:r>
    </w:p>
    <w:p>
      <w:pPr>
        <w:numPr>
          <w:ilvl w:val="0"/>
          <w:numId w:val="7"/>
        </w:numPr>
        <w:autoSpaceDE w:val="0"/>
        <w:autoSpaceDN w:val="0"/>
        <w:adjustRightInd w:val="0"/>
        <w:spacing w:line="360" w:lineRule="auto"/>
        <w:ind w:left="425" w:leftChars="0" w:hanging="425" w:firstLineChars="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信用承诺书；</w:t>
      </w:r>
    </w:p>
    <w:p>
      <w:pPr>
        <w:numPr>
          <w:ilvl w:val="0"/>
          <w:numId w:val="7"/>
        </w:numPr>
        <w:autoSpaceDE w:val="0"/>
        <w:autoSpaceDN w:val="0"/>
        <w:adjustRightInd w:val="0"/>
        <w:spacing w:line="360" w:lineRule="auto"/>
        <w:ind w:left="425" w:leftChars="0" w:hanging="425" w:firstLineChars="0"/>
        <w:rPr>
          <w:rFonts w:hint="eastAsia"/>
          <w:color w:val="auto"/>
          <w:highlight w:val="none"/>
        </w:rPr>
      </w:pPr>
      <w:r>
        <w:rPr>
          <w:rFonts w:hint="eastAsia" w:ascii="仿宋" w:hAnsi="仿宋" w:eastAsia="仿宋" w:cs="仿宋"/>
          <w:color w:val="auto"/>
          <w:kern w:val="0"/>
          <w:sz w:val="24"/>
          <w:highlight w:val="none"/>
          <w:lang w:val="zh-CN"/>
        </w:rPr>
        <w:t>招标代理服务费承诺函；</w:t>
      </w:r>
    </w:p>
    <w:p>
      <w:pPr>
        <w:snapToGrid w:val="0"/>
        <w:spacing w:before="120" w:beforeLines="50" w:after="50"/>
        <w:rPr>
          <w:rFonts w:hint="eastAsia" w:ascii="仿宋" w:hAnsi="仿宋" w:eastAsia="仿宋" w:cs="仿宋"/>
          <w:b/>
          <w:color w:val="auto"/>
          <w:sz w:val="30"/>
          <w:highlight w:val="none"/>
        </w:rPr>
      </w:pPr>
    </w:p>
    <w:p>
      <w:pPr>
        <w:snapToGrid w:val="0"/>
        <w:spacing w:before="120" w:beforeLines="50" w:after="50"/>
        <w:rPr>
          <w:rFonts w:hint="eastAsia" w:ascii="仿宋" w:hAnsi="仿宋" w:eastAsia="仿宋" w:cs="仿宋"/>
          <w:b/>
          <w:color w:val="auto"/>
          <w:sz w:val="30"/>
          <w:highlight w:val="none"/>
        </w:rPr>
      </w:pPr>
    </w:p>
    <w:p>
      <w:pPr>
        <w:snapToGrid w:val="0"/>
        <w:spacing w:before="120" w:beforeLines="50" w:after="50"/>
        <w:rPr>
          <w:rFonts w:hint="eastAsia" w:ascii="仿宋" w:hAnsi="仿宋" w:eastAsia="仿宋" w:cs="仿宋"/>
          <w:b/>
          <w:color w:val="auto"/>
          <w:sz w:val="30"/>
          <w:highlight w:val="none"/>
        </w:rPr>
      </w:pPr>
    </w:p>
    <w:p>
      <w:pPr>
        <w:snapToGrid w:val="0"/>
        <w:spacing w:before="120" w:beforeLines="50" w:after="50"/>
        <w:rPr>
          <w:rFonts w:hint="eastAsia" w:ascii="仿宋" w:hAnsi="仿宋" w:eastAsia="仿宋" w:cs="仿宋"/>
          <w:b/>
          <w:color w:val="auto"/>
          <w:sz w:val="30"/>
          <w:highlight w:val="none"/>
        </w:rPr>
      </w:pPr>
    </w:p>
    <w:p>
      <w:pPr>
        <w:snapToGrid w:val="0"/>
        <w:spacing w:before="120" w:beforeLines="50" w:after="50"/>
        <w:rPr>
          <w:rFonts w:hint="eastAsia" w:ascii="仿宋" w:hAnsi="仿宋" w:eastAsia="仿宋" w:cs="仿宋"/>
          <w:b/>
          <w:color w:val="auto"/>
          <w:sz w:val="30"/>
          <w:highlight w:val="none"/>
        </w:rPr>
      </w:pPr>
    </w:p>
    <w:p>
      <w:pPr>
        <w:snapToGrid w:val="0"/>
        <w:spacing w:before="120" w:beforeLines="50" w:after="50"/>
        <w:rPr>
          <w:rFonts w:hint="eastAsia" w:ascii="仿宋" w:hAnsi="仿宋" w:eastAsia="仿宋" w:cs="仿宋"/>
          <w:b/>
          <w:color w:val="auto"/>
          <w:sz w:val="30"/>
          <w:highlight w:val="none"/>
        </w:rPr>
      </w:pPr>
    </w:p>
    <w:p>
      <w:pPr>
        <w:snapToGrid w:val="0"/>
        <w:spacing w:before="120" w:beforeLines="50" w:after="50"/>
        <w:rPr>
          <w:rFonts w:hint="eastAsia" w:ascii="仿宋" w:hAnsi="仿宋" w:eastAsia="仿宋" w:cs="仿宋"/>
          <w:b/>
          <w:color w:val="auto"/>
          <w:sz w:val="30"/>
          <w:highlight w:val="none"/>
        </w:rPr>
      </w:pPr>
    </w:p>
    <w:p>
      <w:pPr>
        <w:snapToGrid w:val="0"/>
        <w:spacing w:before="120" w:beforeLines="50" w:after="50"/>
        <w:rPr>
          <w:rFonts w:hint="eastAsia" w:ascii="仿宋" w:hAnsi="仿宋" w:eastAsia="仿宋" w:cs="仿宋"/>
          <w:b/>
          <w:color w:val="auto"/>
          <w:sz w:val="30"/>
          <w:highlight w:val="none"/>
        </w:rPr>
      </w:pPr>
    </w:p>
    <w:p>
      <w:pPr>
        <w:snapToGrid w:val="0"/>
        <w:spacing w:before="120" w:beforeLines="50" w:after="50"/>
        <w:rPr>
          <w:rFonts w:hint="eastAsia" w:ascii="仿宋" w:hAnsi="仿宋" w:eastAsia="仿宋" w:cs="仿宋"/>
          <w:b/>
          <w:color w:val="auto"/>
          <w:sz w:val="30"/>
          <w:highlight w:val="none"/>
        </w:rPr>
      </w:pPr>
    </w:p>
    <w:p>
      <w:pPr>
        <w:snapToGrid w:val="0"/>
        <w:spacing w:before="120" w:beforeLines="50" w:after="50"/>
        <w:rPr>
          <w:rFonts w:hint="eastAsia" w:ascii="仿宋" w:hAnsi="仿宋" w:eastAsia="仿宋" w:cs="仿宋"/>
          <w:b/>
          <w:color w:val="auto"/>
          <w:sz w:val="30"/>
          <w:highlight w:val="none"/>
        </w:rPr>
      </w:pPr>
    </w:p>
    <w:p>
      <w:pPr>
        <w:snapToGrid w:val="0"/>
        <w:spacing w:before="120" w:beforeLines="50" w:after="50"/>
        <w:rPr>
          <w:rFonts w:hint="eastAsia" w:ascii="仿宋" w:hAnsi="仿宋" w:eastAsia="仿宋" w:cs="仿宋"/>
          <w:b/>
          <w:color w:val="auto"/>
          <w:sz w:val="30"/>
          <w:highlight w:val="none"/>
        </w:rPr>
      </w:pPr>
    </w:p>
    <w:p>
      <w:pPr>
        <w:snapToGrid w:val="0"/>
        <w:spacing w:before="120" w:beforeLines="50" w:after="50"/>
        <w:rPr>
          <w:rFonts w:hint="eastAsia" w:ascii="仿宋" w:hAnsi="仿宋" w:eastAsia="仿宋" w:cs="仿宋"/>
          <w:b/>
          <w:color w:val="auto"/>
          <w:sz w:val="30"/>
          <w:highlight w:val="none"/>
        </w:rPr>
      </w:pPr>
    </w:p>
    <w:p>
      <w:pPr>
        <w:snapToGrid w:val="0"/>
        <w:spacing w:before="120" w:beforeLines="50" w:after="50"/>
        <w:rPr>
          <w:rFonts w:hint="eastAsia" w:ascii="仿宋" w:hAnsi="仿宋" w:eastAsia="仿宋" w:cs="仿宋"/>
          <w:b/>
          <w:color w:val="auto"/>
          <w:sz w:val="30"/>
          <w:highlight w:val="none"/>
        </w:rPr>
      </w:pPr>
    </w:p>
    <w:p>
      <w:pPr>
        <w:snapToGrid w:val="0"/>
        <w:spacing w:before="120" w:beforeLines="50" w:after="50"/>
        <w:rPr>
          <w:rFonts w:hint="eastAsia" w:ascii="仿宋" w:hAnsi="仿宋" w:eastAsia="仿宋" w:cs="仿宋"/>
          <w:b/>
          <w:color w:val="auto"/>
          <w:sz w:val="30"/>
          <w:highlight w:val="none"/>
        </w:rPr>
      </w:pPr>
    </w:p>
    <w:p>
      <w:pPr>
        <w:snapToGrid w:val="0"/>
        <w:spacing w:before="120" w:beforeLines="50" w:after="50"/>
        <w:rPr>
          <w:rFonts w:hint="eastAsia" w:ascii="仿宋" w:hAnsi="仿宋" w:eastAsia="仿宋" w:cs="仿宋"/>
          <w:b/>
          <w:color w:val="auto"/>
          <w:sz w:val="30"/>
          <w:highlight w:val="none"/>
        </w:rPr>
      </w:pPr>
    </w:p>
    <w:p>
      <w:pPr>
        <w:snapToGrid w:val="0"/>
        <w:spacing w:before="120" w:beforeLines="50" w:after="50"/>
        <w:rPr>
          <w:rFonts w:hint="eastAsia" w:ascii="仿宋" w:hAnsi="仿宋" w:eastAsia="仿宋" w:cs="仿宋"/>
          <w:b/>
          <w:color w:val="auto"/>
          <w:sz w:val="30"/>
          <w:highlight w:val="none"/>
        </w:rPr>
      </w:pPr>
    </w:p>
    <w:p>
      <w:pPr>
        <w:snapToGrid w:val="0"/>
        <w:spacing w:before="120" w:beforeLines="50" w:after="50"/>
        <w:rPr>
          <w:rFonts w:hint="eastAsia" w:ascii="仿宋" w:hAnsi="仿宋" w:eastAsia="仿宋" w:cs="仿宋"/>
          <w:b/>
          <w:color w:val="auto"/>
          <w:sz w:val="30"/>
          <w:highlight w:val="none"/>
        </w:rPr>
      </w:pPr>
    </w:p>
    <w:p>
      <w:pPr>
        <w:snapToGrid w:val="0"/>
        <w:ind w:firstLine="2850" w:firstLineChars="1183"/>
        <w:jc w:val="left"/>
        <w:rPr>
          <w:rFonts w:hint="eastAsia" w:ascii="仿宋" w:hAnsi="仿宋" w:eastAsia="仿宋" w:cs="仿宋"/>
          <w:b/>
          <w:color w:val="auto"/>
          <w:sz w:val="24"/>
          <w:highlight w:val="none"/>
        </w:rPr>
      </w:pPr>
    </w:p>
    <w:p>
      <w:pPr>
        <w:snapToGrid w:val="0"/>
        <w:ind w:firstLine="2850" w:firstLineChars="1183"/>
        <w:jc w:val="left"/>
        <w:rPr>
          <w:rFonts w:hint="eastAsia" w:ascii="仿宋" w:hAnsi="仿宋" w:eastAsia="仿宋" w:cs="仿宋"/>
          <w:b/>
          <w:color w:val="auto"/>
          <w:sz w:val="24"/>
          <w:highlight w:val="none"/>
        </w:rPr>
      </w:pPr>
    </w:p>
    <w:p>
      <w:pPr>
        <w:snapToGrid w:val="0"/>
        <w:ind w:firstLine="2850" w:firstLineChars="1183"/>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法定代表人有效身份证明书</w:t>
      </w:r>
    </w:p>
    <w:p>
      <w:pPr>
        <w:pStyle w:val="7"/>
        <w:spacing w:line="400" w:lineRule="exact"/>
        <w:ind w:firstLine="513" w:firstLineChars="156"/>
        <w:jc w:val="center"/>
        <w:rPr>
          <w:rFonts w:hint="eastAsia" w:ascii="仿宋" w:hAnsi="仿宋" w:eastAsia="仿宋" w:cs="仿宋"/>
          <w:b/>
          <w:bCs/>
          <w:color w:val="auto"/>
          <w:spacing w:val="24"/>
          <w:sz w:val="28"/>
          <w:szCs w:val="28"/>
          <w:highlight w:val="none"/>
        </w:rPr>
      </w:pPr>
    </w:p>
    <w:p>
      <w:pPr>
        <w:pStyle w:val="7"/>
        <w:spacing w:line="400" w:lineRule="exact"/>
        <w:ind w:firstLine="451" w:firstLineChars="156"/>
        <w:jc w:val="center"/>
        <w:rPr>
          <w:rFonts w:hint="eastAsia" w:ascii="仿宋" w:hAnsi="仿宋" w:eastAsia="仿宋" w:cs="仿宋"/>
          <w:b/>
          <w:bCs/>
          <w:color w:val="auto"/>
          <w:spacing w:val="24"/>
          <w:sz w:val="24"/>
          <w:szCs w:val="24"/>
          <w:highlight w:val="none"/>
        </w:rPr>
      </w:pPr>
    </w:p>
    <w:p>
      <w:pPr>
        <w:pStyle w:val="7"/>
        <w:spacing w:line="400" w:lineRule="exact"/>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（单位全称）</w:t>
      </w:r>
    </w:p>
    <w:p>
      <w:pPr>
        <w:pStyle w:val="7"/>
        <w:spacing w:line="400" w:lineRule="exact"/>
        <w:ind w:firstLine="374" w:firstLineChars="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的法定代表人，身份证号码为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Style w:val="7"/>
        <w:spacing w:line="400" w:lineRule="exact"/>
        <w:ind w:firstLine="374" w:firstLineChars="156"/>
        <w:rPr>
          <w:rFonts w:hint="eastAsia" w:ascii="仿宋" w:hAnsi="仿宋" w:eastAsia="仿宋" w:cs="仿宋"/>
          <w:color w:val="auto"/>
          <w:sz w:val="24"/>
          <w:szCs w:val="24"/>
          <w:highlight w:val="none"/>
        </w:rPr>
      </w:pPr>
    </w:p>
    <w:p>
      <w:pPr>
        <w:pStyle w:val="7"/>
        <w:spacing w:line="400" w:lineRule="exact"/>
        <w:ind w:firstLine="374" w:firstLineChars="156"/>
        <w:rPr>
          <w:rFonts w:hint="eastAsia" w:ascii="仿宋" w:hAnsi="仿宋" w:eastAsia="仿宋" w:cs="仿宋"/>
          <w:color w:val="auto"/>
          <w:sz w:val="24"/>
          <w:szCs w:val="24"/>
          <w:highlight w:val="none"/>
        </w:rPr>
      </w:pPr>
    </w:p>
    <w:p>
      <w:pPr>
        <w:pStyle w:val="7"/>
        <w:spacing w:line="400" w:lineRule="exact"/>
        <w:ind w:firstLine="374" w:firstLineChars="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特此证明</w:t>
      </w:r>
    </w:p>
    <w:p>
      <w:pPr>
        <w:pStyle w:val="7"/>
        <w:spacing w:line="400" w:lineRule="exact"/>
        <w:ind w:firstLine="374" w:firstLineChars="156"/>
        <w:rPr>
          <w:rFonts w:hint="eastAsia" w:ascii="仿宋" w:hAnsi="仿宋" w:eastAsia="仿宋" w:cs="仿宋"/>
          <w:color w:val="auto"/>
          <w:sz w:val="24"/>
          <w:szCs w:val="24"/>
          <w:highlight w:val="none"/>
        </w:rPr>
      </w:pPr>
    </w:p>
    <w:p>
      <w:pPr>
        <w:pStyle w:val="7"/>
        <w:spacing w:line="400" w:lineRule="exact"/>
        <w:ind w:firstLine="374" w:firstLineChars="156"/>
        <w:rPr>
          <w:rFonts w:hint="eastAsia" w:ascii="仿宋" w:hAnsi="仿宋" w:eastAsia="仿宋" w:cs="仿宋"/>
          <w:color w:val="auto"/>
          <w:sz w:val="24"/>
          <w:szCs w:val="24"/>
          <w:highlight w:val="none"/>
        </w:rPr>
      </w:pPr>
    </w:p>
    <w:p>
      <w:pPr>
        <w:pStyle w:val="7"/>
        <w:spacing w:line="400" w:lineRule="exact"/>
        <w:ind w:firstLine="374" w:firstLineChars="156"/>
        <w:rPr>
          <w:rFonts w:hint="eastAsia" w:ascii="仿宋" w:hAnsi="仿宋" w:eastAsia="仿宋" w:cs="仿宋"/>
          <w:color w:val="auto"/>
          <w:sz w:val="24"/>
          <w:szCs w:val="24"/>
          <w:highlight w:val="none"/>
        </w:rPr>
      </w:pPr>
    </w:p>
    <w:p>
      <w:pPr>
        <w:pStyle w:val="7"/>
        <w:spacing w:line="400" w:lineRule="exact"/>
        <w:ind w:firstLine="374" w:firstLineChars="156"/>
        <w:rPr>
          <w:rFonts w:hint="eastAsia" w:ascii="仿宋" w:hAnsi="仿宋" w:eastAsia="仿宋" w:cs="仿宋"/>
          <w:color w:val="auto"/>
          <w:sz w:val="24"/>
          <w:szCs w:val="24"/>
          <w:highlight w:val="none"/>
        </w:rPr>
      </w:pPr>
    </w:p>
    <w:p>
      <w:pPr>
        <w:pStyle w:val="7"/>
        <w:spacing w:line="400" w:lineRule="exact"/>
        <w:ind w:firstLine="374" w:firstLineChars="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投标供应商：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pPr>
        <w:pStyle w:val="7"/>
        <w:spacing w:line="400" w:lineRule="exact"/>
        <w:ind w:firstLine="374" w:firstLineChars="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7"/>
        <w:spacing w:line="400" w:lineRule="exact"/>
        <w:ind w:firstLine="3012" w:firstLineChars="1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法定代表人或其授权代理人（签名或盖章）</w:t>
      </w:r>
    </w:p>
    <w:p>
      <w:pPr>
        <w:pStyle w:val="7"/>
        <w:spacing w:line="400" w:lineRule="exact"/>
        <w:ind w:firstLine="374" w:firstLineChars="156"/>
        <w:jc w:val="center"/>
        <w:rPr>
          <w:rFonts w:hint="eastAsia" w:ascii="仿宋" w:hAnsi="仿宋" w:eastAsia="仿宋" w:cs="仿宋"/>
          <w:color w:val="auto"/>
          <w:sz w:val="24"/>
          <w:szCs w:val="24"/>
          <w:highlight w:val="none"/>
        </w:rPr>
      </w:pPr>
    </w:p>
    <w:p>
      <w:pPr>
        <w:pStyle w:val="7"/>
        <w:spacing w:line="400" w:lineRule="exact"/>
        <w:ind w:firstLine="374" w:firstLineChars="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pPr>
        <w:pStyle w:val="7"/>
        <w:spacing w:line="400" w:lineRule="exact"/>
        <w:ind w:firstLine="374" w:firstLineChars="156"/>
        <w:jc w:val="center"/>
        <w:rPr>
          <w:rFonts w:hint="eastAsia" w:ascii="仿宋" w:hAnsi="仿宋" w:eastAsia="仿宋" w:cs="仿宋"/>
          <w:color w:val="auto"/>
          <w:sz w:val="24"/>
          <w:szCs w:val="24"/>
          <w:highlight w:val="none"/>
        </w:rPr>
      </w:pPr>
    </w:p>
    <w:p>
      <w:pPr>
        <w:pStyle w:val="7"/>
        <w:spacing w:line="400" w:lineRule="exact"/>
        <w:ind w:firstLine="374" w:firstLineChars="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pStyle w:val="7"/>
        <w:spacing w:line="400" w:lineRule="exact"/>
        <w:ind w:firstLine="0"/>
        <w:rPr>
          <w:rFonts w:hint="eastAsia" w:ascii="仿宋" w:hAnsi="仿宋" w:eastAsia="仿宋" w:cs="仿宋"/>
          <w:color w:val="auto"/>
          <w:sz w:val="24"/>
          <w:szCs w:val="24"/>
          <w:highlight w:val="none"/>
        </w:rPr>
      </w:pPr>
    </w:p>
    <w:p>
      <w:pPr>
        <w:pStyle w:val="7"/>
        <w:spacing w:line="400" w:lineRule="exact"/>
        <w:ind w:firstLine="374" w:firstLineChars="15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有效身份证明复印件粘贴处</w:t>
      </w:r>
    </w:p>
    <w:p>
      <w:pPr>
        <w:pStyle w:val="7"/>
        <w:spacing w:line="400" w:lineRule="exact"/>
        <w:ind w:firstLine="436" w:firstLineChars="156"/>
        <w:jc w:val="center"/>
        <w:rPr>
          <w:rFonts w:hint="eastAsia" w:ascii="仿宋" w:hAnsi="仿宋" w:eastAsia="仿宋" w:cs="仿宋"/>
          <w:color w:val="auto"/>
          <w:sz w:val="28"/>
          <w:szCs w:val="28"/>
          <w:highlight w:val="none"/>
        </w:rPr>
      </w:pPr>
    </w:p>
    <w:p>
      <w:pPr>
        <w:pStyle w:val="7"/>
        <w:spacing w:line="400" w:lineRule="exact"/>
        <w:ind w:firstLine="468" w:firstLineChars="156"/>
        <w:jc w:val="center"/>
        <w:rPr>
          <w:rFonts w:hint="eastAsia" w:ascii="仿宋" w:hAnsi="仿宋" w:eastAsia="仿宋" w:cs="仿宋"/>
          <w:color w:val="auto"/>
          <w:sz w:val="30"/>
          <w:szCs w:val="24"/>
          <w:highlight w:val="none"/>
        </w:rPr>
      </w:pPr>
    </w:p>
    <w:p>
      <w:pPr>
        <w:pStyle w:val="7"/>
        <w:spacing w:line="400" w:lineRule="exact"/>
        <w:ind w:firstLine="545" w:firstLineChars="156"/>
        <w:jc w:val="center"/>
        <w:rPr>
          <w:rFonts w:hint="eastAsia" w:ascii="仿宋" w:hAnsi="仿宋" w:eastAsia="仿宋" w:cs="仿宋"/>
          <w:b/>
          <w:bCs/>
          <w:color w:val="auto"/>
          <w:spacing w:val="24"/>
          <w:sz w:val="30"/>
          <w:highlight w:val="none"/>
        </w:rPr>
      </w:pPr>
    </w:p>
    <w:p>
      <w:pPr>
        <w:pStyle w:val="7"/>
        <w:spacing w:line="400" w:lineRule="exact"/>
        <w:ind w:firstLine="545" w:firstLineChars="156"/>
        <w:jc w:val="center"/>
        <w:rPr>
          <w:rFonts w:hint="eastAsia" w:ascii="仿宋" w:hAnsi="仿宋" w:eastAsia="仿宋" w:cs="仿宋"/>
          <w:b/>
          <w:color w:val="auto"/>
          <w:sz w:val="24"/>
          <w:highlight w:val="none"/>
        </w:rPr>
      </w:pPr>
      <w:r>
        <w:rPr>
          <w:rFonts w:hint="eastAsia" w:ascii="仿宋" w:hAnsi="仿宋" w:eastAsia="仿宋" w:cs="仿宋"/>
          <w:b/>
          <w:bCs/>
          <w:color w:val="auto"/>
          <w:spacing w:val="24"/>
          <w:sz w:val="30"/>
          <w:highlight w:val="none"/>
        </w:rPr>
        <w:br w:type="page"/>
      </w:r>
      <w:r>
        <w:rPr>
          <w:rFonts w:hint="eastAsia" w:ascii="仿宋" w:hAnsi="仿宋" w:eastAsia="仿宋" w:cs="仿宋"/>
          <w:b/>
          <w:color w:val="auto"/>
          <w:sz w:val="24"/>
          <w:highlight w:val="none"/>
        </w:rPr>
        <w:t>法定代表人授权委托书</w:t>
      </w:r>
    </w:p>
    <w:p>
      <w:pPr>
        <w:spacing w:line="400" w:lineRule="exact"/>
        <w:ind w:firstLine="480" w:firstLineChars="200"/>
        <w:rPr>
          <w:rFonts w:hint="eastAsia" w:ascii="仿宋" w:hAnsi="仿宋" w:eastAsia="仿宋" w:cs="仿宋"/>
          <w:color w:val="auto"/>
          <w:sz w:val="24"/>
          <w:highlight w:val="none"/>
        </w:rPr>
      </w:pPr>
    </w:p>
    <w:p>
      <w:pPr>
        <w:spacing w:line="400" w:lineRule="exact"/>
        <w:ind w:firstLine="480" w:firstLineChars="200"/>
        <w:rPr>
          <w:rFonts w:hint="eastAsia" w:ascii="仿宋" w:hAnsi="仿宋" w:eastAsia="仿宋" w:cs="仿宋"/>
          <w:color w:val="auto"/>
          <w:sz w:val="24"/>
          <w:highlight w:val="none"/>
        </w:rPr>
      </w:pP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（投标供应商名称）的法定代表人，现授权委托本单位的在职职工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（姓名）为我单位代理人，以本单位的名义参加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（采购人名称）的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项目的公开招标采购投标活动。被授权代理人在投标、开标、评标、合同谈判过程中所签署的一切文件和处理与之有关的一切事务，我均予以承认。</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被授权人无转委托权，特此委托。</w:t>
      </w:r>
    </w:p>
    <w:p>
      <w:pPr>
        <w:spacing w:line="520" w:lineRule="exact"/>
        <w:rPr>
          <w:rFonts w:hint="eastAsia" w:ascii="仿宋" w:hAnsi="仿宋" w:eastAsia="仿宋" w:cs="仿宋"/>
          <w:b/>
          <w:color w:val="auto"/>
          <w:sz w:val="24"/>
          <w:highlight w:val="none"/>
        </w:rPr>
      </w:pPr>
    </w:p>
    <w:p>
      <w:pPr>
        <w:spacing w:line="520" w:lineRule="exact"/>
        <w:ind w:left="2698" w:leftChars="1285" w:firstLine="600" w:firstLineChars="2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授权代理人：</w:t>
      </w:r>
      <w:r>
        <w:rPr>
          <w:rFonts w:hint="eastAsia" w:ascii="仿宋" w:hAnsi="仿宋" w:eastAsia="仿宋" w:cs="仿宋"/>
          <w:color w:val="auto"/>
          <w:sz w:val="24"/>
          <w:highlight w:val="none"/>
          <w:u w:val="single"/>
        </w:rPr>
        <w:t xml:space="preserve">   （签字）           </w:t>
      </w:r>
    </w:p>
    <w:p>
      <w:pPr>
        <w:spacing w:line="520" w:lineRule="exact"/>
        <w:ind w:left="2698" w:leftChars="1285" w:firstLine="600" w:firstLineChars="2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pPr>
        <w:spacing w:line="520" w:lineRule="exact"/>
        <w:ind w:left="2698" w:leftChars="1285" w:firstLine="600" w:firstLineChars="2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spacing w:line="520" w:lineRule="exact"/>
        <w:ind w:left="2698" w:leftChars="1285"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w:t>
      </w:r>
      <w:r>
        <w:rPr>
          <w:rFonts w:hint="eastAsia" w:ascii="仿宋" w:hAnsi="仿宋" w:eastAsia="仿宋" w:cs="仿宋"/>
          <w:color w:val="auto"/>
          <w:sz w:val="24"/>
          <w:highlight w:val="none"/>
          <w:u w:val="single"/>
        </w:rPr>
        <w:t xml:space="preserve">           （盖章）       </w:t>
      </w:r>
    </w:p>
    <w:p>
      <w:pPr>
        <w:spacing w:line="520" w:lineRule="exact"/>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法定代表人：</w:t>
      </w:r>
      <w:r>
        <w:rPr>
          <w:rFonts w:hint="eastAsia" w:ascii="仿宋" w:hAnsi="仿宋" w:eastAsia="仿宋" w:cs="仿宋"/>
          <w:color w:val="auto"/>
          <w:sz w:val="24"/>
          <w:highlight w:val="none"/>
          <w:u w:val="single"/>
        </w:rPr>
        <w:t xml:space="preserve">            （签名或盖章）</w:t>
      </w:r>
    </w:p>
    <w:p>
      <w:pPr>
        <w:spacing w:line="520" w:lineRule="exact"/>
        <w:jc w:val="center"/>
        <w:rPr>
          <w:rFonts w:hint="eastAsia" w:ascii="仿宋" w:hAnsi="仿宋" w:eastAsia="仿宋" w:cs="仿宋"/>
          <w:color w:val="auto"/>
          <w:sz w:val="24"/>
          <w:highlight w:val="none"/>
          <w:u w:val="single"/>
        </w:rPr>
      </w:pPr>
    </w:p>
    <w:p>
      <w:pPr>
        <w:pStyle w:val="7"/>
        <w:spacing w:line="520" w:lineRule="exact"/>
        <w:ind w:firstLine="4574" w:firstLineChars="190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pStyle w:val="7"/>
        <w:spacing w:line="52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pStyle w:val="7"/>
        <w:spacing w:line="520" w:lineRule="exact"/>
        <w:ind w:firstLine="374" w:firstLineChars="156"/>
        <w:jc w:val="center"/>
        <w:rPr>
          <w:rFonts w:hint="eastAsia" w:ascii="仿宋" w:hAnsi="仿宋" w:eastAsia="仿宋" w:cs="仿宋"/>
          <w:color w:val="auto"/>
          <w:sz w:val="24"/>
          <w:szCs w:val="24"/>
          <w:highlight w:val="none"/>
        </w:rPr>
      </w:pPr>
    </w:p>
    <w:p>
      <w:pPr>
        <w:pStyle w:val="7"/>
        <w:spacing w:line="520" w:lineRule="exact"/>
        <w:ind w:firstLine="374" w:firstLineChars="15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授权代理人有效身份证明复印件粘贴处</w:t>
      </w:r>
    </w:p>
    <w:p>
      <w:pPr>
        <w:pStyle w:val="7"/>
        <w:spacing w:line="520" w:lineRule="exact"/>
        <w:ind w:firstLine="374" w:firstLineChars="156"/>
        <w:jc w:val="center"/>
        <w:rPr>
          <w:rFonts w:hint="eastAsia" w:ascii="仿宋" w:hAnsi="仿宋" w:eastAsia="仿宋" w:cs="仿宋"/>
          <w:color w:val="auto"/>
          <w:sz w:val="24"/>
          <w:szCs w:val="24"/>
          <w:highlight w:val="none"/>
        </w:rPr>
      </w:pPr>
    </w:p>
    <w:p>
      <w:pPr>
        <w:pStyle w:val="7"/>
        <w:spacing w:line="520" w:lineRule="exact"/>
        <w:ind w:firstLine="374" w:firstLineChars="156"/>
        <w:jc w:val="center"/>
        <w:rPr>
          <w:rFonts w:hint="eastAsia" w:ascii="仿宋" w:hAnsi="仿宋" w:eastAsia="仿宋" w:cs="仿宋"/>
          <w:color w:val="auto"/>
          <w:sz w:val="24"/>
          <w:szCs w:val="24"/>
          <w:highlight w:val="none"/>
        </w:rPr>
      </w:pPr>
    </w:p>
    <w:p>
      <w:pPr>
        <w:spacing w:line="520" w:lineRule="exact"/>
        <w:rPr>
          <w:rFonts w:hint="eastAsia" w:ascii="仿宋" w:hAnsi="仿宋" w:eastAsia="仿宋" w:cs="仿宋"/>
          <w:b/>
          <w:bCs/>
          <w:color w:val="auto"/>
          <w:sz w:val="24"/>
          <w:highlight w:val="none"/>
        </w:rPr>
      </w:pPr>
    </w:p>
    <w:p>
      <w:pPr>
        <w:spacing w:line="520" w:lineRule="exact"/>
        <w:rPr>
          <w:rFonts w:hint="eastAsia" w:ascii="仿宋" w:hAnsi="仿宋" w:eastAsia="仿宋" w:cs="仿宋"/>
          <w:b/>
          <w:bCs/>
          <w:color w:val="auto"/>
          <w:sz w:val="30"/>
          <w:highlight w:val="none"/>
        </w:rPr>
      </w:pPr>
    </w:p>
    <w:p>
      <w:pPr>
        <w:spacing w:line="520" w:lineRule="exact"/>
        <w:rPr>
          <w:rFonts w:hint="eastAsia" w:ascii="仿宋" w:hAnsi="仿宋" w:eastAsia="仿宋" w:cs="仿宋"/>
          <w:b/>
          <w:bCs/>
          <w:color w:val="auto"/>
          <w:sz w:val="30"/>
          <w:highlight w:val="none"/>
        </w:rPr>
      </w:pPr>
    </w:p>
    <w:p>
      <w:pPr>
        <w:snapToGrid w:val="0"/>
        <w:spacing w:line="360" w:lineRule="auto"/>
        <w:jc w:val="left"/>
        <w:rPr>
          <w:rFonts w:hint="eastAsia" w:ascii="仿宋" w:hAnsi="仿宋" w:eastAsia="仿宋" w:cs="仿宋"/>
          <w:b/>
          <w:color w:val="auto"/>
          <w:sz w:val="24"/>
          <w:highlight w:val="none"/>
        </w:rPr>
      </w:pPr>
    </w:p>
    <w:p>
      <w:pPr>
        <w:pStyle w:val="10"/>
        <w:ind w:firstLine="241"/>
        <w:rPr>
          <w:rFonts w:hint="eastAsia" w:ascii="仿宋" w:hAnsi="仿宋" w:eastAsia="仿宋" w:cs="仿宋"/>
          <w:color w:val="auto"/>
          <w:sz w:val="24"/>
          <w:highlight w:val="none"/>
        </w:rPr>
      </w:pPr>
    </w:p>
    <w:p>
      <w:pPr>
        <w:pStyle w:val="16"/>
        <w:ind w:left="482" w:hanging="482"/>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pStyle w:val="10"/>
        <w:ind w:firstLine="281"/>
        <w:rPr>
          <w:rFonts w:hint="eastAsia" w:ascii="仿宋" w:hAnsi="仿宋" w:eastAsia="仿宋" w:cs="仿宋"/>
          <w:color w:val="auto"/>
          <w:highlight w:val="none"/>
        </w:rPr>
      </w:pPr>
    </w:p>
    <w:p>
      <w:pPr>
        <w:autoSpaceDE w:val="0"/>
        <w:autoSpaceDN w:val="0"/>
        <w:adjustRightInd w:val="0"/>
        <w:spacing w:line="360" w:lineRule="auto"/>
        <w:ind w:firstLine="361" w:firstLineChars="150"/>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rPr>
        <w:t>2、技术文件：</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425" w:leftChars="0" w:hanging="425" w:firstLineChars="0"/>
        <w:textAlignment w:val="auto"/>
        <w:rPr>
          <w:rFonts w:hint="eastAsia" w:ascii="仿宋" w:hAnsi="仿宋" w:eastAsia="仿宋" w:cs="仿宋"/>
          <w:color w:val="auto"/>
          <w:sz w:val="24"/>
          <w:highlight w:val="none"/>
          <w:lang w:val="zh-CN"/>
        </w:rPr>
      </w:pPr>
      <w:bookmarkStart w:id="51" w:name="_Toc152043789"/>
      <w:r>
        <w:rPr>
          <w:rFonts w:hint="eastAsia" w:ascii="仿宋" w:hAnsi="仿宋" w:eastAsia="仿宋" w:cs="仿宋"/>
          <w:color w:val="auto"/>
          <w:sz w:val="24"/>
          <w:highlight w:val="none"/>
          <w:lang w:val="zh-CN"/>
        </w:rPr>
        <w:t>评分索引表；</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425" w:leftChars="0" w:hanging="425" w:firstLine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技术响应表；</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425" w:leftChars="0" w:hanging="425" w:firstLine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项目总体实施方案；</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425" w:leftChars="0" w:hanging="425" w:firstLine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系统演示；</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425" w:leftChars="0" w:hanging="425" w:firstLine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项目实施人员安排；</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425" w:leftChars="0" w:hanging="425" w:firstLine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投标供应商针对技术需要说明的其他材料。</w:t>
      </w:r>
    </w:p>
    <w:p>
      <w:pPr>
        <w:widowControl/>
        <w:jc w:val="left"/>
        <w:rPr>
          <w:rFonts w:hint="eastAsia" w:ascii="仿宋" w:hAnsi="仿宋" w:eastAsia="仿宋" w:cs="仿宋"/>
          <w:b/>
          <w:color w:val="auto"/>
          <w:sz w:val="24"/>
          <w:szCs w:val="20"/>
          <w:highlight w:val="none"/>
        </w:rPr>
      </w:pPr>
    </w:p>
    <w:p>
      <w:pPr>
        <w:pStyle w:val="17"/>
        <w:spacing w:line="360" w:lineRule="auto"/>
        <w:rPr>
          <w:rFonts w:hint="eastAsia" w:ascii="仿宋" w:hAnsi="仿宋" w:eastAsia="仿宋" w:cs="仿宋"/>
          <w:color w:val="auto"/>
          <w:sz w:val="24"/>
          <w:highlight w:val="none"/>
          <w:lang w:val="zh-CN"/>
        </w:rPr>
      </w:pPr>
    </w:p>
    <w:p>
      <w:pPr>
        <w:widowControl/>
        <w:jc w:val="left"/>
        <w:rPr>
          <w:rFonts w:hint="eastAsia" w:ascii="仿宋" w:hAnsi="仿宋" w:eastAsia="仿宋" w:cs="仿宋"/>
          <w:color w:val="auto"/>
          <w:sz w:val="28"/>
          <w:szCs w:val="28"/>
          <w:highlight w:val="none"/>
        </w:rPr>
      </w:pPr>
      <w:r>
        <w:rPr>
          <w:rFonts w:hint="eastAsia" w:ascii="仿宋" w:hAnsi="仿宋" w:eastAsia="仿宋" w:cs="仿宋"/>
          <w:b/>
          <w:color w:val="auto"/>
          <w:sz w:val="24"/>
          <w:szCs w:val="20"/>
          <w:highlight w:val="none"/>
        </w:rPr>
        <w:br w:type="page"/>
      </w:r>
      <w:r>
        <w:rPr>
          <w:rFonts w:hint="eastAsia" w:ascii="仿宋" w:hAnsi="仿宋" w:eastAsia="仿宋" w:cs="仿宋"/>
          <w:b/>
          <w:color w:val="auto"/>
          <w:sz w:val="24"/>
          <w:szCs w:val="20"/>
          <w:highlight w:val="none"/>
        </w:rPr>
        <w:t>评分索引表</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投标供应商全称（公章）：  </w:t>
      </w:r>
    </w:p>
    <w:tbl>
      <w:tblPr>
        <w:tblStyle w:val="18"/>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9"/>
        <w:gridCol w:w="2977"/>
        <w:gridCol w:w="127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投标文件对应资料</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自评分</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对应第四章评分办法及评分标准（报价除外）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480"/>
              <w:rPr>
                <w:rFonts w:hint="eastAsia" w:ascii="仿宋" w:hAnsi="仿宋" w:eastAsia="仿宋" w:cs="仿宋"/>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48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480"/>
              <w:rPr>
                <w:rFonts w:hint="eastAsia" w:ascii="仿宋" w:hAnsi="仿宋" w:eastAsia="仿宋" w:cs="仿宋"/>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48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480"/>
              <w:rPr>
                <w:rFonts w:hint="eastAsia" w:ascii="仿宋" w:hAnsi="仿宋" w:eastAsia="仿宋" w:cs="仿宋"/>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48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hint="eastAsia" w:ascii="仿宋" w:hAnsi="仿宋" w:eastAsia="仿宋" w:cs="仿宋"/>
                <w:color w:val="auto"/>
                <w:sz w:val="24"/>
                <w:highlight w:val="none"/>
              </w:rPr>
            </w:pPr>
          </w:p>
        </w:tc>
      </w:tr>
    </w:tbl>
    <w:p>
      <w:pPr>
        <w:ind w:firstLine="3840" w:firstLineChars="1600"/>
        <w:rPr>
          <w:rFonts w:hint="eastAsia" w:ascii="仿宋" w:hAnsi="仿宋" w:eastAsia="仿宋" w:cs="仿宋"/>
          <w:color w:val="auto"/>
          <w:sz w:val="24"/>
          <w:highlight w:val="none"/>
        </w:rPr>
      </w:pPr>
    </w:p>
    <w:p>
      <w:pPr>
        <w:ind w:firstLine="3840" w:firstLineChars="1600"/>
        <w:rPr>
          <w:rFonts w:hint="eastAsia" w:ascii="仿宋" w:hAnsi="仿宋" w:eastAsia="仿宋" w:cs="仿宋"/>
          <w:color w:val="auto"/>
          <w:sz w:val="24"/>
          <w:highlight w:val="none"/>
        </w:rPr>
      </w:pP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法定代表人或委托代理人签名：</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投标供应商盖章：</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p>
    <w:p>
      <w:pPr>
        <w:spacing w:after="240" w:afterLines="100" w:line="500" w:lineRule="exact"/>
        <w:rPr>
          <w:rFonts w:hint="eastAsia" w:ascii="仿宋" w:hAnsi="仿宋" w:eastAsia="仿宋" w:cs="仿宋"/>
          <w:b/>
          <w:color w:val="auto"/>
          <w:sz w:val="24"/>
          <w:highlight w:val="none"/>
        </w:rPr>
      </w:pPr>
    </w:p>
    <w:p>
      <w:pPr>
        <w:spacing w:after="240" w:afterLines="100" w:line="500" w:lineRule="exact"/>
        <w:rPr>
          <w:rFonts w:hint="eastAsia" w:ascii="仿宋" w:hAnsi="仿宋" w:eastAsia="仿宋" w:cs="仿宋"/>
          <w:b/>
          <w:color w:val="auto"/>
          <w:sz w:val="44"/>
          <w:szCs w:val="44"/>
          <w:highlight w:val="none"/>
        </w:rPr>
      </w:pPr>
    </w:p>
    <w:p>
      <w:pPr>
        <w:spacing w:line="400" w:lineRule="exact"/>
        <w:jc w:val="center"/>
        <w:rPr>
          <w:rFonts w:hint="eastAsia" w:ascii="仿宋" w:hAnsi="仿宋" w:eastAsia="仿宋" w:cs="仿宋"/>
          <w:b/>
          <w:bCs/>
          <w:color w:val="auto"/>
          <w:spacing w:val="14"/>
          <w:sz w:val="30"/>
          <w:highlight w:val="none"/>
        </w:rPr>
      </w:pPr>
    </w:p>
    <w:p>
      <w:pPr>
        <w:pStyle w:val="10"/>
        <w:ind w:firstLine="328"/>
        <w:rPr>
          <w:rFonts w:hint="eastAsia" w:ascii="仿宋" w:hAnsi="仿宋" w:eastAsia="仿宋" w:cs="仿宋"/>
          <w:b w:val="0"/>
          <w:bCs/>
          <w:color w:val="auto"/>
          <w:spacing w:val="14"/>
          <w:sz w:val="30"/>
          <w:highlight w:val="none"/>
        </w:rPr>
      </w:pPr>
    </w:p>
    <w:p>
      <w:pPr>
        <w:pStyle w:val="16"/>
        <w:ind w:left="658" w:hanging="658"/>
        <w:rPr>
          <w:rFonts w:hint="eastAsia" w:ascii="仿宋" w:hAnsi="仿宋" w:eastAsia="仿宋" w:cs="仿宋"/>
          <w:b/>
          <w:bCs/>
          <w:color w:val="auto"/>
          <w:spacing w:val="14"/>
          <w:sz w:val="30"/>
          <w:highlight w:val="none"/>
        </w:rPr>
      </w:pPr>
    </w:p>
    <w:p>
      <w:pPr>
        <w:rPr>
          <w:rFonts w:hint="eastAsia" w:ascii="仿宋" w:hAnsi="仿宋" w:eastAsia="仿宋" w:cs="仿宋"/>
          <w:b/>
          <w:bCs/>
          <w:color w:val="auto"/>
          <w:spacing w:val="14"/>
          <w:sz w:val="30"/>
          <w:highlight w:val="none"/>
        </w:rPr>
      </w:pPr>
    </w:p>
    <w:p>
      <w:pPr>
        <w:pStyle w:val="10"/>
        <w:ind w:firstLine="281"/>
        <w:rPr>
          <w:rFonts w:hint="eastAsia" w:ascii="仿宋" w:hAnsi="仿宋" w:eastAsia="仿宋" w:cs="仿宋"/>
          <w:color w:val="auto"/>
          <w:highlight w:val="none"/>
        </w:rPr>
      </w:pPr>
    </w:p>
    <w:p>
      <w:pPr>
        <w:pStyle w:val="16"/>
        <w:ind w:left="560" w:hanging="56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0"/>
        <w:ind w:firstLine="281"/>
        <w:rPr>
          <w:rFonts w:hint="eastAsia" w:ascii="仿宋" w:hAnsi="仿宋" w:eastAsia="仿宋" w:cs="仿宋"/>
          <w:color w:val="auto"/>
          <w:highlight w:val="none"/>
        </w:rPr>
      </w:pPr>
    </w:p>
    <w:p>
      <w:pPr>
        <w:pStyle w:val="16"/>
        <w:ind w:left="560" w:hanging="560"/>
        <w:rPr>
          <w:rFonts w:hint="eastAsia" w:ascii="仿宋" w:hAnsi="仿宋" w:eastAsia="仿宋" w:cs="仿宋"/>
          <w:color w:val="auto"/>
          <w:highlight w:val="none"/>
        </w:rPr>
      </w:pPr>
    </w:p>
    <w:p>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szCs w:val="20"/>
          <w:highlight w:val="none"/>
        </w:rPr>
        <w:t>投标技术参数偏离响应表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投标供应商全称（加盖公章）：            公开招标采购文件编号：</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843"/>
        <w:gridCol w:w="2268"/>
        <w:gridCol w:w="1346"/>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09" w:type="dxa"/>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01" w:type="dxa"/>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采购内容</w:t>
            </w:r>
          </w:p>
        </w:tc>
        <w:tc>
          <w:tcPr>
            <w:tcW w:w="1843" w:type="dxa"/>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2268" w:type="dxa"/>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投标文件实际响应</w:t>
            </w:r>
          </w:p>
        </w:tc>
        <w:tc>
          <w:tcPr>
            <w:tcW w:w="1346" w:type="dxa"/>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偏离情况</w:t>
            </w:r>
          </w:p>
        </w:tc>
        <w:tc>
          <w:tcPr>
            <w:tcW w:w="1205" w:type="dxa"/>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noWrap w:val="0"/>
            <w:vAlign w:val="top"/>
          </w:tcPr>
          <w:p>
            <w:pPr>
              <w:spacing w:line="360" w:lineRule="auto"/>
              <w:jc w:val="center"/>
              <w:rPr>
                <w:rFonts w:hint="eastAsia" w:ascii="仿宋" w:hAnsi="仿宋" w:eastAsia="仿宋" w:cs="仿宋"/>
                <w:b/>
                <w:bCs/>
                <w:color w:val="auto"/>
                <w:sz w:val="24"/>
                <w:highlight w:val="none"/>
              </w:rPr>
            </w:pPr>
          </w:p>
        </w:tc>
        <w:tc>
          <w:tcPr>
            <w:tcW w:w="1701" w:type="dxa"/>
            <w:noWrap w:val="0"/>
            <w:vAlign w:val="top"/>
          </w:tcPr>
          <w:p>
            <w:pPr>
              <w:spacing w:line="360" w:lineRule="auto"/>
              <w:jc w:val="center"/>
              <w:rPr>
                <w:rFonts w:hint="eastAsia" w:ascii="仿宋" w:hAnsi="仿宋" w:eastAsia="仿宋" w:cs="仿宋"/>
                <w:b/>
                <w:bCs/>
                <w:color w:val="auto"/>
                <w:sz w:val="24"/>
                <w:highlight w:val="none"/>
              </w:rPr>
            </w:pPr>
          </w:p>
        </w:tc>
        <w:tc>
          <w:tcPr>
            <w:tcW w:w="1843" w:type="dxa"/>
            <w:noWrap w:val="0"/>
            <w:vAlign w:val="top"/>
          </w:tcPr>
          <w:p>
            <w:pPr>
              <w:spacing w:line="360" w:lineRule="auto"/>
              <w:jc w:val="center"/>
              <w:rPr>
                <w:rFonts w:hint="eastAsia" w:ascii="仿宋" w:hAnsi="仿宋" w:eastAsia="仿宋" w:cs="仿宋"/>
                <w:b/>
                <w:bCs/>
                <w:color w:val="auto"/>
                <w:sz w:val="24"/>
                <w:highlight w:val="none"/>
              </w:rPr>
            </w:pPr>
          </w:p>
        </w:tc>
        <w:tc>
          <w:tcPr>
            <w:tcW w:w="2268" w:type="dxa"/>
            <w:noWrap w:val="0"/>
            <w:vAlign w:val="top"/>
          </w:tcPr>
          <w:p>
            <w:pPr>
              <w:spacing w:line="360" w:lineRule="auto"/>
              <w:jc w:val="center"/>
              <w:rPr>
                <w:rFonts w:hint="eastAsia" w:ascii="仿宋" w:hAnsi="仿宋" w:eastAsia="仿宋" w:cs="仿宋"/>
                <w:b/>
                <w:bCs/>
                <w:color w:val="auto"/>
                <w:sz w:val="24"/>
                <w:highlight w:val="none"/>
              </w:rPr>
            </w:pPr>
          </w:p>
        </w:tc>
        <w:tc>
          <w:tcPr>
            <w:tcW w:w="1346" w:type="dxa"/>
            <w:noWrap w:val="0"/>
            <w:vAlign w:val="top"/>
          </w:tcPr>
          <w:p>
            <w:pPr>
              <w:spacing w:line="360" w:lineRule="auto"/>
              <w:jc w:val="center"/>
              <w:rPr>
                <w:rFonts w:hint="eastAsia" w:ascii="仿宋" w:hAnsi="仿宋" w:eastAsia="仿宋" w:cs="仿宋"/>
                <w:b/>
                <w:bCs/>
                <w:color w:val="auto"/>
                <w:sz w:val="24"/>
                <w:highlight w:val="none"/>
              </w:rPr>
            </w:pPr>
          </w:p>
        </w:tc>
        <w:tc>
          <w:tcPr>
            <w:tcW w:w="1205" w:type="dxa"/>
            <w:noWrap w:val="0"/>
            <w:vAlign w:val="top"/>
          </w:tcPr>
          <w:p>
            <w:pPr>
              <w:spacing w:line="360" w:lineRule="auto"/>
              <w:jc w:val="center"/>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noWrap w:val="0"/>
            <w:vAlign w:val="top"/>
          </w:tcPr>
          <w:p>
            <w:pPr>
              <w:spacing w:line="360" w:lineRule="auto"/>
              <w:jc w:val="center"/>
              <w:rPr>
                <w:rFonts w:hint="eastAsia" w:ascii="仿宋" w:hAnsi="仿宋" w:eastAsia="仿宋" w:cs="仿宋"/>
                <w:b/>
                <w:bCs/>
                <w:color w:val="auto"/>
                <w:sz w:val="24"/>
                <w:highlight w:val="none"/>
              </w:rPr>
            </w:pPr>
          </w:p>
        </w:tc>
        <w:tc>
          <w:tcPr>
            <w:tcW w:w="1701" w:type="dxa"/>
            <w:noWrap w:val="0"/>
            <w:vAlign w:val="top"/>
          </w:tcPr>
          <w:p>
            <w:pPr>
              <w:spacing w:line="360" w:lineRule="auto"/>
              <w:jc w:val="center"/>
              <w:rPr>
                <w:rFonts w:hint="eastAsia" w:ascii="仿宋" w:hAnsi="仿宋" w:eastAsia="仿宋" w:cs="仿宋"/>
                <w:b/>
                <w:bCs/>
                <w:color w:val="auto"/>
                <w:sz w:val="24"/>
                <w:highlight w:val="none"/>
              </w:rPr>
            </w:pPr>
          </w:p>
        </w:tc>
        <w:tc>
          <w:tcPr>
            <w:tcW w:w="1843" w:type="dxa"/>
            <w:noWrap w:val="0"/>
            <w:vAlign w:val="top"/>
          </w:tcPr>
          <w:p>
            <w:pPr>
              <w:spacing w:line="360" w:lineRule="auto"/>
              <w:jc w:val="center"/>
              <w:rPr>
                <w:rFonts w:hint="eastAsia" w:ascii="仿宋" w:hAnsi="仿宋" w:eastAsia="仿宋" w:cs="仿宋"/>
                <w:b/>
                <w:bCs/>
                <w:color w:val="auto"/>
                <w:sz w:val="24"/>
                <w:highlight w:val="none"/>
              </w:rPr>
            </w:pPr>
          </w:p>
        </w:tc>
        <w:tc>
          <w:tcPr>
            <w:tcW w:w="2268" w:type="dxa"/>
            <w:noWrap w:val="0"/>
            <w:vAlign w:val="top"/>
          </w:tcPr>
          <w:p>
            <w:pPr>
              <w:spacing w:line="360" w:lineRule="auto"/>
              <w:jc w:val="center"/>
              <w:rPr>
                <w:rFonts w:hint="eastAsia" w:ascii="仿宋" w:hAnsi="仿宋" w:eastAsia="仿宋" w:cs="仿宋"/>
                <w:b/>
                <w:bCs/>
                <w:color w:val="auto"/>
                <w:sz w:val="24"/>
                <w:highlight w:val="none"/>
              </w:rPr>
            </w:pPr>
          </w:p>
        </w:tc>
        <w:tc>
          <w:tcPr>
            <w:tcW w:w="1346" w:type="dxa"/>
            <w:noWrap w:val="0"/>
            <w:vAlign w:val="top"/>
          </w:tcPr>
          <w:p>
            <w:pPr>
              <w:spacing w:line="360" w:lineRule="auto"/>
              <w:jc w:val="center"/>
              <w:rPr>
                <w:rFonts w:hint="eastAsia" w:ascii="仿宋" w:hAnsi="仿宋" w:eastAsia="仿宋" w:cs="仿宋"/>
                <w:b/>
                <w:bCs/>
                <w:color w:val="auto"/>
                <w:sz w:val="24"/>
                <w:highlight w:val="none"/>
              </w:rPr>
            </w:pPr>
          </w:p>
        </w:tc>
        <w:tc>
          <w:tcPr>
            <w:tcW w:w="1205" w:type="dxa"/>
            <w:noWrap w:val="0"/>
            <w:vAlign w:val="top"/>
          </w:tcPr>
          <w:p>
            <w:pPr>
              <w:spacing w:line="360" w:lineRule="auto"/>
              <w:jc w:val="center"/>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noWrap w:val="0"/>
            <w:vAlign w:val="top"/>
          </w:tcPr>
          <w:p>
            <w:pPr>
              <w:spacing w:line="360" w:lineRule="auto"/>
              <w:jc w:val="center"/>
              <w:rPr>
                <w:rFonts w:hint="eastAsia" w:ascii="仿宋" w:hAnsi="仿宋" w:eastAsia="仿宋" w:cs="仿宋"/>
                <w:b/>
                <w:bCs/>
                <w:color w:val="auto"/>
                <w:sz w:val="24"/>
                <w:highlight w:val="none"/>
              </w:rPr>
            </w:pPr>
          </w:p>
        </w:tc>
        <w:tc>
          <w:tcPr>
            <w:tcW w:w="1701" w:type="dxa"/>
            <w:noWrap w:val="0"/>
            <w:vAlign w:val="top"/>
          </w:tcPr>
          <w:p>
            <w:pPr>
              <w:spacing w:line="360" w:lineRule="auto"/>
              <w:jc w:val="center"/>
              <w:rPr>
                <w:rFonts w:hint="eastAsia" w:ascii="仿宋" w:hAnsi="仿宋" w:eastAsia="仿宋" w:cs="仿宋"/>
                <w:b/>
                <w:bCs/>
                <w:color w:val="auto"/>
                <w:sz w:val="24"/>
                <w:highlight w:val="none"/>
              </w:rPr>
            </w:pPr>
          </w:p>
        </w:tc>
        <w:tc>
          <w:tcPr>
            <w:tcW w:w="1843" w:type="dxa"/>
            <w:noWrap w:val="0"/>
            <w:vAlign w:val="top"/>
          </w:tcPr>
          <w:p>
            <w:pPr>
              <w:spacing w:line="360" w:lineRule="auto"/>
              <w:jc w:val="center"/>
              <w:rPr>
                <w:rFonts w:hint="eastAsia" w:ascii="仿宋" w:hAnsi="仿宋" w:eastAsia="仿宋" w:cs="仿宋"/>
                <w:b/>
                <w:bCs/>
                <w:color w:val="auto"/>
                <w:sz w:val="24"/>
                <w:highlight w:val="none"/>
              </w:rPr>
            </w:pPr>
          </w:p>
        </w:tc>
        <w:tc>
          <w:tcPr>
            <w:tcW w:w="2268" w:type="dxa"/>
            <w:noWrap w:val="0"/>
            <w:vAlign w:val="top"/>
          </w:tcPr>
          <w:p>
            <w:pPr>
              <w:spacing w:line="360" w:lineRule="auto"/>
              <w:jc w:val="center"/>
              <w:rPr>
                <w:rFonts w:hint="eastAsia" w:ascii="仿宋" w:hAnsi="仿宋" w:eastAsia="仿宋" w:cs="仿宋"/>
                <w:b/>
                <w:bCs/>
                <w:color w:val="auto"/>
                <w:sz w:val="24"/>
                <w:highlight w:val="none"/>
              </w:rPr>
            </w:pPr>
          </w:p>
        </w:tc>
        <w:tc>
          <w:tcPr>
            <w:tcW w:w="1346" w:type="dxa"/>
            <w:noWrap w:val="0"/>
            <w:vAlign w:val="top"/>
          </w:tcPr>
          <w:p>
            <w:pPr>
              <w:spacing w:line="360" w:lineRule="auto"/>
              <w:jc w:val="center"/>
              <w:rPr>
                <w:rFonts w:hint="eastAsia" w:ascii="仿宋" w:hAnsi="仿宋" w:eastAsia="仿宋" w:cs="仿宋"/>
                <w:b/>
                <w:bCs/>
                <w:color w:val="auto"/>
                <w:sz w:val="24"/>
                <w:highlight w:val="none"/>
              </w:rPr>
            </w:pPr>
          </w:p>
        </w:tc>
        <w:tc>
          <w:tcPr>
            <w:tcW w:w="1205" w:type="dxa"/>
            <w:noWrap w:val="0"/>
            <w:vAlign w:val="top"/>
          </w:tcPr>
          <w:p>
            <w:pPr>
              <w:spacing w:line="360" w:lineRule="auto"/>
              <w:jc w:val="center"/>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noWrap w:val="0"/>
            <w:vAlign w:val="top"/>
          </w:tcPr>
          <w:p>
            <w:pPr>
              <w:spacing w:line="360" w:lineRule="auto"/>
              <w:jc w:val="center"/>
              <w:rPr>
                <w:rFonts w:hint="eastAsia" w:ascii="仿宋" w:hAnsi="仿宋" w:eastAsia="仿宋" w:cs="仿宋"/>
                <w:b/>
                <w:bCs/>
                <w:color w:val="auto"/>
                <w:sz w:val="24"/>
                <w:highlight w:val="none"/>
              </w:rPr>
            </w:pPr>
          </w:p>
        </w:tc>
        <w:tc>
          <w:tcPr>
            <w:tcW w:w="1701" w:type="dxa"/>
            <w:noWrap w:val="0"/>
            <w:vAlign w:val="top"/>
          </w:tcPr>
          <w:p>
            <w:pPr>
              <w:spacing w:line="360" w:lineRule="auto"/>
              <w:jc w:val="center"/>
              <w:rPr>
                <w:rFonts w:hint="eastAsia" w:ascii="仿宋" w:hAnsi="仿宋" w:eastAsia="仿宋" w:cs="仿宋"/>
                <w:b/>
                <w:bCs/>
                <w:color w:val="auto"/>
                <w:sz w:val="24"/>
                <w:highlight w:val="none"/>
              </w:rPr>
            </w:pPr>
          </w:p>
        </w:tc>
        <w:tc>
          <w:tcPr>
            <w:tcW w:w="1843" w:type="dxa"/>
            <w:noWrap w:val="0"/>
            <w:vAlign w:val="top"/>
          </w:tcPr>
          <w:p>
            <w:pPr>
              <w:spacing w:line="360" w:lineRule="auto"/>
              <w:jc w:val="center"/>
              <w:rPr>
                <w:rFonts w:hint="eastAsia" w:ascii="仿宋" w:hAnsi="仿宋" w:eastAsia="仿宋" w:cs="仿宋"/>
                <w:b/>
                <w:bCs/>
                <w:color w:val="auto"/>
                <w:sz w:val="24"/>
                <w:highlight w:val="none"/>
              </w:rPr>
            </w:pPr>
          </w:p>
        </w:tc>
        <w:tc>
          <w:tcPr>
            <w:tcW w:w="2268" w:type="dxa"/>
            <w:noWrap w:val="0"/>
            <w:vAlign w:val="top"/>
          </w:tcPr>
          <w:p>
            <w:pPr>
              <w:spacing w:line="360" w:lineRule="auto"/>
              <w:jc w:val="center"/>
              <w:rPr>
                <w:rFonts w:hint="eastAsia" w:ascii="仿宋" w:hAnsi="仿宋" w:eastAsia="仿宋" w:cs="仿宋"/>
                <w:b/>
                <w:bCs/>
                <w:color w:val="auto"/>
                <w:sz w:val="24"/>
                <w:highlight w:val="none"/>
              </w:rPr>
            </w:pPr>
          </w:p>
        </w:tc>
        <w:tc>
          <w:tcPr>
            <w:tcW w:w="1346" w:type="dxa"/>
            <w:noWrap w:val="0"/>
            <w:vAlign w:val="top"/>
          </w:tcPr>
          <w:p>
            <w:pPr>
              <w:spacing w:line="360" w:lineRule="auto"/>
              <w:jc w:val="center"/>
              <w:rPr>
                <w:rFonts w:hint="eastAsia" w:ascii="仿宋" w:hAnsi="仿宋" w:eastAsia="仿宋" w:cs="仿宋"/>
                <w:b/>
                <w:bCs/>
                <w:color w:val="auto"/>
                <w:sz w:val="24"/>
                <w:highlight w:val="none"/>
              </w:rPr>
            </w:pPr>
          </w:p>
        </w:tc>
        <w:tc>
          <w:tcPr>
            <w:tcW w:w="1205" w:type="dxa"/>
            <w:noWrap w:val="0"/>
            <w:vAlign w:val="top"/>
          </w:tcPr>
          <w:p>
            <w:pPr>
              <w:spacing w:line="360" w:lineRule="auto"/>
              <w:jc w:val="center"/>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noWrap w:val="0"/>
            <w:vAlign w:val="top"/>
          </w:tcPr>
          <w:p>
            <w:pPr>
              <w:spacing w:line="360" w:lineRule="auto"/>
              <w:jc w:val="center"/>
              <w:rPr>
                <w:rFonts w:hint="eastAsia" w:ascii="仿宋" w:hAnsi="仿宋" w:eastAsia="仿宋" w:cs="仿宋"/>
                <w:b/>
                <w:bCs/>
                <w:color w:val="auto"/>
                <w:sz w:val="24"/>
                <w:highlight w:val="none"/>
              </w:rPr>
            </w:pPr>
          </w:p>
        </w:tc>
        <w:tc>
          <w:tcPr>
            <w:tcW w:w="1701" w:type="dxa"/>
            <w:noWrap w:val="0"/>
            <w:vAlign w:val="top"/>
          </w:tcPr>
          <w:p>
            <w:pPr>
              <w:spacing w:line="360" w:lineRule="auto"/>
              <w:jc w:val="center"/>
              <w:rPr>
                <w:rFonts w:hint="eastAsia" w:ascii="仿宋" w:hAnsi="仿宋" w:eastAsia="仿宋" w:cs="仿宋"/>
                <w:b/>
                <w:bCs/>
                <w:color w:val="auto"/>
                <w:sz w:val="24"/>
                <w:highlight w:val="none"/>
              </w:rPr>
            </w:pPr>
          </w:p>
        </w:tc>
        <w:tc>
          <w:tcPr>
            <w:tcW w:w="1843" w:type="dxa"/>
            <w:noWrap w:val="0"/>
            <w:vAlign w:val="top"/>
          </w:tcPr>
          <w:p>
            <w:pPr>
              <w:spacing w:line="360" w:lineRule="auto"/>
              <w:jc w:val="center"/>
              <w:rPr>
                <w:rFonts w:hint="eastAsia" w:ascii="仿宋" w:hAnsi="仿宋" w:eastAsia="仿宋" w:cs="仿宋"/>
                <w:b/>
                <w:bCs/>
                <w:color w:val="auto"/>
                <w:sz w:val="24"/>
                <w:highlight w:val="none"/>
              </w:rPr>
            </w:pPr>
          </w:p>
        </w:tc>
        <w:tc>
          <w:tcPr>
            <w:tcW w:w="2268" w:type="dxa"/>
            <w:noWrap w:val="0"/>
            <w:vAlign w:val="top"/>
          </w:tcPr>
          <w:p>
            <w:pPr>
              <w:spacing w:line="360" w:lineRule="auto"/>
              <w:jc w:val="center"/>
              <w:rPr>
                <w:rFonts w:hint="eastAsia" w:ascii="仿宋" w:hAnsi="仿宋" w:eastAsia="仿宋" w:cs="仿宋"/>
                <w:b/>
                <w:bCs/>
                <w:color w:val="auto"/>
                <w:sz w:val="24"/>
                <w:highlight w:val="none"/>
              </w:rPr>
            </w:pPr>
          </w:p>
        </w:tc>
        <w:tc>
          <w:tcPr>
            <w:tcW w:w="1346" w:type="dxa"/>
            <w:noWrap w:val="0"/>
            <w:vAlign w:val="top"/>
          </w:tcPr>
          <w:p>
            <w:pPr>
              <w:spacing w:line="360" w:lineRule="auto"/>
              <w:jc w:val="center"/>
              <w:rPr>
                <w:rFonts w:hint="eastAsia" w:ascii="仿宋" w:hAnsi="仿宋" w:eastAsia="仿宋" w:cs="仿宋"/>
                <w:b/>
                <w:bCs/>
                <w:color w:val="auto"/>
                <w:sz w:val="24"/>
                <w:highlight w:val="none"/>
              </w:rPr>
            </w:pPr>
          </w:p>
        </w:tc>
        <w:tc>
          <w:tcPr>
            <w:tcW w:w="1205" w:type="dxa"/>
            <w:noWrap w:val="0"/>
            <w:vAlign w:val="top"/>
          </w:tcPr>
          <w:p>
            <w:pPr>
              <w:spacing w:line="360" w:lineRule="auto"/>
              <w:jc w:val="center"/>
              <w:rPr>
                <w:rFonts w:hint="eastAsia" w:ascii="仿宋" w:hAnsi="仿宋" w:eastAsia="仿宋" w:cs="仿宋"/>
                <w:b/>
                <w:bCs/>
                <w:color w:val="auto"/>
                <w:sz w:val="24"/>
                <w:highlight w:val="none"/>
              </w:rPr>
            </w:pPr>
          </w:p>
        </w:tc>
      </w:tr>
    </w:tbl>
    <w:p>
      <w:pPr>
        <w:spacing w:line="40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法定代表人或其授权代理人签名或盖章：</w:t>
      </w:r>
    </w:p>
    <w:p>
      <w:pPr>
        <w:spacing w:line="40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日期：     年  月   日</w:t>
      </w:r>
    </w:p>
    <w:p>
      <w:pPr>
        <w:spacing w:line="400" w:lineRule="exact"/>
        <w:ind w:firstLine="480" w:firstLineChars="200"/>
        <w:jc w:val="left"/>
        <w:rPr>
          <w:rFonts w:hint="eastAsia" w:ascii="仿宋" w:hAnsi="仿宋" w:eastAsia="仿宋" w:cs="仿宋"/>
          <w:bCs/>
          <w:color w:val="auto"/>
          <w:sz w:val="24"/>
          <w:highlight w:val="none"/>
        </w:rPr>
      </w:pPr>
    </w:p>
    <w:p>
      <w:pPr>
        <w:spacing w:line="40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注：1、投标供应商必须按采购需求一一对应,如实填写《</w:t>
      </w:r>
      <w:r>
        <w:rPr>
          <w:rFonts w:hint="eastAsia" w:ascii="仿宋" w:hAnsi="仿宋" w:eastAsia="仿宋" w:cs="仿宋"/>
          <w:color w:val="auto"/>
          <w:sz w:val="24"/>
          <w:highlight w:val="none"/>
          <w:lang w:val="zh-CN"/>
        </w:rPr>
        <w:t>投标货物技术参数偏离响应表</w:t>
      </w:r>
      <w:r>
        <w:rPr>
          <w:rFonts w:hint="eastAsia" w:ascii="仿宋" w:hAnsi="仿宋" w:eastAsia="仿宋" w:cs="仿宋"/>
          <w:bCs/>
          <w:color w:val="auto"/>
          <w:sz w:val="24"/>
          <w:highlight w:val="none"/>
        </w:rPr>
        <w:t>》，未按要求填写的，有可能作负偏离处理；</w:t>
      </w:r>
    </w:p>
    <w:p>
      <w:pPr>
        <w:spacing w:line="400" w:lineRule="exact"/>
        <w:ind w:firstLine="960" w:firstLineChars="4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2、此表仅提供了表格形式，投标供应商应根据需要准备足够数量的表格来填写。</w:t>
      </w: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highlight w:val="none"/>
        </w:rPr>
      </w:pPr>
    </w:p>
    <w:p>
      <w:pPr>
        <w:spacing w:line="400" w:lineRule="exact"/>
        <w:jc w:val="center"/>
        <w:rPr>
          <w:rFonts w:hint="eastAsia" w:ascii="仿宋" w:hAnsi="仿宋" w:eastAsia="仿宋" w:cs="仿宋"/>
          <w:b/>
          <w:color w:val="auto"/>
          <w:sz w:val="24"/>
          <w:highlight w:val="none"/>
        </w:rPr>
      </w:pPr>
    </w:p>
    <w:p>
      <w:pPr>
        <w:autoSpaceDE w:val="0"/>
        <w:autoSpaceDN w:val="0"/>
        <w:adjustRightInd w:val="0"/>
        <w:spacing w:line="360" w:lineRule="auto"/>
        <w:ind w:firstLine="602" w:firstLineChars="250"/>
        <w:rPr>
          <w:rFonts w:hint="eastAsia" w:ascii="仿宋" w:hAnsi="仿宋" w:eastAsia="仿宋" w:cs="仿宋"/>
          <w:b/>
          <w:color w:val="auto"/>
          <w:sz w:val="24"/>
          <w:highlight w:val="none"/>
        </w:rPr>
      </w:pPr>
    </w:p>
    <w:p>
      <w:pPr>
        <w:autoSpaceDE w:val="0"/>
        <w:autoSpaceDN w:val="0"/>
        <w:adjustRightInd w:val="0"/>
        <w:spacing w:line="360" w:lineRule="auto"/>
        <w:ind w:firstLine="602" w:firstLineChars="250"/>
        <w:rPr>
          <w:rFonts w:hint="eastAsia" w:ascii="仿宋" w:hAnsi="仿宋" w:eastAsia="仿宋" w:cs="仿宋"/>
          <w:b/>
          <w:color w:val="auto"/>
          <w:sz w:val="24"/>
          <w:highlight w:val="none"/>
        </w:rPr>
      </w:pPr>
    </w:p>
    <w:p>
      <w:pPr>
        <w:autoSpaceDE w:val="0"/>
        <w:autoSpaceDN w:val="0"/>
        <w:adjustRightInd w:val="0"/>
        <w:spacing w:line="360" w:lineRule="auto"/>
        <w:ind w:firstLine="602" w:firstLineChars="250"/>
        <w:rPr>
          <w:rFonts w:hint="eastAsia" w:ascii="仿宋" w:hAnsi="仿宋" w:eastAsia="仿宋" w:cs="仿宋"/>
          <w:b/>
          <w:color w:val="auto"/>
          <w:sz w:val="24"/>
          <w:highlight w:val="none"/>
        </w:rPr>
      </w:pPr>
    </w:p>
    <w:p>
      <w:pPr>
        <w:autoSpaceDE w:val="0"/>
        <w:autoSpaceDN w:val="0"/>
        <w:adjustRightInd w:val="0"/>
        <w:spacing w:line="360" w:lineRule="auto"/>
        <w:ind w:firstLine="602" w:firstLineChars="250"/>
        <w:rPr>
          <w:rFonts w:hint="eastAsia" w:ascii="仿宋" w:hAnsi="仿宋" w:eastAsia="仿宋" w:cs="仿宋"/>
          <w:b/>
          <w:color w:val="auto"/>
          <w:sz w:val="24"/>
          <w:highlight w:val="none"/>
        </w:rPr>
      </w:pPr>
    </w:p>
    <w:p>
      <w:pPr>
        <w:autoSpaceDE w:val="0"/>
        <w:autoSpaceDN w:val="0"/>
        <w:adjustRightInd w:val="0"/>
        <w:spacing w:line="360" w:lineRule="auto"/>
        <w:ind w:firstLine="602" w:firstLineChars="250"/>
        <w:rPr>
          <w:rFonts w:hint="eastAsia" w:ascii="仿宋" w:hAnsi="仿宋" w:eastAsia="仿宋" w:cs="仿宋"/>
          <w:b/>
          <w:color w:val="auto"/>
          <w:sz w:val="24"/>
          <w:highlight w:val="none"/>
        </w:rPr>
      </w:pPr>
    </w:p>
    <w:p>
      <w:pPr>
        <w:autoSpaceDE w:val="0"/>
        <w:autoSpaceDN w:val="0"/>
        <w:adjustRightInd w:val="0"/>
        <w:spacing w:line="360" w:lineRule="auto"/>
        <w:ind w:firstLine="602" w:firstLineChars="250"/>
        <w:rPr>
          <w:rFonts w:hint="eastAsia" w:ascii="仿宋" w:hAnsi="仿宋" w:eastAsia="仿宋" w:cs="仿宋"/>
          <w:b/>
          <w:color w:val="auto"/>
          <w:sz w:val="24"/>
          <w:highlight w:val="none"/>
        </w:rPr>
      </w:pPr>
    </w:p>
    <w:p>
      <w:pPr>
        <w:autoSpaceDE w:val="0"/>
        <w:autoSpaceDN w:val="0"/>
        <w:adjustRightInd w:val="0"/>
        <w:spacing w:line="360" w:lineRule="auto"/>
        <w:ind w:firstLine="602" w:firstLineChars="25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zh-CN"/>
        </w:rPr>
        <w:t>商务资信及其他文件：</w:t>
      </w:r>
    </w:p>
    <w:p>
      <w:pPr>
        <w:numPr>
          <w:ilvl w:val="0"/>
          <w:numId w:val="9"/>
        </w:numPr>
        <w:autoSpaceDE w:val="0"/>
        <w:autoSpaceDN w:val="0"/>
        <w:adjustRightInd w:val="0"/>
        <w:spacing w:line="360" w:lineRule="auto"/>
        <w:ind w:left="425" w:leftChars="0" w:hanging="425"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商务响应表（格式见附件）；</w:t>
      </w:r>
    </w:p>
    <w:p>
      <w:pPr>
        <w:numPr>
          <w:ilvl w:val="0"/>
          <w:numId w:val="9"/>
        </w:numPr>
        <w:autoSpaceDE w:val="0"/>
        <w:autoSpaceDN w:val="0"/>
        <w:adjustRightInd w:val="0"/>
        <w:spacing w:line="360" w:lineRule="auto"/>
        <w:ind w:left="425" w:leftChars="0" w:hanging="425"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售后服务方案及承诺；</w:t>
      </w:r>
    </w:p>
    <w:p>
      <w:pPr>
        <w:numPr>
          <w:ilvl w:val="0"/>
          <w:numId w:val="9"/>
        </w:numPr>
        <w:autoSpaceDE w:val="0"/>
        <w:autoSpaceDN w:val="0"/>
        <w:adjustRightInd w:val="0"/>
        <w:spacing w:line="360" w:lineRule="auto"/>
        <w:ind w:left="425" w:leftChars="0" w:hanging="425"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维护网点设置；</w:t>
      </w:r>
    </w:p>
    <w:p>
      <w:pPr>
        <w:numPr>
          <w:ilvl w:val="0"/>
          <w:numId w:val="9"/>
        </w:numPr>
        <w:autoSpaceDE w:val="0"/>
        <w:autoSpaceDN w:val="0"/>
        <w:adjustRightInd w:val="0"/>
        <w:spacing w:line="360" w:lineRule="auto"/>
        <w:ind w:left="425" w:leftChars="0" w:hanging="425"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企业实力；</w:t>
      </w:r>
    </w:p>
    <w:p>
      <w:pPr>
        <w:numPr>
          <w:ilvl w:val="0"/>
          <w:numId w:val="9"/>
        </w:numPr>
        <w:autoSpaceDE w:val="0"/>
        <w:autoSpaceDN w:val="0"/>
        <w:adjustRightInd w:val="0"/>
        <w:spacing w:line="360" w:lineRule="auto"/>
        <w:ind w:left="425" w:leftChars="0" w:hanging="425"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投标供应商认为需要提供的文件和资料。</w:t>
      </w: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pStyle w:val="17"/>
        <w:rPr>
          <w:rFonts w:hint="eastAsia"/>
        </w:rPr>
      </w:pPr>
    </w:p>
    <w:p>
      <w:pPr>
        <w:spacing w:line="400" w:lineRule="exact"/>
        <w:jc w:val="center"/>
        <w:rPr>
          <w:rFonts w:hint="eastAsia" w:ascii="仿宋" w:hAnsi="仿宋" w:eastAsia="仿宋" w:cs="仿宋"/>
          <w:b/>
          <w:bCs/>
          <w:color w:val="auto"/>
          <w:sz w:val="24"/>
          <w:highlight w:val="none"/>
        </w:rPr>
      </w:pPr>
      <w:r>
        <w:rPr>
          <w:rFonts w:hint="eastAsia" w:ascii="仿宋" w:hAnsi="仿宋" w:eastAsia="仿宋" w:cs="仿宋"/>
          <w:b/>
          <w:color w:val="auto"/>
          <w:sz w:val="24"/>
          <w:szCs w:val="20"/>
          <w:highlight w:val="none"/>
        </w:rPr>
        <w:br w:type="page"/>
      </w:r>
      <w:r>
        <w:rPr>
          <w:rFonts w:hint="eastAsia" w:ascii="仿宋" w:hAnsi="仿宋" w:eastAsia="仿宋" w:cs="仿宋"/>
          <w:b/>
          <w:color w:val="auto"/>
          <w:sz w:val="24"/>
          <w:szCs w:val="20"/>
          <w:highlight w:val="none"/>
        </w:rPr>
        <w:t xml:space="preserve"> 投标单位同类项目业绩</w:t>
      </w:r>
    </w:p>
    <w:p>
      <w:pPr>
        <w:spacing w:line="400" w:lineRule="exact"/>
        <w:rPr>
          <w:rFonts w:hint="eastAsia" w:ascii="仿宋" w:hAnsi="仿宋" w:eastAsia="仿宋" w:cs="仿宋"/>
          <w:b/>
          <w:bCs/>
          <w:color w:val="auto"/>
          <w:sz w:val="24"/>
          <w:highlight w:val="none"/>
        </w:rPr>
      </w:pP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投标供应商全称（加盖公章）：             公开招标采购文件编号：</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63"/>
        <w:gridCol w:w="1440"/>
        <w:gridCol w:w="1440"/>
        <w:gridCol w:w="192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noWrap w:val="0"/>
            <w:vAlign w:val="top"/>
          </w:tcPr>
          <w:p>
            <w:pPr>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1763" w:type="dxa"/>
            <w:noWrap w:val="0"/>
            <w:vAlign w:val="top"/>
          </w:tcPr>
          <w:p>
            <w:pPr>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使用方</w:t>
            </w:r>
          </w:p>
        </w:tc>
        <w:tc>
          <w:tcPr>
            <w:tcW w:w="1440" w:type="dxa"/>
            <w:noWrap w:val="0"/>
            <w:vAlign w:val="top"/>
          </w:tcPr>
          <w:p>
            <w:pPr>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合同金额</w:t>
            </w:r>
          </w:p>
        </w:tc>
        <w:tc>
          <w:tcPr>
            <w:tcW w:w="1440" w:type="dxa"/>
            <w:noWrap w:val="0"/>
            <w:vAlign w:val="top"/>
          </w:tcPr>
          <w:p>
            <w:pPr>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签订时间</w:t>
            </w:r>
          </w:p>
        </w:tc>
        <w:tc>
          <w:tcPr>
            <w:tcW w:w="1924" w:type="dxa"/>
            <w:noWrap w:val="0"/>
            <w:vAlign w:val="top"/>
          </w:tcPr>
          <w:p>
            <w:pPr>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使用方联系人</w:t>
            </w:r>
          </w:p>
        </w:tc>
        <w:tc>
          <w:tcPr>
            <w:tcW w:w="1512" w:type="dxa"/>
            <w:noWrap w:val="0"/>
            <w:vAlign w:val="top"/>
          </w:tcPr>
          <w:p>
            <w:pPr>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spacing w:line="400" w:lineRule="exact"/>
              <w:rPr>
                <w:rFonts w:hint="eastAsia" w:ascii="仿宋" w:hAnsi="仿宋" w:eastAsia="仿宋" w:cs="仿宋"/>
                <w:bCs/>
                <w:color w:val="auto"/>
                <w:sz w:val="24"/>
                <w:highlight w:val="none"/>
              </w:rPr>
            </w:pPr>
          </w:p>
        </w:tc>
        <w:tc>
          <w:tcPr>
            <w:tcW w:w="1763"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924" w:type="dxa"/>
            <w:noWrap w:val="0"/>
            <w:vAlign w:val="top"/>
          </w:tcPr>
          <w:p>
            <w:pPr>
              <w:spacing w:line="400" w:lineRule="exact"/>
              <w:rPr>
                <w:rFonts w:hint="eastAsia" w:ascii="仿宋" w:hAnsi="仿宋" w:eastAsia="仿宋" w:cs="仿宋"/>
                <w:bCs/>
                <w:color w:val="auto"/>
                <w:sz w:val="24"/>
                <w:highlight w:val="none"/>
              </w:rPr>
            </w:pPr>
          </w:p>
        </w:tc>
        <w:tc>
          <w:tcPr>
            <w:tcW w:w="1512" w:type="dxa"/>
            <w:noWrap w:val="0"/>
            <w:vAlign w:val="top"/>
          </w:tcPr>
          <w:p>
            <w:pPr>
              <w:spacing w:line="400" w:lineRule="exact"/>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spacing w:line="400" w:lineRule="exact"/>
              <w:rPr>
                <w:rFonts w:hint="eastAsia" w:ascii="仿宋" w:hAnsi="仿宋" w:eastAsia="仿宋" w:cs="仿宋"/>
                <w:bCs/>
                <w:color w:val="auto"/>
                <w:sz w:val="24"/>
                <w:highlight w:val="none"/>
              </w:rPr>
            </w:pPr>
          </w:p>
        </w:tc>
        <w:tc>
          <w:tcPr>
            <w:tcW w:w="1763"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924" w:type="dxa"/>
            <w:noWrap w:val="0"/>
            <w:vAlign w:val="top"/>
          </w:tcPr>
          <w:p>
            <w:pPr>
              <w:spacing w:line="400" w:lineRule="exact"/>
              <w:rPr>
                <w:rFonts w:hint="eastAsia" w:ascii="仿宋" w:hAnsi="仿宋" w:eastAsia="仿宋" w:cs="仿宋"/>
                <w:bCs/>
                <w:color w:val="auto"/>
                <w:sz w:val="24"/>
                <w:highlight w:val="none"/>
              </w:rPr>
            </w:pPr>
          </w:p>
        </w:tc>
        <w:tc>
          <w:tcPr>
            <w:tcW w:w="1512" w:type="dxa"/>
            <w:noWrap w:val="0"/>
            <w:vAlign w:val="top"/>
          </w:tcPr>
          <w:p>
            <w:pPr>
              <w:spacing w:line="400" w:lineRule="exact"/>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spacing w:line="400" w:lineRule="exact"/>
              <w:rPr>
                <w:rFonts w:hint="eastAsia" w:ascii="仿宋" w:hAnsi="仿宋" w:eastAsia="仿宋" w:cs="仿宋"/>
                <w:bCs/>
                <w:color w:val="auto"/>
                <w:sz w:val="24"/>
                <w:highlight w:val="none"/>
              </w:rPr>
            </w:pPr>
          </w:p>
        </w:tc>
        <w:tc>
          <w:tcPr>
            <w:tcW w:w="1763"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924" w:type="dxa"/>
            <w:noWrap w:val="0"/>
            <w:vAlign w:val="top"/>
          </w:tcPr>
          <w:p>
            <w:pPr>
              <w:spacing w:line="400" w:lineRule="exact"/>
              <w:rPr>
                <w:rFonts w:hint="eastAsia" w:ascii="仿宋" w:hAnsi="仿宋" w:eastAsia="仿宋" w:cs="仿宋"/>
                <w:bCs/>
                <w:color w:val="auto"/>
                <w:sz w:val="24"/>
                <w:highlight w:val="none"/>
              </w:rPr>
            </w:pPr>
          </w:p>
        </w:tc>
        <w:tc>
          <w:tcPr>
            <w:tcW w:w="1512" w:type="dxa"/>
            <w:noWrap w:val="0"/>
            <w:vAlign w:val="top"/>
          </w:tcPr>
          <w:p>
            <w:pPr>
              <w:spacing w:line="400" w:lineRule="exact"/>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spacing w:line="400" w:lineRule="exact"/>
              <w:rPr>
                <w:rFonts w:hint="eastAsia" w:ascii="仿宋" w:hAnsi="仿宋" w:eastAsia="仿宋" w:cs="仿宋"/>
                <w:bCs/>
                <w:color w:val="auto"/>
                <w:sz w:val="24"/>
                <w:highlight w:val="none"/>
              </w:rPr>
            </w:pPr>
          </w:p>
        </w:tc>
        <w:tc>
          <w:tcPr>
            <w:tcW w:w="1763"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924" w:type="dxa"/>
            <w:noWrap w:val="0"/>
            <w:vAlign w:val="top"/>
          </w:tcPr>
          <w:p>
            <w:pPr>
              <w:spacing w:line="400" w:lineRule="exact"/>
              <w:rPr>
                <w:rFonts w:hint="eastAsia" w:ascii="仿宋" w:hAnsi="仿宋" w:eastAsia="仿宋" w:cs="仿宋"/>
                <w:bCs/>
                <w:color w:val="auto"/>
                <w:sz w:val="24"/>
                <w:highlight w:val="none"/>
              </w:rPr>
            </w:pPr>
          </w:p>
        </w:tc>
        <w:tc>
          <w:tcPr>
            <w:tcW w:w="1512" w:type="dxa"/>
            <w:noWrap w:val="0"/>
            <w:vAlign w:val="top"/>
          </w:tcPr>
          <w:p>
            <w:pPr>
              <w:spacing w:line="400" w:lineRule="exact"/>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spacing w:line="400" w:lineRule="exact"/>
              <w:rPr>
                <w:rFonts w:hint="eastAsia" w:ascii="仿宋" w:hAnsi="仿宋" w:eastAsia="仿宋" w:cs="仿宋"/>
                <w:bCs/>
                <w:color w:val="auto"/>
                <w:sz w:val="24"/>
                <w:highlight w:val="none"/>
              </w:rPr>
            </w:pPr>
          </w:p>
        </w:tc>
        <w:tc>
          <w:tcPr>
            <w:tcW w:w="1763"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924" w:type="dxa"/>
            <w:noWrap w:val="0"/>
            <w:vAlign w:val="top"/>
          </w:tcPr>
          <w:p>
            <w:pPr>
              <w:spacing w:line="400" w:lineRule="exact"/>
              <w:rPr>
                <w:rFonts w:hint="eastAsia" w:ascii="仿宋" w:hAnsi="仿宋" w:eastAsia="仿宋" w:cs="仿宋"/>
                <w:bCs/>
                <w:color w:val="auto"/>
                <w:sz w:val="24"/>
                <w:highlight w:val="none"/>
              </w:rPr>
            </w:pPr>
          </w:p>
        </w:tc>
        <w:tc>
          <w:tcPr>
            <w:tcW w:w="1512" w:type="dxa"/>
            <w:noWrap w:val="0"/>
            <w:vAlign w:val="top"/>
          </w:tcPr>
          <w:p>
            <w:pPr>
              <w:spacing w:line="400" w:lineRule="exact"/>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spacing w:line="400" w:lineRule="exact"/>
              <w:rPr>
                <w:rFonts w:hint="eastAsia" w:ascii="仿宋" w:hAnsi="仿宋" w:eastAsia="仿宋" w:cs="仿宋"/>
                <w:bCs/>
                <w:color w:val="auto"/>
                <w:sz w:val="24"/>
                <w:highlight w:val="none"/>
              </w:rPr>
            </w:pPr>
          </w:p>
        </w:tc>
        <w:tc>
          <w:tcPr>
            <w:tcW w:w="1763"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924" w:type="dxa"/>
            <w:noWrap w:val="0"/>
            <w:vAlign w:val="top"/>
          </w:tcPr>
          <w:p>
            <w:pPr>
              <w:spacing w:line="400" w:lineRule="exact"/>
              <w:rPr>
                <w:rFonts w:hint="eastAsia" w:ascii="仿宋" w:hAnsi="仿宋" w:eastAsia="仿宋" w:cs="仿宋"/>
                <w:bCs/>
                <w:color w:val="auto"/>
                <w:sz w:val="24"/>
                <w:highlight w:val="none"/>
              </w:rPr>
            </w:pPr>
          </w:p>
        </w:tc>
        <w:tc>
          <w:tcPr>
            <w:tcW w:w="1512" w:type="dxa"/>
            <w:noWrap w:val="0"/>
            <w:vAlign w:val="top"/>
          </w:tcPr>
          <w:p>
            <w:pPr>
              <w:spacing w:line="400" w:lineRule="exact"/>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spacing w:line="400" w:lineRule="exact"/>
              <w:rPr>
                <w:rFonts w:hint="eastAsia" w:ascii="仿宋" w:hAnsi="仿宋" w:eastAsia="仿宋" w:cs="仿宋"/>
                <w:bCs/>
                <w:color w:val="auto"/>
                <w:sz w:val="24"/>
                <w:highlight w:val="none"/>
              </w:rPr>
            </w:pPr>
          </w:p>
        </w:tc>
        <w:tc>
          <w:tcPr>
            <w:tcW w:w="1763"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924" w:type="dxa"/>
            <w:noWrap w:val="0"/>
            <w:vAlign w:val="top"/>
          </w:tcPr>
          <w:p>
            <w:pPr>
              <w:spacing w:line="400" w:lineRule="exact"/>
              <w:rPr>
                <w:rFonts w:hint="eastAsia" w:ascii="仿宋" w:hAnsi="仿宋" w:eastAsia="仿宋" w:cs="仿宋"/>
                <w:bCs/>
                <w:color w:val="auto"/>
                <w:sz w:val="24"/>
                <w:highlight w:val="none"/>
              </w:rPr>
            </w:pPr>
          </w:p>
        </w:tc>
        <w:tc>
          <w:tcPr>
            <w:tcW w:w="1512" w:type="dxa"/>
            <w:noWrap w:val="0"/>
            <w:vAlign w:val="top"/>
          </w:tcPr>
          <w:p>
            <w:pPr>
              <w:spacing w:line="400" w:lineRule="exact"/>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spacing w:line="400" w:lineRule="exact"/>
              <w:rPr>
                <w:rFonts w:hint="eastAsia" w:ascii="仿宋" w:hAnsi="仿宋" w:eastAsia="仿宋" w:cs="仿宋"/>
                <w:bCs/>
                <w:color w:val="auto"/>
                <w:sz w:val="24"/>
                <w:highlight w:val="none"/>
              </w:rPr>
            </w:pPr>
          </w:p>
        </w:tc>
        <w:tc>
          <w:tcPr>
            <w:tcW w:w="1763"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924" w:type="dxa"/>
            <w:noWrap w:val="0"/>
            <w:vAlign w:val="top"/>
          </w:tcPr>
          <w:p>
            <w:pPr>
              <w:spacing w:line="400" w:lineRule="exact"/>
              <w:rPr>
                <w:rFonts w:hint="eastAsia" w:ascii="仿宋" w:hAnsi="仿宋" w:eastAsia="仿宋" w:cs="仿宋"/>
                <w:bCs/>
                <w:color w:val="auto"/>
                <w:sz w:val="24"/>
                <w:highlight w:val="none"/>
              </w:rPr>
            </w:pPr>
          </w:p>
        </w:tc>
        <w:tc>
          <w:tcPr>
            <w:tcW w:w="1512" w:type="dxa"/>
            <w:noWrap w:val="0"/>
            <w:vAlign w:val="top"/>
          </w:tcPr>
          <w:p>
            <w:pPr>
              <w:spacing w:line="400" w:lineRule="exact"/>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spacing w:line="400" w:lineRule="exact"/>
              <w:rPr>
                <w:rFonts w:hint="eastAsia" w:ascii="仿宋" w:hAnsi="仿宋" w:eastAsia="仿宋" w:cs="仿宋"/>
                <w:bCs/>
                <w:color w:val="auto"/>
                <w:sz w:val="24"/>
                <w:highlight w:val="none"/>
              </w:rPr>
            </w:pPr>
          </w:p>
        </w:tc>
        <w:tc>
          <w:tcPr>
            <w:tcW w:w="1763"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924" w:type="dxa"/>
            <w:noWrap w:val="0"/>
            <w:vAlign w:val="top"/>
          </w:tcPr>
          <w:p>
            <w:pPr>
              <w:spacing w:line="400" w:lineRule="exact"/>
              <w:rPr>
                <w:rFonts w:hint="eastAsia" w:ascii="仿宋" w:hAnsi="仿宋" w:eastAsia="仿宋" w:cs="仿宋"/>
                <w:bCs/>
                <w:color w:val="auto"/>
                <w:sz w:val="24"/>
                <w:highlight w:val="none"/>
              </w:rPr>
            </w:pPr>
          </w:p>
        </w:tc>
        <w:tc>
          <w:tcPr>
            <w:tcW w:w="1512" w:type="dxa"/>
            <w:noWrap w:val="0"/>
            <w:vAlign w:val="top"/>
          </w:tcPr>
          <w:p>
            <w:pPr>
              <w:spacing w:line="400" w:lineRule="exact"/>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spacing w:line="400" w:lineRule="exact"/>
              <w:rPr>
                <w:rFonts w:hint="eastAsia" w:ascii="仿宋" w:hAnsi="仿宋" w:eastAsia="仿宋" w:cs="仿宋"/>
                <w:bCs/>
                <w:color w:val="auto"/>
                <w:sz w:val="24"/>
                <w:highlight w:val="none"/>
              </w:rPr>
            </w:pPr>
          </w:p>
        </w:tc>
        <w:tc>
          <w:tcPr>
            <w:tcW w:w="1763"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440" w:type="dxa"/>
            <w:noWrap w:val="0"/>
            <w:vAlign w:val="top"/>
          </w:tcPr>
          <w:p>
            <w:pPr>
              <w:spacing w:line="400" w:lineRule="exact"/>
              <w:rPr>
                <w:rFonts w:hint="eastAsia" w:ascii="仿宋" w:hAnsi="仿宋" w:eastAsia="仿宋" w:cs="仿宋"/>
                <w:bCs/>
                <w:color w:val="auto"/>
                <w:sz w:val="24"/>
                <w:highlight w:val="none"/>
              </w:rPr>
            </w:pPr>
          </w:p>
        </w:tc>
        <w:tc>
          <w:tcPr>
            <w:tcW w:w="1924" w:type="dxa"/>
            <w:noWrap w:val="0"/>
            <w:vAlign w:val="top"/>
          </w:tcPr>
          <w:p>
            <w:pPr>
              <w:spacing w:line="400" w:lineRule="exact"/>
              <w:rPr>
                <w:rFonts w:hint="eastAsia" w:ascii="仿宋" w:hAnsi="仿宋" w:eastAsia="仿宋" w:cs="仿宋"/>
                <w:bCs/>
                <w:color w:val="auto"/>
                <w:sz w:val="24"/>
                <w:highlight w:val="none"/>
              </w:rPr>
            </w:pPr>
          </w:p>
        </w:tc>
        <w:tc>
          <w:tcPr>
            <w:tcW w:w="1512" w:type="dxa"/>
            <w:noWrap w:val="0"/>
            <w:vAlign w:val="top"/>
          </w:tcPr>
          <w:p>
            <w:pPr>
              <w:spacing w:line="400" w:lineRule="exact"/>
              <w:rPr>
                <w:rFonts w:hint="eastAsia" w:ascii="仿宋" w:hAnsi="仿宋" w:eastAsia="仿宋" w:cs="仿宋"/>
                <w:bCs/>
                <w:color w:val="auto"/>
                <w:sz w:val="24"/>
                <w:highlight w:val="none"/>
              </w:rPr>
            </w:pPr>
          </w:p>
        </w:tc>
      </w:tr>
    </w:tbl>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pacing w:line="400" w:lineRule="exact"/>
        <w:ind w:firstLine="480" w:firstLineChars="200"/>
        <w:rPr>
          <w:rFonts w:hint="eastAsia" w:ascii="仿宋" w:hAnsi="仿宋" w:eastAsia="仿宋" w:cs="仿宋"/>
          <w:color w:val="auto"/>
          <w:sz w:val="24"/>
          <w:highlight w:val="none"/>
        </w:rPr>
      </w:pPr>
    </w:p>
    <w:p>
      <w:pPr>
        <w:spacing w:line="400" w:lineRule="exact"/>
        <w:ind w:firstLine="480" w:firstLineChars="200"/>
        <w:rPr>
          <w:rFonts w:hint="eastAsia" w:ascii="仿宋" w:hAnsi="仿宋" w:eastAsia="仿宋" w:cs="仿宋"/>
          <w:color w:val="auto"/>
          <w:sz w:val="24"/>
          <w:highlight w:val="none"/>
        </w:rPr>
      </w:pPr>
    </w:p>
    <w:p>
      <w:pPr>
        <w:spacing w:line="400" w:lineRule="exact"/>
        <w:ind w:firstLine="480" w:firstLineChars="200"/>
        <w:rPr>
          <w:rFonts w:hint="eastAsia" w:ascii="仿宋" w:hAnsi="仿宋" w:eastAsia="仿宋" w:cs="仿宋"/>
          <w:color w:val="auto"/>
          <w:spacing w:val="14"/>
          <w:sz w:val="24"/>
          <w:highlight w:val="none"/>
        </w:rPr>
      </w:pPr>
      <w:r>
        <w:rPr>
          <w:rFonts w:hint="eastAsia" w:ascii="仿宋" w:hAnsi="仿宋" w:eastAsia="仿宋" w:cs="仿宋"/>
          <w:color w:val="auto"/>
          <w:sz w:val="24"/>
          <w:highlight w:val="none"/>
        </w:rPr>
        <w:t>注：1、</w:t>
      </w:r>
      <w:r>
        <w:rPr>
          <w:rFonts w:hint="eastAsia" w:ascii="仿宋" w:hAnsi="仿宋" w:eastAsia="仿宋" w:cs="仿宋"/>
          <w:bCs/>
          <w:color w:val="auto"/>
          <w:sz w:val="24"/>
          <w:highlight w:val="none"/>
        </w:rPr>
        <w:t>企业业绩是指投标供应商承接过的项目。</w:t>
      </w:r>
      <w:r>
        <w:rPr>
          <w:rFonts w:hint="eastAsia" w:ascii="仿宋" w:hAnsi="仿宋" w:eastAsia="仿宋" w:cs="仿宋"/>
          <w:color w:val="auto"/>
          <w:spacing w:val="14"/>
          <w:sz w:val="24"/>
          <w:highlight w:val="none"/>
        </w:rPr>
        <w:t xml:space="preserve"> </w:t>
      </w:r>
    </w:p>
    <w:p>
      <w:pPr>
        <w:spacing w:line="400" w:lineRule="exact"/>
        <w:ind w:firstLine="840" w:firstLineChars="350"/>
        <w:rPr>
          <w:rFonts w:hint="eastAsia" w:ascii="仿宋" w:hAnsi="仿宋" w:eastAsia="仿宋" w:cs="仿宋"/>
          <w:bCs/>
          <w:color w:val="auto"/>
          <w:sz w:val="24"/>
          <w:highlight w:val="none"/>
        </w:rPr>
      </w:pPr>
      <w:r>
        <w:rPr>
          <w:rFonts w:hint="eastAsia" w:ascii="仿宋" w:hAnsi="仿宋" w:eastAsia="仿宋" w:cs="仿宋"/>
          <w:color w:val="auto"/>
          <w:sz w:val="24"/>
          <w:highlight w:val="none"/>
        </w:rPr>
        <w:t>2、此表仅提供了表格形式，投标供应商应根据需要准备足够数量的表格来填写。</w:t>
      </w: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widowControl/>
        <w:spacing w:line="360" w:lineRule="auto"/>
        <w:ind w:firstLine="482" w:firstLineChars="200"/>
        <w:jc w:val="center"/>
        <w:rPr>
          <w:rFonts w:hint="eastAsia" w:ascii="仿宋" w:hAnsi="仿宋" w:eastAsia="仿宋" w:cs="仿宋"/>
          <w:b/>
          <w:color w:val="auto"/>
          <w:sz w:val="24"/>
          <w:highlight w:val="none"/>
        </w:rPr>
      </w:pPr>
    </w:p>
    <w:p>
      <w:pPr>
        <w:widowControl/>
        <w:spacing w:line="360" w:lineRule="auto"/>
        <w:ind w:firstLine="482" w:firstLineChars="200"/>
        <w:jc w:val="center"/>
        <w:rPr>
          <w:rFonts w:hint="eastAsia" w:ascii="仿宋" w:hAnsi="仿宋" w:eastAsia="仿宋" w:cs="仿宋"/>
          <w:b/>
          <w:color w:val="auto"/>
          <w:sz w:val="24"/>
          <w:highlight w:val="none"/>
        </w:rPr>
      </w:pPr>
    </w:p>
    <w:p>
      <w:pPr>
        <w:widowControl/>
        <w:spacing w:line="360" w:lineRule="auto"/>
        <w:ind w:firstLine="482" w:firstLineChars="200"/>
        <w:jc w:val="center"/>
        <w:rPr>
          <w:rFonts w:hint="eastAsia" w:ascii="仿宋" w:hAnsi="仿宋" w:eastAsia="仿宋" w:cs="仿宋"/>
          <w:b/>
          <w:color w:val="auto"/>
          <w:sz w:val="24"/>
          <w:highlight w:val="none"/>
        </w:rPr>
      </w:pPr>
    </w:p>
    <w:p>
      <w:pPr>
        <w:widowControl/>
        <w:spacing w:line="360" w:lineRule="auto"/>
        <w:ind w:firstLine="482" w:firstLineChars="200"/>
        <w:jc w:val="center"/>
        <w:rPr>
          <w:rFonts w:hint="eastAsia" w:ascii="仿宋" w:hAnsi="仿宋" w:eastAsia="仿宋" w:cs="仿宋"/>
          <w:b/>
          <w:color w:val="auto"/>
          <w:sz w:val="24"/>
          <w:highlight w:val="none"/>
        </w:rPr>
      </w:pPr>
    </w:p>
    <w:p>
      <w:pPr>
        <w:widowControl/>
        <w:spacing w:line="360" w:lineRule="auto"/>
        <w:ind w:firstLine="482" w:firstLineChars="200"/>
        <w:jc w:val="center"/>
        <w:rPr>
          <w:rFonts w:hint="eastAsia" w:ascii="仿宋" w:hAnsi="仿宋" w:eastAsia="仿宋" w:cs="仿宋"/>
          <w:b/>
          <w:color w:val="auto"/>
          <w:sz w:val="24"/>
          <w:highlight w:val="none"/>
        </w:rPr>
      </w:pPr>
    </w:p>
    <w:p>
      <w:pPr>
        <w:widowControl/>
        <w:spacing w:line="360" w:lineRule="auto"/>
        <w:ind w:firstLine="482" w:firstLineChars="200"/>
        <w:jc w:val="center"/>
        <w:rPr>
          <w:rFonts w:hint="eastAsia" w:ascii="仿宋" w:hAnsi="仿宋" w:eastAsia="仿宋" w:cs="仿宋"/>
          <w:b/>
          <w:color w:val="auto"/>
          <w:sz w:val="24"/>
          <w:highlight w:val="none"/>
        </w:rPr>
      </w:pPr>
    </w:p>
    <w:p>
      <w:pPr>
        <w:widowControl/>
        <w:spacing w:line="360" w:lineRule="auto"/>
        <w:ind w:firstLine="482" w:firstLineChars="200"/>
        <w:jc w:val="center"/>
        <w:rPr>
          <w:rFonts w:hint="eastAsia" w:ascii="仿宋" w:hAnsi="仿宋" w:eastAsia="仿宋" w:cs="仿宋"/>
          <w:b/>
          <w:color w:val="auto"/>
          <w:sz w:val="24"/>
          <w:highlight w:val="none"/>
        </w:rPr>
      </w:pPr>
    </w:p>
    <w:p>
      <w:pPr>
        <w:widowControl/>
        <w:spacing w:line="360" w:lineRule="auto"/>
        <w:ind w:firstLine="482" w:firstLineChars="200"/>
        <w:jc w:val="center"/>
        <w:rPr>
          <w:rFonts w:hint="eastAsia" w:ascii="仿宋" w:hAnsi="仿宋" w:eastAsia="仿宋" w:cs="仿宋"/>
          <w:b/>
          <w:color w:val="auto"/>
          <w:sz w:val="24"/>
          <w:highlight w:val="none"/>
        </w:rPr>
      </w:pPr>
    </w:p>
    <w:p>
      <w:pPr>
        <w:widowControl/>
        <w:spacing w:line="360" w:lineRule="auto"/>
        <w:ind w:firstLine="482" w:firstLineChars="200"/>
        <w:jc w:val="center"/>
        <w:rPr>
          <w:rFonts w:hint="eastAsia" w:ascii="仿宋" w:hAnsi="仿宋" w:eastAsia="仿宋" w:cs="仿宋"/>
          <w:b/>
          <w:color w:val="auto"/>
          <w:sz w:val="24"/>
          <w:highlight w:val="none"/>
        </w:rPr>
      </w:pPr>
    </w:p>
    <w:p>
      <w:pPr>
        <w:widowControl/>
        <w:spacing w:line="360" w:lineRule="auto"/>
        <w:rPr>
          <w:rFonts w:hint="eastAsia" w:ascii="仿宋" w:hAnsi="仿宋" w:eastAsia="仿宋" w:cs="仿宋"/>
          <w:b/>
          <w:color w:val="auto"/>
          <w:sz w:val="24"/>
          <w:highlight w:val="none"/>
        </w:rPr>
      </w:pPr>
    </w:p>
    <w:p>
      <w:pPr>
        <w:widowControl/>
        <w:spacing w:line="360" w:lineRule="auto"/>
        <w:ind w:firstLine="482" w:firstLineChars="200"/>
        <w:jc w:val="center"/>
        <w:rPr>
          <w:rFonts w:hint="eastAsia" w:ascii="仿宋" w:hAnsi="仿宋" w:eastAsia="仿宋" w:cs="仿宋"/>
          <w:b/>
          <w:color w:val="auto"/>
          <w:sz w:val="24"/>
          <w:highlight w:val="none"/>
        </w:rPr>
      </w:pPr>
    </w:p>
    <w:p>
      <w:pPr>
        <w:widowControl/>
        <w:spacing w:line="360"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信用承诺书</w:t>
      </w:r>
    </w:p>
    <w:p>
      <w:pPr>
        <w:widowControl/>
        <w:spacing w:line="360" w:lineRule="auto"/>
        <w:ind w:firstLine="480" w:firstLineChars="200"/>
        <w:rPr>
          <w:rFonts w:hint="eastAsia" w:ascii="仿宋" w:hAnsi="仿宋" w:eastAsia="仿宋" w:cs="仿宋"/>
          <w:bCs/>
          <w:color w:val="auto"/>
          <w:kern w:val="0"/>
          <w:sz w:val="24"/>
          <w:highlight w:val="none"/>
        </w:rPr>
      </w:pPr>
    </w:p>
    <w:p>
      <w:pPr>
        <w:widowControl/>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（投标供应商）现参加（采购项目）政府采购活动，郑重承诺如下：</w:t>
      </w:r>
    </w:p>
    <w:p>
      <w:pPr>
        <w:widowControl/>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对所提供的资料合法性、真实性、准确性和有效性负责；</w:t>
      </w:r>
    </w:p>
    <w:p>
      <w:pPr>
        <w:widowControl/>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严格按照国家法律、法规和规章，依法开展相关经济活动，全面履行应尽的责任和义务；</w:t>
      </w:r>
    </w:p>
    <w:p>
      <w:pPr>
        <w:widowControl/>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加强自我约束、自我规范、自我管理，不制假售假、不虚假宣传、不违约毁约、不恶意逃债、不偷税漏税，诚信依法经营；</w:t>
      </w:r>
    </w:p>
    <w:p>
      <w:pPr>
        <w:widowControl/>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自愿接受行政主管部门的依法检查、违背承诺约定将自愿承担违约责任，并接受法律法规和相关部门规章制度的惩戒和约束；</w:t>
      </w:r>
    </w:p>
    <w:p>
      <w:pPr>
        <w:widowControl/>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widowControl/>
        <w:spacing w:line="360" w:lineRule="auto"/>
        <w:ind w:firstLine="480" w:firstLineChars="200"/>
        <w:rPr>
          <w:rFonts w:hint="eastAsia" w:ascii="仿宋" w:hAnsi="仿宋" w:eastAsia="仿宋" w:cs="仿宋"/>
          <w:bCs/>
          <w:color w:val="auto"/>
          <w:kern w:val="0"/>
          <w:sz w:val="24"/>
          <w:highlight w:val="none"/>
        </w:rPr>
      </w:pPr>
    </w:p>
    <w:p>
      <w:pPr>
        <w:widowControl/>
        <w:spacing w:line="360" w:lineRule="auto"/>
        <w:ind w:firstLine="480" w:firstLineChars="200"/>
        <w:rPr>
          <w:rFonts w:hint="eastAsia" w:ascii="仿宋" w:hAnsi="仿宋" w:eastAsia="仿宋" w:cs="仿宋"/>
          <w:bCs/>
          <w:color w:val="auto"/>
          <w:kern w:val="0"/>
          <w:sz w:val="24"/>
          <w:highlight w:val="none"/>
        </w:rPr>
      </w:pPr>
    </w:p>
    <w:p>
      <w:pPr>
        <w:widowControl/>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统一社会信用代码：</w:t>
      </w:r>
    </w:p>
    <w:p>
      <w:pPr>
        <w:widowControl/>
        <w:spacing w:line="360" w:lineRule="auto"/>
        <w:ind w:firstLine="480" w:firstLineChars="200"/>
        <w:rPr>
          <w:rFonts w:hint="eastAsia" w:ascii="仿宋" w:hAnsi="仿宋" w:eastAsia="仿宋" w:cs="仿宋"/>
          <w:bCs/>
          <w:color w:val="auto"/>
          <w:kern w:val="0"/>
          <w:sz w:val="24"/>
          <w:highlight w:val="none"/>
        </w:rPr>
      </w:pPr>
    </w:p>
    <w:p>
      <w:pPr>
        <w:widowControl/>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承诺单位/个人（盖章/签名）</w:t>
      </w:r>
    </w:p>
    <w:p>
      <w:pPr>
        <w:widowControl/>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时间：202</w:t>
      </w:r>
      <w:r>
        <w:rPr>
          <w:rFonts w:hint="eastAsia" w:ascii="仿宋" w:hAnsi="仿宋" w:eastAsia="仿宋" w:cs="仿宋"/>
          <w:bCs/>
          <w:color w:val="auto"/>
          <w:kern w:val="0"/>
          <w:sz w:val="24"/>
          <w:highlight w:val="none"/>
          <w:lang w:val="en-US" w:eastAsia="zh-CN"/>
        </w:rPr>
        <w:t>3</w:t>
      </w:r>
      <w:r>
        <w:rPr>
          <w:rFonts w:hint="eastAsia" w:ascii="仿宋" w:hAnsi="仿宋" w:eastAsia="仿宋" w:cs="仿宋"/>
          <w:bCs/>
          <w:color w:val="auto"/>
          <w:kern w:val="0"/>
          <w:sz w:val="24"/>
          <w:highlight w:val="none"/>
        </w:rPr>
        <w:t>年 月 日</w:t>
      </w: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br w:type="page"/>
      </w:r>
    </w:p>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投标声明书</w:t>
      </w:r>
    </w:p>
    <w:p>
      <w:pPr>
        <w:snapToGrid w:val="0"/>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致：______</w:t>
      </w:r>
      <w:r>
        <w:rPr>
          <w:rFonts w:hint="eastAsia" w:ascii="仿宋" w:hAnsi="仿宋" w:eastAsia="仿宋" w:cs="仿宋"/>
          <w:color w:val="auto"/>
          <w:sz w:val="24"/>
          <w:highlight w:val="none"/>
          <w:u w:val="single"/>
        </w:rPr>
        <w:t>_     _</w:t>
      </w:r>
      <w:r>
        <w:rPr>
          <w:rFonts w:hint="eastAsia" w:ascii="仿宋" w:hAnsi="仿宋" w:eastAsia="仿宋" w:cs="仿宋"/>
          <w:color w:val="auto"/>
          <w:sz w:val="24"/>
          <w:highlight w:val="none"/>
        </w:rPr>
        <w:t>_（采购代理机构名称）：</w:t>
      </w:r>
    </w:p>
    <w:p>
      <w:pPr>
        <w:snapToGrid w:val="0"/>
        <w:spacing w:line="360" w:lineRule="auto"/>
        <w:ind w:firstLine="720" w:firstLineChars="3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______</w:t>
      </w:r>
      <w:r>
        <w:rPr>
          <w:rFonts w:hint="eastAsia" w:ascii="仿宋" w:hAnsi="仿宋" w:eastAsia="仿宋" w:cs="仿宋"/>
          <w:color w:val="auto"/>
          <w:sz w:val="24"/>
          <w:highlight w:val="none"/>
          <w:u w:val="single"/>
        </w:rPr>
        <w:t>_     _</w:t>
      </w:r>
      <w:r>
        <w:rPr>
          <w:rFonts w:hint="eastAsia" w:ascii="仿宋" w:hAnsi="仿宋" w:eastAsia="仿宋" w:cs="仿宋"/>
          <w:color w:val="auto"/>
          <w:sz w:val="24"/>
          <w:highlight w:val="none"/>
        </w:rPr>
        <w:t>_（投标供应商名称）系中华人民共和国合法企业，经营地址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napToGrid w:val="0"/>
        <w:spacing w:line="360" w:lineRule="auto"/>
        <w:ind w:firstLine="645"/>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我___</w:t>
      </w:r>
      <w:r>
        <w:rPr>
          <w:rFonts w:hint="eastAsia" w:ascii="仿宋" w:hAnsi="仿宋" w:eastAsia="仿宋" w:cs="仿宋"/>
          <w:color w:val="auto"/>
          <w:sz w:val="24"/>
          <w:highlight w:val="none"/>
          <w:u w:val="single"/>
        </w:rPr>
        <w:t xml:space="preserve">    _</w:t>
      </w:r>
      <w:r>
        <w:rPr>
          <w:rFonts w:hint="eastAsia" w:ascii="仿宋" w:hAnsi="仿宋" w:eastAsia="仿宋" w:cs="仿宋"/>
          <w:color w:val="auto"/>
          <w:sz w:val="24"/>
          <w:highlight w:val="none"/>
        </w:rPr>
        <w:t>_（姓名）系______</w:t>
      </w:r>
      <w:r>
        <w:rPr>
          <w:rFonts w:hint="eastAsia" w:ascii="仿宋" w:hAnsi="仿宋" w:eastAsia="仿宋" w:cs="仿宋"/>
          <w:color w:val="auto"/>
          <w:sz w:val="24"/>
          <w:highlight w:val="none"/>
          <w:u w:val="single"/>
        </w:rPr>
        <w:t>_     _</w:t>
      </w:r>
      <w:r>
        <w:rPr>
          <w:rFonts w:hint="eastAsia" w:ascii="仿宋" w:hAnsi="仿宋" w:eastAsia="仿宋" w:cs="仿宋"/>
          <w:color w:val="auto"/>
          <w:sz w:val="24"/>
          <w:highlight w:val="none"/>
        </w:rPr>
        <w:t>_（投标供应商名称）的法定代表人，我方愿意参加贵方组织的_____</w:t>
      </w:r>
      <w:r>
        <w:rPr>
          <w:rFonts w:hint="eastAsia" w:ascii="仿宋" w:hAnsi="仿宋" w:eastAsia="仿宋" w:cs="仿宋"/>
          <w:color w:val="auto"/>
          <w:sz w:val="24"/>
          <w:highlight w:val="none"/>
          <w:u w:val="single"/>
        </w:rPr>
        <w:t>_              _     _</w:t>
      </w:r>
      <w:r>
        <w:rPr>
          <w:rFonts w:hint="eastAsia" w:ascii="仿宋" w:hAnsi="仿宋" w:eastAsia="仿宋" w:cs="仿宋"/>
          <w:color w:val="auto"/>
          <w:sz w:val="24"/>
          <w:highlight w:val="none"/>
        </w:rPr>
        <w:t>_项目的投标，为便于贵方公正、择优地确定中标供应商及其投标产品和服务，我方就本次投标有关事项郑重声明如下：</w:t>
      </w:r>
    </w:p>
    <w:p>
      <w:pPr>
        <w:snapToGrid w:val="0"/>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1.我方向贵方提交的所有投标文件、资料都是准确的和真实的。</w:t>
      </w:r>
    </w:p>
    <w:p>
      <w:pPr>
        <w:snapToGrid w:val="0"/>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3.我方此次向贵方提供的服务为：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4.我方诚意提请贵方关注：售后服务以及性能等方面的重大决策和事项有：</w:t>
      </w:r>
    </w:p>
    <w:p>
      <w:pPr>
        <w:snapToGrid w:val="0"/>
        <w:spacing w:line="360" w:lineRule="auto"/>
        <w:ind w:firstLine="480" w:firstLineChars="200"/>
        <w:rPr>
          <w:rFonts w:hint="eastAsia" w:ascii="仿宋" w:hAnsi="仿宋" w:eastAsia="仿宋" w:cs="仿宋"/>
          <w:color w:val="auto"/>
          <w:sz w:val="24"/>
          <w:szCs w:val="20"/>
          <w:highlight w:val="none"/>
          <w:u w:val="single"/>
        </w:rPr>
      </w:pPr>
      <w:r>
        <w:rPr>
          <w:rFonts w:hint="eastAsia" w:ascii="仿宋" w:hAnsi="仿宋" w:eastAsia="仿宋" w:cs="仿宋"/>
          <w:color w:val="auto"/>
          <w:sz w:val="24"/>
          <w:highlight w:val="none"/>
          <w:u w:val="single"/>
        </w:rPr>
        <w:t>　　　　　　　　　　　　　　　　　　　　　　　　　　　</w:t>
      </w:r>
    </w:p>
    <w:p>
      <w:pPr>
        <w:snapToGrid w:val="0"/>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u w:val="single"/>
        </w:rPr>
        <w:t>　　　　　　　　　　　　　　　　　　　　　　　　　　　</w:t>
      </w:r>
    </w:p>
    <w:p>
      <w:pPr>
        <w:pStyle w:val="3"/>
        <w:snapToGrid w:val="0"/>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5.我方及由本人担任法定代表人的其他机构最近三年内（以法院判决日期为准）被通报（包括被处罚、行贿犯罪）的违法行为有：</w:t>
      </w:r>
    </w:p>
    <w:p>
      <w:pPr>
        <w:snapToGrid w:val="0"/>
        <w:spacing w:line="360" w:lineRule="auto"/>
        <w:ind w:firstLine="480" w:firstLineChars="200"/>
        <w:rPr>
          <w:rFonts w:hint="eastAsia" w:ascii="仿宋" w:hAnsi="仿宋" w:eastAsia="仿宋" w:cs="仿宋"/>
          <w:color w:val="auto"/>
          <w:sz w:val="24"/>
          <w:szCs w:val="20"/>
          <w:highlight w:val="none"/>
          <w:u w:val="single"/>
        </w:rPr>
      </w:pPr>
      <w:r>
        <w:rPr>
          <w:rFonts w:hint="eastAsia" w:ascii="仿宋" w:hAnsi="仿宋" w:eastAsia="仿宋" w:cs="仿宋"/>
          <w:color w:val="auto"/>
          <w:sz w:val="24"/>
          <w:highlight w:val="none"/>
          <w:u w:val="single"/>
        </w:rPr>
        <w:t>　　　　　　　　　　　　　　　　　　　　　　　　　　　</w:t>
      </w:r>
    </w:p>
    <w:p>
      <w:pPr>
        <w:snapToGrid w:val="0"/>
        <w:spacing w:line="360" w:lineRule="auto"/>
        <w:ind w:firstLine="480" w:firstLineChars="200"/>
        <w:rPr>
          <w:rFonts w:hint="eastAsia" w:ascii="仿宋" w:hAnsi="仿宋" w:eastAsia="仿宋" w:cs="仿宋"/>
          <w:color w:val="auto"/>
          <w:sz w:val="24"/>
          <w:szCs w:val="20"/>
          <w:highlight w:val="none"/>
          <w:u w:val="single"/>
        </w:rPr>
      </w:pPr>
      <w:r>
        <w:rPr>
          <w:rFonts w:hint="eastAsia" w:ascii="仿宋" w:hAnsi="仿宋" w:eastAsia="仿宋" w:cs="仿宋"/>
          <w:color w:val="auto"/>
          <w:sz w:val="24"/>
          <w:highlight w:val="none"/>
          <w:u w:val="single"/>
        </w:rPr>
        <w:t>　　　　　　　　　　　　　　　　　　　　　　　　　　　</w:t>
      </w:r>
    </w:p>
    <w:p>
      <w:pPr>
        <w:snapToGrid w:val="0"/>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6.以上事项如有虚假或隐瞒，我方愿意承担一切后果，并不再寻求任何旨在减轻或免除法律责任的辩解。</w:t>
      </w:r>
    </w:p>
    <w:p>
      <w:pPr>
        <w:pStyle w:val="11"/>
        <w:tabs>
          <w:tab w:val="left" w:pos="939"/>
        </w:tabs>
        <w:snapToGrid w:val="0"/>
        <w:ind w:left="773" w:leftChars="150" w:hanging="458" w:hangingChars="191"/>
        <w:rPr>
          <w:rFonts w:hint="eastAsia" w:ascii="仿宋" w:hAnsi="仿宋" w:eastAsia="仿宋" w:cs="仿宋"/>
          <w:color w:val="auto"/>
          <w:sz w:val="24"/>
          <w:highlight w:val="none"/>
        </w:rPr>
      </w:pPr>
    </w:p>
    <w:p>
      <w:pPr>
        <w:snapToGrid w:val="0"/>
        <w:spacing w:before="120" w:beforeLines="50"/>
        <w:ind w:firstLine="37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投标供应商全称（公章）：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napToGrid w:val="0"/>
        <w:spacing w:before="120" w:beforeLines="50"/>
        <w:ind w:firstLine="3780"/>
        <w:rPr>
          <w:rFonts w:hint="eastAsia" w:ascii="仿宋" w:hAnsi="仿宋" w:eastAsia="仿宋" w:cs="仿宋"/>
          <w:color w:val="auto"/>
          <w:sz w:val="24"/>
          <w:szCs w:val="20"/>
          <w:highlight w:val="none"/>
          <w:u w:val="single"/>
        </w:rPr>
      </w:pPr>
      <w:r>
        <w:rPr>
          <w:rFonts w:hint="eastAsia" w:ascii="仿宋" w:hAnsi="仿宋" w:eastAsia="仿宋" w:cs="仿宋"/>
          <w:color w:val="auto"/>
          <w:sz w:val="24"/>
          <w:highlight w:val="none"/>
        </w:rPr>
        <w:t>法定代表人或其授权代表签字：</w:t>
      </w:r>
      <w:r>
        <w:rPr>
          <w:rFonts w:hint="eastAsia" w:ascii="仿宋" w:hAnsi="仿宋" w:eastAsia="仿宋" w:cs="仿宋"/>
          <w:color w:val="auto"/>
          <w:sz w:val="24"/>
          <w:highlight w:val="none"/>
          <w:u w:val="single"/>
        </w:rPr>
        <w:t xml:space="preserve">             </w:t>
      </w:r>
    </w:p>
    <w:p>
      <w:pPr>
        <w:snapToGrid w:val="0"/>
        <w:spacing w:before="120" w:beforeLines="50" w:after="50"/>
        <w:ind w:firstLine="240" w:firstLineChars="100"/>
        <w:rPr>
          <w:rFonts w:hint="eastAsia" w:ascii="仿宋" w:hAnsi="仿宋" w:eastAsia="仿宋" w:cs="仿宋"/>
          <w:color w:val="auto"/>
          <w:sz w:val="24"/>
          <w:szCs w:val="20"/>
          <w:highlight w:val="none"/>
        </w:rPr>
        <w:sectPr>
          <w:headerReference r:id="rId3" w:type="default"/>
          <w:footerReference r:id="rId4" w:type="default"/>
          <w:pgSz w:w="11906" w:h="16838"/>
          <w:pgMar w:top="1247" w:right="1304" w:bottom="1020" w:left="1304" w:header="567" w:footer="720" w:gutter="0"/>
          <w:cols w:space="720" w:num="1"/>
          <w:docGrid w:linePitch="312" w:charSpace="0"/>
        </w:sectPr>
      </w:pPr>
      <w:r>
        <w:rPr>
          <w:rFonts w:hint="eastAsia" w:ascii="仿宋" w:hAnsi="仿宋" w:eastAsia="仿宋" w:cs="仿宋"/>
          <w:color w:val="auto"/>
          <w:sz w:val="24"/>
          <w:highlight w:val="none"/>
        </w:rPr>
        <w:t xml:space="preserve">                                             年    月  </w:t>
      </w:r>
    </w:p>
    <w:p>
      <w:pPr>
        <w:autoSpaceDE w:val="0"/>
        <w:autoSpaceDN w:val="0"/>
        <w:adjustRightInd w:val="0"/>
        <w:spacing w:line="360" w:lineRule="auto"/>
        <w:jc w:val="left"/>
        <w:rPr>
          <w:rFonts w:hint="eastAsia" w:ascii="仿宋" w:hAnsi="仿宋" w:eastAsia="仿宋" w:cs="仿宋"/>
          <w:b/>
          <w:bCs/>
          <w:color w:val="auto"/>
          <w:sz w:val="24"/>
          <w:highlight w:val="none"/>
        </w:rPr>
      </w:pPr>
    </w:p>
    <w:p>
      <w:pPr>
        <w:autoSpaceDE w:val="0"/>
        <w:autoSpaceDN w:val="0"/>
        <w:adjustRightInd w:val="0"/>
        <w:spacing w:line="360" w:lineRule="auto"/>
        <w:ind w:firstLine="602" w:firstLineChars="250"/>
        <w:jc w:val="left"/>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rPr>
        <w:t>6</w:t>
      </w:r>
      <w:r>
        <w:rPr>
          <w:rFonts w:hint="eastAsia" w:ascii="仿宋" w:hAnsi="仿宋" w:eastAsia="仿宋" w:cs="仿宋"/>
          <w:b/>
          <w:bCs/>
          <w:color w:val="auto"/>
          <w:sz w:val="24"/>
          <w:highlight w:val="none"/>
          <w:lang w:val="zh-CN"/>
        </w:rPr>
        <w:t>. 报价文件：</w:t>
      </w:r>
    </w:p>
    <w:p>
      <w:pPr>
        <w:autoSpaceDE w:val="0"/>
        <w:autoSpaceDN w:val="0"/>
        <w:adjustRightInd w:val="0"/>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1）投标函；</w:t>
      </w:r>
    </w:p>
    <w:p>
      <w:pPr>
        <w:autoSpaceDE w:val="0"/>
        <w:autoSpaceDN w:val="0"/>
        <w:adjustRightInd w:val="0"/>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2）报价一览表；</w:t>
      </w:r>
    </w:p>
    <w:p>
      <w:pPr>
        <w:autoSpaceDE w:val="0"/>
        <w:autoSpaceDN w:val="0"/>
        <w:adjustRightInd w:val="0"/>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3）项目报价明细表；</w:t>
      </w:r>
    </w:p>
    <w:p>
      <w:pPr>
        <w:autoSpaceDE w:val="0"/>
        <w:autoSpaceDN w:val="0"/>
        <w:adjustRightInd w:val="0"/>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4）中小企业声明函及相关证明材料（若有，格式见附件）；</w:t>
      </w:r>
    </w:p>
    <w:p>
      <w:pPr>
        <w:autoSpaceDE w:val="0"/>
        <w:autoSpaceDN w:val="0"/>
        <w:adjustRightInd w:val="0"/>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5）残疾人福利企业声明函及相关证明材料（若有，格式见附件）；</w:t>
      </w:r>
    </w:p>
    <w:p>
      <w:pPr>
        <w:autoSpaceDE w:val="0"/>
        <w:autoSpaceDN w:val="0"/>
        <w:adjustRightInd w:val="0"/>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6）属于监狱企业的相关证明文件（若有）；</w:t>
      </w:r>
    </w:p>
    <w:p>
      <w:pPr>
        <w:autoSpaceDE w:val="0"/>
        <w:autoSpaceDN w:val="0"/>
        <w:adjustRightInd w:val="0"/>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）投标供应商针对报价需要说明的其他文件和说明。</w:t>
      </w:r>
    </w:p>
    <w:p>
      <w:pPr>
        <w:autoSpaceDE w:val="0"/>
        <w:autoSpaceDN w:val="0"/>
        <w:adjustRightInd w:val="0"/>
        <w:spacing w:line="360" w:lineRule="auto"/>
        <w:ind w:firstLine="361" w:firstLineChars="1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▲注：法定代表人授权委托书、投标声明书、投标函、报价一览表必须由法定代表人或其授权委托人签名（签章）并加盖单位公章。</w:t>
      </w:r>
    </w:p>
    <w:p>
      <w:pPr>
        <w:spacing w:line="400" w:lineRule="exact"/>
        <w:jc w:val="center"/>
        <w:rPr>
          <w:rFonts w:hint="eastAsia" w:ascii="仿宋" w:hAnsi="仿宋" w:eastAsia="仿宋" w:cs="仿宋"/>
          <w:b/>
          <w:color w:val="auto"/>
          <w:sz w:val="24"/>
          <w:szCs w:val="20"/>
          <w:highlight w:val="none"/>
        </w:rPr>
      </w:pPr>
      <w:r>
        <w:rPr>
          <w:rFonts w:hint="eastAsia" w:ascii="仿宋" w:hAnsi="仿宋" w:eastAsia="仿宋" w:cs="仿宋"/>
          <w:b/>
          <w:bCs/>
          <w:color w:val="auto"/>
          <w:spacing w:val="14"/>
          <w:sz w:val="30"/>
          <w:highlight w:val="none"/>
        </w:rPr>
        <w:br w:type="page"/>
      </w:r>
      <w:r>
        <w:rPr>
          <w:rFonts w:hint="eastAsia" w:ascii="仿宋" w:hAnsi="仿宋" w:eastAsia="仿宋" w:cs="仿宋"/>
          <w:b/>
          <w:color w:val="auto"/>
          <w:sz w:val="24"/>
          <w:szCs w:val="20"/>
          <w:highlight w:val="none"/>
        </w:rPr>
        <w:t xml:space="preserve"> 投标函</w:t>
      </w:r>
    </w:p>
    <w:p>
      <w:pPr>
        <w:pStyle w:val="12"/>
        <w:spacing w:line="480" w:lineRule="exact"/>
        <w:rPr>
          <w:rFonts w:hint="eastAsia" w:ascii="仿宋" w:hAnsi="仿宋" w:eastAsia="仿宋" w:cs="仿宋"/>
          <w:b/>
          <w:color w:val="auto"/>
          <w:sz w:val="24"/>
          <w:szCs w:val="24"/>
          <w:highlight w:val="none"/>
          <w:u w:val="single"/>
        </w:rPr>
      </w:pPr>
      <w:r>
        <w:rPr>
          <w:rFonts w:hint="eastAsia" w:ascii="仿宋" w:hAnsi="仿宋" w:eastAsia="仿宋" w:cs="仿宋"/>
          <w:color w:val="auto"/>
          <w:sz w:val="24"/>
          <w:szCs w:val="24"/>
          <w:highlight w:val="none"/>
          <w:lang w:eastAsia="zh-CN"/>
        </w:rPr>
        <w:t>浙江诚远工程咨询有限公司</w:t>
      </w:r>
      <w:r>
        <w:rPr>
          <w:rFonts w:hint="eastAsia" w:ascii="仿宋" w:hAnsi="仿宋" w:eastAsia="仿宋" w:cs="仿宋"/>
          <w:b/>
          <w:color w:val="auto"/>
          <w:sz w:val="24"/>
          <w:szCs w:val="24"/>
          <w:highlight w:val="none"/>
        </w:rPr>
        <w:t>：</w:t>
      </w:r>
    </w:p>
    <w:p>
      <w:pPr>
        <w:autoSpaceDE w:val="0"/>
        <w:autoSpaceDN w:val="0"/>
        <w:spacing w:line="480" w:lineRule="exact"/>
        <w:ind w:firstLine="480"/>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u w:val="single"/>
          <w:lang w:val="zh-CN"/>
        </w:rPr>
        <w:t xml:space="preserve">           </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（供应商全称）授权</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 xml:space="preserve"> （授权代表名称）</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（职务、职称）为授权代表，参加贵方组织的</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（采购项目名称）（括号内填采购编号）采购的有关活动，并对</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 xml:space="preserve">项目（采购项目名称）进行报价。为此： </w:t>
      </w:r>
    </w:p>
    <w:p>
      <w:pPr>
        <w:autoSpaceDE w:val="0"/>
        <w:autoSpaceDN w:val="0"/>
        <w:spacing w:line="480" w:lineRule="exact"/>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1、提供投标供应商须知规定的全部报价文件。</w:t>
      </w:r>
    </w:p>
    <w:p>
      <w:pPr>
        <w:autoSpaceDE w:val="0"/>
        <w:autoSpaceDN w:val="0"/>
        <w:spacing w:line="480" w:lineRule="exact"/>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2、保证遵守</w:t>
      </w:r>
      <w:r>
        <w:rPr>
          <w:rFonts w:hint="eastAsia" w:ascii="仿宋" w:hAnsi="仿宋" w:eastAsia="仿宋" w:cs="仿宋"/>
          <w:color w:val="auto"/>
          <w:sz w:val="24"/>
          <w:highlight w:val="none"/>
        </w:rPr>
        <w:t>公开招标</w:t>
      </w:r>
      <w:r>
        <w:rPr>
          <w:rFonts w:hint="eastAsia" w:ascii="仿宋" w:hAnsi="仿宋" w:eastAsia="仿宋" w:cs="仿宋"/>
          <w:color w:val="auto"/>
          <w:sz w:val="24"/>
          <w:highlight w:val="none"/>
          <w:lang w:val="zh-CN"/>
        </w:rPr>
        <w:t>采购文件中的有关规定和收费标准。</w:t>
      </w:r>
    </w:p>
    <w:p>
      <w:pPr>
        <w:autoSpaceDE w:val="0"/>
        <w:autoSpaceDN w:val="0"/>
        <w:spacing w:line="480" w:lineRule="exact"/>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3、保证诚信地执行采购人、中标供应商双方所签的合同， 并承担合同规定的责任义务。</w:t>
      </w:r>
    </w:p>
    <w:p>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4、我方对交货期承诺如下：中标供应商在</w:t>
      </w:r>
      <w:r>
        <w:rPr>
          <w:rFonts w:hint="eastAsia" w:ascii="仿宋" w:hAnsi="仿宋" w:eastAsia="仿宋" w:cs="仿宋"/>
          <w:color w:val="auto"/>
          <w:sz w:val="24"/>
          <w:highlight w:val="none"/>
        </w:rPr>
        <w:t>合同签订后</w:t>
      </w:r>
      <w:r>
        <w:rPr>
          <w:rFonts w:hint="eastAsia" w:ascii="仿宋" w:hAnsi="仿宋" w:eastAsia="仿宋" w:cs="仿宋"/>
          <w:color w:val="auto"/>
          <w:sz w:val="24"/>
          <w:highlight w:val="none"/>
          <w:lang w:val="zh-CN"/>
        </w:rPr>
        <w:t>按业主要求</w:t>
      </w:r>
      <w:r>
        <w:rPr>
          <w:rFonts w:hint="eastAsia" w:ascii="仿宋" w:hAnsi="仿宋" w:eastAsia="仿宋" w:cs="仿宋"/>
          <w:color w:val="auto"/>
          <w:sz w:val="24"/>
          <w:highlight w:val="none"/>
        </w:rPr>
        <w:t>交货</w:t>
      </w:r>
      <w:r>
        <w:rPr>
          <w:rFonts w:hint="eastAsia" w:ascii="仿宋" w:hAnsi="仿宋" w:eastAsia="仿宋" w:cs="仿宋"/>
          <w:color w:val="auto"/>
          <w:sz w:val="24"/>
          <w:highlight w:val="none"/>
          <w:lang w:val="zh-CN"/>
        </w:rPr>
        <w:t>。</w:t>
      </w:r>
    </w:p>
    <w:p>
      <w:pPr>
        <w:spacing w:line="480" w:lineRule="exact"/>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5、投标供应商已详细审查全部</w:t>
      </w:r>
      <w:r>
        <w:rPr>
          <w:rFonts w:hint="eastAsia" w:ascii="仿宋" w:hAnsi="仿宋" w:eastAsia="仿宋" w:cs="仿宋"/>
          <w:color w:val="auto"/>
          <w:sz w:val="24"/>
          <w:highlight w:val="none"/>
        </w:rPr>
        <w:t>公开招标</w:t>
      </w:r>
      <w:r>
        <w:rPr>
          <w:rFonts w:hint="eastAsia" w:ascii="仿宋" w:hAnsi="仿宋" w:eastAsia="仿宋" w:cs="仿宋"/>
          <w:color w:val="auto"/>
          <w:sz w:val="24"/>
          <w:highlight w:val="none"/>
          <w:lang w:val="zh-CN"/>
        </w:rPr>
        <w:t>采购文件，包括</w:t>
      </w:r>
      <w:r>
        <w:rPr>
          <w:rFonts w:hint="eastAsia" w:ascii="仿宋" w:hAnsi="仿宋" w:eastAsia="仿宋" w:cs="仿宋"/>
          <w:color w:val="auto"/>
          <w:sz w:val="24"/>
          <w:highlight w:val="none"/>
        </w:rPr>
        <w:t>公开招标</w:t>
      </w:r>
      <w:r>
        <w:rPr>
          <w:rFonts w:hint="eastAsia" w:ascii="仿宋" w:hAnsi="仿宋" w:eastAsia="仿宋" w:cs="仿宋"/>
          <w:color w:val="auto"/>
          <w:sz w:val="24"/>
          <w:highlight w:val="none"/>
          <w:lang w:val="zh-CN"/>
        </w:rPr>
        <w:t>采购文件补充文件（如果有的话）。我方完全理解并同意放弃对这方面有不明及误解的权力。如果</w:t>
      </w:r>
      <w:r>
        <w:rPr>
          <w:rFonts w:hint="eastAsia" w:ascii="仿宋" w:hAnsi="仿宋" w:eastAsia="仿宋" w:cs="仿宋"/>
          <w:color w:val="auto"/>
          <w:sz w:val="24"/>
          <w:highlight w:val="none"/>
        </w:rPr>
        <w:t>公开招标</w:t>
      </w:r>
      <w:r>
        <w:rPr>
          <w:rFonts w:hint="eastAsia" w:ascii="仿宋" w:hAnsi="仿宋" w:eastAsia="仿宋" w:cs="仿宋"/>
          <w:color w:val="auto"/>
          <w:sz w:val="24"/>
          <w:highlight w:val="none"/>
          <w:lang w:val="zh-CN"/>
        </w:rPr>
        <w:t>采购文件有相互矛盾之处，我方同意按采购人的理解处理。</w:t>
      </w:r>
    </w:p>
    <w:p>
      <w:pPr>
        <w:spacing w:line="480" w:lineRule="exact"/>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6、利益冲突：近三年内直至目前，我公司与本项目的采购人、采购机构没有任何的隶属关系。</w:t>
      </w:r>
    </w:p>
    <w:p>
      <w:pPr>
        <w:spacing w:line="480" w:lineRule="exact"/>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7、我公司没有被本项目所在地的政府采购管理部门限制参加报价。</w:t>
      </w:r>
    </w:p>
    <w:p>
      <w:pPr>
        <w:spacing w:line="480" w:lineRule="exact"/>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8、愿意向贵方提供任何与该项报价有关的数据、情况和技术资料，完全理解贵方不一定接受最低价的报价或收到的任何报价。</w:t>
      </w:r>
    </w:p>
    <w:p>
      <w:pPr>
        <w:spacing w:line="480" w:lineRule="exact"/>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9、本报价文件自报价之日起60天内有效。</w:t>
      </w:r>
    </w:p>
    <w:p>
      <w:pPr>
        <w:spacing w:line="480" w:lineRule="exact"/>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10、兹证明上述声明是真实的、正确的，并提供了全部能提供的资料和数据，我们同意遵照贵方要求出示有关证明文件。</w:t>
      </w:r>
    </w:p>
    <w:p>
      <w:pPr>
        <w:autoSpaceDE w:val="0"/>
        <w:autoSpaceDN w:val="0"/>
        <w:adjustRightInd w:val="0"/>
        <w:spacing w:line="480" w:lineRule="exact"/>
        <w:ind w:firstLine="588" w:firstLineChars="24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以上事项如有虚假或隐瞒，我方愿意承担一切后果，并不再寻求任何旨在减轻或免除法律责任的辩解。</w:t>
      </w:r>
    </w:p>
    <w:p>
      <w:pPr>
        <w:autoSpaceDE w:val="0"/>
        <w:autoSpaceDN w:val="0"/>
        <w:adjustRightInd w:val="0"/>
        <w:spacing w:line="480" w:lineRule="exact"/>
        <w:ind w:firstLine="482" w:firstLineChars="201"/>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投标供应商全称（盖章）：</w:t>
      </w:r>
    </w:p>
    <w:p>
      <w:pPr>
        <w:autoSpaceDE w:val="0"/>
        <w:autoSpaceDN w:val="0"/>
        <w:adjustRightInd w:val="0"/>
        <w:spacing w:line="480" w:lineRule="exact"/>
        <w:ind w:firstLine="482" w:firstLineChars="201"/>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授权代表（签字）：</w:t>
      </w:r>
    </w:p>
    <w:p>
      <w:pPr>
        <w:autoSpaceDE w:val="0"/>
        <w:autoSpaceDN w:val="0"/>
        <w:adjustRightInd w:val="0"/>
        <w:spacing w:line="480" w:lineRule="exact"/>
        <w:ind w:firstLine="482" w:firstLineChars="201"/>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日期：</w:t>
      </w:r>
    </w:p>
    <w:p>
      <w:pPr>
        <w:spacing w:line="400" w:lineRule="exact"/>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br w:type="page"/>
      </w:r>
      <w:r>
        <w:rPr>
          <w:rFonts w:hint="eastAsia" w:ascii="仿宋" w:hAnsi="仿宋" w:eastAsia="仿宋" w:cs="仿宋"/>
          <w:b/>
          <w:color w:val="auto"/>
          <w:sz w:val="24"/>
          <w:szCs w:val="20"/>
          <w:highlight w:val="none"/>
        </w:rPr>
        <w:t xml:space="preserve"> 投标报价一览表</w:t>
      </w:r>
    </w:p>
    <w:p>
      <w:pPr>
        <w:spacing w:line="400" w:lineRule="exact"/>
        <w:jc w:val="center"/>
        <w:rPr>
          <w:rFonts w:hint="eastAsia" w:ascii="仿宋" w:hAnsi="仿宋" w:eastAsia="仿宋" w:cs="仿宋"/>
          <w:b/>
          <w:bCs/>
          <w:color w:val="auto"/>
          <w:sz w:val="24"/>
          <w:highlight w:val="none"/>
        </w:rPr>
      </w:pPr>
    </w:p>
    <w:bookmarkEnd w:id="51"/>
    <w:p>
      <w:pPr>
        <w:spacing w:line="600" w:lineRule="exact"/>
        <w:ind w:firstLine="30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供应商全称（加盖公章）：      </w:t>
      </w:r>
    </w:p>
    <w:p>
      <w:pPr>
        <w:spacing w:line="600" w:lineRule="exact"/>
        <w:ind w:firstLine="30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项目编号：                </w:t>
      </w:r>
    </w:p>
    <w:p>
      <w:pPr>
        <w:ind w:firstLine="309"/>
        <w:rPr>
          <w:rFonts w:hint="eastAsia" w:ascii="仿宋" w:hAnsi="仿宋" w:eastAsia="仿宋" w:cs="仿宋"/>
          <w:color w:val="auto"/>
          <w:sz w:val="24"/>
          <w:highlight w:val="none"/>
        </w:rPr>
      </w:pPr>
    </w:p>
    <w:p>
      <w:pPr>
        <w:ind w:firstLine="30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投标供应商全称（加盖公章）：</w:t>
      </w:r>
    </w:p>
    <w:p>
      <w:pPr>
        <w:ind w:firstLine="30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bl>
      <w:tblPr>
        <w:tblStyle w:val="18"/>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1"/>
        <w:gridCol w:w="3218"/>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211" w:type="dxa"/>
            <w:noWrap w:val="0"/>
            <w:vAlign w:val="top"/>
          </w:tcPr>
          <w:p>
            <w:pPr>
              <w:pStyle w:val="12"/>
              <w:spacing w:line="48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项目名称</w:t>
            </w:r>
          </w:p>
        </w:tc>
        <w:tc>
          <w:tcPr>
            <w:tcW w:w="3218" w:type="dxa"/>
            <w:noWrap w:val="0"/>
            <w:vAlign w:val="top"/>
          </w:tcPr>
          <w:p>
            <w:pPr>
              <w:pStyle w:val="12"/>
              <w:spacing w:line="48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投标报价（元）</w:t>
            </w:r>
          </w:p>
        </w:tc>
        <w:tc>
          <w:tcPr>
            <w:tcW w:w="3211" w:type="dxa"/>
            <w:noWrap w:val="0"/>
            <w:vAlign w:val="top"/>
          </w:tcPr>
          <w:p>
            <w:pPr>
              <w:pStyle w:val="12"/>
              <w:spacing w:line="480" w:lineRule="exact"/>
              <w:jc w:val="center"/>
              <w:rPr>
                <w:rFonts w:ascii="仿宋" w:hAnsi="仿宋" w:eastAsia="仿宋" w:cs="仿宋"/>
                <w:b/>
                <w:color w:val="auto"/>
                <w:highlight w:val="none"/>
              </w:rPr>
            </w:pPr>
            <w:r>
              <w:rPr>
                <w:rFonts w:hint="eastAsia" w:ascii="仿宋" w:hAnsi="仿宋" w:eastAsia="仿宋" w:cs="仿宋"/>
                <w:b/>
                <w:color w:val="auto"/>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211" w:type="dxa"/>
            <w:noWrap w:val="0"/>
            <w:vAlign w:val="center"/>
          </w:tcPr>
          <w:p>
            <w:pPr>
              <w:pStyle w:val="12"/>
              <w:spacing w:line="480" w:lineRule="exact"/>
              <w:jc w:val="center"/>
              <w:rPr>
                <w:rFonts w:hint="eastAsia" w:ascii="仿宋" w:hAnsi="仿宋" w:eastAsia="仿宋" w:cs="仿宋"/>
                <w:b/>
                <w:color w:val="auto"/>
                <w:highlight w:val="none"/>
              </w:rPr>
            </w:pPr>
          </w:p>
        </w:tc>
        <w:tc>
          <w:tcPr>
            <w:tcW w:w="3218" w:type="dxa"/>
            <w:noWrap w:val="0"/>
            <w:vAlign w:val="top"/>
          </w:tcPr>
          <w:p>
            <w:pPr>
              <w:pStyle w:val="12"/>
              <w:spacing w:line="480" w:lineRule="exact"/>
              <w:rPr>
                <w:rFonts w:hint="eastAsia" w:ascii="仿宋" w:hAnsi="仿宋" w:eastAsia="仿宋" w:cs="仿宋"/>
                <w:b/>
                <w:color w:val="auto"/>
                <w:highlight w:val="none"/>
              </w:rPr>
            </w:pPr>
            <w:r>
              <w:rPr>
                <w:rFonts w:hint="eastAsia" w:ascii="仿宋" w:hAnsi="仿宋" w:eastAsia="仿宋" w:cs="仿宋"/>
                <w:b/>
                <w:color w:val="auto"/>
                <w:highlight w:val="none"/>
              </w:rPr>
              <w:t xml:space="preserve">          </w:t>
            </w:r>
          </w:p>
        </w:tc>
        <w:tc>
          <w:tcPr>
            <w:tcW w:w="3211" w:type="dxa"/>
            <w:noWrap w:val="0"/>
            <w:vAlign w:val="top"/>
          </w:tcPr>
          <w:p>
            <w:pPr>
              <w:pStyle w:val="12"/>
              <w:spacing w:line="480" w:lineRule="exact"/>
              <w:jc w:val="center"/>
              <w:rPr>
                <w:rFonts w:hint="eastAsia" w:ascii="仿宋" w:hAnsi="仿宋" w:eastAsia="仿宋" w:cs="仿宋"/>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640" w:type="dxa"/>
            <w:gridSpan w:val="3"/>
            <w:noWrap w:val="0"/>
            <w:vAlign w:val="center"/>
          </w:tcPr>
          <w:p>
            <w:pPr>
              <w:pStyle w:val="12"/>
              <w:spacing w:line="480" w:lineRule="exact"/>
              <w:ind w:firstLine="211" w:firstLineChars="100"/>
              <w:rPr>
                <w:rFonts w:hint="eastAsia" w:ascii="仿宋" w:hAnsi="仿宋" w:eastAsia="仿宋" w:cs="仿宋"/>
                <w:b/>
                <w:color w:val="auto"/>
                <w:highlight w:val="none"/>
              </w:rPr>
            </w:pPr>
            <w:r>
              <w:rPr>
                <w:rFonts w:hint="eastAsia" w:ascii="仿宋" w:hAnsi="仿宋" w:eastAsia="仿宋" w:cs="仿宋"/>
                <w:b/>
                <w:color w:val="auto"/>
                <w:highlight w:val="none"/>
              </w:rPr>
              <w:t>大写：                  元 （￥：            元）</w:t>
            </w:r>
          </w:p>
        </w:tc>
      </w:tr>
    </w:tbl>
    <w:p>
      <w:pPr>
        <w:snapToGrid w:val="0"/>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pPr>
        <w:numPr>
          <w:ilvl w:val="0"/>
          <w:numId w:val="10"/>
        </w:numPr>
        <w:snapToGrid w:val="0"/>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报价一经涂改，应在涂改处加盖单位公章或者由法定代表人或授权委托人签字或盖章，否则其投标作无效标处理。</w:t>
      </w:r>
    </w:p>
    <w:p>
      <w:pPr>
        <w:numPr>
          <w:ilvl w:val="0"/>
          <w:numId w:val="10"/>
        </w:numPr>
        <w:snapToGrid w:val="0"/>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投标费用包括项目实施所施一切费用。</w:t>
      </w:r>
    </w:p>
    <w:p>
      <w:pPr>
        <w:spacing w:line="360" w:lineRule="auto"/>
        <w:rPr>
          <w:rFonts w:hint="eastAsia" w:ascii="仿宋" w:hAnsi="仿宋" w:eastAsia="仿宋" w:cs="仿宋"/>
          <w:color w:val="auto"/>
          <w:sz w:val="24"/>
          <w:highlight w:val="none"/>
        </w:rPr>
      </w:pPr>
    </w:p>
    <w:p>
      <w:pPr>
        <w:pStyle w:val="23"/>
        <w:rPr>
          <w:rFonts w:hint="eastAsia" w:ascii="仿宋" w:hAnsi="仿宋" w:eastAsia="仿宋" w:cs="仿宋"/>
          <w:color w:val="auto"/>
          <w:sz w:val="24"/>
          <w:highlight w:val="none"/>
        </w:rPr>
      </w:pPr>
    </w:p>
    <w:p>
      <w:pPr>
        <w:pStyle w:val="9"/>
        <w:rPr>
          <w:rFonts w:hint="eastAsia" w:ascii="仿宋" w:hAnsi="仿宋" w:eastAsia="仿宋" w:cs="仿宋"/>
          <w:color w:val="auto"/>
          <w:sz w:val="24"/>
          <w:highlight w:val="none"/>
        </w:rPr>
      </w:pPr>
    </w:p>
    <w:p>
      <w:pPr>
        <w:pStyle w:val="10"/>
        <w:ind w:firstLine="281"/>
        <w:rPr>
          <w:rFonts w:hint="eastAsia"/>
          <w:color w:val="auto"/>
          <w:highlight w:val="none"/>
        </w:rPr>
      </w:pP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法定代表人或法定代表人授权代理人签字或盖章：</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600" w:lineRule="exact"/>
        <w:ind w:firstLine="480" w:firstLineChars="200"/>
        <w:rPr>
          <w:rFonts w:hint="eastAsia" w:ascii="仿宋" w:hAnsi="仿宋" w:eastAsia="仿宋" w:cs="仿宋"/>
          <w:color w:val="auto"/>
          <w:sz w:val="24"/>
          <w:highlight w:val="none"/>
        </w:rPr>
      </w:pPr>
    </w:p>
    <w:p>
      <w:pPr>
        <w:pStyle w:val="2"/>
        <w:ind w:firstLine="482"/>
        <w:rPr>
          <w:rFonts w:hint="eastAsia" w:ascii="仿宋" w:hAnsi="仿宋" w:eastAsia="仿宋" w:cs="仿宋"/>
          <w:color w:val="auto"/>
          <w:sz w:val="24"/>
          <w:highlight w:val="none"/>
        </w:rPr>
      </w:pPr>
    </w:p>
    <w:p>
      <w:pPr>
        <w:pStyle w:val="2"/>
        <w:ind w:firstLine="482"/>
        <w:rPr>
          <w:rFonts w:hint="eastAsia" w:ascii="仿宋" w:hAnsi="仿宋" w:eastAsia="仿宋" w:cs="仿宋"/>
          <w:color w:val="auto"/>
          <w:sz w:val="24"/>
          <w:highlight w:val="none"/>
        </w:rPr>
      </w:pPr>
    </w:p>
    <w:p>
      <w:pPr>
        <w:pStyle w:val="2"/>
        <w:ind w:left="0" w:leftChars="0" w:firstLine="0" w:firstLineChars="0"/>
        <w:rPr>
          <w:rFonts w:hint="eastAsia" w:ascii="仿宋" w:hAnsi="仿宋" w:eastAsia="仿宋" w:cs="仿宋"/>
          <w:bCs/>
          <w:color w:val="auto"/>
          <w:sz w:val="28"/>
          <w:szCs w:val="28"/>
          <w:highlight w:val="none"/>
        </w:rPr>
      </w:pPr>
    </w:p>
    <w:p>
      <w:pPr>
        <w:spacing w:line="400" w:lineRule="exact"/>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报价明细表（根据需要格式自拟）</w:t>
      </w: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rPr>
          <w:rFonts w:hint="eastAsia" w:ascii="仿宋" w:hAnsi="仿宋" w:eastAsia="仿宋" w:cs="仿宋"/>
          <w:b/>
          <w:color w:val="auto"/>
          <w:highlight w:val="none"/>
        </w:rPr>
      </w:pPr>
      <w:r>
        <w:rPr>
          <w:rFonts w:hint="eastAsia" w:ascii="仿宋" w:hAnsi="仿宋" w:eastAsia="仿宋" w:cs="仿宋"/>
          <w:color w:val="auto"/>
          <w:sz w:val="24"/>
          <w:highlight w:val="none"/>
        </w:rPr>
        <w:t>投标人全称（加盖公章）：                    招标文件编号：</w:t>
      </w:r>
    </w:p>
    <w:p>
      <w:pPr>
        <w:spacing w:line="46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投标单位：(盖章) </w:t>
      </w:r>
    </w:p>
    <w:p>
      <w:pPr>
        <w:spacing w:line="46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w:t>
      </w:r>
    </w:p>
    <w:p>
      <w:pPr>
        <w:pStyle w:val="2"/>
        <w:ind w:firstLine="482"/>
        <w:jc w:val="center"/>
        <w:rPr>
          <w:rFonts w:hint="eastAsia" w:ascii="仿宋" w:hAnsi="仿宋" w:eastAsia="仿宋" w:cs="仿宋"/>
          <w:bCs/>
          <w:color w:val="auto"/>
          <w:sz w:val="24"/>
          <w:highlight w:val="none"/>
        </w:rPr>
      </w:pPr>
    </w:p>
    <w:p>
      <w:pPr>
        <w:pStyle w:val="2"/>
        <w:ind w:firstLine="482"/>
        <w:jc w:val="center"/>
        <w:rPr>
          <w:rFonts w:hint="eastAsia" w:ascii="仿宋" w:hAnsi="仿宋" w:eastAsia="仿宋" w:cs="仿宋"/>
          <w:bCs/>
          <w:color w:val="auto"/>
          <w:sz w:val="24"/>
          <w:highlight w:val="none"/>
        </w:rPr>
      </w:pPr>
    </w:p>
    <w:p>
      <w:pPr>
        <w:pStyle w:val="2"/>
        <w:ind w:firstLine="482"/>
        <w:jc w:val="center"/>
        <w:rPr>
          <w:rFonts w:hint="eastAsia" w:ascii="仿宋" w:hAnsi="仿宋" w:eastAsia="仿宋" w:cs="仿宋"/>
          <w:bCs/>
          <w:color w:val="auto"/>
          <w:sz w:val="24"/>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p>
    <w:p>
      <w:pPr>
        <w:spacing w:line="400" w:lineRule="exact"/>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br w:type="page"/>
      </w:r>
    </w:p>
    <w:p>
      <w:pPr>
        <w:spacing w:line="400" w:lineRule="exact"/>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招标代理服务费承诺函</w:t>
      </w:r>
    </w:p>
    <w:p>
      <w:pPr>
        <w:spacing w:line="400" w:lineRule="exact"/>
        <w:jc w:val="center"/>
        <w:rPr>
          <w:rFonts w:hint="eastAsia" w:ascii="仿宋" w:hAnsi="仿宋" w:eastAsia="仿宋" w:cs="仿宋"/>
          <w:b/>
          <w:bCs/>
          <w:color w:val="auto"/>
          <w:sz w:val="32"/>
          <w:highlight w:val="none"/>
        </w:rPr>
      </w:pPr>
    </w:p>
    <w:p>
      <w:pPr>
        <w:spacing w:line="400" w:lineRule="exact"/>
        <w:rPr>
          <w:rFonts w:hint="eastAsia" w:ascii="仿宋" w:hAnsi="仿宋" w:eastAsia="仿宋" w:cs="仿宋"/>
          <w:color w:val="auto"/>
          <w:sz w:val="24"/>
          <w:highlight w:val="none"/>
        </w:rPr>
      </w:pPr>
      <w:r>
        <w:rPr>
          <w:rFonts w:hint="eastAsia" w:ascii="仿宋" w:hAnsi="仿宋" w:eastAsia="仿宋" w:cs="仿宋"/>
          <w:bCs/>
          <w:color w:val="auto"/>
          <w:sz w:val="24"/>
          <w:highlight w:val="none"/>
          <w:lang w:eastAsia="zh-CN"/>
        </w:rPr>
        <w:t>浙江诚远工程咨询有限公司</w:t>
      </w:r>
      <w:r>
        <w:rPr>
          <w:rFonts w:hint="eastAsia" w:ascii="仿宋" w:hAnsi="仿宋" w:eastAsia="仿宋" w:cs="仿宋"/>
          <w:bCs/>
          <w:color w:val="auto"/>
          <w:sz w:val="24"/>
          <w:highlight w:val="none"/>
        </w:rPr>
        <w:t>：</w:t>
      </w:r>
    </w:p>
    <w:p>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公开招标采购文件中有关招标代理服务费的规定，一旦本项目由我单位中标，我单位同意按公开招标采购文件规定全额支付招标代理服务费。在收到《中标通知书》后的当天一次性向</w:t>
      </w:r>
      <w:r>
        <w:rPr>
          <w:rFonts w:hint="eastAsia" w:ascii="仿宋" w:hAnsi="仿宋" w:eastAsia="仿宋" w:cs="仿宋"/>
          <w:color w:val="auto"/>
          <w:sz w:val="24"/>
          <w:highlight w:val="none"/>
          <w:lang w:eastAsia="zh-CN"/>
        </w:rPr>
        <w:t>浙江诚远工程咨询有限公司</w:t>
      </w:r>
      <w:r>
        <w:rPr>
          <w:rFonts w:hint="eastAsia" w:ascii="仿宋" w:hAnsi="仿宋" w:eastAsia="仿宋" w:cs="仿宋"/>
          <w:color w:val="auto"/>
          <w:sz w:val="24"/>
          <w:highlight w:val="none"/>
        </w:rPr>
        <w:t>缴清。</w:t>
      </w:r>
    </w:p>
    <w:p>
      <w:pPr>
        <w:tabs>
          <w:tab w:val="left" w:pos="2996"/>
        </w:tabs>
        <w:spacing w:line="40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本承诺函自开标之日起至本次采购期满有效。</w:t>
      </w:r>
    </w:p>
    <w:p>
      <w:pPr>
        <w:spacing w:line="400" w:lineRule="exact"/>
        <w:rPr>
          <w:rFonts w:hint="eastAsia" w:ascii="仿宋" w:hAnsi="仿宋" w:eastAsia="仿宋" w:cs="仿宋"/>
          <w:color w:val="auto"/>
          <w:szCs w:val="28"/>
          <w:highlight w:val="none"/>
        </w:rPr>
      </w:pPr>
    </w:p>
    <w:p>
      <w:pPr>
        <w:spacing w:line="400" w:lineRule="exact"/>
        <w:rPr>
          <w:rFonts w:hint="eastAsia" w:ascii="仿宋" w:hAnsi="仿宋" w:eastAsia="仿宋" w:cs="仿宋"/>
          <w:color w:val="auto"/>
          <w:szCs w:val="28"/>
          <w:highlight w:val="none"/>
        </w:rPr>
      </w:pPr>
    </w:p>
    <w:p>
      <w:pPr>
        <w:spacing w:line="400" w:lineRule="exact"/>
        <w:rPr>
          <w:rFonts w:hint="eastAsia" w:ascii="仿宋" w:hAnsi="仿宋" w:eastAsia="仿宋" w:cs="仿宋"/>
          <w:color w:val="auto"/>
          <w:szCs w:val="28"/>
          <w:highlight w:val="none"/>
        </w:rPr>
      </w:pPr>
    </w:p>
    <w:p>
      <w:pPr>
        <w:spacing w:line="400" w:lineRule="exact"/>
        <w:rPr>
          <w:rFonts w:hint="eastAsia" w:ascii="仿宋" w:hAnsi="仿宋" w:eastAsia="仿宋" w:cs="仿宋"/>
          <w:color w:val="auto"/>
          <w:szCs w:val="28"/>
          <w:highlight w:val="none"/>
        </w:rPr>
      </w:pPr>
    </w:p>
    <w:p>
      <w:pPr>
        <w:spacing w:line="400" w:lineRule="exact"/>
        <w:ind w:left="838" w:leftChars="399" w:firstLine="1470" w:firstLineChars="700"/>
        <w:rPr>
          <w:rFonts w:hint="eastAsia" w:ascii="仿宋" w:hAnsi="仿宋" w:eastAsia="仿宋" w:cs="仿宋"/>
          <w:color w:val="auto"/>
          <w:szCs w:val="28"/>
          <w:highlight w:val="none"/>
        </w:rPr>
      </w:pPr>
    </w:p>
    <w:p>
      <w:pPr>
        <w:spacing w:line="400" w:lineRule="exact"/>
        <w:ind w:left="838" w:leftChars="399" w:firstLine="1470" w:firstLineChars="700"/>
        <w:rPr>
          <w:rFonts w:hint="eastAsia" w:ascii="仿宋" w:hAnsi="仿宋" w:eastAsia="仿宋" w:cs="仿宋"/>
          <w:color w:val="auto"/>
          <w:szCs w:val="28"/>
          <w:highlight w:val="none"/>
        </w:rPr>
      </w:pPr>
    </w:p>
    <w:p>
      <w:pPr>
        <w:spacing w:line="400" w:lineRule="exact"/>
        <w:ind w:left="838" w:leftChars="399" w:firstLine="1470" w:firstLineChars="700"/>
        <w:rPr>
          <w:rFonts w:hint="eastAsia" w:ascii="仿宋" w:hAnsi="仿宋" w:eastAsia="仿宋" w:cs="仿宋"/>
          <w:color w:val="auto"/>
          <w:szCs w:val="28"/>
          <w:highlight w:val="none"/>
        </w:rPr>
      </w:pPr>
    </w:p>
    <w:p>
      <w:pPr>
        <w:spacing w:line="400" w:lineRule="exact"/>
        <w:ind w:left="838" w:leftChars="399" w:firstLine="1470" w:firstLineChars="700"/>
        <w:rPr>
          <w:rFonts w:hint="eastAsia" w:ascii="仿宋" w:hAnsi="仿宋" w:eastAsia="仿宋" w:cs="仿宋"/>
          <w:color w:val="auto"/>
          <w:szCs w:val="28"/>
          <w:highlight w:val="none"/>
        </w:rPr>
      </w:pPr>
    </w:p>
    <w:p>
      <w:pPr>
        <w:spacing w:line="400" w:lineRule="exact"/>
        <w:ind w:left="838" w:leftChars="399" w:firstLine="1470" w:firstLineChars="700"/>
        <w:rPr>
          <w:rFonts w:hint="eastAsia" w:ascii="仿宋" w:hAnsi="仿宋" w:eastAsia="仿宋" w:cs="仿宋"/>
          <w:color w:val="auto"/>
          <w:szCs w:val="28"/>
          <w:highlight w:val="none"/>
        </w:rPr>
      </w:pPr>
    </w:p>
    <w:p>
      <w:pPr>
        <w:spacing w:line="400" w:lineRule="exact"/>
        <w:ind w:left="838" w:leftChars="399" w:firstLine="1470" w:firstLineChars="700"/>
        <w:rPr>
          <w:rFonts w:hint="eastAsia" w:ascii="仿宋" w:hAnsi="仿宋" w:eastAsia="仿宋" w:cs="仿宋"/>
          <w:color w:val="auto"/>
          <w:szCs w:val="28"/>
          <w:highlight w:val="none"/>
        </w:rPr>
      </w:pPr>
    </w:p>
    <w:p>
      <w:pPr>
        <w:spacing w:line="400" w:lineRule="exact"/>
        <w:ind w:left="838" w:leftChars="399" w:firstLine="1470" w:firstLineChars="700"/>
        <w:rPr>
          <w:rFonts w:hint="eastAsia" w:ascii="仿宋" w:hAnsi="仿宋" w:eastAsia="仿宋" w:cs="仿宋"/>
          <w:color w:val="auto"/>
          <w:szCs w:val="28"/>
          <w:highlight w:val="none"/>
        </w:rPr>
      </w:pPr>
    </w:p>
    <w:p>
      <w:pPr>
        <w:tabs>
          <w:tab w:val="left" w:pos="2996"/>
        </w:tabs>
        <w:spacing w:line="400" w:lineRule="exact"/>
        <w:ind w:firstLine="480" w:firstLineChars="200"/>
        <w:rPr>
          <w:rFonts w:hint="eastAsia" w:ascii="仿宋" w:hAnsi="仿宋" w:eastAsia="仿宋" w:cs="仿宋"/>
          <w:color w:val="auto"/>
          <w:sz w:val="24"/>
          <w:highlight w:val="none"/>
        </w:rPr>
      </w:pPr>
    </w:p>
    <w:p>
      <w:pPr>
        <w:tabs>
          <w:tab w:val="left" w:pos="2996"/>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授权代表签字：　　　　　</w:t>
      </w:r>
    </w:p>
    <w:p>
      <w:pPr>
        <w:tabs>
          <w:tab w:val="left" w:pos="2996"/>
        </w:tabs>
        <w:spacing w:line="400" w:lineRule="exact"/>
        <w:ind w:firstLine="480" w:firstLineChars="200"/>
        <w:rPr>
          <w:rFonts w:hint="eastAsia" w:ascii="仿宋" w:hAnsi="仿宋" w:eastAsia="仿宋" w:cs="仿宋"/>
          <w:color w:val="auto"/>
          <w:sz w:val="24"/>
          <w:highlight w:val="none"/>
        </w:rPr>
      </w:pPr>
    </w:p>
    <w:p>
      <w:pPr>
        <w:tabs>
          <w:tab w:val="left" w:pos="2996"/>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投标供应商公章：                               　 年    月　 日</w:t>
      </w:r>
    </w:p>
    <w:p>
      <w:pPr>
        <w:tabs>
          <w:tab w:val="left" w:pos="2996"/>
        </w:tabs>
        <w:spacing w:line="400" w:lineRule="exact"/>
        <w:ind w:firstLine="480" w:firstLineChars="200"/>
        <w:rPr>
          <w:rFonts w:hint="eastAsia" w:ascii="仿宋" w:hAnsi="仿宋" w:eastAsia="仿宋" w:cs="仿宋"/>
          <w:color w:val="auto"/>
          <w:sz w:val="24"/>
          <w:highlight w:val="none"/>
        </w:rPr>
      </w:pPr>
    </w:p>
    <w:p>
      <w:pPr>
        <w:widowControl/>
        <w:spacing w:line="400" w:lineRule="exact"/>
        <w:rPr>
          <w:rFonts w:hint="eastAsia" w:ascii="仿宋" w:hAnsi="仿宋" w:eastAsia="仿宋" w:cs="仿宋"/>
          <w:color w:val="auto"/>
          <w:sz w:val="24"/>
          <w:highlight w:val="none"/>
        </w:rPr>
      </w:pPr>
    </w:p>
    <w:p>
      <w:pPr>
        <w:widowControl/>
        <w:spacing w:line="400" w:lineRule="exact"/>
        <w:rPr>
          <w:rFonts w:hint="eastAsia" w:ascii="仿宋" w:hAnsi="仿宋" w:eastAsia="仿宋" w:cs="仿宋"/>
          <w:color w:val="auto"/>
          <w:sz w:val="24"/>
          <w:highlight w:val="none"/>
        </w:rPr>
      </w:pPr>
    </w:p>
    <w:p>
      <w:pPr>
        <w:widowControl/>
        <w:spacing w:line="400" w:lineRule="exact"/>
        <w:rPr>
          <w:rFonts w:hint="eastAsia" w:ascii="仿宋" w:hAnsi="仿宋" w:eastAsia="仿宋" w:cs="仿宋"/>
          <w:color w:val="auto"/>
          <w:sz w:val="24"/>
          <w:highlight w:val="none"/>
        </w:rPr>
      </w:pPr>
    </w:p>
    <w:p>
      <w:pPr>
        <w:widowControl/>
        <w:spacing w:line="400" w:lineRule="exact"/>
        <w:rPr>
          <w:rFonts w:hint="eastAsia" w:ascii="仿宋" w:hAnsi="仿宋" w:eastAsia="仿宋" w:cs="仿宋"/>
          <w:color w:val="auto"/>
          <w:sz w:val="24"/>
          <w:highlight w:val="none"/>
        </w:rPr>
      </w:pPr>
    </w:p>
    <w:p>
      <w:pPr>
        <w:widowControl/>
        <w:spacing w:line="400" w:lineRule="exact"/>
        <w:rPr>
          <w:rFonts w:hint="eastAsia" w:ascii="仿宋" w:hAnsi="仿宋" w:eastAsia="仿宋" w:cs="仿宋"/>
          <w:color w:val="auto"/>
          <w:sz w:val="24"/>
          <w:highlight w:val="none"/>
        </w:rPr>
      </w:pPr>
    </w:p>
    <w:p>
      <w:pPr>
        <w:widowControl/>
        <w:spacing w:line="400" w:lineRule="exact"/>
        <w:rPr>
          <w:rFonts w:hint="eastAsia" w:ascii="仿宋" w:hAnsi="仿宋" w:eastAsia="仿宋" w:cs="仿宋"/>
          <w:color w:val="auto"/>
          <w:sz w:val="24"/>
          <w:highlight w:val="none"/>
        </w:rPr>
      </w:pPr>
    </w:p>
    <w:p>
      <w:pPr>
        <w:widowControl/>
        <w:spacing w:line="400" w:lineRule="exact"/>
        <w:rPr>
          <w:rFonts w:hint="eastAsia" w:ascii="仿宋" w:hAnsi="仿宋" w:eastAsia="仿宋" w:cs="仿宋"/>
          <w:color w:val="auto"/>
          <w:sz w:val="24"/>
          <w:highlight w:val="none"/>
        </w:rPr>
      </w:pPr>
    </w:p>
    <w:p>
      <w:pPr>
        <w:spacing w:after="312" w:afterLines="100" w:line="500" w:lineRule="exact"/>
        <w:rPr>
          <w:rFonts w:hint="eastAsia" w:ascii="仿宋" w:hAnsi="仿宋" w:eastAsia="仿宋" w:cs="仿宋"/>
          <w:b/>
          <w:color w:val="auto"/>
          <w:sz w:val="44"/>
          <w:szCs w:val="44"/>
          <w:highlight w:val="none"/>
        </w:rPr>
      </w:pPr>
    </w:p>
    <w:p>
      <w:pPr>
        <w:widowControl/>
        <w:jc w:val="center"/>
        <w:rPr>
          <w:rFonts w:hint="eastAsia" w:ascii="仿宋" w:hAnsi="仿宋" w:eastAsia="仿宋" w:cs="仿宋"/>
          <w:b/>
          <w:color w:val="auto"/>
          <w:sz w:val="24"/>
          <w:szCs w:val="20"/>
          <w:highlight w:val="none"/>
        </w:rPr>
      </w:pPr>
    </w:p>
    <w:p>
      <w:pPr>
        <w:widowControl/>
        <w:jc w:val="center"/>
        <w:rPr>
          <w:rFonts w:hint="eastAsia" w:ascii="仿宋" w:hAnsi="仿宋" w:eastAsia="仿宋" w:cs="仿宋"/>
          <w:b/>
          <w:color w:val="auto"/>
          <w:sz w:val="24"/>
          <w:szCs w:val="20"/>
          <w:highlight w:val="none"/>
        </w:rPr>
      </w:pPr>
    </w:p>
    <w:p>
      <w:pPr>
        <w:widowControl/>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商务响应表</w:t>
      </w:r>
    </w:p>
    <w:p>
      <w:pPr>
        <w:spacing w:line="360" w:lineRule="auto"/>
        <w:jc w:val="center"/>
        <w:rPr>
          <w:rFonts w:hint="eastAsia" w:ascii="仿宋" w:hAnsi="仿宋" w:eastAsia="仿宋" w:cs="仿宋"/>
          <w:color w:val="auto"/>
          <w:sz w:val="28"/>
          <w:szCs w:val="28"/>
          <w:highlight w:val="none"/>
        </w:rPr>
      </w:pPr>
    </w:p>
    <w:tbl>
      <w:tblPr>
        <w:tblStyle w:val="1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977"/>
        <w:gridCol w:w="1985"/>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9" w:type="dxa"/>
            <w:noWrap w:val="0"/>
            <w:vAlign w:val="center"/>
          </w:tcPr>
          <w:p>
            <w:pPr>
              <w:snapToGrid w:val="0"/>
              <w:spacing w:before="50" w:after="156" w:after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2977" w:type="dxa"/>
            <w:noWrap w:val="0"/>
            <w:vAlign w:val="center"/>
          </w:tcPr>
          <w:p>
            <w:pPr>
              <w:snapToGrid w:val="0"/>
              <w:spacing w:before="50" w:after="156" w:after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公开招标采购文件要求</w:t>
            </w:r>
          </w:p>
        </w:tc>
        <w:tc>
          <w:tcPr>
            <w:tcW w:w="1985" w:type="dxa"/>
            <w:noWrap w:val="0"/>
            <w:vAlign w:val="center"/>
          </w:tcPr>
          <w:p>
            <w:pPr>
              <w:snapToGrid w:val="0"/>
              <w:spacing w:before="50" w:after="156" w:after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是否投标</w:t>
            </w:r>
          </w:p>
        </w:tc>
        <w:tc>
          <w:tcPr>
            <w:tcW w:w="3118" w:type="dxa"/>
            <w:noWrap w:val="0"/>
            <w:vAlign w:val="center"/>
          </w:tcPr>
          <w:p>
            <w:pPr>
              <w:snapToGrid w:val="0"/>
              <w:spacing w:before="50" w:after="156" w:after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投标供应商承诺及偏离说明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noWrap w:val="0"/>
            <w:vAlign w:val="center"/>
          </w:tcPr>
          <w:p>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2977" w:type="dxa"/>
            <w:noWrap w:val="0"/>
            <w:vAlign w:val="center"/>
          </w:tcPr>
          <w:p>
            <w:pPr>
              <w:snapToGrid w:val="0"/>
              <w:spacing w:before="50" w:after="156" w:afterLines="50"/>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1985" w:type="dxa"/>
            <w:noWrap w:val="0"/>
            <w:vAlign w:val="center"/>
          </w:tcPr>
          <w:p>
            <w:pPr>
              <w:snapToGrid w:val="0"/>
              <w:spacing w:before="50" w:after="156" w:afterLines="50"/>
              <w:ind w:firstLine="480"/>
              <w:jc w:val="center"/>
              <w:rPr>
                <w:rFonts w:hint="eastAsia" w:ascii="仿宋" w:hAnsi="仿宋" w:eastAsia="仿宋" w:cs="仿宋"/>
                <w:color w:val="auto"/>
                <w:sz w:val="24"/>
                <w:highlight w:val="none"/>
              </w:rPr>
            </w:pPr>
          </w:p>
        </w:tc>
        <w:tc>
          <w:tcPr>
            <w:tcW w:w="3118" w:type="dxa"/>
            <w:noWrap w:val="0"/>
            <w:vAlign w:val="center"/>
          </w:tcPr>
          <w:p>
            <w:pPr>
              <w:snapToGrid w:val="0"/>
              <w:spacing w:before="50" w:after="156" w:afterLines="50"/>
              <w:ind w:firstLine="48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noWrap w:val="0"/>
            <w:vAlign w:val="center"/>
          </w:tcPr>
          <w:p>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质保期</w:t>
            </w:r>
          </w:p>
        </w:tc>
        <w:tc>
          <w:tcPr>
            <w:tcW w:w="2977" w:type="dxa"/>
            <w:noWrap w:val="0"/>
            <w:vAlign w:val="center"/>
          </w:tcPr>
          <w:p>
            <w:pPr>
              <w:snapToGrid w:val="0"/>
              <w:spacing w:before="50" w:after="156" w:afterLines="50"/>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1985" w:type="dxa"/>
            <w:noWrap w:val="0"/>
            <w:vAlign w:val="center"/>
          </w:tcPr>
          <w:p>
            <w:pPr>
              <w:snapToGrid w:val="0"/>
              <w:spacing w:before="50" w:after="156" w:afterLines="50"/>
              <w:ind w:firstLine="480"/>
              <w:jc w:val="center"/>
              <w:rPr>
                <w:rFonts w:hint="eastAsia" w:ascii="仿宋" w:hAnsi="仿宋" w:eastAsia="仿宋" w:cs="仿宋"/>
                <w:color w:val="auto"/>
                <w:sz w:val="24"/>
                <w:highlight w:val="none"/>
              </w:rPr>
            </w:pPr>
          </w:p>
        </w:tc>
        <w:tc>
          <w:tcPr>
            <w:tcW w:w="3118" w:type="dxa"/>
            <w:noWrap w:val="0"/>
            <w:vAlign w:val="center"/>
          </w:tcPr>
          <w:p>
            <w:pPr>
              <w:snapToGrid w:val="0"/>
              <w:spacing w:before="50" w:after="156" w:afterLines="50"/>
              <w:ind w:firstLine="48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noWrap w:val="0"/>
            <w:vAlign w:val="center"/>
          </w:tcPr>
          <w:p>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供货期</w:t>
            </w:r>
          </w:p>
        </w:tc>
        <w:tc>
          <w:tcPr>
            <w:tcW w:w="2977" w:type="dxa"/>
            <w:noWrap w:val="0"/>
            <w:vAlign w:val="center"/>
          </w:tcPr>
          <w:p>
            <w:pPr>
              <w:snapToGrid w:val="0"/>
              <w:spacing w:before="50" w:after="156" w:afterLines="50"/>
              <w:ind w:firstLine="480"/>
              <w:jc w:val="left"/>
              <w:rPr>
                <w:rFonts w:hint="eastAsia" w:ascii="仿宋" w:hAnsi="仿宋" w:eastAsia="仿宋" w:cs="仿宋"/>
                <w:color w:val="auto"/>
                <w:sz w:val="24"/>
                <w:highlight w:val="none"/>
              </w:rPr>
            </w:pPr>
          </w:p>
        </w:tc>
        <w:tc>
          <w:tcPr>
            <w:tcW w:w="1985" w:type="dxa"/>
            <w:noWrap w:val="0"/>
            <w:vAlign w:val="center"/>
          </w:tcPr>
          <w:p>
            <w:pPr>
              <w:snapToGrid w:val="0"/>
              <w:spacing w:before="50" w:after="156" w:afterLines="50"/>
              <w:ind w:firstLine="480"/>
              <w:jc w:val="center"/>
              <w:rPr>
                <w:rFonts w:hint="eastAsia" w:ascii="仿宋" w:hAnsi="仿宋" w:eastAsia="仿宋" w:cs="仿宋"/>
                <w:color w:val="auto"/>
                <w:sz w:val="24"/>
                <w:highlight w:val="none"/>
              </w:rPr>
            </w:pPr>
          </w:p>
        </w:tc>
        <w:tc>
          <w:tcPr>
            <w:tcW w:w="3118" w:type="dxa"/>
            <w:noWrap w:val="0"/>
            <w:vAlign w:val="center"/>
          </w:tcPr>
          <w:p>
            <w:pPr>
              <w:snapToGrid w:val="0"/>
              <w:spacing w:before="50" w:after="156" w:afterLines="50"/>
              <w:ind w:firstLine="48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noWrap w:val="0"/>
            <w:vAlign w:val="center"/>
          </w:tcPr>
          <w:p>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服务质量要求</w:t>
            </w:r>
          </w:p>
        </w:tc>
        <w:tc>
          <w:tcPr>
            <w:tcW w:w="2977" w:type="dxa"/>
            <w:noWrap w:val="0"/>
            <w:vAlign w:val="center"/>
          </w:tcPr>
          <w:p>
            <w:pPr>
              <w:snapToGrid w:val="0"/>
              <w:spacing w:before="50" w:after="156" w:afterLines="50"/>
              <w:ind w:firstLine="480"/>
              <w:jc w:val="center"/>
              <w:rPr>
                <w:rFonts w:hint="eastAsia" w:ascii="仿宋" w:hAnsi="仿宋" w:eastAsia="仿宋" w:cs="仿宋"/>
                <w:color w:val="auto"/>
                <w:sz w:val="24"/>
                <w:highlight w:val="none"/>
              </w:rPr>
            </w:pPr>
          </w:p>
        </w:tc>
        <w:tc>
          <w:tcPr>
            <w:tcW w:w="1985" w:type="dxa"/>
            <w:noWrap w:val="0"/>
            <w:vAlign w:val="center"/>
          </w:tcPr>
          <w:p>
            <w:pPr>
              <w:snapToGrid w:val="0"/>
              <w:spacing w:before="50" w:after="156" w:afterLines="50"/>
              <w:ind w:firstLine="480"/>
              <w:jc w:val="center"/>
              <w:rPr>
                <w:rFonts w:hint="eastAsia" w:ascii="仿宋" w:hAnsi="仿宋" w:eastAsia="仿宋" w:cs="仿宋"/>
                <w:color w:val="auto"/>
                <w:sz w:val="24"/>
                <w:highlight w:val="none"/>
              </w:rPr>
            </w:pPr>
          </w:p>
        </w:tc>
        <w:tc>
          <w:tcPr>
            <w:tcW w:w="3118" w:type="dxa"/>
            <w:noWrap w:val="0"/>
            <w:vAlign w:val="center"/>
          </w:tcPr>
          <w:p>
            <w:pPr>
              <w:snapToGrid w:val="0"/>
              <w:spacing w:before="50" w:after="156" w:afterLines="50"/>
              <w:ind w:firstLine="48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noWrap w:val="0"/>
            <w:vAlign w:val="center"/>
          </w:tcPr>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维修响应时间</w:t>
            </w:r>
          </w:p>
        </w:tc>
        <w:tc>
          <w:tcPr>
            <w:tcW w:w="2977" w:type="dxa"/>
            <w:noWrap w:val="0"/>
            <w:vAlign w:val="center"/>
          </w:tcPr>
          <w:p>
            <w:pPr>
              <w:snapToGrid w:val="0"/>
              <w:spacing w:before="50" w:after="156" w:afterLines="5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1985" w:type="dxa"/>
            <w:noWrap w:val="0"/>
            <w:vAlign w:val="center"/>
          </w:tcPr>
          <w:p>
            <w:pPr>
              <w:snapToGrid w:val="0"/>
              <w:spacing w:before="50" w:after="156" w:afterLines="50"/>
              <w:ind w:firstLine="480"/>
              <w:jc w:val="center"/>
              <w:rPr>
                <w:rFonts w:hint="eastAsia" w:ascii="仿宋" w:hAnsi="仿宋" w:eastAsia="仿宋" w:cs="仿宋"/>
                <w:color w:val="auto"/>
                <w:sz w:val="24"/>
                <w:highlight w:val="none"/>
              </w:rPr>
            </w:pPr>
          </w:p>
        </w:tc>
        <w:tc>
          <w:tcPr>
            <w:tcW w:w="3118" w:type="dxa"/>
            <w:noWrap w:val="0"/>
            <w:vAlign w:val="center"/>
          </w:tcPr>
          <w:p>
            <w:pPr>
              <w:snapToGrid w:val="0"/>
              <w:spacing w:before="50" w:after="156" w:afterLines="50"/>
              <w:ind w:firstLine="48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noWrap w:val="0"/>
            <w:vAlign w:val="center"/>
          </w:tcPr>
          <w:p>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w:t>
            </w:r>
          </w:p>
        </w:tc>
        <w:tc>
          <w:tcPr>
            <w:tcW w:w="2977" w:type="dxa"/>
            <w:noWrap w:val="0"/>
            <w:vAlign w:val="center"/>
          </w:tcPr>
          <w:p>
            <w:pPr>
              <w:snapToGrid w:val="0"/>
              <w:spacing w:before="50" w:after="156" w:afterLines="50"/>
              <w:ind w:firstLine="480"/>
              <w:rPr>
                <w:rFonts w:hint="eastAsia" w:ascii="仿宋" w:hAnsi="仿宋" w:eastAsia="仿宋" w:cs="仿宋"/>
                <w:color w:val="auto"/>
                <w:sz w:val="24"/>
                <w:highlight w:val="none"/>
              </w:rPr>
            </w:pPr>
          </w:p>
        </w:tc>
        <w:tc>
          <w:tcPr>
            <w:tcW w:w="1985" w:type="dxa"/>
            <w:noWrap w:val="0"/>
            <w:vAlign w:val="center"/>
          </w:tcPr>
          <w:p>
            <w:pPr>
              <w:snapToGrid w:val="0"/>
              <w:spacing w:before="50" w:after="156" w:afterLines="50"/>
              <w:ind w:firstLine="480"/>
              <w:jc w:val="center"/>
              <w:rPr>
                <w:rFonts w:hint="eastAsia" w:ascii="仿宋" w:hAnsi="仿宋" w:eastAsia="仿宋" w:cs="仿宋"/>
                <w:color w:val="auto"/>
                <w:sz w:val="24"/>
                <w:highlight w:val="none"/>
              </w:rPr>
            </w:pPr>
          </w:p>
        </w:tc>
        <w:tc>
          <w:tcPr>
            <w:tcW w:w="3118" w:type="dxa"/>
            <w:noWrap w:val="0"/>
            <w:vAlign w:val="center"/>
          </w:tcPr>
          <w:p>
            <w:pPr>
              <w:snapToGrid w:val="0"/>
              <w:spacing w:before="50" w:after="156" w:afterLines="50"/>
              <w:ind w:firstLine="48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noWrap w:val="0"/>
            <w:vAlign w:val="center"/>
          </w:tcPr>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977" w:type="dxa"/>
            <w:noWrap w:val="0"/>
            <w:vAlign w:val="center"/>
          </w:tcPr>
          <w:p>
            <w:pPr>
              <w:snapToGrid w:val="0"/>
              <w:spacing w:before="50" w:after="156" w:afterLines="50"/>
              <w:ind w:firstLine="480"/>
              <w:rPr>
                <w:rFonts w:hint="eastAsia" w:ascii="仿宋" w:hAnsi="仿宋" w:eastAsia="仿宋" w:cs="仿宋"/>
                <w:color w:val="auto"/>
                <w:sz w:val="24"/>
                <w:highlight w:val="none"/>
              </w:rPr>
            </w:pPr>
          </w:p>
        </w:tc>
        <w:tc>
          <w:tcPr>
            <w:tcW w:w="1985" w:type="dxa"/>
            <w:noWrap w:val="0"/>
            <w:vAlign w:val="center"/>
          </w:tcPr>
          <w:p>
            <w:pPr>
              <w:snapToGrid w:val="0"/>
              <w:spacing w:before="50" w:after="156" w:afterLines="50"/>
              <w:ind w:firstLine="480"/>
              <w:jc w:val="center"/>
              <w:rPr>
                <w:rFonts w:hint="eastAsia" w:ascii="仿宋" w:hAnsi="仿宋" w:eastAsia="仿宋" w:cs="仿宋"/>
                <w:color w:val="auto"/>
                <w:sz w:val="24"/>
                <w:highlight w:val="none"/>
              </w:rPr>
            </w:pPr>
          </w:p>
        </w:tc>
        <w:tc>
          <w:tcPr>
            <w:tcW w:w="3118" w:type="dxa"/>
            <w:noWrap w:val="0"/>
            <w:vAlign w:val="center"/>
          </w:tcPr>
          <w:p>
            <w:pPr>
              <w:snapToGrid w:val="0"/>
              <w:spacing w:before="50" w:after="156" w:afterLines="50"/>
              <w:ind w:firstLine="480"/>
              <w:jc w:val="center"/>
              <w:rPr>
                <w:rFonts w:hint="eastAsia" w:ascii="仿宋" w:hAnsi="仿宋" w:eastAsia="仿宋" w:cs="仿宋"/>
                <w:color w:val="auto"/>
                <w:sz w:val="24"/>
                <w:highlight w:val="none"/>
              </w:rPr>
            </w:pPr>
          </w:p>
        </w:tc>
      </w:tr>
    </w:tbl>
    <w:p>
      <w:pPr>
        <w:spacing w:line="480" w:lineRule="exact"/>
        <w:ind w:left="4200" w:leftChars="20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w:t>
      </w:r>
    </w:p>
    <w:p>
      <w:pPr>
        <w:spacing w:line="480" w:lineRule="exact"/>
        <w:ind w:left="4200" w:leftChars="2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投标供应商公章：</w:t>
      </w:r>
    </w:p>
    <w:p>
      <w:pPr>
        <w:ind w:left="4200" w:leftChars="2000"/>
        <w:jc w:val="left"/>
        <w:rPr>
          <w:rFonts w:hint="eastAsia" w:ascii="仿宋" w:hAnsi="仿宋" w:eastAsia="仿宋" w:cs="仿宋"/>
          <w:color w:val="auto"/>
          <w:sz w:val="24"/>
          <w:highlight w:val="none"/>
        </w:rPr>
      </w:pPr>
    </w:p>
    <w:p>
      <w:pPr>
        <w:spacing w:line="48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spacing w:after="312" w:afterLines="100" w:line="500" w:lineRule="exact"/>
        <w:rPr>
          <w:rFonts w:hint="eastAsia" w:ascii="仿宋" w:hAnsi="仿宋" w:eastAsia="仿宋" w:cs="仿宋"/>
          <w:b/>
          <w:color w:val="auto"/>
          <w:sz w:val="44"/>
          <w:szCs w:val="44"/>
          <w:highlight w:val="none"/>
        </w:rPr>
      </w:pPr>
      <w:r>
        <w:rPr>
          <w:rFonts w:hint="eastAsia" w:ascii="仿宋" w:hAnsi="仿宋" w:eastAsia="仿宋" w:cs="仿宋"/>
          <w:color w:val="auto"/>
          <w:sz w:val="24"/>
          <w:highlight w:val="none"/>
        </w:rPr>
        <w:br w:type="page"/>
      </w:r>
    </w:p>
    <w:p>
      <w:pPr>
        <w:widowControl/>
        <w:jc w:val="center"/>
        <w:rPr>
          <w:rFonts w:hint="eastAsia" w:ascii="仿宋" w:hAnsi="仿宋" w:eastAsia="仿宋" w:cs="仿宋"/>
          <w:b/>
          <w:color w:val="auto"/>
          <w:sz w:val="24"/>
          <w:szCs w:val="20"/>
          <w:highlight w:val="none"/>
        </w:rPr>
      </w:pPr>
    </w:p>
    <w:p>
      <w:pPr>
        <w:widowControl/>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参加政府采购活动前 3 年内在经营活动中没有重大违法记录的声明函</w:t>
      </w:r>
    </w:p>
    <w:p>
      <w:pPr>
        <w:spacing w:before="9" w:line="100" w:lineRule="exact"/>
        <w:rPr>
          <w:rFonts w:hint="eastAsia" w:ascii="仿宋" w:hAnsi="仿宋" w:eastAsia="仿宋" w:cs="仿宋"/>
          <w:color w:val="auto"/>
          <w:sz w:val="10"/>
          <w:szCs w:val="10"/>
          <w:highlight w:val="none"/>
        </w:rPr>
      </w:pPr>
    </w:p>
    <w:p>
      <w:pPr>
        <w:spacing w:line="270" w:lineRule="auto"/>
        <w:ind w:left="594" w:right="31" w:hanging="48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color="000000"/>
        </w:rPr>
        <w:t>（采购人）</w:t>
      </w:r>
      <w:r>
        <w:rPr>
          <w:rFonts w:hint="eastAsia" w:ascii="仿宋" w:hAnsi="仿宋" w:eastAsia="仿宋" w:cs="仿宋"/>
          <w:color w:val="auto"/>
          <w:sz w:val="24"/>
          <w:highlight w:val="none"/>
        </w:rPr>
        <w:t xml:space="preserve">： </w:t>
      </w:r>
    </w:p>
    <w:p>
      <w:pPr>
        <w:spacing w:line="270" w:lineRule="auto"/>
        <w:ind w:left="567" w:leftChars="270" w:right="31"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pacing w:val="-1"/>
          <w:sz w:val="24"/>
          <w:highlight w:val="none"/>
        </w:rPr>
        <w:t>方</w:t>
      </w:r>
      <w:r>
        <w:rPr>
          <w:rFonts w:hint="eastAsia" w:ascii="仿宋" w:hAnsi="仿宋" w:eastAsia="仿宋" w:cs="仿宋"/>
          <w:color w:val="auto"/>
          <w:spacing w:val="-9"/>
          <w:w w:val="67"/>
          <w:sz w:val="24"/>
          <w:highlight w:val="none"/>
          <w:u w:val="single" w:color="000000"/>
        </w:rPr>
        <w:t xml:space="preserve"> </w:t>
      </w:r>
      <w:r>
        <w:rPr>
          <w:rFonts w:hint="eastAsia" w:ascii="仿宋" w:hAnsi="仿宋" w:eastAsia="仿宋" w:cs="仿宋"/>
          <w:color w:val="auto"/>
          <w:sz w:val="24"/>
          <w:highlight w:val="none"/>
          <w:u w:val="single" w:color="000000"/>
        </w:rPr>
        <w:t>（投标供应商</w:t>
      </w:r>
      <w:r>
        <w:rPr>
          <w:rFonts w:hint="eastAsia" w:ascii="仿宋" w:hAnsi="仿宋" w:eastAsia="仿宋" w:cs="仿宋"/>
          <w:color w:val="auto"/>
          <w:spacing w:val="-12"/>
          <w:sz w:val="24"/>
          <w:highlight w:val="none"/>
          <w:u w:val="single" w:color="000000"/>
        </w:rPr>
        <w:t>）</w:t>
      </w:r>
      <w:r>
        <w:rPr>
          <w:rFonts w:hint="eastAsia" w:ascii="仿宋" w:hAnsi="仿宋" w:eastAsia="仿宋" w:cs="仿宋"/>
          <w:color w:val="auto"/>
          <w:sz w:val="24"/>
          <w:highlight w:val="none"/>
        </w:rPr>
        <w:t>具有良好的商业信誉</w:t>
      </w:r>
      <w:r>
        <w:rPr>
          <w:rFonts w:hint="eastAsia" w:ascii="仿宋" w:hAnsi="仿宋" w:eastAsia="仿宋" w:cs="仿宋"/>
          <w:color w:val="auto"/>
          <w:spacing w:val="-10"/>
          <w:sz w:val="24"/>
          <w:highlight w:val="none"/>
        </w:rPr>
        <w:t>，</w:t>
      </w:r>
      <w:r>
        <w:rPr>
          <w:rFonts w:hint="eastAsia" w:ascii="仿宋" w:hAnsi="仿宋" w:eastAsia="仿宋" w:cs="仿宋"/>
          <w:color w:val="auto"/>
          <w:sz w:val="24"/>
          <w:highlight w:val="none"/>
        </w:rPr>
        <w:t>依法缴纳税收和社会保障资金</w:t>
      </w:r>
      <w:r>
        <w:rPr>
          <w:rFonts w:hint="eastAsia" w:ascii="仿宋" w:hAnsi="仿宋" w:eastAsia="仿宋" w:cs="仿宋"/>
          <w:color w:val="auto"/>
          <w:spacing w:val="-10"/>
          <w:sz w:val="24"/>
          <w:highlight w:val="none"/>
        </w:rPr>
        <w:t>，</w:t>
      </w:r>
      <w:r>
        <w:rPr>
          <w:rFonts w:hint="eastAsia" w:ascii="仿宋" w:hAnsi="仿宋" w:eastAsia="仿宋" w:cs="仿宋"/>
          <w:color w:val="auto"/>
          <w:sz w:val="24"/>
          <w:highlight w:val="none"/>
        </w:rPr>
        <w:t>未被列入</w:t>
      </w:r>
    </w:p>
    <w:p>
      <w:pPr>
        <w:spacing w:before="12" w:line="271" w:lineRule="auto"/>
        <w:ind w:left="114" w:right="110"/>
        <w:rPr>
          <w:rFonts w:hint="eastAsia" w:ascii="仿宋" w:hAnsi="仿宋" w:eastAsia="仿宋" w:cs="仿宋"/>
          <w:color w:val="auto"/>
          <w:sz w:val="24"/>
          <w:highlight w:val="none"/>
        </w:rPr>
      </w:pPr>
      <w:r>
        <w:rPr>
          <w:rFonts w:hint="eastAsia" w:ascii="仿宋" w:hAnsi="仿宋" w:eastAsia="仿宋" w:cs="仿宋"/>
          <w:color w:val="auto"/>
          <w:sz w:val="24"/>
          <w:highlight w:val="none"/>
        </w:rPr>
        <w:t>失信被执行人名单、重大税收违法案件当事人名单、政府采购严重违法失信行为记录 名单，参加本次政府采购活动前 3</w:t>
      </w:r>
      <w:r>
        <w:rPr>
          <w:rFonts w:hint="eastAsia" w:ascii="仿宋" w:hAnsi="仿宋" w:eastAsia="仿宋" w:cs="仿宋"/>
          <w:color w:val="auto"/>
          <w:spacing w:val="-19"/>
          <w:sz w:val="24"/>
          <w:highlight w:val="none"/>
        </w:rPr>
        <w:t xml:space="preserve"> </w:t>
      </w:r>
      <w:r>
        <w:rPr>
          <w:rFonts w:hint="eastAsia" w:ascii="仿宋" w:hAnsi="仿宋" w:eastAsia="仿宋" w:cs="仿宋"/>
          <w:color w:val="auto"/>
          <w:sz w:val="24"/>
          <w:highlight w:val="none"/>
        </w:rPr>
        <w:t>年内在经营活动中没有重大违法记录（没有因违法 经营受到刑事处罚，没有被责令停产停业、被吊销许可证或者执照、被处以较大数额 罚款等行政处罚，没有因违法经营被禁止参加政府采购活动的期限未满情形）。如有 虚假，采购人可取消我方任何资格（投标</w:t>
      </w:r>
      <w:r>
        <w:rPr>
          <w:rFonts w:hint="eastAsia" w:ascii="仿宋" w:hAnsi="仿宋" w:eastAsia="仿宋" w:cs="仿宋"/>
          <w:color w:val="auto"/>
          <w:w w:val="119"/>
          <w:sz w:val="24"/>
          <w:highlight w:val="none"/>
        </w:rPr>
        <w:t>/</w:t>
      </w:r>
      <w:r>
        <w:rPr>
          <w:rFonts w:hint="eastAsia" w:ascii="仿宋" w:hAnsi="仿宋" w:eastAsia="仿宋" w:cs="仿宋"/>
          <w:color w:val="auto"/>
          <w:sz w:val="24"/>
          <w:highlight w:val="none"/>
        </w:rPr>
        <w:t>中标</w:t>
      </w:r>
      <w:r>
        <w:rPr>
          <w:rFonts w:hint="eastAsia" w:ascii="仿宋" w:hAnsi="仿宋" w:eastAsia="仿宋" w:cs="仿宋"/>
          <w:color w:val="auto"/>
          <w:w w:val="119"/>
          <w:sz w:val="24"/>
          <w:highlight w:val="none"/>
        </w:rPr>
        <w:t>/</w:t>
      </w:r>
      <w:r>
        <w:rPr>
          <w:rFonts w:hint="eastAsia" w:ascii="仿宋" w:hAnsi="仿宋" w:eastAsia="仿宋" w:cs="仿宋"/>
          <w:color w:val="auto"/>
          <w:sz w:val="24"/>
          <w:highlight w:val="none"/>
        </w:rPr>
        <w:t>签订合同），我方对此无任何异议。</w:t>
      </w:r>
    </w:p>
    <w:p>
      <w:pPr>
        <w:spacing w:before="83" w:line="934" w:lineRule="exact"/>
        <w:ind w:left="594" w:right="599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特此承诺！ </w:t>
      </w:r>
    </w:p>
    <w:p>
      <w:pPr>
        <w:ind w:firstLine="600" w:firstLineChars="2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法定代表人或委托代理人签名：</w:t>
      </w:r>
      <w:r>
        <w:rPr>
          <w:rFonts w:hint="eastAsia" w:ascii="仿宋" w:hAnsi="仿宋" w:eastAsia="仿宋" w:cs="仿宋"/>
          <w:color w:val="auto"/>
          <w:sz w:val="24"/>
          <w:highlight w:val="none"/>
          <w:u w:val="single"/>
        </w:rPr>
        <w:t xml:space="preserve">           </w:t>
      </w:r>
    </w:p>
    <w:p>
      <w:pPr>
        <w:ind w:firstLine="600" w:firstLineChars="2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投标供应商盖章：</w:t>
      </w:r>
      <w:r>
        <w:rPr>
          <w:rFonts w:hint="eastAsia" w:ascii="仿宋" w:hAnsi="仿宋" w:eastAsia="仿宋" w:cs="仿宋"/>
          <w:color w:val="auto"/>
          <w:sz w:val="24"/>
          <w:highlight w:val="none"/>
          <w:u w:val="single"/>
        </w:rPr>
        <w:t xml:space="preserve">           </w:t>
      </w:r>
    </w:p>
    <w:p>
      <w:pPr>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p>
    <w:p>
      <w:pPr>
        <w:spacing w:before="83" w:line="934" w:lineRule="exact"/>
        <w:ind w:left="594" w:right="5990"/>
        <w:rPr>
          <w:rFonts w:hint="eastAsia" w:ascii="仿宋" w:hAnsi="仿宋" w:eastAsia="仿宋" w:cs="仿宋"/>
          <w:b/>
          <w:color w:val="auto"/>
          <w:sz w:val="44"/>
          <w:szCs w:val="44"/>
          <w:highlight w:val="none"/>
        </w:rPr>
      </w:pPr>
    </w:p>
    <w:p>
      <w:pPr>
        <w:spacing w:before="83" w:line="934" w:lineRule="exact"/>
        <w:ind w:left="594" w:right="5990"/>
        <w:rPr>
          <w:rFonts w:hint="eastAsia" w:ascii="仿宋" w:hAnsi="仿宋" w:eastAsia="仿宋" w:cs="仿宋"/>
          <w:b/>
          <w:color w:val="auto"/>
          <w:sz w:val="44"/>
          <w:szCs w:val="44"/>
          <w:highlight w:val="none"/>
        </w:rPr>
      </w:pPr>
    </w:p>
    <w:p>
      <w:pPr>
        <w:spacing w:before="83" w:line="934" w:lineRule="exact"/>
        <w:ind w:left="594" w:right="5990"/>
        <w:rPr>
          <w:rFonts w:hint="eastAsia" w:ascii="仿宋" w:hAnsi="仿宋" w:eastAsia="仿宋" w:cs="仿宋"/>
          <w:b/>
          <w:color w:val="auto"/>
          <w:sz w:val="44"/>
          <w:szCs w:val="44"/>
          <w:highlight w:val="none"/>
        </w:rPr>
      </w:pPr>
    </w:p>
    <w:p>
      <w:pPr>
        <w:spacing w:before="83" w:line="934" w:lineRule="exact"/>
        <w:ind w:left="594" w:right="5990"/>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24"/>
          <w:highlight w:val="none"/>
        </w:rPr>
      </w:pPr>
    </w:p>
    <w:p>
      <w:pPr>
        <w:jc w:val="center"/>
        <w:rPr>
          <w:rFonts w:hint="eastAsia" w:ascii="仿宋" w:hAnsi="仿宋" w:eastAsia="仿宋" w:cs="仿宋"/>
          <w:b/>
          <w:color w:val="auto"/>
          <w:sz w:val="24"/>
          <w:highlight w:val="none"/>
        </w:rPr>
      </w:pPr>
    </w:p>
    <w:p>
      <w:pPr>
        <w:jc w:val="center"/>
        <w:rPr>
          <w:rFonts w:hint="eastAsia" w:ascii="仿宋" w:hAnsi="仿宋" w:eastAsia="仿宋" w:cs="仿宋"/>
          <w:b/>
          <w:color w:val="auto"/>
          <w:sz w:val="24"/>
          <w:highlight w:val="none"/>
        </w:rPr>
      </w:pPr>
    </w:p>
    <w:p>
      <w:pPr>
        <w:jc w:val="center"/>
        <w:rPr>
          <w:rFonts w:hint="eastAsia" w:ascii="仿宋" w:hAnsi="仿宋" w:eastAsia="仿宋" w:cs="仿宋"/>
          <w:b/>
          <w:color w:val="auto"/>
          <w:sz w:val="24"/>
          <w:highlight w:val="none"/>
        </w:rPr>
      </w:pPr>
    </w:p>
    <w:p>
      <w:pPr>
        <w:jc w:val="center"/>
        <w:rPr>
          <w:rFonts w:hint="eastAsia" w:ascii="仿宋" w:hAnsi="仿宋" w:eastAsia="仿宋" w:cs="仿宋"/>
          <w:b/>
          <w:color w:val="auto"/>
          <w:sz w:val="24"/>
          <w:highlight w:val="none"/>
        </w:rPr>
      </w:pPr>
    </w:p>
    <w:p>
      <w:pPr>
        <w:jc w:val="center"/>
        <w:rPr>
          <w:rFonts w:hint="eastAsia" w:ascii="仿宋" w:hAnsi="仿宋" w:eastAsia="仿宋" w:cs="仿宋"/>
          <w:b/>
          <w:color w:val="auto"/>
          <w:sz w:val="24"/>
          <w:highlight w:val="none"/>
        </w:rPr>
      </w:pPr>
    </w:p>
    <w:p>
      <w:pPr>
        <w:jc w:val="center"/>
        <w:rPr>
          <w:rFonts w:hint="eastAsia" w:ascii="仿宋" w:hAnsi="仿宋" w:eastAsia="仿宋" w:cs="仿宋"/>
          <w:b/>
          <w:color w:val="auto"/>
          <w:sz w:val="24"/>
          <w:highlight w:val="none"/>
        </w:rPr>
      </w:pPr>
    </w:p>
    <w:p>
      <w:pPr>
        <w:jc w:val="center"/>
        <w:rPr>
          <w:rFonts w:hint="eastAsia" w:ascii="仿宋" w:hAnsi="仿宋" w:eastAsia="仿宋" w:cs="仿宋"/>
          <w:b/>
          <w:color w:val="auto"/>
          <w:sz w:val="24"/>
          <w:highlight w:val="none"/>
        </w:rPr>
      </w:pPr>
    </w:p>
    <w:p>
      <w:pPr>
        <w:jc w:val="center"/>
        <w:rPr>
          <w:rFonts w:hint="eastAsia" w:ascii="仿宋" w:hAnsi="仿宋" w:eastAsia="仿宋" w:cs="仿宋"/>
          <w:b/>
          <w:color w:val="auto"/>
          <w:sz w:val="24"/>
          <w:highlight w:val="none"/>
        </w:rPr>
      </w:pPr>
    </w:p>
    <w:p>
      <w:pPr>
        <w:jc w:val="center"/>
        <w:rPr>
          <w:rFonts w:hint="eastAsia" w:ascii="仿宋" w:hAnsi="仿宋" w:eastAsia="仿宋" w:cs="仿宋"/>
          <w:b/>
          <w:color w:val="auto"/>
          <w:sz w:val="24"/>
          <w:highlight w:val="none"/>
        </w:rPr>
      </w:pPr>
    </w:p>
    <w:p>
      <w:pPr>
        <w:jc w:val="center"/>
        <w:rPr>
          <w:rFonts w:hint="eastAsia" w:ascii="仿宋" w:hAnsi="仿宋" w:eastAsia="仿宋" w:cs="仿宋"/>
          <w:b/>
          <w:color w:val="auto"/>
          <w:sz w:val="24"/>
          <w:highlight w:val="none"/>
        </w:rPr>
      </w:pPr>
    </w:p>
    <w:p>
      <w:pPr>
        <w:jc w:val="center"/>
        <w:rPr>
          <w:rFonts w:hint="eastAsia" w:ascii="仿宋" w:hAnsi="仿宋" w:eastAsia="仿宋" w:cs="仿宋"/>
          <w:b/>
          <w:color w:val="auto"/>
          <w:sz w:val="24"/>
          <w:highlight w:val="none"/>
        </w:rPr>
      </w:pPr>
    </w:p>
    <w:p>
      <w:pPr>
        <w:jc w:val="center"/>
        <w:rPr>
          <w:rFonts w:hint="eastAsia" w:ascii="仿宋" w:hAnsi="仿宋" w:eastAsia="仿宋" w:cs="仿宋"/>
          <w:b/>
          <w:color w:val="auto"/>
          <w:sz w:val="24"/>
          <w:highlight w:val="none"/>
        </w:rPr>
      </w:pPr>
    </w:p>
    <w:p>
      <w:pPr>
        <w:jc w:val="center"/>
        <w:rPr>
          <w:rFonts w:hint="eastAsia" w:ascii="仿宋" w:hAnsi="仿宋" w:eastAsia="仿宋" w:cs="仿宋"/>
          <w:b/>
          <w:color w:val="auto"/>
          <w:sz w:val="24"/>
          <w:highlight w:val="none"/>
        </w:rPr>
      </w:pPr>
    </w:p>
    <w:p>
      <w:pPr>
        <w:spacing w:before="55"/>
        <w:ind w:left="594" w:right="-2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中小企业声明函</w:t>
      </w:r>
    </w:p>
    <w:p>
      <w:pPr>
        <w:spacing w:before="55"/>
        <w:ind w:left="595" w:right="-23"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spacing w:before="55"/>
        <w:ind w:left="595" w:right="-23"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（标的名称） ，属于（采购文件中明确的所属行业）； 承建（承接）企业为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 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万元，资产总额为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万元，属于（中型企业、 小型企业、微型企业）； </w:t>
      </w:r>
    </w:p>
    <w:p>
      <w:pPr>
        <w:spacing w:before="55"/>
        <w:ind w:left="595" w:right="-23"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（标的名称） ，属于（采购文件中明确的所属行业）； 承建（承接）企业为</w:t>
      </w:r>
      <w:r>
        <w:rPr>
          <w:rFonts w:hint="eastAsia" w:ascii="仿宋" w:hAnsi="仿宋" w:eastAsia="仿宋" w:cs="仿宋"/>
          <w:color w:val="auto"/>
          <w:sz w:val="24"/>
          <w:highlight w:val="none"/>
          <w:u w:val="single"/>
        </w:rPr>
        <w:t xml:space="preserve">（企业名称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万元，属于（中型企业、 小型企业、微型企业）； </w:t>
      </w:r>
    </w:p>
    <w:p>
      <w:pPr>
        <w:spacing w:before="55"/>
        <w:ind w:left="594" w:right="-2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before="55"/>
        <w:ind w:left="595" w:right="-23"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before="55"/>
        <w:ind w:left="595" w:right="-23" w:firstLine="480" w:firstLineChars="200"/>
        <w:rPr>
          <w:rFonts w:hint="eastAsia" w:ascii="仿宋" w:hAnsi="仿宋" w:eastAsia="仿宋" w:cs="仿宋"/>
          <w:color w:val="auto"/>
          <w:sz w:val="24"/>
          <w:highlight w:val="none"/>
        </w:rPr>
      </w:pPr>
    </w:p>
    <w:p>
      <w:pPr>
        <w:spacing w:before="55"/>
        <w:ind w:left="595" w:right="-23"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本企业对上述声明内容的真实性负责。如有虚假，将依法承担相应责任。 </w:t>
      </w:r>
    </w:p>
    <w:p>
      <w:pPr>
        <w:spacing w:before="55"/>
        <w:ind w:left="594" w:right="-20"/>
        <w:jc w:val="right"/>
        <w:rPr>
          <w:rFonts w:hint="eastAsia" w:ascii="仿宋" w:hAnsi="仿宋" w:eastAsia="仿宋" w:cs="仿宋"/>
          <w:color w:val="auto"/>
          <w:sz w:val="24"/>
          <w:highlight w:val="none"/>
        </w:rPr>
      </w:pPr>
    </w:p>
    <w:p>
      <w:pPr>
        <w:spacing w:before="55"/>
        <w:ind w:left="594" w:right="-20"/>
        <w:jc w:val="right"/>
        <w:rPr>
          <w:rFonts w:hint="eastAsia" w:ascii="仿宋" w:hAnsi="仿宋" w:eastAsia="仿宋" w:cs="仿宋"/>
          <w:color w:val="auto"/>
          <w:sz w:val="24"/>
          <w:highlight w:val="none"/>
        </w:rPr>
      </w:pPr>
    </w:p>
    <w:p>
      <w:pPr>
        <w:spacing w:before="55"/>
        <w:ind w:left="594" w:right="-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企业名称（盖章）： </w:t>
      </w:r>
    </w:p>
    <w:p>
      <w:pPr>
        <w:spacing w:before="55"/>
        <w:ind w:left="594" w:right="-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 期：  </w:t>
      </w:r>
    </w:p>
    <w:p>
      <w:pPr>
        <w:spacing w:before="55"/>
        <w:ind w:left="594" w:right="-2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从业人员、营业收入、资产总额填报上一年度数据，无上一年度数据的新成立企业可不填报。</w:t>
      </w:r>
    </w:p>
    <w:p>
      <w:pPr>
        <w:spacing w:before="55"/>
        <w:ind w:left="594" w:right="-20"/>
        <w:rPr>
          <w:rFonts w:hint="eastAsia" w:ascii="仿宋" w:hAnsi="仿宋" w:eastAsia="仿宋" w:cs="仿宋"/>
          <w:color w:val="auto"/>
          <w:sz w:val="24"/>
          <w:highlight w:val="none"/>
        </w:rPr>
      </w:pPr>
    </w:p>
    <w:p>
      <w:pPr>
        <w:spacing w:before="55"/>
        <w:ind w:left="594" w:right="-20"/>
        <w:rPr>
          <w:rFonts w:hint="eastAsia" w:ascii="仿宋" w:hAnsi="仿宋" w:eastAsia="仿宋" w:cs="仿宋"/>
          <w:color w:val="auto"/>
          <w:sz w:val="24"/>
          <w:highlight w:val="none"/>
        </w:rPr>
      </w:pPr>
    </w:p>
    <w:p>
      <w:pPr>
        <w:spacing w:before="55"/>
        <w:ind w:left="594" w:right="-20"/>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g">
            <w:drawing>
              <wp:anchor distT="0" distB="0" distL="114300" distR="114300" simplePos="0" relativeHeight="251659264" behindDoc="1" locked="0" layoutInCell="1" allowOverlap="1">
                <wp:simplePos x="0" y="0"/>
                <wp:positionH relativeFrom="page">
                  <wp:posOffset>935990</wp:posOffset>
                </wp:positionH>
                <wp:positionV relativeFrom="paragraph">
                  <wp:posOffset>-286385</wp:posOffset>
                </wp:positionV>
                <wp:extent cx="5688330" cy="1270"/>
                <wp:effectExtent l="0" t="0" r="0" b="0"/>
                <wp:wrapNone/>
                <wp:docPr id="5" name="组合 5"/>
                <wp:cNvGraphicFramePr/>
                <a:graphic xmlns:a="http://schemas.openxmlformats.org/drawingml/2006/main">
                  <a:graphicData uri="http://schemas.microsoft.com/office/word/2010/wordprocessingGroup">
                    <wpg:wgp>
                      <wpg:cNvGrpSpPr/>
                      <wpg:grpSpPr>
                        <a:xfrm>
                          <a:off x="0" y="0"/>
                          <a:ext cx="5688330" cy="1270"/>
                          <a:chOff x="1474" y="-451"/>
                          <a:chExt cx="8958" cy="2"/>
                        </a:xfrm>
                      </wpg:grpSpPr>
                      <wps:wsp>
                        <wps:cNvPr id="4" name="任意多边形 4"/>
                        <wps:cNvSpPr/>
                        <wps:spPr>
                          <a:xfrm>
                            <a:off x="1474" y="-451"/>
                            <a:ext cx="8958" cy="2"/>
                          </a:xfrm>
                          <a:custGeom>
                            <a:avLst/>
                            <a:gdLst/>
                            <a:ahLst/>
                            <a:cxnLst/>
                            <a:pathLst>
                              <a:path w="8958">
                                <a:moveTo>
                                  <a:pt x="0" y="0"/>
                                </a:moveTo>
                                <a:lnTo>
                                  <a:pt x="8958" y="0"/>
                                </a:lnTo>
                              </a:path>
                            </a:pathLst>
                          </a:custGeom>
                          <a:noFill/>
                          <a:ln w="10414"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3.7pt;margin-top:-22.55pt;height:0.1pt;width:447.9pt;mso-position-horizontal-relative:page;z-index:-251657216;mso-width-relative:page;mso-height-relative:page;" coordorigin="1474,-451" coordsize="8958,2" o:gfxdata="UEsDBAoAAAAAAIdO4kAAAAAAAAAAAAAAAAAEAAAAZHJzL1BLAwQUAAAACACHTuJAkXyRT9sAAAAM&#10;AQAADwAAAGRycy9kb3ducmV2LnhtbE2PwW7CMAyG75P2DpEn7QZJIGysa4omtO2EkAaT0G6hNW1F&#10;41RNaOHtl562429/+v05XV1tw3rsfO1Ig5wKYEi5K2oqNXzvPyZLYD4YKkzjCDXc0MMqu79LTVK4&#10;gb6w34WSxRLyidFQhdAmnPu8Qmv81LVIcXdynTUhxq7kRWeGWG4bPhPiiVtTU7xQmRbXFebn3cVq&#10;+BzM8DaX7/3mfFrffvaL7WEjUevHBylegQW8hj8YRv2oDll0OroLFZ41MatnFVENE7WQwEZCqPkM&#10;2HEcqRfgWcr/P5H9AlBLAwQUAAAACACHTuJA6gnY4ZQCAACxBQAADgAAAGRycy9lMm9Eb2MueG1s&#10;pVTNbhMxEL4j8Q6W7+1m06QNq256IG0vCCq1PIDr9e5a8p9sJ5vce+AGZ46Il6gieBoKPAZje5OW&#10;UKQKctiMPePx930znuOTpRRowazjWpU43x9gxBTVFVdNid9ene1NMHKeqIoIrViJV8zhk+nzZ8ed&#10;KdhQt1pUzCJIolzRmRK33psiyxxtmSRuXxumwFlrK4mHpW2yypIOskuRDQeDw6zTtjJWU+Yc7M6S&#10;E/cZ7VMS6rrmlM00nUumfMpqmSAeKLmWG4enEW1dM+rf1LVjHokSA1Mfv3AJ2Nfhm02PSdFYYlpO&#10;ewjkKRB2OEnCFVy6TTUjnqC55X+kkpxa7XTt96mWWSISFQEW+WBHm3Or5yZyaYquMVvRoVA7qv9z&#10;Wvp6cWERr0o8xkgRCQX/sb65+/AOjYM2nWkKCDm35tJc2H6jSatAd1lbGf6BCFpGVVdbVdnSIwqb&#10;48PJ5OAABKfgy4dHvei0hcqEQ/noaIQR+PZG4zwVhLan/eHJizH0Yzg5DK5sc2UWkG2BdAZ60d0L&#10;5P5PoMuWGBZ1d4F9LxCATAJ9W6+/37y/+/zx59fbuy+f0CgpFWO3MrnCgWKPaPQI3Y1SfyNLCjp3&#10;/pzpqDVZvHI+9W21sUi7sehSbUxDfNgOGIKJuhLHG8KG1At2paPL71QONL73CvUwKgHclBgCkxuM&#10;cEEsz/ZS2HyIWukzLkSELVSAkg9GOUhKCcyQGt4umNJAHzrVxJfktOBVOBNAOttcvxQWLUh4x/HX&#10;t8NvYcY6PyOuTXHRlRqqZaQ6VRXyKwMdrmCw4YBBsgojwWAOBiuC84SLp0RG8sA4tF6qdLCudbWC&#10;dpkby5sWhk3s5xgD7Rmj40uOSvVTJ4yKh+sYdT9pp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kXyRT9sAAAAMAQAADwAAAAAAAAABACAAAAAiAAAAZHJzL2Rvd25yZXYueG1sUEsBAhQAFAAAAAgA&#10;h07iQOoJ2OGUAgAAsQUAAA4AAAAAAAAAAQAgAAAAKgEAAGRycy9lMm9Eb2MueG1sUEsFBgAAAAAG&#10;AAYAWQEAADAGAAAAAA==&#10;">
                <o:lock v:ext="edit" aspectratio="f"/>
                <v:shape id="_x0000_s1026" o:spid="_x0000_s1026" o:spt="100" style="position:absolute;left:1474;top:-451;height:2;width:8958;" filled="f" stroked="t" coordsize="8958,1" o:gfxdata="UEsDBAoAAAAAAIdO4kAAAAAAAAAAAAAAAAAEAAAAZHJzL1BLAwQUAAAACACHTuJANi8wdb4AAADa&#10;AAAADwAAAGRycy9kb3ducmV2LnhtbEWPQWvCQBSE70L/w/IKvZlNpEiJrjkU2goetFFKj8/sa5Im&#10;+zZk1xj99W6h4HGYmW+YZTaaVgzUu9qygiSKQRAXVtdcKjjs36YvIJxH1thaJgUXcpCtHiZLTLU9&#10;8ycNuS9FgLBLUUHlfZdK6YqKDLrIdsTB+7G9QR9kX0rd4znATStncTyXBmsOCxV29FpR0eQno2C/&#10;4d2mu5rmuJvj75a+Zh/f/l2pp8ckXoDwNPp7+L+91gqe4e9KuAFyd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8wdb4A&#10;AADaAAAADwAAAAAAAAABACAAAAAiAAAAZHJzL2Rvd25yZXYueG1sUEsBAhQAFAAAAAgAh07iQDMv&#10;BZ47AAAAOQAAABAAAAAAAAAAAQAgAAAADQEAAGRycy9zaGFwZXhtbC54bWxQSwUGAAAAAAYABgBb&#10;AQAAtwMAAAAA&#10;" path="m0,0l8958,0e">
                  <v:fill on="f" focussize="0,0"/>
                  <v:stroke weight="0.82pt" color="#000000" joinstyle="round"/>
                  <v:imagedata o:title=""/>
                  <o:lock v:ext="edit" aspectratio="f"/>
                </v:shape>
              </v:group>
            </w:pict>
          </mc:Fallback>
        </mc:AlternateContent>
      </w:r>
      <w:r>
        <w:rPr>
          <w:rFonts w:hint="eastAsia" w:ascii="仿宋" w:hAnsi="仿宋" w:eastAsia="仿宋" w:cs="仿宋"/>
          <w:color w:val="auto"/>
          <w:sz w:val="24"/>
          <w:highlight w:val="none"/>
        </w:rPr>
        <w:t>填写说明：</w:t>
      </w:r>
    </w:p>
    <w:p>
      <w:pPr>
        <w:spacing w:before="55"/>
        <w:ind w:left="594" w:right="-2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1）投标供应商为中型、小型、微型企业的提供此函；</w:t>
      </w:r>
    </w:p>
    <w:p>
      <w:pPr>
        <w:spacing w:before="53" w:line="272" w:lineRule="auto"/>
        <w:ind w:left="114" w:right="31"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pacing w:val="-14"/>
          <w:sz w:val="24"/>
          <w:highlight w:val="none"/>
        </w:rPr>
        <w:t>）</w:t>
      </w:r>
      <w:r>
        <w:rPr>
          <w:rFonts w:hint="eastAsia" w:ascii="仿宋" w:hAnsi="仿宋" w:eastAsia="仿宋" w:cs="仿宋"/>
          <w:color w:val="auto"/>
          <w:sz w:val="24"/>
          <w:highlight w:val="none"/>
        </w:rPr>
        <w:t>中型企业不享受价格扣除</w:t>
      </w:r>
      <w:r>
        <w:rPr>
          <w:rFonts w:hint="eastAsia" w:ascii="仿宋" w:hAnsi="仿宋" w:eastAsia="仿宋" w:cs="仿宋"/>
          <w:color w:val="auto"/>
          <w:spacing w:val="-14"/>
          <w:sz w:val="24"/>
          <w:highlight w:val="none"/>
        </w:rPr>
        <w:t>，</w:t>
      </w:r>
      <w:r>
        <w:rPr>
          <w:rFonts w:hint="eastAsia" w:ascii="仿宋" w:hAnsi="仿宋" w:eastAsia="仿宋" w:cs="仿宋"/>
          <w:color w:val="auto"/>
          <w:sz w:val="24"/>
          <w:highlight w:val="none"/>
        </w:rPr>
        <w:t>小型</w:t>
      </w:r>
      <w:r>
        <w:rPr>
          <w:rFonts w:hint="eastAsia" w:ascii="仿宋" w:hAnsi="仿宋" w:eastAsia="仿宋" w:cs="仿宋"/>
          <w:color w:val="auto"/>
          <w:spacing w:val="-12"/>
          <w:sz w:val="24"/>
          <w:highlight w:val="none"/>
        </w:rPr>
        <w:t>、</w:t>
      </w:r>
      <w:r>
        <w:rPr>
          <w:rFonts w:hint="eastAsia" w:ascii="仿宋" w:hAnsi="仿宋" w:eastAsia="仿宋" w:cs="仿宋"/>
          <w:color w:val="auto"/>
          <w:sz w:val="24"/>
          <w:highlight w:val="none"/>
        </w:rPr>
        <w:t>微型企业的行业类别由评审专家结合投标供应商 出具的证明材料认定；经认定不符合小型、微型企业标准的，不享受价格扣除；</w:t>
      </w:r>
    </w:p>
    <w:p>
      <w:pPr>
        <w:spacing w:before="10" w:line="272" w:lineRule="auto"/>
        <w:ind w:left="114" w:right="31"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pacing w:val="-14"/>
          <w:sz w:val="24"/>
          <w:highlight w:val="none"/>
        </w:rPr>
        <w:t>）</w:t>
      </w:r>
      <w:r>
        <w:rPr>
          <w:rFonts w:hint="eastAsia" w:ascii="仿宋" w:hAnsi="仿宋" w:eastAsia="仿宋" w:cs="仿宋"/>
          <w:color w:val="auto"/>
          <w:sz w:val="24"/>
          <w:highlight w:val="none"/>
        </w:rPr>
        <w:t>所投标项内的产品如由多个企业制造的</w:t>
      </w:r>
      <w:r>
        <w:rPr>
          <w:rFonts w:hint="eastAsia" w:ascii="仿宋" w:hAnsi="仿宋" w:eastAsia="仿宋" w:cs="仿宋"/>
          <w:color w:val="auto"/>
          <w:spacing w:val="-14"/>
          <w:sz w:val="24"/>
          <w:highlight w:val="none"/>
        </w:rPr>
        <w:t>，</w:t>
      </w:r>
      <w:r>
        <w:rPr>
          <w:rFonts w:hint="eastAsia" w:ascii="仿宋" w:hAnsi="仿宋" w:eastAsia="仿宋" w:cs="仿宋"/>
          <w:color w:val="auto"/>
          <w:sz w:val="24"/>
          <w:highlight w:val="none"/>
        </w:rPr>
        <w:t>在填写企业类型时</w:t>
      </w:r>
      <w:r>
        <w:rPr>
          <w:rFonts w:hint="eastAsia" w:ascii="仿宋" w:hAnsi="仿宋" w:eastAsia="仿宋" w:cs="仿宋"/>
          <w:color w:val="auto"/>
          <w:spacing w:val="-12"/>
          <w:sz w:val="24"/>
          <w:highlight w:val="none"/>
        </w:rPr>
        <w:t>，</w:t>
      </w:r>
      <w:r>
        <w:rPr>
          <w:rFonts w:hint="eastAsia" w:ascii="仿宋" w:hAnsi="仿宋" w:eastAsia="仿宋" w:cs="仿宋"/>
          <w:color w:val="auto"/>
          <w:sz w:val="24"/>
          <w:highlight w:val="none"/>
        </w:rPr>
        <w:t>按产品生产企业 中规模最大的企业类型填写；</w:t>
      </w:r>
    </w:p>
    <w:p>
      <w:pPr>
        <w:spacing w:before="10" w:line="271" w:lineRule="auto"/>
        <w:ind w:left="114" w:right="31"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pacing w:val="-10"/>
          <w:sz w:val="24"/>
          <w:highlight w:val="none"/>
        </w:rPr>
        <w:t>）</w:t>
      </w:r>
      <w:r>
        <w:rPr>
          <w:rFonts w:hint="eastAsia" w:ascii="仿宋" w:hAnsi="仿宋" w:eastAsia="仿宋" w:cs="仿宋"/>
          <w:color w:val="auto"/>
          <w:sz w:val="24"/>
          <w:highlight w:val="none"/>
        </w:rPr>
        <w:t>投标产品制造商投标</w:t>
      </w:r>
      <w:r>
        <w:rPr>
          <w:rFonts w:hint="eastAsia" w:ascii="仿宋" w:hAnsi="仿宋" w:eastAsia="仿宋" w:cs="仿宋"/>
          <w:color w:val="auto"/>
          <w:spacing w:val="-12"/>
          <w:sz w:val="24"/>
          <w:highlight w:val="none"/>
        </w:rPr>
        <w:t>，</w:t>
      </w:r>
      <w:r>
        <w:rPr>
          <w:rFonts w:hint="eastAsia" w:ascii="仿宋" w:hAnsi="仿宋" w:eastAsia="仿宋" w:cs="仿宋"/>
          <w:color w:val="auto"/>
          <w:sz w:val="24"/>
          <w:highlight w:val="none"/>
        </w:rPr>
        <w:t>提供投标供应商出具</w:t>
      </w:r>
      <w:r>
        <w:rPr>
          <w:rFonts w:hint="eastAsia" w:ascii="仿宋" w:hAnsi="仿宋" w:eastAsia="仿宋" w:cs="仿宋"/>
          <w:color w:val="auto"/>
          <w:spacing w:val="-10"/>
          <w:sz w:val="24"/>
          <w:highlight w:val="none"/>
        </w:rPr>
        <w:t>的</w:t>
      </w:r>
      <w:r>
        <w:rPr>
          <w:rFonts w:hint="eastAsia" w:ascii="仿宋" w:hAnsi="仿宋" w:eastAsia="仿宋" w:cs="仿宋"/>
          <w:color w:val="auto"/>
          <w:sz w:val="24"/>
          <w:highlight w:val="none"/>
        </w:rPr>
        <w:t>《中小企业声明函</w:t>
      </w:r>
      <w:r>
        <w:rPr>
          <w:rFonts w:hint="eastAsia" w:ascii="仿宋" w:hAnsi="仿宋" w:eastAsia="仿宋" w:cs="仿宋"/>
          <w:color w:val="auto"/>
          <w:spacing w:val="-10"/>
          <w:sz w:val="24"/>
          <w:highlight w:val="none"/>
        </w:rPr>
        <w:t>》</w:t>
      </w:r>
      <w:r>
        <w:rPr>
          <w:rFonts w:hint="eastAsia" w:ascii="仿宋" w:hAnsi="仿宋" w:eastAsia="仿宋" w:cs="仿宋"/>
          <w:color w:val="auto"/>
          <w:sz w:val="24"/>
          <w:highlight w:val="none"/>
        </w:rPr>
        <w:t>及其相关的充分 的证明材料；代理商投标，提供投标供应商及主要产品制造商出具的《中小企业声明函》及其相关的充分的证明材料；</w:t>
      </w:r>
    </w:p>
    <w:p>
      <w:pPr>
        <w:spacing w:before="10" w:line="271" w:lineRule="auto"/>
        <w:ind w:left="114" w:right="31"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▲投标供应商提供的中小企业声明函与实际情况不符的，视为投标供应商提供虚假材料投标的，投标无效。</w:t>
      </w:r>
    </w:p>
    <w:p>
      <w:pPr>
        <w:spacing w:before="10" w:line="271" w:lineRule="auto"/>
        <w:ind w:left="114" w:right="31" w:firstLine="480"/>
        <w:rPr>
          <w:rFonts w:hint="eastAsia" w:ascii="仿宋" w:hAnsi="仿宋" w:eastAsia="仿宋" w:cs="仿宋"/>
          <w:color w:val="auto"/>
          <w:sz w:val="24"/>
          <w:highlight w:val="none"/>
        </w:rPr>
      </w:pPr>
    </w:p>
    <w:p>
      <w:pPr>
        <w:spacing w:before="10" w:line="271" w:lineRule="auto"/>
        <w:ind w:left="114" w:right="31" w:firstLine="480"/>
        <w:rPr>
          <w:rFonts w:hint="eastAsia" w:ascii="仿宋" w:hAnsi="仿宋" w:eastAsia="仿宋" w:cs="仿宋"/>
          <w:color w:val="auto"/>
          <w:sz w:val="24"/>
          <w:highlight w:val="none"/>
        </w:rPr>
      </w:pPr>
    </w:p>
    <w:p>
      <w:pPr>
        <w:spacing w:line="200" w:lineRule="exact"/>
        <w:rPr>
          <w:rFonts w:hint="eastAsia" w:ascii="仿宋" w:hAnsi="仿宋" w:eastAsia="仿宋" w:cs="仿宋"/>
          <w:color w:val="auto"/>
          <w:sz w:val="20"/>
          <w:szCs w:val="20"/>
          <w:highlight w:val="none"/>
        </w:rPr>
      </w:pPr>
    </w:p>
    <w:p>
      <w:pPr>
        <w:ind w:left="3714" w:right="3691"/>
        <w:jc w:val="center"/>
        <w:rPr>
          <w:rFonts w:hint="eastAsia" w:ascii="仿宋" w:hAnsi="仿宋" w:eastAsia="仿宋" w:cs="仿宋"/>
          <w:b/>
          <w:color w:val="auto"/>
          <w:sz w:val="24"/>
          <w:highlight w:val="none"/>
        </w:rPr>
      </w:pPr>
    </w:p>
    <w:p>
      <w:pPr>
        <w:ind w:right="3691"/>
        <w:rPr>
          <w:rFonts w:hint="eastAsia" w:ascii="仿宋" w:hAnsi="仿宋" w:eastAsia="仿宋" w:cs="仿宋"/>
          <w:b/>
          <w:color w:val="auto"/>
          <w:sz w:val="24"/>
          <w:highlight w:val="none"/>
        </w:rPr>
      </w:pPr>
    </w:p>
    <w:p>
      <w:pPr>
        <w:ind w:left="3714" w:right="3691"/>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监</w:t>
      </w:r>
      <w:r>
        <w:rPr>
          <w:rFonts w:hint="eastAsia" w:ascii="仿宋" w:hAnsi="仿宋" w:eastAsia="仿宋" w:cs="仿宋"/>
          <w:b/>
          <w:color w:val="auto"/>
          <w:spacing w:val="2"/>
          <w:sz w:val="24"/>
          <w:highlight w:val="none"/>
        </w:rPr>
        <w:t>狱</w:t>
      </w:r>
      <w:r>
        <w:rPr>
          <w:rFonts w:hint="eastAsia" w:ascii="仿宋" w:hAnsi="仿宋" w:eastAsia="仿宋" w:cs="仿宋"/>
          <w:b/>
          <w:color w:val="auto"/>
          <w:sz w:val="24"/>
          <w:highlight w:val="none"/>
        </w:rPr>
        <w:t>企</w:t>
      </w:r>
      <w:r>
        <w:rPr>
          <w:rFonts w:hint="eastAsia" w:ascii="仿宋" w:hAnsi="仿宋" w:eastAsia="仿宋" w:cs="仿宋"/>
          <w:b/>
          <w:color w:val="auto"/>
          <w:spacing w:val="2"/>
          <w:sz w:val="24"/>
          <w:highlight w:val="none"/>
        </w:rPr>
        <w:t>业</w:t>
      </w:r>
      <w:r>
        <w:rPr>
          <w:rFonts w:hint="eastAsia" w:ascii="仿宋" w:hAnsi="仿宋" w:eastAsia="仿宋" w:cs="仿宋"/>
          <w:b/>
          <w:color w:val="auto"/>
          <w:sz w:val="24"/>
          <w:highlight w:val="none"/>
        </w:rPr>
        <w:t>声函</w:t>
      </w:r>
    </w:p>
    <w:p>
      <w:pPr>
        <w:spacing w:before="55" w:line="270" w:lineRule="auto"/>
        <w:ind w:left="563" w:right="62" w:hanging="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【不属于监狱企业的无需填写、递交】 </w:t>
      </w:r>
    </w:p>
    <w:p>
      <w:pPr>
        <w:spacing w:before="55" w:line="270" w:lineRule="auto"/>
        <w:ind w:left="563" w:right="62" w:hanging="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本公司郑重声明</w:t>
      </w:r>
      <w:r>
        <w:rPr>
          <w:rFonts w:hint="eastAsia" w:ascii="仿宋" w:hAnsi="仿宋" w:eastAsia="仿宋" w:cs="仿宋"/>
          <w:color w:val="auto"/>
          <w:spacing w:val="-10"/>
          <w:sz w:val="24"/>
          <w:highlight w:val="none"/>
        </w:rPr>
        <w:t>，</w:t>
      </w:r>
      <w:r>
        <w:rPr>
          <w:rFonts w:hint="eastAsia" w:ascii="仿宋" w:hAnsi="仿宋" w:eastAsia="仿宋" w:cs="仿宋"/>
          <w:color w:val="auto"/>
          <w:sz w:val="24"/>
          <w:highlight w:val="none"/>
        </w:rPr>
        <w:t>根</w:t>
      </w:r>
      <w:r>
        <w:rPr>
          <w:rFonts w:hint="eastAsia" w:ascii="仿宋" w:hAnsi="仿宋" w:eastAsia="仿宋" w:cs="仿宋"/>
          <w:color w:val="auto"/>
          <w:spacing w:val="-12"/>
          <w:sz w:val="24"/>
          <w:highlight w:val="none"/>
        </w:rPr>
        <w:t>据</w:t>
      </w:r>
      <w:r>
        <w:rPr>
          <w:rFonts w:hint="eastAsia" w:ascii="仿宋" w:hAnsi="仿宋" w:eastAsia="仿宋" w:cs="仿宋"/>
          <w:color w:val="auto"/>
          <w:sz w:val="24"/>
          <w:highlight w:val="none"/>
        </w:rPr>
        <w:t>《关于政府采购支持监狱企业发展有关问题的通知》</w:t>
      </w:r>
      <w:r>
        <w:rPr>
          <w:rFonts w:hint="eastAsia" w:ascii="仿宋" w:hAnsi="仿宋" w:eastAsia="仿宋" w:cs="仿宋"/>
          <w:color w:val="auto"/>
          <w:spacing w:val="41"/>
          <w:sz w:val="24"/>
          <w:highlight w:val="none"/>
        </w:rPr>
        <w:t xml:space="preserve"> </w:t>
      </w:r>
      <w:r>
        <w:rPr>
          <w:rFonts w:hint="eastAsia" w:ascii="仿宋" w:hAnsi="仿宋" w:eastAsia="仿宋" w:cs="仿宋"/>
          <w:color w:val="auto"/>
          <w:sz w:val="24"/>
          <w:highlight w:val="none"/>
        </w:rPr>
        <w:t>（财</w:t>
      </w:r>
    </w:p>
    <w:p>
      <w:pPr>
        <w:tabs>
          <w:tab w:val="left" w:pos="2740"/>
          <w:tab w:val="left" w:pos="4180"/>
          <w:tab w:val="left" w:pos="6680"/>
        </w:tabs>
        <w:spacing w:before="14" w:line="271" w:lineRule="auto"/>
        <w:ind w:left="594" w:right="31"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库</w:t>
      </w:r>
      <w:r>
        <w:rPr>
          <w:rFonts w:hint="eastAsia" w:ascii="仿宋" w:hAnsi="仿宋" w:eastAsia="仿宋" w:cs="仿宋"/>
          <w:color w:val="auto"/>
          <w:w w:val="155"/>
          <w:sz w:val="24"/>
          <w:highlight w:val="none"/>
        </w:rPr>
        <w:t>[</w:t>
      </w:r>
      <w:r>
        <w:rPr>
          <w:rFonts w:hint="eastAsia" w:ascii="仿宋" w:hAnsi="仿宋" w:eastAsia="仿宋" w:cs="仿宋"/>
          <w:color w:val="auto"/>
          <w:w w:val="86"/>
          <w:sz w:val="24"/>
          <w:highlight w:val="none"/>
        </w:rPr>
        <w:t>2014</w:t>
      </w:r>
      <w:r>
        <w:rPr>
          <w:rFonts w:hint="eastAsia" w:ascii="仿宋" w:hAnsi="仿宋" w:eastAsia="仿宋" w:cs="仿宋"/>
          <w:color w:val="auto"/>
          <w:w w:val="155"/>
          <w:sz w:val="24"/>
          <w:highlight w:val="none"/>
        </w:rPr>
        <w:t>]</w:t>
      </w:r>
      <w:r>
        <w:rPr>
          <w:rFonts w:hint="eastAsia" w:ascii="仿宋" w:hAnsi="仿宋" w:eastAsia="仿宋" w:cs="仿宋"/>
          <w:color w:val="auto"/>
          <w:w w:val="86"/>
          <w:sz w:val="24"/>
          <w:highlight w:val="none"/>
        </w:rPr>
        <w:t>68</w:t>
      </w:r>
      <w:r>
        <w:rPr>
          <w:rFonts w:hint="eastAsia" w:ascii="仿宋" w:hAnsi="仿宋" w:eastAsia="仿宋" w:cs="仿宋"/>
          <w:color w:val="auto"/>
          <w:sz w:val="24"/>
          <w:highlight w:val="none"/>
        </w:rPr>
        <w:t xml:space="preserve">  号）的规定，本公司为</w:t>
      </w:r>
      <w:r>
        <w:rPr>
          <w:rFonts w:hint="eastAsia" w:ascii="仿宋" w:hAnsi="仿宋" w:eastAsia="仿宋" w:cs="仿宋"/>
          <w:color w:val="auto"/>
          <w:sz w:val="24"/>
          <w:highlight w:val="none"/>
          <w:u w:val="single" w:color="000000"/>
        </w:rPr>
        <w:t>监狱企业</w:t>
      </w:r>
      <w:r>
        <w:rPr>
          <w:rFonts w:hint="eastAsia" w:ascii="仿宋" w:hAnsi="仿宋" w:eastAsia="仿宋" w:cs="仿宋"/>
          <w:color w:val="auto"/>
          <w:sz w:val="24"/>
          <w:highlight w:val="none"/>
        </w:rPr>
        <w:t>。 根据上述标准，我公司属于监狱企业</w:t>
      </w:r>
    </w:p>
    <w:p>
      <w:pPr>
        <w:tabs>
          <w:tab w:val="left" w:pos="2740"/>
          <w:tab w:val="left" w:pos="4180"/>
          <w:tab w:val="left" w:pos="6680"/>
        </w:tabs>
        <w:spacing w:before="14" w:line="271" w:lineRule="auto"/>
        <w:ind w:left="594" w:right="31"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的理由为</w:t>
      </w:r>
      <w:r>
        <w:rPr>
          <w:rFonts w:hint="eastAsia" w:ascii="仿宋" w:hAnsi="仿宋" w:eastAsia="仿宋" w:cs="仿宋"/>
          <w:color w:val="auto"/>
          <w:spacing w:val="-1"/>
          <w:sz w:val="24"/>
          <w:highlight w:val="none"/>
        </w:rPr>
        <w:t>：</w:t>
      </w:r>
      <w:r>
        <w:rPr>
          <w:rFonts w:hint="eastAsia" w:ascii="仿宋" w:hAnsi="仿宋" w:eastAsia="仿宋" w:cs="仿宋"/>
          <w:color w:val="auto"/>
          <w:spacing w:val="-20"/>
          <w:sz w:val="24"/>
          <w:highlight w:val="none"/>
          <w:u w:val="single" w:color="000000"/>
        </w:rPr>
        <w:t xml:space="preserve"> </w:t>
      </w:r>
      <w:r>
        <w:rPr>
          <w:rFonts w:hint="eastAsia" w:ascii="仿宋" w:hAnsi="仿宋" w:eastAsia="仿宋" w:cs="仿宋"/>
          <w:color w:val="auto"/>
          <w:sz w:val="24"/>
          <w:highlight w:val="none"/>
          <w:u w:val="single" w:color="000000"/>
        </w:rPr>
        <w:tab/>
      </w:r>
      <w:r>
        <w:rPr>
          <w:rFonts w:hint="eastAsia" w:ascii="仿宋" w:hAnsi="仿宋" w:eastAsia="仿宋" w:cs="仿宋"/>
          <w:color w:val="auto"/>
          <w:w w:val="33"/>
          <w:sz w:val="24"/>
          <w:highlight w:val="none"/>
          <w:u w:val="single" w:color="000000"/>
        </w:rPr>
        <w:t xml:space="preserve"> </w:t>
      </w:r>
      <w:r>
        <w:rPr>
          <w:rFonts w:hint="eastAsia" w:ascii="仿宋" w:hAnsi="仿宋" w:eastAsia="仿宋" w:cs="仿宋"/>
          <w:color w:val="auto"/>
          <w:sz w:val="24"/>
          <w:highlight w:val="none"/>
        </w:rPr>
        <w:t>。 本公司为参</w:t>
      </w:r>
      <w:r>
        <w:rPr>
          <w:rFonts w:hint="eastAsia" w:ascii="仿宋" w:hAnsi="仿宋" w:eastAsia="仿宋" w:cs="仿宋"/>
          <w:color w:val="auto"/>
          <w:spacing w:val="-7"/>
          <w:sz w:val="24"/>
          <w:highlight w:val="none"/>
        </w:rPr>
        <w:t>加</w:t>
      </w:r>
      <w:r>
        <w:rPr>
          <w:rFonts w:hint="eastAsia" w:ascii="仿宋" w:hAnsi="仿宋" w:eastAsia="仿宋" w:cs="仿宋"/>
          <w:color w:val="auto"/>
          <w:spacing w:val="-2"/>
          <w:sz w:val="24"/>
          <w:highlight w:val="none"/>
        </w:rPr>
        <w:t>（</w:t>
      </w:r>
      <w:r>
        <w:rPr>
          <w:rFonts w:hint="eastAsia" w:ascii="仿宋" w:hAnsi="仿宋" w:eastAsia="仿宋" w:cs="仿宋"/>
          <w:color w:val="auto"/>
          <w:w w:val="67"/>
          <w:sz w:val="24"/>
          <w:highlight w:val="none"/>
          <w:u w:val="single" w:color="000000"/>
        </w:rPr>
        <w:t xml:space="preserve"> </w:t>
      </w:r>
      <w:r>
        <w:rPr>
          <w:rFonts w:hint="eastAsia" w:ascii="仿宋" w:hAnsi="仿宋" w:eastAsia="仿宋" w:cs="仿宋"/>
          <w:color w:val="auto"/>
          <w:sz w:val="24"/>
          <w:highlight w:val="none"/>
          <w:u w:val="single" w:color="000000"/>
        </w:rPr>
        <w:tab/>
      </w:r>
      <w:r>
        <w:rPr>
          <w:rFonts w:hint="eastAsia" w:ascii="仿宋" w:hAnsi="仿宋" w:eastAsia="仿宋" w:cs="仿宋"/>
          <w:color w:val="auto"/>
          <w:sz w:val="24"/>
          <w:highlight w:val="none"/>
          <w:u w:val="single" w:color="000000"/>
        </w:rPr>
        <w:t>项目名称</w:t>
      </w:r>
      <w:r>
        <w:rPr>
          <w:rFonts w:hint="eastAsia" w:ascii="仿宋" w:hAnsi="仿宋" w:eastAsia="仿宋" w:cs="仿宋"/>
          <w:color w:val="auto"/>
          <w:spacing w:val="-20"/>
          <w:sz w:val="24"/>
          <w:highlight w:val="none"/>
          <w:u w:val="single" w:color="000000"/>
        </w:rPr>
        <w:t xml:space="preserve"> </w:t>
      </w:r>
      <w:r>
        <w:rPr>
          <w:rFonts w:hint="eastAsia" w:ascii="仿宋" w:hAnsi="仿宋" w:eastAsia="仿宋" w:cs="仿宋"/>
          <w:color w:val="auto"/>
          <w:sz w:val="24"/>
          <w:highlight w:val="none"/>
          <w:u w:val="single" w:color="000000"/>
        </w:rPr>
        <w:tab/>
      </w:r>
      <w:r>
        <w:rPr>
          <w:rFonts w:hint="eastAsia" w:ascii="仿宋" w:hAnsi="仿宋" w:eastAsia="仿宋" w:cs="仿宋"/>
          <w:color w:val="auto"/>
          <w:sz w:val="24"/>
          <w:highlight w:val="none"/>
        </w:rPr>
        <w:t>）</w:t>
      </w:r>
      <w:r>
        <w:rPr>
          <w:rFonts w:hint="eastAsia" w:ascii="仿宋" w:hAnsi="仿宋" w:eastAsia="仿宋" w:cs="仿宋"/>
          <w:color w:val="auto"/>
          <w:spacing w:val="46"/>
          <w:sz w:val="24"/>
          <w:highlight w:val="none"/>
        </w:rPr>
        <w:t xml:space="preserve"> </w:t>
      </w:r>
      <w:r>
        <w:rPr>
          <w:rFonts w:hint="eastAsia" w:ascii="仿宋" w:hAnsi="仿宋" w:eastAsia="仿宋" w:cs="仿宋"/>
          <w:color w:val="auto"/>
          <w:spacing w:val="-2"/>
          <w:sz w:val="24"/>
          <w:highlight w:val="none"/>
        </w:rPr>
        <w:t>（</w:t>
      </w:r>
      <w:r>
        <w:rPr>
          <w:rFonts w:hint="eastAsia" w:ascii="仿宋" w:hAnsi="仿宋" w:eastAsia="仿宋" w:cs="仿宋"/>
          <w:color w:val="auto"/>
          <w:sz w:val="24"/>
          <w:highlight w:val="none"/>
        </w:rPr>
        <w:t>项目</w:t>
      </w:r>
    </w:p>
    <w:p>
      <w:pPr>
        <w:tabs>
          <w:tab w:val="left" w:pos="2740"/>
          <w:tab w:val="left" w:pos="4180"/>
          <w:tab w:val="left" w:pos="6680"/>
        </w:tabs>
        <w:spacing w:before="14" w:line="271" w:lineRule="auto"/>
        <w:ind w:left="594" w:right="31"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编号</w:t>
      </w:r>
      <w:r>
        <w:rPr>
          <w:rFonts w:hint="eastAsia" w:ascii="仿宋" w:hAnsi="仿宋" w:eastAsia="仿宋" w:cs="仿宋"/>
          <w:color w:val="auto"/>
          <w:spacing w:val="-7"/>
          <w:sz w:val="24"/>
          <w:highlight w:val="none"/>
        </w:rPr>
        <w:t>：</w:t>
      </w:r>
      <w:r>
        <w:rPr>
          <w:rFonts w:hint="eastAsia" w:ascii="仿宋" w:hAnsi="仿宋" w:eastAsia="仿宋" w:cs="仿宋"/>
          <w:color w:val="auto"/>
          <w:spacing w:val="-20"/>
          <w:sz w:val="24"/>
          <w:highlight w:val="none"/>
          <w:u w:val="single" w:color="000000"/>
        </w:rPr>
        <w:t xml:space="preserve"> </w:t>
      </w:r>
      <w:r>
        <w:rPr>
          <w:rFonts w:hint="eastAsia" w:ascii="仿宋" w:hAnsi="仿宋" w:eastAsia="仿宋" w:cs="仿宋"/>
          <w:color w:val="auto"/>
          <w:sz w:val="24"/>
          <w:highlight w:val="none"/>
          <w:u w:val="single" w:color="000000"/>
        </w:rPr>
        <w:tab/>
      </w:r>
      <w:r>
        <w:rPr>
          <w:rFonts w:hint="eastAsia" w:ascii="仿宋" w:hAnsi="仿宋" w:eastAsia="仿宋" w:cs="仿宋"/>
          <w:color w:val="auto"/>
          <w:spacing w:val="-7"/>
          <w:sz w:val="24"/>
          <w:highlight w:val="none"/>
        </w:rPr>
        <w:t>）</w:t>
      </w:r>
      <w:r>
        <w:rPr>
          <w:rFonts w:hint="eastAsia" w:ascii="仿宋" w:hAnsi="仿宋" w:eastAsia="仿宋" w:cs="仿宋"/>
          <w:color w:val="auto"/>
          <w:sz w:val="24"/>
          <w:highlight w:val="none"/>
        </w:rPr>
        <w:t>采购活动提供本企业提供服务。 本公司对上述声明的真实</w:t>
      </w:r>
    </w:p>
    <w:p>
      <w:pPr>
        <w:tabs>
          <w:tab w:val="left" w:pos="2740"/>
          <w:tab w:val="left" w:pos="4180"/>
          <w:tab w:val="left" w:pos="6680"/>
        </w:tabs>
        <w:spacing w:before="14" w:line="271" w:lineRule="auto"/>
        <w:ind w:left="594" w:right="31"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性负责。如有虚假，将依法承担相应责任。</w:t>
      </w:r>
    </w:p>
    <w:p>
      <w:pPr>
        <w:tabs>
          <w:tab w:val="left" w:pos="1780"/>
          <w:tab w:val="left" w:pos="2260"/>
          <w:tab w:val="left" w:pos="2740"/>
        </w:tabs>
        <w:spacing w:line="272" w:lineRule="auto"/>
        <w:ind w:right="6110"/>
        <w:rPr>
          <w:rFonts w:hint="eastAsia" w:ascii="仿宋" w:hAnsi="仿宋" w:eastAsia="仿宋" w:cs="仿宋"/>
          <w:color w:val="auto"/>
          <w:sz w:val="24"/>
          <w:highlight w:val="none"/>
        </w:rPr>
      </w:pPr>
    </w:p>
    <w:p>
      <w:pPr>
        <w:tabs>
          <w:tab w:val="left" w:pos="1780"/>
          <w:tab w:val="left" w:pos="2260"/>
          <w:tab w:val="left" w:pos="2740"/>
        </w:tabs>
        <w:spacing w:line="272" w:lineRule="auto"/>
        <w:ind w:right="6110"/>
        <w:rPr>
          <w:rFonts w:hint="eastAsia" w:ascii="仿宋" w:hAnsi="仿宋" w:eastAsia="仿宋" w:cs="仿宋"/>
          <w:color w:val="auto"/>
          <w:sz w:val="24"/>
          <w:highlight w:val="none"/>
        </w:rPr>
      </w:pPr>
    </w:p>
    <w:p>
      <w:pPr>
        <w:tabs>
          <w:tab w:val="left" w:pos="1780"/>
          <w:tab w:val="left" w:pos="2260"/>
          <w:tab w:val="left" w:pos="2740"/>
        </w:tabs>
        <w:spacing w:line="272" w:lineRule="auto"/>
        <w:ind w:right="61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投标供应商名称（盖章）： </w:t>
      </w:r>
    </w:p>
    <w:p>
      <w:pPr>
        <w:tabs>
          <w:tab w:val="left" w:pos="1780"/>
          <w:tab w:val="left" w:pos="2260"/>
          <w:tab w:val="left" w:pos="2740"/>
        </w:tabs>
        <w:spacing w:line="272" w:lineRule="auto"/>
        <w:ind w:right="6110"/>
        <w:rPr>
          <w:rFonts w:hint="eastAsia" w:ascii="仿宋" w:hAnsi="仿宋" w:eastAsia="仿宋" w:cs="仿宋"/>
          <w:color w:val="auto"/>
          <w:sz w:val="24"/>
          <w:highlight w:val="none"/>
        </w:rPr>
      </w:pPr>
    </w:p>
    <w:p>
      <w:pPr>
        <w:tabs>
          <w:tab w:val="left" w:pos="1780"/>
          <w:tab w:val="left" w:pos="2260"/>
          <w:tab w:val="left" w:pos="2740"/>
        </w:tabs>
        <w:spacing w:line="272" w:lineRule="auto"/>
        <w:ind w:right="611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年</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月 日</w:t>
      </w:r>
    </w:p>
    <w:p>
      <w:pPr>
        <w:spacing w:line="930" w:lineRule="atLeast"/>
        <w:ind w:left="594" w:right="31"/>
        <w:jc w:val="center"/>
        <w:rPr>
          <w:rFonts w:hint="eastAsia" w:ascii="仿宋" w:hAnsi="仿宋" w:eastAsia="仿宋" w:cs="仿宋"/>
          <w:b/>
          <w:color w:val="auto"/>
          <w:spacing w:val="12"/>
          <w:sz w:val="24"/>
          <w:highlight w:val="none"/>
        </w:rPr>
      </w:pPr>
    </w:p>
    <w:p>
      <w:pPr>
        <w:spacing w:line="930" w:lineRule="atLeast"/>
        <w:ind w:left="594" w:right="31"/>
        <w:jc w:val="center"/>
        <w:rPr>
          <w:rFonts w:hint="eastAsia" w:ascii="仿宋" w:hAnsi="仿宋" w:eastAsia="仿宋" w:cs="仿宋"/>
          <w:b/>
          <w:color w:val="auto"/>
          <w:spacing w:val="12"/>
          <w:sz w:val="24"/>
          <w:highlight w:val="none"/>
        </w:rPr>
      </w:pPr>
    </w:p>
    <w:p>
      <w:pPr>
        <w:spacing w:line="930" w:lineRule="atLeast"/>
        <w:ind w:left="594" w:right="31"/>
        <w:jc w:val="center"/>
        <w:rPr>
          <w:rFonts w:hint="eastAsia" w:ascii="仿宋" w:hAnsi="仿宋" w:eastAsia="仿宋" w:cs="仿宋"/>
          <w:b/>
          <w:color w:val="auto"/>
          <w:spacing w:val="12"/>
          <w:sz w:val="24"/>
          <w:highlight w:val="none"/>
        </w:rPr>
      </w:pPr>
    </w:p>
    <w:p>
      <w:pPr>
        <w:spacing w:line="930" w:lineRule="atLeast"/>
        <w:ind w:left="594" w:right="31"/>
        <w:jc w:val="center"/>
        <w:rPr>
          <w:rFonts w:hint="eastAsia" w:ascii="仿宋" w:hAnsi="仿宋" w:eastAsia="仿宋" w:cs="仿宋"/>
          <w:b/>
          <w:color w:val="auto"/>
          <w:spacing w:val="12"/>
          <w:sz w:val="24"/>
          <w:highlight w:val="none"/>
        </w:rPr>
      </w:pPr>
    </w:p>
    <w:p>
      <w:pPr>
        <w:spacing w:line="930" w:lineRule="atLeast"/>
        <w:ind w:left="594" w:right="31"/>
        <w:jc w:val="center"/>
        <w:rPr>
          <w:rFonts w:hint="eastAsia" w:ascii="仿宋" w:hAnsi="仿宋" w:eastAsia="仿宋" w:cs="仿宋"/>
          <w:b/>
          <w:color w:val="auto"/>
          <w:spacing w:val="12"/>
          <w:sz w:val="24"/>
          <w:highlight w:val="none"/>
        </w:rPr>
      </w:pPr>
    </w:p>
    <w:p>
      <w:pPr>
        <w:spacing w:line="930" w:lineRule="atLeast"/>
        <w:ind w:left="594" w:right="31"/>
        <w:jc w:val="center"/>
        <w:rPr>
          <w:rFonts w:hint="eastAsia" w:ascii="仿宋" w:hAnsi="仿宋" w:eastAsia="仿宋" w:cs="仿宋"/>
          <w:b/>
          <w:color w:val="auto"/>
          <w:spacing w:val="12"/>
          <w:sz w:val="24"/>
          <w:highlight w:val="none"/>
        </w:rPr>
      </w:pPr>
    </w:p>
    <w:p>
      <w:pPr>
        <w:spacing w:line="930" w:lineRule="atLeast"/>
        <w:ind w:left="594" w:right="31"/>
        <w:jc w:val="center"/>
        <w:rPr>
          <w:rFonts w:hint="eastAsia" w:ascii="仿宋" w:hAnsi="仿宋" w:eastAsia="仿宋" w:cs="仿宋"/>
          <w:b/>
          <w:color w:val="auto"/>
          <w:spacing w:val="12"/>
          <w:sz w:val="24"/>
          <w:highlight w:val="none"/>
        </w:rPr>
      </w:pPr>
    </w:p>
    <w:p>
      <w:pPr>
        <w:spacing w:line="930" w:lineRule="atLeast"/>
        <w:ind w:left="594" w:right="31"/>
        <w:jc w:val="center"/>
        <w:rPr>
          <w:rFonts w:hint="eastAsia" w:ascii="仿宋" w:hAnsi="仿宋" w:eastAsia="仿宋" w:cs="仿宋"/>
          <w:b/>
          <w:color w:val="auto"/>
          <w:spacing w:val="12"/>
          <w:sz w:val="24"/>
          <w:highlight w:val="none"/>
        </w:rPr>
      </w:pPr>
    </w:p>
    <w:p>
      <w:pPr>
        <w:spacing w:line="930" w:lineRule="atLeast"/>
        <w:ind w:left="594" w:right="31"/>
        <w:jc w:val="center"/>
        <w:rPr>
          <w:rFonts w:hint="eastAsia" w:ascii="仿宋" w:hAnsi="仿宋" w:eastAsia="仿宋" w:cs="仿宋"/>
          <w:b/>
          <w:color w:val="auto"/>
          <w:spacing w:val="12"/>
          <w:sz w:val="24"/>
          <w:highlight w:val="none"/>
        </w:rPr>
      </w:pPr>
    </w:p>
    <w:p>
      <w:pPr>
        <w:spacing w:line="930" w:lineRule="atLeast"/>
        <w:ind w:left="594" w:right="31"/>
        <w:jc w:val="center"/>
        <w:rPr>
          <w:rFonts w:hint="eastAsia" w:ascii="仿宋" w:hAnsi="仿宋" w:eastAsia="仿宋" w:cs="仿宋"/>
          <w:b/>
          <w:color w:val="auto"/>
          <w:sz w:val="24"/>
          <w:highlight w:val="none"/>
        </w:rPr>
      </w:pPr>
      <w:r>
        <w:rPr>
          <w:rFonts w:hint="eastAsia" w:ascii="仿宋" w:hAnsi="仿宋" w:eastAsia="仿宋" w:cs="仿宋"/>
          <w:b/>
          <w:color w:val="auto"/>
          <w:spacing w:val="12"/>
          <w:sz w:val="24"/>
          <w:highlight w:val="none"/>
        </w:rPr>
        <w:t>残</w:t>
      </w:r>
      <w:r>
        <w:rPr>
          <w:rFonts w:hint="eastAsia" w:ascii="仿宋" w:hAnsi="仿宋" w:eastAsia="仿宋" w:cs="仿宋"/>
          <w:b/>
          <w:color w:val="auto"/>
          <w:spacing w:val="14"/>
          <w:sz w:val="24"/>
          <w:highlight w:val="none"/>
        </w:rPr>
        <w:t>疾</w:t>
      </w:r>
      <w:r>
        <w:rPr>
          <w:rFonts w:hint="eastAsia" w:ascii="仿宋" w:hAnsi="仿宋" w:eastAsia="仿宋" w:cs="仿宋"/>
          <w:b/>
          <w:color w:val="auto"/>
          <w:spacing w:val="12"/>
          <w:sz w:val="24"/>
          <w:highlight w:val="none"/>
        </w:rPr>
        <w:t>人</w:t>
      </w:r>
      <w:r>
        <w:rPr>
          <w:rFonts w:hint="eastAsia" w:ascii="仿宋" w:hAnsi="仿宋" w:eastAsia="仿宋" w:cs="仿宋"/>
          <w:b/>
          <w:color w:val="auto"/>
          <w:spacing w:val="14"/>
          <w:sz w:val="24"/>
          <w:highlight w:val="none"/>
        </w:rPr>
        <w:t>福</w:t>
      </w:r>
      <w:r>
        <w:rPr>
          <w:rFonts w:hint="eastAsia" w:ascii="仿宋" w:hAnsi="仿宋" w:eastAsia="仿宋" w:cs="仿宋"/>
          <w:b/>
          <w:color w:val="auto"/>
          <w:spacing w:val="12"/>
          <w:sz w:val="24"/>
          <w:highlight w:val="none"/>
        </w:rPr>
        <w:t>利性</w:t>
      </w:r>
      <w:r>
        <w:rPr>
          <w:rFonts w:hint="eastAsia" w:ascii="仿宋" w:hAnsi="仿宋" w:eastAsia="仿宋" w:cs="仿宋"/>
          <w:b/>
          <w:color w:val="auto"/>
          <w:spacing w:val="14"/>
          <w:sz w:val="24"/>
          <w:highlight w:val="none"/>
        </w:rPr>
        <w:t>单</w:t>
      </w:r>
      <w:r>
        <w:rPr>
          <w:rFonts w:hint="eastAsia" w:ascii="仿宋" w:hAnsi="仿宋" w:eastAsia="仿宋" w:cs="仿宋"/>
          <w:b/>
          <w:color w:val="auto"/>
          <w:spacing w:val="12"/>
          <w:sz w:val="24"/>
          <w:highlight w:val="none"/>
        </w:rPr>
        <w:t>位</w:t>
      </w:r>
      <w:r>
        <w:rPr>
          <w:rFonts w:hint="eastAsia" w:ascii="仿宋" w:hAnsi="仿宋" w:eastAsia="仿宋" w:cs="仿宋"/>
          <w:b/>
          <w:color w:val="auto"/>
          <w:spacing w:val="14"/>
          <w:sz w:val="24"/>
          <w:highlight w:val="none"/>
        </w:rPr>
        <w:t>声</w:t>
      </w:r>
      <w:r>
        <w:rPr>
          <w:rFonts w:hint="eastAsia" w:ascii="仿宋" w:hAnsi="仿宋" w:eastAsia="仿宋" w:cs="仿宋"/>
          <w:b/>
          <w:color w:val="auto"/>
          <w:spacing w:val="12"/>
          <w:sz w:val="24"/>
          <w:highlight w:val="none"/>
        </w:rPr>
        <w:t>明</w:t>
      </w:r>
      <w:r>
        <w:rPr>
          <w:rFonts w:hint="eastAsia" w:ascii="仿宋" w:hAnsi="仿宋" w:eastAsia="仿宋" w:cs="仿宋"/>
          <w:b/>
          <w:color w:val="auto"/>
          <w:sz w:val="24"/>
          <w:highlight w:val="none"/>
        </w:rPr>
        <w:t>函</w:t>
      </w:r>
    </w:p>
    <w:p>
      <w:pPr>
        <w:spacing w:line="930" w:lineRule="atLeast"/>
        <w:ind w:left="594" w:right="31" w:firstLine="488" w:firstLineChars="200"/>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本单位郑重声</w:t>
      </w:r>
      <w:r>
        <w:rPr>
          <w:rFonts w:hint="eastAsia" w:ascii="仿宋" w:hAnsi="仿宋" w:eastAsia="仿宋" w:cs="仿宋"/>
          <w:color w:val="auto"/>
          <w:sz w:val="24"/>
          <w:highlight w:val="none"/>
        </w:rPr>
        <w:t>明</w:t>
      </w:r>
      <w:r>
        <w:rPr>
          <w:rFonts w:hint="eastAsia" w:ascii="仿宋" w:hAnsi="仿宋" w:eastAsia="仿宋" w:cs="仿宋"/>
          <w:color w:val="auto"/>
          <w:spacing w:val="2"/>
          <w:sz w:val="24"/>
          <w:highlight w:val="none"/>
        </w:rPr>
        <w:t>，根据《财政</w:t>
      </w:r>
      <w:r>
        <w:rPr>
          <w:rFonts w:hint="eastAsia" w:ascii="仿宋" w:hAnsi="仿宋" w:eastAsia="仿宋" w:cs="仿宋"/>
          <w:color w:val="auto"/>
          <w:sz w:val="24"/>
          <w:highlight w:val="none"/>
        </w:rPr>
        <w:t>部</w:t>
      </w:r>
      <w:r>
        <w:rPr>
          <w:rFonts w:hint="eastAsia" w:ascii="仿宋" w:hAnsi="仿宋" w:eastAsia="仿宋" w:cs="仿宋"/>
          <w:color w:val="auto"/>
          <w:spacing w:val="2"/>
          <w:sz w:val="24"/>
          <w:highlight w:val="none"/>
        </w:rPr>
        <w:t>民政</w:t>
      </w:r>
      <w:r>
        <w:rPr>
          <w:rFonts w:hint="eastAsia" w:ascii="仿宋" w:hAnsi="仿宋" w:eastAsia="仿宋" w:cs="仿宋"/>
          <w:color w:val="auto"/>
          <w:sz w:val="24"/>
          <w:highlight w:val="none"/>
        </w:rPr>
        <w:t>部</w:t>
      </w:r>
      <w:r>
        <w:rPr>
          <w:rFonts w:hint="eastAsia" w:ascii="仿宋" w:hAnsi="仿宋" w:eastAsia="仿宋" w:cs="仿宋"/>
          <w:color w:val="auto"/>
          <w:spacing w:val="2"/>
          <w:sz w:val="24"/>
          <w:highlight w:val="none"/>
        </w:rPr>
        <w:t>中国残疾人联</w:t>
      </w:r>
      <w:r>
        <w:rPr>
          <w:rFonts w:hint="eastAsia" w:ascii="仿宋" w:hAnsi="仿宋" w:eastAsia="仿宋" w:cs="仿宋"/>
          <w:color w:val="auto"/>
          <w:sz w:val="24"/>
          <w:highlight w:val="none"/>
        </w:rPr>
        <w:t>合</w:t>
      </w:r>
      <w:r>
        <w:rPr>
          <w:rFonts w:hint="eastAsia" w:ascii="仿宋" w:hAnsi="仿宋" w:eastAsia="仿宋" w:cs="仿宋"/>
          <w:color w:val="auto"/>
          <w:spacing w:val="2"/>
          <w:sz w:val="24"/>
          <w:highlight w:val="none"/>
        </w:rPr>
        <w:t>会关于促进残疾人就</w:t>
      </w:r>
      <w:r>
        <w:rPr>
          <w:rFonts w:hint="eastAsia" w:ascii="仿宋" w:hAnsi="仿宋" w:eastAsia="仿宋" w:cs="仿宋"/>
          <w:color w:val="auto"/>
          <w:sz w:val="24"/>
          <w:highlight w:val="none"/>
        </w:rPr>
        <w:t>业政府</w:t>
      </w:r>
      <w:r>
        <w:rPr>
          <w:rFonts w:hint="eastAsia" w:ascii="仿宋" w:hAnsi="仿宋" w:eastAsia="仿宋" w:cs="仿宋"/>
          <w:color w:val="auto"/>
          <w:spacing w:val="2"/>
          <w:sz w:val="24"/>
          <w:highlight w:val="none"/>
        </w:rPr>
        <w:t>采</w:t>
      </w:r>
      <w:r>
        <w:rPr>
          <w:rFonts w:hint="eastAsia" w:ascii="仿宋" w:hAnsi="仿宋" w:eastAsia="仿宋" w:cs="仿宋"/>
          <w:color w:val="auto"/>
          <w:sz w:val="24"/>
          <w:highlight w:val="none"/>
        </w:rPr>
        <w:t>购政策的</w:t>
      </w:r>
      <w:r>
        <w:rPr>
          <w:rFonts w:hint="eastAsia" w:ascii="仿宋" w:hAnsi="仿宋" w:eastAsia="仿宋" w:cs="仿宋"/>
          <w:color w:val="auto"/>
          <w:spacing w:val="2"/>
          <w:sz w:val="24"/>
          <w:highlight w:val="none"/>
        </w:rPr>
        <w:t>通</w:t>
      </w:r>
      <w:r>
        <w:rPr>
          <w:rFonts w:hint="eastAsia" w:ascii="仿宋" w:hAnsi="仿宋" w:eastAsia="仿宋" w:cs="仿宋"/>
          <w:color w:val="auto"/>
          <w:sz w:val="24"/>
          <w:highlight w:val="none"/>
        </w:rPr>
        <w:t>知》（</w:t>
      </w:r>
      <w:r>
        <w:rPr>
          <w:rFonts w:hint="eastAsia" w:ascii="仿宋" w:hAnsi="仿宋" w:eastAsia="仿宋" w:cs="仿宋"/>
          <w:color w:val="auto"/>
          <w:spacing w:val="2"/>
          <w:sz w:val="24"/>
          <w:highlight w:val="none"/>
        </w:rPr>
        <w:t>财</w:t>
      </w:r>
      <w:r>
        <w:rPr>
          <w:rFonts w:hint="eastAsia" w:ascii="仿宋" w:hAnsi="仿宋" w:eastAsia="仿宋" w:cs="仿宋"/>
          <w:color w:val="auto"/>
          <w:sz w:val="24"/>
          <w:highlight w:val="none"/>
        </w:rPr>
        <w:t>库〔2017〕</w:t>
      </w:r>
      <w:r>
        <w:rPr>
          <w:rFonts w:hint="eastAsia" w:ascii="仿宋" w:hAnsi="仿宋" w:eastAsia="仿宋" w:cs="仿宋"/>
          <w:color w:val="auto"/>
          <w:spacing w:val="-18"/>
          <w:sz w:val="24"/>
          <w:highlight w:val="none"/>
        </w:rPr>
        <w:t xml:space="preserve"> </w:t>
      </w:r>
      <w:r>
        <w:rPr>
          <w:rFonts w:hint="eastAsia" w:ascii="仿宋" w:hAnsi="仿宋" w:eastAsia="仿宋" w:cs="仿宋"/>
          <w:color w:val="auto"/>
          <w:w w:val="86"/>
          <w:sz w:val="24"/>
          <w:highlight w:val="none"/>
        </w:rPr>
        <w:t>141</w:t>
      </w:r>
      <w:r>
        <w:rPr>
          <w:rFonts w:hint="eastAsia" w:ascii="仿宋" w:hAnsi="仿宋" w:eastAsia="仿宋" w:cs="仿宋"/>
          <w:color w:val="auto"/>
          <w:spacing w:val="10"/>
          <w:w w:val="86"/>
          <w:sz w:val="24"/>
          <w:highlight w:val="none"/>
        </w:rPr>
        <w:t xml:space="preserve"> </w:t>
      </w:r>
      <w:r>
        <w:rPr>
          <w:rFonts w:hint="eastAsia" w:ascii="仿宋" w:hAnsi="仿宋" w:eastAsia="仿宋" w:cs="仿宋"/>
          <w:color w:val="auto"/>
          <w:sz w:val="24"/>
          <w:highlight w:val="none"/>
        </w:rPr>
        <w:t>号）</w:t>
      </w:r>
      <w:r>
        <w:rPr>
          <w:rFonts w:hint="eastAsia" w:ascii="仿宋" w:hAnsi="仿宋" w:eastAsia="仿宋" w:cs="仿宋"/>
          <w:color w:val="auto"/>
          <w:spacing w:val="2"/>
          <w:sz w:val="24"/>
          <w:highlight w:val="none"/>
        </w:rPr>
        <w:t>的</w:t>
      </w:r>
      <w:r>
        <w:rPr>
          <w:rFonts w:hint="eastAsia" w:ascii="仿宋" w:hAnsi="仿宋" w:eastAsia="仿宋" w:cs="仿宋"/>
          <w:color w:val="auto"/>
          <w:sz w:val="24"/>
          <w:highlight w:val="none"/>
        </w:rPr>
        <w:t>规定，本</w:t>
      </w:r>
      <w:r>
        <w:rPr>
          <w:rFonts w:hint="eastAsia" w:ascii="仿宋" w:hAnsi="仿宋" w:eastAsia="仿宋" w:cs="仿宋"/>
          <w:color w:val="auto"/>
          <w:spacing w:val="2"/>
          <w:sz w:val="24"/>
          <w:highlight w:val="none"/>
        </w:rPr>
        <w:t>单</w:t>
      </w:r>
      <w:r>
        <w:rPr>
          <w:rFonts w:hint="eastAsia" w:ascii="仿宋" w:hAnsi="仿宋" w:eastAsia="仿宋" w:cs="仿宋"/>
          <w:color w:val="auto"/>
          <w:sz w:val="24"/>
          <w:highlight w:val="none"/>
        </w:rPr>
        <w:t>位为符</w:t>
      </w:r>
      <w:r>
        <w:rPr>
          <w:rFonts w:hint="eastAsia" w:ascii="仿宋" w:hAnsi="仿宋" w:eastAsia="仿宋" w:cs="仿宋"/>
          <w:color w:val="auto"/>
          <w:spacing w:val="2"/>
          <w:sz w:val="24"/>
          <w:highlight w:val="none"/>
        </w:rPr>
        <w:t>合</w:t>
      </w:r>
      <w:r>
        <w:rPr>
          <w:rFonts w:hint="eastAsia" w:ascii="仿宋" w:hAnsi="仿宋" w:eastAsia="仿宋" w:cs="仿宋"/>
          <w:color w:val="auto"/>
          <w:sz w:val="24"/>
          <w:highlight w:val="none"/>
        </w:rPr>
        <w:t>条件的残</w:t>
      </w:r>
      <w:r>
        <w:rPr>
          <w:rFonts w:hint="eastAsia" w:ascii="仿宋" w:hAnsi="仿宋" w:eastAsia="仿宋" w:cs="仿宋"/>
          <w:color w:val="auto"/>
          <w:spacing w:val="2"/>
          <w:sz w:val="24"/>
          <w:highlight w:val="none"/>
        </w:rPr>
        <w:t>疾</w:t>
      </w:r>
      <w:r>
        <w:rPr>
          <w:rFonts w:hint="eastAsia" w:ascii="仿宋" w:hAnsi="仿宋" w:eastAsia="仿宋" w:cs="仿宋"/>
          <w:color w:val="auto"/>
          <w:sz w:val="24"/>
          <w:highlight w:val="none"/>
        </w:rPr>
        <w:t>人</w:t>
      </w:r>
      <w:r>
        <w:rPr>
          <w:rFonts w:hint="eastAsia" w:ascii="仿宋" w:hAnsi="仿宋" w:eastAsia="仿宋" w:cs="仿宋"/>
          <w:color w:val="auto"/>
          <w:spacing w:val="2"/>
          <w:sz w:val="24"/>
          <w:highlight w:val="none"/>
        </w:rPr>
        <w:t>福利性单位，且本单位参加</w:t>
      </w:r>
      <w:r>
        <w:rPr>
          <w:rFonts w:hint="eastAsia" w:ascii="仿宋" w:hAnsi="仿宋" w:eastAsia="仿宋" w:cs="仿宋"/>
          <w:color w:val="auto"/>
          <w:spacing w:val="-20"/>
          <w:sz w:val="24"/>
          <w:highlight w:val="none"/>
          <w:u w:val="single" w:color="000000"/>
        </w:rPr>
        <w:t xml:space="preserve"> </w:t>
      </w:r>
      <w:r>
        <w:rPr>
          <w:rFonts w:hint="eastAsia" w:ascii="仿宋" w:hAnsi="仿宋" w:eastAsia="仿宋" w:cs="仿宋"/>
          <w:color w:val="auto"/>
          <w:sz w:val="24"/>
          <w:highlight w:val="none"/>
          <w:u w:val="single" w:color="000000"/>
        </w:rPr>
        <w:tab/>
      </w:r>
      <w:r>
        <w:rPr>
          <w:rFonts w:hint="eastAsia" w:ascii="仿宋" w:hAnsi="仿宋" w:eastAsia="仿宋" w:cs="仿宋"/>
          <w:color w:val="auto"/>
          <w:spacing w:val="2"/>
          <w:sz w:val="24"/>
          <w:highlight w:val="none"/>
        </w:rPr>
        <w:t>单位的</w:t>
      </w:r>
      <w:r>
        <w:rPr>
          <w:rFonts w:hint="eastAsia" w:ascii="仿宋" w:hAnsi="仿宋" w:eastAsia="仿宋" w:cs="仿宋"/>
          <w:color w:val="auto"/>
          <w:spacing w:val="-20"/>
          <w:sz w:val="24"/>
          <w:highlight w:val="none"/>
          <w:u w:val="single" w:color="000000"/>
        </w:rPr>
        <w:t xml:space="preserve"> </w:t>
      </w:r>
      <w:r>
        <w:rPr>
          <w:rFonts w:hint="eastAsia" w:ascii="仿宋" w:hAnsi="仿宋" w:eastAsia="仿宋" w:cs="仿宋"/>
          <w:color w:val="auto"/>
          <w:sz w:val="24"/>
          <w:highlight w:val="none"/>
          <w:u w:val="single" w:color="000000"/>
        </w:rPr>
        <w:tab/>
      </w:r>
      <w:r>
        <w:rPr>
          <w:rFonts w:hint="eastAsia" w:ascii="仿宋" w:hAnsi="仿宋" w:eastAsia="仿宋" w:cs="仿宋"/>
          <w:color w:val="auto"/>
          <w:spacing w:val="2"/>
          <w:sz w:val="24"/>
          <w:highlight w:val="none"/>
        </w:rPr>
        <w:t>项目采购活动提供本单位制造的货</w:t>
      </w:r>
      <w:r>
        <w:rPr>
          <w:rFonts w:hint="eastAsia" w:ascii="仿宋" w:hAnsi="仿宋" w:eastAsia="仿宋" w:cs="仿宋"/>
          <w:color w:val="auto"/>
          <w:sz w:val="24"/>
          <w:highlight w:val="none"/>
        </w:rPr>
        <w:t>物（由本单位承担工程</w:t>
      </w:r>
      <w:r>
        <w:rPr>
          <w:rFonts w:hint="eastAsia" w:ascii="仿宋" w:hAnsi="仿宋" w:eastAsia="仿宋" w:cs="仿宋"/>
          <w:color w:val="auto"/>
          <w:w w:val="119"/>
          <w:sz w:val="24"/>
          <w:highlight w:val="none"/>
        </w:rPr>
        <w:t>/</w:t>
      </w:r>
      <w:r>
        <w:rPr>
          <w:rFonts w:hint="eastAsia" w:ascii="仿宋" w:hAnsi="仿宋" w:eastAsia="仿宋" w:cs="仿宋"/>
          <w:color w:val="auto"/>
          <w:sz w:val="24"/>
          <w:highlight w:val="none"/>
        </w:rPr>
        <w:t>提供服务</w:t>
      </w:r>
      <w:r>
        <w:rPr>
          <w:rFonts w:hint="eastAsia" w:ascii="仿宋" w:hAnsi="仿宋" w:eastAsia="仿宋" w:cs="仿宋"/>
          <w:color w:val="auto"/>
          <w:spacing w:val="-14"/>
          <w:sz w:val="24"/>
          <w:highlight w:val="none"/>
        </w:rPr>
        <w:t>），</w:t>
      </w:r>
      <w:r>
        <w:rPr>
          <w:rFonts w:hint="eastAsia" w:ascii="仿宋" w:hAnsi="仿宋" w:eastAsia="仿宋" w:cs="仿宋"/>
          <w:color w:val="auto"/>
          <w:sz w:val="24"/>
          <w:highlight w:val="none"/>
        </w:rPr>
        <w:t>或者提供其他残疾人福利性单位制造的货</w:t>
      </w:r>
      <w:r>
        <w:rPr>
          <w:rFonts w:hint="eastAsia" w:ascii="仿宋" w:hAnsi="仿宋" w:eastAsia="仿宋" w:cs="仿宋"/>
          <w:color w:val="auto"/>
          <w:spacing w:val="-12"/>
          <w:sz w:val="24"/>
          <w:highlight w:val="none"/>
        </w:rPr>
        <w:t>物</w:t>
      </w:r>
      <w:r>
        <w:rPr>
          <w:rFonts w:hint="eastAsia" w:ascii="仿宋" w:hAnsi="仿宋" w:eastAsia="仿宋" w:cs="仿宋"/>
          <w:color w:val="auto"/>
          <w:sz w:val="24"/>
          <w:highlight w:val="none"/>
        </w:rPr>
        <w:t>（不包 括使用非残疾人福利性单位注册商标的货物）。</w:t>
      </w:r>
    </w:p>
    <w:p>
      <w:pPr>
        <w:spacing w:before="14"/>
        <w:ind w:left="594" w:right="-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before="6" w:line="180" w:lineRule="exact"/>
        <w:rPr>
          <w:rFonts w:hint="eastAsia" w:ascii="仿宋" w:hAnsi="仿宋" w:eastAsia="仿宋" w:cs="仿宋"/>
          <w:color w:val="auto"/>
          <w:sz w:val="18"/>
          <w:szCs w:val="18"/>
          <w:highlight w:val="none"/>
        </w:rPr>
      </w:pPr>
    </w:p>
    <w:p>
      <w:pPr>
        <w:spacing w:line="200" w:lineRule="exact"/>
        <w:rPr>
          <w:rFonts w:hint="eastAsia" w:ascii="仿宋" w:hAnsi="仿宋" w:eastAsia="仿宋" w:cs="仿宋"/>
          <w:color w:val="auto"/>
          <w:sz w:val="20"/>
          <w:szCs w:val="20"/>
          <w:highlight w:val="none"/>
        </w:rPr>
      </w:pPr>
    </w:p>
    <w:p>
      <w:pPr>
        <w:spacing w:line="200" w:lineRule="exact"/>
        <w:rPr>
          <w:rFonts w:hint="eastAsia" w:ascii="仿宋" w:hAnsi="仿宋" w:eastAsia="仿宋" w:cs="仿宋"/>
          <w:color w:val="auto"/>
          <w:sz w:val="20"/>
          <w:szCs w:val="20"/>
          <w:highlight w:val="none"/>
        </w:rPr>
      </w:pPr>
    </w:p>
    <w:p>
      <w:pPr>
        <w:spacing w:line="200" w:lineRule="exact"/>
        <w:rPr>
          <w:rFonts w:hint="eastAsia" w:ascii="仿宋" w:hAnsi="仿宋" w:eastAsia="仿宋" w:cs="仿宋"/>
          <w:color w:val="auto"/>
          <w:sz w:val="20"/>
          <w:szCs w:val="20"/>
          <w:highlight w:val="none"/>
        </w:rPr>
      </w:pPr>
    </w:p>
    <w:p>
      <w:pPr>
        <w:spacing w:line="200" w:lineRule="exact"/>
        <w:rPr>
          <w:rFonts w:hint="eastAsia" w:ascii="仿宋" w:hAnsi="仿宋" w:eastAsia="仿宋" w:cs="仿宋"/>
          <w:color w:val="auto"/>
          <w:sz w:val="20"/>
          <w:szCs w:val="20"/>
          <w:highlight w:val="none"/>
        </w:rPr>
      </w:pPr>
    </w:p>
    <w:p>
      <w:pPr>
        <w:tabs>
          <w:tab w:val="left" w:pos="1900"/>
        </w:tabs>
        <w:spacing w:line="272" w:lineRule="auto"/>
        <w:ind w:left="1434" w:right="5510"/>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单位名称（盖章）： 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期：</w:t>
      </w:r>
    </w:p>
    <w:p>
      <w:pPr>
        <w:spacing w:before="83" w:line="934" w:lineRule="exact"/>
        <w:ind w:left="594" w:right="5990"/>
        <w:rPr>
          <w:rFonts w:hint="eastAsia" w:ascii="仿宋" w:hAnsi="仿宋" w:eastAsia="仿宋" w:cs="仿宋"/>
          <w:b/>
          <w:color w:val="auto"/>
          <w:sz w:val="44"/>
          <w:szCs w:val="44"/>
          <w:highlight w:val="none"/>
        </w:rPr>
      </w:pPr>
    </w:p>
    <w:p>
      <w:pPr>
        <w:spacing w:before="83" w:line="934" w:lineRule="exact"/>
        <w:ind w:left="594" w:right="5990"/>
        <w:rPr>
          <w:rFonts w:hint="eastAsia" w:ascii="仿宋" w:hAnsi="仿宋" w:eastAsia="仿宋" w:cs="仿宋"/>
          <w:b/>
          <w:color w:val="auto"/>
          <w:sz w:val="44"/>
          <w:szCs w:val="44"/>
          <w:highlight w:val="none"/>
        </w:rPr>
      </w:pPr>
    </w:p>
    <w:p>
      <w:pPr>
        <w:spacing w:before="83" w:line="934" w:lineRule="exact"/>
        <w:ind w:left="594" w:right="5990"/>
        <w:rPr>
          <w:rFonts w:hint="eastAsia" w:ascii="仿宋" w:hAnsi="仿宋" w:eastAsia="仿宋" w:cs="仿宋"/>
          <w:b/>
          <w:color w:val="auto"/>
          <w:sz w:val="44"/>
          <w:szCs w:val="44"/>
          <w:highlight w:val="none"/>
        </w:rPr>
      </w:pPr>
    </w:p>
    <w:p>
      <w:pPr>
        <w:spacing w:before="83" w:line="934" w:lineRule="exact"/>
        <w:ind w:right="5990"/>
        <w:rPr>
          <w:rFonts w:hint="eastAsia" w:ascii="仿宋" w:hAnsi="仿宋" w:eastAsia="仿宋" w:cs="仿宋"/>
          <w:b/>
          <w:color w:val="auto"/>
          <w:sz w:val="44"/>
          <w:szCs w:val="44"/>
          <w:highlight w:val="none"/>
        </w:rPr>
      </w:pPr>
    </w:p>
    <w:p>
      <w:pPr>
        <w:spacing w:after="312" w:afterLines="100" w:line="500" w:lineRule="exact"/>
        <w:rPr>
          <w:rFonts w:hint="eastAsia" w:ascii="仿宋" w:hAnsi="仿宋" w:eastAsia="仿宋" w:cs="仿宋"/>
          <w:b/>
          <w:color w:val="auto"/>
          <w:sz w:val="44"/>
          <w:szCs w:val="44"/>
          <w:highlight w:val="none"/>
        </w:rPr>
      </w:pPr>
    </w:p>
    <w:p/>
    <w:p/>
    <w:sectPr>
      <w:headerReference r:id="rId5" w:type="default"/>
      <w:footerReference r:id="rId6" w:type="default"/>
      <w:footerReference r:id="rId7" w:type="even"/>
      <w:pgSz w:w="11906" w:h="16838"/>
      <w:pgMar w:top="1440" w:right="1418" w:bottom="1559"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jc w:val="center"/>
                          </w:pPr>
                          <w:r>
                            <w:rPr>
                              <w:rFonts w:hint="eastAsia"/>
                              <w:color w:val="000000"/>
                              <w:sz w:val="21"/>
                              <w:szCs w:val="21"/>
                            </w:rPr>
                            <w:t xml:space="preserve">     </w:t>
                          </w:r>
                          <w:r>
                            <w:fldChar w:fldCharType="begin"/>
                          </w:r>
                          <w:r>
                            <w:instrText xml:space="preserve"> PAGE   \* MERGEFORMAT </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14"/>
                      <w:jc w:val="center"/>
                    </w:pPr>
                    <w:r>
                      <w:rPr>
                        <w:rFonts w:hint="eastAsia"/>
                        <w:color w:val="000000"/>
                        <w:sz w:val="21"/>
                        <w:szCs w:val="21"/>
                      </w:rPr>
                      <w:t xml:space="preserve">     </w:t>
                    </w: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hint="eastAsia" w:ascii="微软雅黑" w:hAnsi="微软雅黑" w:eastAsia="微软雅黑"/>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fldChar w:fldCharType="begin"/>
    </w:r>
    <w:r>
      <w:rPr>
        <w:rStyle w:val="20"/>
      </w:rPr>
      <w:instrText xml:space="preserve">PAGE  </w:instrText>
    </w:r>
    <w:r>
      <w:fldChar w:fldCharType="separate"/>
    </w:r>
    <w:r>
      <w:fldChar w:fldCharType="end"/>
    </w:r>
  </w:p>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8710"/>
        <w:tab w:val="clear" w:pos="8306"/>
      </w:tabs>
      <w:ind w:right="36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南浔区数字经济综合门户建设项目  </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1"/>
        <w:szCs w:val="21"/>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8710"/>
        <w:tab w:val="clear" w:pos="8306"/>
      </w:tabs>
      <w:ind w:right="360"/>
      <w:jc w:val="both"/>
      <w:rPr>
        <w:rFonts w:hint="eastAsia" w:ascii="仿宋" w:hAnsi="仿宋" w:eastAsia="仿宋" w:cs="仿宋"/>
        <w:sz w:val="21"/>
        <w:szCs w:val="21"/>
      </w:rPr>
    </w:pPr>
    <w:r>
      <w:rPr>
        <w:rFonts w:hint="eastAsia" w:ascii="仿宋" w:hAnsi="仿宋" w:eastAsia="仿宋" w:cs="仿宋"/>
        <w:color w:val="000000"/>
        <w:kern w:val="0"/>
        <w:sz w:val="21"/>
        <w:szCs w:val="21"/>
      </w:rPr>
      <w:t>南浔区数字经济综合门户建设项目</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0361E"/>
    <w:multiLevelType w:val="singleLevel"/>
    <w:tmpl w:val="8690361E"/>
    <w:lvl w:ilvl="0" w:tentative="0">
      <w:start w:val="1"/>
      <w:numFmt w:val="decimal"/>
      <w:lvlText w:val="%1)"/>
      <w:lvlJc w:val="left"/>
      <w:pPr>
        <w:ind w:left="425" w:hanging="425"/>
      </w:pPr>
      <w:rPr>
        <w:rFonts w:hint="default"/>
      </w:rPr>
    </w:lvl>
  </w:abstractNum>
  <w:abstractNum w:abstractNumId="1">
    <w:nsid w:val="88EFB668"/>
    <w:multiLevelType w:val="singleLevel"/>
    <w:tmpl w:val="88EFB668"/>
    <w:lvl w:ilvl="0" w:tentative="0">
      <w:start w:val="1"/>
      <w:numFmt w:val="decimal"/>
      <w:lvlText w:val="(%1)"/>
      <w:lvlJc w:val="left"/>
      <w:pPr>
        <w:ind w:left="425" w:hanging="425"/>
      </w:pPr>
      <w:rPr>
        <w:rFonts w:hint="default"/>
      </w:rPr>
    </w:lvl>
  </w:abstractNum>
  <w:abstractNum w:abstractNumId="2">
    <w:nsid w:val="A81DE4B4"/>
    <w:multiLevelType w:val="singleLevel"/>
    <w:tmpl w:val="A81DE4B4"/>
    <w:lvl w:ilvl="0" w:tentative="0">
      <w:start w:val="1"/>
      <w:numFmt w:val="decimal"/>
      <w:lvlText w:val="(%1)"/>
      <w:lvlJc w:val="left"/>
      <w:pPr>
        <w:ind w:left="420" w:hanging="425"/>
      </w:pPr>
      <w:rPr>
        <w:rFonts w:hint="default"/>
      </w:rPr>
    </w:lvl>
  </w:abstractNum>
  <w:abstractNum w:abstractNumId="3">
    <w:nsid w:val="C9292581"/>
    <w:multiLevelType w:val="singleLevel"/>
    <w:tmpl w:val="C9292581"/>
    <w:lvl w:ilvl="0" w:tentative="0">
      <w:start w:val="1"/>
      <w:numFmt w:val="decimal"/>
      <w:pStyle w:val="6"/>
      <w:lvlText w:val="%1."/>
      <w:lvlJc w:val="left"/>
      <w:pPr>
        <w:tabs>
          <w:tab w:val="left" w:pos="360"/>
        </w:tabs>
        <w:ind w:left="360" w:hanging="360"/>
      </w:pPr>
    </w:lvl>
  </w:abstractNum>
  <w:abstractNum w:abstractNumId="4">
    <w:nsid w:val="DFD3B5FE"/>
    <w:multiLevelType w:val="singleLevel"/>
    <w:tmpl w:val="DFD3B5FE"/>
    <w:lvl w:ilvl="0" w:tentative="0">
      <w:start w:val="1"/>
      <w:numFmt w:val="decimal"/>
      <w:lvlText w:val="(%1)"/>
      <w:lvlJc w:val="left"/>
      <w:pPr>
        <w:ind w:left="425" w:hanging="425"/>
      </w:pPr>
      <w:rPr>
        <w:rFonts w:hint="default"/>
      </w:rPr>
    </w:lvl>
  </w:abstractNum>
  <w:abstractNum w:abstractNumId="5">
    <w:nsid w:val="2C716F04"/>
    <w:multiLevelType w:val="singleLevel"/>
    <w:tmpl w:val="2C716F04"/>
    <w:lvl w:ilvl="0" w:tentative="0">
      <w:start w:val="2"/>
      <w:numFmt w:val="chineseCounting"/>
      <w:suff w:val="space"/>
      <w:lvlText w:val="第%1章"/>
      <w:lvlJc w:val="left"/>
      <w:rPr>
        <w:rFonts w:hint="eastAsia"/>
      </w:rPr>
    </w:lvl>
  </w:abstractNum>
  <w:abstractNum w:abstractNumId="6">
    <w:nsid w:val="38953095"/>
    <w:multiLevelType w:val="singleLevel"/>
    <w:tmpl w:val="38953095"/>
    <w:lvl w:ilvl="0" w:tentative="0">
      <w:start w:val="1"/>
      <w:numFmt w:val="decimal"/>
      <w:suff w:val="nothing"/>
      <w:lvlText w:val="%1．"/>
      <w:lvlJc w:val="left"/>
      <w:pPr>
        <w:ind w:left="0" w:firstLine="400"/>
      </w:pPr>
      <w:rPr>
        <w:rFonts w:hint="default"/>
      </w:rPr>
    </w:lvl>
  </w:abstractNum>
  <w:abstractNum w:abstractNumId="7">
    <w:nsid w:val="460C281C"/>
    <w:multiLevelType w:val="singleLevel"/>
    <w:tmpl w:val="460C281C"/>
    <w:lvl w:ilvl="0" w:tentative="0">
      <w:start w:val="1"/>
      <w:numFmt w:val="decimal"/>
      <w:suff w:val="nothing"/>
      <w:lvlText w:val="%1、"/>
      <w:lvlJc w:val="left"/>
    </w:lvl>
  </w:abstractNum>
  <w:abstractNum w:abstractNumId="8">
    <w:nsid w:val="67BAA0DC"/>
    <w:multiLevelType w:val="singleLevel"/>
    <w:tmpl w:val="67BAA0DC"/>
    <w:lvl w:ilvl="0" w:tentative="0">
      <w:start w:val="1"/>
      <w:numFmt w:val="decimal"/>
      <w:lvlText w:val="(%1)"/>
      <w:lvlJc w:val="left"/>
      <w:pPr>
        <w:ind w:left="425" w:hanging="425"/>
      </w:pPr>
      <w:rPr>
        <w:rFonts w:hint="default"/>
      </w:rPr>
    </w:lvl>
  </w:abstractNum>
  <w:num w:numId="1">
    <w:abstractNumId w:val="3"/>
  </w:num>
  <w:num w:numId="2">
    <w:abstractNumId w:val="5"/>
  </w:num>
  <w:num w:numId="3">
    <w:abstractNumId w:val="6"/>
  </w:num>
  <w:num w:numId="4">
    <w:abstractNumId w:val="3"/>
    <w:lvlOverride w:ilvl="0">
      <w:startOverride w:val="1"/>
    </w:lvlOverride>
  </w:num>
  <w:num w:numId="5">
    <w:abstractNumId w:val="1"/>
  </w:num>
  <w:num w:numId="6">
    <w:abstractNumId w:val="2"/>
  </w:num>
  <w:num w:numId="7">
    <w:abstractNumId w:val="0"/>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NDI2MTdkZGVjMzNlMDdlODAyM2FlNDUyZWEyNTAifQ=="/>
  </w:docVars>
  <w:rsids>
    <w:rsidRoot w:val="00000000"/>
    <w:rsid w:val="034026E5"/>
    <w:rsid w:val="04642403"/>
    <w:rsid w:val="07BC27C0"/>
    <w:rsid w:val="0B4354F2"/>
    <w:rsid w:val="18C3415D"/>
    <w:rsid w:val="1FEC3441"/>
    <w:rsid w:val="2181419D"/>
    <w:rsid w:val="2F805E27"/>
    <w:rsid w:val="32BC2865"/>
    <w:rsid w:val="330001C4"/>
    <w:rsid w:val="35C74B42"/>
    <w:rsid w:val="394E050B"/>
    <w:rsid w:val="3B6735EE"/>
    <w:rsid w:val="3E525E27"/>
    <w:rsid w:val="434C575E"/>
    <w:rsid w:val="49882CAC"/>
    <w:rsid w:val="4D4218DC"/>
    <w:rsid w:val="52033BB9"/>
    <w:rsid w:val="65BA5074"/>
    <w:rsid w:val="6EAB17AE"/>
    <w:rsid w:val="6F8F6108"/>
    <w:rsid w:val="7B174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rFonts w:ascii="Times New Roman" w:hAnsi="Times New Roman"/>
      <w:spacing w:val="0"/>
      <w:sz w:val="21"/>
      <w:szCs w:val="24"/>
    </w:rPr>
  </w:style>
  <w:style w:type="paragraph" w:styleId="3">
    <w:name w:val="Body Text Indent"/>
    <w:basedOn w:val="1"/>
    <w:next w:val="2"/>
    <w:qFormat/>
    <w:uiPriority w:val="0"/>
    <w:pPr>
      <w:spacing w:line="360" w:lineRule="auto"/>
      <w:ind w:firstLine="600" w:firstLineChars="200"/>
    </w:pPr>
    <w:rPr>
      <w:rFonts w:ascii="仿宋_GB2312" w:hAnsi="宋体" w:eastAsia="仿宋_GB2312"/>
      <w:b/>
      <w:sz w:val="30"/>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line="520" w:lineRule="exact"/>
      <w:jc w:val="center"/>
    </w:pPr>
    <w:rPr>
      <w:rFonts w:ascii="仿宋_GB2312" w:eastAsia="黑体"/>
      <w:b/>
      <w:color w:val="FF0000"/>
      <w:sz w:val="44"/>
    </w:rPr>
  </w:style>
  <w:style w:type="paragraph" w:styleId="10">
    <w:name w:val="Body Text First Indent"/>
    <w:basedOn w:val="9"/>
    <w:next w:val="1"/>
    <w:qFormat/>
    <w:uiPriority w:val="0"/>
    <w:pPr>
      <w:spacing w:after="120" w:line="240" w:lineRule="auto"/>
      <w:ind w:firstLine="420" w:firstLineChars="100"/>
      <w:jc w:val="both"/>
    </w:pPr>
    <w:rPr>
      <w:sz w:val="28"/>
      <w:lang w:val="en-US" w:eastAsia="zh-CN"/>
    </w:rPr>
  </w:style>
  <w:style w:type="paragraph" w:styleId="11">
    <w:name w:val="List 2"/>
    <w:basedOn w:val="1"/>
    <w:qFormat/>
    <w:uiPriority w:val="0"/>
    <w:pPr>
      <w:ind w:left="100" w:leftChars="200" w:hanging="200" w:hangingChars="200"/>
    </w:pPr>
  </w:style>
  <w:style w:type="paragraph" w:styleId="12">
    <w:name w:val="Plain Text"/>
    <w:basedOn w:val="1"/>
    <w:next w:val="13"/>
    <w:qFormat/>
    <w:uiPriority w:val="0"/>
    <w:rPr>
      <w:rFonts w:ascii="宋体" w:hAnsi="Courier New"/>
      <w:szCs w:val="20"/>
    </w:rPr>
  </w:style>
  <w:style w:type="paragraph" w:styleId="13">
    <w:name w:val="Date"/>
    <w:basedOn w:val="1"/>
    <w:next w:val="1"/>
    <w:qFormat/>
    <w:uiPriority w:val="0"/>
    <w:pPr>
      <w:ind w:left="100" w:leftChars="2500"/>
    </w:pPr>
    <w:rPr>
      <w:rFonts w:ascii="仿宋_GB2312" w:hAnsi="宋体" w:eastAsia="仿宋_GB2312"/>
      <w:sz w:val="3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next w:val="1"/>
    <w:qFormat/>
    <w:uiPriority w:val="0"/>
    <w:pPr>
      <w:ind w:left="200" w:hanging="200" w:hangingChars="200"/>
    </w:pPr>
    <w:rPr>
      <w:sz w:val="28"/>
    </w:rPr>
  </w:style>
  <w:style w:type="paragraph" w:styleId="17">
    <w:name w:val="footnote text"/>
    <w:basedOn w:val="1"/>
    <w:qFormat/>
    <w:uiPriority w:val="99"/>
    <w:pPr>
      <w:snapToGrid w:val="0"/>
      <w:jc w:val="left"/>
    </w:pPr>
    <w:rPr>
      <w:sz w:val="18"/>
    </w:rPr>
  </w:style>
  <w:style w:type="character" w:styleId="20">
    <w:name w:val="page number"/>
    <w:basedOn w:val="19"/>
    <w:qFormat/>
    <w:uiPriority w:val="0"/>
  </w:style>
  <w:style w:type="character" w:styleId="21">
    <w:name w:val="Hyperlink"/>
    <w:qFormat/>
    <w:uiPriority w:val="0"/>
    <w:rPr>
      <w:rFonts w:ascii="仿宋_GB2312" w:eastAsia="仿宋_GB2312"/>
      <w:b/>
      <w:color w:val="0000FF"/>
      <w:sz w:val="32"/>
      <w:szCs w:val="32"/>
      <w:u w:val="single"/>
    </w:rPr>
  </w:style>
  <w:style w:type="paragraph" w:customStyle="1" w:styleId="22">
    <w:name w:val="样式 首行缩进:  0.99 厘米"/>
    <w:basedOn w:val="1"/>
    <w:qFormat/>
    <w:uiPriority w:val="0"/>
    <w:pPr>
      <w:ind w:firstLine="560"/>
    </w:pPr>
    <w:rPr>
      <w:rFonts w:cs="宋体"/>
      <w:sz w:val="28"/>
      <w:szCs w:val="20"/>
    </w:rPr>
  </w:style>
  <w:style w:type="paragraph" w:customStyle="1" w:styleId="23">
    <w:name w:val="表格文字"/>
    <w:basedOn w:val="1"/>
    <w:next w:val="9"/>
    <w:qFormat/>
    <w:uiPriority w:val="0"/>
    <w:pPr>
      <w:adjustRightInd w:val="0"/>
      <w:spacing w:line="420" w:lineRule="atLeast"/>
      <w:jc w:val="left"/>
      <w:textAlignment w:val="baseline"/>
    </w:pPr>
    <w:rPr>
      <w:rFonts w:ascii="Times New Roman" w:hAnsi="Times New Roman"/>
      <w:kern w:val="0"/>
    </w:rPr>
  </w:style>
  <w:style w:type="paragraph" w:customStyle="1" w:styleId="24">
    <w:name w:val="正文 A"/>
    <w:next w:val="25"/>
    <w:qFormat/>
    <w:uiPriority w:val="0"/>
    <w:pPr>
      <w:framePr w:wrap="around" w:vAnchor="margin" w:hAnchor="text" w:yAlign="top"/>
      <w:widowControl w:val="0"/>
      <w:jc w:val="both"/>
    </w:pPr>
    <w:rPr>
      <w:rFonts w:ascii="Times New Roman" w:hAnsi="Times New Roman" w:eastAsia="Times New Roman" w:cs="Calibri"/>
      <w:color w:val="000000"/>
      <w:kern w:val="2"/>
      <w:sz w:val="21"/>
      <w:szCs w:val="21"/>
      <w:u w:val="none" w:color="000000"/>
      <w:lang w:val="en-US" w:eastAsia="zh-CN" w:bidi="ar-SA"/>
    </w:rPr>
  </w:style>
  <w:style w:type="paragraph" w:customStyle="1" w:styleId="25">
    <w:name w:val="首行缩进"/>
    <w:qFormat/>
    <w:uiPriority w:val="0"/>
    <w:pPr>
      <w:framePr w:wrap="around" w:vAnchor="margin" w:hAnchor="text" w:y="1"/>
      <w:widowControl w:val="0"/>
      <w:spacing w:line="360" w:lineRule="auto"/>
      <w:ind w:firstLine="480"/>
      <w:jc w:val="both"/>
    </w:pPr>
    <w:rPr>
      <w:rFonts w:ascii="Times New Roman" w:hAnsi="Times New Roman" w:eastAsia="Times New Roman" w:cs="Times New Roman"/>
      <w:color w:val="000000"/>
      <w:kern w:val="2"/>
      <w:sz w:val="24"/>
      <w:szCs w:val="24"/>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33320</Words>
  <Characters>34250</Characters>
  <Lines>0</Lines>
  <Paragraphs>0</Paragraphs>
  <TotalTime>51</TotalTime>
  <ScaleCrop>false</ScaleCrop>
  <LinksUpToDate>false</LinksUpToDate>
  <CharactersWithSpaces>36180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2023-02-09T01:19:00Z</dcterms:created>
  <dc:creator>Administrator.DESKTOP-DBRB0Q4</dc:creator>
  <cp:lastModifiedBy>◆℡沈仙森◇</cp:lastModifiedBy>
  <dcterms:modified xsi:type="dcterms:W3CDTF">2023-04-18T06:35:48Z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2539A4358A8442A6945D7E5215C5D2A7</vt:lpwstr>
  </property>
</Properties>
</file>