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jc w:val="center"/>
        <w:rPr>
          <w:rFonts w:hint="eastAsia" w:ascii="宋体" w:hAnsi="宋体" w:eastAsia="宋体" w:cs="宋体"/>
          <w:b/>
          <w:bCs/>
          <w:color w:val="auto"/>
          <w:sz w:val="48"/>
          <w:szCs w:val="48"/>
          <w:highlight w:val="none"/>
          <w:lang w:val="en-US" w:eastAsia="zh-CN"/>
        </w:rPr>
      </w:pPr>
      <w:r>
        <w:rPr>
          <w:rFonts w:hint="eastAsia" w:ascii="宋体" w:hAnsi="宋体" w:cs="宋体"/>
          <w:b/>
          <w:bCs/>
          <w:color w:val="auto"/>
          <w:sz w:val="48"/>
          <w:szCs w:val="48"/>
          <w:highlight w:val="none"/>
          <w:lang w:val="en-US" w:eastAsia="zh-CN"/>
        </w:rPr>
        <w:t xml:space="preserve"> </w:t>
      </w:r>
    </w:p>
    <w:p>
      <w:pPr>
        <w:shd w:val="clear"/>
        <w:jc w:val="center"/>
        <w:rPr>
          <w:rFonts w:ascii="宋体" w:hAnsi="宋体" w:cs="宋体"/>
          <w:b/>
          <w:bCs/>
          <w:color w:val="auto"/>
          <w:sz w:val="48"/>
          <w:szCs w:val="48"/>
          <w:highlight w:val="none"/>
        </w:rPr>
      </w:pPr>
      <w:r>
        <w:rPr>
          <w:rFonts w:hint="eastAsia" w:ascii="宋体" w:hAnsi="宋体" w:cs="宋体"/>
          <w:b/>
          <w:bCs/>
          <w:color w:val="auto"/>
          <w:sz w:val="48"/>
          <w:szCs w:val="48"/>
          <w:highlight w:val="none"/>
        </w:rPr>
        <w:t>义乌市廿三里辖区路灯能源管理服务</w:t>
      </w:r>
    </w:p>
    <w:p>
      <w:pPr>
        <w:shd w:val="clear"/>
        <w:jc w:val="center"/>
        <w:rPr>
          <w:rFonts w:ascii="宋体" w:hAnsi="宋体" w:cs="宋体"/>
          <w:b/>
          <w:bCs/>
          <w:color w:val="auto"/>
          <w:sz w:val="48"/>
          <w:szCs w:val="48"/>
          <w:highlight w:val="none"/>
        </w:rPr>
      </w:pPr>
      <w:r>
        <w:rPr>
          <w:rFonts w:hint="eastAsia" w:ascii="宋体" w:hAnsi="宋体" w:cs="宋体"/>
          <w:b/>
          <w:bCs/>
          <w:color w:val="auto"/>
          <w:sz w:val="48"/>
          <w:szCs w:val="48"/>
          <w:highlight w:val="none"/>
        </w:rPr>
        <w:t>采购项目</w:t>
      </w:r>
    </w:p>
    <w:p>
      <w:pPr>
        <w:pStyle w:val="25"/>
        <w:shd w:val="clear"/>
        <w:ind w:firstLine="0" w:firstLineChars="0"/>
        <w:rPr>
          <w:rFonts w:ascii="宋体" w:hAnsi="宋体" w:cs="宋体"/>
          <w:b/>
          <w:color w:val="auto"/>
          <w:sz w:val="48"/>
          <w:szCs w:val="48"/>
          <w:highlight w:val="none"/>
        </w:rPr>
      </w:pPr>
    </w:p>
    <w:p>
      <w:pPr>
        <w:shd w:val="clear"/>
        <w:spacing w:line="360" w:lineRule="auto"/>
        <w:jc w:val="center"/>
        <w:rPr>
          <w:rFonts w:ascii="宋体" w:hAnsi="宋体" w:cs="宋体"/>
          <w:color w:val="auto"/>
          <w:sz w:val="84"/>
          <w:szCs w:val="84"/>
          <w:highlight w:val="none"/>
        </w:rPr>
      </w:pPr>
      <w:r>
        <w:rPr>
          <w:rFonts w:hint="eastAsia" w:ascii="宋体" w:hAnsi="宋体" w:cs="宋体"/>
          <w:color w:val="auto"/>
          <w:sz w:val="84"/>
          <w:szCs w:val="84"/>
          <w:highlight w:val="none"/>
        </w:rPr>
        <w:t>采购文件</w:t>
      </w:r>
    </w:p>
    <w:p>
      <w:pPr>
        <w:shd w:val="clear"/>
        <w:spacing w:line="360" w:lineRule="auto"/>
        <w:ind w:firstLine="1440" w:firstLineChars="200"/>
        <w:jc w:val="center"/>
        <w:rPr>
          <w:rFonts w:ascii="宋体" w:hAnsi="宋体" w:cs="宋体"/>
          <w:color w:val="auto"/>
          <w:sz w:val="72"/>
          <w:szCs w:val="72"/>
          <w:highlight w:val="none"/>
        </w:rPr>
      </w:pPr>
    </w:p>
    <w:p>
      <w:pPr>
        <w:pStyle w:val="13"/>
        <w:shd w:val="clear"/>
        <w:snapToGrid w:val="0"/>
        <w:spacing w:before="120" w:after="120" w:line="360" w:lineRule="auto"/>
        <w:jc w:val="center"/>
        <w:rPr>
          <w:rFonts w:hAnsi="宋体" w:cs="宋体"/>
          <w:b/>
          <w:bCs/>
          <w:color w:val="auto"/>
          <w:sz w:val="32"/>
          <w:szCs w:val="32"/>
          <w:highlight w:val="none"/>
        </w:rPr>
      </w:pPr>
      <w:r>
        <w:rPr>
          <w:rFonts w:hint="eastAsia" w:hAnsi="宋体" w:cs="宋体"/>
          <w:b/>
          <w:bCs/>
          <w:color w:val="auto"/>
          <w:sz w:val="32"/>
          <w:szCs w:val="32"/>
          <w:highlight w:val="none"/>
        </w:rPr>
        <w:t>采购编号：ZJMD2022045GK</w:t>
      </w:r>
    </w:p>
    <w:p>
      <w:pPr>
        <w:shd w:val="clear"/>
        <w:snapToGrid w:val="0"/>
        <w:spacing w:line="360" w:lineRule="auto"/>
        <w:rPr>
          <w:rFonts w:ascii="宋体" w:hAnsi="宋体" w:cs="宋体"/>
          <w:color w:val="auto"/>
          <w:sz w:val="30"/>
          <w:szCs w:val="72"/>
          <w:highlight w:val="none"/>
        </w:rPr>
      </w:pPr>
    </w:p>
    <w:p>
      <w:pPr>
        <w:pStyle w:val="26"/>
        <w:shd w:val="clear"/>
        <w:rPr>
          <w:rFonts w:ascii="宋体" w:hAnsi="宋体" w:eastAsia="宋体" w:cs="宋体"/>
          <w:color w:val="auto"/>
          <w:highlight w:val="none"/>
        </w:rPr>
      </w:pPr>
    </w:p>
    <w:p>
      <w:pPr>
        <w:pStyle w:val="13"/>
        <w:shd w:val="clear"/>
        <w:snapToGrid w:val="0"/>
        <w:spacing w:before="120" w:after="120" w:line="360" w:lineRule="auto"/>
        <w:rPr>
          <w:rFonts w:hAnsi="宋体" w:cs="宋体"/>
          <w:color w:val="auto"/>
          <w:sz w:val="30"/>
          <w:szCs w:val="72"/>
          <w:highlight w:val="none"/>
        </w:rPr>
      </w:pPr>
    </w:p>
    <w:p>
      <w:pPr>
        <w:pStyle w:val="13"/>
        <w:shd w:val="clear"/>
        <w:snapToGrid w:val="0"/>
        <w:spacing w:before="120" w:after="120" w:line="360" w:lineRule="auto"/>
        <w:ind w:firstLine="611" w:firstLineChars="200"/>
        <w:rPr>
          <w:rFonts w:hAnsi="宋体" w:cs="宋体"/>
          <w:b/>
          <w:bCs/>
          <w:color w:val="auto"/>
          <w:w w:val="95"/>
          <w:sz w:val="32"/>
          <w:szCs w:val="32"/>
          <w:highlight w:val="none"/>
        </w:rPr>
      </w:pPr>
      <w:r>
        <w:rPr>
          <w:rFonts w:hint="eastAsia" w:hAnsi="宋体" w:cs="宋体"/>
          <w:b/>
          <w:bCs/>
          <w:color w:val="auto"/>
          <w:w w:val="95"/>
          <w:sz w:val="32"/>
          <w:szCs w:val="32"/>
          <w:highlight w:val="none"/>
        </w:rPr>
        <w:t>采　购　 人：</w:t>
      </w:r>
      <w:r>
        <w:rPr>
          <w:rFonts w:hint="eastAsia" w:hAnsi="宋体" w:cs="宋体"/>
          <w:b/>
          <w:color w:val="auto"/>
          <w:sz w:val="32"/>
          <w:szCs w:val="32"/>
          <w:highlight w:val="none"/>
          <w:u w:val="single"/>
        </w:rPr>
        <w:t>义乌市人民政府廿三里街道办事处</w:t>
      </w:r>
      <w:r>
        <w:rPr>
          <w:rFonts w:hint="eastAsia" w:hAnsi="宋体" w:cs="宋体"/>
          <w:b/>
          <w:color w:val="auto"/>
          <w:sz w:val="32"/>
          <w:szCs w:val="32"/>
          <w:highlight w:val="none"/>
        </w:rPr>
        <w:t>（盖章）</w:t>
      </w:r>
    </w:p>
    <w:p>
      <w:pPr>
        <w:pStyle w:val="13"/>
        <w:shd w:val="clear"/>
        <w:snapToGrid w:val="0"/>
        <w:spacing w:before="120" w:after="120" w:line="360" w:lineRule="auto"/>
        <w:ind w:firstLine="643" w:firstLineChars="200"/>
        <w:rPr>
          <w:rFonts w:hAnsi="宋体" w:cs="宋体"/>
          <w:b/>
          <w:color w:val="auto"/>
          <w:sz w:val="32"/>
          <w:szCs w:val="32"/>
          <w:highlight w:val="none"/>
        </w:rPr>
      </w:pPr>
      <w:r>
        <w:rPr>
          <w:rFonts w:hint="eastAsia" w:hAnsi="宋体" w:cs="宋体"/>
          <w:b/>
          <w:color w:val="auto"/>
          <w:sz w:val="32"/>
          <w:szCs w:val="32"/>
          <w:highlight w:val="none"/>
        </w:rPr>
        <w:t>法定代表人或其授权委托人：</w:t>
      </w:r>
      <w:r>
        <w:rPr>
          <w:rFonts w:hint="eastAsia" w:hAnsi="宋体" w:cs="宋体"/>
          <w:b/>
          <w:color w:val="auto"/>
          <w:sz w:val="32"/>
          <w:szCs w:val="32"/>
          <w:highlight w:val="none"/>
          <w:u w:val="single"/>
        </w:rPr>
        <w:t xml:space="preserve">             </w:t>
      </w:r>
      <w:r>
        <w:rPr>
          <w:rFonts w:hint="eastAsia" w:hAnsi="宋体" w:cs="宋体"/>
          <w:b/>
          <w:color w:val="auto"/>
          <w:sz w:val="32"/>
          <w:szCs w:val="32"/>
          <w:highlight w:val="none"/>
        </w:rPr>
        <w:t>（签字或盖章）</w:t>
      </w:r>
    </w:p>
    <w:p>
      <w:pPr>
        <w:pStyle w:val="13"/>
        <w:shd w:val="clear"/>
        <w:snapToGrid w:val="0"/>
        <w:spacing w:before="120" w:after="120" w:line="360" w:lineRule="auto"/>
        <w:ind w:firstLine="611" w:firstLineChars="200"/>
        <w:rPr>
          <w:rFonts w:hAnsi="宋体" w:cs="宋体"/>
          <w:b/>
          <w:color w:val="auto"/>
          <w:sz w:val="32"/>
          <w:szCs w:val="32"/>
          <w:highlight w:val="none"/>
        </w:rPr>
      </w:pPr>
      <w:r>
        <w:rPr>
          <w:rFonts w:hint="eastAsia" w:hAnsi="宋体" w:cs="宋体"/>
          <w:b/>
          <w:bCs/>
          <w:color w:val="auto"/>
          <w:w w:val="95"/>
          <w:sz w:val="32"/>
          <w:szCs w:val="32"/>
          <w:highlight w:val="none"/>
        </w:rPr>
        <w:t>采购代理机构：</w:t>
      </w:r>
      <w:r>
        <w:rPr>
          <w:rFonts w:hint="eastAsia" w:hAnsi="宋体" w:cs="宋体"/>
          <w:b/>
          <w:color w:val="auto"/>
          <w:sz w:val="32"/>
          <w:szCs w:val="32"/>
          <w:highlight w:val="none"/>
          <w:u w:val="single"/>
        </w:rPr>
        <w:t>浙江明达工程造价咨询有限公司</w:t>
      </w:r>
      <w:r>
        <w:rPr>
          <w:rFonts w:hint="eastAsia" w:hAnsi="宋体" w:cs="宋体"/>
          <w:b/>
          <w:color w:val="auto"/>
          <w:sz w:val="32"/>
          <w:szCs w:val="32"/>
          <w:highlight w:val="none"/>
        </w:rPr>
        <w:t>（盖章）</w:t>
      </w:r>
    </w:p>
    <w:p>
      <w:pPr>
        <w:pStyle w:val="13"/>
        <w:shd w:val="clear"/>
        <w:snapToGrid w:val="0"/>
        <w:spacing w:before="120" w:after="120" w:line="360" w:lineRule="auto"/>
        <w:ind w:firstLine="643" w:firstLineChars="200"/>
        <w:rPr>
          <w:rFonts w:hAnsi="宋体" w:cs="宋体"/>
          <w:b/>
          <w:color w:val="auto"/>
          <w:sz w:val="32"/>
          <w:szCs w:val="32"/>
          <w:highlight w:val="none"/>
        </w:rPr>
      </w:pPr>
      <w:r>
        <w:rPr>
          <w:rFonts w:hint="eastAsia" w:hAnsi="宋体" w:cs="宋体"/>
          <w:b/>
          <w:color w:val="auto"/>
          <w:sz w:val="32"/>
          <w:szCs w:val="32"/>
          <w:highlight w:val="none"/>
        </w:rPr>
        <w:t>法定代表人或其授权委托人：</w:t>
      </w:r>
      <w:r>
        <w:rPr>
          <w:rFonts w:hint="eastAsia" w:hAnsi="宋体" w:cs="宋体"/>
          <w:b/>
          <w:color w:val="auto"/>
          <w:sz w:val="32"/>
          <w:szCs w:val="32"/>
          <w:highlight w:val="none"/>
          <w:u w:val="single"/>
        </w:rPr>
        <w:t xml:space="preserve">             </w:t>
      </w:r>
      <w:r>
        <w:rPr>
          <w:rFonts w:hint="eastAsia" w:hAnsi="宋体" w:cs="宋体"/>
          <w:b/>
          <w:color w:val="auto"/>
          <w:sz w:val="32"/>
          <w:szCs w:val="32"/>
          <w:highlight w:val="none"/>
        </w:rPr>
        <w:t>（签字或盖章）</w:t>
      </w:r>
    </w:p>
    <w:p>
      <w:pPr>
        <w:pStyle w:val="13"/>
        <w:shd w:val="clear"/>
        <w:snapToGrid w:val="0"/>
        <w:spacing w:before="120" w:after="120" w:line="360" w:lineRule="auto"/>
        <w:jc w:val="center"/>
        <w:rPr>
          <w:rFonts w:hAnsi="宋体" w:cs="宋体"/>
          <w:b/>
          <w:color w:val="auto"/>
          <w:sz w:val="32"/>
          <w:szCs w:val="32"/>
          <w:highlight w:val="none"/>
        </w:rPr>
      </w:pPr>
      <w:r>
        <w:rPr>
          <w:rFonts w:hint="eastAsia" w:hAnsi="宋体" w:cs="宋体"/>
          <w:b/>
          <w:color w:val="auto"/>
          <w:sz w:val="32"/>
          <w:szCs w:val="32"/>
          <w:highlight w:val="none"/>
        </w:rPr>
        <w:t>日　 期：2022年</w:t>
      </w:r>
      <w:r>
        <w:rPr>
          <w:rFonts w:hint="eastAsia" w:hAnsi="宋体" w:cs="宋体"/>
          <w:b/>
          <w:color w:val="auto"/>
          <w:sz w:val="32"/>
          <w:szCs w:val="32"/>
          <w:highlight w:val="none"/>
          <w:lang w:val="en-US" w:eastAsia="zh-CN"/>
        </w:rPr>
        <w:t>11</w:t>
      </w:r>
      <w:r>
        <w:rPr>
          <w:rFonts w:hint="eastAsia" w:hAnsi="宋体" w:cs="宋体"/>
          <w:b/>
          <w:color w:val="auto"/>
          <w:sz w:val="32"/>
          <w:szCs w:val="32"/>
          <w:highlight w:val="none"/>
        </w:rPr>
        <w:t>月</w:t>
      </w:r>
    </w:p>
    <w:p>
      <w:pPr>
        <w:pStyle w:val="13"/>
        <w:shd w:val="clear"/>
        <w:spacing w:before="120" w:after="120" w:line="360" w:lineRule="auto"/>
        <w:ind w:firstLine="883" w:firstLineChars="200"/>
        <w:jc w:val="center"/>
        <w:rPr>
          <w:rFonts w:hAnsi="宋体" w:cs="宋体"/>
          <w:b/>
          <w:color w:val="auto"/>
          <w:sz w:val="44"/>
          <w:szCs w:val="44"/>
          <w:highlight w:val="none"/>
        </w:rPr>
        <w:sectPr>
          <w:headerReference r:id="rId5" w:type="first"/>
          <w:headerReference r:id="rId3" w:type="default"/>
          <w:footerReference r:id="rId6" w:type="default"/>
          <w:headerReference r:id="rId4" w:type="even"/>
          <w:footerReference r:id="rId7" w:type="even"/>
          <w:pgSz w:w="11906" w:h="16838"/>
          <w:pgMar w:top="1020" w:right="1134" w:bottom="1134" w:left="1418" w:header="851" w:footer="992" w:gutter="0"/>
          <w:pgNumType w:fmt="decimal" w:start="1"/>
          <w:cols w:space="720" w:num="1"/>
          <w:titlePg/>
          <w:docGrid w:type="lines" w:linePitch="312" w:charSpace="0"/>
        </w:sectPr>
      </w:pPr>
    </w:p>
    <w:p>
      <w:pPr>
        <w:pStyle w:val="13"/>
        <w:shd w:val="clear"/>
        <w:spacing w:before="120" w:after="120" w:line="360" w:lineRule="auto"/>
        <w:jc w:val="center"/>
        <w:rPr>
          <w:rFonts w:hAnsi="宋体" w:cs="宋体"/>
          <w:b/>
          <w:color w:val="auto"/>
          <w:sz w:val="36"/>
          <w:szCs w:val="36"/>
          <w:highlight w:val="none"/>
        </w:rPr>
      </w:pPr>
    </w:p>
    <w:p>
      <w:pPr>
        <w:pStyle w:val="13"/>
        <w:shd w:val="clear"/>
        <w:snapToGrid w:val="0"/>
        <w:spacing w:before="120" w:after="624" w:afterLines="200" w:line="480" w:lineRule="auto"/>
        <w:jc w:val="center"/>
        <w:rPr>
          <w:rFonts w:hAnsi="宋体" w:cs="宋体"/>
          <w:b/>
          <w:color w:val="auto"/>
          <w:sz w:val="44"/>
          <w:szCs w:val="44"/>
          <w:highlight w:val="none"/>
        </w:rPr>
      </w:pPr>
      <w:r>
        <w:rPr>
          <w:rFonts w:hint="eastAsia" w:hAnsi="宋体" w:cs="宋体"/>
          <w:b/>
          <w:color w:val="auto"/>
          <w:sz w:val="36"/>
          <w:szCs w:val="36"/>
          <w:highlight w:val="none"/>
        </w:rPr>
        <w:t>目   录</w:t>
      </w:r>
    </w:p>
    <w:p>
      <w:pPr>
        <w:pStyle w:val="17"/>
        <w:shd w:val="clear"/>
        <w:tabs>
          <w:tab w:val="right" w:leader="dot" w:pos="9354"/>
        </w:tabs>
        <w:rPr>
          <w:color w:val="auto"/>
          <w:highlight w:val="none"/>
        </w:rPr>
      </w:pPr>
      <w:r>
        <w:rPr>
          <w:rFonts w:hint="eastAsia" w:ascii="宋体" w:hAnsi="宋体" w:cs="宋体"/>
          <w:b w:val="0"/>
          <w:color w:val="auto"/>
          <w:sz w:val="24"/>
          <w:highlight w:val="none"/>
        </w:rPr>
        <w:fldChar w:fldCharType="begin"/>
      </w:r>
      <w:r>
        <w:rPr>
          <w:rFonts w:hint="eastAsia" w:ascii="宋体" w:hAnsi="宋体" w:cs="宋体"/>
          <w:b w:val="0"/>
          <w:color w:val="auto"/>
          <w:sz w:val="24"/>
          <w:highlight w:val="none"/>
        </w:rPr>
        <w:instrText xml:space="preserve"> TOC \o "1-3" \h \z \u </w:instrText>
      </w:r>
      <w:r>
        <w:rPr>
          <w:rFonts w:hint="eastAsia" w:ascii="宋体" w:hAnsi="宋体" w:cs="宋体"/>
          <w:b w:val="0"/>
          <w:color w:val="auto"/>
          <w:sz w:val="24"/>
          <w:highlight w:val="none"/>
        </w:rPr>
        <w:fldChar w:fldCharType="separate"/>
      </w:r>
      <w:r>
        <w:rPr>
          <w:rFonts w:hint="eastAsia" w:ascii="宋体" w:hAnsi="宋体" w:cs="宋体"/>
          <w:color w:val="auto"/>
          <w:highlight w:val="none"/>
        </w:rPr>
        <w:fldChar w:fldCharType="begin"/>
      </w:r>
      <w:r>
        <w:rPr>
          <w:rFonts w:hint="eastAsia" w:ascii="宋体" w:hAnsi="宋体" w:cs="宋体"/>
          <w:color w:val="auto"/>
          <w:highlight w:val="none"/>
        </w:rPr>
        <w:instrText xml:space="preserve"> HYPERLINK \l _Toc21508 </w:instrText>
      </w:r>
      <w:r>
        <w:rPr>
          <w:rFonts w:hint="eastAsia" w:ascii="宋体" w:hAnsi="宋体" w:cs="宋体"/>
          <w:color w:val="auto"/>
          <w:highlight w:val="none"/>
        </w:rPr>
        <w:fldChar w:fldCharType="separate"/>
      </w:r>
      <w:r>
        <w:rPr>
          <w:rFonts w:hint="eastAsia" w:ascii="宋体" w:hAnsi="宋体" w:cs="宋体"/>
          <w:color w:val="auto"/>
          <w:highlight w:val="none"/>
        </w:rPr>
        <w:t>第一章  采购公告</w:t>
      </w:r>
      <w:r>
        <w:rPr>
          <w:color w:val="auto"/>
          <w:highlight w:val="none"/>
        </w:rPr>
        <w:tab/>
      </w:r>
      <w:r>
        <w:rPr>
          <w:color w:val="auto"/>
          <w:highlight w:val="none"/>
        </w:rPr>
        <w:fldChar w:fldCharType="begin"/>
      </w:r>
      <w:r>
        <w:rPr>
          <w:color w:val="auto"/>
          <w:highlight w:val="none"/>
        </w:rPr>
        <w:instrText xml:space="preserve"> PAGEREF _Toc21508 \h </w:instrText>
      </w:r>
      <w:r>
        <w:rPr>
          <w:color w:val="auto"/>
          <w:highlight w:val="none"/>
        </w:rPr>
        <w:fldChar w:fldCharType="separate"/>
      </w:r>
      <w:r>
        <w:rPr>
          <w:color w:val="auto"/>
          <w:highlight w:val="none"/>
        </w:rPr>
        <w:t>2</w:t>
      </w:r>
      <w:r>
        <w:rPr>
          <w:color w:val="auto"/>
          <w:highlight w:val="none"/>
        </w:rPr>
        <w:fldChar w:fldCharType="end"/>
      </w:r>
      <w:r>
        <w:rPr>
          <w:rFonts w:hint="eastAsia" w:ascii="宋体" w:hAnsi="宋体" w:cs="宋体"/>
          <w:color w:val="auto"/>
          <w:highlight w:val="none"/>
        </w:rPr>
        <w:fldChar w:fldCharType="end"/>
      </w:r>
    </w:p>
    <w:p>
      <w:pPr>
        <w:pStyle w:val="17"/>
        <w:shd w:val="clear"/>
        <w:tabs>
          <w:tab w:val="right" w:leader="dot" w:pos="9354"/>
        </w:tabs>
        <w:rPr>
          <w:color w:val="auto"/>
          <w:highlight w:val="none"/>
        </w:rPr>
      </w:pPr>
      <w:r>
        <w:rPr>
          <w:rFonts w:hint="eastAsia" w:ascii="宋体" w:hAnsi="宋体" w:cs="宋体"/>
          <w:color w:val="auto"/>
          <w:kern w:val="2"/>
          <w:szCs w:val="30"/>
          <w:highlight w:val="none"/>
          <w:lang w:val="en-US" w:eastAsia="zh-CN"/>
        </w:rPr>
        <w:t xml:space="preserve">第二章  </w:t>
      </w:r>
      <w:r>
        <w:rPr>
          <w:rFonts w:hint="eastAsia" w:ascii="宋体" w:hAnsi="宋体" w:cs="宋体"/>
          <w:color w:val="auto"/>
          <w:kern w:val="2"/>
          <w:szCs w:val="30"/>
          <w:highlight w:val="none"/>
        </w:rPr>
        <w:fldChar w:fldCharType="begin"/>
      </w:r>
      <w:r>
        <w:rPr>
          <w:rFonts w:hint="eastAsia" w:ascii="宋体" w:hAnsi="宋体" w:cs="宋体"/>
          <w:color w:val="auto"/>
          <w:kern w:val="2"/>
          <w:szCs w:val="30"/>
          <w:highlight w:val="none"/>
        </w:rPr>
        <w:instrText xml:space="preserve"> HYPERLINK \l _Toc23978 </w:instrText>
      </w:r>
      <w:r>
        <w:rPr>
          <w:rFonts w:hint="eastAsia" w:ascii="宋体" w:hAnsi="宋体" w:cs="宋体"/>
          <w:color w:val="auto"/>
          <w:kern w:val="2"/>
          <w:szCs w:val="30"/>
          <w:highlight w:val="none"/>
        </w:rPr>
        <w:fldChar w:fldCharType="separate"/>
      </w:r>
      <w:r>
        <w:rPr>
          <w:rFonts w:hint="eastAsia" w:ascii="宋体" w:hAnsi="宋体" w:cs="宋体"/>
          <w:color w:val="auto"/>
          <w:szCs w:val="36"/>
          <w:highlight w:val="none"/>
        </w:rPr>
        <w:t>投标须知和投标须知前附表</w:t>
      </w:r>
      <w:r>
        <w:rPr>
          <w:color w:val="auto"/>
          <w:highlight w:val="none"/>
        </w:rPr>
        <w:tab/>
      </w:r>
      <w:r>
        <w:rPr>
          <w:color w:val="auto"/>
          <w:highlight w:val="none"/>
        </w:rPr>
        <w:fldChar w:fldCharType="begin"/>
      </w:r>
      <w:r>
        <w:rPr>
          <w:color w:val="auto"/>
          <w:highlight w:val="none"/>
        </w:rPr>
        <w:instrText xml:space="preserve"> PAGEREF _Toc23978 \h </w:instrText>
      </w:r>
      <w:r>
        <w:rPr>
          <w:color w:val="auto"/>
          <w:highlight w:val="none"/>
        </w:rPr>
        <w:fldChar w:fldCharType="separate"/>
      </w:r>
      <w:r>
        <w:rPr>
          <w:color w:val="auto"/>
          <w:highlight w:val="none"/>
        </w:rPr>
        <w:t>9</w:t>
      </w:r>
      <w:r>
        <w:rPr>
          <w:color w:val="auto"/>
          <w:highlight w:val="none"/>
        </w:rPr>
        <w:fldChar w:fldCharType="end"/>
      </w:r>
      <w:r>
        <w:rPr>
          <w:rFonts w:hint="eastAsia" w:ascii="宋体" w:hAnsi="宋体" w:cs="宋体"/>
          <w:color w:val="auto"/>
          <w:kern w:val="2"/>
          <w:szCs w:val="30"/>
          <w:highlight w:val="none"/>
        </w:rPr>
        <w:fldChar w:fldCharType="end"/>
      </w:r>
    </w:p>
    <w:p>
      <w:pPr>
        <w:pStyle w:val="17"/>
        <w:shd w:val="clear"/>
        <w:tabs>
          <w:tab w:val="right" w:leader="dot" w:pos="9354"/>
        </w:tabs>
        <w:rPr>
          <w:color w:val="auto"/>
          <w:highlight w:val="none"/>
        </w:rPr>
      </w:pPr>
      <w:r>
        <w:rPr>
          <w:rFonts w:hint="eastAsia" w:ascii="宋体" w:hAnsi="宋体" w:cs="宋体"/>
          <w:color w:val="auto"/>
          <w:kern w:val="2"/>
          <w:szCs w:val="30"/>
          <w:highlight w:val="none"/>
        </w:rPr>
        <w:fldChar w:fldCharType="begin"/>
      </w:r>
      <w:r>
        <w:rPr>
          <w:rFonts w:hint="eastAsia" w:ascii="宋体" w:hAnsi="宋体" w:cs="宋体"/>
          <w:color w:val="auto"/>
          <w:kern w:val="2"/>
          <w:szCs w:val="30"/>
          <w:highlight w:val="none"/>
        </w:rPr>
        <w:instrText xml:space="preserve"> HYPERLINK \l _Toc9924 </w:instrText>
      </w:r>
      <w:r>
        <w:rPr>
          <w:rFonts w:hint="eastAsia" w:ascii="宋体" w:hAnsi="宋体" w:cs="宋体"/>
          <w:color w:val="auto"/>
          <w:kern w:val="2"/>
          <w:szCs w:val="30"/>
          <w:highlight w:val="none"/>
        </w:rPr>
        <w:fldChar w:fldCharType="separate"/>
      </w:r>
      <w:r>
        <w:rPr>
          <w:rFonts w:hint="eastAsia" w:ascii="宋体" w:hAnsi="宋体" w:cs="宋体"/>
          <w:color w:val="auto"/>
          <w:highlight w:val="none"/>
        </w:rPr>
        <w:t>第三章  采购项目需求</w:t>
      </w:r>
      <w:r>
        <w:rPr>
          <w:color w:val="auto"/>
          <w:highlight w:val="none"/>
        </w:rPr>
        <w:tab/>
      </w:r>
      <w:r>
        <w:rPr>
          <w:color w:val="auto"/>
          <w:highlight w:val="none"/>
        </w:rPr>
        <w:fldChar w:fldCharType="begin"/>
      </w:r>
      <w:r>
        <w:rPr>
          <w:color w:val="auto"/>
          <w:highlight w:val="none"/>
        </w:rPr>
        <w:instrText xml:space="preserve"> PAGEREF _Toc9924 \h </w:instrText>
      </w:r>
      <w:r>
        <w:rPr>
          <w:color w:val="auto"/>
          <w:highlight w:val="none"/>
        </w:rPr>
        <w:fldChar w:fldCharType="separate"/>
      </w:r>
      <w:r>
        <w:rPr>
          <w:color w:val="auto"/>
          <w:highlight w:val="none"/>
        </w:rPr>
        <w:t>16</w:t>
      </w:r>
      <w:r>
        <w:rPr>
          <w:color w:val="auto"/>
          <w:highlight w:val="none"/>
        </w:rPr>
        <w:fldChar w:fldCharType="end"/>
      </w:r>
      <w:r>
        <w:rPr>
          <w:rFonts w:hint="eastAsia" w:ascii="宋体" w:hAnsi="宋体" w:cs="宋体"/>
          <w:color w:val="auto"/>
          <w:kern w:val="2"/>
          <w:szCs w:val="30"/>
          <w:highlight w:val="none"/>
        </w:rPr>
        <w:fldChar w:fldCharType="end"/>
      </w:r>
    </w:p>
    <w:p>
      <w:pPr>
        <w:pStyle w:val="17"/>
        <w:shd w:val="clear"/>
        <w:tabs>
          <w:tab w:val="right" w:leader="dot" w:pos="9354"/>
        </w:tabs>
        <w:rPr>
          <w:color w:val="auto"/>
          <w:highlight w:val="none"/>
        </w:rPr>
      </w:pPr>
      <w:r>
        <w:rPr>
          <w:rFonts w:hint="eastAsia" w:ascii="宋体" w:hAnsi="宋体" w:cs="宋体"/>
          <w:color w:val="auto"/>
          <w:kern w:val="2"/>
          <w:szCs w:val="30"/>
          <w:highlight w:val="none"/>
        </w:rPr>
        <w:fldChar w:fldCharType="begin"/>
      </w:r>
      <w:r>
        <w:rPr>
          <w:rFonts w:hint="eastAsia" w:ascii="宋体" w:hAnsi="宋体" w:cs="宋体"/>
          <w:color w:val="auto"/>
          <w:kern w:val="2"/>
          <w:szCs w:val="30"/>
          <w:highlight w:val="none"/>
        </w:rPr>
        <w:instrText xml:space="preserve"> HYPERLINK \l _Toc1819 </w:instrText>
      </w:r>
      <w:r>
        <w:rPr>
          <w:rFonts w:hint="eastAsia" w:ascii="宋体" w:hAnsi="宋体" w:cs="宋体"/>
          <w:color w:val="auto"/>
          <w:kern w:val="2"/>
          <w:szCs w:val="30"/>
          <w:highlight w:val="none"/>
        </w:rPr>
        <w:fldChar w:fldCharType="separate"/>
      </w:r>
      <w:r>
        <w:rPr>
          <w:rFonts w:hint="default" w:ascii="宋体" w:hAnsi="Times New Roman" w:cs="宋体"/>
          <w:color w:val="auto"/>
          <w:highlight w:val="none"/>
        </w:rPr>
        <w:t xml:space="preserve">第四章 </w:t>
      </w:r>
      <w:r>
        <w:rPr>
          <w:rFonts w:hint="eastAsia" w:ascii="宋体" w:hAnsi="宋体" w:cs="宋体"/>
          <w:color w:val="auto"/>
          <w:highlight w:val="none"/>
        </w:rPr>
        <w:t>开标、评标和定标须知</w:t>
      </w:r>
      <w:r>
        <w:rPr>
          <w:color w:val="auto"/>
          <w:highlight w:val="none"/>
        </w:rPr>
        <w:tab/>
      </w:r>
      <w:r>
        <w:rPr>
          <w:color w:val="auto"/>
          <w:highlight w:val="none"/>
        </w:rPr>
        <w:fldChar w:fldCharType="begin"/>
      </w:r>
      <w:r>
        <w:rPr>
          <w:color w:val="auto"/>
          <w:highlight w:val="none"/>
        </w:rPr>
        <w:instrText xml:space="preserve"> PAGEREF _Toc1819 \h </w:instrText>
      </w:r>
      <w:r>
        <w:rPr>
          <w:color w:val="auto"/>
          <w:highlight w:val="none"/>
        </w:rPr>
        <w:fldChar w:fldCharType="separate"/>
      </w:r>
      <w:r>
        <w:rPr>
          <w:color w:val="auto"/>
          <w:highlight w:val="none"/>
        </w:rPr>
        <w:t>30</w:t>
      </w:r>
      <w:r>
        <w:rPr>
          <w:color w:val="auto"/>
          <w:highlight w:val="none"/>
        </w:rPr>
        <w:fldChar w:fldCharType="end"/>
      </w:r>
      <w:r>
        <w:rPr>
          <w:rFonts w:hint="eastAsia" w:ascii="宋体" w:hAnsi="宋体" w:cs="宋体"/>
          <w:color w:val="auto"/>
          <w:kern w:val="2"/>
          <w:szCs w:val="30"/>
          <w:highlight w:val="none"/>
        </w:rPr>
        <w:fldChar w:fldCharType="end"/>
      </w:r>
    </w:p>
    <w:p>
      <w:pPr>
        <w:pStyle w:val="19"/>
        <w:shd w:val="clear"/>
        <w:tabs>
          <w:tab w:val="right" w:leader="dot" w:pos="9354"/>
        </w:tabs>
        <w:rPr>
          <w:color w:val="auto"/>
          <w:highlight w:val="none"/>
        </w:rPr>
      </w:pPr>
      <w:r>
        <w:rPr>
          <w:rFonts w:hint="eastAsia" w:ascii="宋体" w:hAnsi="宋体" w:cs="宋体"/>
          <w:color w:val="auto"/>
          <w:kern w:val="2"/>
          <w:szCs w:val="30"/>
          <w:highlight w:val="none"/>
        </w:rPr>
        <w:fldChar w:fldCharType="begin"/>
      </w:r>
      <w:r>
        <w:rPr>
          <w:rFonts w:hint="eastAsia" w:ascii="宋体" w:hAnsi="宋体" w:cs="宋体"/>
          <w:color w:val="auto"/>
          <w:kern w:val="2"/>
          <w:szCs w:val="30"/>
          <w:highlight w:val="none"/>
        </w:rPr>
        <w:instrText xml:space="preserve"> HYPERLINK \l _Toc24286 </w:instrText>
      </w:r>
      <w:r>
        <w:rPr>
          <w:rFonts w:hint="eastAsia" w:ascii="宋体" w:hAnsi="宋体" w:cs="宋体"/>
          <w:color w:val="auto"/>
          <w:kern w:val="2"/>
          <w:szCs w:val="30"/>
          <w:highlight w:val="none"/>
        </w:rPr>
        <w:fldChar w:fldCharType="separate"/>
      </w:r>
      <w:r>
        <w:rPr>
          <w:rFonts w:hint="eastAsia" w:ascii="宋体" w:hAnsi="宋体" w:eastAsia="宋体" w:cs="宋体"/>
          <w:color w:val="auto"/>
          <w:szCs w:val="28"/>
          <w:highlight w:val="none"/>
        </w:rPr>
        <w:t>一、开标</w:t>
      </w:r>
      <w:r>
        <w:rPr>
          <w:color w:val="auto"/>
          <w:highlight w:val="none"/>
        </w:rPr>
        <w:tab/>
      </w:r>
      <w:r>
        <w:rPr>
          <w:color w:val="auto"/>
          <w:highlight w:val="none"/>
        </w:rPr>
        <w:fldChar w:fldCharType="begin"/>
      </w:r>
      <w:r>
        <w:rPr>
          <w:color w:val="auto"/>
          <w:highlight w:val="none"/>
        </w:rPr>
        <w:instrText xml:space="preserve"> PAGEREF _Toc24286 \h </w:instrText>
      </w:r>
      <w:r>
        <w:rPr>
          <w:color w:val="auto"/>
          <w:highlight w:val="none"/>
        </w:rPr>
        <w:fldChar w:fldCharType="separate"/>
      </w:r>
      <w:r>
        <w:rPr>
          <w:color w:val="auto"/>
          <w:highlight w:val="none"/>
        </w:rPr>
        <w:t>30</w:t>
      </w:r>
      <w:r>
        <w:rPr>
          <w:color w:val="auto"/>
          <w:highlight w:val="none"/>
        </w:rPr>
        <w:fldChar w:fldCharType="end"/>
      </w:r>
      <w:r>
        <w:rPr>
          <w:rFonts w:hint="eastAsia" w:ascii="宋体" w:hAnsi="宋体" w:cs="宋体"/>
          <w:color w:val="auto"/>
          <w:kern w:val="2"/>
          <w:szCs w:val="30"/>
          <w:highlight w:val="none"/>
        </w:rPr>
        <w:fldChar w:fldCharType="end"/>
      </w:r>
    </w:p>
    <w:p>
      <w:pPr>
        <w:pStyle w:val="19"/>
        <w:shd w:val="clear"/>
        <w:tabs>
          <w:tab w:val="right" w:leader="dot" w:pos="9354"/>
        </w:tabs>
        <w:rPr>
          <w:color w:val="auto"/>
          <w:highlight w:val="none"/>
        </w:rPr>
      </w:pPr>
      <w:r>
        <w:rPr>
          <w:rFonts w:hint="eastAsia" w:ascii="宋体" w:hAnsi="宋体" w:cs="宋体"/>
          <w:color w:val="auto"/>
          <w:kern w:val="2"/>
          <w:szCs w:val="30"/>
          <w:highlight w:val="none"/>
        </w:rPr>
        <w:fldChar w:fldCharType="begin"/>
      </w:r>
      <w:r>
        <w:rPr>
          <w:rFonts w:hint="eastAsia" w:ascii="宋体" w:hAnsi="宋体" w:cs="宋体"/>
          <w:color w:val="auto"/>
          <w:kern w:val="2"/>
          <w:szCs w:val="30"/>
          <w:highlight w:val="none"/>
        </w:rPr>
        <w:instrText xml:space="preserve"> HYPERLINK \l _Toc7234 </w:instrText>
      </w:r>
      <w:r>
        <w:rPr>
          <w:rFonts w:hint="eastAsia" w:ascii="宋体" w:hAnsi="宋体" w:cs="宋体"/>
          <w:color w:val="auto"/>
          <w:kern w:val="2"/>
          <w:szCs w:val="30"/>
          <w:highlight w:val="none"/>
        </w:rPr>
        <w:fldChar w:fldCharType="separate"/>
      </w:r>
      <w:r>
        <w:rPr>
          <w:rFonts w:hint="eastAsia" w:ascii="宋体" w:hAnsi="宋体" w:eastAsia="宋体" w:cs="宋体"/>
          <w:color w:val="auto"/>
          <w:szCs w:val="28"/>
          <w:highlight w:val="none"/>
        </w:rPr>
        <w:t>二、评标</w:t>
      </w:r>
      <w:r>
        <w:rPr>
          <w:color w:val="auto"/>
          <w:highlight w:val="none"/>
        </w:rPr>
        <w:tab/>
      </w:r>
      <w:r>
        <w:rPr>
          <w:color w:val="auto"/>
          <w:highlight w:val="none"/>
        </w:rPr>
        <w:fldChar w:fldCharType="begin"/>
      </w:r>
      <w:r>
        <w:rPr>
          <w:color w:val="auto"/>
          <w:highlight w:val="none"/>
        </w:rPr>
        <w:instrText xml:space="preserve"> PAGEREF _Toc7234 \h </w:instrText>
      </w:r>
      <w:r>
        <w:rPr>
          <w:color w:val="auto"/>
          <w:highlight w:val="none"/>
        </w:rPr>
        <w:fldChar w:fldCharType="separate"/>
      </w:r>
      <w:r>
        <w:rPr>
          <w:color w:val="auto"/>
          <w:highlight w:val="none"/>
        </w:rPr>
        <w:t>30</w:t>
      </w:r>
      <w:r>
        <w:rPr>
          <w:color w:val="auto"/>
          <w:highlight w:val="none"/>
        </w:rPr>
        <w:fldChar w:fldCharType="end"/>
      </w:r>
      <w:r>
        <w:rPr>
          <w:rFonts w:hint="eastAsia" w:ascii="宋体" w:hAnsi="宋体" w:cs="宋体"/>
          <w:color w:val="auto"/>
          <w:kern w:val="2"/>
          <w:szCs w:val="30"/>
          <w:highlight w:val="none"/>
        </w:rPr>
        <w:fldChar w:fldCharType="end"/>
      </w:r>
    </w:p>
    <w:p>
      <w:pPr>
        <w:pStyle w:val="19"/>
        <w:shd w:val="clear"/>
        <w:tabs>
          <w:tab w:val="right" w:leader="dot" w:pos="9354"/>
        </w:tabs>
        <w:rPr>
          <w:color w:val="auto"/>
          <w:highlight w:val="none"/>
        </w:rPr>
      </w:pPr>
      <w:r>
        <w:rPr>
          <w:rFonts w:hint="eastAsia" w:ascii="宋体" w:hAnsi="宋体" w:cs="宋体"/>
          <w:color w:val="auto"/>
          <w:kern w:val="2"/>
          <w:szCs w:val="30"/>
          <w:highlight w:val="none"/>
        </w:rPr>
        <w:fldChar w:fldCharType="begin"/>
      </w:r>
      <w:r>
        <w:rPr>
          <w:rFonts w:hint="eastAsia" w:ascii="宋体" w:hAnsi="宋体" w:cs="宋体"/>
          <w:color w:val="auto"/>
          <w:kern w:val="2"/>
          <w:szCs w:val="30"/>
          <w:highlight w:val="none"/>
        </w:rPr>
        <w:instrText xml:space="preserve"> HYPERLINK \l _Toc9919 </w:instrText>
      </w:r>
      <w:r>
        <w:rPr>
          <w:rFonts w:hint="eastAsia" w:ascii="宋体" w:hAnsi="宋体" w:cs="宋体"/>
          <w:color w:val="auto"/>
          <w:kern w:val="2"/>
          <w:szCs w:val="30"/>
          <w:highlight w:val="none"/>
        </w:rPr>
        <w:fldChar w:fldCharType="separate"/>
      </w:r>
      <w:r>
        <w:rPr>
          <w:rFonts w:hint="eastAsia" w:ascii="宋体" w:hAnsi="宋体" w:eastAsia="宋体" w:cs="宋体"/>
          <w:color w:val="auto"/>
          <w:szCs w:val="28"/>
          <w:highlight w:val="none"/>
        </w:rPr>
        <w:t>三、定标</w:t>
      </w:r>
      <w:r>
        <w:rPr>
          <w:color w:val="auto"/>
          <w:highlight w:val="none"/>
        </w:rPr>
        <w:tab/>
      </w:r>
      <w:r>
        <w:rPr>
          <w:color w:val="auto"/>
          <w:highlight w:val="none"/>
        </w:rPr>
        <w:fldChar w:fldCharType="begin"/>
      </w:r>
      <w:r>
        <w:rPr>
          <w:color w:val="auto"/>
          <w:highlight w:val="none"/>
        </w:rPr>
        <w:instrText xml:space="preserve"> PAGEREF _Toc9919 \h </w:instrText>
      </w:r>
      <w:r>
        <w:rPr>
          <w:color w:val="auto"/>
          <w:highlight w:val="none"/>
        </w:rPr>
        <w:fldChar w:fldCharType="separate"/>
      </w:r>
      <w:r>
        <w:rPr>
          <w:color w:val="auto"/>
          <w:highlight w:val="none"/>
        </w:rPr>
        <w:t>32</w:t>
      </w:r>
      <w:r>
        <w:rPr>
          <w:color w:val="auto"/>
          <w:highlight w:val="none"/>
        </w:rPr>
        <w:fldChar w:fldCharType="end"/>
      </w:r>
      <w:r>
        <w:rPr>
          <w:rFonts w:hint="eastAsia" w:ascii="宋体" w:hAnsi="宋体" w:cs="宋体"/>
          <w:color w:val="auto"/>
          <w:kern w:val="2"/>
          <w:szCs w:val="30"/>
          <w:highlight w:val="none"/>
        </w:rPr>
        <w:fldChar w:fldCharType="end"/>
      </w:r>
    </w:p>
    <w:p>
      <w:pPr>
        <w:pStyle w:val="17"/>
        <w:shd w:val="clear"/>
        <w:tabs>
          <w:tab w:val="right" w:leader="dot" w:pos="9354"/>
        </w:tabs>
        <w:rPr>
          <w:color w:val="auto"/>
          <w:highlight w:val="none"/>
        </w:rPr>
      </w:pPr>
      <w:r>
        <w:rPr>
          <w:rFonts w:hint="eastAsia" w:ascii="宋体" w:hAnsi="宋体" w:cs="宋体"/>
          <w:color w:val="auto"/>
          <w:kern w:val="2"/>
          <w:szCs w:val="30"/>
          <w:highlight w:val="none"/>
        </w:rPr>
        <w:fldChar w:fldCharType="begin"/>
      </w:r>
      <w:r>
        <w:rPr>
          <w:rFonts w:hint="eastAsia" w:ascii="宋体" w:hAnsi="宋体" w:cs="宋体"/>
          <w:color w:val="auto"/>
          <w:kern w:val="2"/>
          <w:szCs w:val="30"/>
          <w:highlight w:val="none"/>
        </w:rPr>
        <w:instrText xml:space="preserve"> HYPERLINK \l _Toc19770 </w:instrText>
      </w:r>
      <w:r>
        <w:rPr>
          <w:rFonts w:hint="eastAsia" w:ascii="宋体" w:hAnsi="宋体" w:cs="宋体"/>
          <w:color w:val="auto"/>
          <w:kern w:val="2"/>
          <w:szCs w:val="30"/>
          <w:highlight w:val="none"/>
        </w:rPr>
        <w:fldChar w:fldCharType="separate"/>
      </w:r>
      <w:r>
        <w:rPr>
          <w:rFonts w:hint="default" w:ascii="宋体" w:hAnsi="Times New Roman" w:cs="宋体"/>
          <w:color w:val="auto"/>
          <w:highlight w:val="none"/>
        </w:rPr>
        <w:t xml:space="preserve">第五章 </w:t>
      </w:r>
      <w:r>
        <w:rPr>
          <w:rFonts w:hint="eastAsia" w:ascii="宋体" w:hAnsi="宋体" w:cs="宋体"/>
          <w:color w:val="auto"/>
          <w:highlight w:val="none"/>
        </w:rPr>
        <w:t>投标文件的有效性</w:t>
      </w:r>
      <w:r>
        <w:rPr>
          <w:color w:val="auto"/>
          <w:highlight w:val="none"/>
        </w:rPr>
        <w:tab/>
      </w:r>
      <w:r>
        <w:rPr>
          <w:color w:val="auto"/>
          <w:highlight w:val="none"/>
        </w:rPr>
        <w:fldChar w:fldCharType="begin"/>
      </w:r>
      <w:r>
        <w:rPr>
          <w:color w:val="auto"/>
          <w:highlight w:val="none"/>
        </w:rPr>
        <w:instrText xml:space="preserve"> PAGEREF _Toc19770 \h </w:instrText>
      </w:r>
      <w:r>
        <w:rPr>
          <w:color w:val="auto"/>
          <w:highlight w:val="none"/>
        </w:rPr>
        <w:fldChar w:fldCharType="separate"/>
      </w:r>
      <w:r>
        <w:rPr>
          <w:color w:val="auto"/>
          <w:highlight w:val="none"/>
        </w:rPr>
        <w:t>36</w:t>
      </w:r>
      <w:r>
        <w:rPr>
          <w:color w:val="auto"/>
          <w:highlight w:val="none"/>
        </w:rPr>
        <w:fldChar w:fldCharType="end"/>
      </w:r>
      <w:r>
        <w:rPr>
          <w:rFonts w:hint="eastAsia" w:ascii="宋体" w:hAnsi="宋体" w:cs="宋体"/>
          <w:color w:val="auto"/>
          <w:kern w:val="2"/>
          <w:szCs w:val="30"/>
          <w:highlight w:val="none"/>
        </w:rPr>
        <w:fldChar w:fldCharType="end"/>
      </w:r>
    </w:p>
    <w:p>
      <w:pPr>
        <w:pStyle w:val="17"/>
        <w:shd w:val="clear"/>
        <w:tabs>
          <w:tab w:val="right" w:leader="dot" w:pos="9354"/>
        </w:tabs>
        <w:rPr>
          <w:color w:val="auto"/>
          <w:highlight w:val="none"/>
        </w:rPr>
      </w:pPr>
      <w:r>
        <w:rPr>
          <w:rFonts w:hint="eastAsia" w:ascii="宋体" w:hAnsi="宋体" w:cs="宋体"/>
          <w:color w:val="auto"/>
          <w:kern w:val="2"/>
          <w:szCs w:val="30"/>
          <w:highlight w:val="none"/>
        </w:rPr>
        <w:fldChar w:fldCharType="begin"/>
      </w:r>
      <w:r>
        <w:rPr>
          <w:rFonts w:hint="eastAsia" w:ascii="宋体" w:hAnsi="宋体" w:cs="宋体"/>
          <w:color w:val="auto"/>
          <w:kern w:val="2"/>
          <w:szCs w:val="30"/>
          <w:highlight w:val="none"/>
        </w:rPr>
        <w:instrText xml:space="preserve"> HYPERLINK \l _Toc7721 </w:instrText>
      </w:r>
      <w:r>
        <w:rPr>
          <w:rFonts w:hint="eastAsia" w:ascii="宋体" w:hAnsi="宋体" w:cs="宋体"/>
          <w:color w:val="auto"/>
          <w:kern w:val="2"/>
          <w:szCs w:val="30"/>
          <w:highlight w:val="none"/>
        </w:rPr>
        <w:fldChar w:fldCharType="separate"/>
      </w:r>
      <w:r>
        <w:rPr>
          <w:rFonts w:hint="default" w:ascii="宋体" w:hAnsi="Times New Roman" w:cs="宋体"/>
          <w:color w:val="auto"/>
          <w:highlight w:val="none"/>
        </w:rPr>
        <w:t xml:space="preserve">第六章 </w:t>
      </w:r>
      <w:r>
        <w:rPr>
          <w:rFonts w:hint="eastAsia" w:ascii="宋体" w:hAnsi="宋体" w:cs="宋体"/>
          <w:color w:val="auto"/>
          <w:highlight w:val="none"/>
        </w:rPr>
        <w:t>评标办法</w:t>
      </w:r>
      <w:r>
        <w:rPr>
          <w:color w:val="auto"/>
          <w:highlight w:val="none"/>
        </w:rPr>
        <w:tab/>
      </w:r>
      <w:r>
        <w:rPr>
          <w:color w:val="auto"/>
          <w:highlight w:val="none"/>
        </w:rPr>
        <w:fldChar w:fldCharType="begin"/>
      </w:r>
      <w:r>
        <w:rPr>
          <w:color w:val="auto"/>
          <w:highlight w:val="none"/>
        </w:rPr>
        <w:instrText xml:space="preserve"> PAGEREF _Toc7721 \h </w:instrText>
      </w:r>
      <w:r>
        <w:rPr>
          <w:color w:val="auto"/>
          <w:highlight w:val="none"/>
        </w:rPr>
        <w:fldChar w:fldCharType="separate"/>
      </w:r>
      <w:r>
        <w:rPr>
          <w:color w:val="auto"/>
          <w:highlight w:val="none"/>
        </w:rPr>
        <w:t>38</w:t>
      </w:r>
      <w:r>
        <w:rPr>
          <w:color w:val="auto"/>
          <w:highlight w:val="none"/>
        </w:rPr>
        <w:fldChar w:fldCharType="end"/>
      </w:r>
      <w:r>
        <w:rPr>
          <w:rFonts w:hint="eastAsia" w:ascii="宋体" w:hAnsi="宋体" w:cs="宋体"/>
          <w:color w:val="auto"/>
          <w:kern w:val="2"/>
          <w:szCs w:val="30"/>
          <w:highlight w:val="none"/>
        </w:rPr>
        <w:fldChar w:fldCharType="end"/>
      </w:r>
    </w:p>
    <w:p>
      <w:pPr>
        <w:pStyle w:val="17"/>
        <w:shd w:val="clear"/>
        <w:tabs>
          <w:tab w:val="right" w:leader="dot" w:pos="9354"/>
        </w:tabs>
        <w:rPr>
          <w:color w:val="auto"/>
          <w:highlight w:val="none"/>
        </w:rPr>
      </w:pPr>
      <w:r>
        <w:rPr>
          <w:rFonts w:hint="eastAsia" w:ascii="宋体" w:hAnsi="宋体" w:cs="宋体"/>
          <w:color w:val="auto"/>
          <w:kern w:val="2"/>
          <w:szCs w:val="30"/>
          <w:highlight w:val="none"/>
        </w:rPr>
        <w:fldChar w:fldCharType="begin"/>
      </w:r>
      <w:r>
        <w:rPr>
          <w:rFonts w:hint="eastAsia" w:ascii="宋体" w:hAnsi="宋体" w:cs="宋体"/>
          <w:color w:val="auto"/>
          <w:kern w:val="2"/>
          <w:szCs w:val="30"/>
          <w:highlight w:val="none"/>
        </w:rPr>
        <w:instrText xml:space="preserve"> HYPERLINK \l _Toc23465 </w:instrText>
      </w:r>
      <w:r>
        <w:rPr>
          <w:rFonts w:hint="eastAsia" w:ascii="宋体" w:hAnsi="宋体" w:cs="宋体"/>
          <w:color w:val="auto"/>
          <w:kern w:val="2"/>
          <w:szCs w:val="30"/>
          <w:highlight w:val="none"/>
        </w:rPr>
        <w:fldChar w:fldCharType="separate"/>
      </w:r>
      <w:r>
        <w:rPr>
          <w:rFonts w:hint="eastAsia" w:ascii="宋体" w:hAnsi="宋体" w:cs="宋体"/>
          <w:color w:val="auto"/>
          <w:szCs w:val="36"/>
          <w:highlight w:val="none"/>
        </w:rPr>
        <w:t>第七章 拟签订的合同文本</w:t>
      </w:r>
      <w:r>
        <w:rPr>
          <w:color w:val="auto"/>
          <w:highlight w:val="none"/>
        </w:rPr>
        <w:tab/>
      </w:r>
      <w:r>
        <w:rPr>
          <w:color w:val="auto"/>
          <w:highlight w:val="none"/>
        </w:rPr>
        <w:fldChar w:fldCharType="begin"/>
      </w:r>
      <w:r>
        <w:rPr>
          <w:color w:val="auto"/>
          <w:highlight w:val="none"/>
        </w:rPr>
        <w:instrText xml:space="preserve"> PAGEREF _Toc23465 \h </w:instrText>
      </w:r>
      <w:r>
        <w:rPr>
          <w:color w:val="auto"/>
          <w:highlight w:val="none"/>
        </w:rPr>
        <w:fldChar w:fldCharType="separate"/>
      </w:r>
      <w:r>
        <w:rPr>
          <w:color w:val="auto"/>
          <w:highlight w:val="none"/>
        </w:rPr>
        <w:t>41</w:t>
      </w:r>
      <w:r>
        <w:rPr>
          <w:color w:val="auto"/>
          <w:highlight w:val="none"/>
        </w:rPr>
        <w:fldChar w:fldCharType="end"/>
      </w:r>
      <w:r>
        <w:rPr>
          <w:rFonts w:hint="eastAsia" w:ascii="宋体" w:hAnsi="宋体" w:cs="宋体"/>
          <w:color w:val="auto"/>
          <w:kern w:val="2"/>
          <w:szCs w:val="30"/>
          <w:highlight w:val="none"/>
        </w:rPr>
        <w:fldChar w:fldCharType="end"/>
      </w:r>
    </w:p>
    <w:p>
      <w:pPr>
        <w:pStyle w:val="17"/>
        <w:shd w:val="clear"/>
        <w:tabs>
          <w:tab w:val="right" w:leader="dot" w:pos="9354"/>
        </w:tabs>
        <w:rPr>
          <w:color w:val="auto"/>
          <w:highlight w:val="none"/>
        </w:rPr>
      </w:pPr>
      <w:r>
        <w:rPr>
          <w:rFonts w:hint="eastAsia" w:ascii="宋体" w:hAnsi="宋体" w:cs="宋体"/>
          <w:color w:val="auto"/>
          <w:kern w:val="2"/>
          <w:szCs w:val="30"/>
          <w:highlight w:val="none"/>
        </w:rPr>
        <w:fldChar w:fldCharType="begin"/>
      </w:r>
      <w:r>
        <w:rPr>
          <w:rFonts w:hint="eastAsia" w:ascii="宋体" w:hAnsi="宋体" w:cs="宋体"/>
          <w:color w:val="auto"/>
          <w:kern w:val="2"/>
          <w:szCs w:val="30"/>
          <w:highlight w:val="none"/>
        </w:rPr>
        <w:instrText xml:space="preserve"> HYPERLINK \l _Toc23023 </w:instrText>
      </w:r>
      <w:r>
        <w:rPr>
          <w:rFonts w:hint="eastAsia" w:ascii="宋体" w:hAnsi="宋体" w:cs="宋体"/>
          <w:color w:val="auto"/>
          <w:kern w:val="2"/>
          <w:szCs w:val="30"/>
          <w:highlight w:val="none"/>
        </w:rPr>
        <w:fldChar w:fldCharType="separate"/>
      </w:r>
      <w:r>
        <w:rPr>
          <w:rFonts w:hint="eastAsia" w:ascii="宋体" w:hAnsi="宋体" w:cs="宋体"/>
          <w:color w:val="auto"/>
          <w:szCs w:val="36"/>
          <w:highlight w:val="none"/>
        </w:rPr>
        <w:t>第八章  投标文件部分格式</w:t>
      </w:r>
      <w:r>
        <w:rPr>
          <w:color w:val="auto"/>
          <w:highlight w:val="none"/>
        </w:rPr>
        <w:tab/>
      </w:r>
      <w:r>
        <w:rPr>
          <w:color w:val="auto"/>
          <w:highlight w:val="none"/>
        </w:rPr>
        <w:fldChar w:fldCharType="begin"/>
      </w:r>
      <w:r>
        <w:rPr>
          <w:color w:val="auto"/>
          <w:highlight w:val="none"/>
        </w:rPr>
        <w:instrText xml:space="preserve"> PAGEREF _Toc23023 \h </w:instrText>
      </w:r>
      <w:r>
        <w:rPr>
          <w:color w:val="auto"/>
          <w:highlight w:val="none"/>
        </w:rPr>
        <w:fldChar w:fldCharType="separate"/>
      </w:r>
      <w:r>
        <w:rPr>
          <w:color w:val="auto"/>
          <w:highlight w:val="none"/>
        </w:rPr>
        <w:t>46</w:t>
      </w:r>
      <w:r>
        <w:rPr>
          <w:color w:val="auto"/>
          <w:highlight w:val="none"/>
        </w:rPr>
        <w:fldChar w:fldCharType="end"/>
      </w:r>
      <w:r>
        <w:rPr>
          <w:rFonts w:hint="eastAsia" w:ascii="宋体" w:hAnsi="宋体" w:cs="宋体"/>
          <w:color w:val="auto"/>
          <w:kern w:val="2"/>
          <w:szCs w:val="30"/>
          <w:highlight w:val="none"/>
        </w:rPr>
        <w:fldChar w:fldCharType="end"/>
      </w:r>
    </w:p>
    <w:p>
      <w:pPr>
        <w:pStyle w:val="5"/>
        <w:shd w:val="clear"/>
        <w:spacing w:before="0" w:after="0" w:line="360" w:lineRule="exact"/>
        <w:rPr>
          <w:rFonts w:ascii="宋体" w:hAnsi="宋体" w:cs="宋体"/>
          <w:color w:val="auto"/>
          <w:kern w:val="2"/>
          <w:szCs w:val="30"/>
          <w:highlight w:val="none"/>
        </w:rPr>
      </w:pPr>
      <w:r>
        <w:rPr>
          <w:rFonts w:hint="eastAsia" w:ascii="宋体" w:hAnsi="宋体" w:cs="宋体"/>
          <w:color w:val="auto"/>
          <w:kern w:val="2"/>
          <w:szCs w:val="30"/>
          <w:highlight w:val="none"/>
        </w:rPr>
        <w:fldChar w:fldCharType="end"/>
      </w:r>
    </w:p>
    <w:p>
      <w:pPr>
        <w:shd w:val="clear"/>
        <w:rPr>
          <w:rFonts w:ascii="宋体" w:hAnsi="宋体" w:cs="宋体"/>
          <w:bCs/>
          <w:color w:val="auto"/>
          <w:szCs w:val="30"/>
          <w:highlight w:val="none"/>
        </w:rPr>
      </w:pPr>
    </w:p>
    <w:p>
      <w:pPr>
        <w:shd w:val="clear"/>
        <w:rPr>
          <w:rFonts w:ascii="宋体" w:hAnsi="宋体" w:cs="宋体"/>
          <w:bCs/>
          <w:color w:val="auto"/>
          <w:szCs w:val="30"/>
          <w:highlight w:val="none"/>
        </w:rPr>
      </w:pPr>
    </w:p>
    <w:p>
      <w:pPr>
        <w:pStyle w:val="2"/>
        <w:shd w:val="clear"/>
        <w:rPr>
          <w:rFonts w:cs="宋体"/>
          <w:color w:val="auto"/>
          <w:szCs w:val="30"/>
          <w:highlight w:val="none"/>
        </w:rPr>
      </w:pPr>
    </w:p>
    <w:p>
      <w:pPr>
        <w:pStyle w:val="2"/>
        <w:shd w:val="clear"/>
        <w:rPr>
          <w:rFonts w:cs="宋体"/>
          <w:color w:val="auto"/>
          <w:szCs w:val="30"/>
          <w:highlight w:val="none"/>
        </w:rPr>
      </w:pPr>
    </w:p>
    <w:p>
      <w:pPr>
        <w:shd w:val="clear"/>
        <w:rPr>
          <w:rFonts w:ascii="宋体" w:hAnsi="宋体" w:cs="宋体"/>
          <w:color w:val="auto"/>
          <w:szCs w:val="30"/>
          <w:highlight w:val="none"/>
        </w:rPr>
      </w:pPr>
    </w:p>
    <w:p>
      <w:pPr>
        <w:pStyle w:val="2"/>
        <w:shd w:val="clear"/>
        <w:rPr>
          <w:rFonts w:cs="宋体"/>
          <w:color w:val="auto"/>
          <w:szCs w:val="30"/>
          <w:highlight w:val="none"/>
        </w:rPr>
      </w:pPr>
    </w:p>
    <w:p>
      <w:pPr>
        <w:pStyle w:val="3"/>
        <w:shd w:val="clear"/>
        <w:rPr>
          <w:rFonts w:cs="宋体"/>
          <w:color w:val="auto"/>
          <w:szCs w:val="30"/>
          <w:highlight w:val="none"/>
        </w:rPr>
      </w:pPr>
    </w:p>
    <w:p>
      <w:pPr>
        <w:pStyle w:val="4"/>
        <w:shd w:val="clear"/>
        <w:rPr>
          <w:rFonts w:cs="宋体"/>
          <w:color w:val="auto"/>
          <w:szCs w:val="30"/>
          <w:highlight w:val="none"/>
        </w:rPr>
      </w:pPr>
    </w:p>
    <w:p>
      <w:pPr>
        <w:shd w:val="clear"/>
        <w:rPr>
          <w:color w:val="auto"/>
          <w:highlight w:val="none"/>
        </w:rPr>
      </w:pPr>
    </w:p>
    <w:p>
      <w:pPr>
        <w:pStyle w:val="2"/>
        <w:shd w:val="clear"/>
        <w:rPr>
          <w:rFonts w:cs="宋体"/>
          <w:color w:val="auto"/>
          <w:szCs w:val="30"/>
          <w:highlight w:val="none"/>
        </w:rPr>
      </w:pPr>
    </w:p>
    <w:p>
      <w:pPr>
        <w:pStyle w:val="5"/>
        <w:shd w:val="clear"/>
        <w:spacing w:before="0" w:after="0" w:line="360" w:lineRule="auto"/>
        <w:jc w:val="center"/>
        <w:rPr>
          <w:rFonts w:ascii="宋体" w:hAnsi="宋体" w:cs="宋体"/>
          <w:b w:val="0"/>
          <w:color w:val="auto"/>
          <w:kern w:val="2"/>
          <w:sz w:val="24"/>
          <w:szCs w:val="30"/>
          <w:highlight w:val="none"/>
        </w:rPr>
      </w:pPr>
      <w:bookmarkStart w:id="0" w:name="_Toc368140162"/>
      <w:r>
        <w:rPr>
          <w:rFonts w:hint="eastAsia" w:ascii="宋体" w:hAnsi="宋体" w:cs="宋体"/>
          <w:color w:val="auto"/>
          <w:sz w:val="36"/>
          <w:highlight w:val="none"/>
        </w:rPr>
        <w:t xml:space="preserve"> </w:t>
      </w:r>
      <w:bookmarkStart w:id="1" w:name="_Toc21508"/>
      <w:bookmarkStart w:id="2" w:name="_Toc10089"/>
      <w:bookmarkStart w:id="3" w:name="_Toc25919"/>
      <w:r>
        <w:rPr>
          <w:rFonts w:hint="eastAsia" w:ascii="宋体" w:hAnsi="宋体" w:cs="宋体"/>
          <w:color w:val="auto"/>
          <w:sz w:val="36"/>
          <w:highlight w:val="none"/>
        </w:rPr>
        <w:t>第一章  采购公告</w:t>
      </w:r>
      <w:bookmarkEnd w:id="0"/>
      <w:bookmarkEnd w:id="1"/>
      <w:bookmarkEnd w:id="2"/>
      <w:bookmarkEnd w:id="3"/>
    </w:p>
    <w:p>
      <w:pPr>
        <w:shd w:val="clear"/>
        <w:spacing w:line="360" w:lineRule="auto"/>
        <w:ind w:firstLine="480" w:firstLineChars="200"/>
        <w:rPr>
          <w:rFonts w:ascii="宋体" w:hAnsi="宋体" w:cs="宋体"/>
          <w:color w:val="auto"/>
          <w:sz w:val="48"/>
          <w:szCs w:val="48"/>
          <w:highlight w:val="none"/>
        </w:rPr>
      </w:pPr>
      <w:r>
        <w:rPr>
          <w:rFonts w:hint="eastAsia" w:ascii="宋体" w:hAnsi="宋体" w:cs="宋体"/>
          <w:color w:val="auto"/>
          <w:sz w:val="24"/>
          <w:highlight w:val="none"/>
        </w:rPr>
        <w:t>义乌市廿三里辖区路灯能源管理服务采购项目</w:t>
      </w:r>
      <w:r>
        <w:rPr>
          <w:rFonts w:hint="eastAsia" w:ascii="宋体" w:hAnsi="宋体" w:cs="宋体"/>
          <w:color w:val="auto"/>
          <w:sz w:val="24"/>
          <w:highlight w:val="none"/>
          <w:shd w:val="clear" w:color="auto" w:fill="FFFFFF"/>
        </w:rPr>
        <w:t>的潜在投标人应在 </w:t>
      </w:r>
      <w:r>
        <w:rPr>
          <w:rFonts w:hint="eastAsia" w:ascii="宋体" w:hAnsi="宋体" w:cs="宋体"/>
          <w:color w:val="auto"/>
          <w:sz w:val="24"/>
          <w:highlight w:val="none"/>
          <w:u w:val="single"/>
          <w:shd w:val="clear" w:color="auto" w:fill="FFFFFF"/>
        </w:rPr>
        <w:t>浙江政府采购网 </w:t>
      </w:r>
      <w:r>
        <w:rPr>
          <w:rFonts w:hint="eastAsia" w:ascii="宋体" w:hAnsi="宋体" w:cs="宋体"/>
          <w:color w:val="auto"/>
          <w:sz w:val="24"/>
          <w:highlight w:val="none"/>
          <w:shd w:val="clear" w:color="auto" w:fill="FFFFFF"/>
        </w:rPr>
        <w:t>获取（下载）采购文件，并于</w:t>
      </w:r>
      <w:r>
        <w:rPr>
          <w:rFonts w:hint="eastAsia" w:ascii="宋体" w:hAnsi="宋体" w:cs="宋体"/>
          <w:color w:val="auto"/>
          <w:sz w:val="24"/>
          <w:highlight w:val="none"/>
          <w:u w:val="single"/>
          <w:shd w:val="clear" w:color="auto" w:fill="FFFFFF"/>
        </w:rPr>
        <w:t>2022年</w:t>
      </w:r>
      <w:r>
        <w:rPr>
          <w:rFonts w:hint="eastAsia" w:ascii="宋体" w:hAnsi="宋体" w:cs="宋体"/>
          <w:color w:val="auto"/>
          <w:sz w:val="24"/>
          <w:highlight w:val="none"/>
          <w:u w:val="single"/>
          <w:shd w:val="clear" w:color="auto" w:fill="FFFFFF"/>
          <w:lang w:val="en-US" w:eastAsia="zh-CN"/>
        </w:rPr>
        <w:t>11</w:t>
      </w:r>
      <w:r>
        <w:rPr>
          <w:rFonts w:hint="eastAsia" w:ascii="宋体" w:hAnsi="宋体" w:cs="宋体"/>
          <w:color w:val="auto"/>
          <w:sz w:val="24"/>
          <w:highlight w:val="none"/>
          <w:u w:val="single"/>
          <w:shd w:val="clear" w:color="auto" w:fill="FFFFFF"/>
        </w:rPr>
        <w:t>月</w:t>
      </w:r>
      <w:r>
        <w:rPr>
          <w:rFonts w:hint="eastAsia" w:ascii="宋体" w:hAnsi="宋体" w:cs="宋体"/>
          <w:color w:val="auto"/>
          <w:sz w:val="24"/>
          <w:highlight w:val="none"/>
          <w:u w:val="single"/>
          <w:shd w:val="clear" w:color="auto" w:fill="FFFFFF"/>
          <w:lang w:val="en-US" w:eastAsia="zh-CN"/>
        </w:rPr>
        <w:t>24</w:t>
      </w:r>
      <w:r>
        <w:rPr>
          <w:rFonts w:hint="eastAsia" w:ascii="宋体" w:hAnsi="宋体" w:cs="宋体"/>
          <w:color w:val="auto"/>
          <w:sz w:val="24"/>
          <w:highlight w:val="none"/>
          <w:u w:val="single"/>
          <w:shd w:val="clear" w:color="auto" w:fill="FFFFFF"/>
        </w:rPr>
        <w:t>日</w:t>
      </w:r>
      <w:r>
        <w:rPr>
          <w:rFonts w:hint="eastAsia" w:ascii="宋体" w:hAnsi="宋体" w:cs="宋体"/>
          <w:color w:val="auto"/>
          <w:sz w:val="24"/>
          <w:highlight w:val="none"/>
          <w:u w:val="single"/>
          <w:shd w:val="clear" w:color="auto" w:fill="FFFFFF"/>
          <w:lang w:val="en-US" w:eastAsia="zh-CN"/>
        </w:rPr>
        <w:t>9</w:t>
      </w:r>
      <w:r>
        <w:rPr>
          <w:rFonts w:hint="eastAsia" w:ascii="宋体" w:hAnsi="宋体" w:cs="宋体"/>
          <w:color w:val="auto"/>
          <w:sz w:val="24"/>
          <w:highlight w:val="none"/>
          <w:u w:val="single"/>
          <w:shd w:val="clear" w:color="auto" w:fill="FFFFFF"/>
        </w:rPr>
        <w:t>:</w:t>
      </w:r>
      <w:r>
        <w:rPr>
          <w:rFonts w:hint="eastAsia" w:ascii="宋体" w:hAnsi="宋体" w:cs="宋体"/>
          <w:color w:val="auto"/>
          <w:sz w:val="24"/>
          <w:highlight w:val="none"/>
          <w:u w:val="single"/>
          <w:shd w:val="clear" w:color="auto" w:fill="FFFFFF"/>
          <w:lang w:val="en-US" w:eastAsia="zh-CN"/>
        </w:rPr>
        <w:t>30</w:t>
      </w:r>
      <w:r>
        <w:rPr>
          <w:rFonts w:hint="eastAsia" w:ascii="宋体" w:hAnsi="宋体" w:cs="宋体"/>
          <w:color w:val="auto"/>
          <w:sz w:val="24"/>
          <w:highlight w:val="none"/>
          <w:shd w:val="clear" w:color="auto" w:fill="FFFFFF"/>
        </w:rPr>
        <w:t>（北京时间）前递交（上传）投标文件。</w:t>
      </w:r>
    </w:p>
    <w:p>
      <w:pPr>
        <w:pStyle w:val="20"/>
        <w:widowControl/>
        <w:numPr>
          <w:ilvl w:val="0"/>
          <w:numId w:val="1"/>
        </w:numPr>
        <w:shd w:val="clear"/>
        <w:spacing w:line="360" w:lineRule="auto"/>
        <w:rPr>
          <w:rFonts w:ascii="宋体" w:hAnsi="宋体" w:cs="宋体"/>
          <w:b/>
          <w:bCs/>
          <w:color w:val="auto"/>
          <w:sz w:val="28"/>
          <w:szCs w:val="28"/>
          <w:highlight w:val="none"/>
          <w:shd w:val="clear" w:color="auto" w:fill="FFFFFF"/>
        </w:rPr>
      </w:pPr>
      <w:r>
        <w:rPr>
          <w:rFonts w:hint="eastAsia" w:ascii="宋体" w:hAnsi="宋体" w:cs="宋体"/>
          <w:b/>
          <w:bCs/>
          <w:color w:val="auto"/>
          <w:sz w:val="28"/>
          <w:szCs w:val="28"/>
          <w:highlight w:val="none"/>
          <w:shd w:val="clear" w:color="auto" w:fill="FFFFFF"/>
        </w:rPr>
        <w:t>项目基本情况</w:t>
      </w:r>
    </w:p>
    <w:p>
      <w:pPr>
        <w:pStyle w:val="20"/>
        <w:widowControl/>
        <w:shd w:val="clear"/>
        <w:spacing w:line="360" w:lineRule="auto"/>
        <w:ind w:firstLine="480" w:firstLineChars="200"/>
        <w:rPr>
          <w:rFonts w:ascii="宋体" w:hAnsi="宋体" w:cs="宋体"/>
          <w:color w:val="auto"/>
          <w:highlight w:val="none"/>
        </w:rPr>
      </w:pPr>
      <w:r>
        <w:rPr>
          <w:rFonts w:hint="eastAsia" w:ascii="宋体" w:hAnsi="宋体" w:cs="宋体"/>
          <w:color w:val="auto"/>
          <w:highlight w:val="none"/>
          <w:shd w:val="clear" w:color="auto" w:fill="FFFFFF"/>
        </w:rPr>
        <w:t>1、项目编号：</w:t>
      </w:r>
      <w:r>
        <w:rPr>
          <w:rFonts w:hint="eastAsia" w:ascii="宋体" w:hAnsi="宋体" w:cs="宋体"/>
          <w:color w:val="auto"/>
          <w:highlight w:val="none"/>
        </w:rPr>
        <w:t>ZJMD2022045GK</w:t>
      </w:r>
    </w:p>
    <w:p>
      <w:pPr>
        <w:pStyle w:val="20"/>
        <w:widowControl/>
        <w:shd w:val="clear"/>
        <w:spacing w:line="360" w:lineRule="auto"/>
        <w:ind w:firstLine="480" w:firstLineChars="200"/>
        <w:rPr>
          <w:rFonts w:ascii="宋体" w:hAnsi="宋体" w:cs="宋体"/>
          <w:color w:val="auto"/>
          <w:highlight w:val="none"/>
        </w:rPr>
      </w:pPr>
      <w:r>
        <w:rPr>
          <w:rFonts w:hint="eastAsia" w:ascii="宋体" w:hAnsi="宋体" w:cs="宋体"/>
          <w:color w:val="auto"/>
          <w:highlight w:val="none"/>
          <w:shd w:val="clear" w:color="auto" w:fill="FFFFFF"/>
        </w:rPr>
        <w:t>2、项目名称：</w:t>
      </w:r>
      <w:r>
        <w:rPr>
          <w:rFonts w:hint="eastAsia" w:ascii="宋体" w:hAnsi="宋体" w:cs="宋体"/>
          <w:color w:val="auto"/>
          <w:highlight w:val="none"/>
        </w:rPr>
        <w:t>义乌市廿三里辖区路灯能源管理服务采购项目</w:t>
      </w:r>
    </w:p>
    <w:p>
      <w:pPr>
        <w:pStyle w:val="20"/>
        <w:widowControl/>
        <w:shd w:val="clear"/>
        <w:spacing w:line="360" w:lineRule="auto"/>
        <w:ind w:firstLine="480" w:firstLineChars="200"/>
        <w:rPr>
          <w:rFonts w:ascii="宋体" w:hAnsi="宋体" w:cs="宋体"/>
          <w:color w:val="auto"/>
          <w:highlight w:val="none"/>
          <w:shd w:val="clear" w:color="auto" w:fill="FFFFFF"/>
        </w:rPr>
      </w:pPr>
      <w:r>
        <w:rPr>
          <w:rFonts w:hint="eastAsia" w:ascii="宋体" w:hAnsi="宋体" w:cs="宋体"/>
          <w:color w:val="auto"/>
          <w:highlight w:val="none"/>
          <w:shd w:val="clear" w:color="auto" w:fill="FFFFFF"/>
        </w:rPr>
        <w:t>3、预算金额（元）：</w:t>
      </w:r>
      <w:r>
        <w:rPr>
          <w:rFonts w:hint="eastAsia" w:ascii="宋体" w:hAnsi="宋体" w:cs="宋体"/>
          <w:color w:val="auto"/>
          <w:highlight w:val="none"/>
          <w:shd w:val="clear" w:color="auto" w:fill="FFFFFF"/>
          <w:lang w:val="en-US" w:eastAsia="zh-CN"/>
        </w:rPr>
        <w:t>8910000</w:t>
      </w:r>
      <w:r>
        <w:rPr>
          <w:rFonts w:hint="eastAsia" w:ascii="宋体" w:hAnsi="宋体" w:cs="宋体"/>
          <w:color w:val="auto"/>
          <w:highlight w:val="none"/>
          <w:shd w:val="clear" w:color="auto" w:fill="FFFFFF"/>
        </w:rPr>
        <w:t>元 </w:t>
      </w:r>
    </w:p>
    <w:p>
      <w:pPr>
        <w:pStyle w:val="20"/>
        <w:widowControl/>
        <w:shd w:val="clear"/>
        <w:spacing w:line="360" w:lineRule="auto"/>
        <w:ind w:firstLine="480" w:firstLineChars="200"/>
        <w:rPr>
          <w:rFonts w:ascii="宋体" w:hAnsi="宋体" w:cs="宋体"/>
          <w:color w:val="auto"/>
          <w:highlight w:val="none"/>
          <w:shd w:val="clear" w:color="auto" w:fill="FFFFFF"/>
        </w:rPr>
      </w:pPr>
      <w:r>
        <w:rPr>
          <w:rFonts w:hint="eastAsia" w:ascii="宋体" w:hAnsi="宋体" w:cs="宋体"/>
          <w:color w:val="auto"/>
          <w:highlight w:val="none"/>
          <w:shd w:val="clear" w:color="auto" w:fill="FFFFFF"/>
        </w:rPr>
        <w:t>4、最高限价（元）：</w:t>
      </w:r>
      <w:r>
        <w:rPr>
          <w:rFonts w:hint="eastAsia" w:ascii="宋体" w:hAnsi="宋体" w:cs="宋体"/>
          <w:color w:val="auto"/>
          <w:highlight w:val="none"/>
          <w:shd w:val="clear" w:color="auto" w:fill="FFFFFF"/>
          <w:lang w:val="en-US" w:eastAsia="zh-CN"/>
        </w:rPr>
        <w:t>8910000</w:t>
      </w:r>
      <w:r>
        <w:rPr>
          <w:rFonts w:hint="eastAsia" w:ascii="宋体" w:hAnsi="宋体" w:cs="宋体"/>
          <w:color w:val="auto"/>
          <w:highlight w:val="none"/>
          <w:shd w:val="clear" w:color="auto" w:fill="FFFFFF"/>
        </w:rPr>
        <w:t>元 </w:t>
      </w:r>
    </w:p>
    <w:p>
      <w:pPr>
        <w:pStyle w:val="20"/>
        <w:widowControl/>
        <w:shd w:val="clear"/>
        <w:spacing w:line="360" w:lineRule="auto"/>
        <w:ind w:firstLine="480" w:firstLineChars="200"/>
        <w:rPr>
          <w:rFonts w:ascii="宋体" w:hAnsi="宋体" w:cs="宋体"/>
          <w:color w:val="auto"/>
          <w:highlight w:val="none"/>
        </w:rPr>
      </w:pPr>
      <w:r>
        <w:rPr>
          <w:rFonts w:hint="eastAsia" w:ascii="宋体" w:hAnsi="宋体" w:cs="宋体"/>
          <w:color w:val="auto"/>
          <w:highlight w:val="none"/>
          <w:shd w:val="clear" w:color="auto" w:fill="FFFFFF"/>
        </w:rPr>
        <w:t>5、采购需求：                          </w:t>
      </w:r>
    </w:p>
    <w:tbl>
      <w:tblPr>
        <w:tblStyle w:val="22"/>
        <w:tblW w:w="527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1073"/>
        <w:gridCol w:w="3005"/>
        <w:gridCol w:w="1047"/>
        <w:gridCol w:w="1760"/>
        <w:gridCol w:w="988"/>
        <w:gridCol w:w="1375"/>
        <w:gridCol w:w="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77" w:hRule="atLeast"/>
          <w:jc w:val="center"/>
        </w:trPr>
        <w:tc>
          <w:tcPr>
            <w:tcW w:w="527" w:type="pct"/>
            <w:tcMar>
              <w:top w:w="75" w:type="dxa"/>
              <w:left w:w="150" w:type="dxa"/>
              <w:bottom w:w="75" w:type="dxa"/>
              <w:right w:w="150" w:type="dxa"/>
            </w:tcMar>
            <w:vAlign w:val="center"/>
          </w:tcPr>
          <w:p>
            <w:pPr>
              <w:widowControl/>
              <w:shd w:val="clear"/>
              <w:wordWrap w:val="0"/>
              <w:snapToGrid w:val="0"/>
              <w:jc w:val="center"/>
              <w:rPr>
                <w:rFonts w:ascii="宋体" w:hAnsi="宋体" w:cs="宋体"/>
                <w:color w:val="auto"/>
                <w:kern w:val="0"/>
                <w:sz w:val="24"/>
                <w:highlight w:val="none"/>
              </w:rPr>
            </w:pPr>
            <w:r>
              <w:rPr>
                <w:rFonts w:hint="eastAsia" w:ascii="宋体" w:hAnsi="宋体" w:cs="宋体"/>
                <w:color w:val="auto"/>
                <w:kern w:val="0"/>
                <w:sz w:val="24"/>
                <w:highlight w:val="none"/>
              </w:rPr>
              <w:t>标项</w:t>
            </w:r>
          </w:p>
          <w:p>
            <w:pPr>
              <w:widowControl/>
              <w:shd w:val="clear"/>
              <w:wordWrap w:val="0"/>
              <w:snapToGrid w:val="0"/>
              <w:jc w:val="center"/>
              <w:rPr>
                <w:rFonts w:ascii="宋体" w:hAnsi="宋体" w:cs="宋体"/>
                <w:color w:val="auto"/>
                <w:sz w:val="24"/>
                <w:highlight w:val="none"/>
              </w:rPr>
            </w:pPr>
            <w:r>
              <w:rPr>
                <w:rFonts w:hint="eastAsia" w:ascii="宋体" w:hAnsi="宋体" w:cs="宋体"/>
                <w:color w:val="auto"/>
                <w:kern w:val="0"/>
                <w:sz w:val="24"/>
                <w:highlight w:val="none"/>
              </w:rPr>
              <w:t>序号</w:t>
            </w:r>
          </w:p>
        </w:tc>
        <w:tc>
          <w:tcPr>
            <w:tcW w:w="1475" w:type="pct"/>
            <w:tcMar>
              <w:top w:w="75" w:type="dxa"/>
              <w:left w:w="150" w:type="dxa"/>
              <w:bottom w:w="75" w:type="dxa"/>
              <w:right w:w="150" w:type="dxa"/>
            </w:tcMar>
            <w:vAlign w:val="center"/>
          </w:tcPr>
          <w:p>
            <w:pPr>
              <w:widowControl/>
              <w:shd w:val="clear"/>
              <w:wordWrap w:val="0"/>
              <w:snapToGrid w:val="0"/>
              <w:jc w:val="center"/>
              <w:rPr>
                <w:rFonts w:ascii="宋体" w:hAnsi="宋体" w:cs="宋体"/>
                <w:color w:val="auto"/>
                <w:sz w:val="24"/>
                <w:highlight w:val="none"/>
              </w:rPr>
            </w:pPr>
            <w:r>
              <w:rPr>
                <w:rFonts w:hint="eastAsia" w:ascii="宋体" w:hAnsi="宋体" w:cs="宋体"/>
                <w:color w:val="auto"/>
                <w:kern w:val="0"/>
                <w:sz w:val="24"/>
                <w:highlight w:val="none"/>
              </w:rPr>
              <w:t>标项名称</w:t>
            </w:r>
          </w:p>
        </w:tc>
        <w:tc>
          <w:tcPr>
            <w:tcW w:w="514" w:type="pct"/>
            <w:tcMar>
              <w:top w:w="75" w:type="dxa"/>
              <w:left w:w="150" w:type="dxa"/>
              <w:bottom w:w="75" w:type="dxa"/>
              <w:right w:w="150" w:type="dxa"/>
            </w:tcMar>
            <w:vAlign w:val="center"/>
          </w:tcPr>
          <w:p>
            <w:pPr>
              <w:widowControl/>
              <w:shd w:val="clear"/>
              <w:wordWrap w:val="0"/>
              <w:snapToGrid w:val="0"/>
              <w:jc w:val="center"/>
              <w:rPr>
                <w:rFonts w:ascii="宋体" w:hAnsi="宋体" w:cs="宋体"/>
                <w:color w:val="auto"/>
                <w:sz w:val="24"/>
                <w:highlight w:val="none"/>
              </w:rPr>
            </w:pPr>
            <w:r>
              <w:rPr>
                <w:rFonts w:hint="eastAsia" w:ascii="宋体" w:hAnsi="宋体" w:cs="宋体"/>
                <w:color w:val="auto"/>
                <w:kern w:val="0"/>
                <w:sz w:val="24"/>
                <w:highlight w:val="none"/>
              </w:rPr>
              <w:t>数量</w:t>
            </w:r>
          </w:p>
        </w:tc>
        <w:tc>
          <w:tcPr>
            <w:tcW w:w="864" w:type="pct"/>
            <w:tcMar>
              <w:top w:w="75" w:type="dxa"/>
              <w:left w:w="150" w:type="dxa"/>
              <w:bottom w:w="75" w:type="dxa"/>
              <w:right w:w="150" w:type="dxa"/>
            </w:tcMar>
            <w:vAlign w:val="center"/>
          </w:tcPr>
          <w:p>
            <w:pPr>
              <w:widowControl/>
              <w:shd w:val="clear"/>
              <w:wordWrap w:val="0"/>
              <w:snapToGrid w:val="0"/>
              <w:jc w:val="center"/>
              <w:rPr>
                <w:rFonts w:ascii="宋体" w:hAnsi="宋体" w:cs="宋体"/>
                <w:color w:val="auto"/>
                <w:sz w:val="24"/>
                <w:highlight w:val="none"/>
              </w:rPr>
            </w:pPr>
            <w:r>
              <w:rPr>
                <w:rFonts w:hint="eastAsia" w:ascii="宋体" w:hAnsi="宋体" w:cs="宋体"/>
                <w:color w:val="auto"/>
                <w:kern w:val="0"/>
                <w:sz w:val="24"/>
                <w:highlight w:val="none"/>
              </w:rPr>
              <w:t>预算金额(元)</w:t>
            </w:r>
          </w:p>
        </w:tc>
        <w:tc>
          <w:tcPr>
            <w:tcW w:w="485" w:type="pct"/>
            <w:tcMar>
              <w:top w:w="75" w:type="dxa"/>
              <w:left w:w="150" w:type="dxa"/>
              <w:bottom w:w="75" w:type="dxa"/>
              <w:right w:w="150" w:type="dxa"/>
            </w:tcMar>
            <w:vAlign w:val="center"/>
          </w:tcPr>
          <w:p>
            <w:pPr>
              <w:widowControl/>
              <w:shd w:val="clear"/>
              <w:wordWrap w:val="0"/>
              <w:snapToGrid w:val="0"/>
              <w:jc w:val="center"/>
              <w:rPr>
                <w:rFonts w:ascii="宋体" w:hAnsi="宋体" w:cs="宋体"/>
                <w:color w:val="auto"/>
                <w:sz w:val="24"/>
                <w:highlight w:val="none"/>
              </w:rPr>
            </w:pPr>
            <w:r>
              <w:rPr>
                <w:rFonts w:hint="eastAsia" w:ascii="宋体" w:hAnsi="宋体" w:cs="宋体"/>
                <w:color w:val="auto"/>
                <w:kern w:val="0"/>
                <w:sz w:val="24"/>
                <w:highlight w:val="none"/>
              </w:rPr>
              <w:t>单位</w:t>
            </w:r>
          </w:p>
        </w:tc>
        <w:tc>
          <w:tcPr>
            <w:tcW w:w="675" w:type="pct"/>
            <w:tcMar>
              <w:top w:w="75" w:type="dxa"/>
              <w:left w:w="150" w:type="dxa"/>
              <w:bottom w:w="75" w:type="dxa"/>
              <w:right w:w="150" w:type="dxa"/>
            </w:tcMar>
            <w:vAlign w:val="center"/>
          </w:tcPr>
          <w:p>
            <w:pPr>
              <w:widowControl/>
              <w:shd w:val="clear"/>
              <w:wordWrap w:val="0"/>
              <w:snapToGrid w:val="0"/>
              <w:jc w:val="center"/>
              <w:rPr>
                <w:rFonts w:ascii="宋体" w:hAnsi="宋体" w:cs="宋体"/>
                <w:color w:val="auto"/>
                <w:sz w:val="24"/>
                <w:highlight w:val="none"/>
              </w:rPr>
            </w:pPr>
            <w:r>
              <w:rPr>
                <w:rFonts w:hint="eastAsia" w:ascii="宋体" w:hAnsi="宋体" w:cs="宋体"/>
                <w:color w:val="auto"/>
                <w:kern w:val="0"/>
                <w:sz w:val="24"/>
                <w:highlight w:val="none"/>
              </w:rPr>
              <w:t>简要规格描述</w:t>
            </w:r>
          </w:p>
        </w:tc>
        <w:tc>
          <w:tcPr>
            <w:tcW w:w="455" w:type="pct"/>
            <w:tcMar>
              <w:top w:w="75" w:type="dxa"/>
              <w:left w:w="150" w:type="dxa"/>
              <w:bottom w:w="75" w:type="dxa"/>
              <w:right w:w="150" w:type="dxa"/>
            </w:tcMar>
            <w:vAlign w:val="center"/>
          </w:tcPr>
          <w:p>
            <w:pPr>
              <w:widowControl/>
              <w:shd w:val="clear"/>
              <w:wordWrap w:val="0"/>
              <w:snapToGrid w:val="0"/>
              <w:jc w:val="center"/>
              <w:rPr>
                <w:rFonts w:ascii="宋体" w:hAnsi="宋体" w:cs="宋体"/>
                <w:color w:val="auto"/>
                <w:sz w:val="24"/>
                <w:highlight w:val="none"/>
              </w:rPr>
            </w:pPr>
            <w:r>
              <w:rPr>
                <w:rFonts w:hint="eastAsia" w:ascii="宋体" w:hAnsi="宋体" w:cs="宋体"/>
                <w:color w:val="auto"/>
                <w:kern w:val="0"/>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12" w:hRule="atLeast"/>
          <w:jc w:val="center"/>
        </w:trPr>
        <w:tc>
          <w:tcPr>
            <w:tcW w:w="527" w:type="pct"/>
            <w:tcMar>
              <w:top w:w="75" w:type="dxa"/>
              <w:left w:w="150" w:type="dxa"/>
              <w:bottom w:w="75" w:type="dxa"/>
              <w:right w:w="150" w:type="dxa"/>
            </w:tcMar>
            <w:vAlign w:val="center"/>
          </w:tcPr>
          <w:p>
            <w:pPr>
              <w:widowControl/>
              <w:shd w:val="clear"/>
              <w:wordWrap w:val="0"/>
              <w:snapToGrid w:val="0"/>
              <w:jc w:val="center"/>
              <w:rPr>
                <w:rFonts w:ascii="宋体" w:hAnsi="宋体" w:cs="宋体"/>
                <w:color w:val="auto"/>
                <w:kern w:val="0"/>
                <w:sz w:val="24"/>
                <w:highlight w:val="none"/>
              </w:rPr>
            </w:pPr>
            <w:r>
              <w:rPr>
                <w:rFonts w:hint="eastAsia" w:ascii="宋体" w:hAnsi="宋体" w:cs="宋体"/>
                <w:color w:val="auto"/>
                <w:kern w:val="0"/>
                <w:sz w:val="24"/>
                <w:highlight w:val="none"/>
              </w:rPr>
              <w:t>1</w:t>
            </w:r>
          </w:p>
        </w:tc>
        <w:tc>
          <w:tcPr>
            <w:tcW w:w="1475" w:type="pct"/>
            <w:tcMar>
              <w:top w:w="75" w:type="dxa"/>
              <w:left w:w="150" w:type="dxa"/>
              <w:bottom w:w="75" w:type="dxa"/>
              <w:right w:w="150" w:type="dxa"/>
            </w:tcMar>
            <w:vAlign w:val="center"/>
          </w:tcPr>
          <w:p>
            <w:pPr>
              <w:widowControl/>
              <w:shd w:val="clear"/>
              <w:wordWrap w:val="0"/>
              <w:snapToGrid w:val="0"/>
              <w:jc w:val="center"/>
              <w:rPr>
                <w:rFonts w:ascii="宋体" w:hAnsi="宋体" w:cs="宋体"/>
                <w:color w:val="auto"/>
                <w:kern w:val="0"/>
                <w:sz w:val="24"/>
                <w:highlight w:val="none"/>
              </w:rPr>
            </w:pPr>
            <w:r>
              <w:rPr>
                <w:rFonts w:hint="eastAsia" w:ascii="宋体" w:hAnsi="宋体" w:cs="宋体"/>
                <w:color w:val="auto"/>
                <w:kern w:val="0"/>
                <w:sz w:val="24"/>
                <w:highlight w:val="none"/>
              </w:rPr>
              <w:t>义乌市廿三里辖区路灯能源管理服务采购项目</w:t>
            </w:r>
          </w:p>
        </w:tc>
        <w:tc>
          <w:tcPr>
            <w:tcW w:w="514" w:type="pct"/>
            <w:tcMar>
              <w:top w:w="75" w:type="dxa"/>
              <w:left w:w="150" w:type="dxa"/>
              <w:bottom w:w="75" w:type="dxa"/>
              <w:right w:w="150" w:type="dxa"/>
            </w:tcMar>
            <w:vAlign w:val="center"/>
          </w:tcPr>
          <w:p>
            <w:pPr>
              <w:widowControl/>
              <w:shd w:val="clear"/>
              <w:wordWrap w:val="0"/>
              <w:snapToGrid w:val="0"/>
              <w:jc w:val="center"/>
              <w:rPr>
                <w:rFonts w:ascii="宋体" w:hAnsi="宋体" w:cs="宋体"/>
                <w:color w:val="auto"/>
                <w:kern w:val="0"/>
                <w:sz w:val="24"/>
                <w:highlight w:val="none"/>
              </w:rPr>
            </w:pPr>
            <w:r>
              <w:rPr>
                <w:rFonts w:hint="eastAsia" w:ascii="宋体" w:hAnsi="宋体" w:cs="宋体"/>
                <w:color w:val="auto"/>
                <w:kern w:val="0"/>
                <w:sz w:val="24"/>
                <w:highlight w:val="none"/>
              </w:rPr>
              <w:t>3</w:t>
            </w:r>
          </w:p>
        </w:tc>
        <w:tc>
          <w:tcPr>
            <w:tcW w:w="864" w:type="pct"/>
            <w:tcMar>
              <w:top w:w="75" w:type="dxa"/>
              <w:left w:w="150" w:type="dxa"/>
              <w:bottom w:w="75" w:type="dxa"/>
              <w:right w:w="150" w:type="dxa"/>
            </w:tcMar>
            <w:vAlign w:val="center"/>
          </w:tcPr>
          <w:p>
            <w:pPr>
              <w:widowControl/>
              <w:shd w:val="clear"/>
              <w:wordWrap w:val="0"/>
              <w:snapToGrid w:val="0"/>
              <w:jc w:val="center"/>
              <w:rPr>
                <w:rFonts w:hint="default" w:ascii="宋体" w:hAnsi="宋体" w:eastAsia="宋体" w:cs="宋体"/>
                <w:color w:val="auto"/>
                <w:kern w:val="0"/>
                <w:sz w:val="24"/>
                <w:highlight w:val="none"/>
                <w:lang w:val="en-US" w:eastAsia="zh-CN"/>
              </w:rPr>
            </w:pPr>
            <w:r>
              <w:rPr>
                <w:rFonts w:hint="eastAsia" w:ascii="宋体" w:hAnsi="宋体" w:cs="宋体"/>
                <w:color w:val="auto"/>
                <w:kern w:val="0"/>
                <w:sz w:val="24"/>
                <w:highlight w:val="none"/>
                <w:lang w:val="en-US" w:eastAsia="zh-CN"/>
              </w:rPr>
              <w:t>8910000</w:t>
            </w:r>
          </w:p>
        </w:tc>
        <w:tc>
          <w:tcPr>
            <w:tcW w:w="485" w:type="pct"/>
            <w:tcMar>
              <w:top w:w="75" w:type="dxa"/>
              <w:left w:w="150" w:type="dxa"/>
              <w:bottom w:w="75" w:type="dxa"/>
              <w:right w:w="150" w:type="dxa"/>
            </w:tcMar>
            <w:vAlign w:val="center"/>
          </w:tcPr>
          <w:p>
            <w:pPr>
              <w:widowControl/>
              <w:shd w:val="clear"/>
              <w:wordWrap w:val="0"/>
              <w:snapToGrid w:val="0"/>
              <w:jc w:val="center"/>
              <w:rPr>
                <w:rFonts w:ascii="宋体" w:hAnsi="宋体" w:cs="宋体"/>
                <w:color w:val="auto"/>
                <w:sz w:val="24"/>
                <w:highlight w:val="none"/>
              </w:rPr>
            </w:pPr>
            <w:r>
              <w:rPr>
                <w:rFonts w:hint="eastAsia" w:ascii="宋体" w:hAnsi="宋体" w:cs="宋体"/>
                <w:color w:val="auto"/>
                <w:kern w:val="0"/>
                <w:sz w:val="24"/>
                <w:highlight w:val="none"/>
              </w:rPr>
              <w:t>年</w:t>
            </w:r>
          </w:p>
        </w:tc>
        <w:tc>
          <w:tcPr>
            <w:tcW w:w="675" w:type="pct"/>
            <w:tcMar>
              <w:top w:w="75" w:type="dxa"/>
              <w:left w:w="150" w:type="dxa"/>
              <w:bottom w:w="75" w:type="dxa"/>
              <w:right w:w="150" w:type="dxa"/>
            </w:tcMar>
            <w:vAlign w:val="center"/>
          </w:tcPr>
          <w:p>
            <w:pPr>
              <w:widowControl/>
              <w:shd w:val="clear"/>
              <w:wordWrap w:val="0"/>
              <w:snapToGrid w:val="0"/>
              <w:jc w:val="center"/>
              <w:rPr>
                <w:rFonts w:ascii="宋体" w:hAnsi="宋体" w:cs="宋体"/>
                <w:color w:val="auto"/>
                <w:sz w:val="24"/>
                <w:highlight w:val="none"/>
              </w:rPr>
            </w:pPr>
            <w:r>
              <w:rPr>
                <w:rFonts w:hint="eastAsia" w:ascii="宋体" w:hAnsi="宋体" w:cs="宋体"/>
                <w:color w:val="auto"/>
                <w:kern w:val="0"/>
                <w:sz w:val="24"/>
                <w:highlight w:val="none"/>
              </w:rPr>
              <w:t>详见采购文件</w:t>
            </w:r>
          </w:p>
        </w:tc>
        <w:tc>
          <w:tcPr>
            <w:tcW w:w="455" w:type="pct"/>
            <w:tcMar>
              <w:top w:w="75" w:type="dxa"/>
              <w:left w:w="150" w:type="dxa"/>
              <w:bottom w:w="75" w:type="dxa"/>
              <w:right w:w="150" w:type="dxa"/>
            </w:tcMar>
            <w:vAlign w:val="center"/>
          </w:tcPr>
          <w:p>
            <w:pPr>
              <w:widowControl/>
              <w:shd w:val="clear"/>
              <w:wordWrap w:val="0"/>
              <w:snapToGrid w:val="0"/>
              <w:jc w:val="center"/>
              <w:rPr>
                <w:rFonts w:ascii="宋体" w:hAnsi="宋体" w:cs="宋体"/>
                <w:color w:val="auto"/>
                <w:sz w:val="24"/>
                <w:highlight w:val="none"/>
              </w:rPr>
            </w:pPr>
          </w:p>
        </w:tc>
      </w:tr>
    </w:tbl>
    <w:p>
      <w:pPr>
        <w:pStyle w:val="20"/>
        <w:widowControl/>
        <w:shd w:val="clear"/>
        <w:spacing w:line="360" w:lineRule="auto"/>
        <w:rPr>
          <w:rFonts w:ascii="宋体" w:hAnsi="宋体" w:cs="宋体"/>
          <w:b/>
          <w:bCs/>
          <w:color w:val="auto"/>
          <w:sz w:val="28"/>
          <w:szCs w:val="28"/>
          <w:highlight w:val="none"/>
          <w:shd w:val="clear" w:color="auto" w:fill="FFFFFF"/>
        </w:rPr>
      </w:pPr>
      <w:r>
        <w:rPr>
          <w:rFonts w:hint="eastAsia" w:ascii="宋体" w:hAnsi="宋体" w:cs="宋体"/>
          <w:b/>
          <w:bCs/>
          <w:color w:val="auto"/>
          <w:sz w:val="28"/>
          <w:szCs w:val="28"/>
          <w:highlight w:val="none"/>
          <w:shd w:val="clear" w:color="auto" w:fill="FFFFFF"/>
        </w:rPr>
        <w:t>二、申请人的资格要求：</w:t>
      </w:r>
    </w:p>
    <w:p>
      <w:pPr>
        <w:shd w:val="clea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1、满足《中华人民共和国政府采购法》第二十二条规定或符合浙财采监【2013】24号《关于规范政府采购投标人资格设定及资格审查的通知》第六条规定的投标人；</w:t>
      </w:r>
    </w:p>
    <w:p>
      <w:pPr>
        <w:shd w:val="clear"/>
        <w:spacing w:line="400" w:lineRule="exact"/>
        <w:ind w:firstLine="480" w:firstLineChars="200"/>
        <w:rPr>
          <w:color w:val="auto"/>
          <w:highlight w:val="none"/>
        </w:rPr>
      </w:pPr>
      <w:r>
        <w:rPr>
          <w:rFonts w:hint="eastAsia" w:ascii="宋体" w:hAnsi="宋体" w:eastAsia="宋体" w:cs="宋体"/>
          <w:color w:val="auto"/>
          <w:sz w:val="24"/>
          <w:highlight w:val="none"/>
          <w:lang w:val="en-US" w:eastAsia="zh-CN"/>
        </w:rPr>
        <w:t>2、</w:t>
      </w:r>
      <w:r>
        <w:rPr>
          <w:rFonts w:hint="eastAsia" w:ascii="宋体" w:hAnsi="宋体" w:eastAsia="宋体" w:cs="宋体"/>
          <w:color w:val="auto"/>
          <w:sz w:val="24"/>
          <w:highlight w:val="none"/>
          <w:lang w:val="en-US"/>
        </w:rPr>
        <w:t>本项目专门面向中小企业；</w:t>
      </w:r>
    </w:p>
    <w:p>
      <w:pPr>
        <w:shd w:val="clea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lang w:val="en-US" w:eastAsia="zh-CN"/>
        </w:rPr>
        <w:t>3</w:t>
      </w:r>
      <w:r>
        <w:rPr>
          <w:rFonts w:hint="eastAsia" w:ascii="宋体" w:hAnsi="宋体" w:cs="宋体"/>
          <w:color w:val="auto"/>
          <w:sz w:val="24"/>
          <w:highlight w:val="none"/>
        </w:rPr>
        <w:t>、参加本次政府采购活动前三年内，在经营活动中没有重大违法记录，同时供应商无以下不良行为：开标当日在公开网站上能查到的被财政部或浙江省财政厅处理（或处罚）而处于暂停政府采购资格期的或处于暂停承接业务资格期的；或被国家级、浙江省级、义乌市级行业主管部门处罚处于暂停承接业务资格期的；或被义乌市政府采购监管部门列入不良行为还在公示期内的或者处于暂停政府采购资格期的；或被“信用中国”（www.creditchina.gov.cn）、中国政府采购网（www.ccgp.gov.cn）列入失信被执行人、重大税收违法案件当事人名单、政府采购严重违法失信行为记录名单的；</w:t>
      </w:r>
    </w:p>
    <w:p>
      <w:pPr>
        <w:shd w:val="clea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lang w:val="en-US" w:eastAsia="zh-CN"/>
        </w:rPr>
        <w:t>4</w:t>
      </w:r>
      <w:r>
        <w:rPr>
          <w:rFonts w:hint="eastAsia" w:ascii="宋体" w:hAnsi="宋体" w:cs="宋体"/>
          <w:color w:val="auto"/>
          <w:sz w:val="24"/>
          <w:highlight w:val="none"/>
        </w:rPr>
        <w:t>、供应商自2019年01月01日起到中标公告期结束前无行贿犯罪记录［评审结束后，发放成交通知书前由采购人通过中国裁判文书网（http://wenshu.court.gov.cn/）按照采购文件约定对拟中标人的行贿犯罪记录进行查询，查询结果以网站页面显示内容为准］；</w:t>
      </w:r>
    </w:p>
    <w:p>
      <w:pPr>
        <w:shd w:val="clea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lang w:val="en-US" w:eastAsia="zh-CN"/>
        </w:rPr>
        <w:t>5</w:t>
      </w:r>
      <w:r>
        <w:rPr>
          <w:rFonts w:hint="eastAsia" w:ascii="宋体" w:hAnsi="宋体" w:cs="宋体"/>
          <w:color w:val="auto"/>
          <w:sz w:val="24"/>
          <w:highlight w:val="none"/>
        </w:rPr>
        <w:t>、根据《关于在全市公共资源交易活动中应用信用报告的通知》（义行服管〔2017〕17号）的规定，综合信用报告评级不属于D类或E类的（无信用评价供应商不受此项条件限制，查询结果以开标当日网站页面显示内容为准）；</w:t>
      </w:r>
    </w:p>
    <w:p>
      <w:pPr>
        <w:shd w:val="clea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lang w:val="en-US" w:eastAsia="zh-CN"/>
        </w:rPr>
        <w:t>6</w:t>
      </w:r>
      <w:r>
        <w:rPr>
          <w:rFonts w:hint="eastAsia" w:ascii="宋体" w:hAnsi="宋体" w:cs="宋体"/>
          <w:color w:val="auto"/>
          <w:sz w:val="24"/>
          <w:highlight w:val="none"/>
        </w:rPr>
        <w:t>、单位负责人为同一人或者存在直接控股、管理关系的不同供应商，不得参加同一合同项下（同一标项）的政府采购活动；</w:t>
      </w:r>
    </w:p>
    <w:p>
      <w:pPr>
        <w:shd w:val="clea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lang w:val="en-US" w:eastAsia="zh-CN"/>
        </w:rPr>
        <w:t>7</w:t>
      </w:r>
      <w:r>
        <w:rPr>
          <w:rFonts w:hint="eastAsia" w:ascii="宋体" w:hAnsi="宋体" w:cs="宋体"/>
          <w:color w:val="auto"/>
          <w:sz w:val="24"/>
          <w:highlight w:val="none"/>
        </w:rPr>
        <w:t xml:space="preserve">、为采购项目提供整体设计、规范编制或者项目管理、监理、检测等服务的供应商，不得再参加该采购项目的其他采购活动； </w:t>
      </w:r>
    </w:p>
    <w:p>
      <w:pPr>
        <w:shd w:val="clea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lang w:val="en-US" w:eastAsia="zh-CN"/>
        </w:rPr>
        <w:t>8</w:t>
      </w:r>
      <w:r>
        <w:rPr>
          <w:rFonts w:hint="eastAsia" w:ascii="宋体" w:hAnsi="宋体" w:cs="宋体"/>
          <w:color w:val="auto"/>
          <w:sz w:val="24"/>
          <w:highlight w:val="none"/>
        </w:rPr>
        <w:t xml:space="preserve">、本项目接受联合体投标； </w:t>
      </w:r>
    </w:p>
    <w:p>
      <w:pPr>
        <w:shd w:val="clear"/>
        <w:spacing w:line="360" w:lineRule="auto"/>
        <w:ind w:firstLine="482" w:firstLineChars="200"/>
        <w:rPr>
          <w:rFonts w:ascii="宋体" w:hAnsi="宋体" w:cs="宋体"/>
          <w:b/>
          <w:bCs/>
          <w:color w:val="auto"/>
          <w:sz w:val="24"/>
          <w:highlight w:val="none"/>
        </w:rPr>
      </w:pPr>
      <w:r>
        <w:rPr>
          <w:rFonts w:hint="eastAsia" w:ascii="宋体" w:hAnsi="宋体" w:cs="宋体"/>
          <w:b/>
          <w:bCs/>
          <w:color w:val="auto"/>
          <w:sz w:val="24"/>
          <w:highlight w:val="none"/>
          <w:lang w:val="en-US" w:eastAsia="zh-CN"/>
        </w:rPr>
        <w:t>9</w:t>
      </w:r>
      <w:r>
        <w:rPr>
          <w:rFonts w:hint="eastAsia" w:ascii="宋体" w:hAnsi="宋体" w:cs="宋体"/>
          <w:b/>
          <w:bCs/>
          <w:color w:val="auto"/>
          <w:sz w:val="24"/>
          <w:highlight w:val="none"/>
        </w:rPr>
        <w:t>.公益一类事业单位不属于政府购买服务的承接主体，不得参与承接购买服务。</w:t>
      </w:r>
    </w:p>
    <w:p>
      <w:pPr>
        <w:pStyle w:val="20"/>
        <w:widowControl/>
        <w:shd w:val="clear"/>
        <w:spacing w:line="360" w:lineRule="auto"/>
        <w:jc w:val="left"/>
        <w:rPr>
          <w:rFonts w:ascii="宋体" w:hAnsi="宋体" w:cs="宋体"/>
          <w:b/>
          <w:bCs/>
          <w:color w:val="auto"/>
          <w:sz w:val="28"/>
          <w:szCs w:val="28"/>
          <w:highlight w:val="none"/>
          <w:shd w:val="clear" w:color="auto" w:fill="FFFFFF"/>
        </w:rPr>
      </w:pPr>
      <w:r>
        <w:rPr>
          <w:rFonts w:hint="eastAsia" w:ascii="宋体" w:hAnsi="宋体" w:cs="宋体"/>
          <w:b/>
          <w:bCs/>
          <w:color w:val="auto"/>
          <w:sz w:val="28"/>
          <w:szCs w:val="28"/>
          <w:highlight w:val="none"/>
          <w:shd w:val="clear" w:color="auto" w:fill="FFFFFF"/>
        </w:rPr>
        <w:t>三、获取采购文件</w:t>
      </w:r>
    </w:p>
    <w:p>
      <w:pPr>
        <w:shd w:val="clea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获取时间：公告发布日期至2022年</w:t>
      </w:r>
      <w:r>
        <w:rPr>
          <w:rFonts w:hint="eastAsia" w:ascii="宋体" w:hAnsi="宋体" w:cs="宋体"/>
          <w:color w:val="auto"/>
          <w:sz w:val="24"/>
          <w:highlight w:val="none"/>
          <w:lang w:val="en-US" w:eastAsia="zh-CN"/>
        </w:rPr>
        <w:t>11</w:t>
      </w:r>
      <w:r>
        <w:rPr>
          <w:rFonts w:hint="eastAsia" w:ascii="宋体" w:hAnsi="宋体" w:cs="宋体"/>
          <w:color w:val="auto"/>
          <w:sz w:val="24"/>
          <w:highlight w:val="none"/>
        </w:rPr>
        <w:t>月</w:t>
      </w:r>
      <w:r>
        <w:rPr>
          <w:rFonts w:hint="eastAsia" w:ascii="宋体" w:hAnsi="宋体" w:cs="宋体"/>
          <w:color w:val="auto"/>
          <w:sz w:val="24"/>
          <w:highlight w:val="none"/>
          <w:lang w:val="en-US" w:eastAsia="zh-CN"/>
        </w:rPr>
        <w:t>24</w:t>
      </w:r>
      <w:r>
        <w:rPr>
          <w:rFonts w:hint="eastAsia" w:ascii="宋体" w:hAnsi="宋体" w:cs="宋体"/>
          <w:color w:val="auto"/>
          <w:sz w:val="24"/>
          <w:highlight w:val="none"/>
        </w:rPr>
        <w:t>日（开标截止当天为</w:t>
      </w:r>
      <w:r>
        <w:rPr>
          <w:rFonts w:hint="eastAsia" w:ascii="宋体" w:hAnsi="宋体" w:cs="宋体"/>
          <w:color w:val="auto"/>
          <w:sz w:val="24"/>
          <w:highlight w:val="none"/>
          <w:lang w:val="en-US" w:eastAsia="zh-CN"/>
        </w:rPr>
        <w:t>9</w:t>
      </w:r>
      <w:r>
        <w:rPr>
          <w:rFonts w:hint="eastAsia" w:ascii="宋体" w:hAnsi="宋体" w:cs="宋体"/>
          <w:color w:val="auto"/>
          <w:sz w:val="24"/>
          <w:highlight w:val="none"/>
        </w:rPr>
        <w:t>:</w:t>
      </w:r>
      <w:r>
        <w:rPr>
          <w:rFonts w:hint="eastAsia" w:ascii="宋体" w:hAnsi="宋体" w:cs="宋体"/>
          <w:color w:val="auto"/>
          <w:sz w:val="24"/>
          <w:highlight w:val="none"/>
          <w:lang w:val="en-US" w:eastAsia="zh-CN"/>
        </w:rPr>
        <w:t>30</w:t>
      </w:r>
      <w:r>
        <w:rPr>
          <w:rFonts w:hint="eastAsia" w:ascii="宋体" w:hAnsi="宋体" w:cs="宋体"/>
          <w:color w:val="auto"/>
          <w:sz w:val="24"/>
          <w:highlight w:val="none"/>
        </w:rPr>
        <w:t>），每天上午00:00至12:00，下午12:00至23:59（北京时间，线上获取法定节假日均可，线下获取文件法定节假日除外）</w:t>
      </w:r>
    </w:p>
    <w:p>
      <w:pPr>
        <w:shd w:val="clea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获取地点（网址）：浙江政府采购网 </w:t>
      </w:r>
    </w:p>
    <w:p>
      <w:pPr>
        <w:shd w:val="clea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获取方式：登录浙江政府采购网账号获取或直接在招标公告下方获取 </w:t>
      </w:r>
    </w:p>
    <w:p>
      <w:pPr>
        <w:shd w:val="clea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售价（元）：0</w:t>
      </w:r>
    </w:p>
    <w:p>
      <w:pPr>
        <w:pStyle w:val="20"/>
        <w:widowControl/>
        <w:shd w:val="clear"/>
        <w:spacing w:line="360" w:lineRule="auto"/>
        <w:jc w:val="left"/>
        <w:rPr>
          <w:rFonts w:ascii="宋体" w:hAnsi="宋体" w:cs="宋体"/>
          <w:b/>
          <w:bCs/>
          <w:color w:val="auto"/>
          <w:sz w:val="28"/>
          <w:szCs w:val="28"/>
          <w:highlight w:val="none"/>
          <w:shd w:val="clear" w:color="auto" w:fill="FFFFFF"/>
        </w:rPr>
      </w:pPr>
      <w:r>
        <w:rPr>
          <w:rFonts w:hint="eastAsia" w:ascii="宋体" w:hAnsi="宋体" w:cs="宋体"/>
          <w:b/>
          <w:bCs/>
          <w:color w:val="auto"/>
          <w:sz w:val="28"/>
          <w:szCs w:val="28"/>
          <w:highlight w:val="none"/>
          <w:shd w:val="clear" w:color="auto" w:fill="FFFFFF"/>
        </w:rPr>
        <w:t>四、提交投标文件截止时间、开标时间和地点</w:t>
      </w:r>
    </w:p>
    <w:p>
      <w:pPr>
        <w:shd w:val="clea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提交投标文件截止时间：2022年</w:t>
      </w:r>
      <w:r>
        <w:rPr>
          <w:rFonts w:hint="eastAsia" w:ascii="宋体" w:hAnsi="宋体" w:cs="宋体"/>
          <w:color w:val="auto"/>
          <w:sz w:val="24"/>
          <w:highlight w:val="none"/>
          <w:lang w:val="en-US" w:eastAsia="zh-CN"/>
        </w:rPr>
        <w:t>11</w:t>
      </w:r>
      <w:r>
        <w:rPr>
          <w:rFonts w:hint="eastAsia" w:ascii="宋体" w:hAnsi="宋体" w:cs="宋体"/>
          <w:color w:val="auto"/>
          <w:sz w:val="24"/>
          <w:highlight w:val="none"/>
        </w:rPr>
        <w:t>月</w:t>
      </w:r>
      <w:r>
        <w:rPr>
          <w:rFonts w:hint="eastAsia" w:ascii="宋体" w:hAnsi="宋体" w:cs="宋体"/>
          <w:color w:val="auto"/>
          <w:sz w:val="24"/>
          <w:highlight w:val="none"/>
          <w:lang w:val="en-US" w:eastAsia="zh-CN"/>
        </w:rPr>
        <w:t>24</w:t>
      </w:r>
      <w:r>
        <w:rPr>
          <w:rFonts w:hint="eastAsia" w:ascii="宋体" w:hAnsi="宋体" w:cs="宋体"/>
          <w:color w:val="auto"/>
          <w:sz w:val="24"/>
          <w:highlight w:val="none"/>
        </w:rPr>
        <w:t>日</w:t>
      </w:r>
      <w:r>
        <w:rPr>
          <w:rFonts w:hint="eastAsia" w:ascii="宋体" w:hAnsi="宋体" w:cs="宋体"/>
          <w:color w:val="auto"/>
          <w:sz w:val="24"/>
          <w:highlight w:val="none"/>
          <w:lang w:val="en-US" w:eastAsia="zh-CN"/>
        </w:rPr>
        <w:t>9</w:t>
      </w:r>
      <w:r>
        <w:rPr>
          <w:rFonts w:hint="eastAsia" w:ascii="宋体" w:hAnsi="宋体" w:cs="宋体"/>
          <w:color w:val="auto"/>
          <w:sz w:val="24"/>
          <w:highlight w:val="none"/>
        </w:rPr>
        <w:t>:</w:t>
      </w:r>
      <w:r>
        <w:rPr>
          <w:rFonts w:hint="eastAsia" w:ascii="宋体" w:hAnsi="宋体" w:cs="宋体"/>
          <w:color w:val="auto"/>
          <w:sz w:val="24"/>
          <w:highlight w:val="none"/>
          <w:lang w:val="en-US" w:eastAsia="zh-CN"/>
        </w:rPr>
        <w:t>30</w:t>
      </w:r>
      <w:r>
        <w:rPr>
          <w:rFonts w:hint="eastAsia" w:ascii="宋体" w:hAnsi="宋体" w:cs="宋体"/>
          <w:color w:val="auto"/>
          <w:sz w:val="24"/>
          <w:highlight w:val="none"/>
        </w:rPr>
        <w:t>（北京时间）</w:t>
      </w:r>
    </w:p>
    <w:p>
      <w:pPr>
        <w:shd w:val="clea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投标地点（网址）：登录浙江政府采购网上传电子投标文件 </w:t>
      </w:r>
    </w:p>
    <w:p>
      <w:pPr>
        <w:shd w:val="clear"/>
        <w:spacing w:line="360" w:lineRule="auto"/>
        <w:ind w:firstLine="480" w:firstLineChars="200"/>
        <w:rPr>
          <w:rFonts w:hint="default" w:ascii="宋体" w:hAnsi="宋体" w:eastAsia="宋体" w:cs="宋体"/>
          <w:color w:val="auto"/>
          <w:sz w:val="24"/>
          <w:highlight w:val="none"/>
          <w:lang w:val="en-US" w:eastAsia="zh-CN"/>
        </w:rPr>
      </w:pPr>
      <w:r>
        <w:rPr>
          <w:rFonts w:hint="eastAsia" w:ascii="宋体" w:hAnsi="宋体" w:cs="宋体"/>
          <w:color w:val="auto"/>
          <w:sz w:val="24"/>
          <w:highlight w:val="none"/>
        </w:rPr>
        <w:t>开标时间：2022年</w:t>
      </w:r>
      <w:r>
        <w:rPr>
          <w:rFonts w:hint="eastAsia" w:ascii="宋体" w:hAnsi="宋体" w:cs="宋体"/>
          <w:color w:val="auto"/>
          <w:sz w:val="24"/>
          <w:highlight w:val="none"/>
          <w:lang w:val="en-US" w:eastAsia="zh-CN"/>
        </w:rPr>
        <w:t>11</w:t>
      </w:r>
      <w:r>
        <w:rPr>
          <w:rFonts w:hint="eastAsia" w:ascii="宋体" w:hAnsi="宋体" w:cs="宋体"/>
          <w:color w:val="auto"/>
          <w:sz w:val="24"/>
          <w:highlight w:val="none"/>
        </w:rPr>
        <w:t>月</w:t>
      </w:r>
      <w:r>
        <w:rPr>
          <w:rFonts w:hint="eastAsia" w:ascii="宋体" w:hAnsi="宋体" w:cs="宋体"/>
          <w:color w:val="auto"/>
          <w:sz w:val="24"/>
          <w:highlight w:val="none"/>
          <w:lang w:val="en-US" w:eastAsia="zh-CN"/>
        </w:rPr>
        <w:t>24</w:t>
      </w:r>
      <w:r>
        <w:rPr>
          <w:rFonts w:hint="eastAsia" w:ascii="宋体" w:hAnsi="宋体" w:cs="宋体"/>
          <w:color w:val="auto"/>
          <w:sz w:val="24"/>
          <w:highlight w:val="none"/>
        </w:rPr>
        <w:t>日</w:t>
      </w:r>
      <w:r>
        <w:rPr>
          <w:rFonts w:hint="eastAsia" w:ascii="宋体" w:hAnsi="宋体" w:cs="宋体"/>
          <w:color w:val="auto"/>
          <w:sz w:val="24"/>
          <w:highlight w:val="none"/>
          <w:lang w:val="en-US" w:eastAsia="zh-CN"/>
        </w:rPr>
        <w:t>9</w:t>
      </w:r>
      <w:r>
        <w:rPr>
          <w:rFonts w:hint="eastAsia" w:ascii="宋体" w:hAnsi="宋体" w:cs="宋体"/>
          <w:color w:val="auto"/>
          <w:sz w:val="24"/>
          <w:highlight w:val="none"/>
        </w:rPr>
        <w:t>:</w:t>
      </w:r>
      <w:r>
        <w:rPr>
          <w:rFonts w:hint="eastAsia" w:ascii="宋体" w:hAnsi="宋体" w:cs="宋体"/>
          <w:color w:val="auto"/>
          <w:sz w:val="24"/>
          <w:highlight w:val="none"/>
          <w:lang w:val="en-US" w:eastAsia="zh-CN"/>
        </w:rPr>
        <w:t>30</w:t>
      </w:r>
    </w:p>
    <w:p>
      <w:pPr>
        <w:shd w:val="clea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开标地点（网址）：义乌市望道路300号行政服务中心四楼电子开标室。</w:t>
      </w:r>
    </w:p>
    <w:p>
      <w:pPr>
        <w:pStyle w:val="20"/>
        <w:widowControl/>
        <w:shd w:val="clear"/>
        <w:spacing w:line="360" w:lineRule="auto"/>
        <w:jc w:val="left"/>
        <w:rPr>
          <w:rFonts w:ascii="宋体" w:hAnsi="宋体" w:cs="宋体"/>
          <w:b/>
          <w:bCs/>
          <w:color w:val="auto"/>
          <w:sz w:val="28"/>
          <w:szCs w:val="28"/>
          <w:highlight w:val="none"/>
          <w:shd w:val="clear" w:color="auto" w:fill="FFFFFF"/>
        </w:rPr>
      </w:pPr>
      <w:r>
        <w:rPr>
          <w:rFonts w:hint="eastAsia" w:ascii="宋体" w:hAnsi="宋体" w:cs="宋体"/>
          <w:b/>
          <w:bCs/>
          <w:color w:val="auto"/>
          <w:sz w:val="28"/>
          <w:szCs w:val="28"/>
          <w:highlight w:val="none"/>
          <w:shd w:val="clear" w:color="auto" w:fill="FFFFFF"/>
        </w:rPr>
        <w:t>五、公告期限</w:t>
      </w:r>
    </w:p>
    <w:p>
      <w:pPr>
        <w:pStyle w:val="20"/>
        <w:widowControl/>
        <w:shd w:val="clear"/>
        <w:spacing w:line="360" w:lineRule="auto"/>
        <w:ind w:firstLine="480" w:firstLineChars="200"/>
        <w:rPr>
          <w:rFonts w:ascii="宋体" w:hAnsi="宋体" w:cs="宋体"/>
          <w:color w:val="auto"/>
          <w:highlight w:val="none"/>
          <w:shd w:val="clear" w:color="auto" w:fill="FFFFFF"/>
        </w:rPr>
      </w:pPr>
      <w:r>
        <w:rPr>
          <w:rFonts w:hint="eastAsia" w:ascii="宋体" w:hAnsi="宋体" w:cs="宋体"/>
          <w:color w:val="auto"/>
          <w:highlight w:val="none"/>
          <w:shd w:val="clear" w:color="auto" w:fill="FFFFFF"/>
        </w:rPr>
        <w:t>自本公告发布之日起5个工作日。</w:t>
      </w:r>
    </w:p>
    <w:p>
      <w:pPr>
        <w:pStyle w:val="20"/>
        <w:widowControl/>
        <w:shd w:val="clear"/>
        <w:spacing w:line="360" w:lineRule="auto"/>
        <w:jc w:val="left"/>
        <w:rPr>
          <w:rFonts w:ascii="宋体" w:hAnsi="宋体" w:cs="宋体"/>
          <w:b/>
          <w:bCs/>
          <w:color w:val="auto"/>
          <w:sz w:val="28"/>
          <w:szCs w:val="28"/>
          <w:highlight w:val="none"/>
          <w:shd w:val="clear" w:color="auto" w:fill="FFFFFF"/>
        </w:rPr>
      </w:pPr>
      <w:r>
        <w:rPr>
          <w:rFonts w:hint="eastAsia" w:ascii="宋体" w:hAnsi="宋体" w:cs="宋体"/>
          <w:b/>
          <w:bCs/>
          <w:color w:val="auto"/>
          <w:sz w:val="28"/>
          <w:szCs w:val="28"/>
          <w:highlight w:val="none"/>
          <w:shd w:val="clear" w:color="auto" w:fill="FFFFFF"/>
        </w:rPr>
        <w:t>六、其他补充事宜</w:t>
      </w:r>
    </w:p>
    <w:p>
      <w:pPr>
        <w:shd w:val="clea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hd w:val="clea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2、其他事项： </w:t>
      </w:r>
    </w:p>
    <w:p>
      <w:pPr>
        <w:shd w:val="clea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①本项目实行网上投标，以潜在投标人身份获取文件后投标人即可参投，投标方在投标截止时间之前上传电子投标文件。投标人参与投标，需自行承担投标一切费用。</w:t>
      </w:r>
    </w:p>
    <w:p>
      <w:pPr>
        <w:shd w:val="clea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②标前准备：各投标人应在开标前确保成为浙江省政府采购网正式注册入库供应商，并完成CA数字证书办理。【办理流程详见</w:t>
      </w:r>
    </w:p>
    <w:p>
      <w:pPr>
        <w:shd w:val="clear"/>
        <w:spacing w:line="360" w:lineRule="auto"/>
        <w:rPr>
          <w:rFonts w:ascii="宋体" w:hAnsi="宋体" w:cs="宋体"/>
          <w:color w:val="auto"/>
          <w:sz w:val="24"/>
          <w:highlight w:val="none"/>
        </w:rPr>
      </w:pPr>
      <w:r>
        <w:rPr>
          <w:rFonts w:hint="eastAsia" w:ascii="宋体" w:hAnsi="宋体" w:cs="宋体"/>
          <w:color w:val="auto"/>
          <w:sz w:val="24"/>
          <w:highlight w:val="none"/>
        </w:rPr>
        <w:t>https://middle.zcygov.cn/v-settle-front/registry下载，（目前“政采云”平台仅支持浙江汇信或天谷CA锁，个体工商户投标仅支持浙江汇信CA锁），申领操作流程】。因未注册入库、未办理CA数字证书等原因造成无法投标或投标失败等后果由供应商自行承担。</w:t>
      </w:r>
    </w:p>
    <w:p>
      <w:pPr>
        <w:shd w:val="clea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③投标文件制作：投标人通过“政采云”平台电子投标工具制作投标文件，电子投标工具请供应商自行前往https://middle.zcygov.cn/v-settle-front/registry下载并安装，投标文件制作具体流程详见“政采云供应商项目采购-电子招投标操作指南”（请投标供应商登录政采云平台政府采购电子卖场后，点击链接https://service.zcygov.cn/#/knowledges/CW1EtGwBFdiHxlNd6I3m/6IMVAG0BFdiHxlNdQ8Na）以获取最新操作指南。　　　　</w:t>
      </w:r>
    </w:p>
    <w:p>
      <w:pPr>
        <w:pStyle w:val="20"/>
        <w:widowControl/>
        <w:shd w:val="clear"/>
        <w:spacing w:line="360" w:lineRule="auto"/>
        <w:rPr>
          <w:rFonts w:ascii="宋体" w:hAnsi="宋体" w:cs="宋体"/>
          <w:color w:val="auto"/>
          <w:highlight w:val="none"/>
        </w:rPr>
      </w:pPr>
      <w:r>
        <w:rPr>
          <w:rFonts w:hint="eastAsia" w:ascii="宋体" w:hAnsi="宋体" w:cs="宋体"/>
          <w:b/>
          <w:bCs/>
          <w:color w:val="auto"/>
          <w:sz w:val="28"/>
          <w:szCs w:val="28"/>
          <w:highlight w:val="none"/>
          <w:shd w:val="clear" w:color="auto" w:fill="FFFFFF"/>
        </w:rPr>
        <w:t>七、对本次招标提出询问、质疑、投诉，请按以下方式联系。　　</w:t>
      </w:r>
      <w:r>
        <w:rPr>
          <w:rFonts w:hint="eastAsia" w:ascii="宋体" w:hAnsi="宋体" w:cs="宋体"/>
          <w:color w:val="auto"/>
          <w:highlight w:val="none"/>
          <w:shd w:val="clear" w:color="auto" w:fill="FFFFFF"/>
        </w:rPr>
        <w:t>　　　　　　　　　　</w:t>
      </w:r>
    </w:p>
    <w:p>
      <w:pPr>
        <w:shd w:val="clear"/>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1.采购人信息</w:t>
      </w:r>
    </w:p>
    <w:p>
      <w:pPr>
        <w:shd w:val="clear"/>
        <w:spacing w:line="400" w:lineRule="exact"/>
        <w:ind w:firstLine="480" w:firstLineChars="200"/>
        <w:rPr>
          <w:rFonts w:ascii="宋体" w:hAnsi="宋体" w:cs="宋体"/>
          <w:color w:val="auto"/>
          <w:sz w:val="24"/>
          <w:highlight w:val="none"/>
          <w:u w:val="single"/>
        </w:rPr>
      </w:pPr>
      <w:r>
        <w:rPr>
          <w:rFonts w:hint="eastAsia" w:ascii="宋体" w:hAnsi="宋体" w:cs="宋体"/>
          <w:color w:val="auto"/>
          <w:sz w:val="24"/>
          <w:highlight w:val="none"/>
        </w:rPr>
        <w:t>名    称：</w:t>
      </w:r>
      <w:r>
        <w:rPr>
          <w:rFonts w:hint="eastAsia" w:ascii="宋体" w:hAnsi="宋体" w:cs="宋体"/>
          <w:color w:val="auto"/>
          <w:sz w:val="24"/>
          <w:highlight w:val="none"/>
          <w:u w:val="single"/>
        </w:rPr>
        <w:t>义乌市人民政府廿三里街道办事处</w:t>
      </w:r>
    </w:p>
    <w:p>
      <w:pPr>
        <w:shd w:val="clear"/>
        <w:spacing w:line="400" w:lineRule="exact"/>
        <w:ind w:firstLine="480" w:firstLineChars="200"/>
        <w:rPr>
          <w:rFonts w:hint="eastAsia" w:ascii="宋体" w:hAnsi="宋体" w:eastAsia="宋体" w:cs="宋体"/>
          <w:color w:val="auto"/>
          <w:sz w:val="24"/>
          <w:highlight w:val="none"/>
          <w:lang w:eastAsia="zh-CN"/>
        </w:rPr>
      </w:pPr>
      <w:r>
        <w:rPr>
          <w:rFonts w:hint="eastAsia" w:ascii="宋体" w:hAnsi="宋体" w:cs="宋体"/>
          <w:color w:val="auto"/>
          <w:sz w:val="24"/>
          <w:highlight w:val="none"/>
        </w:rPr>
        <w:t>项目联系人（询问）：</w:t>
      </w:r>
      <w:r>
        <w:rPr>
          <w:rFonts w:hint="eastAsia" w:ascii="宋体" w:hAnsi="宋体" w:cs="宋体"/>
          <w:color w:val="auto"/>
          <w:sz w:val="24"/>
          <w:highlight w:val="none"/>
          <w:u w:val="single"/>
          <w:lang w:val="en-US" w:eastAsia="zh-CN"/>
        </w:rPr>
        <w:t>吕先生</w:t>
      </w:r>
    </w:p>
    <w:p>
      <w:pPr>
        <w:shd w:val="clear"/>
        <w:spacing w:line="400" w:lineRule="exact"/>
        <w:ind w:firstLine="480" w:firstLineChars="200"/>
        <w:rPr>
          <w:rFonts w:hint="default" w:ascii="宋体" w:hAnsi="宋体" w:eastAsia="宋体" w:cs="宋体"/>
          <w:color w:val="auto"/>
          <w:sz w:val="24"/>
          <w:highlight w:val="none"/>
          <w:lang w:val="en-US" w:eastAsia="zh-CN"/>
        </w:rPr>
      </w:pPr>
      <w:r>
        <w:rPr>
          <w:rFonts w:hint="eastAsia" w:ascii="宋体" w:hAnsi="宋体" w:cs="宋体"/>
          <w:color w:val="auto"/>
          <w:sz w:val="24"/>
          <w:highlight w:val="none"/>
        </w:rPr>
        <w:t>项目联系方式（询问）：</w:t>
      </w:r>
      <w:r>
        <w:rPr>
          <w:rFonts w:hint="eastAsia" w:ascii="宋体" w:hAnsi="宋体" w:cs="宋体"/>
          <w:color w:val="auto"/>
          <w:sz w:val="24"/>
          <w:highlight w:val="none"/>
          <w:u w:val="single"/>
          <w:lang w:val="en-US" w:eastAsia="zh-CN"/>
        </w:rPr>
        <w:t>13516892070</w:t>
      </w:r>
    </w:p>
    <w:p>
      <w:pPr>
        <w:shd w:val="clear"/>
        <w:spacing w:line="400" w:lineRule="exact"/>
        <w:ind w:firstLine="480" w:firstLineChars="200"/>
        <w:rPr>
          <w:rFonts w:hint="default" w:ascii="宋体" w:hAnsi="宋体" w:eastAsia="宋体" w:cs="宋体"/>
          <w:color w:val="auto"/>
          <w:sz w:val="24"/>
          <w:highlight w:val="none"/>
          <w:lang w:val="en-US" w:eastAsia="zh-CN"/>
        </w:rPr>
      </w:pPr>
      <w:r>
        <w:rPr>
          <w:rFonts w:hint="eastAsia" w:ascii="宋体" w:hAnsi="宋体" w:cs="宋体"/>
          <w:color w:val="auto"/>
          <w:sz w:val="24"/>
          <w:highlight w:val="none"/>
        </w:rPr>
        <w:t>质疑联系人：</w:t>
      </w:r>
      <w:r>
        <w:rPr>
          <w:rFonts w:hint="eastAsia" w:ascii="宋体" w:hAnsi="宋体" w:cs="宋体"/>
          <w:color w:val="auto"/>
          <w:sz w:val="24"/>
          <w:highlight w:val="none"/>
          <w:u w:val="single"/>
          <w:lang w:val="en-US" w:eastAsia="zh-CN"/>
        </w:rPr>
        <w:t>王先生</w:t>
      </w:r>
    </w:p>
    <w:p>
      <w:pPr>
        <w:shd w:val="clear"/>
        <w:spacing w:line="400" w:lineRule="exact"/>
        <w:ind w:firstLine="480" w:firstLineChars="200"/>
        <w:rPr>
          <w:rFonts w:hint="default" w:ascii="宋体" w:hAnsi="宋体" w:eastAsia="宋体" w:cs="宋体"/>
          <w:color w:val="auto"/>
          <w:sz w:val="24"/>
          <w:highlight w:val="none"/>
          <w:lang w:val="en-US" w:eastAsia="zh-CN"/>
        </w:rPr>
      </w:pPr>
      <w:r>
        <w:rPr>
          <w:rFonts w:hint="eastAsia" w:ascii="宋体" w:hAnsi="宋体" w:cs="宋体"/>
          <w:color w:val="auto"/>
          <w:sz w:val="24"/>
          <w:highlight w:val="none"/>
        </w:rPr>
        <w:t>质疑联系方式</w:t>
      </w:r>
      <w:r>
        <w:rPr>
          <w:rFonts w:hint="eastAsia" w:ascii="宋体" w:hAnsi="宋体" w:cs="宋体"/>
          <w:color w:val="auto"/>
          <w:sz w:val="24"/>
          <w:highlight w:val="none"/>
          <w:lang w:eastAsia="zh-CN"/>
        </w:rPr>
        <w:t>：</w:t>
      </w:r>
      <w:r>
        <w:rPr>
          <w:rFonts w:hint="eastAsia" w:ascii="宋体" w:hAnsi="宋体" w:cs="宋体"/>
          <w:color w:val="auto"/>
          <w:sz w:val="24"/>
          <w:highlight w:val="none"/>
          <w:u w:val="single"/>
          <w:lang w:val="en-US" w:eastAsia="zh-CN"/>
        </w:rPr>
        <w:t>0579-85018051</w:t>
      </w:r>
    </w:p>
    <w:p>
      <w:pPr>
        <w:shd w:val="clear"/>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2.采购代理机构信息</w:t>
      </w:r>
    </w:p>
    <w:p>
      <w:pPr>
        <w:shd w:val="clear"/>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名    称：</w:t>
      </w:r>
      <w:r>
        <w:rPr>
          <w:rFonts w:hint="eastAsia" w:ascii="宋体" w:hAnsi="宋体" w:cs="宋体"/>
          <w:color w:val="auto"/>
          <w:sz w:val="24"/>
          <w:highlight w:val="none"/>
          <w:u w:val="single"/>
        </w:rPr>
        <w:t> 浙江明达工程造价咨询有限公司</w:t>
      </w:r>
      <w:r>
        <w:rPr>
          <w:rFonts w:hint="eastAsia" w:ascii="宋体" w:hAnsi="宋体" w:cs="宋体"/>
          <w:color w:val="auto"/>
          <w:sz w:val="24"/>
          <w:highlight w:val="none"/>
        </w:rPr>
        <w:t>　　　　　　　　　　　</w:t>
      </w:r>
    </w:p>
    <w:p>
      <w:pPr>
        <w:shd w:val="clear"/>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地    址： </w:t>
      </w:r>
      <w:r>
        <w:rPr>
          <w:rFonts w:hint="eastAsia" w:ascii="宋体" w:hAnsi="宋体" w:cs="宋体"/>
          <w:color w:val="auto"/>
          <w:sz w:val="24"/>
          <w:highlight w:val="none"/>
          <w:u w:val="single"/>
        </w:rPr>
        <w:t>义乌市雪峰西路968号科技大楼A区6楼</w:t>
      </w:r>
    </w:p>
    <w:p>
      <w:pPr>
        <w:shd w:val="clear"/>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项目联系人（询问）：</w:t>
      </w:r>
      <w:r>
        <w:rPr>
          <w:rFonts w:hint="eastAsia" w:ascii="宋体" w:hAnsi="宋体" w:cs="宋体"/>
          <w:color w:val="auto"/>
          <w:sz w:val="24"/>
          <w:highlight w:val="none"/>
          <w:u w:val="single"/>
        </w:rPr>
        <w:t>吕茜美</w:t>
      </w:r>
      <w:r>
        <w:rPr>
          <w:rFonts w:hint="eastAsia" w:ascii="宋体" w:hAnsi="宋体" w:cs="宋体"/>
          <w:color w:val="auto"/>
          <w:sz w:val="24"/>
          <w:highlight w:val="none"/>
        </w:rPr>
        <w:t xml:space="preserve"> </w:t>
      </w:r>
    </w:p>
    <w:p>
      <w:pPr>
        <w:shd w:val="clear"/>
        <w:spacing w:line="400" w:lineRule="exact"/>
        <w:ind w:firstLine="480" w:firstLineChars="200"/>
        <w:rPr>
          <w:rFonts w:ascii="宋体" w:hAnsi="宋体" w:cs="宋体"/>
          <w:color w:val="auto"/>
          <w:sz w:val="24"/>
          <w:highlight w:val="none"/>
          <w:u w:val="single"/>
        </w:rPr>
      </w:pPr>
      <w:r>
        <w:rPr>
          <w:rFonts w:hint="eastAsia" w:ascii="宋体" w:hAnsi="宋体" w:cs="宋体"/>
          <w:color w:val="auto"/>
          <w:sz w:val="24"/>
          <w:highlight w:val="none"/>
        </w:rPr>
        <w:t>项目联系方式（询问）：</w:t>
      </w:r>
      <w:r>
        <w:rPr>
          <w:rFonts w:hint="eastAsia" w:ascii="宋体" w:hAnsi="宋体" w:cs="宋体"/>
          <w:color w:val="auto"/>
          <w:sz w:val="24"/>
          <w:highlight w:val="none"/>
          <w:u w:val="single"/>
        </w:rPr>
        <w:t>18157970625</w:t>
      </w:r>
    </w:p>
    <w:p>
      <w:pPr>
        <w:shd w:val="clear"/>
        <w:spacing w:line="400" w:lineRule="exact"/>
        <w:ind w:firstLine="480" w:firstLineChars="200"/>
        <w:rPr>
          <w:rFonts w:ascii="宋体" w:hAnsi="宋体" w:cs="宋体"/>
          <w:color w:val="auto"/>
          <w:sz w:val="24"/>
          <w:highlight w:val="none"/>
          <w:u w:val="single"/>
        </w:rPr>
      </w:pPr>
      <w:r>
        <w:rPr>
          <w:rFonts w:hint="eastAsia" w:ascii="宋体" w:hAnsi="宋体" w:cs="宋体"/>
          <w:color w:val="auto"/>
          <w:sz w:val="24"/>
          <w:highlight w:val="none"/>
        </w:rPr>
        <w:t>质疑联系人：</w:t>
      </w:r>
      <w:r>
        <w:rPr>
          <w:rFonts w:hint="eastAsia" w:ascii="宋体" w:hAnsi="宋体" w:cs="宋体"/>
          <w:color w:val="auto"/>
          <w:sz w:val="24"/>
          <w:highlight w:val="none"/>
          <w:u w:val="single"/>
          <w:lang w:val="en-US" w:eastAsia="zh-CN"/>
        </w:rPr>
        <w:t>吴志豪</w:t>
      </w:r>
    </w:p>
    <w:p>
      <w:pPr>
        <w:shd w:val="clear"/>
        <w:spacing w:line="400" w:lineRule="exact"/>
        <w:ind w:firstLine="480" w:firstLineChars="200"/>
        <w:rPr>
          <w:rFonts w:ascii="宋体" w:hAnsi="宋体" w:cs="宋体"/>
          <w:color w:val="auto"/>
          <w:sz w:val="24"/>
          <w:highlight w:val="none"/>
          <w:u w:val="single"/>
        </w:rPr>
      </w:pPr>
      <w:r>
        <w:rPr>
          <w:rFonts w:hint="eastAsia" w:ascii="宋体" w:hAnsi="宋体" w:cs="宋体"/>
          <w:color w:val="auto"/>
          <w:sz w:val="24"/>
          <w:highlight w:val="none"/>
        </w:rPr>
        <w:t>质疑联系方式：</w:t>
      </w:r>
      <w:r>
        <w:rPr>
          <w:rFonts w:hint="eastAsia" w:ascii="宋体" w:hAnsi="宋体" w:cs="宋体"/>
          <w:color w:val="auto"/>
          <w:sz w:val="24"/>
          <w:highlight w:val="none"/>
          <w:u w:val="single"/>
          <w:lang w:val="en-US" w:eastAsia="zh-CN"/>
        </w:rPr>
        <w:t>18868804803</w:t>
      </w:r>
    </w:p>
    <w:p>
      <w:pPr>
        <w:shd w:val="clear"/>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3.同级政府采购监督管理部门</w:t>
      </w:r>
    </w:p>
    <w:p>
      <w:pPr>
        <w:shd w:val="clear"/>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名    称：</w:t>
      </w:r>
      <w:r>
        <w:rPr>
          <w:rFonts w:hint="eastAsia" w:ascii="宋体" w:hAnsi="宋体" w:cs="宋体"/>
          <w:color w:val="auto"/>
          <w:sz w:val="24"/>
          <w:highlight w:val="none"/>
          <w:u w:val="single"/>
        </w:rPr>
        <w:t>义乌市财政局</w:t>
      </w:r>
      <w:r>
        <w:rPr>
          <w:rFonts w:hint="eastAsia" w:ascii="宋体" w:hAnsi="宋体" w:cs="宋体"/>
          <w:color w:val="auto"/>
          <w:sz w:val="24"/>
          <w:highlight w:val="none"/>
        </w:rPr>
        <w:t>　　　　　　　　</w:t>
      </w:r>
    </w:p>
    <w:p>
      <w:pPr>
        <w:shd w:val="clear"/>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联系人 ：</w:t>
      </w:r>
      <w:r>
        <w:rPr>
          <w:rFonts w:hint="eastAsia" w:ascii="宋体" w:hAnsi="宋体" w:cs="宋体"/>
          <w:color w:val="auto"/>
          <w:sz w:val="24"/>
          <w:highlight w:val="none"/>
          <w:u w:val="single"/>
        </w:rPr>
        <w:t> 骆女士</w:t>
      </w:r>
      <w:r>
        <w:rPr>
          <w:rFonts w:hint="eastAsia" w:ascii="宋体" w:hAnsi="宋体" w:cs="宋体"/>
          <w:color w:val="auto"/>
          <w:sz w:val="24"/>
          <w:highlight w:val="none"/>
        </w:rPr>
        <w:t>　　　　　　　　　　</w:t>
      </w:r>
    </w:p>
    <w:p>
      <w:pPr>
        <w:shd w:val="clear"/>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监督投诉电话：</w:t>
      </w:r>
      <w:r>
        <w:rPr>
          <w:rFonts w:hint="eastAsia" w:ascii="宋体" w:hAnsi="宋体" w:cs="宋体"/>
          <w:color w:val="auto"/>
          <w:sz w:val="24"/>
          <w:highlight w:val="none"/>
          <w:u w:val="single"/>
        </w:rPr>
        <w:t>0579—89915066</w:t>
      </w:r>
      <w:r>
        <w:rPr>
          <w:rFonts w:hint="eastAsia" w:ascii="宋体" w:hAnsi="宋体" w:cs="宋体"/>
          <w:color w:val="auto"/>
          <w:sz w:val="24"/>
          <w:highlight w:val="none"/>
        </w:rPr>
        <w:t>　</w:t>
      </w:r>
    </w:p>
    <w:p>
      <w:pPr>
        <w:shd w:val="clear"/>
        <w:spacing w:line="360" w:lineRule="auto"/>
        <w:jc w:val="center"/>
        <w:rPr>
          <w:rFonts w:ascii="宋体" w:hAnsi="宋体" w:cs="宋体"/>
          <w:color w:val="auto"/>
          <w:sz w:val="24"/>
          <w:highlight w:val="none"/>
        </w:rPr>
      </w:pPr>
      <w:r>
        <w:rPr>
          <w:rFonts w:hint="eastAsia" w:ascii="宋体" w:hAnsi="宋体" w:cs="宋体"/>
          <w:b/>
          <w:bCs/>
          <w:color w:val="auto"/>
          <w:sz w:val="24"/>
          <w:highlight w:val="none"/>
        </w:rPr>
        <w:br w:type="page"/>
      </w:r>
      <w:r>
        <w:rPr>
          <w:rFonts w:hint="eastAsia" w:ascii="宋体" w:hAnsi="宋体" w:eastAsia="宋体" w:cs="宋体"/>
          <w:b/>
          <w:bCs/>
          <w:color w:val="auto"/>
          <w:kern w:val="44"/>
          <w:sz w:val="36"/>
          <w:szCs w:val="44"/>
          <w:highlight w:val="none"/>
          <w:lang w:val="en-US" w:eastAsia="zh-CN" w:bidi="ar-SA"/>
        </w:rPr>
        <w:t>第二章　投标须知和投标须知前附表</w:t>
      </w:r>
    </w:p>
    <w:p>
      <w:pPr>
        <w:shd w:val="clear"/>
        <w:spacing w:line="360" w:lineRule="auto"/>
        <w:jc w:val="center"/>
        <w:rPr>
          <w:rFonts w:ascii="宋体" w:hAnsi="宋体" w:cs="宋体"/>
          <w:b/>
          <w:color w:val="auto"/>
          <w:sz w:val="30"/>
          <w:szCs w:val="30"/>
          <w:highlight w:val="none"/>
        </w:rPr>
      </w:pPr>
      <w:r>
        <w:rPr>
          <w:rFonts w:hint="eastAsia" w:ascii="宋体" w:hAnsi="宋体" w:cs="宋体"/>
          <w:b/>
          <w:color w:val="auto"/>
          <w:sz w:val="30"/>
          <w:szCs w:val="30"/>
          <w:highlight w:val="none"/>
        </w:rPr>
        <w:t>投标须知前附表</w:t>
      </w:r>
    </w:p>
    <w:tbl>
      <w:tblPr>
        <w:tblStyle w:val="22"/>
        <w:tblW w:w="102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1"/>
        <w:gridCol w:w="2409"/>
        <w:gridCol w:w="70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801" w:type="dxa"/>
            <w:vAlign w:val="center"/>
          </w:tcPr>
          <w:p>
            <w:pPr>
              <w:shd w:val="clear"/>
              <w:snapToGrid w:val="0"/>
              <w:jc w:val="center"/>
              <w:rPr>
                <w:rFonts w:ascii="宋体" w:hAnsi="宋体" w:cs="宋体"/>
                <w:b/>
                <w:color w:val="auto"/>
                <w:sz w:val="24"/>
                <w:highlight w:val="none"/>
              </w:rPr>
            </w:pPr>
            <w:r>
              <w:rPr>
                <w:rFonts w:hint="eastAsia" w:ascii="宋体" w:hAnsi="宋体" w:cs="宋体"/>
                <w:b/>
                <w:color w:val="auto"/>
                <w:sz w:val="24"/>
                <w:highlight w:val="none"/>
              </w:rPr>
              <w:t>序号</w:t>
            </w:r>
          </w:p>
        </w:tc>
        <w:tc>
          <w:tcPr>
            <w:tcW w:w="9438" w:type="dxa"/>
            <w:gridSpan w:val="2"/>
            <w:vAlign w:val="center"/>
          </w:tcPr>
          <w:p>
            <w:pPr>
              <w:shd w:val="clear"/>
              <w:snapToGrid w:val="0"/>
              <w:jc w:val="center"/>
              <w:rPr>
                <w:rFonts w:ascii="宋体" w:hAnsi="宋体" w:cs="宋体"/>
                <w:b/>
                <w:color w:val="auto"/>
                <w:sz w:val="24"/>
                <w:highlight w:val="none"/>
              </w:rPr>
            </w:pPr>
            <w:r>
              <w:rPr>
                <w:rFonts w:hint="eastAsia" w:ascii="宋体" w:hAnsi="宋体" w:cs="宋体"/>
                <w:b/>
                <w:color w:val="auto"/>
                <w:sz w:val="24"/>
                <w:highlight w:val="none"/>
              </w:rPr>
              <w:t>内容规定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0" w:hRule="atLeast"/>
          <w:jc w:val="center"/>
        </w:trPr>
        <w:tc>
          <w:tcPr>
            <w:tcW w:w="801" w:type="dxa"/>
            <w:vAlign w:val="center"/>
          </w:tcPr>
          <w:p>
            <w:pPr>
              <w:shd w:val="clear"/>
              <w:snapToGrid w:val="0"/>
              <w:ind w:firstLine="240" w:firstLineChars="100"/>
              <w:rPr>
                <w:rFonts w:ascii="宋体" w:hAnsi="宋体" w:cs="宋体"/>
                <w:color w:val="auto"/>
                <w:sz w:val="24"/>
                <w:highlight w:val="none"/>
              </w:rPr>
            </w:pPr>
            <w:r>
              <w:rPr>
                <w:rFonts w:hint="eastAsia" w:ascii="宋体" w:hAnsi="宋体" w:cs="宋体"/>
                <w:color w:val="auto"/>
                <w:sz w:val="24"/>
                <w:highlight w:val="none"/>
              </w:rPr>
              <w:t>1</w:t>
            </w:r>
          </w:p>
        </w:tc>
        <w:tc>
          <w:tcPr>
            <w:tcW w:w="2409" w:type="dxa"/>
            <w:vAlign w:val="center"/>
          </w:tcPr>
          <w:p>
            <w:pPr>
              <w:shd w:val="clear"/>
              <w:snapToGrid w:val="0"/>
              <w:jc w:val="center"/>
              <w:rPr>
                <w:rFonts w:ascii="宋体" w:hAnsi="宋体" w:cs="宋体"/>
                <w:color w:val="auto"/>
                <w:sz w:val="24"/>
                <w:highlight w:val="none"/>
              </w:rPr>
            </w:pPr>
            <w:r>
              <w:rPr>
                <w:rFonts w:hint="eastAsia" w:ascii="宋体" w:hAnsi="宋体" w:cs="宋体"/>
                <w:color w:val="auto"/>
                <w:sz w:val="24"/>
                <w:highlight w:val="none"/>
              </w:rPr>
              <w:t>项目综合</w:t>
            </w:r>
          </w:p>
          <w:p>
            <w:pPr>
              <w:shd w:val="clear"/>
              <w:snapToGrid w:val="0"/>
              <w:jc w:val="center"/>
              <w:rPr>
                <w:rFonts w:ascii="宋体" w:hAnsi="宋体" w:cs="宋体"/>
                <w:color w:val="auto"/>
                <w:sz w:val="24"/>
                <w:highlight w:val="none"/>
              </w:rPr>
            </w:pPr>
            <w:r>
              <w:rPr>
                <w:rFonts w:hint="eastAsia" w:ascii="宋体" w:hAnsi="宋体" w:cs="宋体"/>
                <w:color w:val="auto"/>
                <w:sz w:val="24"/>
                <w:highlight w:val="none"/>
              </w:rPr>
              <w:t>说明</w:t>
            </w:r>
          </w:p>
        </w:tc>
        <w:tc>
          <w:tcPr>
            <w:tcW w:w="7029" w:type="dxa"/>
            <w:vAlign w:val="center"/>
          </w:tcPr>
          <w:p>
            <w:pPr>
              <w:shd w:val="clear"/>
              <w:snapToGrid w:val="0"/>
              <w:spacing w:before="156"/>
              <w:jc w:val="left"/>
              <w:rPr>
                <w:rFonts w:ascii="宋体" w:hAnsi="宋体" w:cs="宋体"/>
                <w:b/>
                <w:bCs/>
                <w:color w:val="auto"/>
                <w:sz w:val="48"/>
                <w:szCs w:val="48"/>
                <w:highlight w:val="none"/>
              </w:rPr>
            </w:pPr>
            <w:r>
              <w:rPr>
                <w:rFonts w:hint="eastAsia" w:ascii="宋体" w:hAnsi="宋体" w:cs="宋体"/>
                <w:b/>
                <w:color w:val="auto"/>
                <w:sz w:val="24"/>
                <w:highlight w:val="none"/>
              </w:rPr>
              <w:t>项目名称</w:t>
            </w:r>
            <w:r>
              <w:rPr>
                <w:rFonts w:hint="eastAsia" w:ascii="宋体" w:hAnsi="宋体" w:cs="宋体"/>
                <w:color w:val="auto"/>
                <w:sz w:val="24"/>
                <w:highlight w:val="none"/>
              </w:rPr>
              <w:t>：义乌市廿三里辖区路灯能源管理服务采购项目</w:t>
            </w:r>
          </w:p>
          <w:p>
            <w:pPr>
              <w:shd w:val="clear"/>
              <w:snapToGrid w:val="0"/>
              <w:spacing w:line="400" w:lineRule="exact"/>
              <w:rPr>
                <w:rFonts w:ascii="宋体" w:hAnsi="宋体" w:cs="宋体"/>
                <w:color w:val="auto"/>
                <w:sz w:val="24"/>
                <w:highlight w:val="none"/>
              </w:rPr>
            </w:pPr>
            <w:r>
              <w:rPr>
                <w:rFonts w:hint="eastAsia" w:ascii="宋体" w:hAnsi="宋体" w:cs="宋体"/>
                <w:b/>
                <w:color w:val="auto"/>
                <w:sz w:val="24"/>
                <w:highlight w:val="none"/>
              </w:rPr>
              <w:t>采购内容及数量:</w:t>
            </w:r>
            <w:r>
              <w:rPr>
                <w:rFonts w:hint="eastAsia" w:ascii="宋体" w:hAnsi="宋体" w:cs="宋体"/>
                <w:color w:val="auto"/>
                <w:sz w:val="24"/>
                <w:highlight w:val="none"/>
              </w:rPr>
              <w:t>廿三里辖区路灯能源管理服务，对廿三里全域高压钠灯具2197套进行LED灯具升级，并对其老旧载体1678盏路灯进行单灯智慧管控，对辖区内25台箱变进行智慧化控制提升，建设具备可远程控制平台，可与区智慧平台</w:t>
            </w:r>
            <w:r>
              <w:rPr>
                <w:rFonts w:hint="eastAsia" w:ascii="宋体" w:hAnsi="宋体" w:cs="宋体"/>
                <w:color w:val="auto"/>
                <w:sz w:val="24"/>
                <w:highlight w:val="none"/>
                <w:lang w:val="en-US" w:eastAsia="zh-CN"/>
              </w:rPr>
              <w:t>了解</w:t>
            </w:r>
            <w:r>
              <w:rPr>
                <w:rFonts w:hint="eastAsia" w:ascii="宋体" w:hAnsi="宋体" w:cs="宋体"/>
                <w:color w:val="auto"/>
                <w:sz w:val="24"/>
                <w:highlight w:val="none"/>
              </w:rPr>
              <w:t>并信息共享。具体内容及要求详见采购文件第三章《采购项目需求》。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51" w:hRule="atLeast"/>
          <w:jc w:val="center"/>
        </w:trPr>
        <w:tc>
          <w:tcPr>
            <w:tcW w:w="801" w:type="dxa"/>
            <w:vAlign w:val="center"/>
          </w:tcPr>
          <w:p>
            <w:pPr>
              <w:shd w:val="clear"/>
              <w:snapToGrid w:val="0"/>
              <w:jc w:val="center"/>
              <w:rPr>
                <w:rFonts w:ascii="宋体" w:hAnsi="宋体" w:cs="宋体"/>
                <w:color w:val="auto"/>
                <w:sz w:val="24"/>
                <w:highlight w:val="none"/>
              </w:rPr>
            </w:pPr>
            <w:r>
              <w:rPr>
                <w:rFonts w:hint="eastAsia" w:ascii="宋体" w:hAnsi="宋体" w:cs="宋体"/>
                <w:color w:val="auto"/>
                <w:sz w:val="24"/>
                <w:highlight w:val="none"/>
              </w:rPr>
              <w:t>2</w:t>
            </w:r>
          </w:p>
        </w:tc>
        <w:tc>
          <w:tcPr>
            <w:tcW w:w="2409" w:type="dxa"/>
            <w:vAlign w:val="center"/>
          </w:tcPr>
          <w:p>
            <w:pPr>
              <w:shd w:val="clear"/>
              <w:snapToGrid w:val="0"/>
              <w:jc w:val="center"/>
              <w:rPr>
                <w:rFonts w:ascii="宋体" w:hAnsi="宋体" w:cs="宋体"/>
                <w:color w:val="auto"/>
                <w:sz w:val="24"/>
                <w:highlight w:val="none"/>
              </w:rPr>
            </w:pPr>
            <w:r>
              <w:rPr>
                <w:rFonts w:hint="eastAsia" w:ascii="宋体" w:hAnsi="宋体" w:cs="宋体"/>
                <w:color w:val="auto"/>
                <w:sz w:val="24"/>
                <w:highlight w:val="none"/>
              </w:rPr>
              <w:t>招标方式</w:t>
            </w:r>
          </w:p>
        </w:tc>
        <w:tc>
          <w:tcPr>
            <w:tcW w:w="7029" w:type="dxa"/>
            <w:vAlign w:val="center"/>
          </w:tcPr>
          <w:p>
            <w:pPr>
              <w:shd w:val="clear"/>
              <w:snapToGrid w:val="0"/>
              <w:rPr>
                <w:rFonts w:ascii="宋体" w:hAnsi="宋体" w:cs="宋体"/>
                <w:color w:val="auto"/>
                <w:sz w:val="24"/>
                <w:highlight w:val="none"/>
              </w:rPr>
            </w:pPr>
            <w:r>
              <w:rPr>
                <w:rFonts w:hint="eastAsia" w:ascii="宋体" w:hAnsi="宋体" w:cs="宋体"/>
                <w:color w:val="auto"/>
                <w:sz w:val="24"/>
                <w:highlight w:val="none"/>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83" w:hRule="atLeast"/>
          <w:jc w:val="center"/>
        </w:trPr>
        <w:tc>
          <w:tcPr>
            <w:tcW w:w="801" w:type="dxa"/>
            <w:vAlign w:val="center"/>
          </w:tcPr>
          <w:p>
            <w:pPr>
              <w:shd w:val="clear"/>
              <w:snapToGrid w:val="0"/>
              <w:jc w:val="center"/>
              <w:rPr>
                <w:rFonts w:ascii="宋体" w:hAnsi="宋体" w:cs="宋体"/>
                <w:color w:val="auto"/>
                <w:sz w:val="24"/>
                <w:highlight w:val="none"/>
              </w:rPr>
            </w:pPr>
            <w:r>
              <w:rPr>
                <w:rFonts w:hint="eastAsia" w:ascii="宋体" w:hAnsi="宋体" w:cs="宋体"/>
                <w:color w:val="auto"/>
                <w:sz w:val="24"/>
                <w:highlight w:val="none"/>
              </w:rPr>
              <w:t>3</w:t>
            </w:r>
          </w:p>
        </w:tc>
        <w:tc>
          <w:tcPr>
            <w:tcW w:w="2409" w:type="dxa"/>
            <w:vAlign w:val="center"/>
          </w:tcPr>
          <w:p>
            <w:pPr>
              <w:shd w:val="clear"/>
              <w:snapToGrid w:val="0"/>
              <w:jc w:val="center"/>
              <w:rPr>
                <w:rFonts w:ascii="宋体" w:hAnsi="宋体" w:cs="宋体"/>
                <w:color w:val="auto"/>
                <w:sz w:val="24"/>
                <w:highlight w:val="none"/>
              </w:rPr>
            </w:pPr>
            <w:r>
              <w:rPr>
                <w:rFonts w:hint="eastAsia" w:ascii="宋体" w:hAnsi="宋体" w:cs="宋体"/>
                <w:color w:val="auto"/>
                <w:sz w:val="24"/>
                <w:highlight w:val="none"/>
              </w:rPr>
              <w:t>投标单位资格要求</w:t>
            </w:r>
          </w:p>
        </w:tc>
        <w:tc>
          <w:tcPr>
            <w:tcW w:w="7029" w:type="dxa"/>
            <w:vAlign w:val="center"/>
          </w:tcPr>
          <w:p>
            <w:pPr>
              <w:shd w:val="clear"/>
              <w:snapToGrid w:val="0"/>
              <w:spacing w:line="240" w:lineRule="exact"/>
              <w:rPr>
                <w:rFonts w:ascii="宋体" w:hAnsi="宋体" w:cs="宋体"/>
                <w:color w:val="auto"/>
                <w:sz w:val="24"/>
                <w:highlight w:val="none"/>
              </w:rPr>
            </w:pPr>
            <w:r>
              <w:rPr>
                <w:rFonts w:hint="eastAsia" w:ascii="宋体" w:hAnsi="宋体" w:cs="宋体"/>
                <w:color w:val="auto"/>
                <w:kern w:val="0"/>
                <w:sz w:val="24"/>
                <w:highlight w:val="none"/>
              </w:rPr>
              <w:t>详见采购公告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jc w:val="center"/>
        </w:trPr>
        <w:tc>
          <w:tcPr>
            <w:tcW w:w="801" w:type="dxa"/>
            <w:vAlign w:val="center"/>
          </w:tcPr>
          <w:p>
            <w:pPr>
              <w:shd w:val="clear"/>
              <w:snapToGrid w:val="0"/>
              <w:jc w:val="center"/>
              <w:rPr>
                <w:rFonts w:ascii="宋体" w:hAnsi="宋体" w:cs="宋体"/>
                <w:color w:val="auto"/>
                <w:sz w:val="24"/>
                <w:highlight w:val="none"/>
              </w:rPr>
            </w:pPr>
            <w:r>
              <w:rPr>
                <w:rFonts w:hint="eastAsia" w:ascii="宋体" w:hAnsi="宋体" w:cs="宋体"/>
                <w:color w:val="auto"/>
                <w:sz w:val="24"/>
                <w:highlight w:val="none"/>
              </w:rPr>
              <w:t>4</w:t>
            </w:r>
          </w:p>
        </w:tc>
        <w:tc>
          <w:tcPr>
            <w:tcW w:w="2409" w:type="dxa"/>
            <w:vAlign w:val="center"/>
          </w:tcPr>
          <w:p>
            <w:pPr>
              <w:shd w:val="clear"/>
              <w:snapToGrid w:val="0"/>
              <w:jc w:val="center"/>
              <w:rPr>
                <w:rFonts w:ascii="宋体" w:hAnsi="宋体" w:cs="宋体"/>
                <w:color w:val="auto"/>
                <w:sz w:val="24"/>
                <w:highlight w:val="none"/>
              </w:rPr>
            </w:pPr>
            <w:r>
              <w:rPr>
                <w:rFonts w:hint="eastAsia" w:ascii="宋体" w:hAnsi="宋体" w:cs="宋体"/>
                <w:color w:val="auto"/>
                <w:sz w:val="24"/>
                <w:highlight w:val="none"/>
              </w:rPr>
              <w:t>服务期限</w:t>
            </w:r>
          </w:p>
        </w:tc>
        <w:tc>
          <w:tcPr>
            <w:tcW w:w="7029" w:type="dxa"/>
            <w:vAlign w:val="center"/>
          </w:tcPr>
          <w:p>
            <w:pPr>
              <w:shd w:val="clear"/>
              <w:snapToGrid w:val="0"/>
              <w:jc w:val="left"/>
              <w:rPr>
                <w:rFonts w:ascii="宋体" w:hAnsi="宋体" w:cs="宋体"/>
                <w:color w:val="auto"/>
                <w:sz w:val="24"/>
                <w:highlight w:val="none"/>
              </w:rPr>
            </w:pPr>
            <w:r>
              <w:rPr>
                <w:rFonts w:hint="eastAsia" w:ascii="宋体" w:hAnsi="宋体" w:cs="宋体"/>
                <w:color w:val="auto"/>
                <w:sz w:val="24"/>
                <w:highlight w:val="none"/>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jc w:val="center"/>
        </w:trPr>
        <w:tc>
          <w:tcPr>
            <w:tcW w:w="801" w:type="dxa"/>
            <w:vAlign w:val="center"/>
          </w:tcPr>
          <w:p>
            <w:pPr>
              <w:shd w:val="clear"/>
              <w:snapToGrid w:val="0"/>
              <w:jc w:val="center"/>
              <w:rPr>
                <w:rFonts w:ascii="宋体" w:hAnsi="宋体" w:cs="宋体"/>
                <w:color w:val="auto"/>
                <w:sz w:val="24"/>
                <w:highlight w:val="none"/>
              </w:rPr>
            </w:pPr>
            <w:r>
              <w:rPr>
                <w:rFonts w:hint="eastAsia" w:ascii="宋体" w:hAnsi="宋体" w:cs="宋体"/>
                <w:color w:val="auto"/>
                <w:sz w:val="24"/>
                <w:highlight w:val="none"/>
              </w:rPr>
              <w:t>5</w:t>
            </w:r>
          </w:p>
        </w:tc>
        <w:tc>
          <w:tcPr>
            <w:tcW w:w="2409" w:type="dxa"/>
            <w:vAlign w:val="center"/>
          </w:tcPr>
          <w:p>
            <w:pPr>
              <w:shd w:val="clear"/>
              <w:snapToGrid w:val="0"/>
              <w:jc w:val="center"/>
              <w:rPr>
                <w:rFonts w:ascii="宋体" w:hAnsi="宋体" w:cs="宋体"/>
                <w:color w:val="auto"/>
                <w:sz w:val="24"/>
                <w:highlight w:val="none"/>
              </w:rPr>
            </w:pPr>
            <w:r>
              <w:rPr>
                <w:rFonts w:hint="eastAsia" w:ascii="宋体" w:hAnsi="宋体" w:cs="宋体"/>
                <w:color w:val="auto"/>
                <w:sz w:val="24"/>
                <w:highlight w:val="none"/>
              </w:rPr>
              <w:t>采购文件发售时间和地点</w:t>
            </w:r>
          </w:p>
        </w:tc>
        <w:tc>
          <w:tcPr>
            <w:tcW w:w="7029" w:type="dxa"/>
            <w:vAlign w:val="center"/>
          </w:tcPr>
          <w:p>
            <w:pPr>
              <w:shd w:val="clear"/>
              <w:snapToGrid w:val="0"/>
              <w:rPr>
                <w:rFonts w:ascii="宋体" w:hAnsi="宋体" w:cs="宋体"/>
                <w:color w:val="auto"/>
                <w:sz w:val="24"/>
                <w:highlight w:val="none"/>
              </w:rPr>
            </w:pPr>
            <w:r>
              <w:rPr>
                <w:rFonts w:hint="eastAsia" w:ascii="宋体" w:hAnsi="宋体" w:cs="宋体"/>
                <w:color w:val="auto"/>
                <w:sz w:val="24"/>
                <w:highlight w:val="none"/>
              </w:rPr>
              <w:t>详见采购公告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4" w:hRule="atLeast"/>
          <w:jc w:val="center"/>
        </w:trPr>
        <w:tc>
          <w:tcPr>
            <w:tcW w:w="801" w:type="dxa"/>
            <w:vAlign w:val="center"/>
          </w:tcPr>
          <w:p>
            <w:pPr>
              <w:shd w:val="clear"/>
              <w:snapToGrid w:val="0"/>
              <w:jc w:val="center"/>
              <w:rPr>
                <w:rFonts w:ascii="宋体" w:hAnsi="宋体" w:cs="宋体"/>
                <w:color w:val="auto"/>
                <w:sz w:val="24"/>
                <w:highlight w:val="none"/>
              </w:rPr>
            </w:pPr>
            <w:r>
              <w:rPr>
                <w:rFonts w:hint="eastAsia" w:ascii="宋体" w:hAnsi="宋体" w:cs="宋体"/>
                <w:color w:val="auto"/>
                <w:sz w:val="24"/>
                <w:highlight w:val="none"/>
              </w:rPr>
              <w:t>6</w:t>
            </w:r>
          </w:p>
        </w:tc>
        <w:tc>
          <w:tcPr>
            <w:tcW w:w="2409" w:type="dxa"/>
            <w:vAlign w:val="center"/>
          </w:tcPr>
          <w:p>
            <w:pPr>
              <w:shd w:val="clear"/>
              <w:snapToGrid w:val="0"/>
              <w:jc w:val="center"/>
              <w:rPr>
                <w:rFonts w:ascii="宋体" w:hAnsi="宋体" w:cs="宋体"/>
                <w:color w:val="auto"/>
                <w:sz w:val="24"/>
                <w:highlight w:val="none"/>
              </w:rPr>
            </w:pPr>
            <w:r>
              <w:rPr>
                <w:rFonts w:hint="eastAsia" w:ascii="宋体" w:hAnsi="宋体" w:cs="宋体"/>
                <w:color w:val="auto"/>
                <w:sz w:val="24"/>
                <w:highlight w:val="none"/>
              </w:rPr>
              <w:t>现场踏勘时间</w:t>
            </w:r>
          </w:p>
        </w:tc>
        <w:tc>
          <w:tcPr>
            <w:tcW w:w="7029" w:type="dxa"/>
            <w:vAlign w:val="center"/>
          </w:tcPr>
          <w:p>
            <w:pPr>
              <w:shd w:val="clear"/>
              <w:snapToGrid w:val="0"/>
              <w:rPr>
                <w:rFonts w:ascii="宋体" w:hAnsi="宋体" w:cs="宋体"/>
                <w:color w:val="auto"/>
                <w:sz w:val="24"/>
                <w:highlight w:val="none"/>
              </w:rPr>
            </w:pPr>
            <w:r>
              <w:rPr>
                <w:rFonts w:hint="eastAsia" w:ascii="宋体" w:hAnsi="宋体" w:cs="宋体"/>
                <w:b/>
                <w:bCs/>
                <w:color w:val="auto"/>
                <w:sz w:val="24"/>
                <w:highlight w:val="none"/>
              </w:rPr>
              <w:t>投标前，投标人</w:t>
            </w:r>
            <w:r>
              <w:rPr>
                <w:rFonts w:hint="eastAsia" w:ascii="宋体" w:hAnsi="宋体" w:cs="宋体"/>
                <w:b/>
                <w:bCs/>
                <w:color w:val="auto"/>
                <w:sz w:val="24"/>
                <w:highlight w:val="none"/>
                <w:lang w:val="en-US" w:eastAsia="zh-CN"/>
              </w:rPr>
              <w:t>可</w:t>
            </w:r>
            <w:r>
              <w:rPr>
                <w:rFonts w:hint="eastAsia" w:ascii="宋体" w:hAnsi="宋体" w:cs="宋体"/>
                <w:b/>
                <w:bCs/>
                <w:color w:val="auto"/>
                <w:sz w:val="24"/>
                <w:highlight w:val="none"/>
              </w:rPr>
              <w:t>自行到项目所在地予以踏勘，对项目实施现场及周边环境等进行勘察，以获取编制投标文件和签署合同所需的所有资料，否则，由此所造成的一切后果由投标人自行承担。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3" w:hRule="atLeast"/>
          <w:jc w:val="center"/>
        </w:trPr>
        <w:tc>
          <w:tcPr>
            <w:tcW w:w="801" w:type="dxa"/>
            <w:vAlign w:val="center"/>
          </w:tcPr>
          <w:p>
            <w:pPr>
              <w:shd w:val="clear"/>
              <w:snapToGrid w:val="0"/>
              <w:jc w:val="center"/>
              <w:rPr>
                <w:rFonts w:ascii="宋体" w:hAnsi="宋体" w:cs="宋体"/>
                <w:color w:val="auto"/>
                <w:sz w:val="24"/>
                <w:highlight w:val="none"/>
              </w:rPr>
            </w:pPr>
            <w:r>
              <w:rPr>
                <w:rFonts w:hint="eastAsia" w:ascii="宋体" w:hAnsi="宋体" w:cs="宋体"/>
                <w:color w:val="auto"/>
                <w:sz w:val="24"/>
                <w:highlight w:val="none"/>
              </w:rPr>
              <w:t>7</w:t>
            </w:r>
          </w:p>
        </w:tc>
        <w:tc>
          <w:tcPr>
            <w:tcW w:w="2409" w:type="dxa"/>
            <w:vAlign w:val="center"/>
          </w:tcPr>
          <w:p>
            <w:pPr>
              <w:shd w:val="clear"/>
              <w:snapToGrid w:val="0"/>
              <w:jc w:val="center"/>
              <w:rPr>
                <w:rFonts w:ascii="宋体" w:hAnsi="宋体" w:cs="宋体"/>
                <w:color w:val="auto"/>
                <w:sz w:val="24"/>
                <w:highlight w:val="none"/>
              </w:rPr>
            </w:pPr>
            <w:r>
              <w:rPr>
                <w:rFonts w:hint="eastAsia" w:ascii="宋体" w:hAnsi="宋体" w:cs="宋体"/>
                <w:color w:val="auto"/>
                <w:sz w:val="24"/>
                <w:highlight w:val="none"/>
              </w:rPr>
              <w:t>招标答疑截止时间</w:t>
            </w:r>
          </w:p>
        </w:tc>
        <w:tc>
          <w:tcPr>
            <w:tcW w:w="7029" w:type="dxa"/>
            <w:vAlign w:val="center"/>
          </w:tcPr>
          <w:p>
            <w:pPr>
              <w:shd w:val="clear"/>
              <w:snapToGrid w:val="0"/>
              <w:rPr>
                <w:rFonts w:ascii="宋体" w:hAnsi="宋体" w:cs="宋体"/>
                <w:color w:val="auto"/>
                <w:sz w:val="24"/>
                <w:highlight w:val="none"/>
              </w:rPr>
            </w:pPr>
            <w:r>
              <w:rPr>
                <w:rFonts w:hint="eastAsia" w:ascii="宋体" w:hAnsi="宋体" w:cs="宋体"/>
                <w:color w:val="auto"/>
                <w:sz w:val="24"/>
                <w:highlight w:val="none"/>
              </w:rPr>
              <w:t>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38" w:hRule="atLeast"/>
          <w:jc w:val="center"/>
        </w:trPr>
        <w:tc>
          <w:tcPr>
            <w:tcW w:w="801" w:type="dxa"/>
            <w:vAlign w:val="center"/>
          </w:tcPr>
          <w:p>
            <w:pPr>
              <w:shd w:val="clear"/>
              <w:snapToGrid w:val="0"/>
              <w:jc w:val="center"/>
              <w:rPr>
                <w:rFonts w:ascii="宋体" w:hAnsi="宋体" w:cs="宋体"/>
                <w:color w:val="auto"/>
                <w:sz w:val="24"/>
                <w:highlight w:val="none"/>
              </w:rPr>
            </w:pPr>
            <w:r>
              <w:rPr>
                <w:rFonts w:hint="eastAsia" w:ascii="宋体" w:hAnsi="宋体" w:cs="宋体"/>
                <w:color w:val="auto"/>
                <w:sz w:val="24"/>
                <w:highlight w:val="none"/>
              </w:rPr>
              <w:t>8</w:t>
            </w:r>
          </w:p>
        </w:tc>
        <w:tc>
          <w:tcPr>
            <w:tcW w:w="2409" w:type="dxa"/>
            <w:vAlign w:val="center"/>
          </w:tcPr>
          <w:p>
            <w:pPr>
              <w:shd w:val="clear"/>
              <w:snapToGrid w:val="0"/>
              <w:jc w:val="center"/>
              <w:rPr>
                <w:rFonts w:ascii="宋体" w:hAnsi="宋体" w:cs="宋体"/>
                <w:color w:val="auto"/>
                <w:sz w:val="24"/>
                <w:highlight w:val="none"/>
              </w:rPr>
            </w:pPr>
            <w:r>
              <w:rPr>
                <w:rFonts w:hint="eastAsia" w:ascii="宋体" w:hAnsi="宋体" w:cs="宋体"/>
                <w:color w:val="auto"/>
                <w:sz w:val="24"/>
                <w:highlight w:val="none"/>
              </w:rPr>
              <w:t>投标有效期</w:t>
            </w:r>
          </w:p>
        </w:tc>
        <w:tc>
          <w:tcPr>
            <w:tcW w:w="7029" w:type="dxa"/>
            <w:vAlign w:val="center"/>
          </w:tcPr>
          <w:p>
            <w:pPr>
              <w:shd w:val="clear"/>
              <w:snapToGrid w:val="0"/>
              <w:rPr>
                <w:rFonts w:ascii="宋体" w:hAnsi="宋体" w:cs="宋体"/>
                <w:color w:val="auto"/>
                <w:sz w:val="24"/>
                <w:highlight w:val="none"/>
              </w:rPr>
            </w:pPr>
            <w:r>
              <w:rPr>
                <w:rFonts w:hint="eastAsia" w:ascii="宋体" w:hAnsi="宋体" w:cs="宋体"/>
                <w:color w:val="auto"/>
                <w:sz w:val="24"/>
                <w:highlight w:val="none"/>
              </w:rPr>
              <w:t>自开标之日起60天（日历天）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12" w:hRule="atLeast"/>
          <w:jc w:val="center"/>
        </w:trPr>
        <w:tc>
          <w:tcPr>
            <w:tcW w:w="801" w:type="dxa"/>
            <w:vAlign w:val="center"/>
          </w:tcPr>
          <w:p>
            <w:pPr>
              <w:shd w:val="clear"/>
              <w:snapToGrid w:val="0"/>
              <w:jc w:val="center"/>
              <w:rPr>
                <w:rFonts w:ascii="宋体" w:hAnsi="宋体" w:cs="宋体"/>
                <w:color w:val="auto"/>
                <w:sz w:val="24"/>
                <w:highlight w:val="none"/>
              </w:rPr>
            </w:pPr>
            <w:r>
              <w:rPr>
                <w:rFonts w:hint="eastAsia" w:ascii="宋体" w:hAnsi="宋体" w:cs="宋体"/>
                <w:color w:val="auto"/>
                <w:sz w:val="24"/>
                <w:highlight w:val="none"/>
              </w:rPr>
              <w:t>9</w:t>
            </w:r>
          </w:p>
        </w:tc>
        <w:tc>
          <w:tcPr>
            <w:tcW w:w="2409" w:type="dxa"/>
            <w:vAlign w:val="center"/>
          </w:tcPr>
          <w:p>
            <w:pPr>
              <w:shd w:val="clear"/>
              <w:snapToGrid w:val="0"/>
              <w:jc w:val="center"/>
              <w:rPr>
                <w:rFonts w:ascii="宋体" w:hAnsi="宋体" w:cs="宋体"/>
                <w:color w:val="auto"/>
                <w:sz w:val="24"/>
                <w:highlight w:val="none"/>
              </w:rPr>
            </w:pPr>
            <w:r>
              <w:rPr>
                <w:rFonts w:hint="eastAsia" w:ascii="宋体" w:hAnsi="宋体" w:cs="宋体"/>
                <w:color w:val="auto"/>
                <w:sz w:val="24"/>
                <w:highlight w:val="none"/>
              </w:rPr>
              <w:t>投标文件递交地点</w:t>
            </w:r>
          </w:p>
        </w:tc>
        <w:tc>
          <w:tcPr>
            <w:tcW w:w="7029" w:type="dxa"/>
            <w:vAlign w:val="center"/>
          </w:tcPr>
          <w:p>
            <w:pPr>
              <w:shd w:val="clear"/>
              <w:snapToGrid w:val="0"/>
              <w:rPr>
                <w:rFonts w:ascii="宋体" w:hAnsi="宋体" w:cs="宋体"/>
                <w:color w:val="auto"/>
                <w:sz w:val="24"/>
                <w:highlight w:val="none"/>
              </w:rPr>
            </w:pPr>
            <w:r>
              <w:rPr>
                <w:rFonts w:hint="eastAsia" w:ascii="宋体" w:hAnsi="宋体" w:cs="宋体"/>
                <w:color w:val="auto"/>
                <w:sz w:val="24"/>
                <w:highlight w:val="none"/>
              </w:rPr>
              <w:t>登录浙江政府采购网“政采云”平台上上传电子投标文件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20" w:hRule="atLeast"/>
          <w:jc w:val="center"/>
        </w:trPr>
        <w:tc>
          <w:tcPr>
            <w:tcW w:w="801" w:type="dxa"/>
            <w:vAlign w:val="center"/>
          </w:tcPr>
          <w:p>
            <w:pPr>
              <w:shd w:val="clear"/>
              <w:snapToGrid w:val="0"/>
              <w:jc w:val="center"/>
              <w:rPr>
                <w:rFonts w:ascii="宋体" w:hAnsi="宋体" w:cs="宋体"/>
                <w:color w:val="auto"/>
                <w:sz w:val="24"/>
                <w:highlight w:val="none"/>
              </w:rPr>
            </w:pPr>
            <w:r>
              <w:rPr>
                <w:rFonts w:hint="eastAsia" w:ascii="宋体" w:hAnsi="宋体" w:cs="宋体"/>
                <w:color w:val="auto"/>
                <w:sz w:val="24"/>
                <w:highlight w:val="none"/>
              </w:rPr>
              <w:t>10</w:t>
            </w:r>
          </w:p>
        </w:tc>
        <w:tc>
          <w:tcPr>
            <w:tcW w:w="2409" w:type="dxa"/>
            <w:vAlign w:val="center"/>
          </w:tcPr>
          <w:p>
            <w:pPr>
              <w:shd w:val="clear"/>
              <w:snapToGrid w:val="0"/>
              <w:jc w:val="center"/>
              <w:rPr>
                <w:rFonts w:ascii="宋体" w:hAnsi="宋体" w:cs="宋体"/>
                <w:color w:val="auto"/>
                <w:sz w:val="24"/>
                <w:highlight w:val="none"/>
              </w:rPr>
            </w:pPr>
            <w:r>
              <w:rPr>
                <w:rFonts w:hint="eastAsia" w:ascii="宋体" w:hAnsi="宋体" w:cs="宋体"/>
                <w:color w:val="auto"/>
                <w:sz w:val="24"/>
                <w:highlight w:val="none"/>
              </w:rPr>
              <w:t>上传电子投标文件时间</w:t>
            </w:r>
          </w:p>
        </w:tc>
        <w:tc>
          <w:tcPr>
            <w:tcW w:w="7029" w:type="dxa"/>
            <w:vAlign w:val="center"/>
          </w:tcPr>
          <w:p>
            <w:pPr>
              <w:pStyle w:val="13"/>
              <w:shd w:val="clear"/>
              <w:snapToGrid w:val="0"/>
              <w:spacing w:line="460" w:lineRule="exact"/>
              <w:rPr>
                <w:rFonts w:hAnsi="宋体" w:cs="宋体"/>
                <w:b/>
                <w:bCs/>
                <w:color w:val="auto"/>
                <w:sz w:val="24"/>
                <w:szCs w:val="24"/>
                <w:highlight w:val="none"/>
              </w:rPr>
            </w:pPr>
            <w:r>
              <w:rPr>
                <w:rFonts w:hint="eastAsia" w:hAnsi="宋体" w:cs="宋体"/>
                <w:color w:val="auto"/>
                <w:sz w:val="24"/>
                <w:highlight w:val="none"/>
              </w:rPr>
              <w:t>投标人应于2022年</w:t>
            </w:r>
            <w:r>
              <w:rPr>
                <w:rFonts w:hint="eastAsia" w:hAnsi="宋体" w:cs="宋体"/>
                <w:color w:val="auto"/>
                <w:sz w:val="24"/>
                <w:highlight w:val="none"/>
                <w:lang w:val="en-US" w:eastAsia="zh-CN"/>
              </w:rPr>
              <w:t>11</w:t>
            </w:r>
            <w:r>
              <w:rPr>
                <w:rFonts w:hint="eastAsia" w:hAnsi="宋体" w:cs="宋体"/>
                <w:color w:val="auto"/>
                <w:sz w:val="24"/>
                <w:highlight w:val="none"/>
              </w:rPr>
              <w:t>月</w:t>
            </w:r>
            <w:r>
              <w:rPr>
                <w:rFonts w:hint="eastAsia" w:hAnsi="宋体" w:cs="宋体"/>
                <w:color w:val="auto"/>
                <w:sz w:val="24"/>
                <w:highlight w:val="none"/>
                <w:lang w:val="en-US" w:eastAsia="zh-CN"/>
              </w:rPr>
              <w:t>24</w:t>
            </w:r>
            <w:r>
              <w:rPr>
                <w:rFonts w:hint="eastAsia" w:hAnsi="宋体" w:cs="宋体"/>
                <w:color w:val="auto"/>
                <w:sz w:val="24"/>
                <w:highlight w:val="none"/>
              </w:rPr>
              <w:t>日</w:t>
            </w:r>
            <w:r>
              <w:rPr>
                <w:rFonts w:hint="eastAsia" w:hAnsi="宋体" w:cs="宋体"/>
                <w:color w:val="auto"/>
                <w:sz w:val="24"/>
                <w:highlight w:val="none"/>
                <w:lang w:val="en-US" w:eastAsia="zh-CN"/>
              </w:rPr>
              <w:t>9</w:t>
            </w:r>
            <w:r>
              <w:rPr>
                <w:rFonts w:hint="eastAsia" w:hAnsi="宋体" w:cs="宋体"/>
                <w:color w:val="auto"/>
                <w:sz w:val="24"/>
                <w:highlight w:val="none"/>
              </w:rPr>
              <w:t>:</w:t>
            </w:r>
            <w:r>
              <w:rPr>
                <w:rFonts w:hint="eastAsia" w:hAnsi="宋体" w:cs="宋体"/>
                <w:color w:val="auto"/>
                <w:sz w:val="24"/>
                <w:highlight w:val="none"/>
                <w:lang w:val="en-US" w:eastAsia="zh-CN"/>
              </w:rPr>
              <w:t>30</w:t>
            </w:r>
            <w:r>
              <w:rPr>
                <w:rFonts w:hint="eastAsia" w:hAnsi="宋体" w:cs="宋体"/>
                <w:color w:val="auto"/>
                <w:sz w:val="24"/>
                <w:highlight w:val="none"/>
              </w:rPr>
              <w:t>前在“政采云”上自行加密上传电子投标文件，逾期上传或未按要求上传的投标文件将予以拒收。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801" w:type="dxa"/>
            <w:vAlign w:val="center"/>
          </w:tcPr>
          <w:p>
            <w:pPr>
              <w:shd w:val="clear"/>
              <w:snapToGrid w:val="0"/>
              <w:jc w:val="center"/>
              <w:rPr>
                <w:rFonts w:ascii="宋体" w:hAnsi="宋体" w:cs="宋体"/>
                <w:color w:val="auto"/>
                <w:sz w:val="24"/>
                <w:highlight w:val="none"/>
              </w:rPr>
            </w:pPr>
            <w:r>
              <w:rPr>
                <w:rFonts w:hint="eastAsia" w:ascii="宋体" w:hAnsi="宋体" w:cs="宋体"/>
                <w:color w:val="auto"/>
                <w:sz w:val="24"/>
                <w:highlight w:val="none"/>
              </w:rPr>
              <w:t>11</w:t>
            </w:r>
          </w:p>
        </w:tc>
        <w:tc>
          <w:tcPr>
            <w:tcW w:w="2409" w:type="dxa"/>
            <w:vAlign w:val="center"/>
          </w:tcPr>
          <w:p>
            <w:pPr>
              <w:shd w:val="clear"/>
              <w:snapToGrid w:val="0"/>
              <w:jc w:val="center"/>
              <w:rPr>
                <w:rFonts w:ascii="宋体" w:hAnsi="宋体" w:cs="宋体"/>
                <w:color w:val="auto"/>
                <w:sz w:val="24"/>
                <w:highlight w:val="none"/>
              </w:rPr>
            </w:pPr>
            <w:r>
              <w:rPr>
                <w:rFonts w:hint="eastAsia" w:ascii="宋体" w:hAnsi="宋体" w:cs="宋体"/>
                <w:color w:val="auto"/>
                <w:sz w:val="24"/>
                <w:highlight w:val="none"/>
              </w:rPr>
              <w:t>投标保证金</w:t>
            </w:r>
          </w:p>
        </w:tc>
        <w:tc>
          <w:tcPr>
            <w:tcW w:w="7029" w:type="dxa"/>
            <w:vAlign w:val="center"/>
          </w:tcPr>
          <w:p>
            <w:pPr>
              <w:shd w:val="clear"/>
              <w:snapToGrid w:val="0"/>
              <w:spacing w:line="360" w:lineRule="exact"/>
              <w:rPr>
                <w:rFonts w:ascii="宋体" w:hAnsi="宋体" w:cs="宋体"/>
                <w:color w:val="auto"/>
                <w:sz w:val="24"/>
                <w:highlight w:val="none"/>
              </w:rPr>
            </w:pPr>
            <w:r>
              <w:rPr>
                <w:rFonts w:hint="eastAsia" w:ascii="宋体" w:hAnsi="宋体" w:cs="宋体"/>
                <w:b/>
                <w:color w:val="auto"/>
                <w:sz w:val="24"/>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jc w:val="center"/>
        </w:trPr>
        <w:tc>
          <w:tcPr>
            <w:tcW w:w="801" w:type="dxa"/>
            <w:vAlign w:val="center"/>
          </w:tcPr>
          <w:p>
            <w:pPr>
              <w:shd w:val="clear"/>
              <w:snapToGrid w:val="0"/>
              <w:jc w:val="center"/>
              <w:rPr>
                <w:rFonts w:ascii="宋体" w:hAnsi="宋体" w:cs="宋体"/>
                <w:color w:val="auto"/>
                <w:sz w:val="24"/>
                <w:highlight w:val="none"/>
              </w:rPr>
            </w:pPr>
            <w:r>
              <w:rPr>
                <w:rFonts w:hint="eastAsia" w:ascii="宋体" w:hAnsi="宋体" w:cs="宋体"/>
                <w:color w:val="auto"/>
                <w:sz w:val="24"/>
                <w:highlight w:val="none"/>
              </w:rPr>
              <w:t>12</w:t>
            </w:r>
          </w:p>
        </w:tc>
        <w:tc>
          <w:tcPr>
            <w:tcW w:w="2409" w:type="dxa"/>
            <w:vAlign w:val="center"/>
          </w:tcPr>
          <w:p>
            <w:pPr>
              <w:shd w:val="clear"/>
              <w:snapToGrid w:val="0"/>
              <w:jc w:val="center"/>
              <w:rPr>
                <w:rFonts w:ascii="宋体" w:hAnsi="宋体" w:cs="宋体"/>
                <w:color w:val="auto"/>
                <w:sz w:val="24"/>
                <w:highlight w:val="none"/>
              </w:rPr>
            </w:pPr>
            <w:r>
              <w:rPr>
                <w:rFonts w:hint="eastAsia" w:ascii="宋体" w:hAnsi="宋体" w:cs="宋体"/>
                <w:color w:val="auto"/>
                <w:sz w:val="24"/>
                <w:highlight w:val="none"/>
              </w:rPr>
              <w:t>开标时间</w:t>
            </w:r>
          </w:p>
        </w:tc>
        <w:tc>
          <w:tcPr>
            <w:tcW w:w="7029" w:type="dxa"/>
            <w:vAlign w:val="center"/>
          </w:tcPr>
          <w:p>
            <w:pPr>
              <w:shd w:val="clear"/>
              <w:snapToGrid w:val="0"/>
              <w:rPr>
                <w:rFonts w:ascii="宋体" w:hAnsi="宋体" w:cs="宋体"/>
                <w:color w:val="auto"/>
                <w:sz w:val="24"/>
                <w:highlight w:val="none"/>
              </w:rPr>
            </w:pPr>
            <w:r>
              <w:rPr>
                <w:rFonts w:hint="eastAsia" w:ascii="宋体" w:hAnsi="宋体" w:cs="宋体"/>
                <w:color w:val="auto"/>
                <w:sz w:val="24"/>
                <w:highlight w:val="none"/>
              </w:rPr>
              <w:t>开标时间：2022年</w:t>
            </w:r>
            <w:r>
              <w:rPr>
                <w:rFonts w:hint="eastAsia" w:ascii="宋体" w:hAnsi="宋体" w:cs="宋体"/>
                <w:color w:val="auto"/>
                <w:sz w:val="24"/>
                <w:highlight w:val="none"/>
                <w:lang w:val="en-US" w:eastAsia="zh-CN"/>
              </w:rPr>
              <w:t>11</w:t>
            </w:r>
            <w:r>
              <w:rPr>
                <w:rFonts w:hint="eastAsia" w:ascii="宋体" w:hAnsi="宋体" w:cs="宋体"/>
                <w:color w:val="auto"/>
                <w:sz w:val="24"/>
                <w:highlight w:val="none"/>
              </w:rPr>
              <w:t>月</w:t>
            </w:r>
            <w:r>
              <w:rPr>
                <w:rFonts w:hint="eastAsia" w:ascii="宋体" w:hAnsi="宋体" w:cs="宋体"/>
                <w:color w:val="auto"/>
                <w:sz w:val="24"/>
                <w:highlight w:val="none"/>
                <w:lang w:val="en-US" w:eastAsia="zh-CN"/>
              </w:rPr>
              <w:t>24</w:t>
            </w:r>
            <w:r>
              <w:rPr>
                <w:rFonts w:hint="eastAsia" w:ascii="宋体" w:hAnsi="宋体" w:cs="宋体"/>
                <w:color w:val="auto"/>
                <w:sz w:val="24"/>
                <w:highlight w:val="none"/>
              </w:rPr>
              <w:t>日</w:t>
            </w:r>
            <w:r>
              <w:rPr>
                <w:rFonts w:hint="eastAsia" w:ascii="宋体" w:hAnsi="宋体" w:cs="宋体"/>
                <w:color w:val="auto"/>
                <w:sz w:val="24"/>
                <w:highlight w:val="none"/>
                <w:lang w:val="en-US" w:eastAsia="zh-CN"/>
              </w:rPr>
              <w:t>9</w:t>
            </w:r>
            <w:r>
              <w:rPr>
                <w:rFonts w:hint="eastAsia" w:ascii="宋体" w:hAnsi="宋体" w:cs="宋体"/>
                <w:color w:val="auto"/>
                <w:sz w:val="24"/>
                <w:highlight w:val="none"/>
              </w:rPr>
              <w:t>时</w:t>
            </w:r>
            <w:r>
              <w:rPr>
                <w:rFonts w:hint="eastAsia" w:ascii="宋体" w:hAnsi="宋体" w:cs="宋体"/>
                <w:color w:val="auto"/>
                <w:sz w:val="24"/>
                <w:highlight w:val="none"/>
                <w:lang w:val="en-US" w:eastAsia="zh-CN"/>
              </w:rPr>
              <w:t>30</w:t>
            </w:r>
            <w:r>
              <w:rPr>
                <w:rFonts w:hint="eastAsia" w:ascii="宋体" w:hAnsi="宋体" w:cs="宋体"/>
                <w:color w:val="auto"/>
                <w:sz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jc w:val="center"/>
        </w:trPr>
        <w:tc>
          <w:tcPr>
            <w:tcW w:w="801" w:type="dxa"/>
            <w:vAlign w:val="center"/>
          </w:tcPr>
          <w:p>
            <w:pPr>
              <w:shd w:val="clear"/>
              <w:snapToGrid w:val="0"/>
              <w:jc w:val="center"/>
              <w:rPr>
                <w:rFonts w:ascii="宋体" w:hAnsi="宋体" w:cs="宋体"/>
                <w:color w:val="auto"/>
                <w:sz w:val="24"/>
                <w:highlight w:val="none"/>
              </w:rPr>
            </w:pPr>
            <w:r>
              <w:rPr>
                <w:rFonts w:hint="eastAsia" w:ascii="宋体" w:hAnsi="宋体" w:cs="宋体"/>
                <w:color w:val="auto"/>
                <w:sz w:val="24"/>
                <w:highlight w:val="none"/>
              </w:rPr>
              <w:t>13</w:t>
            </w:r>
          </w:p>
        </w:tc>
        <w:tc>
          <w:tcPr>
            <w:tcW w:w="2409" w:type="dxa"/>
            <w:vAlign w:val="center"/>
          </w:tcPr>
          <w:p>
            <w:pPr>
              <w:shd w:val="clear"/>
              <w:snapToGrid w:val="0"/>
              <w:jc w:val="center"/>
              <w:rPr>
                <w:rFonts w:ascii="宋体" w:hAnsi="宋体" w:cs="宋体"/>
                <w:color w:val="auto"/>
                <w:sz w:val="24"/>
                <w:highlight w:val="none"/>
              </w:rPr>
            </w:pPr>
            <w:r>
              <w:rPr>
                <w:rFonts w:hint="eastAsia" w:ascii="宋体" w:hAnsi="宋体" w:cs="宋体"/>
                <w:color w:val="auto"/>
                <w:sz w:val="24"/>
                <w:highlight w:val="none"/>
              </w:rPr>
              <w:t>开标地点</w:t>
            </w:r>
          </w:p>
        </w:tc>
        <w:tc>
          <w:tcPr>
            <w:tcW w:w="7029" w:type="dxa"/>
            <w:vAlign w:val="center"/>
          </w:tcPr>
          <w:p>
            <w:pPr>
              <w:shd w:val="clear"/>
              <w:snapToGrid w:val="0"/>
              <w:rPr>
                <w:rFonts w:ascii="宋体" w:hAnsi="宋体" w:cs="宋体"/>
                <w:b/>
                <w:bCs/>
                <w:color w:val="auto"/>
                <w:sz w:val="24"/>
                <w:highlight w:val="none"/>
              </w:rPr>
            </w:pPr>
            <w:r>
              <w:rPr>
                <w:rFonts w:hint="eastAsia" w:ascii="宋体" w:hAnsi="宋体" w:cs="宋体"/>
                <w:b/>
                <w:bCs/>
                <w:color w:val="auto"/>
                <w:sz w:val="24"/>
                <w:highlight w:val="none"/>
              </w:rPr>
              <w:t>开标地点：义乌市望道路300号义乌市行政服务中心大楼4楼电子开标室</w:t>
            </w:r>
          </w:p>
          <w:p>
            <w:pPr>
              <w:shd w:val="clear"/>
              <w:snapToGrid w:val="0"/>
              <w:rPr>
                <w:rFonts w:ascii="宋体" w:hAnsi="宋体" w:cs="宋体"/>
                <w:color w:val="auto"/>
                <w:sz w:val="24"/>
                <w:highlight w:val="none"/>
              </w:rPr>
            </w:pPr>
            <w:r>
              <w:rPr>
                <w:rFonts w:hint="eastAsia" w:ascii="宋体" w:hAnsi="宋体" w:cs="宋体"/>
                <w:color w:val="auto"/>
                <w:sz w:val="24"/>
                <w:highlight w:val="none"/>
              </w:rPr>
              <w:t>开标时间后1小时内（2022年</w:t>
            </w:r>
            <w:r>
              <w:rPr>
                <w:rFonts w:hint="eastAsia" w:ascii="宋体" w:hAnsi="宋体" w:cs="宋体"/>
                <w:color w:val="auto"/>
                <w:sz w:val="24"/>
                <w:highlight w:val="none"/>
                <w:lang w:val="en-US" w:eastAsia="zh-CN"/>
              </w:rPr>
              <w:t>11</w:t>
            </w:r>
            <w:r>
              <w:rPr>
                <w:rFonts w:hint="eastAsia" w:ascii="宋体" w:hAnsi="宋体" w:cs="宋体"/>
                <w:color w:val="auto"/>
                <w:sz w:val="24"/>
                <w:highlight w:val="none"/>
              </w:rPr>
              <w:t>月</w:t>
            </w:r>
            <w:r>
              <w:rPr>
                <w:rFonts w:hint="eastAsia" w:ascii="宋体" w:hAnsi="宋体" w:cs="宋体"/>
                <w:color w:val="auto"/>
                <w:sz w:val="24"/>
                <w:highlight w:val="none"/>
                <w:lang w:val="en-US" w:eastAsia="zh-CN"/>
              </w:rPr>
              <w:t>24</w:t>
            </w:r>
            <w:r>
              <w:rPr>
                <w:rFonts w:hint="eastAsia" w:ascii="宋体" w:hAnsi="宋体" w:cs="宋体"/>
                <w:color w:val="auto"/>
                <w:sz w:val="24"/>
                <w:highlight w:val="none"/>
              </w:rPr>
              <w:t>日</w:t>
            </w:r>
            <w:r>
              <w:rPr>
                <w:rFonts w:hint="eastAsia" w:ascii="宋体" w:hAnsi="宋体" w:cs="宋体"/>
                <w:color w:val="auto"/>
                <w:sz w:val="24"/>
                <w:highlight w:val="none"/>
                <w:lang w:val="en-US" w:eastAsia="zh-CN"/>
              </w:rPr>
              <w:t>10</w:t>
            </w:r>
            <w:r>
              <w:rPr>
                <w:rFonts w:hint="eastAsia" w:ascii="宋体" w:hAnsi="宋体" w:cs="宋体"/>
                <w:color w:val="auto"/>
                <w:sz w:val="24"/>
                <w:highlight w:val="none"/>
              </w:rPr>
              <w:t>:</w:t>
            </w:r>
            <w:r>
              <w:rPr>
                <w:rFonts w:hint="eastAsia" w:ascii="宋体" w:hAnsi="宋体" w:cs="宋体"/>
                <w:color w:val="auto"/>
                <w:sz w:val="24"/>
                <w:highlight w:val="none"/>
                <w:lang w:val="en-US" w:eastAsia="zh-CN"/>
              </w:rPr>
              <w:t>30</w:t>
            </w:r>
            <w:r>
              <w:rPr>
                <w:rFonts w:hint="eastAsia" w:ascii="宋体" w:hAnsi="宋体" w:cs="宋体"/>
                <w:color w:val="auto"/>
                <w:sz w:val="24"/>
                <w:highlight w:val="none"/>
              </w:rPr>
              <w:t>前）投标人可以登录“政采云”平台，用“项目采购-开标评标”功能进行解密投标文件。若投标人在规定时间内无法解密或解密失败，将导致投标无效或失败。</w:t>
            </w:r>
          </w:p>
          <w:p>
            <w:pPr>
              <w:shd w:val="clear"/>
              <w:snapToGrid w:val="0"/>
              <w:rPr>
                <w:rFonts w:ascii="宋体" w:hAnsi="宋体" w:cs="宋体"/>
                <w:color w:val="auto"/>
                <w:sz w:val="24"/>
                <w:highlight w:val="none"/>
              </w:rPr>
            </w:pPr>
            <w:r>
              <w:rPr>
                <w:rFonts w:hint="eastAsia" w:ascii="宋体" w:hAnsi="宋体" w:cs="宋体"/>
                <w:b/>
                <w:bCs/>
                <w:color w:val="auto"/>
                <w:sz w:val="24"/>
                <w:highlight w:val="none"/>
              </w:rPr>
              <w:t>备注</w:t>
            </w:r>
            <w:r>
              <w:rPr>
                <w:rFonts w:hint="eastAsia" w:ascii="宋体" w:hAnsi="宋体" w:cs="宋体"/>
                <w:color w:val="auto"/>
                <w:sz w:val="24"/>
                <w:highlight w:val="none"/>
              </w:rPr>
              <w:t>：为确保采购项目顺利实施，避免因政采云上电子投标文件解密失败导致投标方投标无效，投标方可在2022年</w:t>
            </w:r>
            <w:r>
              <w:rPr>
                <w:rFonts w:hint="eastAsia" w:ascii="宋体" w:hAnsi="宋体" w:cs="宋体"/>
                <w:color w:val="auto"/>
                <w:sz w:val="24"/>
                <w:highlight w:val="none"/>
                <w:lang w:val="en-US" w:eastAsia="zh-CN"/>
              </w:rPr>
              <w:t>11</w:t>
            </w:r>
            <w:r>
              <w:rPr>
                <w:rFonts w:hint="eastAsia" w:ascii="宋体" w:hAnsi="宋体" w:cs="宋体"/>
                <w:color w:val="auto"/>
                <w:sz w:val="24"/>
                <w:highlight w:val="none"/>
              </w:rPr>
              <w:t>月</w:t>
            </w:r>
            <w:r>
              <w:rPr>
                <w:rFonts w:hint="eastAsia" w:ascii="宋体" w:hAnsi="宋体" w:cs="宋体"/>
                <w:color w:val="auto"/>
                <w:sz w:val="24"/>
                <w:highlight w:val="none"/>
                <w:lang w:val="en-US" w:eastAsia="zh-CN"/>
              </w:rPr>
              <w:t>24</w:t>
            </w:r>
            <w:r>
              <w:rPr>
                <w:rFonts w:hint="eastAsia" w:ascii="宋体" w:hAnsi="宋体" w:cs="宋体"/>
                <w:color w:val="auto"/>
                <w:sz w:val="24"/>
                <w:highlight w:val="none"/>
              </w:rPr>
              <w:t>日</w:t>
            </w:r>
            <w:r>
              <w:rPr>
                <w:rFonts w:hint="eastAsia" w:ascii="宋体" w:hAnsi="宋体" w:cs="宋体"/>
                <w:color w:val="auto"/>
                <w:sz w:val="24"/>
                <w:highlight w:val="none"/>
                <w:lang w:val="en-US" w:eastAsia="zh-CN"/>
              </w:rPr>
              <w:t>9</w:t>
            </w:r>
            <w:r>
              <w:rPr>
                <w:rFonts w:hint="eastAsia" w:ascii="宋体" w:hAnsi="宋体" w:cs="宋体"/>
                <w:color w:val="auto"/>
                <w:sz w:val="24"/>
                <w:highlight w:val="none"/>
              </w:rPr>
              <w:t>:</w:t>
            </w:r>
            <w:r>
              <w:rPr>
                <w:rFonts w:hint="eastAsia" w:ascii="宋体" w:hAnsi="宋体" w:cs="宋体"/>
                <w:color w:val="auto"/>
                <w:sz w:val="24"/>
                <w:highlight w:val="none"/>
                <w:lang w:val="en-US" w:eastAsia="zh-CN"/>
              </w:rPr>
              <w:t>30</w:t>
            </w:r>
            <w:r>
              <w:rPr>
                <w:rFonts w:hint="eastAsia" w:ascii="宋体" w:hAnsi="宋体" w:cs="宋体"/>
                <w:color w:val="auto"/>
                <w:sz w:val="24"/>
                <w:highlight w:val="none"/>
              </w:rPr>
              <w:t xml:space="preserve"> </w:t>
            </w:r>
            <w:r>
              <w:rPr>
                <w:color w:val="auto"/>
                <w:highlight w:val="none"/>
              </w:rPr>
              <w:fldChar w:fldCharType="begin"/>
            </w:r>
            <w:r>
              <w:rPr>
                <w:color w:val="auto"/>
                <w:highlight w:val="none"/>
              </w:rPr>
              <w:instrText xml:space="preserve"> HYPERLINK "mailto:时前将在政采云平台上最后生成的具备电子签章的备份加密投标文件（文件名后缀为备份文件四字的首字母）以电子邮件方式传送至浙江明达工程造价咨询有限公司邮箱（619980053@qq.com），传送的备份电子投标文件需打包压缩并加密，加密密码由投标方自行保管，如政采云上电子投标文件出现解密失败情况（开标当日" </w:instrText>
            </w:r>
            <w:r>
              <w:rPr>
                <w:color w:val="auto"/>
                <w:highlight w:val="none"/>
              </w:rPr>
              <w:fldChar w:fldCharType="separate"/>
            </w:r>
            <w:r>
              <w:rPr>
                <w:rFonts w:hint="eastAsia" w:ascii="宋体" w:hAnsi="宋体" w:cs="宋体"/>
                <w:color w:val="auto"/>
                <w:sz w:val="24"/>
                <w:highlight w:val="none"/>
              </w:rPr>
              <w:t>时前将在政采云平台上最后生成的具备电子签章的备份加密投标文件（文件名后缀为备份文件四字的首字母）以电子邮件方式传送至浙江明达工程造价咨询有限公司邮箱（619980053@qq.com），传送的备份电子投标文件需打包压缩并加密，加密密码由投标方自行保管，如政采云上电子投标文件出现解密失败情况（开标当日</w:t>
            </w:r>
            <w:r>
              <w:rPr>
                <w:rFonts w:hint="eastAsia" w:ascii="宋体" w:hAnsi="宋体" w:cs="宋体"/>
                <w:color w:val="auto"/>
                <w:sz w:val="24"/>
                <w:highlight w:val="none"/>
              </w:rPr>
              <w:fldChar w:fldCharType="end"/>
            </w:r>
            <w:r>
              <w:rPr>
                <w:rFonts w:hint="eastAsia" w:ascii="宋体" w:hAnsi="宋体" w:cs="宋体"/>
                <w:color w:val="auto"/>
                <w:sz w:val="24"/>
                <w:highlight w:val="none"/>
                <w:lang w:val="en-US" w:eastAsia="zh-CN"/>
              </w:rPr>
              <w:t>9</w:t>
            </w:r>
            <w:r>
              <w:rPr>
                <w:rFonts w:hint="eastAsia" w:ascii="宋体" w:hAnsi="宋体" w:cs="宋体"/>
                <w:color w:val="auto"/>
                <w:sz w:val="24"/>
                <w:highlight w:val="none"/>
              </w:rPr>
              <w:t>:</w:t>
            </w:r>
            <w:r>
              <w:rPr>
                <w:rFonts w:hint="eastAsia" w:ascii="宋体" w:hAnsi="宋体" w:cs="宋体"/>
                <w:color w:val="auto"/>
                <w:sz w:val="24"/>
                <w:highlight w:val="none"/>
                <w:lang w:val="en-US" w:eastAsia="zh-CN"/>
              </w:rPr>
              <w:t>30</w:t>
            </w:r>
            <w:r>
              <w:rPr>
                <w:rFonts w:hint="eastAsia" w:ascii="宋体" w:hAnsi="宋体" w:cs="宋体"/>
                <w:color w:val="auto"/>
                <w:sz w:val="24"/>
                <w:highlight w:val="none"/>
              </w:rPr>
              <w:t>-</w:t>
            </w:r>
            <w:r>
              <w:rPr>
                <w:rFonts w:hint="eastAsia" w:ascii="宋体" w:hAnsi="宋体" w:cs="宋体"/>
                <w:color w:val="auto"/>
                <w:sz w:val="24"/>
                <w:highlight w:val="none"/>
                <w:lang w:val="en-US" w:eastAsia="zh-CN"/>
              </w:rPr>
              <w:t>10</w:t>
            </w:r>
            <w:r>
              <w:rPr>
                <w:rFonts w:hint="eastAsia" w:ascii="宋体" w:hAnsi="宋体" w:cs="宋体"/>
                <w:color w:val="auto"/>
                <w:sz w:val="24"/>
                <w:highlight w:val="none"/>
              </w:rPr>
              <w:t>:</w:t>
            </w:r>
            <w:r>
              <w:rPr>
                <w:rFonts w:hint="eastAsia" w:ascii="宋体" w:hAnsi="宋体" w:cs="宋体"/>
                <w:color w:val="auto"/>
                <w:sz w:val="24"/>
                <w:highlight w:val="none"/>
                <w:lang w:val="en-US" w:eastAsia="zh-CN"/>
              </w:rPr>
              <w:t>30</w:t>
            </w:r>
            <w:r>
              <w:rPr>
                <w:color w:val="auto"/>
                <w:highlight w:val="none"/>
              </w:rPr>
              <w:fldChar w:fldCharType="begin"/>
            </w:r>
            <w:r>
              <w:rPr>
                <w:color w:val="auto"/>
                <w:highlight w:val="none"/>
              </w:rPr>
              <w:instrText xml:space="preserve"> HYPERLINK "mailto:期间进行解密），投标方可按照自身意愿确认是否同意提供加密密码解密传送至浙江明达工程造价咨询有限公司邮箱（619980053@qq.com）的备份文件，并以备份文件作为替代电子投标文件，如投标方未按照规定时间（2021年" </w:instrText>
            </w:r>
            <w:r>
              <w:rPr>
                <w:color w:val="auto"/>
                <w:highlight w:val="none"/>
              </w:rPr>
              <w:fldChar w:fldCharType="separate"/>
            </w:r>
            <w:r>
              <w:rPr>
                <w:rFonts w:hint="eastAsia" w:ascii="宋体" w:hAnsi="宋体" w:cs="宋体"/>
                <w:color w:val="auto"/>
                <w:sz w:val="24"/>
                <w:highlight w:val="none"/>
              </w:rPr>
              <w:t>期间进行解密），投标方可按照自身意愿确认是否同意提供加密密码解密传送至浙江明达工程造价咨询有限公司邮箱（619980053@qq.com）的备份文件，并以备份文件作为替代电子投标文件，如投标方未按照规定时间（2022年</w:t>
            </w:r>
            <w:r>
              <w:rPr>
                <w:rFonts w:hint="eastAsia" w:ascii="宋体" w:hAnsi="宋体" w:cs="宋体"/>
                <w:color w:val="auto"/>
                <w:sz w:val="24"/>
                <w:highlight w:val="none"/>
              </w:rPr>
              <w:fldChar w:fldCharType="end"/>
            </w:r>
            <w:r>
              <w:rPr>
                <w:rFonts w:hint="eastAsia" w:ascii="宋体" w:hAnsi="宋体" w:cs="宋体"/>
                <w:color w:val="auto"/>
                <w:sz w:val="24"/>
                <w:highlight w:val="none"/>
                <w:lang w:val="en-US" w:eastAsia="zh-CN"/>
              </w:rPr>
              <w:t>11</w:t>
            </w:r>
            <w:r>
              <w:rPr>
                <w:rFonts w:hint="eastAsia" w:ascii="宋体" w:hAnsi="宋体" w:cs="宋体"/>
                <w:color w:val="auto"/>
                <w:sz w:val="24"/>
                <w:highlight w:val="none"/>
              </w:rPr>
              <w:t>月</w:t>
            </w:r>
            <w:r>
              <w:rPr>
                <w:rFonts w:hint="eastAsia" w:ascii="宋体" w:hAnsi="宋体" w:cs="宋体"/>
                <w:color w:val="auto"/>
                <w:sz w:val="24"/>
                <w:highlight w:val="none"/>
                <w:lang w:val="en-US" w:eastAsia="zh-CN"/>
              </w:rPr>
              <w:t>24</w:t>
            </w:r>
            <w:r>
              <w:rPr>
                <w:rFonts w:hint="eastAsia" w:ascii="宋体" w:hAnsi="宋体" w:cs="宋体"/>
                <w:color w:val="auto"/>
                <w:sz w:val="24"/>
                <w:highlight w:val="none"/>
              </w:rPr>
              <w:t>日</w:t>
            </w:r>
            <w:r>
              <w:rPr>
                <w:rFonts w:hint="eastAsia" w:ascii="宋体" w:hAnsi="宋体" w:cs="宋体"/>
                <w:color w:val="auto"/>
                <w:sz w:val="24"/>
                <w:highlight w:val="none"/>
                <w:lang w:val="en-US" w:eastAsia="zh-CN"/>
              </w:rPr>
              <w:t>9</w:t>
            </w:r>
            <w:r>
              <w:rPr>
                <w:rFonts w:hint="eastAsia" w:ascii="宋体" w:hAnsi="宋体" w:cs="宋体"/>
                <w:color w:val="auto"/>
                <w:sz w:val="24"/>
                <w:highlight w:val="none"/>
              </w:rPr>
              <w:t>:</w:t>
            </w:r>
            <w:r>
              <w:rPr>
                <w:rFonts w:hint="eastAsia" w:ascii="宋体" w:hAnsi="宋体" w:cs="宋体"/>
                <w:color w:val="auto"/>
                <w:sz w:val="24"/>
                <w:highlight w:val="none"/>
                <w:lang w:val="en-US" w:eastAsia="zh-CN"/>
              </w:rPr>
              <w:t>30</w:t>
            </w:r>
            <w:r>
              <w:rPr>
                <w:rFonts w:hint="eastAsia" w:ascii="宋体" w:hAnsi="宋体" w:cs="宋体"/>
                <w:color w:val="auto"/>
                <w:sz w:val="24"/>
                <w:highlight w:val="none"/>
              </w:rPr>
              <w:t xml:space="preserve"> 前）及要求提供有效备份文件，同时政采云上投标文件解密失败的，将导致投标无效。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801" w:type="dxa"/>
            <w:vAlign w:val="center"/>
          </w:tcPr>
          <w:p>
            <w:pPr>
              <w:shd w:val="clear"/>
              <w:snapToGrid w:val="0"/>
              <w:jc w:val="center"/>
              <w:rPr>
                <w:rFonts w:ascii="宋体" w:hAnsi="宋体" w:cs="宋体"/>
                <w:color w:val="auto"/>
                <w:sz w:val="24"/>
                <w:highlight w:val="none"/>
              </w:rPr>
            </w:pPr>
            <w:r>
              <w:rPr>
                <w:rFonts w:hint="eastAsia" w:ascii="宋体" w:hAnsi="宋体" w:cs="宋体"/>
                <w:color w:val="auto"/>
                <w:sz w:val="24"/>
                <w:highlight w:val="none"/>
              </w:rPr>
              <w:t>14</w:t>
            </w:r>
          </w:p>
        </w:tc>
        <w:tc>
          <w:tcPr>
            <w:tcW w:w="2409" w:type="dxa"/>
            <w:vAlign w:val="center"/>
          </w:tcPr>
          <w:p>
            <w:pPr>
              <w:shd w:val="clear"/>
              <w:snapToGrid w:val="0"/>
              <w:jc w:val="center"/>
              <w:rPr>
                <w:rFonts w:ascii="宋体" w:hAnsi="宋体" w:cs="宋体"/>
                <w:color w:val="auto"/>
                <w:sz w:val="24"/>
                <w:highlight w:val="none"/>
              </w:rPr>
            </w:pPr>
            <w:r>
              <w:rPr>
                <w:rFonts w:hint="eastAsia" w:ascii="宋体" w:hAnsi="宋体" w:cs="宋体"/>
                <w:color w:val="auto"/>
                <w:sz w:val="24"/>
                <w:highlight w:val="none"/>
              </w:rPr>
              <w:t>评标办法</w:t>
            </w:r>
          </w:p>
        </w:tc>
        <w:tc>
          <w:tcPr>
            <w:tcW w:w="7029" w:type="dxa"/>
            <w:vAlign w:val="center"/>
          </w:tcPr>
          <w:p>
            <w:pPr>
              <w:shd w:val="clear"/>
              <w:snapToGrid w:val="0"/>
              <w:rPr>
                <w:rFonts w:ascii="宋体" w:hAnsi="宋体" w:cs="宋体"/>
                <w:color w:val="auto"/>
                <w:sz w:val="24"/>
                <w:highlight w:val="none"/>
              </w:rPr>
            </w:pPr>
            <w:r>
              <w:rPr>
                <w:rFonts w:hint="eastAsia" w:ascii="宋体" w:hAnsi="宋体" w:cs="宋体"/>
                <w:color w:val="auto"/>
                <w:sz w:val="24"/>
                <w:highlight w:val="none"/>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801" w:type="dxa"/>
            <w:vAlign w:val="center"/>
          </w:tcPr>
          <w:p>
            <w:pPr>
              <w:shd w:val="clear"/>
              <w:snapToGrid w:val="0"/>
              <w:jc w:val="center"/>
              <w:rPr>
                <w:rFonts w:ascii="宋体" w:hAnsi="宋体" w:cs="宋体"/>
                <w:color w:val="auto"/>
                <w:sz w:val="24"/>
                <w:highlight w:val="none"/>
              </w:rPr>
            </w:pPr>
            <w:r>
              <w:rPr>
                <w:rFonts w:hint="eastAsia" w:ascii="宋体" w:hAnsi="宋体" w:cs="宋体"/>
                <w:color w:val="auto"/>
                <w:sz w:val="24"/>
                <w:highlight w:val="none"/>
              </w:rPr>
              <w:t>15</w:t>
            </w:r>
          </w:p>
        </w:tc>
        <w:tc>
          <w:tcPr>
            <w:tcW w:w="2409" w:type="dxa"/>
            <w:vAlign w:val="center"/>
          </w:tcPr>
          <w:p>
            <w:pPr>
              <w:shd w:val="clear"/>
              <w:snapToGrid w:val="0"/>
              <w:jc w:val="center"/>
              <w:rPr>
                <w:rFonts w:ascii="宋体" w:hAnsi="宋体" w:cs="宋体"/>
                <w:color w:val="auto"/>
                <w:sz w:val="24"/>
                <w:highlight w:val="none"/>
              </w:rPr>
            </w:pPr>
            <w:r>
              <w:rPr>
                <w:rFonts w:hint="eastAsia" w:ascii="宋体" w:hAnsi="宋体" w:cs="宋体"/>
                <w:color w:val="auto"/>
                <w:sz w:val="24"/>
                <w:highlight w:val="none"/>
              </w:rPr>
              <w:t>付款方式</w:t>
            </w:r>
          </w:p>
        </w:tc>
        <w:tc>
          <w:tcPr>
            <w:tcW w:w="7029" w:type="dxa"/>
            <w:vAlign w:val="center"/>
          </w:tcPr>
          <w:p>
            <w:pPr>
              <w:pStyle w:val="25"/>
              <w:shd w:val="clear"/>
              <w:snapToGrid w:val="0"/>
              <w:spacing w:line="240" w:lineRule="auto"/>
              <w:ind w:firstLine="0" w:firstLineChars="0"/>
              <w:rPr>
                <w:rFonts w:ascii="宋体" w:hAnsi="宋体" w:cs="宋体"/>
                <w:color w:val="auto"/>
                <w:highlight w:val="none"/>
              </w:rPr>
            </w:pPr>
            <w:r>
              <w:rPr>
                <w:rFonts w:hint="eastAsia" w:ascii="宋体" w:hAnsi="宋体" w:cs="宋体"/>
                <w:color w:val="auto"/>
                <w:highlight w:val="none"/>
              </w:rPr>
              <w:t>合同签订后</w:t>
            </w:r>
            <w:r>
              <w:rPr>
                <w:rFonts w:hint="eastAsia" w:ascii="宋体" w:hAnsi="宋体" w:cs="宋体"/>
                <w:color w:val="auto"/>
                <w:highlight w:val="none"/>
                <w:lang w:val="en-US" w:eastAsia="zh-CN"/>
              </w:rPr>
              <w:t>7个工作日内</w:t>
            </w:r>
            <w:r>
              <w:rPr>
                <w:rFonts w:hint="eastAsia" w:ascii="宋体" w:hAnsi="宋体" w:cs="宋体"/>
                <w:color w:val="auto"/>
                <w:highlight w:val="none"/>
              </w:rPr>
              <w:t>支付第一年合同金额的</w:t>
            </w:r>
            <w:r>
              <w:rPr>
                <w:rFonts w:hint="eastAsia" w:ascii="宋体" w:hAnsi="宋体" w:cs="宋体"/>
                <w:color w:val="auto"/>
                <w:highlight w:val="none"/>
                <w:lang w:val="en-US"/>
              </w:rPr>
              <w:t>4</w:t>
            </w:r>
            <w:r>
              <w:rPr>
                <w:rFonts w:hint="eastAsia" w:ascii="宋体" w:hAnsi="宋体" w:cs="宋体"/>
                <w:color w:val="auto"/>
                <w:highlight w:val="none"/>
              </w:rPr>
              <w:t>0%作为预付款；（在签订合同时，供应商明确表示无需预付款或者主动要求降低预付款比例的，采购单位可进行相应调整）</w:t>
            </w:r>
          </w:p>
          <w:p>
            <w:pPr>
              <w:pStyle w:val="25"/>
              <w:shd w:val="clear"/>
              <w:snapToGrid w:val="0"/>
              <w:spacing w:line="240" w:lineRule="auto"/>
              <w:ind w:firstLine="0" w:firstLineChars="0"/>
              <w:rPr>
                <w:rFonts w:hint="eastAsia" w:ascii="宋体" w:hAnsi="宋体" w:eastAsia="宋体" w:cs="宋体"/>
                <w:color w:val="auto"/>
                <w:highlight w:val="none"/>
                <w:lang w:eastAsia="zh-CN"/>
              </w:rPr>
            </w:pPr>
            <w:r>
              <w:rPr>
                <w:rFonts w:hint="eastAsia" w:ascii="宋体" w:hAnsi="宋体" w:cs="宋体"/>
                <w:color w:val="auto"/>
                <w:highlight w:val="none"/>
              </w:rPr>
              <w:t>每</w:t>
            </w:r>
            <w:r>
              <w:rPr>
                <w:rFonts w:hint="eastAsia" w:ascii="宋体" w:hAnsi="宋体" w:cs="宋体"/>
                <w:color w:val="auto"/>
                <w:highlight w:val="none"/>
                <w:lang w:val="en-US"/>
              </w:rPr>
              <w:t>季度</w:t>
            </w:r>
            <w:r>
              <w:rPr>
                <w:rFonts w:hint="eastAsia" w:ascii="宋体" w:hAnsi="宋体" w:cs="宋体"/>
                <w:color w:val="auto"/>
                <w:highlight w:val="none"/>
              </w:rPr>
              <w:t>结束后，采购人在收到供应商该</w:t>
            </w:r>
            <w:r>
              <w:rPr>
                <w:rFonts w:hint="eastAsia" w:ascii="宋体" w:hAnsi="宋体" w:cs="宋体"/>
                <w:color w:val="auto"/>
                <w:highlight w:val="none"/>
                <w:lang w:val="en-US"/>
              </w:rPr>
              <w:t>季度</w:t>
            </w:r>
            <w:r>
              <w:rPr>
                <w:rFonts w:hint="eastAsia" w:ascii="宋体" w:hAnsi="宋体" w:cs="宋体"/>
                <w:color w:val="auto"/>
                <w:highlight w:val="none"/>
              </w:rPr>
              <w:t>服务发票（</w:t>
            </w:r>
            <w:r>
              <w:rPr>
                <w:rFonts w:hint="eastAsia" w:ascii="宋体" w:hAnsi="宋体" w:cs="宋体"/>
                <w:color w:val="auto"/>
                <w:highlight w:val="none"/>
                <w:lang w:val="en-US"/>
              </w:rPr>
              <w:t>季度</w:t>
            </w:r>
            <w:r>
              <w:rPr>
                <w:rFonts w:hint="eastAsia" w:ascii="宋体" w:hAnsi="宋体" w:cs="宋体"/>
                <w:color w:val="auto"/>
                <w:highlight w:val="none"/>
              </w:rPr>
              <w:t>服务=</w:t>
            </w:r>
            <w:r>
              <w:rPr>
                <w:rFonts w:hint="eastAsia" w:ascii="宋体" w:hAnsi="宋体" w:cs="宋体"/>
                <w:color w:val="auto"/>
                <w:highlight w:val="none"/>
                <w:lang w:val="en-US"/>
              </w:rPr>
              <w:t>总</w:t>
            </w:r>
            <w:r>
              <w:rPr>
                <w:rFonts w:hint="eastAsia" w:ascii="宋体" w:hAnsi="宋体" w:cs="宋体"/>
                <w:color w:val="auto"/>
                <w:highlight w:val="none"/>
              </w:rPr>
              <w:t>中标价</w:t>
            </w:r>
            <w:r>
              <w:rPr>
                <w:rFonts w:hint="eastAsia" w:ascii="宋体" w:hAnsi="宋体" w:cs="宋体"/>
                <w:color w:val="auto"/>
                <w:highlight w:val="none"/>
                <w:lang w:val="en-US"/>
              </w:rPr>
              <w:t>1</w:t>
            </w:r>
            <w:r>
              <w:rPr>
                <w:rFonts w:hint="eastAsia" w:ascii="宋体" w:hAnsi="宋体" w:cs="宋体"/>
                <w:color w:val="auto"/>
                <w:highlight w:val="none"/>
              </w:rPr>
              <w:t>/</w:t>
            </w:r>
            <w:r>
              <w:rPr>
                <w:rFonts w:hint="eastAsia" w:ascii="宋体" w:hAnsi="宋体" w:cs="宋体"/>
                <w:color w:val="auto"/>
                <w:highlight w:val="none"/>
                <w:lang w:val="en-US"/>
              </w:rPr>
              <w:t>12</w:t>
            </w:r>
            <w:r>
              <w:rPr>
                <w:rFonts w:hint="eastAsia" w:ascii="宋体" w:hAnsi="宋体" w:cs="宋体"/>
                <w:color w:val="auto"/>
                <w:highlight w:val="none"/>
              </w:rPr>
              <w:t>）后</w:t>
            </w:r>
            <w:r>
              <w:rPr>
                <w:rFonts w:hint="eastAsia" w:ascii="宋体" w:hAnsi="宋体" w:cs="宋体"/>
                <w:color w:val="auto"/>
                <w:highlight w:val="none"/>
                <w:lang w:val="en-US" w:eastAsia="zh-CN"/>
              </w:rPr>
              <w:t>7个工作</w:t>
            </w:r>
            <w:r>
              <w:rPr>
                <w:rFonts w:hint="eastAsia" w:ascii="宋体" w:hAnsi="宋体" w:cs="宋体"/>
                <w:color w:val="auto"/>
                <w:highlight w:val="none"/>
              </w:rPr>
              <w:t>日内，向供应商指定账户支付该</w:t>
            </w:r>
            <w:r>
              <w:rPr>
                <w:rFonts w:hint="eastAsia" w:ascii="宋体" w:hAnsi="宋体" w:cs="宋体"/>
                <w:color w:val="auto"/>
                <w:highlight w:val="none"/>
                <w:lang w:val="en-US"/>
              </w:rPr>
              <w:t>季</w:t>
            </w:r>
            <w:r>
              <w:rPr>
                <w:rFonts w:hint="eastAsia" w:ascii="宋体" w:hAnsi="宋体" w:cs="宋体"/>
                <w:color w:val="auto"/>
                <w:highlight w:val="none"/>
              </w:rPr>
              <w:t>度的托管费用。</w:t>
            </w:r>
            <w:r>
              <w:rPr>
                <w:rFonts w:hint="eastAsia" w:ascii="宋体" w:hAnsi="宋体" w:cs="宋体"/>
                <w:color w:val="auto"/>
                <w:highlight w:val="none"/>
                <w:u w:val="none"/>
                <w:lang w:val="en-US"/>
              </w:rPr>
              <w:t>（第一年从第二季度开始支付，第二季度扣除预付款后，支付剩余应支付款项）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801" w:type="dxa"/>
            <w:vAlign w:val="center"/>
          </w:tcPr>
          <w:p>
            <w:pPr>
              <w:shd w:val="clear"/>
              <w:snapToGrid w:val="0"/>
              <w:jc w:val="center"/>
              <w:rPr>
                <w:rFonts w:ascii="宋体" w:hAnsi="宋体" w:cs="宋体"/>
                <w:color w:val="auto"/>
                <w:sz w:val="24"/>
                <w:highlight w:val="none"/>
              </w:rPr>
            </w:pPr>
            <w:r>
              <w:rPr>
                <w:rFonts w:hint="eastAsia" w:ascii="宋体" w:hAnsi="宋体" w:cs="宋体"/>
                <w:color w:val="auto"/>
                <w:sz w:val="24"/>
                <w:highlight w:val="none"/>
              </w:rPr>
              <w:t>16</w:t>
            </w:r>
          </w:p>
        </w:tc>
        <w:tc>
          <w:tcPr>
            <w:tcW w:w="2409" w:type="dxa"/>
            <w:vAlign w:val="center"/>
          </w:tcPr>
          <w:p>
            <w:pPr>
              <w:shd w:val="clear"/>
              <w:snapToGrid w:val="0"/>
              <w:jc w:val="center"/>
              <w:rPr>
                <w:rFonts w:ascii="宋体" w:hAnsi="宋体" w:cs="宋体"/>
                <w:color w:val="auto"/>
                <w:sz w:val="24"/>
                <w:highlight w:val="none"/>
              </w:rPr>
            </w:pPr>
            <w:r>
              <w:rPr>
                <w:rFonts w:hint="eastAsia" w:ascii="宋体" w:hAnsi="宋体" w:cs="宋体"/>
                <w:color w:val="auto"/>
                <w:sz w:val="24"/>
                <w:highlight w:val="none"/>
              </w:rPr>
              <w:t>履约保证金</w:t>
            </w:r>
          </w:p>
        </w:tc>
        <w:tc>
          <w:tcPr>
            <w:tcW w:w="7029" w:type="dxa"/>
            <w:vAlign w:val="center"/>
          </w:tcPr>
          <w:p>
            <w:pPr>
              <w:shd w:val="clear"/>
              <w:snapToGrid w:val="0"/>
              <w:rPr>
                <w:rFonts w:ascii="宋体" w:hAnsi="宋体" w:cs="宋体"/>
                <w:color w:val="auto"/>
                <w:sz w:val="24"/>
                <w:highlight w:val="none"/>
              </w:rPr>
            </w:pPr>
            <w:r>
              <w:rPr>
                <w:rFonts w:hint="eastAsia" w:ascii="宋体" w:hAnsi="宋体" w:cs="宋体"/>
                <w:color w:val="auto"/>
                <w:sz w:val="24"/>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4" w:hRule="atLeast"/>
          <w:jc w:val="center"/>
        </w:trPr>
        <w:tc>
          <w:tcPr>
            <w:tcW w:w="801" w:type="dxa"/>
            <w:vAlign w:val="center"/>
          </w:tcPr>
          <w:p>
            <w:pPr>
              <w:shd w:val="clear"/>
              <w:snapToGrid w:val="0"/>
              <w:jc w:val="center"/>
              <w:rPr>
                <w:rFonts w:ascii="宋体" w:hAnsi="宋体" w:cs="宋体"/>
                <w:color w:val="auto"/>
                <w:sz w:val="24"/>
                <w:highlight w:val="none"/>
              </w:rPr>
            </w:pPr>
            <w:r>
              <w:rPr>
                <w:rFonts w:hint="eastAsia" w:ascii="宋体" w:hAnsi="宋体" w:cs="宋体"/>
                <w:color w:val="auto"/>
                <w:sz w:val="24"/>
                <w:highlight w:val="none"/>
              </w:rPr>
              <w:t>17</w:t>
            </w:r>
          </w:p>
        </w:tc>
        <w:tc>
          <w:tcPr>
            <w:tcW w:w="2409" w:type="dxa"/>
            <w:vAlign w:val="center"/>
          </w:tcPr>
          <w:p>
            <w:pPr>
              <w:shd w:val="clear"/>
              <w:snapToGrid w:val="0"/>
              <w:spacing w:line="360" w:lineRule="exact"/>
              <w:jc w:val="center"/>
              <w:rPr>
                <w:rFonts w:ascii="宋体" w:hAnsi="宋体" w:cs="宋体"/>
                <w:color w:val="auto"/>
                <w:sz w:val="24"/>
                <w:highlight w:val="none"/>
              </w:rPr>
            </w:pPr>
            <w:r>
              <w:rPr>
                <w:rFonts w:hint="eastAsia" w:ascii="宋体" w:hAnsi="宋体" w:cs="宋体"/>
                <w:color w:val="auto"/>
                <w:sz w:val="24"/>
                <w:highlight w:val="none"/>
              </w:rPr>
              <w:t>履约保证金退还</w:t>
            </w:r>
          </w:p>
        </w:tc>
        <w:tc>
          <w:tcPr>
            <w:tcW w:w="7029" w:type="dxa"/>
            <w:vAlign w:val="center"/>
          </w:tcPr>
          <w:p>
            <w:pPr>
              <w:shd w:val="clear"/>
              <w:snapToGrid w:val="0"/>
              <w:spacing w:line="360" w:lineRule="exact"/>
              <w:rPr>
                <w:rFonts w:ascii="宋体" w:hAnsi="宋体" w:cs="宋体"/>
                <w:color w:val="auto"/>
                <w:sz w:val="24"/>
                <w:highlight w:val="none"/>
              </w:rPr>
            </w:pPr>
            <w:r>
              <w:rPr>
                <w:rFonts w:hint="eastAsia" w:ascii="宋体" w:hAnsi="宋体" w:cs="宋体"/>
                <w:color w:val="auto"/>
                <w:sz w:val="24"/>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801" w:type="dxa"/>
            <w:vAlign w:val="center"/>
          </w:tcPr>
          <w:p>
            <w:pPr>
              <w:shd w:val="clear"/>
              <w:snapToGrid w:val="0"/>
              <w:jc w:val="center"/>
              <w:rPr>
                <w:rFonts w:ascii="宋体" w:hAnsi="宋体" w:cs="宋体"/>
                <w:color w:val="auto"/>
                <w:sz w:val="24"/>
                <w:highlight w:val="none"/>
              </w:rPr>
            </w:pPr>
            <w:r>
              <w:rPr>
                <w:rFonts w:hint="eastAsia" w:ascii="宋体" w:hAnsi="宋体" w:cs="宋体"/>
                <w:color w:val="auto"/>
                <w:sz w:val="24"/>
                <w:highlight w:val="none"/>
              </w:rPr>
              <w:t>18</w:t>
            </w:r>
          </w:p>
        </w:tc>
        <w:tc>
          <w:tcPr>
            <w:tcW w:w="2409" w:type="dxa"/>
            <w:vAlign w:val="center"/>
          </w:tcPr>
          <w:p>
            <w:pPr>
              <w:shd w:val="clear"/>
              <w:snapToGrid w:val="0"/>
              <w:jc w:val="center"/>
              <w:rPr>
                <w:rFonts w:ascii="宋体" w:hAnsi="宋体" w:cs="宋体"/>
                <w:color w:val="auto"/>
                <w:sz w:val="24"/>
                <w:highlight w:val="none"/>
              </w:rPr>
            </w:pPr>
            <w:r>
              <w:rPr>
                <w:rFonts w:hint="eastAsia" w:ascii="宋体" w:hAnsi="宋体" w:cs="宋体"/>
                <w:color w:val="auto"/>
                <w:sz w:val="24"/>
                <w:highlight w:val="none"/>
              </w:rPr>
              <w:t>政府采购节能环保产品</w:t>
            </w:r>
          </w:p>
        </w:tc>
        <w:tc>
          <w:tcPr>
            <w:tcW w:w="7029" w:type="dxa"/>
            <w:vAlign w:val="center"/>
          </w:tcPr>
          <w:p>
            <w:pPr>
              <w:widowControl/>
              <w:shd w:val="clear"/>
              <w:snapToGrid w:val="0"/>
              <w:jc w:val="left"/>
              <w:rPr>
                <w:rFonts w:ascii="宋体" w:hAnsi="宋体" w:cs="宋体"/>
                <w:color w:val="auto"/>
                <w:kern w:val="0"/>
                <w:sz w:val="24"/>
                <w:highlight w:val="none"/>
              </w:rPr>
            </w:pPr>
            <w:r>
              <w:rPr>
                <w:rFonts w:hint="eastAsia" w:ascii="宋体" w:hAnsi="宋体" w:cs="宋体"/>
                <w:color w:val="auto"/>
                <w:kern w:val="0"/>
                <w:sz w:val="24"/>
                <w:highlight w:val="none"/>
              </w:rPr>
              <w:t>1.根据财政部 发展改革委 生态环境部 市场监管总局关于调整优化节能产品、环境标志产品政府采购执行机制的通知财库〔2019〕9号文件要求，投标方所投产品如属于节能产品政府采购品目清单或环境标志产品政府从采购品目清单内的，投标人所投的相应产品须在中国政府采购网节能清单查询目录（http://www.ccgp.gov.cn/search/jnqdchaxun.htm）或环保清单查询目录（http://www.ccgp.gov.cn/search/hbqdchaxun.htm）中可查询到，并提供相应的承诺。</w:t>
            </w:r>
          </w:p>
          <w:p>
            <w:pPr>
              <w:widowControl/>
              <w:shd w:val="clear"/>
              <w:snapToGrid w:val="0"/>
              <w:jc w:val="left"/>
              <w:rPr>
                <w:rFonts w:ascii="宋体" w:hAnsi="宋体" w:cs="宋体"/>
                <w:color w:val="auto"/>
                <w:sz w:val="24"/>
                <w:highlight w:val="none"/>
              </w:rPr>
            </w:pPr>
            <w:r>
              <w:rPr>
                <w:rFonts w:hint="eastAsia" w:ascii="宋体" w:hAnsi="宋体" w:cs="宋体"/>
                <w:color w:val="auto"/>
                <w:kern w:val="0"/>
                <w:sz w:val="24"/>
                <w:highlight w:val="none"/>
              </w:rPr>
              <w:t>2、招标需求中要求提供的产品属于节能产品政府采购品目清单中强制采购的，投标人须提供该清单内产品，否则其投标将作为无效标处理。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84" w:hRule="atLeast"/>
          <w:jc w:val="center"/>
        </w:trPr>
        <w:tc>
          <w:tcPr>
            <w:tcW w:w="801" w:type="dxa"/>
            <w:vAlign w:val="center"/>
          </w:tcPr>
          <w:p>
            <w:pPr>
              <w:shd w:val="clear"/>
              <w:snapToGrid w:val="0"/>
              <w:jc w:val="center"/>
              <w:rPr>
                <w:rFonts w:ascii="宋体" w:hAnsi="宋体" w:cs="宋体"/>
                <w:color w:val="auto"/>
                <w:sz w:val="24"/>
                <w:highlight w:val="none"/>
              </w:rPr>
            </w:pPr>
            <w:r>
              <w:rPr>
                <w:rFonts w:hint="eastAsia" w:ascii="宋体" w:hAnsi="宋体" w:cs="宋体"/>
                <w:color w:val="auto"/>
                <w:sz w:val="24"/>
                <w:highlight w:val="none"/>
              </w:rPr>
              <w:t>19</w:t>
            </w:r>
          </w:p>
        </w:tc>
        <w:tc>
          <w:tcPr>
            <w:tcW w:w="2409" w:type="dxa"/>
            <w:vAlign w:val="center"/>
          </w:tcPr>
          <w:p>
            <w:pPr>
              <w:shd w:val="clear"/>
              <w:snapToGrid w:val="0"/>
              <w:jc w:val="center"/>
              <w:rPr>
                <w:rFonts w:ascii="宋体" w:hAnsi="宋体" w:cs="宋体"/>
                <w:color w:val="auto"/>
                <w:sz w:val="24"/>
                <w:highlight w:val="none"/>
              </w:rPr>
            </w:pPr>
            <w:r>
              <w:rPr>
                <w:rFonts w:hint="eastAsia" w:ascii="宋体" w:hAnsi="宋体" w:cs="宋体"/>
                <w:color w:val="auto"/>
                <w:sz w:val="24"/>
                <w:highlight w:val="none"/>
              </w:rPr>
              <w:t>信用记录</w:t>
            </w:r>
          </w:p>
        </w:tc>
        <w:tc>
          <w:tcPr>
            <w:tcW w:w="7029" w:type="dxa"/>
            <w:vAlign w:val="center"/>
          </w:tcPr>
          <w:p>
            <w:pPr>
              <w:shd w:val="clear"/>
              <w:snapToGrid w:val="0"/>
              <w:spacing w:line="400" w:lineRule="exact"/>
              <w:rPr>
                <w:rFonts w:ascii="宋体" w:hAnsi="宋体" w:cs="宋体"/>
                <w:color w:val="auto"/>
                <w:sz w:val="24"/>
                <w:highlight w:val="none"/>
              </w:rPr>
            </w:pPr>
            <w:r>
              <w:rPr>
                <w:rFonts w:hint="eastAsia" w:ascii="宋体" w:hAnsi="宋体" w:cs="宋体"/>
                <w:color w:val="auto"/>
                <w:sz w:val="24"/>
                <w:highlight w:val="none"/>
              </w:rPr>
              <w:t>投标人如出现下列情形之一的，其投标将被拒绝：</w:t>
            </w:r>
          </w:p>
          <w:p>
            <w:pPr>
              <w:shd w:val="clear"/>
              <w:snapToGrid w:val="0"/>
              <w:spacing w:line="400" w:lineRule="exact"/>
              <w:rPr>
                <w:rFonts w:ascii="宋体" w:hAnsi="宋体" w:cs="宋体"/>
                <w:color w:val="auto"/>
                <w:sz w:val="24"/>
                <w:highlight w:val="none"/>
              </w:rPr>
            </w:pPr>
            <w:r>
              <w:rPr>
                <w:rFonts w:hint="eastAsia" w:ascii="宋体" w:hAnsi="宋体" w:cs="宋体"/>
                <w:color w:val="auto"/>
                <w:sz w:val="24"/>
                <w:highlight w:val="none"/>
              </w:rPr>
              <w:t>投标人在公开网站上能查到的被财政部或浙江省财政厅处理（或处罚）而处于暂停政府采购资格期的或处于暂停承接业务资格期的；或被国家级、浙江省级、义乌市级行业主管部门处罚处于暂停承接业务资格期的；或被义乌市政府采购监管部门列入不良行为还在公告期内的或者处于暂停政府采购资格期的；或被“信用中国”（www.creditchina.gov.cn）、中国政府采购网（www.ccgp.gov.cn）列入失信被执行人、重大税收违法案件当事人名单、政府采购严重违法失信行为记录名单的；义乌市综合信用报告评级为D、E类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801" w:type="dxa"/>
            <w:vAlign w:val="center"/>
          </w:tcPr>
          <w:p>
            <w:pPr>
              <w:shd w:val="clear"/>
              <w:snapToGrid w:val="0"/>
              <w:jc w:val="center"/>
              <w:rPr>
                <w:rFonts w:ascii="宋体" w:hAnsi="宋体" w:cs="宋体"/>
                <w:color w:val="auto"/>
                <w:sz w:val="24"/>
                <w:highlight w:val="none"/>
              </w:rPr>
            </w:pPr>
            <w:r>
              <w:rPr>
                <w:rFonts w:hint="eastAsia" w:ascii="宋体" w:hAnsi="宋体" w:cs="宋体"/>
                <w:color w:val="auto"/>
                <w:sz w:val="24"/>
                <w:highlight w:val="none"/>
              </w:rPr>
              <w:t>20</w:t>
            </w:r>
          </w:p>
        </w:tc>
        <w:tc>
          <w:tcPr>
            <w:tcW w:w="2409" w:type="dxa"/>
            <w:vAlign w:val="center"/>
          </w:tcPr>
          <w:p>
            <w:pPr>
              <w:shd w:val="clear"/>
              <w:snapToGrid w:val="0"/>
              <w:spacing w:line="400" w:lineRule="exact"/>
              <w:jc w:val="center"/>
              <w:rPr>
                <w:rFonts w:ascii="宋体" w:hAnsi="宋体" w:cs="宋体"/>
                <w:color w:val="auto"/>
                <w:sz w:val="24"/>
                <w:highlight w:val="none"/>
              </w:rPr>
            </w:pPr>
            <w:r>
              <w:rPr>
                <w:rFonts w:hint="eastAsia" w:ascii="宋体" w:hAnsi="宋体" w:cs="宋体"/>
                <w:color w:val="auto"/>
                <w:sz w:val="24"/>
                <w:highlight w:val="none"/>
              </w:rPr>
              <w:t>小微企业有关政策说明</w:t>
            </w:r>
          </w:p>
        </w:tc>
        <w:tc>
          <w:tcPr>
            <w:tcW w:w="7029" w:type="dxa"/>
            <w:vAlign w:val="center"/>
          </w:tcPr>
          <w:p>
            <w:pPr>
              <w:shd w:val="clear"/>
              <w:snapToGrid/>
              <w:spacing w:line="400" w:lineRule="exact"/>
              <w:rPr>
                <w:rFonts w:hint="eastAsia" w:ascii="宋体" w:hAnsi="宋体" w:eastAsia="宋体" w:cs="宋体"/>
                <w:color w:val="auto"/>
                <w:sz w:val="24"/>
                <w:highlight w:val="none"/>
              </w:rPr>
            </w:pPr>
            <w:r>
              <w:rPr>
                <w:rFonts w:hint="eastAsia"/>
                <w:color w:val="auto"/>
                <w:sz w:val="24"/>
                <w:highlight w:val="none"/>
              </w:rPr>
              <w:t>本项目执行有关政策说明。</w:t>
            </w:r>
          </w:p>
          <w:p>
            <w:pPr>
              <w:shd w:val="clear"/>
              <w:snapToGrid w:val="0"/>
              <w:spacing w:line="360" w:lineRule="exact"/>
              <w:rPr>
                <w:rFonts w:hint="eastAsia" w:ascii="宋体" w:hAnsi="宋体" w:cs="宋体"/>
                <w:color w:val="auto"/>
                <w:sz w:val="24"/>
                <w:highlight w:val="none"/>
              </w:rPr>
            </w:pPr>
            <w:r>
              <w:rPr>
                <w:rFonts w:hint="eastAsia" w:ascii="宋体" w:hAnsi="宋体" w:cs="宋体"/>
                <w:color w:val="auto"/>
                <w:sz w:val="24"/>
                <w:highlight w:val="none"/>
              </w:rPr>
              <w:t>本项目</w:t>
            </w:r>
            <w:r>
              <w:rPr>
                <w:rFonts w:hint="eastAsia"/>
                <w:color w:val="auto"/>
                <w:sz w:val="24"/>
                <w:highlight w:val="none"/>
              </w:rPr>
              <w:t>专门面向中小企业</w:t>
            </w:r>
            <w:r>
              <w:rPr>
                <w:rFonts w:hint="eastAsia"/>
                <w:color w:val="auto"/>
                <w:sz w:val="24"/>
                <w:highlight w:val="none"/>
                <w:lang w:eastAsia="zh-CN"/>
              </w:rPr>
              <w:t>，</w:t>
            </w:r>
            <w:r>
              <w:rPr>
                <w:rFonts w:hint="eastAsia" w:ascii="宋体" w:hAnsi="宋体" w:cs="宋体"/>
                <w:color w:val="auto"/>
                <w:sz w:val="24"/>
                <w:highlight w:val="none"/>
              </w:rPr>
              <w:t>属于其他未</w:t>
            </w:r>
            <w:r>
              <w:rPr>
                <w:rFonts w:hint="eastAsia" w:ascii="宋体" w:hAnsi="宋体" w:cs="宋体"/>
                <w:color w:val="auto"/>
                <w:sz w:val="24"/>
                <w:highlight w:val="none"/>
                <w:lang w:val="en-US" w:eastAsia="zh-CN"/>
              </w:rPr>
              <w:t>列明</w:t>
            </w:r>
            <w:r>
              <w:rPr>
                <w:rFonts w:hint="eastAsia" w:ascii="宋体" w:hAnsi="宋体" w:cs="宋体"/>
                <w:color w:val="auto"/>
                <w:sz w:val="24"/>
                <w:highlight w:val="none"/>
              </w:rPr>
              <w:t>行业。</w:t>
            </w:r>
          </w:p>
          <w:p>
            <w:pPr>
              <w:widowControl/>
              <w:shd w:val="clear"/>
              <w:snapToGrid w:val="0"/>
              <w:spacing w:line="360" w:lineRule="exact"/>
              <w:jc w:val="left"/>
              <w:rPr>
                <w:rFonts w:hint="eastAsia" w:ascii="宋体" w:hAnsi="宋体" w:eastAsia="宋体" w:cs="宋体"/>
                <w:color w:val="auto"/>
                <w:sz w:val="24"/>
                <w:highlight w:val="none"/>
              </w:rPr>
            </w:pPr>
            <w:r>
              <w:rPr>
                <w:rFonts w:hint="eastAsia" w:ascii="宋体" w:hAnsi="宋体" w:eastAsia="宋体" w:cs="宋体"/>
                <w:color w:val="auto"/>
                <w:kern w:val="2"/>
                <w:sz w:val="24"/>
                <w:szCs w:val="24"/>
                <w:highlight w:val="none"/>
                <w:lang w:val="en-US" w:eastAsia="zh-CN" w:bidi="ar"/>
              </w:rPr>
              <w:t>从业人员300人以下的为中小微型企业。其中，从业人员100人及以上的为中型企业；从业人员10人及以上的为小型企业；从业人员10人 以下的为微型企业。</w:t>
            </w:r>
          </w:p>
          <w:p>
            <w:pPr>
              <w:shd w:val="clear"/>
              <w:spacing w:line="400" w:lineRule="exact"/>
              <w:rPr>
                <w:rFonts w:hint="eastAsia" w:ascii="新宋体" w:hAnsi="新宋体" w:eastAsia="新宋体"/>
                <w:color w:val="auto"/>
                <w:sz w:val="24"/>
                <w:highlight w:val="none"/>
              </w:rPr>
            </w:pPr>
            <w:r>
              <w:rPr>
                <w:rFonts w:hint="eastAsia" w:ascii="新宋体" w:hAnsi="新宋体" w:eastAsia="新宋体"/>
                <w:color w:val="auto"/>
                <w:sz w:val="24"/>
                <w:highlight w:val="none"/>
              </w:rPr>
              <w:t>特别说明：</w:t>
            </w:r>
          </w:p>
          <w:p>
            <w:pPr>
              <w:shd w:val="clear"/>
              <w:spacing w:line="400" w:lineRule="exact"/>
              <w:rPr>
                <w:rFonts w:hint="eastAsia" w:ascii="新宋体" w:hAnsi="新宋体" w:eastAsia="新宋体"/>
                <w:color w:val="auto"/>
                <w:sz w:val="24"/>
                <w:highlight w:val="none"/>
              </w:rPr>
            </w:pPr>
            <w:r>
              <w:rPr>
                <w:rFonts w:hint="eastAsia" w:ascii="新宋体" w:hAnsi="新宋体" w:eastAsia="新宋体"/>
                <w:color w:val="auto"/>
                <w:sz w:val="24"/>
                <w:highlight w:val="none"/>
              </w:rPr>
              <w:t>1.小微企业有关政策：</w:t>
            </w:r>
          </w:p>
          <w:p>
            <w:pPr>
              <w:shd w:val="clear"/>
              <w:spacing w:line="400" w:lineRule="exact"/>
              <w:rPr>
                <w:rFonts w:hint="eastAsia" w:ascii="新宋体" w:hAnsi="新宋体" w:eastAsia="新宋体"/>
                <w:color w:val="auto"/>
                <w:sz w:val="24"/>
                <w:highlight w:val="none"/>
              </w:rPr>
            </w:pPr>
            <w:r>
              <w:rPr>
                <w:rFonts w:hint="eastAsia" w:ascii="新宋体" w:hAnsi="新宋体" w:eastAsia="新宋体"/>
                <w:color w:val="auto"/>
                <w:sz w:val="24"/>
                <w:highlight w:val="none"/>
              </w:rPr>
              <w:t>（1）中型、小型和微型企业参与本项目的，投标文件中必须同时提供《中小企业声明函》。中小企业应当按照《政府采购促进中小企业发展管理办法》规定和《中小企业划型标准规定》（工信部联企业〔2011〕300号），如实填写并提交《中小企业声明函》。中小企业对其声明内容的真实性负责，声明函内容不实的，属于提供虚假材料谋取中标、成交，依照《中华人民共和国政府采购法》等国家有关规定追究相应责任。</w:t>
            </w:r>
          </w:p>
          <w:p>
            <w:pPr>
              <w:shd w:val="clear"/>
              <w:spacing w:line="400" w:lineRule="exact"/>
              <w:rPr>
                <w:rFonts w:hint="eastAsia" w:ascii="新宋体" w:hAnsi="新宋体" w:eastAsia="新宋体"/>
                <w:color w:val="auto"/>
                <w:sz w:val="24"/>
                <w:highlight w:val="none"/>
              </w:rPr>
            </w:pPr>
            <w:r>
              <w:rPr>
                <w:rFonts w:hint="eastAsia" w:ascii="新宋体" w:hAnsi="新宋体" w:eastAsia="新宋体"/>
                <w:color w:val="auto"/>
                <w:sz w:val="24"/>
                <w:highlight w:val="none"/>
              </w:rPr>
              <w:t>（2）财库〔2017〕141号的相关规定，在政府采购活动中，残疾人福利性单位视同小型、微型企业。属于享受政府采购支持政策的残疾人福利性单位， 应满足财库〔2017〕141号文件第一条的规定，并在投标文件中提供残疾人福利性单位声明函（见附件）。</w:t>
            </w:r>
          </w:p>
          <w:p>
            <w:pPr>
              <w:shd w:val="clear"/>
              <w:spacing w:line="400" w:lineRule="exact"/>
              <w:rPr>
                <w:rFonts w:hint="eastAsia" w:ascii="新宋体" w:hAnsi="新宋体" w:eastAsia="新宋体"/>
                <w:color w:val="auto"/>
                <w:sz w:val="24"/>
                <w:highlight w:val="none"/>
              </w:rPr>
            </w:pPr>
            <w:r>
              <w:rPr>
                <w:rFonts w:hint="eastAsia" w:ascii="新宋体" w:hAnsi="新宋体" w:eastAsia="新宋体"/>
                <w:color w:val="auto"/>
                <w:sz w:val="24"/>
                <w:highlight w:val="none"/>
              </w:rPr>
              <w:t>（3）财库[2014]68号的相关规定，在政府采购活动中，监狱企业视同小型、微型企业。属于监狱企业的，应当提供由省级以上监狱管理局、戒毒管理局(含新疆生产建设兵团)出具的属于监狱企业的说明文件。</w:t>
            </w:r>
          </w:p>
          <w:p>
            <w:pPr>
              <w:shd w:val="clear"/>
              <w:snapToGrid w:val="0"/>
              <w:spacing w:line="360" w:lineRule="exact"/>
              <w:rPr>
                <w:rFonts w:ascii="宋体" w:hAnsi="宋体" w:cs="宋体"/>
                <w:color w:val="auto"/>
                <w:highlight w:val="none"/>
              </w:rPr>
            </w:pPr>
            <w:r>
              <w:rPr>
                <w:rFonts w:hint="eastAsia" w:ascii="新宋体" w:hAnsi="新宋体" w:eastAsia="新宋体"/>
                <w:color w:val="auto"/>
                <w:sz w:val="24"/>
                <w:highlight w:val="none"/>
              </w:rPr>
              <w:t>（注：未提供以上材料的，均不得参加本项目的投标）。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801" w:type="dxa"/>
            <w:vAlign w:val="center"/>
          </w:tcPr>
          <w:p>
            <w:pPr>
              <w:shd w:val="clear"/>
              <w:snapToGrid w:val="0"/>
              <w:jc w:val="center"/>
              <w:rPr>
                <w:rFonts w:ascii="宋体" w:hAnsi="宋体" w:cs="宋体"/>
                <w:color w:val="auto"/>
                <w:sz w:val="24"/>
                <w:highlight w:val="none"/>
              </w:rPr>
            </w:pPr>
            <w:r>
              <w:rPr>
                <w:rFonts w:hint="eastAsia" w:ascii="宋体" w:hAnsi="宋体" w:cs="宋体"/>
                <w:color w:val="auto"/>
                <w:sz w:val="24"/>
                <w:highlight w:val="none"/>
              </w:rPr>
              <w:t>21</w:t>
            </w:r>
          </w:p>
        </w:tc>
        <w:tc>
          <w:tcPr>
            <w:tcW w:w="2409" w:type="dxa"/>
            <w:vAlign w:val="center"/>
          </w:tcPr>
          <w:p>
            <w:pPr>
              <w:shd w:val="clear"/>
              <w:snapToGrid w:val="0"/>
              <w:jc w:val="center"/>
              <w:rPr>
                <w:rFonts w:ascii="宋体" w:hAnsi="宋体" w:cs="宋体"/>
                <w:color w:val="auto"/>
                <w:sz w:val="24"/>
                <w:highlight w:val="none"/>
              </w:rPr>
            </w:pPr>
            <w:r>
              <w:rPr>
                <w:rFonts w:hint="eastAsia" w:ascii="宋体" w:hAnsi="宋体" w:cs="宋体"/>
                <w:color w:val="auto"/>
                <w:sz w:val="24"/>
                <w:highlight w:val="none"/>
              </w:rPr>
              <w:t>信用融资</w:t>
            </w:r>
          </w:p>
        </w:tc>
        <w:tc>
          <w:tcPr>
            <w:tcW w:w="7029" w:type="dxa"/>
            <w:vAlign w:val="center"/>
          </w:tcPr>
          <w:p>
            <w:pPr>
              <w:shd w:val="clear"/>
              <w:snapToGrid w:val="0"/>
              <w:spacing w:line="400" w:lineRule="exact"/>
              <w:rPr>
                <w:rFonts w:ascii="宋体" w:hAnsi="宋体" w:cs="宋体"/>
                <w:color w:val="auto"/>
                <w:sz w:val="24"/>
                <w:highlight w:val="none"/>
              </w:rPr>
            </w:pPr>
            <w:r>
              <w:rPr>
                <w:rFonts w:hint="eastAsia" w:ascii="宋体" w:hAnsi="宋体" w:cs="宋体"/>
                <w:color w:val="auto"/>
                <w:sz w:val="24"/>
                <w:highlight w:val="none"/>
              </w:rPr>
              <w:t>1.为支持和促进中小企业发展，进一步发挥政府采购政策功能，根据《义乌市政府采购支持中小企业信用融资暂行办法》，供应商若有融资意向，登录义乌市公共资源交易平台（http://ywjypt.yw.gov.cn/）“政采贷”专栏进行查询，查看信用融资政策文件及各相关银行服务方案。</w:t>
            </w:r>
          </w:p>
          <w:p>
            <w:pPr>
              <w:shd w:val="clear"/>
              <w:snapToGrid w:val="0"/>
              <w:spacing w:line="400" w:lineRule="exact"/>
              <w:rPr>
                <w:rFonts w:ascii="宋体" w:hAnsi="宋体" w:cs="宋体"/>
                <w:color w:val="auto"/>
                <w:sz w:val="24"/>
                <w:highlight w:val="none"/>
              </w:rPr>
            </w:pPr>
            <w:r>
              <w:rPr>
                <w:rFonts w:hint="eastAsia" w:ascii="宋体" w:hAnsi="宋体" w:cs="宋体"/>
                <w:color w:val="auto"/>
                <w:sz w:val="24"/>
                <w:highlight w:val="none"/>
              </w:rPr>
              <w:t>2.本项目中标人与采购人签订的政府采购合同适用于义乌市政府采购贷款政策，简称“政采贷”，具体内容可参阅《义乌市政府采购支持中小企业信用融资暂行办法》（http://www.yw.gov.cn/art/2021/8/12/art_1229559413_1754526.ht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jc w:val="center"/>
        </w:trPr>
        <w:tc>
          <w:tcPr>
            <w:tcW w:w="801" w:type="dxa"/>
            <w:vAlign w:val="center"/>
          </w:tcPr>
          <w:p>
            <w:pPr>
              <w:shd w:val="clear"/>
              <w:snapToGrid w:val="0"/>
              <w:jc w:val="center"/>
              <w:rPr>
                <w:rFonts w:ascii="宋体" w:hAnsi="宋体" w:cs="宋体"/>
                <w:color w:val="auto"/>
                <w:sz w:val="24"/>
                <w:highlight w:val="none"/>
              </w:rPr>
            </w:pPr>
            <w:r>
              <w:rPr>
                <w:rFonts w:hint="eastAsia" w:ascii="宋体" w:hAnsi="宋体" w:cs="宋体"/>
                <w:color w:val="auto"/>
                <w:sz w:val="24"/>
                <w:highlight w:val="none"/>
              </w:rPr>
              <w:t>22</w:t>
            </w:r>
          </w:p>
        </w:tc>
        <w:tc>
          <w:tcPr>
            <w:tcW w:w="2409" w:type="dxa"/>
            <w:vAlign w:val="center"/>
          </w:tcPr>
          <w:p>
            <w:pPr>
              <w:shd w:val="clear"/>
              <w:snapToGrid w:val="0"/>
              <w:spacing w:line="400" w:lineRule="exact"/>
              <w:jc w:val="center"/>
              <w:rPr>
                <w:rFonts w:ascii="宋体" w:hAnsi="宋体" w:cs="宋体"/>
                <w:color w:val="auto"/>
                <w:sz w:val="24"/>
                <w:highlight w:val="none"/>
              </w:rPr>
            </w:pPr>
            <w:r>
              <w:rPr>
                <w:rFonts w:hint="eastAsia" w:ascii="宋体" w:hAnsi="宋体" w:cs="宋体"/>
                <w:color w:val="auto"/>
                <w:sz w:val="24"/>
                <w:highlight w:val="none"/>
              </w:rPr>
              <w:t>不良行为、信用信息查询平台</w:t>
            </w:r>
          </w:p>
        </w:tc>
        <w:tc>
          <w:tcPr>
            <w:tcW w:w="7029" w:type="dxa"/>
            <w:vAlign w:val="center"/>
          </w:tcPr>
          <w:p>
            <w:pPr>
              <w:shd w:val="clear"/>
              <w:snapToGrid w:val="0"/>
              <w:spacing w:line="400" w:lineRule="exact"/>
              <w:rPr>
                <w:rFonts w:ascii="宋体" w:hAnsi="宋体" w:cs="宋体"/>
                <w:color w:val="auto"/>
                <w:sz w:val="24"/>
                <w:highlight w:val="none"/>
              </w:rPr>
            </w:pPr>
            <w:r>
              <w:rPr>
                <w:rFonts w:hint="eastAsia" w:ascii="宋体" w:hAnsi="宋体" w:cs="宋体"/>
                <w:color w:val="auto"/>
                <w:sz w:val="24"/>
                <w:highlight w:val="none"/>
              </w:rPr>
              <w:t>信用信息查询以开标当天查询结果为准，凡超出以下途径的查询结果在投标文件评审时一律不作为无效标依据：</w:t>
            </w:r>
          </w:p>
          <w:p>
            <w:pPr>
              <w:shd w:val="clear"/>
              <w:snapToGrid w:val="0"/>
              <w:spacing w:line="400" w:lineRule="exact"/>
              <w:rPr>
                <w:rFonts w:ascii="宋体" w:hAnsi="宋体" w:cs="宋体"/>
                <w:color w:val="auto"/>
                <w:sz w:val="24"/>
                <w:highlight w:val="none"/>
              </w:rPr>
            </w:pPr>
            <w:r>
              <w:rPr>
                <w:rFonts w:hint="eastAsia" w:ascii="宋体" w:hAnsi="宋体" w:cs="宋体"/>
                <w:color w:val="auto"/>
                <w:sz w:val="24"/>
                <w:highlight w:val="none"/>
              </w:rPr>
              <w:t>1.义乌市公共资源交易平台（网址：http://ywjypt.yw.gov.cn/）</w:t>
            </w:r>
          </w:p>
          <w:p>
            <w:pPr>
              <w:shd w:val="clear"/>
              <w:snapToGrid w:val="0"/>
              <w:spacing w:line="400" w:lineRule="exact"/>
              <w:rPr>
                <w:rFonts w:ascii="宋体" w:hAnsi="宋体" w:cs="宋体"/>
                <w:color w:val="auto"/>
                <w:sz w:val="24"/>
                <w:highlight w:val="none"/>
              </w:rPr>
            </w:pPr>
            <w:r>
              <w:rPr>
                <w:rFonts w:hint="eastAsia" w:ascii="宋体" w:hAnsi="宋体" w:cs="宋体"/>
                <w:color w:val="auto"/>
                <w:sz w:val="24"/>
                <w:highlight w:val="none"/>
              </w:rPr>
              <w:t>2.浙江政府采购网（http://www.zjzfcg.gov.cn/）</w:t>
            </w:r>
          </w:p>
          <w:p>
            <w:pPr>
              <w:shd w:val="clear"/>
              <w:snapToGrid w:val="0"/>
              <w:spacing w:line="400" w:lineRule="exact"/>
              <w:rPr>
                <w:rFonts w:ascii="宋体" w:hAnsi="宋体" w:cs="宋体"/>
                <w:color w:val="auto"/>
                <w:sz w:val="24"/>
                <w:highlight w:val="none"/>
              </w:rPr>
            </w:pPr>
            <w:r>
              <w:rPr>
                <w:rFonts w:hint="eastAsia" w:ascii="宋体" w:hAnsi="宋体" w:cs="宋体"/>
                <w:color w:val="auto"/>
                <w:sz w:val="24"/>
                <w:highlight w:val="none"/>
              </w:rPr>
              <w:t>3.信用中国（https://www.creditchina.gov.cn/）</w:t>
            </w:r>
          </w:p>
          <w:p>
            <w:pPr>
              <w:shd w:val="clear"/>
              <w:snapToGrid w:val="0"/>
              <w:spacing w:line="400" w:lineRule="exact"/>
              <w:rPr>
                <w:rFonts w:ascii="宋体" w:hAnsi="宋体" w:cs="宋体"/>
                <w:color w:val="auto"/>
                <w:highlight w:val="none"/>
              </w:rPr>
            </w:pPr>
            <w:r>
              <w:rPr>
                <w:rFonts w:hint="eastAsia" w:ascii="宋体" w:hAnsi="宋体" w:cs="宋体"/>
                <w:color w:val="auto"/>
                <w:sz w:val="24"/>
                <w:highlight w:val="none"/>
              </w:rPr>
              <w:t>4.中国政府采购网（http://www.ccgp.gov.cn）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801" w:type="dxa"/>
            <w:vAlign w:val="center"/>
          </w:tcPr>
          <w:p>
            <w:pPr>
              <w:shd w:val="clear"/>
              <w:snapToGrid w:val="0"/>
              <w:jc w:val="center"/>
              <w:rPr>
                <w:rFonts w:ascii="宋体" w:hAnsi="宋体" w:cs="宋体"/>
                <w:color w:val="auto"/>
                <w:sz w:val="24"/>
                <w:highlight w:val="none"/>
              </w:rPr>
            </w:pPr>
            <w:r>
              <w:rPr>
                <w:rFonts w:hint="eastAsia" w:ascii="宋体" w:hAnsi="宋体" w:cs="宋体"/>
                <w:color w:val="auto"/>
                <w:sz w:val="24"/>
                <w:highlight w:val="none"/>
              </w:rPr>
              <w:t>23</w:t>
            </w:r>
          </w:p>
        </w:tc>
        <w:tc>
          <w:tcPr>
            <w:tcW w:w="2409" w:type="dxa"/>
            <w:vAlign w:val="center"/>
          </w:tcPr>
          <w:p>
            <w:pPr>
              <w:shd w:val="clear"/>
              <w:snapToGrid w:val="0"/>
              <w:jc w:val="center"/>
              <w:rPr>
                <w:rFonts w:ascii="宋体" w:hAnsi="宋体" w:cs="宋体"/>
                <w:color w:val="auto"/>
                <w:sz w:val="24"/>
                <w:highlight w:val="none"/>
              </w:rPr>
            </w:pPr>
            <w:r>
              <w:rPr>
                <w:rFonts w:hint="eastAsia" w:ascii="宋体" w:hAnsi="宋体" w:cs="宋体"/>
                <w:color w:val="auto"/>
                <w:sz w:val="24"/>
                <w:highlight w:val="none"/>
              </w:rPr>
              <w:t>投标人发生下列情况之一时，将按严重失信行为上报信用办记入政府采购严重失信行为记录名单</w:t>
            </w:r>
          </w:p>
        </w:tc>
        <w:tc>
          <w:tcPr>
            <w:tcW w:w="7029" w:type="dxa"/>
            <w:vAlign w:val="center"/>
          </w:tcPr>
          <w:p>
            <w:pPr>
              <w:shd w:val="clear"/>
              <w:snapToGrid w:val="0"/>
              <w:spacing w:line="400" w:lineRule="exact"/>
              <w:rPr>
                <w:rFonts w:ascii="宋体" w:hAnsi="宋体" w:cs="宋体"/>
                <w:color w:val="auto"/>
                <w:sz w:val="24"/>
                <w:highlight w:val="none"/>
              </w:rPr>
            </w:pPr>
            <w:r>
              <w:rPr>
                <w:rFonts w:hint="eastAsia" w:ascii="宋体" w:hAnsi="宋体" w:cs="宋体"/>
                <w:color w:val="auto"/>
                <w:sz w:val="24"/>
                <w:highlight w:val="none"/>
              </w:rPr>
              <w:t>1.投标人在规定的投标有效期内撤回投标或放弃中标的；</w:t>
            </w:r>
          </w:p>
          <w:p>
            <w:pPr>
              <w:shd w:val="clear"/>
              <w:snapToGrid w:val="0"/>
              <w:spacing w:line="400" w:lineRule="exact"/>
              <w:rPr>
                <w:rFonts w:ascii="宋体" w:hAnsi="宋体" w:cs="宋体"/>
                <w:color w:val="auto"/>
                <w:sz w:val="24"/>
                <w:highlight w:val="none"/>
              </w:rPr>
            </w:pPr>
            <w:r>
              <w:rPr>
                <w:rFonts w:hint="eastAsia" w:ascii="宋体" w:hAnsi="宋体" w:cs="宋体"/>
                <w:color w:val="auto"/>
                <w:sz w:val="24"/>
                <w:highlight w:val="none"/>
              </w:rPr>
              <w:t>2.有意串标或提供虚假材料的；</w:t>
            </w:r>
          </w:p>
          <w:p>
            <w:pPr>
              <w:shd w:val="clear"/>
              <w:snapToGrid w:val="0"/>
              <w:spacing w:line="400" w:lineRule="exact"/>
              <w:rPr>
                <w:rFonts w:ascii="宋体" w:hAnsi="宋体" w:cs="宋体"/>
                <w:color w:val="auto"/>
                <w:sz w:val="24"/>
                <w:highlight w:val="none"/>
              </w:rPr>
            </w:pPr>
            <w:r>
              <w:rPr>
                <w:rFonts w:hint="eastAsia" w:ascii="宋体" w:hAnsi="宋体" w:cs="宋体"/>
                <w:color w:val="auto"/>
                <w:sz w:val="24"/>
                <w:highlight w:val="none"/>
              </w:rPr>
              <w:t>3.中标人在收到中标通知书后，因自身原因不能在投标有效期内和采购人签订合同；</w:t>
            </w:r>
          </w:p>
          <w:p>
            <w:pPr>
              <w:shd w:val="clear"/>
              <w:snapToGrid w:val="0"/>
              <w:spacing w:line="400" w:lineRule="exact"/>
              <w:rPr>
                <w:rFonts w:ascii="宋体" w:hAnsi="宋体" w:cs="宋体"/>
                <w:color w:val="auto"/>
                <w:sz w:val="24"/>
                <w:highlight w:val="none"/>
              </w:rPr>
            </w:pPr>
            <w:r>
              <w:rPr>
                <w:rFonts w:hint="eastAsia" w:ascii="宋体" w:hAnsi="宋体" w:cs="宋体"/>
                <w:color w:val="auto"/>
                <w:sz w:val="24"/>
                <w:highlight w:val="none"/>
              </w:rPr>
              <w:t>4.中标供应商在标后履约过程中未按合同约定的期限和要求履约的；</w:t>
            </w:r>
          </w:p>
          <w:p>
            <w:pPr>
              <w:shd w:val="clear"/>
              <w:snapToGrid w:val="0"/>
              <w:spacing w:line="400" w:lineRule="exact"/>
              <w:rPr>
                <w:rFonts w:ascii="宋体" w:hAnsi="宋体" w:cs="宋体"/>
                <w:color w:val="auto"/>
                <w:sz w:val="24"/>
                <w:highlight w:val="none"/>
              </w:rPr>
            </w:pPr>
            <w:r>
              <w:rPr>
                <w:rFonts w:hint="eastAsia" w:ascii="宋体" w:hAnsi="宋体" w:cs="宋体"/>
                <w:color w:val="auto"/>
                <w:sz w:val="24"/>
                <w:highlight w:val="none"/>
              </w:rPr>
              <w:t>5.因中标供应商原因在标后履约过程中擅自终止合同的；</w:t>
            </w:r>
          </w:p>
          <w:p>
            <w:pPr>
              <w:shd w:val="clear"/>
              <w:snapToGrid w:val="0"/>
              <w:spacing w:line="400" w:lineRule="exact"/>
              <w:rPr>
                <w:rFonts w:ascii="宋体" w:hAnsi="宋体" w:cs="宋体"/>
                <w:color w:val="auto"/>
                <w:sz w:val="24"/>
                <w:highlight w:val="none"/>
              </w:rPr>
            </w:pPr>
            <w:r>
              <w:rPr>
                <w:rFonts w:hint="eastAsia" w:ascii="宋体" w:hAnsi="宋体" w:cs="宋体"/>
                <w:color w:val="auto"/>
                <w:sz w:val="24"/>
                <w:highlight w:val="none"/>
              </w:rPr>
              <w:t>6.不符合采购文件要求的其他失信行为；</w:t>
            </w:r>
          </w:p>
          <w:p>
            <w:pPr>
              <w:shd w:val="clear"/>
              <w:snapToGrid w:val="0"/>
              <w:spacing w:line="400" w:lineRule="exact"/>
              <w:rPr>
                <w:rFonts w:ascii="宋体" w:hAnsi="宋体" w:cs="宋体"/>
                <w:color w:val="auto"/>
                <w:sz w:val="24"/>
                <w:highlight w:val="none"/>
              </w:rPr>
            </w:pPr>
            <w:r>
              <w:rPr>
                <w:rFonts w:hint="eastAsia" w:ascii="宋体" w:hAnsi="宋体" w:cs="宋体"/>
                <w:color w:val="auto"/>
                <w:sz w:val="24"/>
                <w:highlight w:val="none"/>
              </w:rPr>
              <w:t>7.中标人未按采购文件规定缴纳招标代理费的。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801" w:type="dxa"/>
            <w:vAlign w:val="center"/>
          </w:tcPr>
          <w:p>
            <w:pPr>
              <w:shd w:val="clear"/>
              <w:snapToGrid w:val="0"/>
              <w:jc w:val="center"/>
              <w:rPr>
                <w:rFonts w:ascii="宋体" w:hAnsi="宋体" w:cs="宋体"/>
                <w:color w:val="auto"/>
                <w:sz w:val="24"/>
                <w:highlight w:val="none"/>
              </w:rPr>
            </w:pPr>
            <w:r>
              <w:rPr>
                <w:rFonts w:hint="eastAsia" w:ascii="宋体" w:hAnsi="宋体" w:cs="宋体"/>
                <w:color w:val="auto"/>
                <w:sz w:val="24"/>
                <w:highlight w:val="none"/>
              </w:rPr>
              <w:t>24</w:t>
            </w:r>
          </w:p>
        </w:tc>
        <w:tc>
          <w:tcPr>
            <w:tcW w:w="2409" w:type="dxa"/>
            <w:vAlign w:val="center"/>
          </w:tcPr>
          <w:p>
            <w:pPr>
              <w:shd w:val="clear"/>
              <w:snapToGrid w:val="0"/>
              <w:jc w:val="center"/>
              <w:rPr>
                <w:rFonts w:ascii="宋体" w:hAnsi="宋体" w:cs="宋体"/>
                <w:color w:val="auto"/>
                <w:sz w:val="24"/>
                <w:highlight w:val="none"/>
              </w:rPr>
            </w:pPr>
            <w:r>
              <w:rPr>
                <w:rFonts w:hint="eastAsia" w:ascii="宋体" w:hAnsi="宋体" w:cs="宋体"/>
                <w:color w:val="auto"/>
                <w:sz w:val="24"/>
                <w:highlight w:val="none"/>
              </w:rPr>
              <w:t>其他</w:t>
            </w:r>
          </w:p>
        </w:tc>
        <w:tc>
          <w:tcPr>
            <w:tcW w:w="7029" w:type="dxa"/>
            <w:vAlign w:val="center"/>
          </w:tcPr>
          <w:p>
            <w:pPr>
              <w:shd w:val="clear"/>
              <w:snapToGrid w:val="0"/>
              <w:spacing w:line="400" w:lineRule="exact"/>
              <w:rPr>
                <w:rFonts w:ascii="宋体" w:hAnsi="宋体" w:cs="宋体"/>
                <w:color w:val="auto"/>
                <w:sz w:val="24"/>
                <w:highlight w:val="none"/>
              </w:rPr>
            </w:pPr>
            <w:r>
              <w:rPr>
                <w:rFonts w:hint="eastAsia" w:ascii="宋体" w:hAnsi="宋体" w:cs="宋体"/>
                <w:b/>
                <w:bCs/>
                <w:color w:val="auto"/>
                <w:sz w:val="24"/>
                <w:highlight w:val="none"/>
              </w:rPr>
              <w:t>1.</w:t>
            </w:r>
            <w:r>
              <w:rPr>
                <w:rFonts w:hint="eastAsia" w:ascii="宋体" w:hAnsi="宋体" w:cs="宋体"/>
                <w:b/>
                <w:color w:val="auto"/>
                <w:sz w:val="24"/>
                <w:highlight w:val="none"/>
              </w:rPr>
              <w:t>本项目设有预算价(最高限价)</w:t>
            </w:r>
            <w:r>
              <w:rPr>
                <w:rFonts w:hint="eastAsia" w:ascii="宋体" w:hAnsi="宋体" w:cs="宋体"/>
                <w:color w:val="auto"/>
                <w:sz w:val="24"/>
                <w:highlight w:val="none"/>
              </w:rPr>
              <w:t>，投标报价超过</w:t>
            </w:r>
            <w:r>
              <w:rPr>
                <w:rFonts w:hint="eastAsia" w:ascii="宋体" w:hAnsi="宋体" w:cs="宋体"/>
                <w:b/>
                <w:color w:val="auto"/>
                <w:sz w:val="24"/>
                <w:highlight w:val="none"/>
              </w:rPr>
              <w:t>预算价(最高限价)</w:t>
            </w:r>
            <w:r>
              <w:rPr>
                <w:rFonts w:hint="eastAsia" w:ascii="宋体" w:hAnsi="宋体" w:cs="宋体"/>
                <w:color w:val="auto"/>
                <w:sz w:val="24"/>
                <w:highlight w:val="none"/>
              </w:rPr>
              <w:t>的，其投标均为无效标。</w:t>
            </w:r>
          </w:p>
          <w:p>
            <w:pPr>
              <w:shd w:val="clear"/>
              <w:snapToGrid w:val="0"/>
              <w:spacing w:line="400" w:lineRule="exact"/>
              <w:rPr>
                <w:rFonts w:ascii="宋体" w:hAnsi="宋体" w:cs="宋体"/>
                <w:color w:val="auto"/>
                <w:sz w:val="24"/>
                <w:highlight w:val="none"/>
              </w:rPr>
            </w:pPr>
            <w:r>
              <w:rPr>
                <w:rFonts w:hint="eastAsia" w:ascii="宋体" w:hAnsi="宋体" w:cs="宋体"/>
                <w:color w:val="auto"/>
                <w:sz w:val="24"/>
                <w:highlight w:val="none"/>
              </w:rPr>
              <w:t>2</w:t>
            </w:r>
            <w:r>
              <w:rPr>
                <w:rFonts w:hint="eastAsia" w:ascii="宋体" w:hAnsi="宋体" w:cs="宋体"/>
                <w:b/>
                <w:bCs/>
                <w:color w:val="auto"/>
                <w:sz w:val="24"/>
                <w:highlight w:val="none"/>
              </w:rPr>
              <w:t>.</w:t>
            </w:r>
            <w:r>
              <w:rPr>
                <w:rFonts w:hint="eastAsia" w:ascii="宋体" w:hAnsi="宋体" w:cs="宋体"/>
                <w:color w:val="auto"/>
                <w:sz w:val="24"/>
                <w:highlight w:val="none"/>
              </w:rPr>
              <w:t>采购文件中要求投标人在制作投标文件时，提供的复印件必须根据评审细则对评审的内容复印完整、清晰可辨，否则在评审时以最不利于投标人原则评审。</w:t>
            </w:r>
          </w:p>
        </w:tc>
      </w:tr>
    </w:tbl>
    <w:p>
      <w:pPr>
        <w:shd w:val="clear"/>
        <w:spacing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注：投标须知前附表内容与本采购文件后述内容不一致的，以投标须知前附表为准。</w:t>
      </w:r>
    </w:p>
    <w:p>
      <w:pPr>
        <w:pStyle w:val="5"/>
        <w:shd w:val="clear"/>
        <w:spacing w:before="0" w:after="0" w:line="360" w:lineRule="auto"/>
        <w:jc w:val="center"/>
        <w:rPr>
          <w:rFonts w:ascii="宋体" w:hAnsi="宋体" w:cs="宋体"/>
          <w:color w:val="auto"/>
          <w:sz w:val="36"/>
          <w:szCs w:val="36"/>
          <w:highlight w:val="none"/>
        </w:rPr>
      </w:pPr>
      <w:bookmarkStart w:id="4" w:name="_Toc362250686"/>
      <w:bookmarkStart w:id="5" w:name="_Toc274303228"/>
      <w:r>
        <w:rPr>
          <w:rFonts w:hint="eastAsia" w:ascii="宋体" w:hAnsi="宋体" w:cs="宋体"/>
          <w:color w:val="auto"/>
          <w:sz w:val="36"/>
          <w:szCs w:val="36"/>
          <w:highlight w:val="none"/>
        </w:rPr>
        <w:br w:type="page"/>
      </w:r>
      <w:bookmarkStart w:id="6" w:name="_Toc23978"/>
      <w:bookmarkStart w:id="7" w:name="_Toc12246"/>
      <w:bookmarkStart w:id="8" w:name="_Toc30784"/>
      <w:r>
        <w:rPr>
          <w:rFonts w:hint="eastAsia" w:ascii="宋体" w:hAnsi="宋体" w:cs="宋体"/>
          <w:color w:val="auto"/>
          <w:sz w:val="36"/>
          <w:szCs w:val="36"/>
          <w:highlight w:val="none"/>
        </w:rPr>
        <w:t>投标须知</w:t>
      </w:r>
      <w:bookmarkEnd w:id="4"/>
      <w:bookmarkEnd w:id="5"/>
      <w:bookmarkEnd w:id="6"/>
      <w:bookmarkEnd w:id="7"/>
      <w:bookmarkEnd w:id="8"/>
    </w:p>
    <w:p>
      <w:pPr>
        <w:shd w:val="clear"/>
        <w:spacing w:line="360" w:lineRule="auto"/>
        <w:rPr>
          <w:rFonts w:ascii="宋体" w:hAnsi="宋体" w:cs="宋体"/>
          <w:b/>
          <w:bCs/>
          <w:color w:val="auto"/>
          <w:sz w:val="28"/>
          <w:szCs w:val="28"/>
          <w:highlight w:val="none"/>
        </w:rPr>
      </w:pPr>
      <w:bookmarkStart w:id="9" w:name="_Toc274303229"/>
      <w:bookmarkStart w:id="10" w:name="_Ref444162956"/>
      <w:bookmarkStart w:id="11" w:name="_Ref444162955"/>
      <w:bookmarkStart w:id="12" w:name="_Ref444162953"/>
      <w:bookmarkStart w:id="13" w:name="_Toc8423"/>
      <w:bookmarkStart w:id="14" w:name="_Toc362250687"/>
      <w:bookmarkStart w:id="15" w:name="_Toc20504"/>
      <w:r>
        <w:rPr>
          <w:rFonts w:hint="eastAsia" w:ascii="宋体" w:hAnsi="宋体" w:cs="宋体"/>
          <w:b/>
          <w:bCs/>
          <w:color w:val="auto"/>
          <w:sz w:val="28"/>
          <w:szCs w:val="28"/>
          <w:highlight w:val="none"/>
        </w:rPr>
        <w:t>一、说明</w:t>
      </w:r>
      <w:bookmarkEnd w:id="9"/>
      <w:bookmarkEnd w:id="10"/>
      <w:bookmarkEnd w:id="11"/>
      <w:bookmarkEnd w:id="12"/>
      <w:bookmarkEnd w:id="13"/>
      <w:bookmarkEnd w:id="14"/>
      <w:bookmarkEnd w:id="15"/>
    </w:p>
    <w:p>
      <w:pPr>
        <w:pStyle w:val="2"/>
        <w:shd w:val="clear"/>
        <w:adjustRightInd w:val="0"/>
        <w:spacing w:line="360" w:lineRule="auto"/>
        <w:ind w:firstLine="482" w:firstLineChars="200"/>
        <w:jc w:val="both"/>
        <w:rPr>
          <w:rFonts w:cs="宋体"/>
          <w:color w:val="auto"/>
          <w:sz w:val="24"/>
          <w:szCs w:val="24"/>
          <w:highlight w:val="none"/>
        </w:rPr>
      </w:pPr>
      <w:r>
        <w:rPr>
          <w:rFonts w:hint="eastAsia" w:cs="宋体"/>
          <w:color w:val="auto"/>
          <w:sz w:val="24"/>
          <w:szCs w:val="24"/>
          <w:highlight w:val="none"/>
        </w:rPr>
        <w:t>1.适用范围</w:t>
      </w:r>
    </w:p>
    <w:p>
      <w:pPr>
        <w:pStyle w:val="2"/>
        <w:shd w:val="clear"/>
        <w:adjustRightInd w:val="0"/>
        <w:snapToGrid w:val="0"/>
        <w:spacing w:line="360" w:lineRule="auto"/>
        <w:ind w:firstLine="480" w:firstLineChars="200"/>
        <w:jc w:val="both"/>
        <w:rPr>
          <w:rFonts w:cs="宋体"/>
          <w:b w:val="0"/>
          <w:bCs w:val="0"/>
          <w:color w:val="auto"/>
          <w:sz w:val="24"/>
          <w:szCs w:val="24"/>
          <w:highlight w:val="none"/>
        </w:rPr>
      </w:pPr>
      <w:r>
        <w:rPr>
          <w:rFonts w:hint="eastAsia" w:cs="宋体"/>
          <w:b w:val="0"/>
          <w:bCs w:val="0"/>
          <w:color w:val="auto"/>
          <w:sz w:val="24"/>
          <w:szCs w:val="24"/>
          <w:highlight w:val="none"/>
        </w:rPr>
        <w:t>1.1 本采购文件仅适用于本次招标采购所叙述的货物和服务项目。</w:t>
      </w:r>
    </w:p>
    <w:p>
      <w:pPr>
        <w:pStyle w:val="2"/>
        <w:shd w:val="clear"/>
        <w:adjustRightInd w:val="0"/>
        <w:snapToGrid w:val="0"/>
        <w:spacing w:line="360" w:lineRule="auto"/>
        <w:ind w:firstLine="482" w:firstLineChars="200"/>
        <w:jc w:val="both"/>
        <w:rPr>
          <w:rFonts w:cs="宋体"/>
          <w:color w:val="auto"/>
          <w:sz w:val="24"/>
          <w:szCs w:val="24"/>
          <w:highlight w:val="none"/>
        </w:rPr>
      </w:pPr>
      <w:r>
        <w:rPr>
          <w:rFonts w:hint="eastAsia" w:cs="宋体"/>
          <w:color w:val="auto"/>
          <w:sz w:val="24"/>
          <w:szCs w:val="24"/>
          <w:highlight w:val="none"/>
        </w:rPr>
        <w:t>2.定义</w:t>
      </w:r>
    </w:p>
    <w:p>
      <w:pPr>
        <w:pStyle w:val="13"/>
        <w:shd w:val="clear"/>
        <w:adjustRightInd w:val="0"/>
        <w:snapToGrid w:val="0"/>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2.1采购人：系指义乌市人民政府廿三里街道办事处。</w:t>
      </w:r>
    </w:p>
    <w:p>
      <w:pPr>
        <w:pStyle w:val="13"/>
        <w:shd w:val="clear"/>
        <w:adjustRightInd w:val="0"/>
        <w:snapToGrid w:val="0"/>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2.2采购代理机构：系指浙江明达工程造价咨询有限公司。</w:t>
      </w:r>
    </w:p>
    <w:p>
      <w:pPr>
        <w:pStyle w:val="13"/>
        <w:shd w:val="clear"/>
        <w:adjustRightInd w:val="0"/>
        <w:snapToGrid w:val="0"/>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2.3投标人：系指响应招标并且符合采购文件规定资格条件和参加投标竞争的供应商。</w:t>
      </w:r>
    </w:p>
    <w:p>
      <w:pPr>
        <w:pStyle w:val="13"/>
        <w:shd w:val="clear"/>
        <w:adjustRightInd w:val="0"/>
        <w:snapToGrid w:val="0"/>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2.4服务：系指采购文件规定投标人须承担的劳务及其它类似的服务。</w:t>
      </w:r>
    </w:p>
    <w:p>
      <w:pPr>
        <w:pStyle w:val="14"/>
        <w:shd w:val="clear"/>
        <w:adjustRightInd w:val="0"/>
        <w:snapToGrid w:val="0"/>
        <w:ind w:firstLineChars="200"/>
        <w:rPr>
          <w:rFonts w:hAnsi="宋体" w:eastAsia="宋体" w:cs="宋体"/>
          <w:color w:val="auto"/>
          <w:szCs w:val="24"/>
          <w:highlight w:val="none"/>
        </w:rPr>
      </w:pPr>
      <w:r>
        <w:rPr>
          <w:rFonts w:hint="eastAsia" w:hAnsi="宋体" w:eastAsia="宋体" w:cs="宋体"/>
          <w:color w:val="auto"/>
          <w:szCs w:val="24"/>
          <w:highlight w:val="none"/>
        </w:rPr>
        <w:t>2.5货物：系指按采购文件规定投标人须向采购人提供的一切材料、设备、机械、仪器仪表、工具及其它有关技术资料和文字材料。</w:t>
      </w:r>
    </w:p>
    <w:p>
      <w:pPr>
        <w:pStyle w:val="2"/>
        <w:shd w:val="clear"/>
        <w:snapToGrid w:val="0"/>
        <w:spacing w:line="360" w:lineRule="auto"/>
        <w:ind w:firstLine="480" w:firstLineChars="200"/>
        <w:jc w:val="both"/>
        <w:rPr>
          <w:rFonts w:cs="宋体"/>
          <w:b w:val="0"/>
          <w:color w:val="auto"/>
          <w:sz w:val="24"/>
          <w:szCs w:val="24"/>
          <w:highlight w:val="none"/>
        </w:rPr>
      </w:pPr>
      <w:r>
        <w:rPr>
          <w:rFonts w:hint="eastAsia" w:cs="宋体"/>
          <w:b w:val="0"/>
          <w:color w:val="auto"/>
          <w:sz w:val="24"/>
          <w:szCs w:val="24"/>
          <w:highlight w:val="none"/>
        </w:rPr>
        <w:t>2.6甲方：即采购人，在招投标阶段称为采购人，在签订和执行合同阶段称为甲方。</w:t>
      </w:r>
    </w:p>
    <w:p>
      <w:pPr>
        <w:pStyle w:val="2"/>
        <w:shd w:val="clear"/>
        <w:snapToGrid w:val="0"/>
        <w:spacing w:line="360" w:lineRule="auto"/>
        <w:ind w:firstLine="480" w:firstLineChars="200"/>
        <w:jc w:val="both"/>
        <w:rPr>
          <w:rFonts w:cs="宋体"/>
          <w:color w:val="auto"/>
          <w:sz w:val="24"/>
          <w:szCs w:val="24"/>
          <w:highlight w:val="none"/>
        </w:rPr>
      </w:pPr>
      <w:r>
        <w:rPr>
          <w:rFonts w:hint="eastAsia" w:cs="宋体"/>
          <w:b w:val="0"/>
          <w:color w:val="auto"/>
          <w:sz w:val="24"/>
          <w:szCs w:val="24"/>
          <w:highlight w:val="none"/>
        </w:rPr>
        <w:t>2.7乙方：在招投标阶段称为投标人，中标后在签订和执行合同阶段称为乙方。</w:t>
      </w:r>
    </w:p>
    <w:p>
      <w:pPr>
        <w:pStyle w:val="14"/>
        <w:shd w:val="clear"/>
        <w:adjustRightInd w:val="0"/>
        <w:snapToGrid w:val="0"/>
        <w:ind w:firstLineChars="200"/>
        <w:rPr>
          <w:rFonts w:hAnsi="宋体" w:eastAsia="宋体" w:cs="宋体"/>
          <w:color w:val="auto"/>
          <w:szCs w:val="24"/>
          <w:highlight w:val="none"/>
        </w:rPr>
      </w:pPr>
      <w:r>
        <w:rPr>
          <w:rFonts w:hint="eastAsia" w:hAnsi="宋体" w:eastAsia="宋体" w:cs="宋体"/>
          <w:color w:val="auto"/>
          <w:szCs w:val="24"/>
          <w:highlight w:val="none"/>
        </w:rPr>
        <w:t>2.8“原产地”是指货物开采、生长或生产、或提供有关服务的来源地。</w:t>
      </w:r>
    </w:p>
    <w:p>
      <w:pPr>
        <w:pStyle w:val="14"/>
        <w:shd w:val="clear"/>
        <w:adjustRightInd w:val="0"/>
        <w:snapToGrid w:val="0"/>
        <w:ind w:firstLineChars="200"/>
        <w:rPr>
          <w:rFonts w:hAnsi="宋体" w:eastAsia="宋体" w:cs="宋体"/>
          <w:color w:val="auto"/>
          <w:kern w:val="0"/>
          <w:szCs w:val="24"/>
          <w:highlight w:val="none"/>
        </w:rPr>
      </w:pPr>
      <w:r>
        <w:rPr>
          <w:rFonts w:hint="eastAsia" w:hAnsi="宋体" w:eastAsia="宋体" w:cs="宋体"/>
          <w:color w:val="auto"/>
          <w:szCs w:val="24"/>
          <w:highlight w:val="none"/>
        </w:rPr>
        <w:t>2.9“★”标记系指必须满足不能负偏离或必须应答的条款。</w:t>
      </w:r>
    </w:p>
    <w:p>
      <w:pPr>
        <w:pStyle w:val="2"/>
        <w:shd w:val="clear"/>
        <w:adjustRightInd w:val="0"/>
        <w:snapToGrid w:val="0"/>
        <w:spacing w:line="360" w:lineRule="auto"/>
        <w:ind w:firstLine="482" w:firstLineChars="200"/>
        <w:jc w:val="both"/>
        <w:rPr>
          <w:rFonts w:cs="宋体"/>
          <w:color w:val="auto"/>
          <w:sz w:val="24"/>
          <w:szCs w:val="24"/>
          <w:highlight w:val="none"/>
        </w:rPr>
      </w:pPr>
      <w:r>
        <w:rPr>
          <w:rFonts w:hint="eastAsia" w:cs="宋体"/>
          <w:color w:val="auto"/>
          <w:sz w:val="24"/>
          <w:szCs w:val="24"/>
          <w:highlight w:val="none"/>
        </w:rPr>
        <w:t>3.合格的投标人</w:t>
      </w:r>
    </w:p>
    <w:p>
      <w:pPr>
        <w:pStyle w:val="2"/>
        <w:shd w:val="clear"/>
        <w:snapToGrid w:val="0"/>
        <w:spacing w:line="360" w:lineRule="auto"/>
        <w:ind w:firstLine="480" w:firstLineChars="200"/>
        <w:jc w:val="both"/>
        <w:rPr>
          <w:rFonts w:cs="宋体"/>
          <w:b w:val="0"/>
          <w:bCs w:val="0"/>
          <w:color w:val="auto"/>
          <w:sz w:val="24"/>
          <w:szCs w:val="24"/>
          <w:highlight w:val="none"/>
        </w:rPr>
      </w:pPr>
      <w:r>
        <w:rPr>
          <w:rFonts w:hint="eastAsia" w:cs="宋体"/>
          <w:b w:val="0"/>
          <w:bCs w:val="0"/>
          <w:color w:val="auto"/>
          <w:sz w:val="24"/>
          <w:szCs w:val="24"/>
          <w:highlight w:val="none"/>
        </w:rPr>
        <w:t>3.1符合采购公告中要求的条件。</w:t>
      </w:r>
    </w:p>
    <w:p>
      <w:pPr>
        <w:pStyle w:val="2"/>
        <w:shd w:val="clear"/>
        <w:snapToGrid w:val="0"/>
        <w:spacing w:line="360" w:lineRule="auto"/>
        <w:ind w:firstLine="480" w:firstLineChars="200"/>
        <w:jc w:val="both"/>
        <w:rPr>
          <w:rFonts w:cs="宋体"/>
          <w:b w:val="0"/>
          <w:bCs w:val="0"/>
          <w:color w:val="auto"/>
          <w:sz w:val="24"/>
          <w:szCs w:val="24"/>
          <w:highlight w:val="none"/>
        </w:rPr>
      </w:pPr>
      <w:r>
        <w:rPr>
          <w:rFonts w:hint="eastAsia" w:cs="宋体"/>
          <w:b w:val="0"/>
          <w:bCs w:val="0"/>
          <w:color w:val="auto"/>
          <w:sz w:val="24"/>
          <w:szCs w:val="24"/>
          <w:highlight w:val="none"/>
        </w:rPr>
        <w:t>3.2获取采购文件的投标人，并不能被认定为投标人资格已合格。投标人的资格是否符合采购文件要求，以评标小组认定为准。</w:t>
      </w:r>
    </w:p>
    <w:p>
      <w:pPr>
        <w:shd w:val="clear"/>
        <w:snapToGrid w:val="0"/>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4</w:t>
      </w:r>
      <w:r>
        <w:rPr>
          <w:rFonts w:hint="eastAsia" w:ascii="宋体" w:hAnsi="宋体" w:cs="宋体"/>
          <w:color w:val="auto"/>
          <w:sz w:val="24"/>
          <w:highlight w:val="none"/>
        </w:rPr>
        <w:t>.</w:t>
      </w:r>
      <w:r>
        <w:rPr>
          <w:rFonts w:hint="eastAsia" w:ascii="宋体" w:hAnsi="宋体" w:cs="宋体"/>
          <w:b/>
          <w:color w:val="auto"/>
          <w:sz w:val="24"/>
          <w:highlight w:val="none"/>
        </w:rPr>
        <w:t>保证</w:t>
      </w:r>
    </w:p>
    <w:p>
      <w:pPr>
        <w:pStyle w:val="2"/>
        <w:shd w:val="clear"/>
        <w:snapToGrid w:val="0"/>
        <w:spacing w:line="360" w:lineRule="auto"/>
        <w:ind w:firstLine="480" w:firstLineChars="200"/>
        <w:jc w:val="both"/>
        <w:rPr>
          <w:rFonts w:cs="宋体"/>
          <w:b w:val="0"/>
          <w:bCs w:val="0"/>
          <w:color w:val="auto"/>
          <w:sz w:val="24"/>
          <w:szCs w:val="24"/>
          <w:highlight w:val="none"/>
        </w:rPr>
      </w:pPr>
      <w:r>
        <w:rPr>
          <w:rFonts w:hint="eastAsia" w:cs="宋体"/>
          <w:b w:val="0"/>
          <w:bCs w:val="0"/>
          <w:color w:val="auto"/>
          <w:sz w:val="24"/>
          <w:szCs w:val="24"/>
          <w:highlight w:val="none"/>
        </w:rPr>
        <w:t>4.1投标单位应保证所提交给招标机构和采购人的资料和数据是真实的。</w:t>
      </w:r>
    </w:p>
    <w:p>
      <w:pPr>
        <w:pStyle w:val="13"/>
        <w:shd w:val="clear"/>
        <w:spacing w:line="360" w:lineRule="auto"/>
        <w:ind w:firstLine="482" w:firstLineChars="200"/>
        <w:rPr>
          <w:rFonts w:hAnsi="宋体" w:cs="宋体"/>
          <w:b/>
          <w:color w:val="auto"/>
          <w:sz w:val="24"/>
          <w:szCs w:val="24"/>
          <w:highlight w:val="none"/>
        </w:rPr>
      </w:pPr>
      <w:r>
        <w:rPr>
          <w:rFonts w:hint="eastAsia" w:hAnsi="宋体" w:cs="宋体"/>
          <w:b/>
          <w:color w:val="auto"/>
          <w:sz w:val="24"/>
          <w:szCs w:val="24"/>
          <w:highlight w:val="none"/>
        </w:rPr>
        <w:t>5</w:t>
      </w:r>
      <w:r>
        <w:rPr>
          <w:rFonts w:hint="eastAsia" w:hAnsi="宋体" w:cs="宋体"/>
          <w:color w:val="auto"/>
          <w:sz w:val="24"/>
          <w:szCs w:val="24"/>
          <w:highlight w:val="none"/>
        </w:rPr>
        <w:t>.</w:t>
      </w:r>
      <w:r>
        <w:rPr>
          <w:rFonts w:hint="eastAsia" w:hAnsi="宋体" w:cs="宋体"/>
          <w:b/>
          <w:color w:val="auto"/>
          <w:sz w:val="24"/>
          <w:szCs w:val="24"/>
          <w:highlight w:val="none"/>
        </w:rPr>
        <w:t>招标投标费用</w:t>
      </w:r>
    </w:p>
    <w:p>
      <w:pPr>
        <w:pStyle w:val="2"/>
        <w:shd w:val="clear"/>
        <w:snapToGrid w:val="0"/>
        <w:spacing w:line="360" w:lineRule="auto"/>
        <w:ind w:firstLine="480" w:firstLineChars="200"/>
        <w:jc w:val="both"/>
        <w:rPr>
          <w:rFonts w:cs="宋体"/>
          <w:b w:val="0"/>
          <w:bCs w:val="0"/>
          <w:color w:val="auto"/>
          <w:sz w:val="24"/>
          <w:szCs w:val="24"/>
          <w:highlight w:val="none"/>
        </w:rPr>
      </w:pPr>
      <w:r>
        <w:rPr>
          <w:rFonts w:hint="eastAsia" w:cs="宋体"/>
          <w:b w:val="0"/>
          <w:bCs w:val="0"/>
          <w:color w:val="auto"/>
          <w:sz w:val="24"/>
          <w:szCs w:val="24"/>
          <w:highlight w:val="none"/>
        </w:rPr>
        <w:t>5.1不论投标过程中的作法和结果如何，投标人应承担所有与投标有关的全部费用。采购人和采购代理机构在任何情况下均无义务和责任承担上述这些费用。</w:t>
      </w:r>
    </w:p>
    <w:p>
      <w:pPr>
        <w:pStyle w:val="13"/>
        <w:shd w:val="clear"/>
        <w:snapToGrid w:val="0"/>
        <w:spacing w:line="360" w:lineRule="auto"/>
        <w:ind w:firstLine="482" w:firstLineChars="200"/>
        <w:rPr>
          <w:rFonts w:hAnsi="宋体" w:cs="宋体"/>
          <w:b/>
          <w:color w:val="auto"/>
          <w:sz w:val="24"/>
          <w:szCs w:val="24"/>
          <w:highlight w:val="none"/>
        </w:rPr>
      </w:pPr>
      <w:r>
        <w:rPr>
          <w:rFonts w:hint="eastAsia" w:hAnsi="宋体" w:cs="宋体"/>
          <w:b/>
          <w:color w:val="auto"/>
          <w:sz w:val="24"/>
          <w:szCs w:val="24"/>
          <w:highlight w:val="none"/>
        </w:rPr>
        <w:t>5.2 采购代理服务费</w:t>
      </w:r>
    </w:p>
    <w:p>
      <w:pPr>
        <w:pStyle w:val="2"/>
        <w:shd w:val="clear"/>
        <w:snapToGrid w:val="0"/>
        <w:spacing w:line="360" w:lineRule="auto"/>
        <w:ind w:firstLine="480" w:firstLineChars="200"/>
        <w:jc w:val="both"/>
        <w:rPr>
          <w:rFonts w:cs="宋体"/>
          <w:b w:val="0"/>
          <w:bCs w:val="0"/>
          <w:color w:val="auto"/>
          <w:sz w:val="24"/>
          <w:szCs w:val="24"/>
          <w:highlight w:val="none"/>
        </w:rPr>
      </w:pPr>
      <w:r>
        <w:rPr>
          <w:rFonts w:hint="eastAsia" w:cs="宋体"/>
          <w:b w:val="0"/>
          <w:bCs w:val="0"/>
          <w:color w:val="auto"/>
          <w:sz w:val="24"/>
          <w:szCs w:val="24"/>
          <w:highlight w:val="none"/>
        </w:rPr>
        <w:t>5.2.1中标人须向采购代理机构交纳采购代理服务费，采购代理服务费按不超过中标总金额的1.5%计算。计算示例：招标代理服务收费按差额定率累进法计算。例如：某服务招标代理业务中标金额为</w:t>
      </w:r>
      <w:r>
        <w:rPr>
          <w:rFonts w:hint="eastAsia" w:cs="宋体"/>
          <w:b w:val="0"/>
          <w:bCs w:val="0"/>
          <w:color w:val="auto"/>
          <w:sz w:val="24"/>
          <w:szCs w:val="24"/>
          <w:highlight w:val="none"/>
          <w:lang w:val="en-US" w:eastAsia="zh-CN"/>
        </w:rPr>
        <w:t>1000</w:t>
      </w:r>
      <w:r>
        <w:rPr>
          <w:rFonts w:hint="eastAsia" w:cs="宋体"/>
          <w:b w:val="0"/>
          <w:bCs w:val="0"/>
          <w:color w:val="auto"/>
          <w:sz w:val="24"/>
          <w:szCs w:val="24"/>
          <w:highlight w:val="none"/>
        </w:rPr>
        <w:t>万元，计算招标代理服务收费额如下：</w:t>
      </w:r>
    </w:p>
    <w:p>
      <w:pPr>
        <w:pStyle w:val="2"/>
        <w:shd w:val="clear"/>
        <w:snapToGrid w:val="0"/>
        <w:spacing w:line="360" w:lineRule="auto"/>
        <w:ind w:firstLine="480" w:firstLineChars="200"/>
        <w:jc w:val="both"/>
        <w:rPr>
          <w:rFonts w:hint="eastAsia" w:eastAsia="宋体" w:cs="宋体"/>
          <w:b w:val="0"/>
          <w:bCs w:val="0"/>
          <w:color w:val="auto"/>
          <w:sz w:val="24"/>
          <w:szCs w:val="24"/>
          <w:highlight w:val="none"/>
          <w:lang w:eastAsia="zh-CN"/>
        </w:rPr>
      </w:pPr>
      <w:r>
        <w:rPr>
          <w:rFonts w:hint="eastAsia" w:cs="宋体"/>
          <w:b w:val="0"/>
          <w:bCs w:val="0"/>
          <w:color w:val="auto"/>
          <w:sz w:val="24"/>
          <w:szCs w:val="24"/>
          <w:highlight w:val="none"/>
        </w:rPr>
        <w:t>100万元×1.5%=1.5万元</w:t>
      </w:r>
    </w:p>
    <w:p>
      <w:pPr>
        <w:pStyle w:val="2"/>
        <w:shd w:val="clear"/>
        <w:snapToGrid w:val="0"/>
        <w:spacing w:line="360" w:lineRule="auto"/>
        <w:ind w:firstLine="480" w:firstLineChars="200"/>
        <w:jc w:val="both"/>
        <w:rPr>
          <w:rFonts w:hint="eastAsia" w:cs="宋体"/>
          <w:b w:val="0"/>
          <w:bCs w:val="0"/>
          <w:color w:val="auto"/>
          <w:sz w:val="24"/>
          <w:szCs w:val="24"/>
          <w:highlight w:val="none"/>
        </w:rPr>
      </w:pPr>
      <w:r>
        <w:rPr>
          <w:rFonts w:hint="eastAsia" w:cs="宋体"/>
          <w:b w:val="0"/>
          <w:bCs w:val="0"/>
          <w:color w:val="auto"/>
          <w:sz w:val="24"/>
          <w:szCs w:val="24"/>
          <w:highlight w:val="none"/>
        </w:rPr>
        <w:t xml:space="preserve">   （500-100）万元×0.8%=3.2万元</w:t>
      </w:r>
    </w:p>
    <w:p>
      <w:pPr>
        <w:pStyle w:val="2"/>
        <w:shd w:val="clear"/>
        <w:snapToGrid w:val="0"/>
        <w:spacing w:line="360" w:lineRule="auto"/>
        <w:ind w:firstLine="480" w:firstLineChars="200"/>
        <w:jc w:val="both"/>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lang w:val="en-US" w:eastAsia="zh-CN"/>
        </w:rPr>
        <w:t>1000-500</w:t>
      </w:r>
      <w:r>
        <w:rPr>
          <w:rFonts w:hint="eastAsia" w:ascii="宋体" w:hAnsi="宋体" w:eastAsia="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lang w:val="en-US" w:eastAsia="zh-CN"/>
        </w:rPr>
        <w:t>万元</w:t>
      </w:r>
      <w:r>
        <w:rPr>
          <w:rFonts w:hint="eastAsia" w:ascii="宋体" w:hAnsi="宋体" w:eastAsia="宋体" w:cs="宋体"/>
          <w:b w:val="0"/>
          <w:bCs w:val="0"/>
          <w:color w:val="auto"/>
          <w:sz w:val="24"/>
          <w:szCs w:val="24"/>
          <w:highlight w:val="none"/>
        </w:rPr>
        <w:t>×</w:t>
      </w:r>
      <w:r>
        <w:rPr>
          <w:rFonts w:hint="eastAsia" w:ascii="宋体" w:hAnsi="宋体" w:eastAsia="宋体" w:cs="宋体"/>
          <w:b w:val="0"/>
          <w:bCs w:val="0"/>
          <w:color w:val="auto"/>
          <w:sz w:val="24"/>
          <w:szCs w:val="24"/>
          <w:highlight w:val="none"/>
          <w:lang w:val="en-US" w:eastAsia="zh-CN"/>
        </w:rPr>
        <w:t>0.45%=2.25万元</w:t>
      </w:r>
    </w:p>
    <w:p>
      <w:pPr>
        <w:pStyle w:val="2"/>
        <w:shd w:val="clear"/>
        <w:snapToGrid w:val="0"/>
        <w:spacing w:line="360" w:lineRule="auto"/>
        <w:ind w:firstLine="480" w:firstLineChars="200"/>
        <w:jc w:val="both"/>
        <w:rPr>
          <w:rFonts w:hint="eastAsia" w:cs="宋体"/>
          <w:b w:val="0"/>
          <w:bCs w:val="0"/>
          <w:color w:val="auto"/>
          <w:sz w:val="24"/>
          <w:szCs w:val="24"/>
          <w:highlight w:val="none"/>
        </w:rPr>
      </w:pPr>
      <w:r>
        <w:rPr>
          <w:rFonts w:hint="eastAsia" w:cs="宋体"/>
          <w:b w:val="0"/>
          <w:bCs w:val="0"/>
          <w:color w:val="auto"/>
          <w:sz w:val="24"/>
          <w:szCs w:val="24"/>
          <w:highlight w:val="none"/>
        </w:rPr>
        <w:t>合计收费=1.5+3.2</w:t>
      </w:r>
      <w:r>
        <w:rPr>
          <w:rFonts w:hint="eastAsia" w:cs="宋体"/>
          <w:b w:val="0"/>
          <w:bCs w:val="0"/>
          <w:color w:val="auto"/>
          <w:sz w:val="24"/>
          <w:szCs w:val="24"/>
          <w:highlight w:val="none"/>
          <w:lang w:val="en-US" w:eastAsia="zh-CN"/>
        </w:rPr>
        <w:t>+2.25</w:t>
      </w:r>
      <w:r>
        <w:rPr>
          <w:rFonts w:hint="eastAsia" w:cs="宋体"/>
          <w:b w:val="0"/>
          <w:bCs w:val="0"/>
          <w:color w:val="auto"/>
          <w:sz w:val="24"/>
          <w:szCs w:val="24"/>
          <w:highlight w:val="none"/>
        </w:rPr>
        <w:t>=</w:t>
      </w:r>
      <w:r>
        <w:rPr>
          <w:rFonts w:hint="eastAsia" w:cs="宋体"/>
          <w:b w:val="0"/>
          <w:bCs w:val="0"/>
          <w:color w:val="auto"/>
          <w:sz w:val="24"/>
          <w:szCs w:val="24"/>
          <w:highlight w:val="none"/>
          <w:lang w:val="en-US" w:eastAsia="zh-CN"/>
        </w:rPr>
        <w:t>6.95</w:t>
      </w:r>
      <w:r>
        <w:rPr>
          <w:rFonts w:hint="eastAsia" w:cs="宋体"/>
          <w:b w:val="0"/>
          <w:bCs w:val="0"/>
          <w:color w:val="auto"/>
          <w:sz w:val="24"/>
          <w:szCs w:val="24"/>
          <w:highlight w:val="none"/>
        </w:rPr>
        <w:t>（万元）</w:t>
      </w:r>
    </w:p>
    <w:p>
      <w:pPr>
        <w:pStyle w:val="2"/>
        <w:shd w:val="clear"/>
        <w:snapToGrid w:val="0"/>
        <w:spacing w:line="360" w:lineRule="auto"/>
        <w:ind w:firstLine="480" w:firstLineChars="200"/>
        <w:jc w:val="both"/>
        <w:rPr>
          <w:rFonts w:cs="宋体"/>
          <w:b w:val="0"/>
          <w:bCs w:val="0"/>
          <w:color w:val="auto"/>
          <w:sz w:val="24"/>
          <w:szCs w:val="24"/>
          <w:highlight w:val="none"/>
        </w:rPr>
      </w:pPr>
      <w:r>
        <w:rPr>
          <w:rFonts w:hint="eastAsia" w:cs="宋体"/>
          <w:b w:val="0"/>
          <w:bCs w:val="0"/>
          <w:color w:val="auto"/>
          <w:sz w:val="24"/>
          <w:szCs w:val="24"/>
          <w:highlight w:val="none"/>
        </w:rPr>
        <w:t>5.2.2采购代理服务费向采购代理机构直接交纳，可用汇票、电汇、银行本票、现金等付款方式。</w:t>
      </w:r>
    </w:p>
    <w:p>
      <w:pPr>
        <w:pStyle w:val="2"/>
        <w:shd w:val="clear"/>
        <w:snapToGrid w:val="0"/>
        <w:spacing w:line="360" w:lineRule="auto"/>
        <w:ind w:firstLine="480" w:firstLineChars="200"/>
        <w:jc w:val="both"/>
        <w:rPr>
          <w:rFonts w:cs="宋体"/>
          <w:b w:val="0"/>
          <w:bCs w:val="0"/>
          <w:color w:val="auto"/>
          <w:sz w:val="24"/>
          <w:szCs w:val="24"/>
          <w:highlight w:val="none"/>
        </w:rPr>
      </w:pPr>
      <w:r>
        <w:rPr>
          <w:rFonts w:hint="eastAsia" w:cs="宋体"/>
          <w:b w:val="0"/>
          <w:bCs w:val="0"/>
          <w:color w:val="auto"/>
          <w:sz w:val="24"/>
          <w:szCs w:val="24"/>
          <w:highlight w:val="none"/>
        </w:rPr>
        <w:t>5.2.3采购代理服务费不在投标报价中单列。</w:t>
      </w:r>
    </w:p>
    <w:p>
      <w:pPr>
        <w:pStyle w:val="13"/>
        <w:shd w:val="clear"/>
        <w:spacing w:line="360" w:lineRule="auto"/>
        <w:ind w:firstLine="480"/>
        <w:rPr>
          <w:rFonts w:hAnsi="宋体" w:cs="宋体"/>
          <w:b/>
          <w:color w:val="auto"/>
          <w:sz w:val="24"/>
          <w:szCs w:val="24"/>
          <w:highlight w:val="none"/>
        </w:rPr>
      </w:pPr>
      <w:r>
        <w:rPr>
          <w:rFonts w:hint="eastAsia" w:hAnsi="宋体" w:cs="宋体"/>
          <w:b/>
          <w:color w:val="auto"/>
          <w:sz w:val="24"/>
          <w:szCs w:val="24"/>
          <w:highlight w:val="none"/>
        </w:rPr>
        <w:t>6</w:t>
      </w:r>
      <w:r>
        <w:rPr>
          <w:rFonts w:hint="eastAsia" w:hAnsi="宋体" w:cs="宋体"/>
          <w:color w:val="auto"/>
          <w:sz w:val="24"/>
          <w:szCs w:val="24"/>
          <w:highlight w:val="none"/>
        </w:rPr>
        <w:t>.</w:t>
      </w:r>
      <w:r>
        <w:rPr>
          <w:rFonts w:hint="eastAsia" w:hAnsi="宋体" w:cs="宋体"/>
          <w:b/>
          <w:color w:val="auto"/>
          <w:sz w:val="24"/>
          <w:szCs w:val="24"/>
          <w:highlight w:val="none"/>
        </w:rPr>
        <w:t xml:space="preserve">现场勘察 </w:t>
      </w:r>
    </w:p>
    <w:p>
      <w:pPr>
        <w:pStyle w:val="2"/>
        <w:shd w:val="clear"/>
        <w:snapToGrid w:val="0"/>
        <w:spacing w:line="360" w:lineRule="auto"/>
        <w:ind w:firstLine="480" w:firstLineChars="200"/>
        <w:jc w:val="both"/>
        <w:rPr>
          <w:rFonts w:cs="宋体"/>
          <w:b w:val="0"/>
          <w:bCs w:val="0"/>
          <w:color w:val="auto"/>
          <w:sz w:val="24"/>
          <w:szCs w:val="24"/>
          <w:highlight w:val="none"/>
        </w:rPr>
      </w:pPr>
      <w:r>
        <w:rPr>
          <w:rFonts w:hint="eastAsia" w:cs="宋体"/>
          <w:b w:val="0"/>
          <w:bCs w:val="0"/>
          <w:color w:val="auto"/>
          <w:sz w:val="24"/>
          <w:szCs w:val="24"/>
          <w:highlight w:val="none"/>
        </w:rPr>
        <w:t>6.1投标前，投标人须自行到项目所在地予以踏勘，对项目实施现场及周边环境等进行勘察，以获取编制投标文件和签署合同所需的所有资料，否则，由此所造成的一切后果由投标人自行承担。</w:t>
      </w:r>
    </w:p>
    <w:p>
      <w:pPr>
        <w:pStyle w:val="2"/>
        <w:shd w:val="clear"/>
        <w:snapToGrid w:val="0"/>
        <w:spacing w:line="360" w:lineRule="auto"/>
        <w:ind w:firstLine="480" w:firstLineChars="200"/>
        <w:jc w:val="both"/>
        <w:rPr>
          <w:rFonts w:cs="宋体"/>
          <w:b w:val="0"/>
          <w:bCs w:val="0"/>
          <w:color w:val="auto"/>
          <w:sz w:val="24"/>
          <w:szCs w:val="24"/>
          <w:highlight w:val="none"/>
        </w:rPr>
      </w:pPr>
      <w:r>
        <w:rPr>
          <w:rFonts w:hint="eastAsia" w:cs="宋体"/>
          <w:b w:val="0"/>
          <w:bCs w:val="0"/>
          <w:color w:val="auto"/>
          <w:sz w:val="24"/>
          <w:szCs w:val="24"/>
          <w:highlight w:val="none"/>
        </w:rPr>
        <w:t>6.2投标单位在考察过程中发生的各类事件及所发生的各项费用，均由投标单位自行承担。采购人和代理机构概不负责。</w:t>
      </w:r>
    </w:p>
    <w:p>
      <w:pPr>
        <w:pStyle w:val="2"/>
        <w:shd w:val="clear"/>
        <w:snapToGrid w:val="0"/>
        <w:spacing w:line="360" w:lineRule="auto"/>
        <w:ind w:firstLine="480" w:firstLineChars="200"/>
        <w:jc w:val="both"/>
        <w:rPr>
          <w:rFonts w:cs="宋体"/>
          <w:b w:val="0"/>
          <w:bCs w:val="0"/>
          <w:color w:val="auto"/>
          <w:sz w:val="24"/>
          <w:szCs w:val="24"/>
          <w:highlight w:val="none"/>
        </w:rPr>
      </w:pPr>
      <w:r>
        <w:rPr>
          <w:rFonts w:hint="eastAsia" w:cs="宋体"/>
          <w:b w:val="0"/>
          <w:bCs w:val="0"/>
          <w:color w:val="auto"/>
          <w:sz w:val="24"/>
          <w:szCs w:val="24"/>
          <w:highlight w:val="none"/>
        </w:rPr>
        <w:t>6.3采购人向投标单位提供的有关现场的数据和资料，是采购人现有的能被投标人利用的资料，采购人对投标人据此做出的任何推论、理解和结论不负责任。</w:t>
      </w:r>
    </w:p>
    <w:p>
      <w:pPr>
        <w:pStyle w:val="2"/>
        <w:shd w:val="clear"/>
        <w:snapToGrid w:val="0"/>
        <w:spacing w:line="360" w:lineRule="auto"/>
        <w:ind w:firstLine="480" w:firstLineChars="200"/>
        <w:jc w:val="both"/>
        <w:rPr>
          <w:rFonts w:cs="宋体"/>
          <w:b w:val="0"/>
          <w:bCs w:val="0"/>
          <w:color w:val="auto"/>
          <w:sz w:val="24"/>
          <w:szCs w:val="24"/>
          <w:highlight w:val="none"/>
        </w:rPr>
      </w:pPr>
      <w:r>
        <w:rPr>
          <w:rFonts w:hint="eastAsia" w:cs="宋体"/>
          <w:b w:val="0"/>
          <w:bCs w:val="0"/>
          <w:color w:val="auto"/>
          <w:sz w:val="24"/>
          <w:szCs w:val="24"/>
          <w:highlight w:val="none"/>
        </w:rPr>
        <w:t>6.4现场踏勘完毕，将认为投标人已了解现场情况，并充分理解了为之所承担的风险、义务和责任。</w:t>
      </w:r>
    </w:p>
    <w:p>
      <w:pPr>
        <w:shd w:val="clear"/>
        <w:adjustRightInd w:val="0"/>
        <w:snapToGrid w:val="0"/>
        <w:spacing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7</w:t>
      </w:r>
      <w:r>
        <w:rPr>
          <w:rFonts w:hint="eastAsia" w:ascii="宋体" w:hAnsi="宋体" w:cs="宋体"/>
          <w:color w:val="auto"/>
          <w:sz w:val="24"/>
          <w:highlight w:val="none"/>
        </w:rPr>
        <w:t>.</w:t>
      </w:r>
      <w:r>
        <w:rPr>
          <w:rFonts w:hint="eastAsia" w:ascii="宋体" w:hAnsi="宋体" w:cs="宋体"/>
          <w:b/>
          <w:color w:val="auto"/>
          <w:sz w:val="24"/>
          <w:highlight w:val="none"/>
        </w:rPr>
        <w:t>联合体投标</w:t>
      </w:r>
    </w:p>
    <w:p>
      <w:pPr>
        <w:pStyle w:val="2"/>
        <w:shd w:val="clear"/>
        <w:snapToGrid w:val="0"/>
        <w:spacing w:line="360" w:lineRule="auto"/>
        <w:ind w:firstLine="480" w:firstLineChars="200"/>
        <w:jc w:val="both"/>
        <w:rPr>
          <w:rFonts w:cs="宋体"/>
          <w:b w:val="0"/>
          <w:bCs w:val="0"/>
          <w:color w:val="auto"/>
          <w:sz w:val="24"/>
          <w:szCs w:val="24"/>
          <w:highlight w:val="none"/>
        </w:rPr>
      </w:pPr>
      <w:r>
        <w:rPr>
          <w:rFonts w:hint="eastAsia" w:cs="宋体"/>
          <w:b w:val="0"/>
          <w:bCs w:val="0"/>
          <w:color w:val="auto"/>
          <w:sz w:val="24"/>
          <w:szCs w:val="24"/>
          <w:highlight w:val="none"/>
        </w:rPr>
        <w:t>本项目接受联合体投标。</w:t>
      </w:r>
    </w:p>
    <w:p>
      <w:pPr>
        <w:shd w:val="clear"/>
        <w:snapToGrid w:val="0"/>
        <w:spacing w:line="360" w:lineRule="auto"/>
        <w:rPr>
          <w:rFonts w:ascii="宋体" w:hAnsi="宋体" w:cs="宋体"/>
          <w:color w:val="auto"/>
          <w:sz w:val="28"/>
          <w:szCs w:val="28"/>
          <w:highlight w:val="none"/>
        </w:rPr>
      </w:pPr>
      <w:bookmarkStart w:id="16" w:name="_Toc274303230"/>
      <w:bookmarkStart w:id="17" w:name="_Toc7216"/>
      <w:bookmarkStart w:id="18" w:name="_Toc362250688"/>
      <w:bookmarkStart w:id="19" w:name="_Toc10079"/>
      <w:r>
        <w:rPr>
          <w:rFonts w:hint="eastAsia" w:ascii="宋体" w:hAnsi="宋体" w:cs="宋体"/>
          <w:b/>
          <w:bCs/>
          <w:color w:val="auto"/>
          <w:sz w:val="28"/>
          <w:szCs w:val="28"/>
          <w:highlight w:val="none"/>
        </w:rPr>
        <w:t>二、</w:t>
      </w:r>
      <w:bookmarkEnd w:id="16"/>
      <w:bookmarkEnd w:id="17"/>
      <w:bookmarkEnd w:id="18"/>
      <w:bookmarkEnd w:id="19"/>
      <w:r>
        <w:rPr>
          <w:rFonts w:hint="eastAsia" w:ascii="宋体" w:hAnsi="宋体" w:cs="宋体"/>
          <w:b/>
          <w:bCs/>
          <w:color w:val="auto"/>
          <w:sz w:val="28"/>
          <w:szCs w:val="28"/>
          <w:highlight w:val="none"/>
        </w:rPr>
        <w:t>采购文件</w:t>
      </w:r>
    </w:p>
    <w:p>
      <w:pPr>
        <w:shd w:val="clear"/>
        <w:adjustRightInd w:val="0"/>
        <w:snapToGrid w:val="0"/>
        <w:spacing w:before="50" w:after="50" w:line="360" w:lineRule="auto"/>
        <w:ind w:firstLine="482" w:firstLineChars="200"/>
        <w:rPr>
          <w:rFonts w:ascii="宋体" w:hAnsi="宋体" w:cs="宋体"/>
          <w:b/>
          <w:bCs/>
          <w:color w:val="auto"/>
          <w:sz w:val="24"/>
          <w:highlight w:val="none"/>
        </w:rPr>
      </w:pPr>
      <w:r>
        <w:rPr>
          <w:rFonts w:hint="eastAsia" w:ascii="宋体" w:hAnsi="宋体" w:cs="宋体"/>
          <w:b/>
          <w:bCs/>
          <w:color w:val="auto"/>
          <w:sz w:val="24"/>
          <w:highlight w:val="none"/>
        </w:rPr>
        <w:t>8</w:t>
      </w:r>
      <w:r>
        <w:rPr>
          <w:rFonts w:hint="eastAsia" w:ascii="宋体" w:hAnsi="宋体" w:cs="宋体"/>
          <w:color w:val="auto"/>
          <w:sz w:val="24"/>
          <w:highlight w:val="none"/>
        </w:rPr>
        <w:t>.</w:t>
      </w:r>
      <w:r>
        <w:rPr>
          <w:rFonts w:hint="eastAsia" w:ascii="宋体" w:hAnsi="宋体" w:cs="宋体"/>
          <w:b/>
          <w:bCs/>
          <w:color w:val="auto"/>
          <w:sz w:val="24"/>
          <w:highlight w:val="none"/>
        </w:rPr>
        <w:t>采购文件的组成</w:t>
      </w:r>
    </w:p>
    <w:p>
      <w:pPr>
        <w:pStyle w:val="2"/>
        <w:shd w:val="clear"/>
        <w:snapToGrid w:val="0"/>
        <w:spacing w:line="360" w:lineRule="auto"/>
        <w:ind w:firstLine="480" w:firstLineChars="200"/>
        <w:jc w:val="both"/>
        <w:rPr>
          <w:rFonts w:cs="宋体"/>
          <w:b w:val="0"/>
          <w:bCs w:val="0"/>
          <w:color w:val="auto"/>
          <w:sz w:val="24"/>
          <w:szCs w:val="24"/>
          <w:highlight w:val="none"/>
        </w:rPr>
      </w:pPr>
      <w:r>
        <w:rPr>
          <w:rFonts w:hint="eastAsia" w:cs="宋体"/>
          <w:b w:val="0"/>
          <w:bCs w:val="0"/>
          <w:color w:val="auto"/>
          <w:sz w:val="24"/>
          <w:szCs w:val="24"/>
          <w:highlight w:val="none"/>
        </w:rPr>
        <w:t>8.1采购文件包括下列内容：</w:t>
      </w:r>
    </w:p>
    <w:p>
      <w:pPr>
        <w:pStyle w:val="2"/>
        <w:shd w:val="clear"/>
        <w:snapToGrid w:val="0"/>
        <w:spacing w:line="360" w:lineRule="auto"/>
        <w:ind w:firstLine="480" w:firstLineChars="200"/>
        <w:jc w:val="both"/>
        <w:rPr>
          <w:rFonts w:cs="宋体"/>
          <w:b w:val="0"/>
          <w:bCs w:val="0"/>
          <w:color w:val="auto"/>
          <w:sz w:val="24"/>
          <w:szCs w:val="24"/>
          <w:highlight w:val="none"/>
        </w:rPr>
      </w:pPr>
      <w:r>
        <w:rPr>
          <w:rFonts w:hint="eastAsia" w:cs="宋体"/>
          <w:b w:val="0"/>
          <w:bCs w:val="0"/>
          <w:color w:val="auto"/>
          <w:sz w:val="24"/>
          <w:szCs w:val="24"/>
          <w:highlight w:val="none"/>
        </w:rPr>
        <w:t>第一章  采购公告</w:t>
      </w:r>
    </w:p>
    <w:p>
      <w:pPr>
        <w:pStyle w:val="2"/>
        <w:shd w:val="clear"/>
        <w:snapToGrid w:val="0"/>
        <w:spacing w:line="360" w:lineRule="auto"/>
        <w:ind w:firstLine="480" w:firstLineChars="200"/>
        <w:jc w:val="both"/>
        <w:rPr>
          <w:rFonts w:cs="宋体"/>
          <w:b w:val="0"/>
          <w:bCs w:val="0"/>
          <w:color w:val="auto"/>
          <w:sz w:val="24"/>
          <w:szCs w:val="24"/>
          <w:highlight w:val="none"/>
        </w:rPr>
      </w:pPr>
      <w:r>
        <w:rPr>
          <w:rFonts w:hint="eastAsia" w:cs="宋体"/>
          <w:b w:val="0"/>
          <w:bCs w:val="0"/>
          <w:color w:val="auto"/>
          <w:sz w:val="24"/>
          <w:szCs w:val="24"/>
          <w:highlight w:val="none"/>
        </w:rPr>
        <w:t>第二章  投标须知和投标须知前附表</w:t>
      </w:r>
    </w:p>
    <w:p>
      <w:pPr>
        <w:pStyle w:val="2"/>
        <w:shd w:val="clear"/>
        <w:snapToGrid w:val="0"/>
        <w:spacing w:line="360" w:lineRule="auto"/>
        <w:ind w:firstLine="480" w:firstLineChars="200"/>
        <w:jc w:val="both"/>
        <w:rPr>
          <w:rFonts w:cs="宋体"/>
          <w:b w:val="0"/>
          <w:bCs w:val="0"/>
          <w:color w:val="auto"/>
          <w:sz w:val="24"/>
          <w:szCs w:val="24"/>
          <w:highlight w:val="none"/>
        </w:rPr>
      </w:pPr>
      <w:r>
        <w:rPr>
          <w:rFonts w:hint="eastAsia" w:cs="宋体"/>
          <w:b w:val="0"/>
          <w:bCs w:val="0"/>
          <w:color w:val="auto"/>
          <w:sz w:val="24"/>
          <w:szCs w:val="24"/>
          <w:highlight w:val="none"/>
        </w:rPr>
        <w:t>第三章  采购项目需求</w:t>
      </w:r>
    </w:p>
    <w:p>
      <w:pPr>
        <w:pStyle w:val="2"/>
        <w:shd w:val="clear"/>
        <w:snapToGrid w:val="0"/>
        <w:spacing w:line="360" w:lineRule="auto"/>
        <w:ind w:firstLine="480" w:firstLineChars="200"/>
        <w:jc w:val="both"/>
        <w:rPr>
          <w:rFonts w:cs="宋体"/>
          <w:b w:val="0"/>
          <w:bCs w:val="0"/>
          <w:color w:val="auto"/>
          <w:sz w:val="24"/>
          <w:szCs w:val="24"/>
          <w:highlight w:val="none"/>
        </w:rPr>
      </w:pPr>
      <w:r>
        <w:rPr>
          <w:rFonts w:hint="eastAsia" w:cs="宋体"/>
          <w:b w:val="0"/>
          <w:bCs w:val="0"/>
          <w:color w:val="auto"/>
          <w:sz w:val="24"/>
          <w:szCs w:val="24"/>
          <w:highlight w:val="none"/>
        </w:rPr>
        <w:t>第四章  开标、评标和定标</w:t>
      </w:r>
    </w:p>
    <w:p>
      <w:pPr>
        <w:pStyle w:val="2"/>
        <w:shd w:val="clear"/>
        <w:snapToGrid w:val="0"/>
        <w:spacing w:line="360" w:lineRule="auto"/>
        <w:ind w:firstLine="480" w:firstLineChars="200"/>
        <w:jc w:val="both"/>
        <w:rPr>
          <w:rFonts w:cs="宋体"/>
          <w:b w:val="0"/>
          <w:bCs w:val="0"/>
          <w:color w:val="auto"/>
          <w:sz w:val="24"/>
          <w:szCs w:val="24"/>
          <w:highlight w:val="none"/>
        </w:rPr>
      </w:pPr>
      <w:r>
        <w:rPr>
          <w:rFonts w:hint="eastAsia" w:cs="宋体"/>
          <w:b w:val="0"/>
          <w:bCs w:val="0"/>
          <w:color w:val="auto"/>
          <w:sz w:val="24"/>
          <w:szCs w:val="24"/>
          <w:highlight w:val="none"/>
        </w:rPr>
        <w:t>第五章  投标文件的有效性</w:t>
      </w:r>
    </w:p>
    <w:p>
      <w:pPr>
        <w:pStyle w:val="2"/>
        <w:shd w:val="clear"/>
        <w:snapToGrid w:val="0"/>
        <w:spacing w:line="360" w:lineRule="auto"/>
        <w:ind w:firstLine="480" w:firstLineChars="200"/>
        <w:jc w:val="both"/>
        <w:rPr>
          <w:rFonts w:cs="宋体"/>
          <w:b w:val="0"/>
          <w:bCs w:val="0"/>
          <w:color w:val="auto"/>
          <w:sz w:val="24"/>
          <w:szCs w:val="24"/>
          <w:highlight w:val="none"/>
        </w:rPr>
      </w:pPr>
      <w:r>
        <w:rPr>
          <w:rFonts w:hint="eastAsia" w:cs="宋体"/>
          <w:b w:val="0"/>
          <w:bCs w:val="0"/>
          <w:color w:val="auto"/>
          <w:sz w:val="24"/>
          <w:szCs w:val="24"/>
          <w:highlight w:val="none"/>
        </w:rPr>
        <w:t>第六章  评标办法</w:t>
      </w:r>
    </w:p>
    <w:p>
      <w:pPr>
        <w:pStyle w:val="2"/>
        <w:shd w:val="clear"/>
        <w:snapToGrid w:val="0"/>
        <w:spacing w:line="360" w:lineRule="auto"/>
        <w:ind w:firstLine="480" w:firstLineChars="200"/>
        <w:jc w:val="both"/>
        <w:rPr>
          <w:rFonts w:cs="宋体"/>
          <w:b w:val="0"/>
          <w:bCs w:val="0"/>
          <w:color w:val="auto"/>
          <w:sz w:val="24"/>
          <w:szCs w:val="24"/>
          <w:highlight w:val="none"/>
        </w:rPr>
      </w:pPr>
      <w:r>
        <w:rPr>
          <w:rFonts w:hint="eastAsia" w:cs="宋体"/>
          <w:b w:val="0"/>
          <w:bCs w:val="0"/>
          <w:color w:val="auto"/>
          <w:sz w:val="24"/>
          <w:szCs w:val="24"/>
          <w:highlight w:val="none"/>
        </w:rPr>
        <w:t>第七章  拟签订的合同文本</w:t>
      </w:r>
    </w:p>
    <w:p>
      <w:pPr>
        <w:pStyle w:val="2"/>
        <w:shd w:val="clear"/>
        <w:snapToGrid w:val="0"/>
        <w:spacing w:line="360" w:lineRule="auto"/>
        <w:ind w:firstLine="480" w:firstLineChars="200"/>
        <w:jc w:val="both"/>
        <w:rPr>
          <w:rFonts w:cs="宋体"/>
          <w:b w:val="0"/>
          <w:bCs w:val="0"/>
          <w:color w:val="auto"/>
          <w:sz w:val="24"/>
          <w:szCs w:val="24"/>
          <w:highlight w:val="none"/>
        </w:rPr>
      </w:pPr>
      <w:r>
        <w:rPr>
          <w:rFonts w:hint="eastAsia" w:cs="宋体"/>
          <w:b w:val="0"/>
          <w:bCs w:val="0"/>
          <w:color w:val="auto"/>
          <w:sz w:val="24"/>
          <w:szCs w:val="24"/>
          <w:highlight w:val="none"/>
        </w:rPr>
        <w:t>第八章  投标文件部分格式</w:t>
      </w:r>
    </w:p>
    <w:p>
      <w:pPr>
        <w:pStyle w:val="2"/>
        <w:shd w:val="clear"/>
        <w:snapToGrid w:val="0"/>
        <w:spacing w:line="360" w:lineRule="auto"/>
        <w:ind w:firstLine="480" w:firstLineChars="200"/>
        <w:jc w:val="both"/>
        <w:rPr>
          <w:rFonts w:cs="宋体"/>
          <w:b w:val="0"/>
          <w:bCs w:val="0"/>
          <w:color w:val="auto"/>
          <w:sz w:val="24"/>
          <w:szCs w:val="24"/>
          <w:highlight w:val="none"/>
        </w:rPr>
      </w:pPr>
      <w:r>
        <w:rPr>
          <w:rFonts w:hint="eastAsia" w:cs="宋体"/>
          <w:b w:val="0"/>
          <w:bCs w:val="0"/>
          <w:color w:val="auto"/>
          <w:sz w:val="24"/>
          <w:szCs w:val="24"/>
          <w:highlight w:val="none"/>
        </w:rPr>
        <w:t>8.2除8.1内容外，采购人在提交投标文件截止时间前，以书面形式发出的对采购文件的澄清或修改内容，均为采购文件的组成部分，对采购人和投标人起约束作用。</w:t>
      </w:r>
    </w:p>
    <w:p>
      <w:pPr>
        <w:pStyle w:val="2"/>
        <w:shd w:val="clear"/>
        <w:snapToGrid w:val="0"/>
        <w:spacing w:line="360" w:lineRule="auto"/>
        <w:ind w:firstLine="480" w:firstLineChars="200"/>
        <w:jc w:val="both"/>
        <w:rPr>
          <w:rFonts w:cs="宋体"/>
          <w:b w:val="0"/>
          <w:bCs w:val="0"/>
          <w:color w:val="auto"/>
          <w:sz w:val="24"/>
          <w:szCs w:val="24"/>
          <w:highlight w:val="none"/>
        </w:rPr>
      </w:pPr>
      <w:r>
        <w:rPr>
          <w:rFonts w:hint="eastAsia" w:cs="宋体"/>
          <w:b w:val="0"/>
          <w:bCs w:val="0"/>
          <w:color w:val="auto"/>
          <w:sz w:val="24"/>
          <w:szCs w:val="24"/>
          <w:highlight w:val="none"/>
        </w:rPr>
        <w:t>8.3上述所列8.1及8.2条内容均以书面文件为准，采购人（采购代理机构）的任何工作人员对投标人所作的任何口头解释、介绍、答复，对采购人和投标人无任何约束力。</w:t>
      </w:r>
    </w:p>
    <w:p>
      <w:pPr>
        <w:shd w:val="clear"/>
        <w:adjustRightInd w:val="0"/>
        <w:snapToGrid w:val="0"/>
        <w:spacing w:line="360" w:lineRule="auto"/>
        <w:ind w:firstLine="480" w:firstLineChars="200"/>
        <w:rPr>
          <w:rFonts w:ascii="宋体" w:hAnsi="宋体" w:cs="宋体"/>
          <w:color w:val="auto"/>
          <w:sz w:val="24"/>
          <w:highlight w:val="none"/>
          <w:shd w:val="clear" w:color="auto" w:fill="CCCCCC"/>
        </w:rPr>
      </w:pPr>
      <w:r>
        <w:rPr>
          <w:rFonts w:hint="eastAsia" w:ascii="宋体" w:hAnsi="宋体" w:cs="宋体"/>
          <w:color w:val="auto"/>
          <w:sz w:val="24"/>
          <w:highlight w:val="none"/>
        </w:rPr>
        <w:t>8.4投标单位应认真阅读投标须知、合同条件、规定格式、项目要求、报价要求等采购文件所有的内容。如果投标单位的投标文件不能符合采购文件的要求，责任由投标单位自负。实质上不响应采购文件要求的投标文件将被拒绝。</w:t>
      </w:r>
    </w:p>
    <w:p>
      <w:pPr>
        <w:shd w:val="clear"/>
        <w:adjustRightInd w:val="0"/>
        <w:snapToGrid w:val="0"/>
        <w:spacing w:line="360" w:lineRule="auto"/>
        <w:ind w:firstLine="482" w:firstLineChars="200"/>
        <w:rPr>
          <w:rFonts w:ascii="宋体" w:hAnsi="宋体" w:cs="宋体"/>
          <w:b/>
          <w:bCs/>
          <w:color w:val="auto"/>
          <w:sz w:val="24"/>
          <w:highlight w:val="none"/>
        </w:rPr>
      </w:pPr>
      <w:r>
        <w:rPr>
          <w:rFonts w:hint="eastAsia" w:ascii="宋体" w:hAnsi="宋体" w:cs="宋体"/>
          <w:b/>
          <w:bCs/>
          <w:color w:val="auto"/>
          <w:sz w:val="24"/>
          <w:highlight w:val="none"/>
        </w:rPr>
        <w:t>9.采购文件的澄清</w:t>
      </w:r>
    </w:p>
    <w:p>
      <w:pPr>
        <w:pStyle w:val="2"/>
        <w:shd w:val="clear"/>
        <w:snapToGrid w:val="0"/>
        <w:spacing w:line="360" w:lineRule="auto"/>
        <w:ind w:firstLine="480" w:firstLineChars="200"/>
        <w:jc w:val="both"/>
        <w:rPr>
          <w:rFonts w:cs="宋体"/>
          <w:b w:val="0"/>
          <w:bCs w:val="0"/>
          <w:color w:val="auto"/>
          <w:sz w:val="24"/>
          <w:szCs w:val="24"/>
          <w:highlight w:val="none"/>
        </w:rPr>
      </w:pPr>
      <w:r>
        <w:rPr>
          <w:rFonts w:hint="eastAsia" w:cs="宋体"/>
          <w:b w:val="0"/>
          <w:bCs w:val="0"/>
          <w:color w:val="auto"/>
          <w:sz w:val="24"/>
          <w:szCs w:val="24"/>
          <w:highlight w:val="none"/>
        </w:rPr>
        <w:t>9.1投标人若对采购文件有任何疑问，应于前附表规定的时间前以书面形式向采购人和代理机构提出。</w:t>
      </w:r>
    </w:p>
    <w:p>
      <w:pPr>
        <w:pStyle w:val="2"/>
        <w:shd w:val="clear"/>
        <w:snapToGrid w:val="0"/>
        <w:spacing w:line="360" w:lineRule="auto"/>
        <w:ind w:firstLine="480" w:firstLineChars="200"/>
        <w:jc w:val="both"/>
        <w:rPr>
          <w:rFonts w:cs="宋体"/>
          <w:b w:val="0"/>
          <w:bCs w:val="0"/>
          <w:color w:val="auto"/>
          <w:sz w:val="24"/>
          <w:szCs w:val="24"/>
          <w:highlight w:val="none"/>
        </w:rPr>
      </w:pPr>
      <w:r>
        <w:rPr>
          <w:rFonts w:hint="eastAsia" w:cs="宋体"/>
          <w:b w:val="0"/>
          <w:bCs w:val="0"/>
          <w:color w:val="auto"/>
          <w:sz w:val="24"/>
          <w:szCs w:val="24"/>
          <w:highlight w:val="none"/>
        </w:rPr>
        <w:t>9.2无论是采购人根据需要主动对采购文件进行必要澄清、补充或修改，或是根据投标人的要求对采购文件做出澄清、补充或修改，采购人的书面澄清（更正）文件通过浙江政府采购网和义乌市公共资源交易服务平台上发布公告，该澄清（更正）文件作为采购文件的一部分，对所有投标人有约束力，潜在投标人请自行到浙江政府采购网和义乌市公共资源交易服务平台上下载澄清（更正）文件。</w:t>
      </w:r>
    </w:p>
    <w:p>
      <w:pPr>
        <w:pStyle w:val="2"/>
        <w:shd w:val="clear"/>
        <w:snapToGrid w:val="0"/>
        <w:spacing w:line="360" w:lineRule="auto"/>
        <w:ind w:firstLine="480" w:firstLineChars="200"/>
        <w:jc w:val="both"/>
        <w:rPr>
          <w:rFonts w:cs="宋体"/>
          <w:b w:val="0"/>
          <w:bCs w:val="0"/>
          <w:color w:val="auto"/>
          <w:sz w:val="24"/>
          <w:szCs w:val="24"/>
          <w:highlight w:val="none"/>
        </w:rPr>
      </w:pPr>
      <w:r>
        <w:rPr>
          <w:rFonts w:hint="eastAsia" w:cs="宋体"/>
          <w:b w:val="0"/>
          <w:bCs w:val="0"/>
          <w:color w:val="auto"/>
          <w:sz w:val="24"/>
          <w:szCs w:val="24"/>
          <w:highlight w:val="none"/>
        </w:rPr>
        <w:t>9.3投标单位在前附表规定时间未提交疑问的，视作默认对本次招标过程中采购文件无异议，采购人对其提出的问题可以不作解释。</w:t>
      </w:r>
    </w:p>
    <w:p>
      <w:pPr>
        <w:pStyle w:val="2"/>
        <w:shd w:val="clear"/>
        <w:snapToGrid w:val="0"/>
        <w:spacing w:line="360" w:lineRule="auto"/>
        <w:ind w:firstLine="480" w:firstLineChars="200"/>
        <w:jc w:val="both"/>
        <w:rPr>
          <w:rFonts w:cs="宋体"/>
          <w:b w:val="0"/>
          <w:bCs w:val="0"/>
          <w:color w:val="auto"/>
          <w:sz w:val="24"/>
          <w:szCs w:val="24"/>
          <w:highlight w:val="none"/>
        </w:rPr>
      </w:pPr>
      <w:r>
        <w:rPr>
          <w:rFonts w:hint="eastAsia" w:cs="宋体"/>
          <w:b w:val="0"/>
          <w:bCs w:val="0"/>
          <w:color w:val="auto"/>
          <w:sz w:val="24"/>
          <w:szCs w:val="24"/>
          <w:highlight w:val="none"/>
        </w:rPr>
        <w:t>9.4采购文件澄清、修改、补充等内容均以书面形式明确的内容为准。当采购文件、采购文件的澄清、修改、补充等在同一内容的表述上不一致时，以最后发出的书面文件为准。</w:t>
      </w:r>
    </w:p>
    <w:p>
      <w:pPr>
        <w:pStyle w:val="2"/>
        <w:shd w:val="clear"/>
        <w:snapToGrid w:val="0"/>
        <w:spacing w:line="360" w:lineRule="auto"/>
        <w:ind w:firstLine="480" w:firstLineChars="200"/>
        <w:jc w:val="both"/>
        <w:rPr>
          <w:rFonts w:cs="宋体"/>
          <w:b w:val="0"/>
          <w:bCs w:val="0"/>
          <w:color w:val="auto"/>
          <w:sz w:val="24"/>
          <w:szCs w:val="24"/>
          <w:highlight w:val="none"/>
        </w:rPr>
      </w:pPr>
      <w:r>
        <w:rPr>
          <w:rFonts w:hint="eastAsia" w:cs="宋体"/>
          <w:b w:val="0"/>
          <w:bCs w:val="0"/>
          <w:color w:val="auto"/>
          <w:sz w:val="24"/>
          <w:szCs w:val="24"/>
          <w:highlight w:val="none"/>
        </w:rPr>
        <w:t>9.5采购人及采购代理机构工作人员向投标人所作的任何口头答复或电话通知一律无效。</w:t>
      </w:r>
    </w:p>
    <w:p>
      <w:pPr>
        <w:pStyle w:val="2"/>
        <w:shd w:val="clear"/>
        <w:snapToGrid w:val="0"/>
        <w:spacing w:line="360" w:lineRule="auto"/>
        <w:ind w:firstLine="482" w:firstLineChars="200"/>
        <w:jc w:val="both"/>
        <w:rPr>
          <w:rFonts w:cs="宋体"/>
          <w:color w:val="auto"/>
          <w:sz w:val="24"/>
          <w:szCs w:val="24"/>
          <w:highlight w:val="none"/>
        </w:rPr>
      </w:pPr>
      <w:r>
        <w:rPr>
          <w:rFonts w:hint="eastAsia" w:cs="宋体"/>
          <w:color w:val="auto"/>
          <w:sz w:val="24"/>
          <w:szCs w:val="24"/>
          <w:highlight w:val="none"/>
        </w:rPr>
        <w:t>注：若本条所述的采购文件、招标答疑（补充）文件没有向投标人以书面形式发出，而是通过浙江政府采购网和义乌市公共资源交易服务平台上发出的，则以该网发出的为准，采购文件、招标答疑（补充）文件一经该网发出，即视为投标人已经收到。投标人在投标截止时间前应充分关注该网上发布的信息，如因投标人未及时关注网上发布的信息而导致的一切投标后果由投标人自行承担。</w:t>
      </w:r>
    </w:p>
    <w:p>
      <w:pPr>
        <w:pStyle w:val="2"/>
        <w:shd w:val="clear"/>
        <w:snapToGrid w:val="0"/>
        <w:spacing w:line="360" w:lineRule="auto"/>
        <w:ind w:firstLine="480" w:firstLineChars="200"/>
        <w:jc w:val="both"/>
        <w:rPr>
          <w:rFonts w:cs="宋体"/>
          <w:b w:val="0"/>
          <w:bCs w:val="0"/>
          <w:color w:val="auto"/>
          <w:sz w:val="24"/>
          <w:szCs w:val="24"/>
          <w:highlight w:val="none"/>
        </w:rPr>
      </w:pPr>
      <w:r>
        <w:rPr>
          <w:rFonts w:hint="eastAsia" w:cs="宋体"/>
          <w:b w:val="0"/>
          <w:bCs w:val="0"/>
          <w:color w:val="auto"/>
          <w:sz w:val="24"/>
          <w:szCs w:val="24"/>
          <w:highlight w:val="none"/>
        </w:rPr>
        <w:t>9.6投标人应仔细阅读和检查采购文件的全部内容。如发现缺页或附件不全，应及时向采购人提出，以便补齐。如有疑问，应在投标人须知前附表规定的方式及时间前书面形式要求澄清问题的文件，要求采购人对采购文件予以澄清。否则，由此引起的损失由投标人自己承担。</w:t>
      </w:r>
    </w:p>
    <w:p>
      <w:pPr>
        <w:shd w:val="clear"/>
        <w:snapToGrid w:val="0"/>
        <w:spacing w:line="360" w:lineRule="auto"/>
        <w:rPr>
          <w:rFonts w:ascii="宋体" w:hAnsi="宋体" w:cs="宋体"/>
          <w:b/>
          <w:bCs/>
          <w:color w:val="auto"/>
          <w:sz w:val="28"/>
          <w:szCs w:val="28"/>
          <w:highlight w:val="none"/>
        </w:rPr>
      </w:pPr>
      <w:bookmarkStart w:id="20" w:name="_Toc23775"/>
      <w:bookmarkStart w:id="21" w:name="_Toc27267"/>
      <w:bookmarkStart w:id="22" w:name="_Toc274303231"/>
      <w:bookmarkStart w:id="23" w:name="_Toc362250689"/>
      <w:r>
        <w:rPr>
          <w:rFonts w:hint="eastAsia" w:ascii="宋体" w:hAnsi="宋体" w:cs="宋体"/>
          <w:b/>
          <w:bCs/>
          <w:color w:val="auto"/>
          <w:sz w:val="28"/>
          <w:szCs w:val="28"/>
          <w:highlight w:val="none"/>
        </w:rPr>
        <w:t>三、投标文件</w:t>
      </w:r>
      <w:bookmarkEnd w:id="20"/>
      <w:bookmarkEnd w:id="21"/>
      <w:bookmarkEnd w:id="22"/>
      <w:bookmarkEnd w:id="23"/>
    </w:p>
    <w:p>
      <w:pPr>
        <w:pStyle w:val="2"/>
        <w:shd w:val="clear"/>
        <w:snapToGrid w:val="0"/>
        <w:spacing w:line="360" w:lineRule="auto"/>
        <w:ind w:firstLine="482" w:firstLineChars="200"/>
        <w:jc w:val="both"/>
        <w:rPr>
          <w:rFonts w:cs="宋体"/>
          <w:color w:val="auto"/>
          <w:sz w:val="24"/>
          <w:szCs w:val="24"/>
          <w:highlight w:val="none"/>
        </w:rPr>
      </w:pPr>
      <w:r>
        <w:rPr>
          <w:rFonts w:hint="eastAsia" w:cs="宋体"/>
          <w:color w:val="auto"/>
          <w:sz w:val="24"/>
          <w:szCs w:val="24"/>
          <w:highlight w:val="none"/>
        </w:rPr>
        <w:t>10.投标文件的语言及度量衡单位</w:t>
      </w:r>
    </w:p>
    <w:p>
      <w:pPr>
        <w:pStyle w:val="2"/>
        <w:shd w:val="clear"/>
        <w:snapToGrid w:val="0"/>
        <w:spacing w:line="360" w:lineRule="auto"/>
        <w:ind w:firstLine="480" w:firstLineChars="200"/>
        <w:jc w:val="both"/>
        <w:rPr>
          <w:rFonts w:cs="宋体"/>
          <w:b w:val="0"/>
          <w:bCs w:val="0"/>
          <w:color w:val="auto"/>
          <w:sz w:val="24"/>
          <w:szCs w:val="24"/>
          <w:highlight w:val="none"/>
        </w:rPr>
      </w:pPr>
      <w:r>
        <w:rPr>
          <w:rFonts w:hint="eastAsia" w:cs="宋体"/>
          <w:b w:val="0"/>
          <w:bCs w:val="0"/>
          <w:color w:val="auto"/>
          <w:sz w:val="24"/>
          <w:szCs w:val="24"/>
          <w:highlight w:val="none"/>
        </w:rPr>
        <w:t>10.1投标文件和与投标有关的所有文件均应使用汉语。</w:t>
      </w:r>
    </w:p>
    <w:p>
      <w:pPr>
        <w:pStyle w:val="2"/>
        <w:shd w:val="clear"/>
        <w:snapToGrid w:val="0"/>
        <w:spacing w:line="360" w:lineRule="auto"/>
        <w:ind w:firstLine="480" w:firstLineChars="200"/>
        <w:jc w:val="both"/>
        <w:rPr>
          <w:rFonts w:cs="宋体"/>
          <w:b w:val="0"/>
          <w:bCs w:val="0"/>
          <w:color w:val="auto"/>
          <w:sz w:val="24"/>
          <w:szCs w:val="24"/>
          <w:highlight w:val="none"/>
        </w:rPr>
      </w:pPr>
      <w:r>
        <w:rPr>
          <w:rFonts w:hint="eastAsia" w:cs="宋体"/>
          <w:b w:val="0"/>
          <w:bCs w:val="0"/>
          <w:color w:val="auto"/>
          <w:sz w:val="24"/>
          <w:szCs w:val="24"/>
          <w:highlight w:val="none"/>
        </w:rPr>
        <w:t>10.2除工程规范另有规定外，投标文件使用的度量衡单位，均采用中华人民共和国法定计量单位。</w:t>
      </w:r>
    </w:p>
    <w:p>
      <w:pPr>
        <w:pStyle w:val="2"/>
        <w:shd w:val="clear"/>
        <w:snapToGrid w:val="0"/>
        <w:spacing w:line="360" w:lineRule="auto"/>
        <w:ind w:firstLine="480" w:firstLineChars="200"/>
        <w:jc w:val="both"/>
        <w:rPr>
          <w:rFonts w:cs="宋体"/>
          <w:b w:val="0"/>
          <w:bCs w:val="0"/>
          <w:color w:val="auto"/>
          <w:sz w:val="24"/>
          <w:szCs w:val="24"/>
          <w:highlight w:val="none"/>
        </w:rPr>
      </w:pPr>
      <w:r>
        <w:rPr>
          <w:rFonts w:hint="eastAsia" w:cs="宋体"/>
          <w:b w:val="0"/>
          <w:bCs w:val="0"/>
          <w:color w:val="auto"/>
          <w:sz w:val="24"/>
          <w:szCs w:val="24"/>
          <w:highlight w:val="none"/>
        </w:rPr>
        <w:t>10.3对不同文字文本投标文件的解释发生异义的，以中文文本为准。</w:t>
      </w:r>
    </w:p>
    <w:p>
      <w:pPr>
        <w:pStyle w:val="2"/>
        <w:shd w:val="clear"/>
        <w:snapToGrid w:val="0"/>
        <w:spacing w:line="360" w:lineRule="auto"/>
        <w:ind w:firstLine="482" w:firstLineChars="200"/>
        <w:jc w:val="both"/>
        <w:rPr>
          <w:rFonts w:cs="宋体"/>
          <w:color w:val="auto"/>
          <w:sz w:val="24"/>
          <w:szCs w:val="24"/>
          <w:highlight w:val="none"/>
        </w:rPr>
      </w:pPr>
      <w:r>
        <w:rPr>
          <w:rFonts w:hint="eastAsia" w:cs="宋体"/>
          <w:color w:val="auto"/>
          <w:sz w:val="24"/>
          <w:szCs w:val="24"/>
          <w:highlight w:val="none"/>
        </w:rPr>
        <w:t>11.对投标文件的要求</w:t>
      </w:r>
    </w:p>
    <w:p>
      <w:pPr>
        <w:pStyle w:val="2"/>
        <w:shd w:val="clear"/>
        <w:snapToGrid w:val="0"/>
        <w:spacing w:line="360" w:lineRule="auto"/>
        <w:ind w:firstLine="480" w:firstLineChars="200"/>
        <w:jc w:val="both"/>
        <w:rPr>
          <w:rFonts w:cs="宋体"/>
          <w:b w:val="0"/>
          <w:bCs w:val="0"/>
          <w:color w:val="auto"/>
          <w:sz w:val="24"/>
          <w:szCs w:val="24"/>
          <w:highlight w:val="none"/>
        </w:rPr>
      </w:pPr>
      <w:r>
        <w:rPr>
          <w:rFonts w:hint="eastAsia" w:cs="宋体"/>
          <w:b w:val="0"/>
          <w:bCs w:val="0"/>
          <w:color w:val="auto"/>
          <w:sz w:val="24"/>
          <w:szCs w:val="24"/>
          <w:highlight w:val="none"/>
        </w:rPr>
        <w:t>11.1投标人应仔细阅读采购文件，了解采购文件的要求，在完全了解招标项目的技术要求和商务要求后，编制投标文件。</w:t>
      </w:r>
    </w:p>
    <w:p>
      <w:pPr>
        <w:pStyle w:val="2"/>
        <w:shd w:val="clear"/>
        <w:snapToGrid w:val="0"/>
        <w:spacing w:line="360" w:lineRule="auto"/>
        <w:ind w:firstLine="480" w:firstLineChars="200"/>
        <w:jc w:val="both"/>
        <w:rPr>
          <w:rFonts w:cs="宋体"/>
          <w:b w:val="0"/>
          <w:bCs w:val="0"/>
          <w:color w:val="auto"/>
          <w:sz w:val="24"/>
          <w:szCs w:val="24"/>
          <w:highlight w:val="none"/>
        </w:rPr>
      </w:pPr>
      <w:r>
        <w:rPr>
          <w:rFonts w:hint="eastAsia" w:cs="宋体"/>
          <w:b w:val="0"/>
          <w:bCs w:val="0"/>
          <w:color w:val="auto"/>
          <w:sz w:val="24"/>
          <w:szCs w:val="24"/>
          <w:highlight w:val="none"/>
        </w:rPr>
        <w:t>11.2编制投标文件时，投标人对采购文件中技术及商务要求须逐条逐项作出实质性回答。</w:t>
      </w:r>
    </w:p>
    <w:p>
      <w:pPr>
        <w:pStyle w:val="2"/>
        <w:shd w:val="clear"/>
        <w:snapToGrid w:val="0"/>
        <w:spacing w:line="360" w:lineRule="auto"/>
        <w:ind w:firstLine="480" w:firstLineChars="200"/>
        <w:jc w:val="both"/>
        <w:rPr>
          <w:rFonts w:cs="宋体"/>
          <w:b w:val="0"/>
          <w:bCs w:val="0"/>
          <w:color w:val="auto"/>
          <w:sz w:val="24"/>
          <w:szCs w:val="24"/>
          <w:highlight w:val="none"/>
        </w:rPr>
      </w:pPr>
      <w:r>
        <w:rPr>
          <w:rFonts w:hint="eastAsia" w:cs="宋体"/>
          <w:b w:val="0"/>
          <w:bCs w:val="0"/>
          <w:color w:val="auto"/>
          <w:sz w:val="24"/>
          <w:szCs w:val="24"/>
          <w:highlight w:val="none"/>
        </w:rPr>
        <w:t>11.3 在投标文件的技术条款描述中，投标人应充分应答和满足用户的强制性的需求，如“★”等，否则将导致无效标。</w:t>
      </w:r>
    </w:p>
    <w:p>
      <w:pPr>
        <w:pStyle w:val="2"/>
        <w:shd w:val="clear"/>
        <w:snapToGrid w:val="0"/>
        <w:spacing w:line="360" w:lineRule="auto"/>
        <w:ind w:firstLine="480" w:firstLineChars="200"/>
        <w:jc w:val="both"/>
        <w:rPr>
          <w:rFonts w:cs="宋体"/>
          <w:b w:val="0"/>
          <w:bCs w:val="0"/>
          <w:color w:val="auto"/>
          <w:sz w:val="24"/>
          <w:szCs w:val="24"/>
          <w:highlight w:val="none"/>
        </w:rPr>
      </w:pPr>
      <w:r>
        <w:rPr>
          <w:rFonts w:hint="eastAsia" w:cs="宋体"/>
          <w:b w:val="0"/>
          <w:bCs w:val="0"/>
          <w:color w:val="auto"/>
          <w:sz w:val="24"/>
          <w:szCs w:val="24"/>
          <w:highlight w:val="none"/>
        </w:rPr>
        <w:t>11.4编制的投标文件对采购文件中有关条款未提出异议的，均被视为接受和同意。</w:t>
      </w:r>
    </w:p>
    <w:p>
      <w:pPr>
        <w:pStyle w:val="2"/>
        <w:shd w:val="clear"/>
        <w:snapToGrid w:val="0"/>
        <w:spacing w:line="360" w:lineRule="auto"/>
        <w:ind w:firstLine="482" w:firstLineChars="200"/>
        <w:jc w:val="both"/>
        <w:rPr>
          <w:rFonts w:cs="宋体"/>
          <w:color w:val="auto"/>
          <w:sz w:val="24"/>
          <w:szCs w:val="24"/>
          <w:highlight w:val="none"/>
        </w:rPr>
      </w:pPr>
      <w:r>
        <w:rPr>
          <w:rFonts w:hint="eastAsia" w:cs="宋体"/>
          <w:color w:val="auto"/>
          <w:sz w:val="24"/>
          <w:szCs w:val="24"/>
          <w:highlight w:val="none"/>
        </w:rPr>
        <w:t>12.投标文件的组成</w:t>
      </w:r>
    </w:p>
    <w:p>
      <w:pPr>
        <w:pStyle w:val="2"/>
        <w:shd w:val="clear"/>
        <w:snapToGrid w:val="0"/>
        <w:spacing w:line="360" w:lineRule="auto"/>
        <w:ind w:firstLine="480" w:firstLineChars="200"/>
        <w:jc w:val="both"/>
        <w:rPr>
          <w:rFonts w:cs="宋体"/>
          <w:b w:val="0"/>
          <w:bCs w:val="0"/>
          <w:color w:val="auto"/>
          <w:sz w:val="24"/>
          <w:szCs w:val="24"/>
          <w:highlight w:val="none"/>
        </w:rPr>
      </w:pPr>
      <w:r>
        <w:rPr>
          <w:rFonts w:hint="eastAsia" w:cs="宋体"/>
          <w:b w:val="0"/>
          <w:bCs w:val="0"/>
          <w:color w:val="auto"/>
          <w:sz w:val="24"/>
          <w:szCs w:val="24"/>
          <w:highlight w:val="none"/>
        </w:rPr>
        <w:t>12.1投标文件的组成包括以下所列内容和采购文件中“投标文件部分格式”所列的内容、格式及其投标人认为有必要提供的其他文件。</w:t>
      </w:r>
    </w:p>
    <w:p>
      <w:pPr>
        <w:pStyle w:val="2"/>
        <w:shd w:val="clear"/>
        <w:snapToGrid w:val="0"/>
        <w:spacing w:line="360" w:lineRule="auto"/>
        <w:ind w:firstLine="482" w:firstLineChars="200"/>
        <w:jc w:val="both"/>
        <w:rPr>
          <w:rFonts w:cs="宋体"/>
          <w:color w:val="auto"/>
          <w:sz w:val="24"/>
          <w:szCs w:val="24"/>
          <w:highlight w:val="none"/>
        </w:rPr>
      </w:pPr>
      <w:r>
        <w:rPr>
          <w:rFonts w:hint="eastAsia" w:cs="宋体"/>
          <w:color w:val="auto"/>
          <w:sz w:val="24"/>
          <w:szCs w:val="24"/>
          <w:highlight w:val="none"/>
        </w:rPr>
        <w:t>★12.2 递交的投标文件应分为技术标和商务标，技术标为除商务报价外的所有内容，电子投标文件中所有加盖公章均采用CA签章。技术标（含资信与服务）不得含商务报价，否则作无效标处理。</w:t>
      </w:r>
    </w:p>
    <w:p>
      <w:pPr>
        <w:pStyle w:val="2"/>
        <w:shd w:val="clear"/>
        <w:snapToGrid w:val="0"/>
        <w:spacing w:line="360" w:lineRule="auto"/>
        <w:ind w:firstLine="482" w:firstLineChars="200"/>
        <w:jc w:val="both"/>
        <w:rPr>
          <w:rFonts w:cs="宋体"/>
          <w:color w:val="auto"/>
          <w:sz w:val="24"/>
          <w:szCs w:val="24"/>
          <w:highlight w:val="none"/>
        </w:rPr>
      </w:pPr>
      <w:r>
        <w:rPr>
          <w:rFonts w:hint="eastAsia" w:cs="宋体"/>
          <w:color w:val="auto"/>
          <w:sz w:val="24"/>
          <w:szCs w:val="24"/>
          <w:highlight w:val="none"/>
        </w:rPr>
        <w:t>12.3资格审查文件：应包括下列内容（并不仅限于以下）：(复印件需加盖单位公章，提供的所有证书应在有效期内，逾期的无效)</w:t>
      </w:r>
    </w:p>
    <w:p>
      <w:pPr>
        <w:pStyle w:val="2"/>
        <w:shd w:val="clear"/>
        <w:snapToGrid w:val="0"/>
        <w:spacing w:line="360" w:lineRule="auto"/>
        <w:ind w:firstLine="480" w:firstLineChars="200"/>
        <w:jc w:val="both"/>
        <w:rPr>
          <w:rFonts w:cs="宋体"/>
          <w:b w:val="0"/>
          <w:bCs w:val="0"/>
          <w:color w:val="auto"/>
          <w:sz w:val="24"/>
          <w:szCs w:val="24"/>
          <w:highlight w:val="none"/>
        </w:rPr>
      </w:pPr>
      <w:r>
        <w:rPr>
          <w:rFonts w:hint="eastAsia" w:cs="宋体"/>
          <w:b w:val="0"/>
          <w:bCs w:val="0"/>
          <w:color w:val="auto"/>
          <w:sz w:val="24"/>
          <w:szCs w:val="24"/>
          <w:highlight w:val="none"/>
        </w:rPr>
        <w:t>（1）关于资格的声明函；</w:t>
      </w:r>
    </w:p>
    <w:p>
      <w:pPr>
        <w:pStyle w:val="2"/>
        <w:shd w:val="clear"/>
        <w:snapToGrid w:val="0"/>
        <w:spacing w:line="360" w:lineRule="auto"/>
        <w:ind w:firstLine="480" w:firstLineChars="200"/>
        <w:jc w:val="both"/>
        <w:rPr>
          <w:rFonts w:cs="宋体"/>
          <w:b w:val="0"/>
          <w:bCs w:val="0"/>
          <w:color w:val="auto"/>
          <w:sz w:val="24"/>
          <w:szCs w:val="24"/>
          <w:highlight w:val="none"/>
        </w:rPr>
      </w:pPr>
      <w:r>
        <w:rPr>
          <w:rFonts w:hint="eastAsia" w:cs="宋体"/>
          <w:b w:val="0"/>
          <w:bCs w:val="0"/>
          <w:color w:val="auto"/>
          <w:sz w:val="24"/>
          <w:szCs w:val="24"/>
          <w:highlight w:val="none"/>
        </w:rPr>
        <w:t>（2）投标单位情况介绍；</w:t>
      </w:r>
    </w:p>
    <w:p>
      <w:pPr>
        <w:pStyle w:val="2"/>
        <w:shd w:val="clear"/>
        <w:snapToGrid w:val="0"/>
        <w:spacing w:line="360" w:lineRule="auto"/>
        <w:ind w:firstLine="480" w:firstLineChars="200"/>
        <w:jc w:val="both"/>
        <w:rPr>
          <w:rFonts w:cs="宋体"/>
          <w:b w:val="0"/>
          <w:bCs w:val="0"/>
          <w:color w:val="auto"/>
          <w:sz w:val="24"/>
          <w:szCs w:val="24"/>
          <w:highlight w:val="none"/>
        </w:rPr>
      </w:pPr>
      <w:r>
        <w:rPr>
          <w:rFonts w:hint="eastAsia" w:cs="宋体"/>
          <w:b w:val="0"/>
          <w:bCs w:val="0"/>
          <w:color w:val="auto"/>
          <w:sz w:val="24"/>
          <w:szCs w:val="24"/>
          <w:highlight w:val="none"/>
        </w:rPr>
        <w:t>（3）有效的营业执照副本复印件或在“国家企业信用信息公示系统”（网址：</w:t>
      </w:r>
      <w:r>
        <w:rPr>
          <w:rFonts w:hint="eastAsia" w:cs="宋体"/>
          <w:b w:val="0"/>
          <w:bCs w:val="0"/>
          <w:color w:val="auto"/>
          <w:sz w:val="24"/>
          <w:szCs w:val="24"/>
          <w:highlight w:val="none"/>
        </w:rPr>
        <w:fldChar w:fldCharType="begin"/>
      </w:r>
      <w:r>
        <w:rPr>
          <w:rFonts w:hint="eastAsia" w:cs="宋体"/>
          <w:b w:val="0"/>
          <w:bCs w:val="0"/>
          <w:color w:val="auto"/>
          <w:sz w:val="24"/>
          <w:szCs w:val="24"/>
          <w:highlight w:val="none"/>
        </w:rPr>
        <w:instrText xml:space="preserve"> HYPERLINK "http://gsxt.saic.gov.cn/）上的单位详细信息打印件（加盖投标人公章）；" </w:instrText>
      </w:r>
      <w:r>
        <w:rPr>
          <w:rFonts w:hint="eastAsia" w:cs="宋体"/>
          <w:b w:val="0"/>
          <w:bCs w:val="0"/>
          <w:color w:val="auto"/>
          <w:sz w:val="24"/>
          <w:szCs w:val="24"/>
          <w:highlight w:val="none"/>
        </w:rPr>
        <w:fldChar w:fldCharType="separate"/>
      </w:r>
      <w:r>
        <w:rPr>
          <w:rFonts w:hint="eastAsia" w:cs="宋体"/>
          <w:b w:val="0"/>
          <w:bCs w:val="0"/>
          <w:color w:val="auto"/>
          <w:sz w:val="24"/>
          <w:szCs w:val="24"/>
          <w:highlight w:val="none"/>
        </w:rPr>
        <w:t>http://gsxt.saic.gov.cn/）上的单位详细信息打印件（加盖投标人公章）；</w:t>
      </w:r>
      <w:r>
        <w:rPr>
          <w:rFonts w:hint="eastAsia" w:cs="宋体"/>
          <w:b w:val="0"/>
          <w:bCs w:val="0"/>
          <w:color w:val="auto"/>
          <w:sz w:val="24"/>
          <w:szCs w:val="24"/>
          <w:highlight w:val="none"/>
        </w:rPr>
        <w:fldChar w:fldCharType="end"/>
      </w:r>
    </w:p>
    <w:p>
      <w:pPr>
        <w:pStyle w:val="2"/>
        <w:shd w:val="clear"/>
        <w:snapToGrid w:val="0"/>
        <w:spacing w:line="360" w:lineRule="auto"/>
        <w:ind w:firstLine="480" w:firstLineChars="200"/>
        <w:jc w:val="both"/>
        <w:rPr>
          <w:rFonts w:cs="宋体"/>
          <w:b w:val="0"/>
          <w:bCs w:val="0"/>
          <w:color w:val="auto"/>
          <w:sz w:val="24"/>
          <w:szCs w:val="24"/>
          <w:highlight w:val="none"/>
        </w:rPr>
      </w:pPr>
      <w:r>
        <w:rPr>
          <w:rFonts w:hint="eastAsia" w:cs="宋体"/>
          <w:b w:val="0"/>
          <w:bCs w:val="0"/>
          <w:color w:val="auto"/>
          <w:sz w:val="24"/>
          <w:szCs w:val="24"/>
          <w:highlight w:val="none"/>
        </w:rPr>
        <w:t>（4）法定代表人资格说明书、法定代表人身份证复印件；</w:t>
      </w:r>
    </w:p>
    <w:p>
      <w:pPr>
        <w:pStyle w:val="2"/>
        <w:shd w:val="clear"/>
        <w:snapToGrid w:val="0"/>
        <w:spacing w:line="360" w:lineRule="auto"/>
        <w:ind w:firstLine="480" w:firstLineChars="200"/>
        <w:jc w:val="both"/>
        <w:rPr>
          <w:rFonts w:hint="eastAsia" w:cs="宋体"/>
          <w:b w:val="0"/>
          <w:bCs w:val="0"/>
          <w:color w:val="auto"/>
          <w:sz w:val="24"/>
          <w:szCs w:val="24"/>
          <w:highlight w:val="none"/>
        </w:rPr>
      </w:pPr>
      <w:r>
        <w:rPr>
          <w:rFonts w:hint="eastAsia" w:cs="宋体"/>
          <w:b w:val="0"/>
          <w:bCs w:val="0"/>
          <w:color w:val="auto"/>
          <w:sz w:val="24"/>
          <w:szCs w:val="24"/>
          <w:highlight w:val="none"/>
        </w:rPr>
        <w:t>（5）法定代表人授权委托书、被授权代表身份证复印件（适用于授权代表参与本项目）；</w:t>
      </w:r>
    </w:p>
    <w:p>
      <w:pPr>
        <w:pStyle w:val="2"/>
        <w:shd w:val="clear"/>
        <w:snapToGrid w:val="0"/>
        <w:spacing w:line="360" w:lineRule="auto"/>
        <w:ind w:firstLine="480" w:firstLineChars="200"/>
        <w:jc w:val="both"/>
        <w:rPr>
          <w:rFonts w:cs="宋体"/>
          <w:b w:val="0"/>
          <w:bCs w:val="0"/>
          <w:color w:val="auto"/>
          <w:sz w:val="24"/>
          <w:szCs w:val="24"/>
          <w:highlight w:val="none"/>
        </w:rPr>
      </w:pPr>
      <w:r>
        <w:rPr>
          <w:rFonts w:hint="eastAsia" w:cs="宋体"/>
          <w:b w:val="0"/>
          <w:bCs w:val="0"/>
          <w:color w:val="auto"/>
          <w:sz w:val="24"/>
          <w:szCs w:val="24"/>
          <w:highlight w:val="none"/>
        </w:rPr>
        <w:t>（</w:t>
      </w:r>
      <w:r>
        <w:rPr>
          <w:rFonts w:hint="eastAsia" w:cs="宋体"/>
          <w:b w:val="0"/>
          <w:bCs w:val="0"/>
          <w:color w:val="auto"/>
          <w:sz w:val="24"/>
          <w:szCs w:val="24"/>
          <w:highlight w:val="none"/>
          <w:lang w:val="en-US" w:eastAsia="zh-CN"/>
        </w:rPr>
        <w:t>6</w:t>
      </w:r>
      <w:r>
        <w:rPr>
          <w:rFonts w:hint="eastAsia" w:cs="宋体"/>
          <w:b w:val="0"/>
          <w:bCs w:val="0"/>
          <w:color w:val="auto"/>
          <w:sz w:val="24"/>
          <w:szCs w:val="24"/>
          <w:highlight w:val="none"/>
        </w:rPr>
        <w:t>）《中小企业声明函》｛符合</w:t>
      </w:r>
      <w:r>
        <w:rPr>
          <w:rFonts w:hint="eastAsia" w:cs="宋体"/>
          <w:b w:val="0"/>
          <w:bCs w:val="0"/>
          <w:color w:val="auto"/>
          <w:sz w:val="24"/>
          <w:szCs w:val="24"/>
          <w:highlight w:val="none"/>
          <w:lang w:val="en-US" w:eastAsia="zh-CN"/>
        </w:rPr>
        <w:t>中小</w:t>
      </w:r>
      <w:r>
        <w:rPr>
          <w:rFonts w:hint="eastAsia" w:cs="宋体"/>
          <w:b w:val="0"/>
          <w:bCs w:val="0"/>
          <w:color w:val="auto"/>
          <w:sz w:val="24"/>
          <w:szCs w:val="24"/>
          <w:highlight w:val="none"/>
        </w:rPr>
        <w:t>企业有关政策的投标人需提供本项材料。投标人应根据《工业和信息化部、国家统计局、国家发展和改革委员会、财政部关于印发中小企业划型标准规定的通知》（工信部联企业〔2011〕300号）规定的划型标准,填报企业规模类型。投标人也可在国务院客户端或工业和信息化部网站上，使用中小企业规模类型自测小程序识别企业规模类型。｝。</w:t>
      </w:r>
    </w:p>
    <w:p>
      <w:pPr>
        <w:pStyle w:val="2"/>
        <w:shd w:val="clear"/>
        <w:snapToGrid w:val="0"/>
        <w:spacing w:line="360" w:lineRule="auto"/>
        <w:ind w:firstLine="480" w:firstLineChars="200"/>
        <w:jc w:val="both"/>
        <w:rPr>
          <w:rFonts w:cs="宋体"/>
          <w:b w:val="0"/>
          <w:bCs w:val="0"/>
          <w:color w:val="auto"/>
          <w:sz w:val="24"/>
          <w:szCs w:val="24"/>
          <w:highlight w:val="none"/>
        </w:rPr>
      </w:pPr>
      <w:r>
        <w:rPr>
          <w:rFonts w:hint="eastAsia" w:cs="宋体"/>
          <w:b w:val="0"/>
          <w:bCs w:val="0"/>
          <w:color w:val="auto"/>
          <w:sz w:val="24"/>
          <w:szCs w:val="24"/>
          <w:highlight w:val="none"/>
        </w:rPr>
        <w:t>（</w:t>
      </w:r>
      <w:r>
        <w:rPr>
          <w:rFonts w:hint="eastAsia" w:cs="宋体"/>
          <w:b w:val="0"/>
          <w:bCs w:val="0"/>
          <w:color w:val="auto"/>
          <w:sz w:val="24"/>
          <w:szCs w:val="24"/>
          <w:highlight w:val="none"/>
          <w:lang w:val="en-US" w:eastAsia="zh-CN"/>
        </w:rPr>
        <w:t>7</w:t>
      </w:r>
      <w:r>
        <w:rPr>
          <w:rFonts w:hint="eastAsia" w:cs="宋体"/>
          <w:b w:val="0"/>
          <w:bCs w:val="0"/>
          <w:color w:val="auto"/>
          <w:sz w:val="24"/>
          <w:szCs w:val="24"/>
          <w:highlight w:val="none"/>
        </w:rPr>
        <w:t>）残疾人福利企业声明函（若有，格式见附件）；</w:t>
      </w:r>
    </w:p>
    <w:p>
      <w:pPr>
        <w:pStyle w:val="2"/>
        <w:shd w:val="clear"/>
        <w:snapToGrid w:val="0"/>
        <w:spacing w:line="360" w:lineRule="auto"/>
        <w:ind w:firstLine="480" w:firstLineChars="200"/>
        <w:jc w:val="both"/>
        <w:rPr>
          <w:color w:val="auto"/>
          <w:highlight w:val="none"/>
        </w:rPr>
      </w:pPr>
      <w:r>
        <w:rPr>
          <w:rFonts w:hint="eastAsia" w:cs="宋体"/>
          <w:b w:val="0"/>
          <w:bCs w:val="0"/>
          <w:color w:val="auto"/>
          <w:sz w:val="24"/>
          <w:szCs w:val="24"/>
          <w:highlight w:val="none"/>
        </w:rPr>
        <w:t>（</w:t>
      </w:r>
      <w:r>
        <w:rPr>
          <w:rFonts w:hint="eastAsia" w:cs="宋体"/>
          <w:b w:val="0"/>
          <w:bCs w:val="0"/>
          <w:color w:val="auto"/>
          <w:sz w:val="24"/>
          <w:szCs w:val="24"/>
          <w:highlight w:val="none"/>
          <w:lang w:val="en-US" w:eastAsia="zh-CN"/>
        </w:rPr>
        <w:t>8</w:t>
      </w:r>
      <w:r>
        <w:rPr>
          <w:rFonts w:hint="eastAsia" w:cs="宋体"/>
          <w:b w:val="0"/>
          <w:bCs w:val="0"/>
          <w:color w:val="auto"/>
          <w:sz w:val="24"/>
          <w:szCs w:val="24"/>
          <w:highlight w:val="none"/>
        </w:rPr>
        <w:t>）监狱企业声明函、说明资料（若有，格式见附件）；</w:t>
      </w:r>
    </w:p>
    <w:p>
      <w:pPr>
        <w:pStyle w:val="2"/>
        <w:shd w:val="clear"/>
        <w:snapToGrid w:val="0"/>
        <w:spacing w:line="360" w:lineRule="auto"/>
        <w:ind w:firstLine="482" w:firstLineChars="200"/>
        <w:jc w:val="both"/>
        <w:rPr>
          <w:rFonts w:cs="宋体"/>
          <w:color w:val="auto"/>
          <w:sz w:val="24"/>
          <w:szCs w:val="24"/>
          <w:highlight w:val="none"/>
        </w:rPr>
      </w:pPr>
      <w:r>
        <w:rPr>
          <w:rFonts w:hint="eastAsia" w:cs="宋体"/>
          <w:color w:val="auto"/>
          <w:sz w:val="24"/>
          <w:szCs w:val="24"/>
          <w:highlight w:val="none"/>
        </w:rPr>
        <w:t>12.4技术标:应包括下列内容（并不仅限于以下）：(复印件需加盖单位公章，提供的所有证书应在有效期内，逾期的无效)</w:t>
      </w:r>
    </w:p>
    <w:p>
      <w:pPr>
        <w:pStyle w:val="2"/>
        <w:shd w:val="clear"/>
        <w:snapToGrid w:val="0"/>
        <w:spacing w:line="360" w:lineRule="auto"/>
        <w:ind w:firstLine="480" w:firstLineChars="200"/>
        <w:jc w:val="both"/>
        <w:rPr>
          <w:rFonts w:cs="宋体"/>
          <w:b w:val="0"/>
          <w:bCs w:val="0"/>
          <w:color w:val="auto"/>
          <w:sz w:val="24"/>
          <w:szCs w:val="24"/>
          <w:highlight w:val="none"/>
        </w:rPr>
      </w:pPr>
      <w:r>
        <w:rPr>
          <w:rFonts w:hint="eastAsia" w:cs="宋体"/>
          <w:b w:val="0"/>
          <w:bCs w:val="0"/>
          <w:color w:val="auto"/>
          <w:sz w:val="24"/>
          <w:szCs w:val="24"/>
          <w:highlight w:val="none"/>
        </w:rPr>
        <w:t>（1）总体方案；</w:t>
      </w:r>
    </w:p>
    <w:p>
      <w:pPr>
        <w:pStyle w:val="2"/>
        <w:shd w:val="clear"/>
        <w:snapToGrid w:val="0"/>
        <w:spacing w:line="360" w:lineRule="auto"/>
        <w:ind w:firstLine="480" w:firstLineChars="200"/>
        <w:jc w:val="both"/>
        <w:rPr>
          <w:rFonts w:hint="eastAsia" w:cs="宋体"/>
          <w:b w:val="0"/>
          <w:bCs w:val="0"/>
          <w:color w:val="auto"/>
          <w:sz w:val="24"/>
          <w:szCs w:val="24"/>
          <w:highlight w:val="none"/>
        </w:rPr>
      </w:pPr>
      <w:r>
        <w:rPr>
          <w:rFonts w:hint="eastAsia" w:cs="宋体"/>
          <w:b w:val="0"/>
          <w:bCs w:val="0"/>
          <w:color w:val="auto"/>
          <w:sz w:val="24"/>
          <w:szCs w:val="24"/>
          <w:highlight w:val="none"/>
        </w:rPr>
        <w:t>（2）</w:t>
      </w:r>
      <w:r>
        <w:rPr>
          <w:rFonts w:hint="eastAsia" w:cs="宋体"/>
          <w:b w:val="0"/>
          <w:bCs w:val="0"/>
          <w:color w:val="auto"/>
          <w:sz w:val="24"/>
          <w:szCs w:val="24"/>
          <w:highlight w:val="none"/>
          <w:lang w:val="en-US" w:eastAsia="zh-CN"/>
        </w:rPr>
        <w:t>拟投入本项目设备一览表</w:t>
      </w:r>
      <w:r>
        <w:rPr>
          <w:rFonts w:hint="eastAsia" w:cs="宋体"/>
          <w:b w:val="0"/>
          <w:bCs w:val="0"/>
          <w:color w:val="auto"/>
          <w:sz w:val="24"/>
          <w:szCs w:val="24"/>
          <w:highlight w:val="none"/>
        </w:rPr>
        <w:t>；</w:t>
      </w:r>
    </w:p>
    <w:p>
      <w:pPr>
        <w:pStyle w:val="2"/>
        <w:shd w:val="clear"/>
        <w:snapToGrid w:val="0"/>
        <w:spacing w:line="360" w:lineRule="auto"/>
        <w:ind w:firstLine="480" w:firstLineChars="200"/>
        <w:jc w:val="both"/>
        <w:rPr>
          <w:rFonts w:hint="default"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lang w:val="en-US" w:eastAsia="zh-CN"/>
        </w:rPr>
        <w:t>3</w:t>
      </w:r>
      <w:r>
        <w:rPr>
          <w:rFonts w:hint="eastAsia" w:ascii="宋体" w:hAnsi="宋体" w:eastAsia="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lang w:val="en-US" w:eastAsia="zh-CN"/>
        </w:rPr>
        <w:t>检测报告等</w:t>
      </w:r>
      <w:r>
        <w:rPr>
          <w:rFonts w:hint="eastAsia" w:cs="宋体"/>
          <w:b w:val="0"/>
          <w:bCs w:val="0"/>
          <w:color w:val="auto"/>
          <w:sz w:val="24"/>
          <w:szCs w:val="24"/>
          <w:highlight w:val="none"/>
          <w:lang w:val="en-US" w:eastAsia="zh-CN"/>
        </w:rPr>
        <w:t>相关材料；</w:t>
      </w:r>
    </w:p>
    <w:p>
      <w:pPr>
        <w:pStyle w:val="2"/>
        <w:tabs>
          <w:tab w:val="left" w:pos="736"/>
        </w:tabs>
        <w:snapToGrid w:val="0"/>
        <w:spacing w:line="360" w:lineRule="auto"/>
        <w:ind w:firstLine="480" w:firstLineChars="200"/>
        <w:jc w:val="both"/>
        <w:rPr>
          <w:rFonts w:hint="eastAsia" w:eastAsia="宋体"/>
          <w:lang w:eastAsia="zh-CN"/>
        </w:rPr>
      </w:pPr>
      <w:r>
        <w:rPr>
          <w:rFonts w:hint="eastAsia" w:cs="宋体"/>
          <w:b w:val="0"/>
          <w:bCs w:val="0"/>
          <w:color w:val="auto"/>
          <w:sz w:val="24"/>
          <w:szCs w:val="24"/>
          <w:highlight w:val="none"/>
          <w:lang w:eastAsia="zh-CN"/>
        </w:rPr>
        <w:t>（</w:t>
      </w:r>
      <w:r>
        <w:rPr>
          <w:rFonts w:hint="eastAsia" w:cs="宋体"/>
          <w:b w:val="0"/>
          <w:bCs w:val="0"/>
          <w:color w:val="auto"/>
          <w:sz w:val="24"/>
          <w:szCs w:val="24"/>
          <w:highlight w:val="none"/>
          <w:lang w:val="en-US" w:eastAsia="zh-CN"/>
        </w:rPr>
        <w:tab/>
      </w:r>
      <w:r>
        <w:rPr>
          <w:rFonts w:hint="eastAsia" w:cs="宋体"/>
          <w:b w:val="0"/>
          <w:bCs w:val="0"/>
          <w:color w:val="auto"/>
          <w:sz w:val="24"/>
          <w:szCs w:val="24"/>
          <w:highlight w:val="none"/>
          <w:lang w:val="en-US" w:eastAsia="zh-CN"/>
        </w:rPr>
        <w:t>4</w:t>
      </w:r>
      <w:r>
        <w:rPr>
          <w:rFonts w:hint="eastAsia" w:cs="宋体"/>
          <w:b w:val="0"/>
          <w:bCs w:val="0"/>
          <w:color w:val="auto"/>
          <w:sz w:val="24"/>
          <w:szCs w:val="24"/>
          <w:highlight w:val="none"/>
          <w:lang w:eastAsia="zh-CN"/>
        </w:rPr>
        <w:t>）</w:t>
      </w:r>
      <w:r>
        <w:rPr>
          <w:rFonts w:hint="eastAsia" w:cs="宋体"/>
          <w:b w:val="0"/>
          <w:bCs w:val="0"/>
          <w:color w:val="auto"/>
          <w:sz w:val="24"/>
          <w:szCs w:val="24"/>
          <w:highlight w:val="none"/>
        </w:rPr>
        <w:t>可远程控制云平台功能配置</w:t>
      </w:r>
      <w:r>
        <w:rPr>
          <w:rFonts w:hint="eastAsia" w:cs="宋体"/>
          <w:b w:val="0"/>
          <w:bCs w:val="0"/>
          <w:color w:val="auto"/>
          <w:sz w:val="24"/>
          <w:szCs w:val="24"/>
          <w:highlight w:val="none"/>
          <w:lang w:eastAsia="zh-CN"/>
        </w:rPr>
        <w:t>；</w:t>
      </w:r>
    </w:p>
    <w:p>
      <w:pPr>
        <w:pStyle w:val="2"/>
        <w:shd w:val="clear"/>
        <w:snapToGrid w:val="0"/>
        <w:spacing w:line="360" w:lineRule="auto"/>
        <w:ind w:firstLine="480" w:firstLineChars="200"/>
        <w:jc w:val="both"/>
        <w:rPr>
          <w:rFonts w:hint="eastAsia" w:cs="宋体"/>
          <w:b w:val="0"/>
          <w:bCs w:val="0"/>
          <w:color w:val="auto"/>
          <w:sz w:val="24"/>
          <w:szCs w:val="24"/>
          <w:highlight w:val="none"/>
          <w:lang w:val="en-US" w:eastAsia="zh-CN"/>
        </w:rPr>
      </w:pPr>
      <w:r>
        <w:rPr>
          <w:rFonts w:hint="eastAsia" w:cs="宋体"/>
          <w:b w:val="0"/>
          <w:bCs w:val="0"/>
          <w:color w:val="auto"/>
          <w:sz w:val="24"/>
          <w:szCs w:val="24"/>
          <w:highlight w:val="none"/>
          <w:lang w:eastAsia="zh-CN"/>
        </w:rPr>
        <w:t>（</w:t>
      </w:r>
      <w:r>
        <w:rPr>
          <w:rFonts w:hint="eastAsia" w:cs="宋体"/>
          <w:b w:val="0"/>
          <w:bCs w:val="0"/>
          <w:color w:val="auto"/>
          <w:sz w:val="24"/>
          <w:szCs w:val="24"/>
          <w:highlight w:val="none"/>
          <w:lang w:val="en-US" w:eastAsia="zh-CN"/>
        </w:rPr>
        <w:t>5</w:t>
      </w:r>
      <w:r>
        <w:rPr>
          <w:rFonts w:hint="eastAsia" w:cs="宋体"/>
          <w:b w:val="0"/>
          <w:bCs w:val="0"/>
          <w:color w:val="auto"/>
          <w:sz w:val="24"/>
          <w:szCs w:val="24"/>
          <w:highlight w:val="none"/>
          <w:lang w:eastAsia="zh-CN"/>
        </w:rPr>
        <w:t>）</w:t>
      </w:r>
      <w:r>
        <w:rPr>
          <w:rFonts w:hint="eastAsia" w:cs="宋体"/>
          <w:b w:val="0"/>
          <w:bCs w:val="0"/>
          <w:color w:val="auto"/>
          <w:sz w:val="24"/>
          <w:szCs w:val="24"/>
          <w:highlight w:val="none"/>
          <w:lang w:val="en-US" w:eastAsia="zh-CN"/>
        </w:rPr>
        <w:t>服务方案；</w:t>
      </w:r>
    </w:p>
    <w:p>
      <w:pPr>
        <w:pStyle w:val="2"/>
        <w:shd w:val="clear"/>
        <w:snapToGrid w:val="0"/>
        <w:spacing w:line="360" w:lineRule="auto"/>
        <w:ind w:firstLine="480" w:firstLineChars="200"/>
        <w:jc w:val="both"/>
        <w:rPr>
          <w:rFonts w:hint="eastAsia" w:cs="宋体"/>
          <w:b w:val="0"/>
          <w:bCs w:val="0"/>
          <w:color w:val="auto"/>
          <w:sz w:val="24"/>
          <w:szCs w:val="24"/>
          <w:highlight w:val="none"/>
          <w:lang w:val="en-US" w:eastAsia="zh-CN"/>
        </w:rPr>
      </w:pPr>
      <w:r>
        <w:rPr>
          <w:rFonts w:hint="eastAsia" w:cs="宋体"/>
          <w:b w:val="0"/>
          <w:bCs w:val="0"/>
          <w:color w:val="auto"/>
          <w:sz w:val="24"/>
          <w:szCs w:val="24"/>
          <w:highlight w:val="none"/>
          <w:lang w:val="en-US" w:eastAsia="zh-CN"/>
        </w:rPr>
        <w:t>（6）组织方案；</w:t>
      </w:r>
    </w:p>
    <w:p>
      <w:pPr>
        <w:pStyle w:val="2"/>
        <w:shd w:val="clear"/>
        <w:snapToGrid w:val="0"/>
        <w:spacing w:line="360" w:lineRule="auto"/>
        <w:ind w:firstLine="480" w:firstLineChars="200"/>
        <w:jc w:val="both"/>
        <w:rPr>
          <w:rFonts w:hint="eastAsia" w:cs="宋体"/>
          <w:b w:val="0"/>
          <w:bCs w:val="0"/>
          <w:color w:val="auto"/>
          <w:sz w:val="24"/>
          <w:szCs w:val="24"/>
          <w:highlight w:val="none"/>
          <w:lang w:val="en-US" w:eastAsia="zh-CN"/>
        </w:rPr>
      </w:pPr>
      <w:r>
        <w:rPr>
          <w:rFonts w:hint="eastAsia" w:cs="宋体"/>
          <w:b w:val="0"/>
          <w:bCs w:val="0"/>
          <w:color w:val="auto"/>
          <w:sz w:val="24"/>
          <w:szCs w:val="24"/>
          <w:highlight w:val="none"/>
          <w:lang w:val="en-US" w:eastAsia="zh-CN"/>
        </w:rPr>
        <w:t>（7）应急预案；</w:t>
      </w:r>
    </w:p>
    <w:p>
      <w:pPr>
        <w:pStyle w:val="2"/>
        <w:shd w:val="clear"/>
        <w:snapToGrid w:val="0"/>
        <w:spacing w:line="360" w:lineRule="auto"/>
        <w:ind w:firstLine="480" w:firstLineChars="200"/>
        <w:jc w:val="both"/>
        <w:rPr>
          <w:rFonts w:hint="eastAsia" w:cs="宋体"/>
          <w:b w:val="0"/>
          <w:bCs w:val="0"/>
          <w:color w:val="auto"/>
          <w:sz w:val="24"/>
          <w:szCs w:val="24"/>
          <w:highlight w:val="none"/>
          <w:lang w:val="en-US" w:eastAsia="zh-CN"/>
        </w:rPr>
      </w:pPr>
      <w:r>
        <w:rPr>
          <w:rFonts w:hint="eastAsia" w:cs="宋体"/>
          <w:b w:val="0"/>
          <w:bCs w:val="0"/>
          <w:color w:val="auto"/>
          <w:sz w:val="24"/>
          <w:szCs w:val="24"/>
          <w:highlight w:val="none"/>
          <w:lang w:val="en-US" w:eastAsia="zh-CN"/>
        </w:rPr>
        <w:t>（8）节能改造方案；</w:t>
      </w:r>
    </w:p>
    <w:p>
      <w:pPr>
        <w:pStyle w:val="2"/>
        <w:shd w:val="clear"/>
        <w:snapToGrid w:val="0"/>
        <w:spacing w:line="360" w:lineRule="auto"/>
        <w:ind w:firstLine="480" w:firstLineChars="200"/>
        <w:jc w:val="both"/>
        <w:rPr>
          <w:rFonts w:hint="default" w:eastAsia="宋体" w:cs="宋体"/>
          <w:b w:val="0"/>
          <w:bCs w:val="0"/>
          <w:color w:val="auto"/>
          <w:sz w:val="24"/>
          <w:szCs w:val="24"/>
          <w:highlight w:val="none"/>
          <w:lang w:val="en-US" w:eastAsia="zh-CN"/>
        </w:rPr>
      </w:pPr>
      <w:r>
        <w:rPr>
          <w:rFonts w:hint="eastAsia" w:cs="宋体"/>
          <w:b w:val="0"/>
          <w:bCs w:val="0"/>
          <w:color w:val="auto"/>
          <w:sz w:val="24"/>
          <w:szCs w:val="24"/>
          <w:highlight w:val="none"/>
          <w:lang w:val="en-US" w:eastAsia="zh-CN"/>
        </w:rPr>
        <w:t>（9）持续性服务方案；</w:t>
      </w:r>
    </w:p>
    <w:p>
      <w:pPr>
        <w:pStyle w:val="2"/>
        <w:shd w:val="clear"/>
        <w:snapToGrid w:val="0"/>
        <w:spacing w:line="360" w:lineRule="auto"/>
        <w:ind w:firstLine="480" w:firstLineChars="200"/>
        <w:jc w:val="both"/>
        <w:rPr>
          <w:rFonts w:cs="宋体"/>
          <w:b w:val="0"/>
          <w:bCs w:val="0"/>
          <w:color w:val="auto"/>
          <w:sz w:val="24"/>
          <w:szCs w:val="24"/>
          <w:highlight w:val="none"/>
        </w:rPr>
      </w:pPr>
      <w:r>
        <w:rPr>
          <w:rFonts w:hint="eastAsia" w:cs="宋体"/>
          <w:b w:val="0"/>
          <w:bCs w:val="0"/>
          <w:color w:val="auto"/>
          <w:sz w:val="24"/>
          <w:szCs w:val="24"/>
          <w:highlight w:val="none"/>
        </w:rPr>
        <w:t>（</w:t>
      </w:r>
      <w:r>
        <w:rPr>
          <w:rFonts w:hint="eastAsia" w:cs="宋体"/>
          <w:b w:val="0"/>
          <w:bCs w:val="0"/>
          <w:color w:val="auto"/>
          <w:sz w:val="24"/>
          <w:szCs w:val="24"/>
          <w:highlight w:val="none"/>
          <w:lang w:val="en-US" w:eastAsia="zh-CN"/>
        </w:rPr>
        <w:t>10</w:t>
      </w:r>
      <w:r>
        <w:rPr>
          <w:rFonts w:hint="eastAsia" w:cs="宋体"/>
          <w:b w:val="0"/>
          <w:bCs w:val="0"/>
          <w:color w:val="auto"/>
          <w:sz w:val="24"/>
          <w:szCs w:val="24"/>
          <w:highlight w:val="none"/>
        </w:rPr>
        <w:t>）义乌市政府采购项目投标承诺书；</w:t>
      </w:r>
    </w:p>
    <w:p>
      <w:pPr>
        <w:pStyle w:val="2"/>
        <w:shd w:val="clear"/>
        <w:snapToGrid w:val="0"/>
        <w:spacing w:line="360" w:lineRule="auto"/>
        <w:ind w:firstLine="480" w:firstLineChars="200"/>
        <w:jc w:val="both"/>
        <w:rPr>
          <w:rFonts w:cs="宋体"/>
          <w:b w:val="0"/>
          <w:bCs w:val="0"/>
          <w:color w:val="auto"/>
          <w:sz w:val="24"/>
          <w:szCs w:val="24"/>
          <w:highlight w:val="none"/>
        </w:rPr>
      </w:pPr>
      <w:r>
        <w:rPr>
          <w:rFonts w:hint="eastAsia" w:cs="宋体"/>
          <w:b w:val="0"/>
          <w:bCs w:val="0"/>
          <w:color w:val="auto"/>
          <w:sz w:val="24"/>
          <w:szCs w:val="24"/>
          <w:highlight w:val="none"/>
        </w:rPr>
        <w:t>（</w:t>
      </w:r>
      <w:r>
        <w:rPr>
          <w:rFonts w:hint="eastAsia" w:cs="宋体"/>
          <w:b w:val="0"/>
          <w:bCs w:val="0"/>
          <w:color w:val="auto"/>
          <w:sz w:val="24"/>
          <w:szCs w:val="24"/>
          <w:highlight w:val="none"/>
          <w:lang w:val="en-US" w:eastAsia="zh-CN"/>
        </w:rPr>
        <w:t>11</w:t>
      </w:r>
      <w:r>
        <w:rPr>
          <w:rFonts w:hint="eastAsia" w:cs="宋体"/>
          <w:b w:val="0"/>
          <w:bCs w:val="0"/>
          <w:color w:val="auto"/>
          <w:sz w:val="24"/>
          <w:szCs w:val="24"/>
          <w:highlight w:val="none"/>
        </w:rPr>
        <w:t>）根据采购文件采购项目需求及评标办法要求提供的有关资料；</w:t>
      </w:r>
    </w:p>
    <w:p>
      <w:pPr>
        <w:pStyle w:val="2"/>
        <w:shd w:val="clear"/>
        <w:snapToGrid w:val="0"/>
        <w:spacing w:line="360" w:lineRule="auto"/>
        <w:ind w:firstLine="480" w:firstLineChars="200"/>
        <w:jc w:val="both"/>
        <w:rPr>
          <w:rFonts w:cs="宋体"/>
          <w:b w:val="0"/>
          <w:bCs w:val="0"/>
          <w:color w:val="auto"/>
          <w:sz w:val="24"/>
          <w:szCs w:val="24"/>
          <w:highlight w:val="none"/>
        </w:rPr>
      </w:pPr>
      <w:r>
        <w:rPr>
          <w:rFonts w:hint="eastAsia" w:cs="宋体"/>
          <w:b w:val="0"/>
          <w:bCs w:val="0"/>
          <w:color w:val="auto"/>
          <w:sz w:val="24"/>
          <w:szCs w:val="24"/>
          <w:highlight w:val="none"/>
        </w:rPr>
        <w:t>（</w:t>
      </w:r>
      <w:r>
        <w:rPr>
          <w:rFonts w:hint="eastAsia" w:cs="宋体"/>
          <w:b w:val="0"/>
          <w:bCs w:val="0"/>
          <w:color w:val="auto"/>
          <w:sz w:val="24"/>
          <w:szCs w:val="24"/>
          <w:highlight w:val="none"/>
          <w:lang w:val="en-US" w:eastAsia="zh-CN"/>
        </w:rPr>
        <w:t>12</w:t>
      </w:r>
      <w:r>
        <w:rPr>
          <w:rFonts w:hint="eastAsia" w:cs="宋体"/>
          <w:b w:val="0"/>
          <w:bCs w:val="0"/>
          <w:color w:val="auto"/>
          <w:sz w:val="24"/>
          <w:szCs w:val="24"/>
          <w:highlight w:val="none"/>
        </w:rPr>
        <w:t>）认为须提供的其他资料。</w:t>
      </w:r>
    </w:p>
    <w:p>
      <w:pPr>
        <w:pStyle w:val="2"/>
        <w:shd w:val="clear"/>
        <w:snapToGrid w:val="0"/>
        <w:spacing w:line="360" w:lineRule="auto"/>
        <w:ind w:firstLine="482" w:firstLineChars="200"/>
        <w:jc w:val="both"/>
        <w:rPr>
          <w:rFonts w:cs="宋体"/>
          <w:color w:val="auto"/>
          <w:sz w:val="24"/>
          <w:szCs w:val="24"/>
          <w:highlight w:val="none"/>
        </w:rPr>
      </w:pPr>
      <w:r>
        <w:rPr>
          <w:rFonts w:hint="eastAsia" w:cs="宋体"/>
          <w:color w:val="auto"/>
          <w:sz w:val="24"/>
          <w:szCs w:val="24"/>
          <w:highlight w:val="none"/>
        </w:rPr>
        <w:t>12.5商务标应包括下列内容（并不仅限于以下）并应按顺序装订成册：</w:t>
      </w:r>
    </w:p>
    <w:p>
      <w:pPr>
        <w:pStyle w:val="2"/>
        <w:shd w:val="clear"/>
        <w:snapToGrid w:val="0"/>
        <w:spacing w:line="360" w:lineRule="auto"/>
        <w:ind w:firstLine="480" w:firstLineChars="200"/>
        <w:jc w:val="both"/>
        <w:rPr>
          <w:rFonts w:cs="宋体"/>
          <w:b w:val="0"/>
          <w:bCs w:val="0"/>
          <w:color w:val="auto"/>
          <w:sz w:val="24"/>
          <w:szCs w:val="24"/>
          <w:highlight w:val="none"/>
        </w:rPr>
      </w:pPr>
      <w:r>
        <w:rPr>
          <w:rFonts w:hint="eastAsia" w:cs="宋体"/>
          <w:b w:val="0"/>
          <w:bCs w:val="0"/>
          <w:color w:val="auto"/>
          <w:sz w:val="24"/>
          <w:szCs w:val="24"/>
          <w:highlight w:val="none"/>
        </w:rPr>
        <w:t>（1）投标函；</w:t>
      </w:r>
    </w:p>
    <w:p>
      <w:pPr>
        <w:pStyle w:val="2"/>
        <w:shd w:val="clear"/>
        <w:snapToGrid w:val="0"/>
        <w:spacing w:line="360" w:lineRule="auto"/>
        <w:ind w:firstLine="480" w:firstLineChars="200"/>
        <w:jc w:val="both"/>
        <w:rPr>
          <w:rFonts w:cs="宋体"/>
          <w:b w:val="0"/>
          <w:bCs w:val="0"/>
          <w:color w:val="auto"/>
          <w:sz w:val="24"/>
          <w:szCs w:val="24"/>
          <w:highlight w:val="none"/>
        </w:rPr>
      </w:pPr>
      <w:r>
        <w:rPr>
          <w:rFonts w:hint="eastAsia" w:cs="宋体"/>
          <w:b w:val="0"/>
          <w:bCs w:val="0"/>
          <w:color w:val="auto"/>
          <w:sz w:val="24"/>
          <w:szCs w:val="24"/>
          <w:highlight w:val="none"/>
        </w:rPr>
        <w:t>（2）报价一览表；</w:t>
      </w:r>
    </w:p>
    <w:p>
      <w:pPr>
        <w:pStyle w:val="2"/>
        <w:shd w:val="clear"/>
        <w:snapToGrid w:val="0"/>
        <w:spacing w:line="360" w:lineRule="auto"/>
        <w:ind w:firstLine="480" w:firstLineChars="200"/>
        <w:jc w:val="both"/>
        <w:rPr>
          <w:rFonts w:cs="宋体"/>
          <w:b w:val="0"/>
          <w:bCs w:val="0"/>
          <w:color w:val="auto"/>
          <w:sz w:val="24"/>
          <w:szCs w:val="24"/>
          <w:highlight w:val="none"/>
        </w:rPr>
      </w:pPr>
      <w:r>
        <w:rPr>
          <w:rFonts w:hint="eastAsia" w:cs="宋体"/>
          <w:b w:val="0"/>
          <w:bCs w:val="0"/>
          <w:color w:val="auto"/>
          <w:sz w:val="24"/>
          <w:szCs w:val="24"/>
          <w:highlight w:val="none"/>
        </w:rPr>
        <w:t>（</w:t>
      </w:r>
      <w:r>
        <w:rPr>
          <w:rFonts w:hint="eastAsia" w:cs="宋体"/>
          <w:b w:val="0"/>
          <w:bCs w:val="0"/>
          <w:color w:val="auto"/>
          <w:sz w:val="24"/>
          <w:szCs w:val="24"/>
          <w:highlight w:val="none"/>
          <w:lang w:val="en-US" w:eastAsia="zh-CN"/>
        </w:rPr>
        <w:t>3</w:t>
      </w:r>
      <w:r>
        <w:rPr>
          <w:rFonts w:hint="eastAsia" w:cs="宋体"/>
          <w:b w:val="0"/>
          <w:bCs w:val="0"/>
          <w:color w:val="auto"/>
          <w:sz w:val="24"/>
          <w:szCs w:val="24"/>
          <w:highlight w:val="none"/>
        </w:rPr>
        <w:t>）其他投标人认为须提供的资料。</w:t>
      </w:r>
    </w:p>
    <w:p>
      <w:pPr>
        <w:pStyle w:val="2"/>
        <w:shd w:val="clear"/>
        <w:snapToGrid w:val="0"/>
        <w:spacing w:line="360" w:lineRule="auto"/>
        <w:ind w:firstLine="482" w:firstLineChars="200"/>
        <w:jc w:val="both"/>
        <w:rPr>
          <w:rFonts w:cs="宋体"/>
          <w:color w:val="auto"/>
          <w:sz w:val="24"/>
          <w:szCs w:val="24"/>
          <w:highlight w:val="none"/>
        </w:rPr>
      </w:pPr>
      <w:r>
        <w:rPr>
          <w:rFonts w:hint="eastAsia" w:cs="宋体"/>
          <w:color w:val="auto"/>
          <w:sz w:val="24"/>
          <w:szCs w:val="24"/>
          <w:highlight w:val="none"/>
        </w:rPr>
        <w:t>13.投标人资格的有关说明资料</w:t>
      </w:r>
    </w:p>
    <w:p>
      <w:pPr>
        <w:pStyle w:val="2"/>
        <w:shd w:val="clear"/>
        <w:snapToGrid w:val="0"/>
        <w:spacing w:line="360" w:lineRule="auto"/>
        <w:ind w:firstLine="480" w:firstLineChars="200"/>
        <w:jc w:val="both"/>
        <w:rPr>
          <w:rFonts w:cs="宋体"/>
          <w:b w:val="0"/>
          <w:bCs w:val="0"/>
          <w:color w:val="auto"/>
          <w:sz w:val="24"/>
          <w:szCs w:val="24"/>
          <w:highlight w:val="none"/>
        </w:rPr>
      </w:pPr>
      <w:r>
        <w:rPr>
          <w:rFonts w:hint="eastAsia" w:cs="宋体"/>
          <w:b w:val="0"/>
          <w:bCs w:val="0"/>
          <w:color w:val="auto"/>
          <w:sz w:val="24"/>
          <w:szCs w:val="24"/>
          <w:highlight w:val="none"/>
        </w:rPr>
        <w:t>13.1投标人应提交说明其有资格参加投标和中标后有能力履行合同的文件，并作为其投标文件的一部分。</w:t>
      </w:r>
    </w:p>
    <w:p>
      <w:pPr>
        <w:pStyle w:val="2"/>
        <w:shd w:val="clear"/>
        <w:snapToGrid w:val="0"/>
        <w:spacing w:line="360" w:lineRule="auto"/>
        <w:ind w:firstLine="480" w:firstLineChars="200"/>
        <w:jc w:val="both"/>
        <w:rPr>
          <w:rFonts w:cs="宋体"/>
          <w:b w:val="0"/>
          <w:bCs w:val="0"/>
          <w:color w:val="auto"/>
          <w:sz w:val="24"/>
          <w:szCs w:val="24"/>
          <w:highlight w:val="none"/>
        </w:rPr>
      </w:pPr>
      <w:r>
        <w:rPr>
          <w:rFonts w:hint="eastAsia" w:cs="宋体"/>
          <w:b w:val="0"/>
          <w:bCs w:val="0"/>
          <w:color w:val="auto"/>
          <w:sz w:val="24"/>
          <w:szCs w:val="24"/>
          <w:highlight w:val="none"/>
        </w:rPr>
        <w:t>13.2 投标人提交的合格性的说明文件应使采购人满意，投标人在投标时应是符合条件的投标人。</w:t>
      </w:r>
    </w:p>
    <w:p>
      <w:pPr>
        <w:pStyle w:val="2"/>
        <w:shd w:val="clear"/>
        <w:snapToGrid w:val="0"/>
        <w:spacing w:line="360" w:lineRule="auto"/>
        <w:ind w:firstLine="482" w:firstLineChars="200"/>
        <w:jc w:val="both"/>
        <w:rPr>
          <w:rFonts w:cs="宋体"/>
          <w:color w:val="auto"/>
          <w:sz w:val="24"/>
          <w:szCs w:val="24"/>
          <w:highlight w:val="none"/>
        </w:rPr>
      </w:pPr>
      <w:r>
        <w:rPr>
          <w:rFonts w:hint="eastAsia" w:cs="宋体"/>
          <w:color w:val="auto"/>
          <w:sz w:val="24"/>
          <w:szCs w:val="24"/>
          <w:highlight w:val="none"/>
        </w:rPr>
        <w:t>14.报价要求</w:t>
      </w:r>
    </w:p>
    <w:p>
      <w:pPr>
        <w:pStyle w:val="2"/>
        <w:shd w:val="clear"/>
        <w:snapToGrid w:val="0"/>
        <w:spacing w:line="360" w:lineRule="auto"/>
        <w:ind w:firstLine="480" w:firstLineChars="200"/>
        <w:jc w:val="both"/>
        <w:rPr>
          <w:rFonts w:cs="宋体"/>
          <w:b w:val="0"/>
          <w:bCs w:val="0"/>
          <w:color w:val="auto"/>
          <w:sz w:val="24"/>
          <w:szCs w:val="24"/>
          <w:highlight w:val="none"/>
        </w:rPr>
      </w:pPr>
      <w:r>
        <w:rPr>
          <w:rFonts w:hint="eastAsia" w:cs="宋体"/>
          <w:b w:val="0"/>
          <w:bCs w:val="0"/>
          <w:color w:val="auto"/>
          <w:sz w:val="24"/>
          <w:szCs w:val="24"/>
          <w:highlight w:val="none"/>
        </w:rPr>
        <w:t>14.1投标人应根据国家的有关规定和采购文件要求并结合企业的实际情况进行投标报价。投标报价以人民币为结算货币，投标报价</w:t>
      </w:r>
      <w:bookmarkStart w:id="24" w:name="OLE_LINK4"/>
      <w:r>
        <w:rPr>
          <w:rFonts w:hint="eastAsia" w:cs="宋体"/>
          <w:b w:val="0"/>
          <w:bCs w:val="0"/>
          <w:color w:val="auto"/>
          <w:sz w:val="24"/>
          <w:szCs w:val="24"/>
          <w:highlight w:val="none"/>
        </w:rPr>
        <w:t>包括货物价款、所必须配备的附件、途中运输费、装卸费、安装调试费、</w:t>
      </w:r>
      <w:r>
        <w:rPr>
          <w:rFonts w:hint="eastAsia" w:cs="宋体"/>
          <w:b w:val="0"/>
          <w:bCs w:val="0"/>
          <w:color w:val="auto"/>
          <w:sz w:val="24"/>
          <w:szCs w:val="24"/>
          <w:highlight w:val="none"/>
          <w:lang w:val="en-US" w:eastAsia="zh-CN"/>
        </w:rPr>
        <w:t>平台建设费、合同期的相关费用、</w:t>
      </w:r>
      <w:r>
        <w:rPr>
          <w:rFonts w:hint="eastAsia" w:cs="宋体"/>
          <w:b w:val="0"/>
          <w:bCs w:val="0"/>
          <w:color w:val="auto"/>
          <w:sz w:val="24"/>
          <w:szCs w:val="24"/>
          <w:highlight w:val="none"/>
        </w:rPr>
        <w:t>验收检测费（含质保期内）、质保期内的维护保养费、暂时交付期内操作人工费及维护保养费、保险、税金、第三方中间验收及最终验收、利润等一切与该项目相关的所有费用和政策性文件规定及合同包含的所有风险、责任等各项应有费用。如有漏项，视同已包含在其总报价中，合同总价和单价不做调整</w:t>
      </w:r>
      <w:bookmarkEnd w:id="24"/>
      <w:r>
        <w:rPr>
          <w:rFonts w:hint="eastAsia" w:cs="宋体"/>
          <w:b w:val="0"/>
          <w:bCs w:val="0"/>
          <w:color w:val="auto"/>
          <w:sz w:val="24"/>
          <w:szCs w:val="24"/>
          <w:highlight w:val="none"/>
        </w:rPr>
        <w:t>。</w:t>
      </w:r>
    </w:p>
    <w:p>
      <w:pPr>
        <w:pStyle w:val="2"/>
        <w:shd w:val="clear"/>
        <w:snapToGrid w:val="0"/>
        <w:spacing w:line="360" w:lineRule="auto"/>
        <w:ind w:firstLine="480" w:firstLineChars="200"/>
        <w:jc w:val="both"/>
        <w:rPr>
          <w:rFonts w:cs="宋体"/>
          <w:b w:val="0"/>
          <w:bCs w:val="0"/>
          <w:color w:val="auto"/>
          <w:sz w:val="24"/>
          <w:szCs w:val="24"/>
          <w:highlight w:val="none"/>
        </w:rPr>
      </w:pPr>
      <w:r>
        <w:rPr>
          <w:rFonts w:hint="eastAsia" w:cs="宋体"/>
          <w:b w:val="0"/>
          <w:bCs w:val="0"/>
          <w:color w:val="auto"/>
          <w:sz w:val="24"/>
          <w:szCs w:val="24"/>
          <w:highlight w:val="none"/>
        </w:rPr>
        <w:t>14.2投标人应在投标文件的《报价一览表》上写明投标报价项目的单价和总价。中标后，中标人所填写的单价在合同实施期间不因市场变化因素而变动；投标人在计算报价时应考虑一定的风险系数。</w:t>
      </w:r>
    </w:p>
    <w:p>
      <w:pPr>
        <w:pStyle w:val="2"/>
        <w:shd w:val="clear"/>
        <w:snapToGrid w:val="0"/>
        <w:spacing w:line="360" w:lineRule="auto"/>
        <w:ind w:firstLine="480" w:firstLineChars="200"/>
        <w:jc w:val="both"/>
        <w:rPr>
          <w:rFonts w:cs="宋体"/>
          <w:b w:val="0"/>
          <w:bCs w:val="0"/>
          <w:color w:val="auto"/>
          <w:sz w:val="24"/>
          <w:szCs w:val="24"/>
          <w:highlight w:val="none"/>
        </w:rPr>
      </w:pPr>
      <w:r>
        <w:rPr>
          <w:rFonts w:hint="eastAsia" w:cs="宋体"/>
          <w:b w:val="0"/>
          <w:bCs w:val="0"/>
          <w:color w:val="auto"/>
          <w:sz w:val="24"/>
          <w:szCs w:val="24"/>
          <w:highlight w:val="none"/>
        </w:rPr>
        <w:t>14.3投标人应按采购文件规定的报价格式进行投标报价。投标人对每种服务只允许有一个报价，采购人不接受任何有选择性的报价。</w:t>
      </w:r>
    </w:p>
    <w:p>
      <w:pPr>
        <w:pStyle w:val="2"/>
        <w:shd w:val="clear"/>
        <w:snapToGrid w:val="0"/>
        <w:spacing w:line="360" w:lineRule="auto"/>
        <w:ind w:firstLine="480" w:firstLineChars="200"/>
        <w:jc w:val="both"/>
        <w:rPr>
          <w:rFonts w:cs="宋体"/>
          <w:b w:val="0"/>
          <w:bCs w:val="0"/>
          <w:color w:val="auto"/>
          <w:sz w:val="24"/>
          <w:szCs w:val="24"/>
          <w:highlight w:val="none"/>
        </w:rPr>
      </w:pPr>
      <w:r>
        <w:rPr>
          <w:rFonts w:hint="eastAsia" w:cs="宋体"/>
          <w:b w:val="0"/>
          <w:bCs w:val="0"/>
          <w:color w:val="auto"/>
          <w:sz w:val="24"/>
          <w:szCs w:val="24"/>
          <w:highlight w:val="none"/>
        </w:rPr>
        <w:t>14.4采购人不接受低于成本的投标报价。</w:t>
      </w:r>
    </w:p>
    <w:p>
      <w:pPr>
        <w:pStyle w:val="2"/>
        <w:shd w:val="clear"/>
        <w:snapToGrid w:val="0"/>
        <w:spacing w:line="360" w:lineRule="auto"/>
        <w:ind w:firstLine="480" w:firstLineChars="200"/>
        <w:jc w:val="both"/>
        <w:rPr>
          <w:rFonts w:cs="宋体"/>
          <w:b w:val="0"/>
          <w:bCs w:val="0"/>
          <w:color w:val="auto"/>
          <w:sz w:val="24"/>
          <w:szCs w:val="24"/>
          <w:highlight w:val="none"/>
        </w:rPr>
      </w:pPr>
      <w:r>
        <w:rPr>
          <w:rFonts w:hint="eastAsia" w:cs="宋体"/>
          <w:b w:val="0"/>
          <w:bCs w:val="0"/>
          <w:color w:val="auto"/>
          <w:sz w:val="24"/>
          <w:szCs w:val="24"/>
          <w:highlight w:val="none"/>
        </w:rPr>
        <w:t>14.5投标人按照上述要求编制投标报价。一旦确认某一投标人中标，除合同规定的可调整内容外，中标人不得要求追加任何费用。</w:t>
      </w:r>
    </w:p>
    <w:p>
      <w:pPr>
        <w:pStyle w:val="2"/>
        <w:shd w:val="clear"/>
        <w:snapToGrid w:val="0"/>
        <w:spacing w:line="360" w:lineRule="auto"/>
        <w:ind w:firstLine="480" w:firstLineChars="200"/>
        <w:jc w:val="both"/>
        <w:rPr>
          <w:rFonts w:cs="宋体"/>
          <w:b w:val="0"/>
          <w:bCs w:val="0"/>
          <w:color w:val="auto"/>
          <w:sz w:val="24"/>
          <w:szCs w:val="24"/>
          <w:highlight w:val="none"/>
        </w:rPr>
      </w:pPr>
      <w:r>
        <w:rPr>
          <w:rFonts w:hint="eastAsia" w:cs="宋体"/>
          <w:b w:val="0"/>
          <w:bCs w:val="0"/>
          <w:color w:val="auto"/>
          <w:sz w:val="24"/>
          <w:szCs w:val="24"/>
          <w:highlight w:val="none"/>
        </w:rPr>
        <w:t>14.6须由中标人开具正式增值税发票。</w:t>
      </w:r>
    </w:p>
    <w:p>
      <w:pPr>
        <w:pStyle w:val="2"/>
        <w:shd w:val="clear"/>
        <w:snapToGrid w:val="0"/>
        <w:spacing w:line="360" w:lineRule="auto"/>
        <w:ind w:firstLine="480" w:firstLineChars="200"/>
        <w:jc w:val="both"/>
        <w:rPr>
          <w:rFonts w:cs="宋体"/>
          <w:b w:val="0"/>
          <w:bCs w:val="0"/>
          <w:color w:val="auto"/>
          <w:sz w:val="24"/>
          <w:szCs w:val="24"/>
          <w:highlight w:val="none"/>
        </w:rPr>
      </w:pPr>
      <w:r>
        <w:rPr>
          <w:rFonts w:hint="eastAsia" w:cs="宋体"/>
          <w:b w:val="0"/>
          <w:bCs w:val="0"/>
          <w:color w:val="auto"/>
          <w:sz w:val="24"/>
          <w:szCs w:val="24"/>
          <w:highlight w:val="none"/>
        </w:rPr>
        <w:t>14.7采购文件中规定由投标单位承担并支付的相关费用在投标报价时应一并考虑。</w:t>
      </w:r>
    </w:p>
    <w:p>
      <w:pPr>
        <w:pStyle w:val="2"/>
        <w:shd w:val="clear"/>
        <w:snapToGrid w:val="0"/>
        <w:spacing w:line="360" w:lineRule="auto"/>
        <w:ind w:firstLine="482" w:firstLineChars="200"/>
        <w:jc w:val="both"/>
        <w:rPr>
          <w:rFonts w:cs="宋体"/>
          <w:color w:val="auto"/>
          <w:sz w:val="24"/>
          <w:szCs w:val="24"/>
          <w:highlight w:val="none"/>
        </w:rPr>
      </w:pPr>
      <w:r>
        <w:rPr>
          <w:rFonts w:hint="eastAsia" w:cs="宋体"/>
          <w:color w:val="auto"/>
          <w:sz w:val="24"/>
          <w:szCs w:val="24"/>
          <w:highlight w:val="none"/>
        </w:rPr>
        <w:t>15.投标文件格式</w:t>
      </w:r>
    </w:p>
    <w:p>
      <w:pPr>
        <w:pStyle w:val="2"/>
        <w:shd w:val="clear"/>
        <w:snapToGrid w:val="0"/>
        <w:spacing w:line="360" w:lineRule="auto"/>
        <w:ind w:firstLine="480" w:firstLineChars="200"/>
        <w:jc w:val="both"/>
        <w:rPr>
          <w:rFonts w:cs="宋体"/>
          <w:b w:val="0"/>
          <w:bCs w:val="0"/>
          <w:color w:val="auto"/>
          <w:sz w:val="24"/>
          <w:szCs w:val="24"/>
          <w:highlight w:val="none"/>
        </w:rPr>
      </w:pPr>
      <w:r>
        <w:rPr>
          <w:rFonts w:hint="eastAsia" w:cs="宋体"/>
          <w:b w:val="0"/>
          <w:bCs w:val="0"/>
          <w:color w:val="auto"/>
          <w:sz w:val="24"/>
          <w:szCs w:val="24"/>
          <w:highlight w:val="none"/>
        </w:rPr>
        <w:t>15.1投标文件须包括本须知第12条中规定的全部内容，投标人不按采购文件的要求提供的投标文件和资料将视为没有对采购文件作实质性响应，其投标将被拒绝，其风险由投标人自行承担。</w:t>
      </w:r>
    </w:p>
    <w:p>
      <w:pPr>
        <w:pStyle w:val="2"/>
        <w:shd w:val="clear"/>
        <w:snapToGrid w:val="0"/>
        <w:spacing w:line="360" w:lineRule="auto"/>
        <w:ind w:firstLine="480" w:firstLineChars="200"/>
        <w:jc w:val="both"/>
        <w:rPr>
          <w:rFonts w:cs="宋体"/>
          <w:b w:val="0"/>
          <w:bCs w:val="0"/>
          <w:color w:val="auto"/>
          <w:sz w:val="24"/>
          <w:szCs w:val="24"/>
          <w:highlight w:val="none"/>
        </w:rPr>
      </w:pPr>
      <w:r>
        <w:rPr>
          <w:rFonts w:hint="eastAsia" w:cs="宋体"/>
          <w:b w:val="0"/>
          <w:bCs w:val="0"/>
          <w:color w:val="auto"/>
          <w:sz w:val="24"/>
          <w:szCs w:val="24"/>
          <w:highlight w:val="none"/>
        </w:rPr>
        <w:t>15.2采购文件中有提供投标文件格式的，投标人提交的投标文件应当使用采购文件所提供的投标文件格式，表格格式在不改变格式内容的情况下可自行制作。采购文件中未提供投标文件格式的，投标人可以增加自行设计的表格及内容，以便更细致全面的说明其能力。</w:t>
      </w:r>
    </w:p>
    <w:p>
      <w:pPr>
        <w:pStyle w:val="2"/>
        <w:shd w:val="clear"/>
        <w:snapToGrid w:val="0"/>
        <w:spacing w:line="360" w:lineRule="auto"/>
        <w:ind w:firstLine="482" w:firstLineChars="200"/>
        <w:jc w:val="both"/>
        <w:rPr>
          <w:rFonts w:cs="宋体"/>
          <w:color w:val="auto"/>
          <w:sz w:val="24"/>
          <w:szCs w:val="24"/>
          <w:highlight w:val="none"/>
        </w:rPr>
      </w:pPr>
      <w:r>
        <w:rPr>
          <w:rFonts w:hint="eastAsia" w:cs="宋体"/>
          <w:color w:val="auto"/>
          <w:sz w:val="24"/>
          <w:szCs w:val="24"/>
          <w:highlight w:val="none"/>
        </w:rPr>
        <w:t>16.投标文件编制要求</w:t>
      </w:r>
    </w:p>
    <w:p>
      <w:pPr>
        <w:pStyle w:val="2"/>
        <w:shd w:val="clear"/>
        <w:snapToGrid w:val="0"/>
        <w:spacing w:line="360" w:lineRule="auto"/>
        <w:ind w:firstLine="480" w:firstLineChars="200"/>
        <w:jc w:val="both"/>
        <w:rPr>
          <w:rFonts w:cs="宋体"/>
          <w:b w:val="0"/>
          <w:bCs w:val="0"/>
          <w:color w:val="auto"/>
          <w:sz w:val="24"/>
          <w:szCs w:val="24"/>
          <w:highlight w:val="none"/>
        </w:rPr>
      </w:pPr>
      <w:r>
        <w:rPr>
          <w:rFonts w:hint="eastAsia" w:cs="宋体"/>
          <w:b w:val="0"/>
          <w:bCs w:val="0"/>
          <w:color w:val="auto"/>
          <w:sz w:val="24"/>
          <w:szCs w:val="24"/>
          <w:highlight w:val="none"/>
        </w:rPr>
        <w:t>16.1投标人应根据电子投标操作指南通过“政采云电子交易客户端”按本采购文件规定的内容和顺序编制电子投标文件并进行关联定位，其中技术标中不得出现本项目投标报价。</w:t>
      </w:r>
    </w:p>
    <w:p>
      <w:pPr>
        <w:pStyle w:val="2"/>
        <w:shd w:val="clear"/>
        <w:snapToGrid w:val="0"/>
        <w:spacing w:line="360" w:lineRule="auto"/>
        <w:ind w:firstLine="480" w:firstLineChars="200"/>
        <w:jc w:val="both"/>
        <w:rPr>
          <w:rFonts w:cs="宋体"/>
          <w:b w:val="0"/>
          <w:bCs w:val="0"/>
          <w:color w:val="auto"/>
          <w:sz w:val="24"/>
          <w:szCs w:val="24"/>
          <w:highlight w:val="none"/>
        </w:rPr>
      </w:pPr>
      <w:r>
        <w:rPr>
          <w:rFonts w:hint="eastAsia" w:cs="宋体"/>
          <w:b w:val="0"/>
          <w:bCs w:val="0"/>
          <w:color w:val="auto"/>
          <w:sz w:val="24"/>
          <w:szCs w:val="24"/>
          <w:highlight w:val="none"/>
        </w:rPr>
        <w:t>16.2由于未按采购文件的规定要求编制投标文件，导致评审小组作出的对投标方的误判，责任由投标方自己承担。</w:t>
      </w:r>
    </w:p>
    <w:p>
      <w:pPr>
        <w:pStyle w:val="2"/>
        <w:shd w:val="clear"/>
        <w:snapToGrid w:val="0"/>
        <w:spacing w:line="360" w:lineRule="auto"/>
        <w:ind w:firstLine="480" w:firstLineChars="200"/>
        <w:jc w:val="both"/>
        <w:rPr>
          <w:rFonts w:cs="宋体"/>
          <w:b w:val="0"/>
          <w:bCs w:val="0"/>
          <w:color w:val="auto"/>
          <w:sz w:val="24"/>
          <w:szCs w:val="24"/>
          <w:highlight w:val="none"/>
        </w:rPr>
      </w:pPr>
      <w:r>
        <w:rPr>
          <w:rFonts w:hint="eastAsia" w:cs="宋体"/>
          <w:b w:val="0"/>
          <w:bCs w:val="0"/>
          <w:color w:val="auto"/>
          <w:sz w:val="24"/>
          <w:szCs w:val="24"/>
          <w:highlight w:val="none"/>
        </w:rPr>
        <w:t>16.3投标文件内容不完整、编排混乱导致投标文件被误读、漏读或都查找不到相关内容的，责任由投标人自行承担。</w:t>
      </w:r>
    </w:p>
    <w:p>
      <w:pPr>
        <w:pStyle w:val="2"/>
        <w:shd w:val="clear"/>
        <w:snapToGrid w:val="0"/>
        <w:spacing w:line="360" w:lineRule="auto"/>
        <w:ind w:firstLine="482" w:firstLineChars="200"/>
        <w:jc w:val="both"/>
        <w:rPr>
          <w:rFonts w:cs="宋体"/>
          <w:color w:val="auto"/>
          <w:sz w:val="24"/>
          <w:szCs w:val="24"/>
          <w:highlight w:val="none"/>
        </w:rPr>
      </w:pPr>
      <w:r>
        <w:rPr>
          <w:rFonts w:hint="eastAsia" w:cs="宋体"/>
          <w:color w:val="auto"/>
          <w:sz w:val="24"/>
          <w:szCs w:val="24"/>
          <w:highlight w:val="none"/>
        </w:rPr>
        <w:t>17.投标保证金：无。</w:t>
      </w:r>
    </w:p>
    <w:p>
      <w:pPr>
        <w:pStyle w:val="2"/>
        <w:shd w:val="clear"/>
        <w:snapToGrid w:val="0"/>
        <w:spacing w:line="360" w:lineRule="auto"/>
        <w:ind w:firstLine="482" w:firstLineChars="200"/>
        <w:jc w:val="both"/>
        <w:rPr>
          <w:rFonts w:cs="宋体"/>
          <w:color w:val="auto"/>
          <w:sz w:val="24"/>
          <w:szCs w:val="24"/>
          <w:highlight w:val="none"/>
        </w:rPr>
      </w:pPr>
      <w:r>
        <w:rPr>
          <w:rFonts w:hint="eastAsia" w:cs="宋体"/>
          <w:color w:val="auto"/>
          <w:sz w:val="24"/>
          <w:szCs w:val="24"/>
          <w:highlight w:val="none"/>
        </w:rPr>
        <w:t>18.履约保证金：无。</w:t>
      </w:r>
    </w:p>
    <w:p>
      <w:pPr>
        <w:pStyle w:val="2"/>
        <w:shd w:val="clear"/>
        <w:snapToGrid w:val="0"/>
        <w:spacing w:line="360" w:lineRule="auto"/>
        <w:ind w:firstLine="482" w:firstLineChars="200"/>
        <w:jc w:val="both"/>
        <w:rPr>
          <w:rFonts w:cs="宋体"/>
          <w:color w:val="auto"/>
          <w:sz w:val="24"/>
          <w:szCs w:val="24"/>
          <w:highlight w:val="none"/>
        </w:rPr>
      </w:pPr>
      <w:r>
        <w:rPr>
          <w:rFonts w:hint="eastAsia" w:cs="宋体"/>
          <w:color w:val="auto"/>
          <w:sz w:val="24"/>
          <w:szCs w:val="24"/>
          <w:highlight w:val="none"/>
        </w:rPr>
        <w:t>19.投标有效期</w:t>
      </w:r>
    </w:p>
    <w:p>
      <w:pPr>
        <w:pStyle w:val="2"/>
        <w:shd w:val="clear"/>
        <w:snapToGrid w:val="0"/>
        <w:spacing w:line="360" w:lineRule="auto"/>
        <w:ind w:firstLine="480" w:firstLineChars="200"/>
        <w:jc w:val="both"/>
        <w:rPr>
          <w:rFonts w:cs="宋体"/>
          <w:b w:val="0"/>
          <w:bCs w:val="0"/>
          <w:color w:val="auto"/>
          <w:sz w:val="24"/>
          <w:szCs w:val="24"/>
          <w:highlight w:val="none"/>
        </w:rPr>
      </w:pPr>
      <w:r>
        <w:rPr>
          <w:rFonts w:hint="eastAsia" w:cs="宋体"/>
          <w:b w:val="0"/>
          <w:bCs w:val="0"/>
          <w:color w:val="auto"/>
          <w:sz w:val="24"/>
          <w:szCs w:val="24"/>
          <w:highlight w:val="none"/>
        </w:rPr>
        <w:t>19.1 投标文件从开标之日起，投标有效期为60天。</w:t>
      </w:r>
    </w:p>
    <w:p>
      <w:pPr>
        <w:pStyle w:val="2"/>
        <w:shd w:val="clear"/>
        <w:snapToGrid w:val="0"/>
        <w:spacing w:line="360" w:lineRule="auto"/>
        <w:ind w:firstLine="480" w:firstLineChars="200"/>
        <w:jc w:val="both"/>
        <w:rPr>
          <w:rFonts w:cs="宋体"/>
          <w:b w:val="0"/>
          <w:bCs w:val="0"/>
          <w:color w:val="auto"/>
          <w:sz w:val="24"/>
          <w:szCs w:val="24"/>
          <w:highlight w:val="none"/>
        </w:rPr>
      </w:pPr>
      <w:r>
        <w:rPr>
          <w:rFonts w:hint="eastAsia" w:cs="宋体"/>
          <w:b w:val="0"/>
          <w:bCs w:val="0"/>
          <w:color w:val="auto"/>
          <w:sz w:val="24"/>
          <w:szCs w:val="24"/>
          <w:highlight w:val="none"/>
        </w:rPr>
        <w:t>19.2 特殊情况下，在原投标有效期截止之前，采购人可要求投标方同意延长有效期，这种要求与答复均应以书面形式提交。投标人可拒绝这种要求。接受延长投标有效期的投标人将不会被要求和允许修正其投标。</w:t>
      </w:r>
    </w:p>
    <w:p>
      <w:pPr>
        <w:shd w:val="clear"/>
        <w:snapToGrid w:val="0"/>
        <w:spacing w:line="360" w:lineRule="auto"/>
        <w:rPr>
          <w:rFonts w:ascii="宋体" w:hAnsi="宋体" w:cs="宋体"/>
          <w:b/>
          <w:bCs/>
          <w:color w:val="auto"/>
          <w:sz w:val="28"/>
          <w:szCs w:val="28"/>
          <w:highlight w:val="none"/>
        </w:rPr>
      </w:pPr>
      <w:bookmarkStart w:id="25" w:name="_Toc17171"/>
      <w:bookmarkStart w:id="26" w:name="_Toc414555327"/>
      <w:bookmarkStart w:id="27" w:name="_Toc31787"/>
      <w:bookmarkStart w:id="28" w:name="_Toc274303232"/>
      <w:r>
        <w:rPr>
          <w:rFonts w:hint="eastAsia" w:ascii="宋体" w:hAnsi="宋体" w:cs="宋体"/>
          <w:b/>
          <w:bCs/>
          <w:color w:val="auto"/>
          <w:sz w:val="28"/>
          <w:szCs w:val="28"/>
          <w:highlight w:val="none"/>
        </w:rPr>
        <w:t>四、投标文件的递交</w:t>
      </w:r>
      <w:bookmarkEnd w:id="25"/>
      <w:bookmarkEnd w:id="26"/>
      <w:bookmarkEnd w:id="27"/>
      <w:bookmarkEnd w:id="28"/>
    </w:p>
    <w:p>
      <w:pPr>
        <w:pStyle w:val="13"/>
        <w:shd w:val="clear"/>
        <w:spacing w:line="360" w:lineRule="auto"/>
        <w:ind w:firstLine="482" w:firstLineChars="200"/>
        <w:rPr>
          <w:rFonts w:hAnsi="宋体" w:cs="宋体"/>
          <w:b/>
          <w:bCs/>
          <w:color w:val="auto"/>
          <w:sz w:val="24"/>
          <w:szCs w:val="24"/>
          <w:highlight w:val="none"/>
        </w:rPr>
      </w:pPr>
      <w:bookmarkStart w:id="29" w:name="_Toc274303233"/>
      <w:bookmarkStart w:id="30" w:name="_Toc414555328"/>
      <w:r>
        <w:rPr>
          <w:rFonts w:hint="eastAsia" w:hAnsi="宋体" w:cs="宋体"/>
          <w:b/>
          <w:bCs/>
          <w:color w:val="auto"/>
          <w:sz w:val="24"/>
          <w:szCs w:val="24"/>
          <w:highlight w:val="none"/>
        </w:rPr>
        <w:t>20.电子投标文件上传的地点和截止时间</w:t>
      </w:r>
    </w:p>
    <w:p>
      <w:pPr>
        <w:shd w:val="clear"/>
        <w:tabs>
          <w:tab w:val="left" w:pos="2212"/>
        </w:tabs>
        <w:adjustRightInd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20.1详见“采购公告”和“投标须知前附表”</w:t>
      </w:r>
    </w:p>
    <w:p>
      <w:pPr>
        <w:shd w:val="clear"/>
        <w:tabs>
          <w:tab w:val="left" w:pos="2212"/>
        </w:tabs>
        <w:adjustRightInd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20.2采购人在规定的投标截止时间以后“政采云平台”将不接收投标文件。</w:t>
      </w:r>
    </w:p>
    <w:p>
      <w:pPr>
        <w:pStyle w:val="13"/>
        <w:shd w:val="clear"/>
        <w:snapToGrid w:val="0"/>
        <w:spacing w:line="360" w:lineRule="auto"/>
        <w:ind w:firstLine="482" w:firstLineChars="200"/>
        <w:rPr>
          <w:rFonts w:hAnsi="宋体" w:cs="宋体"/>
          <w:b/>
          <w:bCs/>
          <w:color w:val="auto"/>
          <w:sz w:val="24"/>
          <w:szCs w:val="24"/>
          <w:highlight w:val="none"/>
        </w:rPr>
      </w:pPr>
      <w:r>
        <w:rPr>
          <w:rFonts w:hint="eastAsia" w:hAnsi="宋体" w:cs="宋体"/>
          <w:b/>
          <w:bCs/>
          <w:color w:val="auto"/>
          <w:sz w:val="24"/>
          <w:szCs w:val="24"/>
          <w:highlight w:val="none"/>
        </w:rPr>
        <w:t>21.投标文件解密</w:t>
      </w:r>
    </w:p>
    <w:p>
      <w:pPr>
        <w:pStyle w:val="13"/>
        <w:shd w:val="clear"/>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详见投标文件“投标须知前附表”第13条内容。</w:t>
      </w:r>
    </w:p>
    <w:p>
      <w:pPr>
        <w:pStyle w:val="13"/>
        <w:shd w:val="clear"/>
        <w:spacing w:line="360" w:lineRule="auto"/>
        <w:ind w:firstLine="482" w:firstLineChars="200"/>
        <w:rPr>
          <w:rFonts w:hAnsi="宋体" w:cs="宋体"/>
          <w:b/>
          <w:bCs/>
          <w:color w:val="auto"/>
          <w:sz w:val="24"/>
          <w:szCs w:val="24"/>
          <w:highlight w:val="none"/>
        </w:rPr>
      </w:pPr>
      <w:r>
        <w:rPr>
          <w:rFonts w:hint="eastAsia" w:hAnsi="宋体" w:cs="宋体"/>
          <w:b/>
          <w:bCs/>
          <w:color w:val="auto"/>
          <w:sz w:val="24"/>
          <w:szCs w:val="24"/>
          <w:highlight w:val="none"/>
        </w:rPr>
        <w:t>22.投标文件的补充、修改与撤回</w:t>
      </w:r>
    </w:p>
    <w:p>
      <w:pPr>
        <w:shd w:val="clear"/>
        <w:tabs>
          <w:tab w:val="left" w:pos="2212"/>
        </w:tabs>
        <w:adjustRightInd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22.1投标人在提交投标文件以后，在规定的投标截止时间之前，可以以重新补充修改或撤回已上传的投标文件，补充、修改的内容为投标文件的组成部分。</w:t>
      </w:r>
    </w:p>
    <w:p>
      <w:pPr>
        <w:shd w:val="clear"/>
        <w:tabs>
          <w:tab w:val="left" w:pos="2212"/>
        </w:tabs>
        <w:adjustRightInd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22.2在投标截止时间之后，投标人不得对其投标做任何修改。</w:t>
      </w:r>
    </w:p>
    <w:p>
      <w:pPr>
        <w:shd w:val="clear"/>
        <w:tabs>
          <w:tab w:val="left" w:pos="2212"/>
        </w:tabs>
        <w:adjustRightInd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22.3从投标截止时间至投标人在投标书格式中确定的投标有效期期满这段时间内，投标人不得撤回其投标。</w:t>
      </w:r>
    </w:p>
    <w:p>
      <w:pPr>
        <w:shd w:val="clear"/>
        <w:snapToGrid w:val="0"/>
        <w:spacing w:line="360" w:lineRule="auto"/>
        <w:rPr>
          <w:rFonts w:ascii="宋体" w:hAnsi="宋体" w:cs="宋体"/>
          <w:b/>
          <w:bCs/>
          <w:color w:val="auto"/>
          <w:sz w:val="28"/>
          <w:szCs w:val="28"/>
          <w:highlight w:val="none"/>
        </w:rPr>
      </w:pPr>
      <w:bookmarkStart w:id="31" w:name="_Toc21504"/>
      <w:bookmarkStart w:id="32" w:name="_Toc6158"/>
      <w:r>
        <w:rPr>
          <w:rFonts w:hint="eastAsia" w:ascii="宋体" w:hAnsi="宋体" w:cs="宋体"/>
          <w:b/>
          <w:bCs/>
          <w:color w:val="auto"/>
          <w:sz w:val="28"/>
          <w:szCs w:val="28"/>
          <w:highlight w:val="none"/>
        </w:rPr>
        <w:t>五、其它</w:t>
      </w:r>
      <w:bookmarkEnd w:id="29"/>
      <w:bookmarkEnd w:id="30"/>
      <w:bookmarkEnd w:id="31"/>
      <w:bookmarkEnd w:id="32"/>
    </w:p>
    <w:p>
      <w:pPr>
        <w:shd w:val="clear"/>
        <w:tabs>
          <w:tab w:val="left" w:pos="2212"/>
        </w:tabs>
        <w:adjustRightInd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23.本采购文件解释权归采购人。</w:t>
      </w:r>
    </w:p>
    <w:p>
      <w:pPr>
        <w:pStyle w:val="21"/>
        <w:shd w:val="clear"/>
        <w:ind w:firstLine="480"/>
        <w:rPr>
          <w:rFonts w:ascii="宋体" w:hAnsi="宋体"/>
          <w:b w:val="0"/>
          <w:bCs w:val="0"/>
          <w:color w:val="auto"/>
          <w:sz w:val="24"/>
          <w:highlight w:val="none"/>
        </w:rPr>
      </w:pPr>
    </w:p>
    <w:p>
      <w:pPr>
        <w:pStyle w:val="25"/>
        <w:shd w:val="clear"/>
        <w:ind w:firstLine="0" w:firstLineChars="0"/>
        <w:rPr>
          <w:rFonts w:ascii="宋体" w:hAnsi="宋体" w:cs="宋体"/>
          <w:b/>
          <w:bCs/>
          <w:color w:val="auto"/>
          <w:highlight w:val="none"/>
        </w:rPr>
      </w:pPr>
    </w:p>
    <w:p>
      <w:pPr>
        <w:pStyle w:val="11"/>
        <w:shd w:val="clear"/>
        <w:rPr>
          <w:rFonts w:ascii="宋体" w:hAnsi="宋体" w:cs="宋体"/>
          <w:b/>
          <w:bCs/>
          <w:color w:val="auto"/>
          <w:highlight w:val="none"/>
        </w:rPr>
      </w:pPr>
    </w:p>
    <w:p>
      <w:pPr>
        <w:pStyle w:val="11"/>
        <w:shd w:val="clear"/>
        <w:rPr>
          <w:rFonts w:ascii="宋体" w:hAnsi="宋体" w:cs="宋体"/>
          <w:b/>
          <w:bCs/>
          <w:color w:val="auto"/>
          <w:highlight w:val="none"/>
        </w:rPr>
      </w:pPr>
    </w:p>
    <w:p>
      <w:pPr>
        <w:pStyle w:val="11"/>
        <w:shd w:val="clear"/>
        <w:rPr>
          <w:rFonts w:ascii="宋体" w:hAnsi="宋体" w:cs="宋体"/>
          <w:b/>
          <w:bCs/>
          <w:color w:val="auto"/>
          <w:highlight w:val="none"/>
        </w:rPr>
      </w:pPr>
    </w:p>
    <w:p>
      <w:pPr>
        <w:pStyle w:val="11"/>
        <w:shd w:val="clear"/>
        <w:rPr>
          <w:rFonts w:ascii="宋体" w:hAnsi="宋体" w:cs="宋体"/>
          <w:b/>
          <w:bCs/>
          <w:color w:val="auto"/>
          <w:highlight w:val="none"/>
        </w:rPr>
      </w:pPr>
    </w:p>
    <w:p>
      <w:pPr>
        <w:pStyle w:val="11"/>
        <w:shd w:val="clear"/>
        <w:rPr>
          <w:rFonts w:ascii="宋体" w:hAnsi="宋体" w:cs="宋体"/>
          <w:b/>
          <w:bCs/>
          <w:color w:val="auto"/>
          <w:highlight w:val="none"/>
        </w:rPr>
      </w:pPr>
    </w:p>
    <w:p>
      <w:pPr>
        <w:pStyle w:val="11"/>
        <w:shd w:val="clear"/>
        <w:rPr>
          <w:rFonts w:ascii="宋体" w:hAnsi="宋体" w:cs="宋体"/>
          <w:b/>
          <w:bCs/>
          <w:color w:val="auto"/>
          <w:highlight w:val="none"/>
        </w:rPr>
      </w:pPr>
    </w:p>
    <w:p>
      <w:pPr>
        <w:pStyle w:val="11"/>
        <w:shd w:val="clear"/>
        <w:rPr>
          <w:rFonts w:ascii="宋体" w:hAnsi="宋体" w:cs="宋体"/>
          <w:b/>
          <w:bCs/>
          <w:color w:val="auto"/>
          <w:highlight w:val="none"/>
        </w:rPr>
      </w:pPr>
    </w:p>
    <w:p>
      <w:pPr>
        <w:pStyle w:val="11"/>
        <w:shd w:val="clear"/>
        <w:rPr>
          <w:rFonts w:ascii="宋体" w:hAnsi="宋体" w:cs="宋体"/>
          <w:b/>
          <w:bCs/>
          <w:color w:val="auto"/>
          <w:highlight w:val="none"/>
        </w:rPr>
      </w:pPr>
    </w:p>
    <w:p>
      <w:pPr>
        <w:pStyle w:val="11"/>
        <w:shd w:val="clear"/>
        <w:rPr>
          <w:rFonts w:ascii="宋体" w:hAnsi="宋体" w:cs="宋体"/>
          <w:b/>
          <w:bCs/>
          <w:color w:val="auto"/>
          <w:highlight w:val="none"/>
        </w:rPr>
      </w:pPr>
    </w:p>
    <w:p>
      <w:pPr>
        <w:pStyle w:val="11"/>
        <w:shd w:val="clear"/>
        <w:ind w:left="0" w:leftChars="0" w:firstLine="0" w:firstLineChars="0"/>
        <w:rPr>
          <w:rFonts w:ascii="宋体" w:hAnsi="宋体" w:cs="宋体"/>
          <w:b/>
          <w:bCs/>
          <w:color w:val="auto"/>
          <w:highlight w:val="none"/>
        </w:rPr>
      </w:pPr>
    </w:p>
    <w:p>
      <w:pPr>
        <w:pStyle w:val="5"/>
        <w:shd w:val="clear"/>
        <w:spacing w:before="0" w:after="0" w:line="240" w:lineRule="auto"/>
        <w:jc w:val="center"/>
        <w:rPr>
          <w:rFonts w:ascii="宋体" w:hAnsi="宋体" w:cs="宋体"/>
          <w:color w:val="auto"/>
          <w:highlight w:val="none"/>
        </w:rPr>
      </w:pPr>
      <w:bookmarkStart w:id="33" w:name="_Toc379811057"/>
      <w:bookmarkStart w:id="34" w:name="_Toc365897793"/>
      <w:bookmarkStart w:id="35" w:name="_Toc274303234"/>
      <w:bookmarkStart w:id="36" w:name="_Toc28488"/>
      <w:bookmarkStart w:id="37" w:name="_Toc24072"/>
      <w:bookmarkStart w:id="38" w:name="_Toc9924"/>
      <w:bookmarkStart w:id="39" w:name="_Toc226973000"/>
      <w:bookmarkStart w:id="40" w:name="_Toc274303251"/>
      <w:r>
        <w:rPr>
          <w:rFonts w:hint="eastAsia" w:ascii="宋体" w:hAnsi="宋体" w:cs="宋体"/>
          <w:color w:val="auto"/>
          <w:sz w:val="36"/>
          <w:highlight w:val="none"/>
        </w:rPr>
        <w:t xml:space="preserve">第三章  </w:t>
      </w:r>
      <w:bookmarkEnd w:id="33"/>
      <w:bookmarkEnd w:id="34"/>
      <w:bookmarkEnd w:id="35"/>
      <w:bookmarkEnd w:id="36"/>
      <w:bookmarkEnd w:id="37"/>
      <w:r>
        <w:rPr>
          <w:rFonts w:hint="eastAsia" w:ascii="宋体" w:hAnsi="宋体" w:cs="宋体"/>
          <w:color w:val="auto"/>
          <w:sz w:val="36"/>
          <w:highlight w:val="none"/>
        </w:rPr>
        <w:t>采购项目需求</w:t>
      </w:r>
      <w:bookmarkEnd w:id="38"/>
    </w:p>
    <w:p>
      <w:pPr>
        <w:shd w:val="clear"/>
        <w:spacing w:line="360" w:lineRule="auto"/>
        <w:rPr>
          <w:rFonts w:ascii="宋体" w:hAnsi="宋体" w:cs="宋体"/>
          <w:b/>
          <w:color w:val="auto"/>
          <w:sz w:val="24"/>
          <w:highlight w:val="none"/>
        </w:rPr>
      </w:pPr>
      <w:bookmarkStart w:id="41" w:name="_Toc2389"/>
      <w:bookmarkStart w:id="42" w:name="_Toc32316"/>
      <w:r>
        <w:rPr>
          <w:rFonts w:hint="eastAsia" w:ascii="宋体" w:hAnsi="宋体" w:cs="宋体"/>
          <w:b/>
          <w:color w:val="auto"/>
          <w:sz w:val="24"/>
          <w:highlight w:val="none"/>
        </w:rPr>
        <w:t>一、项目概况</w:t>
      </w:r>
    </w:p>
    <w:p>
      <w:pPr>
        <w:shd w:val="clear"/>
        <w:snapToGrid w:val="0"/>
        <w:spacing w:line="360" w:lineRule="auto"/>
        <w:ind w:firstLine="480" w:firstLineChars="200"/>
        <w:rPr>
          <w:rFonts w:hint="eastAsia" w:ascii="宋体" w:hAnsi="宋体" w:cs="宋体"/>
          <w:color w:val="auto"/>
          <w:sz w:val="24"/>
          <w:highlight w:val="none"/>
          <w:lang w:eastAsia="zh-CN"/>
        </w:rPr>
      </w:pPr>
      <w:bookmarkStart w:id="43" w:name="OLE_LINK52"/>
      <w:r>
        <w:rPr>
          <w:rFonts w:hint="eastAsia" w:ascii="宋体" w:hAnsi="宋体" w:cs="宋体"/>
          <w:color w:val="auto"/>
          <w:sz w:val="24"/>
          <w:highlight w:val="none"/>
        </w:rPr>
        <w:t>廿三里辖区路灯能源管理项目的改造内容包括对廿三里全域高压钠灯具</w:t>
      </w:r>
      <w:r>
        <w:rPr>
          <w:rFonts w:hint="eastAsia" w:ascii="宋体" w:hAnsi="宋体" w:cs="宋体"/>
          <w:color w:val="auto"/>
          <w:sz w:val="24"/>
          <w:highlight w:val="none"/>
          <w:lang w:val="en-US" w:eastAsia="zh-CN"/>
        </w:rPr>
        <w:t>2197</w:t>
      </w:r>
      <w:r>
        <w:rPr>
          <w:rFonts w:hint="eastAsia" w:ascii="宋体" w:hAnsi="宋体" w:cs="宋体"/>
          <w:color w:val="auto"/>
          <w:sz w:val="24"/>
          <w:highlight w:val="none"/>
        </w:rPr>
        <w:t>套进行LED灯具升级，并对其老旧载体1678</w:t>
      </w:r>
      <w:bookmarkStart w:id="141" w:name="_GoBack"/>
      <w:r>
        <w:rPr>
          <w:rFonts w:hint="eastAsia" w:ascii="宋体" w:hAnsi="宋体" w:cs="宋体"/>
          <w:color w:val="auto"/>
          <w:sz w:val="24"/>
          <w:highlight w:val="none"/>
        </w:rPr>
        <w:t>盏</w:t>
      </w:r>
      <w:bookmarkEnd w:id="141"/>
      <w:r>
        <w:rPr>
          <w:rFonts w:hint="eastAsia" w:ascii="宋体" w:hAnsi="宋体" w:cs="宋体"/>
          <w:color w:val="auto"/>
          <w:sz w:val="24"/>
          <w:highlight w:val="none"/>
        </w:rPr>
        <w:t>路灯进行单灯智慧管控，对辖区内25台箱变进行智慧化控制提升，建设具备可远程控制平台，可与区智慧平台</w:t>
      </w:r>
      <w:r>
        <w:rPr>
          <w:rFonts w:hint="eastAsia" w:ascii="宋体" w:hAnsi="宋体" w:cs="宋体"/>
          <w:color w:val="auto"/>
          <w:sz w:val="24"/>
          <w:highlight w:val="none"/>
          <w:lang w:val="en-US" w:eastAsia="zh-CN"/>
        </w:rPr>
        <w:t>连接</w:t>
      </w:r>
      <w:r>
        <w:rPr>
          <w:rFonts w:hint="eastAsia" w:ascii="宋体" w:hAnsi="宋体" w:cs="宋体"/>
          <w:color w:val="auto"/>
          <w:sz w:val="24"/>
          <w:highlight w:val="none"/>
        </w:rPr>
        <w:t>并信息共享。路灯进行LED光源更换、路灯设施护套线更换、熔断器更换，采用合同能源管理（EMC）方式，利用LED照明产品实施节能减排改造</w:t>
      </w:r>
      <w:r>
        <w:rPr>
          <w:rFonts w:hint="eastAsia" w:ascii="宋体" w:hAnsi="宋体" w:cs="宋体"/>
          <w:color w:val="auto"/>
          <w:sz w:val="24"/>
          <w:highlight w:val="none"/>
          <w:lang w:eastAsia="zh-CN"/>
        </w:rPr>
        <w:t>。（</w:t>
      </w:r>
      <w:r>
        <w:rPr>
          <w:rFonts w:hint="eastAsia" w:ascii="宋体" w:hAnsi="宋体" w:cs="宋体"/>
          <w:color w:val="auto"/>
          <w:sz w:val="24"/>
          <w:highlight w:val="none"/>
          <w:lang w:val="en-US" w:eastAsia="zh-CN"/>
        </w:rPr>
        <w:t>数量以清单为准</w:t>
      </w:r>
      <w:r>
        <w:rPr>
          <w:rFonts w:hint="eastAsia" w:ascii="宋体" w:hAnsi="宋体" w:cs="宋体"/>
          <w:color w:val="auto"/>
          <w:sz w:val="24"/>
          <w:highlight w:val="none"/>
          <w:lang w:eastAsia="zh-CN"/>
        </w:rPr>
        <w:t>）</w:t>
      </w:r>
    </w:p>
    <w:p>
      <w:pPr>
        <w:shd w:val="clear"/>
        <w:snapToGrid w:val="0"/>
        <w:spacing w:line="360" w:lineRule="auto"/>
        <w:ind w:firstLine="420" w:firstLineChars="200"/>
        <w:rPr>
          <w:rFonts w:ascii="宋体" w:hAnsi="宋体" w:cs="宋体"/>
          <w:b/>
          <w:color w:val="auto"/>
          <w:sz w:val="24"/>
          <w:highlight w:val="none"/>
        </w:rPr>
      </w:pPr>
      <w:r>
        <w:rPr>
          <w:rFonts w:hint="eastAsia" w:hAnsi="宋体" w:eastAsia="宋体" w:cs="宋体"/>
          <w:color w:val="auto"/>
          <w:szCs w:val="24"/>
          <w:highlight w:val="none"/>
        </w:rPr>
        <w:t>★</w:t>
      </w:r>
      <w:r>
        <w:rPr>
          <w:rFonts w:hint="eastAsia" w:ascii="宋体" w:hAnsi="宋体" w:cs="宋体"/>
          <w:color w:val="auto"/>
          <w:sz w:val="24"/>
          <w:highlight w:val="none"/>
        </w:rPr>
        <w:t>每天路灯亮灯时间约11.5小时，投标时也以11.5小时作为投标基准时间，不得变更。</w:t>
      </w:r>
    </w:p>
    <w:bookmarkEnd w:id="43"/>
    <w:p>
      <w:pPr>
        <w:shd w:val="clear"/>
        <w:spacing w:line="360" w:lineRule="auto"/>
        <w:rPr>
          <w:rFonts w:ascii="宋体" w:hAnsi="宋体" w:cs="宋体"/>
          <w:b/>
          <w:color w:val="auto"/>
          <w:sz w:val="24"/>
          <w:highlight w:val="none"/>
        </w:rPr>
      </w:pPr>
      <w:r>
        <w:rPr>
          <w:rFonts w:hint="eastAsia" w:ascii="宋体" w:hAnsi="宋体" w:cs="宋体"/>
          <w:b/>
          <w:color w:val="auto"/>
          <w:sz w:val="24"/>
          <w:highlight w:val="none"/>
        </w:rPr>
        <w:t>二、建设目标</w:t>
      </w:r>
    </w:p>
    <w:p>
      <w:pPr>
        <w:shd w:val="clear"/>
        <w:adjustRightInd w:val="0"/>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整体改善和提升我区城市道路路面照明质量，方便人们的生产和生活；并实现区路灯节电率达到50%以上；更换护套线、熔断器，完善安全接地系统，建设整体智慧化管控系统</w:t>
      </w:r>
      <w:r>
        <w:rPr>
          <w:rFonts w:hint="eastAsia" w:ascii="宋体" w:hAnsi="宋体" w:cs="宋体"/>
          <w:color w:val="auto"/>
          <w:sz w:val="24"/>
          <w:highlight w:val="none"/>
          <w:lang w:eastAsia="zh-CN"/>
        </w:rPr>
        <w:t>，</w:t>
      </w:r>
      <w:r>
        <w:rPr>
          <w:rFonts w:hint="eastAsia" w:ascii="宋体" w:hAnsi="宋体" w:cs="宋体"/>
          <w:color w:val="auto"/>
          <w:sz w:val="24"/>
          <w:highlight w:val="none"/>
        </w:rPr>
        <w:t>符合安全规范</w:t>
      </w:r>
      <w:r>
        <w:rPr>
          <w:rFonts w:hint="eastAsia" w:ascii="宋体" w:hAnsi="宋体" w:cs="宋体"/>
          <w:color w:val="auto"/>
          <w:sz w:val="24"/>
          <w:highlight w:val="none"/>
          <w:lang w:eastAsia="zh-CN"/>
        </w:rPr>
        <w:t>，</w:t>
      </w:r>
      <w:r>
        <w:rPr>
          <w:rFonts w:hint="eastAsia" w:ascii="宋体" w:hAnsi="宋体" w:cs="宋体"/>
          <w:color w:val="auto"/>
          <w:sz w:val="24"/>
          <w:highlight w:val="none"/>
        </w:rPr>
        <w:t>提升路灯精细化管理水平。</w:t>
      </w:r>
    </w:p>
    <w:p>
      <w:pPr>
        <w:shd w:val="clear"/>
        <w:spacing w:line="360" w:lineRule="auto"/>
        <w:rPr>
          <w:rFonts w:ascii="宋体" w:hAnsi="宋体" w:cs="宋体"/>
          <w:b/>
          <w:color w:val="auto"/>
          <w:sz w:val="24"/>
          <w:highlight w:val="none"/>
        </w:rPr>
      </w:pPr>
      <w:r>
        <w:rPr>
          <w:rFonts w:hint="eastAsia" w:ascii="宋体" w:hAnsi="宋体" w:cs="宋体"/>
          <w:b/>
          <w:color w:val="auto"/>
          <w:sz w:val="24"/>
          <w:highlight w:val="none"/>
        </w:rPr>
        <w:t>三、项目</w:t>
      </w:r>
      <w:r>
        <w:rPr>
          <w:rFonts w:hint="eastAsia" w:ascii="宋体" w:hAnsi="宋体" w:cs="宋体"/>
          <w:b/>
          <w:color w:val="auto"/>
          <w:sz w:val="24"/>
          <w:highlight w:val="none"/>
          <w:lang w:val="en-US" w:eastAsia="zh-CN"/>
        </w:rPr>
        <w:t>服务</w:t>
      </w:r>
      <w:r>
        <w:rPr>
          <w:rFonts w:hint="eastAsia" w:ascii="宋体" w:hAnsi="宋体" w:cs="宋体"/>
          <w:b/>
          <w:color w:val="auto"/>
          <w:sz w:val="24"/>
          <w:highlight w:val="none"/>
        </w:rPr>
        <w:t>主要内容</w:t>
      </w:r>
      <w:r>
        <w:rPr>
          <w:rFonts w:hint="eastAsia" w:ascii="宋体" w:hAnsi="宋体" w:cs="宋体"/>
          <w:b/>
          <w:color w:val="auto"/>
          <w:sz w:val="24"/>
          <w:highlight w:val="none"/>
        </w:rPr>
        <w:tab/>
      </w:r>
    </w:p>
    <w:p>
      <w:pPr>
        <w:shd w:val="clear"/>
        <w:adjustRightInd w:val="0"/>
        <w:snapToGrid w:val="0"/>
        <w:spacing w:line="360" w:lineRule="auto"/>
        <w:ind w:firstLine="420" w:firstLineChars="200"/>
        <w:jc w:val="left"/>
        <w:rPr>
          <w:rFonts w:ascii="宋体" w:hAnsi="宋体" w:cs="宋体"/>
          <w:color w:val="auto"/>
          <w:sz w:val="24"/>
          <w:highlight w:val="none"/>
        </w:rPr>
      </w:pPr>
      <w:r>
        <w:rPr>
          <w:rFonts w:hint="eastAsia" w:hAnsi="宋体" w:eastAsia="宋体" w:cs="宋体"/>
          <w:color w:val="auto"/>
          <w:szCs w:val="24"/>
          <w:highlight w:val="none"/>
        </w:rPr>
        <w:t>★</w:t>
      </w:r>
      <w:r>
        <w:rPr>
          <w:rFonts w:hint="eastAsia" w:ascii="宋体" w:hAnsi="宋体" w:cs="宋体"/>
          <w:color w:val="auto"/>
          <w:sz w:val="24"/>
          <w:highlight w:val="none"/>
        </w:rPr>
        <w:t>1.进行路灯灯具（含灯线、熔断器）更换，光源更换为LED，在更换灯具设备内加设智慧控制系统，原有传统光源灯具将不得继续利用；</w:t>
      </w:r>
    </w:p>
    <w:p>
      <w:pPr>
        <w:shd w:val="clear"/>
        <w:adjustRightInd w:val="0"/>
        <w:snapToGrid w:val="0"/>
        <w:spacing w:line="360" w:lineRule="auto"/>
        <w:ind w:firstLine="480" w:firstLineChars="200"/>
        <w:jc w:val="left"/>
        <w:rPr>
          <w:rFonts w:hint="eastAsia" w:ascii="宋体" w:hAnsi="宋体" w:cs="宋体"/>
          <w:color w:val="auto"/>
          <w:sz w:val="24"/>
          <w:highlight w:val="none"/>
        </w:rPr>
      </w:pPr>
      <w:r>
        <w:rPr>
          <w:rFonts w:hint="eastAsia" w:ascii="宋体" w:hAnsi="宋体" w:cs="宋体"/>
          <w:color w:val="auto"/>
          <w:sz w:val="24"/>
          <w:highlight w:val="none"/>
          <w:lang w:val="en-US" w:eastAsia="zh-CN"/>
        </w:rPr>
        <w:t>2.</w:t>
      </w:r>
      <w:r>
        <w:rPr>
          <w:rFonts w:hint="eastAsia" w:ascii="宋体" w:hAnsi="宋体" w:cs="宋体"/>
          <w:color w:val="auto"/>
          <w:sz w:val="24"/>
          <w:highlight w:val="none"/>
        </w:rPr>
        <w:t>路灯设施安全接地改造；</w:t>
      </w:r>
    </w:p>
    <w:p>
      <w:pPr>
        <w:shd w:val="clear"/>
        <w:adjustRightInd w:val="0"/>
        <w:snapToGrid w:val="0"/>
        <w:spacing w:line="360" w:lineRule="auto"/>
        <w:ind w:firstLine="480" w:firstLineChars="200"/>
        <w:jc w:val="left"/>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3.建设可远程控制云平台；</w:t>
      </w:r>
    </w:p>
    <w:p>
      <w:pPr>
        <w:shd w:val="clear"/>
        <w:adjustRightInd w:val="0"/>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lang w:val="en-US" w:eastAsia="zh-CN"/>
        </w:rPr>
        <w:t>4</w:t>
      </w:r>
      <w:r>
        <w:rPr>
          <w:rFonts w:hint="eastAsia" w:ascii="宋体" w:hAnsi="宋体" w:cs="宋体"/>
          <w:color w:val="auto"/>
          <w:sz w:val="24"/>
          <w:highlight w:val="none"/>
        </w:rPr>
        <w:t>.设备采购、设备安装调试、人员培训、保险、配合节能检测（包括一二期的LED路灯检测）、计量确认、安全和保证等一整套的节能服务；</w:t>
      </w:r>
    </w:p>
    <w:p>
      <w:pPr>
        <w:shd w:val="clear"/>
        <w:adjustRightInd w:val="0"/>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lang w:val="en-US" w:eastAsia="zh-CN"/>
        </w:rPr>
        <w:t>5</w:t>
      </w:r>
      <w:r>
        <w:rPr>
          <w:rFonts w:hint="eastAsia" w:ascii="宋体" w:hAnsi="宋体" w:cs="宋体"/>
          <w:color w:val="auto"/>
          <w:sz w:val="24"/>
          <w:highlight w:val="none"/>
        </w:rPr>
        <w:t>.合同期内免费提供灯具质保、灯具更换所需的备品备件；</w:t>
      </w:r>
    </w:p>
    <w:p>
      <w:pPr>
        <w:shd w:val="clear"/>
        <w:adjustRightInd w:val="0"/>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lang w:val="en-US" w:eastAsia="zh-CN"/>
        </w:rPr>
        <w:t>6</w:t>
      </w:r>
      <w:r>
        <w:rPr>
          <w:rFonts w:hint="eastAsia" w:ascii="宋体" w:hAnsi="宋体" w:cs="宋体"/>
          <w:color w:val="auto"/>
          <w:sz w:val="24"/>
          <w:highlight w:val="none"/>
        </w:rPr>
        <w:t>.妥善处理更换下来的传统路灯，运至采购人指定地点；</w:t>
      </w:r>
    </w:p>
    <w:p>
      <w:pPr>
        <w:shd w:val="clear"/>
        <w:adjustRightInd w:val="0"/>
        <w:snapToGrid w:val="0"/>
        <w:spacing w:line="360" w:lineRule="auto"/>
        <w:ind w:firstLine="480" w:firstLineChars="200"/>
        <w:jc w:val="left"/>
        <w:rPr>
          <w:rFonts w:hint="eastAsia" w:ascii="宋体" w:hAnsi="宋体" w:cs="宋体"/>
          <w:color w:val="auto"/>
          <w:sz w:val="24"/>
          <w:highlight w:val="none"/>
        </w:rPr>
      </w:pPr>
      <w:r>
        <w:rPr>
          <w:rFonts w:hint="eastAsia" w:ascii="宋体" w:hAnsi="宋体" w:cs="宋体"/>
          <w:color w:val="auto"/>
          <w:sz w:val="24"/>
          <w:highlight w:val="none"/>
          <w:lang w:val="en-US" w:eastAsia="zh-CN"/>
        </w:rPr>
        <w:t>7</w:t>
      </w:r>
      <w:r>
        <w:rPr>
          <w:rFonts w:hint="eastAsia" w:ascii="宋体" w:hAnsi="宋体" w:cs="宋体"/>
          <w:color w:val="auto"/>
          <w:sz w:val="24"/>
          <w:highlight w:val="none"/>
        </w:rPr>
        <w:t>.以及项目范围内为确保路灯正常运行而进行的其他合同内的作业。</w:t>
      </w:r>
    </w:p>
    <w:p>
      <w:pPr>
        <w:shd w:val="clear"/>
        <w:adjustRightInd w:val="0"/>
        <w:snapToGrid w:val="0"/>
        <w:spacing w:line="360" w:lineRule="auto"/>
        <w:ind w:firstLine="480" w:firstLineChars="200"/>
        <w:jc w:val="left"/>
        <w:rPr>
          <w:rFonts w:hint="eastAsia" w:ascii="宋体" w:hAnsi="宋体" w:cs="宋体"/>
          <w:color w:val="auto"/>
          <w:sz w:val="24"/>
          <w:highlight w:val="none"/>
        </w:rPr>
      </w:pPr>
      <w:r>
        <w:rPr>
          <w:rFonts w:hint="eastAsia" w:ascii="宋体" w:hAnsi="宋体" w:cs="宋体"/>
          <w:color w:val="auto"/>
          <w:sz w:val="24"/>
          <w:highlight w:val="none"/>
          <w:lang w:val="en-US" w:eastAsia="zh-CN"/>
        </w:rPr>
        <w:t>8.</w:t>
      </w:r>
      <w:r>
        <w:rPr>
          <w:rFonts w:hint="eastAsia" w:ascii="宋体" w:hAnsi="宋体" w:cs="宋体"/>
          <w:color w:val="auto"/>
          <w:sz w:val="24"/>
          <w:highlight w:val="none"/>
        </w:rPr>
        <w:t>采购人将按照协议约定向供应商支付能源使用费用，并由</w:t>
      </w:r>
      <w:r>
        <w:rPr>
          <w:rFonts w:hint="eastAsia" w:ascii="宋体" w:hAnsi="宋体" w:cs="宋体"/>
          <w:color w:val="auto"/>
          <w:sz w:val="24"/>
          <w:highlight w:val="none"/>
          <w:lang w:val="en-US" w:eastAsia="zh-CN"/>
        </w:rPr>
        <w:t>中标人</w:t>
      </w:r>
      <w:r>
        <w:rPr>
          <w:rFonts w:hint="eastAsia" w:ascii="宋体" w:hAnsi="宋体" w:cs="宋体"/>
          <w:color w:val="auto"/>
          <w:sz w:val="24"/>
          <w:highlight w:val="none"/>
        </w:rPr>
        <w:t>负责代缴采购人能源托管期内的电费。</w:t>
      </w:r>
    </w:p>
    <w:p>
      <w:pPr>
        <w:shd w:val="clear"/>
        <w:adjustRightInd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除完成以上内容外，中标人还需接受监理、节能评估检测机构的监督管理。</w:t>
      </w:r>
    </w:p>
    <w:p>
      <w:pPr>
        <w:shd w:val="clear"/>
        <w:adjustRightInd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项目</w:t>
      </w:r>
      <w:r>
        <w:rPr>
          <w:rFonts w:hint="eastAsia" w:ascii="宋体" w:hAnsi="宋体" w:cs="宋体"/>
          <w:color w:val="auto"/>
          <w:sz w:val="24"/>
          <w:highlight w:val="none"/>
          <w:lang w:eastAsia="zh-CN"/>
        </w:rPr>
        <w:t>服务期</w:t>
      </w:r>
      <w:r>
        <w:rPr>
          <w:rFonts w:hint="eastAsia" w:ascii="宋体" w:hAnsi="宋体" w:cs="宋体"/>
          <w:color w:val="auto"/>
          <w:sz w:val="24"/>
          <w:highlight w:val="none"/>
        </w:rPr>
        <w:t>满后，中标人需将竣工资料移交给项目用户归档，</w:t>
      </w:r>
      <w:r>
        <w:rPr>
          <w:rFonts w:hint="eastAsia" w:ascii="宋体" w:hAnsi="宋体" w:cs="宋体"/>
          <w:color w:val="auto"/>
          <w:sz w:val="24"/>
          <w:highlight w:val="none"/>
          <w:lang w:val="en-US" w:eastAsia="zh-CN"/>
        </w:rPr>
        <w:t>并配合采购人跟后续管理单位做好交接工作</w:t>
      </w:r>
      <w:r>
        <w:rPr>
          <w:rFonts w:hint="eastAsia" w:ascii="宋体" w:hAnsi="宋体" w:cs="宋体"/>
          <w:color w:val="auto"/>
          <w:sz w:val="24"/>
          <w:highlight w:val="none"/>
        </w:rPr>
        <w:t>。中标人将根据合同规定方式获得投资回报。不再参与项目的节约电费的分成。</w:t>
      </w:r>
    </w:p>
    <w:p>
      <w:pPr>
        <w:shd w:val="clear"/>
        <w:snapToGrid w:val="0"/>
        <w:spacing w:line="360" w:lineRule="auto"/>
        <w:rPr>
          <w:rFonts w:hint="default" w:ascii="宋体" w:hAnsi="宋体" w:eastAsia="宋体" w:cs="宋体"/>
          <w:b/>
          <w:color w:val="auto"/>
          <w:sz w:val="24"/>
          <w:highlight w:val="none"/>
          <w:lang w:val="en-US" w:eastAsia="zh-CN"/>
        </w:rPr>
      </w:pPr>
      <w:r>
        <w:rPr>
          <w:rFonts w:hint="eastAsia" w:ascii="宋体" w:hAnsi="宋体" w:cs="宋体"/>
          <w:b/>
          <w:color w:val="auto"/>
          <w:sz w:val="24"/>
          <w:highlight w:val="none"/>
        </w:rPr>
        <w:t>四、项目服务期</w:t>
      </w:r>
      <w:r>
        <w:rPr>
          <w:rFonts w:hint="eastAsia" w:ascii="宋体" w:hAnsi="宋体" w:cs="宋体"/>
          <w:b/>
          <w:color w:val="auto"/>
          <w:sz w:val="24"/>
          <w:highlight w:val="none"/>
          <w:lang w:eastAsia="zh-CN"/>
        </w:rPr>
        <w:t>：</w:t>
      </w:r>
      <w:r>
        <w:rPr>
          <w:rFonts w:hint="eastAsia" w:ascii="宋体" w:hAnsi="宋体" w:cs="宋体"/>
          <w:b/>
          <w:color w:val="auto"/>
          <w:sz w:val="24"/>
          <w:highlight w:val="none"/>
          <w:lang w:val="en-US" w:eastAsia="zh-CN"/>
        </w:rPr>
        <w:t>3年</w:t>
      </w:r>
    </w:p>
    <w:p>
      <w:pPr>
        <w:shd w:val="clear"/>
        <w:spacing w:line="360" w:lineRule="auto"/>
        <w:rPr>
          <w:rFonts w:ascii="宋体" w:hAnsi="宋体" w:cs="宋体"/>
          <w:b/>
          <w:color w:val="auto"/>
          <w:sz w:val="24"/>
          <w:highlight w:val="none"/>
        </w:rPr>
      </w:pPr>
      <w:bookmarkStart w:id="44" w:name="_Toc6652"/>
      <w:bookmarkStart w:id="45" w:name="_Toc30524"/>
      <w:bookmarkStart w:id="46" w:name="_Toc31043"/>
      <w:r>
        <w:rPr>
          <w:rFonts w:hint="eastAsia" w:ascii="宋体" w:hAnsi="宋体" w:cs="宋体"/>
          <w:b/>
          <w:color w:val="auto"/>
          <w:sz w:val="24"/>
          <w:highlight w:val="none"/>
        </w:rPr>
        <w:t>五、改造详细内容及相关数据</w:t>
      </w:r>
      <w:bookmarkEnd w:id="44"/>
      <w:bookmarkEnd w:id="45"/>
      <w:bookmarkEnd w:id="46"/>
    </w:p>
    <w:p>
      <w:pPr>
        <w:pStyle w:val="28"/>
        <w:shd w:val="clear"/>
        <w:ind w:firstLine="480"/>
        <w:rPr>
          <w:rFonts w:ascii="宋体" w:hAnsi="宋体" w:cs="宋体"/>
          <w:color w:val="auto"/>
          <w:sz w:val="24"/>
          <w:szCs w:val="24"/>
          <w:highlight w:val="none"/>
        </w:rPr>
      </w:pPr>
      <w:r>
        <w:rPr>
          <w:rFonts w:hint="eastAsia" w:ascii="宋体" w:hAnsi="宋体" w:cs="宋体"/>
          <w:color w:val="auto"/>
          <w:sz w:val="24"/>
          <w:szCs w:val="24"/>
          <w:highlight w:val="none"/>
        </w:rPr>
        <w:t>1.根据规范《城市道路照明设计标准》（CJJ45-2015），并结合项目自身特点，</w:t>
      </w:r>
      <w:r>
        <w:rPr>
          <w:rFonts w:hint="eastAsia" w:ascii="宋体" w:hAnsi="宋体" w:cs="宋体"/>
          <w:b/>
          <w:color w:val="auto"/>
          <w:sz w:val="24"/>
          <w:szCs w:val="24"/>
          <w:highlight w:val="none"/>
        </w:rPr>
        <w:t>路灯节能改造后，验收值不得低于</w:t>
      </w:r>
      <w:r>
        <w:rPr>
          <w:rFonts w:hint="eastAsia" w:ascii="宋体" w:hAnsi="宋体" w:cs="宋体"/>
          <w:b/>
          <w:color w:val="auto"/>
          <w:sz w:val="24"/>
          <w:szCs w:val="24"/>
          <w:highlight w:val="none"/>
          <w:lang w:val="en-US" w:eastAsia="zh-CN"/>
        </w:rPr>
        <w:t>文件</w:t>
      </w:r>
      <w:r>
        <w:rPr>
          <w:rFonts w:hint="eastAsia" w:ascii="宋体" w:hAnsi="宋体" w:cs="宋体"/>
          <w:b/>
          <w:color w:val="auto"/>
          <w:sz w:val="24"/>
          <w:szCs w:val="24"/>
          <w:highlight w:val="none"/>
        </w:rPr>
        <w:t>中注明的数值；3年</w:t>
      </w:r>
      <w:r>
        <w:rPr>
          <w:rFonts w:hint="eastAsia" w:ascii="宋体" w:hAnsi="宋体" w:cs="宋体"/>
          <w:b/>
          <w:color w:val="auto"/>
          <w:sz w:val="24"/>
          <w:szCs w:val="24"/>
          <w:highlight w:val="none"/>
          <w:lang w:eastAsia="zh-CN"/>
        </w:rPr>
        <w:t>服务期</w:t>
      </w:r>
      <w:r>
        <w:rPr>
          <w:rFonts w:hint="eastAsia" w:ascii="宋体" w:hAnsi="宋体" w:cs="宋体"/>
          <w:b/>
          <w:color w:val="auto"/>
          <w:sz w:val="24"/>
          <w:szCs w:val="24"/>
          <w:highlight w:val="none"/>
        </w:rPr>
        <w:t>后路灯相关参数不得小于规定的参数值。</w:t>
      </w:r>
      <w:r>
        <w:rPr>
          <w:rFonts w:hint="eastAsia" w:ascii="宋体" w:hAnsi="宋体" w:cs="宋体"/>
          <w:b/>
          <w:color w:val="auto"/>
          <w:sz w:val="24"/>
          <w:szCs w:val="24"/>
          <w:highlight w:val="none"/>
          <w:lang w:eastAsia="zh-CN"/>
        </w:rPr>
        <w:t>服务期</w:t>
      </w:r>
      <w:r>
        <w:rPr>
          <w:rFonts w:hint="eastAsia" w:ascii="宋体" w:hAnsi="宋体" w:cs="宋体"/>
          <w:b/>
          <w:color w:val="auto"/>
          <w:sz w:val="24"/>
          <w:szCs w:val="24"/>
          <w:highlight w:val="none"/>
        </w:rPr>
        <w:t>内隧道照明相关技术要求必须符合《LED城市道路照明应用技术要求》（GB/T31832-2015）的相关标准。</w:t>
      </w:r>
    </w:p>
    <w:p>
      <w:pPr>
        <w:shd w:val="clear"/>
        <w:adjustRightInd w:val="0"/>
        <w:snapToGrid w:val="0"/>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2.改造前设施能耗及亮灯时间</w:t>
      </w:r>
    </w:p>
    <w:p>
      <w:pPr>
        <w:pStyle w:val="13"/>
        <w:shd w:val="clear"/>
        <w:tabs>
          <w:tab w:val="left" w:pos="360"/>
          <w:tab w:val="left" w:pos="420"/>
          <w:tab w:val="left" w:pos="540"/>
        </w:tabs>
        <w:snapToGrid w:val="0"/>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（1）若清单中功率与实际不一致，以实际为准；若因日常维修造成个别或小部分光源与该小区或道路的大部分光源不一致时，以大部分光源规格为准。</w:t>
      </w:r>
    </w:p>
    <w:p>
      <w:pPr>
        <w:pStyle w:val="13"/>
        <w:shd w:val="clear"/>
        <w:tabs>
          <w:tab w:val="left" w:pos="360"/>
          <w:tab w:val="left" w:pos="420"/>
          <w:tab w:val="left" w:pos="540"/>
        </w:tabs>
        <w:snapToGrid w:val="0"/>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2）一年之中每天路灯亮灯时间折合成平均值约为11.5小时，除隧道照明常规照明灯外，本采购文件其他路灯（包括隧道的加强照明灯）的亮灯时间均以11.5小时进行计算，不得变更；隧道灯常规照明灯按24个小时计算。</w:t>
      </w:r>
    </w:p>
    <w:p>
      <w:pPr>
        <w:shd w:val="clear"/>
        <w:spacing w:line="360" w:lineRule="auto"/>
        <w:rPr>
          <w:rFonts w:ascii="宋体" w:hAnsi="宋体" w:cs="宋体"/>
          <w:b/>
          <w:color w:val="auto"/>
          <w:sz w:val="24"/>
          <w:highlight w:val="none"/>
        </w:rPr>
      </w:pPr>
      <w:bookmarkStart w:id="47" w:name="_Toc16494"/>
      <w:bookmarkStart w:id="48" w:name="_Toc23836"/>
      <w:bookmarkStart w:id="49" w:name="_Toc7363"/>
      <w:r>
        <w:rPr>
          <w:rFonts w:hint="eastAsia" w:ascii="宋体" w:hAnsi="宋体" w:cs="宋体"/>
          <w:b/>
          <w:color w:val="auto"/>
          <w:sz w:val="24"/>
          <w:highlight w:val="none"/>
        </w:rPr>
        <w:t>六、项目基本要求</w:t>
      </w:r>
      <w:bookmarkEnd w:id="47"/>
      <w:bookmarkEnd w:id="48"/>
      <w:bookmarkEnd w:id="49"/>
    </w:p>
    <w:p>
      <w:pPr>
        <w:shd w:val="clear"/>
        <w:adjustRightInd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1.投标供应商所提供的所有货物必须是全新的、技术成熟的、性能可靠稳定的。</w:t>
      </w:r>
    </w:p>
    <w:p>
      <w:pPr>
        <w:shd w:val="clear"/>
        <w:adjustRightInd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2.投标供应商供货时提供包括但不限于满足货物使用和维护的技术文件。</w:t>
      </w:r>
    </w:p>
    <w:p>
      <w:pPr>
        <w:shd w:val="clear"/>
        <w:adjustRightInd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3.投标供应商交货时提供原出厂产品合格证、产品说明书、产品质量保证书和产品检测报告，投标供应商提供的产品检测报告需涵盖本采购文件所要求的技术参数。</w:t>
      </w:r>
    </w:p>
    <w:p>
      <w:pPr>
        <w:shd w:val="clear"/>
        <w:adjustRightInd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4.灯具使用环境</w:t>
      </w:r>
    </w:p>
    <w:p>
      <w:pPr>
        <w:shd w:val="clear"/>
        <w:adjustRightInd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（1）安装场所：户外</w:t>
      </w:r>
    </w:p>
    <w:p>
      <w:pPr>
        <w:shd w:val="clear"/>
        <w:adjustRightInd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（2）海拔：低于500米</w:t>
      </w:r>
    </w:p>
    <w:p>
      <w:pPr>
        <w:shd w:val="clear"/>
        <w:adjustRightInd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（3）环境温度：-5℃～+65℃</w:t>
      </w:r>
    </w:p>
    <w:p>
      <w:pPr>
        <w:shd w:val="clear"/>
        <w:adjustRightInd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w:t>
      </w:r>
      <w:r>
        <w:rPr>
          <w:rFonts w:hint="eastAsia" w:ascii="宋体" w:hAnsi="宋体" w:cs="宋体"/>
          <w:color w:val="auto"/>
          <w:sz w:val="24"/>
          <w:highlight w:val="none"/>
          <w:lang w:val="en-US" w:eastAsia="zh-CN"/>
        </w:rPr>
        <w:t>4</w:t>
      </w:r>
      <w:r>
        <w:rPr>
          <w:rFonts w:hint="eastAsia" w:ascii="宋体" w:hAnsi="宋体" w:cs="宋体"/>
          <w:color w:val="auto"/>
          <w:sz w:val="24"/>
          <w:highlight w:val="none"/>
        </w:rPr>
        <w:t>）相对湿度：90%(20℃)</w:t>
      </w:r>
    </w:p>
    <w:p>
      <w:pPr>
        <w:shd w:val="clear"/>
        <w:adjustRightInd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w:t>
      </w:r>
      <w:r>
        <w:rPr>
          <w:rFonts w:hint="eastAsia" w:ascii="宋体" w:hAnsi="宋体" w:cs="宋体"/>
          <w:color w:val="auto"/>
          <w:sz w:val="24"/>
          <w:highlight w:val="none"/>
          <w:lang w:val="en-US" w:eastAsia="zh-CN"/>
        </w:rPr>
        <w:t>5</w:t>
      </w:r>
      <w:r>
        <w:rPr>
          <w:rFonts w:hint="eastAsia" w:ascii="宋体" w:hAnsi="宋体" w:cs="宋体"/>
          <w:color w:val="auto"/>
          <w:sz w:val="24"/>
          <w:highlight w:val="none"/>
        </w:rPr>
        <w:t>）电源：单相交流220V、50HZ；波动范围：电压±20%、频率±2%。</w:t>
      </w:r>
    </w:p>
    <w:p>
      <w:pPr>
        <w:shd w:val="clear"/>
        <w:spacing w:line="360" w:lineRule="auto"/>
        <w:rPr>
          <w:rFonts w:ascii="宋体" w:hAnsi="宋体" w:cs="宋体"/>
          <w:b/>
          <w:color w:val="auto"/>
          <w:sz w:val="24"/>
          <w:highlight w:val="none"/>
        </w:rPr>
      </w:pPr>
      <w:bookmarkStart w:id="50" w:name="_Toc25416"/>
      <w:bookmarkStart w:id="51" w:name="_Toc19576"/>
      <w:bookmarkStart w:id="52" w:name="_Toc12703"/>
      <w:r>
        <w:rPr>
          <w:rFonts w:hint="eastAsia" w:ascii="宋体" w:hAnsi="宋体" w:cs="宋体"/>
          <w:b/>
          <w:color w:val="auto"/>
          <w:sz w:val="24"/>
          <w:highlight w:val="none"/>
        </w:rPr>
        <w:t>七、项目技术要求</w:t>
      </w:r>
      <w:bookmarkEnd w:id="50"/>
      <w:bookmarkEnd w:id="51"/>
      <w:bookmarkEnd w:id="52"/>
    </w:p>
    <w:p>
      <w:pPr>
        <w:shd w:val="clear"/>
        <w:adjustRightInd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1.项目所选用LED路灯，在设计、制造和检验方面应符合下列标准：</w:t>
      </w:r>
    </w:p>
    <w:p>
      <w:pPr>
        <w:shd w:val="clear"/>
        <w:adjustRightInd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（1）CJJ45-2015《城市道路照明设计标准》；</w:t>
      </w:r>
    </w:p>
    <w:p>
      <w:pPr>
        <w:shd w:val="clear"/>
        <w:adjustRightInd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（2）CJJ89-2012《城市道路照明工程施工及验收规程》；</w:t>
      </w:r>
    </w:p>
    <w:p>
      <w:pPr>
        <w:shd w:val="clear"/>
        <w:adjustRightInd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（3）GB7000.1-2007《灯具第一部分：一般安全要求与试验》；</w:t>
      </w:r>
    </w:p>
    <w:p>
      <w:pPr>
        <w:shd w:val="clear"/>
        <w:adjustRightInd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（4）GB7000.5-2005《道路与街路照明灯具安全要求》；</w:t>
      </w:r>
    </w:p>
    <w:p>
      <w:pPr>
        <w:shd w:val="clear"/>
        <w:adjustRightInd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（5）GB17625.1-2003 《电磁兼容限值谐波电流发射限值(设备每相输入电流≤16A)》；</w:t>
      </w:r>
    </w:p>
    <w:p>
      <w:pPr>
        <w:shd w:val="clear"/>
        <w:adjustRightInd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（6）GB17743-2007《电气照明和类似设备的无线电骚扰特性的限值和测量方法》；</w:t>
      </w:r>
    </w:p>
    <w:p>
      <w:pPr>
        <w:shd w:val="clear"/>
        <w:adjustRightInd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（7）GB/T18595-2001《一般照明设备电磁兼容抗扰度要求》；</w:t>
      </w:r>
    </w:p>
    <w:p>
      <w:pPr>
        <w:shd w:val="clear"/>
        <w:adjustRightInd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（8）GB/T24827-2009《道路和街路照明灯具性能要求》；</w:t>
      </w:r>
    </w:p>
    <w:p>
      <w:pPr>
        <w:shd w:val="clear"/>
        <w:adjustRightInd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（9）GB/T24907-2010《道路照明用LED灯性能要求》；</w:t>
      </w:r>
    </w:p>
    <w:p>
      <w:pPr>
        <w:shd w:val="clear"/>
        <w:adjustRightInd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（10）GB/T14549--93《电能质量公用电网谐波》；</w:t>
      </w:r>
    </w:p>
    <w:p>
      <w:pPr>
        <w:shd w:val="clear"/>
        <w:adjustRightInd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（11）《LED城市道路照明应用技术要求》（GB/T31832-2015）</w:t>
      </w:r>
    </w:p>
    <w:p>
      <w:pPr>
        <w:shd w:val="clear"/>
        <w:adjustRightInd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（12）其它国家、地方标准规范；</w:t>
      </w:r>
    </w:p>
    <w:p>
      <w:pPr>
        <w:shd w:val="clear"/>
        <w:adjustRightInd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（13）采购人提出的要求及有关基础资料。</w:t>
      </w:r>
    </w:p>
    <w:p>
      <w:pPr>
        <w:shd w:val="clear" w:color="auto"/>
        <w:adjustRightInd w:val="0"/>
        <w:snapToGrid w:val="0"/>
        <w:spacing w:line="360" w:lineRule="auto"/>
        <w:ind w:firstLine="482" w:firstLineChars="200"/>
        <w:rPr>
          <w:rFonts w:ascii="宋体" w:hAnsi="宋体" w:cs="宋体"/>
          <w:b/>
          <w:bCs/>
          <w:color w:val="auto"/>
          <w:sz w:val="24"/>
          <w:highlight w:val="none"/>
        </w:rPr>
      </w:pPr>
      <w:r>
        <w:rPr>
          <w:rFonts w:hint="eastAsia" w:ascii="宋体" w:hAnsi="宋体" w:cs="宋体"/>
          <w:b/>
          <w:bCs/>
          <w:color w:val="auto"/>
          <w:sz w:val="24"/>
          <w:highlight w:val="none"/>
        </w:rPr>
        <w:t>2、LED路灯技术基本要求</w:t>
      </w:r>
    </w:p>
    <w:p>
      <w:pPr>
        <w:shd w:val="clear"/>
        <w:adjustRightInd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（1）LED照明灯具（以下简称“灯具”）应符合安全可靠、技术先进、经济合理、节能环保和维修方便的要求。</w:t>
      </w:r>
    </w:p>
    <w:p>
      <w:pPr>
        <w:shd w:val="clear"/>
        <w:adjustRightInd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（2）投标灯具应采用模组化结构，便于更换和维修光源与控制装置，且更换后应保证原有的性能。</w:t>
      </w:r>
    </w:p>
    <w:p>
      <w:pPr>
        <w:shd w:val="clear"/>
        <w:adjustRightInd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（3）灯具应达到国家标准GB 37478-2019《道路和隧道照明用LED灯具能效限定值及能效等级》一级的标准要求。</w:t>
      </w:r>
    </w:p>
    <w:p>
      <w:pPr>
        <w:shd w:val="clear"/>
        <w:adjustRightInd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（4）灯具</w:t>
      </w:r>
      <w:r>
        <w:rPr>
          <w:rFonts w:hint="eastAsia" w:ascii="宋体" w:hAnsi="宋体" w:cs="宋体"/>
          <w:b w:val="0"/>
          <w:bCs w:val="0"/>
          <w:color w:val="auto"/>
          <w:sz w:val="24"/>
          <w:highlight w:val="none"/>
        </w:rPr>
        <w:t>通过CQC认证。</w:t>
      </w:r>
    </w:p>
    <w:p>
      <w:pPr>
        <w:shd w:val="clear"/>
        <w:adjustRightInd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w:t>
      </w:r>
      <w:r>
        <w:rPr>
          <w:rFonts w:ascii="宋体" w:hAnsi="宋体" w:cs="宋体"/>
          <w:color w:val="auto"/>
          <w:sz w:val="24"/>
          <w:highlight w:val="none"/>
        </w:rPr>
        <w:t>5</w:t>
      </w:r>
      <w:r>
        <w:rPr>
          <w:rFonts w:hint="eastAsia" w:ascii="宋体" w:hAnsi="宋体" w:cs="宋体"/>
          <w:color w:val="auto"/>
          <w:sz w:val="24"/>
          <w:highlight w:val="none"/>
        </w:rPr>
        <w:t>）灯具的结构应符合下列规定：</w:t>
      </w:r>
    </w:p>
    <w:p>
      <w:pPr>
        <w:shd w:val="clear"/>
        <w:adjustRightInd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1）灯具各类接插件、内外部接线和接线端子等在灯具内部应规范布置，避免阳光直射。</w:t>
      </w:r>
    </w:p>
    <w:p>
      <w:pPr>
        <w:shd w:val="clear"/>
        <w:adjustRightInd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2）灯具宜在满足功能要求的前提下兼顾美观，结构与外观颜色等与周围环境相协调。</w:t>
      </w:r>
    </w:p>
    <w:p>
      <w:pPr>
        <w:shd w:val="clear"/>
        <w:adjustRightInd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3）投标灯具应通过盐雾测试，测试时间不少于</w:t>
      </w:r>
      <w:r>
        <w:rPr>
          <w:rFonts w:hint="eastAsia" w:ascii="宋体" w:hAnsi="宋体" w:cs="宋体"/>
          <w:color w:val="auto"/>
          <w:sz w:val="24"/>
          <w:highlight w:val="none"/>
          <w:lang w:val="en-US" w:eastAsia="zh-CN"/>
        </w:rPr>
        <w:t>800</w:t>
      </w:r>
      <w:r>
        <w:rPr>
          <w:rFonts w:hint="eastAsia" w:ascii="宋体" w:hAnsi="宋体" w:cs="宋体"/>
          <w:color w:val="auto"/>
          <w:sz w:val="24"/>
          <w:highlight w:val="none"/>
        </w:rPr>
        <w:t>小时。</w:t>
      </w:r>
      <w:bookmarkStart w:id="53" w:name="_Hlk14295710"/>
      <w:r>
        <w:rPr>
          <w:rFonts w:hint="eastAsia" w:ascii="宋体" w:hAnsi="宋体" w:cs="宋体"/>
          <w:color w:val="auto"/>
          <w:sz w:val="24"/>
          <w:highlight w:val="none"/>
          <w:lang w:eastAsia="zh-CN"/>
        </w:rPr>
        <w:t>（</w:t>
      </w:r>
      <w:r>
        <w:rPr>
          <w:rFonts w:hint="eastAsia" w:ascii="宋体" w:hAnsi="宋体" w:cs="宋体"/>
          <w:b w:val="0"/>
          <w:bCs w:val="0"/>
          <w:color w:val="auto"/>
          <w:sz w:val="24"/>
          <w:highlight w:val="none"/>
        </w:rPr>
        <w:t>提供检测报告</w:t>
      </w:r>
      <w:r>
        <w:rPr>
          <w:rFonts w:hint="eastAsia" w:ascii="宋体" w:hAnsi="宋体" w:cs="宋体"/>
          <w:color w:val="auto"/>
          <w:sz w:val="24"/>
          <w:highlight w:val="none"/>
          <w:lang w:eastAsia="zh-CN"/>
        </w:rPr>
        <w:t>）</w:t>
      </w:r>
      <w:bookmarkEnd w:id="53"/>
    </w:p>
    <w:p>
      <w:pPr>
        <w:shd w:val="clear"/>
        <w:adjustRightInd w:val="0"/>
        <w:snapToGrid w:val="0"/>
        <w:spacing w:line="360" w:lineRule="auto"/>
        <w:ind w:firstLine="480" w:firstLineChars="200"/>
        <w:rPr>
          <w:rFonts w:hint="eastAsia" w:ascii="宋体" w:hAnsi="宋体" w:cs="宋体"/>
          <w:color w:val="auto"/>
          <w:sz w:val="24"/>
          <w:highlight w:val="none"/>
          <w:lang w:eastAsia="zh-CN"/>
        </w:rPr>
      </w:pPr>
      <w:r>
        <w:rPr>
          <w:rFonts w:hint="eastAsia" w:ascii="宋体" w:hAnsi="宋体" w:cs="宋体"/>
          <w:color w:val="auto"/>
          <w:sz w:val="24"/>
          <w:highlight w:val="none"/>
        </w:rPr>
        <w:t>4）灯具应具有承受外界机械碰撞能力，防冲击性能不低于IK</w:t>
      </w:r>
      <w:r>
        <w:rPr>
          <w:rFonts w:hint="eastAsia" w:ascii="宋体" w:hAnsi="宋体" w:cs="宋体"/>
          <w:color w:val="auto"/>
          <w:sz w:val="24"/>
          <w:highlight w:val="none"/>
          <w:lang w:val="en-US" w:eastAsia="zh-CN"/>
        </w:rPr>
        <w:t>08</w:t>
      </w:r>
      <w:r>
        <w:rPr>
          <w:rFonts w:hint="eastAsia" w:ascii="宋体" w:hAnsi="宋体" w:cs="宋体"/>
          <w:color w:val="auto"/>
          <w:sz w:val="24"/>
          <w:highlight w:val="none"/>
        </w:rPr>
        <w:t>。</w:t>
      </w:r>
      <w:r>
        <w:rPr>
          <w:rFonts w:hint="eastAsia" w:ascii="宋体" w:hAnsi="宋体" w:cs="宋体"/>
          <w:color w:val="auto"/>
          <w:sz w:val="24"/>
          <w:highlight w:val="none"/>
          <w:lang w:eastAsia="zh-CN"/>
        </w:rPr>
        <w:t>（</w:t>
      </w:r>
      <w:r>
        <w:rPr>
          <w:rFonts w:hint="eastAsia" w:ascii="宋体" w:hAnsi="宋体" w:cs="宋体"/>
          <w:b w:val="0"/>
          <w:bCs w:val="0"/>
          <w:color w:val="auto"/>
          <w:sz w:val="24"/>
          <w:highlight w:val="none"/>
        </w:rPr>
        <w:t>提供检测报告</w:t>
      </w:r>
      <w:r>
        <w:rPr>
          <w:rFonts w:hint="eastAsia" w:ascii="宋体" w:hAnsi="宋体" w:cs="宋体"/>
          <w:color w:val="auto"/>
          <w:sz w:val="24"/>
          <w:highlight w:val="none"/>
          <w:lang w:eastAsia="zh-CN"/>
        </w:rPr>
        <w:t>）</w:t>
      </w:r>
    </w:p>
    <w:p>
      <w:pPr>
        <w:shd w:val="clear"/>
        <w:adjustRightInd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5）灯具上盖含有合页与手拧螺丝，方便维护。上盖开通风孔，保证模组对流散热。</w:t>
      </w:r>
    </w:p>
    <w:p>
      <w:pPr>
        <w:shd w:val="clear"/>
        <w:adjustRightInd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6）灯具与固定构件（灯臂或其他固定件）连接应牢固。灯具应具有防坠落装置。</w:t>
      </w:r>
    </w:p>
    <w:p>
      <w:pPr>
        <w:shd w:val="clear"/>
        <w:adjustRightInd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7）投标灯具应通过耐振检测。</w:t>
      </w:r>
      <w:r>
        <w:rPr>
          <w:rFonts w:hint="eastAsia" w:ascii="宋体" w:hAnsi="宋体" w:cs="宋体"/>
          <w:color w:val="auto"/>
          <w:sz w:val="24"/>
          <w:highlight w:val="none"/>
          <w:lang w:eastAsia="zh-CN"/>
        </w:rPr>
        <w:t>（</w:t>
      </w:r>
      <w:r>
        <w:rPr>
          <w:rFonts w:hint="eastAsia" w:ascii="宋体" w:hAnsi="宋体" w:cs="宋体"/>
          <w:b w:val="0"/>
          <w:bCs w:val="0"/>
          <w:color w:val="auto"/>
          <w:sz w:val="24"/>
          <w:highlight w:val="none"/>
        </w:rPr>
        <w:t>提供检测报告</w:t>
      </w:r>
      <w:r>
        <w:rPr>
          <w:rFonts w:hint="eastAsia" w:ascii="宋体" w:hAnsi="宋体" w:cs="宋体"/>
          <w:color w:val="auto"/>
          <w:sz w:val="24"/>
          <w:highlight w:val="none"/>
          <w:lang w:eastAsia="zh-CN"/>
        </w:rPr>
        <w:t>）</w:t>
      </w:r>
    </w:p>
    <w:p>
      <w:pPr>
        <w:shd w:val="clear"/>
        <w:adjustRightInd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8）投标灯具提供</w:t>
      </w:r>
      <w:bookmarkStart w:id="54" w:name="_Hlk14295434"/>
      <w:r>
        <w:rPr>
          <w:rFonts w:hint="eastAsia" w:ascii="宋体" w:hAnsi="宋体" w:cs="宋体"/>
          <w:color w:val="auto"/>
          <w:sz w:val="24"/>
          <w:highlight w:val="none"/>
        </w:rPr>
        <w:t>灯具风压检测报告</w:t>
      </w:r>
      <w:bookmarkEnd w:id="54"/>
      <w:r>
        <w:rPr>
          <w:rFonts w:hint="eastAsia" w:ascii="宋体" w:hAnsi="宋体" w:cs="宋体"/>
          <w:color w:val="auto"/>
          <w:sz w:val="24"/>
          <w:highlight w:val="none"/>
        </w:rPr>
        <w:t>。</w:t>
      </w:r>
    </w:p>
    <w:p>
      <w:pPr>
        <w:shd w:val="clear"/>
        <w:adjustRightInd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9）投标灯具应通过结温检测</w:t>
      </w:r>
      <w:r>
        <w:rPr>
          <w:rFonts w:hint="eastAsia" w:ascii="宋体" w:hAnsi="宋体" w:cs="宋体"/>
          <w:color w:val="auto"/>
          <w:sz w:val="24"/>
          <w:highlight w:val="none"/>
          <w:lang w:eastAsia="zh-CN"/>
        </w:rPr>
        <w:t>。（</w:t>
      </w:r>
      <w:r>
        <w:rPr>
          <w:rFonts w:hint="eastAsia" w:ascii="宋体" w:hAnsi="宋体" w:cs="宋体"/>
          <w:b w:val="0"/>
          <w:bCs w:val="0"/>
          <w:color w:val="auto"/>
          <w:sz w:val="24"/>
          <w:highlight w:val="none"/>
        </w:rPr>
        <w:t>提供检测报告</w:t>
      </w:r>
      <w:r>
        <w:rPr>
          <w:rFonts w:hint="eastAsia" w:ascii="宋体" w:hAnsi="宋体" w:cs="宋体"/>
          <w:color w:val="auto"/>
          <w:sz w:val="24"/>
          <w:highlight w:val="none"/>
          <w:lang w:eastAsia="zh-CN"/>
        </w:rPr>
        <w:t>）</w:t>
      </w:r>
    </w:p>
    <w:p>
      <w:pPr>
        <w:shd w:val="clear"/>
        <w:adjustRightInd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10）投标灯具提供灯具道路模拟检测报告。（同款灯具提供任意一功率检测报告即可）</w:t>
      </w:r>
    </w:p>
    <w:p>
      <w:pPr>
        <w:shd w:val="clear"/>
        <w:adjustRightInd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11）投标灯具应通过的IP67防护等级检测。（同款灯具提供任意一功率检测报告即可）</w:t>
      </w:r>
    </w:p>
    <w:p>
      <w:pPr>
        <w:shd w:val="clear"/>
        <w:adjustRightInd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w:t>
      </w:r>
      <w:r>
        <w:rPr>
          <w:rFonts w:hint="eastAsia" w:ascii="宋体" w:hAnsi="宋体" w:cs="宋体"/>
          <w:color w:val="auto"/>
          <w:sz w:val="24"/>
          <w:highlight w:val="none"/>
          <w:lang w:val="en-US" w:eastAsia="zh-CN"/>
        </w:rPr>
        <w:t>6</w:t>
      </w:r>
      <w:r>
        <w:rPr>
          <w:rFonts w:hint="eastAsia" w:ascii="宋体" w:hAnsi="宋体" w:cs="宋体"/>
          <w:color w:val="auto"/>
          <w:sz w:val="24"/>
          <w:highlight w:val="none"/>
        </w:rPr>
        <w:t>）投标灯具应整灯形式经过防腐测试，达到WF2级。</w:t>
      </w:r>
      <w:r>
        <w:rPr>
          <w:rFonts w:hint="eastAsia" w:ascii="宋体" w:hAnsi="宋体" w:cs="宋体"/>
          <w:color w:val="auto"/>
          <w:sz w:val="24"/>
          <w:highlight w:val="none"/>
          <w:lang w:eastAsia="zh-CN"/>
        </w:rPr>
        <w:t>（</w:t>
      </w:r>
      <w:r>
        <w:rPr>
          <w:rFonts w:hint="eastAsia" w:ascii="宋体" w:hAnsi="宋体" w:cs="宋体"/>
          <w:b w:val="0"/>
          <w:bCs w:val="0"/>
          <w:color w:val="auto"/>
          <w:sz w:val="24"/>
          <w:highlight w:val="none"/>
        </w:rPr>
        <w:t>提供检测报告</w:t>
      </w:r>
      <w:r>
        <w:rPr>
          <w:rFonts w:hint="eastAsia" w:ascii="宋体" w:hAnsi="宋体" w:cs="宋体"/>
          <w:color w:val="auto"/>
          <w:sz w:val="24"/>
          <w:highlight w:val="none"/>
          <w:lang w:eastAsia="zh-CN"/>
        </w:rPr>
        <w:t>）</w:t>
      </w:r>
    </w:p>
    <w:p>
      <w:pPr>
        <w:shd w:val="clear"/>
        <w:adjustRightInd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w:t>
      </w:r>
      <w:r>
        <w:rPr>
          <w:rFonts w:hint="eastAsia" w:ascii="宋体" w:hAnsi="宋体" w:cs="宋体"/>
          <w:color w:val="auto"/>
          <w:sz w:val="24"/>
          <w:highlight w:val="none"/>
          <w:lang w:val="en-US" w:eastAsia="zh-CN"/>
        </w:rPr>
        <w:t>7</w:t>
      </w:r>
      <w:r>
        <w:rPr>
          <w:rFonts w:hint="eastAsia" w:ascii="宋体" w:hAnsi="宋体" w:cs="宋体"/>
          <w:color w:val="auto"/>
          <w:sz w:val="24"/>
          <w:highlight w:val="none"/>
        </w:rPr>
        <w:t>）灯具的光学性能应符合下列规定：</w:t>
      </w:r>
    </w:p>
    <w:p>
      <w:pPr>
        <w:shd w:val="clear"/>
        <w:adjustRightInd w:val="0"/>
        <w:snapToGrid w:val="0"/>
        <w:spacing w:line="360" w:lineRule="auto"/>
        <w:ind w:firstLine="480" w:firstLineChars="200"/>
        <w:rPr>
          <w:rFonts w:ascii="宋体" w:hAnsi="宋体" w:cs="宋体"/>
          <w:color w:val="auto"/>
          <w:sz w:val="24"/>
          <w:highlight w:val="none"/>
        </w:rPr>
      </w:pPr>
      <w:r>
        <w:rPr>
          <w:rFonts w:ascii="宋体" w:hAnsi="宋体" w:cs="宋体"/>
          <w:color w:val="auto"/>
          <w:sz w:val="24"/>
          <w:highlight w:val="none"/>
        </w:rPr>
        <w:t>1</w:t>
      </w:r>
      <w:r>
        <w:rPr>
          <w:rFonts w:hint="eastAsia" w:ascii="宋体" w:hAnsi="宋体" w:cs="宋体"/>
          <w:color w:val="auto"/>
          <w:sz w:val="24"/>
          <w:highlight w:val="none"/>
        </w:rPr>
        <w:t>）灯具光效≥160LM/W，色温4000K±200K，显色指数不应低于70。（同款灯具提供任意一功率检测报告即可）</w:t>
      </w:r>
    </w:p>
    <w:p>
      <w:pPr>
        <w:shd w:val="clear"/>
        <w:adjustRightInd w:val="0"/>
        <w:snapToGrid w:val="0"/>
        <w:spacing w:line="360" w:lineRule="auto"/>
        <w:ind w:firstLine="480" w:firstLineChars="200"/>
        <w:rPr>
          <w:rFonts w:ascii="宋体" w:hAnsi="宋体" w:cs="宋体"/>
          <w:color w:val="auto"/>
          <w:sz w:val="24"/>
          <w:highlight w:val="none"/>
        </w:rPr>
      </w:pPr>
      <w:r>
        <w:rPr>
          <w:rFonts w:ascii="宋体" w:hAnsi="宋体" w:cs="宋体"/>
          <w:color w:val="auto"/>
          <w:sz w:val="24"/>
          <w:highlight w:val="none"/>
        </w:rPr>
        <w:t>2</w:t>
      </w:r>
      <w:r>
        <w:rPr>
          <w:rFonts w:hint="eastAsia" w:ascii="宋体" w:hAnsi="宋体" w:cs="宋体"/>
          <w:color w:val="auto"/>
          <w:sz w:val="24"/>
          <w:highlight w:val="none"/>
        </w:rPr>
        <w:t>）灯具配光应采用等亮度配光设计，实际照射不得有明显暗区。</w:t>
      </w:r>
    </w:p>
    <w:p>
      <w:pPr>
        <w:shd w:val="clear"/>
        <w:adjustRightInd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w:t>
      </w:r>
      <w:r>
        <w:rPr>
          <w:rFonts w:hint="eastAsia" w:ascii="宋体" w:hAnsi="宋体" w:cs="宋体"/>
          <w:color w:val="auto"/>
          <w:sz w:val="24"/>
          <w:highlight w:val="none"/>
          <w:lang w:val="en-US" w:eastAsia="zh-CN"/>
        </w:rPr>
        <w:t>8</w:t>
      </w:r>
      <w:r>
        <w:rPr>
          <w:rFonts w:hint="eastAsia" w:ascii="宋体" w:hAnsi="宋体" w:cs="宋体"/>
          <w:color w:val="auto"/>
          <w:sz w:val="24"/>
          <w:highlight w:val="none"/>
        </w:rPr>
        <w:t>）灯具的电学性能应符合下列规定：</w:t>
      </w:r>
    </w:p>
    <w:p>
      <w:pPr>
        <w:shd w:val="clear"/>
        <w:adjustRightInd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lang w:val="en-US" w:eastAsia="zh-CN"/>
        </w:rPr>
        <w:t>1</w:t>
      </w:r>
      <w:r>
        <w:rPr>
          <w:rFonts w:hint="eastAsia" w:ascii="宋体" w:hAnsi="宋体" w:cs="宋体"/>
          <w:color w:val="auto"/>
          <w:sz w:val="24"/>
          <w:highlight w:val="none"/>
        </w:rPr>
        <w:t>）路灯灯具在电压90-264VAC 范围内应正常工作。</w:t>
      </w:r>
    </w:p>
    <w:p>
      <w:pPr>
        <w:shd w:val="clear"/>
        <w:adjustRightInd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lang w:val="en-US" w:eastAsia="zh-CN"/>
        </w:rPr>
        <w:t>2</w:t>
      </w:r>
      <w:r>
        <w:rPr>
          <w:rFonts w:hint="eastAsia" w:ascii="宋体" w:hAnsi="宋体" w:cs="宋体"/>
          <w:color w:val="auto"/>
          <w:sz w:val="24"/>
          <w:highlight w:val="none"/>
        </w:rPr>
        <w:t>）灯具在额定工作条件下的实测功率与标称功率的允许偏差为10%。</w:t>
      </w:r>
    </w:p>
    <w:p>
      <w:pPr>
        <w:shd w:val="clear"/>
        <w:adjustRightInd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lang w:val="en-US" w:eastAsia="zh-CN"/>
        </w:rPr>
        <w:t>3</w:t>
      </w:r>
      <w:r>
        <w:rPr>
          <w:rFonts w:hint="eastAsia" w:ascii="宋体" w:hAnsi="宋体" w:cs="宋体"/>
          <w:color w:val="auto"/>
          <w:sz w:val="24"/>
          <w:highlight w:val="none"/>
        </w:rPr>
        <w:t>）灯具的谐波电流应符合《电磁兼容限值 谐波电流发射限值（设备每相输入电流≤16A）》GB 17625.1中关于照明设备的规定。</w:t>
      </w:r>
    </w:p>
    <w:p>
      <w:pPr>
        <w:shd w:val="clear"/>
        <w:adjustRightInd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lang w:val="en-US" w:eastAsia="zh-CN"/>
        </w:rPr>
        <w:t>4</w:t>
      </w:r>
      <w:r>
        <w:rPr>
          <w:rFonts w:hint="eastAsia" w:ascii="宋体" w:hAnsi="宋体" w:cs="宋体"/>
          <w:color w:val="auto"/>
          <w:sz w:val="24"/>
          <w:highlight w:val="none"/>
        </w:rPr>
        <w:t>）灯具的无线电骚扰应符合《电气照明和类似设备的无线电骚扰特性的限值和测量方法》GB 17743的规定。</w:t>
      </w:r>
    </w:p>
    <w:p>
      <w:pPr>
        <w:shd w:val="clear"/>
        <w:adjustRightInd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lang w:val="en-US" w:eastAsia="zh-CN"/>
        </w:rPr>
        <w:t>5</w:t>
      </w:r>
      <w:r>
        <w:rPr>
          <w:rFonts w:hint="eastAsia" w:ascii="宋体" w:hAnsi="宋体" w:cs="宋体"/>
          <w:color w:val="auto"/>
          <w:sz w:val="24"/>
          <w:highlight w:val="none"/>
        </w:rPr>
        <w:t>）灯具的浪涌抗扰度应符合《一般照明用设备电磁兼容抗扰度要求》GB/T18595的规定。</w:t>
      </w:r>
    </w:p>
    <w:p>
      <w:pPr>
        <w:shd w:val="clear"/>
        <w:adjustRightInd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w:t>
      </w:r>
      <w:r>
        <w:rPr>
          <w:rFonts w:hint="eastAsia" w:ascii="宋体" w:hAnsi="宋体" w:cs="宋体"/>
          <w:color w:val="auto"/>
          <w:sz w:val="24"/>
          <w:highlight w:val="none"/>
          <w:lang w:val="en-US" w:eastAsia="zh-CN"/>
        </w:rPr>
        <w:t>9</w:t>
      </w:r>
      <w:r>
        <w:rPr>
          <w:rFonts w:hint="eastAsia" w:ascii="宋体" w:hAnsi="宋体" w:cs="宋体"/>
          <w:color w:val="auto"/>
          <w:sz w:val="24"/>
          <w:highlight w:val="none"/>
        </w:rPr>
        <w:t>）投标灯具尺寸应满足下图要求（±</w:t>
      </w:r>
      <w:r>
        <w:rPr>
          <w:rFonts w:hint="eastAsia" w:ascii="宋体" w:hAnsi="宋体" w:cs="宋体"/>
          <w:color w:val="auto"/>
          <w:sz w:val="24"/>
          <w:highlight w:val="none"/>
          <w:lang w:val="en-US" w:eastAsia="zh-CN"/>
        </w:rPr>
        <w:t>10</w:t>
      </w:r>
      <w:r>
        <w:rPr>
          <w:rFonts w:hint="eastAsia" w:ascii="宋体" w:hAnsi="宋体" w:cs="宋体"/>
          <w:color w:val="auto"/>
          <w:sz w:val="24"/>
          <w:highlight w:val="none"/>
        </w:rPr>
        <w:t>%）：</w:t>
      </w:r>
    </w:p>
    <w:p>
      <w:pPr>
        <w:pStyle w:val="9"/>
        <w:keepNext w:val="0"/>
        <w:keepLines w:val="0"/>
        <w:shd w:val="clear"/>
        <w:ind w:right="1310" w:rightChars="624"/>
        <w:jc w:val="center"/>
        <w:rPr>
          <w:rFonts w:ascii="宋体" w:hAnsi="宋体" w:cs="宋体"/>
          <w:color w:val="auto"/>
          <w:highlight w:val="none"/>
        </w:rPr>
      </w:pPr>
      <w:bookmarkStart w:id="55" w:name="_Toc19456"/>
      <w:r>
        <w:rPr>
          <w:rFonts w:hint="eastAsia" w:ascii="宋体" w:hAnsi="宋体" w:cs="宋体"/>
          <w:color w:val="auto"/>
          <w:highlight w:val="none"/>
        </w:rPr>
        <w:drawing>
          <wp:inline distT="0" distB="0" distL="114300" distR="114300">
            <wp:extent cx="3507105" cy="2178050"/>
            <wp:effectExtent l="0" t="0" r="17145" b="12700"/>
            <wp:docPr id="1" name="图片 1" descr="8f886bba85a74b2c803ae41185eced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8f886bba85a74b2c803ae41185eced5"/>
                    <pic:cNvPicPr>
                      <a:picLocks noChangeAspect="1"/>
                    </pic:cNvPicPr>
                  </pic:nvPicPr>
                  <pic:blipFill>
                    <a:blip r:embed="rId12"/>
                    <a:stretch>
                      <a:fillRect/>
                    </a:stretch>
                  </pic:blipFill>
                  <pic:spPr>
                    <a:xfrm>
                      <a:off x="0" y="0"/>
                      <a:ext cx="3507105" cy="2178050"/>
                    </a:xfrm>
                    <a:prstGeom prst="rect">
                      <a:avLst/>
                    </a:prstGeom>
                    <a:noFill/>
                    <a:ln>
                      <a:noFill/>
                    </a:ln>
                  </pic:spPr>
                </pic:pic>
              </a:graphicData>
            </a:graphic>
          </wp:inline>
        </w:drawing>
      </w:r>
      <w:bookmarkEnd w:id="55"/>
    </w:p>
    <w:p>
      <w:pPr>
        <w:pStyle w:val="18"/>
        <w:shd w:val="clear"/>
        <w:ind w:leftChars="-295" w:right="-638" w:rightChars="-304" w:hanging="619" w:hangingChars="295"/>
        <w:jc w:val="center"/>
        <w:rPr>
          <w:rFonts w:ascii="宋体" w:hAnsi="宋体" w:cs="宋体"/>
          <w:color w:val="auto"/>
          <w:highlight w:val="none"/>
        </w:rPr>
      </w:pPr>
    </w:p>
    <w:p>
      <w:pPr>
        <w:pStyle w:val="18"/>
        <w:shd w:val="clear"/>
        <w:ind w:right="-638" w:rightChars="-304" w:firstLine="0" w:firstLineChars="0"/>
        <w:jc w:val="both"/>
        <w:rPr>
          <w:rFonts w:ascii="宋体" w:hAnsi="宋体" w:cs="宋体"/>
          <w:color w:val="auto"/>
          <w:highlight w:val="none"/>
        </w:rPr>
      </w:pPr>
    </w:p>
    <w:p>
      <w:pPr>
        <w:pStyle w:val="18"/>
        <w:shd w:val="clear"/>
        <w:spacing w:line="240" w:lineRule="auto"/>
        <w:ind w:left="103" w:leftChars="49" w:right="-636" w:rightChars="-303" w:firstLine="1202" w:firstLineChars="501"/>
        <w:jc w:val="both"/>
        <w:rPr>
          <w:rFonts w:ascii="宋体" w:hAnsi="宋体" w:cs="宋体"/>
          <w:bCs/>
          <w:color w:val="auto"/>
          <w:sz w:val="24"/>
          <w:highlight w:val="none"/>
        </w:rPr>
      </w:pPr>
      <w:r>
        <w:rPr>
          <w:rFonts w:hint="eastAsia" w:ascii="宋体" w:hAnsi="宋体" w:cs="宋体"/>
          <w:bCs/>
          <w:color w:val="auto"/>
          <w:sz w:val="24"/>
          <w:highlight w:val="none"/>
        </w:rPr>
        <w:t>一模组灯具尺寸   二模组灯具尺寸     三模组灯具尺寸</w:t>
      </w:r>
    </w:p>
    <w:p>
      <w:pPr>
        <w:pStyle w:val="18"/>
        <w:shd w:val="clear"/>
        <w:spacing w:line="240" w:lineRule="auto"/>
        <w:ind w:leftChars="-295" w:right="-636" w:rightChars="-303" w:hanging="619" w:hangingChars="295"/>
        <w:jc w:val="center"/>
        <w:rPr>
          <w:rFonts w:ascii="宋体" w:hAnsi="宋体" w:cs="宋体"/>
          <w:bCs/>
          <w:color w:val="auto"/>
          <w:sz w:val="24"/>
          <w:highlight w:val="none"/>
        </w:rPr>
      </w:pPr>
      <w:r>
        <w:rPr>
          <w:rFonts w:hint="eastAsia" w:ascii="宋体" w:hAnsi="宋体" w:cs="宋体"/>
          <w:color w:val="auto"/>
          <w:highlight w:val="none"/>
        </w:rPr>
        <w:drawing>
          <wp:inline distT="0" distB="0" distL="114300" distR="114300">
            <wp:extent cx="1780540" cy="3553460"/>
            <wp:effectExtent l="0" t="0" r="10160" b="8890"/>
            <wp:docPr id="2" name="图片 2" descr="56d6b630f890070c833eeb8dc744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56d6b630f890070c833eeb8dc744587"/>
                    <pic:cNvPicPr>
                      <a:picLocks noChangeAspect="1"/>
                    </pic:cNvPicPr>
                  </pic:nvPicPr>
                  <pic:blipFill>
                    <a:blip r:embed="rId13"/>
                    <a:stretch>
                      <a:fillRect/>
                    </a:stretch>
                  </pic:blipFill>
                  <pic:spPr>
                    <a:xfrm>
                      <a:off x="0" y="0"/>
                      <a:ext cx="1780540" cy="3553460"/>
                    </a:xfrm>
                    <a:prstGeom prst="rect">
                      <a:avLst/>
                    </a:prstGeom>
                    <a:noFill/>
                    <a:ln>
                      <a:noFill/>
                    </a:ln>
                  </pic:spPr>
                </pic:pic>
              </a:graphicData>
            </a:graphic>
          </wp:inline>
        </w:drawing>
      </w:r>
      <w:r>
        <w:rPr>
          <w:rFonts w:hint="eastAsia" w:ascii="宋体" w:hAnsi="宋体" w:cs="宋体"/>
          <w:color w:val="auto"/>
          <w:highlight w:val="none"/>
        </w:rPr>
        <w:t xml:space="preserve">               </w:t>
      </w:r>
      <w:r>
        <w:rPr>
          <w:rFonts w:hint="eastAsia" w:ascii="宋体" w:hAnsi="宋体" w:cs="宋体"/>
          <w:bCs/>
          <w:color w:val="auto"/>
          <w:sz w:val="24"/>
          <w:highlight w:val="none"/>
        </w:rPr>
        <w:drawing>
          <wp:inline distT="0" distB="0" distL="114300" distR="114300">
            <wp:extent cx="1581785" cy="3419475"/>
            <wp:effectExtent l="0" t="0" r="18415" b="9525"/>
            <wp:docPr id="3" name="图片 3" descr="38d0246f138567946bc99b4150db26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38d0246f138567946bc99b4150db26d"/>
                    <pic:cNvPicPr>
                      <a:picLocks noChangeAspect="1"/>
                    </pic:cNvPicPr>
                  </pic:nvPicPr>
                  <pic:blipFill>
                    <a:blip r:embed="rId14"/>
                    <a:stretch>
                      <a:fillRect/>
                    </a:stretch>
                  </pic:blipFill>
                  <pic:spPr>
                    <a:xfrm>
                      <a:off x="0" y="0"/>
                      <a:ext cx="1581785" cy="3419475"/>
                    </a:xfrm>
                    <a:prstGeom prst="rect">
                      <a:avLst/>
                    </a:prstGeom>
                    <a:noFill/>
                    <a:ln>
                      <a:noFill/>
                    </a:ln>
                  </pic:spPr>
                </pic:pic>
              </a:graphicData>
            </a:graphic>
          </wp:inline>
        </w:drawing>
      </w:r>
    </w:p>
    <w:p>
      <w:pPr>
        <w:pStyle w:val="18"/>
        <w:shd w:val="clear"/>
        <w:spacing w:line="240" w:lineRule="auto"/>
        <w:ind w:left="89" w:leftChars="-295" w:right="-636" w:rightChars="-303" w:hanging="708" w:hangingChars="295"/>
        <w:rPr>
          <w:rFonts w:ascii="宋体" w:hAnsi="宋体" w:cs="宋体"/>
          <w:bCs/>
          <w:color w:val="auto"/>
          <w:sz w:val="24"/>
          <w:highlight w:val="none"/>
        </w:rPr>
      </w:pPr>
      <w:r>
        <w:rPr>
          <w:rFonts w:hint="eastAsia" w:ascii="宋体" w:hAnsi="宋体" w:cs="宋体"/>
          <w:bCs/>
          <w:color w:val="auto"/>
          <w:sz w:val="24"/>
          <w:highlight w:val="none"/>
        </w:rPr>
        <w:t xml:space="preserve">                 四模组灯具尺寸                          五模组灯具尺寸</w:t>
      </w:r>
    </w:p>
    <w:p>
      <w:pPr>
        <w:pStyle w:val="29"/>
        <w:shd w:val="clear"/>
        <w:spacing w:beforeAutospacing="0" w:afterAutospacing="0" w:line="23" w:lineRule="atLeast"/>
        <w:ind w:firstLine="560"/>
        <w:jc w:val="both"/>
        <w:rPr>
          <w:rFonts w:hint="default" w:cs="宋体"/>
          <w:color w:val="auto"/>
          <w:kern w:val="2"/>
          <w:sz w:val="28"/>
          <w:szCs w:val="28"/>
          <w:highlight w:val="none"/>
        </w:rPr>
      </w:pPr>
    </w:p>
    <w:p>
      <w:pPr>
        <w:pStyle w:val="29"/>
        <w:shd w:val="clear"/>
        <w:spacing w:beforeAutospacing="0" w:afterAutospacing="0" w:line="23" w:lineRule="atLeast"/>
        <w:ind w:firstLine="560"/>
        <w:jc w:val="both"/>
        <w:rPr>
          <w:rFonts w:hint="default" w:cs="宋体"/>
          <w:color w:val="auto"/>
          <w:highlight w:val="none"/>
        </w:rPr>
      </w:pPr>
      <w:r>
        <w:rPr>
          <w:rFonts w:cs="宋体"/>
          <w:color w:val="auto"/>
          <w:kern w:val="2"/>
          <w:sz w:val="28"/>
          <w:szCs w:val="28"/>
          <w:highlight w:val="none"/>
        </w:rPr>
        <w:t>灯具参考图片</w:t>
      </w:r>
    </w:p>
    <w:p>
      <w:pPr>
        <w:pStyle w:val="29"/>
        <w:shd w:val="clear"/>
        <w:spacing w:beforeAutospacing="0" w:afterAutospacing="0" w:line="23" w:lineRule="atLeast"/>
        <w:ind w:firstLine="480"/>
        <w:jc w:val="center"/>
        <w:rPr>
          <w:rFonts w:hint="default" w:cs="宋体"/>
          <w:color w:val="auto"/>
          <w:kern w:val="2"/>
          <w:sz w:val="28"/>
          <w:szCs w:val="28"/>
          <w:highlight w:val="none"/>
        </w:rPr>
      </w:pPr>
      <w:r>
        <w:rPr>
          <w:rFonts w:cs="宋体"/>
          <w:color w:val="auto"/>
          <w:highlight w:val="none"/>
        </w:rPr>
        <w:drawing>
          <wp:inline distT="0" distB="0" distL="114300" distR="114300">
            <wp:extent cx="3399155" cy="2343150"/>
            <wp:effectExtent l="0" t="0" r="10795" b="0"/>
            <wp:docPr id="4" name="图片 4" descr="2d4fbba80a3dd3446090f1ae6d10b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2d4fbba80a3dd3446090f1ae6d10bea"/>
                    <pic:cNvPicPr>
                      <a:picLocks noChangeAspect="1"/>
                    </pic:cNvPicPr>
                  </pic:nvPicPr>
                  <pic:blipFill>
                    <a:blip r:embed="rId15"/>
                    <a:stretch>
                      <a:fillRect/>
                    </a:stretch>
                  </pic:blipFill>
                  <pic:spPr>
                    <a:xfrm>
                      <a:off x="0" y="0"/>
                      <a:ext cx="3399155" cy="2343150"/>
                    </a:xfrm>
                    <a:prstGeom prst="rect">
                      <a:avLst/>
                    </a:prstGeom>
                    <a:noFill/>
                    <a:ln>
                      <a:noFill/>
                    </a:ln>
                  </pic:spPr>
                </pic:pic>
              </a:graphicData>
            </a:graphic>
          </wp:inline>
        </w:drawing>
      </w:r>
    </w:p>
    <w:p>
      <w:pPr>
        <w:pStyle w:val="29"/>
        <w:shd w:val="clear"/>
        <w:spacing w:beforeAutospacing="0" w:afterAutospacing="0" w:line="23" w:lineRule="atLeast"/>
        <w:jc w:val="both"/>
        <w:rPr>
          <w:rFonts w:hint="default" w:cs="宋体"/>
          <w:b/>
          <w:bCs/>
          <w:color w:val="auto"/>
          <w:sz w:val="28"/>
          <w:szCs w:val="28"/>
          <w:highlight w:val="none"/>
        </w:rPr>
      </w:pPr>
      <w:r>
        <w:rPr>
          <w:rFonts w:cs="宋体"/>
          <w:color w:val="auto"/>
          <w:kern w:val="2"/>
          <w:highlight w:val="none"/>
        </w:rPr>
        <w:t xml:space="preserve">        </w:t>
      </w:r>
    </w:p>
    <w:p>
      <w:pPr>
        <w:shd w:val="clear" w:color="auto"/>
        <w:adjustRightInd w:val="0"/>
        <w:snapToGrid w:val="0"/>
        <w:spacing w:line="360" w:lineRule="auto"/>
        <w:ind w:firstLine="482" w:firstLineChars="200"/>
        <w:rPr>
          <w:rFonts w:ascii="宋体" w:hAnsi="宋体" w:cs="宋体"/>
          <w:b/>
          <w:bCs/>
          <w:color w:val="auto"/>
          <w:sz w:val="24"/>
          <w:highlight w:val="none"/>
        </w:rPr>
      </w:pPr>
      <w:r>
        <w:rPr>
          <w:rFonts w:hint="eastAsia" w:ascii="宋体" w:hAnsi="宋体" w:cs="宋体"/>
          <w:b/>
          <w:bCs/>
          <w:color w:val="auto"/>
          <w:sz w:val="24"/>
          <w:highlight w:val="none"/>
        </w:rPr>
        <w:t>3、LED</w:t>
      </w:r>
      <w:r>
        <w:rPr>
          <w:rFonts w:hint="eastAsia" w:ascii="宋体" w:hAnsi="宋体" w:cs="宋体"/>
          <w:b/>
          <w:bCs/>
          <w:color w:val="auto"/>
          <w:sz w:val="24"/>
          <w:highlight w:val="none"/>
          <w:lang w:val="en-US" w:eastAsia="zh-CN"/>
        </w:rPr>
        <w:t>灯头</w:t>
      </w:r>
      <w:r>
        <w:rPr>
          <w:rFonts w:hint="eastAsia" w:ascii="宋体" w:hAnsi="宋体" w:cs="宋体"/>
          <w:b/>
          <w:bCs/>
          <w:color w:val="auto"/>
          <w:sz w:val="24"/>
          <w:highlight w:val="none"/>
        </w:rPr>
        <w:t>模组的要求</w:t>
      </w:r>
    </w:p>
    <w:p>
      <w:pPr>
        <w:shd w:val="clear"/>
        <w:adjustRightInd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w:t>
      </w:r>
      <w:r>
        <w:rPr>
          <w:rFonts w:hint="eastAsia" w:ascii="宋体" w:hAnsi="宋体" w:cs="宋体"/>
          <w:sz w:val="24"/>
          <w:lang w:val="en-US" w:eastAsia="zh-CN"/>
        </w:rPr>
        <w:t>灯具所采用LED模组</w:t>
      </w:r>
      <w:r>
        <w:rPr>
          <w:rFonts w:hint="eastAsia" w:ascii="宋体" w:hAnsi="宋体" w:cs="宋体"/>
          <w:color w:val="auto"/>
          <w:sz w:val="24"/>
          <w:highlight w:val="none"/>
        </w:rPr>
        <w:t>通过CQC认</w:t>
      </w:r>
      <w:r>
        <w:rPr>
          <w:rFonts w:hint="eastAsia" w:ascii="宋体" w:hAnsi="宋体" w:cs="宋体"/>
          <w:b w:val="0"/>
          <w:bCs w:val="0"/>
          <w:color w:val="auto"/>
          <w:sz w:val="24"/>
          <w:highlight w:val="none"/>
        </w:rPr>
        <w:t>证。提供扫描件或复印件并加盖公章</w:t>
      </w:r>
    </w:p>
    <w:p>
      <w:pPr>
        <w:shd w:val="clear"/>
        <w:adjustRightInd w:val="0"/>
        <w:snapToGrid w:val="0"/>
        <w:spacing w:line="360" w:lineRule="auto"/>
        <w:ind w:firstLine="480" w:firstLineChars="200"/>
        <w:rPr>
          <w:rFonts w:hint="eastAsia" w:ascii="宋体" w:hAnsi="宋体" w:cs="宋体"/>
          <w:color w:val="auto"/>
          <w:sz w:val="24"/>
          <w:highlight w:val="none"/>
        </w:rPr>
      </w:pPr>
      <w:bookmarkStart w:id="56" w:name="bookmark6"/>
      <w:bookmarkEnd w:id="56"/>
      <w:bookmarkStart w:id="57" w:name="bookmark7"/>
      <w:bookmarkEnd w:id="57"/>
      <w:r>
        <w:rPr>
          <w:rFonts w:hint="eastAsia" w:ascii="宋体" w:hAnsi="宋体" w:cs="宋体"/>
          <w:color w:val="auto"/>
          <w:sz w:val="24"/>
          <w:highlight w:val="none"/>
        </w:rPr>
        <w:t>（2）</w:t>
      </w:r>
      <w:r>
        <w:rPr>
          <w:rFonts w:hint="eastAsia" w:ascii="宋体" w:hAnsi="宋体" w:cs="宋体"/>
          <w:sz w:val="24"/>
          <w:lang w:val="en-US" w:eastAsia="zh-CN"/>
        </w:rPr>
        <w:t>灯具所采用LED模组</w:t>
      </w:r>
      <w:r>
        <w:rPr>
          <w:rFonts w:hint="eastAsia" w:ascii="宋体" w:hAnsi="宋体" w:cs="宋体"/>
          <w:color w:val="auto"/>
          <w:sz w:val="24"/>
          <w:highlight w:val="none"/>
        </w:rPr>
        <w:t>应通过盐雾测试，测试时间不少于</w:t>
      </w:r>
      <w:r>
        <w:rPr>
          <w:rFonts w:hint="eastAsia" w:ascii="宋体" w:hAnsi="宋体" w:cs="宋体"/>
          <w:color w:val="auto"/>
          <w:sz w:val="24"/>
          <w:highlight w:val="none"/>
          <w:lang w:val="en-US" w:eastAsia="zh-CN"/>
        </w:rPr>
        <w:t>800</w:t>
      </w:r>
      <w:r>
        <w:rPr>
          <w:rFonts w:hint="eastAsia" w:ascii="宋体" w:hAnsi="宋体" w:cs="宋体"/>
          <w:color w:val="auto"/>
          <w:sz w:val="24"/>
          <w:highlight w:val="none"/>
        </w:rPr>
        <w:t>小时。</w:t>
      </w:r>
      <w:r>
        <w:rPr>
          <w:rFonts w:hint="eastAsia" w:ascii="宋体" w:hAnsi="宋体" w:cs="宋体"/>
          <w:color w:val="auto"/>
          <w:sz w:val="24"/>
          <w:highlight w:val="none"/>
          <w:lang w:eastAsia="zh-CN"/>
        </w:rPr>
        <w:t>（</w:t>
      </w:r>
      <w:r>
        <w:rPr>
          <w:rFonts w:hint="eastAsia" w:ascii="宋体" w:hAnsi="宋体" w:cs="宋体"/>
          <w:b w:val="0"/>
          <w:bCs w:val="0"/>
          <w:color w:val="auto"/>
          <w:sz w:val="24"/>
          <w:highlight w:val="none"/>
        </w:rPr>
        <w:t>提供检测报告</w:t>
      </w:r>
      <w:r>
        <w:rPr>
          <w:rFonts w:hint="eastAsia" w:ascii="宋体" w:hAnsi="宋体" w:cs="宋体"/>
          <w:color w:val="auto"/>
          <w:sz w:val="24"/>
          <w:highlight w:val="none"/>
          <w:lang w:eastAsia="zh-CN"/>
        </w:rPr>
        <w:t>）</w:t>
      </w:r>
    </w:p>
    <w:p>
      <w:pPr>
        <w:shd w:val="clear"/>
        <w:adjustRightInd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（3）灯具所采用LED模组应通过的IP68防护等级检测</w:t>
      </w:r>
      <w:r>
        <w:rPr>
          <w:rFonts w:hint="eastAsia" w:ascii="宋体" w:hAnsi="宋体" w:cs="宋体"/>
          <w:color w:val="auto"/>
          <w:sz w:val="24"/>
          <w:highlight w:val="none"/>
          <w:lang w:eastAsia="zh-CN"/>
        </w:rPr>
        <w:t>。</w:t>
      </w:r>
      <w:r>
        <w:rPr>
          <w:rFonts w:hint="eastAsia" w:ascii="宋体" w:hAnsi="宋体" w:cs="宋体"/>
          <w:color w:val="auto"/>
          <w:sz w:val="24"/>
          <w:highlight w:val="none"/>
        </w:rPr>
        <w:t>（同款灯具提供任意一功率检测报告即可）</w:t>
      </w:r>
    </w:p>
    <w:p>
      <w:pPr>
        <w:shd w:val="clear"/>
        <w:adjustRightInd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w:t>
      </w:r>
      <w:r>
        <w:rPr>
          <w:rFonts w:hint="eastAsia" w:ascii="宋体" w:hAnsi="宋体" w:cs="宋体"/>
          <w:sz w:val="24"/>
          <w:lang w:val="en-US" w:eastAsia="zh-CN"/>
        </w:rPr>
        <w:t>灯具所采用LED模组</w:t>
      </w:r>
      <w:r>
        <w:rPr>
          <w:rFonts w:hint="eastAsia" w:ascii="宋体" w:hAnsi="宋体" w:cs="宋体"/>
          <w:color w:val="auto"/>
          <w:sz w:val="24"/>
          <w:highlight w:val="none"/>
        </w:rPr>
        <w:t>的塑料透光罩通过紫外老化检测，测试时间不少于200小时。</w:t>
      </w:r>
      <w:r>
        <w:rPr>
          <w:rFonts w:hint="eastAsia" w:ascii="宋体" w:hAnsi="宋体" w:cs="宋体"/>
          <w:color w:val="auto"/>
          <w:sz w:val="24"/>
          <w:highlight w:val="none"/>
          <w:lang w:eastAsia="zh-CN"/>
        </w:rPr>
        <w:t>（</w:t>
      </w:r>
      <w:r>
        <w:rPr>
          <w:rFonts w:hint="eastAsia" w:ascii="宋体" w:hAnsi="宋体" w:cs="宋体"/>
          <w:b w:val="0"/>
          <w:bCs w:val="0"/>
          <w:color w:val="auto"/>
          <w:sz w:val="24"/>
          <w:highlight w:val="none"/>
        </w:rPr>
        <w:t>提供检测报告</w:t>
      </w:r>
      <w:r>
        <w:rPr>
          <w:rFonts w:hint="eastAsia" w:ascii="宋体" w:hAnsi="宋体" w:cs="宋体"/>
          <w:color w:val="auto"/>
          <w:sz w:val="24"/>
          <w:highlight w:val="none"/>
          <w:lang w:eastAsia="zh-CN"/>
        </w:rPr>
        <w:t>）</w:t>
      </w:r>
    </w:p>
    <w:p>
      <w:pPr>
        <w:shd w:val="clear"/>
        <w:adjustRightInd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（5）灯具所采用LED模组通过1000小时双85（温度85℃ 湿度85%）恒定湿热试验。</w:t>
      </w:r>
      <w:r>
        <w:rPr>
          <w:rFonts w:hint="eastAsia" w:ascii="宋体" w:hAnsi="宋体" w:cs="宋体"/>
          <w:color w:val="auto"/>
          <w:sz w:val="24"/>
          <w:highlight w:val="none"/>
          <w:lang w:eastAsia="zh-CN"/>
        </w:rPr>
        <w:t>（</w:t>
      </w:r>
      <w:r>
        <w:rPr>
          <w:rFonts w:hint="eastAsia" w:ascii="宋体" w:hAnsi="宋体" w:cs="宋体"/>
          <w:b w:val="0"/>
          <w:bCs w:val="0"/>
          <w:color w:val="auto"/>
          <w:sz w:val="24"/>
          <w:highlight w:val="none"/>
        </w:rPr>
        <w:t>提供检测报告</w:t>
      </w:r>
      <w:r>
        <w:rPr>
          <w:rFonts w:hint="eastAsia" w:ascii="宋体" w:hAnsi="宋体" w:cs="宋体"/>
          <w:color w:val="auto"/>
          <w:sz w:val="24"/>
          <w:highlight w:val="none"/>
          <w:lang w:eastAsia="zh-CN"/>
        </w:rPr>
        <w:t>）</w:t>
      </w:r>
    </w:p>
    <w:p>
      <w:pPr>
        <w:shd w:val="clear"/>
        <w:adjustRightInd w:val="0"/>
        <w:snapToGrid w:val="0"/>
        <w:spacing w:line="360" w:lineRule="auto"/>
        <w:ind w:firstLine="480" w:firstLineChars="200"/>
        <w:rPr>
          <w:rFonts w:hint="eastAsia" w:ascii="宋体" w:hAnsi="宋体" w:cs="宋体"/>
          <w:b/>
          <w:bCs/>
          <w:color w:val="auto"/>
          <w:sz w:val="24"/>
          <w:highlight w:val="none"/>
        </w:rPr>
      </w:pPr>
      <w:r>
        <w:rPr>
          <w:rFonts w:hint="eastAsia" w:ascii="宋体" w:hAnsi="宋体" w:cs="宋体"/>
          <w:color w:val="auto"/>
          <w:sz w:val="24"/>
          <w:highlight w:val="none"/>
        </w:rPr>
        <w:t>（6）</w:t>
      </w:r>
      <w:r>
        <w:rPr>
          <w:rFonts w:hint="eastAsia" w:ascii="宋体" w:hAnsi="宋体" w:cs="宋体"/>
          <w:sz w:val="24"/>
          <w:lang w:val="en-US" w:eastAsia="zh-CN"/>
        </w:rPr>
        <w:t>灯具所采用LED模组</w:t>
      </w:r>
      <w:r>
        <w:rPr>
          <w:rFonts w:hint="eastAsia" w:ascii="宋体" w:hAnsi="宋体" w:cs="宋体"/>
          <w:color w:val="auto"/>
          <w:sz w:val="24"/>
          <w:highlight w:val="none"/>
        </w:rPr>
        <w:t>光效≥205Lm/W，色温4000K±200K，显色指数不应低于70。</w:t>
      </w:r>
      <w:r>
        <w:rPr>
          <w:rFonts w:hint="eastAsia" w:ascii="宋体" w:hAnsi="宋体" w:cs="宋体"/>
          <w:color w:val="auto"/>
          <w:sz w:val="24"/>
          <w:highlight w:val="none"/>
          <w:lang w:eastAsia="zh-CN"/>
        </w:rPr>
        <w:t>（</w:t>
      </w:r>
      <w:r>
        <w:rPr>
          <w:rFonts w:hint="eastAsia" w:ascii="宋体" w:hAnsi="宋体" w:cs="宋体"/>
          <w:b w:val="0"/>
          <w:bCs w:val="0"/>
          <w:color w:val="auto"/>
          <w:sz w:val="24"/>
          <w:highlight w:val="none"/>
        </w:rPr>
        <w:t>提供检测报告</w:t>
      </w:r>
      <w:r>
        <w:rPr>
          <w:rFonts w:hint="eastAsia" w:ascii="宋体" w:hAnsi="宋体" w:cs="宋体"/>
          <w:color w:val="auto"/>
          <w:sz w:val="24"/>
          <w:highlight w:val="none"/>
          <w:lang w:eastAsia="zh-CN"/>
        </w:rPr>
        <w:t>）</w:t>
      </w:r>
    </w:p>
    <w:p>
      <w:pPr>
        <w:pStyle w:val="5"/>
        <w:keepNext/>
        <w:keepLines/>
        <w:pageBreakBefore w:val="0"/>
        <w:widowControl w:val="0"/>
        <w:shd w:val="clear"/>
        <w:kinsoku/>
        <w:wordWrap/>
        <w:overflowPunct/>
        <w:topLinePunct w:val="0"/>
        <w:autoSpaceDE/>
        <w:autoSpaceDN/>
        <w:bidi w:val="0"/>
        <w:adjustRightInd/>
        <w:snapToGrid w:val="0"/>
        <w:spacing w:before="0" w:after="0" w:line="360" w:lineRule="auto"/>
        <w:ind w:firstLine="480" w:firstLineChars="200"/>
        <w:textAlignment w:val="auto"/>
        <w:rPr>
          <w:rFonts w:hint="eastAsia" w:ascii="宋体" w:hAnsi="宋体" w:eastAsia="宋体" w:cs="宋体"/>
          <w:b w:val="0"/>
          <w:bCs w:val="0"/>
          <w:color w:val="auto"/>
          <w:kern w:val="2"/>
          <w:sz w:val="24"/>
          <w:szCs w:val="24"/>
          <w:highlight w:val="none"/>
          <w:lang w:val="en-US" w:eastAsia="zh-CN" w:bidi="ar-SA"/>
        </w:rPr>
      </w:pPr>
      <w:bookmarkStart w:id="58" w:name="_Toc672"/>
      <w:r>
        <w:rPr>
          <w:rFonts w:hint="eastAsia" w:ascii="宋体" w:hAnsi="宋体" w:eastAsia="宋体" w:cs="宋体"/>
          <w:b w:val="0"/>
          <w:bCs w:val="0"/>
          <w:color w:val="auto"/>
          <w:kern w:val="2"/>
          <w:sz w:val="24"/>
          <w:szCs w:val="24"/>
          <w:highlight w:val="none"/>
          <w:lang w:val="en-US" w:eastAsia="zh-CN" w:bidi="ar-SA"/>
        </w:rPr>
        <w:t>（7）</w:t>
      </w:r>
      <w:r>
        <w:rPr>
          <w:rFonts w:hint="eastAsia" w:ascii="宋体" w:hAnsi="宋体" w:cs="宋体"/>
          <w:b w:val="0"/>
          <w:bCs w:val="0"/>
          <w:sz w:val="24"/>
          <w:lang w:val="en-US" w:eastAsia="zh-CN"/>
        </w:rPr>
        <w:t>灯具所采用LED模组</w:t>
      </w:r>
      <w:r>
        <w:rPr>
          <w:rFonts w:hint="eastAsia" w:ascii="宋体" w:hAnsi="宋体" w:eastAsia="宋体" w:cs="宋体"/>
          <w:b w:val="0"/>
          <w:bCs w:val="0"/>
          <w:color w:val="auto"/>
          <w:kern w:val="2"/>
          <w:sz w:val="24"/>
          <w:szCs w:val="24"/>
          <w:highlight w:val="none"/>
          <w:lang w:val="en-US" w:eastAsia="zh-CN" w:bidi="ar-SA"/>
        </w:rPr>
        <w:t>尺寸及安装接口符合《GB∕T 34846-2017 LED道路隧道照明专用模块规格和接口技术要求》，为了安装方便，电气输入采用左侧出线方式（光源发光面向下放置）。</w:t>
      </w:r>
      <w:bookmarkEnd w:id="58"/>
    </w:p>
    <w:p>
      <w:pPr>
        <w:shd w:val="clear"/>
        <w:spacing w:line="360" w:lineRule="auto"/>
        <w:rPr>
          <w:rFonts w:ascii="宋体" w:hAnsi="宋体" w:cs="宋体"/>
          <w:b/>
          <w:color w:val="auto"/>
          <w:sz w:val="24"/>
          <w:highlight w:val="none"/>
        </w:rPr>
      </w:pPr>
      <w:r>
        <w:rPr>
          <w:rFonts w:hint="eastAsia" w:ascii="宋体" w:hAnsi="宋体" w:cs="宋体"/>
          <w:b/>
          <w:color w:val="auto"/>
          <w:kern w:val="0"/>
          <w:sz w:val="24"/>
          <w:highlight w:val="none"/>
        </w:rPr>
        <w:t>注：以上灯样仅供参考，提供样灯需与廿三里现有道路路灯建设的式样相协调，</w:t>
      </w:r>
      <w:r>
        <w:rPr>
          <w:rFonts w:hint="eastAsia" w:ascii="宋体" w:hAnsi="宋体" w:cs="宋体"/>
          <w:b/>
          <w:color w:val="auto"/>
          <w:sz w:val="24"/>
          <w:highlight w:val="none"/>
        </w:rPr>
        <w:t>其中尺寸允许偏差</w:t>
      </w:r>
      <w:r>
        <w:rPr>
          <w:rFonts w:hint="eastAsia" w:ascii="宋体" w:hAnsi="宋体" w:cs="宋体"/>
          <w:b/>
          <w:color w:val="auto"/>
          <w:sz w:val="24"/>
          <w:highlight w:val="none"/>
          <w:lang w:val="en-US" w:eastAsia="zh-CN"/>
        </w:rPr>
        <w:t>±10</w:t>
      </w:r>
      <w:r>
        <w:rPr>
          <w:rFonts w:hint="eastAsia" w:ascii="宋体" w:hAnsi="宋体" w:cs="宋体"/>
          <w:b/>
          <w:color w:val="auto"/>
          <w:sz w:val="24"/>
          <w:highlight w:val="none"/>
        </w:rPr>
        <w:t>%以内，整灯重量允许偏差</w:t>
      </w:r>
      <w:r>
        <w:rPr>
          <w:rFonts w:hint="eastAsia" w:ascii="宋体" w:hAnsi="宋体" w:cs="宋体"/>
          <w:b/>
          <w:color w:val="auto"/>
          <w:sz w:val="24"/>
          <w:highlight w:val="none"/>
          <w:lang w:val="en-US" w:eastAsia="zh-CN"/>
        </w:rPr>
        <w:t>±</w:t>
      </w:r>
      <w:r>
        <w:rPr>
          <w:rFonts w:hint="eastAsia" w:ascii="宋体" w:hAnsi="宋体" w:cs="宋体"/>
          <w:b/>
          <w:color w:val="auto"/>
          <w:sz w:val="24"/>
          <w:highlight w:val="none"/>
        </w:rPr>
        <w:t>10%以内。</w:t>
      </w:r>
    </w:p>
    <w:p>
      <w:pPr>
        <w:shd w:val="clear" w:color="auto"/>
        <w:adjustRightInd w:val="0"/>
        <w:snapToGrid w:val="0"/>
        <w:spacing w:line="360" w:lineRule="auto"/>
        <w:ind w:firstLine="482" w:firstLineChars="200"/>
        <w:rPr>
          <w:rFonts w:ascii="宋体" w:hAnsi="宋体" w:cs="宋体"/>
          <w:b/>
          <w:bCs/>
          <w:color w:val="auto"/>
          <w:sz w:val="24"/>
          <w:highlight w:val="none"/>
        </w:rPr>
      </w:pPr>
      <w:r>
        <w:rPr>
          <w:rFonts w:hint="eastAsia" w:ascii="宋体" w:hAnsi="宋体" w:cs="宋体"/>
          <w:b/>
          <w:bCs/>
          <w:color w:val="auto"/>
          <w:sz w:val="24"/>
          <w:highlight w:val="none"/>
        </w:rPr>
        <w:t>4.单灯控制器要求</w:t>
      </w:r>
    </w:p>
    <w:p>
      <w:pPr>
        <w:shd w:val="clear"/>
        <w:adjustRightInd w:val="0"/>
        <w:snapToGrid w:val="0"/>
        <w:spacing w:line="360" w:lineRule="auto"/>
        <w:ind w:firstLine="480" w:firstLineChars="200"/>
        <w:rPr>
          <w:rFonts w:hint="default" w:ascii="宋体" w:hAnsi="宋体" w:eastAsia="宋体" w:cs="宋体"/>
          <w:color w:val="auto"/>
          <w:sz w:val="24"/>
          <w:highlight w:val="none"/>
          <w:lang w:val="en-US" w:eastAsia="zh-CN"/>
        </w:rPr>
      </w:pPr>
      <w:r>
        <w:rPr>
          <w:rFonts w:hint="eastAsia" w:ascii="宋体" w:hAnsi="宋体" w:cs="宋体"/>
          <w:color w:val="auto"/>
          <w:sz w:val="24"/>
          <w:highlight w:val="none"/>
        </w:rPr>
        <w:t>（1）控制器具备LoRa和Cat.1两种通讯接口，支持通用LoRaWAN协议和私有协议，也可直接部署于LTE网络，可满足多种复杂网络环境</w:t>
      </w:r>
      <w:r>
        <w:rPr>
          <w:rFonts w:hint="eastAsia" w:ascii="宋体" w:hAnsi="宋体" w:cs="宋体"/>
          <w:color w:val="auto"/>
          <w:sz w:val="24"/>
          <w:highlight w:val="none"/>
          <w:lang w:eastAsia="zh-CN"/>
        </w:rPr>
        <w:t>；</w:t>
      </w:r>
      <w:r>
        <w:rPr>
          <w:rFonts w:hint="eastAsia" w:ascii="宋体" w:hAnsi="宋体" w:cs="宋体"/>
          <w:color w:val="auto"/>
          <w:sz w:val="24"/>
          <w:highlight w:val="none"/>
          <w:lang w:val="en-US" w:eastAsia="zh-CN"/>
        </w:rPr>
        <w:t>提供第三方检测报告扫描件或复印件并加盖公章。</w:t>
      </w:r>
    </w:p>
    <w:p>
      <w:pPr>
        <w:shd w:val="clear"/>
        <w:adjustRightInd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（2）控制器具备边缘计算能力,设备具有边缘计算芯片，支持接收外部输入的边缘计算命令（远程平台），支持将边缘计算结果输出；</w:t>
      </w:r>
      <w:r>
        <w:rPr>
          <w:rFonts w:hint="eastAsia" w:ascii="宋体" w:hAnsi="宋体" w:cs="宋体"/>
          <w:color w:val="auto"/>
          <w:sz w:val="24"/>
          <w:highlight w:val="none"/>
          <w:lang w:val="en-US" w:eastAsia="zh-CN"/>
        </w:rPr>
        <w:t>提供第三方检测报告扫描件或复印件并加盖公章。</w:t>
      </w:r>
    </w:p>
    <w:p>
      <w:pPr>
        <w:shd w:val="clear"/>
        <w:adjustRightInd w:val="0"/>
        <w:snapToGrid w:val="0"/>
        <w:spacing w:line="360" w:lineRule="auto"/>
        <w:ind w:firstLine="480" w:firstLineChars="200"/>
        <w:rPr>
          <w:rFonts w:hint="eastAsia" w:ascii="宋体" w:hAnsi="宋体" w:eastAsia="宋体" w:cs="宋体"/>
          <w:color w:val="auto"/>
          <w:sz w:val="24"/>
          <w:highlight w:val="none"/>
          <w:lang w:eastAsia="zh-CN"/>
        </w:rPr>
      </w:pPr>
      <w:r>
        <w:rPr>
          <w:rFonts w:hint="eastAsia" w:ascii="宋体" w:hAnsi="宋体" w:cs="宋体"/>
          <w:color w:val="auto"/>
          <w:sz w:val="24"/>
          <w:highlight w:val="none"/>
        </w:rPr>
        <w:t>（3）控制器具备基于时敏网络的高精度同步调光,控制器具备时敏网络协议控制芯片，支持多个控制器输出毫秒级时间同步信息</w:t>
      </w:r>
      <w:r>
        <w:rPr>
          <w:rFonts w:hint="eastAsia" w:ascii="宋体" w:hAnsi="宋体" w:cs="宋体"/>
          <w:color w:val="auto"/>
          <w:sz w:val="24"/>
          <w:highlight w:val="none"/>
          <w:lang w:eastAsia="zh-CN"/>
        </w:rPr>
        <w:t>；</w:t>
      </w:r>
      <w:r>
        <w:rPr>
          <w:rFonts w:hint="eastAsia" w:ascii="宋体" w:hAnsi="宋体" w:cs="宋体"/>
          <w:color w:val="auto"/>
          <w:sz w:val="24"/>
          <w:highlight w:val="none"/>
          <w:lang w:val="en-US" w:eastAsia="zh-CN"/>
        </w:rPr>
        <w:t>提供第三方检测报告扫描件或复印件并加盖公章。</w:t>
      </w:r>
    </w:p>
    <w:p>
      <w:pPr>
        <w:shd w:val="clear"/>
        <w:adjustRightInd w:val="0"/>
        <w:snapToGrid w:val="0"/>
        <w:spacing w:line="360" w:lineRule="auto"/>
        <w:ind w:firstLine="480" w:firstLineChars="200"/>
        <w:rPr>
          <w:rFonts w:hint="eastAsia" w:ascii="宋体" w:hAnsi="宋体" w:eastAsia="宋体" w:cs="宋体"/>
          <w:color w:val="auto"/>
          <w:sz w:val="24"/>
          <w:highlight w:val="none"/>
          <w:lang w:eastAsia="zh-CN"/>
        </w:rPr>
      </w:pPr>
      <w:r>
        <w:rPr>
          <w:rFonts w:hint="eastAsia" w:ascii="宋体" w:hAnsi="宋体" w:cs="宋体"/>
          <w:color w:val="auto"/>
          <w:sz w:val="24"/>
          <w:highlight w:val="none"/>
        </w:rPr>
        <w:t>（4）控制器具备基于AI算法的多工业总线协议自动辨认机制,控制器具备协议辨认芯片，支持三种以上控制协议自动辨认能力</w:t>
      </w:r>
      <w:r>
        <w:rPr>
          <w:rFonts w:hint="eastAsia" w:ascii="宋体" w:hAnsi="宋体" w:cs="宋体"/>
          <w:color w:val="auto"/>
          <w:sz w:val="24"/>
          <w:highlight w:val="none"/>
          <w:lang w:eastAsia="zh-CN"/>
        </w:rPr>
        <w:t>；</w:t>
      </w:r>
      <w:r>
        <w:rPr>
          <w:rFonts w:hint="eastAsia" w:ascii="宋体" w:hAnsi="宋体" w:cs="宋体"/>
          <w:color w:val="auto"/>
          <w:sz w:val="24"/>
          <w:highlight w:val="none"/>
          <w:lang w:val="en-US" w:eastAsia="zh-CN"/>
        </w:rPr>
        <w:t>提供第三方检测报告扫描件或复印件并加盖公章。</w:t>
      </w:r>
    </w:p>
    <w:p>
      <w:pPr>
        <w:shd w:val="clear"/>
        <w:adjustRightInd w:val="0"/>
        <w:snapToGrid w:val="0"/>
        <w:spacing w:line="360" w:lineRule="auto"/>
        <w:ind w:firstLine="480" w:firstLineChars="200"/>
        <w:rPr>
          <w:rFonts w:hint="eastAsia" w:ascii="宋体" w:hAnsi="宋体" w:cs="宋体"/>
          <w:color w:val="auto"/>
          <w:sz w:val="24"/>
          <w:highlight w:val="none"/>
          <w:lang w:eastAsia="zh-CN"/>
        </w:rPr>
      </w:pPr>
      <w:r>
        <w:rPr>
          <w:rFonts w:hint="eastAsia" w:ascii="宋体" w:hAnsi="宋体" w:cs="宋体"/>
          <w:color w:val="auto"/>
          <w:sz w:val="24"/>
          <w:highlight w:val="none"/>
        </w:rPr>
        <w:t>（5）控制器具备独立485接口, 控制器具备485转换芯片，支持读取外部485传感器数据</w:t>
      </w:r>
      <w:r>
        <w:rPr>
          <w:rFonts w:hint="eastAsia" w:ascii="宋体" w:hAnsi="宋体" w:cs="宋体"/>
          <w:color w:val="auto"/>
          <w:sz w:val="24"/>
          <w:highlight w:val="none"/>
          <w:lang w:eastAsia="zh-CN"/>
        </w:rPr>
        <w:t>；</w:t>
      </w:r>
      <w:r>
        <w:rPr>
          <w:rFonts w:hint="eastAsia" w:ascii="宋体" w:hAnsi="宋体" w:cs="宋体"/>
          <w:color w:val="auto"/>
          <w:sz w:val="24"/>
          <w:highlight w:val="none"/>
          <w:lang w:val="en-US" w:eastAsia="zh-CN"/>
        </w:rPr>
        <w:t>提供第三方检测报告扫描件或复印件并加盖公章。</w:t>
      </w:r>
    </w:p>
    <w:p>
      <w:pPr>
        <w:shd w:val="clear"/>
        <w:adjustRightInd w:val="0"/>
        <w:snapToGrid w:val="0"/>
        <w:spacing w:line="360" w:lineRule="auto"/>
        <w:ind w:firstLine="480" w:firstLineChars="200"/>
        <w:rPr>
          <w:rFonts w:hint="eastAsia" w:ascii="宋体" w:hAnsi="宋体" w:eastAsia="宋体" w:cs="宋体"/>
          <w:color w:val="auto"/>
          <w:sz w:val="24"/>
          <w:highlight w:val="none"/>
          <w:lang w:eastAsia="zh-CN"/>
        </w:rPr>
      </w:pPr>
      <w:r>
        <w:rPr>
          <w:rFonts w:hint="eastAsia" w:ascii="宋体" w:hAnsi="宋体" w:cs="宋体"/>
          <w:color w:val="auto"/>
          <w:sz w:val="24"/>
          <w:highlight w:val="none"/>
        </w:rPr>
        <w:t>（6）控制器具备PWM调光和0-10V调光，适用于LED灯等灯具的调光和开关使用</w:t>
      </w:r>
      <w:r>
        <w:rPr>
          <w:rFonts w:hint="eastAsia" w:ascii="宋体" w:hAnsi="宋体" w:cs="宋体"/>
          <w:color w:val="auto"/>
          <w:sz w:val="24"/>
          <w:highlight w:val="none"/>
          <w:lang w:eastAsia="zh-CN"/>
        </w:rPr>
        <w:t>；</w:t>
      </w:r>
      <w:r>
        <w:rPr>
          <w:rFonts w:hint="eastAsia" w:ascii="宋体" w:hAnsi="宋体" w:cs="宋体"/>
          <w:color w:val="auto"/>
          <w:sz w:val="24"/>
          <w:highlight w:val="none"/>
          <w:lang w:val="en-US" w:eastAsia="zh-CN"/>
        </w:rPr>
        <w:t>提供第三方检测报告扫描件或复印件并加盖公章。</w:t>
      </w:r>
    </w:p>
    <w:p>
      <w:pPr>
        <w:shd w:val="clear"/>
        <w:adjustRightInd w:val="0"/>
        <w:snapToGrid w:val="0"/>
        <w:spacing w:line="360" w:lineRule="auto"/>
        <w:ind w:firstLine="480" w:firstLineChars="200"/>
        <w:rPr>
          <w:rFonts w:hint="eastAsia" w:ascii="宋体" w:hAnsi="宋体" w:cs="宋体"/>
          <w:color w:val="auto"/>
          <w:sz w:val="24"/>
          <w:highlight w:val="none"/>
          <w:lang w:val="en-US" w:eastAsia="zh-CN"/>
        </w:rPr>
      </w:pPr>
      <w:r>
        <w:rPr>
          <w:rFonts w:hint="eastAsia" w:ascii="宋体" w:hAnsi="宋体" w:cs="宋体"/>
          <w:color w:val="auto"/>
          <w:sz w:val="24"/>
          <w:highlight w:val="none"/>
        </w:rPr>
        <w:t>（7）控制器具备电流、电压、功率采集功能</w:t>
      </w:r>
      <w:r>
        <w:rPr>
          <w:rFonts w:hint="eastAsia" w:ascii="宋体" w:hAnsi="宋体" w:cs="宋体"/>
          <w:color w:val="auto"/>
          <w:sz w:val="24"/>
          <w:highlight w:val="none"/>
          <w:lang w:eastAsia="zh-CN"/>
        </w:rPr>
        <w:t>；</w:t>
      </w:r>
      <w:r>
        <w:rPr>
          <w:rFonts w:hint="eastAsia" w:ascii="宋体" w:hAnsi="宋体" w:cs="宋体"/>
          <w:color w:val="auto"/>
          <w:sz w:val="24"/>
          <w:highlight w:val="none"/>
          <w:lang w:val="en-US" w:eastAsia="zh-CN"/>
        </w:rPr>
        <w:t>提供第三方检测报告扫描件或复印件并加盖公章。</w:t>
      </w:r>
    </w:p>
    <w:p>
      <w:pPr>
        <w:shd w:val="clear"/>
        <w:adjustRightInd w:val="0"/>
        <w:snapToGrid w:val="0"/>
        <w:spacing w:line="360" w:lineRule="auto"/>
        <w:ind w:firstLine="480" w:firstLineChars="200"/>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（8）控制器接口开放，满足采购人数据整合的要求。</w:t>
      </w:r>
    </w:p>
    <w:p>
      <w:pPr>
        <w:adjustRightInd w:val="0"/>
        <w:snapToGrid w:val="0"/>
        <w:spacing w:line="360" w:lineRule="auto"/>
        <w:ind w:firstLine="482" w:firstLineChars="200"/>
        <w:rPr>
          <w:rFonts w:hint="eastAsia" w:ascii="宋体" w:hAnsi="宋体" w:cs="宋体"/>
          <w:b/>
          <w:bCs/>
          <w:color w:val="auto"/>
          <w:sz w:val="24"/>
          <w:highlight w:val="none"/>
          <w:lang w:val="en-US" w:eastAsia="zh-CN"/>
        </w:rPr>
      </w:pPr>
      <w:r>
        <w:rPr>
          <w:rFonts w:hint="eastAsia" w:ascii="宋体" w:hAnsi="宋体" w:cs="宋体"/>
          <w:b/>
          <w:bCs/>
          <w:color w:val="auto"/>
          <w:sz w:val="24"/>
          <w:highlight w:val="none"/>
          <w:lang w:val="en-US" w:eastAsia="zh-CN"/>
        </w:rPr>
        <w:t>5.可远程控制云平台功能要求</w:t>
      </w:r>
    </w:p>
    <w:p>
      <w:pPr>
        <w:keepNext w:val="0"/>
        <w:keepLines w:val="0"/>
        <w:widowControl/>
        <w:suppressLineNumbers w:val="0"/>
        <w:adjustRightInd w:val="0"/>
        <w:snapToGrid w:val="0"/>
        <w:spacing w:line="360" w:lineRule="auto"/>
        <w:ind w:firstLine="480" w:firstLineChars="200"/>
        <w:jc w:val="left"/>
        <w:rPr>
          <w:rFonts w:hint="eastAsia" w:ascii="宋体" w:hAnsi="宋体" w:cs="宋体"/>
          <w:color w:val="auto"/>
          <w:sz w:val="24"/>
          <w:highlight w:val="none"/>
        </w:rPr>
      </w:pPr>
      <w:r>
        <w:rPr>
          <w:rFonts w:hint="eastAsia" w:ascii="宋体" w:hAnsi="宋体" w:cs="宋体"/>
          <w:color w:val="auto"/>
          <w:sz w:val="24"/>
          <w:highlight w:val="none"/>
          <w:lang w:val="en-US" w:eastAsia="zh-CN"/>
        </w:rPr>
        <w:t>（1）</w:t>
      </w:r>
      <w:r>
        <w:rPr>
          <w:rFonts w:hint="eastAsia" w:ascii="宋体" w:hAnsi="宋体" w:eastAsia="宋体" w:cs="宋体"/>
          <w:color w:val="auto"/>
          <w:kern w:val="2"/>
          <w:sz w:val="24"/>
          <w:szCs w:val="24"/>
          <w:highlight w:val="none"/>
          <w:lang w:val="en-US" w:eastAsia="zh-CN" w:bidi="ar"/>
        </w:rPr>
        <w:t>实时显示路灯的离线在线、电流电压等状态信息，远程控制路灯的开关、调光，根据实际情况制定各种自动控制方式，实现无人化运行。</w:t>
      </w:r>
    </w:p>
    <w:p>
      <w:pPr>
        <w:keepNext w:val="0"/>
        <w:keepLines w:val="0"/>
        <w:widowControl/>
        <w:numPr>
          <w:ilvl w:val="-1"/>
          <w:numId w:val="0"/>
        </w:numPr>
        <w:suppressLineNumbers w:val="0"/>
        <w:adjustRightInd w:val="0"/>
        <w:snapToGrid w:val="0"/>
        <w:spacing w:line="360" w:lineRule="auto"/>
        <w:ind w:firstLine="480" w:firstLineChars="200"/>
        <w:jc w:val="left"/>
        <w:rPr>
          <w:rFonts w:hint="eastAsia" w:ascii="宋体" w:hAnsi="宋体" w:eastAsia="宋体" w:cs="宋体"/>
          <w:color w:val="auto"/>
          <w:kern w:val="2"/>
          <w:sz w:val="24"/>
          <w:szCs w:val="24"/>
          <w:highlight w:val="none"/>
          <w:lang w:val="en-US" w:eastAsia="zh-CN" w:bidi="ar"/>
        </w:rPr>
      </w:pPr>
      <w:r>
        <w:rPr>
          <w:rFonts w:hint="eastAsia" w:ascii="宋体" w:hAnsi="宋体" w:cs="宋体"/>
          <w:color w:val="auto"/>
          <w:kern w:val="2"/>
          <w:sz w:val="24"/>
          <w:szCs w:val="24"/>
          <w:highlight w:val="none"/>
          <w:lang w:val="en-US" w:eastAsia="zh-CN" w:bidi="ar"/>
        </w:rPr>
        <w:t>（2）</w:t>
      </w:r>
      <w:r>
        <w:rPr>
          <w:rFonts w:hint="eastAsia" w:ascii="宋体" w:hAnsi="宋体" w:eastAsia="宋体" w:cs="宋体"/>
          <w:color w:val="auto"/>
          <w:kern w:val="2"/>
          <w:sz w:val="24"/>
          <w:szCs w:val="24"/>
          <w:highlight w:val="none"/>
          <w:lang w:val="en-US" w:eastAsia="zh-CN" w:bidi="ar"/>
        </w:rPr>
        <w:t>结合环境监测系统和传感器采集系统实时收集气象数据，包括温度、湿度PM2.5、噪声等信息通过平台显示。</w:t>
      </w:r>
    </w:p>
    <w:p>
      <w:pPr>
        <w:keepNext w:val="0"/>
        <w:keepLines w:val="0"/>
        <w:widowControl/>
        <w:suppressLineNumbers w:val="0"/>
        <w:adjustRightInd w:val="0"/>
        <w:snapToGrid w:val="0"/>
        <w:spacing w:line="360" w:lineRule="auto"/>
        <w:ind w:firstLine="480" w:firstLineChars="200"/>
        <w:jc w:val="left"/>
        <w:rPr>
          <w:rFonts w:hint="eastAsia" w:ascii="宋体" w:hAnsi="宋体" w:eastAsia="宋体" w:cs="宋体"/>
          <w:color w:val="auto"/>
          <w:kern w:val="2"/>
          <w:sz w:val="24"/>
          <w:szCs w:val="24"/>
          <w:highlight w:val="none"/>
          <w:lang w:val="en-US" w:eastAsia="zh-CN" w:bidi="ar"/>
        </w:rPr>
      </w:pPr>
      <w:r>
        <w:rPr>
          <w:rFonts w:hint="eastAsia" w:ascii="宋体" w:hAnsi="宋体" w:cs="宋体"/>
          <w:color w:val="auto"/>
          <w:kern w:val="2"/>
          <w:sz w:val="24"/>
          <w:szCs w:val="24"/>
          <w:highlight w:val="none"/>
          <w:lang w:val="en-US" w:eastAsia="zh-CN" w:bidi="ar"/>
        </w:rPr>
        <w:t>（3）</w:t>
      </w:r>
      <w:r>
        <w:rPr>
          <w:rFonts w:hint="eastAsia" w:ascii="宋体" w:hAnsi="宋体" w:cs="宋体"/>
          <w:color w:val="auto"/>
          <w:sz w:val="24"/>
          <w:highlight w:val="none"/>
          <w:lang w:bidi="ar"/>
        </w:rPr>
        <w:t>路灯系统提供手动和手机远程自动控制两种方式</w:t>
      </w:r>
      <w:r>
        <w:rPr>
          <w:rFonts w:hint="eastAsia" w:ascii="宋体" w:hAnsi="宋体" w:eastAsia="宋体" w:cs="宋体"/>
          <w:color w:val="auto"/>
          <w:kern w:val="2"/>
          <w:sz w:val="24"/>
          <w:szCs w:val="24"/>
          <w:highlight w:val="none"/>
          <w:lang w:val="en-US" w:eastAsia="zh-CN" w:bidi="ar"/>
        </w:rPr>
        <w:t>。</w:t>
      </w:r>
    </w:p>
    <w:p>
      <w:pPr>
        <w:keepNext w:val="0"/>
        <w:keepLines w:val="0"/>
        <w:widowControl/>
        <w:suppressLineNumbers w:val="0"/>
        <w:adjustRightInd w:val="0"/>
        <w:snapToGrid w:val="0"/>
        <w:spacing w:line="360" w:lineRule="auto"/>
        <w:ind w:firstLine="480" w:firstLineChars="200"/>
        <w:jc w:val="left"/>
        <w:rPr>
          <w:rFonts w:hint="eastAsia" w:ascii="宋体" w:hAnsi="宋体" w:cs="宋体"/>
          <w:color w:val="auto"/>
          <w:sz w:val="24"/>
          <w:highlight w:val="none"/>
        </w:rPr>
      </w:pPr>
      <w:r>
        <w:rPr>
          <w:rFonts w:hint="eastAsia" w:ascii="宋体" w:hAnsi="宋体" w:cs="宋体"/>
          <w:color w:val="auto"/>
          <w:kern w:val="2"/>
          <w:sz w:val="24"/>
          <w:szCs w:val="24"/>
          <w:highlight w:val="none"/>
          <w:lang w:val="en-US" w:eastAsia="zh-CN" w:bidi="ar"/>
        </w:rPr>
        <w:t>（4）</w:t>
      </w:r>
      <w:r>
        <w:rPr>
          <w:rFonts w:hint="eastAsia" w:ascii="宋体" w:hAnsi="宋体" w:cs="宋体"/>
          <w:color w:val="auto"/>
          <w:sz w:val="24"/>
          <w:highlight w:val="none"/>
          <w:lang w:bidi="ar"/>
        </w:rPr>
        <w:t>要显示路灯设备的故障信息，无需维护人员经常现场巡查有无故障</w:t>
      </w:r>
      <w:r>
        <w:rPr>
          <w:rFonts w:hint="eastAsia" w:ascii="宋体" w:hAnsi="宋体" w:cs="宋体"/>
          <w:color w:val="auto"/>
          <w:sz w:val="24"/>
          <w:highlight w:val="none"/>
          <w:lang w:eastAsia="zh-CN" w:bidi="ar"/>
        </w:rPr>
        <w:t>。</w:t>
      </w:r>
    </w:p>
    <w:p>
      <w:pPr>
        <w:shd w:val="clear"/>
        <w:adjustRightInd w:val="0"/>
        <w:snapToGrid w:val="0"/>
        <w:spacing w:line="360" w:lineRule="auto"/>
        <w:ind w:firstLine="482" w:firstLineChars="200"/>
        <w:rPr>
          <w:rFonts w:ascii="宋体" w:hAnsi="宋体" w:cs="宋体"/>
          <w:b/>
          <w:bCs/>
          <w:color w:val="auto"/>
          <w:sz w:val="24"/>
          <w:highlight w:val="none"/>
        </w:rPr>
      </w:pPr>
      <w:r>
        <w:rPr>
          <w:rFonts w:hint="eastAsia" w:ascii="宋体" w:hAnsi="宋体" w:cs="宋体"/>
          <w:b/>
          <w:bCs/>
          <w:color w:val="auto"/>
          <w:sz w:val="24"/>
          <w:highlight w:val="none"/>
          <w:lang w:val="en-US" w:eastAsia="zh-CN"/>
        </w:rPr>
        <w:t>6</w:t>
      </w:r>
      <w:r>
        <w:rPr>
          <w:rFonts w:hint="eastAsia" w:ascii="宋体" w:hAnsi="宋体" w:cs="宋体"/>
          <w:b/>
          <w:bCs/>
          <w:color w:val="auto"/>
          <w:sz w:val="24"/>
          <w:highlight w:val="none"/>
        </w:rPr>
        <w:t>.对龙翔路，德民路与开元北街116根高危灯杆进行整体替换</w:t>
      </w:r>
    </w:p>
    <w:p>
      <w:pPr>
        <w:shd w:val="clear"/>
        <w:adjustRightInd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（一）</w:t>
      </w:r>
    </w:p>
    <w:p>
      <w:pPr>
        <w:shd w:val="clear"/>
        <w:adjustRightInd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1.1 高度：12米   灯杆直径上口径60mm    下口径120mm</w:t>
      </w:r>
    </w:p>
    <w:p>
      <w:pPr>
        <w:shd w:val="clear"/>
        <w:adjustRightInd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1.2 材料：Q235钢板，板厚≥4mm。</w:t>
      </w:r>
    </w:p>
    <w:p>
      <w:pPr>
        <w:shd w:val="clear"/>
        <w:adjustRightInd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1.3 抗风能力达36.9m/S以上，保证整杆路灯在恶劣天气状况正常工作。</w:t>
      </w:r>
    </w:p>
    <w:p>
      <w:pPr>
        <w:shd w:val="clear"/>
        <w:adjustRightInd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1.4 抗震等级达8级以上。</w:t>
      </w:r>
    </w:p>
    <w:p>
      <w:pPr>
        <w:shd w:val="clear"/>
        <w:adjustRightInd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1.5 灯杆内外表面热浸锌处理，锌层厚度≥85μm，防腐寿命达30年以上。</w:t>
      </w:r>
    </w:p>
    <w:p>
      <w:pPr>
        <w:shd w:val="clear"/>
        <w:adjustRightInd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1.6 灯杆外表面热浸锌并经表面处理后，采用防紫外线全树脂塑粉进行喷塑，塑层厚度≥100μm，表面光滑，不变色，寿命20年以上。</w:t>
      </w:r>
    </w:p>
    <w:p>
      <w:pPr>
        <w:shd w:val="clear"/>
        <w:adjustRightInd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1.7 杆底部开350×120的防水接线门，门内配接线板。门盖采用铰链开启，开门方向朝下。铰链焊接牢固，不可拆卸。门四周补强处理，补强板宽度不得低于40mm，厚度不得低于4mm。门内安装杆拔式熔断保护器和铜芯接线端子，质量达到国家电器行业标准。内外焊接地与横档，配标准锁及钥匙。接地螺栓离法兰板500mm处，接地螺栓有卡死装置。</w:t>
      </w:r>
    </w:p>
    <w:p>
      <w:pPr>
        <w:shd w:val="clear"/>
        <w:adjustRightInd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1.8 灯杆底部法兰采用内外焊接，一次成形；法兰材料采用宝钢A3板，厚20mm。法兰与灯杆间焊接4块厚度不低于4mm的加强筋，焊接饱满，无虚焊。法兰尺寸生产前应征得采购人书面确认，不管尺寸有何变动，均应按采购人要求生产，价格按投标价不变。</w:t>
      </w:r>
    </w:p>
    <w:p>
      <w:pPr>
        <w:shd w:val="clear"/>
        <w:adjustRightInd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1.9 灯杆颜色由采购人指定。</w:t>
      </w:r>
    </w:p>
    <w:p>
      <w:pPr>
        <w:pStyle w:val="5"/>
        <w:shd w:val="clear"/>
        <w:spacing w:before="100" w:after="0" w:line="579" w:lineRule="auto"/>
        <w:rPr>
          <w:rFonts w:ascii="宋体" w:hAnsi="宋体" w:cs="宋体"/>
          <w:color w:val="auto"/>
          <w:highlight w:val="none"/>
        </w:rPr>
      </w:pPr>
      <w:bookmarkStart w:id="59" w:name="_Toc13299"/>
      <w:r>
        <w:rPr>
          <w:rFonts w:hint="eastAsia" w:ascii="宋体" w:hAnsi="宋体" w:cs="宋体"/>
          <w:color w:val="auto"/>
          <w:sz w:val="24"/>
          <w:highlight w:val="none"/>
        </w:rPr>
        <w:t>示意图如下：</w:t>
      </w:r>
      <w:bookmarkEnd w:id="59"/>
    </w:p>
    <w:p>
      <w:pPr>
        <w:pStyle w:val="5"/>
        <w:shd w:val="clear"/>
        <w:jc w:val="center"/>
        <w:rPr>
          <w:rFonts w:ascii="宋体" w:hAnsi="宋体" w:cs="宋体"/>
          <w:color w:val="auto"/>
          <w:highlight w:val="none"/>
        </w:rPr>
      </w:pPr>
      <w:bookmarkStart w:id="60" w:name="_Toc2001"/>
      <w:r>
        <w:rPr>
          <w:rFonts w:hint="eastAsia" w:ascii="宋体" w:hAnsi="宋体" w:cs="宋体"/>
          <w:color w:val="auto"/>
          <w:highlight w:val="none"/>
        </w:rPr>
        <w:drawing>
          <wp:inline distT="0" distB="0" distL="114300" distR="114300">
            <wp:extent cx="944245" cy="2564130"/>
            <wp:effectExtent l="0" t="0" r="8255" b="7620"/>
            <wp:docPr id="7" name="图片 7" descr="64b5bff8d883fbc77613cdf74bdbd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64b5bff8d883fbc77613cdf74bdbd24"/>
                    <pic:cNvPicPr>
                      <a:picLocks noChangeAspect="1"/>
                    </pic:cNvPicPr>
                  </pic:nvPicPr>
                  <pic:blipFill>
                    <a:blip r:embed="rId16"/>
                    <a:stretch>
                      <a:fillRect/>
                    </a:stretch>
                  </pic:blipFill>
                  <pic:spPr>
                    <a:xfrm>
                      <a:off x="0" y="0"/>
                      <a:ext cx="944245" cy="2564130"/>
                    </a:xfrm>
                    <a:prstGeom prst="rect">
                      <a:avLst/>
                    </a:prstGeom>
                  </pic:spPr>
                </pic:pic>
              </a:graphicData>
            </a:graphic>
          </wp:inline>
        </w:drawing>
      </w:r>
      <w:bookmarkEnd w:id="60"/>
    </w:p>
    <w:p>
      <w:pPr>
        <w:shd w:val="clear"/>
        <w:adjustRightInd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（二）</w:t>
      </w:r>
    </w:p>
    <w:p>
      <w:pPr>
        <w:shd w:val="clear"/>
        <w:adjustRightInd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1.1 高度：8米   灯杆直径上口径60mm    下口径120mm</w:t>
      </w:r>
    </w:p>
    <w:p>
      <w:pPr>
        <w:shd w:val="clear"/>
        <w:adjustRightInd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1.2 材料：Q235钢板，板厚≥</w:t>
      </w:r>
      <w:r>
        <w:rPr>
          <w:rFonts w:hint="eastAsia" w:ascii="宋体" w:hAnsi="宋体" w:cs="宋体"/>
          <w:color w:val="auto"/>
          <w:sz w:val="24"/>
          <w:highlight w:val="none"/>
          <w:lang w:val="en-US" w:eastAsia="zh-CN"/>
        </w:rPr>
        <w:t>4</w:t>
      </w:r>
      <w:r>
        <w:rPr>
          <w:rFonts w:hint="eastAsia" w:ascii="宋体" w:hAnsi="宋体" w:cs="宋体"/>
          <w:color w:val="auto"/>
          <w:sz w:val="24"/>
          <w:highlight w:val="none"/>
        </w:rPr>
        <w:t>mm。</w:t>
      </w:r>
    </w:p>
    <w:p>
      <w:pPr>
        <w:shd w:val="clear"/>
        <w:adjustRightInd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1.3 抗风能力达36.9m/S以上，保证整杆路灯在恶劣天气状况正常工作。</w:t>
      </w:r>
    </w:p>
    <w:p>
      <w:pPr>
        <w:shd w:val="clear"/>
        <w:adjustRightInd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1.4 抗震等级达8级以上。</w:t>
      </w:r>
    </w:p>
    <w:p>
      <w:pPr>
        <w:shd w:val="clear"/>
        <w:adjustRightInd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1.5 灯杆内外表面热浸锌处理，锌层厚度≥85μm，防腐寿命达30年以上。</w:t>
      </w:r>
    </w:p>
    <w:p>
      <w:pPr>
        <w:shd w:val="clear"/>
        <w:adjustRightInd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1.6 灯杆外表面热浸锌并经表面处理后，采用防紫外线全树脂塑粉进行喷塑，塑层厚度≥100μm，表面光滑，不变色，寿命20年以上。</w:t>
      </w:r>
    </w:p>
    <w:p>
      <w:pPr>
        <w:shd w:val="clear"/>
        <w:adjustRightInd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1.7 杆底部开350×120的防水接线门，门内配接线板。门盖采用铰链开启，开门方向朝下。铰链焊接牢固，不可拆卸。门四周补强处理，补强板宽度不得低于40mm，厚度不得低于4mm。门内安装杆拔式熔断保护器和铜芯接线端子，质量达到国家电器行业标准。内外焊接地与横档，配标准锁及钥匙。接地螺栓离法兰板500mm处，接地螺栓有卡死装置。</w:t>
      </w:r>
    </w:p>
    <w:p>
      <w:pPr>
        <w:shd w:val="clear"/>
        <w:adjustRightInd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1.8 灯杆底部法兰采用内外焊接，一次成形；法兰材料采用宝钢A3板，厚20mm。法兰与灯杆间焊接4块厚度不低于4mm的加强筋，焊接饱满，无虚焊。法兰尺寸生产前应征得采购人书面确认，不管尺寸有何变动，均应按采购人要求生产，价格按投标价不变。</w:t>
      </w:r>
    </w:p>
    <w:p>
      <w:pPr>
        <w:shd w:val="clear"/>
        <w:adjustRightInd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1.9 灯杆颜色由采购人指定。</w:t>
      </w:r>
    </w:p>
    <w:p>
      <w:pPr>
        <w:pStyle w:val="5"/>
        <w:shd w:val="clear"/>
        <w:spacing w:before="100" w:after="0" w:line="579" w:lineRule="auto"/>
        <w:rPr>
          <w:rFonts w:ascii="宋体" w:hAnsi="宋体" w:cs="宋体"/>
          <w:color w:val="auto"/>
          <w:sz w:val="24"/>
          <w:highlight w:val="none"/>
        </w:rPr>
      </w:pPr>
      <w:bookmarkStart w:id="61" w:name="_Toc24163"/>
      <w:r>
        <w:rPr>
          <w:rFonts w:hint="eastAsia" w:ascii="宋体" w:hAnsi="宋体" w:cs="宋体"/>
          <w:color w:val="auto"/>
          <w:sz w:val="24"/>
          <w:highlight w:val="none"/>
        </w:rPr>
        <w:t>示意图如下：</w:t>
      </w:r>
      <w:bookmarkEnd w:id="61"/>
    </w:p>
    <w:p>
      <w:pPr>
        <w:shd w:val="clear"/>
        <w:jc w:val="center"/>
        <w:rPr>
          <w:rFonts w:ascii="宋体" w:hAnsi="宋体" w:cs="宋体"/>
          <w:color w:val="auto"/>
          <w:highlight w:val="none"/>
        </w:rPr>
      </w:pPr>
      <w:r>
        <w:rPr>
          <w:rFonts w:hint="eastAsia" w:ascii="宋体" w:hAnsi="宋体" w:cs="宋体"/>
          <w:color w:val="auto"/>
          <w:highlight w:val="none"/>
        </w:rPr>
        <w:drawing>
          <wp:inline distT="0" distB="0" distL="114300" distR="114300">
            <wp:extent cx="1622425" cy="3669030"/>
            <wp:effectExtent l="0" t="0" r="15875" b="7620"/>
            <wp:docPr id="9" name="图片 9" descr="6a4545f49a5ebdfc0a14a6ccdf02f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6a4545f49a5ebdfc0a14a6ccdf02f81"/>
                    <pic:cNvPicPr>
                      <a:picLocks noChangeAspect="1"/>
                    </pic:cNvPicPr>
                  </pic:nvPicPr>
                  <pic:blipFill>
                    <a:blip r:embed="rId17"/>
                    <a:stretch>
                      <a:fillRect/>
                    </a:stretch>
                  </pic:blipFill>
                  <pic:spPr>
                    <a:xfrm>
                      <a:off x="0" y="0"/>
                      <a:ext cx="1622425" cy="3669030"/>
                    </a:xfrm>
                    <a:prstGeom prst="rect">
                      <a:avLst/>
                    </a:prstGeom>
                  </pic:spPr>
                </pic:pic>
              </a:graphicData>
            </a:graphic>
          </wp:inline>
        </w:drawing>
      </w:r>
    </w:p>
    <w:p>
      <w:pPr>
        <w:shd w:val="clear"/>
        <w:adjustRightInd w:val="0"/>
        <w:snapToGrid w:val="0"/>
        <w:spacing w:line="360" w:lineRule="auto"/>
        <w:ind w:firstLine="0" w:firstLineChars="0"/>
        <w:rPr>
          <w:rFonts w:ascii="宋体" w:hAnsi="宋体" w:cs="宋体"/>
          <w:b/>
          <w:bCs/>
          <w:color w:val="auto"/>
          <w:sz w:val="24"/>
          <w:highlight w:val="none"/>
        </w:rPr>
      </w:pPr>
      <w:r>
        <w:rPr>
          <w:rFonts w:hint="eastAsia" w:ascii="宋体" w:hAnsi="宋体" w:cs="宋体"/>
          <w:b/>
          <w:bCs/>
          <w:color w:val="auto"/>
          <w:sz w:val="24"/>
          <w:highlight w:val="none"/>
        </w:rPr>
        <w:t>八、其他技术要求</w:t>
      </w:r>
    </w:p>
    <w:p>
      <w:pPr>
        <w:shd w:val="clear"/>
        <w:adjustRightInd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1.道路照明指标在节能合同服务期内必须满足《城市道路照明设计标准》（CJJ45-2015）和《LED城市道路照明应用技术要求》（GB/T 31832—2015）的要求，道路照明系统的电压、电流、功率因素须符合《电能质量公用电网谐波》（GB/T14549--93）等国家电力设计的标准要求。</w:t>
      </w:r>
    </w:p>
    <w:p>
      <w:pPr>
        <w:shd w:val="clear"/>
        <w:adjustRightInd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2.其他要求：</w:t>
      </w:r>
    </w:p>
    <w:p>
      <w:pPr>
        <w:shd w:val="clear"/>
        <w:adjustRightInd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（1）在安装灯具时，在路灯灯杆检修门盖安装接线板，接线板上设置熔断保护器。</w:t>
      </w:r>
    </w:p>
    <w:p>
      <w:pPr>
        <w:shd w:val="clear"/>
        <w:adjustRightInd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（2）灯杆与灯具间的供电线路应在灯具内有明确的火、零、地线接线端子，灯杆、灯具内供电线路中间不得有接头。</w:t>
      </w:r>
    </w:p>
    <w:p>
      <w:pPr>
        <w:shd w:val="clear"/>
        <w:rPr>
          <w:rFonts w:ascii="宋体" w:hAnsi="宋体" w:cs="宋体"/>
          <w:b/>
          <w:color w:val="auto"/>
          <w:sz w:val="24"/>
          <w:highlight w:val="none"/>
        </w:rPr>
      </w:pPr>
      <w:bookmarkStart w:id="62" w:name="_Toc22112"/>
      <w:bookmarkStart w:id="63" w:name="_Toc2040"/>
      <w:bookmarkStart w:id="64" w:name="_Toc7454"/>
      <w:r>
        <w:rPr>
          <w:rFonts w:hint="eastAsia" w:ascii="宋体" w:hAnsi="宋体" w:cs="宋体"/>
          <w:b/>
          <w:color w:val="auto"/>
          <w:sz w:val="24"/>
          <w:highlight w:val="none"/>
        </w:rPr>
        <w:t>九、项目服务及报价要求</w:t>
      </w:r>
      <w:bookmarkEnd w:id="62"/>
      <w:bookmarkEnd w:id="63"/>
      <w:bookmarkEnd w:id="64"/>
    </w:p>
    <w:p>
      <w:pPr>
        <w:shd w:val="clear"/>
        <w:adjustRightInd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1.中标人必须为采购人提供设备采购、设备安装调试、人员培训、配合第三方检测单位检测、项目监理单位开展监理工作、计量确认和保证等一整套的节能服务解决方案。</w:t>
      </w:r>
    </w:p>
    <w:p>
      <w:pPr>
        <w:shd w:val="clear"/>
        <w:adjustRightInd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2.中标人须对灯具安装的安全性负责。</w:t>
      </w:r>
    </w:p>
    <w:p>
      <w:pPr>
        <w:shd w:val="clear"/>
        <w:adjustRightInd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3.本项目涉及改造的所有灯具原则上全部更换，不得在现有灯具基础上进行改造，除非采购人要求。如需技改，费用由中标人负责支付。</w:t>
      </w:r>
    </w:p>
    <w:p>
      <w:pPr>
        <w:shd w:val="clear"/>
        <w:adjustRightInd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4.中标单位进行</w:t>
      </w:r>
      <w:r>
        <w:rPr>
          <w:rFonts w:hint="eastAsia" w:ascii="宋体" w:hAnsi="宋体" w:cs="宋体"/>
          <w:color w:val="auto"/>
          <w:sz w:val="24"/>
          <w:highlight w:val="none"/>
          <w:lang w:val="en-US" w:eastAsia="zh-CN"/>
        </w:rPr>
        <w:t>改造</w:t>
      </w:r>
      <w:r>
        <w:rPr>
          <w:rFonts w:hint="eastAsia" w:ascii="宋体" w:hAnsi="宋体" w:cs="宋体"/>
          <w:color w:val="auto"/>
          <w:sz w:val="24"/>
          <w:highlight w:val="none"/>
        </w:rPr>
        <w:t>前，把</w:t>
      </w:r>
      <w:r>
        <w:rPr>
          <w:rFonts w:hint="eastAsia" w:ascii="宋体" w:hAnsi="宋体" w:cs="宋体"/>
          <w:color w:val="auto"/>
          <w:sz w:val="24"/>
          <w:highlight w:val="none"/>
          <w:lang w:val="en-US" w:eastAsia="zh-CN"/>
        </w:rPr>
        <w:t>改造</w:t>
      </w:r>
      <w:r>
        <w:rPr>
          <w:rFonts w:hint="eastAsia" w:ascii="宋体" w:hAnsi="宋体" w:cs="宋体"/>
          <w:color w:val="auto"/>
          <w:sz w:val="24"/>
          <w:highlight w:val="none"/>
        </w:rPr>
        <w:t>方案报送监理、采购人审核同意后实施。审核意见并不免除中标人对项目质量所负的完全责任，中标人须对安装施工的安全负责。中标人须自行办理施工开挖、占道等手续。</w:t>
      </w:r>
    </w:p>
    <w:p>
      <w:pPr>
        <w:shd w:val="clear"/>
        <w:adjustRightInd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5.项目</w:t>
      </w:r>
      <w:r>
        <w:rPr>
          <w:rFonts w:hint="eastAsia" w:ascii="宋体" w:hAnsi="宋体" w:cs="宋体"/>
          <w:color w:val="auto"/>
          <w:sz w:val="24"/>
          <w:highlight w:val="none"/>
          <w:lang w:val="en-US" w:eastAsia="zh-CN"/>
        </w:rPr>
        <w:t>服务期满</w:t>
      </w:r>
      <w:r>
        <w:rPr>
          <w:rFonts w:hint="eastAsia" w:ascii="宋体" w:hAnsi="宋体" w:cs="宋体"/>
          <w:color w:val="auto"/>
          <w:sz w:val="24"/>
          <w:highlight w:val="none"/>
        </w:rPr>
        <w:t>后，中标人应按每一型号LED路灯1%-2%的比例免费提供备品备件交给采购人指定的维护单位（以下简称维护单位）。维护单位维修后把坏灯定期返还中标人，中标人应同时把相同数量的好灯送给维护单位，以保持各型号产品的备品备件数量充足。中标人对更换工作应予以现场指导，维护单位的维护工作并不免除中标人对巡灯、亮灯率和灯具质量的责任。</w:t>
      </w:r>
    </w:p>
    <w:p>
      <w:pPr>
        <w:shd w:val="clear"/>
        <w:adjustRightInd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lang w:val="en-US" w:eastAsia="zh-CN"/>
        </w:rPr>
        <w:t>6</w:t>
      </w:r>
      <w:r>
        <w:rPr>
          <w:rFonts w:hint="eastAsia" w:ascii="宋体" w:hAnsi="宋体" w:cs="宋体"/>
          <w:color w:val="auto"/>
          <w:sz w:val="24"/>
          <w:highlight w:val="none"/>
        </w:rPr>
        <w:t>.本项目施工期需更换灯具及提供备品的所有费用（包含人工、材料、产品、设备、设施、运输费、税费、管理费、保险、利润等一切与完成项目施工有关的所有费用）均应由中标人承担，投标时，应考虑到项目</w:t>
      </w:r>
      <w:r>
        <w:rPr>
          <w:rFonts w:hint="eastAsia" w:ascii="宋体" w:hAnsi="宋体" w:cs="宋体"/>
          <w:color w:val="auto"/>
          <w:sz w:val="24"/>
          <w:highlight w:val="none"/>
          <w:lang w:val="en-US" w:eastAsia="zh-CN"/>
        </w:rPr>
        <w:t>投标报价</w:t>
      </w:r>
      <w:r>
        <w:rPr>
          <w:rFonts w:hint="eastAsia" w:ascii="宋体" w:hAnsi="宋体" w:cs="宋体"/>
          <w:color w:val="auto"/>
          <w:sz w:val="24"/>
          <w:highlight w:val="none"/>
        </w:rPr>
        <w:t>内。</w:t>
      </w:r>
    </w:p>
    <w:p>
      <w:pPr>
        <w:shd w:val="clear"/>
        <w:adjustRightInd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lang w:val="en-US" w:eastAsia="zh-CN"/>
        </w:rPr>
        <w:t>7</w:t>
      </w:r>
      <w:r>
        <w:rPr>
          <w:rFonts w:hint="eastAsia" w:ascii="宋体" w:hAnsi="宋体" w:cs="宋体"/>
          <w:color w:val="auto"/>
          <w:sz w:val="24"/>
          <w:highlight w:val="none"/>
        </w:rPr>
        <w:t>.在</w:t>
      </w:r>
      <w:r>
        <w:rPr>
          <w:rFonts w:hint="eastAsia" w:ascii="宋体" w:hAnsi="宋体" w:cs="宋体"/>
          <w:color w:val="auto"/>
          <w:sz w:val="24"/>
          <w:highlight w:val="none"/>
          <w:lang w:eastAsia="zh-CN"/>
        </w:rPr>
        <w:t>服务期</w:t>
      </w:r>
      <w:r>
        <w:rPr>
          <w:rFonts w:hint="eastAsia" w:ascii="宋体" w:hAnsi="宋体" w:cs="宋体"/>
          <w:color w:val="auto"/>
          <w:sz w:val="24"/>
          <w:highlight w:val="none"/>
        </w:rPr>
        <w:t>间，当中标人因光衰、节能不达标（但不限于）等产品质量、设计原因更换LED路灯时，更换工作及费用由中标人负责。</w:t>
      </w:r>
    </w:p>
    <w:p>
      <w:pPr>
        <w:shd w:val="clear"/>
        <w:adjustRightInd w:val="0"/>
        <w:snapToGrid w:val="0"/>
        <w:spacing w:line="360" w:lineRule="auto"/>
        <w:ind w:firstLine="480" w:firstLineChars="200"/>
        <w:rPr>
          <w:rFonts w:hint="eastAsia" w:ascii="宋体" w:hAnsi="宋体" w:eastAsia="宋体" w:cs="宋体"/>
          <w:color w:val="auto"/>
          <w:sz w:val="24"/>
          <w:highlight w:val="none"/>
          <w:lang w:eastAsia="zh-CN"/>
        </w:rPr>
      </w:pPr>
      <w:r>
        <w:rPr>
          <w:rFonts w:hint="eastAsia" w:ascii="宋体" w:hAnsi="宋体" w:cs="宋体"/>
          <w:color w:val="auto"/>
          <w:sz w:val="24"/>
          <w:highlight w:val="none"/>
          <w:lang w:val="en-US" w:eastAsia="zh-CN"/>
        </w:rPr>
        <w:t>8</w:t>
      </w:r>
      <w:r>
        <w:rPr>
          <w:rFonts w:hint="eastAsia" w:ascii="宋体" w:hAnsi="宋体" w:cs="宋体"/>
          <w:color w:val="auto"/>
          <w:sz w:val="24"/>
          <w:highlight w:val="none"/>
        </w:rPr>
        <w:t>.项目改造的施工所涉及的交通安全管理费由中标人负责。交通安全管理费包含路口标志标牌、公告、交通管制费及其他一切相关的交通安全费用</w:t>
      </w:r>
      <w:r>
        <w:rPr>
          <w:rFonts w:hint="eastAsia" w:ascii="宋体" w:hAnsi="宋体" w:cs="宋体"/>
          <w:color w:val="auto"/>
          <w:sz w:val="24"/>
          <w:highlight w:val="none"/>
          <w:lang w:eastAsia="zh-CN"/>
        </w:rPr>
        <w:t>。</w:t>
      </w:r>
    </w:p>
    <w:p>
      <w:pPr>
        <w:shd w:val="clear"/>
        <w:adjustRightInd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lang w:val="en-US" w:eastAsia="zh-CN"/>
        </w:rPr>
        <w:t>9</w:t>
      </w:r>
      <w:r>
        <w:rPr>
          <w:rFonts w:hint="eastAsia" w:ascii="宋体" w:hAnsi="宋体" w:cs="宋体"/>
          <w:color w:val="auto"/>
          <w:sz w:val="24"/>
          <w:highlight w:val="none"/>
        </w:rPr>
        <w:t>.本项目</w:t>
      </w:r>
      <w:r>
        <w:rPr>
          <w:rFonts w:hint="eastAsia" w:ascii="宋体" w:hAnsi="宋体" w:cs="宋体"/>
          <w:color w:val="auto"/>
          <w:sz w:val="24"/>
          <w:highlight w:val="none"/>
          <w:lang w:eastAsia="zh-CN"/>
        </w:rPr>
        <w:t>服务期</w:t>
      </w:r>
      <w:r>
        <w:rPr>
          <w:rFonts w:hint="eastAsia" w:ascii="宋体" w:hAnsi="宋体" w:cs="宋体"/>
          <w:color w:val="auto"/>
          <w:sz w:val="24"/>
          <w:highlight w:val="none"/>
        </w:rPr>
        <w:t>内的节约电费计量、光照质量检测等由具备节能检测能力的国家级检测机构出具相关检测报告。项目竣工、设施移交涉及的灯具检测、道路照明质量等项目竣工验收、设施移交所必须检测费用由中标人支付，不属于本项目第三方检测单位的工作内容。本项目除由第三方检测机构检测的内容外，其他所有检测发生的费用由中标人负责。</w:t>
      </w:r>
    </w:p>
    <w:p>
      <w:pPr>
        <w:shd w:val="clear"/>
        <w:adjustRightInd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w:t>
      </w:r>
      <w:r>
        <w:rPr>
          <w:rFonts w:hint="eastAsia" w:ascii="宋体" w:hAnsi="宋体" w:cs="宋体"/>
          <w:color w:val="auto"/>
          <w:sz w:val="24"/>
          <w:highlight w:val="none"/>
          <w:lang w:val="en-US" w:eastAsia="zh-CN"/>
        </w:rPr>
        <w:t>0</w:t>
      </w:r>
      <w:r>
        <w:rPr>
          <w:rFonts w:hint="eastAsia" w:ascii="宋体" w:hAnsi="宋体" w:cs="宋体"/>
          <w:color w:val="auto"/>
          <w:sz w:val="24"/>
          <w:highlight w:val="none"/>
        </w:rPr>
        <w:t>.在项目改造期间可能会有路灯新移交、道路、城中村改造而需要路灯拆除等情况发生，由此造成工程量调整。对于项目工程量减少部分的金额由采购人以减少的盏数乘以分享节能计算公式，在后期支付中调整按实结算。</w:t>
      </w:r>
    </w:p>
    <w:p>
      <w:pPr>
        <w:shd w:val="clear"/>
        <w:adjustRightInd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w:t>
      </w:r>
      <w:r>
        <w:rPr>
          <w:rFonts w:hint="eastAsia" w:ascii="宋体" w:hAnsi="宋体" w:cs="宋体"/>
          <w:color w:val="auto"/>
          <w:sz w:val="24"/>
          <w:highlight w:val="none"/>
          <w:lang w:val="en-US" w:eastAsia="zh-CN"/>
        </w:rPr>
        <w:t>1</w:t>
      </w:r>
      <w:r>
        <w:rPr>
          <w:rFonts w:hint="eastAsia" w:ascii="宋体" w:hAnsi="宋体" w:cs="宋体"/>
          <w:color w:val="auto"/>
          <w:sz w:val="24"/>
          <w:highlight w:val="none"/>
        </w:rPr>
        <w:t>.本项目改造范围内的路灯灯具在</w:t>
      </w:r>
      <w:r>
        <w:rPr>
          <w:rFonts w:hint="eastAsia" w:ascii="宋体" w:hAnsi="宋体" w:cs="宋体"/>
          <w:color w:val="auto"/>
          <w:sz w:val="24"/>
          <w:highlight w:val="none"/>
          <w:lang w:eastAsia="zh-CN"/>
        </w:rPr>
        <w:t>服务期</w:t>
      </w:r>
      <w:r>
        <w:rPr>
          <w:rFonts w:hint="eastAsia" w:ascii="宋体" w:hAnsi="宋体" w:cs="宋体"/>
          <w:color w:val="auto"/>
          <w:sz w:val="24"/>
          <w:highlight w:val="none"/>
        </w:rPr>
        <w:t>内可能会因道路改扩建、城中村改造而需要拆除，拆除造成灯具无法运用于安装现场的，该灯具产生的节能收益金不受影响。若本项目范围内的灯具在施工期内拆除的，由中标人回收处置，该灯具不纳入</w:t>
      </w:r>
      <w:r>
        <w:rPr>
          <w:rFonts w:hint="eastAsia" w:ascii="宋体" w:hAnsi="宋体" w:cs="宋体"/>
          <w:color w:val="auto"/>
          <w:sz w:val="24"/>
          <w:highlight w:val="none"/>
          <w:lang w:eastAsia="zh-CN"/>
        </w:rPr>
        <w:t>服务期</w:t>
      </w:r>
      <w:r>
        <w:rPr>
          <w:rFonts w:hint="eastAsia" w:ascii="宋体" w:hAnsi="宋体" w:cs="宋体"/>
          <w:color w:val="auto"/>
          <w:sz w:val="24"/>
          <w:highlight w:val="none"/>
        </w:rPr>
        <w:t>内中标人节能收益金计量。</w:t>
      </w:r>
    </w:p>
    <w:p>
      <w:pPr>
        <w:shd w:val="clear"/>
        <w:adjustRightInd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w:t>
      </w:r>
      <w:r>
        <w:rPr>
          <w:rFonts w:hint="eastAsia" w:ascii="宋体" w:hAnsi="宋体" w:cs="宋体"/>
          <w:color w:val="auto"/>
          <w:sz w:val="24"/>
          <w:highlight w:val="none"/>
          <w:lang w:val="en-US" w:eastAsia="zh-CN"/>
        </w:rPr>
        <w:t>2</w:t>
      </w:r>
      <w:r>
        <w:rPr>
          <w:rFonts w:hint="eastAsia" w:ascii="宋体" w:hAnsi="宋体" w:cs="宋体"/>
          <w:color w:val="auto"/>
          <w:sz w:val="24"/>
          <w:highlight w:val="none"/>
        </w:rPr>
        <w:t>.</w:t>
      </w:r>
      <w:r>
        <w:rPr>
          <w:rFonts w:hint="eastAsia" w:ascii="宋体" w:hAnsi="宋体" w:cs="宋体"/>
          <w:color w:val="auto"/>
          <w:sz w:val="24"/>
          <w:highlight w:val="none"/>
          <w:lang w:eastAsia="zh-CN"/>
        </w:rPr>
        <w:t>服务期</w:t>
      </w:r>
      <w:r>
        <w:rPr>
          <w:rFonts w:hint="eastAsia" w:ascii="宋体" w:hAnsi="宋体" w:cs="宋体"/>
          <w:color w:val="auto"/>
          <w:sz w:val="24"/>
          <w:highlight w:val="none"/>
        </w:rPr>
        <w:t>内，中标人需免费提供备品备件，备品备件费用应考虑进项目总投资额内，采购人不再另行核算支付。</w:t>
      </w:r>
    </w:p>
    <w:p>
      <w:pPr>
        <w:shd w:val="clear"/>
        <w:adjustRightInd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w:t>
      </w:r>
      <w:r>
        <w:rPr>
          <w:rFonts w:hint="eastAsia" w:ascii="宋体" w:hAnsi="宋体" w:cs="宋体"/>
          <w:color w:val="auto"/>
          <w:sz w:val="24"/>
          <w:highlight w:val="none"/>
          <w:lang w:val="en-US" w:eastAsia="zh-CN"/>
        </w:rPr>
        <w:t>3</w:t>
      </w:r>
      <w:r>
        <w:rPr>
          <w:rFonts w:hint="eastAsia" w:ascii="宋体" w:hAnsi="宋体" w:cs="宋体"/>
          <w:color w:val="auto"/>
          <w:sz w:val="24"/>
          <w:highlight w:val="none"/>
        </w:rPr>
        <w:t>.中标人应提供全新的原厂原装货物和完善服务。</w:t>
      </w:r>
    </w:p>
    <w:p>
      <w:pPr>
        <w:shd w:val="clear"/>
        <w:adjustRightInd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w:t>
      </w:r>
      <w:r>
        <w:rPr>
          <w:rFonts w:hint="eastAsia" w:ascii="宋体" w:hAnsi="宋体" w:cs="宋体"/>
          <w:color w:val="auto"/>
          <w:sz w:val="24"/>
          <w:highlight w:val="none"/>
          <w:lang w:val="en-US" w:eastAsia="zh-CN"/>
        </w:rPr>
        <w:t>4</w:t>
      </w:r>
      <w:r>
        <w:rPr>
          <w:rFonts w:hint="eastAsia" w:ascii="宋体" w:hAnsi="宋体" w:cs="宋体"/>
          <w:color w:val="auto"/>
          <w:sz w:val="24"/>
          <w:highlight w:val="none"/>
        </w:rPr>
        <w:t>.货物质量指标达到相应的生产标准及技术要求。货物须经中国政府批准在中国境内销售。</w:t>
      </w:r>
    </w:p>
    <w:p>
      <w:pPr>
        <w:shd w:val="clear"/>
        <w:adjustRightInd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w:t>
      </w:r>
      <w:r>
        <w:rPr>
          <w:rFonts w:hint="eastAsia" w:ascii="宋体" w:hAnsi="宋体" w:cs="宋体"/>
          <w:color w:val="auto"/>
          <w:sz w:val="24"/>
          <w:highlight w:val="none"/>
          <w:lang w:val="en-US" w:eastAsia="zh-CN"/>
        </w:rPr>
        <w:t>5</w:t>
      </w:r>
      <w:r>
        <w:rPr>
          <w:rFonts w:hint="eastAsia" w:ascii="宋体" w:hAnsi="宋体" w:cs="宋体"/>
          <w:color w:val="auto"/>
          <w:sz w:val="24"/>
          <w:highlight w:val="none"/>
        </w:rPr>
        <w:t>.确定中标人后，运至现场的每批次灯具由项目监理单位随机抽取2套灯具，送检第三方检测单位检测，检测费由中标人支付，检测符合投标文件中技术要求后，交由采购人封样，方可使用；若检测不合格，该批次路灯灯具不得安装于现场，已安装于现场的必须在7个日历天内拆除。</w:t>
      </w:r>
    </w:p>
    <w:p>
      <w:pPr>
        <w:shd w:val="clear"/>
        <w:adjustRightInd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w:t>
      </w:r>
      <w:r>
        <w:rPr>
          <w:rFonts w:hint="eastAsia" w:ascii="宋体" w:hAnsi="宋体" w:cs="宋体"/>
          <w:color w:val="auto"/>
          <w:sz w:val="24"/>
          <w:highlight w:val="none"/>
          <w:lang w:val="en-US" w:eastAsia="zh-CN"/>
        </w:rPr>
        <w:t>6</w:t>
      </w:r>
      <w:r>
        <w:rPr>
          <w:rFonts w:hint="eastAsia" w:ascii="宋体" w:hAnsi="宋体" w:cs="宋体"/>
          <w:color w:val="auto"/>
          <w:sz w:val="24"/>
          <w:highlight w:val="none"/>
        </w:rPr>
        <w:t>.改造过程中，采购人有权对已使用或即将安装的路灯进行抽检；若品牌不一致、参数不能满足投标文件和采购文件要求的，该批次路灯灯具不得安装于现场，已安装于现场的必须在7个日历天内拆除。</w:t>
      </w:r>
    </w:p>
    <w:p>
      <w:pPr>
        <w:shd w:val="clear"/>
        <w:adjustRightInd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w:t>
      </w:r>
      <w:r>
        <w:rPr>
          <w:rFonts w:hint="eastAsia" w:ascii="宋体" w:hAnsi="宋体" w:cs="宋体"/>
          <w:color w:val="auto"/>
          <w:sz w:val="24"/>
          <w:highlight w:val="none"/>
          <w:lang w:val="en-US" w:eastAsia="zh-CN"/>
        </w:rPr>
        <w:t>7</w:t>
      </w:r>
      <w:r>
        <w:rPr>
          <w:rFonts w:hint="eastAsia" w:ascii="宋体" w:hAnsi="宋体" w:cs="宋体"/>
          <w:color w:val="auto"/>
          <w:sz w:val="24"/>
          <w:highlight w:val="none"/>
        </w:rPr>
        <w:t>.中标人在改造过程中，需根据LED灯具的重量、体积等参数，结合原有的灯杆、挑臂进行综合模拟测试，出具改用LED灯具后路灯整体无安全隐患的承诺函，并承担相应责任。</w:t>
      </w:r>
    </w:p>
    <w:p>
      <w:pPr>
        <w:shd w:val="clear"/>
        <w:adjustRightInd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w:t>
      </w:r>
      <w:r>
        <w:rPr>
          <w:rFonts w:hint="eastAsia" w:ascii="宋体" w:hAnsi="宋体" w:cs="宋体"/>
          <w:color w:val="auto"/>
          <w:sz w:val="24"/>
          <w:highlight w:val="none"/>
          <w:lang w:val="en-US" w:eastAsia="zh-CN"/>
        </w:rPr>
        <w:t>8</w:t>
      </w:r>
      <w:r>
        <w:rPr>
          <w:rFonts w:hint="eastAsia" w:ascii="宋体" w:hAnsi="宋体" w:cs="宋体"/>
          <w:color w:val="auto"/>
          <w:sz w:val="24"/>
          <w:highlight w:val="none"/>
        </w:rPr>
        <w:t>.不允许更改中标人承诺的灯具品牌及型号。</w:t>
      </w:r>
    </w:p>
    <w:p>
      <w:pPr>
        <w:shd w:val="clear"/>
        <w:adjustRightInd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lang w:val="en-US" w:eastAsia="zh-CN"/>
        </w:rPr>
        <w:t>19</w:t>
      </w:r>
      <w:r>
        <w:rPr>
          <w:rFonts w:hint="eastAsia" w:ascii="宋体" w:hAnsi="宋体" w:cs="宋体"/>
          <w:color w:val="auto"/>
          <w:sz w:val="24"/>
          <w:highlight w:val="none"/>
        </w:rPr>
        <w:t>.</w:t>
      </w:r>
      <w:r>
        <w:rPr>
          <w:rFonts w:hint="eastAsia" w:ascii="宋体" w:hAnsi="宋体" w:cs="宋体"/>
          <w:color w:val="auto"/>
          <w:sz w:val="24"/>
          <w:highlight w:val="none"/>
          <w:lang w:eastAsia="zh-CN"/>
        </w:rPr>
        <w:t>服务期</w:t>
      </w:r>
      <w:r>
        <w:rPr>
          <w:rFonts w:hint="eastAsia" w:ascii="宋体" w:hAnsi="宋体" w:cs="宋体"/>
          <w:color w:val="auto"/>
          <w:sz w:val="24"/>
          <w:highlight w:val="none"/>
        </w:rPr>
        <w:t>内，在国家LED路灯新标准未出台之前，合同所涉及到的LED路灯节能产品的性能参数不能低于中标人产品在投标过程中检测报告的数据；如有参数上的差异，取更优参数为准。</w:t>
      </w:r>
    </w:p>
    <w:p>
      <w:pPr>
        <w:shd w:val="clear"/>
        <w:adjustRightInd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w:t>
      </w:r>
      <w:r>
        <w:rPr>
          <w:rFonts w:hint="eastAsia" w:ascii="宋体" w:hAnsi="宋体" w:cs="宋体"/>
          <w:color w:val="auto"/>
          <w:sz w:val="24"/>
          <w:highlight w:val="none"/>
          <w:lang w:val="en-US" w:eastAsia="zh-CN"/>
        </w:rPr>
        <w:t>0</w:t>
      </w:r>
      <w:r>
        <w:rPr>
          <w:rFonts w:hint="eastAsia" w:ascii="宋体" w:hAnsi="宋体" w:cs="宋体"/>
          <w:color w:val="auto"/>
          <w:sz w:val="24"/>
          <w:highlight w:val="none"/>
        </w:rPr>
        <w:t>.投标供应商应提供承诺函，承诺投入使用的LED灯具技术参数不低于投标时提供的检测报告的参数。</w:t>
      </w:r>
      <w:bookmarkStart w:id="65" w:name="_Toc10423"/>
      <w:bookmarkStart w:id="66" w:name="_Toc32401"/>
      <w:bookmarkStart w:id="67" w:name="_Toc17403"/>
    </w:p>
    <w:p>
      <w:pPr>
        <w:shd w:val="clear"/>
        <w:adjustRightInd w:val="0"/>
        <w:snapToGrid w:val="0"/>
        <w:spacing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十、改造施工及验收</w:t>
      </w:r>
      <w:bookmarkEnd w:id="65"/>
      <w:bookmarkEnd w:id="66"/>
      <w:bookmarkEnd w:id="67"/>
    </w:p>
    <w:p>
      <w:pPr>
        <w:shd w:val="clear"/>
        <w:adjustRightInd w:val="0"/>
        <w:snapToGrid w:val="0"/>
        <w:spacing w:line="360" w:lineRule="auto"/>
        <w:ind w:firstLine="480" w:firstLineChars="200"/>
        <w:rPr>
          <w:rFonts w:ascii="宋体" w:hAnsi="宋体" w:cs="宋体"/>
          <w:color w:val="auto"/>
          <w:sz w:val="24"/>
          <w:highlight w:val="none"/>
        </w:rPr>
      </w:pPr>
      <w:bookmarkStart w:id="68" w:name="OLE_LINK60"/>
      <w:r>
        <w:rPr>
          <w:rFonts w:hint="eastAsia" w:ascii="宋体" w:hAnsi="宋体" w:cs="宋体"/>
          <w:color w:val="auto"/>
          <w:sz w:val="24"/>
          <w:highlight w:val="none"/>
        </w:rPr>
        <w:t>供应商根据本项目招标要求，由供应商到现场进行安装、调试，同时须负责办理所有涉及（但不限于）占用道路、修剪绿化等相关市政设施的手续，并经第三方检测机构检测合格后，由供应商向采购人提出申请后。供应商根据国家及地方的相关道路照明规范要求组织验收。</w:t>
      </w:r>
    </w:p>
    <w:bookmarkEnd w:id="68"/>
    <w:p>
      <w:pPr>
        <w:shd w:val="clear"/>
        <w:adjustRightInd w:val="0"/>
        <w:snapToGrid w:val="0"/>
        <w:spacing w:line="360" w:lineRule="auto"/>
        <w:ind w:firstLine="482" w:firstLineChars="200"/>
        <w:rPr>
          <w:rFonts w:ascii="宋体" w:hAnsi="宋体" w:cs="宋体"/>
          <w:b/>
          <w:bCs/>
          <w:color w:val="auto"/>
          <w:sz w:val="24"/>
          <w:highlight w:val="none"/>
        </w:rPr>
      </w:pPr>
      <w:bookmarkStart w:id="69" w:name="_Toc5529"/>
      <w:bookmarkStart w:id="70" w:name="_Toc11111"/>
      <w:bookmarkStart w:id="71" w:name="_Toc10686"/>
      <w:r>
        <w:rPr>
          <w:rFonts w:hint="eastAsia" w:ascii="宋体" w:hAnsi="宋体" w:cs="宋体"/>
          <w:b/>
          <w:bCs/>
          <w:color w:val="auto"/>
          <w:sz w:val="24"/>
          <w:highlight w:val="none"/>
        </w:rPr>
        <w:t>十一、</w:t>
      </w:r>
      <w:r>
        <w:rPr>
          <w:rFonts w:hint="eastAsia" w:ascii="宋体" w:hAnsi="宋体" w:cs="宋体"/>
          <w:b/>
          <w:bCs/>
          <w:color w:val="auto"/>
          <w:sz w:val="24"/>
          <w:highlight w:val="none"/>
          <w:lang w:eastAsia="zh-CN"/>
        </w:rPr>
        <w:t>服务期</w:t>
      </w:r>
      <w:r>
        <w:rPr>
          <w:rFonts w:hint="eastAsia" w:ascii="宋体" w:hAnsi="宋体" w:cs="宋体"/>
          <w:b/>
          <w:bCs/>
          <w:color w:val="auto"/>
          <w:sz w:val="24"/>
          <w:highlight w:val="none"/>
        </w:rPr>
        <w:t>内的维修及备件</w:t>
      </w:r>
      <w:bookmarkEnd w:id="69"/>
      <w:bookmarkEnd w:id="70"/>
      <w:bookmarkEnd w:id="71"/>
    </w:p>
    <w:p>
      <w:pPr>
        <w:shd w:val="clear"/>
        <w:adjustRightInd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1.备品备件由应在总投资额中予以充分考虑，同时应免费提供实际安装数量多于1-2%的备品备件给采购人或采购人指定的单位负责维护管理，采购人或采购人指定的维护管理单位负责</w:t>
      </w:r>
      <w:r>
        <w:rPr>
          <w:rFonts w:hint="eastAsia" w:ascii="宋体" w:hAnsi="宋体" w:cs="宋体"/>
          <w:color w:val="auto"/>
          <w:sz w:val="24"/>
          <w:highlight w:val="none"/>
          <w:lang w:eastAsia="zh-CN"/>
        </w:rPr>
        <w:t>服务期</w:t>
      </w:r>
      <w:r>
        <w:rPr>
          <w:rFonts w:hint="eastAsia" w:ascii="宋体" w:hAnsi="宋体" w:cs="宋体"/>
          <w:color w:val="auto"/>
          <w:sz w:val="24"/>
          <w:highlight w:val="none"/>
        </w:rPr>
        <w:t>内灯具的更换。</w:t>
      </w:r>
    </w:p>
    <w:p>
      <w:pPr>
        <w:shd w:val="clear"/>
        <w:adjustRightInd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w:t>
      </w:r>
      <w:r>
        <w:rPr>
          <w:rFonts w:hint="eastAsia" w:ascii="宋体" w:hAnsi="宋体" w:cs="宋体"/>
          <w:color w:val="auto"/>
          <w:sz w:val="24"/>
          <w:highlight w:val="none"/>
          <w:lang w:eastAsia="zh-CN"/>
        </w:rPr>
        <w:t>服务期</w:t>
      </w:r>
      <w:r>
        <w:rPr>
          <w:rFonts w:hint="eastAsia" w:ascii="宋体" w:hAnsi="宋体" w:cs="宋体"/>
          <w:color w:val="auto"/>
          <w:sz w:val="24"/>
          <w:highlight w:val="none"/>
        </w:rPr>
        <w:t xml:space="preserve">内，中标人需按合同要求对采购人指定人员进行维护操作培训。 </w:t>
      </w:r>
    </w:p>
    <w:p>
      <w:pPr>
        <w:shd w:val="clear"/>
        <w:adjustRightInd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w:t>
      </w:r>
      <w:r>
        <w:rPr>
          <w:rFonts w:hint="eastAsia" w:ascii="宋体" w:hAnsi="宋体" w:cs="宋体"/>
          <w:color w:val="auto"/>
          <w:sz w:val="24"/>
          <w:highlight w:val="none"/>
          <w:lang w:eastAsia="zh-CN"/>
        </w:rPr>
        <w:t>服务期</w:t>
      </w:r>
      <w:r>
        <w:rPr>
          <w:rFonts w:hint="eastAsia" w:ascii="宋体" w:hAnsi="宋体" w:cs="宋体"/>
          <w:color w:val="auto"/>
          <w:sz w:val="24"/>
          <w:highlight w:val="none"/>
        </w:rPr>
        <w:t>内，中标人应按合同要求保证备品备件必需的库存量。</w:t>
      </w:r>
    </w:p>
    <w:p>
      <w:pPr>
        <w:shd w:val="clear"/>
        <w:adjustRightInd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4.拆卸下来的故障产品或配件，路灯维护管理单位将移交归还中标人。</w:t>
      </w:r>
      <w:bookmarkStart w:id="72" w:name="_Toc29791"/>
      <w:bookmarkStart w:id="73" w:name="_Toc10250"/>
      <w:bookmarkStart w:id="74" w:name="_Toc18566"/>
    </w:p>
    <w:p>
      <w:pPr>
        <w:shd w:val="clear"/>
        <w:adjustRightInd w:val="0"/>
        <w:snapToGrid w:val="0"/>
        <w:spacing w:line="360" w:lineRule="auto"/>
        <w:ind w:firstLine="482" w:firstLineChars="200"/>
        <w:rPr>
          <w:rFonts w:ascii="宋体" w:hAnsi="宋体" w:cs="宋体"/>
          <w:b/>
          <w:bCs/>
          <w:color w:val="auto"/>
          <w:sz w:val="24"/>
          <w:highlight w:val="none"/>
        </w:rPr>
      </w:pPr>
      <w:r>
        <w:rPr>
          <w:rFonts w:hint="eastAsia" w:ascii="宋体" w:hAnsi="宋体" w:cs="宋体"/>
          <w:b/>
          <w:bCs/>
          <w:color w:val="auto"/>
          <w:sz w:val="24"/>
          <w:highlight w:val="none"/>
        </w:rPr>
        <w:t>十二、保修期内容</w:t>
      </w:r>
      <w:bookmarkEnd w:id="72"/>
      <w:bookmarkEnd w:id="73"/>
      <w:bookmarkEnd w:id="74"/>
    </w:p>
    <w:p>
      <w:pPr>
        <w:shd w:val="clear"/>
        <w:adjustRightInd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项目服务期满后，中标人需将</w:t>
      </w:r>
      <w:r>
        <w:rPr>
          <w:rFonts w:hint="eastAsia" w:ascii="宋体" w:hAnsi="宋体" w:cs="宋体"/>
          <w:color w:val="auto"/>
          <w:sz w:val="24"/>
          <w:highlight w:val="none"/>
          <w:lang w:val="en-US" w:eastAsia="zh-CN"/>
        </w:rPr>
        <w:t>项目资料</w:t>
      </w:r>
      <w:r>
        <w:rPr>
          <w:rFonts w:hint="eastAsia" w:ascii="宋体" w:hAnsi="宋体" w:cs="宋体"/>
          <w:color w:val="auto"/>
          <w:sz w:val="24"/>
          <w:highlight w:val="none"/>
        </w:rPr>
        <w:t>移交给</w:t>
      </w:r>
      <w:r>
        <w:rPr>
          <w:rFonts w:hint="eastAsia" w:ascii="宋体" w:hAnsi="宋体" w:cs="宋体"/>
          <w:color w:val="auto"/>
          <w:sz w:val="24"/>
          <w:highlight w:val="none"/>
          <w:lang w:val="en-US" w:eastAsia="zh-CN"/>
        </w:rPr>
        <w:t>采购人</w:t>
      </w:r>
      <w:r>
        <w:rPr>
          <w:rFonts w:hint="eastAsia" w:ascii="宋体" w:hAnsi="宋体" w:cs="宋体"/>
          <w:color w:val="auto"/>
          <w:sz w:val="24"/>
          <w:highlight w:val="none"/>
        </w:rPr>
        <w:t>归档，并配合采购人跟后续管理单位做好交接工作。</w:t>
      </w:r>
    </w:p>
    <w:p>
      <w:pPr>
        <w:shd w:val="clear"/>
        <w:adjustRightInd w:val="0"/>
        <w:snapToGrid w:val="0"/>
        <w:spacing w:line="360" w:lineRule="auto"/>
        <w:ind w:firstLine="482" w:firstLineChars="200"/>
        <w:rPr>
          <w:rFonts w:ascii="宋体" w:hAnsi="宋体" w:cs="宋体"/>
          <w:b/>
          <w:bCs/>
          <w:color w:val="auto"/>
          <w:sz w:val="24"/>
          <w:highlight w:val="none"/>
        </w:rPr>
      </w:pPr>
      <w:bookmarkStart w:id="75" w:name="_Toc32156"/>
      <w:bookmarkStart w:id="76" w:name="_Toc20400"/>
      <w:bookmarkStart w:id="77" w:name="_Toc18227"/>
      <w:r>
        <w:rPr>
          <w:rFonts w:hint="eastAsia" w:ascii="宋体" w:hAnsi="宋体" w:cs="宋体"/>
          <w:b/>
          <w:bCs/>
          <w:color w:val="auto"/>
          <w:sz w:val="24"/>
          <w:highlight w:val="none"/>
        </w:rPr>
        <w:t>十三、技术培训</w:t>
      </w:r>
      <w:bookmarkEnd w:id="75"/>
      <w:bookmarkEnd w:id="76"/>
      <w:bookmarkEnd w:id="77"/>
    </w:p>
    <w:p>
      <w:pPr>
        <w:shd w:val="clear"/>
        <w:adjustRightInd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中标人应派合格的专业技术人员到采购人指定的地点对采购人及路灯维护单位的技术人员、维修操作人员进行使用操作、设备维修、保养等技术的现场培训，直至使用及维护单位的技术人员能熟练独立工作。</w:t>
      </w:r>
    </w:p>
    <w:p>
      <w:pPr>
        <w:shd w:val="clear"/>
        <w:adjustRightInd w:val="0"/>
        <w:snapToGrid w:val="0"/>
        <w:spacing w:line="360" w:lineRule="auto"/>
        <w:ind w:firstLine="482" w:firstLineChars="200"/>
        <w:rPr>
          <w:rFonts w:ascii="宋体" w:hAnsi="宋体" w:cs="宋体"/>
          <w:b/>
          <w:bCs/>
          <w:color w:val="auto"/>
          <w:sz w:val="24"/>
          <w:highlight w:val="none"/>
        </w:rPr>
      </w:pPr>
      <w:bookmarkStart w:id="78" w:name="_Toc29788"/>
      <w:bookmarkStart w:id="79" w:name="_Toc14588"/>
      <w:bookmarkStart w:id="80" w:name="_Toc23220"/>
      <w:r>
        <w:rPr>
          <w:rFonts w:hint="eastAsia" w:ascii="宋体" w:hAnsi="宋体" w:cs="宋体"/>
          <w:b/>
          <w:bCs/>
          <w:color w:val="auto"/>
          <w:sz w:val="24"/>
          <w:highlight w:val="none"/>
        </w:rPr>
        <w:t>十四、原有传统灯具及路灯设施处理</w:t>
      </w:r>
      <w:bookmarkEnd w:id="78"/>
      <w:bookmarkEnd w:id="79"/>
      <w:bookmarkEnd w:id="80"/>
    </w:p>
    <w:p>
      <w:pPr>
        <w:shd w:val="clear"/>
        <w:adjustRightInd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中标人将拆除的原有灯具、灯挑、管线等路灯设施转运至甲方指定的地点并负责值守看护，由甲方负责处理，费用上交地方财政。项目竣工验收前，路灯设施拆除、运输、值守看护的费用由中标人承担。项目竣工验收后，由乙方统一清点移交给甲方，拆除的设施若被盗、遗失，甲方将从中标方的节能收益金中得到补偿。</w:t>
      </w:r>
    </w:p>
    <w:p>
      <w:pPr>
        <w:shd w:val="clear"/>
        <w:adjustRightInd w:val="0"/>
        <w:snapToGrid w:val="0"/>
        <w:spacing w:line="360" w:lineRule="auto"/>
        <w:ind w:firstLine="482" w:firstLineChars="200"/>
        <w:rPr>
          <w:rFonts w:ascii="宋体" w:hAnsi="宋体" w:cs="宋体"/>
          <w:b/>
          <w:bCs/>
          <w:color w:val="auto"/>
          <w:sz w:val="24"/>
          <w:highlight w:val="none"/>
        </w:rPr>
      </w:pPr>
      <w:bookmarkStart w:id="81" w:name="_Toc11331"/>
      <w:bookmarkStart w:id="82" w:name="_Toc25597"/>
      <w:bookmarkStart w:id="83" w:name="_Toc30308"/>
      <w:r>
        <w:rPr>
          <w:rFonts w:hint="eastAsia" w:ascii="宋体" w:hAnsi="宋体" w:cs="宋体"/>
          <w:b/>
          <w:bCs/>
          <w:color w:val="auto"/>
          <w:sz w:val="24"/>
          <w:highlight w:val="none"/>
        </w:rPr>
        <w:t>十五、交付使用时间</w:t>
      </w:r>
      <w:bookmarkEnd w:id="81"/>
      <w:bookmarkEnd w:id="82"/>
      <w:bookmarkEnd w:id="83"/>
    </w:p>
    <w:p>
      <w:pPr>
        <w:shd w:val="clear"/>
        <w:adjustRightInd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lang w:val="en-US" w:eastAsia="zh-CN"/>
        </w:rPr>
        <w:t>总服务期3年，其中包含</w:t>
      </w:r>
      <w:r>
        <w:rPr>
          <w:rFonts w:hint="eastAsia" w:ascii="宋体" w:hAnsi="宋体" w:cs="宋体"/>
          <w:color w:val="auto"/>
          <w:sz w:val="24"/>
          <w:highlight w:val="none"/>
        </w:rPr>
        <w:t>100个日历天内完成灯具安装及调试、验收并交付使用。</w:t>
      </w:r>
    </w:p>
    <w:p>
      <w:pPr>
        <w:shd w:val="clear"/>
        <w:adjustRightInd w:val="0"/>
        <w:snapToGrid w:val="0"/>
        <w:spacing w:line="360" w:lineRule="auto"/>
        <w:ind w:firstLine="482" w:firstLineChars="200"/>
        <w:rPr>
          <w:rFonts w:ascii="宋体" w:hAnsi="宋体" w:cs="宋体"/>
          <w:b/>
          <w:bCs/>
          <w:color w:val="auto"/>
          <w:sz w:val="24"/>
          <w:highlight w:val="none"/>
        </w:rPr>
      </w:pPr>
      <w:bookmarkStart w:id="84" w:name="_Toc29862"/>
      <w:bookmarkStart w:id="85" w:name="_Toc19399"/>
      <w:bookmarkStart w:id="86" w:name="_Toc27331"/>
      <w:r>
        <w:rPr>
          <w:rFonts w:hint="eastAsia" w:ascii="宋体" w:hAnsi="宋体" w:cs="宋体"/>
          <w:b/>
          <w:bCs/>
          <w:color w:val="auto"/>
          <w:sz w:val="24"/>
          <w:highlight w:val="none"/>
        </w:rPr>
        <w:t>十六、注意事项</w:t>
      </w:r>
      <w:bookmarkEnd w:id="84"/>
      <w:bookmarkEnd w:id="85"/>
      <w:bookmarkEnd w:id="86"/>
    </w:p>
    <w:p>
      <w:pPr>
        <w:shd w:val="clear"/>
        <w:adjustRightInd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1.中标人不得将项目整体转包给任何单位和个人。否则，</w:t>
      </w:r>
      <w:r>
        <w:rPr>
          <w:rFonts w:hint="eastAsia" w:ascii="宋体" w:hAnsi="宋体" w:cs="宋体"/>
          <w:color w:val="auto"/>
          <w:sz w:val="24"/>
          <w:highlight w:val="none"/>
          <w:lang w:eastAsia="zh-CN"/>
        </w:rPr>
        <w:t>采购人</w:t>
      </w:r>
      <w:r>
        <w:rPr>
          <w:rFonts w:hint="eastAsia" w:ascii="宋体" w:hAnsi="宋体" w:cs="宋体"/>
          <w:color w:val="auto"/>
          <w:sz w:val="24"/>
          <w:highlight w:val="none"/>
        </w:rPr>
        <w:t>有权即刻终止合同，并要求中标人赔偿相应损失。</w:t>
      </w:r>
    </w:p>
    <w:p>
      <w:pPr>
        <w:shd w:val="clear"/>
        <w:adjustRightInd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2.投标供应商若认为采购文件的技术要求或其他要求有倾向性或不公正性，可在招标答疑阶段提出，以维护招标行为的公平、公正。</w:t>
      </w:r>
    </w:p>
    <w:p>
      <w:pPr>
        <w:shd w:val="clear"/>
        <w:adjustRightInd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3.投标供应商使用的标准必须是国家或地方政府颁布的同等或更高的标准，如投标供应商使用的标准低于上述标准,评标委员会将有权不予接受，投标供应商必须列表将明显的差异详细说明。</w:t>
      </w:r>
    </w:p>
    <w:p>
      <w:pPr>
        <w:shd w:val="clear"/>
        <w:adjustRightInd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4.投标供应商所提交的投标文件对技术参数和各项要求的响应应是列出具体内容。如果投标供应商只注明“符合”或“满足”，将被视为“不符合”，并可能严重影响评标结果。</w:t>
      </w:r>
    </w:p>
    <w:p>
      <w:pPr>
        <w:shd w:val="clear"/>
        <w:adjustRightInd w:val="0"/>
        <w:snapToGrid w:val="0"/>
        <w:spacing w:line="360" w:lineRule="auto"/>
        <w:ind w:firstLine="482" w:firstLineChars="200"/>
        <w:rPr>
          <w:rFonts w:ascii="宋体" w:hAnsi="宋体" w:cs="宋体"/>
          <w:b/>
          <w:bCs/>
          <w:color w:val="auto"/>
          <w:sz w:val="24"/>
          <w:highlight w:val="none"/>
        </w:rPr>
      </w:pPr>
      <w:bookmarkStart w:id="87" w:name="_Toc10851"/>
      <w:bookmarkStart w:id="88" w:name="_Toc32676"/>
      <w:r>
        <w:rPr>
          <w:rFonts w:hint="eastAsia" w:ascii="宋体" w:hAnsi="宋体" w:cs="宋体"/>
          <w:b/>
          <w:bCs/>
          <w:color w:val="auto"/>
          <w:sz w:val="24"/>
          <w:highlight w:val="none"/>
        </w:rPr>
        <w:t>十七、相关计费风险提示</w:t>
      </w:r>
      <w:bookmarkEnd w:id="87"/>
      <w:bookmarkEnd w:id="88"/>
    </w:p>
    <w:p>
      <w:pPr>
        <w:shd w:val="clear"/>
        <w:adjustRightInd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1.本项目改造的路灯中，因采购人可能存在路灯设施新移交、路灯设施拆除、提供的设施量存在误差等因素，实际数量和改造数量可能与表中存在5%左右的误差，请投标供应商对上述因素给予考虑。</w:t>
      </w:r>
    </w:p>
    <w:p>
      <w:pPr>
        <w:shd w:val="clear"/>
        <w:adjustRightInd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2.投标供应商须考虑以上相关风险，如中标，不能以此作为不执行中标人责任、义务的免责条款。</w:t>
      </w:r>
    </w:p>
    <w:p>
      <w:pPr>
        <w:pStyle w:val="5"/>
        <w:shd w:val="clear"/>
        <w:rPr>
          <w:rFonts w:ascii="宋体" w:hAnsi="宋体" w:cs="宋体"/>
          <w:color w:val="auto"/>
          <w:sz w:val="24"/>
          <w:highlight w:val="none"/>
        </w:rPr>
      </w:pPr>
    </w:p>
    <w:p>
      <w:pPr>
        <w:shd w:val="clear"/>
        <w:rPr>
          <w:rFonts w:ascii="宋体" w:hAnsi="宋体" w:cs="宋体"/>
          <w:color w:val="auto"/>
          <w:sz w:val="24"/>
          <w:highlight w:val="none"/>
        </w:rPr>
      </w:pPr>
    </w:p>
    <w:p>
      <w:pPr>
        <w:shd w:val="clear"/>
        <w:rPr>
          <w:rFonts w:ascii="宋体" w:hAnsi="宋体" w:cs="宋体"/>
          <w:color w:val="auto"/>
          <w:sz w:val="24"/>
          <w:highlight w:val="none"/>
        </w:rPr>
        <w:sectPr>
          <w:footerReference r:id="rId10" w:type="first"/>
          <w:headerReference r:id="rId8" w:type="default"/>
          <w:footerReference r:id="rId9" w:type="default"/>
          <w:pgSz w:w="11906" w:h="16838"/>
          <w:pgMar w:top="567" w:right="1134" w:bottom="567" w:left="1418" w:header="851" w:footer="992" w:gutter="0"/>
          <w:pgNumType w:fmt="decimal" w:start="1"/>
          <w:cols w:space="720" w:num="1"/>
          <w:titlePg/>
          <w:docGrid w:type="lines" w:linePitch="312" w:charSpace="0"/>
        </w:sectPr>
      </w:pPr>
    </w:p>
    <w:tbl>
      <w:tblPr>
        <w:tblStyle w:val="22"/>
        <w:tblW w:w="14460" w:type="dxa"/>
        <w:tblInd w:w="93" w:type="dxa"/>
        <w:tblLayout w:type="autofit"/>
        <w:tblCellMar>
          <w:top w:w="0" w:type="dxa"/>
          <w:left w:w="108" w:type="dxa"/>
          <w:bottom w:w="0" w:type="dxa"/>
          <w:right w:w="108" w:type="dxa"/>
        </w:tblCellMar>
      </w:tblPr>
      <w:tblGrid>
        <w:gridCol w:w="1338"/>
        <w:gridCol w:w="801"/>
        <w:gridCol w:w="2546"/>
        <w:gridCol w:w="2412"/>
        <w:gridCol w:w="1606"/>
        <w:gridCol w:w="801"/>
        <w:gridCol w:w="2546"/>
        <w:gridCol w:w="2410"/>
      </w:tblGrid>
      <w:tr>
        <w:tblPrEx>
          <w:tblCellMar>
            <w:top w:w="0" w:type="dxa"/>
            <w:left w:w="108" w:type="dxa"/>
            <w:bottom w:w="0" w:type="dxa"/>
            <w:right w:w="108" w:type="dxa"/>
          </w:tblCellMar>
        </w:tblPrEx>
        <w:trPr>
          <w:trHeight w:val="1012" w:hRule="atLeast"/>
        </w:trPr>
        <w:tc>
          <w:tcPr>
            <w:tcW w:w="14460" w:type="dxa"/>
            <w:gridSpan w:val="8"/>
            <w:tcBorders>
              <w:top w:val="single" w:color="000000" w:sz="4" w:space="0"/>
              <w:left w:val="single" w:color="000000" w:sz="4" w:space="0"/>
              <w:bottom w:val="single" w:color="000000" w:sz="4" w:space="0"/>
              <w:right w:val="single" w:color="000000" w:sz="4" w:space="0"/>
            </w:tcBorders>
            <w:noWrap/>
            <w:vAlign w:val="center"/>
          </w:tcPr>
          <w:p>
            <w:pPr>
              <w:widowControl/>
              <w:shd w:val="clear"/>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2022年廿三里街道路灯分布表格</w:t>
            </w:r>
          </w:p>
        </w:tc>
      </w:tr>
      <w:tr>
        <w:tblPrEx>
          <w:tblCellMar>
            <w:top w:w="0" w:type="dxa"/>
            <w:left w:w="108" w:type="dxa"/>
            <w:bottom w:w="0" w:type="dxa"/>
            <w:right w:w="108" w:type="dxa"/>
          </w:tblCellMar>
        </w:tblPrEx>
        <w:trPr>
          <w:trHeight w:val="415"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shd w:val="clear"/>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道路信息</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shd w:val="clear"/>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数量</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shd w:val="clear"/>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改造前高压钠灯</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shd w:val="clear"/>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改造后LED灯</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shd w:val="clear"/>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道路信息</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shd w:val="clear"/>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数量</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shd w:val="clear"/>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改造前高压钠灯</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shd w:val="clear"/>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改造后LED灯</w:t>
            </w:r>
          </w:p>
        </w:tc>
      </w:tr>
      <w:tr>
        <w:tblPrEx>
          <w:tblCellMar>
            <w:top w:w="0" w:type="dxa"/>
            <w:left w:w="108" w:type="dxa"/>
            <w:bottom w:w="0" w:type="dxa"/>
            <w:right w:w="108" w:type="dxa"/>
          </w:tblCellMar>
        </w:tblPrEx>
        <w:trPr>
          <w:trHeight w:val="415"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shd w:val="clear"/>
              <w:jc w:val="center"/>
              <w:rPr>
                <w:rFonts w:ascii="宋体" w:hAnsi="宋体" w:cs="宋体"/>
                <w:color w:val="auto"/>
                <w:sz w:val="22"/>
                <w:szCs w:val="22"/>
                <w:highlight w:val="none"/>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shd w:val="clear"/>
              <w:jc w:val="center"/>
              <w:rPr>
                <w:rFonts w:ascii="宋体" w:hAnsi="宋体" w:cs="宋体"/>
                <w:color w:val="auto"/>
                <w:sz w:val="22"/>
                <w:szCs w:val="22"/>
                <w:highlight w:val="none"/>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shd w:val="clear"/>
              <w:jc w:val="center"/>
              <w:rPr>
                <w:rFonts w:ascii="宋体" w:hAnsi="宋体" w:cs="宋体"/>
                <w:color w:val="auto"/>
                <w:sz w:val="22"/>
                <w:szCs w:val="22"/>
                <w:highlight w:val="none"/>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shd w:val="clear"/>
              <w:jc w:val="center"/>
              <w:rPr>
                <w:rFonts w:ascii="宋体" w:hAnsi="宋体" w:cs="宋体"/>
                <w:color w:val="auto"/>
                <w:sz w:val="22"/>
                <w:szCs w:val="22"/>
                <w:highlight w:val="none"/>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shd w:val="clear"/>
              <w:jc w:val="center"/>
              <w:rPr>
                <w:rFonts w:ascii="宋体" w:hAnsi="宋体" w:cs="宋体"/>
                <w:color w:val="auto"/>
                <w:sz w:val="22"/>
                <w:szCs w:val="22"/>
                <w:highlight w:val="none"/>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shd w:val="clear"/>
              <w:jc w:val="center"/>
              <w:rPr>
                <w:rFonts w:ascii="宋体" w:hAnsi="宋体" w:cs="宋体"/>
                <w:color w:val="auto"/>
                <w:sz w:val="22"/>
                <w:szCs w:val="22"/>
                <w:highlight w:val="none"/>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shd w:val="clear"/>
              <w:jc w:val="center"/>
              <w:rPr>
                <w:rFonts w:ascii="宋体" w:hAnsi="宋体" w:cs="宋体"/>
                <w:color w:val="auto"/>
                <w:sz w:val="22"/>
                <w:szCs w:val="22"/>
                <w:highlight w:val="none"/>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shd w:val="clear"/>
              <w:jc w:val="center"/>
              <w:rPr>
                <w:rFonts w:ascii="宋体" w:hAnsi="宋体" w:cs="宋体"/>
                <w:color w:val="auto"/>
                <w:sz w:val="22"/>
                <w:szCs w:val="22"/>
                <w:highlight w:val="none"/>
              </w:rPr>
            </w:pPr>
          </w:p>
        </w:tc>
      </w:tr>
      <w:tr>
        <w:tblPrEx>
          <w:tblCellMar>
            <w:top w:w="0" w:type="dxa"/>
            <w:left w:w="108" w:type="dxa"/>
            <w:bottom w:w="0" w:type="dxa"/>
            <w:right w:w="108" w:type="dxa"/>
          </w:tblCellMar>
        </w:tblPrEx>
        <w:trPr>
          <w:trHeight w:val="476"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hd w:val="clear"/>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开元北街</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hd w:val="clear"/>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220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hd w:val="clear"/>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250W</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hd w:val="clear"/>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120W</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hd w:val="clear"/>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通宝路</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hd w:val="clear"/>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107</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hd w:val="clear"/>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250W9个 150W98个</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hd w:val="clear"/>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120W9个 60W98个 </w:t>
            </w:r>
          </w:p>
        </w:tc>
      </w:tr>
      <w:tr>
        <w:tblPrEx>
          <w:tblCellMar>
            <w:top w:w="0" w:type="dxa"/>
            <w:left w:w="108" w:type="dxa"/>
            <w:bottom w:w="0" w:type="dxa"/>
            <w:right w:w="108" w:type="dxa"/>
          </w:tblCellMar>
        </w:tblPrEx>
        <w:trPr>
          <w:trHeight w:val="476"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hd w:val="clear"/>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春潮路</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hd w:val="clear"/>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19</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hd w:val="clear"/>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150W</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hd w:val="clear"/>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60W</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hd w:val="clear"/>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通报北区</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hd w:val="clear"/>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hd w:val="clear"/>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150W</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hd w:val="clear"/>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60W</w:t>
            </w:r>
          </w:p>
        </w:tc>
      </w:tr>
      <w:tr>
        <w:tblPrEx>
          <w:tblCellMar>
            <w:top w:w="0" w:type="dxa"/>
            <w:left w:w="108" w:type="dxa"/>
            <w:bottom w:w="0" w:type="dxa"/>
            <w:right w:w="108" w:type="dxa"/>
          </w:tblCellMar>
        </w:tblPrEx>
        <w:trPr>
          <w:trHeight w:val="476"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hd w:val="clear"/>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金鳞北路</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hd w:val="clear"/>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57</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hd w:val="clear"/>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150W</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hd w:val="clear"/>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60W</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hd w:val="clear"/>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王新屋</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hd w:val="clear"/>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hd w:val="clear"/>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150W</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hd w:val="clear"/>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60W</w:t>
            </w:r>
          </w:p>
        </w:tc>
      </w:tr>
      <w:tr>
        <w:tblPrEx>
          <w:tblCellMar>
            <w:top w:w="0" w:type="dxa"/>
            <w:left w:w="108" w:type="dxa"/>
            <w:bottom w:w="0" w:type="dxa"/>
            <w:right w:w="108" w:type="dxa"/>
          </w:tblCellMar>
        </w:tblPrEx>
        <w:trPr>
          <w:trHeight w:val="476"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hd w:val="clear"/>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龙翔路</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hd w:val="clear"/>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22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hd w:val="clear"/>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150W</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hd w:val="clear"/>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60W</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hd w:val="clear"/>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武岩路</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hd w:val="clear"/>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136</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hd w:val="clear"/>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150W</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hd w:val="clear"/>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60W</w:t>
            </w:r>
          </w:p>
        </w:tc>
      </w:tr>
      <w:tr>
        <w:tblPrEx>
          <w:tblCellMar>
            <w:top w:w="0" w:type="dxa"/>
            <w:left w:w="108" w:type="dxa"/>
            <w:bottom w:w="0" w:type="dxa"/>
            <w:right w:w="108" w:type="dxa"/>
          </w:tblCellMar>
        </w:tblPrEx>
        <w:trPr>
          <w:trHeight w:val="476"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hd w:val="clear"/>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华盛北路</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hd w:val="clear"/>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53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hd w:val="clear"/>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250W</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hd w:val="clear"/>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120W</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hd w:val="clear"/>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开元南街</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hd w:val="clear"/>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56</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hd w:val="clear"/>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150W</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hd w:val="clear"/>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60W</w:t>
            </w:r>
          </w:p>
        </w:tc>
      </w:tr>
      <w:tr>
        <w:tblPrEx>
          <w:tblCellMar>
            <w:top w:w="0" w:type="dxa"/>
            <w:left w:w="108" w:type="dxa"/>
            <w:bottom w:w="0" w:type="dxa"/>
            <w:right w:w="108" w:type="dxa"/>
          </w:tblCellMar>
        </w:tblPrEx>
        <w:trPr>
          <w:trHeight w:val="476"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hd w:val="clear"/>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思源路</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hd w:val="clear"/>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41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hd w:val="clear"/>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150W</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hd w:val="clear"/>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60W</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hd w:val="clear"/>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信联街</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hd w:val="clear"/>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78</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hd w:val="clear"/>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150W</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hd w:val="clear"/>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60W</w:t>
            </w:r>
          </w:p>
        </w:tc>
      </w:tr>
      <w:tr>
        <w:tblPrEx>
          <w:tblCellMar>
            <w:top w:w="0" w:type="dxa"/>
            <w:left w:w="108" w:type="dxa"/>
            <w:bottom w:w="0" w:type="dxa"/>
            <w:right w:w="108" w:type="dxa"/>
          </w:tblCellMar>
        </w:tblPrEx>
        <w:trPr>
          <w:trHeight w:val="476"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hd w:val="clear"/>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大通路</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hd w:val="clear"/>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64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hd w:val="clear"/>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150W</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hd w:val="clear"/>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60W</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hd w:val="clear"/>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金桥路</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hd w:val="clear"/>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50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hd w:val="clear"/>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150W</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hd w:val="clear"/>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60W</w:t>
            </w:r>
          </w:p>
        </w:tc>
      </w:tr>
      <w:tr>
        <w:tblPrEx>
          <w:tblCellMar>
            <w:top w:w="0" w:type="dxa"/>
            <w:left w:w="108" w:type="dxa"/>
            <w:bottom w:w="0" w:type="dxa"/>
            <w:right w:w="108" w:type="dxa"/>
          </w:tblCellMar>
        </w:tblPrEx>
        <w:trPr>
          <w:trHeight w:val="476"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hd w:val="clear"/>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神力大道</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hd w:val="clear"/>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16</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hd w:val="clear"/>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150W</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hd w:val="clear"/>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60W</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hd w:val="clear"/>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金鳞路</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hd w:val="clear"/>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34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hd w:val="clear"/>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150W</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hd w:val="clear"/>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60W</w:t>
            </w:r>
          </w:p>
        </w:tc>
      </w:tr>
      <w:tr>
        <w:tblPrEx>
          <w:tblCellMar>
            <w:top w:w="0" w:type="dxa"/>
            <w:left w:w="108" w:type="dxa"/>
            <w:bottom w:w="0" w:type="dxa"/>
            <w:right w:w="108" w:type="dxa"/>
          </w:tblCellMar>
        </w:tblPrEx>
        <w:trPr>
          <w:trHeight w:val="476"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hd w:val="clear"/>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竺阳路</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hd w:val="clear"/>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37</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hd w:val="clear"/>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150W</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hd w:val="clear"/>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60W</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hd w:val="clear"/>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金泰路</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hd w:val="clear"/>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21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hd w:val="clear"/>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150W</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hd w:val="clear"/>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60W</w:t>
            </w:r>
          </w:p>
        </w:tc>
      </w:tr>
      <w:tr>
        <w:tblPrEx>
          <w:tblCellMar>
            <w:top w:w="0" w:type="dxa"/>
            <w:left w:w="108" w:type="dxa"/>
            <w:bottom w:w="0" w:type="dxa"/>
            <w:right w:w="108" w:type="dxa"/>
          </w:tblCellMar>
        </w:tblPrEx>
        <w:trPr>
          <w:trHeight w:val="476"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hd w:val="clear"/>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花仙路</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hd w:val="clear"/>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41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hd w:val="clear"/>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150W</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hd w:val="clear"/>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60W</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hd w:val="clear"/>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华盛南路</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hd w:val="clear"/>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19</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hd w:val="clear"/>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150W</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hd w:val="clear"/>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60W</w:t>
            </w:r>
          </w:p>
        </w:tc>
      </w:tr>
      <w:tr>
        <w:tblPrEx>
          <w:tblCellMar>
            <w:top w:w="0" w:type="dxa"/>
            <w:left w:w="108" w:type="dxa"/>
            <w:bottom w:w="0" w:type="dxa"/>
            <w:right w:w="108" w:type="dxa"/>
          </w:tblCellMar>
        </w:tblPrEx>
        <w:trPr>
          <w:trHeight w:val="476"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hd w:val="clear"/>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诚信大道</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hd w:val="clear"/>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56</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hd w:val="clear"/>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150W</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hd w:val="clear"/>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60W</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hd w:val="clear"/>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中新街</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hd w:val="clear"/>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39</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hd w:val="clear"/>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150W</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hd w:val="clear"/>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60W</w:t>
            </w:r>
          </w:p>
        </w:tc>
      </w:tr>
      <w:tr>
        <w:tblPrEx>
          <w:tblCellMar>
            <w:top w:w="0" w:type="dxa"/>
            <w:left w:w="108" w:type="dxa"/>
            <w:bottom w:w="0" w:type="dxa"/>
            <w:right w:w="108" w:type="dxa"/>
          </w:tblCellMar>
        </w:tblPrEx>
        <w:trPr>
          <w:trHeight w:val="476"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hd w:val="clear"/>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恒德路</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hd w:val="clear"/>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22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hd w:val="clear"/>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150W</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hd w:val="clear"/>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60W</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hd w:val="clear"/>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六中东门</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hd w:val="clear"/>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8</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hd w:val="clear"/>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150W</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hd w:val="clear"/>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60W</w:t>
            </w:r>
          </w:p>
        </w:tc>
      </w:tr>
      <w:tr>
        <w:tblPrEx>
          <w:tblCellMar>
            <w:top w:w="0" w:type="dxa"/>
            <w:left w:w="108" w:type="dxa"/>
            <w:bottom w:w="0" w:type="dxa"/>
            <w:right w:w="108" w:type="dxa"/>
          </w:tblCellMar>
        </w:tblPrEx>
        <w:trPr>
          <w:trHeight w:val="476"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hd w:val="clear"/>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宝丰路</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hd w:val="clear"/>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25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hd w:val="clear"/>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150W</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hd w:val="clear"/>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60W</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hd w:val="clear"/>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中新街东</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hd w:val="clear"/>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19</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hd w:val="clear"/>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150W</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hd w:val="clear"/>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60W</w:t>
            </w:r>
          </w:p>
        </w:tc>
      </w:tr>
      <w:tr>
        <w:tblPrEx>
          <w:tblCellMar>
            <w:top w:w="0" w:type="dxa"/>
            <w:left w:w="108" w:type="dxa"/>
            <w:bottom w:w="0" w:type="dxa"/>
            <w:right w:w="108" w:type="dxa"/>
          </w:tblCellMar>
        </w:tblPrEx>
        <w:trPr>
          <w:trHeight w:val="476"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hd w:val="clear"/>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永乐路</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hd w:val="clear"/>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18</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hd w:val="clear"/>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150W</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hd w:val="clear"/>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60W</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hd w:val="clear"/>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长宁路</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hd w:val="clear"/>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9</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hd w:val="clear"/>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150W</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hd w:val="clear"/>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60W</w:t>
            </w:r>
          </w:p>
        </w:tc>
      </w:tr>
      <w:tr>
        <w:tblPrEx>
          <w:tblCellMar>
            <w:top w:w="0" w:type="dxa"/>
            <w:left w:w="108" w:type="dxa"/>
            <w:bottom w:w="0" w:type="dxa"/>
            <w:right w:w="108" w:type="dxa"/>
          </w:tblCellMar>
        </w:tblPrEx>
        <w:trPr>
          <w:trHeight w:val="476"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hd w:val="clear"/>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旺达路</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hd w:val="clear"/>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6</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hd w:val="clear"/>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150W</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hd w:val="clear"/>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60W</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hd w:val="clear"/>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兴民路</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hd w:val="clear"/>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15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hd w:val="clear"/>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150W</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hd w:val="clear"/>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60W</w:t>
            </w:r>
          </w:p>
        </w:tc>
      </w:tr>
      <w:tr>
        <w:tblPrEx>
          <w:tblCellMar>
            <w:top w:w="0" w:type="dxa"/>
            <w:left w:w="108" w:type="dxa"/>
            <w:bottom w:w="0" w:type="dxa"/>
            <w:right w:w="108" w:type="dxa"/>
          </w:tblCellMar>
        </w:tblPrEx>
        <w:trPr>
          <w:trHeight w:val="476"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hd w:val="clear"/>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陈陀北</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hd w:val="clear"/>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15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hd w:val="clear"/>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150W</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hd w:val="clear"/>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60W</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hd w:val="clear"/>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梅林大道</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hd w:val="clear"/>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137</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hd w:val="clear"/>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150W</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hd w:val="clear"/>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60W</w:t>
            </w:r>
          </w:p>
        </w:tc>
      </w:tr>
      <w:tr>
        <w:tblPrEx>
          <w:tblCellMar>
            <w:top w:w="0" w:type="dxa"/>
            <w:left w:w="108" w:type="dxa"/>
            <w:bottom w:w="0" w:type="dxa"/>
            <w:right w:w="108" w:type="dxa"/>
          </w:tblCellMar>
        </w:tblPrEx>
        <w:trPr>
          <w:trHeight w:val="476"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hd w:val="clear"/>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武梅二街</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hd w:val="clear"/>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40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hd w:val="clear"/>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150W</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hd w:val="clear"/>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60W</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hd w:val="clear"/>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金鳞南门</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hd w:val="clear"/>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9</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hd w:val="clear"/>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150W</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hd w:val="clear"/>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60W</w:t>
            </w:r>
          </w:p>
        </w:tc>
      </w:tr>
      <w:tr>
        <w:tblPrEx>
          <w:tblCellMar>
            <w:top w:w="0" w:type="dxa"/>
            <w:left w:w="108" w:type="dxa"/>
            <w:bottom w:w="0" w:type="dxa"/>
            <w:right w:w="108" w:type="dxa"/>
          </w:tblCellMar>
        </w:tblPrEx>
        <w:trPr>
          <w:trHeight w:val="476"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hd w:val="clear"/>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惠民路</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hd w:val="clear"/>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94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hd w:val="clear"/>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150W</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hd w:val="clear"/>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60W</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hd w:val="clear"/>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后乐西</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hd w:val="clear"/>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14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hd w:val="clear"/>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150W</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hd w:val="clear"/>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60W</w:t>
            </w:r>
          </w:p>
        </w:tc>
      </w:tr>
      <w:tr>
        <w:tblPrEx>
          <w:tblCellMar>
            <w:top w:w="0" w:type="dxa"/>
            <w:left w:w="108" w:type="dxa"/>
            <w:bottom w:w="0" w:type="dxa"/>
            <w:right w:w="108" w:type="dxa"/>
          </w:tblCellMar>
        </w:tblPrEx>
        <w:trPr>
          <w:trHeight w:val="476"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hd w:val="clear"/>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安商路</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hd w:val="clear"/>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30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hd w:val="clear"/>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150W</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hd w:val="clear"/>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60W</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hd w:val="clear"/>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草湖塘</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hd w:val="clear"/>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hd w:val="clear"/>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150W</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hd w:val="clear"/>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60W</w:t>
            </w:r>
          </w:p>
        </w:tc>
      </w:tr>
      <w:tr>
        <w:tblPrEx>
          <w:tblCellMar>
            <w:top w:w="0" w:type="dxa"/>
            <w:left w:w="108" w:type="dxa"/>
            <w:bottom w:w="0" w:type="dxa"/>
            <w:right w:w="108" w:type="dxa"/>
          </w:tblCellMar>
        </w:tblPrEx>
        <w:trPr>
          <w:trHeight w:val="476"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hd w:val="clear"/>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德民路</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hd w:val="clear"/>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hd w:val="clear"/>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150W</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hd w:val="clear"/>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60W</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hd w:val="clear"/>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开金一街</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hd w:val="clear"/>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16</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hd w:val="clear"/>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150W</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hd w:val="clear"/>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60W</w:t>
            </w:r>
          </w:p>
        </w:tc>
      </w:tr>
      <w:tr>
        <w:tblPrEx>
          <w:tblCellMar>
            <w:top w:w="0" w:type="dxa"/>
            <w:left w:w="108" w:type="dxa"/>
            <w:bottom w:w="0" w:type="dxa"/>
            <w:right w:w="108" w:type="dxa"/>
          </w:tblCellMar>
        </w:tblPrEx>
        <w:trPr>
          <w:trHeight w:val="476"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hd w:val="clear"/>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宜商路</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hd w:val="clear"/>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20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hd w:val="clear"/>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150W</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hd w:val="clear"/>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60W</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hd w:val="clear"/>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开金二街</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hd w:val="clear"/>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9</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hd w:val="clear"/>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150W</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hd w:val="clear"/>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60W</w:t>
            </w:r>
          </w:p>
        </w:tc>
      </w:tr>
      <w:tr>
        <w:tblPrEx>
          <w:tblCellMar>
            <w:top w:w="0" w:type="dxa"/>
            <w:left w:w="108" w:type="dxa"/>
            <w:bottom w:w="0" w:type="dxa"/>
            <w:right w:w="108" w:type="dxa"/>
          </w:tblCellMar>
        </w:tblPrEx>
        <w:trPr>
          <w:trHeight w:val="476"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hd w:val="clear"/>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富商路</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hd w:val="clear"/>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27</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hd w:val="clear"/>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250W</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hd w:val="clear"/>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120W</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hd w:val="clear"/>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盘溪路</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hd w:val="clear"/>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24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hd w:val="clear"/>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150W</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hd w:val="clear"/>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60W</w:t>
            </w:r>
          </w:p>
        </w:tc>
      </w:tr>
      <w:tr>
        <w:tblPrEx>
          <w:tblCellMar>
            <w:top w:w="0" w:type="dxa"/>
            <w:left w:w="108" w:type="dxa"/>
            <w:bottom w:w="0" w:type="dxa"/>
            <w:right w:w="108" w:type="dxa"/>
          </w:tblCellMar>
        </w:tblPrEx>
        <w:trPr>
          <w:trHeight w:val="476"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hd w:val="clear"/>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康民路</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hd w:val="clear"/>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22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hd w:val="clear"/>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250W8个 150W14个</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hd w:val="clear"/>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120W8个 60W14个</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hd w:val="clear"/>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武溪路</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hd w:val="clear"/>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17</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hd w:val="clear"/>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150W</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hd w:val="clear"/>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60W</w:t>
            </w:r>
          </w:p>
        </w:tc>
      </w:tr>
      <w:tr>
        <w:tblPrEx>
          <w:tblCellMar>
            <w:top w:w="0" w:type="dxa"/>
            <w:left w:w="108" w:type="dxa"/>
            <w:bottom w:w="0" w:type="dxa"/>
            <w:right w:w="108" w:type="dxa"/>
          </w:tblCellMar>
        </w:tblPrEx>
        <w:trPr>
          <w:trHeight w:val="476"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hd w:val="clear"/>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标准厂房</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hd w:val="clear"/>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18</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hd w:val="clear"/>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150W</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hd w:val="clear"/>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60W</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hd w:val="clear"/>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上社区西</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hd w:val="clear"/>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13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hd w:val="clear"/>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150W</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hd w:val="clear"/>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60W</w:t>
            </w:r>
          </w:p>
        </w:tc>
      </w:tr>
      <w:tr>
        <w:tblPrEx>
          <w:tblCellMar>
            <w:top w:w="0" w:type="dxa"/>
            <w:left w:w="108" w:type="dxa"/>
            <w:bottom w:w="0" w:type="dxa"/>
            <w:right w:w="108" w:type="dxa"/>
          </w:tblCellMar>
        </w:tblPrEx>
        <w:trPr>
          <w:trHeight w:val="476"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hd w:val="clear"/>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牛清塘</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hd w:val="clear"/>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hd w:val="clear"/>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150W</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hd w:val="clear"/>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60W</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hd w:val="clear"/>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后溪路</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hd w:val="clear"/>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16</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hd w:val="clear"/>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150W</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hd w:val="clear"/>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60W</w:t>
            </w:r>
          </w:p>
        </w:tc>
      </w:tr>
      <w:tr>
        <w:tblPrEx>
          <w:tblCellMar>
            <w:top w:w="0" w:type="dxa"/>
            <w:left w:w="108" w:type="dxa"/>
            <w:bottom w:w="0" w:type="dxa"/>
            <w:right w:w="108" w:type="dxa"/>
          </w:tblCellMar>
        </w:tblPrEx>
        <w:trPr>
          <w:trHeight w:val="476"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hd w:val="clear"/>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乾元路</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hd w:val="clear"/>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64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hd w:val="clear"/>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150W</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hd w:val="clear"/>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60W</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hd w:val="clear"/>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银海路</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hd w:val="clear"/>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47</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hd w:val="clear"/>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150W</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hd w:val="clear"/>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60W</w:t>
            </w:r>
          </w:p>
        </w:tc>
      </w:tr>
      <w:tr>
        <w:tblPrEx>
          <w:tblCellMar>
            <w:top w:w="0" w:type="dxa"/>
            <w:left w:w="108" w:type="dxa"/>
            <w:bottom w:w="0" w:type="dxa"/>
            <w:right w:w="108" w:type="dxa"/>
          </w:tblCellMar>
        </w:tblPrEx>
        <w:trPr>
          <w:trHeight w:val="476"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hd w:val="clear"/>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武梅一街</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hd w:val="clear"/>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14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hd w:val="clear"/>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150W</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hd w:val="clear"/>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60W</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hd w:val="clear"/>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宝元路</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hd w:val="clear"/>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15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hd w:val="clear"/>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150W</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hd w:val="clear"/>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60W</w:t>
            </w:r>
          </w:p>
        </w:tc>
      </w:tr>
      <w:tr>
        <w:tblPrEx>
          <w:tblCellMar>
            <w:top w:w="0" w:type="dxa"/>
            <w:left w:w="108" w:type="dxa"/>
            <w:bottom w:w="0" w:type="dxa"/>
            <w:right w:w="108" w:type="dxa"/>
          </w:tblCellMar>
        </w:tblPrEx>
        <w:trPr>
          <w:trHeight w:val="476"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hd w:val="clear"/>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武岩北路</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hd w:val="clear"/>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38</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hd w:val="clear"/>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250W</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hd w:val="clear"/>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120W</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hd w:val="clear"/>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龙潭路</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hd w:val="clear"/>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47</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hd w:val="clear"/>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150W</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hd w:val="clear"/>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60W</w:t>
            </w:r>
          </w:p>
        </w:tc>
      </w:tr>
      <w:tr>
        <w:tblPrEx>
          <w:tblCellMar>
            <w:top w:w="0" w:type="dxa"/>
            <w:left w:w="108" w:type="dxa"/>
            <w:bottom w:w="0" w:type="dxa"/>
            <w:right w:w="108" w:type="dxa"/>
          </w:tblCellMar>
        </w:tblPrEx>
        <w:trPr>
          <w:trHeight w:val="476"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hd w:val="clear"/>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武溪北路</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hd w:val="clear"/>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57</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hd w:val="clear"/>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250W</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hd w:val="clear"/>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120W</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hd w:val="clear"/>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武康路</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hd w:val="clear"/>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59</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hd w:val="clear"/>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150W</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hd w:val="clear"/>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60W</w:t>
            </w:r>
          </w:p>
        </w:tc>
      </w:tr>
      <w:tr>
        <w:tblPrEx>
          <w:tblCellMar>
            <w:top w:w="0" w:type="dxa"/>
            <w:left w:w="108" w:type="dxa"/>
            <w:bottom w:w="0" w:type="dxa"/>
            <w:right w:w="108" w:type="dxa"/>
          </w:tblCellMar>
        </w:tblPrEx>
        <w:trPr>
          <w:trHeight w:val="476"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hd w:val="clear"/>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西田畈东</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hd w:val="clear"/>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9</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hd w:val="clear"/>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150W</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hd w:val="clear"/>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60W</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hd w:val="clear"/>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拨浪鼓广场</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hd w:val="clear"/>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16</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hd w:val="clear"/>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150W</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hd w:val="clear"/>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60W</w:t>
            </w:r>
          </w:p>
        </w:tc>
      </w:tr>
      <w:tr>
        <w:tblPrEx>
          <w:tblCellMar>
            <w:top w:w="0" w:type="dxa"/>
            <w:left w:w="108" w:type="dxa"/>
            <w:bottom w:w="0" w:type="dxa"/>
            <w:right w:w="108" w:type="dxa"/>
          </w:tblCellMar>
        </w:tblPrEx>
        <w:trPr>
          <w:trHeight w:val="498"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hd w:val="clear"/>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桥头</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hd w:val="clear"/>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hd w:val="clear"/>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150W</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hd w:val="clear"/>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60W</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shd w:val="clear"/>
              <w:jc w:val="center"/>
              <w:rPr>
                <w:rFonts w:ascii="宋体" w:hAnsi="宋体" w:cs="宋体"/>
                <w:color w:val="auto"/>
                <w:sz w:val="22"/>
                <w:szCs w:val="22"/>
                <w:highlight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shd w:val="clear"/>
              <w:jc w:val="center"/>
              <w:rPr>
                <w:rFonts w:ascii="宋体" w:hAnsi="宋体" w:cs="宋体"/>
                <w:color w:val="auto"/>
                <w:sz w:val="22"/>
                <w:szCs w:val="22"/>
                <w:highlight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shd w:val="clear"/>
              <w:jc w:val="center"/>
              <w:rPr>
                <w:rFonts w:ascii="宋体" w:hAnsi="宋体" w:cs="宋体"/>
                <w:color w:val="auto"/>
                <w:sz w:val="22"/>
                <w:szCs w:val="22"/>
                <w:highlight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shd w:val="clear"/>
              <w:jc w:val="center"/>
              <w:rPr>
                <w:rFonts w:ascii="宋体" w:hAnsi="宋体" w:cs="宋体"/>
                <w:color w:val="auto"/>
                <w:sz w:val="22"/>
                <w:szCs w:val="22"/>
                <w:highlight w:val="none"/>
              </w:rPr>
            </w:pPr>
          </w:p>
        </w:tc>
      </w:tr>
    </w:tbl>
    <w:p>
      <w:pPr>
        <w:pStyle w:val="5"/>
        <w:shd w:val="clear"/>
        <w:rPr>
          <w:rFonts w:ascii="宋体" w:hAnsi="宋体" w:cs="宋体"/>
          <w:color w:val="auto"/>
          <w:highlight w:val="none"/>
        </w:rPr>
        <w:sectPr>
          <w:pgSz w:w="16838" w:h="11906" w:orient="landscape"/>
          <w:pgMar w:top="1418" w:right="1191" w:bottom="1134" w:left="1134" w:header="851" w:footer="992" w:gutter="0"/>
          <w:pgNumType w:fmt="decimal"/>
          <w:cols w:space="720" w:num="1"/>
          <w:titlePg/>
          <w:docGrid w:type="lines" w:linePitch="312" w:charSpace="0"/>
        </w:sectPr>
      </w:pPr>
    </w:p>
    <w:p>
      <w:pPr>
        <w:pStyle w:val="5"/>
        <w:numPr>
          <w:ilvl w:val="0"/>
          <w:numId w:val="2"/>
        </w:numPr>
        <w:shd w:val="clear"/>
        <w:spacing w:before="0" w:after="0" w:line="360" w:lineRule="auto"/>
        <w:jc w:val="center"/>
        <w:rPr>
          <w:rFonts w:ascii="宋体" w:hAnsi="宋体" w:cs="宋体"/>
          <w:color w:val="auto"/>
          <w:sz w:val="36"/>
          <w:highlight w:val="none"/>
        </w:rPr>
      </w:pPr>
      <w:bookmarkStart w:id="89" w:name="_Toc1819"/>
      <w:r>
        <w:rPr>
          <w:rFonts w:hint="eastAsia" w:ascii="宋体" w:hAnsi="宋体" w:cs="宋体"/>
          <w:color w:val="auto"/>
          <w:sz w:val="36"/>
          <w:highlight w:val="none"/>
        </w:rPr>
        <w:t>开标、评标和定标须知</w:t>
      </w:r>
      <w:bookmarkEnd w:id="39"/>
      <w:bookmarkEnd w:id="40"/>
      <w:bookmarkEnd w:id="41"/>
      <w:bookmarkEnd w:id="42"/>
      <w:bookmarkEnd w:id="89"/>
    </w:p>
    <w:p>
      <w:pPr>
        <w:pStyle w:val="6"/>
        <w:shd w:val="clear"/>
        <w:snapToGrid w:val="0"/>
        <w:spacing w:before="120" w:after="120" w:line="360" w:lineRule="auto"/>
        <w:rPr>
          <w:rFonts w:ascii="宋体" w:hAnsi="宋体" w:eastAsia="宋体" w:cs="宋体"/>
          <w:color w:val="auto"/>
          <w:sz w:val="28"/>
          <w:szCs w:val="28"/>
          <w:highlight w:val="none"/>
        </w:rPr>
      </w:pPr>
      <w:bookmarkStart w:id="90" w:name="_Toc362250704"/>
      <w:bookmarkStart w:id="91" w:name="_Toc24286"/>
      <w:bookmarkStart w:id="92" w:name="_Toc17706"/>
      <w:bookmarkStart w:id="93" w:name="_Toc274303252"/>
      <w:bookmarkStart w:id="94" w:name="_Toc32675"/>
      <w:r>
        <w:rPr>
          <w:rFonts w:hint="eastAsia" w:ascii="宋体" w:hAnsi="宋体" w:eastAsia="宋体" w:cs="宋体"/>
          <w:color w:val="auto"/>
          <w:sz w:val="28"/>
          <w:szCs w:val="28"/>
          <w:highlight w:val="none"/>
        </w:rPr>
        <w:t>一、开标</w:t>
      </w:r>
      <w:bookmarkEnd w:id="90"/>
      <w:bookmarkEnd w:id="91"/>
      <w:bookmarkEnd w:id="92"/>
      <w:bookmarkEnd w:id="93"/>
      <w:bookmarkEnd w:id="94"/>
    </w:p>
    <w:p>
      <w:pPr>
        <w:shd w:val="clear"/>
        <w:snapToGrid w:val="0"/>
        <w:spacing w:line="360" w:lineRule="auto"/>
        <w:ind w:firstLine="480" w:firstLineChars="200"/>
        <w:rPr>
          <w:rFonts w:ascii="宋体" w:hAnsi="宋体" w:cs="宋体"/>
          <w:color w:val="auto"/>
          <w:sz w:val="24"/>
          <w:highlight w:val="none"/>
        </w:rPr>
      </w:pPr>
      <w:bookmarkStart w:id="95" w:name="_Toc362250705"/>
      <w:bookmarkStart w:id="96" w:name="_Toc263090375"/>
      <w:bookmarkStart w:id="97" w:name="_Toc274303253"/>
      <w:bookmarkStart w:id="98" w:name="_Toc226973002"/>
      <w:bookmarkStart w:id="99" w:name="_Toc261519847"/>
      <w:r>
        <w:rPr>
          <w:rFonts w:hint="eastAsia" w:ascii="宋体" w:hAnsi="宋体" w:cs="宋体"/>
          <w:color w:val="auto"/>
          <w:sz w:val="24"/>
          <w:highlight w:val="none"/>
        </w:rPr>
        <w:t>1.本项目实行电子开评标，投标方无需前往开评标现场，只需在投标截止时间前在“政采云”平台上上传电子加密投标文件。</w:t>
      </w:r>
    </w:p>
    <w:p>
      <w:pPr>
        <w:shd w:val="clea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2.电子开评标及评审程序</w:t>
      </w:r>
    </w:p>
    <w:p>
      <w:pPr>
        <w:shd w:val="clea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2.1投标截止时间招标人在政采云平台发出解密指令，投标人在接到解密指令后的1小时内（开标当日</w:t>
      </w:r>
      <w:r>
        <w:rPr>
          <w:rFonts w:hint="eastAsia" w:ascii="宋体" w:hAnsi="宋体" w:cs="宋体"/>
          <w:color w:val="auto"/>
          <w:sz w:val="24"/>
          <w:highlight w:val="none"/>
          <w:lang w:val="en-US" w:eastAsia="zh-CN"/>
        </w:rPr>
        <w:t>9</w:t>
      </w:r>
      <w:r>
        <w:rPr>
          <w:rFonts w:hint="eastAsia" w:ascii="宋体" w:hAnsi="宋体" w:cs="宋体"/>
          <w:color w:val="auto"/>
          <w:sz w:val="24"/>
          <w:highlight w:val="none"/>
        </w:rPr>
        <w:t>:</w:t>
      </w:r>
      <w:r>
        <w:rPr>
          <w:rFonts w:hint="eastAsia" w:ascii="宋体" w:hAnsi="宋体" w:cs="宋体"/>
          <w:color w:val="auto"/>
          <w:sz w:val="24"/>
          <w:highlight w:val="none"/>
          <w:lang w:val="en-US" w:eastAsia="zh-CN"/>
        </w:rPr>
        <w:t>30</w:t>
      </w:r>
      <w:r>
        <w:rPr>
          <w:rFonts w:hint="eastAsia" w:ascii="宋体" w:hAnsi="宋体" w:cs="宋体"/>
          <w:color w:val="auto"/>
          <w:sz w:val="24"/>
          <w:highlight w:val="none"/>
        </w:rPr>
        <w:t>-</w:t>
      </w:r>
      <w:r>
        <w:rPr>
          <w:rFonts w:hint="eastAsia" w:ascii="宋体" w:hAnsi="宋体" w:cs="宋体"/>
          <w:color w:val="auto"/>
          <w:sz w:val="24"/>
          <w:highlight w:val="none"/>
          <w:lang w:val="en-US" w:eastAsia="zh-CN"/>
        </w:rPr>
        <w:t>10</w:t>
      </w:r>
      <w:r>
        <w:rPr>
          <w:rFonts w:hint="eastAsia" w:ascii="宋体" w:hAnsi="宋体" w:cs="宋体"/>
          <w:color w:val="auto"/>
          <w:sz w:val="24"/>
          <w:highlight w:val="none"/>
        </w:rPr>
        <w:t>:</w:t>
      </w:r>
      <w:r>
        <w:rPr>
          <w:rFonts w:hint="eastAsia" w:ascii="宋体" w:hAnsi="宋体" w:cs="宋体"/>
          <w:color w:val="auto"/>
          <w:sz w:val="24"/>
          <w:highlight w:val="none"/>
          <w:lang w:val="en-US" w:eastAsia="zh-CN"/>
        </w:rPr>
        <w:t>30</w:t>
      </w:r>
      <w:r>
        <w:rPr>
          <w:rFonts w:hint="eastAsia" w:ascii="宋体" w:hAnsi="宋体" w:cs="宋体"/>
          <w:color w:val="auto"/>
          <w:sz w:val="24"/>
          <w:highlight w:val="none"/>
        </w:rPr>
        <w:t xml:space="preserve">）登录政采云平台自行对电子投标文件进行解密【请各投标人务必在规定时间内完成电子投标文件的解密工作，在电子开评标期间，投标人（授权代表）需确保在各自所在的区域具备上网的技术条件并保持网络及联系方式畅通】，同时为避免出现意外，建议全程由一台电脑进行操作（包括标书制作、上传、解密等），中途不要更换电脑； </w:t>
      </w:r>
    </w:p>
    <w:p>
      <w:pPr>
        <w:shd w:val="clea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2.2评标小组对投标方的资格和技术响应文件进行评审；</w:t>
      </w:r>
    </w:p>
    <w:p>
      <w:pPr>
        <w:shd w:val="clea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2.3评标小组对报价情况进行评审；</w:t>
      </w:r>
    </w:p>
    <w:p>
      <w:pPr>
        <w:shd w:val="clea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2.4在系统上公布评审结果。</w:t>
      </w:r>
    </w:p>
    <w:p>
      <w:pPr>
        <w:shd w:val="clea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特别说明：政采云公司如对电子化开标及评审程序有调整的，按调整后的程序操作。</w:t>
      </w:r>
    </w:p>
    <w:p>
      <w:pPr>
        <w:pStyle w:val="6"/>
        <w:shd w:val="clear"/>
        <w:snapToGrid w:val="0"/>
        <w:spacing w:before="120" w:after="120" w:line="360" w:lineRule="auto"/>
        <w:rPr>
          <w:rFonts w:ascii="宋体" w:hAnsi="宋体" w:eastAsia="宋体" w:cs="宋体"/>
          <w:color w:val="auto"/>
          <w:sz w:val="28"/>
          <w:szCs w:val="28"/>
          <w:highlight w:val="none"/>
        </w:rPr>
      </w:pPr>
      <w:bookmarkStart w:id="100" w:name="_Toc30988"/>
      <w:bookmarkStart w:id="101" w:name="_Toc12059"/>
      <w:bookmarkStart w:id="102" w:name="_Toc7234"/>
      <w:r>
        <w:rPr>
          <w:rFonts w:hint="eastAsia" w:ascii="宋体" w:hAnsi="宋体" w:eastAsia="宋体" w:cs="宋体"/>
          <w:color w:val="auto"/>
          <w:sz w:val="28"/>
          <w:szCs w:val="28"/>
          <w:highlight w:val="none"/>
        </w:rPr>
        <w:t>二、评标</w:t>
      </w:r>
      <w:bookmarkEnd w:id="95"/>
      <w:bookmarkEnd w:id="96"/>
      <w:bookmarkEnd w:id="97"/>
      <w:bookmarkEnd w:id="98"/>
      <w:bookmarkEnd w:id="99"/>
      <w:bookmarkEnd w:id="100"/>
      <w:bookmarkEnd w:id="101"/>
      <w:bookmarkEnd w:id="102"/>
    </w:p>
    <w:p>
      <w:pPr>
        <w:shd w:val="clear"/>
        <w:snapToGrid w:val="0"/>
        <w:spacing w:line="360" w:lineRule="auto"/>
        <w:ind w:firstLine="480"/>
        <w:rPr>
          <w:rFonts w:ascii="宋体" w:hAnsi="宋体" w:cs="宋体"/>
          <w:b/>
          <w:color w:val="auto"/>
          <w:kern w:val="0"/>
          <w:sz w:val="24"/>
          <w:highlight w:val="none"/>
        </w:rPr>
      </w:pPr>
      <w:r>
        <w:rPr>
          <w:rFonts w:hint="eastAsia" w:ascii="宋体" w:hAnsi="宋体" w:cs="宋体"/>
          <w:b/>
          <w:color w:val="auto"/>
          <w:kern w:val="0"/>
          <w:sz w:val="24"/>
          <w:highlight w:val="none"/>
        </w:rPr>
        <w:t>3</w:t>
      </w:r>
      <w:r>
        <w:rPr>
          <w:rFonts w:hint="eastAsia" w:ascii="宋体" w:hAnsi="宋体" w:cs="宋体"/>
          <w:color w:val="auto"/>
          <w:sz w:val="24"/>
          <w:highlight w:val="none"/>
        </w:rPr>
        <w:t>.</w:t>
      </w:r>
      <w:r>
        <w:rPr>
          <w:rFonts w:hint="eastAsia" w:ascii="宋体" w:hAnsi="宋体" w:cs="宋体"/>
          <w:b/>
          <w:color w:val="auto"/>
          <w:kern w:val="0"/>
          <w:sz w:val="24"/>
          <w:highlight w:val="none"/>
        </w:rPr>
        <w:t>评标小组</w:t>
      </w:r>
    </w:p>
    <w:p>
      <w:pPr>
        <w:shd w:val="clea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3.1 评标小组将根据招标采购项目的特点确定。其成员由技术、经济等方面专家和采购人代表5人及以上单数组成。评标小组对投标文件进行审查、质疑、评估和比较。</w:t>
      </w:r>
    </w:p>
    <w:p>
      <w:pPr>
        <w:shd w:val="clear"/>
        <w:snapToGrid w:val="0"/>
        <w:spacing w:line="360" w:lineRule="auto"/>
        <w:ind w:firstLine="480"/>
        <w:rPr>
          <w:rFonts w:ascii="宋体" w:hAnsi="宋体" w:cs="宋体"/>
          <w:b/>
          <w:color w:val="auto"/>
          <w:sz w:val="24"/>
          <w:highlight w:val="none"/>
        </w:rPr>
      </w:pPr>
      <w:r>
        <w:rPr>
          <w:rFonts w:hint="eastAsia" w:ascii="宋体" w:hAnsi="宋体" w:cs="宋体"/>
          <w:b/>
          <w:color w:val="auto"/>
          <w:sz w:val="24"/>
          <w:highlight w:val="none"/>
        </w:rPr>
        <w:t>4</w:t>
      </w:r>
      <w:r>
        <w:rPr>
          <w:rFonts w:hint="eastAsia" w:ascii="宋体" w:hAnsi="宋体" w:cs="宋体"/>
          <w:color w:val="auto"/>
          <w:sz w:val="24"/>
          <w:highlight w:val="none"/>
        </w:rPr>
        <w:t>.</w:t>
      </w:r>
      <w:r>
        <w:rPr>
          <w:rFonts w:hint="eastAsia" w:ascii="宋体" w:hAnsi="宋体" w:cs="宋体"/>
          <w:b/>
          <w:color w:val="auto"/>
          <w:sz w:val="24"/>
          <w:highlight w:val="none"/>
        </w:rPr>
        <w:t>评标原则</w:t>
      </w:r>
    </w:p>
    <w:p>
      <w:pPr>
        <w:shd w:val="clea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4.1评标小组将遵循客观、公正、审慎的原则，严格遵守评标工作纪律。</w:t>
      </w:r>
    </w:p>
    <w:p>
      <w:pPr>
        <w:shd w:val="clear"/>
        <w:snapToGrid w:val="0"/>
        <w:spacing w:line="360" w:lineRule="auto"/>
        <w:ind w:firstLine="480"/>
        <w:rPr>
          <w:rFonts w:ascii="宋体" w:hAnsi="宋体" w:cs="宋体"/>
          <w:bCs/>
          <w:color w:val="auto"/>
          <w:sz w:val="24"/>
          <w:highlight w:val="none"/>
        </w:rPr>
      </w:pPr>
      <w:r>
        <w:rPr>
          <w:rFonts w:hint="eastAsia" w:ascii="宋体" w:hAnsi="宋体" w:cs="宋体"/>
          <w:color w:val="auto"/>
          <w:sz w:val="24"/>
          <w:highlight w:val="none"/>
        </w:rPr>
        <w:t>4.2</w:t>
      </w:r>
      <w:r>
        <w:rPr>
          <w:rFonts w:hint="eastAsia" w:ascii="宋体" w:hAnsi="宋体" w:cs="宋体"/>
          <w:bCs/>
          <w:color w:val="auto"/>
          <w:sz w:val="24"/>
          <w:highlight w:val="none"/>
        </w:rPr>
        <w:t>先评技术标，再评商务标。</w:t>
      </w:r>
    </w:p>
    <w:p>
      <w:pPr>
        <w:shd w:val="clear"/>
        <w:snapToGrid w:val="0"/>
        <w:spacing w:line="360" w:lineRule="auto"/>
        <w:ind w:firstLine="480"/>
        <w:rPr>
          <w:rFonts w:ascii="宋体" w:hAnsi="宋体" w:cs="宋体"/>
          <w:color w:val="auto"/>
          <w:sz w:val="24"/>
          <w:highlight w:val="none"/>
        </w:rPr>
      </w:pPr>
      <w:r>
        <w:rPr>
          <w:rFonts w:hint="eastAsia" w:ascii="宋体" w:hAnsi="宋体" w:cs="宋体"/>
          <w:bCs/>
          <w:color w:val="auto"/>
          <w:sz w:val="24"/>
          <w:highlight w:val="none"/>
        </w:rPr>
        <w:t>4.3</w:t>
      </w:r>
      <w:r>
        <w:rPr>
          <w:rFonts w:hint="eastAsia" w:ascii="宋体" w:hAnsi="宋体" w:cs="宋体"/>
          <w:color w:val="auto"/>
          <w:sz w:val="24"/>
          <w:highlight w:val="none"/>
        </w:rPr>
        <w:t>客观公正对待所有投标人，对所有投标评审均采用相同的程序和标准。评标的依据为采购文件和投标文件。</w:t>
      </w:r>
    </w:p>
    <w:p>
      <w:pPr>
        <w:shd w:val="clea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4.4有利于提高投资效益，节约建设资金。</w:t>
      </w:r>
    </w:p>
    <w:p>
      <w:pPr>
        <w:shd w:val="clea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4.5在评标过程中，出现异常或特殊情况时，由评标小组集体讨论决定。</w:t>
      </w:r>
    </w:p>
    <w:p>
      <w:pPr>
        <w:pStyle w:val="13"/>
        <w:shd w:val="clear"/>
        <w:snapToGrid w:val="0"/>
        <w:spacing w:line="360" w:lineRule="auto"/>
        <w:ind w:firstLine="482" w:firstLineChars="200"/>
        <w:rPr>
          <w:rFonts w:hAnsi="宋体" w:cs="宋体"/>
          <w:color w:val="auto"/>
          <w:sz w:val="28"/>
          <w:highlight w:val="none"/>
        </w:rPr>
      </w:pPr>
      <w:r>
        <w:rPr>
          <w:rFonts w:hint="eastAsia" w:hAnsi="宋体" w:cs="宋体"/>
          <w:b/>
          <w:color w:val="auto"/>
          <w:sz w:val="24"/>
          <w:highlight w:val="none"/>
        </w:rPr>
        <w:t>5</w:t>
      </w:r>
      <w:r>
        <w:rPr>
          <w:rFonts w:hint="eastAsia" w:hAnsi="宋体" w:cs="宋体"/>
          <w:color w:val="auto"/>
          <w:sz w:val="24"/>
          <w:szCs w:val="24"/>
          <w:highlight w:val="none"/>
        </w:rPr>
        <w:t>.</w:t>
      </w:r>
      <w:r>
        <w:rPr>
          <w:rFonts w:hint="eastAsia" w:hAnsi="宋体" w:cs="宋体"/>
          <w:b/>
          <w:color w:val="auto"/>
          <w:sz w:val="24"/>
          <w:highlight w:val="none"/>
        </w:rPr>
        <w:t>评标过程的保密</w:t>
      </w:r>
    </w:p>
    <w:p>
      <w:pPr>
        <w:shd w:val="clear"/>
        <w:adjustRightInd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szCs w:val="20"/>
          <w:highlight w:val="none"/>
        </w:rPr>
        <w:t>5.1</w:t>
      </w:r>
      <w:r>
        <w:rPr>
          <w:rFonts w:hint="eastAsia" w:ascii="宋体" w:hAnsi="宋体" w:cs="宋体"/>
          <w:color w:val="auto"/>
          <w:sz w:val="24"/>
          <w:highlight w:val="none"/>
        </w:rPr>
        <w:t>开标后，直至授予中标人合同为止，凡属于对投标文件的审查、澄清、评价和比较等有关的资料以及中标候选人的推荐情况等与评标有关的任何情况均严格保密。</w:t>
      </w:r>
    </w:p>
    <w:p>
      <w:pPr>
        <w:shd w:val="clear"/>
        <w:adjustRightInd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szCs w:val="20"/>
          <w:highlight w:val="none"/>
        </w:rPr>
        <w:t>5.2</w:t>
      </w:r>
      <w:r>
        <w:rPr>
          <w:rFonts w:hint="eastAsia" w:ascii="宋体" w:hAnsi="宋体" w:cs="宋体"/>
          <w:color w:val="auto"/>
          <w:sz w:val="24"/>
          <w:highlight w:val="none"/>
        </w:rPr>
        <w:t>在投标文件的评审和比较、中标候选人推荐以及授予合同的过程中，投标人向采购人和评标小组施加影响的任何行为，都将会导致其投标被拒绝。</w:t>
      </w:r>
    </w:p>
    <w:p>
      <w:pPr>
        <w:pStyle w:val="13"/>
        <w:shd w:val="clear"/>
        <w:snapToGrid w:val="0"/>
        <w:spacing w:line="360" w:lineRule="auto"/>
        <w:ind w:firstLine="480" w:firstLineChars="200"/>
        <w:rPr>
          <w:rFonts w:hAnsi="宋体" w:cs="宋体"/>
          <w:color w:val="auto"/>
          <w:sz w:val="24"/>
          <w:highlight w:val="none"/>
        </w:rPr>
      </w:pPr>
      <w:r>
        <w:rPr>
          <w:rFonts w:hint="eastAsia" w:hAnsi="宋体" w:cs="宋体"/>
          <w:color w:val="auto"/>
          <w:sz w:val="24"/>
          <w:szCs w:val="20"/>
          <w:highlight w:val="none"/>
        </w:rPr>
        <w:t>5.3</w:t>
      </w:r>
      <w:r>
        <w:rPr>
          <w:rFonts w:hint="eastAsia" w:hAnsi="宋体" w:cs="宋体"/>
          <w:color w:val="auto"/>
          <w:sz w:val="24"/>
          <w:highlight w:val="none"/>
        </w:rPr>
        <w:t>中标人确认后，采购人不对未中标人就评标过程以及未能中标原因作出任何解释。未中标人不得向评标小组人员或其他有关人员索问评标过程的全部情况。</w:t>
      </w:r>
    </w:p>
    <w:p>
      <w:pPr>
        <w:shd w:val="clear"/>
        <w:snapToGrid w:val="0"/>
        <w:spacing w:line="360" w:lineRule="auto"/>
        <w:ind w:firstLine="480" w:firstLineChars="200"/>
        <w:rPr>
          <w:rFonts w:ascii="宋体" w:hAnsi="宋体" w:cs="宋体"/>
          <w:color w:val="auto"/>
          <w:spacing w:val="-4"/>
          <w:sz w:val="24"/>
          <w:highlight w:val="none"/>
        </w:rPr>
      </w:pPr>
      <w:r>
        <w:rPr>
          <w:rFonts w:hint="eastAsia" w:ascii="宋体" w:hAnsi="宋体" w:cs="宋体"/>
          <w:color w:val="auto"/>
          <w:sz w:val="24"/>
          <w:highlight w:val="none"/>
        </w:rPr>
        <w:t>5.4</w:t>
      </w:r>
      <w:r>
        <w:rPr>
          <w:rFonts w:hint="eastAsia" w:ascii="宋体" w:hAnsi="宋体" w:cs="宋体"/>
          <w:color w:val="auto"/>
          <w:spacing w:val="-4"/>
          <w:sz w:val="24"/>
          <w:highlight w:val="none"/>
        </w:rPr>
        <w:t>为保证定标的公正性，在评标过程中，评标成员不得与投标人私人交换意见。在招标工作结束后，凡与评标情况有接触的任何人不得也不应将评标情况扩散出评标成员之外。</w:t>
      </w:r>
    </w:p>
    <w:p>
      <w:pPr>
        <w:pStyle w:val="13"/>
        <w:shd w:val="clear"/>
        <w:tabs>
          <w:tab w:val="left" w:pos="0"/>
        </w:tabs>
        <w:snapToGrid w:val="0"/>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5.5评标小组不向落标方解释落标原因，不退还投标文件。</w:t>
      </w:r>
    </w:p>
    <w:p>
      <w:pPr>
        <w:shd w:val="clear"/>
        <w:adjustRightInd w:val="0"/>
        <w:snapToGrid w:val="0"/>
        <w:spacing w:line="360" w:lineRule="auto"/>
        <w:ind w:firstLine="472" w:firstLineChars="196"/>
        <w:rPr>
          <w:rFonts w:ascii="宋体" w:hAnsi="宋体" w:cs="宋体"/>
          <w:b/>
          <w:color w:val="auto"/>
          <w:sz w:val="24"/>
          <w:highlight w:val="none"/>
        </w:rPr>
      </w:pPr>
      <w:bookmarkStart w:id="103" w:name="_Toc7399"/>
      <w:bookmarkStart w:id="104" w:name="_Toc263090376"/>
      <w:bookmarkStart w:id="105" w:name="_Toc274303254"/>
      <w:bookmarkStart w:id="106" w:name="_Toc226973003"/>
      <w:bookmarkStart w:id="107" w:name="_Toc24478"/>
      <w:bookmarkStart w:id="108" w:name="_Toc362250706"/>
      <w:bookmarkStart w:id="109" w:name="_Toc25811"/>
      <w:bookmarkStart w:id="110" w:name="_Toc261519848"/>
      <w:bookmarkStart w:id="111" w:name="_Toc362268017"/>
      <w:r>
        <w:rPr>
          <w:rFonts w:hint="eastAsia" w:ascii="宋体" w:hAnsi="宋体" w:cs="宋体"/>
          <w:b/>
          <w:color w:val="auto"/>
          <w:sz w:val="24"/>
          <w:highlight w:val="none"/>
        </w:rPr>
        <w:t>6.投标文件的澄清</w:t>
      </w:r>
    </w:p>
    <w:p>
      <w:pPr>
        <w:shd w:val="clear"/>
        <w:adjustRightInd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6.1为有助于投标文件的审查、评价和比较，评标小组可以在“政采云”平台在线询标或其他有效形式要求对于投标文件中含义不明确、同类问题表述不一致或者有明显文字和计算错误的内容，评标委员会应当以书面形式要求投标人作出必要的澄清、说明或者补正，投标人应采用在线回复或其他有效形式在询标规定时间内进行澄清、说明或者补正（需盖电子签章或实体公章），但投标人的澄清、说明或者补正不得超出投标文件的范围或者改变投标文件的实质性内容。</w:t>
      </w:r>
    </w:p>
    <w:p>
      <w:pPr>
        <w:pStyle w:val="13"/>
        <w:shd w:val="clear"/>
        <w:tabs>
          <w:tab w:val="left" w:pos="0"/>
        </w:tabs>
        <w:snapToGrid w:val="0"/>
        <w:spacing w:line="360" w:lineRule="auto"/>
        <w:ind w:firstLine="480" w:firstLineChars="200"/>
        <w:rPr>
          <w:rFonts w:hAnsi="宋体" w:cs="宋体"/>
          <w:color w:val="auto"/>
          <w:sz w:val="24"/>
          <w:highlight w:val="none"/>
        </w:rPr>
      </w:pPr>
      <w:r>
        <w:rPr>
          <w:rFonts w:hint="eastAsia" w:hAnsi="宋体" w:cs="宋体"/>
          <w:color w:val="auto"/>
          <w:sz w:val="24"/>
          <w:highlight w:val="none"/>
        </w:rPr>
        <w:t>6.2如果投标方代表拒绝按评标小组要求在“政采云”平台作出在线回复且无其他有效回复方式的，评标小组可以对其作出无效标处理。</w:t>
      </w:r>
    </w:p>
    <w:p>
      <w:pPr>
        <w:shd w:val="clear"/>
        <w:adjustRightInd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7.</w:t>
      </w:r>
      <w:r>
        <w:rPr>
          <w:rFonts w:hint="eastAsia" w:ascii="宋体" w:hAnsi="宋体" w:cs="宋体"/>
          <w:b/>
          <w:color w:val="auto"/>
          <w:sz w:val="24"/>
          <w:highlight w:val="none"/>
        </w:rPr>
        <w:t>投标文件的初步评审</w:t>
      </w:r>
    </w:p>
    <w:p>
      <w:pPr>
        <w:shd w:val="clear"/>
        <w:adjustRightInd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7.1开标后，采购人应将投标文件提交评标小组进行初步评审，初步评审内容为：</w:t>
      </w:r>
    </w:p>
    <w:p>
      <w:pPr>
        <w:shd w:val="clear"/>
        <w:adjustRightInd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7.1.1是否出现第五章规定的内容；</w:t>
      </w:r>
    </w:p>
    <w:p>
      <w:pPr>
        <w:shd w:val="clear"/>
        <w:snapToGrid w:val="0"/>
        <w:spacing w:line="360" w:lineRule="auto"/>
        <w:ind w:firstLine="480" w:firstLineChars="200"/>
        <w:rPr>
          <w:rFonts w:ascii="宋体" w:hAnsi="宋体" w:cs="宋体"/>
          <w:color w:val="auto"/>
          <w:spacing w:val="-4"/>
          <w:sz w:val="24"/>
          <w:highlight w:val="none"/>
        </w:rPr>
      </w:pPr>
      <w:r>
        <w:rPr>
          <w:rFonts w:hint="eastAsia" w:ascii="宋体" w:hAnsi="宋体" w:cs="宋体"/>
          <w:color w:val="auto"/>
          <w:sz w:val="24"/>
          <w:highlight w:val="none"/>
        </w:rPr>
        <w:t>出现上述情形之一者，技术文件或商务文件初步评审不予通过，不列入商务标详细评审。</w:t>
      </w:r>
    </w:p>
    <w:p>
      <w:pPr>
        <w:shd w:val="clear"/>
        <w:tabs>
          <w:tab w:val="left" w:pos="1219"/>
        </w:tabs>
        <w:adjustRightInd w:val="0"/>
        <w:snapToGrid w:val="0"/>
        <w:spacing w:line="360" w:lineRule="auto"/>
        <w:ind w:left="-67" w:leftChars="-32" w:firstLine="590" w:firstLineChars="246"/>
        <w:rPr>
          <w:rFonts w:ascii="宋体" w:hAnsi="宋体" w:cs="宋体"/>
          <w:color w:val="auto"/>
          <w:sz w:val="24"/>
          <w:highlight w:val="none"/>
        </w:rPr>
      </w:pPr>
      <w:r>
        <w:rPr>
          <w:rFonts w:hint="eastAsia" w:ascii="宋体" w:hAnsi="宋体" w:cs="宋体"/>
          <w:color w:val="auto"/>
          <w:sz w:val="24"/>
          <w:highlight w:val="none"/>
        </w:rPr>
        <w:t>7.2评标时，评标小组将首先评定每份投标文件是否在实质上响应了采购文件的要求。所谓实质性响应，是指投标文件所提供的有关资格证明文件、技术要求、合同条款等要与采购文件要求的条款、条件和规格相符，并且没有重大偏差或保留，重大偏离或保留是指影响到采购文件规定的范围、内容和技术要求，或限制了采购人的权力和投标人的义务的规定。而纠正这些偏离将影响到其它提交实质性响应投标的投标人的公平竞争地位。</w:t>
      </w:r>
    </w:p>
    <w:p>
      <w:pPr>
        <w:shd w:val="clear"/>
        <w:adjustRightInd w:val="0"/>
        <w:snapToGrid w:val="0"/>
        <w:spacing w:line="360" w:lineRule="auto"/>
        <w:ind w:firstLine="573"/>
        <w:rPr>
          <w:rFonts w:ascii="宋体" w:hAnsi="宋体" w:cs="宋体"/>
          <w:color w:val="auto"/>
          <w:sz w:val="24"/>
          <w:highlight w:val="none"/>
        </w:rPr>
      </w:pPr>
      <w:r>
        <w:rPr>
          <w:rFonts w:hint="eastAsia" w:ascii="宋体" w:hAnsi="宋体" w:cs="宋体"/>
          <w:color w:val="auto"/>
          <w:sz w:val="24"/>
          <w:highlight w:val="none"/>
        </w:rPr>
        <w:t>7.3如果投标文件实质上不响应采购文件的各项要求，评标小组将予以拒绝，并且不允许投标人通过修改或撤销其不符合要求的差异或保留，使之成为具有响应性的投标。</w:t>
      </w:r>
    </w:p>
    <w:p>
      <w:pPr>
        <w:pStyle w:val="13"/>
        <w:shd w:val="clear"/>
        <w:snapToGrid w:val="0"/>
        <w:spacing w:line="360" w:lineRule="auto"/>
        <w:ind w:firstLine="482"/>
        <w:rPr>
          <w:rFonts w:hAnsi="宋体" w:cs="宋体"/>
          <w:b/>
          <w:color w:val="auto"/>
          <w:sz w:val="24"/>
          <w:highlight w:val="none"/>
        </w:rPr>
      </w:pPr>
      <w:r>
        <w:rPr>
          <w:rFonts w:hint="eastAsia" w:hAnsi="宋体" w:cs="宋体"/>
          <w:b/>
          <w:color w:val="auto"/>
          <w:sz w:val="24"/>
          <w:highlight w:val="none"/>
        </w:rPr>
        <w:t>8.投标文件计算错误的修正</w:t>
      </w:r>
    </w:p>
    <w:p>
      <w:pPr>
        <w:pStyle w:val="13"/>
        <w:shd w:val="clear"/>
        <w:snapToGrid w:val="0"/>
        <w:spacing w:line="360" w:lineRule="auto"/>
        <w:ind w:firstLine="480" w:firstLineChars="200"/>
        <w:rPr>
          <w:rFonts w:hAnsi="宋体" w:cs="宋体"/>
          <w:color w:val="auto"/>
          <w:sz w:val="24"/>
          <w:highlight w:val="none"/>
        </w:rPr>
      </w:pPr>
      <w:r>
        <w:rPr>
          <w:rFonts w:hint="eastAsia" w:hAnsi="宋体" w:cs="宋体"/>
          <w:color w:val="auto"/>
          <w:sz w:val="24"/>
          <w:highlight w:val="none"/>
        </w:rPr>
        <w:t>8.1评标小组将对确定为实质上响应采购文件要求的投标文件进行校核，看其是否有计算或表达上的错误，修正错误的原则如下：</w:t>
      </w:r>
    </w:p>
    <w:p>
      <w:pPr>
        <w:pStyle w:val="13"/>
        <w:shd w:val="clear"/>
        <w:snapToGrid w:val="0"/>
        <w:spacing w:line="360" w:lineRule="auto"/>
        <w:ind w:firstLine="480" w:firstLineChars="200"/>
        <w:rPr>
          <w:rFonts w:hAnsi="宋体" w:cs="宋体"/>
          <w:color w:val="auto"/>
          <w:sz w:val="24"/>
          <w:highlight w:val="none"/>
        </w:rPr>
      </w:pPr>
      <w:r>
        <w:rPr>
          <w:rFonts w:hint="eastAsia" w:hAnsi="宋体" w:cs="宋体"/>
          <w:color w:val="auto"/>
          <w:sz w:val="24"/>
          <w:highlight w:val="none"/>
        </w:rPr>
        <w:t>8.1.1投标文件中开标一览表（报价表）内容与投标文件中相应内容不一致的，以开标一览表（报价表）为准；</w:t>
      </w:r>
    </w:p>
    <w:p>
      <w:pPr>
        <w:pStyle w:val="13"/>
        <w:shd w:val="clear"/>
        <w:snapToGrid w:val="0"/>
        <w:spacing w:line="360" w:lineRule="auto"/>
        <w:ind w:firstLine="480" w:firstLineChars="200"/>
        <w:rPr>
          <w:rFonts w:hAnsi="宋体" w:cs="宋体"/>
          <w:color w:val="auto"/>
          <w:sz w:val="24"/>
          <w:highlight w:val="none"/>
        </w:rPr>
      </w:pPr>
      <w:r>
        <w:rPr>
          <w:rFonts w:hint="eastAsia" w:hAnsi="宋体" w:cs="宋体"/>
          <w:color w:val="auto"/>
          <w:sz w:val="24"/>
          <w:highlight w:val="none"/>
        </w:rPr>
        <w:t>8.1.2投标文件的大写金额和小写金额不一致的，以大写金额为准；</w:t>
      </w:r>
    </w:p>
    <w:p>
      <w:pPr>
        <w:pStyle w:val="13"/>
        <w:shd w:val="clear"/>
        <w:snapToGrid w:val="0"/>
        <w:spacing w:line="360" w:lineRule="auto"/>
        <w:ind w:firstLine="480" w:firstLineChars="200"/>
        <w:rPr>
          <w:rFonts w:hAnsi="宋体" w:cs="宋体"/>
          <w:color w:val="auto"/>
          <w:sz w:val="24"/>
          <w:highlight w:val="none"/>
        </w:rPr>
      </w:pPr>
      <w:r>
        <w:rPr>
          <w:rFonts w:hint="eastAsia" w:hAnsi="宋体" w:cs="宋体"/>
          <w:color w:val="auto"/>
          <w:sz w:val="24"/>
          <w:highlight w:val="none"/>
        </w:rPr>
        <w:t xml:space="preserve">8.1.3单价金额小数点或者百分比有明显错位的，以开标一览表的总价为准，并修改单价； </w:t>
      </w:r>
    </w:p>
    <w:p>
      <w:pPr>
        <w:pStyle w:val="13"/>
        <w:shd w:val="clear"/>
        <w:snapToGrid w:val="0"/>
        <w:spacing w:line="360" w:lineRule="auto"/>
        <w:ind w:firstLine="480" w:firstLineChars="200"/>
        <w:rPr>
          <w:rFonts w:hAnsi="宋体" w:cs="宋体"/>
          <w:color w:val="auto"/>
          <w:sz w:val="24"/>
          <w:highlight w:val="none"/>
        </w:rPr>
      </w:pPr>
      <w:r>
        <w:rPr>
          <w:rFonts w:hint="eastAsia" w:hAnsi="宋体" w:cs="宋体"/>
          <w:color w:val="auto"/>
          <w:sz w:val="24"/>
          <w:highlight w:val="none"/>
        </w:rPr>
        <w:t>8.1.4 总价金额与按单价汇总金额不一致的，以单价汇总金额计算结果为准；</w:t>
      </w:r>
    </w:p>
    <w:p>
      <w:pPr>
        <w:pStyle w:val="13"/>
        <w:shd w:val="clear"/>
        <w:snapToGrid w:val="0"/>
        <w:spacing w:line="360" w:lineRule="auto"/>
        <w:ind w:firstLine="482"/>
        <w:rPr>
          <w:rFonts w:hAnsi="宋体" w:cs="宋体"/>
          <w:b/>
          <w:color w:val="auto"/>
          <w:sz w:val="24"/>
          <w:highlight w:val="none"/>
          <w:u w:val="single"/>
        </w:rPr>
      </w:pPr>
      <w:r>
        <w:rPr>
          <w:rFonts w:hint="eastAsia" w:hAnsi="宋体" w:cs="宋体"/>
          <w:color w:val="auto"/>
          <w:sz w:val="24"/>
          <w:highlight w:val="none"/>
        </w:rPr>
        <w:t>8.1.5</w:t>
      </w:r>
      <w:r>
        <w:rPr>
          <w:rFonts w:hint="eastAsia" w:hAnsi="宋体" w:cs="宋体"/>
          <w:b/>
          <w:color w:val="auto"/>
          <w:sz w:val="24"/>
          <w:highlight w:val="none"/>
          <w:u w:val="single"/>
        </w:rPr>
        <w:t>客户端填写的报价与以pdf格式上传文件中的报价不一致的，应以Pdf格式上传文件中的报价为准。</w:t>
      </w:r>
    </w:p>
    <w:p>
      <w:pPr>
        <w:pStyle w:val="13"/>
        <w:shd w:val="clear"/>
        <w:snapToGrid w:val="0"/>
        <w:spacing w:line="360" w:lineRule="auto"/>
        <w:ind w:firstLine="482"/>
        <w:rPr>
          <w:rFonts w:hAnsi="宋体" w:cs="宋体"/>
          <w:color w:val="auto"/>
          <w:sz w:val="24"/>
          <w:highlight w:val="none"/>
        </w:rPr>
      </w:pPr>
      <w:r>
        <w:rPr>
          <w:rFonts w:hint="eastAsia" w:hAnsi="宋体" w:cs="宋体"/>
          <w:color w:val="auto"/>
          <w:sz w:val="24"/>
          <w:highlight w:val="none"/>
        </w:rPr>
        <w:t>8.2同时出现两种以上不一致的，按照前款规定的顺序修正，投标人同意后，修正后的投标报价对投标人起约束作用。如果投标人不接受修正后的报价，则其投标将被拒绝，并不影响评标工作。</w:t>
      </w:r>
    </w:p>
    <w:p>
      <w:pPr>
        <w:shd w:val="clear"/>
        <w:adjustRightInd w:val="0"/>
        <w:snapToGrid w:val="0"/>
        <w:spacing w:line="360" w:lineRule="auto"/>
        <w:ind w:firstLine="472" w:firstLineChars="196"/>
        <w:rPr>
          <w:rFonts w:ascii="宋体" w:hAnsi="宋体" w:cs="宋体"/>
          <w:b/>
          <w:color w:val="auto"/>
          <w:sz w:val="24"/>
          <w:highlight w:val="none"/>
        </w:rPr>
      </w:pPr>
      <w:r>
        <w:rPr>
          <w:rFonts w:hint="eastAsia" w:ascii="宋体" w:hAnsi="宋体" w:cs="宋体"/>
          <w:b/>
          <w:color w:val="auto"/>
          <w:sz w:val="24"/>
          <w:highlight w:val="none"/>
        </w:rPr>
        <w:t>9.投标文件的评审、比较和否决</w:t>
      </w:r>
    </w:p>
    <w:p>
      <w:pPr>
        <w:shd w:val="clear"/>
        <w:adjustRightInd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9.1评标小组将按照本须知规定，仅对在实质上响应采购文件要求的投标文件进行评估和比较。</w:t>
      </w:r>
    </w:p>
    <w:p>
      <w:pPr>
        <w:shd w:val="clear"/>
        <w:adjustRightInd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9.2在评审过程后，评标小组可以以书面形式要求投标人就投标文件中含义不明确的内容进行书面说明并提供相关材料。</w:t>
      </w:r>
    </w:p>
    <w:p>
      <w:pPr>
        <w:shd w:val="clear"/>
        <w:adjustRightInd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9.3评标小组在作出任何一项无效标决定前，都应当严格遵循以下程序：</w:t>
      </w:r>
    </w:p>
    <w:p>
      <w:pPr>
        <w:shd w:val="clear"/>
        <w:adjustRightInd w:val="0"/>
        <w:snapToGrid w:val="0"/>
        <w:spacing w:line="360" w:lineRule="auto"/>
        <w:ind w:firstLine="472" w:firstLineChars="196"/>
        <w:rPr>
          <w:rFonts w:ascii="宋体" w:hAnsi="宋体" w:cs="宋体"/>
          <w:b/>
          <w:color w:val="auto"/>
          <w:sz w:val="24"/>
          <w:highlight w:val="none"/>
          <w:shd w:val="pct10" w:color="auto" w:fill="FFFFFF"/>
        </w:rPr>
      </w:pPr>
      <w:r>
        <w:rPr>
          <w:rFonts w:hint="eastAsia" w:ascii="宋体" w:hAnsi="宋体" w:cs="宋体"/>
          <w:b/>
          <w:color w:val="auto"/>
          <w:sz w:val="24"/>
          <w:highlight w:val="none"/>
          <w:shd w:val="pct10" w:color="auto" w:fill="FFFFFF"/>
        </w:rPr>
        <w:t>9.3.1要求当事投标人作相应的答辩；</w:t>
      </w:r>
    </w:p>
    <w:p>
      <w:pPr>
        <w:shd w:val="clear"/>
        <w:adjustRightInd w:val="0"/>
        <w:snapToGrid w:val="0"/>
        <w:spacing w:line="360" w:lineRule="auto"/>
        <w:ind w:firstLine="472" w:firstLineChars="196"/>
        <w:rPr>
          <w:rFonts w:ascii="宋体" w:hAnsi="宋体" w:cs="宋体"/>
          <w:b/>
          <w:color w:val="auto"/>
          <w:sz w:val="24"/>
          <w:highlight w:val="none"/>
          <w:shd w:val="pct10" w:color="auto" w:fill="FFFFFF"/>
        </w:rPr>
      </w:pPr>
      <w:r>
        <w:rPr>
          <w:rFonts w:hint="eastAsia" w:ascii="宋体" w:hAnsi="宋体" w:cs="宋体"/>
          <w:b/>
          <w:color w:val="auto"/>
          <w:sz w:val="24"/>
          <w:highlight w:val="none"/>
          <w:shd w:val="pct10" w:color="auto" w:fill="FFFFFF"/>
        </w:rPr>
        <w:t>9.3.2在充分讨论的基础上集体表决；</w:t>
      </w:r>
    </w:p>
    <w:p>
      <w:pPr>
        <w:shd w:val="clear"/>
        <w:adjustRightInd w:val="0"/>
        <w:snapToGrid w:val="0"/>
        <w:spacing w:line="360" w:lineRule="auto"/>
        <w:ind w:firstLine="472" w:firstLineChars="196"/>
        <w:rPr>
          <w:rFonts w:ascii="宋体" w:hAnsi="宋体" w:cs="宋体"/>
          <w:b/>
          <w:color w:val="auto"/>
          <w:sz w:val="24"/>
          <w:highlight w:val="none"/>
        </w:rPr>
      </w:pPr>
      <w:r>
        <w:rPr>
          <w:rFonts w:hint="eastAsia" w:ascii="宋体" w:hAnsi="宋体" w:cs="宋体"/>
          <w:b/>
          <w:color w:val="auto"/>
          <w:sz w:val="24"/>
          <w:highlight w:val="none"/>
          <w:shd w:val="pct10" w:color="auto" w:fill="FFFFFF"/>
        </w:rPr>
        <w:t>9.3.3若表决通过无效标决定，告知当事投标人，并在评标报告中详细载明无效标理由、依据、答辩的情况和集体表决的情况（同意无效标和不同意无效标的评标小组成员均应当注明）。</w:t>
      </w:r>
    </w:p>
    <w:p>
      <w:pPr>
        <w:pStyle w:val="13"/>
        <w:shd w:val="clear"/>
        <w:snapToGrid w:val="0"/>
        <w:spacing w:line="360" w:lineRule="auto"/>
        <w:ind w:firstLine="480" w:firstLineChars="200"/>
        <w:rPr>
          <w:rFonts w:hAnsi="宋体" w:cs="宋体"/>
          <w:color w:val="auto"/>
          <w:sz w:val="24"/>
          <w:highlight w:val="none"/>
        </w:rPr>
      </w:pPr>
      <w:r>
        <w:rPr>
          <w:rFonts w:hint="eastAsia" w:hAnsi="宋体" w:cs="宋体"/>
          <w:color w:val="auto"/>
          <w:sz w:val="24"/>
          <w:highlight w:val="none"/>
        </w:rPr>
        <w:t>9.4评标小组经评审，认为所有投标都不符合采购文件要求时，可以否决所有投标。所有投标被否决后，采购人应当依法重新招标。</w:t>
      </w:r>
    </w:p>
    <w:p>
      <w:pPr>
        <w:pStyle w:val="13"/>
        <w:shd w:val="clear"/>
        <w:snapToGrid w:val="0"/>
        <w:spacing w:line="360" w:lineRule="auto"/>
        <w:ind w:firstLine="482"/>
        <w:rPr>
          <w:rFonts w:hAnsi="宋体" w:cs="宋体"/>
          <w:b/>
          <w:color w:val="auto"/>
          <w:spacing w:val="-4"/>
          <w:sz w:val="24"/>
          <w:highlight w:val="none"/>
        </w:rPr>
      </w:pPr>
      <w:r>
        <w:rPr>
          <w:rFonts w:hint="eastAsia" w:hAnsi="宋体" w:cs="宋体"/>
          <w:b/>
          <w:color w:val="auto"/>
          <w:spacing w:val="-4"/>
          <w:sz w:val="24"/>
          <w:highlight w:val="none"/>
        </w:rPr>
        <w:t>10</w:t>
      </w:r>
      <w:r>
        <w:rPr>
          <w:rFonts w:hint="eastAsia" w:hAnsi="宋体" w:cs="宋体"/>
          <w:b/>
          <w:color w:val="auto"/>
          <w:kern w:val="0"/>
          <w:sz w:val="24"/>
          <w:highlight w:val="none"/>
        </w:rPr>
        <w:t>.</w:t>
      </w:r>
      <w:r>
        <w:rPr>
          <w:rFonts w:hint="eastAsia" w:hAnsi="宋体" w:cs="宋体"/>
          <w:b/>
          <w:color w:val="auto"/>
          <w:spacing w:val="-4"/>
          <w:sz w:val="24"/>
          <w:highlight w:val="none"/>
        </w:rPr>
        <w:t>评标办法</w:t>
      </w:r>
    </w:p>
    <w:p>
      <w:pPr>
        <w:shd w:val="clear"/>
        <w:adjustRightInd w:val="0"/>
        <w:snapToGrid w:val="0"/>
        <w:spacing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10.1本项目采用综合评分法（具体评标办法见后）。</w:t>
      </w:r>
    </w:p>
    <w:p>
      <w:pPr>
        <w:pStyle w:val="6"/>
        <w:shd w:val="clear"/>
        <w:snapToGrid w:val="0"/>
        <w:spacing w:before="120" w:after="120" w:line="360" w:lineRule="auto"/>
        <w:rPr>
          <w:rFonts w:ascii="宋体" w:hAnsi="宋体" w:eastAsia="宋体" w:cs="宋体"/>
          <w:color w:val="auto"/>
          <w:sz w:val="28"/>
          <w:szCs w:val="28"/>
          <w:highlight w:val="none"/>
        </w:rPr>
      </w:pPr>
      <w:bookmarkStart w:id="112" w:name="_Toc14061"/>
      <w:bookmarkStart w:id="113" w:name="_Toc7779"/>
      <w:bookmarkStart w:id="114" w:name="_Toc9919"/>
      <w:r>
        <w:rPr>
          <w:rFonts w:hint="eastAsia" w:ascii="宋体" w:hAnsi="宋体" w:eastAsia="宋体" w:cs="宋体"/>
          <w:color w:val="auto"/>
          <w:sz w:val="28"/>
          <w:szCs w:val="28"/>
          <w:highlight w:val="none"/>
        </w:rPr>
        <w:t>三、定标</w:t>
      </w:r>
      <w:bookmarkEnd w:id="103"/>
      <w:bookmarkEnd w:id="104"/>
      <w:bookmarkEnd w:id="105"/>
      <w:bookmarkEnd w:id="106"/>
      <w:bookmarkEnd w:id="107"/>
      <w:bookmarkEnd w:id="108"/>
      <w:bookmarkEnd w:id="109"/>
      <w:bookmarkEnd w:id="110"/>
      <w:bookmarkEnd w:id="112"/>
      <w:bookmarkEnd w:id="113"/>
      <w:bookmarkEnd w:id="114"/>
    </w:p>
    <w:p>
      <w:pPr>
        <w:shd w:val="clea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11.1采购人根据评标小组的书面评审报告和推荐的中标候选人直接委托评标小组确定中标人。</w:t>
      </w:r>
    </w:p>
    <w:p>
      <w:pPr>
        <w:shd w:val="clea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11.2评标结束后，中标结果公告1个工作日，发布中标结果公告的媒体为：义乌市公共资源交易服务平台、浙江政府采购网。</w:t>
      </w:r>
    </w:p>
    <w:p>
      <w:pPr>
        <w:shd w:val="clea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11.3发放中标通知书前，采购人将通过中国裁判文书网查询中标（成交）人自2019年01月01日至中标公告期结束前行贿犯罪记录（以网站页面显示内容为准）情况。经查实，中标人有前述行贿犯罪记录的，取消其中标资格，采购人依法重新组织采购。</w:t>
      </w:r>
    </w:p>
    <w:p>
      <w:pPr>
        <w:pStyle w:val="13"/>
        <w:shd w:val="clear"/>
        <w:tabs>
          <w:tab w:val="left" w:pos="900"/>
        </w:tabs>
        <w:snapToGrid w:val="0"/>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11.4</w:t>
      </w:r>
      <w:r>
        <w:rPr>
          <w:rFonts w:hint="eastAsia" w:hAnsi="宋体" w:cs="宋体"/>
          <w:color w:val="auto"/>
          <w:sz w:val="24"/>
          <w:highlight w:val="none"/>
        </w:rPr>
        <w:t>采购人和其委托的采购代理机构</w:t>
      </w:r>
      <w:r>
        <w:rPr>
          <w:rFonts w:hint="eastAsia" w:hAnsi="宋体" w:cs="宋体"/>
          <w:color w:val="auto"/>
          <w:sz w:val="24"/>
          <w:szCs w:val="24"/>
          <w:highlight w:val="none"/>
        </w:rPr>
        <w:t>共同签发《中标通知书》。《中标通知书》一经发出即发生法律效力。</w:t>
      </w:r>
    </w:p>
    <w:p>
      <w:pPr>
        <w:pStyle w:val="13"/>
        <w:shd w:val="clear"/>
        <w:tabs>
          <w:tab w:val="left" w:pos="900"/>
        </w:tabs>
        <w:snapToGrid w:val="0"/>
        <w:spacing w:line="360" w:lineRule="auto"/>
        <w:ind w:firstLine="480" w:firstLineChars="200"/>
        <w:rPr>
          <w:rFonts w:hAnsi="宋体" w:cs="宋体"/>
          <w:color w:val="auto"/>
          <w:sz w:val="24"/>
          <w:highlight w:val="none"/>
        </w:rPr>
      </w:pPr>
      <w:r>
        <w:rPr>
          <w:rFonts w:hint="eastAsia" w:hAnsi="宋体" w:cs="宋体"/>
          <w:color w:val="auto"/>
          <w:sz w:val="24"/>
          <w:highlight w:val="none"/>
        </w:rPr>
        <w:t>12</w:t>
      </w:r>
      <w:r>
        <w:rPr>
          <w:rFonts w:hint="eastAsia" w:hAnsi="宋体" w:cs="宋体"/>
          <w:color w:val="auto"/>
          <w:sz w:val="24"/>
          <w:szCs w:val="24"/>
          <w:highlight w:val="none"/>
        </w:rPr>
        <w:t>.</w:t>
      </w:r>
      <w:r>
        <w:rPr>
          <w:rFonts w:hint="eastAsia" w:hAnsi="宋体" w:cs="宋体"/>
          <w:color w:val="auto"/>
          <w:sz w:val="24"/>
          <w:highlight w:val="none"/>
        </w:rPr>
        <w:t>质疑与投诉</w:t>
      </w:r>
    </w:p>
    <w:p>
      <w:pPr>
        <w:pStyle w:val="13"/>
        <w:shd w:val="clear"/>
        <w:tabs>
          <w:tab w:val="left" w:pos="900"/>
        </w:tabs>
        <w:snapToGrid w:val="0"/>
        <w:spacing w:line="360" w:lineRule="auto"/>
        <w:ind w:firstLine="480" w:firstLineChars="200"/>
        <w:rPr>
          <w:rFonts w:hAnsi="宋体" w:cs="宋体"/>
          <w:color w:val="auto"/>
          <w:sz w:val="24"/>
          <w:highlight w:val="none"/>
        </w:rPr>
      </w:pPr>
      <w:r>
        <w:rPr>
          <w:rFonts w:hint="eastAsia" w:hAnsi="宋体" w:cs="宋体"/>
          <w:color w:val="auto"/>
          <w:sz w:val="24"/>
          <w:highlight w:val="none"/>
        </w:rPr>
        <w:t>12.1采购人拒绝接受已获取采购文件但未递交投标文件的投标人的对评审结果的质疑。</w:t>
      </w:r>
    </w:p>
    <w:p>
      <w:pPr>
        <w:pStyle w:val="13"/>
        <w:shd w:val="clear"/>
        <w:tabs>
          <w:tab w:val="left" w:pos="900"/>
        </w:tabs>
        <w:snapToGrid w:val="0"/>
        <w:spacing w:line="360" w:lineRule="auto"/>
        <w:ind w:firstLine="480" w:firstLineChars="200"/>
        <w:rPr>
          <w:rFonts w:hAnsi="宋体" w:cs="宋体"/>
          <w:color w:val="auto"/>
          <w:sz w:val="24"/>
          <w:highlight w:val="none"/>
        </w:rPr>
      </w:pPr>
      <w:r>
        <w:rPr>
          <w:rFonts w:hint="eastAsia" w:hAnsi="宋体" w:cs="宋体"/>
          <w:color w:val="auto"/>
          <w:sz w:val="24"/>
          <w:szCs w:val="24"/>
          <w:highlight w:val="none"/>
        </w:rPr>
        <w:t>12.2</w:t>
      </w:r>
      <w:r>
        <w:rPr>
          <w:rFonts w:hint="eastAsia" w:hAnsi="宋体" w:cs="宋体"/>
          <w:color w:val="auto"/>
          <w:sz w:val="24"/>
          <w:highlight w:val="none"/>
        </w:rPr>
        <w:t>开标过程中，投标人对开标有异议的，应当在“政采云”平台上及时提出，评标小组应对异常情况制作相关记录。</w:t>
      </w:r>
    </w:p>
    <w:p>
      <w:pPr>
        <w:pStyle w:val="13"/>
        <w:shd w:val="clear"/>
        <w:tabs>
          <w:tab w:val="left" w:pos="900"/>
        </w:tabs>
        <w:snapToGrid w:val="0"/>
        <w:spacing w:line="360" w:lineRule="auto"/>
        <w:ind w:firstLine="480" w:firstLineChars="200"/>
        <w:rPr>
          <w:rFonts w:hAnsi="宋体" w:cs="宋体"/>
          <w:color w:val="auto"/>
          <w:sz w:val="24"/>
          <w:highlight w:val="none"/>
        </w:rPr>
      </w:pPr>
      <w:r>
        <w:rPr>
          <w:rFonts w:hint="eastAsia" w:hAnsi="宋体" w:cs="宋体"/>
          <w:color w:val="auto"/>
          <w:sz w:val="24"/>
          <w:szCs w:val="24"/>
          <w:highlight w:val="none"/>
        </w:rPr>
        <w:t>12.3开评标结束后，投标人或其他利害关系人对依法必须进行招标的项目的中标结果有异议的，应</w:t>
      </w:r>
      <w:r>
        <w:rPr>
          <w:rFonts w:hint="eastAsia" w:hAnsi="宋体" w:cs="宋体"/>
          <w:color w:val="auto"/>
          <w:sz w:val="24"/>
          <w:highlight w:val="none"/>
        </w:rPr>
        <w:t>首先依据招投标相关法律法规在规定时间内以书面形式向招标人和招标代理机构提出质疑。地址：义乌市雪峰西路968号科技大楼A区6楼602，联系电话：18157970625。</w:t>
      </w:r>
    </w:p>
    <w:p>
      <w:pPr>
        <w:pStyle w:val="13"/>
        <w:shd w:val="clear"/>
        <w:tabs>
          <w:tab w:val="left" w:pos="900"/>
        </w:tabs>
        <w:snapToGrid w:val="0"/>
        <w:spacing w:line="360" w:lineRule="auto"/>
        <w:ind w:firstLine="480" w:firstLineChars="200"/>
        <w:rPr>
          <w:rFonts w:hAnsi="宋体" w:cs="宋体"/>
          <w:color w:val="auto"/>
          <w:sz w:val="24"/>
          <w:highlight w:val="none"/>
        </w:rPr>
      </w:pPr>
      <w:r>
        <w:rPr>
          <w:rFonts w:hint="eastAsia" w:hAnsi="宋体" w:cs="宋体"/>
          <w:color w:val="auto"/>
          <w:sz w:val="24"/>
          <w:highlight w:val="none"/>
        </w:rPr>
        <w:t>12.4投标人在法定质疑期内应一次性提出针对同一采购程序环节的质疑。</w:t>
      </w:r>
    </w:p>
    <w:p>
      <w:pPr>
        <w:pStyle w:val="13"/>
        <w:shd w:val="clear"/>
        <w:tabs>
          <w:tab w:val="left" w:pos="900"/>
        </w:tabs>
        <w:snapToGrid w:val="0"/>
        <w:spacing w:line="360" w:lineRule="auto"/>
        <w:ind w:firstLine="480" w:firstLineChars="200"/>
        <w:rPr>
          <w:rFonts w:hAnsi="宋体" w:cs="宋体"/>
          <w:color w:val="auto"/>
          <w:sz w:val="24"/>
          <w:highlight w:val="none"/>
        </w:rPr>
      </w:pPr>
      <w:r>
        <w:rPr>
          <w:rFonts w:hint="eastAsia" w:hAnsi="宋体" w:cs="宋体"/>
          <w:color w:val="auto"/>
          <w:sz w:val="24"/>
          <w:highlight w:val="none"/>
        </w:rPr>
        <w:t>12.5投标人提出质疑应当提交质疑函和必要的证明材料。质疑函应当包括下列内容：</w:t>
      </w:r>
    </w:p>
    <w:p>
      <w:pPr>
        <w:pStyle w:val="13"/>
        <w:shd w:val="clear"/>
        <w:tabs>
          <w:tab w:val="left" w:pos="900"/>
        </w:tabs>
        <w:snapToGrid w:val="0"/>
        <w:spacing w:line="360" w:lineRule="auto"/>
        <w:ind w:firstLine="480" w:firstLineChars="200"/>
        <w:rPr>
          <w:rFonts w:hAnsi="宋体" w:cs="宋体"/>
          <w:color w:val="auto"/>
          <w:sz w:val="24"/>
          <w:highlight w:val="none"/>
        </w:rPr>
      </w:pPr>
      <w:r>
        <w:rPr>
          <w:rFonts w:hint="eastAsia" w:hAnsi="宋体" w:cs="宋体"/>
          <w:color w:val="auto"/>
          <w:sz w:val="24"/>
          <w:highlight w:val="none"/>
        </w:rPr>
        <w:t>（一）投标人的姓名或者名称、地址、邮编、联系人及联系电话；</w:t>
      </w:r>
    </w:p>
    <w:p>
      <w:pPr>
        <w:pStyle w:val="13"/>
        <w:shd w:val="clear"/>
        <w:tabs>
          <w:tab w:val="left" w:pos="900"/>
        </w:tabs>
        <w:snapToGrid w:val="0"/>
        <w:spacing w:line="360" w:lineRule="auto"/>
        <w:ind w:firstLine="480" w:firstLineChars="200"/>
        <w:rPr>
          <w:rFonts w:hAnsi="宋体" w:cs="宋体"/>
          <w:color w:val="auto"/>
          <w:sz w:val="24"/>
          <w:highlight w:val="none"/>
        </w:rPr>
      </w:pPr>
      <w:r>
        <w:rPr>
          <w:rFonts w:hint="eastAsia" w:hAnsi="宋体" w:cs="宋体"/>
          <w:color w:val="auto"/>
          <w:sz w:val="24"/>
          <w:highlight w:val="none"/>
        </w:rPr>
        <w:t>（二）质疑项目的名称、编号；</w:t>
      </w:r>
    </w:p>
    <w:p>
      <w:pPr>
        <w:pStyle w:val="13"/>
        <w:shd w:val="clear"/>
        <w:tabs>
          <w:tab w:val="left" w:pos="900"/>
        </w:tabs>
        <w:snapToGrid w:val="0"/>
        <w:spacing w:line="360" w:lineRule="auto"/>
        <w:ind w:firstLine="480" w:firstLineChars="200"/>
        <w:rPr>
          <w:rFonts w:hAnsi="宋体" w:cs="宋体"/>
          <w:color w:val="auto"/>
          <w:sz w:val="24"/>
          <w:highlight w:val="none"/>
        </w:rPr>
      </w:pPr>
      <w:r>
        <w:rPr>
          <w:rFonts w:hint="eastAsia" w:hAnsi="宋体" w:cs="宋体"/>
          <w:color w:val="auto"/>
          <w:sz w:val="24"/>
          <w:highlight w:val="none"/>
        </w:rPr>
        <w:t>（三）具体、明确的质疑事项和与质疑事项相关的请求；</w:t>
      </w:r>
    </w:p>
    <w:p>
      <w:pPr>
        <w:pStyle w:val="13"/>
        <w:shd w:val="clear"/>
        <w:tabs>
          <w:tab w:val="left" w:pos="900"/>
        </w:tabs>
        <w:snapToGrid w:val="0"/>
        <w:spacing w:line="360" w:lineRule="auto"/>
        <w:ind w:firstLine="480" w:firstLineChars="200"/>
        <w:rPr>
          <w:rFonts w:hAnsi="宋体" w:cs="宋体"/>
          <w:color w:val="auto"/>
          <w:sz w:val="24"/>
          <w:highlight w:val="none"/>
        </w:rPr>
      </w:pPr>
      <w:r>
        <w:rPr>
          <w:rFonts w:hint="eastAsia" w:hAnsi="宋体" w:cs="宋体"/>
          <w:color w:val="auto"/>
          <w:sz w:val="24"/>
          <w:highlight w:val="none"/>
        </w:rPr>
        <w:t>（四）事实依据；</w:t>
      </w:r>
    </w:p>
    <w:p>
      <w:pPr>
        <w:pStyle w:val="13"/>
        <w:shd w:val="clear"/>
        <w:tabs>
          <w:tab w:val="left" w:pos="900"/>
        </w:tabs>
        <w:snapToGrid w:val="0"/>
        <w:spacing w:line="360" w:lineRule="auto"/>
        <w:ind w:firstLine="480" w:firstLineChars="200"/>
        <w:rPr>
          <w:rFonts w:hAnsi="宋体" w:cs="宋体"/>
          <w:color w:val="auto"/>
          <w:sz w:val="24"/>
          <w:highlight w:val="none"/>
        </w:rPr>
      </w:pPr>
      <w:r>
        <w:rPr>
          <w:rFonts w:hint="eastAsia" w:hAnsi="宋体" w:cs="宋体"/>
          <w:color w:val="auto"/>
          <w:sz w:val="24"/>
          <w:highlight w:val="none"/>
        </w:rPr>
        <w:t>（五）必要的法律依据；</w:t>
      </w:r>
    </w:p>
    <w:p>
      <w:pPr>
        <w:pStyle w:val="13"/>
        <w:shd w:val="clear"/>
        <w:tabs>
          <w:tab w:val="left" w:pos="900"/>
        </w:tabs>
        <w:snapToGrid w:val="0"/>
        <w:spacing w:line="360" w:lineRule="auto"/>
        <w:ind w:firstLine="480" w:firstLineChars="200"/>
        <w:rPr>
          <w:rFonts w:hAnsi="宋体" w:cs="宋体"/>
          <w:color w:val="auto"/>
          <w:sz w:val="24"/>
          <w:highlight w:val="none"/>
        </w:rPr>
      </w:pPr>
      <w:r>
        <w:rPr>
          <w:rFonts w:hint="eastAsia" w:hAnsi="宋体" w:cs="宋体"/>
          <w:color w:val="auto"/>
          <w:sz w:val="24"/>
          <w:highlight w:val="none"/>
        </w:rPr>
        <w:t>（六）提出质疑的日期。</w:t>
      </w:r>
    </w:p>
    <w:p>
      <w:pPr>
        <w:pStyle w:val="13"/>
        <w:shd w:val="clear"/>
        <w:tabs>
          <w:tab w:val="left" w:pos="900"/>
        </w:tabs>
        <w:snapToGrid w:val="0"/>
        <w:spacing w:line="360" w:lineRule="auto"/>
        <w:ind w:firstLine="480" w:firstLineChars="200"/>
        <w:rPr>
          <w:rFonts w:hAnsi="宋体" w:cs="宋体"/>
          <w:color w:val="auto"/>
          <w:sz w:val="24"/>
          <w:highlight w:val="none"/>
        </w:rPr>
      </w:pPr>
      <w:r>
        <w:rPr>
          <w:rFonts w:hint="eastAsia" w:hAnsi="宋体" w:cs="宋体"/>
          <w:color w:val="auto"/>
          <w:sz w:val="24"/>
          <w:highlight w:val="none"/>
        </w:rPr>
        <w:t>质疑函应当由法定代表人、主要负责人，或者其授权代表签字或者盖章，并加盖公章。授权代表签字的应当提交供应商签署的授权委托书，其授权委托书应当载明代理人的姓名或者名称、代理事项、具体权限、期限和相关事项。</w:t>
      </w:r>
    </w:p>
    <w:p>
      <w:pPr>
        <w:shd w:val="clea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12.6质疑属于以下情况之一的，将不予受理：</w:t>
      </w:r>
    </w:p>
    <w:p>
      <w:pPr>
        <w:shd w:val="clea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12.6.1 质疑事项不具体，且未提供有效线索，难以查证；</w:t>
      </w:r>
    </w:p>
    <w:p>
      <w:pPr>
        <w:shd w:val="clea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12.6.2 已超过采购文件规定质疑提出期限的事项；</w:t>
      </w:r>
    </w:p>
    <w:p>
      <w:pPr>
        <w:shd w:val="clea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12.6.3 投诉事项已作出处理决定，并且投诉人没有提出新的证据；</w:t>
      </w:r>
    </w:p>
    <w:p>
      <w:pPr>
        <w:shd w:val="clea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12.6.4 质疑投诉的事项已经进入行政复议或者行政诉讼程序的；投诉事项应先提出质疑而没有提出质疑的；</w:t>
      </w:r>
    </w:p>
    <w:p>
      <w:pPr>
        <w:shd w:val="clea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12.6.5不符合《关于印发&lt;浙江省政府采购供应商质疑处理办法&gt;的通知》（浙财采监〔2012〕18号）等有关规定的质疑。</w:t>
      </w:r>
    </w:p>
    <w:p>
      <w:pPr>
        <w:shd w:val="clear"/>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12.7质疑人可以采取直接递交、传真或邮寄方式提交质疑函（一式三份以上）。以其他方式提出的质疑，被质疑人可不予接受、答复。</w:t>
      </w:r>
    </w:p>
    <w:p>
      <w:pPr>
        <w:shd w:val="clear"/>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采取邮寄方式送达质疑函的，以邮件注明的收件人实际收到邮件之日作为收到质疑的日期。</w:t>
      </w:r>
    </w:p>
    <w:p>
      <w:pPr>
        <w:shd w:val="clear"/>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采取传真方式送达质疑函的，质疑人应当取得被质疑人确认收到传真的意见，并及时将质疑函原件送达被质疑人。被质疑人可以实际收到原件之日作为收到质疑的日期。</w:t>
      </w:r>
    </w:p>
    <w:p>
      <w:pPr>
        <w:shd w:val="clea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12.8若不接受招标人答复的，应当自答复期满后15个工作日内以不接受招标方答复的事项向招投标监管部门提出投诉。投诉书需按规定递交，具体要求须列明申诉理由，投诉单位名称，联系人，联系电话，手机，传真等，并加盖投标人公章。义乌市财政局（0579-89915058）。投诉属于以下情况之一的，将不予受理：</w:t>
      </w:r>
    </w:p>
    <w:p>
      <w:pPr>
        <w:shd w:val="clea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12.8.1 投诉人不是所投诉项目的参与者，或者与投诉项目无任何利害关系。</w:t>
      </w:r>
    </w:p>
    <w:p>
      <w:pPr>
        <w:shd w:val="clea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12.8.2 投诉事项不具体，且未提供有效线索，难以查证。</w:t>
      </w:r>
    </w:p>
    <w:p>
      <w:pPr>
        <w:shd w:val="clea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12.8.3 投诉人为法人或者其他组织，其投诉书未经法定代表人或者主要负责人签字并加盖公章的。</w:t>
      </w:r>
    </w:p>
    <w:p>
      <w:pPr>
        <w:shd w:val="clea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12.8.4 已超过采购文件规定投诉提出期限的事项。 </w:t>
      </w:r>
    </w:p>
    <w:p>
      <w:pPr>
        <w:shd w:val="clea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12.8.5 投诉事项已作出处理决定，并且投诉人没有提出新的证据；</w:t>
      </w:r>
    </w:p>
    <w:p>
      <w:pPr>
        <w:shd w:val="clea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12.8.6 投诉的事项已经进入行政复议或者行政诉讼程序的；投诉事项应先提出质疑而没有提出质疑的。</w:t>
      </w:r>
    </w:p>
    <w:p>
      <w:pPr>
        <w:shd w:val="clear"/>
        <w:snapToGrid w:val="0"/>
        <w:spacing w:line="360" w:lineRule="auto"/>
        <w:ind w:firstLine="480" w:firstLineChars="200"/>
        <w:rPr>
          <w:rFonts w:ascii="宋体" w:hAnsi="宋体" w:cs="宋体"/>
          <w:color w:val="auto"/>
          <w:highlight w:val="none"/>
        </w:rPr>
      </w:pPr>
      <w:r>
        <w:rPr>
          <w:rFonts w:hint="eastAsia" w:ascii="宋体" w:hAnsi="宋体" w:cs="宋体"/>
          <w:color w:val="auto"/>
          <w:sz w:val="24"/>
          <w:highlight w:val="none"/>
        </w:rPr>
        <w:t>12.8.7不符合《政府采购质疑和投诉办法》（财政部令第94号）等有关规定的投诉。</w:t>
      </w:r>
    </w:p>
    <w:p>
      <w:pPr>
        <w:pStyle w:val="13"/>
        <w:shd w:val="clear"/>
        <w:tabs>
          <w:tab w:val="left" w:pos="900"/>
        </w:tabs>
        <w:snapToGrid w:val="0"/>
        <w:spacing w:line="360" w:lineRule="auto"/>
        <w:ind w:firstLine="482" w:firstLineChars="200"/>
        <w:rPr>
          <w:rFonts w:hAnsi="宋体" w:cs="宋体"/>
          <w:b/>
          <w:color w:val="auto"/>
          <w:sz w:val="24"/>
          <w:highlight w:val="none"/>
        </w:rPr>
      </w:pPr>
      <w:r>
        <w:rPr>
          <w:rFonts w:hint="eastAsia" w:hAnsi="宋体" w:cs="宋体"/>
          <w:b/>
          <w:color w:val="auto"/>
          <w:sz w:val="24"/>
          <w:highlight w:val="none"/>
        </w:rPr>
        <w:t>13.合同签订</w:t>
      </w:r>
    </w:p>
    <w:p>
      <w:pPr>
        <w:shd w:val="clea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13.1中标人应在投标有效标期内且自接到《中标通知书》后三十天内到采购人处与采购人签订合同。</w:t>
      </w:r>
    </w:p>
    <w:p>
      <w:pPr>
        <w:shd w:val="clea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13.2采购文件、中标人的投标文件、评标过程中投标人在询标时作出的承诺及其澄清文件等，均为签订合同的依据。</w:t>
      </w:r>
    </w:p>
    <w:p>
      <w:pPr>
        <w:shd w:val="clea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13.3中标人不遵守采购文件和投标文件的要约及承诺而擅自修改报价，或在接到《中标通知书》后借故拖延、拒签合同而造成超过规定时间的，将其按严重失信行为上报信用办记入政府采购严重失信行为记录名单，同时取消该投标人的中标资格。在此情况下，采购人和采购代理机构重新招标，对受影响的投标人不承担任何责任。</w:t>
      </w:r>
    </w:p>
    <w:p>
      <w:pPr>
        <w:pStyle w:val="25"/>
        <w:shd w:val="clear"/>
        <w:snapToGrid w:val="0"/>
        <w:rPr>
          <w:rFonts w:hint="eastAsia" w:ascii="宋体" w:hAnsi="宋体" w:cs="宋体"/>
          <w:color w:val="auto"/>
          <w:highlight w:val="none"/>
        </w:rPr>
      </w:pPr>
      <w:r>
        <w:rPr>
          <w:rFonts w:hint="eastAsia" w:ascii="宋体" w:hAnsi="宋体" w:cs="宋体"/>
          <w:color w:val="auto"/>
          <w:highlight w:val="none"/>
        </w:rPr>
        <w:t>13.4采购人与采购代理机构在中标结果公告的同时将中标结果通知所有未中标</w:t>
      </w:r>
      <w:r>
        <w:rPr>
          <w:rFonts w:hint="eastAsia" w:ascii="宋体" w:hAnsi="宋体" w:cs="宋体"/>
          <w:color w:val="auto"/>
          <w:highlight w:val="none"/>
          <w:lang w:val="en-US"/>
        </w:rPr>
        <w:t>单位</w:t>
      </w:r>
      <w:r>
        <w:rPr>
          <w:rFonts w:hint="eastAsia" w:ascii="宋体" w:hAnsi="宋体" w:cs="宋体"/>
          <w:color w:val="auto"/>
          <w:highlight w:val="none"/>
        </w:rPr>
        <w:t>，采购人和采购代理机构对评标结果不负责解释。</w:t>
      </w:r>
    </w:p>
    <w:p>
      <w:pPr>
        <w:shd w:val="clear"/>
        <w:rPr>
          <w:rFonts w:hint="eastAsia" w:ascii="宋体" w:hAnsi="宋体" w:cs="宋体"/>
          <w:color w:val="auto"/>
          <w:highlight w:val="none"/>
        </w:rPr>
      </w:pPr>
      <w:r>
        <w:rPr>
          <w:rFonts w:hint="eastAsia" w:ascii="宋体" w:hAnsi="宋体" w:cs="宋体"/>
          <w:color w:val="auto"/>
          <w:highlight w:val="none"/>
        </w:rPr>
        <w:br w:type="page"/>
      </w:r>
    </w:p>
    <w:p>
      <w:pPr>
        <w:pStyle w:val="11"/>
        <w:shd w:val="clear"/>
        <w:rPr>
          <w:color w:val="auto"/>
          <w:highlight w:val="none"/>
        </w:rPr>
      </w:pPr>
    </w:p>
    <w:p>
      <w:pPr>
        <w:pStyle w:val="5"/>
        <w:numPr>
          <w:ilvl w:val="0"/>
          <w:numId w:val="2"/>
        </w:numPr>
        <w:shd w:val="clear"/>
        <w:snapToGrid/>
        <w:spacing w:before="0" w:after="0" w:line="360" w:lineRule="auto"/>
        <w:jc w:val="center"/>
        <w:rPr>
          <w:rFonts w:ascii="宋体" w:hAnsi="宋体" w:cs="宋体"/>
          <w:color w:val="auto"/>
          <w:sz w:val="36"/>
          <w:highlight w:val="none"/>
        </w:rPr>
      </w:pPr>
      <w:bookmarkStart w:id="115" w:name="_Toc6748"/>
      <w:bookmarkStart w:id="116" w:name="_Toc13499"/>
      <w:r>
        <w:rPr>
          <w:rFonts w:hint="eastAsia" w:ascii="宋体" w:hAnsi="宋体" w:cs="宋体"/>
          <w:color w:val="auto"/>
          <w:sz w:val="36"/>
          <w:highlight w:val="none"/>
        </w:rPr>
        <w:t xml:space="preserve"> </w:t>
      </w:r>
      <w:bookmarkStart w:id="117" w:name="_Toc19770"/>
      <w:r>
        <w:rPr>
          <w:rFonts w:hint="eastAsia" w:ascii="宋体" w:hAnsi="宋体" w:cs="宋体"/>
          <w:color w:val="auto"/>
          <w:sz w:val="36"/>
          <w:highlight w:val="none"/>
        </w:rPr>
        <w:t>投标文件的有效性</w:t>
      </w:r>
      <w:bookmarkEnd w:id="111"/>
      <w:bookmarkEnd w:id="115"/>
      <w:bookmarkEnd w:id="116"/>
      <w:bookmarkEnd w:id="117"/>
    </w:p>
    <w:p>
      <w:pPr>
        <w:shd w:val="clear"/>
        <w:adjustRightInd w:val="0"/>
        <w:snapToGrid w:val="0"/>
        <w:spacing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1.有下列情形之一的，采购人将不予受理投标文件：</w:t>
      </w:r>
    </w:p>
    <w:p>
      <w:pPr>
        <w:shd w:val="clear"/>
        <w:tabs>
          <w:tab w:val="left" w:pos="5325"/>
        </w:tabs>
        <w:adjustRightInd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1.1逾期上传电子档投标文件至“政采云”平台的。</w:t>
      </w:r>
    </w:p>
    <w:p>
      <w:pPr>
        <w:shd w:val="clea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1.2投标文件只有技术标或者只有商务标。</w:t>
      </w:r>
    </w:p>
    <w:p>
      <w:pPr>
        <w:shd w:val="clear"/>
        <w:adjustRightInd w:val="0"/>
        <w:snapToGrid w:val="0"/>
        <w:spacing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2.投标文件评审出现下列情形之一的，由评标小组审核后按无效投标文件处理：</w:t>
      </w:r>
    </w:p>
    <w:p>
      <w:pPr>
        <w:shd w:val="clear"/>
        <w:adjustRightInd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2.1投标文件未按采购文件要求加盖单位公章；或无法定代表人或法定代表人授权的全权代表签字或盖章的；或授权委托书无法定代表人签字或盖章的；或授权委托书未加盖单位公章的；</w:t>
      </w:r>
    </w:p>
    <w:p>
      <w:pPr>
        <w:pStyle w:val="25"/>
        <w:shd w:val="clear"/>
        <w:snapToGrid w:val="0"/>
        <w:rPr>
          <w:rFonts w:ascii="宋体" w:hAnsi="宋体" w:cs="宋体"/>
          <w:color w:val="auto"/>
          <w:highlight w:val="none"/>
        </w:rPr>
      </w:pPr>
      <w:r>
        <w:rPr>
          <w:rFonts w:hint="eastAsia" w:ascii="宋体" w:hAnsi="宋体" w:cs="宋体"/>
          <w:color w:val="auto"/>
          <w:highlight w:val="none"/>
        </w:rPr>
        <w:t>2.2</w:t>
      </w:r>
      <w:r>
        <w:rPr>
          <w:rFonts w:hint="eastAsia" w:ascii="宋体" w:hAnsi="宋体" w:cs="宋体"/>
          <w:color w:val="auto"/>
          <w:kern w:val="0"/>
          <w:highlight w:val="none"/>
        </w:rPr>
        <w:t>未按采购文件规定提供相关文件，如资格说明、身份资料等；</w:t>
      </w:r>
    </w:p>
    <w:p>
      <w:pPr>
        <w:shd w:val="clear"/>
        <w:adjustRightInd w:val="0"/>
        <w:snapToGrid w:val="0"/>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2.3不具备采购文件中规定的资格要求的；</w:t>
      </w:r>
    </w:p>
    <w:p>
      <w:pPr>
        <w:shd w:val="clear"/>
        <w:adjustRightInd w:val="0"/>
        <w:snapToGrid w:val="0"/>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2.4投标文件不符合采购文件规定，未按规定格式填写的；或投标文件内容不全或关键字迹模糊、无法辨认的；</w:t>
      </w:r>
    </w:p>
    <w:p>
      <w:pPr>
        <w:shd w:val="clear"/>
        <w:adjustRightInd w:val="0"/>
        <w:snapToGrid w:val="0"/>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2.5借用或冒用他人名义或证件、涂改文件、伪造或编造投标文件的；</w:t>
      </w:r>
    </w:p>
    <w:p>
      <w:pPr>
        <w:shd w:val="clear"/>
        <w:adjustRightInd w:val="0"/>
        <w:snapToGrid w:val="0"/>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2.6投标中不同投标单位的投标文件出现雷同或相似（包括部分雷同或相似），对所有雷同或相似投标人按无效标处理，采购人将保留进一步追究责任的权利；</w:t>
      </w:r>
    </w:p>
    <w:p>
      <w:pPr>
        <w:shd w:val="clear"/>
        <w:adjustRightInd w:val="0"/>
        <w:snapToGrid w:val="0"/>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2.7对本采购文件中打★号的条款未完全响应的；</w:t>
      </w:r>
    </w:p>
    <w:p>
      <w:pPr>
        <w:shd w:val="clear"/>
        <w:adjustRightInd w:val="0"/>
        <w:snapToGrid w:val="0"/>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2.8投标文件附有采购人不能接受的条件；</w:t>
      </w:r>
    </w:p>
    <w:p>
      <w:pPr>
        <w:shd w:val="clear"/>
        <w:adjustRightInd w:val="0"/>
        <w:snapToGrid w:val="0"/>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2.9技术标中体现或包含商务报价；</w:t>
      </w:r>
    </w:p>
    <w:p>
      <w:pPr>
        <w:shd w:val="clear"/>
        <w:snapToGrid w:val="0"/>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2.10若发现有意串标或提供虚假材料者（含中标后查实的）；</w:t>
      </w:r>
    </w:p>
    <w:p>
      <w:pPr>
        <w:shd w:val="clear"/>
        <w:adjustRightInd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kern w:val="0"/>
          <w:sz w:val="24"/>
          <w:highlight w:val="none"/>
        </w:rPr>
        <w:t>2.11评标小组认为技术或商务与采购文件偏离的部分过多，或在实质上不响应采购文件的</w:t>
      </w:r>
      <w:r>
        <w:rPr>
          <w:rFonts w:hint="eastAsia" w:ascii="宋体" w:hAnsi="宋体" w:cs="宋体"/>
          <w:color w:val="auto"/>
          <w:sz w:val="24"/>
          <w:highlight w:val="none"/>
        </w:rPr>
        <w:t>；</w:t>
      </w:r>
    </w:p>
    <w:p>
      <w:pPr>
        <w:shd w:val="clear"/>
        <w:adjustRightInd w:val="0"/>
        <w:snapToGrid w:val="0"/>
        <w:spacing w:line="360" w:lineRule="auto"/>
        <w:ind w:firstLine="480" w:firstLineChars="200"/>
        <w:rPr>
          <w:rFonts w:ascii="宋体" w:hAnsi="宋体" w:cs="宋体"/>
          <w:b/>
          <w:bCs/>
          <w:color w:val="auto"/>
          <w:sz w:val="24"/>
          <w:highlight w:val="none"/>
        </w:rPr>
      </w:pPr>
      <w:r>
        <w:rPr>
          <w:rFonts w:hint="eastAsia" w:ascii="宋体" w:hAnsi="宋体" w:cs="宋体"/>
          <w:color w:val="auto"/>
          <w:sz w:val="24"/>
          <w:highlight w:val="none"/>
        </w:rPr>
        <w:t>2.12未提交《义乌市政府采购项目投标承诺书》</w:t>
      </w:r>
      <w:r>
        <w:rPr>
          <w:rFonts w:hint="eastAsia" w:ascii="宋体" w:hAnsi="宋体" w:cs="宋体"/>
          <w:b/>
          <w:bCs/>
          <w:color w:val="auto"/>
          <w:sz w:val="24"/>
          <w:highlight w:val="none"/>
        </w:rPr>
        <w:t>；</w:t>
      </w:r>
    </w:p>
    <w:p>
      <w:pPr>
        <w:shd w:val="clear"/>
        <w:adjustRightInd w:val="0"/>
        <w:snapToGrid w:val="0"/>
        <w:spacing w:line="360" w:lineRule="auto"/>
        <w:ind w:firstLine="480" w:firstLineChars="200"/>
        <w:rPr>
          <w:rFonts w:ascii="宋体" w:hAnsi="宋体" w:cs="宋体"/>
          <w:color w:val="auto"/>
          <w:highlight w:val="none"/>
        </w:rPr>
      </w:pPr>
      <w:r>
        <w:rPr>
          <w:rFonts w:hint="eastAsia" w:ascii="宋体" w:hAnsi="宋体" w:cs="宋体"/>
          <w:color w:val="auto"/>
          <w:kern w:val="0"/>
          <w:sz w:val="24"/>
          <w:highlight w:val="none"/>
        </w:rPr>
        <w:t>2.13投标人不以自己真正身份参加竞标，以挂户或以他人名义参与竞标的；投标人不具备独立法人资格或不具备独立承担民事责任能力的（如分公司、办事处等）；投标人参加本次政府采购活动前三年内在经营活动中有重大违法记录的；投标人有下列不良行为：在公开网站上能查到的被财政部或浙江省财政厅处理（或处罚）而处于暂停政府采购资格期的或处于暂停承接业务资格期的；或被国家级、浙江省级、义乌市级行业主管部门处罚处于暂停承接业务资格期的；或被义乌市政府采购监管部门列入不良行为还在公示期内的或者处于暂停政府采购资格期；</w:t>
      </w:r>
      <w:r>
        <w:rPr>
          <w:rFonts w:hint="eastAsia" w:ascii="宋体" w:hAnsi="宋体" w:cs="宋体"/>
          <w:color w:val="auto"/>
          <w:sz w:val="24"/>
          <w:highlight w:val="none"/>
        </w:rPr>
        <w:t>或被“信用中国”（www.creditchina.gov.cn）、中国政府采购网（www.ccgp.gov.cn）列入失信被执行人、重大税收违法案件当事人名单、政府采购严重违法失信行为记录名单的；或义乌市综合信用报告评级为D、E类</w:t>
      </w:r>
      <w:r>
        <w:rPr>
          <w:rFonts w:hint="eastAsia" w:ascii="宋体" w:hAnsi="宋体" w:cs="宋体"/>
          <w:color w:val="auto"/>
          <w:kern w:val="0"/>
          <w:sz w:val="24"/>
          <w:highlight w:val="none"/>
        </w:rPr>
        <w:t>；</w:t>
      </w:r>
    </w:p>
    <w:p>
      <w:pPr>
        <w:pStyle w:val="25"/>
        <w:shd w:val="clear"/>
        <w:snapToGrid w:val="0"/>
        <w:rPr>
          <w:rFonts w:ascii="宋体" w:hAnsi="宋体" w:cs="宋体"/>
          <w:color w:val="auto"/>
          <w:highlight w:val="none"/>
          <w:lang w:val="en-US"/>
        </w:rPr>
      </w:pPr>
      <w:r>
        <w:rPr>
          <w:rFonts w:hint="eastAsia" w:ascii="宋体" w:hAnsi="宋体" w:cs="宋体"/>
          <w:color w:val="auto"/>
          <w:highlight w:val="none"/>
          <w:lang w:val="en-US"/>
        </w:rPr>
        <w:t>2.14未按采购文件要求提供电子解密文件的；</w:t>
      </w:r>
    </w:p>
    <w:p>
      <w:pPr>
        <w:shd w:val="clear"/>
        <w:adjustRightInd w:val="0"/>
        <w:snapToGrid w:val="0"/>
        <w:spacing w:line="360" w:lineRule="auto"/>
        <w:ind w:firstLine="480" w:firstLineChars="200"/>
        <w:rPr>
          <w:rFonts w:ascii="宋体" w:hAnsi="宋体" w:cs="宋体"/>
          <w:b/>
          <w:bCs/>
          <w:color w:val="auto"/>
          <w:kern w:val="0"/>
          <w:sz w:val="24"/>
          <w:highlight w:val="none"/>
        </w:rPr>
      </w:pPr>
      <w:r>
        <w:rPr>
          <w:rFonts w:hint="eastAsia" w:ascii="宋体" w:hAnsi="宋体" w:cs="宋体"/>
          <w:color w:val="auto"/>
          <w:kern w:val="0"/>
          <w:sz w:val="24"/>
          <w:highlight w:val="none"/>
        </w:rPr>
        <w:t>2.15评标小组要求投标人对其投标文件作出</w:t>
      </w:r>
      <w:r>
        <w:rPr>
          <w:rFonts w:hint="eastAsia" w:ascii="宋体" w:hAnsi="宋体" w:cs="宋体"/>
          <w:b/>
          <w:bCs/>
          <w:color w:val="auto"/>
          <w:kern w:val="0"/>
          <w:sz w:val="24"/>
          <w:highlight w:val="none"/>
        </w:rPr>
        <w:t>澄清或说明</w:t>
      </w:r>
      <w:r>
        <w:rPr>
          <w:rFonts w:hint="eastAsia" w:ascii="宋体" w:hAnsi="宋体" w:cs="宋体"/>
          <w:color w:val="auto"/>
          <w:kern w:val="0"/>
          <w:sz w:val="24"/>
          <w:highlight w:val="none"/>
        </w:rPr>
        <w:t>，如果投标人代表拒绝</w:t>
      </w:r>
      <w:r>
        <w:rPr>
          <w:rFonts w:hint="eastAsia" w:ascii="宋体" w:hAnsi="宋体" w:cs="宋体"/>
          <w:b/>
          <w:bCs/>
          <w:color w:val="auto"/>
          <w:kern w:val="0"/>
          <w:sz w:val="24"/>
          <w:highlight w:val="none"/>
        </w:rPr>
        <w:t>澄清或说明的，或者拒绝签字的；</w:t>
      </w:r>
    </w:p>
    <w:p>
      <w:pPr>
        <w:shd w:val="clear"/>
        <w:adjustRightInd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2.16投标报价低于企业成本价者或未填报企业成本价者； </w:t>
      </w:r>
    </w:p>
    <w:p>
      <w:pPr>
        <w:shd w:val="clear"/>
        <w:adjustRightInd w:val="0"/>
        <w:snapToGrid w:val="0"/>
        <w:spacing w:line="360" w:lineRule="auto"/>
        <w:ind w:firstLine="480" w:firstLineChars="200"/>
        <w:rPr>
          <w:rFonts w:ascii="宋体" w:hAnsi="宋体" w:cs="宋体"/>
          <w:color w:val="auto"/>
          <w:highlight w:val="none"/>
        </w:rPr>
      </w:pPr>
      <w:r>
        <w:rPr>
          <w:rFonts w:hint="eastAsia" w:ascii="宋体" w:hAnsi="宋体" w:cs="宋体"/>
          <w:color w:val="auto"/>
          <w:sz w:val="24"/>
          <w:highlight w:val="none"/>
        </w:rPr>
        <w:t>2.17投标报价高于预算价（最高限价）；</w:t>
      </w:r>
    </w:p>
    <w:p>
      <w:pPr>
        <w:shd w:val="clea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2.18</w:t>
      </w:r>
      <w:r>
        <w:rPr>
          <w:rFonts w:hint="eastAsia" w:ascii="宋体" w:hAnsi="宋体" w:cs="宋体"/>
          <w:color w:val="auto"/>
          <w:spacing w:val="-4"/>
          <w:sz w:val="24"/>
          <w:highlight w:val="none"/>
        </w:rPr>
        <w:t>评标小组一致</w:t>
      </w:r>
      <w:r>
        <w:rPr>
          <w:rFonts w:hint="eastAsia" w:ascii="宋体" w:hAnsi="宋体" w:cs="宋体"/>
          <w:color w:val="auto"/>
          <w:sz w:val="24"/>
          <w:highlight w:val="none"/>
        </w:rPr>
        <w:t>认为投标人的报价明显低于其他通过符合性审查投标人的报价，有可能影响项目质量或者不能诚信履约，</w:t>
      </w:r>
      <w:r>
        <w:rPr>
          <w:rFonts w:hint="eastAsia" w:ascii="宋体" w:hAnsi="宋体" w:cs="宋体"/>
          <w:color w:val="auto"/>
          <w:kern w:val="0"/>
          <w:sz w:val="24"/>
          <w:highlight w:val="none"/>
        </w:rPr>
        <w:t>要求其通过“政采云”平台在规定的时间内提供CA签章的材料；</w:t>
      </w:r>
      <w:r>
        <w:rPr>
          <w:rFonts w:hint="eastAsia" w:ascii="宋体" w:hAnsi="宋体" w:cs="宋体"/>
          <w:color w:val="auto"/>
          <w:sz w:val="24"/>
          <w:highlight w:val="none"/>
        </w:rPr>
        <w:t>投标人不能证明其报价合理性的，</w:t>
      </w:r>
      <w:r>
        <w:rPr>
          <w:rFonts w:hint="eastAsia" w:ascii="宋体" w:hAnsi="宋体" w:cs="宋体"/>
          <w:color w:val="auto"/>
          <w:spacing w:val="-4"/>
          <w:sz w:val="24"/>
          <w:highlight w:val="none"/>
        </w:rPr>
        <w:t>评标小组</w:t>
      </w:r>
      <w:r>
        <w:rPr>
          <w:rFonts w:hint="eastAsia" w:ascii="宋体" w:hAnsi="宋体" w:cs="宋体"/>
          <w:color w:val="auto"/>
          <w:sz w:val="24"/>
          <w:highlight w:val="none"/>
        </w:rPr>
        <w:t>应当将其作为无效投标处理；</w:t>
      </w:r>
    </w:p>
    <w:p>
      <w:pPr>
        <w:shd w:val="clear"/>
        <w:adjustRightInd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2.19投标人递交两份或多份内容不同的投标文件，或在同一份投标文件中对同一招标项目报有两个或多个报价，且未声明哪一个有效，但按采购文件规定提交备选投标方案的除外；</w:t>
      </w:r>
    </w:p>
    <w:p>
      <w:pPr>
        <w:shd w:val="clea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2.20单位负责人为同一人或者存在直接控股、管理关系的不同投标人，参加同一合同项下的政府采购活动的，均按无效标处理；</w:t>
      </w:r>
    </w:p>
    <w:p>
      <w:pPr>
        <w:shd w:val="clea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2.21除单一来源采购项目外，为本采购项目提供整体设计、规范编制或者项目管理、监理、检测等服务的投标人，参加本采购项目的采购活动的；</w:t>
      </w:r>
    </w:p>
    <w:p>
      <w:pPr>
        <w:shd w:val="clea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2.22按采购文件规定对投标人的投标报价进行修正后其不确认的；</w:t>
      </w:r>
    </w:p>
    <w:p>
      <w:pPr>
        <w:shd w:val="clear"/>
        <w:snapToGrid w:val="0"/>
        <w:spacing w:line="360" w:lineRule="auto"/>
        <w:ind w:firstLine="480" w:firstLineChars="200"/>
        <w:rPr>
          <w:rFonts w:ascii="宋体" w:hAnsi="宋体" w:cs="宋体"/>
          <w:b/>
          <w:color w:val="auto"/>
          <w:sz w:val="24"/>
          <w:highlight w:val="none"/>
        </w:rPr>
      </w:pPr>
      <w:r>
        <w:rPr>
          <w:rFonts w:hint="eastAsia" w:ascii="宋体" w:hAnsi="宋体" w:cs="宋体"/>
          <w:color w:val="auto"/>
          <w:sz w:val="24"/>
          <w:highlight w:val="none"/>
        </w:rPr>
        <w:t>2.23其它不符合《政府采购法》或省、市有关政府采购法律、法规要求的</w:t>
      </w:r>
      <w:r>
        <w:rPr>
          <w:rFonts w:hint="eastAsia" w:ascii="宋体" w:hAnsi="宋体" w:cs="宋体"/>
          <w:b/>
          <w:color w:val="auto"/>
          <w:sz w:val="24"/>
          <w:highlight w:val="none"/>
        </w:rPr>
        <w:t>。</w:t>
      </w:r>
    </w:p>
    <w:p>
      <w:pPr>
        <w:shd w:val="clear"/>
        <w:snapToGrid w:val="0"/>
        <w:spacing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3.有下列情形之一的，视为投标人串通投标，其投标无效：</w:t>
      </w:r>
    </w:p>
    <w:p>
      <w:pPr>
        <w:shd w:val="clea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3.1不同投标人的投标文件由同一单位或者个人编制；</w:t>
      </w:r>
    </w:p>
    <w:p>
      <w:pPr>
        <w:shd w:val="clea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3.2不同投标人委托同一单位或者个人办理投标事宜；</w:t>
      </w:r>
    </w:p>
    <w:p>
      <w:pPr>
        <w:shd w:val="clea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3.3不同投标人的投标文件载明的项目管理成员或者联系人员为同一人；</w:t>
      </w:r>
    </w:p>
    <w:p>
      <w:pPr>
        <w:shd w:val="clea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3.4不同投标人的投标文件异常一致或者投标报价呈规律性差异；</w:t>
      </w:r>
    </w:p>
    <w:p>
      <w:pPr>
        <w:shd w:val="clea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3.5不同投标人的投标文件相互混装；</w:t>
      </w:r>
    </w:p>
    <w:p>
      <w:pPr>
        <w:pStyle w:val="25"/>
        <w:shd w:val="clear"/>
        <w:snapToGrid w:val="0"/>
        <w:ind w:firstLine="482"/>
        <w:rPr>
          <w:rFonts w:ascii="宋体" w:hAnsi="宋体" w:cs="宋体"/>
          <w:color w:val="auto"/>
          <w:highlight w:val="none"/>
        </w:rPr>
      </w:pPr>
      <w:r>
        <w:rPr>
          <w:rFonts w:hint="eastAsia" w:ascii="宋体" w:hAnsi="宋体" w:cs="宋体"/>
          <w:b/>
          <w:color w:val="auto"/>
          <w:kern w:val="0"/>
          <w:highlight w:val="none"/>
        </w:rPr>
        <w:t>4</w:t>
      </w:r>
      <w:r>
        <w:rPr>
          <w:rFonts w:hint="eastAsia" w:ascii="宋体" w:hAnsi="宋体" w:cs="宋体"/>
          <w:b/>
          <w:color w:val="auto"/>
          <w:kern w:val="0"/>
          <w:highlight w:val="none"/>
          <w:lang w:val="en-US"/>
        </w:rPr>
        <w:t>.</w:t>
      </w:r>
      <w:r>
        <w:rPr>
          <w:rFonts w:hint="eastAsia" w:ascii="宋体" w:hAnsi="宋体" w:cs="宋体"/>
          <w:b/>
          <w:color w:val="auto"/>
          <w:kern w:val="0"/>
          <w:highlight w:val="none"/>
        </w:rPr>
        <w:t>其他违反法律法规的的情况。</w:t>
      </w:r>
    </w:p>
    <w:p>
      <w:pPr>
        <w:pStyle w:val="25"/>
        <w:shd w:val="clear"/>
        <w:snapToGrid w:val="0"/>
        <w:ind w:firstLine="482"/>
        <w:rPr>
          <w:rFonts w:hint="eastAsia" w:ascii="宋体" w:hAnsi="宋体" w:cs="宋体"/>
          <w:b/>
          <w:color w:val="auto"/>
          <w:kern w:val="0"/>
          <w:highlight w:val="none"/>
        </w:rPr>
      </w:pPr>
      <w:r>
        <w:rPr>
          <w:rFonts w:hint="eastAsia" w:ascii="宋体" w:hAnsi="宋体" w:cs="宋体"/>
          <w:b/>
          <w:color w:val="auto"/>
          <w:kern w:val="0"/>
          <w:highlight w:val="none"/>
          <w:lang w:val="en-US"/>
        </w:rPr>
        <w:t>5.</w:t>
      </w:r>
      <w:r>
        <w:rPr>
          <w:rFonts w:hint="eastAsia" w:ascii="宋体" w:hAnsi="宋体" w:cs="宋体"/>
          <w:b/>
          <w:color w:val="auto"/>
          <w:kern w:val="0"/>
          <w:highlight w:val="none"/>
        </w:rPr>
        <w:t>评标过程中，非上述所罗列的情况，不得以无效标处理。</w:t>
      </w:r>
      <w:bookmarkStart w:id="118" w:name="_Toc274303257"/>
      <w:bookmarkStart w:id="119" w:name="_Toc317082908"/>
      <w:bookmarkStart w:id="120" w:name="_Toc385504603"/>
    </w:p>
    <w:p>
      <w:pPr>
        <w:shd w:val="clear"/>
        <w:rPr>
          <w:rFonts w:hint="eastAsia" w:ascii="宋体" w:hAnsi="宋体" w:cs="宋体"/>
          <w:b/>
          <w:color w:val="auto"/>
          <w:kern w:val="0"/>
          <w:highlight w:val="none"/>
        </w:rPr>
      </w:pPr>
      <w:r>
        <w:rPr>
          <w:rFonts w:hint="eastAsia" w:ascii="宋体" w:hAnsi="宋体" w:cs="宋体"/>
          <w:b/>
          <w:color w:val="auto"/>
          <w:kern w:val="0"/>
          <w:highlight w:val="none"/>
        </w:rPr>
        <w:br w:type="page"/>
      </w:r>
    </w:p>
    <w:p>
      <w:pPr>
        <w:pStyle w:val="11"/>
        <w:shd w:val="clear"/>
        <w:rPr>
          <w:color w:val="auto"/>
          <w:highlight w:val="none"/>
        </w:rPr>
      </w:pPr>
    </w:p>
    <w:p>
      <w:pPr>
        <w:pStyle w:val="5"/>
        <w:numPr>
          <w:ilvl w:val="0"/>
          <w:numId w:val="2"/>
        </w:numPr>
        <w:shd w:val="clear"/>
        <w:snapToGrid/>
        <w:spacing w:before="0" w:after="0" w:line="360" w:lineRule="auto"/>
        <w:jc w:val="center"/>
        <w:rPr>
          <w:rFonts w:hint="eastAsia" w:ascii="宋体" w:hAnsi="宋体" w:cs="宋体"/>
          <w:color w:val="auto"/>
          <w:sz w:val="36"/>
          <w:highlight w:val="none"/>
        </w:rPr>
      </w:pPr>
      <w:bookmarkStart w:id="121" w:name="_Toc7721"/>
      <w:r>
        <w:rPr>
          <w:rFonts w:hint="eastAsia" w:ascii="宋体" w:hAnsi="宋体" w:cs="宋体"/>
          <w:color w:val="auto"/>
          <w:sz w:val="36"/>
          <w:highlight w:val="none"/>
        </w:rPr>
        <w:t>评标办法</w:t>
      </w:r>
      <w:bookmarkEnd w:id="121"/>
    </w:p>
    <w:p>
      <w:pPr>
        <w:pStyle w:val="13"/>
        <w:shd w:val="clear"/>
        <w:snapToGrid w:val="0"/>
        <w:spacing w:line="360" w:lineRule="auto"/>
        <w:ind w:firstLine="480" w:firstLineChars="200"/>
        <w:rPr>
          <w:rFonts w:hAnsi="宋体" w:cs="宋体"/>
          <w:color w:val="auto"/>
          <w:sz w:val="24"/>
          <w:highlight w:val="none"/>
        </w:rPr>
      </w:pPr>
    </w:p>
    <w:p>
      <w:pPr>
        <w:pStyle w:val="13"/>
        <w:shd w:val="clear"/>
        <w:snapToGrid w:val="0"/>
        <w:spacing w:line="360" w:lineRule="auto"/>
        <w:ind w:firstLine="480" w:firstLineChars="200"/>
        <w:rPr>
          <w:rFonts w:hAnsi="宋体" w:cs="宋体"/>
          <w:color w:val="auto"/>
          <w:sz w:val="24"/>
          <w:highlight w:val="none"/>
        </w:rPr>
      </w:pPr>
      <w:r>
        <w:rPr>
          <w:rFonts w:hint="eastAsia" w:hAnsi="宋体" w:cs="宋体"/>
          <w:color w:val="auto"/>
          <w:sz w:val="24"/>
          <w:highlight w:val="none"/>
        </w:rPr>
        <w:t>根据《中华人民共和国政府采购法》和《政府采购货物和服务招标投标管理办法》等的有关规定，为更好地做到公开、公平、公正，结合本次招标的特点，特制定本评标办法。</w:t>
      </w:r>
    </w:p>
    <w:p>
      <w:pPr>
        <w:pStyle w:val="13"/>
        <w:shd w:val="clear"/>
        <w:snapToGrid w:val="0"/>
        <w:spacing w:line="360" w:lineRule="auto"/>
        <w:ind w:firstLine="482"/>
        <w:rPr>
          <w:rFonts w:hAnsi="宋体" w:cs="宋体"/>
          <w:b/>
          <w:bCs/>
          <w:color w:val="auto"/>
          <w:sz w:val="24"/>
          <w:highlight w:val="none"/>
        </w:rPr>
      </w:pPr>
      <w:r>
        <w:rPr>
          <w:rFonts w:hint="eastAsia" w:hAnsi="宋体" w:cs="宋体"/>
          <w:b/>
          <w:color w:val="auto"/>
          <w:spacing w:val="-4"/>
          <w:sz w:val="24"/>
          <w:highlight w:val="none"/>
        </w:rPr>
        <w:t>一、</w:t>
      </w:r>
      <w:r>
        <w:rPr>
          <w:rFonts w:hint="eastAsia" w:hAnsi="宋体" w:cs="宋体"/>
          <w:b/>
          <w:bCs/>
          <w:color w:val="auto"/>
          <w:sz w:val="24"/>
          <w:highlight w:val="none"/>
        </w:rPr>
        <w:t>评审程序</w:t>
      </w:r>
    </w:p>
    <w:p>
      <w:pPr>
        <w:pStyle w:val="13"/>
        <w:shd w:val="clear"/>
        <w:snapToGrid w:val="0"/>
        <w:spacing w:line="360" w:lineRule="auto"/>
        <w:ind w:firstLine="480"/>
        <w:rPr>
          <w:rFonts w:hAnsi="宋体" w:cs="宋体"/>
          <w:color w:val="auto"/>
          <w:sz w:val="24"/>
          <w:highlight w:val="none"/>
        </w:rPr>
      </w:pPr>
      <w:r>
        <w:rPr>
          <w:rFonts w:hint="eastAsia" w:hAnsi="宋体" w:cs="宋体"/>
          <w:color w:val="auto"/>
          <w:sz w:val="24"/>
          <w:highlight w:val="none"/>
        </w:rPr>
        <w:t>1.对投标人资格文件进行符合性审查，确定资格审查通过单位；</w:t>
      </w:r>
    </w:p>
    <w:p>
      <w:pPr>
        <w:pStyle w:val="13"/>
        <w:shd w:val="clear"/>
        <w:snapToGrid w:val="0"/>
        <w:spacing w:line="360" w:lineRule="auto"/>
        <w:ind w:firstLine="480"/>
        <w:rPr>
          <w:rFonts w:hAnsi="宋体" w:cs="宋体"/>
          <w:color w:val="auto"/>
          <w:sz w:val="24"/>
          <w:highlight w:val="none"/>
        </w:rPr>
      </w:pPr>
      <w:r>
        <w:rPr>
          <w:rFonts w:hint="eastAsia" w:hAnsi="宋体" w:cs="宋体"/>
          <w:color w:val="auto"/>
          <w:sz w:val="24"/>
          <w:highlight w:val="none"/>
        </w:rPr>
        <w:t>2</w:t>
      </w:r>
      <w:r>
        <w:rPr>
          <w:rFonts w:hint="eastAsia" w:hAnsi="宋体" w:cs="宋体"/>
          <w:color w:val="auto"/>
          <w:sz w:val="24"/>
          <w:szCs w:val="24"/>
          <w:highlight w:val="none"/>
        </w:rPr>
        <w:t>.</w:t>
      </w:r>
      <w:r>
        <w:rPr>
          <w:rFonts w:hint="eastAsia" w:hAnsi="宋体" w:cs="宋体"/>
          <w:color w:val="auto"/>
          <w:sz w:val="24"/>
          <w:highlight w:val="none"/>
        </w:rPr>
        <w:t>对资格审查通过的投标人的技术文件进行符合性审查，确定技术标有效单位；</w:t>
      </w:r>
    </w:p>
    <w:p>
      <w:pPr>
        <w:pStyle w:val="13"/>
        <w:shd w:val="clear"/>
        <w:snapToGrid w:val="0"/>
        <w:spacing w:line="360" w:lineRule="auto"/>
        <w:ind w:firstLine="480"/>
        <w:rPr>
          <w:rFonts w:hAnsi="宋体" w:cs="宋体"/>
          <w:color w:val="auto"/>
          <w:sz w:val="24"/>
          <w:highlight w:val="none"/>
        </w:rPr>
      </w:pPr>
      <w:r>
        <w:rPr>
          <w:rFonts w:hint="eastAsia" w:hAnsi="宋体" w:cs="宋体"/>
          <w:color w:val="auto"/>
          <w:sz w:val="24"/>
          <w:highlight w:val="none"/>
        </w:rPr>
        <w:t>2</w:t>
      </w:r>
      <w:r>
        <w:rPr>
          <w:rFonts w:hint="eastAsia" w:hAnsi="宋体" w:cs="宋体"/>
          <w:color w:val="auto"/>
          <w:sz w:val="24"/>
          <w:szCs w:val="24"/>
          <w:highlight w:val="none"/>
        </w:rPr>
        <w:t>.</w:t>
      </w:r>
      <w:r>
        <w:rPr>
          <w:rFonts w:hint="eastAsia" w:hAnsi="宋体" w:cs="宋体"/>
          <w:color w:val="auto"/>
          <w:sz w:val="24"/>
          <w:highlight w:val="none"/>
        </w:rPr>
        <w:t>对技术标有效的投标单位的技术标进行评分，计算出各技术标有效的投标单位的技术得分；</w:t>
      </w:r>
    </w:p>
    <w:p>
      <w:pPr>
        <w:pStyle w:val="13"/>
        <w:shd w:val="clear"/>
        <w:snapToGrid w:val="0"/>
        <w:spacing w:line="360" w:lineRule="auto"/>
        <w:ind w:firstLine="480"/>
        <w:rPr>
          <w:rFonts w:hAnsi="宋体" w:cs="宋体"/>
          <w:color w:val="auto"/>
          <w:sz w:val="24"/>
          <w:highlight w:val="none"/>
        </w:rPr>
      </w:pPr>
      <w:r>
        <w:rPr>
          <w:rFonts w:hint="eastAsia" w:hAnsi="宋体" w:cs="宋体"/>
          <w:color w:val="auto"/>
          <w:sz w:val="24"/>
          <w:highlight w:val="none"/>
        </w:rPr>
        <w:t>3</w:t>
      </w:r>
      <w:r>
        <w:rPr>
          <w:rFonts w:hint="eastAsia" w:hAnsi="宋体" w:cs="宋体"/>
          <w:color w:val="auto"/>
          <w:sz w:val="24"/>
          <w:szCs w:val="24"/>
          <w:highlight w:val="none"/>
        </w:rPr>
        <w:t>.</w:t>
      </w:r>
      <w:r>
        <w:rPr>
          <w:rFonts w:hint="eastAsia" w:hAnsi="宋体" w:cs="宋体"/>
          <w:color w:val="auto"/>
          <w:sz w:val="24"/>
          <w:highlight w:val="none"/>
        </w:rPr>
        <w:t>对商务文件进行符合性审查；</w:t>
      </w:r>
    </w:p>
    <w:p>
      <w:pPr>
        <w:pStyle w:val="13"/>
        <w:shd w:val="clear"/>
        <w:snapToGrid w:val="0"/>
        <w:spacing w:line="360" w:lineRule="auto"/>
        <w:ind w:firstLine="480"/>
        <w:rPr>
          <w:rFonts w:hAnsi="宋体" w:cs="宋体"/>
          <w:color w:val="auto"/>
          <w:sz w:val="24"/>
          <w:highlight w:val="none"/>
        </w:rPr>
      </w:pPr>
      <w:r>
        <w:rPr>
          <w:rFonts w:hint="eastAsia" w:hAnsi="宋体" w:cs="宋体"/>
          <w:color w:val="auto"/>
          <w:sz w:val="24"/>
          <w:highlight w:val="none"/>
        </w:rPr>
        <w:t>4</w:t>
      </w:r>
      <w:r>
        <w:rPr>
          <w:rFonts w:hint="eastAsia" w:hAnsi="宋体" w:cs="宋体"/>
          <w:color w:val="auto"/>
          <w:sz w:val="24"/>
          <w:szCs w:val="24"/>
          <w:highlight w:val="none"/>
        </w:rPr>
        <w:t>.</w:t>
      </w:r>
      <w:r>
        <w:rPr>
          <w:rFonts w:hint="eastAsia" w:hAnsi="宋体" w:cs="宋体"/>
          <w:color w:val="auto"/>
          <w:sz w:val="24"/>
          <w:highlight w:val="none"/>
        </w:rPr>
        <w:t>对商务标符合性审查通过的商务标进行详细评审；</w:t>
      </w:r>
    </w:p>
    <w:p>
      <w:pPr>
        <w:pStyle w:val="13"/>
        <w:shd w:val="clear"/>
        <w:snapToGrid w:val="0"/>
        <w:spacing w:line="360" w:lineRule="auto"/>
        <w:ind w:firstLine="480"/>
        <w:rPr>
          <w:rFonts w:hAnsi="宋体" w:cs="宋体"/>
          <w:color w:val="auto"/>
          <w:sz w:val="24"/>
          <w:highlight w:val="none"/>
        </w:rPr>
      </w:pPr>
      <w:r>
        <w:rPr>
          <w:rFonts w:hint="eastAsia" w:hAnsi="宋体" w:cs="宋体"/>
          <w:color w:val="auto"/>
          <w:sz w:val="24"/>
          <w:highlight w:val="none"/>
        </w:rPr>
        <w:t>5</w:t>
      </w:r>
      <w:r>
        <w:rPr>
          <w:rFonts w:hint="eastAsia" w:hAnsi="宋体" w:cs="宋体"/>
          <w:color w:val="auto"/>
          <w:sz w:val="24"/>
          <w:szCs w:val="24"/>
          <w:highlight w:val="none"/>
        </w:rPr>
        <w:t>.</w:t>
      </w:r>
      <w:r>
        <w:rPr>
          <w:rFonts w:hint="eastAsia" w:hAnsi="宋体" w:cs="宋体"/>
          <w:color w:val="auto"/>
          <w:sz w:val="24"/>
          <w:highlight w:val="none"/>
        </w:rPr>
        <w:t>推荐中标候选人、出具评标报告。</w:t>
      </w:r>
    </w:p>
    <w:p>
      <w:pPr>
        <w:pStyle w:val="13"/>
        <w:shd w:val="clear"/>
        <w:snapToGrid w:val="0"/>
        <w:spacing w:line="360" w:lineRule="auto"/>
        <w:ind w:firstLine="480" w:firstLineChars="200"/>
        <w:rPr>
          <w:rFonts w:hAnsi="宋体" w:cs="宋体"/>
          <w:b/>
          <w:color w:val="auto"/>
          <w:spacing w:val="-4"/>
          <w:sz w:val="24"/>
          <w:highlight w:val="none"/>
        </w:rPr>
      </w:pPr>
      <w:r>
        <w:rPr>
          <w:rFonts w:hint="eastAsia" w:hAnsi="宋体" w:cs="宋体"/>
          <w:color w:val="auto"/>
          <w:sz w:val="24"/>
          <w:highlight w:val="none"/>
        </w:rPr>
        <w:t>评标小组以开标、评标、询标情况为基本依据，</w:t>
      </w:r>
      <w:r>
        <w:rPr>
          <w:rFonts w:hint="eastAsia" w:hAnsi="宋体" w:cs="宋体"/>
          <w:color w:val="auto"/>
          <w:spacing w:val="-4"/>
          <w:sz w:val="24"/>
          <w:highlight w:val="none"/>
        </w:rPr>
        <w:t>对有效的投标文件分技术部分、商务报价二个部分进行分析、评议，</w:t>
      </w:r>
      <w:r>
        <w:rPr>
          <w:rFonts w:hint="eastAsia" w:hAnsi="宋体" w:cs="宋体"/>
          <w:b/>
          <w:color w:val="auto"/>
          <w:spacing w:val="-4"/>
          <w:sz w:val="24"/>
          <w:highlight w:val="none"/>
        </w:rPr>
        <w:t>先评技术标，后评商务标。</w:t>
      </w:r>
    </w:p>
    <w:p>
      <w:pPr>
        <w:pStyle w:val="13"/>
        <w:shd w:val="clear"/>
        <w:snapToGrid w:val="0"/>
        <w:spacing w:line="360" w:lineRule="auto"/>
        <w:ind w:firstLine="482"/>
        <w:rPr>
          <w:rFonts w:hAnsi="宋体" w:cs="宋体"/>
          <w:b/>
          <w:color w:val="auto"/>
          <w:spacing w:val="-4"/>
          <w:sz w:val="24"/>
          <w:highlight w:val="none"/>
        </w:rPr>
      </w:pPr>
      <w:r>
        <w:rPr>
          <w:rFonts w:hint="eastAsia" w:hAnsi="宋体" w:cs="宋体"/>
          <w:b/>
          <w:color w:val="auto"/>
          <w:spacing w:val="-4"/>
          <w:sz w:val="24"/>
          <w:highlight w:val="none"/>
        </w:rPr>
        <w:t>二、评审办法</w:t>
      </w:r>
    </w:p>
    <w:bookmarkEnd w:id="118"/>
    <w:p>
      <w:pPr>
        <w:pStyle w:val="13"/>
        <w:shd w:val="clear"/>
        <w:snapToGrid w:val="0"/>
        <w:spacing w:line="360" w:lineRule="auto"/>
        <w:ind w:firstLine="480" w:firstLineChars="200"/>
        <w:rPr>
          <w:rFonts w:hAnsi="宋体" w:cs="宋体"/>
          <w:color w:val="auto"/>
          <w:sz w:val="24"/>
          <w:highlight w:val="none"/>
        </w:rPr>
      </w:pPr>
      <w:r>
        <w:rPr>
          <w:rFonts w:hint="eastAsia" w:hAnsi="宋体" w:cs="宋体"/>
          <w:color w:val="auto"/>
          <w:sz w:val="24"/>
          <w:highlight w:val="none"/>
        </w:rPr>
        <w:t>评标小组用综合评分法对招标项目作出评标结论。评审内容如下：</w:t>
      </w:r>
    </w:p>
    <w:p>
      <w:pPr>
        <w:pStyle w:val="13"/>
        <w:shd w:val="clear"/>
        <w:snapToGrid w:val="0"/>
        <w:spacing w:line="360" w:lineRule="auto"/>
        <w:ind w:firstLine="354" w:firstLineChars="147"/>
        <w:rPr>
          <w:rFonts w:hAnsi="宋体" w:cs="宋体"/>
          <w:b/>
          <w:bCs/>
          <w:color w:val="auto"/>
          <w:sz w:val="24"/>
          <w:szCs w:val="24"/>
          <w:highlight w:val="none"/>
        </w:rPr>
      </w:pPr>
      <w:r>
        <w:rPr>
          <w:rFonts w:hint="eastAsia" w:hAnsi="宋体" w:cs="宋体"/>
          <w:b/>
          <w:bCs/>
          <w:color w:val="auto"/>
          <w:sz w:val="24"/>
          <w:szCs w:val="24"/>
          <w:highlight w:val="none"/>
        </w:rPr>
        <w:t>1.技术标评审，满分</w:t>
      </w:r>
      <w:r>
        <w:rPr>
          <w:rFonts w:hint="eastAsia" w:hAnsi="宋体" w:cs="宋体"/>
          <w:b/>
          <w:bCs/>
          <w:color w:val="auto"/>
          <w:sz w:val="24"/>
          <w:szCs w:val="24"/>
          <w:highlight w:val="none"/>
          <w:lang w:val="en-US" w:eastAsia="zh-CN"/>
        </w:rPr>
        <w:t>8</w:t>
      </w:r>
      <w:r>
        <w:rPr>
          <w:rFonts w:hint="eastAsia" w:hAnsi="宋体" w:cs="宋体"/>
          <w:b/>
          <w:bCs/>
          <w:color w:val="auto"/>
          <w:sz w:val="24"/>
          <w:szCs w:val="24"/>
          <w:highlight w:val="none"/>
        </w:rPr>
        <w:t>0分</w:t>
      </w:r>
    </w:p>
    <w:bookmarkEnd w:id="119"/>
    <w:bookmarkEnd w:id="120"/>
    <w:tbl>
      <w:tblPr>
        <w:tblStyle w:val="22"/>
        <w:tblpPr w:leftFromText="180" w:rightFromText="180" w:vertAnchor="text" w:horzAnchor="page" w:tblpX="884" w:tblpY="428"/>
        <w:tblOverlap w:val="never"/>
        <w:tblW w:w="100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6"/>
        <w:gridCol w:w="1582"/>
        <w:gridCol w:w="6612"/>
        <w:gridCol w:w="9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886" w:type="dxa"/>
            <w:tcBorders>
              <w:top w:val="single" w:color="auto" w:sz="4" w:space="0"/>
              <w:left w:val="single" w:color="auto" w:sz="4" w:space="0"/>
              <w:bottom w:val="single" w:color="auto" w:sz="4" w:space="0"/>
              <w:right w:val="single" w:color="auto" w:sz="4" w:space="0"/>
            </w:tcBorders>
            <w:vAlign w:val="center"/>
          </w:tcPr>
          <w:p>
            <w:pPr>
              <w:shd w:val="clear"/>
              <w:jc w:val="center"/>
              <w:rPr>
                <w:rFonts w:ascii="宋体" w:hAnsi="宋体" w:cs="宋体"/>
                <w:color w:val="auto"/>
                <w:szCs w:val="21"/>
                <w:highlight w:val="none"/>
              </w:rPr>
            </w:pPr>
            <w:r>
              <w:rPr>
                <w:rFonts w:hint="eastAsia" w:ascii="宋体" w:hAnsi="宋体" w:cs="宋体"/>
                <w:color w:val="auto"/>
                <w:szCs w:val="21"/>
                <w:highlight w:val="none"/>
              </w:rPr>
              <w:t>序号</w:t>
            </w:r>
          </w:p>
        </w:tc>
        <w:tc>
          <w:tcPr>
            <w:tcW w:w="1582" w:type="dxa"/>
            <w:tcBorders>
              <w:top w:val="single" w:color="auto" w:sz="4" w:space="0"/>
              <w:left w:val="single" w:color="auto" w:sz="4" w:space="0"/>
              <w:bottom w:val="single" w:color="auto" w:sz="4" w:space="0"/>
              <w:right w:val="single" w:color="auto" w:sz="4" w:space="0"/>
            </w:tcBorders>
            <w:vAlign w:val="center"/>
          </w:tcPr>
          <w:p>
            <w:pPr>
              <w:shd w:val="clear"/>
              <w:jc w:val="center"/>
              <w:rPr>
                <w:rFonts w:ascii="宋体" w:hAnsi="宋体" w:cs="宋体"/>
                <w:color w:val="auto"/>
                <w:szCs w:val="21"/>
                <w:highlight w:val="none"/>
              </w:rPr>
            </w:pPr>
            <w:r>
              <w:rPr>
                <w:rFonts w:hint="eastAsia" w:ascii="宋体" w:hAnsi="宋体" w:cs="宋体"/>
                <w:color w:val="auto"/>
                <w:szCs w:val="21"/>
                <w:highlight w:val="none"/>
              </w:rPr>
              <w:t>评分项目</w:t>
            </w:r>
          </w:p>
        </w:tc>
        <w:tc>
          <w:tcPr>
            <w:tcW w:w="6612" w:type="dxa"/>
            <w:tcBorders>
              <w:top w:val="single" w:color="auto" w:sz="4" w:space="0"/>
              <w:left w:val="single" w:color="auto" w:sz="4" w:space="0"/>
              <w:bottom w:val="single" w:color="auto" w:sz="4" w:space="0"/>
              <w:right w:val="single" w:color="auto" w:sz="4" w:space="0"/>
            </w:tcBorders>
            <w:vAlign w:val="center"/>
          </w:tcPr>
          <w:p>
            <w:pPr>
              <w:shd w:val="clear"/>
              <w:spacing w:line="400" w:lineRule="exact"/>
              <w:jc w:val="center"/>
              <w:rPr>
                <w:rFonts w:ascii="宋体" w:hAnsi="宋体" w:cs="宋体"/>
                <w:color w:val="auto"/>
                <w:szCs w:val="21"/>
                <w:highlight w:val="none"/>
              </w:rPr>
            </w:pPr>
            <w:r>
              <w:rPr>
                <w:rFonts w:hint="eastAsia" w:ascii="宋体" w:hAnsi="宋体" w:cs="宋体"/>
                <w:color w:val="auto"/>
                <w:szCs w:val="21"/>
                <w:highlight w:val="none"/>
              </w:rPr>
              <w:t>评分基本规则</w:t>
            </w:r>
          </w:p>
        </w:tc>
        <w:tc>
          <w:tcPr>
            <w:tcW w:w="976" w:type="dxa"/>
            <w:tcBorders>
              <w:top w:val="single" w:color="auto" w:sz="4" w:space="0"/>
              <w:left w:val="single" w:color="auto" w:sz="4" w:space="0"/>
              <w:bottom w:val="single" w:color="auto" w:sz="4" w:space="0"/>
              <w:right w:val="single" w:color="auto" w:sz="4" w:space="0"/>
            </w:tcBorders>
            <w:vAlign w:val="center"/>
          </w:tcPr>
          <w:p>
            <w:pPr>
              <w:shd w:val="clear"/>
              <w:jc w:val="center"/>
              <w:rPr>
                <w:rFonts w:ascii="宋体" w:hAnsi="宋体" w:cs="宋体"/>
                <w:color w:val="auto"/>
                <w:szCs w:val="21"/>
                <w:highlight w:val="none"/>
              </w:rPr>
            </w:pPr>
            <w:r>
              <w:rPr>
                <w:rFonts w:hint="eastAsia" w:ascii="宋体" w:hAnsi="宋体" w:cs="宋体"/>
                <w:color w:val="auto"/>
                <w:szCs w:val="21"/>
                <w:highlight w:val="none"/>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 w:hRule="atLeast"/>
        </w:trPr>
        <w:tc>
          <w:tcPr>
            <w:tcW w:w="886" w:type="dxa"/>
            <w:vMerge w:val="restart"/>
            <w:tcBorders>
              <w:top w:val="single" w:color="auto" w:sz="4" w:space="0"/>
              <w:left w:val="single" w:color="auto" w:sz="4" w:space="0"/>
              <w:right w:val="single" w:color="auto" w:sz="4" w:space="0"/>
            </w:tcBorders>
            <w:vAlign w:val="center"/>
          </w:tcPr>
          <w:p>
            <w:pPr>
              <w:shd w:val="clear"/>
              <w:spacing w:line="400" w:lineRule="exact"/>
              <w:jc w:val="center"/>
              <w:rPr>
                <w:rFonts w:hint="eastAsia" w:ascii="宋体" w:hAnsi="宋体" w:eastAsia="宋体" w:cs="宋体"/>
                <w:color w:val="auto"/>
                <w:kern w:val="0"/>
                <w:szCs w:val="21"/>
                <w:highlight w:val="none"/>
                <w:lang w:val="en-US" w:eastAsia="zh-CN"/>
              </w:rPr>
            </w:pPr>
            <w:r>
              <w:rPr>
                <w:rFonts w:hint="eastAsia" w:ascii="宋体" w:hAnsi="宋体" w:cs="宋体"/>
                <w:color w:val="auto"/>
                <w:kern w:val="0"/>
                <w:szCs w:val="21"/>
                <w:highlight w:val="none"/>
              </w:rPr>
              <w:t>1</w:t>
            </w:r>
          </w:p>
        </w:tc>
        <w:tc>
          <w:tcPr>
            <w:tcW w:w="1582" w:type="dxa"/>
            <w:vMerge w:val="restart"/>
            <w:tcBorders>
              <w:top w:val="single" w:color="auto" w:sz="4" w:space="0"/>
              <w:left w:val="single" w:color="auto" w:sz="4" w:space="0"/>
              <w:right w:val="single" w:color="auto" w:sz="4" w:space="0"/>
            </w:tcBorders>
            <w:vAlign w:val="center"/>
          </w:tcPr>
          <w:p>
            <w:pPr>
              <w:shd w:val="clear"/>
              <w:jc w:val="center"/>
              <w:rPr>
                <w:rFonts w:hint="eastAsia"/>
                <w:color w:val="auto"/>
                <w:highlight w:val="none"/>
                <w:lang w:val="en-US" w:eastAsia="zh-CN"/>
              </w:rPr>
            </w:pPr>
            <w:r>
              <w:rPr>
                <w:rFonts w:hint="eastAsia"/>
                <w:color w:val="auto"/>
                <w:highlight w:val="none"/>
                <w:lang w:val="en-US" w:eastAsia="zh-CN"/>
              </w:rPr>
              <w:t>总体方案</w:t>
            </w:r>
          </w:p>
          <w:p>
            <w:pPr>
              <w:shd w:val="clear"/>
              <w:jc w:val="center"/>
              <w:rPr>
                <w:rFonts w:hint="default"/>
                <w:color w:val="auto"/>
                <w:highlight w:val="none"/>
                <w:lang w:val="en-US" w:eastAsia="zh-CN"/>
              </w:rPr>
            </w:pPr>
            <w:r>
              <w:rPr>
                <w:rFonts w:hint="eastAsia"/>
                <w:color w:val="auto"/>
                <w:highlight w:val="none"/>
                <w:lang w:val="en-US" w:eastAsia="zh-CN"/>
              </w:rPr>
              <w:t>(主观分)</w:t>
            </w:r>
          </w:p>
        </w:tc>
        <w:tc>
          <w:tcPr>
            <w:tcW w:w="6612" w:type="dxa"/>
            <w:tcBorders>
              <w:top w:val="single" w:color="auto" w:sz="4" w:space="0"/>
              <w:left w:val="single" w:color="auto" w:sz="4" w:space="0"/>
              <w:right w:val="single" w:color="auto" w:sz="4" w:space="0"/>
            </w:tcBorders>
            <w:vAlign w:val="center"/>
          </w:tcPr>
          <w:p>
            <w:pPr>
              <w:widowControl/>
              <w:shd w:val="clear"/>
              <w:rPr>
                <w:rFonts w:ascii="宋体" w:hAnsi="宋体" w:cs="宋体"/>
                <w:color w:val="auto"/>
                <w:kern w:val="0"/>
                <w:szCs w:val="21"/>
                <w:highlight w:val="none"/>
              </w:rPr>
            </w:pPr>
            <w:r>
              <w:rPr>
                <w:rFonts w:hint="eastAsia" w:ascii="宋体" w:hAnsi="宋体" w:cs="宋体"/>
                <w:color w:val="auto"/>
                <w:szCs w:val="21"/>
                <w:highlight w:val="none"/>
              </w:rPr>
              <w:t>对</w:t>
            </w:r>
            <w:r>
              <w:rPr>
                <w:rFonts w:hint="eastAsia" w:ascii="宋体" w:hAnsi="宋体" w:cs="宋体"/>
                <w:color w:val="auto"/>
                <w:szCs w:val="21"/>
                <w:highlight w:val="none"/>
                <w:lang w:val="en-US" w:eastAsia="zh-CN"/>
              </w:rPr>
              <w:t>本项目</w:t>
            </w:r>
            <w:r>
              <w:rPr>
                <w:rFonts w:hint="eastAsia" w:ascii="宋体" w:hAnsi="宋体" w:cs="宋体"/>
                <w:color w:val="auto"/>
                <w:szCs w:val="21"/>
                <w:highlight w:val="none"/>
              </w:rPr>
              <w:t>的理解程度</w:t>
            </w:r>
            <w:r>
              <w:rPr>
                <w:rFonts w:hint="eastAsia" w:ascii="宋体" w:hAnsi="宋体" w:cs="宋体"/>
                <w:color w:val="auto"/>
                <w:szCs w:val="21"/>
                <w:highlight w:val="none"/>
                <w:lang w:val="en-US" w:eastAsia="zh-CN"/>
              </w:rPr>
              <w:t>的全面性、符合性等，进行</w:t>
            </w:r>
            <w:r>
              <w:rPr>
                <w:rFonts w:hint="eastAsia" w:ascii="宋体" w:hAnsi="宋体" w:cs="宋体"/>
                <w:color w:val="auto"/>
                <w:szCs w:val="21"/>
                <w:highlight w:val="none"/>
              </w:rPr>
              <w:t>打分</w:t>
            </w:r>
          </w:p>
        </w:tc>
        <w:tc>
          <w:tcPr>
            <w:tcW w:w="976" w:type="dxa"/>
            <w:tcBorders>
              <w:top w:val="single" w:color="auto" w:sz="4" w:space="0"/>
              <w:left w:val="single" w:color="auto" w:sz="4" w:space="0"/>
              <w:bottom w:val="single" w:color="auto" w:sz="4" w:space="0"/>
              <w:right w:val="single" w:color="auto" w:sz="4" w:space="0"/>
            </w:tcBorders>
            <w:vAlign w:val="center"/>
          </w:tcPr>
          <w:p>
            <w:pPr>
              <w:shd w:val="clear"/>
              <w:autoSpaceDE w:val="0"/>
              <w:jc w:val="center"/>
              <w:rPr>
                <w:rFonts w:ascii="宋体" w:hAnsi="宋体" w:cs="宋体"/>
                <w:color w:val="auto"/>
                <w:kern w:val="0"/>
                <w:szCs w:val="21"/>
                <w:highlight w:val="none"/>
              </w:rPr>
            </w:pPr>
            <w:r>
              <w:rPr>
                <w:rFonts w:hint="eastAsia" w:ascii="宋体" w:hAnsi="宋体" w:cs="宋体"/>
                <w:color w:val="auto"/>
                <w:szCs w:val="21"/>
                <w:highlight w:val="none"/>
              </w:rPr>
              <w:t>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 w:hRule="atLeast"/>
        </w:trPr>
        <w:tc>
          <w:tcPr>
            <w:tcW w:w="886" w:type="dxa"/>
            <w:vMerge w:val="continue"/>
            <w:tcBorders>
              <w:left w:val="single" w:color="auto" w:sz="4" w:space="0"/>
              <w:right w:val="single" w:color="auto" w:sz="4" w:space="0"/>
            </w:tcBorders>
            <w:vAlign w:val="center"/>
          </w:tcPr>
          <w:p>
            <w:pPr>
              <w:shd w:val="clear"/>
              <w:spacing w:line="400" w:lineRule="exact"/>
              <w:jc w:val="center"/>
              <w:rPr>
                <w:rFonts w:hint="eastAsia" w:ascii="宋体" w:hAnsi="宋体" w:eastAsia="宋体" w:cs="宋体"/>
                <w:color w:val="auto"/>
                <w:kern w:val="0"/>
                <w:szCs w:val="21"/>
                <w:highlight w:val="none"/>
                <w:lang w:val="en-US" w:eastAsia="zh-CN"/>
              </w:rPr>
            </w:pPr>
          </w:p>
        </w:tc>
        <w:tc>
          <w:tcPr>
            <w:tcW w:w="1582" w:type="dxa"/>
            <w:vMerge w:val="continue"/>
            <w:tcBorders>
              <w:left w:val="single" w:color="auto" w:sz="4" w:space="0"/>
              <w:right w:val="single" w:color="auto" w:sz="4" w:space="0"/>
            </w:tcBorders>
            <w:vAlign w:val="center"/>
          </w:tcPr>
          <w:p>
            <w:pPr>
              <w:shd w:val="clear"/>
              <w:jc w:val="center"/>
              <w:rPr>
                <w:rFonts w:hint="eastAsia"/>
                <w:color w:val="auto"/>
                <w:highlight w:val="none"/>
                <w:lang w:val="en-US" w:eastAsia="zh-CN"/>
              </w:rPr>
            </w:pPr>
          </w:p>
        </w:tc>
        <w:tc>
          <w:tcPr>
            <w:tcW w:w="6612" w:type="dxa"/>
            <w:tcBorders>
              <w:top w:val="single" w:color="auto" w:sz="4" w:space="0"/>
              <w:left w:val="single" w:color="auto" w:sz="4" w:space="0"/>
              <w:right w:val="single" w:color="auto" w:sz="4" w:space="0"/>
            </w:tcBorders>
            <w:vAlign w:val="center"/>
          </w:tcPr>
          <w:p>
            <w:pPr>
              <w:widowControl/>
              <w:shd w:val="clear"/>
              <w:rPr>
                <w:rFonts w:hint="default" w:ascii="宋体" w:hAnsi="宋体" w:eastAsia="宋体" w:cs="宋体"/>
                <w:color w:val="auto"/>
                <w:szCs w:val="21"/>
                <w:highlight w:val="none"/>
                <w:lang w:val="en-US" w:eastAsia="zh-CN"/>
              </w:rPr>
            </w:pPr>
            <w:r>
              <w:rPr>
                <w:rFonts w:hint="eastAsia" w:ascii="宋体" w:hAnsi="宋体" w:cs="宋体"/>
                <w:color w:val="auto"/>
                <w:szCs w:val="21"/>
                <w:highlight w:val="none"/>
              </w:rPr>
              <w:t>对</w:t>
            </w:r>
            <w:r>
              <w:rPr>
                <w:rFonts w:hint="eastAsia" w:ascii="宋体" w:hAnsi="宋体" w:cs="宋体"/>
                <w:color w:val="auto"/>
                <w:szCs w:val="21"/>
                <w:highlight w:val="none"/>
                <w:lang w:val="en-US" w:eastAsia="zh-CN"/>
              </w:rPr>
              <w:t>本项目</w:t>
            </w:r>
            <w:r>
              <w:rPr>
                <w:rFonts w:hint="eastAsia" w:ascii="宋体" w:hAnsi="宋体" w:cs="宋体"/>
                <w:color w:val="auto"/>
                <w:szCs w:val="21"/>
                <w:highlight w:val="none"/>
              </w:rPr>
              <w:t>的总体设计</w:t>
            </w:r>
            <w:r>
              <w:rPr>
                <w:rFonts w:hint="eastAsia" w:ascii="宋体" w:hAnsi="宋体" w:cs="宋体"/>
                <w:color w:val="auto"/>
                <w:szCs w:val="21"/>
                <w:highlight w:val="none"/>
                <w:lang w:val="en-US" w:eastAsia="zh-CN"/>
              </w:rPr>
              <w:t>情况的科学性、合理性、可行性等，进行打分</w:t>
            </w:r>
          </w:p>
        </w:tc>
        <w:tc>
          <w:tcPr>
            <w:tcW w:w="976" w:type="dxa"/>
            <w:tcBorders>
              <w:top w:val="single" w:color="auto" w:sz="4" w:space="0"/>
              <w:left w:val="single" w:color="auto" w:sz="4" w:space="0"/>
              <w:bottom w:val="single" w:color="auto" w:sz="4" w:space="0"/>
              <w:right w:val="single" w:color="auto" w:sz="4" w:space="0"/>
            </w:tcBorders>
            <w:vAlign w:val="center"/>
          </w:tcPr>
          <w:p>
            <w:pPr>
              <w:shd w:val="clear"/>
              <w:autoSpaceDE w:val="0"/>
              <w:jc w:val="center"/>
              <w:rPr>
                <w:rFonts w:hint="eastAsia" w:ascii="宋体" w:hAnsi="宋体" w:cs="宋体"/>
                <w:color w:val="auto"/>
                <w:szCs w:val="21"/>
                <w:highlight w:val="none"/>
              </w:rPr>
            </w:pPr>
            <w:r>
              <w:rPr>
                <w:rFonts w:hint="eastAsia" w:ascii="宋体" w:hAnsi="宋体" w:cs="宋体"/>
                <w:color w:val="auto"/>
                <w:szCs w:val="21"/>
                <w:highlight w:val="none"/>
              </w:rPr>
              <w:t>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886" w:type="dxa"/>
            <w:vMerge w:val="continue"/>
            <w:tcBorders>
              <w:left w:val="single" w:color="auto" w:sz="4" w:space="0"/>
              <w:right w:val="single" w:color="auto" w:sz="4" w:space="0"/>
            </w:tcBorders>
            <w:vAlign w:val="center"/>
          </w:tcPr>
          <w:p>
            <w:pPr>
              <w:shd w:val="clear"/>
              <w:spacing w:line="400" w:lineRule="exact"/>
              <w:jc w:val="center"/>
              <w:rPr>
                <w:rFonts w:hint="eastAsia" w:ascii="宋体" w:hAnsi="宋体" w:eastAsia="宋体" w:cs="宋体"/>
                <w:color w:val="auto"/>
                <w:kern w:val="0"/>
                <w:szCs w:val="21"/>
                <w:highlight w:val="none"/>
                <w:lang w:val="en-US" w:eastAsia="zh-CN"/>
              </w:rPr>
            </w:pPr>
          </w:p>
        </w:tc>
        <w:tc>
          <w:tcPr>
            <w:tcW w:w="1582" w:type="dxa"/>
            <w:vMerge w:val="continue"/>
            <w:tcBorders>
              <w:left w:val="single" w:color="auto" w:sz="4" w:space="0"/>
              <w:right w:val="single" w:color="auto" w:sz="4" w:space="0"/>
            </w:tcBorders>
            <w:vAlign w:val="center"/>
          </w:tcPr>
          <w:p>
            <w:pPr>
              <w:shd w:val="clear"/>
              <w:jc w:val="center"/>
              <w:rPr>
                <w:rFonts w:hint="eastAsia"/>
                <w:color w:val="auto"/>
                <w:highlight w:val="none"/>
                <w:lang w:val="en-US" w:eastAsia="zh-CN"/>
              </w:rPr>
            </w:pPr>
          </w:p>
        </w:tc>
        <w:tc>
          <w:tcPr>
            <w:tcW w:w="6612" w:type="dxa"/>
            <w:tcBorders>
              <w:top w:val="single" w:color="auto" w:sz="4" w:space="0"/>
              <w:left w:val="single" w:color="auto" w:sz="4" w:space="0"/>
              <w:right w:val="single" w:color="auto" w:sz="4" w:space="0"/>
            </w:tcBorders>
            <w:vAlign w:val="center"/>
          </w:tcPr>
          <w:p>
            <w:pPr>
              <w:widowControl/>
              <w:shd w:val="clear"/>
              <w:rPr>
                <w:rFonts w:hint="eastAsia" w:ascii="宋体" w:hAnsi="宋体" w:cs="宋体"/>
                <w:color w:val="auto"/>
                <w:szCs w:val="21"/>
                <w:highlight w:val="none"/>
                <w:lang w:val="en-US" w:eastAsia="zh-CN"/>
              </w:rPr>
            </w:pPr>
            <w:r>
              <w:rPr>
                <w:rFonts w:hint="eastAsia" w:ascii="宋体" w:hAnsi="宋体" w:eastAsia="宋体" w:cs="宋体"/>
                <w:color w:val="auto"/>
                <w:sz w:val="21"/>
                <w:szCs w:val="21"/>
                <w:highlight w:val="none"/>
                <w:lang w:val="en-US" w:eastAsia="zh-CN"/>
              </w:rPr>
              <w:t>根据投标人的管理机构设置、管理制度</w:t>
            </w:r>
            <w:r>
              <w:rPr>
                <w:rFonts w:hint="eastAsia" w:ascii="宋体" w:hAnsi="宋体" w:cs="宋体"/>
                <w:color w:val="auto"/>
                <w:sz w:val="21"/>
                <w:szCs w:val="21"/>
                <w:highlight w:val="none"/>
                <w:lang w:val="en-US" w:eastAsia="zh-CN"/>
              </w:rPr>
              <w:t>的</w:t>
            </w:r>
            <w:r>
              <w:rPr>
                <w:rFonts w:hint="eastAsia" w:ascii="宋体" w:hAnsi="宋体" w:eastAsia="宋体" w:cs="宋体"/>
                <w:color w:val="auto"/>
                <w:sz w:val="21"/>
                <w:szCs w:val="21"/>
                <w:highlight w:val="none"/>
                <w:lang w:val="en-US" w:eastAsia="zh-CN"/>
              </w:rPr>
              <w:t>完善</w:t>
            </w:r>
            <w:r>
              <w:rPr>
                <w:rFonts w:hint="eastAsia" w:ascii="宋体" w:hAnsi="宋体" w:cs="宋体"/>
                <w:color w:val="auto"/>
                <w:sz w:val="21"/>
                <w:szCs w:val="21"/>
                <w:highlight w:val="none"/>
                <w:lang w:val="en-US" w:eastAsia="zh-CN"/>
              </w:rPr>
              <w:t>程度、全面性等</w:t>
            </w:r>
            <w:r>
              <w:rPr>
                <w:rFonts w:hint="eastAsia" w:ascii="宋体" w:hAnsi="宋体" w:eastAsia="宋体" w:cs="宋体"/>
                <w:color w:val="auto"/>
                <w:sz w:val="21"/>
                <w:szCs w:val="21"/>
                <w:highlight w:val="none"/>
                <w:lang w:val="en-US" w:eastAsia="zh-CN"/>
              </w:rPr>
              <w:t>进行打分</w:t>
            </w:r>
          </w:p>
        </w:tc>
        <w:tc>
          <w:tcPr>
            <w:tcW w:w="976" w:type="dxa"/>
            <w:tcBorders>
              <w:top w:val="single" w:color="auto" w:sz="4" w:space="0"/>
              <w:left w:val="single" w:color="auto" w:sz="4" w:space="0"/>
              <w:bottom w:val="single" w:color="auto" w:sz="4" w:space="0"/>
              <w:right w:val="single" w:color="auto" w:sz="4" w:space="0"/>
            </w:tcBorders>
            <w:vAlign w:val="center"/>
          </w:tcPr>
          <w:p>
            <w:pPr>
              <w:shd w:val="clear"/>
              <w:spacing w:line="400" w:lineRule="exact"/>
              <w:jc w:val="center"/>
              <w:rPr>
                <w:rFonts w:hint="eastAsia" w:ascii="宋体" w:hAnsi="宋体" w:cs="宋体"/>
                <w:color w:val="auto"/>
                <w:szCs w:val="21"/>
                <w:highlight w:val="none"/>
              </w:rPr>
            </w:pPr>
            <w:r>
              <w:rPr>
                <w:rFonts w:hint="eastAsia" w:ascii="宋体" w:hAnsi="宋体" w:cs="宋体"/>
                <w:color w:val="auto"/>
                <w:szCs w:val="21"/>
                <w:highlight w:val="none"/>
              </w:rPr>
              <w:t>0</w:t>
            </w:r>
            <w:r>
              <w:rPr>
                <w:rFonts w:hint="eastAsia" w:ascii="宋体" w:hAnsi="宋体" w:cs="宋体"/>
                <w:color w:val="auto"/>
                <w:szCs w:val="21"/>
                <w:highlight w:val="none"/>
                <w:lang w:val="zh-CN"/>
              </w:rPr>
              <w:t>-</w:t>
            </w:r>
            <w:r>
              <w:rPr>
                <w:rFonts w:hint="eastAsia" w:ascii="宋体" w:hAnsi="宋体" w:cs="宋体"/>
                <w:color w:val="auto"/>
                <w:szCs w:val="21"/>
                <w:highlight w:val="none"/>
                <w:lang w:val="en-US" w:eastAsia="zh-CN"/>
              </w:rPr>
              <w:t>3</w:t>
            </w:r>
            <w:r>
              <w:rPr>
                <w:rFonts w:hint="eastAsia" w:ascii="宋体" w:hAnsi="宋体" w:cs="宋体"/>
                <w:color w:val="auto"/>
                <w:szCs w:val="21"/>
                <w:highlight w:val="none"/>
                <w:lang w:val="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886" w:type="dxa"/>
            <w:vMerge w:val="continue"/>
            <w:tcBorders>
              <w:left w:val="single" w:color="auto" w:sz="4" w:space="0"/>
              <w:right w:val="single" w:color="auto" w:sz="4" w:space="0"/>
            </w:tcBorders>
            <w:vAlign w:val="center"/>
          </w:tcPr>
          <w:p>
            <w:pPr>
              <w:shd w:val="clear"/>
              <w:spacing w:line="400" w:lineRule="exact"/>
              <w:jc w:val="center"/>
              <w:rPr>
                <w:rFonts w:hint="eastAsia" w:ascii="宋体" w:hAnsi="宋体" w:eastAsia="宋体" w:cs="宋体"/>
                <w:color w:val="auto"/>
                <w:kern w:val="0"/>
                <w:szCs w:val="21"/>
                <w:highlight w:val="none"/>
                <w:lang w:val="en-US" w:eastAsia="zh-CN"/>
              </w:rPr>
            </w:pPr>
          </w:p>
        </w:tc>
        <w:tc>
          <w:tcPr>
            <w:tcW w:w="1582" w:type="dxa"/>
            <w:vMerge w:val="continue"/>
            <w:tcBorders>
              <w:left w:val="single" w:color="auto" w:sz="4" w:space="0"/>
              <w:right w:val="single" w:color="auto" w:sz="4" w:space="0"/>
            </w:tcBorders>
            <w:vAlign w:val="center"/>
          </w:tcPr>
          <w:p>
            <w:pPr>
              <w:shd w:val="clear"/>
              <w:jc w:val="center"/>
              <w:rPr>
                <w:rFonts w:hint="eastAsia"/>
                <w:color w:val="auto"/>
                <w:highlight w:val="none"/>
                <w:lang w:val="en-US" w:eastAsia="zh-CN"/>
              </w:rPr>
            </w:pPr>
          </w:p>
        </w:tc>
        <w:tc>
          <w:tcPr>
            <w:tcW w:w="6612" w:type="dxa"/>
            <w:tcBorders>
              <w:top w:val="single" w:color="auto" w:sz="4" w:space="0"/>
              <w:left w:val="single" w:color="auto" w:sz="4" w:space="0"/>
              <w:right w:val="single" w:color="auto" w:sz="4" w:space="0"/>
            </w:tcBorders>
            <w:vAlign w:val="center"/>
          </w:tcPr>
          <w:p>
            <w:pPr>
              <w:widowControl/>
              <w:shd w:val="clear"/>
              <w:rPr>
                <w:rFonts w:hint="eastAsia" w:ascii="宋体" w:hAnsi="宋体" w:cs="宋体"/>
                <w:color w:val="auto"/>
                <w:szCs w:val="21"/>
                <w:highlight w:val="none"/>
                <w:lang w:val="en-US" w:eastAsia="zh-CN"/>
              </w:rPr>
            </w:pPr>
            <w:r>
              <w:rPr>
                <w:rFonts w:hint="eastAsia" w:ascii="宋体" w:hAnsi="宋体" w:eastAsia="宋体" w:cs="宋体"/>
                <w:color w:val="auto"/>
                <w:sz w:val="21"/>
                <w:szCs w:val="21"/>
                <w:highlight w:val="none"/>
                <w:lang w:val="en-US" w:eastAsia="zh-CN"/>
              </w:rPr>
              <w:t>根据投标人的管理质量目标是否明确，综合运维技术、供配电等设备设施关键部位管理技术、重点难点分析及相应的解决办法、管理质量保证措施的可靠性等进行打分</w:t>
            </w:r>
          </w:p>
        </w:tc>
        <w:tc>
          <w:tcPr>
            <w:tcW w:w="976" w:type="dxa"/>
            <w:tcBorders>
              <w:top w:val="single" w:color="auto" w:sz="4" w:space="0"/>
              <w:left w:val="single" w:color="auto" w:sz="4" w:space="0"/>
              <w:bottom w:val="single" w:color="auto" w:sz="4" w:space="0"/>
              <w:right w:val="single" w:color="auto" w:sz="4" w:space="0"/>
            </w:tcBorders>
            <w:vAlign w:val="center"/>
          </w:tcPr>
          <w:p>
            <w:pPr>
              <w:shd w:val="clear"/>
              <w:spacing w:line="400" w:lineRule="exact"/>
              <w:jc w:val="center"/>
              <w:rPr>
                <w:rFonts w:hint="eastAsia" w:ascii="宋体" w:hAnsi="宋体" w:cs="宋体"/>
                <w:color w:val="auto"/>
                <w:szCs w:val="21"/>
                <w:highlight w:val="none"/>
              </w:rPr>
            </w:pPr>
            <w:r>
              <w:rPr>
                <w:rFonts w:hint="eastAsia" w:ascii="宋体" w:hAnsi="宋体" w:cs="宋体"/>
                <w:color w:val="auto"/>
                <w:szCs w:val="21"/>
                <w:highlight w:val="none"/>
                <w:lang w:val="en-US" w:eastAsia="zh-CN"/>
              </w:rPr>
              <w:t>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886" w:type="dxa"/>
            <w:vMerge w:val="restart"/>
            <w:tcBorders>
              <w:top w:val="single" w:color="auto" w:sz="4" w:space="0"/>
              <w:left w:val="single" w:color="auto" w:sz="4" w:space="0"/>
              <w:right w:val="single" w:color="auto" w:sz="4" w:space="0"/>
            </w:tcBorders>
            <w:vAlign w:val="center"/>
          </w:tcPr>
          <w:p>
            <w:pPr>
              <w:shd w:val="clear"/>
              <w:spacing w:line="400" w:lineRule="exact"/>
              <w:jc w:val="center"/>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kern w:val="0"/>
                <w:szCs w:val="21"/>
                <w:highlight w:val="none"/>
                <w:lang w:val="en-US" w:eastAsia="zh-CN"/>
              </w:rPr>
              <w:t>2</w:t>
            </w:r>
          </w:p>
        </w:tc>
        <w:tc>
          <w:tcPr>
            <w:tcW w:w="1582" w:type="dxa"/>
            <w:vMerge w:val="restart"/>
            <w:tcBorders>
              <w:top w:val="single" w:color="auto" w:sz="4" w:space="0"/>
              <w:left w:val="single" w:color="auto" w:sz="4" w:space="0"/>
              <w:right w:val="single" w:color="auto" w:sz="4" w:space="0"/>
            </w:tcBorders>
            <w:vAlign w:val="center"/>
          </w:tcPr>
          <w:p>
            <w:pPr>
              <w:shd w:val="clear"/>
              <w:jc w:val="center"/>
              <w:rPr>
                <w:rFonts w:hint="eastAsia"/>
                <w:color w:val="auto"/>
                <w:highlight w:val="none"/>
                <w:lang w:val="en-US" w:eastAsia="zh-CN"/>
              </w:rPr>
            </w:pPr>
            <w:r>
              <w:rPr>
                <w:rFonts w:hint="eastAsia"/>
                <w:color w:val="auto"/>
                <w:highlight w:val="none"/>
                <w:lang w:val="en-US" w:eastAsia="zh-CN"/>
              </w:rPr>
              <w:t>拟投入本项目设备</w:t>
            </w:r>
          </w:p>
          <w:p>
            <w:pPr>
              <w:shd w:val="clear"/>
              <w:jc w:val="center"/>
              <w:rPr>
                <w:rFonts w:hint="eastAsia"/>
                <w:color w:val="auto"/>
                <w:highlight w:val="none"/>
                <w:lang w:val="en-US" w:eastAsia="zh-CN"/>
              </w:rPr>
            </w:pPr>
            <w:r>
              <w:rPr>
                <w:rFonts w:hint="eastAsia"/>
                <w:color w:val="auto"/>
                <w:highlight w:val="none"/>
              </w:rPr>
              <w:t>(</w:t>
            </w:r>
            <w:r>
              <w:rPr>
                <w:rFonts w:hint="eastAsia"/>
                <w:color w:val="auto"/>
                <w:highlight w:val="none"/>
                <w:lang w:val="en-US" w:eastAsia="zh-CN"/>
              </w:rPr>
              <w:t>客</w:t>
            </w:r>
            <w:r>
              <w:rPr>
                <w:rFonts w:hint="eastAsia"/>
                <w:color w:val="auto"/>
                <w:highlight w:val="none"/>
              </w:rPr>
              <w:t>观分)</w:t>
            </w:r>
          </w:p>
        </w:tc>
        <w:tc>
          <w:tcPr>
            <w:tcW w:w="6612" w:type="dxa"/>
            <w:tcBorders>
              <w:top w:val="single" w:color="auto" w:sz="4" w:space="0"/>
              <w:left w:val="single" w:color="auto" w:sz="4" w:space="0"/>
              <w:right w:val="single" w:color="auto" w:sz="4" w:space="0"/>
            </w:tcBorders>
            <w:vAlign w:val="center"/>
          </w:tcPr>
          <w:p>
            <w:pPr>
              <w:shd w:val="clear"/>
              <w:rPr>
                <w:rFonts w:ascii="宋体" w:hAnsi="宋体" w:cs="宋体"/>
                <w:color w:val="auto"/>
                <w:szCs w:val="21"/>
                <w:highlight w:val="none"/>
              </w:rPr>
            </w:pPr>
            <w:r>
              <w:rPr>
                <w:rFonts w:hint="eastAsia" w:ascii="宋体" w:hAnsi="宋体" w:cs="宋体"/>
                <w:color w:val="auto"/>
                <w:szCs w:val="21"/>
                <w:highlight w:val="none"/>
                <w:lang w:val="en-US" w:eastAsia="zh-CN"/>
              </w:rPr>
              <w:t>LED灯具：6000</w:t>
            </w:r>
            <w:r>
              <w:rPr>
                <w:rFonts w:hint="eastAsia" w:ascii="宋体" w:hAnsi="宋体" w:cs="宋体"/>
                <w:color w:val="auto"/>
                <w:szCs w:val="21"/>
                <w:highlight w:val="none"/>
              </w:rPr>
              <w:t>小时光通维持率≥9</w:t>
            </w:r>
            <w:r>
              <w:rPr>
                <w:rFonts w:hint="eastAsia" w:ascii="宋体" w:hAnsi="宋体" w:cs="宋体"/>
                <w:color w:val="auto"/>
                <w:szCs w:val="21"/>
                <w:highlight w:val="none"/>
                <w:lang w:val="en-US" w:eastAsia="zh-CN"/>
              </w:rPr>
              <w:t>9</w:t>
            </w:r>
            <w:r>
              <w:rPr>
                <w:rFonts w:hint="eastAsia" w:ascii="宋体" w:hAnsi="宋体" w:cs="宋体"/>
                <w:color w:val="auto"/>
                <w:szCs w:val="21"/>
                <w:highlight w:val="none"/>
              </w:rPr>
              <w:t>%</w:t>
            </w:r>
            <w:r>
              <w:rPr>
                <w:rFonts w:hint="eastAsia" w:ascii="宋体" w:hAnsi="宋体" w:cs="宋体"/>
                <w:color w:val="auto"/>
                <w:szCs w:val="21"/>
                <w:highlight w:val="none"/>
                <w:lang w:val="en-US" w:eastAsia="zh-CN"/>
              </w:rPr>
              <w:t>光衰测试报告得3分</w:t>
            </w:r>
            <w:r>
              <w:rPr>
                <w:rFonts w:hint="eastAsia" w:ascii="宋体" w:hAnsi="宋体" w:cs="宋体"/>
                <w:color w:val="auto"/>
                <w:szCs w:val="21"/>
                <w:highlight w:val="none"/>
              </w:rPr>
              <w:t>；提供6000小时光通维持率≥98%光衰测试报告得2分；提供</w:t>
            </w:r>
            <w:r>
              <w:rPr>
                <w:rFonts w:hint="eastAsia" w:ascii="宋体" w:hAnsi="宋体" w:cs="宋体"/>
                <w:color w:val="auto"/>
                <w:szCs w:val="21"/>
                <w:highlight w:val="none"/>
                <w:lang w:val="en-US" w:eastAsia="zh-CN"/>
              </w:rPr>
              <w:t>6000</w:t>
            </w:r>
            <w:r>
              <w:rPr>
                <w:rFonts w:hint="eastAsia" w:ascii="宋体" w:hAnsi="宋体" w:cs="宋体"/>
                <w:color w:val="auto"/>
                <w:szCs w:val="21"/>
                <w:highlight w:val="none"/>
              </w:rPr>
              <w:t>小时光通维持率≥9</w:t>
            </w:r>
            <w:r>
              <w:rPr>
                <w:rFonts w:hint="eastAsia" w:ascii="宋体" w:hAnsi="宋体" w:cs="宋体"/>
                <w:color w:val="auto"/>
                <w:szCs w:val="21"/>
                <w:highlight w:val="none"/>
                <w:lang w:val="en-US" w:eastAsia="zh-CN"/>
              </w:rPr>
              <w:t>7</w:t>
            </w:r>
            <w:r>
              <w:rPr>
                <w:rFonts w:hint="eastAsia" w:ascii="宋体" w:hAnsi="宋体" w:cs="宋体"/>
                <w:color w:val="auto"/>
                <w:szCs w:val="21"/>
                <w:highlight w:val="none"/>
              </w:rPr>
              <w:t>%光衰测试报告得1分；</w:t>
            </w:r>
          </w:p>
          <w:p>
            <w:pPr>
              <w:widowControl/>
              <w:shd w:val="clear"/>
              <w:rPr>
                <w:rFonts w:hint="eastAsia" w:ascii="宋体" w:hAnsi="宋体" w:eastAsia="宋体" w:cs="宋体"/>
                <w:color w:val="auto"/>
                <w:kern w:val="0"/>
                <w:sz w:val="21"/>
                <w:szCs w:val="21"/>
                <w:highlight w:val="none"/>
                <w:lang w:val="en-US" w:eastAsia="zh-CN" w:bidi="ar-SA"/>
              </w:rPr>
            </w:pPr>
            <w:r>
              <w:rPr>
                <w:rFonts w:hint="eastAsia" w:ascii="宋体" w:hAnsi="宋体" w:cs="宋体"/>
                <w:color w:val="auto"/>
                <w:szCs w:val="21"/>
                <w:highlight w:val="none"/>
                <w:lang w:eastAsia="zh-CN"/>
              </w:rPr>
              <w:t>（</w:t>
            </w:r>
            <w:r>
              <w:rPr>
                <w:rFonts w:hint="eastAsia" w:ascii="宋体" w:hAnsi="宋体" w:cs="宋体"/>
                <w:color w:val="auto"/>
                <w:szCs w:val="21"/>
                <w:highlight w:val="none"/>
              </w:rPr>
              <w:t>提供光衰测试报告复印件加盖公章，未提供则不得分</w:t>
            </w:r>
            <w:r>
              <w:rPr>
                <w:rFonts w:hint="eastAsia" w:ascii="宋体" w:hAnsi="宋体" w:cs="宋体"/>
                <w:color w:val="auto"/>
                <w:szCs w:val="21"/>
                <w:highlight w:val="none"/>
                <w:lang w:eastAsia="zh-CN"/>
              </w:rPr>
              <w:t>）</w:t>
            </w:r>
            <w:r>
              <w:rPr>
                <w:rFonts w:hint="eastAsia" w:ascii="宋体" w:hAnsi="宋体" w:cs="宋体"/>
                <w:color w:val="auto"/>
                <w:szCs w:val="21"/>
                <w:highlight w:val="none"/>
              </w:rPr>
              <w:t>。</w:t>
            </w:r>
          </w:p>
        </w:tc>
        <w:tc>
          <w:tcPr>
            <w:tcW w:w="976" w:type="dxa"/>
            <w:tcBorders>
              <w:top w:val="single" w:color="auto" w:sz="4" w:space="0"/>
              <w:left w:val="single" w:color="auto" w:sz="4" w:space="0"/>
              <w:bottom w:val="single" w:color="auto" w:sz="4" w:space="0"/>
              <w:right w:val="single" w:color="auto" w:sz="4" w:space="0"/>
            </w:tcBorders>
            <w:vAlign w:val="center"/>
          </w:tcPr>
          <w:p>
            <w:pPr>
              <w:shd w:val="clear"/>
              <w:autoSpaceDE w:val="0"/>
              <w:jc w:val="center"/>
              <w:rPr>
                <w:rFonts w:hint="eastAsia" w:ascii="宋体" w:hAnsi="宋体" w:eastAsia="宋体" w:cs="宋体"/>
                <w:color w:val="auto"/>
                <w:kern w:val="0"/>
                <w:sz w:val="21"/>
                <w:szCs w:val="21"/>
                <w:highlight w:val="none"/>
                <w:lang w:val="en-US" w:eastAsia="zh-CN" w:bidi="ar-SA"/>
              </w:rPr>
            </w:pPr>
            <w:r>
              <w:rPr>
                <w:rFonts w:hint="eastAsia" w:ascii="宋体" w:hAnsi="宋体" w:cs="宋体"/>
                <w:color w:val="auto"/>
                <w:szCs w:val="21"/>
                <w:highlight w:val="none"/>
              </w:rPr>
              <w:t>0</w:t>
            </w:r>
            <w:r>
              <w:rPr>
                <w:rFonts w:hint="eastAsia" w:ascii="宋体" w:hAnsi="宋体" w:cs="宋体"/>
                <w:color w:val="auto"/>
                <w:szCs w:val="21"/>
                <w:highlight w:val="none"/>
                <w:lang w:val="zh-CN"/>
              </w:rPr>
              <w:t>-</w:t>
            </w:r>
            <w:r>
              <w:rPr>
                <w:rFonts w:hint="eastAsia" w:ascii="宋体" w:hAnsi="宋体" w:cs="宋体"/>
                <w:color w:val="auto"/>
                <w:szCs w:val="21"/>
                <w:highlight w:val="none"/>
              </w:rPr>
              <w:t>3</w:t>
            </w:r>
            <w:r>
              <w:rPr>
                <w:rFonts w:hint="eastAsia" w:ascii="宋体" w:hAnsi="宋体" w:cs="宋体"/>
                <w:color w:val="auto"/>
                <w:szCs w:val="21"/>
                <w:highlight w:val="none"/>
                <w:lang w:val="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886" w:type="dxa"/>
            <w:vMerge w:val="continue"/>
            <w:tcBorders>
              <w:left w:val="single" w:color="auto" w:sz="4" w:space="0"/>
              <w:right w:val="single" w:color="auto" w:sz="4" w:space="0"/>
            </w:tcBorders>
            <w:vAlign w:val="center"/>
          </w:tcPr>
          <w:p>
            <w:pPr>
              <w:shd w:val="clear"/>
              <w:jc w:val="center"/>
              <w:rPr>
                <w:rFonts w:hint="eastAsia" w:ascii="宋体" w:hAnsi="宋体" w:eastAsia="宋体" w:cs="宋体"/>
                <w:color w:val="auto"/>
                <w:kern w:val="2"/>
                <w:sz w:val="21"/>
                <w:szCs w:val="21"/>
                <w:highlight w:val="none"/>
                <w:lang w:val="en-US" w:eastAsia="zh-CN" w:bidi="ar-SA"/>
              </w:rPr>
            </w:pPr>
          </w:p>
        </w:tc>
        <w:tc>
          <w:tcPr>
            <w:tcW w:w="1582" w:type="dxa"/>
            <w:vMerge w:val="continue"/>
            <w:tcBorders>
              <w:left w:val="single" w:color="auto" w:sz="4" w:space="0"/>
              <w:right w:val="single" w:color="auto" w:sz="4" w:space="0"/>
            </w:tcBorders>
            <w:vAlign w:val="center"/>
          </w:tcPr>
          <w:p>
            <w:pPr>
              <w:shd w:val="clear"/>
              <w:jc w:val="center"/>
              <w:rPr>
                <w:rFonts w:hint="eastAsia"/>
                <w:color w:val="auto"/>
                <w:highlight w:val="none"/>
                <w:lang w:val="en-US" w:eastAsia="zh-CN"/>
              </w:rPr>
            </w:pPr>
          </w:p>
        </w:tc>
        <w:tc>
          <w:tcPr>
            <w:tcW w:w="6612" w:type="dxa"/>
            <w:tcBorders>
              <w:top w:val="single" w:color="auto" w:sz="4" w:space="0"/>
              <w:left w:val="single" w:color="auto" w:sz="4" w:space="0"/>
              <w:right w:val="single" w:color="auto" w:sz="4" w:space="0"/>
            </w:tcBorders>
            <w:vAlign w:val="center"/>
          </w:tcPr>
          <w:p>
            <w:pPr>
              <w:widowControl/>
              <w:shd w:val="clear"/>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szCs w:val="21"/>
                <w:highlight w:val="none"/>
              </w:rPr>
              <w:t>LED模组和单灯控制器</w:t>
            </w:r>
            <w:r>
              <w:rPr>
                <w:rFonts w:hint="eastAsia" w:ascii="宋体" w:hAnsi="宋体" w:cs="宋体"/>
                <w:color w:val="auto"/>
                <w:szCs w:val="21"/>
                <w:highlight w:val="none"/>
                <w:lang w:eastAsia="zh-CN"/>
              </w:rPr>
              <w:t>：</w:t>
            </w:r>
            <w:r>
              <w:rPr>
                <w:rFonts w:hint="eastAsia" w:ascii="宋体" w:hAnsi="宋体" w:cs="宋体"/>
                <w:color w:val="auto"/>
                <w:szCs w:val="21"/>
                <w:highlight w:val="none"/>
                <w:lang w:val="en-US" w:eastAsia="zh-CN"/>
              </w:rPr>
              <w:t>根据投标人提供的</w:t>
            </w:r>
            <w:r>
              <w:rPr>
                <w:rFonts w:hint="eastAsia" w:ascii="宋体" w:hAnsi="宋体" w:cs="宋体"/>
                <w:color w:val="auto"/>
                <w:szCs w:val="21"/>
                <w:highlight w:val="none"/>
              </w:rPr>
              <w:t>LED</w:t>
            </w:r>
            <w:r>
              <w:rPr>
                <w:rFonts w:hint="eastAsia" w:ascii="宋体" w:hAnsi="宋体" w:cs="宋体"/>
                <w:color w:val="auto"/>
                <w:szCs w:val="21"/>
                <w:highlight w:val="none"/>
                <w:lang w:val="en-US" w:eastAsia="zh-CN"/>
              </w:rPr>
              <w:t>灯头</w:t>
            </w:r>
            <w:r>
              <w:rPr>
                <w:rFonts w:hint="eastAsia" w:ascii="宋体" w:hAnsi="宋体" w:cs="宋体"/>
                <w:color w:val="auto"/>
                <w:szCs w:val="21"/>
                <w:highlight w:val="none"/>
              </w:rPr>
              <w:t>模组的要求和单灯控制器要求</w:t>
            </w:r>
            <w:r>
              <w:rPr>
                <w:rFonts w:hint="eastAsia" w:ascii="宋体" w:hAnsi="宋体" w:cs="宋体"/>
                <w:color w:val="auto"/>
                <w:szCs w:val="21"/>
                <w:highlight w:val="none"/>
                <w:lang w:val="en-US" w:eastAsia="zh-CN"/>
              </w:rPr>
              <w:t>的技术参数</w:t>
            </w:r>
            <w:r>
              <w:rPr>
                <w:rFonts w:hint="eastAsia" w:ascii="宋体" w:hAnsi="宋体" w:cs="宋体"/>
                <w:color w:val="auto"/>
                <w:szCs w:val="21"/>
                <w:highlight w:val="none"/>
              </w:rPr>
              <w:t>，</w:t>
            </w:r>
            <w:r>
              <w:rPr>
                <w:rFonts w:hint="eastAsia" w:ascii="宋体" w:hAnsi="宋体" w:cs="宋体"/>
                <w:color w:val="auto"/>
                <w:szCs w:val="21"/>
                <w:highlight w:val="none"/>
                <w:lang w:val="en-US" w:eastAsia="zh-CN"/>
              </w:rPr>
              <w:t>投标人提供的产品全部符合招标文件要求的得17分，每有1项不满足扣1.5分，扣完为止，本项满分17分。</w:t>
            </w:r>
          </w:p>
        </w:tc>
        <w:tc>
          <w:tcPr>
            <w:tcW w:w="976" w:type="dxa"/>
            <w:tcBorders>
              <w:top w:val="single" w:color="auto" w:sz="4" w:space="0"/>
              <w:left w:val="single" w:color="auto" w:sz="4" w:space="0"/>
              <w:bottom w:val="single" w:color="auto" w:sz="4" w:space="0"/>
              <w:right w:val="single" w:color="auto" w:sz="4" w:space="0"/>
            </w:tcBorders>
            <w:vAlign w:val="center"/>
          </w:tcPr>
          <w:p>
            <w:pPr>
              <w:shd w:val="clear"/>
              <w:jc w:val="center"/>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szCs w:val="21"/>
                <w:highlight w:val="none"/>
              </w:rPr>
              <w:t>0</w:t>
            </w:r>
            <w:r>
              <w:rPr>
                <w:rFonts w:hint="eastAsia" w:ascii="宋体" w:hAnsi="宋体" w:cs="宋体"/>
                <w:color w:val="auto"/>
                <w:szCs w:val="21"/>
                <w:highlight w:val="none"/>
                <w:lang w:val="zh-CN"/>
              </w:rPr>
              <w:t>-</w:t>
            </w:r>
            <w:r>
              <w:rPr>
                <w:rFonts w:hint="eastAsia" w:ascii="宋体" w:hAnsi="宋体" w:cs="宋体"/>
                <w:color w:val="auto"/>
                <w:szCs w:val="21"/>
                <w:highlight w:val="none"/>
                <w:lang w:val="en-US" w:eastAsia="zh-CN"/>
              </w:rPr>
              <w:t>17</w:t>
            </w:r>
            <w:r>
              <w:rPr>
                <w:rFonts w:hint="eastAsia" w:ascii="宋体" w:hAnsi="宋体" w:cs="宋体"/>
                <w:color w:val="auto"/>
                <w:szCs w:val="21"/>
                <w:highlight w:val="none"/>
                <w:lang w:val="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886" w:type="dxa"/>
            <w:vMerge w:val="restart"/>
            <w:tcBorders>
              <w:left w:val="single" w:color="auto" w:sz="4" w:space="0"/>
              <w:right w:val="single" w:color="auto" w:sz="4" w:space="0"/>
            </w:tcBorders>
            <w:vAlign w:val="center"/>
          </w:tcPr>
          <w:p>
            <w:pPr>
              <w:shd w:val="clear"/>
              <w:spacing w:line="400" w:lineRule="exact"/>
              <w:jc w:val="center"/>
              <w:rPr>
                <w:rFonts w:hint="eastAsia" w:ascii="宋体" w:hAnsi="宋体" w:eastAsia="宋体" w:cs="宋体"/>
                <w:color w:val="auto"/>
                <w:kern w:val="0"/>
                <w:szCs w:val="21"/>
                <w:highlight w:val="none"/>
                <w:lang w:eastAsia="zh-CN"/>
              </w:rPr>
            </w:pPr>
            <w:r>
              <w:rPr>
                <w:rFonts w:hint="eastAsia" w:ascii="宋体" w:hAnsi="宋体" w:cs="宋体"/>
                <w:color w:val="auto"/>
                <w:kern w:val="0"/>
                <w:szCs w:val="21"/>
                <w:highlight w:val="none"/>
                <w:lang w:val="en-US" w:eastAsia="zh-CN"/>
              </w:rPr>
              <w:t>3</w:t>
            </w:r>
          </w:p>
        </w:tc>
        <w:tc>
          <w:tcPr>
            <w:tcW w:w="1582" w:type="dxa"/>
            <w:vMerge w:val="restart"/>
            <w:tcBorders>
              <w:left w:val="single" w:color="auto" w:sz="4" w:space="0"/>
              <w:right w:val="single" w:color="auto" w:sz="4" w:space="0"/>
            </w:tcBorders>
            <w:vAlign w:val="center"/>
          </w:tcPr>
          <w:p>
            <w:pPr>
              <w:shd w:val="clear"/>
              <w:jc w:val="center"/>
              <w:rPr>
                <w:rFonts w:hint="eastAsia"/>
                <w:color w:val="auto"/>
                <w:highlight w:val="none"/>
                <w:lang w:val="en-US" w:eastAsia="zh-CN"/>
              </w:rPr>
            </w:pPr>
            <w:r>
              <w:rPr>
                <w:rFonts w:hint="eastAsia"/>
                <w:color w:val="auto"/>
                <w:highlight w:val="none"/>
              </w:rPr>
              <w:t>可远程控制云平台</w:t>
            </w:r>
            <w:r>
              <w:rPr>
                <w:rFonts w:hint="eastAsia"/>
                <w:color w:val="auto"/>
                <w:highlight w:val="none"/>
                <w:lang w:val="en-US" w:eastAsia="zh-CN"/>
              </w:rPr>
              <w:t>功能配置</w:t>
            </w:r>
          </w:p>
          <w:p>
            <w:pPr>
              <w:shd w:val="clear"/>
              <w:jc w:val="center"/>
              <w:rPr>
                <w:rFonts w:hint="eastAsia"/>
                <w:color w:val="auto"/>
                <w:highlight w:val="none"/>
                <w:lang w:val="en-US" w:eastAsia="zh-CN"/>
              </w:rPr>
            </w:pPr>
            <w:r>
              <w:rPr>
                <w:rFonts w:hint="eastAsia"/>
                <w:color w:val="auto"/>
                <w:highlight w:val="none"/>
                <w:lang w:val="en-US" w:eastAsia="zh-CN"/>
              </w:rPr>
              <w:t>(主观分)</w:t>
            </w:r>
          </w:p>
        </w:tc>
        <w:tc>
          <w:tcPr>
            <w:tcW w:w="6612" w:type="dxa"/>
            <w:tcBorders>
              <w:top w:val="single" w:color="auto" w:sz="4" w:space="0"/>
              <w:left w:val="single" w:color="auto" w:sz="4" w:space="0"/>
              <w:right w:val="single" w:color="auto" w:sz="4" w:space="0"/>
            </w:tcBorders>
            <w:vAlign w:val="center"/>
          </w:tcPr>
          <w:p>
            <w:pPr>
              <w:widowControl/>
              <w:shd w:val="clear"/>
              <w:rPr>
                <w:rFonts w:hint="default" w:ascii="宋体" w:hAnsi="宋体" w:eastAsia="宋体" w:cs="宋体"/>
                <w:color w:val="auto"/>
                <w:kern w:val="0"/>
                <w:sz w:val="21"/>
                <w:szCs w:val="21"/>
                <w:highlight w:val="none"/>
                <w:lang w:val="en-US" w:eastAsia="zh-CN" w:bidi="ar-SA"/>
              </w:rPr>
            </w:pPr>
            <w:r>
              <w:rPr>
                <w:rFonts w:hint="eastAsia" w:ascii="宋体" w:hAnsi="宋体" w:cs="宋体"/>
                <w:color w:val="auto"/>
                <w:szCs w:val="21"/>
                <w:highlight w:val="none"/>
                <w:lang w:val="en-US" w:eastAsia="zh-CN"/>
              </w:rPr>
              <w:t>根据投标人提供的</w:t>
            </w:r>
            <w:r>
              <w:rPr>
                <w:rFonts w:hint="eastAsia"/>
                <w:color w:val="auto"/>
                <w:highlight w:val="none"/>
              </w:rPr>
              <w:t>可远程控制云平台</w:t>
            </w:r>
            <w:r>
              <w:rPr>
                <w:rFonts w:hint="eastAsia"/>
                <w:color w:val="auto"/>
                <w:highlight w:val="none"/>
                <w:lang w:val="en-US" w:eastAsia="zh-CN"/>
              </w:rPr>
              <w:t>的功能配置的完整性、全面性、先进程度等进行打分</w:t>
            </w:r>
          </w:p>
        </w:tc>
        <w:tc>
          <w:tcPr>
            <w:tcW w:w="976" w:type="dxa"/>
            <w:tcBorders>
              <w:top w:val="single" w:color="auto" w:sz="4" w:space="0"/>
              <w:left w:val="single" w:color="auto" w:sz="4" w:space="0"/>
              <w:bottom w:val="single" w:color="auto" w:sz="4" w:space="0"/>
              <w:right w:val="single" w:color="auto" w:sz="4" w:space="0"/>
            </w:tcBorders>
            <w:vAlign w:val="center"/>
          </w:tcPr>
          <w:p>
            <w:pPr>
              <w:shd w:val="clear"/>
              <w:autoSpaceDE w:val="0"/>
              <w:jc w:val="center"/>
              <w:rPr>
                <w:rFonts w:ascii="宋体" w:hAnsi="宋体" w:cs="宋体"/>
                <w:color w:val="auto"/>
                <w:kern w:val="0"/>
                <w:szCs w:val="21"/>
                <w:highlight w:val="none"/>
              </w:rPr>
            </w:pPr>
            <w:r>
              <w:rPr>
                <w:rFonts w:hint="eastAsia" w:ascii="宋体" w:hAnsi="宋体" w:cs="宋体"/>
                <w:color w:val="auto"/>
                <w:szCs w:val="21"/>
                <w:highlight w:val="none"/>
              </w:rPr>
              <w:t>0</w:t>
            </w:r>
            <w:r>
              <w:rPr>
                <w:rFonts w:hint="eastAsia" w:ascii="宋体" w:hAnsi="宋体" w:cs="宋体"/>
                <w:color w:val="auto"/>
                <w:szCs w:val="21"/>
                <w:highlight w:val="none"/>
                <w:lang w:val="zh-CN"/>
              </w:rPr>
              <w:t>-</w:t>
            </w:r>
            <w:r>
              <w:rPr>
                <w:rFonts w:hint="eastAsia" w:ascii="宋体" w:hAnsi="宋体" w:cs="宋体"/>
                <w:color w:val="auto"/>
                <w:szCs w:val="21"/>
                <w:highlight w:val="none"/>
              </w:rPr>
              <w:t>3</w:t>
            </w:r>
            <w:r>
              <w:rPr>
                <w:rFonts w:hint="eastAsia" w:ascii="宋体" w:hAnsi="宋体" w:cs="宋体"/>
                <w:color w:val="auto"/>
                <w:szCs w:val="21"/>
                <w:highlight w:val="none"/>
                <w:lang w:val="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886" w:type="dxa"/>
            <w:vMerge w:val="continue"/>
            <w:tcBorders>
              <w:left w:val="single" w:color="auto" w:sz="4" w:space="0"/>
              <w:right w:val="single" w:color="auto" w:sz="4" w:space="0"/>
            </w:tcBorders>
            <w:vAlign w:val="center"/>
          </w:tcPr>
          <w:p>
            <w:pPr>
              <w:shd w:val="clear"/>
              <w:spacing w:line="400" w:lineRule="exact"/>
              <w:jc w:val="center"/>
              <w:rPr>
                <w:rFonts w:hint="eastAsia" w:ascii="宋体" w:hAnsi="宋体" w:cs="宋体"/>
                <w:color w:val="auto"/>
                <w:kern w:val="0"/>
                <w:szCs w:val="21"/>
                <w:highlight w:val="none"/>
                <w:lang w:val="en-US" w:eastAsia="zh-CN"/>
              </w:rPr>
            </w:pPr>
          </w:p>
        </w:tc>
        <w:tc>
          <w:tcPr>
            <w:tcW w:w="1582" w:type="dxa"/>
            <w:vMerge w:val="continue"/>
            <w:tcBorders>
              <w:left w:val="single" w:color="auto" w:sz="4" w:space="0"/>
              <w:right w:val="single" w:color="auto" w:sz="4" w:space="0"/>
            </w:tcBorders>
            <w:vAlign w:val="center"/>
          </w:tcPr>
          <w:p>
            <w:pPr>
              <w:shd w:val="clear"/>
              <w:jc w:val="center"/>
              <w:rPr>
                <w:rFonts w:hint="eastAsia"/>
                <w:color w:val="auto"/>
                <w:highlight w:val="none"/>
                <w:lang w:val="en-US" w:eastAsia="zh-CN"/>
              </w:rPr>
            </w:pPr>
          </w:p>
        </w:tc>
        <w:tc>
          <w:tcPr>
            <w:tcW w:w="6612" w:type="dxa"/>
            <w:tcBorders>
              <w:top w:val="single" w:color="auto" w:sz="4" w:space="0"/>
              <w:left w:val="single" w:color="auto" w:sz="4" w:space="0"/>
              <w:right w:val="single" w:color="auto" w:sz="4" w:space="0"/>
            </w:tcBorders>
            <w:vAlign w:val="center"/>
          </w:tcPr>
          <w:p>
            <w:pPr>
              <w:widowControl/>
              <w:shd w:val="clear"/>
              <w:rPr>
                <w:rFonts w:hint="default"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根据投标人提供的</w:t>
            </w:r>
            <w:r>
              <w:rPr>
                <w:rFonts w:hint="eastAsia"/>
                <w:color w:val="auto"/>
                <w:highlight w:val="none"/>
              </w:rPr>
              <w:t>可远程控制云平台</w:t>
            </w:r>
            <w:r>
              <w:rPr>
                <w:rFonts w:hint="eastAsia"/>
                <w:color w:val="auto"/>
                <w:highlight w:val="none"/>
                <w:lang w:val="en-US" w:eastAsia="zh-CN"/>
              </w:rPr>
              <w:t>的整体操作流程的合理性、便捷性、科学性等进行打分</w:t>
            </w:r>
          </w:p>
        </w:tc>
        <w:tc>
          <w:tcPr>
            <w:tcW w:w="976" w:type="dxa"/>
            <w:tcBorders>
              <w:top w:val="single" w:color="auto" w:sz="4" w:space="0"/>
              <w:left w:val="single" w:color="auto" w:sz="4" w:space="0"/>
              <w:bottom w:val="single" w:color="auto" w:sz="4" w:space="0"/>
              <w:right w:val="single" w:color="auto" w:sz="4" w:space="0"/>
            </w:tcBorders>
            <w:vAlign w:val="center"/>
          </w:tcPr>
          <w:p>
            <w:pPr>
              <w:shd w:val="clear"/>
              <w:autoSpaceDE w:val="0"/>
              <w:jc w:val="center"/>
              <w:rPr>
                <w:rFonts w:hint="eastAsia" w:ascii="宋体" w:hAnsi="宋体" w:cs="宋体"/>
                <w:color w:val="auto"/>
                <w:szCs w:val="21"/>
                <w:highlight w:val="none"/>
              </w:rPr>
            </w:pPr>
            <w:r>
              <w:rPr>
                <w:rFonts w:hint="eastAsia" w:ascii="宋体" w:hAnsi="宋体" w:cs="宋体"/>
                <w:color w:val="auto"/>
                <w:szCs w:val="21"/>
                <w:highlight w:val="none"/>
              </w:rPr>
              <w:t>0</w:t>
            </w:r>
            <w:r>
              <w:rPr>
                <w:rFonts w:hint="eastAsia" w:ascii="宋体" w:hAnsi="宋体" w:cs="宋体"/>
                <w:color w:val="auto"/>
                <w:szCs w:val="21"/>
                <w:highlight w:val="none"/>
                <w:lang w:val="zh-CN"/>
              </w:rPr>
              <w:t>-</w:t>
            </w:r>
            <w:r>
              <w:rPr>
                <w:rFonts w:hint="eastAsia" w:ascii="宋体" w:hAnsi="宋体" w:cs="宋体"/>
                <w:color w:val="auto"/>
                <w:szCs w:val="21"/>
                <w:highlight w:val="none"/>
              </w:rPr>
              <w:t>3</w:t>
            </w:r>
            <w:r>
              <w:rPr>
                <w:rFonts w:hint="eastAsia" w:ascii="宋体" w:hAnsi="宋体" w:cs="宋体"/>
                <w:color w:val="auto"/>
                <w:szCs w:val="21"/>
                <w:highlight w:val="none"/>
                <w:lang w:val="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886" w:type="dxa"/>
            <w:vMerge w:val="continue"/>
            <w:tcBorders>
              <w:left w:val="single" w:color="auto" w:sz="4" w:space="0"/>
              <w:right w:val="single" w:color="auto" w:sz="4" w:space="0"/>
            </w:tcBorders>
            <w:vAlign w:val="center"/>
          </w:tcPr>
          <w:p>
            <w:pPr>
              <w:shd w:val="clear"/>
              <w:spacing w:line="400" w:lineRule="exact"/>
              <w:jc w:val="center"/>
              <w:rPr>
                <w:rFonts w:hint="eastAsia" w:ascii="宋体" w:hAnsi="宋体" w:cs="宋体"/>
                <w:color w:val="auto"/>
                <w:kern w:val="0"/>
                <w:szCs w:val="21"/>
                <w:highlight w:val="none"/>
                <w:lang w:val="en-US" w:eastAsia="zh-CN"/>
              </w:rPr>
            </w:pPr>
          </w:p>
        </w:tc>
        <w:tc>
          <w:tcPr>
            <w:tcW w:w="1582" w:type="dxa"/>
            <w:vMerge w:val="continue"/>
            <w:tcBorders>
              <w:left w:val="single" w:color="auto" w:sz="4" w:space="0"/>
              <w:right w:val="single" w:color="auto" w:sz="4" w:space="0"/>
            </w:tcBorders>
            <w:vAlign w:val="center"/>
          </w:tcPr>
          <w:p>
            <w:pPr>
              <w:shd w:val="clear"/>
              <w:jc w:val="center"/>
              <w:rPr>
                <w:rFonts w:hint="eastAsia"/>
                <w:color w:val="auto"/>
                <w:highlight w:val="none"/>
                <w:lang w:val="en-US" w:eastAsia="zh-CN"/>
              </w:rPr>
            </w:pPr>
          </w:p>
        </w:tc>
        <w:tc>
          <w:tcPr>
            <w:tcW w:w="6612" w:type="dxa"/>
            <w:tcBorders>
              <w:top w:val="single" w:color="auto" w:sz="4" w:space="0"/>
              <w:left w:val="single" w:color="auto" w:sz="4" w:space="0"/>
              <w:right w:val="single" w:color="auto" w:sz="4" w:space="0"/>
            </w:tcBorders>
            <w:vAlign w:val="center"/>
          </w:tcPr>
          <w:p>
            <w:pPr>
              <w:widowControl/>
              <w:shd w:val="clear"/>
              <w:rPr>
                <w:rFonts w:hint="default"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根据投标人提供的</w:t>
            </w:r>
            <w:r>
              <w:rPr>
                <w:rFonts w:hint="eastAsia"/>
                <w:color w:val="auto"/>
                <w:highlight w:val="none"/>
              </w:rPr>
              <w:t>可远程控制云平台</w:t>
            </w:r>
            <w:r>
              <w:rPr>
                <w:rFonts w:hint="eastAsia"/>
                <w:color w:val="auto"/>
                <w:highlight w:val="none"/>
                <w:lang w:val="en-US" w:eastAsia="zh-CN"/>
              </w:rPr>
              <w:t>界面的美观程度、布局的合理性等进行打分</w:t>
            </w:r>
          </w:p>
        </w:tc>
        <w:tc>
          <w:tcPr>
            <w:tcW w:w="976" w:type="dxa"/>
            <w:tcBorders>
              <w:top w:val="single" w:color="auto" w:sz="4" w:space="0"/>
              <w:left w:val="single" w:color="auto" w:sz="4" w:space="0"/>
              <w:bottom w:val="single" w:color="auto" w:sz="4" w:space="0"/>
              <w:right w:val="single" w:color="auto" w:sz="4" w:space="0"/>
            </w:tcBorders>
            <w:vAlign w:val="center"/>
          </w:tcPr>
          <w:p>
            <w:pPr>
              <w:shd w:val="clear"/>
              <w:autoSpaceDE w:val="0"/>
              <w:jc w:val="center"/>
              <w:rPr>
                <w:rFonts w:hint="eastAsia" w:ascii="宋体" w:hAnsi="宋体" w:cs="宋体"/>
                <w:color w:val="auto"/>
                <w:szCs w:val="21"/>
                <w:highlight w:val="none"/>
              </w:rPr>
            </w:pPr>
            <w:r>
              <w:rPr>
                <w:rFonts w:hint="eastAsia" w:ascii="宋体" w:hAnsi="宋体" w:cs="宋体"/>
                <w:color w:val="auto"/>
                <w:szCs w:val="21"/>
                <w:highlight w:val="none"/>
              </w:rPr>
              <w:t>0</w:t>
            </w:r>
            <w:r>
              <w:rPr>
                <w:rFonts w:hint="eastAsia" w:ascii="宋体" w:hAnsi="宋体" w:cs="宋体"/>
                <w:color w:val="auto"/>
                <w:szCs w:val="21"/>
                <w:highlight w:val="none"/>
                <w:lang w:val="zh-CN"/>
              </w:rPr>
              <w:t>-</w:t>
            </w:r>
            <w:r>
              <w:rPr>
                <w:rFonts w:hint="eastAsia" w:ascii="宋体" w:hAnsi="宋体" w:cs="宋体"/>
                <w:color w:val="auto"/>
                <w:szCs w:val="21"/>
                <w:highlight w:val="none"/>
              </w:rPr>
              <w:t>3</w:t>
            </w:r>
            <w:r>
              <w:rPr>
                <w:rFonts w:hint="eastAsia" w:ascii="宋体" w:hAnsi="宋体" w:cs="宋体"/>
                <w:color w:val="auto"/>
                <w:szCs w:val="21"/>
                <w:highlight w:val="none"/>
                <w:lang w:val="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trPr>
        <w:tc>
          <w:tcPr>
            <w:tcW w:w="886" w:type="dxa"/>
            <w:vMerge w:val="restart"/>
            <w:tcBorders>
              <w:left w:val="single" w:color="auto" w:sz="4" w:space="0"/>
              <w:right w:val="single" w:color="auto" w:sz="4" w:space="0"/>
            </w:tcBorders>
            <w:vAlign w:val="center"/>
          </w:tcPr>
          <w:p>
            <w:pPr>
              <w:shd w:val="clear"/>
              <w:spacing w:line="400" w:lineRule="exact"/>
              <w:jc w:val="center"/>
              <w:rPr>
                <w:rFonts w:hint="default" w:ascii="宋体" w:hAnsi="宋体" w:cs="宋体"/>
                <w:color w:val="auto"/>
                <w:kern w:val="0"/>
                <w:szCs w:val="21"/>
                <w:highlight w:val="none"/>
                <w:lang w:val="en-US" w:eastAsia="zh-CN"/>
              </w:rPr>
            </w:pPr>
            <w:r>
              <w:rPr>
                <w:rFonts w:hint="eastAsia" w:ascii="宋体" w:hAnsi="宋体" w:cs="宋体"/>
                <w:color w:val="auto"/>
                <w:kern w:val="0"/>
                <w:szCs w:val="21"/>
                <w:highlight w:val="none"/>
                <w:lang w:val="en-US" w:eastAsia="zh-CN"/>
              </w:rPr>
              <w:t>4</w:t>
            </w:r>
          </w:p>
        </w:tc>
        <w:tc>
          <w:tcPr>
            <w:tcW w:w="1582" w:type="dxa"/>
            <w:vMerge w:val="restart"/>
            <w:tcBorders>
              <w:left w:val="single" w:color="auto" w:sz="4" w:space="0"/>
              <w:right w:val="single" w:color="auto" w:sz="4" w:space="0"/>
            </w:tcBorders>
            <w:vAlign w:val="center"/>
          </w:tcPr>
          <w:p>
            <w:pPr>
              <w:shd w:val="clear"/>
              <w:jc w:val="center"/>
              <w:rPr>
                <w:rFonts w:hint="eastAsia"/>
                <w:color w:val="auto"/>
                <w:highlight w:val="none"/>
                <w:lang w:val="en-US" w:eastAsia="zh-CN"/>
              </w:rPr>
            </w:pPr>
            <w:r>
              <w:rPr>
                <w:rFonts w:hint="eastAsia"/>
                <w:color w:val="auto"/>
                <w:highlight w:val="none"/>
                <w:lang w:val="en-US" w:eastAsia="zh-CN"/>
              </w:rPr>
              <w:t>服务方案</w:t>
            </w:r>
          </w:p>
          <w:p>
            <w:pPr>
              <w:shd w:val="clear"/>
              <w:jc w:val="center"/>
              <w:rPr>
                <w:rFonts w:hint="default"/>
                <w:color w:val="auto"/>
                <w:highlight w:val="none"/>
                <w:lang w:val="en-US" w:eastAsia="zh-CN"/>
              </w:rPr>
            </w:pPr>
            <w:r>
              <w:rPr>
                <w:rFonts w:hint="eastAsia"/>
                <w:color w:val="auto"/>
                <w:highlight w:val="none"/>
                <w:lang w:val="en-US" w:eastAsia="zh-CN"/>
              </w:rPr>
              <w:t>(主观分)</w:t>
            </w:r>
          </w:p>
        </w:tc>
        <w:tc>
          <w:tcPr>
            <w:tcW w:w="6612" w:type="dxa"/>
            <w:tcBorders>
              <w:top w:val="single" w:color="auto" w:sz="4" w:space="0"/>
              <w:left w:val="single" w:color="auto" w:sz="4" w:space="0"/>
              <w:bottom w:val="single" w:color="auto" w:sz="4" w:space="0"/>
              <w:right w:val="single" w:color="auto" w:sz="4" w:space="0"/>
            </w:tcBorders>
            <w:vAlign w:val="center"/>
          </w:tcPr>
          <w:p>
            <w:pPr>
              <w:shd w:val="clear"/>
              <w:rPr>
                <w:rFonts w:hint="eastAsia" w:ascii="宋体" w:hAnsi="宋体" w:eastAsia="宋体" w:cs="宋体"/>
                <w:color w:val="auto"/>
                <w:kern w:val="0"/>
                <w:szCs w:val="21"/>
                <w:highlight w:val="none"/>
                <w:lang w:val="en-US" w:eastAsia="zh-CN"/>
              </w:rPr>
            </w:pPr>
            <w:r>
              <w:rPr>
                <w:rFonts w:hint="eastAsia" w:ascii="宋体" w:hAnsi="宋体" w:cs="宋体"/>
                <w:color w:val="auto"/>
                <w:szCs w:val="21"/>
                <w:highlight w:val="none"/>
              </w:rPr>
              <w:t>根据质保期限、售后服务方案</w:t>
            </w:r>
            <w:r>
              <w:rPr>
                <w:rFonts w:hint="eastAsia" w:ascii="宋体" w:hAnsi="宋体" w:cs="宋体"/>
                <w:color w:val="auto"/>
                <w:szCs w:val="21"/>
                <w:highlight w:val="none"/>
                <w:lang w:val="en-US" w:eastAsia="zh-CN"/>
              </w:rPr>
              <w:t>的可实现程度、可行性、全面性进行打分</w:t>
            </w:r>
          </w:p>
        </w:tc>
        <w:tc>
          <w:tcPr>
            <w:tcW w:w="976" w:type="dxa"/>
            <w:tcBorders>
              <w:top w:val="single" w:color="auto" w:sz="4" w:space="0"/>
              <w:left w:val="single" w:color="auto" w:sz="4" w:space="0"/>
              <w:right w:val="single" w:color="auto" w:sz="4" w:space="0"/>
            </w:tcBorders>
            <w:vAlign w:val="center"/>
          </w:tcPr>
          <w:p>
            <w:pPr>
              <w:shd w:val="clear"/>
              <w:spacing w:line="400" w:lineRule="exact"/>
              <w:jc w:val="center"/>
              <w:rPr>
                <w:rFonts w:ascii="宋体" w:hAnsi="宋体" w:cs="宋体"/>
                <w:color w:val="auto"/>
                <w:kern w:val="0"/>
                <w:szCs w:val="21"/>
                <w:highlight w:val="none"/>
              </w:rPr>
            </w:pPr>
            <w:r>
              <w:rPr>
                <w:rFonts w:hint="eastAsia" w:ascii="宋体" w:hAnsi="宋体" w:cs="宋体"/>
                <w:color w:val="auto"/>
                <w:szCs w:val="21"/>
                <w:highlight w:val="none"/>
              </w:rPr>
              <w:t>0</w:t>
            </w:r>
            <w:r>
              <w:rPr>
                <w:rFonts w:hint="eastAsia" w:ascii="宋体" w:hAnsi="宋体" w:cs="宋体"/>
                <w:color w:val="auto"/>
                <w:szCs w:val="21"/>
                <w:highlight w:val="none"/>
                <w:lang w:val="zh-CN"/>
              </w:rPr>
              <w:t>-</w:t>
            </w:r>
            <w:r>
              <w:rPr>
                <w:rFonts w:hint="eastAsia" w:ascii="宋体" w:hAnsi="宋体" w:cs="宋体"/>
                <w:color w:val="auto"/>
                <w:szCs w:val="21"/>
                <w:highlight w:val="none"/>
                <w:lang w:val="en-US" w:eastAsia="zh-CN"/>
              </w:rPr>
              <w:t>3</w:t>
            </w:r>
            <w:r>
              <w:rPr>
                <w:rFonts w:hint="eastAsia" w:ascii="宋体" w:hAnsi="宋体" w:cs="宋体"/>
                <w:color w:val="auto"/>
                <w:szCs w:val="21"/>
                <w:highlight w:val="none"/>
                <w:lang w:val="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86" w:type="dxa"/>
            <w:vMerge w:val="continue"/>
            <w:tcBorders>
              <w:left w:val="single" w:color="auto" w:sz="4" w:space="0"/>
              <w:right w:val="single" w:color="auto" w:sz="4" w:space="0"/>
            </w:tcBorders>
            <w:vAlign w:val="center"/>
          </w:tcPr>
          <w:p>
            <w:pPr>
              <w:shd w:val="clear"/>
              <w:spacing w:line="400" w:lineRule="exact"/>
              <w:jc w:val="center"/>
              <w:rPr>
                <w:rFonts w:hint="default" w:ascii="宋体" w:hAnsi="宋体" w:cs="宋体"/>
                <w:color w:val="auto"/>
                <w:kern w:val="0"/>
                <w:szCs w:val="21"/>
                <w:highlight w:val="none"/>
                <w:lang w:val="en-US" w:eastAsia="zh-CN"/>
              </w:rPr>
            </w:pPr>
          </w:p>
        </w:tc>
        <w:tc>
          <w:tcPr>
            <w:tcW w:w="1582" w:type="dxa"/>
            <w:vMerge w:val="continue"/>
            <w:tcBorders>
              <w:left w:val="single" w:color="auto" w:sz="4" w:space="0"/>
              <w:right w:val="single" w:color="auto" w:sz="4" w:space="0"/>
            </w:tcBorders>
            <w:vAlign w:val="center"/>
          </w:tcPr>
          <w:p>
            <w:pPr>
              <w:shd w:val="clear"/>
              <w:jc w:val="center"/>
              <w:rPr>
                <w:rFonts w:hint="eastAsia"/>
                <w:color w:val="auto"/>
                <w:highlight w:val="none"/>
                <w:lang w:val="en-US" w:eastAsia="zh-CN"/>
              </w:rPr>
            </w:pPr>
          </w:p>
        </w:tc>
        <w:tc>
          <w:tcPr>
            <w:tcW w:w="6612" w:type="dxa"/>
            <w:tcBorders>
              <w:top w:val="single" w:color="auto" w:sz="4" w:space="0"/>
              <w:left w:val="single" w:color="auto" w:sz="4" w:space="0"/>
              <w:bottom w:val="single" w:color="auto" w:sz="4" w:space="0"/>
              <w:right w:val="single" w:color="auto" w:sz="4" w:space="0"/>
            </w:tcBorders>
            <w:vAlign w:val="center"/>
          </w:tcPr>
          <w:p>
            <w:pPr>
              <w:shd w:val="clear"/>
              <w:rPr>
                <w:rFonts w:hint="default"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根据投标人针对本项目的服务承诺</w:t>
            </w:r>
            <w:r>
              <w:rPr>
                <w:rFonts w:hint="eastAsia" w:ascii="宋体" w:hAnsi="宋体" w:cs="宋体"/>
                <w:color w:val="auto"/>
                <w:szCs w:val="21"/>
                <w:highlight w:val="none"/>
              </w:rPr>
              <w:t>（如技术队伍能力，服务响应时效）等情况</w:t>
            </w:r>
            <w:r>
              <w:rPr>
                <w:rFonts w:hint="eastAsia" w:ascii="宋体" w:hAnsi="宋体" w:cs="宋体"/>
                <w:color w:val="auto"/>
                <w:szCs w:val="21"/>
                <w:highlight w:val="none"/>
                <w:lang w:val="en-US" w:eastAsia="zh-CN"/>
              </w:rPr>
              <w:t>进行</w:t>
            </w:r>
            <w:r>
              <w:rPr>
                <w:rFonts w:hint="eastAsia" w:ascii="宋体" w:hAnsi="宋体" w:cs="宋体"/>
                <w:color w:val="auto"/>
                <w:szCs w:val="21"/>
                <w:highlight w:val="none"/>
              </w:rPr>
              <w:t>打分</w:t>
            </w:r>
          </w:p>
        </w:tc>
        <w:tc>
          <w:tcPr>
            <w:tcW w:w="976" w:type="dxa"/>
            <w:tcBorders>
              <w:top w:val="single" w:color="auto" w:sz="4" w:space="0"/>
              <w:left w:val="single" w:color="auto" w:sz="4" w:space="0"/>
              <w:right w:val="single" w:color="auto" w:sz="4" w:space="0"/>
            </w:tcBorders>
            <w:vAlign w:val="center"/>
          </w:tcPr>
          <w:p>
            <w:pPr>
              <w:shd w:val="clear"/>
              <w:spacing w:line="400" w:lineRule="exact"/>
              <w:jc w:val="center"/>
              <w:rPr>
                <w:rFonts w:hint="default"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86" w:type="dxa"/>
            <w:vMerge w:val="restart"/>
            <w:tcBorders>
              <w:left w:val="single" w:color="auto" w:sz="4" w:space="0"/>
              <w:right w:val="single" w:color="auto" w:sz="4" w:space="0"/>
            </w:tcBorders>
            <w:vAlign w:val="center"/>
          </w:tcPr>
          <w:p>
            <w:pPr>
              <w:shd w:val="clear"/>
              <w:spacing w:line="400" w:lineRule="exact"/>
              <w:jc w:val="center"/>
              <w:rPr>
                <w:rFonts w:hint="default"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5</w:t>
            </w:r>
          </w:p>
        </w:tc>
        <w:tc>
          <w:tcPr>
            <w:tcW w:w="1582" w:type="dxa"/>
            <w:vMerge w:val="restart"/>
            <w:tcBorders>
              <w:left w:val="single" w:color="auto" w:sz="4" w:space="0"/>
              <w:right w:val="single" w:color="auto" w:sz="4" w:space="0"/>
            </w:tcBorders>
            <w:vAlign w:val="center"/>
          </w:tcPr>
          <w:p>
            <w:pPr>
              <w:shd w:val="clear"/>
              <w:jc w:val="center"/>
              <w:rPr>
                <w:rFonts w:hint="eastAsia"/>
                <w:color w:val="auto"/>
                <w:highlight w:val="none"/>
                <w:lang w:val="en-US" w:eastAsia="zh-CN"/>
              </w:rPr>
            </w:pPr>
            <w:r>
              <w:rPr>
                <w:rFonts w:hint="eastAsia"/>
                <w:color w:val="auto"/>
                <w:highlight w:val="none"/>
                <w:lang w:val="en-US" w:eastAsia="zh-CN"/>
              </w:rPr>
              <w:t>组织方案</w:t>
            </w:r>
          </w:p>
          <w:p>
            <w:pPr>
              <w:shd w:val="clear"/>
              <w:jc w:val="center"/>
              <w:rPr>
                <w:rFonts w:hint="eastAsia"/>
                <w:color w:val="auto"/>
                <w:highlight w:val="none"/>
                <w:lang w:val="en-US" w:eastAsia="zh-CN"/>
              </w:rPr>
            </w:pPr>
            <w:r>
              <w:rPr>
                <w:rFonts w:hint="eastAsia"/>
                <w:color w:val="auto"/>
                <w:highlight w:val="none"/>
                <w:lang w:val="en-US" w:eastAsia="zh-CN"/>
              </w:rPr>
              <w:t>(主观分)</w:t>
            </w:r>
          </w:p>
        </w:tc>
        <w:tc>
          <w:tcPr>
            <w:tcW w:w="6612" w:type="dxa"/>
            <w:tcBorders>
              <w:top w:val="single" w:color="auto" w:sz="4" w:space="0"/>
              <w:left w:val="single" w:color="auto" w:sz="4" w:space="0"/>
              <w:bottom w:val="single" w:color="auto" w:sz="4" w:space="0"/>
              <w:right w:val="single" w:color="auto" w:sz="4" w:space="0"/>
            </w:tcBorders>
            <w:vAlign w:val="center"/>
          </w:tcPr>
          <w:p>
            <w:pPr>
              <w:widowControl/>
              <w:shd w:val="clear"/>
              <w:rPr>
                <w:rFonts w:ascii="宋体" w:hAnsi="宋体" w:cs="宋体"/>
                <w:color w:val="auto"/>
                <w:szCs w:val="21"/>
                <w:highlight w:val="none"/>
              </w:rPr>
            </w:pPr>
            <w:r>
              <w:rPr>
                <w:rFonts w:hint="eastAsia" w:ascii="宋体" w:hAnsi="宋体" w:cs="宋体"/>
                <w:color w:val="auto"/>
                <w:szCs w:val="21"/>
                <w:highlight w:val="none"/>
              </w:rPr>
              <w:t>根据投标人组织机构</w:t>
            </w:r>
            <w:r>
              <w:rPr>
                <w:rFonts w:hint="eastAsia" w:ascii="宋体" w:hAnsi="宋体" w:cs="宋体"/>
                <w:color w:val="auto"/>
                <w:szCs w:val="21"/>
                <w:highlight w:val="none"/>
                <w:lang w:val="en-US" w:eastAsia="zh-CN"/>
              </w:rPr>
              <w:t>是否</w:t>
            </w:r>
            <w:r>
              <w:rPr>
                <w:rFonts w:hint="eastAsia" w:ascii="宋体" w:hAnsi="宋体" w:cs="宋体"/>
                <w:color w:val="auto"/>
                <w:szCs w:val="21"/>
                <w:highlight w:val="none"/>
              </w:rPr>
              <w:t>完善，人员配备</w:t>
            </w:r>
            <w:r>
              <w:rPr>
                <w:rFonts w:hint="eastAsia" w:ascii="宋体" w:hAnsi="宋体" w:cs="宋体"/>
                <w:color w:val="auto"/>
                <w:szCs w:val="21"/>
                <w:highlight w:val="none"/>
                <w:lang w:val="en-US" w:eastAsia="zh-CN"/>
              </w:rPr>
              <w:t>是否</w:t>
            </w:r>
            <w:r>
              <w:rPr>
                <w:rFonts w:hint="eastAsia" w:ascii="宋体" w:hAnsi="宋体" w:cs="宋体"/>
                <w:color w:val="auto"/>
                <w:szCs w:val="21"/>
                <w:highlight w:val="none"/>
              </w:rPr>
              <w:t>完善，分工</w:t>
            </w:r>
            <w:r>
              <w:rPr>
                <w:rFonts w:hint="eastAsia" w:ascii="宋体" w:hAnsi="宋体" w:cs="宋体"/>
                <w:color w:val="auto"/>
                <w:szCs w:val="21"/>
                <w:highlight w:val="none"/>
                <w:lang w:val="en-US" w:eastAsia="zh-CN"/>
              </w:rPr>
              <w:t>是否</w:t>
            </w:r>
            <w:r>
              <w:rPr>
                <w:rFonts w:hint="eastAsia" w:ascii="宋体" w:hAnsi="宋体" w:cs="宋体"/>
                <w:color w:val="auto"/>
                <w:szCs w:val="21"/>
                <w:highlight w:val="none"/>
              </w:rPr>
              <w:t>合理明确，职责、界面</w:t>
            </w:r>
            <w:r>
              <w:rPr>
                <w:rFonts w:hint="eastAsia" w:ascii="宋体" w:hAnsi="宋体" w:cs="宋体"/>
                <w:color w:val="auto"/>
                <w:szCs w:val="21"/>
                <w:highlight w:val="none"/>
                <w:lang w:val="en-US" w:eastAsia="zh-CN"/>
              </w:rPr>
              <w:t>是否</w:t>
            </w:r>
            <w:r>
              <w:rPr>
                <w:rFonts w:hint="eastAsia" w:ascii="宋体" w:hAnsi="宋体" w:cs="宋体"/>
                <w:color w:val="auto"/>
                <w:szCs w:val="21"/>
                <w:highlight w:val="none"/>
              </w:rPr>
              <w:t>清晰</w:t>
            </w:r>
            <w:r>
              <w:rPr>
                <w:rFonts w:hint="eastAsia" w:ascii="宋体" w:hAnsi="宋体" w:cs="宋体"/>
                <w:color w:val="auto"/>
                <w:szCs w:val="21"/>
                <w:highlight w:val="none"/>
                <w:lang w:val="en-US" w:eastAsia="zh-CN"/>
              </w:rPr>
              <w:t>等</w:t>
            </w:r>
            <w:r>
              <w:rPr>
                <w:rFonts w:hint="eastAsia" w:ascii="宋体" w:hAnsi="宋体" w:cs="宋体"/>
                <w:color w:val="auto"/>
                <w:szCs w:val="21"/>
                <w:highlight w:val="none"/>
              </w:rPr>
              <w:t>进行</w:t>
            </w:r>
            <w:r>
              <w:rPr>
                <w:rFonts w:hint="eastAsia" w:ascii="宋体" w:hAnsi="宋体" w:cs="宋体"/>
                <w:color w:val="auto"/>
                <w:szCs w:val="21"/>
                <w:highlight w:val="none"/>
                <w:lang w:val="en-US" w:eastAsia="zh-CN"/>
              </w:rPr>
              <w:t>打分</w:t>
            </w:r>
            <w:r>
              <w:rPr>
                <w:rFonts w:hint="eastAsia" w:ascii="宋体" w:hAnsi="宋体" w:cs="宋体"/>
                <w:color w:val="auto"/>
                <w:szCs w:val="21"/>
                <w:highlight w:val="none"/>
              </w:rPr>
              <w:t>。</w:t>
            </w:r>
          </w:p>
        </w:tc>
        <w:tc>
          <w:tcPr>
            <w:tcW w:w="976" w:type="dxa"/>
            <w:tcBorders>
              <w:top w:val="single" w:color="auto" w:sz="4" w:space="0"/>
              <w:left w:val="single" w:color="auto" w:sz="4" w:space="0"/>
              <w:bottom w:val="single" w:color="auto" w:sz="4" w:space="0"/>
              <w:right w:val="single" w:color="auto" w:sz="4" w:space="0"/>
            </w:tcBorders>
            <w:vAlign w:val="center"/>
          </w:tcPr>
          <w:p>
            <w:pPr>
              <w:shd w:val="clear"/>
              <w:spacing w:line="400" w:lineRule="exact"/>
              <w:jc w:val="center"/>
              <w:rPr>
                <w:rFonts w:ascii="宋体" w:hAnsi="宋体" w:cs="宋体"/>
                <w:color w:val="auto"/>
                <w:kern w:val="0"/>
                <w:szCs w:val="21"/>
                <w:highlight w:val="none"/>
              </w:rPr>
            </w:pPr>
            <w:r>
              <w:rPr>
                <w:rFonts w:hint="eastAsia" w:ascii="宋体" w:hAnsi="宋体" w:cs="宋体"/>
                <w:color w:val="auto"/>
                <w:szCs w:val="21"/>
                <w:highlight w:val="none"/>
              </w:rPr>
              <w:t>0</w:t>
            </w:r>
            <w:r>
              <w:rPr>
                <w:rFonts w:hint="eastAsia" w:ascii="宋体" w:hAnsi="宋体" w:cs="宋体"/>
                <w:color w:val="auto"/>
                <w:szCs w:val="21"/>
                <w:highlight w:val="none"/>
                <w:lang w:val="zh-CN"/>
              </w:rPr>
              <w:t>-</w:t>
            </w:r>
            <w:r>
              <w:rPr>
                <w:rFonts w:hint="eastAsia" w:ascii="宋体" w:hAnsi="宋体" w:cs="宋体"/>
                <w:color w:val="auto"/>
                <w:szCs w:val="21"/>
                <w:highlight w:val="none"/>
              </w:rPr>
              <w:t>3</w:t>
            </w:r>
            <w:r>
              <w:rPr>
                <w:rFonts w:hint="eastAsia" w:ascii="宋体" w:hAnsi="宋体" w:cs="宋体"/>
                <w:color w:val="auto"/>
                <w:szCs w:val="21"/>
                <w:highlight w:val="none"/>
                <w:lang w:val="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86" w:type="dxa"/>
            <w:vMerge w:val="continue"/>
            <w:tcBorders>
              <w:left w:val="single" w:color="auto" w:sz="4" w:space="0"/>
              <w:right w:val="single" w:color="auto" w:sz="4" w:space="0"/>
            </w:tcBorders>
            <w:vAlign w:val="center"/>
          </w:tcPr>
          <w:p>
            <w:pPr>
              <w:shd w:val="clear"/>
              <w:spacing w:line="400" w:lineRule="exact"/>
              <w:jc w:val="center"/>
              <w:rPr>
                <w:rFonts w:hint="default" w:ascii="宋体" w:hAnsi="宋体" w:eastAsia="宋体" w:cs="宋体"/>
                <w:color w:val="auto"/>
                <w:szCs w:val="21"/>
                <w:highlight w:val="none"/>
                <w:lang w:val="en-US" w:eastAsia="zh-CN"/>
              </w:rPr>
            </w:pPr>
          </w:p>
        </w:tc>
        <w:tc>
          <w:tcPr>
            <w:tcW w:w="1582" w:type="dxa"/>
            <w:vMerge w:val="continue"/>
            <w:tcBorders>
              <w:left w:val="single" w:color="auto" w:sz="4" w:space="0"/>
              <w:right w:val="single" w:color="auto" w:sz="4" w:space="0"/>
            </w:tcBorders>
            <w:vAlign w:val="center"/>
          </w:tcPr>
          <w:p>
            <w:pPr>
              <w:shd w:val="clear"/>
              <w:jc w:val="center"/>
              <w:rPr>
                <w:rFonts w:hint="eastAsia"/>
                <w:color w:val="auto"/>
                <w:highlight w:val="none"/>
                <w:lang w:val="en-US" w:eastAsia="zh-CN"/>
              </w:rPr>
            </w:pPr>
          </w:p>
        </w:tc>
        <w:tc>
          <w:tcPr>
            <w:tcW w:w="6612" w:type="dxa"/>
            <w:tcBorders>
              <w:top w:val="single" w:color="auto" w:sz="4" w:space="0"/>
              <w:left w:val="single" w:color="auto" w:sz="4" w:space="0"/>
              <w:bottom w:val="single" w:color="auto" w:sz="4" w:space="0"/>
              <w:right w:val="single" w:color="auto" w:sz="4" w:space="0"/>
            </w:tcBorders>
            <w:vAlign w:val="center"/>
          </w:tcPr>
          <w:p>
            <w:pPr>
              <w:widowControl/>
              <w:shd w:val="clear"/>
              <w:rPr>
                <w:rFonts w:hint="default" w:ascii="宋体" w:hAnsi="宋体" w:eastAsia="宋体" w:cs="宋体"/>
                <w:color w:val="auto"/>
                <w:szCs w:val="21"/>
                <w:highlight w:val="none"/>
                <w:lang w:val="en-US" w:eastAsia="zh-CN"/>
              </w:rPr>
            </w:pPr>
            <w:r>
              <w:rPr>
                <w:rFonts w:hint="eastAsia" w:ascii="宋体" w:hAnsi="宋体" w:cs="宋体"/>
                <w:color w:val="auto"/>
                <w:szCs w:val="21"/>
                <w:highlight w:val="none"/>
              </w:rPr>
              <w:t>根据投标人工作</w:t>
            </w:r>
            <w:r>
              <w:rPr>
                <w:rFonts w:hint="eastAsia" w:ascii="宋体" w:hAnsi="宋体" w:cs="宋体"/>
                <w:color w:val="auto"/>
                <w:szCs w:val="21"/>
                <w:highlight w:val="none"/>
                <w:lang w:val="en-US" w:eastAsia="zh-CN"/>
              </w:rPr>
              <w:t>的进度</w:t>
            </w:r>
            <w:r>
              <w:rPr>
                <w:rFonts w:hint="eastAsia" w:ascii="宋体" w:hAnsi="宋体" w:cs="宋体"/>
                <w:color w:val="auto"/>
                <w:szCs w:val="21"/>
                <w:highlight w:val="none"/>
              </w:rPr>
              <w:t>计划、监督</w:t>
            </w:r>
            <w:r>
              <w:rPr>
                <w:rFonts w:hint="eastAsia" w:ascii="宋体" w:hAnsi="宋体" w:cs="宋体"/>
                <w:color w:val="auto"/>
                <w:szCs w:val="21"/>
                <w:highlight w:val="none"/>
                <w:lang w:val="en-US" w:eastAsia="zh-CN"/>
              </w:rPr>
              <w:t>力度</w:t>
            </w:r>
            <w:r>
              <w:rPr>
                <w:rFonts w:hint="eastAsia" w:ascii="宋体" w:hAnsi="宋体" w:cs="宋体"/>
                <w:color w:val="auto"/>
                <w:szCs w:val="21"/>
                <w:highlight w:val="none"/>
              </w:rPr>
              <w:t>、检查</w:t>
            </w:r>
            <w:r>
              <w:rPr>
                <w:rFonts w:hint="eastAsia" w:ascii="宋体" w:hAnsi="宋体" w:cs="宋体"/>
                <w:color w:val="auto"/>
                <w:szCs w:val="21"/>
                <w:highlight w:val="none"/>
                <w:lang w:val="en-US" w:eastAsia="zh-CN"/>
              </w:rPr>
              <w:t>机制和方案进行打分</w:t>
            </w:r>
          </w:p>
        </w:tc>
        <w:tc>
          <w:tcPr>
            <w:tcW w:w="976" w:type="dxa"/>
            <w:tcBorders>
              <w:top w:val="single" w:color="auto" w:sz="4" w:space="0"/>
              <w:left w:val="single" w:color="auto" w:sz="4" w:space="0"/>
              <w:bottom w:val="single" w:color="auto" w:sz="4" w:space="0"/>
              <w:right w:val="single" w:color="auto" w:sz="4" w:space="0"/>
            </w:tcBorders>
            <w:vAlign w:val="center"/>
          </w:tcPr>
          <w:p>
            <w:pPr>
              <w:shd w:val="clear"/>
              <w:spacing w:line="400" w:lineRule="exact"/>
              <w:jc w:val="center"/>
              <w:rPr>
                <w:rFonts w:hint="eastAsia" w:ascii="宋体" w:hAnsi="宋体" w:cs="宋体"/>
                <w:color w:val="auto"/>
                <w:szCs w:val="21"/>
                <w:highlight w:val="none"/>
              </w:rPr>
            </w:pPr>
            <w:r>
              <w:rPr>
                <w:rFonts w:hint="eastAsia" w:ascii="宋体" w:hAnsi="宋体" w:cs="宋体"/>
                <w:color w:val="auto"/>
                <w:szCs w:val="21"/>
                <w:highlight w:val="none"/>
              </w:rPr>
              <w:t>0</w:t>
            </w:r>
            <w:r>
              <w:rPr>
                <w:rFonts w:hint="eastAsia" w:ascii="宋体" w:hAnsi="宋体" w:cs="宋体"/>
                <w:color w:val="auto"/>
                <w:szCs w:val="21"/>
                <w:highlight w:val="none"/>
                <w:lang w:val="zh-CN"/>
              </w:rPr>
              <w:t>-</w:t>
            </w:r>
            <w:r>
              <w:rPr>
                <w:rFonts w:hint="eastAsia" w:ascii="宋体" w:hAnsi="宋体" w:cs="宋体"/>
                <w:color w:val="auto"/>
                <w:szCs w:val="21"/>
                <w:highlight w:val="none"/>
              </w:rPr>
              <w:t>3</w:t>
            </w:r>
            <w:r>
              <w:rPr>
                <w:rFonts w:hint="eastAsia" w:ascii="宋体" w:hAnsi="宋体" w:cs="宋体"/>
                <w:color w:val="auto"/>
                <w:szCs w:val="21"/>
                <w:highlight w:val="none"/>
                <w:lang w:val="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86" w:type="dxa"/>
            <w:vMerge w:val="continue"/>
            <w:tcBorders>
              <w:left w:val="single" w:color="auto" w:sz="4" w:space="0"/>
              <w:right w:val="single" w:color="auto" w:sz="4" w:space="0"/>
            </w:tcBorders>
            <w:vAlign w:val="center"/>
          </w:tcPr>
          <w:p>
            <w:pPr>
              <w:shd w:val="clear"/>
              <w:spacing w:line="400" w:lineRule="exact"/>
              <w:jc w:val="center"/>
              <w:rPr>
                <w:rFonts w:hint="eastAsia" w:ascii="宋体" w:hAnsi="宋体" w:cs="宋体"/>
                <w:color w:val="auto"/>
                <w:szCs w:val="21"/>
                <w:highlight w:val="none"/>
                <w:lang w:val="en-US" w:eastAsia="zh-CN"/>
              </w:rPr>
            </w:pPr>
          </w:p>
        </w:tc>
        <w:tc>
          <w:tcPr>
            <w:tcW w:w="1582" w:type="dxa"/>
            <w:vMerge w:val="continue"/>
            <w:tcBorders>
              <w:left w:val="single" w:color="auto" w:sz="4" w:space="0"/>
              <w:right w:val="single" w:color="auto" w:sz="4" w:space="0"/>
            </w:tcBorders>
            <w:vAlign w:val="center"/>
          </w:tcPr>
          <w:p>
            <w:pPr>
              <w:shd w:val="clear"/>
              <w:jc w:val="center"/>
              <w:rPr>
                <w:rFonts w:hint="eastAsia"/>
                <w:color w:val="auto"/>
                <w:highlight w:val="none"/>
                <w:lang w:val="en-US" w:eastAsia="zh-CN"/>
              </w:rPr>
            </w:pPr>
          </w:p>
        </w:tc>
        <w:tc>
          <w:tcPr>
            <w:tcW w:w="6612" w:type="dxa"/>
            <w:tcBorders>
              <w:top w:val="single" w:color="auto" w:sz="4" w:space="0"/>
              <w:left w:val="single" w:color="auto" w:sz="4" w:space="0"/>
              <w:bottom w:val="single" w:color="auto" w:sz="4" w:space="0"/>
              <w:right w:val="single" w:color="auto" w:sz="4" w:space="0"/>
            </w:tcBorders>
            <w:vAlign w:val="center"/>
          </w:tcPr>
          <w:p>
            <w:pPr>
              <w:widowControl/>
              <w:shd w:val="clear"/>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szCs w:val="21"/>
                <w:highlight w:val="none"/>
              </w:rPr>
              <w:t>根据投标人项目方案中有专门针对安全的措施，</w:t>
            </w:r>
            <w:r>
              <w:rPr>
                <w:rFonts w:hint="eastAsia" w:ascii="宋体" w:hAnsi="宋体" w:cs="宋体"/>
                <w:color w:val="auto"/>
                <w:szCs w:val="21"/>
                <w:highlight w:val="none"/>
                <w:lang w:val="en-US" w:eastAsia="zh-CN"/>
              </w:rPr>
              <w:t>实施</w:t>
            </w:r>
            <w:r>
              <w:rPr>
                <w:rFonts w:hint="eastAsia" w:ascii="宋体" w:hAnsi="宋体" w:cs="宋体"/>
                <w:color w:val="auto"/>
                <w:szCs w:val="21"/>
                <w:highlight w:val="none"/>
              </w:rPr>
              <w:t>过程中无安全隐患，进行</w:t>
            </w:r>
            <w:r>
              <w:rPr>
                <w:rFonts w:hint="eastAsia" w:ascii="宋体" w:hAnsi="宋体" w:cs="宋体"/>
                <w:color w:val="auto"/>
                <w:szCs w:val="21"/>
                <w:highlight w:val="none"/>
                <w:lang w:val="en-US" w:eastAsia="zh-CN"/>
              </w:rPr>
              <w:t>打</w:t>
            </w:r>
            <w:r>
              <w:rPr>
                <w:rFonts w:hint="eastAsia" w:ascii="宋体" w:hAnsi="宋体" w:cs="宋体"/>
                <w:color w:val="auto"/>
                <w:szCs w:val="21"/>
                <w:highlight w:val="none"/>
              </w:rPr>
              <w:t>分。</w:t>
            </w:r>
          </w:p>
        </w:tc>
        <w:tc>
          <w:tcPr>
            <w:tcW w:w="976" w:type="dxa"/>
            <w:tcBorders>
              <w:top w:val="single" w:color="auto" w:sz="4" w:space="0"/>
              <w:left w:val="single" w:color="auto" w:sz="4" w:space="0"/>
              <w:bottom w:val="single" w:color="auto" w:sz="4" w:space="0"/>
              <w:right w:val="single" w:color="auto" w:sz="4" w:space="0"/>
            </w:tcBorders>
            <w:vAlign w:val="center"/>
          </w:tcPr>
          <w:p>
            <w:pPr>
              <w:shd w:val="clear"/>
              <w:jc w:val="center"/>
              <w:rPr>
                <w:rFonts w:ascii="宋体" w:hAnsi="宋体" w:cs="宋体"/>
                <w:color w:val="auto"/>
                <w:szCs w:val="21"/>
                <w:highlight w:val="none"/>
              </w:rPr>
            </w:pPr>
          </w:p>
          <w:p>
            <w:pPr>
              <w:shd w:val="clear"/>
              <w:jc w:val="center"/>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szCs w:val="21"/>
                <w:highlight w:val="none"/>
              </w:rPr>
              <w:t>0</w:t>
            </w:r>
            <w:r>
              <w:rPr>
                <w:rFonts w:hint="eastAsia" w:ascii="宋体" w:hAnsi="宋体" w:cs="宋体"/>
                <w:color w:val="auto"/>
                <w:szCs w:val="21"/>
                <w:highlight w:val="none"/>
                <w:lang w:val="zh-CN"/>
              </w:rPr>
              <w:t>-</w:t>
            </w:r>
            <w:r>
              <w:rPr>
                <w:rFonts w:hint="eastAsia" w:ascii="宋体" w:hAnsi="宋体" w:cs="宋体"/>
                <w:color w:val="auto"/>
                <w:szCs w:val="21"/>
                <w:highlight w:val="none"/>
              </w:rPr>
              <w:t>3</w:t>
            </w:r>
            <w:r>
              <w:rPr>
                <w:rFonts w:hint="eastAsia" w:ascii="宋体" w:hAnsi="宋体" w:cs="宋体"/>
                <w:color w:val="auto"/>
                <w:szCs w:val="21"/>
                <w:highlight w:val="none"/>
                <w:lang w:val="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86" w:type="dxa"/>
            <w:tcBorders>
              <w:left w:val="single" w:color="auto" w:sz="4" w:space="0"/>
              <w:right w:val="single" w:color="auto" w:sz="4" w:space="0"/>
            </w:tcBorders>
            <w:vAlign w:val="center"/>
          </w:tcPr>
          <w:p>
            <w:pPr>
              <w:shd w:val="clear"/>
              <w:spacing w:line="400" w:lineRule="exact"/>
              <w:jc w:val="center"/>
              <w:rPr>
                <w:rFonts w:hint="default"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6</w:t>
            </w:r>
          </w:p>
        </w:tc>
        <w:tc>
          <w:tcPr>
            <w:tcW w:w="1582" w:type="dxa"/>
            <w:tcBorders>
              <w:left w:val="single" w:color="auto" w:sz="4" w:space="0"/>
              <w:right w:val="single" w:color="auto" w:sz="4" w:space="0"/>
            </w:tcBorders>
            <w:vAlign w:val="center"/>
          </w:tcPr>
          <w:p>
            <w:pPr>
              <w:shd w:val="clear"/>
              <w:jc w:val="center"/>
              <w:rPr>
                <w:rFonts w:hint="eastAsia"/>
                <w:color w:val="auto"/>
                <w:highlight w:val="none"/>
                <w:lang w:val="en-US" w:eastAsia="zh-CN"/>
              </w:rPr>
            </w:pPr>
            <w:r>
              <w:rPr>
                <w:rFonts w:hint="eastAsia"/>
                <w:color w:val="auto"/>
                <w:highlight w:val="none"/>
                <w:lang w:val="en-US" w:eastAsia="zh-CN"/>
              </w:rPr>
              <w:t>应急预案</w:t>
            </w:r>
          </w:p>
          <w:p>
            <w:pPr>
              <w:shd w:val="clear"/>
              <w:jc w:val="center"/>
              <w:rPr>
                <w:rFonts w:hint="eastAsia"/>
                <w:color w:val="auto"/>
                <w:highlight w:val="none"/>
                <w:lang w:val="en-US" w:eastAsia="zh-CN"/>
              </w:rPr>
            </w:pPr>
            <w:r>
              <w:rPr>
                <w:rFonts w:hint="eastAsia"/>
                <w:color w:val="auto"/>
                <w:highlight w:val="none"/>
                <w:lang w:val="en-US" w:eastAsia="zh-CN"/>
              </w:rPr>
              <w:t>(主观分)</w:t>
            </w:r>
          </w:p>
        </w:tc>
        <w:tc>
          <w:tcPr>
            <w:tcW w:w="6612" w:type="dxa"/>
            <w:tcBorders>
              <w:top w:val="single" w:color="auto" w:sz="4" w:space="0"/>
              <w:left w:val="single" w:color="auto" w:sz="4" w:space="0"/>
              <w:bottom w:val="single" w:color="auto" w:sz="4" w:space="0"/>
              <w:right w:val="single" w:color="auto" w:sz="4" w:space="0"/>
            </w:tcBorders>
            <w:vAlign w:val="center"/>
          </w:tcPr>
          <w:p>
            <w:pPr>
              <w:widowControl/>
              <w:shd w:val="clear"/>
              <w:rPr>
                <w:rFonts w:hint="eastAsia" w:ascii="新宋体" w:hAnsi="新宋体" w:eastAsia="新宋体" w:cs="新宋体"/>
                <w:color w:val="auto"/>
                <w:sz w:val="21"/>
                <w:szCs w:val="21"/>
                <w:highlight w:val="none"/>
                <w:lang w:val="en-US" w:eastAsia="zh-CN"/>
              </w:rPr>
            </w:pPr>
            <w:r>
              <w:rPr>
                <w:rFonts w:hint="eastAsia" w:ascii="新宋体" w:hAnsi="新宋体" w:eastAsia="新宋体" w:cs="新宋体"/>
                <w:color w:val="auto"/>
                <w:sz w:val="21"/>
                <w:szCs w:val="21"/>
                <w:highlight w:val="none"/>
                <w:lang w:val="en-US" w:eastAsia="zh-CN"/>
              </w:rPr>
              <w:t>根据投标人项目方案中有专门针对突发状况的应急处理预案，确保整个道路照明系统可靠稳定运行，进行打分。</w:t>
            </w:r>
          </w:p>
        </w:tc>
        <w:tc>
          <w:tcPr>
            <w:tcW w:w="976" w:type="dxa"/>
            <w:tcBorders>
              <w:top w:val="single" w:color="auto" w:sz="4" w:space="0"/>
              <w:left w:val="single" w:color="auto" w:sz="4" w:space="0"/>
              <w:bottom w:val="single" w:color="auto" w:sz="4" w:space="0"/>
              <w:right w:val="single" w:color="auto" w:sz="4" w:space="0"/>
            </w:tcBorders>
            <w:vAlign w:val="center"/>
          </w:tcPr>
          <w:p>
            <w:pPr>
              <w:shd w:val="clear"/>
              <w:spacing w:line="400" w:lineRule="exact"/>
              <w:jc w:val="center"/>
              <w:rPr>
                <w:rFonts w:hint="eastAsia" w:ascii="宋体" w:hAnsi="宋体" w:cs="宋体"/>
                <w:color w:val="auto"/>
                <w:szCs w:val="21"/>
                <w:highlight w:val="none"/>
              </w:rPr>
            </w:pPr>
            <w:r>
              <w:rPr>
                <w:rFonts w:hint="eastAsia" w:ascii="宋体" w:hAnsi="宋体" w:cs="宋体"/>
                <w:color w:val="auto"/>
                <w:szCs w:val="21"/>
                <w:highlight w:val="none"/>
              </w:rPr>
              <w:t>0</w:t>
            </w:r>
            <w:r>
              <w:rPr>
                <w:rFonts w:hint="eastAsia" w:ascii="宋体" w:hAnsi="宋体" w:cs="宋体"/>
                <w:color w:val="auto"/>
                <w:szCs w:val="21"/>
                <w:highlight w:val="none"/>
                <w:lang w:val="zh-CN"/>
              </w:rPr>
              <w:t>-</w:t>
            </w:r>
            <w:r>
              <w:rPr>
                <w:rFonts w:hint="eastAsia" w:ascii="宋体" w:hAnsi="宋体" w:cs="宋体"/>
                <w:color w:val="auto"/>
                <w:szCs w:val="21"/>
                <w:highlight w:val="none"/>
              </w:rPr>
              <w:t>3</w:t>
            </w:r>
            <w:r>
              <w:rPr>
                <w:rFonts w:hint="eastAsia" w:ascii="宋体" w:hAnsi="宋体" w:cs="宋体"/>
                <w:color w:val="auto"/>
                <w:szCs w:val="21"/>
                <w:highlight w:val="none"/>
                <w:lang w:val="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886" w:type="dxa"/>
            <w:vMerge w:val="restart"/>
            <w:tcBorders>
              <w:top w:val="single" w:color="auto" w:sz="4" w:space="0"/>
              <w:left w:val="single" w:color="auto" w:sz="4" w:space="0"/>
              <w:right w:val="single" w:color="auto" w:sz="4" w:space="0"/>
            </w:tcBorders>
            <w:vAlign w:val="center"/>
          </w:tcPr>
          <w:p>
            <w:pPr>
              <w:shd w:val="clear"/>
              <w:spacing w:line="440" w:lineRule="exact"/>
              <w:jc w:val="center"/>
              <w:rPr>
                <w:rFonts w:hint="eastAsia" w:ascii="宋体" w:hAnsi="宋体" w:eastAsia="宋体" w:cs="宋体"/>
                <w:color w:val="auto"/>
                <w:kern w:val="0"/>
                <w:szCs w:val="21"/>
                <w:highlight w:val="none"/>
                <w:lang w:val="en-US" w:eastAsia="zh-CN"/>
              </w:rPr>
            </w:pPr>
            <w:r>
              <w:rPr>
                <w:rFonts w:hint="eastAsia" w:ascii="宋体" w:hAnsi="宋体" w:cs="宋体"/>
                <w:color w:val="auto"/>
                <w:kern w:val="0"/>
                <w:szCs w:val="21"/>
                <w:highlight w:val="none"/>
                <w:lang w:val="en-US" w:eastAsia="zh-CN"/>
              </w:rPr>
              <w:t>7</w:t>
            </w:r>
          </w:p>
        </w:tc>
        <w:tc>
          <w:tcPr>
            <w:tcW w:w="1582" w:type="dxa"/>
            <w:vMerge w:val="restart"/>
            <w:tcBorders>
              <w:top w:val="single" w:color="auto" w:sz="4" w:space="0"/>
              <w:left w:val="single" w:color="auto" w:sz="4" w:space="0"/>
              <w:right w:val="single" w:color="auto" w:sz="4" w:space="0"/>
            </w:tcBorders>
            <w:vAlign w:val="center"/>
          </w:tcPr>
          <w:p>
            <w:pPr>
              <w:shd w:val="clear"/>
              <w:jc w:val="center"/>
              <w:rPr>
                <w:rFonts w:hint="eastAsia"/>
                <w:color w:val="auto"/>
                <w:highlight w:val="none"/>
                <w:lang w:val="en-US" w:eastAsia="zh-CN"/>
              </w:rPr>
            </w:pPr>
            <w:r>
              <w:rPr>
                <w:rFonts w:hint="eastAsia"/>
                <w:color w:val="auto"/>
                <w:highlight w:val="none"/>
                <w:lang w:val="en-US" w:eastAsia="zh-CN"/>
              </w:rPr>
              <w:t>节能改造方案</w:t>
            </w:r>
          </w:p>
          <w:p>
            <w:pPr>
              <w:shd w:val="clear"/>
              <w:jc w:val="center"/>
              <w:rPr>
                <w:rFonts w:hint="eastAsia"/>
                <w:color w:val="auto"/>
                <w:highlight w:val="none"/>
                <w:lang w:val="en-US" w:eastAsia="zh-CN"/>
              </w:rPr>
            </w:pPr>
            <w:r>
              <w:rPr>
                <w:rFonts w:hint="eastAsia"/>
                <w:color w:val="auto"/>
                <w:highlight w:val="none"/>
                <w:lang w:val="en-US" w:eastAsia="zh-CN"/>
              </w:rPr>
              <w:t>(主观分)</w:t>
            </w:r>
          </w:p>
        </w:tc>
        <w:tc>
          <w:tcPr>
            <w:tcW w:w="6612" w:type="dxa"/>
            <w:tcBorders>
              <w:top w:val="single" w:color="auto" w:sz="4" w:space="0"/>
              <w:left w:val="single" w:color="auto" w:sz="4" w:space="0"/>
              <w:bottom w:val="single" w:color="auto" w:sz="4" w:space="0"/>
              <w:right w:val="single" w:color="auto" w:sz="4" w:space="0"/>
            </w:tcBorders>
            <w:vAlign w:val="center"/>
          </w:tcPr>
          <w:p>
            <w:pPr>
              <w:widowControl/>
              <w:shd w:val="clear"/>
              <w:rPr>
                <w:rFonts w:ascii="宋体" w:hAnsi="宋体" w:cs="宋体"/>
                <w:color w:val="auto"/>
                <w:szCs w:val="21"/>
                <w:highlight w:val="none"/>
              </w:rPr>
            </w:pPr>
            <w:r>
              <w:rPr>
                <w:rFonts w:hint="eastAsia" w:ascii="宋体" w:hAnsi="宋体" w:cs="宋体"/>
                <w:color w:val="auto"/>
                <w:szCs w:val="21"/>
                <w:highlight w:val="none"/>
              </w:rPr>
              <w:t>根据投标人节能改造方案</w:t>
            </w:r>
            <w:r>
              <w:rPr>
                <w:rFonts w:hint="eastAsia" w:ascii="宋体" w:hAnsi="宋体" w:cs="宋体"/>
                <w:color w:val="auto"/>
                <w:szCs w:val="21"/>
                <w:highlight w:val="none"/>
                <w:lang w:val="en-US" w:eastAsia="zh-CN"/>
              </w:rPr>
              <w:t>是否</w:t>
            </w:r>
            <w:r>
              <w:rPr>
                <w:rFonts w:hint="eastAsia" w:ascii="宋体" w:hAnsi="宋体" w:cs="宋体"/>
                <w:color w:val="auto"/>
                <w:szCs w:val="21"/>
                <w:highlight w:val="none"/>
              </w:rPr>
              <w:t>涉及多项能源网软、硬件设备，涵盖方面</w:t>
            </w:r>
            <w:r>
              <w:rPr>
                <w:rFonts w:hint="eastAsia" w:ascii="宋体" w:hAnsi="宋体" w:cs="宋体"/>
                <w:color w:val="auto"/>
                <w:szCs w:val="21"/>
                <w:highlight w:val="none"/>
                <w:lang w:val="en-US" w:eastAsia="zh-CN"/>
              </w:rPr>
              <w:t>的全面性等</w:t>
            </w:r>
            <w:r>
              <w:rPr>
                <w:rFonts w:hint="eastAsia" w:ascii="宋体" w:hAnsi="宋体" w:cs="宋体"/>
                <w:color w:val="auto"/>
                <w:szCs w:val="21"/>
                <w:highlight w:val="none"/>
              </w:rPr>
              <w:t>进行</w:t>
            </w:r>
            <w:r>
              <w:rPr>
                <w:rFonts w:hint="eastAsia" w:ascii="宋体" w:hAnsi="宋体" w:cs="宋体"/>
                <w:color w:val="auto"/>
                <w:szCs w:val="21"/>
                <w:highlight w:val="none"/>
                <w:lang w:val="en-US" w:eastAsia="zh-CN"/>
              </w:rPr>
              <w:t>打</w:t>
            </w:r>
            <w:r>
              <w:rPr>
                <w:rFonts w:hint="eastAsia" w:ascii="宋体" w:hAnsi="宋体" w:cs="宋体"/>
                <w:color w:val="auto"/>
                <w:szCs w:val="21"/>
                <w:highlight w:val="none"/>
              </w:rPr>
              <w:t>分</w:t>
            </w:r>
          </w:p>
        </w:tc>
        <w:tc>
          <w:tcPr>
            <w:tcW w:w="976" w:type="dxa"/>
            <w:tcBorders>
              <w:top w:val="single" w:color="auto" w:sz="4" w:space="0"/>
              <w:left w:val="single" w:color="auto" w:sz="4" w:space="0"/>
              <w:bottom w:val="single" w:color="auto" w:sz="4" w:space="0"/>
              <w:right w:val="single" w:color="auto" w:sz="4" w:space="0"/>
            </w:tcBorders>
            <w:vAlign w:val="center"/>
          </w:tcPr>
          <w:p>
            <w:pPr>
              <w:shd w:val="clear"/>
              <w:spacing w:line="400" w:lineRule="exact"/>
              <w:jc w:val="center"/>
              <w:rPr>
                <w:rFonts w:ascii="宋体" w:hAnsi="宋体" w:cs="宋体"/>
                <w:color w:val="auto"/>
                <w:szCs w:val="21"/>
                <w:highlight w:val="none"/>
              </w:rPr>
            </w:pPr>
            <w:r>
              <w:rPr>
                <w:rFonts w:hint="eastAsia" w:ascii="宋体" w:hAnsi="宋体" w:cs="宋体"/>
                <w:color w:val="auto"/>
                <w:szCs w:val="21"/>
                <w:highlight w:val="none"/>
              </w:rPr>
              <w:t>0</w:t>
            </w:r>
            <w:r>
              <w:rPr>
                <w:rFonts w:hint="eastAsia" w:ascii="宋体" w:hAnsi="宋体" w:cs="宋体"/>
                <w:color w:val="auto"/>
                <w:szCs w:val="21"/>
                <w:highlight w:val="none"/>
                <w:lang w:val="zh-CN"/>
              </w:rPr>
              <w:t>-</w:t>
            </w:r>
            <w:r>
              <w:rPr>
                <w:rFonts w:hint="eastAsia" w:ascii="宋体" w:hAnsi="宋体" w:cs="宋体"/>
                <w:color w:val="auto"/>
                <w:szCs w:val="21"/>
                <w:highlight w:val="none"/>
              </w:rPr>
              <w:t>3</w:t>
            </w:r>
            <w:r>
              <w:rPr>
                <w:rFonts w:hint="eastAsia" w:ascii="宋体" w:hAnsi="宋体" w:cs="宋体"/>
                <w:color w:val="auto"/>
                <w:szCs w:val="21"/>
                <w:highlight w:val="none"/>
                <w:lang w:val="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886" w:type="dxa"/>
            <w:vMerge w:val="continue"/>
            <w:tcBorders>
              <w:left w:val="single" w:color="auto" w:sz="4" w:space="0"/>
              <w:right w:val="single" w:color="auto" w:sz="4" w:space="0"/>
            </w:tcBorders>
            <w:vAlign w:val="center"/>
          </w:tcPr>
          <w:p>
            <w:pPr>
              <w:shd w:val="clear"/>
              <w:rPr>
                <w:color w:val="auto"/>
                <w:highlight w:val="none"/>
              </w:rPr>
            </w:pPr>
          </w:p>
        </w:tc>
        <w:tc>
          <w:tcPr>
            <w:tcW w:w="1582" w:type="dxa"/>
            <w:vMerge w:val="continue"/>
            <w:tcBorders>
              <w:left w:val="single" w:color="auto" w:sz="4" w:space="0"/>
              <w:right w:val="single" w:color="auto" w:sz="4" w:space="0"/>
            </w:tcBorders>
            <w:vAlign w:val="center"/>
          </w:tcPr>
          <w:p>
            <w:pPr>
              <w:shd w:val="clear"/>
              <w:jc w:val="center"/>
              <w:rPr>
                <w:rFonts w:hint="eastAsia"/>
                <w:color w:val="auto"/>
                <w:highlight w:val="none"/>
                <w:lang w:val="en-US" w:eastAsia="zh-CN"/>
              </w:rPr>
            </w:pPr>
          </w:p>
        </w:tc>
        <w:tc>
          <w:tcPr>
            <w:tcW w:w="6612" w:type="dxa"/>
            <w:tcBorders>
              <w:top w:val="single" w:color="auto" w:sz="4" w:space="0"/>
              <w:left w:val="single" w:color="auto" w:sz="4" w:space="0"/>
              <w:bottom w:val="single" w:color="auto" w:sz="4" w:space="0"/>
              <w:right w:val="single" w:color="auto" w:sz="4" w:space="0"/>
            </w:tcBorders>
            <w:vAlign w:val="center"/>
          </w:tcPr>
          <w:p>
            <w:pPr>
              <w:widowControl/>
              <w:shd w:val="clear"/>
              <w:rPr>
                <w:rFonts w:hint="eastAsia" w:ascii="宋体" w:hAnsi="宋体" w:cs="宋体"/>
                <w:color w:val="auto"/>
                <w:szCs w:val="21"/>
                <w:highlight w:val="none"/>
                <w:lang w:val="en-US" w:eastAsia="zh-CN"/>
              </w:rPr>
            </w:pPr>
            <w:r>
              <w:rPr>
                <w:rFonts w:hint="eastAsia" w:ascii="宋体" w:hAnsi="宋体" w:cs="宋体"/>
                <w:color w:val="auto"/>
                <w:szCs w:val="21"/>
                <w:highlight w:val="none"/>
                <w:lang w:val="en-US" w:eastAsia="zh-CN"/>
              </w:rPr>
              <w:t>根据投标人方案对道路照明能耗基准指标性能评价与分析是否准确、清晰，进行打分</w:t>
            </w:r>
          </w:p>
        </w:tc>
        <w:tc>
          <w:tcPr>
            <w:tcW w:w="976" w:type="dxa"/>
            <w:tcBorders>
              <w:top w:val="single" w:color="auto" w:sz="4" w:space="0"/>
              <w:left w:val="single" w:color="auto" w:sz="4" w:space="0"/>
              <w:bottom w:val="single" w:color="auto" w:sz="4" w:space="0"/>
              <w:right w:val="single" w:color="auto" w:sz="4" w:space="0"/>
            </w:tcBorders>
            <w:vAlign w:val="center"/>
          </w:tcPr>
          <w:p>
            <w:pPr>
              <w:widowControl/>
              <w:shd w:val="clear"/>
              <w:rPr>
                <w:rFonts w:ascii="宋体" w:hAnsi="宋体" w:eastAsia="宋体" w:cs="宋体"/>
                <w:color w:val="auto"/>
                <w:kern w:val="0"/>
                <w:sz w:val="21"/>
                <w:szCs w:val="21"/>
                <w:highlight w:val="none"/>
                <w:lang w:val="en-US" w:eastAsia="zh-CN" w:bidi="ar-SA"/>
              </w:rPr>
            </w:pPr>
            <w:r>
              <w:rPr>
                <w:rFonts w:hint="eastAsia" w:ascii="宋体" w:hAnsi="宋体" w:cs="宋体"/>
                <w:color w:val="auto"/>
                <w:szCs w:val="21"/>
                <w:highlight w:val="none"/>
              </w:rPr>
              <w:t>0</w:t>
            </w:r>
            <w:r>
              <w:rPr>
                <w:rFonts w:hint="eastAsia" w:ascii="宋体" w:hAnsi="宋体" w:cs="宋体"/>
                <w:color w:val="auto"/>
                <w:szCs w:val="21"/>
                <w:highlight w:val="none"/>
                <w:lang w:val="zh-CN"/>
              </w:rPr>
              <w:t>-</w:t>
            </w:r>
            <w:r>
              <w:rPr>
                <w:rFonts w:hint="eastAsia" w:ascii="宋体" w:hAnsi="宋体" w:cs="宋体"/>
                <w:color w:val="auto"/>
                <w:szCs w:val="21"/>
                <w:highlight w:val="none"/>
              </w:rPr>
              <w:t>3</w:t>
            </w:r>
            <w:r>
              <w:rPr>
                <w:rFonts w:hint="eastAsia" w:ascii="宋体" w:hAnsi="宋体" w:cs="宋体"/>
                <w:color w:val="auto"/>
                <w:szCs w:val="21"/>
                <w:highlight w:val="none"/>
                <w:lang w:val="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886" w:type="dxa"/>
            <w:vMerge w:val="continue"/>
            <w:tcBorders>
              <w:left w:val="single" w:color="auto" w:sz="4" w:space="0"/>
              <w:right w:val="single" w:color="auto" w:sz="4" w:space="0"/>
            </w:tcBorders>
            <w:vAlign w:val="center"/>
          </w:tcPr>
          <w:p>
            <w:pPr>
              <w:shd w:val="clear"/>
              <w:spacing w:line="440" w:lineRule="exact"/>
              <w:jc w:val="center"/>
              <w:rPr>
                <w:rFonts w:hint="default" w:ascii="宋体" w:hAnsi="宋体" w:eastAsia="宋体" w:cs="宋体"/>
                <w:color w:val="auto"/>
                <w:kern w:val="0"/>
                <w:szCs w:val="21"/>
                <w:highlight w:val="none"/>
                <w:lang w:val="en-US" w:eastAsia="zh-CN"/>
              </w:rPr>
            </w:pPr>
          </w:p>
        </w:tc>
        <w:tc>
          <w:tcPr>
            <w:tcW w:w="1582" w:type="dxa"/>
            <w:vMerge w:val="continue"/>
            <w:tcBorders>
              <w:left w:val="single" w:color="auto" w:sz="4" w:space="0"/>
              <w:right w:val="single" w:color="auto" w:sz="4" w:space="0"/>
            </w:tcBorders>
            <w:vAlign w:val="center"/>
          </w:tcPr>
          <w:p>
            <w:pPr>
              <w:shd w:val="clear"/>
              <w:jc w:val="center"/>
              <w:rPr>
                <w:rFonts w:hint="eastAsia"/>
                <w:color w:val="auto"/>
                <w:highlight w:val="none"/>
                <w:lang w:val="en-US" w:eastAsia="zh-Hans"/>
              </w:rPr>
            </w:pPr>
          </w:p>
        </w:tc>
        <w:tc>
          <w:tcPr>
            <w:tcW w:w="6612" w:type="dxa"/>
            <w:tcBorders>
              <w:top w:val="single" w:color="auto" w:sz="4" w:space="0"/>
              <w:left w:val="single" w:color="auto" w:sz="4" w:space="0"/>
              <w:bottom w:val="single" w:color="auto" w:sz="4" w:space="0"/>
              <w:right w:val="single" w:color="auto" w:sz="4" w:space="0"/>
            </w:tcBorders>
            <w:vAlign w:val="center"/>
          </w:tcPr>
          <w:p>
            <w:pPr>
              <w:widowControl/>
              <w:shd w:val="clear"/>
              <w:snapToGrid w:val="0"/>
              <w:rPr>
                <w:rFonts w:hint="default" w:ascii="宋体" w:hAnsi="宋体" w:cs="宋体"/>
                <w:color w:val="auto"/>
                <w:szCs w:val="21"/>
                <w:highlight w:val="none"/>
                <w:lang w:val="en-US"/>
              </w:rPr>
            </w:pPr>
            <w:r>
              <w:rPr>
                <w:rFonts w:hint="eastAsia" w:ascii="新宋体" w:hAnsi="新宋体" w:eastAsia="新宋体" w:cs="新宋体"/>
                <w:color w:val="auto"/>
                <w:sz w:val="21"/>
                <w:szCs w:val="21"/>
                <w:highlight w:val="none"/>
                <w:lang w:val="en-US" w:eastAsia="zh-CN"/>
              </w:rPr>
              <w:t>根据投标人项目方案中针对数据保密的措施及相关涉密信息安全的全面性、可行性等，进行打分</w:t>
            </w:r>
          </w:p>
        </w:tc>
        <w:tc>
          <w:tcPr>
            <w:tcW w:w="976" w:type="dxa"/>
            <w:tcBorders>
              <w:top w:val="single" w:color="auto" w:sz="4" w:space="0"/>
              <w:left w:val="single" w:color="auto" w:sz="4" w:space="0"/>
              <w:bottom w:val="single" w:color="auto" w:sz="4" w:space="0"/>
              <w:right w:val="single" w:color="auto" w:sz="4" w:space="0"/>
            </w:tcBorders>
            <w:vAlign w:val="center"/>
          </w:tcPr>
          <w:p>
            <w:pPr>
              <w:shd w:val="clear"/>
              <w:spacing w:line="400" w:lineRule="exact"/>
              <w:jc w:val="center"/>
              <w:rPr>
                <w:rFonts w:hint="eastAsia" w:ascii="宋体" w:hAnsi="宋体" w:cs="宋体"/>
                <w:color w:val="auto"/>
                <w:szCs w:val="21"/>
                <w:highlight w:val="none"/>
              </w:rPr>
            </w:pPr>
            <w:r>
              <w:rPr>
                <w:rFonts w:hint="eastAsia" w:ascii="宋体" w:hAnsi="宋体" w:cs="宋体"/>
                <w:color w:val="auto"/>
                <w:szCs w:val="21"/>
                <w:highlight w:val="none"/>
              </w:rPr>
              <w:t>0</w:t>
            </w:r>
            <w:r>
              <w:rPr>
                <w:rFonts w:hint="eastAsia" w:ascii="宋体" w:hAnsi="宋体" w:cs="宋体"/>
                <w:color w:val="auto"/>
                <w:szCs w:val="21"/>
                <w:highlight w:val="none"/>
                <w:lang w:val="zh-CN"/>
              </w:rPr>
              <w:t>-</w:t>
            </w:r>
            <w:r>
              <w:rPr>
                <w:rFonts w:hint="eastAsia" w:ascii="宋体" w:hAnsi="宋体" w:cs="宋体"/>
                <w:color w:val="auto"/>
                <w:szCs w:val="21"/>
                <w:highlight w:val="none"/>
              </w:rPr>
              <w:t>3</w:t>
            </w:r>
            <w:r>
              <w:rPr>
                <w:rFonts w:hint="eastAsia" w:ascii="宋体" w:hAnsi="宋体" w:cs="宋体"/>
                <w:color w:val="auto"/>
                <w:szCs w:val="21"/>
                <w:highlight w:val="none"/>
                <w:lang w:val="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886" w:type="dxa"/>
            <w:vMerge w:val="continue"/>
            <w:tcBorders>
              <w:left w:val="single" w:color="auto" w:sz="4" w:space="0"/>
              <w:right w:val="single" w:color="auto" w:sz="4" w:space="0"/>
            </w:tcBorders>
            <w:vAlign w:val="center"/>
          </w:tcPr>
          <w:p>
            <w:pPr>
              <w:shd w:val="clear"/>
              <w:spacing w:line="440" w:lineRule="exact"/>
              <w:jc w:val="center"/>
              <w:rPr>
                <w:rFonts w:hint="default" w:ascii="宋体" w:hAnsi="宋体" w:eastAsia="宋体" w:cs="宋体"/>
                <w:color w:val="auto"/>
                <w:kern w:val="0"/>
                <w:szCs w:val="21"/>
                <w:highlight w:val="none"/>
                <w:lang w:val="en-US" w:eastAsia="zh-CN"/>
              </w:rPr>
            </w:pPr>
          </w:p>
        </w:tc>
        <w:tc>
          <w:tcPr>
            <w:tcW w:w="1582" w:type="dxa"/>
            <w:vMerge w:val="continue"/>
            <w:tcBorders>
              <w:left w:val="single" w:color="auto" w:sz="4" w:space="0"/>
              <w:right w:val="single" w:color="auto" w:sz="4" w:space="0"/>
            </w:tcBorders>
            <w:vAlign w:val="center"/>
          </w:tcPr>
          <w:p>
            <w:pPr>
              <w:shd w:val="clear"/>
              <w:jc w:val="center"/>
              <w:rPr>
                <w:rFonts w:hint="eastAsia"/>
                <w:color w:val="auto"/>
                <w:highlight w:val="none"/>
                <w:lang w:val="en-US" w:eastAsia="zh-Hans"/>
              </w:rPr>
            </w:pPr>
          </w:p>
        </w:tc>
        <w:tc>
          <w:tcPr>
            <w:tcW w:w="6612" w:type="dxa"/>
            <w:tcBorders>
              <w:top w:val="single" w:color="auto" w:sz="4" w:space="0"/>
              <w:left w:val="single" w:color="auto" w:sz="4" w:space="0"/>
              <w:bottom w:val="single" w:color="auto" w:sz="4" w:space="0"/>
              <w:right w:val="single" w:color="auto" w:sz="4" w:space="0"/>
            </w:tcBorders>
            <w:vAlign w:val="center"/>
          </w:tcPr>
          <w:p>
            <w:pPr>
              <w:widowControl/>
              <w:shd w:val="clear"/>
              <w:snapToGrid w:val="0"/>
              <w:rPr>
                <w:rFonts w:hint="eastAsia" w:ascii="新宋体" w:hAnsi="新宋体" w:eastAsia="新宋体" w:cs="新宋体"/>
                <w:color w:val="auto"/>
                <w:sz w:val="21"/>
                <w:szCs w:val="21"/>
                <w:highlight w:val="none"/>
                <w:lang w:val="en-US" w:eastAsia="zh-CN"/>
              </w:rPr>
            </w:pPr>
            <w:r>
              <w:rPr>
                <w:rFonts w:hint="eastAsia" w:ascii="宋体" w:hAnsi="宋体" w:cs="宋体"/>
                <w:color w:val="auto"/>
                <w:szCs w:val="21"/>
                <w:highlight w:val="none"/>
              </w:rPr>
              <w:t>根据投标人提出的节能改造方案科学</w:t>
            </w:r>
            <w:r>
              <w:rPr>
                <w:rFonts w:hint="eastAsia" w:ascii="宋体" w:hAnsi="宋体" w:cs="宋体"/>
                <w:color w:val="auto"/>
                <w:szCs w:val="21"/>
                <w:highlight w:val="none"/>
                <w:lang w:val="en-US" w:eastAsia="zh-CN"/>
              </w:rPr>
              <w:t>性、</w:t>
            </w:r>
            <w:r>
              <w:rPr>
                <w:rFonts w:hint="eastAsia" w:ascii="宋体" w:hAnsi="宋体" w:cs="宋体"/>
                <w:color w:val="auto"/>
                <w:szCs w:val="21"/>
                <w:highlight w:val="none"/>
              </w:rPr>
              <w:t>合理</w:t>
            </w:r>
            <w:r>
              <w:rPr>
                <w:rFonts w:hint="eastAsia" w:ascii="宋体" w:hAnsi="宋体" w:cs="宋体"/>
                <w:color w:val="auto"/>
                <w:szCs w:val="21"/>
                <w:highlight w:val="none"/>
                <w:lang w:val="en-US" w:eastAsia="zh-CN"/>
              </w:rPr>
              <w:t>性进行打分</w:t>
            </w:r>
          </w:p>
        </w:tc>
        <w:tc>
          <w:tcPr>
            <w:tcW w:w="976" w:type="dxa"/>
            <w:tcBorders>
              <w:top w:val="single" w:color="auto" w:sz="4" w:space="0"/>
              <w:left w:val="single" w:color="auto" w:sz="4" w:space="0"/>
              <w:bottom w:val="single" w:color="auto" w:sz="4" w:space="0"/>
              <w:right w:val="single" w:color="auto" w:sz="4" w:space="0"/>
            </w:tcBorders>
            <w:vAlign w:val="center"/>
          </w:tcPr>
          <w:p>
            <w:pPr>
              <w:shd w:val="clear"/>
              <w:spacing w:line="400" w:lineRule="exact"/>
              <w:jc w:val="center"/>
              <w:rPr>
                <w:rFonts w:hint="eastAsia" w:ascii="宋体" w:hAnsi="宋体" w:cs="宋体"/>
                <w:color w:val="auto"/>
                <w:szCs w:val="21"/>
                <w:highlight w:val="none"/>
              </w:rPr>
            </w:pPr>
            <w:r>
              <w:rPr>
                <w:rFonts w:hint="eastAsia" w:ascii="宋体" w:hAnsi="宋体" w:cs="宋体"/>
                <w:color w:val="auto"/>
                <w:szCs w:val="21"/>
                <w:highlight w:val="none"/>
              </w:rPr>
              <w:t>0</w:t>
            </w:r>
            <w:r>
              <w:rPr>
                <w:rFonts w:hint="eastAsia" w:ascii="宋体" w:hAnsi="宋体" w:cs="宋体"/>
                <w:color w:val="auto"/>
                <w:szCs w:val="21"/>
                <w:highlight w:val="none"/>
                <w:lang w:val="zh-CN"/>
              </w:rPr>
              <w:t>-</w:t>
            </w:r>
            <w:r>
              <w:rPr>
                <w:rFonts w:hint="eastAsia" w:ascii="宋体" w:hAnsi="宋体" w:cs="宋体"/>
                <w:color w:val="auto"/>
                <w:szCs w:val="21"/>
                <w:highlight w:val="none"/>
              </w:rPr>
              <w:t>3</w:t>
            </w:r>
            <w:r>
              <w:rPr>
                <w:rFonts w:hint="eastAsia" w:ascii="宋体" w:hAnsi="宋体" w:cs="宋体"/>
                <w:color w:val="auto"/>
                <w:szCs w:val="21"/>
                <w:highlight w:val="none"/>
                <w:lang w:val="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886" w:type="dxa"/>
            <w:vMerge w:val="continue"/>
            <w:tcBorders>
              <w:left w:val="single" w:color="auto" w:sz="4" w:space="0"/>
              <w:bottom w:val="single" w:color="auto" w:sz="4" w:space="0"/>
              <w:right w:val="single" w:color="auto" w:sz="4" w:space="0"/>
            </w:tcBorders>
            <w:vAlign w:val="center"/>
          </w:tcPr>
          <w:p>
            <w:pPr>
              <w:shd w:val="clear"/>
              <w:spacing w:line="440" w:lineRule="exact"/>
              <w:jc w:val="center"/>
              <w:rPr>
                <w:rFonts w:hint="default" w:ascii="宋体" w:hAnsi="宋体" w:eastAsia="宋体" w:cs="宋体"/>
                <w:color w:val="auto"/>
                <w:kern w:val="0"/>
                <w:szCs w:val="21"/>
                <w:highlight w:val="none"/>
                <w:lang w:val="en-US" w:eastAsia="zh-CN"/>
              </w:rPr>
            </w:pPr>
          </w:p>
        </w:tc>
        <w:tc>
          <w:tcPr>
            <w:tcW w:w="1582" w:type="dxa"/>
            <w:vMerge w:val="continue"/>
            <w:tcBorders>
              <w:left w:val="single" w:color="auto" w:sz="4" w:space="0"/>
              <w:bottom w:val="single" w:color="auto" w:sz="4" w:space="0"/>
              <w:right w:val="single" w:color="auto" w:sz="4" w:space="0"/>
            </w:tcBorders>
            <w:vAlign w:val="center"/>
          </w:tcPr>
          <w:p>
            <w:pPr>
              <w:shd w:val="clear"/>
              <w:jc w:val="center"/>
              <w:rPr>
                <w:rFonts w:hint="eastAsia"/>
                <w:color w:val="auto"/>
                <w:highlight w:val="none"/>
                <w:lang w:val="en-US" w:eastAsia="zh-Hans"/>
              </w:rPr>
            </w:pPr>
          </w:p>
        </w:tc>
        <w:tc>
          <w:tcPr>
            <w:tcW w:w="6612" w:type="dxa"/>
            <w:tcBorders>
              <w:top w:val="single" w:color="auto" w:sz="4" w:space="0"/>
              <w:left w:val="single" w:color="auto" w:sz="4" w:space="0"/>
              <w:bottom w:val="single" w:color="auto" w:sz="4" w:space="0"/>
              <w:right w:val="single" w:color="auto" w:sz="4" w:space="0"/>
            </w:tcBorders>
            <w:vAlign w:val="center"/>
          </w:tcPr>
          <w:p>
            <w:pPr>
              <w:widowControl/>
              <w:shd w:val="clear"/>
              <w:snapToGrid w:val="0"/>
              <w:rPr>
                <w:rFonts w:hint="eastAsia" w:ascii="新宋体" w:hAnsi="新宋体" w:eastAsia="新宋体" w:cs="新宋体"/>
                <w:color w:val="auto"/>
                <w:sz w:val="21"/>
                <w:szCs w:val="21"/>
                <w:highlight w:val="none"/>
                <w:lang w:val="en-US" w:eastAsia="zh-CN"/>
              </w:rPr>
            </w:pPr>
            <w:r>
              <w:rPr>
                <w:rFonts w:hint="eastAsia" w:ascii="宋体" w:hAnsi="宋体" w:cs="宋体"/>
                <w:color w:val="auto"/>
                <w:szCs w:val="21"/>
                <w:highlight w:val="none"/>
              </w:rPr>
              <w:t>根据投标人提出</w:t>
            </w:r>
            <w:r>
              <w:rPr>
                <w:rFonts w:hint="eastAsia" w:ascii="宋体" w:hAnsi="宋体" w:cs="宋体"/>
                <w:color w:val="auto"/>
                <w:szCs w:val="21"/>
                <w:highlight w:val="none"/>
                <w:lang w:val="en-US" w:eastAsia="zh-CN"/>
              </w:rPr>
              <w:t>的节能改造方案</w:t>
            </w:r>
            <w:r>
              <w:rPr>
                <w:rFonts w:hint="eastAsia" w:ascii="宋体" w:hAnsi="宋体" w:cs="宋体"/>
                <w:color w:val="auto"/>
                <w:szCs w:val="21"/>
                <w:highlight w:val="none"/>
              </w:rPr>
              <w:t>能够实现能源耦合利用的情况，进行</w:t>
            </w:r>
            <w:r>
              <w:rPr>
                <w:rFonts w:hint="eastAsia" w:ascii="宋体" w:hAnsi="宋体" w:cs="宋体"/>
                <w:color w:val="auto"/>
                <w:szCs w:val="21"/>
                <w:highlight w:val="none"/>
                <w:lang w:val="en-US" w:eastAsia="zh-CN"/>
              </w:rPr>
              <w:t>打分</w:t>
            </w:r>
          </w:p>
        </w:tc>
        <w:tc>
          <w:tcPr>
            <w:tcW w:w="976" w:type="dxa"/>
            <w:tcBorders>
              <w:top w:val="single" w:color="auto" w:sz="4" w:space="0"/>
              <w:left w:val="single" w:color="auto" w:sz="4" w:space="0"/>
              <w:bottom w:val="single" w:color="auto" w:sz="4" w:space="0"/>
              <w:right w:val="single" w:color="auto" w:sz="4" w:space="0"/>
            </w:tcBorders>
            <w:vAlign w:val="center"/>
          </w:tcPr>
          <w:p>
            <w:pPr>
              <w:shd w:val="clear"/>
              <w:spacing w:line="400" w:lineRule="exact"/>
              <w:jc w:val="center"/>
              <w:rPr>
                <w:rFonts w:hint="eastAsia" w:ascii="宋体" w:hAnsi="宋体" w:cs="宋体"/>
                <w:color w:val="auto"/>
                <w:szCs w:val="21"/>
                <w:highlight w:val="none"/>
              </w:rPr>
            </w:pPr>
            <w:r>
              <w:rPr>
                <w:rFonts w:hint="eastAsia" w:ascii="宋体" w:hAnsi="宋体" w:cs="宋体"/>
                <w:color w:val="auto"/>
                <w:szCs w:val="21"/>
                <w:highlight w:val="none"/>
              </w:rPr>
              <w:t>0</w:t>
            </w:r>
            <w:r>
              <w:rPr>
                <w:rFonts w:hint="eastAsia" w:ascii="宋体" w:hAnsi="宋体" w:cs="宋体"/>
                <w:color w:val="auto"/>
                <w:szCs w:val="21"/>
                <w:highlight w:val="none"/>
                <w:lang w:val="zh-CN"/>
              </w:rPr>
              <w:t>-</w:t>
            </w:r>
            <w:r>
              <w:rPr>
                <w:rFonts w:hint="eastAsia" w:ascii="宋体" w:hAnsi="宋体" w:cs="宋体"/>
                <w:color w:val="auto"/>
                <w:szCs w:val="21"/>
                <w:highlight w:val="none"/>
                <w:lang w:val="en-US" w:eastAsia="zh-CN"/>
              </w:rPr>
              <w:t>3</w:t>
            </w:r>
            <w:r>
              <w:rPr>
                <w:rFonts w:hint="eastAsia" w:ascii="宋体" w:hAnsi="宋体" w:cs="宋体"/>
                <w:color w:val="auto"/>
                <w:szCs w:val="21"/>
                <w:highlight w:val="none"/>
                <w:lang w:val="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886" w:type="dxa"/>
            <w:vMerge w:val="restart"/>
            <w:tcBorders>
              <w:top w:val="single" w:color="auto" w:sz="4" w:space="0"/>
              <w:left w:val="single" w:color="auto" w:sz="4" w:space="0"/>
              <w:right w:val="single" w:color="auto" w:sz="4" w:space="0"/>
            </w:tcBorders>
            <w:vAlign w:val="center"/>
          </w:tcPr>
          <w:p>
            <w:pPr>
              <w:shd w:val="clear"/>
              <w:spacing w:line="440" w:lineRule="exact"/>
              <w:jc w:val="center"/>
              <w:rPr>
                <w:rFonts w:hint="default" w:ascii="宋体" w:hAnsi="宋体" w:eastAsia="宋体" w:cs="宋体"/>
                <w:color w:val="auto"/>
                <w:kern w:val="0"/>
                <w:szCs w:val="21"/>
                <w:highlight w:val="none"/>
                <w:lang w:val="en-US" w:eastAsia="zh-CN"/>
              </w:rPr>
            </w:pPr>
            <w:r>
              <w:rPr>
                <w:rFonts w:hint="eastAsia" w:ascii="宋体" w:hAnsi="宋体" w:cs="宋体"/>
                <w:color w:val="auto"/>
                <w:kern w:val="0"/>
                <w:szCs w:val="21"/>
                <w:highlight w:val="none"/>
                <w:lang w:val="en-US" w:eastAsia="zh-CN"/>
              </w:rPr>
              <w:t>8</w:t>
            </w:r>
          </w:p>
        </w:tc>
        <w:tc>
          <w:tcPr>
            <w:tcW w:w="1582" w:type="dxa"/>
            <w:vMerge w:val="restart"/>
            <w:tcBorders>
              <w:top w:val="single" w:color="auto" w:sz="4" w:space="0"/>
              <w:left w:val="single" w:color="auto" w:sz="4" w:space="0"/>
              <w:right w:val="single" w:color="auto" w:sz="4" w:space="0"/>
            </w:tcBorders>
            <w:vAlign w:val="center"/>
          </w:tcPr>
          <w:p>
            <w:pPr>
              <w:shd w:val="clear"/>
              <w:jc w:val="center"/>
              <w:rPr>
                <w:rFonts w:hint="eastAsia"/>
                <w:color w:val="auto"/>
                <w:highlight w:val="none"/>
                <w:lang w:val="en-US" w:eastAsia="zh-CN"/>
              </w:rPr>
            </w:pPr>
            <w:r>
              <w:rPr>
                <w:rFonts w:hint="eastAsia"/>
                <w:color w:val="auto"/>
                <w:highlight w:val="none"/>
                <w:lang w:val="en-US" w:eastAsia="zh-CN"/>
              </w:rPr>
              <w:t>持续性服务</w:t>
            </w:r>
          </w:p>
          <w:p>
            <w:pPr>
              <w:shd w:val="clear"/>
              <w:jc w:val="center"/>
              <w:rPr>
                <w:rFonts w:hint="eastAsia"/>
                <w:color w:val="auto"/>
                <w:highlight w:val="none"/>
                <w:lang w:val="en-US" w:eastAsia="zh-CN"/>
              </w:rPr>
            </w:pPr>
            <w:r>
              <w:rPr>
                <w:rFonts w:hint="eastAsia"/>
                <w:color w:val="auto"/>
                <w:highlight w:val="none"/>
                <w:lang w:val="en-US" w:eastAsia="zh-CN"/>
              </w:rPr>
              <w:t>方案</w:t>
            </w:r>
          </w:p>
          <w:p>
            <w:pPr>
              <w:shd w:val="clear"/>
              <w:jc w:val="center"/>
              <w:rPr>
                <w:rFonts w:hint="eastAsia"/>
                <w:color w:val="auto"/>
                <w:highlight w:val="none"/>
                <w:lang w:val="en-US" w:eastAsia="zh-Hans"/>
              </w:rPr>
            </w:pPr>
            <w:r>
              <w:rPr>
                <w:rFonts w:hint="eastAsia"/>
                <w:color w:val="auto"/>
                <w:highlight w:val="none"/>
                <w:lang w:val="en-US" w:eastAsia="zh-CN"/>
              </w:rPr>
              <w:t>(主观分)</w:t>
            </w:r>
          </w:p>
        </w:tc>
        <w:tc>
          <w:tcPr>
            <w:tcW w:w="6612" w:type="dxa"/>
            <w:tcBorders>
              <w:top w:val="single" w:color="auto" w:sz="4" w:space="0"/>
              <w:left w:val="single" w:color="auto" w:sz="4" w:space="0"/>
              <w:bottom w:val="single" w:color="auto" w:sz="4" w:space="0"/>
              <w:right w:val="single" w:color="auto" w:sz="4" w:space="0"/>
            </w:tcBorders>
            <w:vAlign w:val="center"/>
          </w:tcPr>
          <w:p>
            <w:pPr>
              <w:widowControl/>
              <w:shd w:val="clear"/>
              <w:snapToGrid w:val="0"/>
              <w:rPr>
                <w:rFonts w:hint="eastAsia" w:ascii="新宋体" w:hAnsi="新宋体" w:eastAsia="新宋体" w:cs="新宋体"/>
                <w:color w:val="auto"/>
                <w:sz w:val="21"/>
                <w:szCs w:val="21"/>
                <w:highlight w:val="none"/>
                <w:lang w:val="en-US" w:eastAsia="zh-CN"/>
              </w:rPr>
            </w:pPr>
            <w:r>
              <w:rPr>
                <w:rFonts w:hint="eastAsia" w:ascii="新宋体" w:hAnsi="新宋体" w:eastAsia="新宋体" w:cs="新宋体"/>
                <w:color w:val="auto"/>
                <w:sz w:val="21"/>
                <w:szCs w:val="21"/>
                <w:highlight w:val="none"/>
                <w:lang w:val="en-US" w:eastAsia="zh-CN"/>
              </w:rPr>
              <w:t>根据投标人合同期内能够持续提供服务，有序推进各道路照明能源节约并能合理运行。提供详细的系统及设备的维保方案，进行打分</w:t>
            </w:r>
          </w:p>
        </w:tc>
        <w:tc>
          <w:tcPr>
            <w:tcW w:w="976" w:type="dxa"/>
            <w:tcBorders>
              <w:top w:val="single" w:color="auto" w:sz="4" w:space="0"/>
              <w:left w:val="single" w:color="auto" w:sz="4" w:space="0"/>
              <w:bottom w:val="single" w:color="auto" w:sz="4" w:space="0"/>
              <w:right w:val="single" w:color="auto" w:sz="4" w:space="0"/>
            </w:tcBorders>
            <w:vAlign w:val="center"/>
          </w:tcPr>
          <w:p>
            <w:pPr>
              <w:shd w:val="clear"/>
              <w:spacing w:line="400" w:lineRule="exact"/>
              <w:jc w:val="center"/>
              <w:rPr>
                <w:rFonts w:hint="eastAsia" w:ascii="宋体" w:hAnsi="宋体" w:cs="宋体"/>
                <w:color w:val="auto"/>
                <w:szCs w:val="21"/>
                <w:highlight w:val="none"/>
              </w:rPr>
            </w:pPr>
            <w:r>
              <w:rPr>
                <w:rFonts w:hint="eastAsia" w:ascii="宋体" w:hAnsi="宋体" w:cs="宋体"/>
                <w:color w:val="auto"/>
                <w:szCs w:val="21"/>
                <w:highlight w:val="none"/>
              </w:rPr>
              <w:t>0</w:t>
            </w:r>
            <w:r>
              <w:rPr>
                <w:rFonts w:hint="eastAsia" w:ascii="宋体" w:hAnsi="宋体" w:cs="宋体"/>
                <w:color w:val="auto"/>
                <w:szCs w:val="21"/>
                <w:highlight w:val="none"/>
                <w:lang w:val="zh-CN"/>
              </w:rPr>
              <w:t>-</w:t>
            </w:r>
            <w:r>
              <w:rPr>
                <w:rFonts w:hint="eastAsia" w:ascii="宋体" w:hAnsi="宋体" w:cs="宋体"/>
                <w:color w:val="auto"/>
                <w:szCs w:val="21"/>
                <w:highlight w:val="none"/>
                <w:lang w:val="en-US" w:eastAsia="zh-CN"/>
              </w:rPr>
              <w:t>3</w:t>
            </w:r>
            <w:r>
              <w:rPr>
                <w:rFonts w:hint="eastAsia" w:ascii="宋体" w:hAnsi="宋体" w:cs="宋体"/>
                <w:color w:val="auto"/>
                <w:szCs w:val="21"/>
                <w:highlight w:val="none"/>
                <w:lang w:val="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886" w:type="dxa"/>
            <w:vMerge w:val="continue"/>
            <w:tcBorders>
              <w:left w:val="single" w:color="auto" w:sz="4" w:space="0"/>
              <w:bottom w:val="single" w:color="auto" w:sz="4" w:space="0"/>
              <w:right w:val="single" w:color="auto" w:sz="4" w:space="0"/>
            </w:tcBorders>
            <w:vAlign w:val="center"/>
          </w:tcPr>
          <w:p>
            <w:pPr>
              <w:shd w:val="clear"/>
              <w:spacing w:line="440" w:lineRule="exact"/>
              <w:jc w:val="center"/>
              <w:rPr>
                <w:rFonts w:hint="default" w:ascii="宋体" w:hAnsi="宋体" w:eastAsia="宋体" w:cs="宋体"/>
                <w:color w:val="auto"/>
                <w:kern w:val="0"/>
                <w:szCs w:val="21"/>
                <w:highlight w:val="none"/>
                <w:lang w:val="en-US" w:eastAsia="zh-CN"/>
              </w:rPr>
            </w:pPr>
          </w:p>
        </w:tc>
        <w:tc>
          <w:tcPr>
            <w:tcW w:w="1582" w:type="dxa"/>
            <w:vMerge w:val="continue"/>
            <w:tcBorders>
              <w:left w:val="single" w:color="auto" w:sz="4" w:space="0"/>
              <w:bottom w:val="single" w:color="auto" w:sz="4" w:space="0"/>
              <w:right w:val="single" w:color="auto" w:sz="4" w:space="0"/>
            </w:tcBorders>
            <w:vAlign w:val="center"/>
          </w:tcPr>
          <w:p>
            <w:pPr>
              <w:shd w:val="clear"/>
              <w:jc w:val="center"/>
              <w:rPr>
                <w:rFonts w:hint="eastAsia" w:ascii="宋体" w:hAnsi="宋体" w:cs="宋体"/>
                <w:color w:val="auto"/>
                <w:szCs w:val="21"/>
                <w:highlight w:val="none"/>
                <w:lang w:eastAsia="zh-Hans"/>
              </w:rPr>
            </w:pPr>
          </w:p>
        </w:tc>
        <w:tc>
          <w:tcPr>
            <w:tcW w:w="6612" w:type="dxa"/>
            <w:tcBorders>
              <w:top w:val="single" w:color="auto" w:sz="4" w:space="0"/>
              <w:left w:val="single" w:color="auto" w:sz="4" w:space="0"/>
              <w:bottom w:val="single" w:color="auto" w:sz="4" w:space="0"/>
              <w:right w:val="single" w:color="auto" w:sz="4" w:space="0"/>
            </w:tcBorders>
            <w:vAlign w:val="center"/>
          </w:tcPr>
          <w:p>
            <w:pPr>
              <w:widowControl/>
              <w:shd w:val="clear"/>
              <w:snapToGrid w:val="0"/>
              <w:rPr>
                <w:rFonts w:hint="default" w:ascii="新宋体" w:hAnsi="新宋体" w:eastAsia="新宋体" w:cs="新宋体"/>
                <w:color w:val="auto"/>
                <w:sz w:val="21"/>
                <w:szCs w:val="21"/>
                <w:highlight w:val="none"/>
                <w:lang w:val="en-US" w:eastAsia="zh-CN"/>
              </w:rPr>
            </w:pPr>
            <w:r>
              <w:rPr>
                <w:rFonts w:hint="eastAsia" w:ascii="新宋体" w:hAnsi="新宋体" w:eastAsia="新宋体" w:cs="新宋体"/>
                <w:color w:val="auto"/>
                <w:sz w:val="21"/>
                <w:szCs w:val="21"/>
                <w:highlight w:val="none"/>
                <w:lang w:val="en-US" w:eastAsia="zh-CN"/>
              </w:rPr>
              <w:t>根据投标人合同期内能够对投入或维护的设备持续提供技术改良措施的方案进行打分</w:t>
            </w:r>
          </w:p>
        </w:tc>
        <w:tc>
          <w:tcPr>
            <w:tcW w:w="976" w:type="dxa"/>
            <w:tcBorders>
              <w:top w:val="single" w:color="auto" w:sz="4" w:space="0"/>
              <w:left w:val="single" w:color="auto" w:sz="4" w:space="0"/>
              <w:bottom w:val="single" w:color="auto" w:sz="4" w:space="0"/>
              <w:right w:val="single" w:color="auto" w:sz="4" w:space="0"/>
            </w:tcBorders>
            <w:vAlign w:val="center"/>
          </w:tcPr>
          <w:p>
            <w:pPr>
              <w:shd w:val="clear"/>
              <w:spacing w:line="400" w:lineRule="exact"/>
              <w:jc w:val="center"/>
              <w:rPr>
                <w:rFonts w:hint="eastAsia" w:ascii="宋体" w:hAnsi="宋体" w:cs="宋体"/>
                <w:color w:val="auto"/>
                <w:szCs w:val="21"/>
                <w:highlight w:val="none"/>
              </w:rPr>
            </w:pPr>
            <w:r>
              <w:rPr>
                <w:rFonts w:hint="eastAsia" w:ascii="宋体" w:hAnsi="宋体" w:cs="宋体"/>
                <w:color w:val="auto"/>
                <w:szCs w:val="21"/>
                <w:highlight w:val="none"/>
              </w:rPr>
              <w:t>0</w:t>
            </w:r>
            <w:r>
              <w:rPr>
                <w:rFonts w:hint="eastAsia" w:ascii="宋体" w:hAnsi="宋体" w:cs="宋体"/>
                <w:color w:val="auto"/>
                <w:szCs w:val="21"/>
                <w:highlight w:val="none"/>
                <w:lang w:val="zh-CN"/>
              </w:rPr>
              <w:t>-</w:t>
            </w:r>
            <w:r>
              <w:rPr>
                <w:rFonts w:hint="eastAsia" w:ascii="宋体" w:hAnsi="宋体" w:cs="宋体"/>
                <w:color w:val="auto"/>
                <w:szCs w:val="21"/>
                <w:highlight w:val="none"/>
                <w:lang w:val="en-US" w:eastAsia="zh-CN"/>
              </w:rPr>
              <w:t>3</w:t>
            </w:r>
            <w:r>
              <w:rPr>
                <w:rFonts w:hint="eastAsia" w:ascii="宋体" w:hAnsi="宋体" w:cs="宋体"/>
                <w:color w:val="auto"/>
                <w:szCs w:val="21"/>
                <w:highlight w:val="none"/>
                <w:lang w:val="zh-CN"/>
              </w:rPr>
              <w:t>分</w:t>
            </w:r>
          </w:p>
        </w:tc>
      </w:tr>
    </w:tbl>
    <w:p>
      <w:pPr>
        <w:shd w:val="clear"/>
        <w:adjustRightInd w:val="0"/>
        <w:snapToGrid w:val="0"/>
        <w:spacing w:line="360" w:lineRule="auto"/>
        <w:ind w:firstLine="464" w:firstLineChars="200"/>
        <w:rPr>
          <w:rFonts w:ascii="宋体" w:hAnsi="宋体" w:cs="宋体"/>
          <w:color w:val="auto"/>
          <w:spacing w:val="-4"/>
          <w:sz w:val="24"/>
          <w:highlight w:val="none"/>
        </w:rPr>
      </w:pPr>
      <w:r>
        <w:rPr>
          <w:rFonts w:hint="eastAsia" w:ascii="宋体" w:hAnsi="宋体" w:cs="宋体"/>
          <w:color w:val="auto"/>
          <w:spacing w:val="-4"/>
          <w:sz w:val="24"/>
          <w:highlight w:val="none"/>
        </w:rPr>
        <w:t>评标小组根据上述评分细目和各投标方的技术标书的审核情况，自行判定，打分时保留小数1位，每人一份评分表，并签名。在统计得分时，如果发现某一单项评分超过评分细则规定的分值范围，则该张评分表无效。</w:t>
      </w:r>
    </w:p>
    <w:p>
      <w:pPr>
        <w:shd w:val="clear"/>
        <w:adjustRightInd w:val="0"/>
        <w:snapToGrid w:val="0"/>
        <w:spacing w:line="360" w:lineRule="auto"/>
        <w:ind w:firstLine="459" w:firstLineChars="198"/>
        <w:rPr>
          <w:rFonts w:ascii="宋体" w:hAnsi="宋体" w:cs="宋体"/>
          <w:b/>
          <w:bCs/>
          <w:color w:val="auto"/>
          <w:spacing w:val="-4"/>
          <w:sz w:val="24"/>
          <w:highlight w:val="none"/>
        </w:rPr>
      </w:pPr>
      <w:r>
        <w:rPr>
          <w:rFonts w:hint="eastAsia" w:ascii="宋体" w:hAnsi="宋体" w:cs="宋体"/>
          <w:color w:val="auto"/>
          <w:spacing w:val="-4"/>
          <w:sz w:val="24"/>
          <w:highlight w:val="none"/>
        </w:rPr>
        <w:t>技术标得分：最终得分为评标小组成员的有效评分的算术平均值。计算时保留小数2位（四舍五入）。</w:t>
      </w:r>
      <w:r>
        <w:rPr>
          <w:rFonts w:hint="eastAsia" w:ascii="宋体" w:hAnsi="宋体" w:cs="宋体"/>
          <w:b/>
          <w:bCs/>
          <w:color w:val="auto"/>
          <w:spacing w:val="-4"/>
          <w:sz w:val="24"/>
          <w:highlight w:val="none"/>
        </w:rPr>
        <w:t xml:space="preserve"> </w:t>
      </w:r>
    </w:p>
    <w:p>
      <w:pPr>
        <w:pStyle w:val="13"/>
        <w:shd w:val="clear"/>
        <w:snapToGrid w:val="0"/>
        <w:spacing w:line="360" w:lineRule="auto"/>
        <w:ind w:left="482"/>
        <w:rPr>
          <w:rFonts w:hAnsi="宋体" w:cs="宋体"/>
          <w:b/>
          <w:bCs/>
          <w:color w:val="auto"/>
          <w:sz w:val="24"/>
          <w:szCs w:val="24"/>
          <w:highlight w:val="none"/>
        </w:rPr>
      </w:pPr>
      <w:bookmarkStart w:id="122" w:name="_Toc385504602"/>
      <w:bookmarkStart w:id="123" w:name="_Toc317082907"/>
      <w:r>
        <w:rPr>
          <w:rFonts w:hint="eastAsia" w:hAnsi="宋体" w:cs="宋体"/>
          <w:b/>
          <w:bCs/>
          <w:color w:val="auto"/>
          <w:sz w:val="24"/>
          <w:szCs w:val="24"/>
          <w:highlight w:val="none"/>
        </w:rPr>
        <w:t>2</w:t>
      </w:r>
      <w:bookmarkEnd w:id="122"/>
      <w:bookmarkEnd w:id="123"/>
      <w:r>
        <w:rPr>
          <w:rFonts w:hint="eastAsia" w:hAnsi="宋体" w:cs="宋体"/>
          <w:b/>
          <w:bCs/>
          <w:color w:val="auto"/>
          <w:sz w:val="24"/>
          <w:highlight w:val="none"/>
        </w:rPr>
        <w:t>.</w:t>
      </w:r>
      <w:r>
        <w:rPr>
          <w:rFonts w:hint="eastAsia" w:hAnsi="宋体" w:cs="宋体"/>
          <w:b/>
          <w:bCs/>
          <w:color w:val="auto"/>
          <w:sz w:val="24"/>
          <w:szCs w:val="24"/>
          <w:highlight w:val="none"/>
        </w:rPr>
        <w:t>商务标评审，满分</w:t>
      </w:r>
      <w:r>
        <w:rPr>
          <w:rFonts w:hint="eastAsia" w:hAnsi="宋体" w:cs="宋体"/>
          <w:b/>
          <w:bCs/>
          <w:color w:val="auto"/>
          <w:sz w:val="24"/>
          <w:szCs w:val="24"/>
          <w:highlight w:val="none"/>
          <w:lang w:val="en-US" w:eastAsia="zh-CN"/>
        </w:rPr>
        <w:t>2</w:t>
      </w:r>
      <w:r>
        <w:rPr>
          <w:rFonts w:hint="eastAsia" w:hAnsi="宋体" w:cs="宋体"/>
          <w:b/>
          <w:bCs/>
          <w:color w:val="auto"/>
          <w:sz w:val="24"/>
          <w:szCs w:val="24"/>
          <w:highlight w:val="none"/>
        </w:rPr>
        <w:t>0分</w:t>
      </w:r>
    </w:p>
    <w:p>
      <w:pPr>
        <w:shd w:val="clear"/>
        <w:adjustRightInd w:val="0"/>
        <w:snapToGrid w:val="0"/>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2.1甄别异常报价</w:t>
      </w:r>
    </w:p>
    <w:p>
      <w:pPr>
        <w:shd w:val="clear"/>
        <w:adjustRightInd w:val="0"/>
        <w:snapToGrid w:val="0"/>
        <w:spacing w:line="400" w:lineRule="exact"/>
        <w:ind w:firstLine="459" w:firstLineChars="198"/>
        <w:rPr>
          <w:rFonts w:ascii="宋体" w:hAnsi="宋体" w:cs="宋体"/>
          <w:color w:val="auto"/>
          <w:spacing w:val="-4"/>
          <w:sz w:val="24"/>
          <w:highlight w:val="none"/>
        </w:rPr>
      </w:pPr>
      <w:r>
        <w:rPr>
          <w:rFonts w:hint="eastAsia" w:ascii="宋体" w:hAnsi="宋体" w:cs="宋体"/>
          <w:color w:val="auto"/>
          <w:spacing w:val="-4"/>
          <w:sz w:val="24"/>
          <w:highlight w:val="none"/>
        </w:rPr>
        <w:t>对出现下列情况之一的，由评标小组认定为异常报价，按无效标处理，不再进行评审：</w:t>
      </w:r>
    </w:p>
    <w:p>
      <w:pPr>
        <w:shd w:val="clear"/>
        <w:adjustRightInd w:val="0"/>
        <w:snapToGrid w:val="0"/>
        <w:spacing w:line="400" w:lineRule="exact"/>
        <w:ind w:firstLine="475" w:firstLineChars="198"/>
        <w:rPr>
          <w:rFonts w:ascii="宋体" w:hAnsi="宋体" w:cs="宋体"/>
          <w:color w:val="auto"/>
          <w:sz w:val="24"/>
          <w:highlight w:val="none"/>
        </w:rPr>
      </w:pPr>
      <w:r>
        <w:rPr>
          <w:rFonts w:hint="eastAsia" w:ascii="宋体" w:hAnsi="宋体" w:cs="宋体"/>
          <w:color w:val="auto"/>
          <w:sz w:val="24"/>
          <w:highlight w:val="none"/>
        </w:rPr>
        <w:t>2.1.1报价高于</w:t>
      </w:r>
      <w:r>
        <w:rPr>
          <w:rFonts w:hint="eastAsia" w:ascii="宋体" w:hAnsi="宋体" w:cs="宋体"/>
          <w:color w:val="auto"/>
          <w:kern w:val="0"/>
          <w:sz w:val="24"/>
          <w:highlight w:val="none"/>
        </w:rPr>
        <w:t>最高限价</w:t>
      </w:r>
      <w:r>
        <w:rPr>
          <w:rFonts w:hint="eastAsia" w:ascii="宋体" w:hAnsi="宋体" w:cs="宋体"/>
          <w:color w:val="auto"/>
          <w:sz w:val="24"/>
          <w:highlight w:val="none"/>
        </w:rPr>
        <w:t>；</w:t>
      </w:r>
    </w:p>
    <w:p>
      <w:pPr>
        <w:shd w:val="clear"/>
        <w:adjustRightInd w:val="0"/>
        <w:snapToGrid w:val="0"/>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2.1.2</w:t>
      </w:r>
      <w:r>
        <w:rPr>
          <w:rFonts w:hint="eastAsia" w:ascii="宋体" w:hAnsi="宋体" w:cs="宋体"/>
          <w:color w:val="auto"/>
          <w:spacing w:val="-4"/>
          <w:sz w:val="24"/>
          <w:highlight w:val="none"/>
        </w:rPr>
        <w:t>评标小组一致认为投标人的报价明显低于其他通过符合性审查投标人的报价，有可能影响项目质量或者不能诚信履约，要求其通过“政采云”平台在规定的时间内提供CA签章的材料；投标人不能证明其报价合理性的，评标小组应当将其作为无效投标处理</w:t>
      </w:r>
    </w:p>
    <w:p>
      <w:pPr>
        <w:pStyle w:val="14"/>
        <w:shd w:val="clear"/>
        <w:spacing w:line="460" w:lineRule="exact"/>
        <w:ind w:firstLine="482" w:firstLineChars="200"/>
        <w:rPr>
          <w:rFonts w:hAnsi="宋体" w:eastAsia="宋体" w:cs="宋体"/>
          <w:b/>
          <w:bCs/>
          <w:color w:val="auto"/>
          <w:highlight w:val="none"/>
        </w:rPr>
      </w:pPr>
      <w:r>
        <w:rPr>
          <w:rFonts w:hint="eastAsia" w:hAnsi="宋体" w:eastAsia="宋体" w:cs="宋体"/>
          <w:b/>
          <w:bCs/>
          <w:color w:val="auto"/>
          <w:highlight w:val="none"/>
        </w:rPr>
        <w:t>2.2商务报价分计算方法如下：</w:t>
      </w:r>
    </w:p>
    <w:p>
      <w:pPr>
        <w:pStyle w:val="14"/>
        <w:shd w:val="clear"/>
        <w:spacing w:line="460" w:lineRule="exact"/>
        <w:ind w:firstLineChars="200"/>
        <w:rPr>
          <w:rFonts w:hAnsi="宋体" w:eastAsia="宋体" w:cs="宋体"/>
          <w:color w:val="auto"/>
          <w:highlight w:val="none"/>
        </w:rPr>
      </w:pPr>
      <w:r>
        <w:rPr>
          <w:rFonts w:hint="eastAsia" w:hAnsi="宋体" w:eastAsia="宋体" w:cs="宋体"/>
          <w:color w:val="auto"/>
          <w:highlight w:val="none"/>
        </w:rPr>
        <w:t>评标基准价的确定办法：以所有有效报价中的最低报价为基准价，投标人的价格分统一按下列公式计算：</w:t>
      </w:r>
    </w:p>
    <w:p>
      <w:pPr>
        <w:pStyle w:val="14"/>
        <w:shd w:val="clear"/>
        <w:spacing w:line="440" w:lineRule="exact"/>
        <w:ind w:firstLineChars="200"/>
        <w:rPr>
          <w:rFonts w:hAnsi="宋体" w:eastAsia="宋体" w:cs="宋体"/>
          <w:color w:val="auto"/>
          <w:szCs w:val="24"/>
          <w:highlight w:val="none"/>
        </w:rPr>
      </w:pPr>
      <w:r>
        <w:rPr>
          <w:rFonts w:hint="eastAsia" w:hAnsi="宋体" w:eastAsia="宋体" w:cs="宋体"/>
          <w:color w:val="auto"/>
          <w:szCs w:val="24"/>
          <w:highlight w:val="none"/>
        </w:rPr>
        <w:t>商务标得分={基准价/（投标报价）}×</w:t>
      </w:r>
      <w:r>
        <w:rPr>
          <w:rFonts w:hint="eastAsia" w:hAnsi="宋体" w:eastAsia="宋体" w:cs="宋体"/>
          <w:color w:val="auto"/>
          <w:szCs w:val="24"/>
          <w:highlight w:val="none"/>
          <w:lang w:val="en-US" w:eastAsia="zh-CN"/>
        </w:rPr>
        <w:t>2</w:t>
      </w:r>
      <w:r>
        <w:rPr>
          <w:rFonts w:hint="eastAsia" w:hAnsi="宋体" w:eastAsia="宋体" w:cs="宋体"/>
          <w:color w:val="auto"/>
          <w:szCs w:val="24"/>
          <w:highlight w:val="none"/>
        </w:rPr>
        <w:t xml:space="preserve">0    </w:t>
      </w:r>
    </w:p>
    <w:p>
      <w:pPr>
        <w:pStyle w:val="14"/>
        <w:shd w:val="clear"/>
        <w:spacing w:line="460" w:lineRule="exact"/>
        <w:ind w:firstLine="482" w:firstLineChars="200"/>
        <w:rPr>
          <w:rFonts w:hAnsi="宋体" w:eastAsia="宋体" w:cs="宋体"/>
          <w:b/>
          <w:bCs/>
          <w:color w:val="auto"/>
          <w:highlight w:val="none"/>
        </w:rPr>
      </w:pPr>
      <w:r>
        <w:rPr>
          <w:rFonts w:hint="eastAsia" w:hAnsi="宋体" w:eastAsia="宋体" w:cs="宋体"/>
          <w:b/>
          <w:bCs/>
          <w:color w:val="auto"/>
          <w:highlight w:val="none"/>
        </w:rPr>
        <w:t>3.计算总得分</w:t>
      </w:r>
    </w:p>
    <w:p>
      <w:pPr>
        <w:pStyle w:val="14"/>
        <w:shd w:val="clear"/>
        <w:spacing w:line="460" w:lineRule="exact"/>
        <w:ind w:firstLineChars="200"/>
        <w:rPr>
          <w:rFonts w:hAnsi="宋体" w:eastAsia="宋体" w:cs="宋体"/>
          <w:color w:val="auto"/>
          <w:highlight w:val="none"/>
        </w:rPr>
      </w:pPr>
      <w:r>
        <w:rPr>
          <w:rFonts w:hint="eastAsia" w:hAnsi="宋体" w:eastAsia="宋体" w:cs="宋体"/>
          <w:color w:val="auto"/>
          <w:highlight w:val="none"/>
        </w:rPr>
        <w:t>总得分=技术标得分+商务标得分</w:t>
      </w:r>
      <w:bookmarkStart w:id="124" w:name="_Toc439841453"/>
      <w:bookmarkStart w:id="125" w:name="_Toc405798418"/>
      <w:r>
        <w:rPr>
          <w:rFonts w:hint="eastAsia" w:hAnsi="宋体" w:eastAsia="宋体" w:cs="宋体"/>
          <w:color w:val="auto"/>
          <w:highlight w:val="none"/>
        </w:rPr>
        <w:t xml:space="preserve">             计算时保留小数2位（四舍五入）。</w:t>
      </w:r>
    </w:p>
    <w:p>
      <w:pPr>
        <w:pStyle w:val="13"/>
        <w:shd w:val="clear"/>
        <w:snapToGrid w:val="0"/>
        <w:spacing w:line="360" w:lineRule="auto"/>
        <w:ind w:firstLine="482"/>
        <w:rPr>
          <w:rFonts w:hAnsi="宋体" w:cs="宋体"/>
          <w:b/>
          <w:color w:val="auto"/>
          <w:spacing w:val="-4"/>
          <w:sz w:val="24"/>
          <w:highlight w:val="none"/>
        </w:rPr>
      </w:pPr>
      <w:r>
        <w:rPr>
          <w:rFonts w:hint="eastAsia" w:hAnsi="宋体" w:cs="宋体"/>
          <w:b/>
          <w:color w:val="auto"/>
          <w:spacing w:val="-4"/>
          <w:sz w:val="24"/>
          <w:highlight w:val="none"/>
        </w:rPr>
        <w:t>三 、定标办法</w:t>
      </w:r>
      <w:bookmarkEnd w:id="124"/>
      <w:bookmarkEnd w:id="125"/>
    </w:p>
    <w:p>
      <w:pPr>
        <w:shd w:val="clear"/>
        <w:spacing w:line="440" w:lineRule="exact"/>
        <w:ind w:firstLine="480" w:firstLineChars="200"/>
        <w:rPr>
          <w:rFonts w:ascii="宋体" w:hAnsi="宋体" w:cs="宋体"/>
          <w:color w:val="auto"/>
          <w:highlight w:val="none"/>
        </w:rPr>
      </w:pPr>
      <w:r>
        <w:rPr>
          <w:rFonts w:hint="eastAsia" w:ascii="宋体" w:hAnsi="宋体" w:cs="宋体"/>
          <w:color w:val="auto"/>
          <w:sz w:val="24"/>
          <w:highlight w:val="none"/>
        </w:rPr>
        <w:t>1</w:t>
      </w:r>
      <w:r>
        <w:rPr>
          <w:rFonts w:hint="eastAsia" w:ascii="宋体" w:hAnsi="宋体" w:cs="宋体"/>
          <w:b/>
          <w:bCs/>
          <w:color w:val="auto"/>
          <w:highlight w:val="none"/>
        </w:rPr>
        <w:t>.</w:t>
      </w:r>
      <w:r>
        <w:rPr>
          <w:rFonts w:hint="eastAsia" w:ascii="宋体" w:hAnsi="宋体" w:cs="宋体"/>
          <w:color w:val="auto"/>
          <w:sz w:val="24"/>
          <w:highlight w:val="none"/>
        </w:rPr>
        <w:t>评标小组完成评标后，评标结果按评审后得分由高到低顺序排列（总得分相同的，按投标报价由低到高顺序排列；得分且投标报价相同的，按技术分从高到低顺序排列，技术分也相同的，由采购人代表采用公共资源交易中心抽取程序随机确定排列顺序）。评标小组直接确定</w:t>
      </w:r>
      <w:r>
        <w:rPr>
          <w:rFonts w:hint="eastAsia" w:ascii="宋体" w:hAnsi="宋体" w:cs="宋体"/>
          <w:b/>
          <w:bCs/>
          <w:color w:val="auto"/>
          <w:sz w:val="24"/>
          <w:highlight w:val="none"/>
        </w:rPr>
        <w:t>排名第一的投标单位</w:t>
      </w:r>
      <w:r>
        <w:rPr>
          <w:rFonts w:hint="eastAsia" w:ascii="宋体" w:hAnsi="宋体" w:cs="宋体"/>
          <w:color w:val="auto"/>
          <w:sz w:val="24"/>
          <w:highlight w:val="none"/>
        </w:rPr>
        <w:t>为中标候选人向采购人推荐，并提交经评标小组成员签字的评标报告。</w:t>
      </w:r>
    </w:p>
    <w:p>
      <w:pPr>
        <w:shd w:val="clear"/>
        <w:tabs>
          <w:tab w:val="left" w:pos="4111"/>
        </w:tabs>
        <w:spacing w:line="4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w:t>
      </w:r>
      <w:r>
        <w:rPr>
          <w:rFonts w:hint="eastAsia" w:ascii="宋体" w:hAnsi="宋体" w:cs="宋体"/>
          <w:b/>
          <w:bCs/>
          <w:color w:val="auto"/>
          <w:highlight w:val="none"/>
        </w:rPr>
        <w:t>.</w:t>
      </w:r>
      <w:r>
        <w:rPr>
          <w:rFonts w:hint="eastAsia" w:ascii="宋体" w:hAnsi="宋体" w:cs="宋体"/>
          <w:color w:val="auto"/>
          <w:sz w:val="24"/>
          <w:highlight w:val="none"/>
        </w:rPr>
        <w:t>采购人直接授权评标小组确定中标人。</w:t>
      </w:r>
    </w:p>
    <w:p>
      <w:pPr>
        <w:pStyle w:val="13"/>
        <w:shd w:val="clear"/>
        <w:spacing w:before="120" w:after="120" w:line="440" w:lineRule="exact"/>
        <w:ind w:left="482"/>
        <w:rPr>
          <w:rFonts w:hAnsi="宋体" w:cs="宋体"/>
          <w:color w:val="auto"/>
          <w:sz w:val="24"/>
          <w:szCs w:val="24"/>
          <w:highlight w:val="none"/>
        </w:rPr>
      </w:pPr>
      <w:bookmarkStart w:id="126" w:name="_Toc338319019"/>
      <w:r>
        <w:rPr>
          <w:rFonts w:hint="eastAsia" w:hAnsi="宋体" w:cs="宋体"/>
          <w:color w:val="auto"/>
          <w:sz w:val="24"/>
          <w:szCs w:val="24"/>
          <w:highlight w:val="none"/>
        </w:rPr>
        <w:t>3.当确定的中标人放弃中标，因不可抗力提出不能履行合同，重新组织招标。</w:t>
      </w:r>
      <w:bookmarkEnd w:id="126"/>
    </w:p>
    <w:p>
      <w:pPr>
        <w:pStyle w:val="13"/>
        <w:shd w:val="clear"/>
        <w:snapToGrid w:val="0"/>
        <w:spacing w:line="360" w:lineRule="auto"/>
        <w:ind w:firstLine="482"/>
        <w:rPr>
          <w:rFonts w:hAnsi="宋体" w:cs="宋体"/>
          <w:b/>
          <w:color w:val="auto"/>
          <w:spacing w:val="-4"/>
          <w:sz w:val="24"/>
          <w:highlight w:val="none"/>
        </w:rPr>
      </w:pPr>
      <w:r>
        <w:rPr>
          <w:rFonts w:hint="eastAsia" w:hAnsi="宋体" w:cs="宋体"/>
          <w:b/>
          <w:color w:val="auto"/>
          <w:spacing w:val="-4"/>
          <w:sz w:val="24"/>
          <w:highlight w:val="none"/>
        </w:rPr>
        <w:t>四、评标小组不向落标方解释落标原因，不退还投标文件。</w:t>
      </w:r>
    </w:p>
    <w:p>
      <w:pPr>
        <w:pStyle w:val="26"/>
        <w:shd w:val="clear"/>
        <w:rPr>
          <w:rFonts w:ascii="宋体" w:hAnsi="宋体" w:eastAsia="宋体" w:cs="宋体"/>
          <w:b w:val="0"/>
          <w:bCs w:val="0"/>
          <w:color w:val="auto"/>
          <w:sz w:val="28"/>
          <w:szCs w:val="28"/>
          <w:highlight w:val="none"/>
        </w:rPr>
      </w:pPr>
    </w:p>
    <w:p>
      <w:pPr>
        <w:pStyle w:val="27"/>
        <w:shd w:val="clear"/>
        <w:rPr>
          <w:rFonts w:ascii="宋体" w:hAnsi="宋体" w:cs="宋体"/>
          <w:b/>
          <w:bCs/>
          <w:color w:val="auto"/>
          <w:sz w:val="28"/>
          <w:szCs w:val="28"/>
          <w:highlight w:val="none"/>
        </w:rPr>
      </w:pPr>
    </w:p>
    <w:p>
      <w:pPr>
        <w:pStyle w:val="27"/>
        <w:shd w:val="clear"/>
        <w:rPr>
          <w:rFonts w:ascii="宋体" w:hAnsi="宋体" w:cs="宋体"/>
          <w:b/>
          <w:bCs/>
          <w:color w:val="auto"/>
          <w:sz w:val="28"/>
          <w:szCs w:val="28"/>
          <w:highlight w:val="none"/>
        </w:rPr>
      </w:pPr>
    </w:p>
    <w:p>
      <w:pPr>
        <w:pStyle w:val="27"/>
        <w:shd w:val="clear"/>
        <w:rPr>
          <w:rFonts w:ascii="宋体" w:hAnsi="宋体" w:cs="宋体"/>
          <w:b/>
          <w:bCs/>
          <w:color w:val="auto"/>
          <w:sz w:val="28"/>
          <w:szCs w:val="28"/>
          <w:highlight w:val="none"/>
        </w:rPr>
      </w:pPr>
      <w:bookmarkStart w:id="127" w:name="_Toc9890"/>
      <w:bookmarkStart w:id="128" w:name="_Toc15129"/>
      <w:bookmarkStart w:id="129" w:name="_Toc10069"/>
    </w:p>
    <w:p>
      <w:pPr>
        <w:pStyle w:val="27"/>
        <w:shd w:val="clear"/>
        <w:rPr>
          <w:rFonts w:ascii="宋体" w:hAnsi="宋体" w:cs="宋体"/>
          <w:b/>
          <w:bCs/>
          <w:color w:val="auto"/>
          <w:sz w:val="28"/>
          <w:szCs w:val="28"/>
          <w:highlight w:val="none"/>
        </w:rPr>
      </w:pPr>
    </w:p>
    <w:p>
      <w:pPr>
        <w:pStyle w:val="27"/>
        <w:shd w:val="clear"/>
        <w:rPr>
          <w:rFonts w:ascii="宋体" w:hAnsi="宋体" w:cs="宋体"/>
          <w:b/>
          <w:bCs/>
          <w:color w:val="auto"/>
          <w:sz w:val="28"/>
          <w:szCs w:val="28"/>
          <w:highlight w:val="none"/>
        </w:rPr>
      </w:pPr>
    </w:p>
    <w:p>
      <w:pPr>
        <w:pStyle w:val="27"/>
        <w:shd w:val="clear"/>
        <w:rPr>
          <w:rFonts w:ascii="宋体" w:hAnsi="宋体" w:cs="宋体"/>
          <w:b/>
          <w:bCs/>
          <w:color w:val="auto"/>
          <w:sz w:val="28"/>
          <w:szCs w:val="28"/>
          <w:highlight w:val="none"/>
        </w:rPr>
      </w:pPr>
    </w:p>
    <w:p>
      <w:pPr>
        <w:pStyle w:val="27"/>
        <w:shd w:val="clear"/>
        <w:rPr>
          <w:rFonts w:ascii="宋体" w:hAnsi="宋体" w:cs="宋体"/>
          <w:b/>
          <w:bCs/>
          <w:color w:val="auto"/>
          <w:sz w:val="28"/>
          <w:szCs w:val="28"/>
          <w:highlight w:val="none"/>
        </w:rPr>
      </w:pPr>
    </w:p>
    <w:p>
      <w:pPr>
        <w:pStyle w:val="27"/>
        <w:shd w:val="clear"/>
        <w:rPr>
          <w:rFonts w:ascii="宋体" w:hAnsi="宋体" w:cs="宋体"/>
          <w:b/>
          <w:bCs/>
          <w:color w:val="auto"/>
          <w:sz w:val="28"/>
          <w:szCs w:val="28"/>
          <w:highlight w:val="none"/>
        </w:rPr>
      </w:pPr>
    </w:p>
    <w:p>
      <w:pPr>
        <w:pStyle w:val="5"/>
        <w:shd w:val="clear"/>
        <w:spacing w:before="0" w:after="0" w:line="240" w:lineRule="auto"/>
        <w:jc w:val="center"/>
        <w:rPr>
          <w:rFonts w:ascii="宋体" w:hAnsi="宋体" w:cs="宋体"/>
          <w:color w:val="auto"/>
          <w:sz w:val="36"/>
          <w:szCs w:val="36"/>
          <w:highlight w:val="none"/>
        </w:rPr>
      </w:pPr>
      <w:bookmarkStart w:id="130" w:name="_Toc23465"/>
      <w:r>
        <w:rPr>
          <w:rFonts w:hint="eastAsia" w:ascii="宋体" w:hAnsi="宋体" w:cs="宋体"/>
          <w:color w:val="auto"/>
          <w:sz w:val="36"/>
          <w:szCs w:val="36"/>
          <w:highlight w:val="none"/>
        </w:rPr>
        <w:t>第七章 拟签订的合同文本</w:t>
      </w:r>
      <w:bookmarkEnd w:id="127"/>
      <w:bookmarkEnd w:id="128"/>
      <w:bookmarkEnd w:id="129"/>
      <w:bookmarkEnd w:id="130"/>
    </w:p>
    <w:p>
      <w:pPr>
        <w:widowControl/>
        <w:shd w:val="clear"/>
        <w:spacing w:line="360" w:lineRule="auto"/>
        <w:ind w:firstLine="482" w:firstLineChars="200"/>
        <w:jc w:val="center"/>
        <w:rPr>
          <w:rFonts w:ascii="宋体" w:hAnsi="宋体" w:cs="宋体"/>
          <w:b/>
          <w:bCs/>
          <w:color w:val="auto"/>
          <w:kern w:val="0"/>
          <w:sz w:val="24"/>
          <w:highlight w:val="none"/>
        </w:rPr>
      </w:pPr>
      <w:r>
        <w:rPr>
          <w:rFonts w:hint="eastAsia" w:ascii="宋体" w:hAnsi="宋体" w:cs="宋体"/>
          <w:b/>
          <w:bCs/>
          <w:color w:val="auto"/>
          <w:kern w:val="0"/>
          <w:sz w:val="24"/>
          <w:highlight w:val="none"/>
        </w:rPr>
        <w:t>义乌市政府采购合同（样本）</w:t>
      </w:r>
    </w:p>
    <w:p>
      <w:pPr>
        <w:shd w:val="clear"/>
        <w:spacing w:line="42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甲方：</w:t>
      </w:r>
      <w:r>
        <w:rPr>
          <w:rFonts w:hint="eastAsia" w:ascii="宋体" w:hAnsi="宋体" w:cs="宋体"/>
          <w:b/>
          <w:color w:val="auto"/>
          <w:kern w:val="0"/>
          <w:sz w:val="24"/>
          <w:highlight w:val="none"/>
          <w:u w:val="single"/>
        </w:rPr>
        <w:t>义乌市人民政府廿三里街道办事处</w:t>
      </w:r>
      <w:r>
        <w:rPr>
          <w:rFonts w:hint="eastAsia" w:ascii="宋体" w:hAnsi="宋体" w:cs="宋体"/>
          <w:b/>
          <w:color w:val="auto"/>
          <w:sz w:val="24"/>
          <w:highlight w:val="none"/>
          <w:u w:val="single"/>
        </w:rPr>
        <w:t xml:space="preserve">   </w:t>
      </w:r>
      <w:r>
        <w:rPr>
          <w:rFonts w:hint="eastAsia" w:ascii="宋体" w:hAnsi="宋体" w:cs="宋体"/>
          <w:color w:val="auto"/>
          <w:sz w:val="24"/>
          <w:highlight w:val="none"/>
        </w:rPr>
        <w:t xml:space="preserve">   </w:t>
      </w:r>
    </w:p>
    <w:p>
      <w:pPr>
        <w:shd w:val="clear"/>
        <w:spacing w:line="420" w:lineRule="exact"/>
        <w:ind w:firstLine="480" w:firstLineChars="200"/>
        <w:rPr>
          <w:rFonts w:ascii="宋体" w:hAnsi="宋体" w:cs="宋体"/>
          <w:color w:val="auto"/>
          <w:sz w:val="24"/>
          <w:highlight w:val="none"/>
          <w:u w:val="single"/>
        </w:rPr>
      </w:pPr>
      <w:r>
        <w:rPr>
          <w:rFonts w:hint="eastAsia" w:ascii="宋体" w:hAnsi="宋体" w:cs="宋体"/>
          <w:color w:val="auto"/>
          <w:sz w:val="24"/>
          <w:highlight w:val="none"/>
        </w:rPr>
        <w:t>乙方：</w:t>
      </w:r>
      <w:r>
        <w:rPr>
          <w:rFonts w:hint="eastAsia" w:ascii="宋体" w:hAnsi="宋体" w:cs="宋体"/>
          <w:color w:val="auto"/>
          <w:sz w:val="24"/>
          <w:highlight w:val="none"/>
          <w:u w:val="single"/>
        </w:rPr>
        <w:t xml:space="preserve"> </w:t>
      </w:r>
    </w:p>
    <w:p>
      <w:pPr>
        <w:pStyle w:val="13"/>
        <w:shd w:val="clear"/>
        <w:spacing w:line="420" w:lineRule="exact"/>
        <w:ind w:firstLine="420"/>
        <w:rPr>
          <w:rFonts w:hAnsi="宋体" w:cs="宋体"/>
          <w:color w:val="auto"/>
          <w:sz w:val="24"/>
          <w:szCs w:val="24"/>
          <w:highlight w:val="none"/>
        </w:rPr>
      </w:pPr>
      <w:r>
        <w:rPr>
          <w:rFonts w:hint="eastAsia" w:hAnsi="宋体" w:cs="宋体"/>
          <w:color w:val="auto"/>
          <w:sz w:val="24"/>
          <w:szCs w:val="24"/>
          <w:highlight w:val="none"/>
        </w:rPr>
        <w:t>甲、乙双方根据</w:t>
      </w:r>
      <w:r>
        <w:rPr>
          <w:rFonts w:hint="eastAsia" w:hAnsi="宋体" w:cs="宋体"/>
          <w:color w:val="auto"/>
          <w:sz w:val="24"/>
          <w:szCs w:val="24"/>
          <w:highlight w:val="none"/>
          <w:u w:val="single"/>
        </w:rPr>
        <w:t>　　　</w:t>
      </w:r>
      <w:r>
        <w:rPr>
          <w:rFonts w:hint="eastAsia" w:hAnsi="宋体" w:cs="宋体"/>
          <w:color w:val="auto"/>
          <w:sz w:val="24"/>
          <w:szCs w:val="24"/>
          <w:highlight w:val="none"/>
        </w:rPr>
        <w:t>年</w:t>
      </w:r>
      <w:r>
        <w:rPr>
          <w:rFonts w:hint="eastAsia" w:hAnsi="宋体" w:cs="宋体"/>
          <w:color w:val="auto"/>
          <w:sz w:val="24"/>
          <w:szCs w:val="24"/>
          <w:highlight w:val="none"/>
          <w:u w:val="single"/>
        </w:rPr>
        <w:t>　</w:t>
      </w:r>
      <w:r>
        <w:rPr>
          <w:rFonts w:hint="eastAsia" w:hAnsi="宋体" w:cs="宋体"/>
          <w:color w:val="auto"/>
          <w:sz w:val="24"/>
          <w:szCs w:val="24"/>
          <w:highlight w:val="none"/>
        </w:rPr>
        <w:t>月</w:t>
      </w:r>
      <w:r>
        <w:rPr>
          <w:rFonts w:hint="eastAsia" w:hAnsi="宋体" w:cs="宋体"/>
          <w:color w:val="auto"/>
          <w:sz w:val="24"/>
          <w:szCs w:val="24"/>
          <w:highlight w:val="none"/>
          <w:u w:val="single"/>
        </w:rPr>
        <w:t>　　</w:t>
      </w:r>
      <w:r>
        <w:rPr>
          <w:rFonts w:hint="eastAsia" w:hAnsi="宋体" w:cs="宋体"/>
          <w:color w:val="auto"/>
          <w:sz w:val="24"/>
          <w:szCs w:val="24"/>
          <w:highlight w:val="none"/>
        </w:rPr>
        <w:t>日义乌市</w:t>
      </w:r>
      <w:r>
        <w:rPr>
          <w:rFonts w:hint="eastAsia" w:hAnsi="宋体" w:cs="宋体"/>
          <w:color w:val="auto"/>
          <w:sz w:val="24"/>
          <w:szCs w:val="24"/>
          <w:highlight w:val="none"/>
          <w:u w:val="single"/>
        </w:rPr>
        <w:t>　　　　　　       　　　　　</w:t>
      </w:r>
      <w:r>
        <w:rPr>
          <w:rFonts w:hint="eastAsia" w:hAnsi="宋体" w:cs="宋体"/>
          <w:color w:val="auto"/>
          <w:sz w:val="24"/>
          <w:szCs w:val="24"/>
          <w:highlight w:val="none"/>
        </w:rPr>
        <w:t>项目（</w:t>
      </w:r>
      <w:r>
        <w:rPr>
          <w:rFonts w:hint="eastAsia" w:hAnsi="宋体" w:cs="宋体"/>
          <w:color w:val="auto"/>
          <w:sz w:val="24"/>
          <w:szCs w:val="24"/>
          <w:highlight w:val="none"/>
          <w:u w:val="single"/>
        </w:rPr>
        <w:t xml:space="preserve">采购编号：                 </w:t>
      </w:r>
      <w:r>
        <w:rPr>
          <w:rFonts w:hint="eastAsia" w:hAnsi="宋体" w:cs="宋体"/>
          <w:color w:val="auto"/>
          <w:sz w:val="24"/>
          <w:szCs w:val="24"/>
          <w:highlight w:val="none"/>
        </w:rPr>
        <w:t>）招标结果和采购文件的要求，并经双方协调一致，订立本采购合同。本合同（□是 □否）为可融资合同。</w:t>
      </w:r>
    </w:p>
    <w:p>
      <w:pPr>
        <w:shd w:val="clear"/>
        <w:snapToGrid w:val="0"/>
        <w:spacing w:line="440" w:lineRule="exact"/>
        <w:ind w:firstLine="482" w:firstLineChars="200"/>
        <w:textAlignment w:val="baseline"/>
        <w:rPr>
          <w:rFonts w:ascii="宋体" w:hAnsi="宋体" w:cs="宋体"/>
          <w:b/>
          <w:bCs/>
          <w:color w:val="auto"/>
          <w:sz w:val="24"/>
          <w:highlight w:val="none"/>
        </w:rPr>
      </w:pPr>
      <w:r>
        <w:rPr>
          <w:rFonts w:hint="eastAsia" w:ascii="宋体" w:hAnsi="宋体" w:cs="宋体"/>
          <w:b/>
          <w:bCs/>
          <w:color w:val="auto"/>
          <w:sz w:val="24"/>
          <w:highlight w:val="none"/>
        </w:rPr>
        <w:t>一、合同文件组成</w:t>
      </w:r>
    </w:p>
    <w:p>
      <w:pPr>
        <w:shd w:val="clear"/>
        <w:snapToGrid w:val="0"/>
        <w:spacing w:line="440" w:lineRule="exact"/>
        <w:ind w:firstLine="480" w:firstLineChars="200"/>
        <w:textAlignment w:val="baseline"/>
        <w:rPr>
          <w:rFonts w:ascii="宋体" w:hAnsi="宋体" w:cs="宋体"/>
          <w:color w:val="auto"/>
          <w:sz w:val="24"/>
          <w:highlight w:val="none"/>
        </w:rPr>
      </w:pPr>
      <w:r>
        <w:rPr>
          <w:rFonts w:hint="eastAsia" w:ascii="宋体" w:hAnsi="宋体" w:cs="宋体"/>
          <w:color w:val="auto"/>
          <w:sz w:val="24"/>
          <w:highlight w:val="none"/>
        </w:rPr>
        <w:t>采购文件及其补充文件、询标承诺、询疑答复、投标响应文件、双方来函。合同文件组成的所有内容是构成合同不可分割的部分，与合同具有同等法律效力。</w:t>
      </w:r>
    </w:p>
    <w:p>
      <w:pPr>
        <w:shd w:val="clear"/>
        <w:spacing w:line="440" w:lineRule="exact"/>
        <w:ind w:firstLine="482" w:firstLineChars="200"/>
        <w:jc w:val="left"/>
        <w:rPr>
          <w:rFonts w:ascii="宋体" w:hAnsi="宋体" w:cs="宋体"/>
          <w:b/>
          <w:bCs/>
          <w:color w:val="auto"/>
          <w:sz w:val="24"/>
          <w:highlight w:val="none"/>
        </w:rPr>
      </w:pPr>
      <w:r>
        <w:rPr>
          <w:rFonts w:hint="eastAsia" w:ascii="宋体" w:hAnsi="宋体" w:cs="宋体"/>
          <w:b/>
          <w:bCs/>
          <w:color w:val="auto"/>
          <w:sz w:val="24"/>
          <w:highlight w:val="none"/>
        </w:rPr>
        <w:t>二、服务内容及要求:</w:t>
      </w:r>
    </w:p>
    <w:p>
      <w:pPr>
        <w:shd w:val="clear"/>
        <w:spacing w:line="440" w:lineRule="exact"/>
        <w:ind w:firstLine="482" w:firstLineChars="200"/>
        <w:rPr>
          <w:rFonts w:ascii="宋体" w:hAnsi="宋体" w:cs="宋体"/>
          <w:color w:val="auto"/>
          <w:sz w:val="24"/>
          <w:highlight w:val="none"/>
        </w:rPr>
      </w:pPr>
      <w:r>
        <w:rPr>
          <w:rFonts w:hint="eastAsia" w:ascii="宋体" w:hAnsi="宋体" w:cs="宋体"/>
          <w:b/>
          <w:bCs/>
          <w:color w:val="auto"/>
          <w:sz w:val="24"/>
          <w:highlight w:val="none"/>
        </w:rPr>
        <w:t>1.承包范围：</w:t>
      </w:r>
      <w:r>
        <w:rPr>
          <w:rFonts w:hint="eastAsia" w:ascii="宋体" w:hAnsi="宋体" w:cs="宋体"/>
          <w:bCs/>
          <w:color w:val="auto"/>
          <w:sz w:val="24"/>
          <w:highlight w:val="none"/>
          <w:u w:val="none"/>
        </w:rPr>
        <w:t>按采购文件内容。</w:t>
      </w:r>
    </w:p>
    <w:p>
      <w:pPr>
        <w:shd w:val="clear"/>
        <w:spacing w:line="440" w:lineRule="exact"/>
        <w:ind w:firstLine="482" w:firstLineChars="200"/>
        <w:rPr>
          <w:rFonts w:ascii="宋体" w:hAnsi="宋体" w:cs="宋体"/>
          <w:b/>
          <w:color w:val="auto"/>
          <w:sz w:val="24"/>
          <w:highlight w:val="none"/>
        </w:rPr>
      </w:pPr>
      <w:r>
        <w:rPr>
          <w:rFonts w:hint="eastAsia" w:ascii="宋体" w:hAnsi="宋体" w:cs="宋体"/>
          <w:b/>
          <w:bCs/>
          <w:color w:val="auto"/>
          <w:sz w:val="24"/>
          <w:highlight w:val="none"/>
        </w:rPr>
        <w:t>2.承包方式：</w:t>
      </w:r>
    </w:p>
    <w:p>
      <w:pPr>
        <w:shd w:val="clear"/>
        <w:spacing w:line="440" w:lineRule="exact"/>
        <w:ind w:firstLine="480" w:firstLineChars="200"/>
        <w:rPr>
          <w:rFonts w:ascii="宋体" w:hAnsi="宋体" w:cs="宋体"/>
          <w:color w:val="auto"/>
          <w:sz w:val="24"/>
          <w:highlight w:val="none"/>
          <w:u w:val="none"/>
        </w:rPr>
      </w:pPr>
      <w:r>
        <w:rPr>
          <w:rFonts w:hint="eastAsia" w:ascii="宋体" w:hAnsi="宋体" w:cs="宋体"/>
          <w:color w:val="auto"/>
          <w:sz w:val="24"/>
          <w:highlight w:val="none"/>
          <w:u w:val="none"/>
        </w:rPr>
        <w:t>本项目承包方式在约定范围内实行单价固定、包货物量、包安装、包供货安装时间、包维修、包质量、包安全、包文明施工管理的承包方式。</w:t>
      </w:r>
    </w:p>
    <w:p>
      <w:pPr>
        <w:shd w:val="clear"/>
        <w:spacing w:line="440" w:lineRule="exact"/>
        <w:ind w:firstLine="482" w:firstLineChars="200"/>
        <w:rPr>
          <w:rFonts w:ascii="宋体" w:hAnsi="宋体" w:cs="宋体"/>
          <w:b/>
          <w:color w:val="auto"/>
          <w:sz w:val="24"/>
          <w:highlight w:val="none"/>
        </w:rPr>
      </w:pPr>
      <w:r>
        <w:rPr>
          <w:rFonts w:hint="eastAsia" w:ascii="宋体" w:hAnsi="宋体" w:cs="宋体"/>
          <w:b/>
          <w:color w:val="auto"/>
          <w:sz w:val="24"/>
          <w:highlight w:val="none"/>
        </w:rPr>
        <w:t>3.工期要求</w:t>
      </w:r>
    </w:p>
    <w:p>
      <w:pPr>
        <w:shd w:val="clear"/>
        <w:spacing w:line="440" w:lineRule="exact"/>
        <w:ind w:firstLine="480" w:firstLineChars="200"/>
        <w:rPr>
          <w:rFonts w:ascii="宋体" w:hAnsi="宋体" w:cs="宋体"/>
          <w:color w:val="auto"/>
          <w:sz w:val="24"/>
          <w:highlight w:val="none"/>
          <w:u w:val="none"/>
        </w:rPr>
      </w:pPr>
      <w:r>
        <w:rPr>
          <w:rFonts w:hint="eastAsia" w:ascii="宋体" w:hAnsi="宋体" w:cs="宋体"/>
          <w:color w:val="auto"/>
          <w:sz w:val="24"/>
          <w:highlight w:val="none"/>
          <w:u w:val="none"/>
        </w:rPr>
        <w:t>3.1货物供应及安装完成时间</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none"/>
        </w:rPr>
        <w:t>。</w:t>
      </w:r>
    </w:p>
    <w:p>
      <w:pPr>
        <w:shd w:val="clear"/>
        <w:autoSpaceDE w:val="0"/>
        <w:autoSpaceDN w:val="0"/>
        <w:adjustRightInd w:val="0"/>
        <w:spacing w:line="440" w:lineRule="exact"/>
        <w:ind w:firstLine="480" w:firstLineChars="200"/>
        <w:rPr>
          <w:rFonts w:ascii="宋体" w:hAnsi="宋体" w:cs="宋体"/>
          <w:bCs/>
          <w:color w:val="auto"/>
          <w:sz w:val="24"/>
          <w:highlight w:val="none"/>
          <w:u w:val="none"/>
        </w:rPr>
      </w:pPr>
      <w:r>
        <w:rPr>
          <w:rFonts w:hint="eastAsia" w:ascii="宋体" w:hAnsi="宋体" w:cs="宋体"/>
          <w:color w:val="auto"/>
          <w:sz w:val="24"/>
          <w:highlight w:val="none"/>
          <w:u w:val="none"/>
        </w:rPr>
        <w:t>3.2合同</w:t>
      </w:r>
      <w:r>
        <w:rPr>
          <w:rFonts w:hint="eastAsia" w:ascii="宋体" w:hAnsi="宋体" w:cs="宋体"/>
          <w:bCs/>
          <w:color w:val="auto"/>
          <w:sz w:val="24"/>
          <w:highlight w:val="none"/>
          <w:u w:val="none"/>
        </w:rPr>
        <w:t>供货安装时间</w:t>
      </w:r>
      <w:r>
        <w:rPr>
          <w:rFonts w:hint="eastAsia" w:ascii="宋体" w:hAnsi="宋体" w:cs="宋体"/>
          <w:color w:val="auto"/>
          <w:sz w:val="24"/>
          <w:highlight w:val="none"/>
          <w:u w:val="none"/>
        </w:rPr>
        <w:t>如遇下列情况，经甲方书面确认后，</w:t>
      </w:r>
      <w:r>
        <w:rPr>
          <w:rFonts w:hint="eastAsia" w:ascii="宋体" w:hAnsi="宋体" w:cs="宋体"/>
          <w:bCs/>
          <w:color w:val="auto"/>
          <w:sz w:val="24"/>
          <w:highlight w:val="none"/>
          <w:u w:val="none"/>
        </w:rPr>
        <w:t>供货安装时间</w:t>
      </w:r>
      <w:r>
        <w:rPr>
          <w:rFonts w:hint="eastAsia" w:ascii="宋体" w:hAnsi="宋体" w:cs="宋体"/>
          <w:color w:val="auto"/>
          <w:sz w:val="24"/>
          <w:highlight w:val="none"/>
          <w:u w:val="none"/>
        </w:rPr>
        <w:t>可相应顺延。</w:t>
      </w:r>
    </w:p>
    <w:p>
      <w:pPr>
        <w:shd w:val="clear"/>
        <w:autoSpaceDE w:val="0"/>
        <w:autoSpaceDN w:val="0"/>
        <w:adjustRightInd w:val="0"/>
        <w:spacing w:line="440" w:lineRule="exact"/>
        <w:ind w:firstLine="480" w:firstLineChars="200"/>
        <w:rPr>
          <w:rFonts w:ascii="宋体" w:hAnsi="宋体" w:cs="宋体"/>
          <w:color w:val="auto"/>
          <w:sz w:val="24"/>
          <w:highlight w:val="none"/>
          <w:u w:val="none"/>
        </w:rPr>
      </w:pPr>
      <w:r>
        <w:rPr>
          <w:rFonts w:hint="eastAsia" w:ascii="宋体" w:hAnsi="宋体" w:cs="宋体"/>
          <w:color w:val="auto"/>
          <w:sz w:val="24"/>
          <w:highlight w:val="none"/>
          <w:u w:val="none"/>
        </w:rPr>
        <w:t>3.2.1合同履行中发生重大变更而确实影响到供货安装进度（属乙方组织生产、安装等失误引起的供货安装进度滞后由乙方负责）。</w:t>
      </w:r>
    </w:p>
    <w:p>
      <w:pPr>
        <w:shd w:val="clear"/>
        <w:autoSpaceDE w:val="0"/>
        <w:autoSpaceDN w:val="0"/>
        <w:adjustRightInd w:val="0"/>
        <w:spacing w:line="440" w:lineRule="exact"/>
        <w:ind w:firstLine="480" w:firstLineChars="200"/>
        <w:rPr>
          <w:rFonts w:ascii="宋体" w:hAnsi="宋体" w:cs="宋体"/>
          <w:color w:val="auto"/>
          <w:sz w:val="24"/>
          <w:highlight w:val="none"/>
          <w:u w:val="none"/>
        </w:rPr>
      </w:pPr>
      <w:r>
        <w:rPr>
          <w:rFonts w:hint="eastAsia" w:ascii="宋体" w:hAnsi="宋体" w:cs="宋体"/>
          <w:color w:val="auto"/>
          <w:sz w:val="24"/>
          <w:highlight w:val="none"/>
          <w:u w:val="none"/>
        </w:rPr>
        <w:t>3.2.2不可抗力因素。</w:t>
      </w:r>
    </w:p>
    <w:p>
      <w:pPr>
        <w:shd w:val="clear"/>
        <w:autoSpaceDE w:val="0"/>
        <w:autoSpaceDN w:val="0"/>
        <w:adjustRightInd w:val="0"/>
        <w:spacing w:line="440" w:lineRule="exact"/>
        <w:ind w:firstLine="480" w:firstLineChars="200"/>
        <w:rPr>
          <w:rFonts w:ascii="宋体" w:hAnsi="宋体" w:cs="宋体"/>
          <w:color w:val="auto"/>
          <w:sz w:val="24"/>
          <w:highlight w:val="none"/>
          <w:u w:val="none"/>
        </w:rPr>
      </w:pPr>
      <w:r>
        <w:rPr>
          <w:rFonts w:hint="eastAsia" w:ascii="宋体" w:hAnsi="宋体" w:cs="宋体"/>
          <w:color w:val="auto"/>
          <w:sz w:val="24"/>
          <w:highlight w:val="none"/>
          <w:u w:val="none"/>
        </w:rPr>
        <w:t>3.2.3非乙方原因而确实影响到供货安装进度的。</w:t>
      </w:r>
    </w:p>
    <w:p>
      <w:pPr>
        <w:shd w:val="clear"/>
        <w:autoSpaceDE w:val="0"/>
        <w:autoSpaceDN w:val="0"/>
        <w:adjustRightInd w:val="0"/>
        <w:spacing w:line="440" w:lineRule="exact"/>
        <w:ind w:firstLine="480" w:firstLineChars="200"/>
        <w:rPr>
          <w:rFonts w:ascii="宋体" w:hAnsi="宋体" w:cs="宋体"/>
          <w:color w:val="auto"/>
          <w:sz w:val="24"/>
          <w:highlight w:val="none"/>
          <w:u w:val="none"/>
        </w:rPr>
      </w:pPr>
      <w:r>
        <w:rPr>
          <w:rFonts w:hint="eastAsia" w:ascii="宋体" w:hAnsi="宋体" w:cs="宋体"/>
          <w:color w:val="auto"/>
          <w:sz w:val="24"/>
          <w:highlight w:val="none"/>
          <w:u w:val="none"/>
        </w:rPr>
        <w:t>除上述外，乙方不得以任何理由变更供货安装时间。</w:t>
      </w:r>
    </w:p>
    <w:p>
      <w:pPr>
        <w:shd w:val="clear"/>
        <w:autoSpaceDE w:val="0"/>
        <w:autoSpaceDN w:val="0"/>
        <w:adjustRightInd w:val="0"/>
        <w:spacing w:line="440" w:lineRule="exact"/>
        <w:ind w:firstLine="482" w:firstLineChars="200"/>
        <w:rPr>
          <w:rFonts w:ascii="宋体" w:hAnsi="宋体" w:cs="宋体"/>
          <w:b/>
          <w:bCs/>
          <w:color w:val="auto"/>
          <w:sz w:val="24"/>
          <w:highlight w:val="none"/>
        </w:rPr>
      </w:pPr>
      <w:r>
        <w:rPr>
          <w:rFonts w:hint="eastAsia" w:ascii="宋体" w:hAnsi="宋体" w:cs="宋体"/>
          <w:b/>
          <w:bCs/>
          <w:color w:val="auto"/>
          <w:sz w:val="24"/>
          <w:highlight w:val="none"/>
        </w:rPr>
        <w:t>4.技术要求</w:t>
      </w:r>
    </w:p>
    <w:p>
      <w:pPr>
        <w:shd w:val="clear"/>
        <w:autoSpaceDE w:val="0"/>
        <w:autoSpaceDN w:val="0"/>
        <w:adjustRightInd w:val="0"/>
        <w:spacing w:line="440" w:lineRule="exact"/>
        <w:ind w:firstLine="480" w:firstLineChars="200"/>
        <w:rPr>
          <w:rFonts w:ascii="宋体" w:hAnsi="宋体" w:cs="宋体"/>
          <w:color w:val="auto"/>
          <w:sz w:val="24"/>
          <w:highlight w:val="none"/>
          <w:u w:val="none"/>
        </w:rPr>
      </w:pPr>
      <w:r>
        <w:rPr>
          <w:rFonts w:hint="eastAsia" w:ascii="宋体" w:hAnsi="宋体" w:cs="宋体"/>
          <w:color w:val="auto"/>
          <w:sz w:val="24"/>
          <w:highlight w:val="none"/>
          <w:u w:val="none"/>
        </w:rPr>
        <w:t>4.1所有投标的货物、设施必须满足相应标准或使用要求。</w:t>
      </w:r>
    </w:p>
    <w:p>
      <w:pPr>
        <w:shd w:val="clear"/>
        <w:autoSpaceDE w:val="0"/>
        <w:autoSpaceDN w:val="0"/>
        <w:adjustRightInd w:val="0"/>
        <w:spacing w:line="440" w:lineRule="exact"/>
        <w:ind w:firstLine="480" w:firstLineChars="200"/>
        <w:rPr>
          <w:rFonts w:ascii="宋体" w:hAnsi="宋体" w:cs="宋体"/>
          <w:color w:val="auto"/>
          <w:sz w:val="24"/>
          <w:highlight w:val="none"/>
          <w:u w:val="none"/>
        </w:rPr>
      </w:pPr>
      <w:r>
        <w:rPr>
          <w:rFonts w:hint="eastAsia" w:ascii="宋体" w:hAnsi="宋体" w:cs="宋体"/>
          <w:color w:val="auto"/>
          <w:sz w:val="24"/>
          <w:highlight w:val="none"/>
          <w:u w:val="none"/>
        </w:rPr>
        <w:t>4.2项目应遵照国家的有关技术（验收）规程、规范、标准。</w:t>
      </w:r>
    </w:p>
    <w:p>
      <w:pPr>
        <w:shd w:val="clear"/>
        <w:autoSpaceDE w:val="0"/>
        <w:autoSpaceDN w:val="0"/>
        <w:adjustRightInd w:val="0"/>
        <w:spacing w:line="440" w:lineRule="exact"/>
        <w:ind w:firstLine="482" w:firstLineChars="200"/>
        <w:rPr>
          <w:rFonts w:ascii="宋体" w:hAnsi="宋体" w:cs="宋体"/>
          <w:b/>
          <w:bCs/>
          <w:color w:val="auto"/>
          <w:sz w:val="24"/>
          <w:highlight w:val="none"/>
        </w:rPr>
      </w:pPr>
      <w:r>
        <w:rPr>
          <w:rFonts w:hint="eastAsia" w:ascii="宋体" w:hAnsi="宋体" w:cs="宋体"/>
          <w:b/>
          <w:bCs/>
          <w:color w:val="auto"/>
          <w:sz w:val="24"/>
          <w:highlight w:val="none"/>
        </w:rPr>
        <w:t>5.质量要求</w:t>
      </w:r>
    </w:p>
    <w:p>
      <w:pPr>
        <w:shd w:val="clear"/>
        <w:spacing w:line="440" w:lineRule="exact"/>
        <w:ind w:firstLine="480" w:firstLineChars="200"/>
        <w:rPr>
          <w:rFonts w:ascii="宋体" w:hAnsi="宋体" w:cs="宋体"/>
          <w:b w:val="0"/>
          <w:bCs w:val="0"/>
          <w:color w:val="auto"/>
          <w:sz w:val="24"/>
          <w:highlight w:val="none"/>
          <w:u w:val="none"/>
        </w:rPr>
      </w:pPr>
      <w:r>
        <w:rPr>
          <w:rFonts w:hint="eastAsia" w:ascii="宋体" w:hAnsi="宋体" w:cs="宋体"/>
          <w:b w:val="0"/>
          <w:bCs w:val="0"/>
          <w:color w:val="auto"/>
          <w:sz w:val="24"/>
          <w:highlight w:val="none"/>
          <w:u w:val="none"/>
        </w:rPr>
        <w:t>5.1合格，且必须符合本</w:t>
      </w:r>
      <w:r>
        <w:rPr>
          <w:rFonts w:hint="eastAsia" w:ascii="宋体" w:hAnsi="宋体" w:cs="宋体"/>
          <w:b w:val="0"/>
          <w:bCs w:val="0"/>
          <w:color w:val="auto"/>
          <w:sz w:val="24"/>
          <w:highlight w:val="none"/>
          <w:u w:val="none"/>
          <w:lang w:val="en-US" w:eastAsia="zh-CN"/>
        </w:rPr>
        <w:t>招标文件要求</w:t>
      </w:r>
      <w:r>
        <w:rPr>
          <w:rFonts w:hint="eastAsia" w:ascii="宋体" w:hAnsi="宋体" w:cs="宋体"/>
          <w:b w:val="0"/>
          <w:bCs w:val="0"/>
          <w:color w:val="auto"/>
          <w:sz w:val="24"/>
          <w:highlight w:val="none"/>
          <w:u w:val="none"/>
        </w:rPr>
        <w:t>所有条款要求。</w:t>
      </w:r>
    </w:p>
    <w:p>
      <w:pPr>
        <w:shd w:val="clear"/>
        <w:autoSpaceDE w:val="0"/>
        <w:autoSpaceDN w:val="0"/>
        <w:adjustRightInd w:val="0"/>
        <w:spacing w:line="440" w:lineRule="exact"/>
        <w:ind w:firstLine="482" w:firstLineChars="200"/>
        <w:rPr>
          <w:rFonts w:ascii="宋体" w:hAnsi="宋体" w:cs="宋体"/>
          <w:b/>
          <w:bCs/>
          <w:color w:val="auto"/>
          <w:sz w:val="24"/>
          <w:highlight w:val="none"/>
          <w:u w:val="none"/>
        </w:rPr>
      </w:pPr>
      <w:r>
        <w:rPr>
          <w:rFonts w:hint="eastAsia" w:ascii="宋体" w:hAnsi="宋体" w:cs="宋体"/>
          <w:b/>
          <w:bCs/>
          <w:color w:val="auto"/>
          <w:sz w:val="24"/>
          <w:highlight w:val="none"/>
          <w:u w:val="none"/>
        </w:rPr>
        <w:t>6.乙方必须严格按照项目技术要求进行安装，并接受甲方的监督管理。</w:t>
      </w:r>
    </w:p>
    <w:p>
      <w:pPr>
        <w:shd w:val="clear"/>
        <w:spacing w:line="360" w:lineRule="auto"/>
        <w:ind w:firstLine="482" w:firstLineChars="200"/>
        <w:jc w:val="left"/>
        <w:rPr>
          <w:rFonts w:ascii="宋体" w:hAnsi="宋体" w:cs="宋体"/>
          <w:b/>
          <w:bCs/>
          <w:color w:val="auto"/>
          <w:sz w:val="24"/>
          <w:highlight w:val="none"/>
        </w:rPr>
      </w:pPr>
      <w:r>
        <w:rPr>
          <w:rFonts w:hint="eastAsia" w:ascii="宋体" w:hAnsi="宋体" w:cs="宋体"/>
          <w:b/>
          <w:bCs/>
          <w:color w:val="auto"/>
          <w:sz w:val="24"/>
          <w:highlight w:val="none"/>
        </w:rPr>
        <w:t>7.培训保修</w:t>
      </w:r>
    </w:p>
    <w:p>
      <w:pPr>
        <w:shd w:val="clear"/>
        <w:autoSpaceDE w:val="0"/>
        <w:autoSpaceDN w:val="0"/>
        <w:adjustRightInd w:val="0"/>
        <w:spacing w:line="440" w:lineRule="exact"/>
        <w:ind w:firstLine="480" w:firstLineChars="200"/>
        <w:rPr>
          <w:rFonts w:ascii="宋体" w:hAnsi="宋体" w:cs="宋体"/>
          <w:color w:val="auto"/>
          <w:sz w:val="24"/>
          <w:highlight w:val="none"/>
          <w:u w:val="none"/>
        </w:rPr>
      </w:pPr>
      <w:r>
        <w:rPr>
          <w:rFonts w:hint="eastAsia" w:ascii="宋体" w:hAnsi="宋体" w:cs="宋体"/>
          <w:color w:val="auto"/>
          <w:sz w:val="24"/>
          <w:highlight w:val="none"/>
          <w:u w:val="none"/>
        </w:rPr>
        <w:t>7.1在项目组织验收之前，应完成对甲方不少于2名操作人员的培训（提供完整的技术培训，使甲方今后能自行操作、维护）。</w:t>
      </w:r>
    </w:p>
    <w:p>
      <w:pPr>
        <w:shd w:val="clear"/>
        <w:autoSpaceDE w:val="0"/>
        <w:autoSpaceDN w:val="0"/>
        <w:adjustRightInd w:val="0"/>
        <w:spacing w:line="440" w:lineRule="exact"/>
        <w:ind w:firstLine="480" w:firstLineChars="200"/>
        <w:rPr>
          <w:rFonts w:ascii="宋体" w:hAnsi="宋体" w:cs="宋体"/>
          <w:color w:val="auto"/>
          <w:sz w:val="24"/>
          <w:highlight w:val="none"/>
          <w:u w:val="none"/>
        </w:rPr>
      </w:pPr>
      <w:r>
        <w:rPr>
          <w:rFonts w:hint="eastAsia" w:ascii="宋体" w:hAnsi="宋体" w:cs="宋体"/>
          <w:color w:val="auto"/>
          <w:sz w:val="24"/>
          <w:highlight w:val="none"/>
          <w:u w:val="none"/>
        </w:rPr>
        <w:t>7.2乙方应分别提供称职的指导人员，为甲方确定的培训人员在现场提供操作和维护培训。</w:t>
      </w:r>
    </w:p>
    <w:p>
      <w:pPr>
        <w:shd w:val="clear"/>
        <w:autoSpaceDE w:val="0"/>
        <w:autoSpaceDN w:val="0"/>
        <w:adjustRightInd w:val="0"/>
        <w:spacing w:line="440" w:lineRule="exact"/>
        <w:ind w:firstLine="480" w:firstLineChars="200"/>
        <w:rPr>
          <w:rFonts w:ascii="宋体" w:hAnsi="宋体" w:cs="宋体"/>
          <w:color w:val="auto"/>
          <w:sz w:val="24"/>
          <w:highlight w:val="none"/>
          <w:u w:val="none"/>
        </w:rPr>
      </w:pPr>
      <w:r>
        <w:rPr>
          <w:rFonts w:hint="eastAsia" w:ascii="宋体" w:hAnsi="宋体" w:cs="宋体"/>
          <w:color w:val="auto"/>
          <w:sz w:val="24"/>
          <w:highlight w:val="none"/>
          <w:u w:val="none"/>
        </w:rPr>
        <w:t>7.3乙方应编写培训手册并取得甲方同意，本手册应是根据本项目的货物，在有关测试、操作及维护方面，对人员的培训和指导提供全面的培训手册，每种手册提供六套。如果需要，甲方有权对其进行复印。</w:t>
      </w:r>
    </w:p>
    <w:p>
      <w:pPr>
        <w:shd w:val="clear"/>
        <w:autoSpaceDE w:val="0"/>
        <w:autoSpaceDN w:val="0"/>
        <w:adjustRightInd w:val="0"/>
        <w:spacing w:line="440" w:lineRule="exact"/>
        <w:ind w:firstLine="480" w:firstLineChars="200"/>
        <w:rPr>
          <w:rFonts w:ascii="宋体" w:hAnsi="宋体" w:cs="宋体"/>
          <w:color w:val="auto"/>
          <w:sz w:val="24"/>
          <w:highlight w:val="none"/>
          <w:u w:val="none"/>
        </w:rPr>
      </w:pPr>
      <w:r>
        <w:rPr>
          <w:rFonts w:hint="eastAsia" w:ascii="宋体" w:hAnsi="宋体" w:cs="宋体"/>
          <w:color w:val="auto"/>
          <w:sz w:val="24"/>
          <w:highlight w:val="none"/>
          <w:u w:val="none"/>
        </w:rPr>
        <w:t>7.4乙方应对甲方提供全面的技术和维护咨询。</w:t>
      </w:r>
    </w:p>
    <w:p>
      <w:pPr>
        <w:shd w:val="clear"/>
        <w:autoSpaceDE w:val="0"/>
        <w:autoSpaceDN w:val="0"/>
        <w:adjustRightInd w:val="0"/>
        <w:spacing w:line="440" w:lineRule="exact"/>
        <w:ind w:firstLine="480" w:firstLineChars="200"/>
        <w:rPr>
          <w:rFonts w:ascii="宋体" w:hAnsi="宋体" w:cs="宋体"/>
          <w:color w:val="auto"/>
          <w:sz w:val="24"/>
          <w:highlight w:val="none"/>
          <w:u w:val="none"/>
        </w:rPr>
      </w:pPr>
      <w:r>
        <w:rPr>
          <w:rFonts w:hint="eastAsia" w:ascii="宋体" w:hAnsi="宋体" w:cs="宋体"/>
          <w:color w:val="auto"/>
          <w:sz w:val="24"/>
          <w:highlight w:val="none"/>
          <w:u w:val="none"/>
        </w:rPr>
        <w:t>7.5本项目的质保期为验收合格之日起</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u w:val="none"/>
        </w:rPr>
        <w:t>年，货物在</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u w:val="none"/>
        </w:rPr>
        <w:t>年内损坏的（非人为造成）由乙方全权负责，如造成甲方相应的经济损失由乙方承担。</w:t>
      </w:r>
    </w:p>
    <w:p>
      <w:pPr>
        <w:shd w:val="clear"/>
        <w:autoSpaceDE w:val="0"/>
        <w:autoSpaceDN w:val="0"/>
        <w:adjustRightInd w:val="0"/>
        <w:spacing w:line="440" w:lineRule="exact"/>
        <w:ind w:firstLine="482" w:firstLineChars="200"/>
        <w:rPr>
          <w:rFonts w:ascii="宋体" w:hAnsi="宋体" w:cs="宋体"/>
          <w:b/>
          <w:color w:val="auto"/>
          <w:sz w:val="24"/>
          <w:highlight w:val="none"/>
        </w:rPr>
      </w:pPr>
      <w:r>
        <w:rPr>
          <w:rFonts w:hint="eastAsia" w:ascii="宋体" w:hAnsi="宋体" w:cs="宋体"/>
          <w:b/>
          <w:color w:val="auto"/>
          <w:sz w:val="24"/>
          <w:highlight w:val="none"/>
        </w:rPr>
        <w:t>8.货物的供应</w:t>
      </w:r>
    </w:p>
    <w:p>
      <w:pPr>
        <w:shd w:val="clear"/>
        <w:autoSpaceDE w:val="0"/>
        <w:autoSpaceDN w:val="0"/>
        <w:adjustRightInd w:val="0"/>
        <w:spacing w:line="440" w:lineRule="exact"/>
        <w:ind w:firstLine="480" w:firstLineChars="200"/>
        <w:rPr>
          <w:rFonts w:ascii="宋体" w:hAnsi="宋体" w:cs="宋体"/>
          <w:color w:val="auto"/>
          <w:sz w:val="24"/>
          <w:highlight w:val="none"/>
          <w:u w:val="none"/>
        </w:rPr>
      </w:pPr>
      <w:r>
        <w:rPr>
          <w:rFonts w:hint="eastAsia" w:ascii="宋体" w:hAnsi="宋体" w:cs="宋体"/>
          <w:color w:val="auto"/>
          <w:sz w:val="24"/>
          <w:highlight w:val="none"/>
          <w:u w:val="none"/>
        </w:rPr>
        <w:t>8.1按采购文件内容和要求；</w:t>
      </w:r>
    </w:p>
    <w:p>
      <w:pPr>
        <w:shd w:val="clear"/>
        <w:autoSpaceDE w:val="0"/>
        <w:autoSpaceDN w:val="0"/>
        <w:adjustRightInd w:val="0"/>
        <w:spacing w:line="440" w:lineRule="exact"/>
        <w:ind w:firstLine="480" w:firstLineChars="200"/>
        <w:rPr>
          <w:rFonts w:ascii="宋体" w:hAnsi="宋体" w:cs="宋体"/>
          <w:color w:val="auto"/>
          <w:sz w:val="24"/>
          <w:highlight w:val="none"/>
          <w:u w:val="none"/>
        </w:rPr>
      </w:pPr>
      <w:r>
        <w:rPr>
          <w:rFonts w:hint="eastAsia" w:ascii="宋体" w:hAnsi="宋体" w:cs="宋体"/>
          <w:color w:val="auto"/>
          <w:sz w:val="24"/>
          <w:highlight w:val="none"/>
          <w:u w:val="none"/>
        </w:rPr>
        <w:t>8.2 乙方必须经甲方确认后方可进行货物供应，擅自供应的货物甲方不予以认可</w:t>
      </w:r>
      <w:r>
        <w:rPr>
          <w:rFonts w:hint="eastAsia" w:ascii="宋体" w:hAnsi="宋体" w:cs="宋体"/>
          <w:b/>
          <w:color w:val="auto"/>
          <w:sz w:val="24"/>
          <w:highlight w:val="none"/>
          <w:u w:val="none"/>
        </w:rPr>
        <w:t>。</w:t>
      </w:r>
    </w:p>
    <w:p>
      <w:pPr>
        <w:shd w:val="clear"/>
        <w:autoSpaceDE w:val="0"/>
        <w:autoSpaceDN w:val="0"/>
        <w:adjustRightInd w:val="0"/>
        <w:spacing w:line="440" w:lineRule="exact"/>
        <w:ind w:firstLine="482" w:firstLineChars="200"/>
        <w:rPr>
          <w:rFonts w:ascii="宋体" w:hAnsi="宋体" w:cs="宋体"/>
          <w:b/>
          <w:color w:val="auto"/>
          <w:sz w:val="24"/>
          <w:highlight w:val="none"/>
        </w:rPr>
      </w:pPr>
      <w:r>
        <w:rPr>
          <w:rFonts w:hint="eastAsia" w:ascii="宋体" w:hAnsi="宋体" w:cs="宋体"/>
          <w:b/>
          <w:color w:val="auto"/>
          <w:sz w:val="24"/>
          <w:highlight w:val="none"/>
        </w:rPr>
        <w:t>9.货物、安装款的支付</w:t>
      </w:r>
    </w:p>
    <w:p>
      <w:pPr>
        <w:shd w:val="clear"/>
        <w:autoSpaceDE w:val="0"/>
        <w:autoSpaceDN w:val="0"/>
        <w:adjustRightInd w:val="0"/>
        <w:spacing w:line="440" w:lineRule="exact"/>
        <w:ind w:firstLine="480"/>
        <w:rPr>
          <w:rFonts w:ascii="宋体" w:hAnsi="宋体" w:cs="宋体"/>
          <w:color w:val="auto"/>
          <w:sz w:val="24"/>
          <w:highlight w:val="none"/>
          <w:u w:val="none"/>
          <w:lang w:val="zh-CN"/>
        </w:rPr>
      </w:pPr>
      <w:r>
        <w:rPr>
          <w:rFonts w:hint="eastAsia" w:ascii="宋体" w:hAnsi="宋体" w:cs="宋体"/>
          <w:color w:val="auto"/>
          <w:sz w:val="24"/>
          <w:highlight w:val="none"/>
          <w:u w:val="none"/>
        </w:rPr>
        <w:t>9.1</w:t>
      </w:r>
      <w:r>
        <w:rPr>
          <w:rFonts w:hint="eastAsia" w:ascii="宋体" w:hAnsi="宋体" w:cs="宋体"/>
          <w:color w:val="auto"/>
          <w:sz w:val="24"/>
          <w:highlight w:val="none"/>
          <w:u w:val="none"/>
          <w:lang w:val="zh-CN"/>
        </w:rPr>
        <w:t>改造后的亮度不低于改造前亮度的前提下，达到样板区的节电效果（灯具验收技术参数见附件设计）；</w:t>
      </w:r>
    </w:p>
    <w:p>
      <w:pPr>
        <w:shd w:val="clear"/>
        <w:autoSpaceDE w:val="0"/>
        <w:autoSpaceDN w:val="0"/>
        <w:adjustRightInd w:val="0"/>
        <w:spacing w:line="440" w:lineRule="exact"/>
        <w:ind w:firstLine="480" w:firstLineChars="200"/>
        <w:rPr>
          <w:rFonts w:ascii="宋体" w:hAnsi="宋体" w:cs="宋体"/>
          <w:color w:val="auto"/>
          <w:sz w:val="24"/>
          <w:highlight w:val="none"/>
          <w:u w:val="none"/>
          <w:lang w:val="zh-CN"/>
        </w:rPr>
      </w:pPr>
      <w:r>
        <w:rPr>
          <w:rFonts w:hint="eastAsia" w:ascii="宋体" w:hAnsi="宋体" w:cs="宋体"/>
          <w:color w:val="auto"/>
          <w:sz w:val="24"/>
          <w:highlight w:val="none"/>
          <w:u w:val="none"/>
          <w:lang w:val="zh-CN"/>
        </w:rPr>
        <w:t>9.2项目建设完工后一个月内由</w:t>
      </w:r>
      <w:r>
        <w:rPr>
          <w:rFonts w:hint="eastAsia" w:ascii="宋体" w:hAnsi="宋体" w:cs="宋体"/>
          <w:color w:val="auto"/>
          <w:sz w:val="24"/>
          <w:highlight w:val="none"/>
          <w:u w:val="none"/>
        </w:rPr>
        <w:t>甲方</w:t>
      </w:r>
      <w:r>
        <w:rPr>
          <w:rFonts w:hint="eastAsia" w:ascii="宋体" w:hAnsi="宋体" w:cs="宋体"/>
          <w:color w:val="auto"/>
          <w:sz w:val="24"/>
          <w:highlight w:val="none"/>
          <w:u w:val="none"/>
          <w:lang w:val="zh-CN"/>
        </w:rPr>
        <w:t>组织验收，验收内容主要包括：灯具改造数量、安装的灯具是否与样品相符、路灯照度是否达到国家标准。</w:t>
      </w:r>
    </w:p>
    <w:p>
      <w:pPr>
        <w:shd w:val="clear"/>
        <w:autoSpaceDE w:val="0"/>
        <w:autoSpaceDN w:val="0"/>
        <w:adjustRightInd w:val="0"/>
        <w:spacing w:line="440" w:lineRule="exact"/>
        <w:ind w:firstLine="480" w:firstLineChars="200"/>
        <w:rPr>
          <w:rFonts w:hint="eastAsia" w:ascii="宋体" w:hAnsi="宋体" w:cs="宋体"/>
          <w:color w:val="auto"/>
          <w:sz w:val="24"/>
          <w:highlight w:val="none"/>
          <w:u w:val="none"/>
          <w:lang w:val="en-US" w:eastAsia="zh-CN"/>
        </w:rPr>
      </w:pPr>
      <w:r>
        <w:rPr>
          <w:rFonts w:hint="eastAsia" w:ascii="宋体" w:hAnsi="宋体" w:cs="宋体"/>
          <w:color w:val="auto"/>
          <w:sz w:val="24"/>
          <w:highlight w:val="none"/>
          <w:u w:val="none"/>
          <w:lang w:val="zh-CN"/>
        </w:rPr>
        <w:t>9.</w:t>
      </w:r>
      <w:r>
        <w:rPr>
          <w:rFonts w:hint="eastAsia" w:ascii="宋体" w:hAnsi="宋体" w:cs="宋体"/>
          <w:color w:val="auto"/>
          <w:sz w:val="24"/>
          <w:highlight w:val="none"/>
          <w:u w:val="none"/>
          <w:lang w:val="en-US" w:eastAsia="zh-CN"/>
        </w:rPr>
        <w:t>3付款方式：合同签订后7个工作日内支付第一年合同金额的40%作为预付款；（在签订合同时，中标人明确表示无需预付款或者主动要求降低预付款比例的，采购人可进行相应调整）</w:t>
      </w:r>
    </w:p>
    <w:p>
      <w:pPr>
        <w:shd w:val="clear"/>
        <w:autoSpaceDE w:val="0"/>
        <w:autoSpaceDN w:val="0"/>
        <w:adjustRightInd w:val="0"/>
        <w:spacing w:line="440" w:lineRule="exact"/>
        <w:ind w:firstLine="480" w:firstLineChars="200"/>
        <w:rPr>
          <w:rFonts w:hint="eastAsia" w:ascii="宋体" w:hAnsi="宋体" w:eastAsia="宋体" w:cs="宋体"/>
          <w:color w:val="auto"/>
          <w:sz w:val="24"/>
          <w:highlight w:val="none"/>
          <w:u w:val="none"/>
          <w:lang w:val="zh-CN" w:eastAsia="zh-CN"/>
        </w:rPr>
      </w:pPr>
      <w:r>
        <w:rPr>
          <w:rFonts w:hint="eastAsia" w:ascii="宋体" w:hAnsi="宋体" w:cs="宋体"/>
          <w:color w:val="auto"/>
          <w:sz w:val="24"/>
          <w:highlight w:val="none"/>
          <w:u w:val="none"/>
          <w:lang w:val="en-US" w:eastAsia="zh-CN"/>
        </w:rPr>
        <w:t>每季度结束后，甲方在收到乙方该季度服务发票（季度服务=总中标价1/12）后7个工作日内，向供应商指定账户支付该季度的托管费用。（第一年从第二季度开始支付，第二季度扣除预付款后，支付剩余应支付款项）</w:t>
      </w:r>
    </w:p>
    <w:p>
      <w:pPr>
        <w:shd w:val="clear"/>
        <w:autoSpaceDE w:val="0"/>
        <w:autoSpaceDN w:val="0"/>
        <w:adjustRightInd w:val="0"/>
        <w:spacing w:line="440" w:lineRule="exact"/>
        <w:ind w:firstLine="480" w:firstLineChars="200"/>
        <w:rPr>
          <w:rFonts w:ascii="宋体" w:hAnsi="宋体" w:cs="宋体"/>
          <w:color w:val="auto"/>
          <w:sz w:val="24"/>
          <w:highlight w:val="none"/>
          <w:u w:val="none"/>
          <w:lang w:val="zh-CN"/>
        </w:rPr>
      </w:pPr>
      <w:r>
        <w:rPr>
          <w:rFonts w:hint="eastAsia" w:ascii="宋体" w:hAnsi="宋体" w:cs="宋体"/>
          <w:color w:val="auto"/>
          <w:sz w:val="24"/>
          <w:highlight w:val="none"/>
          <w:u w:val="none"/>
          <w:lang w:val="zh-CN"/>
        </w:rPr>
        <w:t>9.5第三方检测的费用由甲方支付。</w:t>
      </w:r>
    </w:p>
    <w:p>
      <w:pPr>
        <w:shd w:val="clear"/>
        <w:autoSpaceDE w:val="0"/>
        <w:autoSpaceDN w:val="0"/>
        <w:adjustRightInd w:val="0"/>
        <w:spacing w:line="440" w:lineRule="exact"/>
        <w:ind w:firstLine="482" w:firstLineChars="200"/>
        <w:rPr>
          <w:rFonts w:ascii="宋体" w:hAnsi="宋体" w:cs="宋体"/>
          <w:b/>
          <w:color w:val="auto"/>
          <w:sz w:val="24"/>
          <w:highlight w:val="none"/>
        </w:rPr>
      </w:pPr>
      <w:r>
        <w:rPr>
          <w:rFonts w:hint="eastAsia" w:ascii="宋体" w:hAnsi="宋体" w:cs="宋体"/>
          <w:b/>
          <w:color w:val="auto"/>
          <w:sz w:val="24"/>
          <w:highlight w:val="none"/>
        </w:rPr>
        <w:t>10.</w:t>
      </w:r>
      <w:r>
        <w:rPr>
          <w:rFonts w:hint="eastAsia" w:ascii="宋体" w:hAnsi="宋体" w:cs="宋体"/>
          <w:b/>
          <w:bCs/>
          <w:color w:val="auto"/>
          <w:sz w:val="24"/>
          <w:highlight w:val="none"/>
        </w:rPr>
        <w:t>甲方职责</w:t>
      </w:r>
    </w:p>
    <w:p>
      <w:pPr>
        <w:shd w:val="clear"/>
        <w:autoSpaceDE w:val="0"/>
        <w:autoSpaceDN w:val="0"/>
        <w:adjustRightInd w:val="0"/>
        <w:spacing w:line="440" w:lineRule="exact"/>
        <w:ind w:firstLine="480" w:firstLineChars="200"/>
        <w:rPr>
          <w:rFonts w:ascii="宋体" w:hAnsi="宋体" w:cs="宋体"/>
          <w:color w:val="auto"/>
          <w:sz w:val="24"/>
          <w:highlight w:val="none"/>
          <w:u w:val="none"/>
        </w:rPr>
      </w:pPr>
      <w:r>
        <w:rPr>
          <w:rFonts w:hint="eastAsia" w:ascii="宋体" w:hAnsi="宋体" w:cs="宋体"/>
          <w:color w:val="auto"/>
          <w:sz w:val="24"/>
          <w:highlight w:val="none"/>
          <w:u w:val="none"/>
        </w:rPr>
        <w:t>10.1 甲方负责对货物质量、货物安装质量进度和合同执行进行监督检查。</w:t>
      </w:r>
    </w:p>
    <w:p>
      <w:pPr>
        <w:shd w:val="clear"/>
        <w:autoSpaceDE w:val="0"/>
        <w:autoSpaceDN w:val="0"/>
        <w:adjustRightInd w:val="0"/>
        <w:spacing w:line="440" w:lineRule="exact"/>
        <w:ind w:firstLine="480" w:firstLineChars="200"/>
        <w:rPr>
          <w:rFonts w:ascii="宋体" w:hAnsi="宋体" w:cs="宋体"/>
          <w:color w:val="auto"/>
          <w:sz w:val="24"/>
          <w:highlight w:val="none"/>
          <w:u w:val="none"/>
        </w:rPr>
      </w:pPr>
      <w:r>
        <w:rPr>
          <w:rFonts w:hint="eastAsia" w:ascii="宋体" w:hAnsi="宋体" w:cs="宋体"/>
          <w:color w:val="auto"/>
          <w:sz w:val="24"/>
          <w:highlight w:val="none"/>
          <w:u w:val="none"/>
        </w:rPr>
        <w:t>10.2 组织验收和结算。</w:t>
      </w:r>
    </w:p>
    <w:p>
      <w:pPr>
        <w:shd w:val="clear"/>
        <w:autoSpaceDE w:val="0"/>
        <w:autoSpaceDN w:val="0"/>
        <w:adjustRightInd w:val="0"/>
        <w:spacing w:line="440" w:lineRule="exact"/>
        <w:ind w:firstLine="482" w:firstLineChars="200"/>
        <w:rPr>
          <w:rFonts w:ascii="宋体" w:hAnsi="宋体" w:cs="宋体"/>
          <w:b/>
          <w:color w:val="auto"/>
          <w:sz w:val="24"/>
          <w:highlight w:val="none"/>
        </w:rPr>
      </w:pPr>
      <w:r>
        <w:rPr>
          <w:rFonts w:hint="eastAsia" w:ascii="宋体" w:hAnsi="宋体" w:cs="宋体"/>
          <w:b/>
          <w:color w:val="auto"/>
          <w:sz w:val="24"/>
          <w:highlight w:val="none"/>
        </w:rPr>
        <w:t>11.中标人职责</w:t>
      </w:r>
    </w:p>
    <w:p>
      <w:pPr>
        <w:shd w:val="clear"/>
        <w:autoSpaceDE w:val="0"/>
        <w:autoSpaceDN w:val="0"/>
        <w:adjustRightInd w:val="0"/>
        <w:spacing w:line="440" w:lineRule="exact"/>
        <w:ind w:firstLine="480" w:firstLineChars="200"/>
        <w:rPr>
          <w:rFonts w:ascii="宋体" w:hAnsi="宋体" w:cs="宋体"/>
          <w:color w:val="auto"/>
          <w:sz w:val="24"/>
          <w:highlight w:val="none"/>
          <w:u w:val="none"/>
        </w:rPr>
      </w:pPr>
      <w:r>
        <w:rPr>
          <w:rFonts w:hint="eastAsia" w:ascii="宋体" w:hAnsi="宋体" w:cs="宋体"/>
          <w:color w:val="auto"/>
          <w:sz w:val="24"/>
          <w:highlight w:val="none"/>
          <w:u w:val="none"/>
        </w:rPr>
        <w:t>11.1 供货前，乙方应熟悉安装现场环境及做好其他各项准备工作，费用由乙方自理。</w:t>
      </w:r>
    </w:p>
    <w:p>
      <w:pPr>
        <w:shd w:val="clear"/>
        <w:autoSpaceDE w:val="0"/>
        <w:autoSpaceDN w:val="0"/>
        <w:adjustRightInd w:val="0"/>
        <w:spacing w:line="440" w:lineRule="exact"/>
        <w:ind w:firstLine="480" w:firstLineChars="200"/>
        <w:rPr>
          <w:rFonts w:ascii="宋体" w:hAnsi="宋体" w:cs="宋体"/>
          <w:color w:val="auto"/>
          <w:sz w:val="24"/>
          <w:highlight w:val="none"/>
          <w:u w:val="none"/>
        </w:rPr>
      </w:pPr>
      <w:r>
        <w:rPr>
          <w:rFonts w:hint="eastAsia" w:ascii="宋体" w:hAnsi="宋体" w:cs="宋体"/>
          <w:color w:val="auto"/>
          <w:sz w:val="24"/>
          <w:highlight w:val="none"/>
          <w:u w:val="none"/>
        </w:rPr>
        <w:t>11.2 在合同实施中，乙方应兑现投标书中的所有承诺。</w:t>
      </w:r>
    </w:p>
    <w:p>
      <w:pPr>
        <w:shd w:val="clear"/>
        <w:autoSpaceDE w:val="0"/>
        <w:autoSpaceDN w:val="0"/>
        <w:adjustRightInd w:val="0"/>
        <w:spacing w:line="440" w:lineRule="exact"/>
        <w:ind w:firstLine="480" w:firstLineChars="200"/>
        <w:rPr>
          <w:rFonts w:ascii="宋体" w:hAnsi="宋体" w:cs="宋体"/>
          <w:color w:val="auto"/>
          <w:sz w:val="24"/>
          <w:highlight w:val="none"/>
          <w:u w:val="none"/>
        </w:rPr>
      </w:pPr>
      <w:r>
        <w:rPr>
          <w:rFonts w:hint="eastAsia" w:ascii="宋体" w:hAnsi="宋体" w:cs="宋体"/>
          <w:color w:val="auto"/>
          <w:sz w:val="24"/>
          <w:highlight w:val="none"/>
          <w:u w:val="none"/>
        </w:rPr>
        <w:t>11.3 乙方必须严格按照本项目技术要求进行精心安装、强化现场原始记录和检测，确保货物质量。</w:t>
      </w:r>
    </w:p>
    <w:p>
      <w:pPr>
        <w:shd w:val="clear"/>
        <w:autoSpaceDE w:val="0"/>
        <w:autoSpaceDN w:val="0"/>
        <w:adjustRightInd w:val="0"/>
        <w:spacing w:line="440" w:lineRule="exact"/>
        <w:ind w:firstLine="480" w:firstLineChars="200"/>
        <w:rPr>
          <w:rFonts w:ascii="宋体" w:hAnsi="宋体" w:cs="宋体"/>
          <w:color w:val="auto"/>
          <w:sz w:val="24"/>
          <w:highlight w:val="none"/>
          <w:u w:val="none"/>
        </w:rPr>
      </w:pPr>
      <w:r>
        <w:rPr>
          <w:rFonts w:hint="eastAsia" w:ascii="宋体" w:hAnsi="宋体" w:cs="宋体"/>
          <w:color w:val="auto"/>
          <w:sz w:val="24"/>
          <w:highlight w:val="none"/>
          <w:u w:val="none"/>
        </w:rPr>
        <w:t>11.4 乙方在货物供应、安装期间如发生安全事故，由乙方处理并承担全部责任。</w:t>
      </w:r>
    </w:p>
    <w:p>
      <w:pPr>
        <w:shd w:val="clear"/>
        <w:autoSpaceDE w:val="0"/>
        <w:autoSpaceDN w:val="0"/>
        <w:adjustRightInd w:val="0"/>
        <w:spacing w:line="440" w:lineRule="exact"/>
        <w:ind w:firstLine="480" w:firstLineChars="200"/>
        <w:rPr>
          <w:rFonts w:ascii="宋体" w:hAnsi="宋体" w:cs="宋体"/>
          <w:color w:val="auto"/>
          <w:sz w:val="24"/>
          <w:highlight w:val="none"/>
          <w:u w:val="none"/>
        </w:rPr>
      </w:pPr>
      <w:r>
        <w:rPr>
          <w:rFonts w:hint="eastAsia" w:ascii="宋体" w:hAnsi="宋体" w:cs="宋体"/>
          <w:color w:val="auto"/>
          <w:sz w:val="24"/>
          <w:highlight w:val="none"/>
          <w:u w:val="none"/>
        </w:rPr>
        <w:t>11.5 在货物安装过程中，乙方应接受甲方指令，并严格服从甲方监督。</w:t>
      </w:r>
    </w:p>
    <w:p>
      <w:pPr>
        <w:shd w:val="clear"/>
        <w:autoSpaceDE w:val="0"/>
        <w:autoSpaceDN w:val="0"/>
        <w:adjustRightInd w:val="0"/>
        <w:spacing w:line="440" w:lineRule="exact"/>
        <w:ind w:firstLine="480" w:firstLineChars="200"/>
        <w:rPr>
          <w:rFonts w:ascii="宋体" w:hAnsi="宋体" w:cs="宋体"/>
          <w:color w:val="auto"/>
          <w:sz w:val="24"/>
          <w:highlight w:val="none"/>
          <w:u w:val="none"/>
        </w:rPr>
      </w:pPr>
      <w:r>
        <w:rPr>
          <w:rFonts w:hint="eastAsia" w:ascii="宋体" w:hAnsi="宋体" w:cs="宋体"/>
          <w:color w:val="auto"/>
          <w:sz w:val="24"/>
          <w:highlight w:val="none"/>
          <w:u w:val="none"/>
        </w:rPr>
        <w:t>11.6 乙方必须在约定时间内组织供货、安装，确保如期完成。</w:t>
      </w:r>
    </w:p>
    <w:p>
      <w:pPr>
        <w:shd w:val="clear"/>
        <w:autoSpaceDE w:val="0"/>
        <w:autoSpaceDN w:val="0"/>
        <w:adjustRightInd w:val="0"/>
        <w:spacing w:line="440" w:lineRule="exact"/>
        <w:ind w:firstLine="480" w:firstLineChars="200"/>
        <w:rPr>
          <w:rFonts w:ascii="宋体" w:hAnsi="宋体" w:cs="宋体"/>
          <w:color w:val="auto"/>
          <w:sz w:val="24"/>
          <w:highlight w:val="none"/>
          <w:u w:val="none"/>
        </w:rPr>
      </w:pPr>
      <w:r>
        <w:rPr>
          <w:rFonts w:hint="eastAsia" w:ascii="宋体" w:hAnsi="宋体" w:cs="宋体"/>
          <w:color w:val="auto"/>
          <w:sz w:val="24"/>
          <w:highlight w:val="none"/>
          <w:u w:val="none"/>
        </w:rPr>
        <w:t>11.7 当具备验收条件时，乙方应提前十天将验收报告送至甲方，并由甲方组织验收。</w:t>
      </w:r>
    </w:p>
    <w:p>
      <w:pPr>
        <w:shd w:val="clear"/>
        <w:autoSpaceDE w:val="0"/>
        <w:autoSpaceDN w:val="0"/>
        <w:adjustRightInd w:val="0"/>
        <w:spacing w:line="440" w:lineRule="exact"/>
        <w:ind w:firstLine="480" w:firstLineChars="200"/>
        <w:rPr>
          <w:rFonts w:ascii="宋体" w:hAnsi="宋体" w:cs="宋体"/>
          <w:color w:val="auto"/>
          <w:sz w:val="24"/>
          <w:highlight w:val="none"/>
          <w:u w:val="none"/>
        </w:rPr>
      </w:pPr>
      <w:r>
        <w:rPr>
          <w:rFonts w:hint="eastAsia" w:ascii="宋体" w:hAnsi="宋体" w:cs="宋体"/>
          <w:color w:val="auto"/>
          <w:sz w:val="24"/>
          <w:highlight w:val="none"/>
          <w:u w:val="none"/>
        </w:rPr>
        <w:t>11.8 乙方的计划进度安排、质量监督、协调管理、安装配合、安全文明施工，应完全接受甲方对本项目的统一管理，完成后将归档技术资料交予甲方。</w:t>
      </w:r>
    </w:p>
    <w:p>
      <w:pPr>
        <w:shd w:val="clear"/>
        <w:autoSpaceDE w:val="0"/>
        <w:autoSpaceDN w:val="0"/>
        <w:adjustRightInd w:val="0"/>
        <w:spacing w:line="440" w:lineRule="exact"/>
        <w:ind w:firstLine="482" w:firstLineChars="200"/>
        <w:rPr>
          <w:rFonts w:ascii="宋体" w:hAnsi="宋体" w:cs="宋体"/>
          <w:b/>
          <w:bCs/>
          <w:color w:val="auto"/>
          <w:sz w:val="24"/>
          <w:highlight w:val="none"/>
        </w:rPr>
      </w:pPr>
      <w:r>
        <w:rPr>
          <w:rFonts w:hint="eastAsia" w:ascii="宋体" w:hAnsi="宋体" w:cs="宋体"/>
          <w:b/>
          <w:bCs/>
          <w:color w:val="auto"/>
          <w:sz w:val="24"/>
          <w:highlight w:val="none"/>
        </w:rPr>
        <w:t>12.验收</w:t>
      </w:r>
    </w:p>
    <w:p>
      <w:pPr>
        <w:shd w:val="clear"/>
        <w:autoSpaceDE w:val="0"/>
        <w:autoSpaceDN w:val="0"/>
        <w:adjustRightInd w:val="0"/>
        <w:spacing w:line="440" w:lineRule="exact"/>
        <w:ind w:firstLine="480" w:firstLineChars="200"/>
        <w:rPr>
          <w:rFonts w:ascii="宋体" w:hAnsi="宋体" w:cs="宋体"/>
          <w:color w:val="auto"/>
          <w:sz w:val="24"/>
          <w:highlight w:val="none"/>
          <w:u w:val="none"/>
        </w:rPr>
      </w:pPr>
      <w:r>
        <w:rPr>
          <w:rFonts w:hint="eastAsia" w:ascii="宋体" w:hAnsi="宋体" w:cs="宋体"/>
          <w:color w:val="auto"/>
          <w:sz w:val="24"/>
          <w:highlight w:val="none"/>
          <w:u w:val="none"/>
        </w:rPr>
        <w:t>12.1 验收以采购文件和技术文件、投标文件、合同及安装技术要求为依据。</w:t>
      </w:r>
    </w:p>
    <w:p>
      <w:pPr>
        <w:shd w:val="clear"/>
        <w:autoSpaceDE w:val="0"/>
        <w:autoSpaceDN w:val="0"/>
        <w:adjustRightInd w:val="0"/>
        <w:spacing w:line="440" w:lineRule="exact"/>
        <w:ind w:firstLine="480" w:firstLineChars="200"/>
        <w:rPr>
          <w:rFonts w:ascii="宋体" w:hAnsi="宋体" w:cs="宋体"/>
          <w:color w:val="auto"/>
          <w:sz w:val="24"/>
          <w:highlight w:val="none"/>
          <w:u w:val="none"/>
        </w:rPr>
      </w:pPr>
      <w:r>
        <w:rPr>
          <w:rFonts w:hint="eastAsia" w:ascii="宋体" w:hAnsi="宋体" w:cs="宋体"/>
          <w:color w:val="auto"/>
          <w:sz w:val="24"/>
          <w:highlight w:val="none"/>
          <w:u w:val="none"/>
        </w:rPr>
        <w:t>12.2 供货安装完成后，乙方应该向甲方提交申请验收报告，并且提供主要货物的出厂合格证书（或报告）、检测报告等完整的技术档案资料，若乙方未能按照上述要求履行的，导致无法及时验收的，则须由乙方承担一切责任。</w:t>
      </w:r>
    </w:p>
    <w:p>
      <w:pPr>
        <w:shd w:val="clear"/>
        <w:autoSpaceDE w:val="0"/>
        <w:autoSpaceDN w:val="0"/>
        <w:adjustRightInd w:val="0"/>
        <w:spacing w:line="440" w:lineRule="exact"/>
        <w:ind w:firstLine="480" w:firstLineChars="200"/>
        <w:rPr>
          <w:rFonts w:ascii="宋体" w:hAnsi="宋体" w:cs="宋体"/>
          <w:color w:val="auto"/>
          <w:sz w:val="24"/>
          <w:highlight w:val="none"/>
          <w:u w:val="none"/>
        </w:rPr>
      </w:pPr>
      <w:r>
        <w:rPr>
          <w:rFonts w:hint="eastAsia" w:ascii="宋体" w:hAnsi="宋体" w:cs="宋体"/>
          <w:color w:val="auto"/>
          <w:sz w:val="24"/>
          <w:highlight w:val="none"/>
          <w:u w:val="none"/>
        </w:rPr>
        <w:t>12.3 验收必须符合国家、地方有关规范、标准及设计要求。</w:t>
      </w:r>
    </w:p>
    <w:p>
      <w:pPr>
        <w:shd w:val="clear"/>
        <w:autoSpaceDE w:val="0"/>
        <w:autoSpaceDN w:val="0"/>
        <w:adjustRightInd w:val="0"/>
        <w:spacing w:line="440" w:lineRule="exact"/>
        <w:ind w:firstLine="480" w:firstLineChars="200"/>
        <w:rPr>
          <w:rFonts w:ascii="宋体" w:hAnsi="宋体" w:cs="宋体"/>
          <w:color w:val="auto"/>
          <w:sz w:val="24"/>
          <w:highlight w:val="none"/>
          <w:u w:val="none"/>
        </w:rPr>
      </w:pPr>
      <w:r>
        <w:rPr>
          <w:rFonts w:hint="eastAsia" w:ascii="宋体" w:hAnsi="宋体" w:cs="宋体"/>
          <w:color w:val="auto"/>
          <w:sz w:val="24"/>
          <w:highlight w:val="none"/>
          <w:u w:val="none"/>
        </w:rPr>
        <w:t>12.4 符合验收条件的，由甲方组织有关部门按照国家、地方有关规范、标准及设计要求进行验收。验收后乙方应按照验收中提出的意见整改。</w:t>
      </w:r>
    </w:p>
    <w:p>
      <w:pPr>
        <w:shd w:val="clear"/>
        <w:spacing w:line="440" w:lineRule="exact"/>
        <w:ind w:firstLine="480" w:firstLineChars="200"/>
        <w:jc w:val="left"/>
        <w:rPr>
          <w:rFonts w:ascii="宋体" w:hAnsi="宋体" w:cs="宋体"/>
          <w:color w:val="auto"/>
          <w:sz w:val="24"/>
          <w:highlight w:val="none"/>
          <w:u w:val="none"/>
        </w:rPr>
      </w:pPr>
      <w:r>
        <w:rPr>
          <w:rFonts w:hint="eastAsia" w:ascii="宋体" w:hAnsi="宋体" w:cs="宋体"/>
          <w:color w:val="auto"/>
          <w:sz w:val="24"/>
          <w:highlight w:val="none"/>
          <w:u w:val="none"/>
        </w:rPr>
        <w:t>12.5 整改完毕且复验合格后将本项目货物交给甲方使用，完成日期以通过复验日期为准。</w:t>
      </w:r>
    </w:p>
    <w:p>
      <w:pPr>
        <w:shd w:val="clear"/>
        <w:spacing w:line="440" w:lineRule="exact"/>
        <w:ind w:firstLine="480" w:firstLineChars="200"/>
        <w:jc w:val="left"/>
        <w:rPr>
          <w:rFonts w:ascii="宋体" w:hAnsi="宋体" w:cs="宋体"/>
          <w:color w:val="auto"/>
          <w:sz w:val="24"/>
          <w:highlight w:val="none"/>
          <w:u w:val="none"/>
        </w:rPr>
      </w:pPr>
      <w:r>
        <w:rPr>
          <w:rFonts w:hint="eastAsia" w:ascii="宋体" w:hAnsi="宋体" w:cs="宋体"/>
          <w:color w:val="auto"/>
          <w:sz w:val="24"/>
          <w:highlight w:val="none"/>
          <w:u w:val="none"/>
        </w:rPr>
        <w:t>12.6甲方在中标供应商送货、安装、调试后对货物服务进行检查验收，如果发现数量不足或有质量、技术等问题，乙方应负责根据合同及甲方的要求采取补足或更换等处理措施，并承担由此发生的一切损失和费用。验收合格后，甲方在验收单上签字并加盖单位公章。</w:t>
      </w:r>
    </w:p>
    <w:p>
      <w:pPr>
        <w:shd w:val="clear"/>
        <w:autoSpaceDE w:val="0"/>
        <w:autoSpaceDN w:val="0"/>
        <w:adjustRightInd w:val="0"/>
        <w:spacing w:line="440" w:lineRule="exact"/>
        <w:ind w:firstLine="482" w:firstLineChars="200"/>
        <w:jc w:val="left"/>
        <w:textAlignment w:val="auto"/>
        <w:rPr>
          <w:rFonts w:ascii="宋体" w:hAnsi="宋体" w:cs="宋体"/>
          <w:color w:val="auto"/>
          <w:sz w:val="24"/>
          <w:highlight w:val="none"/>
          <w:u w:val="single"/>
        </w:rPr>
      </w:pPr>
      <w:r>
        <w:rPr>
          <w:rFonts w:hint="eastAsia" w:ascii="宋体" w:hAnsi="宋体" w:cs="宋体"/>
          <w:b/>
          <w:bCs/>
          <w:color w:val="auto"/>
          <w:sz w:val="24"/>
          <w:highlight w:val="none"/>
        </w:rPr>
        <w:t>13.违约责任及奖罚</w:t>
      </w:r>
    </w:p>
    <w:p>
      <w:pPr>
        <w:shd w:val="clear"/>
        <w:autoSpaceDE w:val="0"/>
        <w:autoSpaceDN w:val="0"/>
        <w:adjustRightInd w:val="0"/>
        <w:spacing w:line="360" w:lineRule="auto"/>
        <w:ind w:firstLine="480" w:firstLineChars="200"/>
        <w:jc w:val="left"/>
        <w:textAlignment w:val="baseline"/>
        <w:rPr>
          <w:rFonts w:ascii="宋体" w:hAnsi="宋体" w:cs="宋体"/>
          <w:color w:val="auto"/>
          <w:sz w:val="24"/>
          <w:highlight w:val="none"/>
          <w:u w:val="none"/>
        </w:rPr>
      </w:pPr>
      <w:r>
        <w:rPr>
          <w:rFonts w:hint="eastAsia" w:ascii="宋体" w:hAnsi="宋体" w:cs="宋体"/>
          <w:color w:val="auto"/>
          <w:sz w:val="24"/>
          <w:highlight w:val="none"/>
          <w:u w:val="none"/>
        </w:rPr>
        <w:t>进度延误处罚办法：</w:t>
      </w:r>
      <w:r>
        <w:rPr>
          <w:rFonts w:hint="eastAsia" w:ascii="宋体" w:hAnsi="宋体" w:cs="宋体"/>
          <w:color w:val="auto"/>
          <w:sz w:val="24"/>
          <w:highlight w:val="none"/>
          <w:u w:val="none"/>
          <w:lang w:val="en-US" w:eastAsia="zh-CN"/>
        </w:rPr>
        <w:t>除不可抗力因素或因甲方原因导致的工期进度延误外</w:t>
      </w:r>
      <w:r>
        <w:rPr>
          <w:rFonts w:hint="eastAsia" w:ascii="宋体" w:hAnsi="宋体" w:cs="宋体"/>
          <w:color w:val="auto"/>
          <w:sz w:val="24"/>
          <w:highlight w:val="none"/>
          <w:u w:val="none"/>
        </w:rPr>
        <w:t>中标人应根据合同内规定的完成时间完成该项目。每延期一天扣人民币10000元整。</w:t>
      </w:r>
    </w:p>
    <w:p>
      <w:pPr>
        <w:shd w:val="clear"/>
        <w:autoSpaceDE w:val="0"/>
        <w:autoSpaceDN w:val="0"/>
        <w:adjustRightInd w:val="0"/>
        <w:spacing w:line="440" w:lineRule="exact"/>
        <w:ind w:firstLine="482"/>
        <w:rPr>
          <w:rFonts w:ascii="宋体" w:hAnsi="宋体" w:cs="宋体"/>
          <w:b/>
          <w:bCs/>
          <w:color w:val="auto"/>
          <w:sz w:val="24"/>
          <w:highlight w:val="none"/>
          <w:lang w:val="zh-CN"/>
        </w:rPr>
      </w:pPr>
      <w:r>
        <w:rPr>
          <w:rFonts w:hint="eastAsia" w:ascii="宋体" w:hAnsi="宋体" w:cs="宋体"/>
          <w:b/>
          <w:bCs/>
          <w:color w:val="auto"/>
          <w:sz w:val="24"/>
          <w:highlight w:val="none"/>
          <w:lang w:val="zh-CN"/>
        </w:rPr>
        <w:t>1</w:t>
      </w:r>
      <w:r>
        <w:rPr>
          <w:rFonts w:hint="eastAsia" w:ascii="宋体" w:hAnsi="宋体" w:cs="宋体"/>
          <w:b/>
          <w:bCs/>
          <w:color w:val="auto"/>
          <w:sz w:val="24"/>
          <w:highlight w:val="none"/>
        </w:rPr>
        <w:t>4.</w:t>
      </w:r>
      <w:r>
        <w:rPr>
          <w:rFonts w:hint="eastAsia" w:ascii="宋体" w:hAnsi="宋体" w:cs="宋体"/>
          <w:b/>
          <w:bCs/>
          <w:color w:val="auto"/>
          <w:sz w:val="24"/>
          <w:highlight w:val="none"/>
          <w:lang w:val="zh-CN"/>
        </w:rPr>
        <w:t>争议解决</w:t>
      </w:r>
    </w:p>
    <w:p>
      <w:pPr>
        <w:shd w:val="clear"/>
        <w:autoSpaceDE w:val="0"/>
        <w:autoSpaceDN w:val="0"/>
        <w:adjustRightInd w:val="0"/>
        <w:spacing w:line="440" w:lineRule="exact"/>
        <w:ind w:firstLine="480"/>
        <w:rPr>
          <w:rFonts w:ascii="宋体" w:hAnsi="宋体" w:cs="宋体"/>
          <w:color w:val="auto"/>
          <w:sz w:val="24"/>
          <w:highlight w:val="none"/>
          <w:lang w:val="zh-CN"/>
        </w:rPr>
      </w:pPr>
      <w:r>
        <w:rPr>
          <w:rFonts w:hint="eastAsia" w:ascii="宋体" w:hAnsi="宋体" w:cs="宋体"/>
          <w:color w:val="auto"/>
          <w:sz w:val="24"/>
          <w:highlight w:val="none"/>
          <w:lang w:val="zh-CN"/>
        </w:rPr>
        <w:t>1</w:t>
      </w:r>
      <w:r>
        <w:rPr>
          <w:rFonts w:hint="eastAsia" w:ascii="宋体" w:hAnsi="宋体" w:cs="宋体"/>
          <w:color w:val="auto"/>
          <w:sz w:val="24"/>
          <w:highlight w:val="none"/>
        </w:rPr>
        <w:t>4</w:t>
      </w:r>
      <w:r>
        <w:rPr>
          <w:rFonts w:hint="eastAsia" w:ascii="宋体" w:hAnsi="宋体" w:cs="宋体"/>
          <w:color w:val="auto"/>
          <w:sz w:val="24"/>
          <w:highlight w:val="none"/>
          <w:lang w:val="zh-CN"/>
        </w:rPr>
        <w:t>.1因执行本合同所发生的，或与本合同有关的一切争议，</w:t>
      </w:r>
      <w:r>
        <w:rPr>
          <w:rFonts w:hint="eastAsia" w:ascii="宋体" w:hAnsi="宋体" w:cs="宋体"/>
          <w:color w:val="auto"/>
          <w:sz w:val="24"/>
          <w:highlight w:val="none"/>
        </w:rPr>
        <w:t>甲方</w:t>
      </w:r>
      <w:r>
        <w:rPr>
          <w:rFonts w:hint="eastAsia" w:ascii="宋体" w:hAnsi="宋体" w:cs="宋体"/>
          <w:color w:val="auto"/>
          <w:sz w:val="24"/>
          <w:highlight w:val="none"/>
          <w:lang w:val="zh-CN"/>
        </w:rPr>
        <w:t>与</w:t>
      </w:r>
      <w:r>
        <w:rPr>
          <w:rFonts w:hint="eastAsia" w:ascii="宋体" w:hAnsi="宋体" w:cs="宋体"/>
          <w:color w:val="auto"/>
          <w:sz w:val="24"/>
          <w:highlight w:val="none"/>
        </w:rPr>
        <w:t>乙方</w:t>
      </w:r>
      <w:r>
        <w:rPr>
          <w:rFonts w:hint="eastAsia" w:ascii="宋体" w:hAnsi="宋体" w:cs="宋体"/>
          <w:color w:val="auto"/>
          <w:sz w:val="24"/>
          <w:highlight w:val="none"/>
          <w:lang w:val="zh-CN"/>
        </w:rPr>
        <w:t>双方应通过友好协商解决。</w:t>
      </w:r>
    </w:p>
    <w:p>
      <w:pPr>
        <w:shd w:val="clear"/>
        <w:autoSpaceDE w:val="0"/>
        <w:autoSpaceDN w:val="0"/>
        <w:adjustRightInd w:val="0"/>
        <w:spacing w:line="440" w:lineRule="exact"/>
        <w:ind w:firstLine="480"/>
        <w:rPr>
          <w:rFonts w:ascii="宋体" w:hAnsi="宋体" w:cs="宋体"/>
          <w:color w:val="auto"/>
          <w:sz w:val="24"/>
          <w:highlight w:val="none"/>
          <w:lang w:val="zh-CN"/>
        </w:rPr>
      </w:pPr>
      <w:r>
        <w:rPr>
          <w:rFonts w:hint="eastAsia" w:ascii="宋体" w:hAnsi="宋体" w:cs="宋体"/>
          <w:color w:val="auto"/>
          <w:sz w:val="24"/>
          <w:highlight w:val="none"/>
          <w:lang w:val="zh-CN"/>
        </w:rPr>
        <w:t>1</w:t>
      </w:r>
      <w:r>
        <w:rPr>
          <w:rFonts w:hint="eastAsia" w:ascii="宋体" w:hAnsi="宋体" w:cs="宋体"/>
          <w:color w:val="auto"/>
          <w:sz w:val="24"/>
          <w:highlight w:val="none"/>
        </w:rPr>
        <w:t>4</w:t>
      </w:r>
      <w:r>
        <w:rPr>
          <w:rFonts w:hint="eastAsia" w:ascii="宋体" w:hAnsi="宋体" w:cs="宋体"/>
          <w:color w:val="auto"/>
          <w:sz w:val="24"/>
          <w:highlight w:val="none"/>
          <w:lang w:val="zh-CN"/>
        </w:rPr>
        <w:t>.2如经协商仍不能解决争议时，可要求有关主管部门调解。如其中一方不愿调解或调解不成，可按下一种方式解决争议。</w:t>
      </w:r>
    </w:p>
    <w:p>
      <w:pPr>
        <w:shd w:val="clear"/>
        <w:autoSpaceDE w:val="0"/>
        <w:autoSpaceDN w:val="0"/>
        <w:adjustRightInd w:val="0"/>
        <w:spacing w:line="440" w:lineRule="exact"/>
        <w:ind w:firstLine="480"/>
        <w:rPr>
          <w:rFonts w:ascii="宋体" w:hAnsi="宋体" w:cs="宋体"/>
          <w:color w:val="auto"/>
          <w:sz w:val="24"/>
          <w:highlight w:val="none"/>
          <w:lang w:val="zh-CN"/>
        </w:rPr>
      </w:pPr>
      <w:r>
        <w:rPr>
          <w:rFonts w:hint="eastAsia" w:ascii="宋体" w:hAnsi="宋体" w:cs="宋体"/>
          <w:color w:val="auto"/>
          <w:sz w:val="24"/>
          <w:highlight w:val="none"/>
          <w:lang w:val="zh-CN"/>
        </w:rPr>
        <w:t>1</w:t>
      </w:r>
      <w:r>
        <w:rPr>
          <w:rFonts w:hint="eastAsia" w:ascii="宋体" w:hAnsi="宋体" w:cs="宋体"/>
          <w:color w:val="auto"/>
          <w:sz w:val="24"/>
          <w:highlight w:val="none"/>
        </w:rPr>
        <w:t>4</w:t>
      </w:r>
      <w:r>
        <w:rPr>
          <w:rFonts w:hint="eastAsia" w:ascii="宋体" w:hAnsi="宋体" w:cs="宋体"/>
          <w:color w:val="auto"/>
          <w:sz w:val="24"/>
          <w:highlight w:val="none"/>
          <w:lang w:val="zh-CN"/>
        </w:rPr>
        <w:t>.2.1双方达成仲裁协议，向</w:t>
      </w:r>
      <w:r>
        <w:rPr>
          <w:rFonts w:hint="eastAsia" w:ascii="宋体" w:hAnsi="宋体" w:cs="宋体"/>
          <w:color w:val="auto"/>
          <w:sz w:val="24"/>
          <w:highlight w:val="none"/>
        </w:rPr>
        <w:t>甲方</w:t>
      </w:r>
      <w:r>
        <w:rPr>
          <w:rFonts w:hint="eastAsia" w:ascii="宋体" w:hAnsi="宋体" w:cs="宋体"/>
          <w:color w:val="auto"/>
          <w:sz w:val="24"/>
          <w:highlight w:val="none"/>
          <w:lang w:val="zh-CN"/>
        </w:rPr>
        <w:t>所在地的仲裁机构申请仲裁。</w:t>
      </w:r>
    </w:p>
    <w:p>
      <w:pPr>
        <w:shd w:val="clear"/>
        <w:autoSpaceDE w:val="0"/>
        <w:autoSpaceDN w:val="0"/>
        <w:adjustRightInd w:val="0"/>
        <w:spacing w:line="440" w:lineRule="exact"/>
        <w:ind w:firstLine="480"/>
        <w:rPr>
          <w:rFonts w:ascii="宋体" w:hAnsi="宋体" w:cs="宋体"/>
          <w:color w:val="auto"/>
          <w:sz w:val="24"/>
          <w:highlight w:val="none"/>
          <w:lang w:val="zh-CN"/>
        </w:rPr>
      </w:pPr>
      <w:r>
        <w:rPr>
          <w:rFonts w:hint="eastAsia" w:ascii="宋体" w:hAnsi="宋体" w:cs="宋体"/>
          <w:color w:val="auto"/>
          <w:sz w:val="24"/>
          <w:highlight w:val="none"/>
          <w:lang w:val="zh-CN"/>
        </w:rPr>
        <w:t>1</w:t>
      </w:r>
      <w:r>
        <w:rPr>
          <w:rFonts w:hint="eastAsia" w:ascii="宋体" w:hAnsi="宋体" w:cs="宋体"/>
          <w:color w:val="auto"/>
          <w:sz w:val="24"/>
          <w:highlight w:val="none"/>
        </w:rPr>
        <w:t>4</w:t>
      </w:r>
      <w:r>
        <w:rPr>
          <w:rFonts w:hint="eastAsia" w:ascii="宋体" w:hAnsi="宋体" w:cs="宋体"/>
          <w:color w:val="auto"/>
          <w:sz w:val="24"/>
          <w:highlight w:val="none"/>
          <w:lang w:val="zh-CN"/>
        </w:rPr>
        <w:t>.2.2向有管辖权的人民法院起诉。</w:t>
      </w:r>
    </w:p>
    <w:p>
      <w:pPr>
        <w:shd w:val="clear"/>
        <w:spacing w:line="440" w:lineRule="exact"/>
        <w:ind w:firstLine="482" w:firstLineChars="200"/>
        <w:rPr>
          <w:rFonts w:ascii="宋体" w:hAnsi="宋体" w:cs="宋体"/>
          <w:b/>
          <w:color w:val="auto"/>
          <w:sz w:val="24"/>
          <w:highlight w:val="none"/>
        </w:rPr>
      </w:pPr>
      <w:r>
        <w:rPr>
          <w:rFonts w:hint="eastAsia" w:ascii="宋体" w:hAnsi="宋体" w:cs="宋体"/>
          <w:b/>
          <w:color w:val="auto"/>
          <w:sz w:val="24"/>
          <w:highlight w:val="none"/>
        </w:rPr>
        <w:t>三、其他要求：</w:t>
      </w:r>
    </w:p>
    <w:p>
      <w:pPr>
        <w:shd w:val="clear"/>
        <w:autoSpaceDE w:val="0"/>
        <w:autoSpaceDN w:val="0"/>
        <w:adjustRightInd w:val="0"/>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中标人必须按规定程序和有关要求进行实施，供货过程中的各种意外，其责任由乙方承担，甲方不承担任何责任。</w:t>
      </w:r>
    </w:p>
    <w:p>
      <w:pPr>
        <w:shd w:val="clear"/>
        <w:spacing w:line="440" w:lineRule="exact"/>
        <w:ind w:firstLine="482" w:firstLineChars="200"/>
        <w:rPr>
          <w:rFonts w:ascii="宋体" w:hAnsi="宋体" w:cs="宋体"/>
          <w:b/>
          <w:color w:val="auto"/>
          <w:sz w:val="24"/>
          <w:highlight w:val="none"/>
        </w:rPr>
      </w:pPr>
      <w:r>
        <w:rPr>
          <w:rFonts w:hint="eastAsia" w:ascii="宋体" w:hAnsi="宋体" w:cs="宋体"/>
          <w:b/>
          <w:color w:val="auto"/>
          <w:sz w:val="24"/>
          <w:highlight w:val="none"/>
        </w:rPr>
        <w:t>四、变更：</w:t>
      </w:r>
    </w:p>
    <w:p>
      <w:pPr>
        <w:shd w:val="clear"/>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1.招标合同履行中，甲方需追加与合同标的相同的货物、工程或者服务的，在不改变合同其他条款的前提下，可以与乙方协商签订补充合同，但所有补充合同的招标金额不得超过原合同招标金额的百分之十。</w:t>
      </w:r>
    </w:p>
    <w:p>
      <w:pPr>
        <w:shd w:val="clear"/>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 当变更只是招标量增减时，按投标所报的单价进行结算。</w:t>
      </w:r>
    </w:p>
    <w:p>
      <w:pPr>
        <w:shd w:val="clear"/>
        <w:spacing w:line="440" w:lineRule="exact"/>
        <w:ind w:firstLine="482" w:firstLineChars="200"/>
        <w:jc w:val="left"/>
        <w:rPr>
          <w:rFonts w:ascii="宋体" w:hAnsi="宋体" w:cs="宋体"/>
          <w:b/>
          <w:color w:val="auto"/>
          <w:sz w:val="24"/>
          <w:highlight w:val="none"/>
          <w:u w:val="none"/>
        </w:rPr>
      </w:pPr>
      <w:r>
        <w:rPr>
          <w:rFonts w:hint="eastAsia" w:ascii="宋体" w:hAnsi="宋体" w:cs="宋体"/>
          <w:b/>
          <w:color w:val="auto"/>
          <w:sz w:val="24"/>
          <w:highlight w:val="none"/>
          <w:u w:val="none"/>
        </w:rPr>
        <w:t>五、专利权</w:t>
      </w:r>
    </w:p>
    <w:p>
      <w:pPr>
        <w:shd w:val="clear"/>
        <w:spacing w:line="440" w:lineRule="exact"/>
        <w:ind w:firstLine="480" w:firstLineChars="200"/>
        <w:rPr>
          <w:rFonts w:ascii="宋体" w:hAnsi="宋体" w:cs="宋体"/>
          <w:color w:val="auto"/>
          <w:sz w:val="24"/>
          <w:highlight w:val="none"/>
          <w:u w:val="none"/>
        </w:rPr>
      </w:pPr>
      <w:r>
        <w:rPr>
          <w:rFonts w:hint="eastAsia" w:ascii="宋体" w:hAnsi="宋体" w:cs="宋体"/>
          <w:color w:val="auto"/>
          <w:sz w:val="24"/>
          <w:highlight w:val="none"/>
          <w:u w:val="none"/>
        </w:rPr>
        <w:t>1.乙方应承诺保护甲方在使用合同产品或其任何一部分时不受第三方提出侵犯专利权、商标权和工业设计权等的起诉。如果任何第三方提出侵权指控，由乙方负责与第三方交涉并承担可能发生的一切费用和相关法律责任，甲方不承担由此引起的一切经济和法律责任。</w:t>
      </w:r>
    </w:p>
    <w:p>
      <w:pPr>
        <w:shd w:val="clear"/>
        <w:spacing w:line="440" w:lineRule="exact"/>
        <w:ind w:firstLine="482" w:firstLineChars="200"/>
        <w:jc w:val="left"/>
        <w:rPr>
          <w:rFonts w:ascii="宋体" w:hAnsi="宋体" w:cs="宋体"/>
          <w:b/>
          <w:color w:val="auto"/>
          <w:sz w:val="24"/>
          <w:highlight w:val="none"/>
        </w:rPr>
      </w:pPr>
      <w:r>
        <w:rPr>
          <w:rFonts w:hint="eastAsia" w:ascii="宋体" w:hAnsi="宋体" w:cs="宋体"/>
          <w:b/>
          <w:color w:val="auto"/>
          <w:sz w:val="24"/>
          <w:highlight w:val="none"/>
        </w:rPr>
        <w:t>六、结算原则</w:t>
      </w:r>
    </w:p>
    <w:p>
      <w:pPr>
        <w:shd w:val="clear"/>
        <w:spacing w:line="440" w:lineRule="exact"/>
        <w:ind w:firstLine="480" w:firstLineChars="200"/>
        <w:jc w:val="left"/>
        <w:rPr>
          <w:rFonts w:ascii="宋体" w:hAnsi="宋体" w:cs="宋体"/>
          <w:color w:val="auto"/>
          <w:sz w:val="24"/>
          <w:highlight w:val="none"/>
        </w:rPr>
      </w:pPr>
      <w:r>
        <w:rPr>
          <w:rFonts w:hint="eastAsia" w:ascii="宋体" w:hAnsi="宋体" w:cs="宋体"/>
          <w:color w:val="auto"/>
          <w:sz w:val="24"/>
          <w:highlight w:val="none"/>
        </w:rPr>
        <w:t>1.采购文件、招标答疑会纪要、乙方的中标报价等作为结算依据；</w:t>
      </w:r>
    </w:p>
    <w:p>
      <w:pPr>
        <w:shd w:val="clear"/>
        <w:spacing w:line="440" w:lineRule="exact"/>
        <w:ind w:firstLine="480" w:firstLineChars="200"/>
        <w:jc w:val="left"/>
        <w:rPr>
          <w:rFonts w:ascii="宋体" w:hAnsi="宋体" w:cs="宋体"/>
          <w:color w:val="auto"/>
          <w:sz w:val="24"/>
          <w:highlight w:val="none"/>
        </w:rPr>
      </w:pPr>
      <w:r>
        <w:rPr>
          <w:rFonts w:hint="eastAsia" w:ascii="宋体" w:hAnsi="宋体" w:cs="宋体"/>
          <w:color w:val="auto"/>
          <w:sz w:val="24"/>
          <w:highlight w:val="none"/>
        </w:rPr>
        <w:t>2.乙方节能效益分享比例一次性包死，不再调整。</w:t>
      </w:r>
    </w:p>
    <w:p>
      <w:pPr>
        <w:shd w:val="clear"/>
        <w:spacing w:line="440" w:lineRule="exact"/>
        <w:ind w:firstLine="482" w:firstLineChars="200"/>
        <w:jc w:val="left"/>
        <w:rPr>
          <w:rFonts w:ascii="宋体" w:hAnsi="宋体" w:cs="宋体"/>
          <w:color w:val="auto"/>
          <w:sz w:val="24"/>
          <w:highlight w:val="none"/>
          <w:u w:val="single"/>
        </w:rPr>
      </w:pPr>
      <w:r>
        <w:rPr>
          <w:rFonts w:hint="eastAsia" w:ascii="宋体" w:hAnsi="宋体" w:cs="宋体"/>
          <w:b/>
          <w:color w:val="auto"/>
          <w:sz w:val="24"/>
          <w:highlight w:val="none"/>
        </w:rPr>
        <w:t>七、签订合同时间：</w:t>
      </w:r>
      <w:r>
        <w:rPr>
          <w:rFonts w:hint="eastAsia" w:ascii="宋体" w:hAnsi="宋体" w:cs="宋体"/>
          <w:color w:val="auto"/>
          <w:sz w:val="24"/>
          <w:highlight w:val="none"/>
          <w:u w:val="single"/>
        </w:rPr>
        <w:t xml:space="preserve"> 自中标通知书发起之日起30天内。 </w:t>
      </w:r>
    </w:p>
    <w:p>
      <w:pPr>
        <w:shd w:val="clear"/>
        <w:spacing w:line="440" w:lineRule="exact"/>
        <w:ind w:firstLine="482" w:firstLineChars="200"/>
        <w:jc w:val="left"/>
        <w:rPr>
          <w:rFonts w:ascii="宋体" w:hAnsi="宋体" w:cs="宋体"/>
          <w:b/>
          <w:color w:val="auto"/>
          <w:sz w:val="24"/>
          <w:highlight w:val="none"/>
        </w:rPr>
      </w:pPr>
      <w:r>
        <w:rPr>
          <w:rFonts w:hint="eastAsia" w:ascii="宋体" w:hAnsi="宋体" w:cs="宋体"/>
          <w:b/>
          <w:bCs/>
          <w:color w:val="auto"/>
          <w:sz w:val="24"/>
          <w:highlight w:val="none"/>
        </w:rPr>
        <w:t>八、售后服务要求：</w:t>
      </w:r>
    </w:p>
    <w:p>
      <w:pPr>
        <w:shd w:val="clear"/>
        <w:autoSpaceDE w:val="0"/>
        <w:autoSpaceDN w:val="0"/>
        <w:adjustRightInd w:val="0"/>
        <w:spacing w:line="440" w:lineRule="exact"/>
        <w:ind w:firstLine="480" w:firstLineChars="200"/>
        <w:rPr>
          <w:rFonts w:ascii="宋体" w:hAnsi="宋体" w:cs="宋体"/>
          <w:color w:val="auto"/>
          <w:sz w:val="24"/>
          <w:highlight w:val="none"/>
          <w:u w:val="none"/>
        </w:rPr>
      </w:pPr>
      <w:r>
        <w:rPr>
          <w:rFonts w:hint="eastAsia" w:ascii="宋体" w:hAnsi="宋体" w:cs="宋体"/>
          <w:color w:val="auto"/>
          <w:sz w:val="24"/>
          <w:highlight w:val="none"/>
          <w:u w:val="none"/>
        </w:rPr>
        <w:t>1.乙方须提供从验收合格之日起，3年的免费质保期。乙方承诺超过本要求的，以优惠者为准。无论在质保期内还是质保期满后，乙方负责对其实施的项目提供现场服务。要求乙方在接到甲方的电话后24小时内响应，并最迟在第1个工作日内排除故障。</w:t>
      </w:r>
    </w:p>
    <w:p>
      <w:pPr>
        <w:shd w:val="clear"/>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2.乙方若有其他服务承诺，也将一并执行。</w:t>
      </w:r>
    </w:p>
    <w:p>
      <w:pPr>
        <w:shd w:val="clear"/>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3.乙方必须将公司的服务热线明确告知甲方。</w:t>
      </w:r>
    </w:p>
    <w:p>
      <w:pPr>
        <w:shd w:val="clear"/>
        <w:spacing w:line="440" w:lineRule="exact"/>
        <w:ind w:firstLine="482" w:firstLineChars="200"/>
        <w:rPr>
          <w:rFonts w:ascii="宋体" w:hAnsi="宋体" w:cs="宋体"/>
          <w:b/>
          <w:color w:val="auto"/>
          <w:sz w:val="24"/>
          <w:highlight w:val="none"/>
        </w:rPr>
      </w:pPr>
      <w:r>
        <w:rPr>
          <w:rFonts w:hint="eastAsia" w:ascii="宋体" w:hAnsi="宋体" w:cs="宋体"/>
          <w:b/>
          <w:color w:val="auto"/>
          <w:sz w:val="24"/>
          <w:highlight w:val="none"/>
        </w:rPr>
        <w:t>九、其他</w:t>
      </w:r>
    </w:p>
    <w:p>
      <w:pPr>
        <w:widowControl/>
        <w:shd w:val="clear"/>
        <w:adjustRightInd w:val="0"/>
        <w:snapToGrid w:val="0"/>
        <w:spacing w:before="120" w:after="120" w:line="420" w:lineRule="exact"/>
        <w:ind w:firstLine="480"/>
        <w:jc w:val="left"/>
        <w:rPr>
          <w:rFonts w:ascii="宋体" w:hAnsi="宋体" w:cs="宋体"/>
          <w:color w:val="auto"/>
          <w:kern w:val="0"/>
          <w:sz w:val="24"/>
          <w:highlight w:val="none"/>
        </w:rPr>
      </w:pPr>
      <w:r>
        <w:rPr>
          <w:rFonts w:hint="eastAsia" w:ascii="宋体" w:hAnsi="宋体" w:cs="宋体"/>
          <w:color w:val="auto"/>
          <w:sz w:val="24"/>
          <w:highlight w:val="none"/>
        </w:rPr>
        <w:t>1.合同双方确认，本合同及本合同约定的其它文件组成部分中的各项约定都是通过法定招标过程形成的合法成果，不存在与采购文件和中标人投标文件实质性内容不一致的条款。如果存在任何此类不一致的条款，也不是合同双方真实意思的表示，对合同双方不构成任何合同或法律约束力。合同双方也不存在且也不会签订任何背离本合同实质性内容的其他协议或合同。如果存在或签订背离本合同实质性内容的其他协议或合同，也不是合同双方真实意思的表示，对合同双方不构成任何合同或法律约束力。</w:t>
      </w:r>
    </w:p>
    <w:p>
      <w:pPr>
        <w:widowControl/>
        <w:shd w:val="clear"/>
        <w:adjustRightInd w:val="0"/>
        <w:snapToGrid w:val="0"/>
        <w:spacing w:before="120" w:after="120" w:line="420" w:lineRule="exact"/>
        <w:ind w:firstLine="480"/>
        <w:jc w:val="left"/>
        <w:rPr>
          <w:rFonts w:ascii="宋体" w:hAnsi="宋体" w:cs="宋体"/>
          <w:color w:val="auto"/>
          <w:kern w:val="0"/>
          <w:sz w:val="24"/>
          <w:highlight w:val="none"/>
        </w:rPr>
      </w:pPr>
      <w:r>
        <w:rPr>
          <w:rFonts w:hint="eastAsia" w:ascii="宋体" w:hAnsi="宋体" w:cs="宋体"/>
          <w:color w:val="auto"/>
          <w:kern w:val="0"/>
          <w:sz w:val="24"/>
          <w:highlight w:val="none"/>
        </w:rPr>
        <w:t>2.本合同未尽事宜，遵照《中华人民共和国民法典》有关条文执行。</w:t>
      </w:r>
    </w:p>
    <w:p>
      <w:pPr>
        <w:shd w:val="clear"/>
        <w:snapToGrid w:val="0"/>
        <w:spacing w:line="440" w:lineRule="exact"/>
        <w:ind w:firstLine="480" w:firstLineChars="200"/>
        <w:rPr>
          <w:rFonts w:ascii="宋体" w:hAnsi="宋体" w:cs="宋体"/>
          <w:color w:val="auto"/>
          <w:kern w:val="0"/>
          <w:sz w:val="24"/>
          <w:highlight w:val="none"/>
        </w:rPr>
      </w:pPr>
      <w:bookmarkStart w:id="131" w:name="_Toc7946605"/>
      <w:bookmarkStart w:id="132" w:name="_Toc187829774"/>
      <w:bookmarkStart w:id="133" w:name="_Toc213038698"/>
      <w:bookmarkStart w:id="134" w:name="_Toc238878129"/>
      <w:bookmarkStart w:id="135" w:name="_Toc235778631"/>
      <w:bookmarkStart w:id="136" w:name="_Toc274303259"/>
      <w:r>
        <w:rPr>
          <w:rFonts w:hint="eastAsia" w:ascii="宋体" w:hAnsi="宋体" w:cs="宋体"/>
          <w:color w:val="auto"/>
          <w:kern w:val="0"/>
          <w:sz w:val="24"/>
          <w:highlight w:val="none"/>
        </w:rPr>
        <w:t>十、本合同一式____份，甲乙双方各执____份，浙江明达工程造价咨询有限公司执一份，义乌市财政局执一份，均具同等效力。</w:t>
      </w:r>
    </w:p>
    <w:p>
      <w:pPr>
        <w:shd w:val="clear"/>
        <w:snapToGrid w:val="0"/>
        <w:spacing w:line="400" w:lineRule="exact"/>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甲    方：_________________  乙   方：________________________</w:t>
      </w:r>
    </w:p>
    <w:p>
      <w:pPr>
        <w:shd w:val="clear"/>
        <w:snapToGrid w:val="0"/>
        <w:spacing w:line="400" w:lineRule="exact"/>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地    址：_________________  地    址：_______________________</w:t>
      </w:r>
    </w:p>
    <w:p>
      <w:pPr>
        <w:shd w:val="clear"/>
        <w:snapToGrid w:val="0"/>
        <w:spacing w:line="400" w:lineRule="exact"/>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法定代表人：_______________ 法定代表人：____________________</w:t>
      </w:r>
    </w:p>
    <w:p>
      <w:pPr>
        <w:shd w:val="clear"/>
        <w:snapToGrid w:val="0"/>
        <w:spacing w:line="400" w:lineRule="exact"/>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 xml:space="preserve">授权代表：________________  授权代表：____________________    </w:t>
      </w:r>
    </w:p>
    <w:p>
      <w:pPr>
        <w:shd w:val="clear"/>
        <w:snapToGrid w:val="0"/>
        <w:spacing w:line="400" w:lineRule="exact"/>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电    话：_________________ 电    话：_________________</w:t>
      </w:r>
    </w:p>
    <w:p>
      <w:pPr>
        <w:shd w:val="clear"/>
        <w:snapToGrid w:val="0"/>
        <w:spacing w:line="400" w:lineRule="exact"/>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lang w:val="en-US" w:eastAsia="zh-CN"/>
        </w:rPr>
        <w:t>账户</w:t>
      </w:r>
      <w:r>
        <w:rPr>
          <w:rFonts w:hint="eastAsia" w:ascii="宋体" w:hAnsi="宋体" w:cs="宋体"/>
          <w:color w:val="auto"/>
          <w:kern w:val="0"/>
          <w:sz w:val="24"/>
          <w:highlight w:val="none"/>
        </w:rPr>
        <w:t xml:space="preserve">名称：_________________ </w:t>
      </w:r>
      <w:r>
        <w:rPr>
          <w:rFonts w:hint="eastAsia" w:ascii="宋体" w:hAnsi="宋体" w:cs="宋体"/>
          <w:color w:val="auto"/>
          <w:kern w:val="0"/>
          <w:sz w:val="24"/>
          <w:highlight w:val="none"/>
          <w:lang w:val="en-US" w:eastAsia="zh-CN"/>
        </w:rPr>
        <w:t>账户</w:t>
      </w:r>
      <w:r>
        <w:rPr>
          <w:rFonts w:hint="eastAsia" w:ascii="宋体" w:hAnsi="宋体" w:cs="宋体"/>
          <w:color w:val="auto"/>
          <w:kern w:val="0"/>
          <w:sz w:val="24"/>
          <w:highlight w:val="none"/>
        </w:rPr>
        <w:t>名称：__________________</w:t>
      </w:r>
    </w:p>
    <w:p>
      <w:pPr>
        <w:shd w:val="clear"/>
        <w:snapToGrid w:val="0"/>
        <w:spacing w:line="400" w:lineRule="exact"/>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开户银行：_________________  开户银行：__________________</w:t>
      </w:r>
    </w:p>
    <w:p>
      <w:pPr>
        <w:shd w:val="clear"/>
        <w:snapToGrid w:val="0"/>
        <w:spacing w:line="400" w:lineRule="exact"/>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帐    号：__________________ 帐    号：___________________</w:t>
      </w:r>
    </w:p>
    <w:p>
      <w:pPr>
        <w:shd w:val="clear"/>
        <w:snapToGrid w:val="0"/>
        <w:spacing w:line="400" w:lineRule="exact"/>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签约时间：_________________  签约地点：___________________</w:t>
      </w:r>
    </w:p>
    <w:p>
      <w:pPr>
        <w:shd w:val="clear"/>
        <w:snapToGrid w:val="0"/>
        <w:spacing w:line="400" w:lineRule="exact"/>
        <w:ind w:firstLine="480" w:firstLineChars="200"/>
        <w:rPr>
          <w:rFonts w:ascii="宋体" w:hAnsi="宋体" w:cs="宋体"/>
          <w:color w:val="auto"/>
          <w:kern w:val="0"/>
          <w:sz w:val="24"/>
          <w:highlight w:val="none"/>
        </w:rPr>
      </w:pPr>
    </w:p>
    <w:p>
      <w:pPr>
        <w:shd w:val="clear"/>
        <w:snapToGrid w:val="0"/>
        <w:spacing w:line="400" w:lineRule="exact"/>
        <w:ind w:firstLine="480" w:firstLineChars="200"/>
        <w:rPr>
          <w:rFonts w:ascii="宋体" w:hAnsi="宋体" w:cs="宋体"/>
          <w:color w:val="auto"/>
          <w:kern w:val="0"/>
          <w:sz w:val="24"/>
          <w:highlight w:val="none"/>
        </w:rPr>
      </w:pPr>
    </w:p>
    <w:p>
      <w:pPr>
        <w:shd w:val="clear"/>
        <w:snapToGrid w:val="0"/>
        <w:spacing w:line="400" w:lineRule="exact"/>
        <w:ind w:firstLine="480" w:firstLineChars="200"/>
        <w:rPr>
          <w:rFonts w:ascii="宋体" w:hAnsi="宋体" w:cs="宋体"/>
          <w:color w:val="auto"/>
          <w:kern w:val="0"/>
          <w:sz w:val="24"/>
          <w:highlight w:val="none"/>
        </w:rPr>
      </w:pPr>
    </w:p>
    <w:p>
      <w:pPr>
        <w:shd w:val="clear"/>
        <w:snapToGrid w:val="0"/>
        <w:spacing w:line="400" w:lineRule="exact"/>
        <w:ind w:firstLine="480" w:firstLineChars="200"/>
        <w:rPr>
          <w:rFonts w:ascii="宋体" w:hAnsi="宋体" w:cs="宋体"/>
          <w:color w:val="auto"/>
          <w:kern w:val="0"/>
          <w:sz w:val="24"/>
          <w:highlight w:val="none"/>
        </w:rPr>
      </w:pPr>
    </w:p>
    <w:p>
      <w:pPr>
        <w:shd w:val="clear"/>
        <w:snapToGrid w:val="0"/>
        <w:spacing w:line="400" w:lineRule="exact"/>
        <w:ind w:firstLine="480" w:firstLineChars="200"/>
        <w:rPr>
          <w:rFonts w:ascii="宋体" w:hAnsi="宋体" w:cs="宋体"/>
          <w:color w:val="auto"/>
          <w:kern w:val="0"/>
          <w:sz w:val="24"/>
          <w:highlight w:val="none"/>
        </w:rPr>
      </w:pPr>
    </w:p>
    <w:p>
      <w:pPr>
        <w:shd w:val="clear"/>
        <w:snapToGrid w:val="0"/>
        <w:spacing w:line="400" w:lineRule="exact"/>
        <w:ind w:firstLine="480" w:firstLineChars="200"/>
        <w:rPr>
          <w:rFonts w:ascii="宋体" w:hAnsi="宋体" w:cs="宋体"/>
          <w:color w:val="auto"/>
          <w:kern w:val="0"/>
          <w:sz w:val="24"/>
          <w:highlight w:val="none"/>
        </w:rPr>
      </w:pPr>
    </w:p>
    <w:p>
      <w:pPr>
        <w:shd w:val="clear"/>
        <w:snapToGrid w:val="0"/>
        <w:spacing w:line="400" w:lineRule="exact"/>
        <w:ind w:firstLine="480" w:firstLineChars="200"/>
        <w:rPr>
          <w:rFonts w:ascii="宋体" w:hAnsi="宋体" w:cs="宋体"/>
          <w:color w:val="auto"/>
          <w:kern w:val="0"/>
          <w:sz w:val="24"/>
          <w:highlight w:val="none"/>
        </w:rPr>
      </w:pPr>
    </w:p>
    <w:p>
      <w:pPr>
        <w:shd w:val="clear"/>
        <w:snapToGrid w:val="0"/>
        <w:spacing w:line="400" w:lineRule="exact"/>
        <w:ind w:firstLine="480" w:firstLineChars="200"/>
        <w:rPr>
          <w:rFonts w:ascii="宋体" w:hAnsi="宋体" w:cs="宋体"/>
          <w:color w:val="auto"/>
          <w:kern w:val="0"/>
          <w:sz w:val="24"/>
          <w:highlight w:val="none"/>
        </w:rPr>
      </w:pPr>
    </w:p>
    <w:p>
      <w:pPr>
        <w:shd w:val="clear"/>
        <w:snapToGrid w:val="0"/>
        <w:spacing w:line="400" w:lineRule="exact"/>
        <w:ind w:firstLine="480" w:firstLineChars="200"/>
        <w:rPr>
          <w:rFonts w:ascii="宋体" w:hAnsi="宋体" w:cs="宋体"/>
          <w:color w:val="auto"/>
          <w:kern w:val="0"/>
          <w:sz w:val="24"/>
          <w:highlight w:val="none"/>
        </w:rPr>
      </w:pPr>
    </w:p>
    <w:p>
      <w:pPr>
        <w:shd w:val="clear"/>
        <w:snapToGrid w:val="0"/>
        <w:spacing w:line="400" w:lineRule="exact"/>
        <w:ind w:firstLine="480" w:firstLineChars="200"/>
        <w:rPr>
          <w:rFonts w:ascii="宋体" w:hAnsi="宋体" w:cs="宋体"/>
          <w:color w:val="auto"/>
          <w:kern w:val="0"/>
          <w:sz w:val="24"/>
          <w:highlight w:val="none"/>
        </w:rPr>
      </w:pPr>
    </w:p>
    <w:p>
      <w:pPr>
        <w:shd w:val="clear"/>
        <w:snapToGrid w:val="0"/>
        <w:spacing w:line="400" w:lineRule="exact"/>
        <w:ind w:firstLine="480" w:firstLineChars="200"/>
        <w:rPr>
          <w:rFonts w:ascii="宋体" w:hAnsi="宋体" w:cs="宋体"/>
          <w:color w:val="auto"/>
          <w:kern w:val="0"/>
          <w:sz w:val="24"/>
          <w:highlight w:val="none"/>
        </w:rPr>
      </w:pPr>
    </w:p>
    <w:p>
      <w:pPr>
        <w:shd w:val="clear"/>
        <w:snapToGrid w:val="0"/>
        <w:spacing w:line="400" w:lineRule="exact"/>
        <w:ind w:firstLine="480" w:firstLineChars="200"/>
        <w:rPr>
          <w:rFonts w:ascii="宋体" w:hAnsi="宋体" w:cs="宋体"/>
          <w:color w:val="auto"/>
          <w:kern w:val="0"/>
          <w:sz w:val="24"/>
          <w:highlight w:val="none"/>
        </w:rPr>
      </w:pPr>
    </w:p>
    <w:p>
      <w:pPr>
        <w:shd w:val="clear"/>
        <w:snapToGrid w:val="0"/>
        <w:spacing w:line="400" w:lineRule="exact"/>
        <w:ind w:firstLine="480" w:firstLineChars="200"/>
        <w:rPr>
          <w:rFonts w:ascii="宋体" w:hAnsi="宋体" w:cs="宋体"/>
          <w:color w:val="auto"/>
          <w:kern w:val="0"/>
          <w:sz w:val="24"/>
          <w:highlight w:val="none"/>
        </w:rPr>
      </w:pPr>
    </w:p>
    <w:p>
      <w:pPr>
        <w:shd w:val="clear"/>
        <w:snapToGrid w:val="0"/>
        <w:spacing w:line="400" w:lineRule="exact"/>
        <w:ind w:firstLine="480" w:firstLineChars="200"/>
        <w:rPr>
          <w:rFonts w:ascii="宋体" w:hAnsi="宋体" w:cs="宋体"/>
          <w:color w:val="auto"/>
          <w:kern w:val="0"/>
          <w:sz w:val="24"/>
          <w:highlight w:val="none"/>
        </w:rPr>
      </w:pPr>
    </w:p>
    <w:p>
      <w:pPr>
        <w:shd w:val="clear"/>
        <w:snapToGrid w:val="0"/>
        <w:spacing w:line="400" w:lineRule="exact"/>
        <w:ind w:firstLine="480" w:firstLineChars="200"/>
        <w:rPr>
          <w:rFonts w:ascii="宋体" w:hAnsi="宋体" w:cs="宋体"/>
          <w:color w:val="auto"/>
          <w:kern w:val="0"/>
          <w:sz w:val="24"/>
          <w:highlight w:val="none"/>
        </w:rPr>
      </w:pPr>
    </w:p>
    <w:p>
      <w:pPr>
        <w:shd w:val="clear"/>
        <w:snapToGrid w:val="0"/>
        <w:spacing w:line="400" w:lineRule="exact"/>
        <w:ind w:firstLine="480" w:firstLineChars="200"/>
        <w:rPr>
          <w:rFonts w:ascii="宋体" w:hAnsi="宋体" w:cs="宋体"/>
          <w:color w:val="auto"/>
          <w:kern w:val="0"/>
          <w:sz w:val="24"/>
          <w:highlight w:val="none"/>
        </w:rPr>
      </w:pPr>
    </w:p>
    <w:p>
      <w:pPr>
        <w:shd w:val="clear"/>
        <w:snapToGrid w:val="0"/>
        <w:spacing w:line="400" w:lineRule="exact"/>
        <w:ind w:firstLine="480" w:firstLineChars="200"/>
        <w:rPr>
          <w:rFonts w:ascii="宋体" w:hAnsi="宋体" w:cs="宋体"/>
          <w:color w:val="auto"/>
          <w:kern w:val="0"/>
          <w:sz w:val="24"/>
          <w:highlight w:val="none"/>
        </w:rPr>
      </w:pPr>
    </w:p>
    <w:p>
      <w:pPr>
        <w:shd w:val="clear"/>
        <w:snapToGrid w:val="0"/>
        <w:spacing w:line="400" w:lineRule="exact"/>
        <w:rPr>
          <w:rFonts w:ascii="宋体" w:hAnsi="宋体" w:cs="宋体"/>
          <w:color w:val="auto"/>
          <w:kern w:val="0"/>
          <w:sz w:val="24"/>
          <w:highlight w:val="none"/>
        </w:rPr>
      </w:pPr>
    </w:p>
    <w:p>
      <w:pPr>
        <w:pStyle w:val="2"/>
        <w:shd w:val="clear"/>
        <w:rPr>
          <w:rFonts w:ascii="宋体" w:hAnsi="宋体" w:cs="宋体"/>
          <w:color w:val="auto"/>
          <w:kern w:val="0"/>
          <w:sz w:val="24"/>
          <w:highlight w:val="none"/>
        </w:rPr>
      </w:pPr>
    </w:p>
    <w:p>
      <w:pPr>
        <w:pStyle w:val="3"/>
        <w:shd w:val="clear"/>
        <w:rPr>
          <w:rFonts w:ascii="宋体" w:hAnsi="宋体" w:cs="宋体"/>
          <w:color w:val="auto"/>
          <w:kern w:val="0"/>
          <w:sz w:val="24"/>
          <w:highlight w:val="none"/>
        </w:rPr>
      </w:pPr>
    </w:p>
    <w:p>
      <w:pPr>
        <w:pStyle w:val="4"/>
        <w:rPr>
          <w:rFonts w:ascii="宋体" w:hAnsi="宋体" w:cs="宋体"/>
          <w:color w:val="auto"/>
          <w:kern w:val="0"/>
          <w:sz w:val="24"/>
          <w:highlight w:val="none"/>
        </w:rPr>
      </w:pPr>
    </w:p>
    <w:p>
      <w:pPr>
        <w:rPr>
          <w:rFonts w:ascii="宋体" w:hAnsi="宋体" w:cs="宋体"/>
          <w:color w:val="auto"/>
          <w:kern w:val="0"/>
          <w:sz w:val="24"/>
          <w:highlight w:val="none"/>
        </w:rPr>
      </w:pPr>
    </w:p>
    <w:p>
      <w:pPr>
        <w:pStyle w:val="2"/>
      </w:pPr>
    </w:p>
    <w:p>
      <w:pPr>
        <w:pStyle w:val="4"/>
        <w:shd w:val="clear"/>
        <w:rPr>
          <w:rFonts w:ascii="宋体" w:hAnsi="宋体" w:cs="宋体"/>
          <w:color w:val="auto"/>
          <w:kern w:val="0"/>
          <w:sz w:val="24"/>
          <w:highlight w:val="none"/>
        </w:rPr>
      </w:pPr>
    </w:p>
    <w:p>
      <w:pPr>
        <w:shd w:val="clear"/>
        <w:rPr>
          <w:rFonts w:ascii="宋体" w:hAnsi="宋体" w:cs="宋体"/>
          <w:color w:val="auto"/>
          <w:kern w:val="0"/>
          <w:sz w:val="24"/>
          <w:highlight w:val="none"/>
        </w:rPr>
      </w:pPr>
    </w:p>
    <w:p>
      <w:pPr>
        <w:shd w:val="clear"/>
        <w:rPr>
          <w:color w:val="auto"/>
          <w:highlight w:val="none"/>
        </w:rPr>
      </w:pPr>
    </w:p>
    <w:p>
      <w:pPr>
        <w:pStyle w:val="5"/>
        <w:shd w:val="clear"/>
        <w:jc w:val="center"/>
        <w:rPr>
          <w:rFonts w:ascii="宋体" w:hAnsi="宋体" w:cs="宋体"/>
          <w:color w:val="auto"/>
          <w:sz w:val="36"/>
          <w:szCs w:val="36"/>
          <w:highlight w:val="none"/>
        </w:rPr>
      </w:pPr>
      <w:bookmarkStart w:id="137" w:name="_Toc12062"/>
      <w:bookmarkStart w:id="138" w:name="_Toc14425"/>
      <w:bookmarkStart w:id="139" w:name="_Toc23023"/>
      <w:bookmarkStart w:id="140" w:name="_Toc4405"/>
      <w:r>
        <w:rPr>
          <w:rFonts w:hint="eastAsia" w:ascii="宋体" w:hAnsi="宋体" w:cs="宋体"/>
          <w:color w:val="auto"/>
          <w:sz w:val="36"/>
          <w:szCs w:val="36"/>
          <w:highlight w:val="none"/>
        </w:rPr>
        <w:t>第八章  投标文件部分格式</w:t>
      </w:r>
      <w:bookmarkEnd w:id="131"/>
      <w:bookmarkEnd w:id="132"/>
      <w:bookmarkEnd w:id="133"/>
      <w:bookmarkEnd w:id="134"/>
      <w:bookmarkEnd w:id="135"/>
      <w:bookmarkEnd w:id="136"/>
      <w:bookmarkEnd w:id="137"/>
      <w:bookmarkEnd w:id="138"/>
      <w:bookmarkEnd w:id="139"/>
      <w:bookmarkEnd w:id="140"/>
    </w:p>
    <w:p>
      <w:pPr>
        <w:pStyle w:val="17"/>
        <w:shd w:val="clear"/>
        <w:spacing w:before="156" w:beforeLines="50" w:after="156" w:afterLines="50" w:line="600" w:lineRule="exact"/>
        <w:rPr>
          <w:rFonts w:ascii="宋体" w:hAnsi="宋体" w:cs="宋体"/>
          <w:color w:val="auto"/>
          <w:highlight w:val="none"/>
        </w:rPr>
      </w:pPr>
      <w:r>
        <w:rPr>
          <w:rFonts w:hint="eastAsia" w:ascii="宋体" w:hAnsi="宋体" w:cs="宋体"/>
          <w:color w:val="auto"/>
          <w:highlight w:val="none"/>
        </w:rPr>
        <w:t>一、技术标部分格式：</w:t>
      </w:r>
    </w:p>
    <w:p>
      <w:pPr>
        <w:shd w:val="clear"/>
        <w:tabs>
          <w:tab w:val="left" w:pos="1050"/>
        </w:tabs>
        <w:spacing w:line="520" w:lineRule="exact"/>
        <w:ind w:left="528"/>
        <w:rPr>
          <w:rFonts w:hint="eastAsia" w:ascii="宋体" w:hAnsi="宋体" w:cs="宋体"/>
          <w:color w:val="auto"/>
          <w:sz w:val="24"/>
          <w:highlight w:val="none"/>
        </w:rPr>
      </w:pPr>
      <w:r>
        <w:rPr>
          <w:rFonts w:hint="eastAsia" w:ascii="宋体" w:hAnsi="宋体" w:cs="宋体"/>
          <w:color w:val="auto"/>
          <w:sz w:val="24"/>
          <w:highlight w:val="none"/>
        </w:rPr>
        <w:t>1.投标文件封面格式</w:t>
      </w:r>
    </w:p>
    <w:p>
      <w:pPr>
        <w:shd w:val="clear"/>
        <w:tabs>
          <w:tab w:val="left" w:pos="1050"/>
        </w:tabs>
        <w:spacing w:line="520" w:lineRule="exact"/>
        <w:ind w:left="528"/>
        <w:rPr>
          <w:rFonts w:hint="eastAsia" w:ascii="宋体" w:hAnsi="宋体" w:cs="宋体"/>
          <w:color w:val="auto"/>
          <w:sz w:val="24"/>
          <w:highlight w:val="none"/>
        </w:rPr>
      </w:pPr>
      <w:r>
        <w:rPr>
          <w:rFonts w:hint="eastAsia" w:ascii="宋体" w:hAnsi="宋体" w:cs="宋体"/>
          <w:color w:val="auto"/>
          <w:sz w:val="24"/>
          <w:highlight w:val="none"/>
        </w:rPr>
        <w:t>2.关于资格的声明函格式</w:t>
      </w:r>
    </w:p>
    <w:p>
      <w:pPr>
        <w:shd w:val="clear"/>
        <w:tabs>
          <w:tab w:val="left" w:pos="1050"/>
        </w:tabs>
        <w:spacing w:line="520" w:lineRule="exact"/>
        <w:ind w:left="528"/>
        <w:rPr>
          <w:rFonts w:hint="eastAsia" w:ascii="宋体" w:hAnsi="宋体" w:cs="宋体"/>
          <w:color w:val="auto"/>
          <w:sz w:val="24"/>
          <w:highlight w:val="none"/>
        </w:rPr>
      </w:pPr>
      <w:r>
        <w:rPr>
          <w:rFonts w:hint="eastAsia" w:ascii="宋体" w:hAnsi="宋体" w:cs="宋体"/>
          <w:color w:val="auto"/>
          <w:sz w:val="24"/>
          <w:highlight w:val="none"/>
        </w:rPr>
        <w:t>3.法定代表人说明书格式</w:t>
      </w:r>
    </w:p>
    <w:p>
      <w:pPr>
        <w:shd w:val="clear"/>
        <w:tabs>
          <w:tab w:val="left" w:pos="1050"/>
        </w:tabs>
        <w:spacing w:line="520" w:lineRule="exact"/>
        <w:ind w:left="528"/>
        <w:rPr>
          <w:rFonts w:hint="eastAsia" w:ascii="宋体" w:hAnsi="宋体" w:cs="宋体"/>
          <w:color w:val="auto"/>
          <w:sz w:val="24"/>
          <w:highlight w:val="none"/>
        </w:rPr>
      </w:pPr>
      <w:r>
        <w:rPr>
          <w:rFonts w:hint="eastAsia" w:ascii="宋体" w:hAnsi="宋体" w:cs="宋体"/>
          <w:color w:val="auto"/>
          <w:sz w:val="24"/>
          <w:highlight w:val="none"/>
        </w:rPr>
        <w:t>4.法定代表人授权书格式</w:t>
      </w:r>
    </w:p>
    <w:p>
      <w:pPr>
        <w:shd w:val="clear"/>
        <w:tabs>
          <w:tab w:val="left" w:pos="1050"/>
        </w:tabs>
        <w:spacing w:line="520" w:lineRule="exact"/>
        <w:ind w:left="528"/>
        <w:rPr>
          <w:rFonts w:hint="eastAsia" w:ascii="宋体" w:hAnsi="宋体" w:cs="宋体"/>
          <w:color w:val="auto"/>
          <w:sz w:val="24"/>
          <w:highlight w:val="none"/>
        </w:rPr>
      </w:pPr>
      <w:r>
        <w:rPr>
          <w:rFonts w:hint="eastAsia" w:ascii="宋体" w:hAnsi="宋体" w:cs="宋体"/>
          <w:color w:val="auto"/>
          <w:sz w:val="24"/>
          <w:highlight w:val="none"/>
          <w:lang w:val="en-US" w:eastAsia="zh-CN"/>
        </w:rPr>
        <w:t>5</w:t>
      </w:r>
      <w:r>
        <w:rPr>
          <w:rFonts w:hint="eastAsia" w:ascii="宋体" w:hAnsi="宋体" w:cs="宋体"/>
          <w:color w:val="auto"/>
          <w:sz w:val="24"/>
          <w:highlight w:val="none"/>
        </w:rPr>
        <w:t xml:space="preserve">.中小企业声明函格式 </w:t>
      </w:r>
    </w:p>
    <w:p>
      <w:pPr>
        <w:shd w:val="clear"/>
        <w:tabs>
          <w:tab w:val="left" w:pos="1050"/>
        </w:tabs>
        <w:spacing w:line="520" w:lineRule="exact"/>
        <w:ind w:left="528"/>
        <w:rPr>
          <w:rFonts w:hint="eastAsia" w:ascii="宋体" w:hAnsi="宋体" w:cs="宋体"/>
          <w:color w:val="auto"/>
          <w:sz w:val="24"/>
          <w:highlight w:val="none"/>
        </w:rPr>
      </w:pPr>
      <w:r>
        <w:rPr>
          <w:rFonts w:hint="eastAsia" w:ascii="宋体" w:hAnsi="宋体" w:cs="宋体"/>
          <w:color w:val="auto"/>
          <w:sz w:val="24"/>
          <w:highlight w:val="none"/>
          <w:lang w:val="en-US" w:eastAsia="zh-CN"/>
        </w:rPr>
        <w:t>6</w:t>
      </w:r>
      <w:r>
        <w:rPr>
          <w:rFonts w:hint="eastAsia" w:ascii="宋体" w:hAnsi="宋体" w:cs="宋体"/>
          <w:color w:val="auto"/>
          <w:sz w:val="24"/>
          <w:highlight w:val="none"/>
        </w:rPr>
        <w:t>.残疾人福利企业声明函格式</w:t>
      </w:r>
    </w:p>
    <w:p>
      <w:pPr>
        <w:shd w:val="clear"/>
        <w:tabs>
          <w:tab w:val="left" w:pos="1050"/>
        </w:tabs>
        <w:spacing w:line="520" w:lineRule="exact"/>
        <w:ind w:left="528"/>
        <w:rPr>
          <w:rFonts w:hint="eastAsia" w:ascii="宋体" w:hAnsi="宋体" w:cs="宋体"/>
          <w:color w:val="auto"/>
          <w:sz w:val="24"/>
          <w:highlight w:val="none"/>
        </w:rPr>
      </w:pPr>
      <w:r>
        <w:rPr>
          <w:rFonts w:hint="eastAsia" w:ascii="宋体" w:hAnsi="宋体" w:cs="宋体"/>
          <w:color w:val="auto"/>
          <w:sz w:val="24"/>
          <w:highlight w:val="none"/>
          <w:lang w:val="en-US" w:eastAsia="zh-CN"/>
        </w:rPr>
        <w:t>7</w:t>
      </w:r>
      <w:r>
        <w:rPr>
          <w:rFonts w:hint="eastAsia" w:ascii="宋体" w:hAnsi="宋体" w:cs="宋体"/>
          <w:color w:val="auto"/>
          <w:sz w:val="24"/>
          <w:highlight w:val="none"/>
        </w:rPr>
        <w:t>.监狱企业声明函格式</w:t>
      </w:r>
    </w:p>
    <w:p>
      <w:pPr>
        <w:shd w:val="clear"/>
        <w:tabs>
          <w:tab w:val="left" w:pos="1050"/>
        </w:tabs>
        <w:spacing w:line="520" w:lineRule="exact"/>
        <w:ind w:left="528"/>
        <w:rPr>
          <w:rFonts w:hint="eastAsia" w:ascii="宋体" w:hAnsi="宋体" w:cs="宋体"/>
          <w:color w:val="auto"/>
          <w:sz w:val="24"/>
          <w:highlight w:val="none"/>
        </w:rPr>
      </w:pPr>
      <w:r>
        <w:rPr>
          <w:rFonts w:hint="eastAsia" w:ascii="宋体" w:hAnsi="宋体" w:cs="宋体"/>
          <w:color w:val="auto"/>
          <w:sz w:val="24"/>
          <w:highlight w:val="none"/>
          <w:lang w:val="en-US" w:eastAsia="zh-CN"/>
        </w:rPr>
        <w:t>8</w:t>
      </w:r>
      <w:r>
        <w:rPr>
          <w:rFonts w:hint="eastAsia" w:ascii="宋体" w:hAnsi="宋体" w:cs="宋体"/>
          <w:color w:val="auto"/>
          <w:sz w:val="24"/>
          <w:highlight w:val="none"/>
        </w:rPr>
        <w:t>.拟投入本项目人员表格式</w:t>
      </w:r>
    </w:p>
    <w:p>
      <w:pPr>
        <w:shd w:val="clear"/>
        <w:tabs>
          <w:tab w:val="left" w:pos="1050"/>
        </w:tabs>
        <w:spacing w:line="520" w:lineRule="exact"/>
        <w:ind w:left="528"/>
        <w:rPr>
          <w:rFonts w:hint="eastAsia" w:ascii="宋体" w:hAnsi="宋体" w:cs="宋体"/>
          <w:color w:val="auto"/>
          <w:sz w:val="24"/>
          <w:highlight w:val="none"/>
        </w:rPr>
      </w:pPr>
      <w:r>
        <w:rPr>
          <w:rFonts w:hint="eastAsia" w:ascii="宋体" w:hAnsi="宋体" w:cs="宋体"/>
          <w:color w:val="auto"/>
          <w:sz w:val="24"/>
          <w:highlight w:val="none"/>
          <w:lang w:val="en-US" w:eastAsia="zh-CN"/>
        </w:rPr>
        <w:t>9</w:t>
      </w:r>
      <w:r>
        <w:rPr>
          <w:rFonts w:hint="eastAsia" w:ascii="宋体" w:hAnsi="宋体" w:cs="宋体"/>
          <w:color w:val="auto"/>
          <w:sz w:val="24"/>
          <w:highlight w:val="none"/>
        </w:rPr>
        <w:t>.拟投入本项目设备一览表</w:t>
      </w:r>
    </w:p>
    <w:p>
      <w:pPr>
        <w:shd w:val="clear"/>
        <w:tabs>
          <w:tab w:val="left" w:pos="1050"/>
        </w:tabs>
        <w:spacing w:line="520" w:lineRule="exact"/>
        <w:ind w:left="528"/>
        <w:rPr>
          <w:rFonts w:hint="eastAsia" w:ascii="宋体" w:hAnsi="宋体" w:cs="宋体"/>
          <w:color w:val="auto"/>
          <w:sz w:val="24"/>
          <w:highlight w:val="none"/>
        </w:rPr>
      </w:pPr>
      <w:r>
        <w:rPr>
          <w:rFonts w:hint="eastAsia" w:ascii="宋体" w:hAnsi="宋体" w:cs="宋体"/>
          <w:color w:val="auto"/>
          <w:sz w:val="24"/>
          <w:highlight w:val="none"/>
          <w:lang w:val="en-US" w:eastAsia="zh-CN"/>
        </w:rPr>
        <w:t>10</w:t>
      </w:r>
      <w:r>
        <w:rPr>
          <w:rFonts w:hint="eastAsia" w:ascii="宋体" w:hAnsi="宋体" w:cs="宋体"/>
          <w:color w:val="auto"/>
          <w:sz w:val="24"/>
          <w:highlight w:val="none"/>
        </w:rPr>
        <w:t>.服务承诺书格式</w:t>
      </w:r>
    </w:p>
    <w:p>
      <w:pPr>
        <w:shd w:val="clear"/>
        <w:tabs>
          <w:tab w:val="left" w:pos="1050"/>
        </w:tabs>
        <w:spacing w:line="520" w:lineRule="exact"/>
        <w:ind w:left="528"/>
        <w:rPr>
          <w:rFonts w:hint="eastAsia" w:ascii="宋体" w:hAnsi="宋体" w:cs="宋体"/>
          <w:color w:val="auto"/>
          <w:sz w:val="24"/>
          <w:highlight w:val="none"/>
        </w:rPr>
      </w:pPr>
      <w:r>
        <w:rPr>
          <w:rFonts w:hint="eastAsia" w:ascii="宋体" w:hAnsi="宋体" w:cs="宋体"/>
          <w:color w:val="auto"/>
          <w:sz w:val="24"/>
          <w:highlight w:val="none"/>
          <w:lang w:val="en-US" w:eastAsia="zh-CN"/>
        </w:rPr>
        <w:t>11</w:t>
      </w:r>
      <w:r>
        <w:rPr>
          <w:rFonts w:hint="eastAsia" w:ascii="宋体" w:hAnsi="宋体" w:cs="宋体"/>
          <w:color w:val="auto"/>
          <w:sz w:val="24"/>
          <w:highlight w:val="none"/>
        </w:rPr>
        <w:t>.义乌市政府采购项目投标承诺书</w:t>
      </w:r>
    </w:p>
    <w:p>
      <w:pPr>
        <w:shd w:val="clear"/>
        <w:spacing w:line="440" w:lineRule="exact"/>
        <w:ind w:firstLine="480" w:firstLineChars="200"/>
        <w:rPr>
          <w:rFonts w:ascii="宋体" w:hAnsi="宋体" w:cs="宋体"/>
          <w:color w:val="auto"/>
          <w:sz w:val="24"/>
          <w:highlight w:val="none"/>
        </w:rPr>
      </w:pPr>
    </w:p>
    <w:p>
      <w:pPr>
        <w:pStyle w:val="17"/>
        <w:shd w:val="clear"/>
        <w:spacing w:before="156" w:beforeLines="50" w:after="156" w:afterLines="50" w:line="600" w:lineRule="exact"/>
        <w:rPr>
          <w:rFonts w:ascii="宋体" w:hAnsi="宋体" w:cs="宋体"/>
          <w:color w:val="auto"/>
          <w:highlight w:val="none"/>
        </w:rPr>
      </w:pPr>
      <w:r>
        <w:rPr>
          <w:rFonts w:hint="eastAsia" w:ascii="宋体" w:hAnsi="宋体" w:cs="宋体"/>
          <w:color w:val="auto"/>
          <w:highlight w:val="none"/>
        </w:rPr>
        <w:t>二、商务标投标文件部分格式：</w:t>
      </w:r>
    </w:p>
    <w:p>
      <w:pPr>
        <w:shd w:val="clear"/>
        <w:tabs>
          <w:tab w:val="left" w:pos="1050"/>
        </w:tabs>
        <w:spacing w:line="520" w:lineRule="exact"/>
        <w:ind w:left="528"/>
        <w:rPr>
          <w:rFonts w:ascii="宋体" w:hAnsi="宋体" w:cs="宋体"/>
          <w:color w:val="auto"/>
          <w:sz w:val="24"/>
          <w:highlight w:val="none"/>
        </w:rPr>
      </w:pPr>
      <w:r>
        <w:rPr>
          <w:rFonts w:hint="eastAsia" w:ascii="宋体" w:hAnsi="宋体" w:cs="宋体"/>
          <w:color w:val="auto"/>
          <w:sz w:val="24"/>
          <w:highlight w:val="none"/>
        </w:rPr>
        <w:t>1</w:t>
      </w:r>
      <w:r>
        <w:rPr>
          <w:rFonts w:hint="eastAsia" w:ascii="宋体" w:hAnsi="宋体" w:cs="宋体"/>
          <w:color w:val="auto"/>
          <w:kern w:val="0"/>
          <w:sz w:val="24"/>
          <w:highlight w:val="none"/>
        </w:rPr>
        <w:t>.</w:t>
      </w:r>
      <w:r>
        <w:rPr>
          <w:rFonts w:hint="eastAsia" w:ascii="宋体" w:hAnsi="宋体" w:cs="宋体"/>
          <w:color w:val="auto"/>
          <w:sz w:val="24"/>
          <w:highlight w:val="none"/>
        </w:rPr>
        <w:t>投标函格式</w:t>
      </w:r>
    </w:p>
    <w:p>
      <w:pPr>
        <w:shd w:val="clear"/>
        <w:tabs>
          <w:tab w:val="left" w:pos="1080"/>
        </w:tabs>
        <w:spacing w:line="520" w:lineRule="exact"/>
        <w:ind w:left="528"/>
        <w:rPr>
          <w:rFonts w:ascii="宋体" w:hAnsi="宋体" w:cs="宋体"/>
          <w:color w:val="auto"/>
          <w:sz w:val="24"/>
          <w:highlight w:val="none"/>
        </w:rPr>
      </w:pPr>
      <w:r>
        <w:rPr>
          <w:rFonts w:hint="eastAsia" w:ascii="宋体" w:hAnsi="宋体" w:cs="宋体"/>
          <w:color w:val="auto"/>
          <w:sz w:val="24"/>
          <w:highlight w:val="none"/>
        </w:rPr>
        <w:t>2</w:t>
      </w:r>
      <w:r>
        <w:rPr>
          <w:rFonts w:hint="eastAsia" w:ascii="宋体" w:hAnsi="宋体" w:cs="宋体"/>
          <w:color w:val="auto"/>
          <w:kern w:val="0"/>
          <w:sz w:val="24"/>
          <w:highlight w:val="none"/>
        </w:rPr>
        <w:t>.</w:t>
      </w:r>
      <w:r>
        <w:rPr>
          <w:rFonts w:hint="eastAsia" w:ascii="宋体" w:hAnsi="宋体" w:cs="宋体"/>
          <w:color w:val="auto"/>
          <w:sz w:val="24"/>
          <w:highlight w:val="none"/>
        </w:rPr>
        <w:t>报价一览表格式</w:t>
      </w:r>
    </w:p>
    <w:p>
      <w:pPr>
        <w:shd w:val="clear"/>
        <w:tabs>
          <w:tab w:val="left" w:pos="1080"/>
        </w:tabs>
        <w:spacing w:line="520" w:lineRule="exact"/>
        <w:ind w:left="528"/>
        <w:rPr>
          <w:rFonts w:ascii="宋体" w:hAnsi="宋体" w:cs="宋体"/>
          <w:color w:val="auto"/>
          <w:sz w:val="24"/>
          <w:highlight w:val="none"/>
        </w:rPr>
      </w:pPr>
    </w:p>
    <w:p>
      <w:pPr>
        <w:shd w:val="clear"/>
        <w:rPr>
          <w:rFonts w:ascii="宋体" w:hAnsi="宋体" w:cs="宋体"/>
          <w:color w:val="auto"/>
          <w:sz w:val="30"/>
          <w:szCs w:val="30"/>
          <w:highlight w:val="none"/>
        </w:rPr>
      </w:pPr>
    </w:p>
    <w:p>
      <w:pPr>
        <w:shd w:val="clear"/>
        <w:rPr>
          <w:rFonts w:ascii="宋体" w:hAnsi="宋体" w:cs="宋体"/>
          <w:color w:val="auto"/>
          <w:sz w:val="30"/>
          <w:szCs w:val="30"/>
          <w:highlight w:val="none"/>
        </w:rPr>
      </w:pPr>
    </w:p>
    <w:p>
      <w:pPr>
        <w:pStyle w:val="25"/>
        <w:shd w:val="clear"/>
        <w:rPr>
          <w:rFonts w:ascii="宋体" w:hAnsi="宋体" w:cs="宋体"/>
          <w:color w:val="auto"/>
          <w:highlight w:val="none"/>
        </w:rPr>
      </w:pPr>
    </w:p>
    <w:p>
      <w:pPr>
        <w:pStyle w:val="25"/>
        <w:shd w:val="clear"/>
        <w:rPr>
          <w:rFonts w:ascii="宋体" w:hAnsi="宋体" w:cs="宋体"/>
          <w:color w:val="auto"/>
          <w:highlight w:val="none"/>
        </w:rPr>
      </w:pPr>
    </w:p>
    <w:p>
      <w:pPr>
        <w:pStyle w:val="11"/>
        <w:shd w:val="clear"/>
        <w:rPr>
          <w:rFonts w:ascii="宋体" w:hAnsi="宋体" w:cs="宋体"/>
          <w:color w:val="auto"/>
          <w:highlight w:val="none"/>
        </w:rPr>
      </w:pPr>
    </w:p>
    <w:p>
      <w:pPr>
        <w:pStyle w:val="11"/>
        <w:shd w:val="clear"/>
        <w:rPr>
          <w:rFonts w:ascii="宋体" w:hAnsi="宋体" w:cs="宋体"/>
          <w:color w:val="auto"/>
          <w:highlight w:val="none"/>
        </w:rPr>
      </w:pPr>
    </w:p>
    <w:p>
      <w:pPr>
        <w:pStyle w:val="11"/>
        <w:shd w:val="clear"/>
        <w:ind w:left="0" w:leftChars="0" w:firstLine="0" w:firstLineChars="0"/>
        <w:rPr>
          <w:rFonts w:ascii="宋体" w:hAnsi="宋体" w:cs="宋体"/>
          <w:color w:val="auto"/>
          <w:highlight w:val="none"/>
        </w:rPr>
      </w:pPr>
    </w:p>
    <w:p>
      <w:pPr>
        <w:shd w:val="clear"/>
        <w:rPr>
          <w:rFonts w:ascii="宋体" w:hAnsi="宋体" w:cs="宋体"/>
          <w:color w:val="auto"/>
          <w:sz w:val="52"/>
          <w:szCs w:val="52"/>
          <w:highlight w:val="none"/>
          <w:u w:val="single"/>
        </w:rPr>
      </w:pPr>
      <w:r>
        <w:rPr>
          <w:rFonts w:hint="eastAsia" w:ascii="宋体" w:hAnsi="宋体" w:cs="宋体"/>
          <w:b/>
          <w:bCs/>
          <w:color w:val="auto"/>
          <w:sz w:val="28"/>
          <w:szCs w:val="28"/>
          <w:highlight w:val="none"/>
        </w:rPr>
        <w:t>封面格式</w:t>
      </w:r>
    </w:p>
    <w:p>
      <w:pPr>
        <w:shd w:val="clear"/>
        <w:jc w:val="center"/>
        <w:rPr>
          <w:rFonts w:ascii="宋体" w:hAnsi="宋体" w:cs="宋体"/>
          <w:color w:val="auto"/>
          <w:sz w:val="24"/>
          <w:highlight w:val="none"/>
          <w:u w:val="single"/>
        </w:rPr>
      </w:pPr>
    </w:p>
    <w:p>
      <w:pPr>
        <w:pStyle w:val="25"/>
        <w:shd w:val="clear"/>
        <w:rPr>
          <w:rFonts w:ascii="宋体" w:hAnsi="宋体" w:cs="宋体"/>
          <w:color w:val="auto"/>
          <w:highlight w:val="none"/>
        </w:rPr>
      </w:pPr>
    </w:p>
    <w:p>
      <w:pPr>
        <w:shd w:val="clear"/>
        <w:jc w:val="center"/>
        <w:rPr>
          <w:rFonts w:ascii="宋体" w:hAnsi="宋体" w:cs="宋体"/>
          <w:color w:val="auto"/>
          <w:sz w:val="24"/>
          <w:highlight w:val="none"/>
          <w:u w:val="single"/>
        </w:rPr>
      </w:pPr>
    </w:p>
    <w:p>
      <w:pPr>
        <w:shd w:val="clear"/>
        <w:jc w:val="center"/>
        <w:rPr>
          <w:rFonts w:ascii="宋体" w:hAnsi="宋体" w:cs="宋体"/>
          <w:color w:val="auto"/>
          <w:sz w:val="52"/>
          <w:szCs w:val="52"/>
          <w:highlight w:val="none"/>
        </w:rPr>
      </w:pPr>
      <w:r>
        <w:rPr>
          <w:rFonts w:hint="eastAsia" w:ascii="宋体" w:hAnsi="宋体" w:cs="宋体"/>
          <w:color w:val="auto"/>
          <w:sz w:val="52"/>
          <w:szCs w:val="52"/>
          <w:highlight w:val="none"/>
          <w:u w:val="single"/>
        </w:rPr>
        <w:t xml:space="preserve">                        </w:t>
      </w:r>
      <w:r>
        <w:rPr>
          <w:rFonts w:hint="eastAsia" w:ascii="宋体" w:hAnsi="宋体" w:cs="宋体"/>
          <w:color w:val="auto"/>
          <w:sz w:val="52"/>
          <w:szCs w:val="52"/>
          <w:highlight w:val="none"/>
        </w:rPr>
        <w:t>项目</w:t>
      </w:r>
    </w:p>
    <w:p>
      <w:pPr>
        <w:shd w:val="clear"/>
        <w:rPr>
          <w:rFonts w:ascii="宋体" w:hAnsi="宋体" w:cs="宋体"/>
          <w:color w:val="auto"/>
          <w:sz w:val="52"/>
          <w:szCs w:val="52"/>
          <w:highlight w:val="none"/>
        </w:rPr>
      </w:pPr>
    </w:p>
    <w:p>
      <w:pPr>
        <w:shd w:val="clear"/>
        <w:jc w:val="center"/>
        <w:rPr>
          <w:rFonts w:ascii="宋体" w:hAnsi="宋体" w:cs="宋体"/>
          <w:b/>
          <w:bCs/>
          <w:color w:val="auto"/>
          <w:sz w:val="72"/>
          <w:szCs w:val="72"/>
          <w:highlight w:val="none"/>
        </w:rPr>
      </w:pPr>
      <w:r>
        <w:rPr>
          <w:rFonts w:hint="eastAsia" w:ascii="宋体" w:hAnsi="宋体" w:cs="宋体"/>
          <w:b/>
          <w:bCs/>
          <w:color w:val="auto"/>
          <w:sz w:val="72"/>
          <w:szCs w:val="72"/>
          <w:highlight w:val="none"/>
        </w:rPr>
        <w:t>投标文件</w:t>
      </w:r>
    </w:p>
    <w:p>
      <w:pPr>
        <w:shd w:val="clear"/>
        <w:jc w:val="center"/>
        <w:rPr>
          <w:rFonts w:ascii="宋体" w:hAnsi="宋体" w:cs="宋体"/>
          <w:b/>
          <w:bCs/>
          <w:color w:val="auto"/>
          <w:sz w:val="28"/>
          <w:szCs w:val="28"/>
          <w:highlight w:val="none"/>
        </w:rPr>
      </w:pPr>
      <w:r>
        <w:rPr>
          <w:rFonts w:hint="eastAsia" w:ascii="宋体" w:hAnsi="宋体" w:cs="宋体"/>
          <w:b/>
          <w:bCs/>
          <w:color w:val="auto"/>
          <w:sz w:val="28"/>
          <w:szCs w:val="28"/>
          <w:highlight w:val="none"/>
        </w:rPr>
        <w:t>（采购编号：     ）</w:t>
      </w:r>
    </w:p>
    <w:p>
      <w:pPr>
        <w:shd w:val="clear"/>
        <w:jc w:val="center"/>
        <w:rPr>
          <w:rFonts w:ascii="宋体" w:hAnsi="宋体" w:cs="宋体"/>
          <w:b/>
          <w:bCs/>
          <w:color w:val="auto"/>
          <w:sz w:val="28"/>
          <w:szCs w:val="28"/>
          <w:highlight w:val="none"/>
        </w:rPr>
      </w:pPr>
    </w:p>
    <w:p>
      <w:pPr>
        <w:shd w:val="clear"/>
        <w:jc w:val="center"/>
        <w:rPr>
          <w:rFonts w:ascii="宋体" w:hAnsi="宋体" w:cs="宋体"/>
          <w:b/>
          <w:bCs/>
          <w:color w:val="auto"/>
          <w:sz w:val="28"/>
          <w:szCs w:val="28"/>
          <w:highlight w:val="none"/>
        </w:rPr>
      </w:pPr>
    </w:p>
    <w:p>
      <w:pPr>
        <w:shd w:val="clear"/>
        <w:jc w:val="center"/>
        <w:rPr>
          <w:rFonts w:ascii="宋体" w:hAnsi="宋体" w:cs="宋体"/>
          <w:b/>
          <w:bCs/>
          <w:color w:val="auto"/>
          <w:sz w:val="28"/>
          <w:szCs w:val="28"/>
          <w:highlight w:val="none"/>
        </w:rPr>
      </w:pPr>
    </w:p>
    <w:p>
      <w:pPr>
        <w:shd w:val="clear"/>
        <w:jc w:val="center"/>
        <w:rPr>
          <w:rFonts w:ascii="宋体" w:hAnsi="宋体" w:cs="宋体"/>
          <w:b/>
          <w:bCs/>
          <w:color w:val="auto"/>
          <w:sz w:val="28"/>
          <w:szCs w:val="28"/>
          <w:highlight w:val="none"/>
        </w:rPr>
      </w:pPr>
    </w:p>
    <w:p>
      <w:pPr>
        <w:shd w:val="clear"/>
        <w:jc w:val="center"/>
        <w:rPr>
          <w:rFonts w:ascii="宋体" w:hAnsi="宋体" w:cs="宋体"/>
          <w:b/>
          <w:bCs/>
          <w:color w:val="auto"/>
          <w:sz w:val="28"/>
          <w:szCs w:val="28"/>
          <w:highlight w:val="none"/>
        </w:rPr>
      </w:pPr>
    </w:p>
    <w:p>
      <w:pPr>
        <w:shd w:val="clear"/>
        <w:jc w:val="center"/>
        <w:rPr>
          <w:rFonts w:ascii="宋体" w:hAnsi="宋体" w:cs="宋体"/>
          <w:b/>
          <w:bCs/>
          <w:color w:val="auto"/>
          <w:sz w:val="28"/>
          <w:szCs w:val="28"/>
          <w:highlight w:val="none"/>
        </w:rPr>
      </w:pPr>
    </w:p>
    <w:p>
      <w:pPr>
        <w:shd w:val="clear"/>
        <w:jc w:val="center"/>
        <w:rPr>
          <w:rFonts w:ascii="宋体" w:hAnsi="宋体" w:cs="宋体"/>
          <w:b/>
          <w:bCs/>
          <w:color w:val="auto"/>
          <w:sz w:val="28"/>
          <w:szCs w:val="28"/>
          <w:highlight w:val="none"/>
        </w:rPr>
      </w:pPr>
    </w:p>
    <w:p>
      <w:pPr>
        <w:shd w:val="clear"/>
        <w:spacing w:line="900" w:lineRule="exact"/>
        <w:ind w:firstLine="320" w:firstLineChars="100"/>
        <w:rPr>
          <w:rFonts w:ascii="宋体" w:hAnsi="宋体" w:cs="宋体"/>
          <w:color w:val="auto"/>
          <w:sz w:val="32"/>
          <w:szCs w:val="32"/>
          <w:highlight w:val="none"/>
          <w:u w:val="single"/>
        </w:rPr>
      </w:pPr>
      <w:r>
        <w:rPr>
          <w:rFonts w:hint="eastAsia" w:ascii="宋体" w:hAnsi="宋体" w:cs="宋体"/>
          <w:color w:val="auto"/>
          <w:sz w:val="32"/>
          <w:szCs w:val="32"/>
          <w:highlight w:val="none"/>
        </w:rPr>
        <w:t>投标文件内容：</w:t>
      </w:r>
      <w:r>
        <w:rPr>
          <w:rFonts w:hint="eastAsia" w:ascii="宋体" w:hAnsi="宋体" w:cs="宋体"/>
          <w:color w:val="auto"/>
          <w:sz w:val="32"/>
          <w:szCs w:val="32"/>
          <w:highlight w:val="none"/>
          <w:u w:val="single"/>
        </w:rPr>
        <w:t xml:space="preserve">           （资格审查文件或技术标或商务标）                    </w:t>
      </w:r>
    </w:p>
    <w:p>
      <w:pPr>
        <w:shd w:val="clear"/>
        <w:spacing w:line="900" w:lineRule="exact"/>
        <w:ind w:firstLine="313" w:firstLineChars="98"/>
        <w:rPr>
          <w:rFonts w:ascii="宋体" w:hAnsi="宋体" w:cs="宋体"/>
          <w:color w:val="auto"/>
          <w:sz w:val="32"/>
          <w:szCs w:val="32"/>
          <w:highlight w:val="none"/>
          <w:u w:val="single"/>
        </w:rPr>
      </w:pPr>
      <w:r>
        <w:rPr>
          <w:rFonts w:hint="eastAsia" w:ascii="宋体" w:hAnsi="宋体" w:cs="宋体"/>
          <w:color w:val="auto"/>
          <w:sz w:val="32"/>
          <w:szCs w:val="32"/>
          <w:highlight w:val="none"/>
        </w:rPr>
        <w:t>投   标   人：</w:t>
      </w:r>
      <w:r>
        <w:rPr>
          <w:rFonts w:hint="eastAsia" w:ascii="宋体" w:hAnsi="宋体" w:cs="宋体"/>
          <w:color w:val="auto"/>
          <w:sz w:val="32"/>
          <w:szCs w:val="32"/>
          <w:highlight w:val="none"/>
          <w:u w:val="single"/>
        </w:rPr>
        <w:t xml:space="preserve">                                 （盖章）  </w:t>
      </w:r>
    </w:p>
    <w:p>
      <w:pPr>
        <w:shd w:val="clear"/>
        <w:spacing w:line="900" w:lineRule="exact"/>
        <w:ind w:left="-4" w:leftChars="-2" w:firstLine="320" w:firstLineChars="100"/>
        <w:rPr>
          <w:rFonts w:ascii="宋体" w:hAnsi="宋体" w:cs="宋体"/>
          <w:color w:val="auto"/>
          <w:sz w:val="32"/>
          <w:szCs w:val="32"/>
          <w:highlight w:val="none"/>
          <w:u w:val="single"/>
        </w:rPr>
      </w:pPr>
      <w:r>
        <w:rPr>
          <w:rFonts w:hint="eastAsia" w:ascii="宋体" w:hAnsi="宋体" w:cs="宋体"/>
          <w:color w:val="auto"/>
          <w:sz w:val="32"/>
          <w:szCs w:val="32"/>
          <w:highlight w:val="none"/>
        </w:rPr>
        <w:t>法定代表人或其委托代理人：</w:t>
      </w:r>
      <w:r>
        <w:rPr>
          <w:rFonts w:hint="eastAsia" w:ascii="宋体" w:hAnsi="宋体" w:cs="宋体"/>
          <w:color w:val="auto"/>
          <w:sz w:val="32"/>
          <w:szCs w:val="32"/>
          <w:highlight w:val="none"/>
          <w:u w:val="single"/>
        </w:rPr>
        <w:t xml:space="preserve">                （签字或盖章） </w:t>
      </w:r>
    </w:p>
    <w:p>
      <w:pPr>
        <w:shd w:val="clear"/>
        <w:spacing w:line="900" w:lineRule="exact"/>
        <w:ind w:firstLine="160" w:firstLineChars="50"/>
        <w:rPr>
          <w:rFonts w:ascii="宋体" w:hAnsi="宋体" w:cs="宋体"/>
          <w:color w:val="auto"/>
          <w:highlight w:val="none"/>
        </w:rPr>
      </w:pPr>
      <w:r>
        <w:rPr>
          <w:rFonts w:hint="eastAsia" w:ascii="宋体" w:hAnsi="宋体" w:cs="宋体"/>
          <w:color w:val="auto"/>
          <w:sz w:val="32"/>
          <w:szCs w:val="32"/>
          <w:highlight w:val="none"/>
        </w:rPr>
        <w:t xml:space="preserve"> 日 期：</w:t>
      </w:r>
      <w:r>
        <w:rPr>
          <w:rFonts w:hint="eastAsia" w:ascii="宋体" w:hAnsi="宋体" w:cs="宋体"/>
          <w:color w:val="auto"/>
          <w:sz w:val="32"/>
          <w:szCs w:val="32"/>
          <w:highlight w:val="none"/>
          <w:u w:val="single"/>
        </w:rPr>
        <w:t xml:space="preserve">            </w:t>
      </w:r>
      <w:r>
        <w:rPr>
          <w:rFonts w:hint="eastAsia" w:ascii="宋体" w:hAnsi="宋体" w:cs="宋体"/>
          <w:color w:val="auto"/>
          <w:sz w:val="32"/>
          <w:szCs w:val="32"/>
          <w:highlight w:val="none"/>
        </w:rPr>
        <w:t>年</w:t>
      </w:r>
      <w:r>
        <w:rPr>
          <w:rFonts w:hint="eastAsia" w:ascii="宋体" w:hAnsi="宋体" w:cs="宋体"/>
          <w:color w:val="auto"/>
          <w:sz w:val="32"/>
          <w:szCs w:val="32"/>
          <w:highlight w:val="none"/>
          <w:u w:val="single"/>
        </w:rPr>
        <w:t xml:space="preserve">            </w:t>
      </w:r>
      <w:r>
        <w:rPr>
          <w:rFonts w:hint="eastAsia" w:ascii="宋体" w:hAnsi="宋体" w:cs="宋体"/>
          <w:color w:val="auto"/>
          <w:sz w:val="32"/>
          <w:szCs w:val="32"/>
          <w:highlight w:val="none"/>
        </w:rPr>
        <w:t>月</w:t>
      </w:r>
      <w:r>
        <w:rPr>
          <w:rFonts w:hint="eastAsia" w:ascii="宋体" w:hAnsi="宋体" w:cs="宋体"/>
          <w:color w:val="auto"/>
          <w:sz w:val="32"/>
          <w:szCs w:val="32"/>
          <w:highlight w:val="none"/>
          <w:u w:val="single"/>
        </w:rPr>
        <w:t xml:space="preserve">               </w:t>
      </w:r>
      <w:r>
        <w:rPr>
          <w:rFonts w:hint="eastAsia" w:ascii="宋体" w:hAnsi="宋体" w:cs="宋体"/>
          <w:color w:val="auto"/>
          <w:sz w:val="32"/>
          <w:szCs w:val="32"/>
          <w:highlight w:val="none"/>
        </w:rPr>
        <w:t>日</w:t>
      </w:r>
    </w:p>
    <w:p>
      <w:pPr>
        <w:shd w:val="clear"/>
        <w:jc w:val="center"/>
        <w:rPr>
          <w:rFonts w:hint="eastAsia" w:ascii="宋体" w:hAnsi="宋体" w:cs="宋体"/>
          <w:b/>
          <w:bCs/>
          <w:color w:val="auto"/>
          <w:sz w:val="36"/>
          <w:szCs w:val="36"/>
          <w:highlight w:val="none"/>
        </w:rPr>
      </w:pPr>
    </w:p>
    <w:p>
      <w:pPr>
        <w:shd w:val="clear"/>
        <w:jc w:val="center"/>
        <w:rPr>
          <w:rFonts w:ascii="宋体" w:hAnsi="宋体" w:cs="宋体"/>
          <w:b/>
          <w:bCs/>
          <w:color w:val="auto"/>
          <w:sz w:val="36"/>
          <w:szCs w:val="36"/>
          <w:highlight w:val="none"/>
        </w:rPr>
      </w:pPr>
      <w:r>
        <w:rPr>
          <w:rFonts w:hint="eastAsia" w:ascii="宋体" w:hAnsi="宋体" w:cs="宋体"/>
          <w:b/>
          <w:bCs/>
          <w:color w:val="auto"/>
          <w:sz w:val="36"/>
          <w:szCs w:val="36"/>
          <w:highlight w:val="none"/>
        </w:rPr>
        <w:t>关于资格的声明函（格式）</w:t>
      </w:r>
    </w:p>
    <w:p>
      <w:pPr>
        <w:pStyle w:val="2"/>
        <w:shd w:val="clear"/>
        <w:rPr>
          <w:rFonts w:cs="宋体"/>
          <w:color w:val="auto"/>
          <w:sz w:val="24"/>
          <w:szCs w:val="24"/>
          <w:highlight w:val="none"/>
        </w:rPr>
      </w:pPr>
    </w:p>
    <w:p>
      <w:pPr>
        <w:pStyle w:val="2"/>
        <w:shd w:val="clear"/>
        <w:jc w:val="both"/>
        <w:rPr>
          <w:rFonts w:cs="宋体"/>
          <w:b w:val="0"/>
          <w:bCs w:val="0"/>
          <w:color w:val="auto"/>
          <w:sz w:val="24"/>
          <w:szCs w:val="24"/>
          <w:highlight w:val="none"/>
          <w:u w:val="single"/>
        </w:rPr>
      </w:pPr>
      <w:r>
        <w:rPr>
          <w:rFonts w:hint="eastAsia" w:cs="宋体"/>
          <w:b w:val="0"/>
          <w:bCs w:val="0"/>
          <w:color w:val="auto"/>
          <w:sz w:val="24"/>
          <w:szCs w:val="24"/>
          <w:highlight w:val="none"/>
        </w:rPr>
        <w:t>致：（</w:t>
      </w:r>
      <w:r>
        <w:rPr>
          <w:rFonts w:hint="eastAsia" w:cs="宋体"/>
          <w:b w:val="0"/>
          <w:bCs w:val="0"/>
          <w:color w:val="auto"/>
          <w:sz w:val="24"/>
          <w:szCs w:val="24"/>
          <w:highlight w:val="none"/>
          <w:u w:val="single"/>
        </w:rPr>
        <w:t xml:space="preserve">采购人名称）                    </w:t>
      </w:r>
    </w:p>
    <w:p>
      <w:pPr>
        <w:shd w:val="clear"/>
        <w:spacing w:line="480" w:lineRule="auto"/>
        <w:ind w:firstLine="480" w:firstLineChars="200"/>
        <w:rPr>
          <w:rFonts w:ascii="宋体" w:hAnsi="宋体" w:cs="宋体"/>
          <w:color w:val="auto"/>
          <w:sz w:val="24"/>
          <w:highlight w:val="none"/>
          <w:u w:val="single"/>
        </w:rPr>
      </w:pPr>
      <w:r>
        <w:rPr>
          <w:rFonts w:hint="eastAsia" w:ascii="宋体" w:hAnsi="宋体" w:cs="宋体"/>
          <w:color w:val="auto"/>
          <w:sz w:val="24"/>
          <w:highlight w:val="none"/>
          <w:u w:val="single"/>
        </w:rPr>
        <w:t xml:space="preserve">（采购代理机构名称）             </w:t>
      </w:r>
    </w:p>
    <w:p>
      <w:pPr>
        <w:shd w:val="clear"/>
        <w:spacing w:line="4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关于贵方</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日第</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（采购编号）招标公告，本签字人愿意参加投标，按采购文件要求提供</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（项目名称）的 设备和服务，并说明提交的下列文件和说明是正确和真实的。</w:t>
      </w:r>
    </w:p>
    <w:p>
      <w:pPr>
        <w:shd w:val="clear"/>
        <w:spacing w:line="4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w:t>
      </w:r>
      <w:r>
        <w:rPr>
          <w:rFonts w:hint="eastAsia" w:ascii="宋体" w:hAnsi="宋体" w:cs="宋体"/>
          <w:color w:val="auto"/>
          <w:kern w:val="0"/>
          <w:sz w:val="24"/>
          <w:highlight w:val="none"/>
        </w:rPr>
        <w:t>.</w:t>
      </w:r>
      <w:r>
        <w:rPr>
          <w:rFonts w:hint="eastAsia" w:ascii="宋体" w:hAnsi="宋体" w:cs="宋体"/>
          <w:color w:val="auto"/>
          <w:sz w:val="24"/>
          <w:highlight w:val="none"/>
        </w:rPr>
        <w:t>由</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（签发单位）签发的我方工商营业执照副本（复印件加盖公章后附该声明函后）。</w:t>
      </w:r>
    </w:p>
    <w:p>
      <w:pPr>
        <w:shd w:val="clear"/>
        <w:spacing w:line="4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w:t>
      </w:r>
      <w:r>
        <w:rPr>
          <w:rFonts w:hint="eastAsia" w:ascii="宋体" w:hAnsi="宋体" w:cs="宋体"/>
          <w:color w:val="auto"/>
          <w:kern w:val="0"/>
          <w:sz w:val="24"/>
          <w:highlight w:val="none"/>
        </w:rPr>
        <w:t>.</w:t>
      </w:r>
      <w:r>
        <w:rPr>
          <w:rFonts w:hint="eastAsia" w:ascii="宋体" w:hAnsi="宋体" w:cs="宋体"/>
          <w:color w:val="auto"/>
          <w:sz w:val="24"/>
          <w:highlight w:val="none"/>
        </w:rPr>
        <w:t>由</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（签发人）签发的投标人情况介绍。</w:t>
      </w:r>
    </w:p>
    <w:p>
      <w:pPr>
        <w:shd w:val="clear"/>
        <w:spacing w:line="460" w:lineRule="exact"/>
        <w:ind w:firstLine="480" w:firstLineChars="200"/>
        <w:jc w:val="left"/>
        <w:rPr>
          <w:rFonts w:ascii="宋体" w:hAnsi="宋体" w:cs="宋体"/>
          <w:color w:val="auto"/>
          <w:sz w:val="24"/>
          <w:highlight w:val="none"/>
          <w:u w:val="single"/>
        </w:rPr>
      </w:pPr>
      <w:r>
        <w:rPr>
          <w:rFonts w:hint="eastAsia" w:ascii="宋体" w:hAnsi="宋体" w:cs="宋体"/>
          <w:color w:val="auto"/>
          <w:sz w:val="24"/>
          <w:highlight w:val="none"/>
        </w:rPr>
        <w:t>3</w:t>
      </w:r>
      <w:r>
        <w:rPr>
          <w:rFonts w:hint="eastAsia" w:ascii="宋体" w:hAnsi="宋体" w:cs="宋体"/>
          <w:color w:val="auto"/>
          <w:kern w:val="0"/>
          <w:sz w:val="24"/>
          <w:highlight w:val="none"/>
        </w:rPr>
        <w:t>.</w:t>
      </w:r>
      <w:r>
        <w:rPr>
          <w:rFonts w:hint="eastAsia" w:ascii="宋体" w:hAnsi="宋体" w:cs="宋体"/>
          <w:color w:val="auto"/>
          <w:sz w:val="24"/>
          <w:highlight w:val="none"/>
        </w:rPr>
        <w:t>其他资格、资质文件：</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p>
    <w:p>
      <w:pPr>
        <w:shd w:val="clear"/>
        <w:spacing w:line="460" w:lineRule="exact"/>
        <w:rPr>
          <w:rFonts w:ascii="宋体" w:hAnsi="宋体" w:cs="宋体"/>
          <w:color w:val="auto"/>
          <w:sz w:val="24"/>
          <w:highlight w:val="none"/>
        </w:rPr>
      </w:pP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（空格处填写资格证书名称、复印件加盖公章后附该声明函后）。</w:t>
      </w:r>
    </w:p>
    <w:p>
      <w:pPr>
        <w:shd w:val="clear"/>
        <w:spacing w:line="4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4</w:t>
      </w:r>
      <w:r>
        <w:rPr>
          <w:rFonts w:hint="eastAsia" w:ascii="宋体" w:hAnsi="宋体" w:cs="宋体"/>
          <w:color w:val="auto"/>
          <w:kern w:val="0"/>
          <w:sz w:val="24"/>
          <w:highlight w:val="none"/>
        </w:rPr>
        <w:t>.</w:t>
      </w:r>
      <w:r>
        <w:rPr>
          <w:rFonts w:hint="eastAsia" w:ascii="宋体" w:hAnsi="宋体" w:cs="宋体"/>
          <w:color w:val="auto"/>
          <w:sz w:val="24"/>
          <w:highlight w:val="none"/>
        </w:rPr>
        <w:t>本签字人确认所提供的投标文件内容是真实的、准确的。</w:t>
      </w:r>
    </w:p>
    <w:p>
      <w:pPr>
        <w:shd w:val="clear"/>
        <w:spacing w:line="460" w:lineRule="exact"/>
        <w:ind w:firstLine="480" w:firstLineChars="200"/>
        <w:rPr>
          <w:rFonts w:ascii="宋体" w:hAnsi="宋体" w:cs="宋体"/>
          <w:color w:val="auto"/>
          <w:sz w:val="24"/>
          <w:highlight w:val="none"/>
        </w:rPr>
      </w:pPr>
    </w:p>
    <w:p>
      <w:pPr>
        <w:shd w:val="clear"/>
        <w:spacing w:line="460" w:lineRule="exact"/>
        <w:ind w:firstLine="480" w:firstLineChars="200"/>
        <w:rPr>
          <w:rFonts w:ascii="宋体" w:hAnsi="宋体" w:cs="宋体"/>
          <w:color w:val="auto"/>
          <w:sz w:val="24"/>
          <w:highlight w:val="none"/>
        </w:rPr>
      </w:pPr>
    </w:p>
    <w:p>
      <w:pPr>
        <w:shd w:val="clear"/>
        <w:spacing w:line="460" w:lineRule="exact"/>
        <w:ind w:firstLine="480" w:firstLineChars="200"/>
        <w:rPr>
          <w:rFonts w:ascii="宋体" w:hAnsi="宋体" w:cs="宋体"/>
          <w:color w:val="auto"/>
          <w:sz w:val="24"/>
          <w:highlight w:val="none"/>
        </w:rPr>
      </w:pPr>
    </w:p>
    <w:p>
      <w:pPr>
        <w:shd w:val="clear"/>
        <w:spacing w:line="460" w:lineRule="exact"/>
        <w:ind w:firstLine="480" w:firstLineChars="200"/>
        <w:rPr>
          <w:rFonts w:ascii="宋体" w:hAnsi="宋体" w:cs="宋体"/>
          <w:color w:val="auto"/>
          <w:sz w:val="24"/>
          <w:highlight w:val="none"/>
        </w:rPr>
      </w:pPr>
    </w:p>
    <w:p>
      <w:pPr>
        <w:shd w:val="clear"/>
        <w:spacing w:line="800" w:lineRule="exact"/>
        <w:rPr>
          <w:rFonts w:ascii="宋体" w:hAnsi="宋体" w:cs="宋体"/>
          <w:color w:val="auto"/>
          <w:sz w:val="24"/>
          <w:highlight w:val="none"/>
        </w:rPr>
      </w:pPr>
      <w:r>
        <w:rPr>
          <w:rFonts w:hint="eastAsia" w:ascii="宋体" w:hAnsi="宋体" w:cs="宋体"/>
          <w:color w:val="auto"/>
          <w:sz w:val="24"/>
          <w:highlight w:val="none"/>
        </w:rPr>
        <w:t>单位的名称和地址                         授权签署本资格文件人</w:t>
      </w:r>
    </w:p>
    <w:p>
      <w:pPr>
        <w:shd w:val="clear"/>
        <w:spacing w:line="800" w:lineRule="exact"/>
        <w:rPr>
          <w:rFonts w:ascii="宋体" w:hAnsi="宋体" w:cs="宋体"/>
          <w:color w:val="auto"/>
          <w:sz w:val="24"/>
          <w:highlight w:val="none"/>
        </w:rPr>
      </w:pPr>
      <w:r>
        <w:rPr>
          <w:rFonts w:hint="eastAsia" w:ascii="宋体" w:hAnsi="宋体" w:cs="宋体"/>
          <w:color w:val="auto"/>
          <w:sz w:val="24"/>
          <w:highlight w:val="none"/>
        </w:rPr>
        <w:t>名称（盖章）：                          签字（或盖章）：</w:t>
      </w:r>
      <w:r>
        <w:rPr>
          <w:rFonts w:hint="eastAsia" w:ascii="宋体" w:hAnsi="宋体" w:cs="宋体"/>
          <w:color w:val="auto"/>
          <w:sz w:val="24"/>
          <w:highlight w:val="none"/>
          <w:u w:val="single"/>
        </w:rPr>
        <w:t xml:space="preserve">                 </w:t>
      </w:r>
    </w:p>
    <w:p>
      <w:pPr>
        <w:shd w:val="clear"/>
        <w:spacing w:line="800" w:lineRule="exact"/>
        <w:rPr>
          <w:rFonts w:ascii="宋体" w:hAnsi="宋体" w:cs="宋体"/>
          <w:color w:val="auto"/>
          <w:sz w:val="24"/>
          <w:highlight w:val="none"/>
        </w:rPr>
      </w:pPr>
      <w:r>
        <w:rPr>
          <w:rFonts w:hint="eastAsia" w:ascii="宋体" w:hAnsi="宋体" w:cs="宋体"/>
          <w:color w:val="auto"/>
          <w:sz w:val="24"/>
          <w:highlight w:val="none"/>
        </w:rPr>
        <w:t>地址：                                 职务：</w:t>
      </w:r>
      <w:r>
        <w:rPr>
          <w:rFonts w:hint="eastAsia" w:ascii="宋体" w:hAnsi="宋体" w:cs="宋体"/>
          <w:color w:val="auto"/>
          <w:sz w:val="24"/>
          <w:highlight w:val="none"/>
          <w:u w:val="single"/>
        </w:rPr>
        <w:t xml:space="preserve">                        </w:t>
      </w:r>
    </w:p>
    <w:p>
      <w:pPr>
        <w:shd w:val="clear"/>
        <w:spacing w:line="800" w:lineRule="exact"/>
        <w:rPr>
          <w:rFonts w:ascii="宋体" w:hAnsi="宋体" w:cs="宋体"/>
          <w:color w:val="auto"/>
          <w:sz w:val="24"/>
          <w:highlight w:val="none"/>
          <w:u w:val="single"/>
        </w:rPr>
      </w:pPr>
      <w:r>
        <w:rPr>
          <w:rFonts w:hint="eastAsia" w:ascii="宋体" w:hAnsi="宋体" w:cs="宋体"/>
          <w:color w:val="auto"/>
          <w:sz w:val="24"/>
          <w:highlight w:val="none"/>
        </w:rPr>
        <w:t>传真：                                 电话：</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xml:space="preserve"> </w:t>
      </w:r>
    </w:p>
    <w:p>
      <w:pPr>
        <w:shd w:val="clear"/>
        <w:spacing w:line="800" w:lineRule="exact"/>
        <w:rPr>
          <w:rFonts w:ascii="宋体" w:hAnsi="宋体" w:cs="宋体"/>
          <w:color w:val="auto"/>
          <w:sz w:val="24"/>
          <w:highlight w:val="none"/>
          <w:u w:val="single"/>
        </w:rPr>
      </w:pPr>
      <w:r>
        <w:rPr>
          <w:rFonts w:hint="eastAsia" w:ascii="宋体" w:hAnsi="宋体" w:cs="宋体"/>
          <w:color w:val="auto"/>
          <w:sz w:val="24"/>
          <w:highlight w:val="none"/>
        </w:rPr>
        <w:t>邮编：                                 签署日期：</w:t>
      </w:r>
      <w:r>
        <w:rPr>
          <w:rFonts w:hint="eastAsia" w:ascii="宋体" w:hAnsi="宋体" w:cs="宋体"/>
          <w:color w:val="auto"/>
          <w:sz w:val="24"/>
          <w:highlight w:val="none"/>
          <w:u w:val="single"/>
        </w:rPr>
        <w:t xml:space="preserve">  </w:t>
      </w:r>
    </w:p>
    <w:p>
      <w:pPr>
        <w:shd w:val="clear"/>
        <w:spacing w:line="800" w:lineRule="exact"/>
        <w:rPr>
          <w:rFonts w:ascii="宋体" w:hAnsi="宋体" w:cs="宋体"/>
          <w:color w:val="auto"/>
          <w:sz w:val="24"/>
          <w:highlight w:val="none"/>
          <w:u w:val="single"/>
        </w:rPr>
      </w:pPr>
      <w:r>
        <w:rPr>
          <w:rFonts w:hint="eastAsia" w:ascii="宋体" w:hAnsi="宋体" w:cs="宋体"/>
          <w:color w:val="auto"/>
          <w:sz w:val="24"/>
          <w:highlight w:val="none"/>
          <w:u w:val="single"/>
        </w:rPr>
        <w:t xml:space="preserve">                  </w:t>
      </w:r>
    </w:p>
    <w:p>
      <w:pPr>
        <w:pStyle w:val="21"/>
        <w:shd w:val="clear"/>
        <w:ind w:left="0" w:leftChars="0" w:firstLine="0" w:firstLineChars="0"/>
        <w:rPr>
          <w:rFonts w:ascii="宋体" w:hAnsi="宋体"/>
          <w:color w:val="auto"/>
          <w:highlight w:val="none"/>
        </w:rPr>
      </w:pPr>
    </w:p>
    <w:p>
      <w:pPr>
        <w:shd w:val="clear"/>
        <w:spacing w:line="480" w:lineRule="auto"/>
        <w:jc w:val="center"/>
        <w:rPr>
          <w:rFonts w:hint="eastAsia" w:ascii="宋体" w:hAnsi="宋体" w:cs="宋体"/>
          <w:b/>
          <w:bCs/>
          <w:color w:val="auto"/>
          <w:sz w:val="36"/>
          <w:szCs w:val="36"/>
          <w:highlight w:val="none"/>
        </w:rPr>
      </w:pPr>
    </w:p>
    <w:p>
      <w:pPr>
        <w:shd w:val="clear"/>
        <w:spacing w:line="480" w:lineRule="auto"/>
        <w:jc w:val="center"/>
        <w:rPr>
          <w:rFonts w:ascii="宋体" w:hAnsi="宋体" w:cs="宋体"/>
          <w:color w:val="auto"/>
          <w:sz w:val="36"/>
          <w:szCs w:val="36"/>
          <w:highlight w:val="none"/>
        </w:rPr>
      </w:pPr>
      <w:r>
        <w:rPr>
          <w:rFonts w:hint="eastAsia" w:ascii="宋体" w:hAnsi="宋体" w:cs="宋体"/>
          <w:b/>
          <w:bCs/>
          <w:color w:val="auto"/>
          <w:sz w:val="36"/>
          <w:szCs w:val="36"/>
          <w:highlight w:val="none"/>
        </w:rPr>
        <w:t>法定代表人说明书（格式）</w:t>
      </w:r>
    </w:p>
    <w:p>
      <w:pPr>
        <w:shd w:val="clear"/>
        <w:spacing w:line="540" w:lineRule="exact"/>
        <w:rPr>
          <w:rFonts w:ascii="宋体" w:hAnsi="宋体" w:cs="宋体"/>
          <w:color w:val="auto"/>
          <w:sz w:val="24"/>
          <w:highlight w:val="none"/>
        </w:rPr>
      </w:pPr>
    </w:p>
    <w:p>
      <w:pPr>
        <w:shd w:val="clear"/>
        <w:spacing w:line="540" w:lineRule="exact"/>
        <w:rPr>
          <w:rFonts w:ascii="宋体" w:hAnsi="宋体" w:cs="宋体"/>
          <w:color w:val="auto"/>
          <w:sz w:val="24"/>
          <w:highlight w:val="none"/>
        </w:rPr>
      </w:pPr>
    </w:p>
    <w:p>
      <w:pPr>
        <w:shd w:val="clear"/>
        <w:spacing w:line="540" w:lineRule="exact"/>
        <w:rPr>
          <w:rFonts w:ascii="宋体" w:hAnsi="宋体" w:cs="宋体"/>
          <w:color w:val="auto"/>
          <w:sz w:val="24"/>
          <w:highlight w:val="none"/>
        </w:rPr>
      </w:pPr>
    </w:p>
    <w:p>
      <w:pPr>
        <w:shd w:val="clear"/>
        <w:spacing w:line="540" w:lineRule="exact"/>
        <w:rPr>
          <w:rFonts w:ascii="宋体" w:hAnsi="宋体" w:cs="宋体"/>
          <w:color w:val="auto"/>
          <w:sz w:val="24"/>
          <w:highlight w:val="none"/>
        </w:rPr>
      </w:pPr>
      <w:r>
        <w:rPr>
          <w:rFonts w:hint="eastAsia" w:ascii="宋体" w:hAnsi="宋体" w:cs="宋体"/>
          <w:color w:val="auto"/>
          <w:sz w:val="24"/>
          <w:highlight w:val="none"/>
        </w:rPr>
        <w:t>姓名：                           性别：</w:t>
      </w:r>
    </w:p>
    <w:p>
      <w:pPr>
        <w:shd w:val="clear"/>
        <w:spacing w:line="540" w:lineRule="exact"/>
        <w:rPr>
          <w:rFonts w:ascii="宋体" w:hAnsi="宋体" w:cs="宋体"/>
          <w:color w:val="auto"/>
          <w:sz w:val="24"/>
          <w:highlight w:val="none"/>
        </w:rPr>
      </w:pPr>
      <w:r>
        <w:rPr>
          <w:rFonts w:hint="eastAsia" w:ascii="宋体" w:hAnsi="宋体" w:cs="宋体"/>
          <w:color w:val="auto"/>
          <w:sz w:val="24"/>
          <w:highlight w:val="none"/>
        </w:rPr>
        <w:t>年龄：                           职务：</w:t>
      </w:r>
    </w:p>
    <w:p>
      <w:pPr>
        <w:shd w:val="clear"/>
        <w:spacing w:line="540" w:lineRule="exact"/>
        <w:rPr>
          <w:rFonts w:ascii="宋体" w:hAnsi="宋体" w:cs="宋体"/>
          <w:color w:val="auto"/>
          <w:sz w:val="24"/>
          <w:highlight w:val="none"/>
        </w:rPr>
      </w:pPr>
      <w:r>
        <w:rPr>
          <w:rFonts w:hint="eastAsia" w:ascii="宋体" w:hAnsi="宋体" w:cs="宋体"/>
          <w:color w:val="auto"/>
          <w:sz w:val="24"/>
          <w:highlight w:val="none"/>
        </w:rPr>
        <w:t>身份证号码：</w:t>
      </w:r>
    </w:p>
    <w:p>
      <w:pPr>
        <w:shd w:val="clear"/>
        <w:spacing w:line="5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系</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（单位名称）的法定代表人，法定地址：</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项目的投标、开标等事宜，签署上述投标文件，进行合同谈判、签署合同和处理与之有关的一切事务。</w:t>
      </w:r>
    </w:p>
    <w:p>
      <w:pPr>
        <w:shd w:val="clear"/>
        <w:spacing w:line="540" w:lineRule="exact"/>
        <w:ind w:firstLine="480" w:firstLineChars="200"/>
        <w:rPr>
          <w:rFonts w:ascii="宋体" w:hAnsi="宋体" w:cs="宋体"/>
          <w:color w:val="auto"/>
          <w:sz w:val="24"/>
          <w:highlight w:val="none"/>
        </w:rPr>
      </w:pPr>
    </w:p>
    <w:p>
      <w:pPr>
        <w:shd w:val="clear"/>
        <w:spacing w:line="5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特此说明</w:t>
      </w:r>
    </w:p>
    <w:p>
      <w:pPr>
        <w:shd w:val="clear"/>
        <w:spacing w:line="540" w:lineRule="exact"/>
        <w:rPr>
          <w:rFonts w:ascii="宋体" w:hAnsi="宋体" w:cs="宋体"/>
          <w:color w:val="auto"/>
          <w:sz w:val="24"/>
          <w:highlight w:val="none"/>
        </w:rPr>
      </w:pPr>
    </w:p>
    <w:p>
      <w:pPr>
        <w:shd w:val="clear"/>
        <w:spacing w:line="540" w:lineRule="exact"/>
        <w:rPr>
          <w:rFonts w:ascii="宋体" w:hAnsi="宋体" w:cs="宋体"/>
          <w:color w:val="auto"/>
          <w:sz w:val="24"/>
          <w:highlight w:val="none"/>
        </w:rPr>
      </w:pPr>
    </w:p>
    <w:p>
      <w:pPr>
        <w:shd w:val="clear"/>
        <w:spacing w:line="540" w:lineRule="exact"/>
        <w:rPr>
          <w:rFonts w:ascii="宋体" w:hAnsi="宋体" w:cs="宋体"/>
          <w:color w:val="auto"/>
          <w:sz w:val="24"/>
          <w:highlight w:val="none"/>
        </w:rPr>
      </w:pPr>
      <w:r>
        <w:rPr>
          <w:rFonts w:hint="eastAsia" w:ascii="宋体" w:hAnsi="宋体" w:cs="宋体"/>
          <w:color w:val="auto"/>
          <w:sz w:val="24"/>
          <w:highlight w:val="none"/>
        </w:rPr>
        <w:t xml:space="preserve">投标单位：（盖章）                </w:t>
      </w:r>
    </w:p>
    <w:p>
      <w:pPr>
        <w:shd w:val="clear"/>
        <w:spacing w:line="540" w:lineRule="exact"/>
        <w:rPr>
          <w:rFonts w:ascii="宋体" w:hAnsi="宋体" w:cs="宋体"/>
          <w:color w:val="auto"/>
          <w:sz w:val="24"/>
          <w:highlight w:val="none"/>
        </w:rPr>
      </w:pPr>
      <w:r>
        <w:rPr>
          <w:rFonts w:hint="eastAsia" w:ascii="宋体" w:hAnsi="宋体" w:cs="宋体"/>
          <w:color w:val="auto"/>
          <w:sz w:val="24"/>
          <w:highlight w:val="none"/>
        </w:rPr>
        <w:t>法定代表人签字：</w:t>
      </w:r>
    </w:p>
    <w:p>
      <w:pPr>
        <w:shd w:val="clear"/>
        <w:spacing w:line="540" w:lineRule="exact"/>
        <w:rPr>
          <w:rFonts w:ascii="宋体" w:hAnsi="宋体" w:cs="宋体"/>
          <w:color w:val="auto"/>
          <w:sz w:val="24"/>
          <w:highlight w:val="none"/>
        </w:rPr>
      </w:pPr>
    </w:p>
    <w:p>
      <w:pPr>
        <w:shd w:val="clear"/>
        <w:spacing w:line="540" w:lineRule="exact"/>
        <w:rPr>
          <w:rFonts w:ascii="宋体" w:hAnsi="宋体" w:cs="宋体"/>
          <w:color w:val="auto"/>
          <w:sz w:val="24"/>
          <w:highlight w:val="none"/>
        </w:rPr>
      </w:pPr>
      <w:r>
        <w:rPr>
          <w:rFonts w:hint="eastAsia" w:ascii="宋体" w:hAnsi="宋体" w:cs="宋体"/>
          <w:color w:val="auto"/>
          <w:sz w:val="24"/>
          <w:highlight w:val="none"/>
        </w:rPr>
        <w:t xml:space="preserve">日期：    年   月    日              </w:t>
      </w:r>
    </w:p>
    <w:p>
      <w:pPr>
        <w:shd w:val="clear"/>
        <w:spacing w:line="540" w:lineRule="exact"/>
        <w:rPr>
          <w:rFonts w:ascii="宋体" w:hAnsi="宋体" w:cs="宋体"/>
          <w:color w:val="auto"/>
          <w:sz w:val="24"/>
          <w:highlight w:val="none"/>
        </w:rPr>
      </w:pPr>
    </w:p>
    <w:p>
      <w:pPr>
        <w:shd w:val="clear"/>
        <w:spacing w:line="540" w:lineRule="exact"/>
        <w:rPr>
          <w:rFonts w:ascii="宋体" w:hAnsi="宋体" w:cs="宋体"/>
          <w:color w:val="auto"/>
          <w:sz w:val="24"/>
          <w:highlight w:val="none"/>
        </w:rPr>
      </w:pPr>
    </w:p>
    <w:p>
      <w:pPr>
        <w:pStyle w:val="26"/>
        <w:shd w:val="clear"/>
        <w:rPr>
          <w:rFonts w:ascii="宋体" w:hAnsi="宋体" w:eastAsia="宋体" w:cs="宋体"/>
          <w:color w:val="auto"/>
          <w:highlight w:val="none"/>
        </w:rPr>
      </w:pPr>
    </w:p>
    <w:p>
      <w:pPr>
        <w:pStyle w:val="26"/>
        <w:shd w:val="clear"/>
        <w:rPr>
          <w:rFonts w:ascii="宋体" w:hAnsi="宋体" w:eastAsia="宋体" w:cs="宋体"/>
          <w:color w:val="auto"/>
          <w:highlight w:val="none"/>
        </w:rPr>
      </w:pPr>
    </w:p>
    <w:p>
      <w:pPr>
        <w:shd w:val="clear"/>
        <w:spacing w:line="480" w:lineRule="auto"/>
        <w:jc w:val="center"/>
        <w:rPr>
          <w:rFonts w:ascii="宋体" w:hAnsi="宋体" w:cs="宋体"/>
          <w:b/>
          <w:bCs/>
          <w:color w:val="auto"/>
          <w:sz w:val="36"/>
          <w:szCs w:val="36"/>
          <w:highlight w:val="none"/>
        </w:rPr>
      </w:pPr>
    </w:p>
    <w:p>
      <w:pPr>
        <w:shd w:val="clear"/>
        <w:spacing w:line="480" w:lineRule="auto"/>
        <w:jc w:val="center"/>
        <w:rPr>
          <w:rFonts w:ascii="宋体" w:hAnsi="宋体" w:cs="宋体"/>
          <w:b/>
          <w:bCs/>
          <w:color w:val="auto"/>
          <w:sz w:val="36"/>
          <w:szCs w:val="36"/>
          <w:highlight w:val="none"/>
        </w:rPr>
      </w:pPr>
      <w:r>
        <w:rPr>
          <w:rFonts w:hint="eastAsia" w:ascii="宋体" w:hAnsi="宋体" w:cs="宋体"/>
          <w:b/>
          <w:bCs/>
          <w:color w:val="auto"/>
          <w:sz w:val="36"/>
          <w:szCs w:val="36"/>
          <w:highlight w:val="none"/>
        </w:rPr>
        <w:t>投标人法定代表人授权书（格式）</w:t>
      </w:r>
    </w:p>
    <w:p>
      <w:pPr>
        <w:shd w:val="clear"/>
        <w:spacing w:line="480" w:lineRule="auto"/>
        <w:jc w:val="center"/>
        <w:rPr>
          <w:rFonts w:ascii="宋体" w:hAnsi="宋体" w:cs="宋体"/>
          <w:b/>
          <w:bCs/>
          <w:color w:val="auto"/>
          <w:sz w:val="48"/>
          <w:szCs w:val="48"/>
          <w:highlight w:val="none"/>
        </w:rPr>
      </w:pPr>
    </w:p>
    <w:p>
      <w:pPr>
        <w:shd w:val="clear"/>
        <w:spacing w:line="360" w:lineRule="auto"/>
        <w:rPr>
          <w:rFonts w:ascii="宋体" w:hAnsi="宋体" w:cs="宋体"/>
          <w:color w:val="auto"/>
          <w:sz w:val="24"/>
          <w:highlight w:val="none"/>
          <w:u w:val="single"/>
        </w:rPr>
      </w:pPr>
      <w:r>
        <w:rPr>
          <w:rFonts w:hint="eastAsia" w:ascii="宋体" w:hAnsi="宋体" w:cs="宋体"/>
          <w:color w:val="auto"/>
          <w:sz w:val="24"/>
          <w:highlight w:val="none"/>
        </w:rPr>
        <w:t>项目名称：</w:t>
      </w:r>
      <w:r>
        <w:rPr>
          <w:rFonts w:hint="eastAsia" w:ascii="宋体" w:hAnsi="宋体" w:cs="宋体"/>
          <w:color w:val="auto"/>
          <w:sz w:val="24"/>
          <w:highlight w:val="none"/>
          <w:u w:val="single"/>
        </w:rPr>
        <w:t xml:space="preserve">               </w:t>
      </w:r>
    </w:p>
    <w:p>
      <w:pPr>
        <w:shd w:val="clear"/>
        <w:spacing w:line="360" w:lineRule="auto"/>
        <w:rPr>
          <w:rFonts w:ascii="宋体" w:hAnsi="宋体" w:cs="宋体"/>
          <w:color w:val="auto"/>
          <w:sz w:val="24"/>
          <w:highlight w:val="none"/>
          <w:u w:val="single"/>
        </w:rPr>
      </w:pPr>
      <w:r>
        <w:rPr>
          <w:rFonts w:hint="eastAsia" w:ascii="宋体" w:hAnsi="宋体" w:cs="宋体"/>
          <w:color w:val="auto"/>
          <w:sz w:val="24"/>
          <w:highlight w:val="none"/>
        </w:rPr>
        <w:t>日    期：</w:t>
      </w:r>
      <w:r>
        <w:rPr>
          <w:rFonts w:hint="eastAsia" w:ascii="宋体" w:hAnsi="宋体" w:cs="宋体"/>
          <w:color w:val="auto"/>
          <w:sz w:val="24"/>
          <w:highlight w:val="none"/>
          <w:u w:val="single"/>
        </w:rPr>
        <w:t xml:space="preserve">               </w:t>
      </w:r>
    </w:p>
    <w:p>
      <w:pPr>
        <w:shd w:val="clear"/>
        <w:spacing w:line="360" w:lineRule="auto"/>
        <w:rPr>
          <w:rFonts w:ascii="宋体" w:hAnsi="宋体" w:cs="宋体"/>
          <w:color w:val="auto"/>
          <w:sz w:val="24"/>
          <w:highlight w:val="none"/>
          <w:u w:val="single"/>
        </w:rPr>
      </w:pPr>
      <w:r>
        <w:rPr>
          <w:rFonts w:hint="eastAsia" w:ascii="宋体" w:hAnsi="宋体" w:cs="宋体"/>
          <w:color w:val="auto"/>
          <w:sz w:val="24"/>
          <w:highlight w:val="none"/>
        </w:rPr>
        <w:t>致：（</w:t>
      </w:r>
      <w:r>
        <w:rPr>
          <w:rFonts w:hint="eastAsia" w:ascii="宋体" w:hAnsi="宋体" w:cs="宋体"/>
          <w:color w:val="auto"/>
          <w:sz w:val="24"/>
          <w:highlight w:val="none"/>
          <w:u w:val="single"/>
        </w:rPr>
        <w:t xml:space="preserve">采购人名称）                </w:t>
      </w:r>
    </w:p>
    <w:p>
      <w:pPr>
        <w:shd w:val="clear"/>
        <w:spacing w:line="360" w:lineRule="auto"/>
        <w:rPr>
          <w:rFonts w:ascii="宋体" w:hAnsi="宋体" w:cs="宋体"/>
          <w:color w:val="auto"/>
          <w:sz w:val="24"/>
          <w:highlight w:val="none"/>
        </w:rPr>
      </w:pPr>
      <w:r>
        <w:rPr>
          <w:rFonts w:hint="eastAsia" w:ascii="宋体" w:hAnsi="宋体" w:cs="宋体"/>
          <w:color w:val="auto"/>
          <w:sz w:val="24"/>
          <w:highlight w:val="none"/>
        </w:rPr>
        <w:t xml:space="preserve">    （</w:t>
      </w:r>
      <w:r>
        <w:rPr>
          <w:rFonts w:hint="eastAsia" w:ascii="宋体" w:hAnsi="宋体" w:cs="宋体"/>
          <w:color w:val="auto"/>
          <w:sz w:val="24"/>
          <w:highlight w:val="none"/>
          <w:u w:val="single"/>
        </w:rPr>
        <w:t xml:space="preserve">采购代理机构名称）         </w:t>
      </w:r>
      <w:r>
        <w:rPr>
          <w:rFonts w:hint="eastAsia" w:ascii="宋体" w:hAnsi="宋体" w:cs="宋体"/>
          <w:color w:val="auto"/>
          <w:sz w:val="24"/>
          <w:highlight w:val="none"/>
        </w:rPr>
        <w:t xml:space="preserve">    </w:t>
      </w:r>
    </w:p>
    <w:p>
      <w:pPr>
        <w:shd w:val="clear"/>
        <w:spacing w:line="360" w:lineRule="auto"/>
        <w:ind w:firstLine="480" w:firstLineChars="200"/>
        <w:jc w:val="left"/>
        <w:rPr>
          <w:rFonts w:ascii="宋体" w:hAnsi="宋体" w:cs="宋体"/>
          <w:color w:val="auto"/>
          <w:sz w:val="24"/>
          <w:highlight w:val="none"/>
          <w:u w:val="single"/>
        </w:rPr>
      </w:pPr>
      <w:r>
        <w:rPr>
          <w:rFonts w:hint="eastAsia" w:ascii="宋体" w:hAnsi="宋体" w:cs="宋体"/>
          <w:color w:val="auto"/>
          <w:sz w:val="24"/>
          <w:highlight w:val="none"/>
        </w:rPr>
        <w:t>注册于</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（注册地址）的</w:t>
      </w:r>
      <w:r>
        <w:rPr>
          <w:rFonts w:hint="eastAsia" w:ascii="宋体" w:hAnsi="宋体" w:cs="宋体"/>
          <w:color w:val="auto"/>
          <w:sz w:val="24"/>
          <w:highlight w:val="none"/>
          <w:u w:val="single"/>
        </w:rPr>
        <w:t xml:space="preserve">                                         </w:t>
      </w:r>
    </w:p>
    <w:p>
      <w:pPr>
        <w:shd w:val="clear"/>
        <w:spacing w:line="360" w:lineRule="auto"/>
        <w:jc w:val="left"/>
        <w:rPr>
          <w:rFonts w:ascii="宋体" w:hAnsi="宋体" w:cs="宋体"/>
          <w:color w:val="auto"/>
          <w:sz w:val="24"/>
          <w:highlight w:val="none"/>
        </w:rPr>
      </w:pP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（投标人名称），系中华人民共和国合法企业；本人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（授权人姓名）系该公司的法定代表人。现特授权本单位的（被授权人姓名）</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（身份证号码）</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为我公司合法代理人，全权代表我公司办理就</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项目的投标、开标、签约等具体工作，并签署全部有关的文件、协议及合同。</w:t>
      </w:r>
    </w:p>
    <w:p>
      <w:pPr>
        <w:shd w:val="clea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我公司对被授权人的签名负全部责任。</w:t>
      </w:r>
    </w:p>
    <w:p>
      <w:pPr>
        <w:shd w:val="clea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在撤销授权的书面通知以前，本授权书一直有效。被授权人签署的所有文件（在授权书有效期内签署的）不因授权的撤销而失效。被授权人无转委托。特此声明。</w:t>
      </w:r>
    </w:p>
    <w:p>
      <w:pPr>
        <w:shd w:val="clear"/>
        <w:spacing w:line="360" w:lineRule="auto"/>
        <w:rPr>
          <w:rFonts w:ascii="宋体" w:hAnsi="宋体" w:cs="宋体"/>
          <w:color w:val="auto"/>
          <w:sz w:val="24"/>
          <w:highlight w:val="none"/>
        </w:rPr>
      </w:pPr>
      <w:r>
        <w:rPr>
          <w:rFonts w:hint="eastAsia" w:ascii="宋体" w:hAnsi="宋体" w:cs="宋体"/>
          <w:color w:val="auto"/>
          <w:sz w:val="24"/>
          <w:highlight w:val="none"/>
        </w:rPr>
        <w:t>被授权人身份证复印件：</w:t>
      </w:r>
    </w:p>
    <w:p>
      <w:pPr>
        <w:shd w:val="clear"/>
        <w:spacing w:line="800" w:lineRule="exact"/>
        <w:rPr>
          <w:rFonts w:ascii="宋体" w:hAnsi="宋体" w:cs="宋体"/>
          <w:color w:val="auto"/>
          <w:sz w:val="24"/>
          <w:highlight w:val="none"/>
        </w:rPr>
      </w:pPr>
      <w:r>
        <w:rPr>
          <w:rFonts w:hint="eastAsia" w:ascii="宋体" w:hAnsi="宋体" w:cs="宋体"/>
          <w:color w:val="auto"/>
          <w:sz w:val="24"/>
          <w:highlight w:val="none"/>
        </w:rPr>
        <w:t>投标人公章：</w:t>
      </w:r>
    </w:p>
    <w:p>
      <w:pPr>
        <w:shd w:val="clear"/>
        <w:spacing w:line="800" w:lineRule="exact"/>
        <w:rPr>
          <w:rFonts w:ascii="宋体" w:hAnsi="宋体" w:cs="宋体"/>
          <w:color w:val="auto"/>
          <w:sz w:val="24"/>
          <w:highlight w:val="none"/>
          <w:u w:val="single"/>
        </w:rPr>
      </w:pPr>
      <w:r>
        <w:rPr>
          <w:rFonts w:hint="eastAsia" w:ascii="宋体" w:hAnsi="宋体" w:cs="宋体"/>
          <w:color w:val="auto"/>
          <w:sz w:val="24"/>
          <w:highlight w:val="none"/>
        </w:rPr>
        <w:t>授权人签名：                            职        务：</w:t>
      </w:r>
      <w:r>
        <w:rPr>
          <w:rFonts w:hint="eastAsia" w:ascii="宋体" w:hAnsi="宋体" w:cs="宋体"/>
          <w:color w:val="auto"/>
          <w:sz w:val="24"/>
          <w:highlight w:val="none"/>
          <w:u w:val="single"/>
        </w:rPr>
        <w:t xml:space="preserve">                </w:t>
      </w:r>
    </w:p>
    <w:p>
      <w:pPr>
        <w:shd w:val="clear"/>
        <w:spacing w:line="800" w:lineRule="exact"/>
        <w:rPr>
          <w:rFonts w:ascii="宋体" w:hAnsi="宋体" w:cs="宋体"/>
          <w:color w:val="auto"/>
          <w:sz w:val="24"/>
          <w:highlight w:val="none"/>
        </w:rPr>
      </w:pPr>
      <w:r>
        <w:rPr>
          <w:rFonts w:hint="eastAsia" w:ascii="宋体" w:hAnsi="宋体" w:cs="宋体"/>
          <w:color w:val="auto"/>
          <w:sz w:val="24"/>
          <w:highlight w:val="none"/>
        </w:rPr>
        <w:t>被授权人签名：</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xml:space="preserve">     </w:t>
      </w:r>
    </w:p>
    <w:p>
      <w:pPr>
        <w:shd w:val="clear"/>
        <w:spacing w:line="360" w:lineRule="auto"/>
        <w:rPr>
          <w:rFonts w:ascii="宋体" w:hAnsi="宋体" w:cs="宋体"/>
          <w:color w:val="auto"/>
          <w:sz w:val="24"/>
          <w:highlight w:val="none"/>
        </w:rPr>
      </w:pPr>
    </w:p>
    <w:p>
      <w:pPr>
        <w:shd w:val="clear"/>
        <w:spacing w:line="360" w:lineRule="auto"/>
        <w:rPr>
          <w:rFonts w:ascii="宋体" w:hAnsi="宋体" w:cs="宋体"/>
          <w:color w:val="auto"/>
          <w:sz w:val="24"/>
          <w:highlight w:val="none"/>
        </w:rPr>
      </w:pPr>
      <w:r>
        <w:rPr>
          <w:rFonts w:hint="eastAsia" w:ascii="宋体" w:hAnsi="宋体" w:cs="宋体"/>
          <w:color w:val="auto"/>
          <w:sz w:val="24"/>
          <w:highlight w:val="none"/>
        </w:rPr>
        <w:t>注：投标人法定代表人参加投标的，提供法定代表人说明书和身份资料即可。</w:t>
      </w:r>
    </w:p>
    <w:p>
      <w:pPr>
        <w:pStyle w:val="5"/>
        <w:shd w:val="clear"/>
        <w:rPr>
          <w:rFonts w:ascii="宋体" w:hAnsi="宋体" w:cs="宋体"/>
          <w:color w:val="auto"/>
          <w:sz w:val="24"/>
          <w:highlight w:val="none"/>
        </w:rPr>
      </w:pPr>
    </w:p>
    <w:p>
      <w:pPr>
        <w:shd w:val="clear"/>
        <w:rPr>
          <w:rFonts w:ascii="宋体" w:hAnsi="宋体" w:cs="宋体"/>
          <w:color w:val="auto"/>
          <w:sz w:val="24"/>
          <w:highlight w:val="none"/>
        </w:rPr>
      </w:pPr>
    </w:p>
    <w:p>
      <w:pPr>
        <w:shd w:val="clear"/>
        <w:rPr>
          <w:rFonts w:ascii="宋体" w:hAnsi="宋体" w:cs="宋体"/>
          <w:color w:val="auto"/>
          <w:sz w:val="24"/>
          <w:highlight w:val="none"/>
        </w:rPr>
      </w:pPr>
    </w:p>
    <w:p>
      <w:pPr>
        <w:shd w:val="clear"/>
        <w:rPr>
          <w:rFonts w:ascii="宋体" w:hAnsi="宋体" w:cs="宋体"/>
          <w:color w:val="auto"/>
          <w:sz w:val="24"/>
          <w:highlight w:val="none"/>
        </w:rPr>
      </w:pPr>
    </w:p>
    <w:p>
      <w:pPr>
        <w:shd w:val="clear"/>
        <w:jc w:val="center"/>
        <w:rPr>
          <w:rFonts w:hint="eastAsia" w:ascii="宋体" w:hAnsi="宋体" w:cs="宋体"/>
          <w:b/>
          <w:bCs/>
          <w:color w:val="auto"/>
          <w:sz w:val="36"/>
          <w:highlight w:val="none"/>
        </w:rPr>
      </w:pPr>
    </w:p>
    <w:p>
      <w:pPr>
        <w:shd w:val="clear"/>
        <w:jc w:val="center"/>
        <w:rPr>
          <w:rFonts w:ascii="宋体" w:hAnsi="宋体" w:cs="宋体"/>
          <w:b/>
          <w:bCs/>
          <w:color w:val="auto"/>
          <w:sz w:val="36"/>
          <w:highlight w:val="none"/>
        </w:rPr>
      </w:pPr>
      <w:r>
        <w:rPr>
          <w:rFonts w:hint="eastAsia" w:ascii="宋体" w:hAnsi="宋体" w:cs="宋体"/>
          <w:b/>
          <w:bCs/>
          <w:color w:val="auto"/>
          <w:sz w:val="36"/>
          <w:highlight w:val="none"/>
        </w:rPr>
        <w:t>拟投入本项目的人员表（格式）</w:t>
      </w:r>
    </w:p>
    <w:p>
      <w:pPr>
        <w:shd w:val="clear"/>
        <w:tabs>
          <w:tab w:val="left" w:pos="360"/>
        </w:tabs>
        <w:spacing w:line="360" w:lineRule="auto"/>
        <w:rPr>
          <w:rFonts w:ascii="宋体" w:hAnsi="宋体" w:cs="宋体"/>
          <w:b/>
          <w:bCs/>
          <w:color w:val="auto"/>
          <w:highlight w:val="none"/>
        </w:rPr>
      </w:pPr>
      <w:r>
        <w:rPr>
          <w:rFonts w:hint="eastAsia" w:ascii="宋体" w:hAnsi="宋体" w:cs="宋体"/>
          <w:bCs/>
          <w:color w:val="auto"/>
          <w:sz w:val="24"/>
          <w:szCs w:val="28"/>
          <w:highlight w:val="none"/>
        </w:rPr>
        <w:t>投标人（公章）：</w:t>
      </w:r>
      <w:r>
        <w:rPr>
          <w:rFonts w:hint="eastAsia" w:ascii="宋体" w:hAnsi="宋体" w:cs="宋体"/>
          <w:bCs/>
          <w:color w:val="auto"/>
          <w:sz w:val="24"/>
          <w:szCs w:val="28"/>
          <w:highlight w:val="none"/>
          <w:u w:val="single"/>
        </w:rPr>
        <w:t xml:space="preserve">                          </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900"/>
        <w:gridCol w:w="1440"/>
        <w:gridCol w:w="1460"/>
        <w:gridCol w:w="2680"/>
        <w:gridCol w:w="15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1548" w:type="dxa"/>
            <w:vAlign w:val="center"/>
          </w:tcPr>
          <w:p>
            <w:pPr>
              <w:shd w:val="clear"/>
              <w:tabs>
                <w:tab w:val="left" w:pos="360"/>
              </w:tabs>
              <w:spacing w:line="460" w:lineRule="exact"/>
              <w:jc w:val="center"/>
              <w:rPr>
                <w:rFonts w:ascii="宋体" w:hAnsi="宋体" w:cs="宋体"/>
                <w:color w:val="auto"/>
                <w:sz w:val="24"/>
                <w:highlight w:val="none"/>
              </w:rPr>
            </w:pPr>
            <w:r>
              <w:rPr>
                <w:rFonts w:hint="eastAsia" w:ascii="宋体" w:hAnsi="宋体" w:cs="宋体"/>
                <w:color w:val="auto"/>
                <w:sz w:val="24"/>
                <w:highlight w:val="none"/>
              </w:rPr>
              <w:t>姓名</w:t>
            </w:r>
          </w:p>
        </w:tc>
        <w:tc>
          <w:tcPr>
            <w:tcW w:w="900" w:type="dxa"/>
            <w:vAlign w:val="center"/>
          </w:tcPr>
          <w:p>
            <w:pPr>
              <w:shd w:val="clear"/>
              <w:tabs>
                <w:tab w:val="left" w:pos="360"/>
              </w:tabs>
              <w:spacing w:line="460" w:lineRule="exact"/>
              <w:jc w:val="center"/>
              <w:rPr>
                <w:rFonts w:ascii="宋体" w:hAnsi="宋体" w:cs="宋体"/>
                <w:color w:val="auto"/>
                <w:sz w:val="24"/>
                <w:highlight w:val="none"/>
              </w:rPr>
            </w:pPr>
            <w:r>
              <w:rPr>
                <w:rFonts w:hint="eastAsia" w:ascii="宋体" w:hAnsi="宋体" w:cs="宋体"/>
                <w:color w:val="auto"/>
                <w:sz w:val="24"/>
                <w:highlight w:val="none"/>
              </w:rPr>
              <w:t>性别</w:t>
            </w:r>
          </w:p>
        </w:tc>
        <w:tc>
          <w:tcPr>
            <w:tcW w:w="1440" w:type="dxa"/>
            <w:vAlign w:val="center"/>
          </w:tcPr>
          <w:p>
            <w:pPr>
              <w:shd w:val="clear"/>
              <w:tabs>
                <w:tab w:val="left" w:pos="360"/>
              </w:tabs>
              <w:spacing w:line="460" w:lineRule="exact"/>
              <w:jc w:val="center"/>
              <w:rPr>
                <w:rFonts w:ascii="宋体" w:hAnsi="宋体" w:cs="宋体"/>
                <w:color w:val="auto"/>
                <w:sz w:val="24"/>
                <w:highlight w:val="none"/>
              </w:rPr>
            </w:pPr>
            <w:r>
              <w:rPr>
                <w:rFonts w:hint="eastAsia" w:ascii="宋体" w:hAnsi="宋体" w:cs="宋体"/>
                <w:color w:val="auto"/>
                <w:sz w:val="24"/>
                <w:highlight w:val="none"/>
              </w:rPr>
              <w:t>职称</w:t>
            </w:r>
          </w:p>
        </w:tc>
        <w:tc>
          <w:tcPr>
            <w:tcW w:w="1460" w:type="dxa"/>
            <w:vAlign w:val="center"/>
          </w:tcPr>
          <w:p>
            <w:pPr>
              <w:shd w:val="clear"/>
              <w:tabs>
                <w:tab w:val="left" w:pos="360"/>
              </w:tabs>
              <w:spacing w:line="460" w:lineRule="exact"/>
              <w:jc w:val="center"/>
              <w:rPr>
                <w:rFonts w:ascii="宋体" w:hAnsi="宋体" w:cs="宋体"/>
                <w:color w:val="auto"/>
                <w:sz w:val="24"/>
                <w:highlight w:val="none"/>
              </w:rPr>
            </w:pPr>
            <w:r>
              <w:rPr>
                <w:rFonts w:hint="eastAsia" w:ascii="宋体" w:hAnsi="宋体" w:cs="宋体"/>
                <w:color w:val="auto"/>
                <w:sz w:val="24"/>
                <w:highlight w:val="none"/>
              </w:rPr>
              <w:t>从事岗位</w:t>
            </w:r>
          </w:p>
        </w:tc>
        <w:tc>
          <w:tcPr>
            <w:tcW w:w="2680" w:type="dxa"/>
            <w:vAlign w:val="center"/>
          </w:tcPr>
          <w:p>
            <w:pPr>
              <w:shd w:val="clear"/>
              <w:tabs>
                <w:tab w:val="left" w:pos="360"/>
              </w:tabs>
              <w:spacing w:line="460" w:lineRule="exact"/>
              <w:jc w:val="center"/>
              <w:rPr>
                <w:rFonts w:ascii="宋体" w:hAnsi="宋体" w:cs="宋体"/>
                <w:color w:val="auto"/>
                <w:sz w:val="24"/>
                <w:highlight w:val="none"/>
              </w:rPr>
            </w:pPr>
            <w:r>
              <w:rPr>
                <w:rFonts w:hint="eastAsia" w:ascii="宋体" w:hAnsi="宋体" w:cs="宋体"/>
                <w:color w:val="auto"/>
                <w:sz w:val="24"/>
                <w:highlight w:val="none"/>
              </w:rPr>
              <w:t>联系电话</w:t>
            </w:r>
          </w:p>
        </w:tc>
        <w:tc>
          <w:tcPr>
            <w:tcW w:w="1542" w:type="dxa"/>
            <w:vAlign w:val="center"/>
          </w:tcPr>
          <w:p>
            <w:pPr>
              <w:shd w:val="clear"/>
              <w:tabs>
                <w:tab w:val="left" w:pos="360"/>
              </w:tabs>
              <w:jc w:val="center"/>
              <w:rPr>
                <w:rFonts w:ascii="宋体" w:hAnsi="宋体" w:cs="宋体"/>
                <w:color w:val="auto"/>
                <w:sz w:val="24"/>
                <w:highlight w:val="none"/>
              </w:rPr>
            </w:pPr>
            <w:r>
              <w:rPr>
                <w:rFonts w:hint="eastAsia" w:ascii="宋体" w:hAnsi="宋体" w:cs="宋体"/>
                <w:color w:val="auto"/>
                <w:sz w:val="24"/>
                <w:highlight w:val="none"/>
              </w:rPr>
              <w:t>从事</w:t>
            </w:r>
          </w:p>
          <w:p>
            <w:pPr>
              <w:shd w:val="clear"/>
              <w:tabs>
                <w:tab w:val="left" w:pos="360"/>
              </w:tabs>
              <w:jc w:val="center"/>
              <w:rPr>
                <w:rFonts w:ascii="宋体" w:hAnsi="宋体" w:cs="宋体"/>
                <w:color w:val="auto"/>
                <w:sz w:val="24"/>
                <w:highlight w:val="none"/>
              </w:rPr>
            </w:pPr>
            <w:r>
              <w:rPr>
                <w:rFonts w:hint="eastAsia" w:ascii="宋体" w:hAnsi="宋体" w:cs="宋体"/>
                <w:color w:val="auto"/>
                <w:sz w:val="24"/>
                <w:highlight w:val="none"/>
              </w:rPr>
              <w:t>工作时间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1548" w:type="dxa"/>
            <w:vAlign w:val="center"/>
          </w:tcPr>
          <w:p>
            <w:pPr>
              <w:shd w:val="clear"/>
              <w:tabs>
                <w:tab w:val="left" w:pos="360"/>
              </w:tabs>
              <w:spacing w:line="460" w:lineRule="exact"/>
              <w:jc w:val="center"/>
              <w:rPr>
                <w:rFonts w:ascii="宋体" w:hAnsi="宋体" w:cs="宋体"/>
                <w:color w:val="auto"/>
                <w:sz w:val="24"/>
                <w:highlight w:val="none"/>
              </w:rPr>
            </w:pPr>
          </w:p>
        </w:tc>
        <w:tc>
          <w:tcPr>
            <w:tcW w:w="900" w:type="dxa"/>
            <w:vAlign w:val="center"/>
          </w:tcPr>
          <w:p>
            <w:pPr>
              <w:shd w:val="clear"/>
              <w:tabs>
                <w:tab w:val="left" w:pos="360"/>
              </w:tabs>
              <w:spacing w:line="460" w:lineRule="exact"/>
              <w:jc w:val="center"/>
              <w:rPr>
                <w:rFonts w:ascii="宋体" w:hAnsi="宋体" w:cs="宋体"/>
                <w:color w:val="auto"/>
                <w:sz w:val="24"/>
                <w:highlight w:val="none"/>
              </w:rPr>
            </w:pPr>
          </w:p>
        </w:tc>
        <w:tc>
          <w:tcPr>
            <w:tcW w:w="1440" w:type="dxa"/>
            <w:vAlign w:val="center"/>
          </w:tcPr>
          <w:p>
            <w:pPr>
              <w:shd w:val="clear"/>
              <w:tabs>
                <w:tab w:val="left" w:pos="360"/>
              </w:tabs>
              <w:spacing w:line="460" w:lineRule="exact"/>
              <w:jc w:val="center"/>
              <w:rPr>
                <w:rFonts w:ascii="宋体" w:hAnsi="宋体" w:cs="宋体"/>
                <w:color w:val="auto"/>
                <w:sz w:val="24"/>
                <w:highlight w:val="none"/>
              </w:rPr>
            </w:pPr>
          </w:p>
        </w:tc>
        <w:tc>
          <w:tcPr>
            <w:tcW w:w="1460" w:type="dxa"/>
            <w:vAlign w:val="center"/>
          </w:tcPr>
          <w:p>
            <w:pPr>
              <w:shd w:val="clear"/>
              <w:tabs>
                <w:tab w:val="left" w:pos="360"/>
              </w:tabs>
              <w:spacing w:line="460" w:lineRule="exact"/>
              <w:jc w:val="center"/>
              <w:rPr>
                <w:rFonts w:ascii="宋体" w:hAnsi="宋体" w:cs="宋体"/>
                <w:color w:val="auto"/>
                <w:sz w:val="24"/>
                <w:highlight w:val="none"/>
              </w:rPr>
            </w:pPr>
          </w:p>
        </w:tc>
        <w:tc>
          <w:tcPr>
            <w:tcW w:w="2680" w:type="dxa"/>
            <w:vAlign w:val="center"/>
          </w:tcPr>
          <w:p>
            <w:pPr>
              <w:shd w:val="clear"/>
              <w:tabs>
                <w:tab w:val="left" w:pos="360"/>
              </w:tabs>
              <w:spacing w:line="460" w:lineRule="exact"/>
              <w:jc w:val="center"/>
              <w:rPr>
                <w:rFonts w:ascii="宋体" w:hAnsi="宋体" w:cs="宋体"/>
                <w:color w:val="auto"/>
                <w:sz w:val="24"/>
                <w:highlight w:val="none"/>
              </w:rPr>
            </w:pPr>
          </w:p>
        </w:tc>
        <w:tc>
          <w:tcPr>
            <w:tcW w:w="1542" w:type="dxa"/>
            <w:vAlign w:val="center"/>
          </w:tcPr>
          <w:p>
            <w:pPr>
              <w:shd w:val="clear"/>
              <w:tabs>
                <w:tab w:val="left" w:pos="360"/>
              </w:tabs>
              <w:spacing w:line="460" w:lineRule="exact"/>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1548" w:type="dxa"/>
            <w:vAlign w:val="center"/>
          </w:tcPr>
          <w:p>
            <w:pPr>
              <w:shd w:val="clear"/>
              <w:tabs>
                <w:tab w:val="left" w:pos="360"/>
              </w:tabs>
              <w:spacing w:line="460" w:lineRule="exact"/>
              <w:jc w:val="center"/>
              <w:rPr>
                <w:rFonts w:ascii="宋体" w:hAnsi="宋体" w:cs="宋体"/>
                <w:color w:val="auto"/>
                <w:sz w:val="24"/>
                <w:highlight w:val="none"/>
              </w:rPr>
            </w:pPr>
          </w:p>
        </w:tc>
        <w:tc>
          <w:tcPr>
            <w:tcW w:w="900" w:type="dxa"/>
            <w:vAlign w:val="center"/>
          </w:tcPr>
          <w:p>
            <w:pPr>
              <w:shd w:val="clear"/>
              <w:tabs>
                <w:tab w:val="left" w:pos="360"/>
              </w:tabs>
              <w:spacing w:line="460" w:lineRule="exact"/>
              <w:jc w:val="center"/>
              <w:rPr>
                <w:rFonts w:ascii="宋体" w:hAnsi="宋体" w:cs="宋体"/>
                <w:color w:val="auto"/>
                <w:sz w:val="24"/>
                <w:highlight w:val="none"/>
              </w:rPr>
            </w:pPr>
          </w:p>
        </w:tc>
        <w:tc>
          <w:tcPr>
            <w:tcW w:w="1440" w:type="dxa"/>
            <w:vAlign w:val="center"/>
          </w:tcPr>
          <w:p>
            <w:pPr>
              <w:shd w:val="clear"/>
              <w:tabs>
                <w:tab w:val="left" w:pos="360"/>
              </w:tabs>
              <w:spacing w:line="460" w:lineRule="exact"/>
              <w:jc w:val="center"/>
              <w:rPr>
                <w:rFonts w:ascii="宋体" w:hAnsi="宋体" w:cs="宋体"/>
                <w:color w:val="auto"/>
                <w:sz w:val="24"/>
                <w:highlight w:val="none"/>
              </w:rPr>
            </w:pPr>
          </w:p>
        </w:tc>
        <w:tc>
          <w:tcPr>
            <w:tcW w:w="1460" w:type="dxa"/>
            <w:vAlign w:val="center"/>
          </w:tcPr>
          <w:p>
            <w:pPr>
              <w:shd w:val="clear"/>
              <w:tabs>
                <w:tab w:val="left" w:pos="360"/>
              </w:tabs>
              <w:spacing w:line="460" w:lineRule="exact"/>
              <w:jc w:val="center"/>
              <w:rPr>
                <w:rFonts w:ascii="宋体" w:hAnsi="宋体" w:cs="宋体"/>
                <w:color w:val="auto"/>
                <w:sz w:val="24"/>
                <w:highlight w:val="none"/>
              </w:rPr>
            </w:pPr>
          </w:p>
        </w:tc>
        <w:tc>
          <w:tcPr>
            <w:tcW w:w="2680" w:type="dxa"/>
            <w:vAlign w:val="center"/>
          </w:tcPr>
          <w:p>
            <w:pPr>
              <w:shd w:val="clear"/>
              <w:tabs>
                <w:tab w:val="left" w:pos="360"/>
              </w:tabs>
              <w:spacing w:line="460" w:lineRule="exact"/>
              <w:jc w:val="center"/>
              <w:rPr>
                <w:rFonts w:ascii="宋体" w:hAnsi="宋体" w:cs="宋体"/>
                <w:color w:val="auto"/>
                <w:sz w:val="24"/>
                <w:highlight w:val="none"/>
              </w:rPr>
            </w:pPr>
          </w:p>
        </w:tc>
        <w:tc>
          <w:tcPr>
            <w:tcW w:w="1542" w:type="dxa"/>
            <w:vAlign w:val="center"/>
          </w:tcPr>
          <w:p>
            <w:pPr>
              <w:shd w:val="clear"/>
              <w:tabs>
                <w:tab w:val="left" w:pos="360"/>
              </w:tabs>
              <w:spacing w:line="460" w:lineRule="exact"/>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1548" w:type="dxa"/>
            <w:vAlign w:val="center"/>
          </w:tcPr>
          <w:p>
            <w:pPr>
              <w:shd w:val="clear"/>
              <w:tabs>
                <w:tab w:val="left" w:pos="360"/>
              </w:tabs>
              <w:spacing w:line="460" w:lineRule="exact"/>
              <w:jc w:val="center"/>
              <w:rPr>
                <w:rFonts w:ascii="宋体" w:hAnsi="宋体" w:cs="宋体"/>
                <w:color w:val="auto"/>
                <w:sz w:val="24"/>
                <w:highlight w:val="none"/>
              </w:rPr>
            </w:pPr>
          </w:p>
        </w:tc>
        <w:tc>
          <w:tcPr>
            <w:tcW w:w="900" w:type="dxa"/>
            <w:vAlign w:val="center"/>
          </w:tcPr>
          <w:p>
            <w:pPr>
              <w:shd w:val="clear"/>
              <w:tabs>
                <w:tab w:val="left" w:pos="360"/>
              </w:tabs>
              <w:spacing w:line="460" w:lineRule="exact"/>
              <w:jc w:val="center"/>
              <w:rPr>
                <w:rFonts w:ascii="宋体" w:hAnsi="宋体" w:cs="宋体"/>
                <w:color w:val="auto"/>
                <w:sz w:val="24"/>
                <w:highlight w:val="none"/>
              </w:rPr>
            </w:pPr>
          </w:p>
        </w:tc>
        <w:tc>
          <w:tcPr>
            <w:tcW w:w="1440" w:type="dxa"/>
            <w:vAlign w:val="center"/>
          </w:tcPr>
          <w:p>
            <w:pPr>
              <w:shd w:val="clear"/>
              <w:tabs>
                <w:tab w:val="left" w:pos="360"/>
              </w:tabs>
              <w:spacing w:line="460" w:lineRule="exact"/>
              <w:jc w:val="center"/>
              <w:rPr>
                <w:rFonts w:ascii="宋体" w:hAnsi="宋体" w:cs="宋体"/>
                <w:color w:val="auto"/>
                <w:sz w:val="24"/>
                <w:highlight w:val="none"/>
              </w:rPr>
            </w:pPr>
          </w:p>
        </w:tc>
        <w:tc>
          <w:tcPr>
            <w:tcW w:w="1460" w:type="dxa"/>
            <w:vAlign w:val="center"/>
          </w:tcPr>
          <w:p>
            <w:pPr>
              <w:shd w:val="clear"/>
              <w:tabs>
                <w:tab w:val="left" w:pos="360"/>
              </w:tabs>
              <w:spacing w:line="460" w:lineRule="exact"/>
              <w:jc w:val="center"/>
              <w:rPr>
                <w:rFonts w:ascii="宋体" w:hAnsi="宋体" w:cs="宋体"/>
                <w:color w:val="auto"/>
                <w:sz w:val="24"/>
                <w:highlight w:val="none"/>
              </w:rPr>
            </w:pPr>
          </w:p>
        </w:tc>
        <w:tc>
          <w:tcPr>
            <w:tcW w:w="2680" w:type="dxa"/>
            <w:vAlign w:val="center"/>
          </w:tcPr>
          <w:p>
            <w:pPr>
              <w:shd w:val="clear"/>
              <w:tabs>
                <w:tab w:val="left" w:pos="360"/>
              </w:tabs>
              <w:spacing w:line="460" w:lineRule="exact"/>
              <w:jc w:val="center"/>
              <w:rPr>
                <w:rFonts w:ascii="宋体" w:hAnsi="宋体" w:cs="宋体"/>
                <w:color w:val="auto"/>
                <w:sz w:val="24"/>
                <w:highlight w:val="none"/>
              </w:rPr>
            </w:pPr>
          </w:p>
        </w:tc>
        <w:tc>
          <w:tcPr>
            <w:tcW w:w="1542" w:type="dxa"/>
            <w:vAlign w:val="center"/>
          </w:tcPr>
          <w:p>
            <w:pPr>
              <w:shd w:val="clear"/>
              <w:tabs>
                <w:tab w:val="left" w:pos="360"/>
              </w:tabs>
              <w:spacing w:line="460" w:lineRule="exact"/>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1548" w:type="dxa"/>
            <w:vAlign w:val="center"/>
          </w:tcPr>
          <w:p>
            <w:pPr>
              <w:shd w:val="clear"/>
              <w:tabs>
                <w:tab w:val="left" w:pos="360"/>
              </w:tabs>
              <w:spacing w:line="460" w:lineRule="exact"/>
              <w:jc w:val="center"/>
              <w:rPr>
                <w:rFonts w:ascii="宋体" w:hAnsi="宋体" w:cs="宋体"/>
                <w:color w:val="auto"/>
                <w:sz w:val="24"/>
                <w:highlight w:val="none"/>
              </w:rPr>
            </w:pPr>
          </w:p>
        </w:tc>
        <w:tc>
          <w:tcPr>
            <w:tcW w:w="900" w:type="dxa"/>
            <w:vAlign w:val="center"/>
          </w:tcPr>
          <w:p>
            <w:pPr>
              <w:shd w:val="clear"/>
              <w:tabs>
                <w:tab w:val="left" w:pos="360"/>
              </w:tabs>
              <w:spacing w:line="460" w:lineRule="exact"/>
              <w:jc w:val="center"/>
              <w:rPr>
                <w:rFonts w:ascii="宋体" w:hAnsi="宋体" w:cs="宋体"/>
                <w:color w:val="auto"/>
                <w:sz w:val="24"/>
                <w:highlight w:val="none"/>
              </w:rPr>
            </w:pPr>
          </w:p>
        </w:tc>
        <w:tc>
          <w:tcPr>
            <w:tcW w:w="1440" w:type="dxa"/>
            <w:vAlign w:val="center"/>
          </w:tcPr>
          <w:p>
            <w:pPr>
              <w:shd w:val="clear"/>
              <w:tabs>
                <w:tab w:val="left" w:pos="360"/>
              </w:tabs>
              <w:spacing w:line="460" w:lineRule="exact"/>
              <w:jc w:val="center"/>
              <w:rPr>
                <w:rFonts w:ascii="宋体" w:hAnsi="宋体" w:cs="宋体"/>
                <w:color w:val="auto"/>
                <w:sz w:val="24"/>
                <w:highlight w:val="none"/>
              </w:rPr>
            </w:pPr>
          </w:p>
        </w:tc>
        <w:tc>
          <w:tcPr>
            <w:tcW w:w="1460" w:type="dxa"/>
            <w:vAlign w:val="center"/>
          </w:tcPr>
          <w:p>
            <w:pPr>
              <w:shd w:val="clear"/>
              <w:tabs>
                <w:tab w:val="left" w:pos="360"/>
              </w:tabs>
              <w:spacing w:line="460" w:lineRule="exact"/>
              <w:jc w:val="center"/>
              <w:rPr>
                <w:rFonts w:ascii="宋体" w:hAnsi="宋体" w:cs="宋体"/>
                <w:color w:val="auto"/>
                <w:sz w:val="24"/>
                <w:highlight w:val="none"/>
              </w:rPr>
            </w:pPr>
          </w:p>
        </w:tc>
        <w:tc>
          <w:tcPr>
            <w:tcW w:w="2680" w:type="dxa"/>
            <w:vAlign w:val="center"/>
          </w:tcPr>
          <w:p>
            <w:pPr>
              <w:shd w:val="clear"/>
              <w:tabs>
                <w:tab w:val="left" w:pos="360"/>
              </w:tabs>
              <w:spacing w:line="460" w:lineRule="exact"/>
              <w:jc w:val="center"/>
              <w:rPr>
                <w:rFonts w:ascii="宋体" w:hAnsi="宋体" w:cs="宋体"/>
                <w:color w:val="auto"/>
                <w:sz w:val="24"/>
                <w:highlight w:val="none"/>
              </w:rPr>
            </w:pPr>
          </w:p>
        </w:tc>
        <w:tc>
          <w:tcPr>
            <w:tcW w:w="1542" w:type="dxa"/>
            <w:vAlign w:val="center"/>
          </w:tcPr>
          <w:p>
            <w:pPr>
              <w:shd w:val="clear"/>
              <w:tabs>
                <w:tab w:val="left" w:pos="360"/>
              </w:tabs>
              <w:spacing w:line="460" w:lineRule="exact"/>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1548" w:type="dxa"/>
            <w:vAlign w:val="center"/>
          </w:tcPr>
          <w:p>
            <w:pPr>
              <w:shd w:val="clear"/>
              <w:tabs>
                <w:tab w:val="left" w:pos="360"/>
              </w:tabs>
              <w:spacing w:line="460" w:lineRule="exact"/>
              <w:jc w:val="center"/>
              <w:rPr>
                <w:rFonts w:ascii="宋体" w:hAnsi="宋体" w:cs="宋体"/>
                <w:color w:val="auto"/>
                <w:sz w:val="24"/>
                <w:highlight w:val="none"/>
              </w:rPr>
            </w:pPr>
          </w:p>
        </w:tc>
        <w:tc>
          <w:tcPr>
            <w:tcW w:w="900" w:type="dxa"/>
            <w:vAlign w:val="center"/>
          </w:tcPr>
          <w:p>
            <w:pPr>
              <w:shd w:val="clear"/>
              <w:tabs>
                <w:tab w:val="left" w:pos="360"/>
              </w:tabs>
              <w:spacing w:line="460" w:lineRule="exact"/>
              <w:jc w:val="center"/>
              <w:rPr>
                <w:rFonts w:ascii="宋体" w:hAnsi="宋体" w:cs="宋体"/>
                <w:color w:val="auto"/>
                <w:sz w:val="24"/>
                <w:highlight w:val="none"/>
              </w:rPr>
            </w:pPr>
          </w:p>
        </w:tc>
        <w:tc>
          <w:tcPr>
            <w:tcW w:w="1440" w:type="dxa"/>
            <w:vAlign w:val="center"/>
          </w:tcPr>
          <w:p>
            <w:pPr>
              <w:shd w:val="clear"/>
              <w:tabs>
                <w:tab w:val="left" w:pos="360"/>
              </w:tabs>
              <w:spacing w:line="460" w:lineRule="exact"/>
              <w:jc w:val="center"/>
              <w:rPr>
                <w:rFonts w:ascii="宋体" w:hAnsi="宋体" w:cs="宋体"/>
                <w:color w:val="auto"/>
                <w:sz w:val="24"/>
                <w:highlight w:val="none"/>
              </w:rPr>
            </w:pPr>
          </w:p>
        </w:tc>
        <w:tc>
          <w:tcPr>
            <w:tcW w:w="1460" w:type="dxa"/>
            <w:vAlign w:val="center"/>
          </w:tcPr>
          <w:p>
            <w:pPr>
              <w:shd w:val="clear"/>
              <w:tabs>
                <w:tab w:val="left" w:pos="360"/>
              </w:tabs>
              <w:spacing w:line="460" w:lineRule="exact"/>
              <w:jc w:val="center"/>
              <w:rPr>
                <w:rFonts w:ascii="宋体" w:hAnsi="宋体" w:cs="宋体"/>
                <w:color w:val="auto"/>
                <w:sz w:val="24"/>
                <w:highlight w:val="none"/>
              </w:rPr>
            </w:pPr>
          </w:p>
        </w:tc>
        <w:tc>
          <w:tcPr>
            <w:tcW w:w="2680" w:type="dxa"/>
            <w:vAlign w:val="center"/>
          </w:tcPr>
          <w:p>
            <w:pPr>
              <w:shd w:val="clear"/>
              <w:tabs>
                <w:tab w:val="left" w:pos="360"/>
              </w:tabs>
              <w:spacing w:line="460" w:lineRule="exact"/>
              <w:jc w:val="center"/>
              <w:rPr>
                <w:rFonts w:ascii="宋体" w:hAnsi="宋体" w:cs="宋体"/>
                <w:color w:val="auto"/>
                <w:sz w:val="24"/>
                <w:highlight w:val="none"/>
              </w:rPr>
            </w:pPr>
          </w:p>
        </w:tc>
        <w:tc>
          <w:tcPr>
            <w:tcW w:w="1542" w:type="dxa"/>
            <w:vAlign w:val="center"/>
          </w:tcPr>
          <w:p>
            <w:pPr>
              <w:shd w:val="clear"/>
              <w:tabs>
                <w:tab w:val="left" w:pos="360"/>
              </w:tabs>
              <w:spacing w:line="460" w:lineRule="exact"/>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1548" w:type="dxa"/>
            <w:vAlign w:val="center"/>
          </w:tcPr>
          <w:p>
            <w:pPr>
              <w:shd w:val="clear"/>
              <w:tabs>
                <w:tab w:val="left" w:pos="360"/>
              </w:tabs>
              <w:spacing w:line="460" w:lineRule="exact"/>
              <w:jc w:val="center"/>
              <w:rPr>
                <w:rFonts w:ascii="宋体" w:hAnsi="宋体" w:cs="宋体"/>
                <w:color w:val="auto"/>
                <w:sz w:val="24"/>
                <w:highlight w:val="none"/>
              </w:rPr>
            </w:pPr>
          </w:p>
        </w:tc>
        <w:tc>
          <w:tcPr>
            <w:tcW w:w="900" w:type="dxa"/>
            <w:vAlign w:val="center"/>
          </w:tcPr>
          <w:p>
            <w:pPr>
              <w:shd w:val="clear"/>
              <w:tabs>
                <w:tab w:val="left" w:pos="360"/>
              </w:tabs>
              <w:spacing w:line="460" w:lineRule="exact"/>
              <w:jc w:val="center"/>
              <w:rPr>
                <w:rFonts w:ascii="宋体" w:hAnsi="宋体" w:cs="宋体"/>
                <w:color w:val="auto"/>
                <w:sz w:val="24"/>
                <w:highlight w:val="none"/>
              </w:rPr>
            </w:pPr>
          </w:p>
        </w:tc>
        <w:tc>
          <w:tcPr>
            <w:tcW w:w="1440" w:type="dxa"/>
            <w:vAlign w:val="center"/>
          </w:tcPr>
          <w:p>
            <w:pPr>
              <w:shd w:val="clear"/>
              <w:tabs>
                <w:tab w:val="left" w:pos="360"/>
              </w:tabs>
              <w:spacing w:line="460" w:lineRule="exact"/>
              <w:jc w:val="center"/>
              <w:rPr>
                <w:rFonts w:ascii="宋体" w:hAnsi="宋体" w:cs="宋体"/>
                <w:color w:val="auto"/>
                <w:sz w:val="24"/>
                <w:highlight w:val="none"/>
              </w:rPr>
            </w:pPr>
          </w:p>
        </w:tc>
        <w:tc>
          <w:tcPr>
            <w:tcW w:w="1460" w:type="dxa"/>
            <w:vAlign w:val="center"/>
          </w:tcPr>
          <w:p>
            <w:pPr>
              <w:shd w:val="clear"/>
              <w:tabs>
                <w:tab w:val="left" w:pos="360"/>
              </w:tabs>
              <w:spacing w:line="460" w:lineRule="exact"/>
              <w:jc w:val="center"/>
              <w:rPr>
                <w:rFonts w:ascii="宋体" w:hAnsi="宋体" w:cs="宋体"/>
                <w:color w:val="auto"/>
                <w:sz w:val="24"/>
                <w:highlight w:val="none"/>
              </w:rPr>
            </w:pPr>
          </w:p>
        </w:tc>
        <w:tc>
          <w:tcPr>
            <w:tcW w:w="2680" w:type="dxa"/>
            <w:vAlign w:val="center"/>
          </w:tcPr>
          <w:p>
            <w:pPr>
              <w:shd w:val="clear"/>
              <w:tabs>
                <w:tab w:val="left" w:pos="360"/>
              </w:tabs>
              <w:spacing w:line="460" w:lineRule="exact"/>
              <w:jc w:val="center"/>
              <w:rPr>
                <w:rFonts w:ascii="宋体" w:hAnsi="宋体" w:cs="宋体"/>
                <w:color w:val="auto"/>
                <w:sz w:val="24"/>
                <w:highlight w:val="none"/>
              </w:rPr>
            </w:pPr>
          </w:p>
        </w:tc>
        <w:tc>
          <w:tcPr>
            <w:tcW w:w="1542" w:type="dxa"/>
            <w:vAlign w:val="center"/>
          </w:tcPr>
          <w:p>
            <w:pPr>
              <w:shd w:val="clear"/>
              <w:tabs>
                <w:tab w:val="left" w:pos="360"/>
              </w:tabs>
              <w:spacing w:line="460" w:lineRule="exact"/>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1548" w:type="dxa"/>
            <w:vAlign w:val="center"/>
          </w:tcPr>
          <w:p>
            <w:pPr>
              <w:shd w:val="clear"/>
              <w:tabs>
                <w:tab w:val="left" w:pos="360"/>
              </w:tabs>
              <w:spacing w:line="460" w:lineRule="exact"/>
              <w:jc w:val="center"/>
              <w:rPr>
                <w:rFonts w:ascii="宋体" w:hAnsi="宋体" w:cs="宋体"/>
                <w:color w:val="auto"/>
                <w:sz w:val="24"/>
                <w:highlight w:val="none"/>
              </w:rPr>
            </w:pPr>
          </w:p>
        </w:tc>
        <w:tc>
          <w:tcPr>
            <w:tcW w:w="900" w:type="dxa"/>
            <w:vAlign w:val="center"/>
          </w:tcPr>
          <w:p>
            <w:pPr>
              <w:shd w:val="clear"/>
              <w:tabs>
                <w:tab w:val="left" w:pos="360"/>
              </w:tabs>
              <w:spacing w:line="460" w:lineRule="exact"/>
              <w:jc w:val="center"/>
              <w:rPr>
                <w:rFonts w:ascii="宋体" w:hAnsi="宋体" w:cs="宋体"/>
                <w:color w:val="auto"/>
                <w:sz w:val="24"/>
                <w:highlight w:val="none"/>
              </w:rPr>
            </w:pPr>
          </w:p>
        </w:tc>
        <w:tc>
          <w:tcPr>
            <w:tcW w:w="1440" w:type="dxa"/>
            <w:vAlign w:val="center"/>
          </w:tcPr>
          <w:p>
            <w:pPr>
              <w:shd w:val="clear"/>
              <w:tabs>
                <w:tab w:val="left" w:pos="360"/>
              </w:tabs>
              <w:spacing w:line="460" w:lineRule="exact"/>
              <w:jc w:val="center"/>
              <w:rPr>
                <w:rFonts w:ascii="宋体" w:hAnsi="宋体" w:cs="宋体"/>
                <w:color w:val="auto"/>
                <w:sz w:val="24"/>
                <w:highlight w:val="none"/>
              </w:rPr>
            </w:pPr>
          </w:p>
        </w:tc>
        <w:tc>
          <w:tcPr>
            <w:tcW w:w="1460" w:type="dxa"/>
            <w:vAlign w:val="center"/>
          </w:tcPr>
          <w:p>
            <w:pPr>
              <w:shd w:val="clear"/>
              <w:tabs>
                <w:tab w:val="left" w:pos="360"/>
              </w:tabs>
              <w:spacing w:line="460" w:lineRule="exact"/>
              <w:jc w:val="center"/>
              <w:rPr>
                <w:rFonts w:ascii="宋体" w:hAnsi="宋体" w:cs="宋体"/>
                <w:color w:val="auto"/>
                <w:sz w:val="24"/>
                <w:highlight w:val="none"/>
              </w:rPr>
            </w:pPr>
          </w:p>
        </w:tc>
        <w:tc>
          <w:tcPr>
            <w:tcW w:w="2680" w:type="dxa"/>
            <w:vAlign w:val="center"/>
          </w:tcPr>
          <w:p>
            <w:pPr>
              <w:shd w:val="clear"/>
              <w:tabs>
                <w:tab w:val="left" w:pos="360"/>
              </w:tabs>
              <w:spacing w:line="460" w:lineRule="exact"/>
              <w:jc w:val="center"/>
              <w:rPr>
                <w:rFonts w:ascii="宋体" w:hAnsi="宋体" w:cs="宋体"/>
                <w:color w:val="auto"/>
                <w:sz w:val="24"/>
                <w:highlight w:val="none"/>
              </w:rPr>
            </w:pPr>
          </w:p>
        </w:tc>
        <w:tc>
          <w:tcPr>
            <w:tcW w:w="1542" w:type="dxa"/>
            <w:vAlign w:val="center"/>
          </w:tcPr>
          <w:p>
            <w:pPr>
              <w:shd w:val="clear"/>
              <w:tabs>
                <w:tab w:val="left" w:pos="360"/>
              </w:tabs>
              <w:spacing w:line="460" w:lineRule="exact"/>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1548" w:type="dxa"/>
            <w:vAlign w:val="center"/>
          </w:tcPr>
          <w:p>
            <w:pPr>
              <w:shd w:val="clear"/>
              <w:tabs>
                <w:tab w:val="left" w:pos="360"/>
              </w:tabs>
              <w:spacing w:line="460" w:lineRule="exact"/>
              <w:jc w:val="center"/>
              <w:rPr>
                <w:rFonts w:ascii="宋体" w:hAnsi="宋体" w:cs="宋体"/>
                <w:color w:val="auto"/>
                <w:sz w:val="24"/>
                <w:highlight w:val="none"/>
              </w:rPr>
            </w:pPr>
          </w:p>
        </w:tc>
        <w:tc>
          <w:tcPr>
            <w:tcW w:w="900" w:type="dxa"/>
            <w:vAlign w:val="center"/>
          </w:tcPr>
          <w:p>
            <w:pPr>
              <w:shd w:val="clear"/>
              <w:tabs>
                <w:tab w:val="left" w:pos="360"/>
              </w:tabs>
              <w:spacing w:line="460" w:lineRule="exact"/>
              <w:jc w:val="center"/>
              <w:rPr>
                <w:rFonts w:ascii="宋体" w:hAnsi="宋体" w:cs="宋体"/>
                <w:color w:val="auto"/>
                <w:sz w:val="24"/>
                <w:highlight w:val="none"/>
              </w:rPr>
            </w:pPr>
          </w:p>
        </w:tc>
        <w:tc>
          <w:tcPr>
            <w:tcW w:w="1440" w:type="dxa"/>
            <w:vAlign w:val="center"/>
          </w:tcPr>
          <w:p>
            <w:pPr>
              <w:shd w:val="clear"/>
              <w:tabs>
                <w:tab w:val="left" w:pos="360"/>
              </w:tabs>
              <w:spacing w:line="460" w:lineRule="exact"/>
              <w:jc w:val="center"/>
              <w:rPr>
                <w:rFonts w:ascii="宋体" w:hAnsi="宋体" w:cs="宋体"/>
                <w:color w:val="auto"/>
                <w:sz w:val="24"/>
                <w:highlight w:val="none"/>
              </w:rPr>
            </w:pPr>
          </w:p>
        </w:tc>
        <w:tc>
          <w:tcPr>
            <w:tcW w:w="1460" w:type="dxa"/>
            <w:vAlign w:val="center"/>
          </w:tcPr>
          <w:p>
            <w:pPr>
              <w:shd w:val="clear"/>
              <w:tabs>
                <w:tab w:val="left" w:pos="360"/>
              </w:tabs>
              <w:spacing w:line="460" w:lineRule="exact"/>
              <w:jc w:val="center"/>
              <w:rPr>
                <w:rFonts w:ascii="宋体" w:hAnsi="宋体" w:cs="宋体"/>
                <w:color w:val="auto"/>
                <w:sz w:val="24"/>
                <w:highlight w:val="none"/>
              </w:rPr>
            </w:pPr>
          </w:p>
        </w:tc>
        <w:tc>
          <w:tcPr>
            <w:tcW w:w="2680" w:type="dxa"/>
            <w:vAlign w:val="center"/>
          </w:tcPr>
          <w:p>
            <w:pPr>
              <w:shd w:val="clear"/>
              <w:tabs>
                <w:tab w:val="left" w:pos="360"/>
              </w:tabs>
              <w:spacing w:line="460" w:lineRule="exact"/>
              <w:jc w:val="center"/>
              <w:rPr>
                <w:rFonts w:ascii="宋体" w:hAnsi="宋体" w:cs="宋体"/>
                <w:color w:val="auto"/>
                <w:sz w:val="24"/>
                <w:highlight w:val="none"/>
              </w:rPr>
            </w:pPr>
          </w:p>
        </w:tc>
        <w:tc>
          <w:tcPr>
            <w:tcW w:w="1542" w:type="dxa"/>
            <w:vAlign w:val="center"/>
          </w:tcPr>
          <w:p>
            <w:pPr>
              <w:shd w:val="clear"/>
              <w:tabs>
                <w:tab w:val="left" w:pos="360"/>
              </w:tabs>
              <w:spacing w:line="460" w:lineRule="exact"/>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1548" w:type="dxa"/>
            <w:vAlign w:val="center"/>
          </w:tcPr>
          <w:p>
            <w:pPr>
              <w:shd w:val="clear"/>
              <w:tabs>
                <w:tab w:val="left" w:pos="360"/>
              </w:tabs>
              <w:spacing w:line="460" w:lineRule="exact"/>
              <w:jc w:val="center"/>
              <w:rPr>
                <w:rFonts w:ascii="宋体" w:hAnsi="宋体" w:cs="宋体"/>
                <w:color w:val="auto"/>
                <w:sz w:val="24"/>
                <w:highlight w:val="none"/>
              </w:rPr>
            </w:pPr>
          </w:p>
        </w:tc>
        <w:tc>
          <w:tcPr>
            <w:tcW w:w="900" w:type="dxa"/>
            <w:vAlign w:val="center"/>
          </w:tcPr>
          <w:p>
            <w:pPr>
              <w:shd w:val="clear"/>
              <w:tabs>
                <w:tab w:val="left" w:pos="360"/>
              </w:tabs>
              <w:spacing w:line="460" w:lineRule="exact"/>
              <w:jc w:val="center"/>
              <w:rPr>
                <w:rFonts w:ascii="宋体" w:hAnsi="宋体" w:cs="宋体"/>
                <w:color w:val="auto"/>
                <w:sz w:val="24"/>
                <w:highlight w:val="none"/>
              </w:rPr>
            </w:pPr>
          </w:p>
        </w:tc>
        <w:tc>
          <w:tcPr>
            <w:tcW w:w="1440" w:type="dxa"/>
            <w:vAlign w:val="center"/>
          </w:tcPr>
          <w:p>
            <w:pPr>
              <w:shd w:val="clear"/>
              <w:tabs>
                <w:tab w:val="left" w:pos="360"/>
              </w:tabs>
              <w:spacing w:line="460" w:lineRule="exact"/>
              <w:jc w:val="center"/>
              <w:rPr>
                <w:rFonts w:ascii="宋体" w:hAnsi="宋体" w:cs="宋体"/>
                <w:color w:val="auto"/>
                <w:sz w:val="24"/>
                <w:highlight w:val="none"/>
              </w:rPr>
            </w:pPr>
          </w:p>
        </w:tc>
        <w:tc>
          <w:tcPr>
            <w:tcW w:w="1460" w:type="dxa"/>
            <w:vAlign w:val="center"/>
          </w:tcPr>
          <w:p>
            <w:pPr>
              <w:shd w:val="clear"/>
              <w:tabs>
                <w:tab w:val="left" w:pos="360"/>
              </w:tabs>
              <w:spacing w:line="460" w:lineRule="exact"/>
              <w:jc w:val="center"/>
              <w:rPr>
                <w:rFonts w:ascii="宋体" w:hAnsi="宋体" w:cs="宋体"/>
                <w:color w:val="auto"/>
                <w:sz w:val="24"/>
                <w:highlight w:val="none"/>
              </w:rPr>
            </w:pPr>
          </w:p>
        </w:tc>
        <w:tc>
          <w:tcPr>
            <w:tcW w:w="2680" w:type="dxa"/>
            <w:vAlign w:val="center"/>
          </w:tcPr>
          <w:p>
            <w:pPr>
              <w:shd w:val="clear"/>
              <w:tabs>
                <w:tab w:val="left" w:pos="360"/>
              </w:tabs>
              <w:spacing w:line="460" w:lineRule="exact"/>
              <w:jc w:val="center"/>
              <w:rPr>
                <w:rFonts w:ascii="宋体" w:hAnsi="宋体" w:cs="宋体"/>
                <w:color w:val="auto"/>
                <w:sz w:val="24"/>
                <w:highlight w:val="none"/>
              </w:rPr>
            </w:pPr>
          </w:p>
        </w:tc>
        <w:tc>
          <w:tcPr>
            <w:tcW w:w="1542" w:type="dxa"/>
            <w:vAlign w:val="center"/>
          </w:tcPr>
          <w:p>
            <w:pPr>
              <w:shd w:val="clear"/>
              <w:tabs>
                <w:tab w:val="left" w:pos="360"/>
              </w:tabs>
              <w:spacing w:line="460" w:lineRule="exact"/>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1548" w:type="dxa"/>
            <w:vAlign w:val="center"/>
          </w:tcPr>
          <w:p>
            <w:pPr>
              <w:shd w:val="clear"/>
              <w:tabs>
                <w:tab w:val="left" w:pos="360"/>
              </w:tabs>
              <w:spacing w:line="460" w:lineRule="exact"/>
              <w:jc w:val="center"/>
              <w:rPr>
                <w:rFonts w:ascii="宋体" w:hAnsi="宋体" w:cs="宋体"/>
                <w:color w:val="auto"/>
                <w:sz w:val="24"/>
                <w:highlight w:val="none"/>
              </w:rPr>
            </w:pPr>
          </w:p>
        </w:tc>
        <w:tc>
          <w:tcPr>
            <w:tcW w:w="900" w:type="dxa"/>
            <w:vAlign w:val="center"/>
          </w:tcPr>
          <w:p>
            <w:pPr>
              <w:shd w:val="clear"/>
              <w:tabs>
                <w:tab w:val="left" w:pos="360"/>
              </w:tabs>
              <w:spacing w:line="460" w:lineRule="exact"/>
              <w:jc w:val="center"/>
              <w:rPr>
                <w:rFonts w:ascii="宋体" w:hAnsi="宋体" w:cs="宋体"/>
                <w:color w:val="auto"/>
                <w:sz w:val="24"/>
                <w:highlight w:val="none"/>
              </w:rPr>
            </w:pPr>
          </w:p>
        </w:tc>
        <w:tc>
          <w:tcPr>
            <w:tcW w:w="1440" w:type="dxa"/>
            <w:vAlign w:val="center"/>
          </w:tcPr>
          <w:p>
            <w:pPr>
              <w:shd w:val="clear"/>
              <w:tabs>
                <w:tab w:val="left" w:pos="360"/>
              </w:tabs>
              <w:spacing w:line="460" w:lineRule="exact"/>
              <w:jc w:val="center"/>
              <w:rPr>
                <w:rFonts w:ascii="宋体" w:hAnsi="宋体" w:cs="宋体"/>
                <w:color w:val="auto"/>
                <w:sz w:val="24"/>
                <w:highlight w:val="none"/>
              </w:rPr>
            </w:pPr>
          </w:p>
        </w:tc>
        <w:tc>
          <w:tcPr>
            <w:tcW w:w="1460" w:type="dxa"/>
            <w:vAlign w:val="center"/>
          </w:tcPr>
          <w:p>
            <w:pPr>
              <w:shd w:val="clear"/>
              <w:tabs>
                <w:tab w:val="left" w:pos="360"/>
              </w:tabs>
              <w:spacing w:line="460" w:lineRule="exact"/>
              <w:jc w:val="center"/>
              <w:rPr>
                <w:rFonts w:ascii="宋体" w:hAnsi="宋体" w:cs="宋体"/>
                <w:color w:val="auto"/>
                <w:sz w:val="24"/>
                <w:highlight w:val="none"/>
              </w:rPr>
            </w:pPr>
          </w:p>
        </w:tc>
        <w:tc>
          <w:tcPr>
            <w:tcW w:w="2680" w:type="dxa"/>
            <w:vAlign w:val="center"/>
          </w:tcPr>
          <w:p>
            <w:pPr>
              <w:shd w:val="clear"/>
              <w:tabs>
                <w:tab w:val="left" w:pos="360"/>
              </w:tabs>
              <w:spacing w:line="460" w:lineRule="exact"/>
              <w:jc w:val="center"/>
              <w:rPr>
                <w:rFonts w:ascii="宋体" w:hAnsi="宋体" w:cs="宋体"/>
                <w:color w:val="auto"/>
                <w:sz w:val="24"/>
                <w:highlight w:val="none"/>
              </w:rPr>
            </w:pPr>
          </w:p>
        </w:tc>
        <w:tc>
          <w:tcPr>
            <w:tcW w:w="1542" w:type="dxa"/>
            <w:vAlign w:val="center"/>
          </w:tcPr>
          <w:p>
            <w:pPr>
              <w:shd w:val="clear"/>
              <w:tabs>
                <w:tab w:val="left" w:pos="360"/>
              </w:tabs>
              <w:spacing w:line="460" w:lineRule="exact"/>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1548" w:type="dxa"/>
            <w:vAlign w:val="center"/>
          </w:tcPr>
          <w:p>
            <w:pPr>
              <w:shd w:val="clear"/>
              <w:tabs>
                <w:tab w:val="left" w:pos="360"/>
              </w:tabs>
              <w:spacing w:line="460" w:lineRule="exact"/>
              <w:jc w:val="center"/>
              <w:rPr>
                <w:rFonts w:ascii="宋体" w:hAnsi="宋体" w:cs="宋体"/>
                <w:color w:val="auto"/>
                <w:sz w:val="24"/>
                <w:highlight w:val="none"/>
              </w:rPr>
            </w:pPr>
          </w:p>
        </w:tc>
        <w:tc>
          <w:tcPr>
            <w:tcW w:w="900" w:type="dxa"/>
            <w:vAlign w:val="center"/>
          </w:tcPr>
          <w:p>
            <w:pPr>
              <w:shd w:val="clear"/>
              <w:tabs>
                <w:tab w:val="left" w:pos="360"/>
              </w:tabs>
              <w:spacing w:line="460" w:lineRule="exact"/>
              <w:jc w:val="center"/>
              <w:rPr>
                <w:rFonts w:ascii="宋体" w:hAnsi="宋体" w:cs="宋体"/>
                <w:color w:val="auto"/>
                <w:sz w:val="24"/>
                <w:highlight w:val="none"/>
              </w:rPr>
            </w:pPr>
          </w:p>
        </w:tc>
        <w:tc>
          <w:tcPr>
            <w:tcW w:w="1440" w:type="dxa"/>
            <w:vAlign w:val="center"/>
          </w:tcPr>
          <w:p>
            <w:pPr>
              <w:shd w:val="clear"/>
              <w:tabs>
                <w:tab w:val="left" w:pos="360"/>
              </w:tabs>
              <w:spacing w:line="460" w:lineRule="exact"/>
              <w:jc w:val="center"/>
              <w:rPr>
                <w:rFonts w:ascii="宋体" w:hAnsi="宋体" w:cs="宋体"/>
                <w:color w:val="auto"/>
                <w:sz w:val="24"/>
                <w:highlight w:val="none"/>
              </w:rPr>
            </w:pPr>
          </w:p>
        </w:tc>
        <w:tc>
          <w:tcPr>
            <w:tcW w:w="1460" w:type="dxa"/>
            <w:vAlign w:val="center"/>
          </w:tcPr>
          <w:p>
            <w:pPr>
              <w:shd w:val="clear"/>
              <w:tabs>
                <w:tab w:val="left" w:pos="360"/>
              </w:tabs>
              <w:spacing w:line="460" w:lineRule="exact"/>
              <w:jc w:val="center"/>
              <w:rPr>
                <w:rFonts w:ascii="宋体" w:hAnsi="宋体" w:cs="宋体"/>
                <w:color w:val="auto"/>
                <w:sz w:val="24"/>
                <w:highlight w:val="none"/>
              </w:rPr>
            </w:pPr>
          </w:p>
        </w:tc>
        <w:tc>
          <w:tcPr>
            <w:tcW w:w="2680" w:type="dxa"/>
            <w:vAlign w:val="center"/>
          </w:tcPr>
          <w:p>
            <w:pPr>
              <w:shd w:val="clear"/>
              <w:tabs>
                <w:tab w:val="left" w:pos="360"/>
              </w:tabs>
              <w:spacing w:line="460" w:lineRule="exact"/>
              <w:jc w:val="center"/>
              <w:rPr>
                <w:rFonts w:ascii="宋体" w:hAnsi="宋体" w:cs="宋体"/>
                <w:color w:val="auto"/>
                <w:sz w:val="24"/>
                <w:highlight w:val="none"/>
              </w:rPr>
            </w:pPr>
          </w:p>
        </w:tc>
        <w:tc>
          <w:tcPr>
            <w:tcW w:w="1542" w:type="dxa"/>
            <w:vAlign w:val="center"/>
          </w:tcPr>
          <w:p>
            <w:pPr>
              <w:shd w:val="clear"/>
              <w:tabs>
                <w:tab w:val="left" w:pos="360"/>
              </w:tabs>
              <w:spacing w:line="460" w:lineRule="exact"/>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1548" w:type="dxa"/>
            <w:vAlign w:val="center"/>
          </w:tcPr>
          <w:p>
            <w:pPr>
              <w:shd w:val="clear"/>
              <w:tabs>
                <w:tab w:val="left" w:pos="360"/>
              </w:tabs>
              <w:spacing w:line="460" w:lineRule="exact"/>
              <w:jc w:val="center"/>
              <w:rPr>
                <w:rFonts w:ascii="宋体" w:hAnsi="宋体" w:cs="宋体"/>
                <w:color w:val="auto"/>
                <w:sz w:val="24"/>
                <w:highlight w:val="none"/>
              </w:rPr>
            </w:pPr>
          </w:p>
        </w:tc>
        <w:tc>
          <w:tcPr>
            <w:tcW w:w="900" w:type="dxa"/>
            <w:vAlign w:val="center"/>
          </w:tcPr>
          <w:p>
            <w:pPr>
              <w:shd w:val="clear"/>
              <w:tabs>
                <w:tab w:val="left" w:pos="360"/>
              </w:tabs>
              <w:spacing w:line="460" w:lineRule="exact"/>
              <w:jc w:val="center"/>
              <w:rPr>
                <w:rFonts w:ascii="宋体" w:hAnsi="宋体" w:cs="宋体"/>
                <w:color w:val="auto"/>
                <w:sz w:val="24"/>
                <w:highlight w:val="none"/>
              </w:rPr>
            </w:pPr>
          </w:p>
        </w:tc>
        <w:tc>
          <w:tcPr>
            <w:tcW w:w="1440" w:type="dxa"/>
            <w:vAlign w:val="center"/>
          </w:tcPr>
          <w:p>
            <w:pPr>
              <w:shd w:val="clear"/>
              <w:tabs>
                <w:tab w:val="left" w:pos="360"/>
              </w:tabs>
              <w:spacing w:line="460" w:lineRule="exact"/>
              <w:jc w:val="center"/>
              <w:rPr>
                <w:rFonts w:ascii="宋体" w:hAnsi="宋体" w:cs="宋体"/>
                <w:color w:val="auto"/>
                <w:sz w:val="24"/>
                <w:highlight w:val="none"/>
              </w:rPr>
            </w:pPr>
          </w:p>
        </w:tc>
        <w:tc>
          <w:tcPr>
            <w:tcW w:w="1460" w:type="dxa"/>
            <w:vAlign w:val="center"/>
          </w:tcPr>
          <w:p>
            <w:pPr>
              <w:shd w:val="clear"/>
              <w:tabs>
                <w:tab w:val="left" w:pos="360"/>
              </w:tabs>
              <w:spacing w:line="460" w:lineRule="exact"/>
              <w:jc w:val="center"/>
              <w:rPr>
                <w:rFonts w:ascii="宋体" w:hAnsi="宋体" w:cs="宋体"/>
                <w:color w:val="auto"/>
                <w:sz w:val="24"/>
                <w:highlight w:val="none"/>
              </w:rPr>
            </w:pPr>
          </w:p>
        </w:tc>
        <w:tc>
          <w:tcPr>
            <w:tcW w:w="2680" w:type="dxa"/>
            <w:vAlign w:val="center"/>
          </w:tcPr>
          <w:p>
            <w:pPr>
              <w:shd w:val="clear"/>
              <w:tabs>
                <w:tab w:val="left" w:pos="360"/>
              </w:tabs>
              <w:spacing w:line="460" w:lineRule="exact"/>
              <w:jc w:val="center"/>
              <w:rPr>
                <w:rFonts w:ascii="宋体" w:hAnsi="宋体" w:cs="宋体"/>
                <w:color w:val="auto"/>
                <w:sz w:val="24"/>
                <w:highlight w:val="none"/>
              </w:rPr>
            </w:pPr>
          </w:p>
        </w:tc>
        <w:tc>
          <w:tcPr>
            <w:tcW w:w="1542" w:type="dxa"/>
            <w:vAlign w:val="center"/>
          </w:tcPr>
          <w:p>
            <w:pPr>
              <w:shd w:val="clear"/>
              <w:tabs>
                <w:tab w:val="left" w:pos="360"/>
              </w:tabs>
              <w:spacing w:line="460" w:lineRule="exact"/>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1548" w:type="dxa"/>
            <w:vAlign w:val="center"/>
          </w:tcPr>
          <w:p>
            <w:pPr>
              <w:shd w:val="clear"/>
              <w:tabs>
                <w:tab w:val="left" w:pos="360"/>
              </w:tabs>
              <w:spacing w:line="460" w:lineRule="exact"/>
              <w:jc w:val="center"/>
              <w:rPr>
                <w:rFonts w:ascii="宋体" w:hAnsi="宋体" w:cs="宋体"/>
                <w:color w:val="auto"/>
                <w:sz w:val="24"/>
                <w:highlight w:val="none"/>
              </w:rPr>
            </w:pPr>
          </w:p>
        </w:tc>
        <w:tc>
          <w:tcPr>
            <w:tcW w:w="900" w:type="dxa"/>
            <w:vAlign w:val="center"/>
          </w:tcPr>
          <w:p>
            <w:pPr>
              <w:shd w:val="clear"/>
              <w:tabs>
                <w:tab w:val="left" w:pos="360"/>
              </w:tabs>
              <w:spacing w:line="460" w:lineRule="exact"/>
              <w:jc w:val="center"/>
              <w:rPr>
                <w:rFonts w:ascii="宋体" w:hAnsi="宋体" w:cs="宋体"/>
                <w:color w:val="auto"/>
                <w:sz w:val="24"/>
                <w:highlight w:val="none"/>
              </w:rPr>
            </w:pPr>
          </w:p>
        </w:tc>
        <w:tc>
          <w:tcPr>
            <w:tcW w:w="1440" w:type="dxa"/>
            <w:vAlign w:val="center"/>
          </w:tcPr>
          <w:p>
            <w:pPr>
              <w:shd w:val="clear"/>
              <w:tabs>
                <w:tab w:val="left" w:pos="360"/>
              </w:tabs>
              <w:spacing w:line="460" w:lineRule="exact"/>
              <w:jc w:val="center"/>
              <w:rPr>
                <w:rFonts w:ascii="宋体" w:hAnsi="宋体" w:cs="宋体"/>
                <w:color w:val="auto"/>
                <w:sz w:val="24"/>
                <w:highlight w:val="none"/>
              </w:rPr>
            </w:pPr>
          </w:p>
        </w:tc>
        <w:tc>
          <w:tcPr>
            <w:tcW w:w="1460" w:type="dxa"/>
            <w:vAlign w:val="center"/>
          </w:tcPr>
          <w:p>
            <w:pPr>
              <w:shd w:val="clear"/>
              <w:tabs>
                <w:tab w:val="left" w:pos="360"/>
              </w:tabs>
              <w:spacing w:line="460" w:lineRule="exact"/>
              <w:jc w:val="center"/>
              <w:rPr>
                <w:rFonts w:ascii="宋体" w:hAnsi="宋体" w:cs="宋体"/>
                <w:color w:val="auto"/>
                <w:sz w:val="24"/>
                <w:highlight w:val="none"/>
              </w:rPr>
            </w:pPr>
          </w:p>
        </w:tc>
        <w:tc>
          <w:tcPr>
            <w:tcW w:w="2680" w:type="dxa"/>
            <w:vAlign w:val="center"/>
          </w:tcPr>
          <w:p>
            <w:pPr>
              <w:shd w:val="clear"/>
              <w:tabs>
                <w:tab w:val="left" w:pos="360"/>
              </w:tabs>
              <w:spacing w:line="460" w:lineRule="exact"/>
              <w:jc w:val="center"/>
              <w:rPr>
                <w:rFonts w:ascii="宋体" w:hAnsi="宋体" w:cs="宋体"/>
                <w:color w:val="auto"/>
                <w:sz w:val="24"/>
                <w:highlight w:val="none"/>
              </w:rPr>
            </w:pPr>
          </w:p>
        </w:tc>
        <w:tc>
          <w:tcPr>
            <w:tcW w:w="1542" w:type="dxa"/>
            <w:vAlign w:val="center"/>
          </w:tcPr>
          <w:p>
            <w:pPr>
              <w:shd w:val="clear"/>
              <w:tabs>
                <w:tab w:val="left" w:pos="360"/>
              </w:tabs>
              <w:spacing w:line="460" w:lineRule="exact"/>
              <w:jc w:val="center"/>
              <w:rPr>
                <w:rFonts w:ascii="宋体" w:hAnsi="宋体" w:cs="宋体"/>
                <w:color w:val="auto"/>
                <w:sz w:val="24"/>
                <w:highlight w:val="none"/>
              </w:rPr>
            </w:pPr>
          </w:p>
        </w:tc>
      </w:tr>
    </w:tbl>
    <w:p>
      <w:pPr>
        <w:shd w:val="clear"/>
        <w:tabs>
          <w:tab w:val="left" w:pos="360"/>
        </w:tabs>
        <w:spacing w:line="500" w:lineRule="exact"/>
        <w:rPr>
          <w:rFonts w:ascii="宋体" w:hAnsi="宋体" w:cs="宋体"/>
          <w:color w:val="auto"/>
          <w:sz w:val="24"/>
          <w:highlight w:val="none"/>
        </w:rPr>
      </w:pPr>
    </w:p>
    <w:p>
      <w:pPr>
        <w:shd w:val="clear"/>
        <w:tabs>
          <w:tab w:val="left" w:pos="360"/>
        </w:tabs>
        <w:spacing w:line="500" w:lineRule="exact"/>
        <w:rPr>
          <w:rFonts w:ascii="宋体" w:hAnsi="宋体" w:cs="宋体"/>
          <w:color w:val="auto"/>
          <w:sz w:val="24"/>
          <w:highlight w:val="none"/>
          <w:u w:val="single"/>
        </w:rPr>
      </w:pPr>
      <w:r>
        <w:rPr>
          <w:rFonts w:hint="eastAsia" w:ascii="宋体" w:hAnsi="宋体" w:cs="宋体"/>
          <w:color w:val="auto"/>
          <w:sz w:val="24"/>
          <w:highlight w:val="none"/>
        </w:rPr>
        <w:t>全权代表签字：                 职 务：            日 期：</w:t>
      </w:r>
      <w:r>
        <w:rPr>
          <w:rFonts w:hint="eastAsia" w:ascii="宋体" w:hAnsi="宋体" w:cs="宋体"/>
          <w:color w:val="auto"/>
          <w:sz w:val="24"/>
          <w:highlight w:val="none"/>
          <w:u w:val="single"/>
        </w:rPr>
        <w:t xml:space="preserve">           </w:t>
      </w:r>
    </w:p>
    <w:p>
      <w:pPr>
        <w:shd w:val="clear"/>
        <w:tabs>
          <w:tab w:val="left" w:pos="360"/>
        </w:tabs>
        <w:spacing w:line="460" w:lineRule="exact"/>
        <w:rPr>
          <w:rFonts w:ascii="宋体" w:hAnsi="宋体" w:cs="宋体"/>
          <w:color w:val="auto"/>
          <w:sz w:val="24"/>
          <w:highlight w:val="none"/>
        </w:rPr>
      </w:pPr>
      <w:r>
        <w:rPr>
          <w:rFonts w:hint="eastAsia" w:ascii="宋体" w:hAnsi="宋体" w:cs="宋体"/>
          <w:color w:val="auto"/>
          <w:sz w:val="24"/>
          <w:highlight w:val="none"/>
        </w:rPr>
        <w:t>注：1</w:t>
      </w:r>
      <w:r>
        <w:rPr>
          <w:rFonts w:hint="eastAsia" w:ascii="宋体" w:hAnsi="宋体" w:cs="宋体"/>
          <w:color w:val="auto"/>
          <w:kern w:val="0"/>
          <w:sz w:val="24"/>
          <w:highlight w:val="none"/>
        </w:rPr>
        <w:t>.</w:t>
      </w:r>
      <w:r>
        <w:rPr>
          <w:rFonts w:hint="eastAsia" w:ascii="宋体" w:hAnsi="宋体" w:cs="宋体"/>
          <w:color w:val="auto"/>
          <w:sz w:val="24"/>
          <w:highlight w:val="none"/>
        </w:rPr>
        <w:t>此表在不改变表式的情况下，可自行制作。</w:t>
      </w:r>
    </w:p>
    <w:p>
      <w:pPr>
        <w:shd w:val="clear"/>
        <w:tabs>
          <w:tab w:val="left" w:pos="360"/>
        </w:tabs>
        <w:spacing w:line="460" w:lineRule="exact"/>
        <w:ind w:firstLine="480"/>
        <w:rPr>
          <w:rFonts w:ascii="宋体" w:hAnsi="宋体" w:cs="宋体"/>
          <w:color w:val="auto"/>
          <w:sz w:val="24"/>
          <w:highlight w:val="none"/>
        </w:rPr>
      </w:pPr>
      <w:r>
        <w:rPr>
          <w:rFonts w:hint="eastAsia" w:ascii="宋体" w:hAnsi="宋体" w:cs="宋体"/>
          <w:color w:val="auto"/>
          <w:sz w:val="24"/>
          <w:highlight w:val="none"/>
        </w:rPr>
        <w:t>2</w:t>
      </w:r>
      <w:r>
        <w:rPr>
          <w:rFonts w:hint="eastAsia" w:ascii="宋体" w:hAnsi="宋体" w:cs="宋体"/>
          <w:color w:val="auto"/>
          <w:kern w:val="0"/>
          <w:sz w:val="24"/>
          <w:highlight w:val="none"/>
        </w:rPr>
        <w:t>.</w:t>
      </w:r>
      <w:r>
        <w:rPr>
          <w:rFonts w:hint="eastAsia" w:ascii="宋体" w:hAnsi="宋体" w:cs="宋体"/>
          <w:color w:val="auto"/>
          <w:sz w:val="24"/>
          <w:highlight w:val="none"/>
        </w:rPr>
        <w:t>有资格、职称人员须附相关职称证书和资格证书复印件（加盖公章）。</w:t>
      </w:r>
    </w:p>
    <w:p>
      <w:pPr>
        <w:shd w:val="clear"/>
        <w:tabs>
          <w:tab w:val="left" w:pos="360"/>
        </w:tabs>
        <w:spacing w:line="460" w:lineRule="exact"/>
        <w:ind w:firstLine="480"/>
        <w:rPr>
          <w:rFonts w:ascii="宋体" w:hAnsi="宋体" w:cs="宋体"/>
          <w:color w:val="auto"/>
          <w:highlight w:val="none"/>
        </w:rPr>
      </w:pPr>
    </w:p>
    <w:p>
      <w:pPr>
        <w:shd w:val="clear"/>
        <w:jc w:val="center"/>
        <w:rPr>
          <w:rFonts w:ascii="宋体" w:hAnsi="宋体" w:cs="宋体"/>
          <w:b/>
          <w:bCs/>
          <w:color w:val="auto"/>
          <w:sz w:val="36"/>
          <w:highlight w:val="none"/>
        </w:rPr>
      </w:pPr>
    </w:p>
    <w:p>
      <w:pPr>
        <w:shd w:val="clear"/>
        <w:jc w:val="center"/>
        <w:rPr>
          <w:rFonts w:ascii="宋体" w:hAnsi="宋体" w:cs="宋体"/>
          <w:b/>
          <w:bCs/>
          <w:color w:val="auto"/>
          <w:sz w:val="36"/>
          <w:highlight w:val="none"/>
        </w:rPr>
      </w:pPr>
      <w:r>
        <w:rPr>
          <w:rFonts w:hint="eastAsia" w:ascii="宋体" w:hAnsi="宋体" w:cs="宋体"/>
          <w:b/>
          <w:bCs/>
          <w:color w:val="auto"/>
          <w:sz w:val="36"/>
          <w:highlight w:val="none"/>
        </w:rPr>
        <w:t>拟投入本项目设备一览表（格式）</w:t>
      </w:r>
    </w:p>
    <w:p>
      <w:pPr>
        <w:shd w:val="clear"/>
        <w:tabs>
          <w:tab w:val="left" w:pos="360"/>
        </w:tabs>
        <w:spacing w:line="360" w:lineRule="auto"/>
        <w:rPr>
          <w:rFonts w:ascii="宋体" w:hAnsi="宋体" w:cs="宋体"/>
          <w:b/>
          <w:bCs/>
          <w:color w:val="auto"/>
          <w:highlight w:val="none"/>
        </w:rPr>
      </w:pPr>
      <w:r>
        <w:rPr>
          <w:rFonts w:hint="eastAsia" w:ascii="宋体" w:hAnsi="宋体" w:cs="宋体"/>
          <w:bCs/>
          <w:color w:val="auto"/>
          <w:sz w:val="24"/>
          <w:szCs w:val="28"/>
          <w:highlight w:val="none"/>
        </w:rPr>
        <w:t>投标人（公章）：</w:t>
      </w:r>
      <w:r>
        <w:rPr>
          <w:rFonts w:hint="eastAsia" w:ascii="宋体" w:hAnsi="宋体" w:cs="宋体"/>
          <w:bCs/>
          <w:color w:val="auto"/>
          <w:sz w:val="24"/>
          <w:szCs w:val="28"/>
          <w:highlight w:val="none"/>
          <w:u w:val="single"/>
        </w:rPr>
        <w:t xml:space="preserve">                          </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2336"/>
        <w:gridCol w:w="2182"/>
        <w:gridCol w:w="28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1548" w:type="dxa"/>
            <w:vAlign w:val="center"/>
          </w:tcPr>
          <w:p>
            <w:pPr>
              <w:shd w:val="clear"/>
              <w:tabs>
                <w:tab w:val="left" w:pos="360"/>
              </w:tabs>
              <w:spacing w:line="460" w:lineRule="exact"/>
              <w:jc w:val="center"/>
              <w:rPr>
                <w:rFonts w:ascii="宋体" w:hAnsi="宋体" w:cs="宋体"/>
                <w:color w:val="auto"/>
                <w:sz w:val="24"/>
                <w:highlight w:val="none"/>
              </w:rPr>
            </w:pPr>
            <w:r>
              <w:rPr>
                <w:rFonts w:hint="eastAsia" w:ascii="宋体" w:hAnsi="宋体" w:cs="宋体"/>
                <w:color w:val="auto"/>
                <w:sz w:val="24"/>
                <w:highlight w:val="none"/>
              </w:rPr>
              <w:t>设备名称</w:t>
            </w:r>
          </w:p>
        </w:tc>
        <w:tc>
          <w:tcPr>
            <w:tcW w:w="2336" w:type="dxa"/>
            <w:vAlign w:val="center"/>
          </w:tcPr>
          <w:p>
            <w:pPr>
              <w:shd w:val="clear"/>
              <w:tabs>
                <w:tab w:val="left" w:pos="360"/>
              </w:tabs>
              <w:spacing w:line="460" w:lineRule="exact"/>
              <w:jc w:val="center"/>
              <w:rPr>
                <w:rFonts w:ascii="宋体" w:hAnsi="宋体" w:cs="宋体"/>
                <w:color w:val="auto"/>
                <w:sz w:val="24"/>
                <w:highlight w:val="none"/>
              </w:rPr>
            </w:pPr>
            <w:r>
              <w:rPr>
                <w:rFonts w:hint="eastAsia" w:ascii="宋体" w:hAnsi="宋体" w:cs="宋体"/>
                <w:color w:val="auto"/>
                <w:sz w:val="24"/>
                <w:highlight w:val="none"/>
              </w:rPr>
              <w:t>品牌、规格型号</w:t>
            </w:r>
          </w:p>
        </w:tc>
        <w:tc>
          <w:tcPr>
            <w:tcW w:w="2182" w:type="dxa"/>
            <w:vAlign w:val="center"/>
          </w:tcPr>
          <w:p>
            <w:pPr>
              <w:shd w:val="clear"/>
              <w:tabs>
                <w:tab w:val="left" w:pos="360"/>
              </w:tabs>
              <w:spacing w:line="460" w:lineRule="exact"/>
              <w:jc w:val="center"/>
              <w:rPr>
                <w:rFonts w:ascii="宋体" w:hAnsi="宋体" w:cs="宋体"/>
                <w:color w:val="auto"/>
                <w:sz w:val="24"/>
                <w:highlight w:val="none"/>
              </w:rPr>
            </w:pPr>
            <w:r>
              <w:rPr>
                <w:rFonts w:hint="eastAsia" w:ascii="宋体" w:hAnsi="宋体" w:cs="宋体"/>
                <w:color w:val="auto"/>
                <w:sz w:val="24"/>
                <w:highlight w:val="none"/>
              </w:rPr>
              <w:t>购买时间</w:t>
            </w:r>
          </w:p>
        </w:tc>
        <w:tc>
          <w:tcPr>
            <w:tcW w:w="2868" w:type="dxa"/>
            <w:vAlign w:val="center"/>
          </w:tcPr>
          <w:p>
            <w:pPr>
              <w:shd w:val="clear"/>
              <w:tabs>
                <w:tab w:val="left" w:pos="360"/>
              </w:tabs>
              <w:spacing w:line="460" w:lineRule="exact"/>
              <w:jc w:val="center"/>
              <w:rPr>
                <w:rFonts w:ascii="宋体" w:hAnsi="宋体" w:cs="宋体"/>
                <w:color w:val="auto"/>
                <w:sz w:val="24"/>
                <w:highlight w:val="none"/>
              </w:rPr>
            </w:pPr>
            <w:r>
              <w:rPr>
                <w:rFonts w:hint="eastAsia" w:ascii="宋体" w:hAnsi="宋体" w:cs="宋体"/>
                <w:color w:val="auto"/>
                <w:sz w:val="24"/>
                <w:highlight w:val="none"/>
              </w:rPr>
              <w:t>使用年限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1548" w:type="dxa"/>
            <w:vAlign w:val="center"/>
          </w:tcPr>
          <w:p>
            <w:pPr>
              <w:shd w:val="clear"/>
              <w:tabs>
                <w:tab w:val="left" w:pos="360"/>
              </w:tabs>
              <w:spacing w:line="460" w:lineRule="exact"/>
              <w:jc w:val="center"/>
              <w:rPr>
                <w:rFonts w:ascii="宋体" w:hAnsi="宋体" w:cs="宋体"/>
                <w:color w:val="auto"/>
                <w:sz w:val="24"/>
                <w:highlight w:val="none"/>
              </w:rPr>
            </w:pPr>
          </w:p>
        </w:tc>
        <w:tc>
          <w:tcPr>
            <w:tcW w:w="2336" w:type="dxa"/>
            <w:vAlign w:val="center"/>
          </w:tcPr>
          <w:p>
            <w:pPr>
              <w:shd w:val="clear"/>
              <w:tabs>
                <w:tab w:val="left" w:pos="360"/>
              </w:tabs>
              <w:spacing w:line="460" w:lineRule="exact"/>
              <w:jc w:val="center"/>
              <w:rPr>
                <w:rFonts w:ascii="宋体" w:hAnsi="宋体" w:cs="宋体"/>
                <w:color w:val="auto"/>
                <w:sz w:val="24"/>
                <w:highlight w:val="none"/>
              </w:rPr>
            </w:pPr>
          </w:p>
        </w:tc>
        <w:tc>
          <w:tcPr>
            <w:tcW w:w="2182" w:type="dxa"/>
            <w:vAlign w:val="center"/>
          </w:tcPr>
          <w:p>
            <w:pPr>
              <w:shd w:val="clear"/>
              <w:tabs>
                <w:tab w:val="left" w:pos="360"/>
              </w:tabs>
              <w:spacing w:line="460" w:lineRule="exact"/>
              <w:jc w:val="center"/>
              <w:rPr>
                <w:rFonts w:ascii="宋体" w:hAnsi="宋体" w:cs="宋体"/>
                <w:color w:val="auto"/>
                <w:sz w:val="24"/>
                <w:highlight w:val="none"/>
              </w:rPr>
            </w:pPr>
          </w:p>
        </w:tc>
        <w:tc>
          <w:tcPr>
            <w:tcW w:w="2868" w:type="dxa"/>
            <w:vAlign w:val="center"/>
          </w:tcPr>
          <w:p>
            <w:pPr>
              <w:shd w:val="clear"/>
              <w:tabs>
                <w:tab w:val="left" w:pos="360"/>
              </w:tabs>
              <w:spacing w:line="460" w:lineRule="exact"/>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1548" w:type="dxa"/>
            <w:vAlign w:val="center"/>
          </w:tcPr>
          <w:p>
            <w:pPr>
              <w:shd w:val="clear"/>
              <w:tabs>
                <w:tab w:val="left" w:pos="360"/>
              </w:tabs>
              <w:spacing w:line="460" w:lineRule="exact"/>
              <w:jc w:val="center"/>
              <w:rPr>
                <w:rFonts w:ascii="宋体" w:hAnsi="宋体" w:cs="宋体"/>
                <w:color w:val="auto"/>
                <w:sz w:val="24"/>
                <w:highlight w:val="none"/>
              </w:rPr>
            </w:pPr>
          </w:p>
        </w:tc>
        <w:tc>
          <w:tcPr>
            <w:tcW w:w="2336" w:type="dxa"/>
            <w:vAlign w:val="center"/>
          </w:tcPr>
          <w:p>
            <w:pPr>
              <w:shd w:val="clear"/>
              <w:tabs>
                <w:tab w:val="left" w:pos="360"/>
              </w:tabs>
              <w:spacing w:line="460" w:lineRule="exact"/>
              <w:jc w:val="center"/>
              <w:rPr>
                <w:rFonts w:ascii="宋体" w:hAnsi="宋体" w:cs="宋体"/>
                <w:color w:val="auto"/>
                <w:sz w:val="24"/>
                <w:highlight w:val="none"/>
              </w:rPr>
            </w:pPr>
          </w:p>
        </w:tc>
        <w:tc>
          <w:tcPr>
            <w:tcW w:w="2182" w:type="dxa"/>
            <w:vAlign w:val="center"/>
          </w:tcPr>
          <w:p>
            <w:pPr>
              <w:shd w:val="clear"/>
              <w:tabs>
                <w:tab w:val="left" w:pos="360"/>
              </w:tabs>
              <w:spacing w:line="460" w:lineRule="exact"/>
              <w:jc w:val="center"/>
              <w:rPr>
                <w:rFonts w:ascii="宋体" w:hAnsi="宋体" w:cs="宋体"/>
                <w:color w:val="auto"/>
                <w:sz w:val="24"/>
                <w:highlight w:val="none"/>
              </w:rPr>
            </w:pPr>
          </w:p>
        </w:tc>
        <w:tc>
          <w:tcPr>
            <w:tcW w:w="2868" w:type="dxa"/>
            <w:vAlign w:val="center"/>
          </w:tcPr>
          <w:p>
            <w:pPr>
              <w:shd w:val="clear"/>
              <w:tabs>
                <w:tab w:val="left" w:pos="360"/>
              </w:tabs>
              <w:spacing w:line="460" w:lineRule="exact"/>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1548" w:type="dxa"/>
            <w:vAlign w:val="center"/>
          </w:tcPr>
          <w:p>
            <w:pPr>
              <w:shd w:val="clear"/>
              <w:tabs>
                <w:tab w:val="left" w:pos="360"/>
              </w:tabs>
              <w:spacing w:line="460" w:lineRule="exact"/>
              <w:jc w:val="center"/>
              <w:rPr>
                <w:rFonts w:ascii="宋体" w:hAnsi="宋体" w:cs="宋体"/>
                <w:color w:val="auto"/>
                <w:sz w:val="24"/>
                <w:highlight w:val="none"/>
              </w:rPr>
            </w:pPr>
          </w:p>
        </w:tc>
        <w:tc>
          <w:tcPr>
            <w:tcW w:w="2336" w:type="dxa"/>
            <w:vAlign w:val="center"/>
          </w:tcPr>
          <w:p>
            <w:pPr>
              <w:shd w:val="clear"/>
              <w:tabs>
                <w:tab w:val="left" w:pos="360"/>
              </w:tabs>
              <w:spacing w:line="460" w:lineRule="exact"/>
              <w:jc w:val="center"/>
              <w:rPr>
                <w:rFonts w:ascii="宋体" w:hAnsi="宋体" w:cs="宋体"/>
                <w:color w:val="auto"/>
                <w:sz w:val="24"/>
                <w:highlight w:val="none"/>
              </w:rPr>
            </w:pPr>
          </w:p>
        </w:tc>
        <w:tc>
          <w:tcPr>
            <w:tcW w:w="2182" w:type="dxa"/>
            <w:vAlign w:val="center"/>
          </w:tcPr>
          <w:p>
            <w:pPr>
              <w:shd w:val="clear"/>
              <w:tabs>
                <w:tab w:val="left" w:pos="360"/>
              </w:tabs>
              <w:spacing w:line="460" w:lineRule="exact"/>
              <w:jc w:val="center"/>
              <w:rPr>
                <w:rFonts w:ascii="宋体" w:hAnsi="宋体" w:cs="宋体"/>
                <w:color w:val="auto"/>
                <w:sz w:val="24"/>
                <w:highlight w:val="none"/>
              </w:rPr>
            </w:pPr>
          </w:p>
        </w:tc>
        <w:tc>
          <w:tcPr>
            <w:tcW w:w="2868" w:type="dxa"/>
            <w:vAlign w:val="center"/>
          </w:tcPr>
          <w:p>
            <w:pPr>
              <w:shd w:val="clear"/>
              <w:tabs>
                <w:tab w:val="left" w:pos="360"/>
              </w:tabs>
              <w:spacing w:line="460" w:lineRule="exact"/>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1548" w:type="dxa"/>
            <w:vAlign w:val="center"/>
          </w:tcPr>
          <w:p>
            <w:pPr>
              <w:shd w:val="clear"/>
              <w:tabs>
                <w:tab w:val="left" w:pos="360"/>
              </w:tabs>
              <w:spacing w:line="460" w:lineRule="exact"/>
              <w:jc w:val="center"/>
              <w:rPr>
                <w:rFonts w:ascii="宋体" w:hAnsi="宋体" w:cs="宋体"/>
                <w:color w:val="auto"/>
                <w:sz w:val="24"/>
                <w:highlight w:val="none"/>
              </w:rPr>
            </w:pPr>
          </w:p>
        </w:tc>
        <w:tc>
          <w:tcPr>
            <w:tcW w:w="2336" w:type="dxa"/>
            <w:vAlign w:val="center"/>
          </w:tcPr>
          <w:p>
            <w:pPr>
              <w:shd w:val="clear"/>
              <w:tabs>
                <w:tab w:val="left" w:pos="360"/>
              </w:tabs>
              <w:spacing w:line="460" w:lineRule="exact"/>
              <w:jc w:val="center"/>
              <w:rPr>
                <w:rFonts w:ascii="宋体" w:hAnsi="宋体" w:cs="宋体"/>
                <w:color w:val="auto"/>
                <w:sz w:val="24"/>
                <w:highlight w:val="none"/>
              </w:rPr>
            </w:pPr>
          </w:p>
        </w:tc>
        <w:tc>
          <w:tcPr>
            <w:tcW w:w="2182" w:type="dxa"/>
            <w:vAlign w:val="center"/>
          </w:tcPr>
          <w:p>
            <w:pPr>
              <w:shd w:val="clear"/>
              <w:tabs>
                <w:tab w:val="left" w:pos="360"/>
              </w:tabs>
              <w:spacing w:line="460" w:lineRule="exact"/>
              <w:jc w:val="center"/>
              <w:rPr>
                <w:rFonts w:ascii="宋体" w:hAnsi="宋体" w:cs="宋体"/>
                <w:color w:val="auto"/>
                <w:sz w:val="24"/>
                <w:highlight w:val="none"/>
              </w:rPr>
            </w:pPr>
          </w:p>
        </w:tc>
        <w:tc>
          <w:tcPr>
            <w:tcW w:w="2868" w:type="dxa"/>
            <w:vAlign w:val="center"/>
          </w:tcPr>
          <w:p>
            <w:pPr>
              <w:shd w:val="clear"/>
              <w:tabs>
                <w:tab w:val="left" w:pos="360"/>
              </w:tabs>
              <w:spacing w:line="460" w:lineRule="exact"/>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1548" w:type="dxa"/>
            <w:vAlign w:val="center"/>
          </w:tcPr>
          <w:p>
            <w:pPr>
              <w:shd w:val="clear"/>
              <w:tabs>
                <w:tab w:val="left" w:pos="360"/>
              </w:tabs>
              <w:spacing w:line="460" w:lineRule="exact"/>
              <w:jc w:val="center"/>
              <w:rPr>
                <w:rFonts w:ascii="宋体" w:hAnsi="宋体" w:cs="宋体"/>
                <w:color w:val="auto"/>
                <w:sz w:val="24"/>
                <w:highlight w:val="none"/>
              </w:rPr>
            </w:pPr>
          </w:p>
        </w:tc>
        <w:tc>
          <w:tcPr>
            <w:tcW w:w="2336" w:type="dxa"/>
            <w:vAlign w:val="center"/>
          </w:tcPr>
          <w:p>
            <w:pPr>
              <w:shd w:val="clear"/>
              <w:tabs>
                <w:tab w:val="left" w:pos="360"/>
              </w:tabs>
              <w:spacing w:line="460" w:lineRule="exact"/>
              <w:jc w:val="center"/>
              <w:rPr>
                <w:rFonts w:ascii="宋体" w:hAnsi="宋体" w:cs="宋体"/>
                <w:color w:val="auto"/>
                <w:sz w:val="24"/>
                <w:highlight w:val="none"/>
              </w:rPr>
            </w:pPr>
          </w:p>
        </w:tc>
        <w:tc>
          <w:tcPr>
            <w:tcW w:w="2182" w:type="dxa"/>
            <w:vAlign w:val="center"/>
          </w:tcPr>
          <w:p>
            <w:pPr>
              <w:shd w:val="clear"/>
              <w:tabs>
                <w:tab w:val="left" w:pos="360"/>
              </w:tabs>
              <w:spacing w:line="460" w:lineRule="exact"/>
              <w:jc w:val="center"/>
              <w:rPr>
                <w:rFonts w:ascii="宋体" w:hAnsi="宋体" w:cs="宋体"/>
                <w:color w:val="auto"/>
                <w:sz w:val="24"/>
                <w:highlight w:val="none"/>
              </w:rPr>
            </w:pPr>
          </w:p>
        </w:tc>
        <w:tc>
          <w:tcPr>
            <w:tcW w:w="2868" w:type="dxa"/>
            <w:vAlign w:val="center"/>
          </w:tcPr>
          <w:p>
            <w:pPr>
              <w:shd w:val="clear"/>
              <w:tabs>
                <w:tab w:val="left" w:pos="360"/>
              </w:tabs>
              <w:spacing w:line="460" w:lineRule="exact"/>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1548" w:type="dxa"/>
            <w:vAlign w:val="center"/>
          </w:tcPr>
          <w:p>
            <w:pPr>
              <w:shd w:val="clear"/>
              <w:tabs>
                <w:tab w:val="left" w:pos="360"/>
              </w:tabs>
              <w:spacing w:line="460" w:lineRule="exact"/>
              <w:jc w:val="center"/>
              <w:rPr>
                <w:rFonts w:ascii="宋体" w:hAnsi="宋体" w:cs="宋体"/>
                <w:color w:val="auto"/>
                <w:sz w:val="24"/>
                <w:highlight w:val="none"/>
              </w:rPr>
            </w:pPr>
          </w:p>
        </w:tc>
        <w:tc>
          <w:tcPr>
            <w:tcW w:w="2336" w:type="dxa"/>
            <w:vAlign w:val="center"/>
          </w:tcPr>
          <w:p>
            <w:pPr>
              <w:shd w:val="clear"/>
              <w:tabs>
                <w:tab w:val="left" w:pos="360"/>
              </w:tabs>
              <w:spacing w:line="460" w:lineRule="exact"/>
              <w:jc w:val="center"/>
              <w:rPr>
                <w:rFonts w:ascii="宋体" w:hAnsi="宋体" w:cs="宋体"/>
                <w:color w:val="auto"/>
                <w:sz w:val="24"/>
                <w:highlight w:val="none"/>
              </w:rPr>
            </w:pPr>
          </w:p>
        </w:tc>
        <w:tc>
          <w:tcPr>
            <w:tcW w:w="2182" w:type="dxa"/>
            <w:vAlign w:val="center"/>
          </w:tcPr>
          <w:p>
            <w:pPr>
              <w:shd w:val="clear"/>
              <w:tabs>
                <w:tab w:val="left" w:pos="360"/>
              </w:tabs>
              <w:spacing w:line="460" w:lineRule="exact"/>
              <w:jc w:val="center"/>
              <w:rPr>
                <w:rFonts w:ascii="宋体" w:hAnsi="宋体" w:cs="宋体"/>
                <w:color w:val="auto"/>
                <w:sz w:val="24"/>
                <w:highlight w:val="none"/>
              </w:rPr>
            </w:pPr>
          </w:p>
        </w:tc>
        <w:tc>
          <w:tcPr>
            <w:tcW w:w="2868" w:type="dxa"/>
            <w:vAlign w:val="center"/>
          </w:tcPr>
          <w:p>
            <w:pPr>
              <w:shd w:val="clear"/>
              <w:tabs>
                <w:tab w:val="left" w:pos="360"/>
              </w:tabs>
              <w:spacing w:line="460" w:lineRule="exact"/>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1548" w:type="dxa"/>
            <w:vAlign w:val="center"/>
          </w:tcPr>
          <w:p>
            <w:pPr>
              <w:shd w:val="clear"/>
              <w:tabs>
                <w:tab w:val="left" w:pos="360"/>
              </w:tabs>
              <w:spacing w:line="460" w:lineRule="exact"/>
              <w:jc w:val="center"/>
              <w:rPr>
                <w:rFonts w:ascii="宋体" w:hAnsi="宋体" w:cs="宋体"/>
                <w:color w:val="auto"/>
                <w:sz w:val="24"/>
                <w:highlight w:val="none"/>
              </w:rPr>
            </w:pPr>
          </w:p>
        </w:tc>
        <w:tc>
          <w:tcPr>
            <w:tcW w:w="2336" w:type="dxa"/>
            <w:vAlign w:val="center"/>
          </w:tcPr>
          <w:p>
            <w:pPr>
              <w:shd w:val="clear"/>
              <w:tabs>
                <w:tab w:val="left" w:pos="360"/>
              </w:tabs>
              <w:spacing w:line="460" w:lineRule="exact"/>
              <w:jc w:val="center"/>
              <w:rPr>
                <w:rFonts w:ascii="宋体" w:hAnsi="宋体" w:cs="宋体"/>
                <w:color w:val="auto"/>
                <w:sz w:val="24"/>
                <w:highlight w:val="none"/>
              </w:rPr>
            </w:pPr>
          </w:p>
        </w:tc>
        <w:tc>
          <w:tcPr>
            <w:tcW w:w="2182" w:type="dxa"/>
            <w:vAlign w:val="center"/>
          </w:tcPr>
          <w:p>
            <w:pPr>
              <w:shd w:val="clear"/>
              <w:tabs>
                <w:tab w:val="left" w:pos="360"/>
              </w:tabs>
              <w:spacing w:line="460" w:lineRule="exact"/>
              <w:jc w:val="center"/>
              <w:rPr>
                <w:rFonts w:ascii="宋体" w:hAnsi="宋体" w:cs="宋体"/>
                <w:color w:val="auto"/>
                <w:sz w:val="24"/>
                <w:highlight w:val="none"/>
              </w:rPr>
            </w:pPr>
          </w:p>
        </w:tc>
        <w:tc>
          <w:tcPr>
            <w:tcW w:w="2868" w:type="dxa"/>
            <w:vAlign w:val="center"/>
          </w:tcPr>
          <w:p>
            <w:pPr>
              <w:shd w:val="clear"/>
              <w:tabs>
                <w:tab w:val="left" w:pos="360"/>
              </w:tabs>
              <w:spacing w:line="460" w:lineRule="exact"/>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1548" w:type="dxa"/>
            <w:vAlign w:val="center"/>
          </w:tcPr>
          <w:p>
            <w:pPr>
              <w:shd w:val="clear"/>
              <w:tabs>
                <w:tab w:val="left" w:pos="360"/>
              </w:tabs>
              <w:spacing w:line="460" w:lineRule="exact"/>
              <w:jc w:val="center"/>
              <w:rPr>
                <w:rFonts w:ascii="宋体" w:hAnsi="宋体" w:cs="宋体"/>
                <w:color w:val="auto"/>
                <w:sz w:val="24"/>
                <w:highlight w:val="none"/>
              </w:rPr>
            </w:pPr>
          </w:p>
        </w:tc>
        <w:tc>
          <w:tcPr>
            <w:tcW w:w="2336" w:type="dxa"/>
            <w:vAlign w:val="center"/>
          </w:tcPr>
          <w:p>
            <w:pPr>
              <w:shd w:val="clear"/>
              <w:tabs>
                <w:tab w:val="left" w:pos="360"/>
              </w:tabs>
              <w:spacing w:line="460" w:lineRule="exact"/>
              <w:jc w:val="center"/>
              <w:rPr>
                <w:rFonts w:ascii="宋体" w:hAnsi="宋体" w:cs="宋体"/>
                <w:color w:val="auto"/>
                <w:sz w:val="24"/>
                <w:highlight w:val="none"/>
              </w:rPr>
            </w:pPr>
          </w:p>
        </w:tc>
        <w:tc>
          <w:tcPr>
            <w:tcW w:w="2182" w:type="dxa"/>
            <w:vAlign w:val="center"/>
          </w:tcPr>
          <w:p>
            <w:pPr>
              <w:shd w:val="clear"/>
              <w:tabs>
                <w:tab w:val="left" w:pos="360"/>
              </w:tabs>
              <w:spacing w:line="460" w:lineRule="exact"/>
              <w:jc w:val="center"/>
              <w:rPr>
                <w:rFonts w:ascii="宋体" w:hAnsi="宋体" w:cs="宋体"/>
                <w:color w:val="auto"/>
                <w:sz w:val="24"/>
                <w:highlight w:val="none"/>
              </w:rPr>
            </w:pPr>
          </w:p>
        </w:tc>
        <w:tc>
          <w:tcPr>
            <w:tcW w:w="2868" w:type="dxa"/>
            <w:vAlign w:val="center"/>
          </w:tcPr>
          <w:p>
            <w:pPr>
              <w:shd w:val="clear"/>
              <w:tabs>
                <w:tab w:val="left" w:pos="360"/>
              </w:tabs>
              <w:spacing w:line="460" w:lineRule="exact"/>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1548" w:type="dxa"/>
            <w:vAlign w:val="center"/>
          </w:tcPr>
          <w:p>
            <w:pPr>
              <w:shd w:val="clear"/>
              <w:tabs>
                <w:tab w:val="left" w:pos="360"/>
              </w:tabs>
              <w:spacing w:line="460" w:lineRule="exact"/>
              <w:jc w:val="center"/>
              <w:rPr>
                <w:rFonts w:ascii="宋体" w:hAnsi="宋体" w:cs="宋体"/>
                <w:color w:val="auto"/>
                <w:sz w:val="24"/>
                <w:highlight w:val="none"/>
              </w:rPr>
            </w:pPr>
          </w:p>
        </w:tc>
        <w:tc>
          <w:tcPr>
            <w:tcW w:w="2336" w:type="dxa"/>
            <w:vAlign w:val="center"/>
          </w:tcPr>
          <w:p>
            <w:pPr>
              <w:shd w:val="clear"/>
              <w:tabs>
                <w:tab w:val="left" w:pos="360"/>
              </w:tabs>
              <w:spacing w:line="460" w:lineRule="exact"/>
              <w:jc w:val="center"/>
              <w:rPr>
                <w:rFonts w:ascii="宋体" w:hAnsi="宋体" w:cs="宋体"/>
                <w:color w:val="auto"/>
                <w:sz w:val="24"/>
                <w:highlight w:val="none"/>
              </w:rPr>
            </w:pPr>
          </w:p>
        </w:tc>
        <w:tc>
          <w:tcPr>
            <w:tcW w:w="2182" w:type="dxa"/>
            <w:vAlign w:val="center"/>
          </w:tcPr>
          <w:p>
            <w:pPr>
              <w:shd w:val="clear"/>
              <w:tabs>
                <w:tab w:val="left" w:pos="360"/>
              </w:tabs>
              <w:spacing w:line="460" w:lineRule="exact"/>
              <w:jc w:val="center"/>
              <w:rPr>
                <w:rFonts w:ascii="宋体" w:hAnsi="宋体" w:cs="宋体"/>
                <w:color w:val="auto"/>
                <w:sz w:val="24"/>
                <w:highlight w:val="none"/>
              </w:rPr>
            </w:pPr>
          </w:p>
        </w:tc>
        <w:tc>
          <w:tcPr>
            <w:tcW w:w="2868" w:type="dxa"/>
            <w:vAlign w:val="center"/>
          </w:tcPr>
          <w:p>
            <w:pPr>
              <w:shd w:val="clear"/>
              <w:tabs>
                <w:tab w:val="left" w:pos="360"/>
              </w:tabs>
              <w:spacing w:line="460" w:lineRule="exact"/>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1548" w:type="dxa"/>
            <w:vAlign w:val="center"/>
          </w:tcPr>
          <w:p>
            <w:pPr>
              <w:shd w:val="clear"/>
              <w:tabs>
                <w:tab w:val="left" w:pos="360"/>
              </w:tabs>
              <w:spacing w:line="460" w:lineRule="exact"/>
              <w:jc w:val="center"/>
              <w:rPr>
                <w:rFonts w:ascii="宋体" w:hAnsi="宋体" w:cs="宋体"/>
                <w:color w:val="auto"/>
                <w:sz w:val="24"/>
                <w:highlight w:val="none"/>
              </w:rPr>
            </w:pPr>
          </w:p>
        </w:tc>
        <w:tc>
          <w:tcPr>
            <w:tcW w:w="2336" w:type="dxa"/>
            <w:vAlign w:val="center"/>
          </w:tcPr>
          <w:p>
            <w:pPr>
              <w:shd w:val="clear"/>
              <w:tabs>
                <w:tab w:val="left" w:pos="360"/>
              </w:tabs>
              <w:spacing w:line="460" w:lineRule="exact"/>
              <w:jc w:val="center"/>
              <w:rPr>
                <w:rFonts w:ascii="宋体" w:hAnsi="宋体" w:cs="宋体"/>
                <w:color w:val="auto"/>
                <w:sz w:val="24"/>
                <w:highlight w:val="none"/>
              </w:rPr>
            </w:pPr>
          </w:p>
        </w:tc>
        <w:tc>
          <w:tcPr>
            <w:tcW w:w="2182" w:type="dxa"/>
            <w:vAlign w:val="center"/>
          </w:tcPr>
          <w:p>
            <w:pPr>
              <w:shd w:val="clear"/>
              <w:tabs>
                <w:tab w:val="left" w:pos="360"/>
              </w:tabs>
              <w:spacing w:line="460" w:lineRule="exact"/>
              <w:jc w:val="center"/>
              <w:rPr>
                <w:rFonts w:ascii="宋体" w:hAnsi="宋体" w:cs="宋体"/>
                <w:color w:val="auto"/>
                <w:sz w:val="24"/>
                <w:highlight w:val="none"/>
              </w:rPr>
            </w:pPr>
          </w:p>
        </w:tc>
        <w:tc>
          <w:tcPr>
            <w:tcW w:w="2868" w:type="dxa"/>
            <w:vAlign w:val="center"/>
          </w:tcPr>
          <w:p>
            <w:pPr>
              <w:shd w:val="clear"/>
              <w:tabs>
                <w:tab w:val="left" w:pos="360"/>
              </w:tabs>
              <w:spacing w:line="460" w:lineRule="exact"/>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1548" w:type="dxa"/>
            <w:vAlign w:val="center"/>
          </w:tcPr>
          <w:p>
            <w:pPr>
              <w:shd w:val="clear"/>
              <w:tabs>
                <w:tab w:val="left" w:pos="360"/>
              </w:tabs>
              <w:spacing w:line="460" w:lineRule="exact"/>
              <w:jc w:val="center"/>
              <w:rPr>
                <w:rFonts w:ascii="宋体" w:hAnsi="宋体" w:cs="宋体"/>
                <w:color w:val="auto"/>
                <w:sz w:val="24"/>
                <w:highlight w:val="none"/>
              </w:rPr>
            </w:pPr>
          </w:p>
        </w:tc>
        <w:tc>
          <w:tcPr>
            <w:tcW w:w="2336" w:type="dxa"/>
            <w:vAlign w:val="center"/>
          </w:tcPr>
          <w:p>
            <w:pPr>
              <w:shd w:val="clear"/>
              <w:tabs>
                <w:tab w:val="left" w:pos="360"/>
              </w:tabs>
              <w:spacing w:line="460" w:lineRule="exact"/>
              <w:jc w:val="center"/>
              <w:rPr>
                <w:rFonts w:ascii="宋体" w:hAnsi="宋体" w:cs="宋体"/>
                <w:color w:val="auto"/>
                <w:sz w:val="24"/>
                <w:highlight w:val="none"/>
              </w:rPr>
            </w:pPr>
          </w:p>
        </w:tc>
        <w:tc>
          <w:tcPr>
            <w:tcW w:w="2182" w:type="dxa"/>
            <w:vAlign w:val="center"/>
          </w:tcPr>
          <w:p>
            <w:pPr>
              <w:shd w:val="clear"/>
              <w:tabs>
                <w:tab w:val="left" w:pos="360"/>
              </w:tabs>
              <w:spacing w:line="460" w:lineRule="exact"/>
              <w:jc w:val="center"/>
              <w:rPr>
                <w:rFonts w:ascii="宋体" w:hAnsi="宋体" w:cs="宋体"/>
                <w:color w:val="auto"/>
                <w:sz w:val="24"/>
                <w:highlight w:val="none"/>
              </w:rPr>
            </w:pPr>
          </w:p>
        </w:tc>
        <w:tc>
          <w:tcPr>
            <w:tcW w:w="2868" w:type="dxa"/>
            <w:vAlign w:val="center"/>
          </w:tcPr>
          <w:p>
            <w:pPr>
              <w:shd w:val="clear"/>
              <w:tabs>
                <w:tab w:val="left" w:pos="360"/>
              </w:tabs>
              <w:spacing w:line="460" w:lineRule="exact"/>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1548" w:type="dxa"/>
            <w:vAlign w:val="center"/>
          </w:tcPr>
          <w:p>
            <w:pPr>
              <w:shd w:val="clear"/>
              <w:tabs>
                <w:tab w:val="left" w:pos="360"/>
              </w:tabs>
              <w:spacing w:line="460" w:lineRule="exact"/>
              <w:jc w:val="center"/>
              <w:rPr>
                <w:rFonts w:ascii="宋体" w:hAnsi="宋体" w:cs="宋体"/>
                <w:color w:val="auto"/>
                <w:sz w:val="24"/>
                <w:highlight w:val="none"/>
              </w:rPr>
            </w:pPr>
          </w:p>
        </w:tc>
        <w:tc>
          <w:tcPr>
            <w:tcW w:w="2336" w:type="dxa"/>
            <w:vAlign w:val="center"/>
          </w:tcPr>
          <w:p>
            <w:pPr>
              <w:shd w:val="clear"/>
              <w:tabs>
                <w:tab w:val="left" w:pos="360"/>
              </w:tabs>
              <w:spacing w:line="460" w:lineRule="exact"/>
              <w:jc w:val="center"/>
              <w:rPr>
                <w:rFonts w:ascii="宋体" w:hAnsi="宋体" w:cs="宋体"/>
                <w:color w:val="auto"/>
                <w:sz w:val="24"/>
                <w:highlight w:val="none"/>
              </w:rPr>
            </w:pPr>
          </w:p>
        </w:tc>
        <w:tc>
          <w:tcPr>
            <w:tcW w:w="2182" w:type="dxa"/>
            <w:vAlign w:val="center"/>
          </w:tcPr>
          <w:p>
            <w:pPr>
              <w:shd w:val="clear"/>
              <w:tabs>
                <w:tab w:val="left" w:pos="360"/>
              </w:tabs>
              <w:spacing w:line="460" w:lineRule="exact"/>
              <w:jc w:val="center"/>
              <w:rPr>
                <w:rFonts w:ascii="宋体" w:hAnsi="宋体" w:cs="宋体"/>
                <w:color w:val="auto"/>
                <w:sz w:val="24"/>
                <w:highlight w:val="none"/>
              </w:rPr>
            </w:pPr>
          </w:p>
        </w:tc>
        <w:tc>
          <w:tcPr>
            <w:tcW w:w="2868" w:type="dxa"/>
            <w:vAlign w:val="center"/>
          </w:tcPr>
          <w:p>
            <w:pPr>
              <w:shd w:val="clear"/>
              <w:tabs>
                <w:tab w:val="left" w:pos="360"/>
              </w:tabs>
              <w:spacing w:line="460" w:lineRule="exact"/>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1548" w:type="dxa"/>
            <w:vAlign w:val="center"/>
          </w:tcPr>
          <w:p>
            <w:pPr>
              <w:shd w:val="clear"/>
              <w:tabs>
                <w:tab w:val="left" w:pos="360"/>
              </w:tabs>
              <w:spacing w:line="460" w:lineRule="exact"/>
              <w:jc w:val="center"/>
              <w:rPr>
                <w:rFonts w:ascii="宋体" w:hAnsi="宋体" w:cs="宋体"/>
                <w:color w:val="auto"/>
                <w:sz w:val="24"/>
                <w:highlight w:val="none"/>
              </w:rPr>
            </w:pPr>
          </w:p>
        </w:tc>
        <w:tc>
          <w:tcPr>
            <w:tcW w:w="2336" w:type="dxa"/>
            <w:vAlign w:val="center"/>
          </w:tcPr>
          <w:p>
            <w:pPr>
              <w:shd w:val="clear"/>
              <w:tabs>
                <w:tab w:val="left" w:pos="360"/>
              </w:tabs>
              <w:spacing w:line="460" w:lineRule="exact"/>
              <w:jc w:val="center"/>
              <w:rPr>
                <w:rFonts w:ascii="宋体" w:hAnsi="宋体" w:cs="宋体"/>
                <w:color w:val="auto"/>
                <w:sz w:val="24"/>
                <w:highlight w:val="none"/>
              </w:rPr>
            </w:pPr>
          </w:p>
        </w:tc>
        <w:tc>
          <w:tcPr>
            <w:tcW w:w="2182" w:type="dxa"/>
            <w:vAlign w:val="center"/>
          </w:tcPr>
          <w:p>
            <w:pPr>
              <w:shd w:val="clear"/>
              <w:tabs>
                <w:tab w:val="left" w:pos="360"/>
              </w:tabs>
              <w:spacing w:line="460" w:lineRule="exact"/>
              <w:jc w:val="center"/>
              <w:rPr>
                <w:rFonts w:ascii="宋体" w:hAnsi="宋体" w:cs="宋体"/>
                <w:color w:val="auto"/>
                <w:sz w:val="24"/>
                <w:highlight w:val="none"/>
              </w:rPr>
            </w:pPr>
          </w:p>
        </w:tc>
        <w:tc>
          <w:tcPr>
            <w:tcW w:w="2868" w:type="dxa"/>
            <w:vAlign w:val="center"/>
          </w:tcPr>
          <w:p>
            <w:pPr>
              <w:shd w:val="clear"/>
              <w:tabs>
                <w:tab w:val="left" w:pos="360"/>
              </w:tabs>
              <w:spacing w:line="460" w:lineRule="exact"/>
              <w:jc w:val="center"/>
              <w:rPr>
                <w:rFonts w:ascii="宋体" w:hAnsi="宋体" w:cs="宋体"/>
                <w:color w:val="auto"/>
                <w:sz w:val="24"/>
                <w:highlight w:val="none"/>
              </w:rPr>
            </w:pPr>
          </w:p>
        </w:tc>
      </w:tr>
    </w:tbl>
    <w:p>
      <w:pPr>
        <w:shd w:val="clear"/>
        <w:tabs>
          <w:tab w:val="left" w:pos="360"/>
        </w:tabs>
        <w:spacing w:line="500" w:lineRule="exact"/>
        <w:rPr>
          <w:rFonts w:ascii="宋体" w:hAnsi="宋体" w:cs="宋体"/>
          <w:color w:val="auto"/>
          <w:sz w:val="24"/>
          <w:highlight w:val="none"/>
        </w:rPr>
      </w:pPr>
    </w:p>
    <w:p>
      <w:pPr>
        <w:pStyle w:val="27"/>
        <w:shd w:val="clear"/>
        <w:rPr>
          <w:rFonts w:ascii="宋体" w:hAnsi="宋体" w:cs="宋体"/>
          <w:color w:val="auto"/>
          <w:highlight w:val="none"/>
        </w:rPr>
      </w:pPr>
      <w:r>
        <w:rPr>
          <w:rFonts w:hint="eastAsia" w:ascii="宋体" w:hAnsi="宋体" w:cs="宋体"/>
          <w:color w:val="auto"/>
          <w:sz w:val="24"/>
          <w:highlight w:val="none"/>
        </w:rPr>
        <w:t>全权代表签字：                 职 务：            日 期：</w:t>
      </w:r>
      <w:r>
        <w:rPr>
          <w:rFonts w:hint="eastAsia" w:ascii="宋体" w:hAnsi="宋体" w:cs="宋体"/>
          <w:color w:val="auto"/>
          <w:sz w:val="24"/>
          <w:highlight w:val="none"/>
          <w:u w:val="single"/>
        </w:rPr>
        <w:t xml:space="preserve">         </w:t>
      </w:r>
    </w:p>
    <w:p>
      <w:pPr>
        <w:pStyle w:val="2"/>
        <w:shd w:val="clear"/>
        <w:jc w:val="both"/>
        <w:rPr>
          <w:rFonts w:cs="宋体"/>
          <w:color w:val="auto"/>
          <w:sz w:val="36"/>
          <w:highlight w:val="none"/>
        </w:rPr>
      </w:pPr>
      <w:r>
        <w:rPr>
          <w:rFonts w:hint="eastAsia" w:cs="宋体"/>
          <w:b w:val="0"/>
          <w:bCs w:val="0"/>
          <w:color w:val="auto"/>
          <w:sz w:val="36"/>
          <w:highlight w:val="none"/>
        </w:rPr>
        <w:br w:type="page"/>
      </w:r>
    </w:p>
    <w:p>
      <w:pPr>
        <w:shd w:val="clear"/>
        <w:jc w:val="center"/>
        <w:rPr>
          <w:rFonts w:ascii="宋体" w:hAnsi="宋体" w:cs="宋体"/>
          <w:b/>
          <w:color w:val="auto"/>
          <w:sz w:val="36"/>
          <w:highlight w:val="none"/>
        </w:rPr>
      </w:pPr>
      <w:r>
        <w:rPr>
          <w:rFonts w:hint="eastAsia" w:ascii="宋体" w:hAnsi="宋体" w:cs="宋体"/>
          <w:b/>
          <w:color w:val="auto"/>
          <w:sz w:val="36"/>
          <w:highlight w:val="none"/>
        </w:rPr>
        <w:t>服务承诺书（格式）</w:t>
      </w:r>
    </w:p>
    <w:p>
      <w:pPr>
        <w:shd w:val="clear"/>
        <w:jc w:val="center"/>
        <w:rPr>
          <w:rFonts w:ascii="宋体" w:hAnsi="宋体" w:cs="宋体"/>
          <w:b/>
          <w:bCs/>
          <w:color w:val="auto"/>
          <w:sz w:val="36"/>
          <w:highlight w:val="none"/>
        </w:rPr>
      </w:pPr>
    </w:p>
    <w:p>
      <w:pPr>
        <w:pStyle w:val="13"/>
        <w:shd w:val="clear"/>
        <w:spacing w:line="460" w:lineRule="exact"/>
        <w:ind w:firstLine="240" w:firstLineChars="100"/>
        <w:rPr>
          <w:rFonts w:hAnsi="宋体" w:cs="宋体"/>
          <w:color w:val="auto"/>
          <w:sz w:val="24"/>
          <w:highlight w:val="none"/>
        </w:rPr>
      </w:pPr>
      <w:r>
        <w:rPr>
          <w:rFonts w:hint="eastAsia" w:hAnsi="宋体" w:cs="宋体"/>
          <w:color w:val="auto"/>
          <w:sz w:val="24"/>
          <w:highlight w:val="none"/>
        </w:rPr>
        <w:t>1.投标单位须对服务期限、质量、人员、服务等采购文件中要求做出承诺的内容做出相应承诺；</w:t>
      </w:r>
    </w:p>
    <w:p>
      <w:pPr>
        <w:shd w:val="clear"/>
        <w:tabs>
          <w:tab w:val="left" w:pos="360"/>
        </w:tabs>
        <w:spacing w:line="460" w:lineRule="exact"/>
        <w:rPr>
          <w:rFonts w:ascii="宋体" w:hAnsi="宋体" w:cs="宋体"/>
          <w:color w:val="auto"/>
          <w:sz w:val="24"/>
          <w:highlight w:val="none"/>
        </w:rPr>
      </w:pPr>
    </w:p>
    <w:p>
      <w:pPr>
        <w:shd w:val="clear"/>
        <w:tabs>
          <w:tab w:val="left" w:pos="360"/>
        </w:tabs>
        <w:spacing w:line="460" w:lineRule="exact"/>
        <w:rPr>
          <w:rFonts w:ascii="宋体" w:hAnsi="宋体" w:cs="宋体"/>
          <w:color w:val="auto"/>
          <w:sz w:val="24"/>
          <w:highlight w:val="none"/>
        </w:rPr>
      </w:pPr>
    </w:p>
    <w:p>
      <w:pPr>
        <w:shd w:val="clear"/>
        <w:tabs>
          <w:tab w:val="left" w:pos="360"/>
        </w:tabs>
        <w:spacing w:line="460" w:lineRule="exact"/>
        <w:rPr>
          <w:rFonts w:ascii="宋体" w:hAnsi="宋体" w:cs="宋体"/>
          <w:color w:val="auto"/>
          <w:sz w:val="24"/>
          <w:highlight w:val="none"/>
        </w:rPr>
      </w:pPr>
    </w:p>
    <w:p>
      <w:pPr>
        <w:shd w:val="clear"/>
        <w:tabs>
          <w:tab w:val="left" w:pos="360"/>
        </w:tabs>
        <w:spacing w:line="460" w:lineRule="exact"/>
        <w:rPr>
          <w:rFonts w:ascii="宋体" w:hAnsi="宋体" w:cs="宋体"/>
          <w:color w:val="auto"/>
          <w:sz w:val="24"/>
          <w:highlight w:val="none"/>
        </w:rPr>
      </w:pPr>
    </w:p>
    <w:p>
      <w:pPr>
        <w:shd w:val="clear"/>
        <w:tabs>
          <w:tab w:val="left" w:pos="360"/>
        </w:tabs>
        <w:spacing w:line="460" w:lineRule="exact"/>
        <w:rPr>
          <w:rFonts w:ascii="宋体" w:hAnsi="宋体" w:cs="宋体"/>
          <w:color w:val="auto"/>
          <w:sz w:val="24"/>
          <w:highlight w:val="none"/>
        </w:rPr>
      </w:pPr>
    </w:p>
    <w:p>
      <w:pPr>
        <w:shd w:val="clear"/>
        <w:tabs>
          <w:tab w:val="left" w:pos="360"/>
        </w:tabs>
        <w:spacing w:line="460" w:lineRule="exact"/>
        <w:rPr>
          <w:rFonts w:ascii="宋体" w:hAnsi="宋体" w:cs="宋体"/>
          <w:color w:val="auto"/>
          <w:sz w:val="24"/>
          <w:highlight w:val="none"/>
        </w:rPr>
      </w:pPr>
    </w:p>
    <w:p>
      <w:pPr>
        <w:shd w:val="clear"/>
        <w:tabs>
          <w:tab w:val="left" w:pos="360"/>
        </w:tabs>
        <w:spacing w:line="460" w:lineRule="exact"/>
        <w:rPr>
          <w:rFonts w:ascii="宋体" w:hAnsi="宋体" w:cs="宋体"/>
          <w:color w:val="auto"/>
          <w:sz w:val="24"/>
          <w:highlight w:val="none"/>
        </w:rPr>
      </w:pPr>
      <w:r>
        <w:rPr>
          <w:rFonts w:hint="eastAsia" w:ascii="宋体" w:hAnsi="宋体" w:cs="宋体"/>
          <w:color w:val="auto"/>
          <w:sz w:val="24"/>
          <w:highlight w:val="none"/>
        </w:rPr>
        <w:t>本附件可根据实际情况自行制作。</w:t>
      </w:r>
    </w:p>
    <w:p>
      <w:pPr>
        <w:shd w:val="clear"/>
        <w:tabs>
          <w:tab w:val="left" w:pos="360"/>
        </w:tabs>
        <w:spacing w:line="460" w:lineRule="exact"/>
        <w:rPr>
          <w:rFonts w:ascii="宋体" w:hAnsi="宋体" w:cs="宋体"/>
          <w:color w:val="auto"/>
          <w:sz w:val="24"/>
          <w:highlight w:val="none"/>
        </w:rPr>
      </w:pPr>
    </w:p>
    <w:p>
      <w:pPr>
        <w:shd w:val="clear"/>
        <w:tabs>
          <w:tab w:val="left" w:pos="360"/>
        </w:tabs>
        <w:spacing w:line="500" w:lineRule="exact"/>
        <w:rPr>
          <w:rFonts w:ascii="宋体" w:hAnsi="宋体" w:cs="宋体"/>
          <w:bCs/>
          <w:color w:val="auto"/>
          <w:sz w:val="24"/>
          <w:szCs w:val="28"/>
          <w:highlight w:val="none"/>
        </w:rPr>
      </w:pPr>
    </w:p>
    <w:p>
      <w:pPr>
        <w:shd w:val="clear"/>
        <w:tabs>
          <w:tab w:val="left" w:pos="360"/>
        </w:tabs>
        <w:spacing w:line="500" w:lineRule="exact"/>
        <w:rPr>
          <w:rFonts w:ascii="宋体" w:hAnsi="宋体" w:cs="宋体"/>
          <w:bCs/>
          <w:color w:val="auto"/>
          <w:sz w:val="24"/>
          <w:szCs w:val="28"/>
          <w:highlight w:val="none"/>
        </w:rPr>
      </w:pPr>
    </w:p>
    <w:p>
      <w:pPr>
        <w:shd w:val="clear"/>
        <w:tabs>
          <w:tab w:val="left" w:pos="360"/>
        </w:tabs>
        <w:spacing w:line="500" w:lineRule="exact"/>
        <w:rPr>
          <w:rFonts w:ascii="宋体" w:hAnsi="宋体" w:cs="宋体"/>
          <w:bCs/>
          <w:color w:val="auto"/>
          <w:sz w:val="24"/>
          <w:szCs w:val="28"/>
          <w:highlight w:val="none"/>
        </w:rPr>
      </w:pPr>
    </w:p>
    <w:p>
      <w:pPr>
        <w:shd w:val="clear"/>
        <w:tabs>
          <w:tab w:val="left" w:pos="360"/>
        </w:tabs>
        <w:spacing w:line="500" w:lineRule="exact"/>
        <w:rPr>
          <w:rFonts w:ascii="宋体" w:hAnsi="宋体" w:cs="宋体"/>
          <w:bCs/>
          <w:color w:val="auto"/>
          <w:sz w:val="24"/>
          <w:szCs w:val="28"/>
          <w:highlight w:val="none"/>
        </w:rPr>
      </w:pPr>
    </w:p>
    <w:p>
      <w:pPr>
        <w:shd w:val="clear"/>
        <w:tabs>
          <w:tab w:val="left" w:pos="360"/>
        </w:tabs>
        <w:spacing w:line="500" w:lineRule="exact"/>
        <w:rPr>
          <w:rFonts w:ascii="宋体" w:hAnsi="宋体" w:cs="宋体"/>
          <w:bCs/>
          <w:color w:val="auto"/>
          <w:sz w:val="24"/>
          <w:szCs w:val="28"/>
          <w:highlight w:val="none"/>
        </w:rPr>
      </w:pPr>
    </w:p>
    <w:p>
      <w:pPr>
        <w:shd w:val="clear"/>
        <w:tabs>
          <w:tab w:val="left" w:pos="360"/>
        </w:tabs>
        <w:spacing w:line="500" w:lineRule="exact"/>
        <w:rPr>
          <w:rFonts w:ascii="宋体" w:hAnsi="宋体" w:cs="宋体"/>
          <w:bCs/>
          <w:color w:val="auto"/>
          <w:sz w:val="24"/>
          <w:szCs w:val="28"/>
          <w:highlight w:val="none"/>
        </w:rPr>
      </w:pPr>
    </w:p>
    <w:p>
      <w:pPr>
        <w:shd w:val="clear"/>
        <w:tabs>
          <w:tab w:val="left" w:pos="360"/>
        </w:tabs>
        <w:spacing w:line="500" w:lineRule="exact"/>
        <w:rPr>
          <w:rFonts w:ascii="宋体" w:hAnsi="宋体" w:cs="宋体"/>
          <w:bCs/>
          <w:color w:val="auto"/>
          <w:sz w:val="24"/>
          <w:szCs w:val="28"/>
          <w:highlight w:val="none"/>
        </w:rPr>
      </w:pPr>
    </w:p>
    <w:p>
      <w:pPr>
        <w:shd w:val="clear"/>
        <w:tabs>
          <w:tab w:val="left" w:pos="360"/>
        </w:tabs>
        <w:spacing w:line="700" w:lineRule="exact"/>
        <w:ind w:firstLine="2880" w:firstLineChars="1200"/>
        <w:rPr>
          <w:rFonts w:ascii="宋体" w:hAnsi="宋体" w:cs="宋体"/>
          <w:color w:val="auto"/>
          <w:sz w:val="24"/>
          <w:highlight w:val="none"/>
        </w:rPr>
      </w:pPr>
      <w:r>
        <w:rPr>
          <w:rFonts w:hint="eastAsia" w:ascii="宋体" w:hAnsi="宋体" w:cs="宋体"/>
          <w:bCs/>
          <w:color w:val="auto"/>
          <w:sz w:val="24"/>
          <w:szCs w:val="28"/>
          <w:highlight w:val="none"/>
        </w:rPr>
        <w:t xml:space="preserve"> 投标人（公章）：</w:t>
      </w:r>
    </w:p>
    <w:p>
      <w:pPr>
        <w:shd w:val="clear"/>
        <w:tabs>
          <w:tab w:val="left" w:pos="360"/>
        </w:tabs>
        <w:spacing w:line="700" w:lineRule="exact"/>
        <w:ind w:firstLine="3000" w:firstLineChars="1250"/>
        <w:rPr>
          <w:rFonts w:ascii="宋体" w:hAnsi="宋体" w:cs="宋体"/>
          <w:color w:val="auto"/>
          <w:sz w:val="24"/>
          <w:highlight w:val="none"/>
        </w:rPr>
      </w:pPr>
      <w:r>
        <w:rPr>
          <w:rFonts w:hint="eastAsia" w:ascii="宋体" w:hAnsi="宋体" w:cs="宋体"/>
          <w:color w:val="auto"/>
          <w:sz w:val="24"/>
          <w:highlight w:val="none"/>
        </w:rPr>
        <w:t>全权代表签字：</w:t>
      </w:r>
    </w:p>
    <w:p>
      <w:pPr>
        <w:shd w:val="clear"/>
        <w:tabs>
          <w:tab w:val="left" w:pos="360"/>
        </w:tabs>
        <w:spacing w:line="700" w:lineRule="exact"/>
        <w:rPr>
          <w:rFonts w:ascii="宋体" w:hAnsi="宋体" w:cs="宋体"/>
          <w:color w:val="auto"/>
          <w:sz w:val="24"/>
          <w:highlight w:val="none"/>
        </w:rPr>
      </w:pPr>
      <w:r>
        <w:rPr>
          <w:rFonts w:hint="eastAsia" w:ascii="宋体" w:hAnsi="宋体" w:cs="宋体"/>
          <w:color w:val="auto"/>
          <w:sz w:val="24"/>
          <w:highlight w:val="none"/>
        </w:rPr>
        <w:t xml:space="preserve">                         职        务： </w:t>
      </w:r>
    </w:p>
    <w:p>
      <w:pPr>
        <w:shd w:val="clear"/>
        <w:tabs>
          <w:tab w:val="left" w:pos="360"/>
        </w:tabs>
        <w:spacing w:line="700" w:lineRule="exact"/>
        <w:ind w:firstLine="3000" w:firstLineChars="1250"/>
        <w:rPr>
          <w:rFonts w:ascii="宋体" w:hAnsi="宋体" w:cs="宋体"/>
          <w:color w:val="auto"/>
          <w:sz w:val="24"/>
          <w:highlight w:val="none"/>
        </w:rPr>
      </w:pPr>
      <w:r>
        <w:rPr>
          <w:rFonts w:hint="eastAsia" w:ascii="宋体" w:hAnsi="宋体" w:cs="宋体"/>
          <w:color w:val="auto"/>
          <w:sz w:val="24"/>
          <w:highlight w:val="none"/>
        </w:rPr>
        <w:t xml:space="preserve">日        期： </w:t>
      </w:r>
    </w:p>
    <w:p>
      <w:pPr>
        <w:pStyle w:val="5"/>
        <w:shd w:val="clear"/>
        <w:rPr>
          <w:rFonts w:ascii="宋体" w:hAnsi="宋体" w:cs="宋体"/>
          <w:color w:val="auto"/>
          <w:highlight w:val="none"/>
        </w:rPr>
      </w:pPr>
    </w:p>
    <w:p>
      <w:pPr>
        <w:pStyle w:val="13"/>
        <w:shd w:val="clear"/>
        <w:spacing w:line="460" w:lineRule="exact"/>
        <w:ind w:left="239" w:leftChars="114" w:firstLine="2088" w:firstLineChars="650"/>
        <w:rPr>
          <w:rFonts w:hAnsi="宋体" w:cs="宋体"/>
          <w:b/>
          <w:bCs/>
          <w:color w:val="auto"/>
          <w:sz w:val="32"/>
          <w:szCs w:val="32"/>
          <w:highlight w:val="none"/>
        </w:rPr>
      </w:pPr>
    </w:p>
    <w:p>
      <w:pPr>
        <w:pStyle w:val="13"/>
        <w:shd w:val="clear"/>
        <w:spacing w:line="460" w:lineRule="exact"/>
        <w:ind w:left="239" w:leftChars="114" w:firstLine="2088" w:firstLineChars="650"/>
        <w:rPr>
          <w:rFonts w:hAnsi="宋体" w:cs="宋体"/>
          <w:b/>
          <w:bCs/>
          <w:color w:val="auto"/>
          <w:sz w:val="32"/>
          <w:szCs w:val="32"/>
          <w:highlight w:val="none"/>
        </w:rPr>
      </w:pPr>
      <w:r>
        <w:rPr>
          <w:rFonts w:hint="eastAsia" w:hAnsi="宋体" w:cs="宋体"/>
          <w:b/>
          <w:bCs/>
          <w:color w:val="auto"/>
          <w:sz w:val="32"/>
          <w:szCs w:val="32"/>
          <w:highlight w:val="none"/>
        </w:rPr>
        <w:t>义乌市政府采购项目投标承诺书</w:t>
      </w:r>
    </w:p>
    <w:p>
      <w:pPr>
        <w:shd w:val="clear"/>
        <w:spacing w:line="440" w:lineRule="exact"/>
        <w:ind w:firstLine="420" w:firstLineChars="200"/>
        <w:rPr>
          <w:rFonts w:ascii="宋体" w:hAnsi="宋体" w:cs="宋体"/>
          <w:color w:val="auto"/>
          <w:highlight w:val="none"/>
        </w:rPr>
      </w:pPr>
      <w:r>
        <w:rPr>
          <w:rFonts w:hint="eastAsia" w:ascii="宋体" w:hAnsi="宋体" w:cs="宋体"/>
          <w:color w:val="auto"/>
          <w:highlight w:val="none"/>
        </w:rPr>
        <w:t>1</w:t>
      </w:r>
      <w:r>
        <w:rPr>
          <w:rFonts w:hint="eastAsia" w:ascii="宋体" w:hAnsi="宋体" w:cs="宋体"/>
          <w:color w:val="auto"/>
          <w:sz w:val="24"/>
          <w:highlight w:val="none"/>
        </w:rPr>
        <w:t>.</w:t>
      </w:r>
      <w:r>
        <w:rPr>
          <w:rFonts w:hint="eastAsia" w:ascii="宋体" w:hAnsi="宋体" w:cs="宋体"/>
          <w:color w:val="auto"/>
          <w:highlight w:val="none"/>
        </w:rPr>
        <w:t>我单位已认真阅读了本项目的招标公告、采购文件、技术要求、图纸、招标补充（答疑）文件及相关资料，对其全部内容和要求有实质性了解，并对这些内容表示理解且无任何异议，接受其全部内容及要求，承诺本单位的投标文件已经完全响应并符合其全部条件和要求，愿意参加投标并愿意成交；</w:t>
      </w:r>
    </w:p>
    <w:p>
      <w:pPr>
        <w:pStyle w:val="20"/>
        <w:shd w:val="clear"/>
        <w:spacing w:line="440" w:lineRule="exact"/>
        <w:ind w:firstLine="420" w:firstLineChars="200"/>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highlight w:val="none"/>
        </w:rPr>
        <w:t>.</w:t>
      </w:r>
      <w:r>
        <w:rPr>
          <w:rFonts w:hint="eastAsia" w:ascii="宋体" w:hAnsi="宋体" w:cs="宋体"/>
          <w:color w:val="auto"/>
          <w:sz w:val="21"/>
          <w:szCs w:val="21"/>
          <w:highlight w:val="none"/>
        </w:rPr>
        <w:t>自愿接受义乌市财政局（以下简称财政局）的管理，并严格遵守财政局制定的招投标管理制度、规范和纪律。</w:t>
      </w:r>
    </w:p>
    <w:p>
      <w:pPr>
        <w:shd w:val="clear"/>
        <w:spacing w:line="440" w:lineRule="exact"/>
        <w:ind w:left="-34" w:leftChars="-16" w:firstLine="420" w:firstLineChars="200"/>
        <w:rPr>
          <w:rFonts w:ascii="宋体" w:hAnsi="宋体" w:cs="宋体"/>
          <w:color w:val="auto"/>
          <w:highlight w:val="none"/>
        </w:rPr>
      </w:pPr>
      <w:r>
        <w:rPr>
          <w:rFonts w:hint="eastAsia" w:ascii="宋体" w:hAnsi="宋体" w:cs="宋体"/>
          <w:color w:val="auto"/>
          <w:highlight w:val="none"/>
        </w:rPr>
        <w:t>3</w:t>
      </w:r>
      <w:r>
        <w:rPr>
          <w:rFonts w:hint="eastAsia" w:ascii="宋体" w:hAnsi="宋体" w:cs="宋体"/>
          <w:color w:val="auto"/>
          <w:sz w:val="24"/>
          <w:highlight w:val="none"/>
        </w:rPr>
        <w:t>.</w:t>
      </w:r>
      <w:r>
        <w:rPr>
          <w:rFonts w:hint="eastAsia" w:ascii="宋体" w:hAnsi="宋体" w:cs="宋体"/>
          <w:color w:val="auto"/>
          <w:highlight w:val="none"/>
        </w:rPr>
        <w:t>我单位承诺参与本次投标的资格符合《中华人民共和国政府采购法》和《中华人民共和国政府采购法实施条例》的规定，并承诺近三年内，在经营活动中没有重大违法记录。</w:t>
      </w:r>
    </w:p>
    <w:p>
      <w:pPr>
        <w:shd w:val="clear"/>
        <w:spacing w:line="440" w:lineRule="exact"/>
        <w:ind w:firstLine="420" w:firstLineChars="200"/>
        <w:rPr>
          <w:rFonts w:ascii="宋体" w:hAnsi="宋体" w:cs="宋体"/>
          <w:color w:val="auto"/>
          <w:highlight w:val="none"/>
        </w:rPr>
      </w:pPr>
      <w:r>
        <w:rPr>
          <w:rFonts w:hint="eastAsia" w:ascii="宋体" w:hAnsi="宋体" w:cs="宋体"/>
          <w:color w:val="auto"/>
          <w:highlight w:val="none"/>
        </w:rPr>
        <w:t>4</w:t>
      </w:r>
      <w:r>
        <w:rPr>
          <w:rFonts w:hint="eastAsia" w:ascii="宋体" w:hAnsi="宋体" w:cs="宋体"/>
          <w:color w:val="auto"/>
          <w:sz w:val="24"/>
          <w:highlight w:val="none"/>
        </w:rPr>
        <w:t>.</w:t>
      </w:r>
      <w:r>
        <w:rPr>
          <w:rFonts w:hint="eastAsia" w:ascii="宋体" w:hAnsi="宋体" w:cs="宋体"/>
          <w:color w:val="auto"/>
          <w:highlight w:val="none"/>
        </w:rPr>
        <w:t>积极主动配合财政局的调查。及时、如实、全面地回答财政局提出的问题，并在调查笔录中签字确认。如拒绝签字确认的，则视为我单位及有关工作人员认可调查笔录中的全部内容，并对最终的调查结果无任何异议，且自愿放弃一切救济途径。</w:t>
      </w:r>
    </w:p>
    <w:p>
      <w:pPr>
        <w:shd w:val="clear"/>
        <w:spacing w:line="440" w:lineRule="exact"/>
        <w:ind w:firstLine="420" w:firstLineChars="200"/>
        <w:rPr>
          <w:rFonts w:ascii="宋体" w:hAnsi="宋体" w:cs="宋体"/>
          <w:color w:val="auto"/>
          <w:highlight w:val="none"/>
        </w:rPr>
      </w:pPr>
      <w:r>
        <w:rPr>
          <w:rFonts w:hint="eastAsia" w:ascii="宋体" w:hAnsi="宋体" w:cs="宋体"/>
          <w:color w:val="auto"/>
          <w:highlight w:val="none"/>
        </w:rPr>
        <w:t>5</w:t>
      </w:r>
      <w:r>
        <w:rPr>
          <w:rFonts w:hint="eastAsia" w:ascii="宋体" w:hAnsi="宋体" w:cs="宋体"/>
          <w:color w:val="auto"/>
          <w:sz w:val="24"/>
          <w:highlight w:val="none"/>
        </w:rPr>
        <w:t>.</w:t>
      </w:r>
      <w:r>
        <w:rPr>
          <w:rFonts w:hint="eastAsia" w:ascii="宋体" w:hAnsi="宋体" w:cs="宋体"/>
          <w:color w:val="auto"/>
          <w:highlight w:val="none"/>
        </w:rPr>
        <w:t>不转让、出借、涂改、伪造资质（资格）证书或者以其他方式允许其他单位（个人）以我单位（本人）名义承接业务。</w:t>
      </w:r>
    </w:p>
    <w:p>
      <w:pPr>
        <w:shd w:val="clear"/>
        <w:spacing w:line="440" w:lineRule="exact"/>
        <w:ind w:left="-34" w:leftChars="-16" w:firstLine="420" w:firstLineChars="200"/>
        <w:rPr>
          <w:rFonts w:ascii="宋体" w:hAnsi="宋体" w:cs="宋体"/>
          <w:color w:val="auto"/>
          <w:highlight w:val="none"/>
        </w:rPr>
      </w:pPr>
      <w:r>
        <w:rPr>
          <w:rFonts w:hint="eastAsia" w:ascii="宋体" w:hAnsi="宋体" w:cs="宋体"/>
          <w:color w:val="auto"/>
          <w:highlight w:val="none"/>
        </w:rPr>
        <w:t>6</w:t>
      </w:r>
      <w:r>
        <w:rPr>
          <w:rFonts w:hint="eastAsia" w:ascii="宋体" w:hAnsi="宋体" w:cs="宋体"/>
          <w:color w:val="auto"/>
          <w:sz w:val="24"/>
          <w:highlight w:val="none"/>
        </w:rPr>
        <w:t>.</w:t>
      </w:r>
      <w:r>
        <w:rPr>
          <w:rFonts w:hint="eastAsia" w:ascii="宋体" w:hAnsi="宋体" w:cs="宋体"/>
          <w:color w:val="auto"/>
          <w:highlight w:val="none"/>
        </w:rPr>
        <w:t>不与采购人或者其他投标人相互串通投标，围标，不以行贿等不正当手段谋取成交。</w:t>
      </w:r>
    </w:p>
    <w:p>
      <w:pPr>
        <w:shd w:val="clear"/>
        <w:spacing w:line="440" w:lineRule="exact"/>
        <w:ind w:left="-34" w:leftChars="-16" w:firstLine="420" w:firstLineChars="200"/>
        <w:rPr>
          <w:rFonts w:ascii="宋体" w:hAnsi="宋体" w:cs="宋体"/>
          <w:color w:val="auto"/>
          <w:highlight w:val="none"/>
        </w:rPr>
      </w:pPr>
      <w:r>
        <w:rPr>
          <w:rFonts w:hint="eastAsia" w:ascii="宋体" w:hAnsi="宋体" w:cs="宋体"/>
          <w:color w:val="auto"/>
          <w:highlight w:val="none"/>
        </w:rPr>
        <w:t>7</w:t>
      </w:r>
      <w:r>
        <w:rPr>
          <w:rFonts w:hint="eastAsia" w:ascii="宋体" w:hAnsi="宋体" w:cs="宋体"/>
          <w:color w:val="auto"/>
          <w:sz w:val="24"/>
          <w:highlight w:val="none"/>
        </w:rPr>
        <w:t>.</w:t>
      </w:r>
      <w:r>
        <w:rPr>
          <w:rFonts w:hint="eastAsia" w:ascii="宋体" w:hAnsi="宋体" w:cs="宋体"/>
          <w:color w:val="auto"/>
          <w:highlight w:val="none"/>
        </w:rPr>
        <w:t>在备案、招标、投标、现场获取采购文件、开标、评标、询标、成交、签订合同、合同备案等招投标预备和进行的全过程中提供的资料均真实、有效，不弄虚作假。</w:t>
      </w:r>
    </w:p>
    <w:p>
      <w:pPr>
        <w:shd w:val="clear"/>
        <w:tabs>
          <w:tab w:val="left" w:pos="8820"/>
        </w:tabs>
        <w:spacing w:line="440" w:lineRule="exact"/>
        <w:ind w:firstLine="420" w:firstLineChars="200"/>
        <w:rPr>
          <w:rFonts w:ascii="宋体" w:hAnsi="宋体" w:cs="宋体"/>
          <w:color w:val="auto"/>
          <w:highlight w:val="none"/>
        </w:rPr>
      </w:pPr>
      <w:r>
        <w:rPr>
          <w:rFonts w:hint="eastAsia" w:ascii="宋体" w:hAnsi="宋体" w:cs="宋体"/>
          <w:color w:val="auto"/>
          <w:highlight w:val="none"/>
        </w:rPr>
        <w:t>8</w:t>
      </w:r>
      <w:r>
        <w:rPr>
          <w:rFonts w:hint="eastAsia" w:ascii="宋体" w:hAnsi="宋体" w:cs="宋体"/>
          <w:color w:val="auto"/>
          <w:sz w:val="24"/>
          <w:highlight w:val="none"/>
        </w:rPr>
        <w:t>.</w:t>
      </w:r>
      <w:r>
        <w:rPr>
          <w:rFonts w:hint="eastAsia" w:ascii="宋体" w:hAnsi="宋体" w:cs="宋体"/>
          <w:color w:val="auto"/>
          <w:highlight w:val="none"/>
        </w:rPr>
        <w:t>我方已详细审核全部采购文件，包括修改文件(如果有的话)，及有关附件，我方同意放弃提出含糊不清或误解的权力。 </w:t>
      </w:r>
    </w:p>
    <w:p>
      <w:pPr>
        <w:shd w:val="clear"/>
        <w:tabs>
          <w:tab w:val="left" w:pos="8820"/>
        </w:tabs>
        <w:spacing w:line="440" w:lineRule="exact"/>
        <w:ind w:firstLine="420" w:firstLineChars="200"/>
        <w:rPr>
          <w:rFonts w:ascii="宋体" w:hAnsi="宋体" w:cs="宋体"/>
          <w:color w:val="auto"/>
          <w:highlight w:val="none"/>
        </w:rPr>
      </w:pPr>
      <w:r>
        <w:rPr>
          <w:rFonts w:hint="eastAsia" w:ascii="宋体" w:hAnsi="宋体" w:cs="宋体"/>
          <w:color w:val="auto"/>
          <w:highlight w:val="none"/>
        </w:rPr>
        <w:t>9</w:t>
      </w:r>
      <w:r>
        <w:rPr>
          <w:rFonts w:hint="eastAsia" w:ascii="宋体" w:hAnsi="宋体" w:cs="宋体"/>
          <w:color w:val="auto"/>
          <w:sz w:val="24"/>
          <w:highlight w:val="none"/>
        </w:rPr>
        <w:t>.</w:t>
      </w:r>
      <w:r>
        <w:rPr>
          <w:rFonts w:hint="eastAsia" w:ascii="宋体" w:hAnsi="宋体" w:cs="宋体"/>
          <w:color w:val="auto"/>
          <w:highlight w:val="none"/>
        </w:rPr>
        <w:t>我方同意所递交的投标文件在招标期内有效，在此期间内我方有可能成交，我方将受此约束。</w:t>
      </w:r>
    </w:p>
    <w:p>
      <w:pPr>
        <w:shd w:val="clear"/>
        <w:tabs>
          <w:tab w:val="left" w:pos="8820"/>
        </w:tabs>
        <w:spacing w:line="440" w:lineRule="exact"/>
        <w:ind w:firstLine="420" w:firstLineChars="200"/>
        <w:rPr>
          <w:rFonts w:ascii="宋体" w:hAnsi="宋体" w:cs="宋体"/>
          <w:color w:val="auto"/>
          <w:highlight w:val="none"/>
        </w:rPr>
      </w:pPr>
      <w:r>
        <w:rPr>
          <w:rFonts w:hint="eastAsia" w:ascii="宋体" w:hAnsi="宋体" w:cs="宋体"/>
          <w:color w:val="auto"/>
          <w:highlight w:val="none"/>
        </w:rPr>
        <w:t>10</w:t>
      </w:r>
      <w:r>
        <w:rPr>
          <w:rFonts w:hint="eastAsia" w:ascii="宋体" w:hAnsi="宋体" w:cs="宋体"/>
          <w:color w:val="auto"/>
          <w:sz w:val="24"/>
          <w:highlight w:val="none"/>
        </w:rPr>
        <w:t>.</w:t>
      </w:r>
      <w:r>
        <w:rPr>
          <w:rFonts w:hint="eastAsia" w:ascii="宋体" w:hAnsi="宋体" w:cs="宋体"/>
          <w:color w:val="auto"/>
          <w:highlight w:val="none"/>
        </w:rPr>
        <w:t>我方相信贵方的招标结果是公正、合法的，无论我方成交还是落标，我方将接受这一结果。 </w:t>
      </w:r>
    </w:p>
    <w:p>
      <w:pPr>
        <w:shd w:val="clear"/>
        <w:tabs>
          <w:tab w:val="left" w:pos="8820"/>
        </w:tabs>
        <w:spacing w:line="440" w:lineRule="exact"/>
        <w:ind w:firstLine="420" w:firstLineChars="200"/>
        <w:rPr>
          <w:rFonts w:ascii="宋体" w:hAnsi="宋体" w:cs="宋体"/>
          <w:color w:val="auto"/>
          <w:highlight w:val="none"/>
        </w:rPr>
      </w:pPr>
      <w:r>
        <w:rPr>
          <w:rFonts w:hint="eastAsia" w:ascii="宋体" w:hAnsi="宋体" w:cs="宋体"/>
          <w:color w:val="auto"/>
          <w:highlight w:val="none"/>
        </w:rPr>
        <w:t>11</w:t>
      </w:r>
      <w:r>
        <w:rPr>
          <w:rFonts w:hint="eastAsia" w:ascii="宋体" w:hAnsi="宋体" w:cs="宋体"/>
          <w:color w:val="auto"/>
          <w:sz w:val="24"/>
          <w:highlight w:val="none"/>
        </w:rPr>
        <w:t>.</w:t>
      </w:r>
      <w:r>
        <w:rPr>
          <w:rFonts w:hint="eastAsia" w:ascii="宋体" w:hAnsi="宋体" w:cs="宋体"/>
          <w:color w:val="auto"/>
          <w:highlight w:val="none"/>
        </w:rPr>
        <w:t>一旦我方成交，我方将严格依照采购文件中的相关规定与采购人签订合同。</w:t>
      </w:r>
    </w:p>
    <w:p>
      <w:pPr>
        <w:shd w:val="clear"/>
        <w:spacing w:line="440" w:lineRule="exact"/>
        <w:ind w:left="-34" w:leftChars="-16" w:firstLine="420" w:firstLineChars="200"/>
        <w:rPr>
          <w:rFonts w:ascii="宋体" w:hAnsi="宋体" w:cs="宋体"/>
          <w:color w:val="auto"/>
          <w:highlight w:val="none"/>
        </w:rPr>
      </w:pPr>
      <w:r>
        <w:rPr>
          <w:rFonts w:hint="eastAsia" w:ascii="宋体" w:hAnsi="宋体" w:cs="宋体"/>
          <w:color w:val="auto"/>
          <w:highlight w:val="none"/>
        </w:rPr>
        <w:t>12</w:t>
      </w:r>
      <w:r>
        <w:rPr>
          <w:rFonts w:hint="eastAsia" w:ascii="宋体" w:hAnsi="宋体" w:cs="宋体"/>
          <w:color w:val="auto"/>
          <w:sz w:val="24"/>
          <w:highlight w:val="none"/>
        </w:rPr>
        <w:t>.</w:t>
      </w:r>
      <w:r>
        <w:rPr>
          <w:rFonts w:hint="eastAsia" w:ascii="宋体" w:hAnsi="宋体" w:cs="宋体"/>
          <w:color w:val="auto"/>
          <w:highlight w:val="none"/>
        </w:rPr>
        <w:t>不低于企业成本价投标，不恶意过高报价，不扰乱招投标的正常秩序。</w:t>
      </w:r>
    </w:p>
    <w:p>
      <w:pPr>
        <w:shd w:val="clear"/>
        <w:spacing w:line="440" w:lineRule="exact"/>
        <w:ind w:left="-34" w:leftChars="-16" w:firstLine="420" w:firstLineChars="200"/>
        <w:rPr>
          <w:rFonts w:ascii="宋体" w:hAnsi="宋体" w:cs="宋体"/>
          <w:color w:val="auto"/>
          <w:highlight w:val="none"/>
        </w:rPr>
      </w:pPr>
      <w:r>
        <w:rPr>
          <w:rFonts w:hint="eastAsia" w:ascii="宋体" w:hAnsi="宋体" w:cs="宋体"/>
          <w:color w:val="auto"/>
          <w:highlight w:val="none"/>
        </w:rPr>
        <w:t>13</w:t>
      </w:r>
      <w:r>
        <w:rPr>
          <w:rFonts w:hint="eastAsia" w:ascii="宋体" w:hAnsi="宋体" w:cs="宋体"/>
          <w:color w:val="auto"/>
          <w:sz w:val="24"/>
          <w:highlight w:val="none"/>
        </w:rPr>
        <w:t>.</w:t>
      </w:r>
      <w:r>
        <w:rPr>
          <w:rFonts w:hint="eastAsia" w:ascii="宋体" w:hAnsi="宋体" w:cs="宋体"/>
          <w:color w:val="auto"/>
          <w:highlight w:val="none"/>
        </w:rPr>
        <w:t>严格遵守开标会议纪律，不在开标会场吵闹、滋事，服从工作人员指挥。</w:t>
      </w:r>
    </w:p>
    <w:p>
      <w:pPr>
        <w:shd w:val="clear"/>
        <w:spacing w:line="440" w:lineRule="exact"/>
        <w:ind w:firstLine="420" w:firstLineChars="200"/>
        <w:rPr>
          <w:rFonts w:ascii="宋体" w:hAnsi="宋体" w:cs="宋体"/>
          <w:color w:val="auto"/>
          <w:highlight w:val="none"/>
        </w:rPr>
      </w:pPr>
      <w:r>
        <w:rPr>
          <w:rFonts w:hint="eastAsia" w:ascii="宋体" w:hAnsi="宋体" w:cs="宋体"/>
          <w:color w:val="auto"/>
          <w:highlight w:val="none"/>
        </w:rPr>
        <w:t>14</w:t>
      </w:r>
      <w:r>
        <w:rPr>
          <w:rFonts w:hint="eastAsia" w:ascii="宋体" w:hAnsi="宋体" w:cs="宋体"/>
          <w:color w:val="auto"/>
          <w:sz w:val="24"/>
          <w:highlight w:val="none"/>
        </w:rPr>
        <w:t>.</w:t>
      </w:r>
      <w:r>
        <w:rPr>
          <w:rFonts w:hint="eastAsia" w:ascii="宋体" w:hAnsi="宋体" w:cs="宋体"/>
          <w:color w:val="auto"/>
          <w:highlight w:val="none"/>
        </w:rPr>
        <w:t>按照法律法规和本项目采购文件规定的程序和方式进行异议和投诉，不越级投诉，不无理投诉。如捏造事实、伪造材料或者以非法手段取得说明材料进行投诉，给他人造成损失的，依法承担赔偿责任。</w:t>
      </w:r>
    </w:p>
    <w:p>
      <w:pPr>
        <w:shd w:val="clear"/>
        <w:spacing w:line="440" w:lineRule="exact"/>
        <w:ind w:firstLine="420" w:firstLineChars="200"/>
        <w:rPr>
          <w:rFonts w:ascii="宋体" w:hAnsi="宋体" w:cs="宋体"/>
          <w:color w:val="auto"/>
          <w:highlight w:val="none"/>
        </w:rPr>
      </w:pPr>
      <w:r>
        <w:rPr>
          <w:rFonts w:hint="eastAsia" w:ascii="宋体" w:hAnsi="宋体" w:cs="宋体"/>
          <w:color w:val="auto"/>
          <w:highlight w:val="none"/>
        </w:rPr>
        <w:t>上述承诺事项已认真逐项核对，均表达我单位真实意见，愿承担任何责任。若有任何弄虚作假内容或未遵守上述约定的，经查实后，愿意放弃投标及成交资格，采购人可据此将我公司列入政府采购严重违法失信行为记录名单，并承担因此引起的经济损失。如我单位违反上述承诺事项，无条件接受财政局或相关监管部门作出的任何管理和处理决定，并自愿承担一切不利的后果。</w:t>
      </w:r>
    </w:p>
    <w:p>
      <w:pPr>
        <w:shd w:val="clear"/>
        <w:spacing w:line="440" w:lineRule="exact"/>
        <w:ind w:firstLine="420" w:firstLineChars="200"/>
        <w:rPr>
          <w:rFonts w:ascii="宋体" w:hAnsi="宋体" w:cs="宋体"/>
          <w:color w:val="auto"/>
          <w:highlight w:val="none"/>
        </w:rPr>
      </w:pPr>
      <w:r>
        <w:rPr>
          <w:rFonts w:hint="eastAsia" w:ascii="宋体" w:hAnsi="宋体" w:cs="宋体"/>
          <w:color w:val="auto"/>
          <w:highlight w:val="none"/>
        </w:rPr>
        <w:t>投标人（公章）：        法定代表人或其授权的委托代理人（签字或盖章）：        年   月   日</w:t>
      </w:r>
    </w:p>
    <w:p>
      <w:pPr>
        <w:pStyle w:val="13"/>
        <w:shd w:val="clear"/>
        <w:spacing w:line="360" w:lineRule="auto"/>
        <w:jc w:val="center"/>
        <w:rPr>
          <w:rFonts w:hAnsi="宋体" w:cs="宋体"/>
          <w:b/>
          <w:bCs/>
          <w:color w:val="auto"/>
          <w:sz w:val="36"/>
          <w:szCs w:val="36"/>
          <w:highlight w:val="none"/>
        </w:rPr>
      </w:pPr>
      <w:r>
        <w:rPr>
          <w:rFonts w:hint="eastAsia" w:hAnsi="宋体" w:cs="宋体"/>
          <w:b/>
          <w:bCs/>
          <w:color w:val="auto"/>
          <w:sz w:val="36"/>
          <w:szCs w:val="36"/>
          <w:highlight w:val="none"/>
        </w:rPr>
        <w:t xml:space="preserve">   </w:t>
      </w:r>
    </w:p>
    <w:p>
      <w:pPr>
        <w:pStyle w:val="13"/>
        <w:shd w:val="clear"/>
        <w:spacing w:line="360" w:lineRule="auto"/>
        <w:jc w:val="center"/>
        <w:rPr>
          <w:rFonts w:hAnsi="宋体" w:cs="宋体"/>
          <w:b/>
          <w:bCs/>
          <w:color w:val="auto"/>
          <w:sz w:val="36"/>
          <w:szCs w:val="36"/>
          <w:highlight w:val="none"/>
        </w:rPr>
      </w:pPr>
      <w:r>
        <w:rPr>
          <w:rFonts w:hint="eastAsia" w:hAnsi="宋体" w:cs="宋体"/>
          <w:b/>
          <w:bCs/>
          <w:color w:val="auto"/>
          <w:sz w:val="36"/>
          <w:szCs w:val="36"/>
          <w:highlight w:val="none"/>
        </w:rPr>
        <w:t>投标函（格式）</w:t>
      </w:r>
    </w:p>
    <w:p>
      <w:pPr>
        <w:pStyle w:val="13"/>
        <w:shd w:val="clear"/>
        <w:snapToGrid w:val="0"/>
        <w:spacing w:line="360" w:lineRule="auto"/>
        <w:rPr>
          <w:rFonts w:hAnsi="宋体" w:cs="宋体"/>
          <w:color w:val="auto"/>
          <w:sz w:val="24"/>
          <w:szCs w:val="24"/>
          <w:highlight w:val="none"/>
        </w:rPr>
      </w:pPr>
      <w:r>
        <w:rPr>
          <w:rFonts w:hint="eastAsia" w:hAnsi="宋体" w:cs="宋体"/>
          <w:color w:val="auto"/>
          <w:sz w:val="24"/>
          <w:szCs w:val="24"/>
          <w:highlight w:val="none"/>
        </w:rPr>
        <w:t>致：</w:t>
      </w:r>
      <w:r>
        <w:rPr>
          <w:rFonts w:hint="eastAsia" w:hAnsi="宋体" w:cs="宋体"/>
          <w:color w:val="auto"/>
          <w:sz w:val="24"/>
          <w:szCs w:val="24"/>
          <w:highlight w:val="none"/>
          <w:u w:val="single"/>
        </w:rPr>
        <w:t xml:space="preserve">                  </w:t>
      </w:r>
    </w:p>
    <w:p>
      <w:pPr>
        <w:pStyle w:val="13"/>
        <w:shd w:val="clear"/>
        <w:snapToGrid w:val="0"/>
        <w:spacing w:line="360" w:lineRule="auto"/>
        <w:rPr>
          <w:rFonts w:hAnsi="宋体" w:cs="宋体"/>
          <w:color w:val="auto"/>
          <w:sz w:val="24"/>
          <w:szCs w:val="24"/>
          <w:highlight w:val="none"/>
        </w:rPr>
      </w:pPr>
      <w:r>
        <w:rPr>
          <w:rFonts w:hint="eastAsia" w:hAnsi="宋体" w:cs="宋体"/>
          <w:color w:val="auto"/>
          <w:sz w:val="24"/>
          <w:szCs w:val="24"/>
          <w:highlight w:val="none"/>
        </w:rPr>
        <w:t xml:space="preserve">     ____________________（投标人全称）授权____________（全名、职务）为全权代表参加贵方组织的_________________________项目（招标项目名称、采购编号）的招标、投标等有关活动，为此提交下述文件：</w:t>
      </w:r>
    </w:p>
    <w:p>
      <w:pPr>
        <w:shd w:val="clea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1.技术标；2.商务标；3.其他：</w:t>
      </w:r>
    </w:p>
    <w:p>
      <w:pPr>
        <w:shd w:val="clea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w:t>
      </w:r>
      <w:r>
        <w:rPr>
          <w:rFonts w:hint="eastAsia" w:ascii="宋体" w:hAnsi="宋体" w:cs="宋体"/>
          <w:color w:val="auto"/>
          <w:spacing w:val="12"/>
          <w:sz w:val="24"/>
          <w:highlight w:val="none"/>
        </w:rPr>
        <w:t xml:space="preserve">所附投标报价表中规定的应提供和支付的服务投标总价为（人民币） </w:t>
      </w:r>
      <w:r>
        <w:rPr>
          <w:rFonts w:hint="eastAsia" w:ascii="宋体" w:hAnsi="宋体" w:cs="宋体"/>
          <w:color w:val="auto"/>
          <w:sz w:val="24"/>
          <w:highlight w:val="none"/>
        </w:rPr>
        <w:t>______， 即 _______________（大写）。</w:t>
      </w:r>
    </w:p>
    <w:p>
      <w:pPr>
        <w:shd w:val="clea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2）我方已详细审查全部采购文件，我们完全理解并同意放弃对这方面有不明及误解的权利。</w:t>
      </w:r>
    </w:p>
    <w:p>
      <w:pPr>
        <w:shd w:val="clea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3）我方将按采购文件规定履行合同责任和义务。</w:t>
      </w:r>
    </w:p>
    <w:p>
      <w:pPr>
        <w:shd w:val="clea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4）投标自开标之日起有效期____个日历天。</w:t>
      </w:r>
    </w:p>
    <w:p>
      <w:pPr>
        <w:shd w:val="clea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5）如果在规定的开标时间后，我方在投标有效期内撤回投标，将按严重失信行为上报信用办并记入政府采购严重失信行为记录名单</w:t>
      </w:r>
      <w:r>
        <w:rPr>
          <w:rFonts w:hint="eastAsia" w:ascii="宋体" w:hAnsi="宋体" w:cs="宋体"/>
          <w:color w:val="auto"/>
          <w:spacing w:val="-6"/>
          <w:sz w:val="24"/>
          <w:highlight w:val="none"/>
        </w:rPr>
        <w:t>。</w:t>
      </w:r>
    </w:p>
    <w:p>
      <w:pPr>
        <w:shd w:val="clea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6）</w:t>
      </w:r>
      <w:r>
        <w:rPr>
          <w:rFonts w:hint="eastAsia" w:ascii="宋体" w:hAnsi="宋体" w:cs="宋体"/>
          <w:color w:val="auto"/>
          <w:sz w:val="24"/>
          <w:highlight w:val="none"/>
          <w:lang w:val="en-US" w:eastAsia="zh-CN"/>
        </w:rPr>
        <w:t>我方</w:t>
      </w:r>
      <w:r>
        <w:rPr>
          <w:rFonts w:hint="eastAsia" w:ascii="宋体" w:hAnsi="宋体" w:cs="宋体"/>
          <w:color w:val="auto"/>
          <w:sz w:val="24"/>
          <w:highlight w:val="none"/>
        </w:rPr>
        <w:t>同意提供按照贵方可能要求的与其投标有关的一切数据或资料，理解贵方不一定要接受最低价的投标或收到的任何投标。</w:t>
      </w:r>
    </w:p>
    <w:p>
      <w:pPr>
        <w:shd w:val="clea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7）投标文件中未明确的东西，一律按采购文件规定执行。</w:t>
      </w:r>
    </w:p>
    <w:p>
      <w:pPr>
        <w:shd w:val="clea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8）与本投标有关的一切正式往来通讯请寄：</w:t>
      </w:r>
    </w:p>
    <w:p>
      <w:pPr>
        <w:pStyle w:val="5"/>
        <w:shd w:val="clear"/>
        <w:snapToGrid w:val="0"/>
        <w:spacing w:before="0" w:after="0" w:line="360" w:lineRule="auto"/>
        <w:rPr>
          <w:rFonts w:ascii="宋体" w:hAnsi="宋体" w:cs="宋体"/>
          <w:color w:val="auto"/>
          <w:highlight w:val="none"/>
        </w:rPr>
      </w:pPr>
    </w:p>
    <w:p>
      <w:pPr>
        <w:shd w:val="clear"/>
        <w:spacing w:line="600" w:lineRule="exact"/>
        <w:rPr>
          <w:rFonts w:ascii="宋体" w:hAnsi="宋体" w:cs="宋体"/>
          <w:color w:val="auto"/>
          <w:sz w:val="24"/>
          <w:highlight w:val="none"/>
        </w:rPr>
      </w:pPr>
      <w:r>
        <w:rPr>
          <w:rFonts w:hint="eastAsia" w:ascii="宋体" w:hAnsi="宋体" w:cs="宋体"/>
          <w:color w:val="auto"/>
          <w:sz w:val="24"/>
          <w:highlight w:val="none"/>
        </w:rPr>
        <w:t xml:space="preserve">地址：                                  邮编： </w:t>
      </w:r>
    </w:p>
    <w:p>
      <w:pPr>
        <w:shd w:val="clear"/>
        <w:spacing w:line="600" w:lineRule="exact"/>
        <w:rPr>
          <w:rFonts w:ascii="宋体" w:hAnsi="宋体" w:cs="宋体"/>
          <w:color w:val="auto"/>
          <w:sz w:val="24"/>
          <w:highlight w:val="none"/>
        </w:rPr>
      </w:pPr>
      <w:r>
        <w:rPr>
          <w:rFonts w:hint="eastAsia" w:ascii="宋体" w:hAnsi="宋体" w:cs="宋体"/>
          <w:color w:val="auto"/>
          <w:sz w:val="24"/>
          <w:highlight w:val="none"/>
        </w:rPr>
        <w:t>电话：                                  传真：</w:t>
      </w:r>
    </w:p>
    <w:p>
      <w:pPr>
        <w:shd w:val="clear"/>
        <w:spacing w:line="600" w:lineRule="exact"/>
        <w:rPr>
          <w:rFonts w:ascii="宋体" w:hAnsi="宋体" w:cs="宋体"/>
          <w:color w:val="auto"/>
          <w:sz w:val="24"/>
          <w:highlight w:val="none"/>
        </w:rPr>
      </w:pPr>
      <w:r>
        <w:rPr>
          <w:rFonts w:hint="eastAsia" w:ascii="宋体" w:hAnsi="宋体" w:cs="宋体"/>
          <w:color w:val="auto"/>
          <w:sz w:val="24"/>
          <w:highlight w:val="none"/>
        </w:rPr>
        <w:t xml:space="preserve">投标人名称（公章）：                            </w:t>
      </w:r>
    </w:p>
    <w:p>
      <w:pPr>
        <w:shd w:val="clear"/>
        <w:spacing w:line="600" w:lineRule="exact"/>
        <w:rPr>
          <w:rFonts w:ascii="宋体" w:hAnsi="宋体" w:cs="宋体"/>
          <w:color w:val="auto"/>
          <w:sz w:val="24"/>
          <w:highlight w:val="none"/>
        </w:rPr>
      </w:pPr>
      <w:r>
        <w:rPr>
          <w:rFonts w:hint="eastAsia" w:ascii="宋体" w:hAnsi="宋体" w:cs="宋体"/>
          <w:color w:val="auto"/>
          <w:sz w:val="24"/>
          <w:highlight w:val="none"/>
        </w:rPr>
        <w:t xml:space="preserve">投标人代表职务： </w:t>
      </w:r>
    </w:p>
    <w:p>
      <w:pPr>
        <w:shd w:val="clear"/>
        <w:spacing w:line="600" w:lineRule="exact"/>
        <w:rPr>
          <w:rFonts w:ascii="宋体" w:hAnsi="宋体" w:cs="宋体"/>
          <w:color w:val="auto"/>
          <w:sz w:val="24"/>
          <w:highlight w:val="none"/>
        </w:rPr>
      </w:pPr>
      <w:r>
        <w:rPr>
          <w:rFonts w:hint="eastAsia" w:ascii="宋体" w:hAnsi="宋体" w:cs="宋体"/>
          <w:color w:val="auto"/>
          <w:sz w:val="24"/>
          <w:highlight w:val="none"/>
        </w:rPr>
        <w:t>全权代表签字：</w:t>
      </w:r>
    </w:p>
    <w:p>
      <w:pPr>
        <w:shd w:val="clear"/>
        <w:spacing w:line="600" w:lineRule="exact"/>
        <w:rPr>
          <w:rFonts w:ascii="宋体" w:hAnsi="宋体" w:cs="宋体"/>
          <w:color w:val="auto"/>
          <w:sz w:val="24"/>
          <w:highlight w:val="none"/>
          <w:u w:val="single"/>
        </w:rPr>
      </w:pPr>
      <w:r>
        <w:rPr>
          <w:rFonts w:hint="eastAsia" w:ascii="宋体" w:hAnsi="宋体" w:cs="宋体"/>
          <w:color w:val="auto"/>
          <w:sz w:val="24"/>
          <w:highlight w:val="none"/>
        </w:rPr>
        <w:t xml:space="preserve">投标日期：     年     月    日      </w:t>
      </w:r>
      <w:r>
        <w:rPr>
          <w:rFonts w:hint="eastAsia" w:ascii="宋体" w:hAnsi="宋体" w:cs="宋体"/>
          <w:color w:val="auto"/>
          <w:sz w:val="24"/>
          <w:highlight w:val="none"/>
          <w:u w:val="single"/>
        </w:rPr>
        <w:t xml:space="preserve">   </w:t>
      </w:r>
    </w:p>
    <w:p>
      <w:pPr>
        <w:shd w:val="clear"/>
        <w:jc w:val="center"/>
        <w:rPr>
          <w:rFonts w:ascii="宋体" w:hAnsi="宋体" w:cs="宋体"/>
          <w:b/>
          <w:bCs/>
          <w:color w:val="auto"/>
          <w:sz w:val="36"/>
          <w:szCs w:val="36"/>
          <w:highlight w:val="none"/>
        </w:rPr>
      </w:pPr>
    </w:p>
    <w:p>
      <w:pPr>
        <w:shd w:val="clear"/>
        <w:jc w:val="center"/>
        <w:rPr>
          <w:rFonts w:ascii="宋体" w:hAnsi="宋体" w:cs="宋体"/>
          <w:b/>
          <w:bCs/>
          <w:color w:val="auto"/>
          <w:sz w:val="36"/>
          <w:szCs w:val="36"/>
          <w:highlight w:val="none"/>
        </w:rPr>
      </w:pPr>
    </w:p>
    <w:p>
      <w:pPr>
        <w:shd w:val="clear"/>
        <w:jc w:val="center"/>
        <w:rPr>
          <w:rFonts w:ascii="宋体" w:hAnsi="宋体" w:cs="宋体"/>
          <w:b/>
          <w:bCs/>
          <w:color w:val="auto"/>
          <w:sz w:val="36"/>
          <w:szCs w:val="36"/>
          <w:highlight w:val="none"/>
        </w:rPr>
      </w:pPr>
      <w:r>
        <w:rPr>
          <w:rFonts w:hint="eastAsia" w:ascii="宋体" w:hAnsi="宋体" w:cs="宋体"/>
          <w:b/>
          <w:bCs/>
          <w:color w:val="auto"/>
          <w:sz w:val="36"/>
          <w:szCs w:val="36"/>
          <w:highlight w:val="none"/>
        </w:rPr>
        <w:t>报价一览表（格式）</w:t>
      </w:r>
    </w:p>
    <w:p>
      <w:pPr>
        <w:shd w:val="clear"/>
        <w:rPr>
          <w:rFonts w:ascii="宋体" w:hAnsi="宋体" w:cs="宋体"/>
          <w:color w:val="auto"/>
          <w:sz w:val="24"/>
          <w:highlight w:val="none"/>
        </w:rPr>
      </w:pPr>
    </w:p>
    <w:p>
      <w:pPr>
        <w:shd w:val="clear"/>
        <w:rPr>
          <w:rFonts w:ascii="宋体" w:hAnsi="宋体" w:cs="宋体"/>
          <w:color w:val="auto"/>
          <w:sz w:val="24"/>
          <w:highlight w:val="none"/>
        </w:rPr>
      </w:pPr>
      <w:r>
        <w:rPr>
          <w:rFonts w:hint="eastAsia" w:ascii="宋体" w:hAnsi="宋体" w:cs="宋体"/>
          <w:color w:val="auto"/>
          <w:sz w:val="24"/>
          <w:highlight w:val="none"/>
        </w:rPr>
        <w:t>投标人名称（公章）：</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xml:space="preserve">      </w:t>
      </w:r>
    </w:p>
    <w:p>
      <w:pPr>
        <w:shd w:val="clear"/>
        <w:rPr>
          <w:rFonts w:ascii="宋体" w:hAnsi="宋体" w:cs="宋体"/>
          <w:color w:val="auto"/>
          <w:sz w:val="24"/>
          <w:highlight w:val="none"/>
        </w:rPr>
      </w:pPr>
      <w:r>
        <w:rPr>
          <w:rFonts w:hint="eastAsia" w:ascii="宋体" w:hAnsi="宋体" w:cs="宋体"/>
          <w:color w:val="auto"/>
          <w:sz w:val="24"/>
          <w:highlight w:val="none"/>
        </w:rPr>
        <w:t>采购编号：</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xml:space="preserve">      </w:t>
      </w:r>
    </w:p>
    <w:p>
      <w:pPr>
        <w:shd w:val="clear"/>
        <w:rPr>
          <w:rFonts w:ascii="宋体" w:hAnsi="宋体" w:cs="宋体"/>
          <w:color w:val="auto"/>
          <w:sz w:val="24"/>
          <w:highlight w:val="none"/>
          <w:u w:val="single"/>
        </w:rPr>
      </w:pPr>
    </w:p>
    <w:tbl>
      <w:tblPr>
        <w:tblStyle w:val="22"/>
        <w:tblpPr w:leftFromText="180" w:rightFromText="180" w:vertAnchor="text" w:horzAnchor="page" w:tblpX="1432" w:tblpY="54"/>
        <w:tblW w:w="92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730"/>
        <w:gridCol w:w="1135"/>
        <w:gridCol w:w="2994"/>
        <w:gridCol w:w="1176"/>
        <w:gridCol w:w="1087"/>
        <w:gridCol w:w="1377"/>
        <w:gridCol w:w="7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26" w:hRule="atLeast"/>
        </w:trPr>
        <w:tc>
          <w:tcPr>
            <w:tcW w:w="730" w:type="dxa"/>
            <w:shd w:val="clear" w:color="auto" w:fill="auto"/>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序号</w:t>
            </w:r>
          </w:p>
        </w:tc>
        <w:tc>
          <w:tcPr>
            <w:tcW w:w="4129" w:type="dxa"/>
            <w:gridSpan w:val="2"/>
            <w:shd w:val="clear" w:color="auto" w:fill="auto"/>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项目名称</w:t>
            </w:r>
          </w:p>
        </w:tc>
        <w:tc>
          <w:tcPr>
            <w:tcW w:w="1176" w:type="dxa"/>
            <w:shd w:val="clear" w:color="auto" w:fill="auto"/>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数量</w:t>
            </w:r>
          </w:p>
        </w:tc>
        <w:tc>
          <w:tcPr>
            <w:tcW w:w="1087" w:type="dxa"/>
            <w:shd w:val="clear" w:color="auto" w:fill="auto"/>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单位</w:t>
            </w:r>
          </w:p>
        </w:tc>
        <w:tc>
          <w:tcPr>
            <w:tcW w:w="1377" w:type="dxa"/>
            <w:shd w:val="clear" w:color="auto" w:fill="auto"/>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 xml:space="preserve">总价 </w:t>
            </w:r>
          </w:p>
        </w:tc>
        <w:tc>
          <w:tcPr>
            <w:tcW w:w="730" w:type="dxa"/>
            <w:shd w:val="clear" w:color="auto" w:fill="auto"/>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730" w:type="dxa"/>
            <w:shd w:val="clear" w:color="auto" w:fill="auto"/>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1</w:t>
            </w:r>
          </w:p>
        </w:tc>
        <w:tc>
          <w:tcPr>
            <w:tcW w:w="4129" w:type="dxa"/>
            <w:gridSpan w:val="2"/>
            <w:shd w:val="clear" w:color="auto" w:fill="auto"/>
          </w:tcPr>
          <w:p>
            <w:pPr>
              <w:shd w:val="clear"/>
              <w:snapToGrid w:val="0"/>
              <w:spacing w:line="380" w:lineRule="exact"/>
              <w:textAlignment w:val="bottom"/>
              <w:rPr>
                <w:rFonts w:ascii="宋体" w:hAnsi="宋体" w:cs="宋体"/>
                <w:bCs/>
                <w:color w:val="auto"/>
                <w:kern w:val="0"/>
                <w:sz w:val="24"/>
                <w:highlight w:val="none"/>
              </w:rPr>
            </w:pPr>
          </w:p>
        </w:tc>
        <w:tc>
          <w:tcPr>
            <w:tcW w:w="1176" w:type="dxa"/>
            <w:shd w:val="clear" w:color="auto" w:fill="auto"/>
            <w:vAlign w:val="center"/>
          </w:tcPr>
          <w:p>
            <w:pPr>
              <w:shd w:val="clear"/>
              <w:jc w:val="center"/>
              <w:rPr>
                <w:rFonts w:ascii="宋体" w:hAnsi="宋体" w:cs="宋体"/>
                <w:color w:val="auto"/>
                <w:sz w:val="24"/>
                <w:highlight w:val="none"/>
              </w:rPr>
            </w:pPr>
          </w:p>
        </w:tc>
        <w:tc>
          <w:tcPr>
            <w:tcW w:w="1087" w:type="dxa"/>
            <w:shd w:val="clear" w:color="auto" w:fill="auto"/>
            <w:vAlign w:val="center"/>
          </w:tcPr>
          <w:p>
            <w:pPr>
              <w:shd w:val="clear"/>
              <w:jc w:val="center"/>
              <w:rPr>
                <w:rFonts w:ascii="宋体" w:hAnsi="宋体" w:cs="宋体"/>
                <w:color w:val="auto"/>
                <w:sz w:val="24"/>
                <w:highlight w:val="none"/>
              </w:rPr>
            </w:pPr>
          </w:p>
        </w:tc>
        <w:tc>
          <w:tcPr>
            <w:tcW w:w="1377" w:type="dxa"/>
            <w:shd w:val="clear" w:color="auto" w:fill="auto"/>
            <w:vAlign w:val="center"/>
          </w:tcPr>
          <w:p>
            <w:pPr>
              <w:shd w:val="clear"/>
              <w:jc w:val="center"/>
              <w:rPr>
                <w:rFonts w:ascii="宋体" w:hAnsi="宋体" w:cs="宋体"/>
                <w:color w:val="auto"/>
                <w:sz w:val="24"/>
                <w:highlight w:val="none"/>
              </w:rPr>
            </w:pPr>
          </w:p>
        </w:tc>
        <w:tc>
          <w:tcPr>
            <w:tcW w:w="730" w:type="dxa"/>
            <w:shd w:val="clear" w:color="auto" w:fill="auto"/>
            <w:vAlign w:val="center"/>
          </w:tcPr>
          <w:p>
            <w:pPr>
              <w:shd w:val="clear"/>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730" w:type="dxa"/>
            <w:shd w:val="clear" w:color="auto" w:fill="auto"/>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2</w:t>
            </w:r>
          </w:p>
        </w:tc>
        <w:tc>
          <w:tcPr>
            <w:tcW w:w="4129" w:type="dxa"/>
            <w:gridSpan w:val="2"/>
            <w:shd w:val="clear" w:color="auto" w:fill="auto"/>
          </w:tcPr>
          <w:p>
            <w:pPr>
              <w:shd w:val="clear"/>
              <w:snapToGrid w:val="0"/>
              <w:spacing w:line="380" w:lineRule="exact"/>
              <w:textAlignment w:val="bottom"/>
              <w:rPr>
                <w:rFonts w:ascii="宋体" w:hAnsi="宋体" w:cs="宋体"/>
                <w:bCs/>
                <w:color w:val="auto"/>
                <w:kern w:val="0"/>
                <w:sz w:val="24"/>
                <w:highlight w:val="none"/>
              </w:rPr>
            </w:pPr>
          </w:p>
        </w:tc>
        <w:tc>
          <w:tcPr>
            <w:tcW w:w="1176" w:type="dxa"/>
            <w:shd w:val="clear" w:color="auto" w:fill="auto"/>
            <w:vAlign w:val="center"/>
          </w:tcPr>
          <w:p>
            <w:pPr>
              <w:shd w:val="clear"/>
              <w:jc w:val="center"/>
              <w:rPr>
                <w:rFonts w:ascii="宋体" w:hAnsi="宋体" w:cs="宋体"/>
                <w:color w:val="auto"/>
                <w:sz w:val="24"/>
                <w:highlight w:val="none"/>
              </w:rPr>
            </w:pPr>
          </w:p>
        </w:tc>
        <w:tc>
          <w:tcPr>
            <w:tcW w:w="1087" w:type="dxa"/>
            <w:shd w:val="clear" w:color="auto" w:fill="auto"/>
            <w:vAlign w:val="center"/>
          </w:tcPr>
          <w:p>
            <w:pPr>
              <w:shd w:val="clear"/>
              <w:jc w:val="center"/>
              <w:rPr>
                <w:rFonts w:ascii="宋体" w:hAnsi="宋体" w:cs="宋体"/>
                <w:color w:val="auto"/>
                <w:sz w:val="24"/>
                <w:highlight w:val="none"/>
              </w:rPr>
            </w:pPr>
          </w:p>
        </w:tc>
        <w:tc>
          <w:tcPr>
            <w:tcW w:w="1377" w:type="dxa"/>
            <w:shd w:val="clear" w:color="auto" w:fill="auto"/>
            <w:vAlign w:val="center"/>
          </w:tcPr>
          <w:p>
            <w:pPr>
              <w:shd w:val="clear"/>
              <w:jc w:val="center"/>
              <w:rPr>
                <w:rFonts w:ascii="宋体" w:hAnsi="宋体" w:cs="宋体"/>
                <w:color w:val="auto"/>
                <w:sz w:val="24"/>
                <w:highlight w:val="none"/>
              </w:rPr>
            </w:pPr>
          </w:p>
        </w:tc>
        <w:tc>
          <w:tcPr>
            <w:tcW w:w="730" w:type="dxa"/>
            <w:shd w:val="clear" w:color="auto" w:fill="auto"/>
            <w:vAlign w:val="center"/>
          </w:tcPr>
          <w:p>
            <w:pPr>
              <w:shd w:val="clear"/>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730" w:type="dxa"/>
            <w:shd w:val="clear" w:color="auto" w:fill="auto"/>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3</w:t>
            </w:r>
          </w:p>
        </w:tc>
        <w:tc>
          <w:tcPr>
            <w:tcW w:w="4129" w:type="dxa"/>
            <w:gridSpan w:val="2"/>
            <w:shd w:val="clear" w:color="auto" w:fill="auto"/>
          </w:tcPr>
          <w:p>
            <w:pPr>
              <w:shd w:val="clear"/>
              <w:snapToGrid w:val="0"/>
              <w:spacing w:line="380" w:lineRule="exact"/>
              <w:textAlignment w:val="bottom"/>
              <w:rPr>
                <w:rFonts w:ascii="宋体" w:hAnsi="宋体" w:cs="宋体"/>
                <w:bCs/>
                <w:color w:val="auto"/>
                <w:kern w:val="0"/>
                <w:sz w:val="24"/>
                <w:highlight w:val="none"/>
              </w:rPr>
            </w:pPr>
          </w:p>
        </w:tc>
        <w:tc>
          <w:tcPr>
            <w:tcW w:w="1176" w:type="dxa"/>
            <w:shd w:val="clear" w:color="auto" w:fill="auto"/>
            <w:vAlign w:val="center"/>
          </w:tcPr>
          <w:p>
            <w:pPr>
              <w:shd w:val="clear"/>
              <w:jc w:val="center"/>
              <w:rPr>
                <w:rFonts w:ascii="宋体" w:hAnsi="宋体" w:cs="宋体"/>
                <w:color w:val="auto"/>
                <w:sz w:val="24"/>
                <w:highlight w:val="none"/>
              </w:rPr>
            </w:pPr>
          </w:p>
        </w:tc>
        <w:tc>
          <w:tcPr>
            <w:tcW w:w="1087" w:type="dxa"/>
            <w:shd w:val="clear" w:color="auto" w:fill="auto"/>
            <w:vAlign w:val="center"/>
          </w:tcPr>
          <w:p>
            <w:pPr>
              <w:shd w:val="clear"/>
              <w:jc w:val="center"/>
              <w:rPr>
                <w:rFonts w:ascii="宋体" w:hAnsi="宋体" w:cs="宋体"/>
                <w:color w:val="auto"/>
                <w:sz w:val="24"/>
                <w:highlight w:val="none"/>
              </w:rPr>
            </w:pPr>
          </w:p>
        </w:tc>
        <w:tc>
          <w:tcPr>
            <w:tcW w:w="1377" w:type="dxa"/>
            <w:shd w:val="clear" w:color="auto" w:fill="auto"/>
            <w:vAlign w:val="center"/>
          </w:tcPr>
          <w:p>
            <w:pPr>
              <w:shd w:val="clear"/>
              <w:jc w:val="center"/>
              <w:rPr>
                <w:rFonts w:ascii="宋体" w:hAnsi="宋体" w:cs="宋体"/>
                <w:color w:val="auto"/>
                <w:sz w:val="24"/>
                <w:highlight w:val="none"/>
              </w:rPr>
            </w:pPr>
          </w:p>
        </w:tc>
        <w:tc>
          <w:tcPr>
            <w:tcW w:w="730" w:type="dxa"/>
            <w:shd w:val="clear" w:color="auto" w:fill="auto"/>
            <w:vAlign w:val="center"/>
          </w:tcPr>
          <w:p>
            <w:pPr>
              <w:shd w:val="clear"/>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730" w:type="dxa"/>
            <w:shd w:val="clear" w:color="auto" w:fill="auto"/>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4</w:t>
            </w:r>
          </w:p>
        </w:tc>
        <w:tc>
          <w:tcPr>
            <w:tcW w:w="4129" w:type="dxa"/>
            <w:gridSpan w:val="2"/>
            <w:shd w:val="clear" w:color="auto" w:fill="auto"/>
          </w:tcPr>
          <w:p>
            <w:pPr>
              <w:shd w:val="clear"/>
              <w:snapToGrid w:val="0"/>
              <w:spacing w:line="380" w:lineRule="exact"/>
              <w:textAlignment w:val="bottom"/>
              <w:rPr>
                <w:rFonts w:ascii="宋体" w:hAnsi="宋体" w:cs="宋体"/>
                <w:bCs/>
                <w:color w:val="auto"/>
                <w:kern w:val="0"/>
                <w:sz w:val="24"/>
                <w:highlight w:val="none"/>
              </w:rPr>
            </w:pPr>
          </w:p>
        </w:tc>
        <w:tc>
          <w:tcPr>
            <w:tcW w:w="1176" w:type="dxa"/>
            <w:shd w:val="clear" w:color="auto" w:fill="auto"/>
            <w:vAlign w:val="center"/>
          </w:tcPr>
          <w:p>
            <w:pPr>
              <w:shd w:val="clear"/>
              <w:jc w:val="center"/>
              <w:rPr>
                <w:rFonts w:ascii="宋体" w:hAnsi="宋体" w:cs="宋体"/>
                <w:color w:val="auto"/>
                <w:sz w:val="24"/>
                <w:highlight w:val="none"/>
              </w:rPr>
            </w:pPr>
          </w:p>
        </w:tc>
        <w:tc>
          <w:tcPr>
            <w:tcW w:w="1087" w:type="dxa"/>
            <w:shd w:val="clear" w:color="auto" w:fill="auto"/>
            <w:vAlign w:val="center"/>
          </w:tcPr>
          <w:p>
            <w:pPr>
              <w:shd w:val="clear"/>
              <w:jc w:val="center"/>
              <w:rPr>
                <w:rFonts w:ascii="宋体" w:hAnsi="宋体" w:cs="宋体"/>
                <w:color w:val="auto"/>
                <w:sz w:val="24"/>
                <w:highlight w:val="none"/>
              </w:rPr>
            </w:pPr>
          </w:p>
        </w:tc>
        <w:tc>
          <w:tcPr>
            <w:tcW w:w="1377" w:type="dxa"/>
            <w:shd w:val="clear" w:color="auto" w:fill="auto"/>
            <w:vAlign w:val="center"/>
          </w:tcPr>
          <w:p>
            <w:pPr>
              <w:shd w:val="clear"/>
              <w:jc w:val="center"/>
              <w:rPr>
                <w:rFonts w:ascii="宋体" w:hAnsi="宋体" w:cs="宋体"/>
                <w:color w:val="auto"/>
                <w:sz w:val="24"/>
                <w:highlight w:val="none"/>
              </w:rPr>
            </w:pPr>
          </w:p>
        </w:tc>
        <w:tc>
          <w:tcPr>
            <w:tcW w:w="730" w:type="dxa"/>
            <w:shd w:val="clear" w:color="auto" w:fill="auto"/>
            <w:vAlign w:val="center"/>
          </w:tcPr>
          <w:p>
            <w:pPr>
              <w:shd w:val="clear"/>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730" w:type="dxa"/>
            <w:shd w:val="clear" w:color="auto" w:fill="auto"/>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5</w:t>
            </w:r>
          </w:p>
        </w:tc>
        <w:tc>
          <w:tcPr>
            <w:tcW w:w="4129" w:type="dxa"/>
            <w:gridSpan w:val="2"/>
            <w:shd w:val="clear" w:color="auto" w:fill="auto"/>
          </w:tcPr>
          <w:p>
            <w:pPr>
              <w:shd w:val="clear"/>
              <w:snapToGrid w:val="0"/>
              <w:spacing w:line="380" w:lineRule="exact"/>
              <w:textAlignment w:val="bottom"/>
              <w:rPr>
                <w:rFonts w:ascii="宋体" w:hAnsi="宋体" w:cs="宋体"/>
                <w:bCs/>
                <w:color w:val="auto"/>
                <w:kern w:val="0"/>
                <w:sz w:val="24"/>
                <w:highlight w:val="none"/>
              </w:rPr>
            </w:pPr>
          </w:p>
        </w:tc>
        <w:tc>
          <w:tcPr>
            <w:tcW w:w="1176" w:type="dxa"/>
            <w:shd w:val="clear" w:color="auto" w:fill="auto"/>
            <w:vAlign w:val="center"/>
          </w:tcPr>
          <w:p>
            <w:pPr>
              <w:shd w:val="clear"/>
              <w:jc w:val="center"/>
              <w:rPr>
                <w:rFonts w:ascii="宋体" w:hAnsi="宋体" w:cs="宋体"/>
                <w:color w:val="auto"/>
                <w:sz w:val="24"/>
                <w:highlight w:val="none"/>
              </w:rPr>
            </w:pPr>
          </w:p>
        </w:tc>
        <w:tc>
          <w:tcPr>
            <w:tcW w:w="1087" w:type="dxa"/>
            <w:shd w:val="clear" w:color="auto" w:fill="auto"/>
            <w:vAlign w:val="center"/>
          </w:tcPr>
          <w:p>
            <w:pPr>
              <w:shd w:val="clear"/>
              <w:jc w:val="center"/>
              <w:rPr>
                <w:rFonts w:ascii="宋体" w:hAnsi="宋体" w:cs="宋体"/>
                <w:color w:val="auto"/>
                <w:sz w:val="24"/>
                <w:highlight w:val="none"/>
              </w:rPr>
            </w:pPr>
          </w:p>
        </w:tc>
        <w:tc>
          <w:tcPr>
            <w:tcW w:w="1377" w:type="dxa"/>
            <w:shd w:val="clear" w:color="auto" w:fill="auto"/>
            <w:vAlign w:val="center"/>
          </w:tcPr>
          <w:p>
            <w:pPr>
              <w:shd w:val="clear"/>
              <w:jc w:val="center"/>
              <w:rPr>
                <w:rFonts w:ascii="宋体" w:hAnsi="宋体" w:cs="宋体"/>
                <w:color w:val="auto"/>
                <w:sz w:val="24"/>
                <w:highlight w:val="none"/>
              </w:rPr>
            </w:pPr>
          </w:p>
        </w:tc>
        <w:tc>
          <w:tcPr>
            <w:tcW w:w="730" w:type="dxa"/>
            <w:shd w:val="clear" w:color="auto" w:fill="auto"/>
            <w:vAlign w:val="center"/>
          </w:tcPr>
          <w:p>
            <w:pPr>
              <w:shd w:val="clear"/>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730" w:type="dxa"/>
            <w:shd w:val="clear" w:color="auto" w:fill="auto"/>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6</w:t>
            </w:r>
          </w:p>
        </w:tc>
        <w:tc>
          <w:tcPr>
            <w:tcW w:w="4129" w:type="dxa"/>
            <w:gridSpan w:val="2"/>
            <w:shd w:val="clear" w:color="auto" w:fill="auto"/>
          </w:tcPr>
          <w:p>
            <w:pPr>
              <w:shd w:val="clear"/>
              <w:snapToGrid w:val="0"/>
              <w:spacing w:line="380" w:lineRule="exact"/>
              <w:textAlignment w:val="bottom"/>
              <w:rPr>
                <w:rFonts w:ascii="宋体" w:hAnsi="宋体" w:cs="宋体"/>
                <w:bCs/>
                <w:color w:val="auto"/>
                <w:kern w:val="0"/>
                <w:sz w:val="24"/>
                <w:highlight w:val="none"/>
              </w:rPr>
            </w:pPr>
          </w:p>
        </w:tc>
        <w:tc>
          <w:tcPr>
            <w:tcW w:w="1176" w:type="dxa"/>
            <w:shd w:val="clear" w:color="auto" w:fill="auto"/>
            <w:vAlign w:val="center"/>
          </w:tcPr>
          <w:p>
            <w:pPr>
              <w:shd w:val="clear"/>
              <w:jc w:val="center"/>
              <w:rPr>
                <w:rFonts w:ascii="宋体" w:hAnsi="宋体" w:cs="宋体"/>
                <w:color w:val="auto"/>
                <w:sz w:val="24"/>
                <w:highlight w:val="none"/>
              </w:rPr>
            </w:pPr>
          </w:p>
        </w:tc>
        <w:tc>
          <w:tcPr>
            <w:tcW w:w="1087" w:type="dxa"/>
            <w:shd w:val="clear" w:color="auto" w:fill="auto"/>
            <w:vAlign w:val="center"/>
          </w:tcPr>
          <w:p>
            <w:pPr>
              <w:shd w:val="clear"/>
              <w:jc w:val="center"/>
              <w:rPr>
                <w:rFonts w:ascii="宋体" w:hAnsi="宋体" w:cs="宋体"/>
                <w:color w:val="auto"/>
                <w:sz w:val="24"/>
                <w:highlight w:val="none"/>
              </w:rPr>
            </w:pPr>
          </w:p>
        </w:tc>
        <w:tc>
          <w:tcPr>
            <w:tcW w:w="1377" w:type="dxa"/>
            <w:shd w:val="clear" w:color="auto" w:fill="auto"/>
            <w:vAlign w:val="center"/>
          </w:tcPr>
          <w:p>
            <w:pPr>
              <w:shd w:val="clear"/>
              <w:jc w:val="center"/>
              <w:rPr>
                <w:rFonts w:ascii="宋体" w:hAnsi="宋体" w:cs="宋体"/>
                <w:color w:val="auto"/>
                <w:sz w:val="24"/>
                <w:highlight w:val="none"/>
              </w:rPr>
            </w:pPr>
          </w:p>
        </w:tc>
        <w:tc>
          <w:tcPr>
            <w:tcW w:w="730" w:type="dxa"/>
            <w:shd w:val="clear" w:color="auto" w:fill="auto"/>
            <w:vAlign w:val="center"/>
          </w:tcPr>
          <w:p>
            <w:pPr>
              <w:shd w:val="clear"/>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730" w:type="dxa"/>
            <w:shd w:val="clear" w:color="auto" w:fill="auto"/>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7</w:t>
            </w:r>
          </w:p>
        </w:tc>
        <w:tc>
          <w:tcPr>
            <w:tcW w:w="4129" w:type="dxa"/>
            <w:gridSpan w:val="2"/>
            <w:shd w:val="clear" w:color="auto" w:fill="auto"/>
            <w:vAlign w:val="center"/>
          </w:tcPr>
          <w:p>
            <w:pPr>
              <w:shd w:val="clear"/>
              <w:spacing w:line="360" w:lineRule="exact"/>
              <w:rPr>
                <w:rFonts w:ascii="宋体" w:hAnsi="宋体" w:cs="宋体"/>
                <w:bCs/>
                <w:color w:val="auto"/>
                <w:kern w:val="0"/>
                <w:sz w:val="24"/>
                <w:highlight w:val="none"/>
              </w:rPr>
            </w:pPr>
          </w:p>
        </w:tc>
        <w:tc>
          <w:tcPr>
            <w:tcW w:w="1176" w:type="dxa"/>
            <w:shd w:val="clear" w:color="auto" w:fill="auto"/>
            <w:vAlign w:val="center"/>
          </w:tcPr>
          <w:p>
            <w:pPr>
              <w:shd w:val="clear"/>
              <w:jc w:val="center"/>
              <w:rPr>
                <w:rFonts w:ascii="宋体" w:hAnsi="宋体" w:cs="宋体"/>
                <w:color w:val="auto"/>
                <w:sz w:val="24"/>
                <w:highlight w:val="none"/>
              </w:rPr>
            </w:pPr>
          </w:p>
        </w:tc>
        <w:tc>
          <w:tcPr>
            <w:tcW w:w="1087" w:type="dxa"/>
            <w:shd w:val="clear" w:color="auto" w:fill="auto"/>
            <w:vAlign w:val="center"/>
          </w:tcPr>
          <w:p>
            <w:pPr>
              <w:shd w:val="clear"/>
              <w:jc w:val="center"/>
              <w:rPr>
                <w:rFonts w:ascii="宋体" w:hAnsi="宋体" w:cs="宋体"/>
                <w:color w:val="auto"/>
                <w:sz w:val="24"/>
                <w:highlight w:val="none"/>
              </w:rPr>
            </w:pPr>
          </w:p>
        </w:tc>
        <w:tc>
          <w:tcPr>
            <w:tcW w:w="1377" w:type="dxa"/>
            <w:shd w:val="clear" w:color="auto" w:fill="auto"/>
            <w:vAlign w:val="center"/>
          </w:tcPr>
          <w:p>
            <w:pPr>
              <w:shd w:val="clear"/>
              <w:jc w:val="center"/>
              <w:rPr>
                <w:rFonts w:ascii="宋体" w:hAnsi="宋体" w:cs="宋体"/>
                <w:color w:val="auto"/>
                <w:sz w:val="24"/>
                <w:highlight w:val="none"/>
              </w:rPr>
            </w:pPr>
          </w:p>
        </w:tc>
        <w:tc>
          <w:tcPr>
            <w:tcW w:w="730" w:type="dxa"/>
            <w:shd w:val="clear" w:color="auto" w:fill="auto"/>
            <w:vAlign w:val="center"/>
          </w:tcPr>
          <w:p>
            <w:pPr>
              <w:shd w:val="clear"/>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0" w:hRule="atLeast"/>
        </w:trPr>
        <w:tc>
          <w:tcPr>
            <w:tcW w:w="1865" w:type="dxa"/>
            <w:gridSpan w:val="2"/>
            <w:shd w:val="clear" w:color="auto" w:fill="auto"/>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合  计</w:t>
            </w:r>
          </w:p>
        </w:tc>
        <w:tc>
          <w:tcPr>
            <w:tcW w:w="7364" w:type="dxa"/>
            <w:gridSpan w:val="5"/>
            <w:shd w:val="clear" w:color="auto" w:fill="auto"/>
          </w:tcPr>
          <w:p>
            <w:pPr>
              <w:shd w:val="clear"/>
              <w:spacing w:line="360" w:lineRule="auto"/>
              <w:rPr>
                <w:rFonts w:ascii="宋体" w:hAnsi="宋体" w:cs="宋体"/>
                <w:color w:val="auto"/>
                <w:sz w:val="24"/>
                <w:highlight w:val="none"/>
              </w:rPr>
            </w:pPr>
          </w:p>
          <w:p>
            <w:pPr>
              <w:shd w:val="clear"/>
              <w:spacing w:line="360" w:lineRule="auto"/>
              <w:rPr>
                <w:rFonts w:ascii="宋体" w:hAnsi="宋体" w:cs="宋体"/>
                <w:color w:val="auto"/>
                <w:sz w:val="24"/>
                <w:highlight w:val="none"/>
              </w:rPr>
            </w:pPr>
            <w:r>
              <w:rPr>
                <w:rFonts w:hint="eastAsia" w:ascii="宋体" w:hAnsi="宋体" w:cs="宋体"/>
                <w:color w:val="auto"/>
                <w:sz w:val="24"/>
                <w:highlight w:val="none"/>
              </w:rPr>
              <w:t>人民币（小写）：</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元</w:t>
            </w:r>
          </w:p>
          <w:p>
            <w:pPr>
              <w:shd w:val="clear"/>
              <w:spacing w:line="360" w:lineRule="auto"/>
              <w:rPr>
                <w:rFonts w:ascii="宋体" w:hAnsi="宋体" w:cs="宋体"/>
                <w:color w:val="auto"/>
                <w:sz w:val="24"/>
                <w:highlight w:val="none"/>
                <w:u w:val="single"/>
              </w:rPr>
            </w:pPr>
            <w:r>
              <w:rPr>
                <w:rFonts w:hint="eastAsia" w:ascii="宋体" w:hAnsi="宋体" w:cs="宋体"/>
                <w:color w:val="auto"/>
                <w:sz w:val="24"/>
                <w:highlight w:val="none"/>
              </w:rPr>
              <w:t>（大写）：</w:t>
            </w:r>
            <w:r>
              <w:rPr>
                <w:rFonts w:hint="eastAsia" w:ascii="宋体" w:hAnsi="宋体" w:cs="宋体"/>
                <w:color w:val="auto"/>
                <w:sz w:val="24"/>
                <w:highlight w:val="none"/>
                <w:u w:val="single"/>
              </w:rPr>
              <w:t xml:space="preserve">                            </w:t>
            </w:r>
          </w:p>
        </w:tc>
      </w:tr>
    </w:tbl>
    <w:p>
      <w:pPr>
        <w:shd w:val="clear"/>
        <w:rPr>
          <w:rFonts w:ascii="宋体" w:hAnsi="宋体" w:cs="宋体"/>
          <w:color w:val="auto"/>
          <w:sz w:val="24"/>
          <w:highlight w:val="none"/>
        </w:rPr>
      </w:pPr>
    </w:p>
    <w:p>
      <w:pPr>
        <w:shd w:val="clear"/>
        <w:spacing w:line="500" w:lineRule="exact"/>
        <w:rPr>
          <w:rFonts w:ascii="宋体" w:hAnsi="宋体" w:cs="宋体"/>
          <w:color w:val="auto"/>
          <w:sz w:val="24"/>
          <w:highlight w:val="none"/>
          <w:u w:val="single"/>
        </w:rPr>
      </w:pPr>
      <w:r>
        <w:rPr>
          <w:rFonts w:hint="eastAsia" w:ascii="宋体" w:hAnsi="宋体" w:cs="宋体"/>
          <w:color w:val="auto"/>
          <w:sz w:val="24"/>
          <w:highlight w:val="none"/>
        </w:rPr>
        <w:t xml:space="preserve">全权代表签字： </w:t>
      </w:r>
      <w:r>
        <w:rPr>
          <w:rFonts w:hint="eastAsia" w:ascii="宋体" w:hAnsi="宋体" w:cs="宋体"/>
          <w:color w:val="auto"/>
          <w:sz w:val="24"/>
          <w:highlight w:val="none"/>
          <w:u w:val="single"/>
        </w:rPr>
        <w:t xml:space="preserve">                  </w:t>
      </w:r>
    </w:p>
    <w:p>
      <w:pPr>
        <w:shd w:val="clear"/>
        <w:spacing w:line="500" w:lineRule="exact"/>
        <w:rPr>
          <w:rFonts w:ascii="宋体" w:hAnsi="宋体" w:cs="宋体"/>
          <w:color w:val="auto"/>
          <w:sz w:val="24"/>
          <w:highlight w:val="none"/>
          <w:u w:val="single"/>
        </w:rPr>
      </w:pPr>
      <w:r>
        <w:rPr>
          <w:rFonts w:hint="eastAsia" w:ascii="宋体" w:hAnsi="宋体" w:cs="宋体"/>
          <w:color w:val="auto"/>
          <w:sz w:val="24"/>
          <w:highlight w:val="none"/>
        </w:rPr>
        <w:t>日 期：</w:t>
      </w:r>
      <w:r>
        <w:rPr>
          <w:rFonts w:hint="eastAsia" w:ascii="宋体" w:hAnsi="宋体" w:cs="宋体"/>
          <w:color w:val="auto"/>
          <w:sz w:val="24"/>
          <w:highlight w:val="none"/>
          <w:u w:val="single"/>
        </w:rPr>
        <w:t xml:space="preserve">           </w:t>
      </w:r>
    </w:p>
    <w:p>
      <w:pPr>
        <w:shd w:val="clear"/>
        <w:spacing w:line="400" w:lineRule="exact"/>
        <w:ind w:left="480" w:hanging="480" w:hangingChars="200"/>
        <w:rPr>
          <w:rFonts w:ascii="宋体" w:hAnsi="宋体" w:cs="宋体"/>
          <w:color w:val="auto"/>
          <w:sz w:val="24"/>
          <w:highlight w:val="none"/>
        </w:rPr>
      </w:pPr>
      <w:r>
        <w:rPr>
          <w:rFonts w:hint="eastAsia" w:ascii="宋体" w:hAnsi="宋体" w:cs="宋体"/>
          <w:color w:val="auto"/>
          <w:sz w:val="24"/>
          <w:highlight w:val="none"/>
        </w:rPr>
        <w:t>注：</w:t>
      </w:r>
    </w:p>
    <w:p>
      <w:pPr>
        <w:pStyle w:val="13"/>
        <w:shd w:val="clear"/>
        <w:spacing w:line="460" w:lineRule="exact"/>
        <w:rPr>
          <w:rFonts w:hAnsi="宋体" w:cs="宋体"/>
          <w:b/>
          <w:bCs/>
          <w:color w:val="auto"/>
          <w:sz w:val="24"/>
          <w:szCs w:val="24"/>
          <w:highlight w:val="none"/>
        </w:rPr>
      </w:pPr>
      <w:r>
        <w:rPr>
          <w:rFonts w:hint="eastAsia" w:hAnsi="宋体" w:cs="宋体"/>
          <w:color w:val="auto"/>
          <w:sz w:val="24"/>
          <w:szCs w:val="24"/>
          <w:highlight w:val="none"/>
        </w:rPr>
        <w:t>1.投标人应根据国家的有关规定和</w:t>
      </w:r>
      <w:r>
        <w:rPr>
          <w:rFonts w:hint="eastAsia" w:hAnsi="宋体" w:cs="宋体"/>
          <w:b/>
          <w:bCs/>
          <w:color w:val="auto"/>
          <w:sz w:val="24"/>
          <w:szCs w:val="24"/>
          <w:highlight w:val="none"/>
          <w:shd w:val="pct10" w:color="auto" w:fill="FFFFFF"/>
        </w:rPr>
        <w:t>实际情况</w:t>
      </w:r>
      <w:r>
        <w:rPr>
          <w:rFonts w:hint="eastAsia" w:hAnsi="宋体" w:cs="宋体"/>
          <w:color w:val="auto"/>
          <w:sz w:val="24"/>
          <w:szCs w:val="24"/>
          <w:highlight w:val="none"/>
        </w:rPr>
        <w:t>并结合企业的实际情况进行投标报价。</w:t>
      </w:r>
      <w:r>
        <w:rPr>
          <w:rFonts w:hint="eastAsia" w:hAnsi="宋体" w:cs="宋体"/>
          <w:b/>
          <w:bCs/>
          <w:color w:val="auto"/>
          <w:sz w:val="24"/>
          <w:szCs w:val="24"/>
          <w:highlight w:val="none"/>
        </w:rPr>
        <w:t>投标报价为投标人所能承受的最</w:t>
      </w:r>
      <w:r>
        <w:rPr>
          <w:rFonts w:hint="eastAsia" w:hAnsi="宋体" w:cs="宋体"/>
          <w:b/>
          <w:bCs/>
          <w:color w:val="auto"/>
          <w:sz w:val="24"/>
          <w:szCs w:val="24"/>
          <w:highlight w:val="none"/>
          <w:lang w:val="en-US" w:eastAsia="zh-CN"/>
        </w:rPr>
        <w:t>低</w:t>
      </w:r>
      <w:r>
        <w:rPr>
          <w:rFonts w:hint="eastAsia" w:hAnsi="宋体" w:cs="宋体"/>
          <w:b/>
          <w:bCs/>
          <w:color w:val="auto"/>
          <w:sz w:val="24"/>
          <w:szCs w:val="24"/>
          <w:highlight w:val="none"/>
        </w:rPr>
        <w:t>、最终一次性报价。</w:t>
      </w:r>
    </w:p>
    <w:p>
      <w:pPr>
        <w:shd w:val="clear"/>
        <w:tabs>
          <w:tab w:val="left" w:pos="945"/>
        </w:tabs>
        <w:spacing w:line="360" w:lineRule="auto"/>
        <w:rPr>
          <w:rFonts w:ascii="宋体" w:hAnsi="宋体" w:cs="宋体"/>
          <w:color w:val="auto"/>
          <w:sz w:val="24"/>
          <w:highlight w:val="none"/>
        </w:rPr>
      </w:pPr>
      <w:r>
        <w:rPr>
          <w:rFonts w:hint="eastAsia" w:ascii="宋体" w:hAnsi="宋体" w:cs="宋体"/>
          <w:color w:val="auto"/>
          <w:sz w:val="24"/>
          <w:highlight w:val="none"/>
        </w:rPr>
        <w:t>2.此表在不改变表式内容的情况下，可自行制作。</w:t>
      </w:r>
    </w:p>
    <w:p>
      <w:pPr>
        <w:pStyle w:val="21"/>
        <w:shd w:val="clear"/>
        <w:ind w:left="0" w:leftChars="0" w:firstLine="0" w:firstLineChars="0"/>
        <w:rPr>
          <w:rFonts w:ascii="宋体" w:hAnsi="宋体"/>
          <w:color w:val="auto"/>
          <w:highlight w:val="none"/>
        </w:rPr>
      </w:pPr>
    </w:p>
    <w:p>
      <w:pPr>
        <w:shd w:val="clear"/>
        <w:rPr>
          <w:rFonts w:ascii="宋体" w:hAnsi="宋体" w:cs="宋体"/>
          <w:color w:val="auto"/>
          <w:highlight w:val="none"/>
        </w:rPr>
      </w:pPr>
    </w:p>
    <w:p>
      <w:pPr>
        <w:pStyle w:val="5"/>
        <w:shd w:val="clear"/>
        <w:rPr>
          <w:rFonts w:ascii="宋体" w:hAnsi="宋体" w:cs="宋体"/>
          <w:color w:val="auto"/>
          <w:highlight w:val="none"/>
        </w:rPr>
      </w:pPr>
    </w:p>
    <w:p>
      <w:pPr>
        <w:shd w:val="clear"/>
        <w:rPr>
          <w:color w:val="auto"/>
          <w:highlight w:val="none"/>
        </w:rPr>
      </w:pPr>
    </w:p>
    <w:p>
      <w:pPr>
        <w:shd w:val="clear"/>
        <w:jc w:val="center"/>
        <w:rPr>
          <w:rFonts w:ascii="宋体" w:hAnsi="宋体" w:cs="宋体"/>
          <w:color w:val="auto"/>
          <w:highlight w:val="none"/>
        </w:rPr>
      </w:pPr>
      <w:r>
        <w:rPr>
          <w:rFonts w:hint="eastAsia" w:ascii="宋体" w:hAnsi="宋体" w:cs="宋体"/>
          <w:b/>
          <w:bCs/>
          <w:color w:val="auto"/>
          <w:sz w:val="36"/>
          <w:szCs w:val="36"/>
          <w:highlight w:val="none"/>
        </w:rPr>
        <w:t>中小企业声明函</w:t>
      </w:r>
    </w:p>
    <w:p>
      <w:pPr>
        <w:shd w:val="clea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本公司郑重声明，根据《政府采购促进中小企业发展管理办法》（财库﹝2020﹞46 号）的规定，本公司</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参加</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（单位名称）的</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（项目名称）采购活动，服务全部由符合政策要求的中小企业承接）。相关企业的具体情况如下：</w:t>
      </w:r>
    </w:p>
    <w:p>
      <w:pPr>
        <w:shd w:val="clea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w:t>
      </w:r>
      <w:r>
        <w:rPr>
          <w:rFonts w:hint="eastAsia" w:ascii="宋体" w:hAnsi="宋体" w:cs="宋体"/>
          <w:color w:val="auto"/>
          <w:sz w:val="24"/>
          <w:highlight w:val="none"/>
          <w:u w:val="single"/>
        </w:rPr>
        <w:t xml:space="preserve">        （标的名称） </w:t>
      </w:r>
      <w:r>
        <w:rPr>
          <w:rFonts w:hint="eastAsia" w:ascii="宋体" w:hAnsi="宋体" w:cs="宋体"/>
          <w:color w:val="auto"/>
          <w:sz w:val="24"/>
          <w:highlight w:val="none"/>
        </w:rPr>
        <w:t>，属于</w:t>
      </w:r>
      <w:r>
        <w:rPr>
          <w:rFonts w:hint="eastAsia" w:ascii="宋体" w:hAnsi="宋体" w:cs="宋体"/>
          <w:color w:val="auto"/>
          <w:sz w:val="24"/>
          <w:highlight w:val="none"/>
          <w:u w:val="single"/>
        </w:rPr>
        <w:t xml:space="preserve">        （采购文件中明确的所属行业）</w:t>
      </w:r>
      <w:r>
        <w:rPr>
          <w:rFonts w:hint="eastAsia" w:ascii="宋体" w:hAnsi="宋体" w:cs="宋体"/>
          <w:color w:val="auto"/>
          <w:sz w:val="24"/>
          <w:highlight w:val="none"/>
        </w:rPr>
        <w:t>；承接企业为</w:t>
      </w:r>
      <w:r>
        <w:rPr>
          <w:rFonts w:hint="eastAsia" w:ascii="宋体" w:hAnsi="宋体" w:cs="宋体"/>
          <w:color w:val="auto"/>
          <w:sz w:val="24"/>
          <w:highlight w:val="none"/>
          <w:u w:val="single"/>
        </w:rPr>
        <w:t xml:space="preserve">                 （企业名称）</w:t>
      </w:r>
      <w:r>
        <w:rPr>
          <w:rFonts w:hint="eastAsia" w:ascii="宋体" w:hAnsi="宋体" w:cs="宋体"/>
          <w:color w:val="auto"/>
          <w:sz w:val="24"/>
          <w:highlight w:val="none"/>
        </w:rPr>
        <w:t>，从业人员</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人，营业收入为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万元，资产总额为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万元属于</w:t>
      </w:r>
      <w:r>
        <w:rPr>
          <w:rFonts w:hint="eastAsia" w:ascii="宋体" w:hAnsi="宋体" w:cs="宋体"/>
          <w:color w:val="auto"/>
          <w:sz w:val="24"/>
          <w:highlight w:val="none"/>
          <w:u w:val="single"/>
        </w:rPr>
        <w:t xml:space="preserve">               （中型企业、小型企业、微型企业）</w:t>
      </w:r>
      <w:r>
        <w:rPr>
          <w:rFonts w:hint="eastAsia" w:ascii="宋体" w:hAnsi="宋体" w:cs="宋体"/>
          <w:color w:val="auto"/>
          <w:sz w:val="24"/>
          <w:highlight w:val="none"/>
        </w:rPr>
        <w:t>；</w:t>
      </w:r>
    </w:p>
    <w:p>
      <w:pPr>
        <w:shd w:val="clea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w:t>
      </w:r>
    </w:p>
    <w:p>
      <w:pPr>
        <w:shd w:val="clea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以上企业，不属于大企业的分支机构，不存在控股股东为大企业的情形，也不存在与大企业的负责人为同一人的情形。</w:t>
      </w:r>
    </w:p>
    <w:p>
      <w:pPr>
        <w:shd w:val="clea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本企业对上述声明内容的真实性负责。如有虚假，将依法承担相应责任。</w:t>
      </w:r>
    </w:p>
    <w:p>
      <w:pPr>
        <w:shd w:val="clear"/>
        <w:spacing w:line="360" w:lineRule="auto"/>
        <w:ind w:firstLine="480" w:firstLineChars="200"/>
        <w:rPr>
          <w:rFonts w:ascii="宋体" w:hAnsi="宋体" w:cs="宋体"/>
          <w:color w:val="auto"/>
          <w:sz w:val="24"/>
          <w:highlight w:val="none"/>
        </w:rPr>
      </w:pPr>
    </w:p>
    <w:p>
      <w:pPr>
        <w:shd w:val="clear"/>
        <w:spacing w:line="360" w:lineRule="auto"/>
        <w:ind w:firstLine="480" w:firstLineChars="200"/>
        <w:rPr>
          <w:rFonts w:ascii="宋体" w:hAnsi="宋体" w:cs="宋体"/>
          <w:color w:val="auto"/>
          <w:sz w:val="24"/>
          <w:highlight w:val="none"/>
        </w:rPr>
      </w:pPr>
    </w:p>
    <w:p>
      <w:pPr>
        <w:shd w:val="clear"/>
        <w:spacing w:line="360" w:lineRule="auto"/>
        <w:ind w:firstLine="480" w:firstLineChars="200"/>
        <w:rPr>
          <w:rFonts w:ascii="宋体" w:hAnsi="宋体" w:cs="宋体"/>
          <w:color w:val="auto"/>
          <w:sz w:val="24"/>
          <w:highlight w:val="none"/>
        </w:rPr>
      </w:pPr>
    </w:p>
    <w:p>
      <w:pPr>
        <w:shd w:val="clear"/>
        <w:spacing w:line="360" w:lineRule="auto"/>
        <w:ind w:firstLine="480" w:firstLineChars="200"/>
        <w:rPr>
          <w:rFonts w:ascii="宋体" w:hAnsi="宋体" w:cs="宋体"/>
          <w:color w:val="auto"/>
          <w:sz w:val="24"/>
          <w:highlight w:val="none"/>
        </w:rPr>
      </w:pPr>
    </w:p>
    <w:p>
      <w:pPr>
        <w:shd w:val="clea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投标人名称（盖章）：</w:t>
      </w:r>
    </w:p>
    <w:p>
      <w:pPr>
        <w:shd w:val="clea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日 期：</w:t>
      </w:r>
    </w:p>
    <w:p>
      <w:pPr>
        <w:shd w:val="clea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注： 从业人员、营业收入、资产总额填报上一年度数据，无上一年度数据的新成立企业可不填报。</w:t>
      </w:r>
    </w:p>
    <w:p>
      <w:pPr>
        <w:shd w:val="clear"/>
        <w:spacing w:line="360" w:lineRule="auto"/>
        <w:ind w:firstLine="482" w:firstLineChars="200"/>
        <w:rPr>
          <w:rFonts w:ascii="宋体" w:hAnsi="宋体" w:cs="宋体"/>
          <w:b/>
          <w:bCs/>
          <w:color w:val="auto"/>
          <w:sz w:val="24"/>
          <w:highlight w:val="none"/>
        </w:rPr>
      </w:pPr>
    </w:p>
    <w:p>
      <w:pPr>
        <w:pStyle w:val="21"/>
        <w:shd w:val="clear"/>
        <w:ind w:left="0" w:leftChars="0" w:firstLine="0" w:firstLineChars="0"/>
        <w:rPr>
          <w:rFonts w:ascii="宋体" w:hAnsi="宋体"/>
          <w:color w:val="auto"/>
          <w:sz w:val="36"/>
          <w:szCs w:val="36"/>
          <w:highlight w:val="none"/>
        </w:rPr>
      </w:pPr>
    </w:p>
    <w:p>
      <w:pPr>
        <w:shd w:val="clear"/>
        <w:rPr>
          <w:rFonts w:ascii="宋体" w:hAnsi="宋体" w:cs="宋体"/>
          <w:color w:val="auto"/>
          <w:sz w:val="36"/>
          <w:szCs w:val="36"/>
          <w:highlight w:val="none"/>
        </w:rPr>
      </w:pPr>
    </w:p>
    <w:p>
      <w:pPr>
        <w:pStyle w:val="5"/>
        <w:shd w:val="clear"/>
        <w:rPr>
          <w:rFonts w:ascii="宋体" w:hAnsi="宋体" w:cs="宋体"/>
          <w:color w:val="auto"/>
          <w:sz w:val="36"/>
          <w:szCs w:val="36"/>
          <w:highlight w:val="none"/>
        </w:rPr>
      </w:pPr>
    </w:p>
    <w:p>
      <w:pPr>
        <w:shd w:val="clear"/>
        <w:rPr>
          <w:rFonts w:ascii="宋体" w:hAnsi="宋体" w:cs="宋体"/>
          <w:color w:val="auto"/>
          <w:sz w:val="36"/>
          <w:szCs w:val="36"/>
          <w:highlight w:val="none"/>
        </w:rPr>
      </w:pPr>
    </w:p>
    <w:p>
      <w:pPr>
        <w:pStyle w:val="5"/>
        <w:shd w:val="clear"/>
        <w:rPr>
          <w:color w:val="auto"/>
          <w:highlight w:val="none"/>
        </w:rPr>
      </w:pPr>
    </w:p>
    <w:p>
      <w:pPr>
        <w:shd w:val="clear"/>
        <w:jc w:val="center"/>
        <w:rPr>
          <w:rFonts w:ascii="宋体" w:hAnsi="宋体" w:cs="宋体"/>
          <w:b/>
          <w:bCs/>
          <w:color w:val="auto"/>
          <w:sz w:val="36"/>
          <w:szCs w:val="36"/>
          <w:highlight w:val="none"/>
        </w:rPr>
      </w:pPr>
      <w:r>
        <w:rPr>
          <w:rFonts w:hint="eastAsia" w:ascii="宋体" w:hAnsi="宋体" w:cs="宋体"/>
          <w:b/>
          <w:bCs/>
          <w:color w:val="auto"/>
          <w:sz w:val="36"/>
          <w:szCs w:val="36"/>
          <w:highlight w:val="none"/>
        </w:rPr>
        <w:t xml:space="preserve">残疾人福利性单位声明函 </w:t>
      </w:r>
    </w:p>
    <w:p>
      <w:pPr>
        <w:shd w:val="clear"/>
        <w:spacing w:line="360" w:lineRule="auto"/>
        <w:ind w:firstLine="480" w:firstLineChars="200"/>
        <w:rPr>
          <w:rFonts w:ascii="宋体" w:hAnsi="宋体" w:cs="宋体"/>
          <w:color w:val="auto"/>
          <w:sz w:val="24"/>
          <w:highlight w:val="none"/>
        </w:rPr>
      </w:pPr>
    </w:p>
    <w:p>
      <w:pPr>
        <w:shd w:val="clea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本单位郑重声明，根据《财政部 民政部 中国残疾人联合会关于促进残疾人就业政府采购政策的通知》（财库〔2017〕141 号）的规定，本单位为符合条件的残疾人福利性单位，且本单位参加</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单位的</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xml:space="preserve">项目采购活动提供本单位制造的货物（由本单位承担工程/提供服务），或者提供其他残疾人福利性单位制造的货物（不包括使用非残疾人福利性单位注册商标的货物）。 本单位对上述声明的真实性负责。如有虚假，将依法承担相应责任。 </w:t>
      </w:r>
    </w:p>
    <w:p>
      <w:pPr>
        <w:pStyle w:val="6"/>
        <w:shd w:val="clear"/>
        <w:tabs>
          <w:tab w:val="left" w:pos="360"/>
        </w:tabs>
        <w:rPr>
          <w:rFonts w:ascii="宋体" w:hAnsi="宋体" w:eastAsia="宋体" w:cs="宋体"/>
          <w:color w:val="auto"/>
          <w:highlight w:val="none"/>
        </w:rPr>
      </w:pPr>
    </w:p>
    <w:p>
      <w:pPr>
        <w:pStyle w:val="6"/>
        <w:shd w:val="clear"/>
        <w:tabs>
          <w:tab w:val="left" w:pos="360"/>
        </w:tabs>
        <w:rPr>
          <w:rFonts w:ascii="宋体" w:hAnsi="宋体" w:eastAsia="宋体" w:cs="宋体"/>
          <w:color w:val="auto"/>
          <w:highlight w:val="none"/>
        </w:rPr>
      </w:pPr>
    </w:p>
    <w:p>
      <w:pPr>
        <w:shd w:val="clear"/>
        <w:rPr>
          <w:rFonts w:ascii="宋体" w:hAnsi="宋体" w:cs="宋体"/>
          <w:color w:val="auto"/>
          <w:sz w:val="24"/>
          <w:highlight w:val="none"/>
        </w:rPr>
      </w:pPr>
    </w:p>
    <w:p>
      <w:pPr>
        <w:shd w:val="clear"/>
        <w:spacing w:line="360" w:lineRule="auto"/>
        <w:ind w:left="5269" w:leftChars="2166" w:hanging="720" w:hangingChars="300"/>
        <w:rPr>
          <w:rFonts w:ascii="宋体" w:hAnsi="宋体" w:cs="宋体"/>
          <w:color w:val="auto"/>
          <w:sz w:val="24"/>
          <w:highlight w:val="none"/>
        </w:rPr>
      </w:pPr>
      <w:r>
        <w:rPr>
          <w:rFonts w:hint="eastAsia" w:ascii="宋体" w:hAnsi="宋体" w:cs="宋体"/>
          <w:color w:val="auto"/>
          <w:sz w:val="24"/>
          <w:highlight w:val="none"/>
        </w:rPr>
        <w:t xml:space="preserve">                                                 投标人名称（盖章）： </w:t>
      </w:r>
    </w:p>
    <w:p>
      <w:pPr>
        <w:shd w:val="clear"/>
        <w:spacing w:line="360" w:lineRule="auto"/>
        <w:ind w:left="5267" w:leftChars="2508"/>
        <w:rPr>
          <w:rFonts w:ascii="宋体" w:hAnsi="宋体" w:cs="宋体"/>
          <w:color w:val="auto"/>
          <w:sz w:val="24"/>
          <w:highlight w:val="none"/>
        </w:rPr>
      </w:pPr>
      <w:r>
        <w:rPr>
          <w:rFonts w:hint="eastAsia" w:ascii="宋体" w:hAnsi="宋体" w:cs="宋体"/>
          <w:color w:val="auto"/>
          <w:sz w:val="24"/>
          <w:highlight w:val="none"/>
        </w:rPr>
        <w:t xml:space="preserve">日 期： </w:t>
      </w:r>
    </w:p>
    <w:p>
      <w:pPr>
        <w:pStyle w:val="6"/>
        <w:shd w:val="clear"/>
        <w:tabs>
          <w:tab w:val="left" w:pos="360"/>
        </w:tabs>
        <w:rPr>
          <w:rFonts w:ascii="宋体" w:hAnsi="宋体" w:eastAsia="宋体" w:cs="宋体"/>
          <w:color w:val="auto"/>
          <w:highlight w:val="none"/>
        </w:rPr>
      </w:pPr>
    </w:p>
    <w:p>
      <w:pPr>
        <w:shd w:val="clear"/>
        <w:rPr>
          <w:rFonts w:ascii="宋体" w:hAnsi="宋体" w:cs="宋体"/>
          <w:color w:val="auto"/>
          <w:highlight w:val="none"/>
        </w:rPr>
      </w:pPr>
    </w:p>
    <w:p>
      <w:pPr>
        <w:pStyle w:val="6"/>
        <w:shd w:val="clear"/>
        <w:tabs>
          <w:tab w:val="left" w:pos="360"/>
        </w:tabs>
        <w:rPr>
          <w:rFonts w:ascii="宋体" w:hAnsi="宋体" w:eastAsia="宋体" w:cs="宋体"/>
          <w:color w:val="auto"/>
          <w:highlight w:val="none"/>
        </w:rPr>
      </w:pPr>
    </w:p>
    <w:p>
      <w:pPr>
        <w:shd w:val="clear"/>
        <w:rPr>
          <w:rFonts w:ascii="宋体" w:hAnsi="宋体" w:cs="宋体"/>
          <w:color w:val="auto"/>
          <w:highlight w:val="none"/>
        </w:rPr>
      </w:pPr>
    </w:p>
    <w:p>
      <w:pPr>
        <w:pStyle w:val="5"/>
        <w:shd w:val="clear"/>
        <w:rPr>
          <w:rFonts w:ascii="宋体" w:hAnsi="宋体" w:cs="宋体"/>
          <w:color w:val="auto"/>
          <w:highlight w:val="none"/>
        </w:rPr>
      </w:pPr>
    </w:p>
    <w:p>
      <w:pPr>
        <w:shd w:val="clear"/>
        <w:rPr>
          <w:color w:val="auto"/>
          <w:highlight w:val="none"/>
        </w:rPr>
      </w:pPr>
    </w:p>
    <w:p>
      <w:pPr>
        <w:shd w:val="clear"/>
        <w:jc w:val="center"/>
        <w:rPr>
          <w:rFonts w:ascii="宋体" w:hAnsi="宋体" w:cs="宋体"/>
          <w:b/>
          <w:bCs/>
          <w:color w:val="auto"/>
          <w:sz w:val="36"/>
          <w:szCs w:val="36"/>
          <w:highlight w:val="none"/>
        </w:rPr>
      </w:pPr>
    </w:p>
    <w:p>
      <w:pPr>
        <w:shd w:val="clear"/>
        <w:jc w:val="center"/>
        <w:rPr>
          <w:rFonts w:ascii="宋体" w:hAnsi="宋体" w:cs="宋体"/>
          <w:b/>
          <w:bCs/>
          <w:color w:val="auto"/>
          <w:sz w:val="36"/>
          <w:szCs w:val="36"/>
          <w:highlight w:val="none"/>
        </w:rPr>
      </w:pPr>
      <w:r>
        <w:rPr>
          <w:rFonts w:hint="eastAsia" w:ascii="宋体" w:hAnsi="宋体" w:cs="宋体"/>
          <w:b/>
          <w:bCs/>
          <w:color w:val="auto"/>
          <w:sz w:val="36"/>
          <w:szCs w:val="36"/>
          <w:highlight w:val="none"/>
        </w:rPr>
        <w:t>监狱企业声明函</w:t>
      </w:r>
    </w:p>
    <w:p>
      <w:pPr>
        <w:shd w:val="clear"/>
        <w:spacing w:line="360" w:lineRule="auto"/>
        <w:ind w:firstLine="480" w:firstLineChars="200"/>
        <w:rPr>
          <w:rFonts w:ascii="宋体" w:hAnsi="宋体" w:cs="宋体"/>
          <w:color w:val="auto"/>
          <w:sz w:val="24"/>
          <w:highlight w:val="none"/>
        </w:rPr>
      </w:pPr>
    </w:p>
    <w:p>
      <w:pPr>
        <w:shd w:val="clea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本单位郑重声明，根据《财政部、司法部关于政府采购支持监狱企业发展有关问题的通知》（财库〔2014〕68号）的规定，本单位为符合条件的监狱企业，且本单位参加 </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xml:space="preserve"> 单位的</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xml:space="preserve">项目采购活动提供本单位制造的货物（由本单位承担工程/提供服务），或者提供其他监狱企业制造的货物。 本单位对上述声明的真实性负责。如有虚假，将依法承担相应责任。 </w:t>
      </w:r>
    </w:p>
    <w:p>
      <w:pPr>
        <w:shd w:val="clear"/>
        <w:spacing w:line="360" w:lineRule="auto"/>
        <w:ind w:firstLine="480" w:firstLineChars="200"/>
        <w:rPr>
          <w:rFonts w:ascii="宋体" w:hAnsi="宋体" w:cs="宋体"/>
          <w:color w:val="auto"/>
          <w:sz w:val="24"/>
          <w:highlight w:val="none"/>
        </w:rPr>
      </w:pPr>
    </w:p>
    <w:p>
      <w:pPr>
        <w:pStyle w:val="6"/>
        <w:shd w:val="clear"/>
        <w:tabs>
          <w:tab w:val="left" w:pos="360"/>
        </w:tabs>
        <w:rPr>
          <w:rFonts w:ascii="宋体" w:hAnsi="宋体" w:eastAsia="宋体" w:cs="宋体"/>
          <w:color w:val="auto"/>
          <w:highlight w:val="none"/>
        </w:rPr>
      </w:pPr>
    </w:p>
    <w:p>
      <w:pPr>
        <w:shd w:val="clear"/>
        <w:rPr>
          <w:rFonts w:ascii="宋体" w:hAnsi="宋体" w:cs="宋体"/>
          <w:color w:val="auto"/>
          <w:sz w:val="24"/>
          <w:highlight w:val="none"/>
        </w:rPr>
      </w:pPr>
    </w:p>
    <w:p>
      <w:pPr>
        <w:shd w:val="clear"/>
        <w:spacing w:line="360" w:lineRule="auto"/>
        <w:ind w:firstLine="480" w:firstLineChars="200"/>
        <w:rPr>
          <w:rFonts w:ascii="宋体" w:hAnsi="宋体" w:cs="宋体"/>
          <w:color w:val="auto"/>
          <w:sz w:val="24"/>
          <w:highlight w:val="none"/>
        </w:rPr>
      </w:pPr>
    </w:p>
    <w:p>
      <w:pPr>
        <w:shd w:val="clear"/>
        <w:spacing w:line="360" w:lineRule="auto"/>
        <w:ind w:firstLine="4560" w:firstLineChars="1900"/>
        <w:rPr>
          <w:rFonts w:ascii="宋体" w:hAnsi="宋体" w:cs="宋体"/>
          <w:color w:val="auto"/>
          <w:sz w:val="24"/>
          <w:highlight w:val="none"/>
        </w:rPr>
      </w:pPr>
      <w:r>
        <w:rPr>
          <w:rFonts w:hint="eastAsia" w:ascii="宋体" w:hAnsi="宋体" w:cs="宋体"/>
          <w:color w:val="auto"/>
          <w:sz w:val="24"/>
          <w:highlight w:val="none"/>
        </w:rPr>
        <w:t xml:space="preserve">投标人名称（盖章）： </w:t>
      </w:r>
    </w:p>
    <w:p>
      <w:pPr>
        <w:shd w:val="clear"/>
        <w:spacing w:line="360" w:lineRule="auto"/>
        <w:ind w:firstLine="4560" w:firstLineChars="1900"/>
        <w:rPr>
          <w:rFonts w:ascii="宋体" w:hAnsi="宋体" w:cs="宋体"/>
          <w:color w:val="auto"/>
          <w:sz w:val="24"/>
          <w:highlight w:val="none"/>
        </w:rPr>
      </w:pPr>
      <w:r>
        <w:rPr>
          <w:rFonts w:hint="eastAsia" w:ascii="宋体" w:hAnsi="宋体" w:cs="宋体"/>
          <w:color w:val="auto"/>
          <w:sz w:val="24"/>
          <w:highlight w:val="none"/>
        </w:rPr>
        <w:t xml:space="preserve">日 期： </w:t>
      </w:r>
    </w:p>
    <w:p>
      <w:pPr>
        <w:pStyle w:val="6"/>
        <w:shd w:val="clear"/>
        <w:tabs>
          <w:tab w:val="left" w:pos="360"/>
        </w:tabs>
        <w:rPr>
          <w:rFonts w:ascii="宋体" w:hAnsi="宋体" w:eastAsia="宋体" w:cs="宋体"/>
          <w:color w:val="auto"/>
          <w:highlight w:val="none"/>
        </w:rPr>
      </w:pPr>
    </w:p>
    <w:p>
      <w:pPr>
        <w:shd w:val="clear"/>
        <w:rPr>
          <w:rFonts w:ascii="宋体" w:hAnsi="宋体" w:cs="宋体"/>
          <w:color w:val="auto"/>
          <w:highlight w:val="none"/>
        </w:rPr>
      </w:pPr>
    </w:p>
    <w:p>
      <w:pPr>
        <w:shd w:val="clear"/>
        <w:spacing w:line="360" w:lineRule="auto"/>
        <w:ind w:firstLine="482" w:firstLineChars="200"/>
        <w:rPr>
          <w:rFonts w:ascii="宋体" w:hAnsi="宋体" w:cs="宋体"/>
          <w:color w:val="auto"/>
          <w:highlight w:val="none"/>
        </w:rPr>
      </w:pPr>
      <w:r>
        <w:rPr>
          <w:rFonts w:hint="eastAsia" w:ascii="宋体" w:hAnsi="宋体" w:cs="宋体"/>
          <w:b/>
          <w:bCs/>
          <w:color w:val="auto"/>
          <w:sz w:val="24"/>
          <w:highlight w:val="none"/>
        </w:rPr>
        <w:t>注：1.应当提供由省级以上监狱管理局、戒毒管理局(含新疆生产建设兵团)出具的属于监狱企业的说明文件。</w:t>
      </w:r>
    </w:p>
    <w:p>
      <w:pPr>
        <w:pStyle w:val="26"/>
        <w:shd w:val="clear"/>
        <w:rPr>
          <w:rFonts w:ascii="宋体" w:hAnsi="宋体" w:eastAsia="宋体" w:cs="宋体"/>
          <w:color w:val="auto"/>
          <w:highlight w:val="none"/>
        </w:rPr>
      </w:pPr>
    </w:p>
    <w:p>
      <w:pPr>
        <w:pStyle w:val="27"/>
        <w:shd w:val="clear"/>
        <w:rPr>
          <w:rFonts w:ascii="宋体" w:hAnsi="宋体" w:cs="宋体"/>
          <w:color w:val="auto"/>
          <w:highlight w:val="none"/>
        </w:rPr>
      </w:pPr>
    </w:p>
    <w:p>
      <w:pPr>
        <w:shd w:val="clear"/>
        <w:rPr>
          <w:rFonts w:ascii="宋体" w:hAnsi="宋体" w:cs="宋体"/>
          <w:color w:val="auto"/>
          <w:highlight w:val="none"/>
        </w:rPr>
      </w:pPr>
    </w:p>
    <w:p>
      <w:pPr>
        <w:shd w:val="clear"/>
        <w:rPr>
          <w:rFonts w:ascii="宋体" w:hAnsi="宋体" w:cs="宋体"/>
          <w:color w:val="auto"/>
          <w:highlight w:val="none"/>
        </w:rPr>
      </w:pPr>
    </w:p>
    <w:p>
      <w:pPr>
        <w:pStyle w:val="2"/>
        <w:shd w:val="clear"/>
        <w:rPr>
          <w:rFonts w:ascii="宋体" w:hAnsi="宋体" w:cs="宋体"/>
          <w:color w:val="auto"/>
          <w:highlight w:val="none"/>
        </w:rPr>
      </w:pPr>
    </w:p>
    <w:p>
      <w:pPr>
        <w:pStyle w:val="3"/>
        <w:shd w:val="clear"/>
        <w:rPr>
          <w:rFonts w:ascii="宋体" w:hAnsi="宋体" w:cs="宋体"/>
          <w:color w:val="auto"/>
          <w:highlight w:val="none"/>
        </w:rPr>
      </w:pPr>
    </w:p>
    <w:p>
      <w:pPr>
        <w:pStyle w:val="4"/>
        <w:shd w:val="clear"/>
        <w:rPr>
          <w:color w:val="auto"/>
          <w:highlight w:val="none"/>
        </w:rPr>
      </w:pPr>
    </w:p>
    <w:p>
      <w:pPr>
        <w:pStyle w:val="4"/>
        <w:shd w:val="clear"/>
        <w:rPr>
          <w:rFonts w:ascii="宋体" w:hAnsi="宋体" w:cs="宋体"/>
          <w:color w:val="auto"/>
          <w:highlight w:val="none"/>
        </w:rPr>
      </w:pPr>
    </w:p>
    <w:p>
      <w:pPr>
        <w:shd w:val="clear"/>
        <w:rPr>
          <w:rFonts w:ascii="宋体" w:hAnsi="宋体" w:cs="宋体"/>
          <w:color w:val="auto"/>
          <w:highlight w:val="none"/>
        </w:rPr>
      </w:pPr>
    </w:p>
    <w:p>
      <w:pPr>
        <w:shd w:val="clear"/>
        <w:jc w:val="center"/>
        <w:rPr>
          <w:rFonts w:hint="eastAsia" w:ascii="宋体" w:eastAsia="宋体" w:cs="宋体"/>
          <w:b/>
          <w:bCs/>
          <w:color w:val="auto"/>
          <w:sz w:val="36"/>
          <w:szCs w:val="36"/>
          <w:highlight w:val="none"/>
        </w:rPr>
      </w:pPr>
      <w:r>
        <w:rPr>
          <w:rFonts w:hint="eastAsia" w:ascii="宋体" w:eastAsia="宋体" w:cs="宋体"/>
          <w:b/>
          <w:bCs/>
          <w:color w:val="auto"/>
          <w:sz w:val="36"/>
          <w:szCs w:val="36"/>
          <w:highlight w:val="none"/>
        </w:rPr>
        <w:t>联合体协议书</w:t>
      </w:r>
    </w:p>
    <w:p>
      <w:pPr>
        <w:pStyle w:val="2"/>
        <w:shd w:val="clear"/>
        <w:spacing w:line="440" w:lineRule="exact"/>
        <w:ind w:firstLine="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（适用于联合体）</w:t>
      </w:r>
    </w:p>
    <w:p>
      <w:pPr>
        <w:shd w:val="clear"/>
        <w:tabs>
          <w:tab w:val="left" w:pos="2977"/>
        </w:tabs>
        <w:spacing w:line="420" w:lineRule="exact"/>
        <w:ind w:firstLine="480" w:firstLineChars="200"/>
        <w:jc w:val="left"/>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（甲公司名称）              、（乙公司名称）              自愿组成联合体，参加                      项目的投标。现就有关事宜订立协议如下：</w:t>
      </w:r>
    </w:p>
    <w:p>
      <w:pPr>
        <w:pStyle w:val="30"/>
        <w:shd w:val="clear"/>
        <w:tabs>
          <w:tab w:val="left" w:pos="2977"/>
        </w:tabs>
        <w:spacing w:line="420" w:lineRule="exact"/>
        <w:ind w:firstLine="200"/>
        <w:jc w:val="left"/>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1.（甲公司名称）为联合体牵头人，（乙公司名称）为联合体成员；</w:t>
      </w:r>
    </w:p>
    <w:p>
      <w:pPr>
        <w:pStyle w:val="30"/>
        <w:shd w:val="clear"/>
        <w:tabs>
          <w:tab w:val="left" w:pos="2977"/>
        </w:tabs>
        <w:spacing w:line="420" w:lineRule="exact"/>
        <w:ind w:firstLine="200"/>
        <w:jc w:val="left"/>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2. 联合体内部有关事项规定如下：</w:t>
      </w:r>
    </w:p>
    <w:p>
      <w:pPr>
        <w:pStyle w:val="30"/>
        <w:shd w:val="clear"/>
        <w:tabs>
          <w:tab w:val="left" w:pos="2977"/>
        </w:tabs>
        <w:spacing w:line="420" w:lineRule="exact"/>
        <w:ind w:left="420" w:firstLine="200"/>
        <w:jc w:val="left"/>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（1）联合体由牵头人负责与采购人联系。</w:t>
      </w:r>
    </w:p>
    <w:p>
      <w:pPr>
        <w:pStyle w:val="30"/>
        <w:shd w:val="clear"/>
        <w:tabs>
          <w:tab w:val="left" w:pos="2977"/>
        </w:tabs>
        <w:spacing w:line="420" w:lineRule="exact"/>
        <w:ind w:left="420" w:firstLine="200"/>
        <w:jc w:val="left"/>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（2）投标工作由联合体牵头人负责，由双方组成的投标小组具体实施；联合体牵头人代表联合体办理投标事宜，联合体牵头人在投标文件中的所有承诺均代表了联合体各成员。</w:t>
      </w:r>
    </w:p>
    <w:p>
      <w:pPr>
        <w:pStyle w:val="30"/>
        <w:shd w:val="clear"/>
        <w:tabs>
          <w:tab w:val="left" w:pos="2977"/>
        </w:tabs>
        <w:spacing w:line="420" w:lineRule="exact"/>
        <w:ind w:left="420" w:firstLine="200"/>
        <w:jc w:val="left"/>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（3）联合体将严格按照招标文件的各项要求，递交投标文件，切实执行一切合同文件，共同承担合同规定的一切义务和责任，同时按照内部职责的划分，承担自身所负的责任和风险，在法律上承担连带责任。</w:t>
      </w:r>
    </w:p>
    <w:p>
      <w:pPr>
        <w:pStyle w:val="30"/>
        <w:shd w:val="clear"/>
        <w:tabs>
          <w:tab w:val="left" w:pos="2977"/>
        </w:tabs>
        <w:spacing w:line="420" w:lineRule="exact"/>
        <w:ind w:left="480" w:firstLine="200"/>
        <w:jc w:val="left"/>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（4）如中标，联合体内部将遵守以下规定：</w:t>
      </w:r>
    </w:p>
    <w:p>
      <w:pPr>
        <w:pStyle w:val="30"/>
        <w:shd w:val="clear"/>
        <w:tabs>
          <w:tab w:val="left" w:pos="2977"/>
        </w:tabs>
        <w:spacing w:line="420" w:lineRule="exact"/>
        <w:ind w:left="420" w:firstLine="200"/>
        <w:jc w:val="left"/>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a.联合体牵头人和成员共同与采购人签订合同，并就中标项目向采购人负责有连带的和各自的法律责任；</w:t>
      </w:r>
    </w:p>
    <w:p>
      <w:pPr>
        <w:pStyle w:val="30"/>
        <w:shd w:val="clear"/>
        <w:tabs>
          <w:tab w:val="left" w:pos="2977"/>
        </w:tabs>
        <w:spacing w:line="420" w:lineRule="exact"/>
        <w:ind w:left="420" w:firstLine="200"/>
        <w:jc w:val="left"/>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b.联合体牵头人代表联合体成员承担和接受采购人的指令、指示和通知，并且在整个合同实施过程中的全部事宜均由联合体牵头人负责；</w:t>
      </w:r>
    </w:p>
    <w:p>
      <w:pPr>
        <w:pStyle w:val="30"/>
        <w:shd w:val="clear"/>
        <w:tabs>
          <w:tab w:val="left" w:pos="2977"/>
        </w:tabs>
        <w:spacing w:line="420" w:lineRule="exact"/>
        <w:ind w:left="420" w:firstLine="200"/>
        <w:jc w:val="left"/>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 xml:space="preserve">c.联合体分工原则：     （此处明确各方责任和各方工作内容）                                </w:t>
      </w:r>
    </w:p>
    <w:p>
      <w:pPr>
        <w:pStyle w:val="30"/>
        <w:shd w:val="clear"/>
        <w:tabs>
          <w:tab w:val="left" w:pos="2977"/>
        </w:tabs>
        <w:spacing w:line="420" w:lineRule="exact"/>
        <w:ind w:left="480" w:firstLine="200"/>
        <w:jc w:val="left"/>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(5)投标工作和联合体在中标后工程实施过程中的有关费用按各自承担的工作量分摊。</w:t>
      </w:r>
    </w:p>
    <w:p>
      <w:pPr>
        <w:pStyle w:val="30"/>
        <w:shd w:val="clear"/>
        <w:tabs>
          <w:tab w:val="left" w:pos="2977"/>
        </w:tabs>
        <w:spacing w:line="420" w:lineRule="exact"/>
        <w:ind w:firstLine="200"/>
        <w:jc w:val="left"/>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3.本协议书自签署之日起生效，在上述（4）a所述的合同规定的期限之后自行失效；如中标后，联合体内部另有协议的，应取得采购人同意，联合体牵头人应将该协议书递交采购人。</w:t>
      </w:r>
    </w:p>
    <w:p>
      <w:pPr>
        <w:shd w:val="clear"/>
        <w:tabs>
          <w:tab w:val="left" w:pos="2977"/>
        </w:tabs>
        <w:spacing w:line="420" w:lineRule="exact"/>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 xml:space="preserve">甲公司名称：全称（盖章）                 乙公司名称：全称（盖章） </w:t>
      </w:r>
    </w:p>
    <w:p>
      <w:pPr>
        <w:shd w:val="clear"/>
        <w:tabs>
          <w:tab w:val="left" w:pos="2977"/>
        </w:tabs>
        <w:spacing w:line="420" w:lineRule="exact"/>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法定代表人：（签字或盖章）               法定代表人（签字或盖章）</w:t>
      </w:r>
    </w:p>
    <w:p>
      <w:pPr>
        <w:shd w:val="clear"/>
        <w:spacing w:line="420" w:lineRule="exact"/>
        <w:ind w:firstLine="720" w:firstLineChars="3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年    月    日                            年    月    日</w:t>
      </w:r>
    </w:p>
    <w:p>
      <w:pPr>
        <w:pStyle w:val="13"/>
        <w:shd w:val="clear"/>
        <w:spacing w:line="460" w:lineRule="exact"/>
        <w:ind w:left="494"/>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备注：1.联合体投标时需签订本协议，联合体各方签字盖章。）</w:t>
      </w:r>
    </w:p>
    <w:p>
      <w:pPr>
        <w:pStyle w:val="13"/>
        <w:shd w:val="clear"/>
        <w:spacing w:line="460" w:lineRule="exact"/>
        <w:ind w:left="494"/>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2.此表在不改变表式内容的情况下，可自行制作。</w:t>
      </w:r>
    </w:p>
    <w:p>
      <w:pPr>
        <w:widowControl/>
        <w:shd w:val="clear"/>
        <w:spacing w:after="167" w:afterLines="50" w:line="360" w:lineRule="auto"/>
        <w:jc w:val="center"/>
        <w:rPr>
          <w:rFonts w:hint="eastAsia" w:ascii="宋体" w:hAnsi="宋体" w:cs="宋体"/>
          <w:b/>
          <w:bCs/>
          <w:color w:val="auto"/>
          <w:sz w:val="36"/>
          <w:szCs w:val="36"/>
          <w:highlight w:val="none"/>
        </w:rPr>
      </w:pPr>
    </w:p>
    <w:p>
      <w:pPr>
        <w:widowControl/>
        <w:shd w:val="clear"/>
        <w:spacing w:after="167" w:afterLines="50" w:line="360" w:lineRule="auto"/>
        <w:jc w:val="center"/>
        <w:rPr>
          <w:rFonts w:hint="eastAsia" w:ascii="宋体" w:hAnsi="宋体" w:cs="宋体"/>
          <w:b/>
          <w:bCs/>
          <w:color w:val="auto"/>
          <w:sz w:val="36"/>
          <w:szCs w:val="36"/>
          <w:highlight w:val="none"/>
        </w:rPr>
      </w:pPr>
    </w:p>
    <w:p>
      <w:pPr>
        <w:pStyle w:val="7"/>
        <w:shd w:val="clear"/>
        <w:spacing w:line="440" w:lineRule="exact"/>
        <w:ind w:firstLine="655"/>
        <w:rPr>
          <w:rFonts w:hint="eastAsia" w:ascii="仿宋_GB2312" w:eastAsia="仿宋_GB2312" w:cs="仿宋_GB2312"/>
          <w:b/>
          <w:bCs/>
          <w:color w:val="auto"/>
          <w:sz w:val="32"/>
          <w:szCs w:val="32"/>
          <w:highlight w:val="none"/>
        </w:rPr>
      </w:pPr>
    </w:p>
    <w:p>
      <w:pPr>
        <w:shd w:val="clear"/>
        <w:jc w:val="center"/>
        <w:rPr>
          <w:rFonts w:hint="default" w:ascii="宋体" w:eastAsia="宋体" w:cs="宋体"/>
          <w:b/>
          <w:bCs/>
          <w:color w:val="auto"/>
          <w:sz w:val="36"/>
          <w:szCs w:val="36"/>
          <w:highlight w:val="none"/>
          <w:lang w:eastAsia="zh-CN"/>
        </w:rPr>
      </w:pPr>
      <w:r>
        <w:rPr>
          <w:rFonts w:hint="default" w:ascii="宋体" w:eastAsia="宋体" w:cs="宋体"/>
          <w:b/>
          <w:bCs/>
          <w:color w:val="auto"/>
          <w:sz w:val="36"/>
          <w:szCs w:val="36"/>
          <w:highlight w:val="none"/>
          <w:lang w:eastAsia="zh-CN"/>
        </w:rPr>
        <w:t>联合体牵头人授权委托书</w:t>
      </w:r>
    </w:p>
    <w:p>
      <w:pPr>
        <w:pStyle w:val="2"/>
        <w:shd w:val="clear"/>
        <w:spacing w:line="440" w:lineRule="exact"/>
        <w:ind w:firstLine="437"/>
        <w:rPr>
          <w:rFonts w:ascii="Times New Roman" w:hAnsi="Times New Roman"/>
          <w:color w:val="auto"/>
          <w:sz w:val="21"/>
          <w:szCs w:val="21"/>
          <w:highlight w:val="none"/>
        </w:rPr>
      </w:pPr>
      <w:r>
        <w:rPr>
          <w:rFonts w:ascii="Times New Roman" w:hAnsi="Times New Roman"/>
          <w:color w:val="auto"/>
          <w:sz w:val="21"/>
          <w:szCs w:val="21"/>
          <w:highlight w:val="none"/>
        </w:rPr>
        <w:t>（适用于联合体）</w:t>
      </w:r>
    </w:p>
    <w:p>
      <w:pPr>
        <w:shd w:val="clear"/>
        <w:spacing w:line="460" w:lineRule="exact"/>
        <w:jc w:val="center"/>
        <w:rPr>
          <w:b/>
          <w:color w:val="auto"/>
          <w:sz w:val="32"/>
          <w:highlight w:val="none"/>
        </w:rPr>
      </w:pPr>
    </w:p>
    <w:p>
      <w:pPr>
        <w:shd w:val="clear"/>
        <w:spacing w:line="460" w:lineRule="exact"/>
        <w:rPr>
          <w:color w:val="auto"/>
          <w:sz w:val="24"/>
          <w:highlight w:val="none"/>
        </w:rPr>
      </w:pPr>
    </w:p>
    <w:p>
      <w:pPr>
        <w:shd w:val="clea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本授权委托书声明：我             （姓名）系             （单位名称）的法定代表人，现授权委托                 （联合体牵头人的单位名称）的          （姓名）为联合体双方全权代表，以                                （联合体名称：牵头单位全称加成员单位全称）联合体的名义参加               （采购人）的     （项目名称）      标段（标段名称）的投标活动。全权代表在开标、评标、询标、合同谈判过程中所签署的一切文件和处理与之有关的一切事务，我均以承认。</w:t>
      </w:r>
    </w:p>
    <w:p>
      <w:pPr>
        <w:shd w:val="clea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代理人无转委托权。特此委托。</w:t>
      </w:r>
    </w:p>
    <w:p>
      <w:pPr>
        <w:shd w:val="clear"/>
        <w:spacing w:line="360" w:lineRule="auto"/>
        <w:ind w:firstLine="480" w:firstLineChars="200"/>
        <w:rPr>
          <w:rFonts w:hint="eastAsia" w:ascii="宋体" w:hAnsi="宋体" w:eastAsia="宋体" w:cs="宋体"/>
          <w:color w:val="auto"/>
          <w:sz w:val="24"/>
          <w:highlight w:val="none"/>
        </w:rPr>
      </w:pPr>
    </w:p>
    <w:p>
      <w:pPr>
        <w:shd w:val="clear"/>
        <w:spacing w:line="360" w:lineRule="auto"/>
        <w:ind w:firstLine="480" w:firstLineChars="200"/>
        <w:rPr>
          <w:rFonts w:hint="eastAsia" w:ascii="宋体" w:hAnsi="宋体" w:eastAsia="宋体" w:cs="宋体"/>
          <w:color w:val="auto"/>
          <w:sz w:val="24"/>
          <w:highlight w:val="none"/>
        </w:rPr>
      </w:pPr>
    </w:p>
    <w:p>
      <w:pPr>
        <w:shd w:val="clea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代理人：                     性别：            年龄：         </w:t>
      </w:r>
    </w:p>
    <w:p>
      <w:pPr>
        <w:shd w:val="clea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身份证号码：               </w:t>
      </w:r>
    </w:p>
    <w:p>
      <w:pPr>
        <w:shd w:val="clea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单位：                       部门：            职务：         </w:t>
      </w:r>
    </w:p>
    <w:p>
      <w:pPr>
        <w:shd w:val="clear"/>
        <w:spacing w:line="360" w:lineRule="auto"/>
        <w:ind w:firstLine="480" w:firstLineChars="200"/>
        <w:rPr>
          <w:rFonts w:hint="eastAsia" w:ascii="宋体" w:hAnsi="宋体" w:eastAsia="宋体" w:cs="宋体"/>
          <w:color w:val="auto"/>
          <w:sz w:val="24"/>
          <w:highlight w:val="none"/>
        </w:rPr>
      </w:pPr>
    </w:p>
    <w:p>
      <w:pPr>
        <w:shd w:val="clear"/>
        <w:spacing w:line="360" w:lineRule="auto"/>
        <w:ind w:firstLine="480" w:firstLineChars="200"/>
        <w:rPr>
          <w:rFonts w:hint="eastAsia" w:ascii="宋体" w:hAnsi="宋体" w:eastAsia="宋体" w:cs="宋体"/>
          <w:color w:val="auto"/>
          <w:sz w:val="24"/>
          <w:highlight w:val="none"/>
        </w:rPr>
      </w:pPr>
    </w:p>
    <w:p>
      <w:pPr>
        <w:shd w:val="clea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联合体牵头人（盖章）：</w:t>
      </w:r>
    </w:p>
    <w:p>
      <w:pPr>
        <w:shd w:val="clea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法定代表人（签字盖章）：</w:t>
      </w:r>
    </w:p>
    <w:p>
      <w:pPr>
        <w:shd w:val="clea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日期：      年    月    日</w:t>
      </w:r>
    </w:p>
    <w:p>
      <w:pPr>
        <w:pStyle w:val="2"/>
        <w:shd w:val="clear"/>
        <w:rPr>
          <w:color w:val="auto"/>
          <w:highlight w:val="none"/>
        </w:rPr>
      </w:pPr>
    </w:p>
    <w:p/>
    <w:sectPr>
      <w:pgSz w:w="11906" w:h="16838"/>
      <w:pgMar w:top="1191" w:right="1134" w:bottom="1134" w:left="1418" w:header="851" w:footer="992" w:gutter="0"/>
      <w:pgNumType w:fmt="decimal"/>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宋体">
    <w:panose1 w:val="02010609030101010101"/>
    <w:charset w:val="86"/>
    <w:family w:val="modern"/>
    <w:pitch w:val="default"/>
    <w:sig w:usb0="00000283" w:usb1="288F0000" w:usb2="0000000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rPr>
        <w:kern w:val="0"/>
        <w:szCs w:val="21"/>
        <w:u w:val="single"/>
      </w:rPr>
    </w:pPr>
    <w:r>
      <w:rPr>
        <w:rFonts w:hint="eastAsia"/>
        <w:kern w:val="0"/>
        <w:szCs w:val="21"/>
        <w:u w:val="single"/>
      </w:rPr>
      <w:t xml:space="preserve">                                                       </w:t>
    </w:r>
  </w:p>
  <w:p>
    <w:pPr>
      <w:pStyle w:val="15"/>
    </w:pPr>
    <w:r>
      <w:rPr>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rPr>
        <w:kern w:val="0"/>
        <w:szCs w:val="21"/>
        <w:u w:val="single"/>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6205" cy="1397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16205" cy="139700"/>
                      </a:xfrm>
                      <a:prstGeom prst="rect">
                        <a:avLst/>
                      </a:prstGeom>
                      <a:noFill/>
                      <a:ln w="15875">
                        <a:noFill/>
                      </a:ln>
                    </wps:spPr>
                    <wps:txbx>
                      <w:txbxContent>
                        <w:p>
                          <w:pPr>
                            <w:pStyle w:val="15"/>
                          </w:pPr>
                          <w:r>
                            <w:fldChar w:fldCharType="begin"/>
                          </w:r>
                          <w:r>
                            <w:instrText xml:space="preserve"> PAGE  \* MERGEFORMAT </w:instrText>
                          </w:r>
                          <w:r>
                            <w:fldChar w:fldCharType="separate"/>
                          </w:r>
                          <w:r>
                            <w:t>0</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1pt;width:9.15pt;mso-position-horizontal:center;mso-position-horizontal-relative:margin;mso-wrap-style:none;z-index:251659264;mso-width-relative:page;mso-height-relative:page;" filled="f" stroked="f" coordsize="21600,21600" o:gfxdata="UEsDBAoAAAAAAIdO4kAAAAAAAAAAAAAAAAAEAAAAZHJzL1BLAwQUAAAACACHTuJABccv3dQAAAAD&#10;AQAADwAAAGRycy9kb3ducmV2LnhtbE2PQUvDQBCF74L/YRnBS7G7jaXEmE1BoTeFtha8TrNjkpqd&#10;DbvbtPrr3XrRy8DjPd77plyebS9G8qFzrGE2VSCIa2c6bjTs3lZ3OYgQkQ32jknDFwVYVtdXJRbG&#10;nXhD4zY2IpVwKFBDG+NQSBnqliyGqRuIk/fhvMWYpG+k8XhK5baXmVILabHjtNDiQM8t1Z/bo9Xw&#10;/vJNtMmfJpNxfjh4tXpY1/JV69ubmXoEEekc/8JwwU/oUCWmvTuyCaLXkB6Jv/fi5fcg9hqyTIGs&#10;SvmfvfoBUEsDBBQAAAAIAIdO4kBDuijC1wEAAKEDAAAOAAAAZHJzL2Uyb0RvYy54bWytU0tu2zAQ&#10;3QfoHQjua0ku7KSC5aCFkaJA0QZwewCaoiwC/IFDW/IF2ht01U33PZfPkSElOUWyySIbacSZefPe&#10;42h122tFjsKDtKaixSynRBhua2n2Ff3x/e7tDSUQmKmZskZU9CSA3q7fXK06V4q5ba2qhScIYqDs&#10;XEXbEFyZZcBboRnMrBMGk431mgX89Pus9qxDdK2yeZ4vs8762nnLBQCeboYkHRH9SwBt00guNpYf&#10;tDBhQPVCsYCSoJUO6DqxbRrBw7emARGIqigqDemJQzDexWe2XrFy75lrJR8psJdQeKJJM2lw6AVq&#10;wwIjBy+fQWnJvQXbhBm3OhuEJEdQRZE/8WbbMieSFrQa3MV0eD1Y/vV474msK7qkxDCNF37+/ev8&#10;59/570+yjPZ0Dkqs2jqsC/1H2+PSTOeAh1F133gd36iHYB7NPV3MFX0gPDYVy3m+oIRjqnj3/jpP&#10;5mePzc5D+CSsJjGoqMe7S5ay4xcISARLp5I4y9g7qVS6P2VIh6CLm+tF6riksEUZ7IwaBq4xCv2u&#10;H4XtbH1CXR0uQEUN7jsl6rNBf+OuTIGfgt0UHJyX+xZJFmkeuA+HgHQSyzhhgB0H480l8uOWxdX4&#10;/ztVPf5Z6w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Fxy/d1AAAAAMBAAAPAAAAAAAAAAEAIAAA&#10;ACIAAABkcnMvZG93bnJldi54bWxQSwECFAAUAAAACACHTuJAQ7oowtcBAAChAwAADgAAAAAAAAAB&#10;ACAAAAAjAQAAZHJzL2Uyb0RvYy54bWxQSwUGAAAAAAYABgBZAQAAbAUAAAAA&#10;">
              <v:fill on="f" focussize="0,0"/>
              <v:stroke on="f" weight="1.25pt"/>
              <v:imagedata o:title=""/>
              <o:lock v:ext="edit" aspectratio="f"/>
              <v:textbox inset="0mm,0mm,0mm,0mm" style="mso-fit-shape-to-text:t;">
                <w:txbxContent>
                  <w:p>
                    <w:pPr>
                      <w:pStyle w:val="15"/>
                    </w:pPr>
                    <w:r>
                      <w:fldChar w:fldCharType="begin"/>
                    </w:r>
                    <w:r>
                      <w:instrText xml:space="preserve"> PAGE  \* MERGEFORMAT </w:instrText>
                    </w:r>
                    <w:r>
                      <w:fldChar w:fldCharType="separate"/>
                    </w:r>
                    <w:r>
                      <w:t>0</w:t>
                    </w:r>
                    <w:r>
                      <w:fldChar w:fldCharType="end"/>
                    </w:r>
                  </w:p>
                </w:txbxContent>
              </v:textbox>
            </v:shape>
          </w:pict>
        </mc:Fallback>
      </mc:AlternateContent>
    </w:r>
    <w:r>
      <w:rPr>
        <w:rFonts w:hint="eastAsia"/>
        <w:kern w:val="0"/>
        <w:szCs w:val="21"/>
        <w:u w:val="single"/>
      </w:rPr>
      <w:t xml:space="preserve">                                                       </w:t>
    </w:r>
  </w:p>
  <w:p>
    <w:pPr>
      <w:pStyle w:val="15"/>
    </w:pPr>
    <w:r>
      <w:rPr>
        <w:rFonts w:hint="eastAsia"/>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16205" cy="1397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16205" cy="139700"/>
                      </a:xfrm>
                      <a:prstGeom prst="rect">
                        <a:avLst/>
                      </a:prstGeom>
                      <a:noFill/>
                      <a:ln w="15875">
                        <a:noFill/>
                      </a:ln>
                    </wps:spPr>
                    <wps:txbx>
                      <w:txbxContent>
                        <w:p>
                          <w:pPr>
                            <w:pStyle w:val="15"/>
                          </w:pPr>
                          <w:r>
                            <w:fldChar w:fldCharType="begin"/>
                          </w:r>
                          <w:r>
                            <w:instrText xml:space="preserve"> PAGE  \* MERGEFORMAT </w:instrText>
                          </w:r>
                          <w:r>
                            <w:fldChar w:fldCharType="separate"/>
                          </w:r>
                          <w:r>
                            <w:t>0</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1pt;width:9.15pt;mso-position-horizontal:center;mso-position-horizontal-relative:margin;mso-wrap-style:none;z-index:251660288;mso-width-relative:page;mso-height-relative:page;" filled="f" stroked="f" coordsize="21600,21600" o:gfxdata="UEsDBAoAAAAAAIdO4kAAAAAAAAAAAAAAAAAEAAAAZHJzL1BLAwQUAAAACACHTuJABccv3dQAAAAD&#10;AQAADwAAAGRycy9kb3ducmV2LnhtbE2PQUvDQBCF74L/YRnBS7G7jaXEmE1BoTeFtha8TrNjkpqd&#10;DbvbtPrr3XrRy8DjPd77plyebS9G8qFzrGE2VSCIa2c6bjTs3lZ3OYgQkQ32jknDFwVYVtdXJRbG&#10;nXhD4zY2IpVwKFBDG+NQSBnqliyGqRuIk/fhvMWYpG+k8XhK5baXmVILabHjtNDiQM8t1Z/bo9Xw&#10;/vJNtMmfJpNxfjh4tXpY1/JV69ubmXoEEekc/8JwwU/oUCWmvTuyCaLXkB6Jv/fi5fcg9hqyTIGs&#10;SvmfvfoBUEsDBBQAAAAIAIdO4kARxW3G1gEAAKEDAAAOAAAAZHJzL2Uyb0RvYy54bWytU82O0zAQ&#10;viPxDpbvNElRd5eo6QpULUJCgLTwAK5jN5b8J4/bpC8Ab8CJC3eeq8+xYyfpouWyBy7JxDPzzfd9&#10;nqxvB6PJUQRQzja0WpSUCMtdq+y+od++3r26oQQisy3TzoqGngTQ283LF+ve12LpOqdbEQiCWKh7&#10;39AuRl8XBfBOGAYL54XFpHTBsIifYV+0gfWIbnSxLMuroneh9cFxAYCn2zFJJ8TwHEAnpeJi6/jB&#10;CBtH1CA0iygJOuWBbjJbKQWPn6UEEYluKCqN+YlDMN6lZ7FZs3ofmO8Unyiw51B4oskwZXHoBWrL&#10;IiOHoP6BMooHB07GBXemGIVkR1BFVT7x5r5jXmQtaDX4i+nw/2D5p+OXQFTb0BUllhm88PPPH+df&#10;f86/v5NVsqf3UGPVvce6OLxzAy7NfA54mFQPMpj0Rj0E82ju6WKuGCLhqam6WpY4hGOqev3muszm&#10;F4/NPkB8L5whKWhowLvLlrLjR4hIBEvnkjTLujuldb4/bUmPoKub61XuuKSwRVvsTBpGrimKw26Y&#10;hO1ce0JdPS5AQy3uOyX6g0V/067MQZiD3RwcfFD7DklWeR74t4eIdDLLNGGEnQbjzWXy05al1fj7&#10;O1c9/lmbB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AXHL93UAAAAAwEAAA8AAAAAAAAAAQAgAAAA&#10;IgAAAGRycy9kb3ducmV2LnhtbFBLAQIUABQAAAAIAIdO4kARxW3G1gEAAKEDAAAOAAAAAAAAAAEA&#10;IAAAACMBAABkcnMvZTJvRG9jLnhtbFBLBQYAAAAABgAGAFkBAABrBQAAAAA=&#10;">
              <v:fill on="f" focussize="0,0"/>
              <v:stroke on="f" weight="1.25pt"/>
              <v:imagedata o:title=""/>
              <o:lock v:ext="edit" aspectratio="f"/>
              <v:textbox inset="0mm,0mm,0mm,0mm" style="mso-fit-shape-to-text:t;">
                <w:txbxContent>
                  <w:p>
                    <w:pPr>
                      <w:pStyle w:val="15"/>
                    </w:pPr>
                    <w:r>
                      <w:fldChar w:fldCharType="begin"/>
                    </w:r>
                    <w:r>
                      <w:instrText xml:space="preserve"> PAGE  \* MERGEFORMAT </w:instrText>
                    </w:r>
                    <w:r>
                      <w:fldChar w:fldCharType="separate"/>
                    </w:r>
                    <w:r>
                      <w:t>0</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1"/>
      </w:pBdr>
      <w:ind w:firstLine="90" w:firstLineChars="50"/>
      <w:jc w:val="both"/>
    </w:pPr>
    <w:r>
      <w:rPr>
        <w:rFonts w:hint="eastAsia"/>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1"/>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90" w:firstLineChars="50"/>
      <w:jc w:val="both"/>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1D14A83"/>
    <w:multiLevelType w:val="singleLevel"/>
    <w:tmpl w:val="C1D14A83"/>
    <w:lvl w:ilvl="0" w:tentative="0">
      <w:start w:val="1"/>
      <w:numFmt w:val="chineseCounting"/>
      <w:suff w:val="nothing"/>
      <w:lvlText w:val="%1、"/>
      <w:lvlJc w:val="left"/>
      <w:rPr>
        <w:rFonts w:hint="eastAsia"/>
      </w:rPr>
    </w:lvl>
  </w:abstractNum>
  <w:abstractNum w:abstractNumId="1">
    <w:nsid w:val="010F4CD1"/>
    <w:multiLevelType w:val="multilevel"/>
    <w:tmpl w:val="010F4CD1"/>
    <w:lvl w:ilvl="0" w:tentative="0">
      <w:start w:val="4"/>
      <w:numFmt w:val="japaneseCounting"/>
      <w:lvlText w:val="第%1章"/>
      <w:lvlJc w:val="left"/>
      <w:pPr>
        <w:tabs>
          <w:tab w:val="left" w:pos="1455"/>
        </w:tabs>
        <w:ind w:left="1455" w:hanging="1455"/>
      </w:pPr>
      <w:rPr>
        <w:rFonts w:hint="default" w:hAnsi="Times New Roman"/>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6"/>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ZjOGFkMmQ0YmViZGE4MDg3MTc3MzA2ODY1OTc0YWUifQ=="/>
  </w:docVars>
  <w:rsids>
    <w:rsidRoot w:val="5E1E6120"/>
    <w:rsid w:val="0012493B"/>
    <w:rsid w:val="00260833"/>
    <w:rsid w:val="00416146"/>
    <w:rsid w:val="0050638A"/>
    <w:rsid w:val="005574FC"/>
    <w:rsid w:val="00560AF0"/>
    <w:rsid w:val="00771217"/>
    <w:rsid w:val="00B37DC0"/>
    <w:rsid w:val="00B6144E"/>
    <w:rsid w:val="00DC5E6F"/>
    <w:rsid w:val="016025FC"/>
    <w:rsid w:val="017936BE"/>
    <w:rsid w:val="01964270"/>
    <w:rsid w:val="01AA1AC9"/>
    <w:rsid w:val="022573A2"/>
    <w:rsid w:val="024A0BB7"/>
    <w:rsid w:val="02557C87"/>
    <w:rsid w:val="028916DF"/>
    <w:rsid w:val="029A1B3E"/>
    <w:rsid w:val="02B250DA"/>
    <w:rsid w:val="02C3371F"/>
    <w:rsid w:val="03031491"/>
    <w:rsid w:val="034C72DC"/>
    <w:rsid w:val="037759DB"/>
    <w:rsid w:val="039E11BA"/>
    <w:rsid w:val="03A34A22"/>
    <w:rsid w:val="03C03826"/>
    <w:rsid w:val="03C5268A"/>
    <w:rsid w:val="040E4CFF"/>
    <w:rsid w:val="04762137"/>
    <w:rsid w:val="04AC5B58"/>
    <w:rsid w:val="04C17856"/>
    <w:rsid w:val="04D74983"/>
    <w:rsid w:val="04E6106A"/>
    <w:rsid w:val="050140F6"/>
    <w:rsid w:val="05065269"/>
    <w:rsid w:val="050F05C1"/>
    <w:rsid w:val="052878D5"/>
    <w:rsid w:val="058645FB"/>
    <w:rsid w:val="058C1C12"/>
    <w:rsid w:val="05E51322"/>
    <w:rsid w:val="063B3638"/>
    <w:rsid w:val="06840B3B"/>
    <w:rsid w:val="06DE46EF"/>
    <w:rsid w:val="06E17D3B"/>
    <w:rsid w:val="06E25862"/>
    <w:rsid w:val="07013F3A"/>
    <w:rsid w:val="0717375D"/>
    <w:rsid w:val="07740BAF"/>
    <w:rsid w:val="07822AA3"/>
    <w:rsid w:val="078E1545"/>
    <w:rsid w:val="08057A5A"/>
    <w:rsid w:val="08210B42"/>
    <w:rsid w:val="082F2D28"/>
    <w:rsid w:val="0878647D"/>
    <w:rsid w:val="087B5F6E"/>
    <w:rsid w:val="087F780C"/>
    <w:rsid w:val="08AB0D9A"/>
    <w:rsid w:val="09016473"/>
    <w:rsid w:val="09242161"/>
    <w:rsid w:val="09CF47C3"/>
    <w:rsid w:val="0A283ED3"/>
    <w:rsid w:val="0A540824"/>
    <w:rsid w:val="0A656ED5"/>
    <w:rsid w:val="0A7809B7"/>
    <w:rsid w:val="0ABA012B"/>
    <w:rsid w:val="0AC260D6"/>
    <w:rsid w:val="0AD876A7"/>
    <w:rsid w:val="0AE93662"/>
    <w:rsid w:val="0B0F299D"/>
    <w:rsid w:val="0B212DFC"/>
    <w:rsid w:val="0B472137"/>
    <w:rsid w:val="0B8B296C"/>
    <w:rsid w:val="0BBF6171"/>
    <w:rsid w:val="0BD47E6F"/>
    <w:rsid w:val="0C3B6140"/>
    <w:rsid w:val="0C6F5686"/>
    <w:rsid w:val="0D1129FD"/>
    <w:rsid w:val="0D611BD6"/>
    <w:rsid w:val="0D8F7B6B"/>
    <w:rsid w:val="0D9378B6"/>
    <w:rsid w:val="0D9C676A"/>
    <w:rsid w:val="0DA27AF9"/>
    <w:rsid w:val="0DA47D15"/>
    <w:rsid w:val="0DCB704F"/>
    <w:rsid w:val="0E1F739B"/>
    <w:rsid w:val="0E552DBD"/>
    <w:rsid w:val="0E5C414B"/>
    <w:rsid w:val="0E72396F"/>
    <w:rsid w:val="0EB9334C"/>
    <w:rsid w:val="0F2E7896"/>
    <w:rsid w:val="0F8950CD"/>
    <w:rsid w:val="0F8B4CE8"/>
    <w:rsid w:val="0FA61B22"/>
    <w:rsid w:val="0FEE5277"/>
    <w:rsid w:val="101F18D4"/>
    <w:rsid w:val="10267556"/>
    <w:rsid w:val="103A226A"/>
    <w:rsid w:val="105C48D7"/>
    <w:rsid w:val="106317C1"/>
    <w:rsid w:val="10AC760C"/>
    <w:rsid w:val="10C55FD8"/>
    <w:rsid w:val="10E548CC"/>
    <w:rsid w:val="10F7015B"/>
    <w:rsid w:val="11292A0B"/>
    <w:rsid w:val="113849FC"/>
    <w:rsid w:val="11392CF6"/>
    <w:rsid w:val="11651569"/>
    <w:rsid w:val="11A77DD3"/>
    <w:rsid w:val="11B524F0"/>
    <w:rsid w:val="121D1E44"/>
    <w:rsid w:val="122C6D57"/>
    <w:rsid w:val="1272218F"/>
    <w:rsid w:val="129F0AAB"/>
    <w:rsid w:val="12C624DB"/>
    <w:rsid w:val="13031039"/>
    <w:rsid w:val="131B45D5"/>
    <w:rsid w:val="131E5E73"/>
    <w:rsid w:val="13203999"/>
    <w:rsid w:val="1369697B"/>
    <w:rsid w:val="137E6912"/>
    <w:rsid w:val="13BF1404"/>
    <w:rsid w:val="13C702B9"/>
    <w:rsid w:val="145F4995"/>
    <w:rsid w:val="146F2E2A"/>
    <w:rsid w:val="14DC1B42"/>
    <w:rsid w:val="1525798D"/>
    <w:rsid w:val="156A1844"/>
    <w:rsid w:val="156A35F2"/>
    <w:rsid w:val="156C736A"/>
    <w:rsid w:val="15E6711C"/>
    <w:rsid w:val="164B51D1"/>
    <w:rsid w:val="166B7621"/>
    <w:rsid w:val="169F551D"/>
    <w:rsid w:val="16C64858"/>
    <w:rsid w:val="16CB4564"/>
    <w:rsid w:val="16E3365C"/>
    <w:rsid w:val="16F3455C"/>
    <w:rsid w:val="171E4694"/>
    <w:rsid w:val="172A128B"/>
    <w:rsid w:val="17400AAE"/>
    <w:rsid w:val="17D905BB"/>
    <w:rsid w:val="17F453F5"/>
    <w:rsid w:val="18041ADC"/>
    <w:rsid w:val="180C273E"/>
    <w:rsid w:val="1844637C"/>
    <w:rsid w:val="188B2F0E"/>
    <w:rsid w:val="188E5849"/>
    <w:rsid w:val="18C7014D"/>
    <w:rsid w:val="18FC6C57"/>
    <w:rsid w:val="19406B43"/>
    <w:rsid w:val="196565AA"/>
    <w:rsid w:val="198D5B01"/>
    <w:rsid w:val="19BC1F42"/>
    <w:rsid w:val="1A345F7C"/>
    <w:rsid w:val="1A4F2DB6"/>
    <w:rsid w:val="1AC76DF0"/>
    <w:rsid w:val="1AEB2ADF"/>
    <w:rsid w:val="1B010554"/>
    <w:rsid w:val="1BC3580A"/>
    <w:rsid w:val="1C125CC7"/>
    <w:rsid w:val="1C2277C9"/>
    <w:rsid w:val="1C273FEB"/>
    <w:rsid w:val="1CA94A00"/>
    <w:rsid w:val="1CDB6B83"/>
    <w:rsid w:val="1CF0511D"/>
    <w:rsid w:val="1CFA525B"/>
    <w:rsid w:val="1D0600A4"/>
    <w:rsid w:val="1D1E3640"/>
    <w:rsid w:val="1D6923E1"/>
    <w:rsid w:val="1D8F0099"/>
    <w:rsid w:val="1DA756F1"/>
    <w:rsid w:val="1DF20628"/>
    <w:rsid w:val="1DF61EC7"/>
    <w:rsid w:val="1DFD14A7"/>
    <w:rsid w:val="1E171F5D"/>
    <w:rsid w:val="1E25455A"/>
    <w:rsid w:val="1E2B45A7"/>
    <w:rsid w:val="1E470974"/>
    <w:rsid w:val="1E8041F9"/>
    <w:rsid w:val="1E9F430C"/>
    <w:rsid w:val="1EEE0DF0"/>
    <w:rsid w:val="1F072441"/>
    <w:rsid w:val="1F221FC0"/>
    <w:rsid w:val="1F460C2C"/>
    <w:rsid w:val="1F6139F7"/>
    <w:rsid w:val="1F9C6A9E"/>
    <w:rsid w:val="1FA12306"/>
    <w:rsid w:val="1FC3227C"/>
    <w:rsid w:val="1FE16BA6"/>
    <w:rsid w:val="1FF95C9E"/>
    <w:rsid w:val="200A7EAB"/>
    <w:rsid w:val="203C5B8B"/>
    <w:rsid w:val="20511636"/>
    <w:rsid w:val="206E2BCA"/>
    <w:rsid w:val="20830256"/>
    <w:rsid w:val="20DD5505"/>
    <w:rsid w:val="20DF4E94"/>
    <w:rsid w:val="20E92EC4"/>
    <w:rsid w:val="21222FD3"/>
    <w:rsid w:val="21586264"/>
    <w:rsid w:val="216D06F2"/>
    <w:rsid w:val="21F506E7"/>
    <w:rsid w:val="22124DF5"/>
    <w:rsid w:val="222F3BF9"/>
    <w:rsid w:val="22963C78"/>
    <w:rsid w:val="22A068A5"/>
    <w:rsid w:val="22EF3388"/>
    <w:rsid w:val="232E2103"/>
    <w:rsid w:val="237A0EA4"/>
    <w:rsid w:val="2398757C"/>
    <w:rsid w:val="239E30F8"/>
    <w:rsid w:val="23EE25B8"/>
    <w:rsid w:val="240B3ACA"/>
    <w:rsid w:val="241237D2"/>
    <w:rsid w:val="242B219E"/>
    <w:rsid w:val="24455956"/>
    <w:rsid w:val="246102B6"/>
    <w:rsid w:val="24773635"/>
    <w:rsid w:val="24CA19B7"/>
    <w:rsid w:val="24CD76F9"/>
    <w:rsid w:val="25072C0B"/>
    <w:rsid w:val="250A44A9"/>
    <w:rsid w:val="251A0B90"/>
    <w:rsid w:val="254554E2"/>
    <w:rsid w:val="25496D80"/>
    <w:rsid w:val="25586430"/>
    <w:rsid w:val="255929F1"/>
    <w:rsid w:val="25641E0C"/>
    <w:rsid w:val="259A582D"/>
    <w:rsid w:val="25A14E0E"/>
    <w:rsid w:val="25BC39F6"/>
    <w:rsid w:val="25E22D30"/>
    <w:rsid w:val="2613738E"/>
    <w:rsid w:val="262B2929"/>
    <w:rsid w:val="26347A30"/>
    <w:rsid w:val="265E551A"/>
    <w:rsid w:val="267C3185"/>
    <w:rsid w:val="26BE19EF"/>
    <w:rsid w:val="26E36D60"/>
    <w:rsid w:val="27167136"/>
    <w:rsid w:val="273B094A"/>
    <w:rsid w:val="275814FC"/>
    <w:rsid w:val="28862099"/>
    <w:rsid w:val="28AF339E"/>
    <w:rsid w:val="28C80903"/>
    <w:rsid w:val="29453D02"/>
    <w:rsid w:val="296A3BA3"/>
    <w:rsid w:val="29C0782D"/>
    <w:rsid w:val="29C27803"/>
    <w:rsid w:val="29EE6148"/>
    <w:rsid w:val="2A3C3357"/>
    <w:rsid w:val="2A5C7555"/>
    <w:rsid w:val="2A5F2BA2"/>
    <w:rsid w:val="2A8D5961"/>
    <w:rsid w:val="2A900FAD"/>
    <w:rsid w:val="2A9F7442"/>
    <w:rsid w:val="2AF7727E"/>
    <w:rsid w:val="2B373B1E"/>
    <w:rsid w:val="2B6366C1"/>
    <w:rsid w:val="2B960845"/>
    <w:rsid w:val="2BB41D6A"/>
    <w:rsid w:val="2BDA4BD6"/>
    <w:rsid w:val="2BDB094E"/>
    <w:rsid w:val="2BE94E19"/>
    <w:rsid w:val="2BF35C97"/>
    <w:rsid w:val="2BFD6B16"/>
    <w:rsid w:val="2C273B93"/>
    <w:rsid w:val="2C4B162F"/>
    <w:rsid w:val="2CD94E8D"/>
    <w:rsid w:val="2D287BC3"/>
    <w:rsid w:val="2DBE22D5"/>
    <w:rsid w:val="2DC93154"/>
    <w:rsid w:val="2DF53F49"/>
    <w:rsid w:val="2E330409"/>
    <w:rsid w:val="2E50117F"/>
    <w:rsid w:val="2E5F13C2"/>
    <w:rsid w:val="2E6C1D31"/>
    <w:rsid w:val="2E905A1F"/>
    <w:rsid w:val="2EA4738B"/>
    <w:rsid w:val="2EA96AE1"/>
    <w:rsid w:val="2EC21951"/>
    <w:rsid w:val="2EF97D09"/>
    <w:rsid w:val="2F191EB9"/>
    <w:rsid w:val="2F287E07"/>
    <w:rsid w:val="2F34284F"/>
    <w:rsid w:val="2F61560E"/>
    <w:rsid w:val="2FB63264"/>
    <w:rsid w:val="2FD22068"/>
    <w:rsid w:val="308342C6"/>
    <w:rsid w:val="3092365B"/>
    <w:rsid w:val="30C85944"/>
    <w:rsid w:val="30CE0A81"/>
    <w:rsid w:val="30F32296"/>
    <w:rsid w:val="312B5ED3"/>
    <w:rsid w:val="31B5579D"/>
    <w:rsid w:val="31E542D4"/>
    <w:rsid w:val="322A1CE7"/>
    <w:rsid w:val="325F15B3"/>
    <w:rsid w:val="329830F5"/>
    <w:rsid w:val="32A45F3D"/>
    <w:rsid w:val="331D7A9E"/>
    <w:rsid w:val="33F46A50"/>
    <w:rsid w:val="341449FD"/>
    <w:rsid w:val="34DD74E5"/>
    <w:rsid w:val="34EE34A0"/>
    <w:rsid w:val="35F9034E"/>
    <w:rsid w:val="36B9188B"/>
    <w:rsid w:val="36DB5CA6"/>
    <w:rsid w:val="36EC3A0F"/>
    <w:rsid w:val="37092813"/>
    <w:rsid w:val="37164F30"/>
    <w:rsid w:val="371F5B92"/>
    <w:rsid w:val="374B6987"/>
    <w:rsid w:val="375241BA"/>
    <w:rsid w:val="378B76CC"/>
    <w:rsid w:val="37D83F93"/>
    <w:rsid w:val="385B52F0"/>
    <w:rsid w:val="38763ED8"/>
    <w:rsid w:val="38B22A36"/>
    <w:rsid w:val="38C2711D"/>
    <w:rsid w:val="38CD7870"/>
    <w:rsid w:val="39072D82"/>
    <w:rsid w:val="397C3770"/>
    <w:rsid w:val="39A16D33"/>
    <w:rsid w:val="39F8091D"/>
    <w:rsid w:val="39FF1CAB"/>
    <w:rsid w:val="3A080B60"/>
    <w:rsid w:val="3A1E0383"/>
    <w:rsid w:val="3A540249"/>
    <w:rsid w:val="3A772E7A"/>
    <w:rsid w:val="3A7C154E"/>
    <w:rsid w:val="3ADC3D9A"/>
    <w:rsid w:val="3AF35977"/>
    <w:rsid w:val="3B547DD5"/>
    <w:rsid w:val="3B5F50F7"/>
    <w:rsid w:val="3B862684"/>
    <w:rsid w:val="3B9D79CE"/>
    <w:rsid w:val="3BAA5C47"/>
    <w:rsid w:val="3C0161AE"/>
    <w:rsid w:val="3C123F18"/>
    <w:rsid w:val="3C1732DC"/>
    <w:rsid w:val="3C410359"/>
    <w:rsid w:val="3C4542ED"/>
    <w:rsid w:val="3EF06066"/>
    <w:rsid w:val="3EFA29A4"/>
    <w:rsid w:val="3F2301EA"/>
    <w:rsid w:val="3F473ED8"/>
    <w:rsid w:val="3F6B1EDC"/>
    <w:rsid w:val="405D7F36"/>
    <w:rsid w:val="40750F19"/>
    <w:rsid w:val="40F736DC"/>
    <w:rsid w:val="40FB5737"/>
    <w:rsid w:val="413859AA"/>
    <w:rsid w:val="41686388"/>
    <w:rsid w:val="416B7C26"/>
    <w:rsid w:val="41AA4BF2"/>
    <w:rsid w:val="41AA69A0"/>
    <w:rsid w:val="41AD44DA"/>
    <w:rsid w:val="41DA54D8"/>
    <w:rsid w:val="42690B45"/>
    <w:rsid w:val="431B5DA8"/>
    <w:rsid w:val="431C784C"/>
    <w:rsid w:val="436314FD"/>
    <w:rsid w:val="436D4129"/>
    <w:rsid w:val="43BB31A0"/>
    <w:rsid w:val="440E76BA"/>
    <w:rsid w:val="441D16AC"/>
    <w:rsid w:val="442962A2"/>
    <w:rsid w:val="44315157"/>
    <w:rsid w:val="44352E99"/>
    <w:rsid w:val="444514A2"/>
    <w:rsid w:val="44501A81"/>
    <w:rsid w:val="447C0AC8"/>
    <w:rsid w:val="448E07FB"/>
    <w:rsid w:val="44B87626"/>
    <w:rsid w:val="45034D45"/>
    <w:rsid w:val="450A60D4"/>
    <w:rsid w:val="454964D0"/>
    <w:rsid w:val="454F3AE7"/>
    <w:rsid w:val="455530C7"/>
    <w:rsid w:val="455C6204"/>
    <w:rsid w:val="456D21BF"/>
    <w:rsid w:val="45AF7A12"/>
    <w:rsid w:val="45CE5353"/>
    <w:rsid w:val="45EC7588"/>
    <w:rsid w:val="469B0FAE"/>
    <w:rsid w:val="46D87B0C"/>
    <w:rsid w:val="472471F5"/>
    <w:rsid w:val="474B4782"/>
    <w:rsid w:val="47705F96"/>
    <w:rsid w:val="47A872E3"/>
    <w:rsid w:val="47ED75E7"/>
    <w:rsid w:val="48117779"/>
    <w:rsid w:val="48F36E7F"/>
    <w:rsid w:val="48FF3A76"/>
    <w:rsid w:val="496F0BFB"/>
    <w:rsid w:val="49B04D70"/>
    <w:rsid w:val="49B26D3A"/>
    <w:rsid w:val="49DA3B9B"/>
    <w:rsid w:val="4A5B2F2E"/>
    <w:rsid w:val="4A6D4A0F"/>
    <w:rsid w:val="4AC26B09"/>
    <w:rsid w:val="4AD54A8E"/>
    <w:rsid w:val="4B2257F9"/>
    <w:rsid w:val="4B5856BF"/>
    <w:rsid w:val="4BBF129A"/>
    <w:rsid w:val="4BCD7E5B"/>
    <w:rsid w:val="4BD20FCE"/>
    <w:rsid w:val="4BFB49C8"/>
    <w:rsid w:val="4C013661"/>
    <w:rsid w:val="4C0A4C0B"/>
    <w:rsid w:val="4C465518"/>
    <w:rsid w:val="4C5440D8"/>
    <w:rsid w:val="4C765DFD"/>
    <w:rsid w:val="4C935807"/>
    <w:rsid w:val="4CCA439B"/>
    <w:rsid w:val="4D2B4E39"/>
    <w:rsid w:val="4D73058E"/>
    <w:rsid w:val="4E037B64"/>
    <w:rsid w:val="4E127DA7"/>
    <w:rsid w:val="4E257ADB"/>
    <w:rsid w:val="4EB40E5E"/>
    <w:rsid w:val="4ED96B17"/>
    <w:rsid w:val="4EE94FAC"/>
    <w:rsid w:val="4EFC63A0"/>
    <w:rsid w:val="4F1D2EA8"/>
    <w:rsid w:val="4F5148FF"/>
    <w:rsid w:val="4F5F526E"/>
    <w:rsid w:val="4FFC486B"/>
    <w:rsid w:val="4FFE6835"/>
    <w:rsid w:val="50096F88"/>
    <w:rsid w:val="502F4C40"/>
    <w:rsid w:val="50487AB0"/>
    <w:rsid w:val="506863A4"/>
    <w:rsid w:val="506F14E1"/>
    <w:rsid w:val="50AF5D81"/>
    <w:rsid w:val="50E7376D"/>
    <w:rsid w:val="512C1180"/>
    <w:rsid w:val="517F39A6"/>
    <w:rsid w:val="51870AAC"/>
    <w:rsid w:val="520E0886"/>
    <w:rsid w:val="52D548A2"/>
    <w:rsid w:val="52EF6909"/>
    <w:rsid w:val="53A5346C"/>
    <w:rsid w:val="53BD2563"/>
    <w:rsid w:val="53F8359B"/>
    <w:rsid w:val="5435659E"/>
    <w:rsid w:val="54482775"/>
    <w:rsid w:val="54492049"/>
    <w:rsid w:val="5452714F"/>
    <w:rsid w:val="545F73EB"/>
    <w:rsid w:val="54BA4CF5"/>
    <w:rsid w:val="54EB3100"/>
    <w:rsid w:val="54FC530D"/>
    <w:rsid w:val="55434CEA"/>
    <w:rsid w:val="55564A1D"/>
    <w:rsid w:val="559A4947"/>
    <w:rsid w:val="55C0458D"/>
    <w:rsid w:val="55F12998"/>
    <w:rsid w:val="56150744"/>
    <w:rsid w:val="56291A17"/>
    <w:rsid w:val="56424FA2"/>
    <w:rsid w:val="564C7BCE"/>
    <w:rsid w:val="566D0271"/>
    <w:rsid w:val="56941CA1"/>
    <w:rsid w:val="56955A19"/>
    <w:rsid w:val="56DF1904"/>
    <w:rsid w:val="571B5F1F"/>
    <w:rsid w:val="57601B83"/>
    <w:rsid w:val="57835872"/>
    <w:rsid w:val="57C55E8A"/>
    <w:rsid w:val="584A0ABE"/>
    <w:rsid w:val="59140E77"/>
    <w:rsid w:val="591470C9"/>
    <w:rsid w:val="592866D1"/>
    <w:rsid w:val="5976568E"/>
    <w:rsid w:val="59F36CDF"/>
    <w:rsid w:val="5A3A490E"/>
    <w:rsid w:val="5A407A4A"/>
    <w:rsid w:val="5A5359CF"/>
    <w:rsid w:val="5A6574B1"/>
    <w:rsid w:val="5A8C60FD"/>
    <w:rsid w:val="5ACE32A8"/>
    <w:rsid w:val="5B3F63EB"/>
    <w:rsid w:val="5BCB77E7"/>
    <w:rsid w:val="5BF3746A"/>
    <w:rsid w:val="5C133668"/>
    <w:rsid w:val="5C533A65"/>
    <w:rsid w:val="5C6E089F"/>
    <w:rsid w:val="5C6E6AF1"/>
    <w:rsid w:val="5CB52971"/>
    <w:rsid w:val="5CB564CD"/>
    <w:rsid w:val="5CBC70DB"/>
    <w:rsid w:val="5CD10E2D"/>
    <w:rsid w:val="5CDA12A8"/>
    <w:rsid w:val="5DBA1E87"/>
    <w:rsid w:val="5E0A0A9B"/>
    <w:rsid w:val="5E0A2849"/>
    <w:rsid w:val="5E1E6120"/>
    <w:rsid w:val="5E54464F"/>
    <w:rsid w:val="5E6F08FE"/>
    <w:rsid w:val="5E78638D"/>
    <w:rsid w:val="5E8C7702"/>
    <w:rsid w:val="5EBA426F"/>
    <w:rsid w:val="5F092B01"/>
    <w:rsid w:val="5F3538F6"/>
    <w:rsid w:val="5F434264"/>
    <w:rsid w:val="5F797C86"/>
    <w:rsid w:val="5FB54A36"/>
    <w:rsid w:val="607641C6"/>
    <w:rsid w:val="60DA29A7"/>
    <w:rsid w:val="60E8168A"/>
    <w:rsid w:val="60EC26DA"/>
    <w:rsid w:val="610712C2"/>
    <w:rsid w:val="610C4B2A"/>
    <w:rsid w:val="614147D4"/>
    <w:rsid w:val="61C243C9"/>
    <w:rsid w:val="61F21F72"/>
    <w:rsid w:val="620D2908"/>
    <w:rsid w:val="62377985"/>
    <w:rsid w:val="628A2D71"/>
    <w:rsid w:val="629152E7"/>
    <w:rsid w:val="62943029"/>
    <w:rsid w:val="62A019CE"/>
    <w:rsid w:val="62CA07F9"/>
    <w:rsid w:val="630A36B6"/>
    <w:rsid w:val="636C18B0"/>
    <w:rsid w:val="640F0BB9"/>
    <w:rsid w:val="64104931"/>
    <w:rsid w:val="643C1282"/>
    <w:rsid w:val="643C74D4"/>
    <w:rsid w:val="64616F3B"/>
    <w:rsid w:val="649317EA"/>
    <w:rsid w:val="64C03C61"/>
    <w:rsid w:val="64F733FB"/>
    <w:rsid w:val="6518584B"/>
    <w:rsid w:val="6546685C"/>
    <w:rsid w:val="65613696"/>
    <w:rsid w:val="65D75707"/>
    <w:rsid w:val="66081D64"/>
    <w:rsid w:val="66140709"/>
    <w:rsid w:val="666A3259"/>
    <w:rsid w:val="66723681"/>
    <w:rsid w:val="66A852F5"/>
    <w:rsid w:val="66C814F3"/>
    <w:rsid w:val="67003A74"/>
    <w:rsid w:val="67087B42"/>
    <w:rsid w:val="67363669"/>
    <w:rsid w:val="675D1C3B"/>
    <w:rsid w:val="676C00D0"/>
    <w:rsid w:val="67E934CF"/>
    <w:rsid w:val="68525518"/>
    <w:rsid w:val="68776D2D"/>
    <w:rsid w:val="688A4CB2"/>
    <w:rsid w:val="688B0A2A"/>
    <w:rsid w:val="68A13DAA"/>
    <w:rsid w:val="68B00491"/>
    <w:rsid w:val="692A0243"/>
    <w:rsid w:val="6951757E"/>
    <w:rsid w:val="69B12712"/>
    <w:rsid w:val="69BF098B"/>
    <w:rsid w:val="69CC4E56"/>
    <w:rsid w:val="69E20B1E"/>
    <w:rsid w:val="6A162576"/>
    <w:rsid w:val="6A202150"/>
    <w:rsid w:val="6A42336B"/>
    <w:rsid w:val="6A4D243B"/>
    <w:rsid w:val="6A9736B6"/>
    <w:rsid w:val="6AD761A9"/>
    <w:rsid w:val="6AE508C6"/>
    <w:rsid w:val="6B1747F7"/>
    <w:rsid w:val="6B1940CB"/>
    <w:rsid w:val="6B3528F1"/>
    <w:rsid w:val="6B4F5D3F"/>
    <w:rsid w:val="6B572E46"/>
    <w:rsid w:val="6B686E01"/>
    <w:rsid w:val="6BD34BC2"/>
    <w:rsid w:val="6BF54B38"/>
    <w:rsid w:val="6C0B610A"/>
    <w:rsid w:val="6C44786E"/>
    <w:rsid w:val="6C953CC0"/>
    <w:rsid w:val="6CA36342"/>
    <w:rsid w:val="6D543AE1"/>
    <w:rsid w:val="6D765805"/>
    <w:rsid w:val="6DC36570"/>
    <w:rsid w:val="6DCE3893"/>
    <w:rsid w:val="6E42780D"/>
    <w:rsid w:val="6E5B2C4D"/>
    <w:rsid w:val="6E900B48"/>
    <w:rsid w:val="6E916ACA"/>
    <w:rsid w:val="6EED1AF7"/>
    <w:rsid w:val="6EF56BFD"/>
    <w:rsid w:val="6F1B2B08"/>
    <w:rsid w:val="6F9E7295"/>
    <w:rsid w:val="6FF375E1"/>
    <w:rsid w:val="70293003"/>
    <w:rsid w:val="70716758"/>
    <w:rsid w:val="7075449A"/>
    <w:rsid w:val="707E792B"/>
    <w:rsid w:val="70934920"/>
    <w:rsid w:val="70C1323B"/>
    <w:rsid w:val="71306613"/>
    <w:rsid w:val="7141612A"/>
    <w:rsid w:val="7157594D"/>
    <w:rsid w:val="71641E18"/>
    <w:rsid w:val="72141A90"/>
    <w:rsid w:val="722F148A"/>
    <w:rsid w:val="7231619E"/>
    <w:rsid w:val="725D3437"/>
    <w:rsid w:val="73025CFD"/>
    <w:rsid w:val="7371736D"/>
    <w:rsid w:val="739C7F8F"/>
    <w:rsid w:val="73A155A6"/>
    <w:rsid w:val="73C66DBA"/>
    <w:rsid w:val="7400051E"/>
    <w:rsid w:val="743957DE"/>
    <w:rsid w:val="743B1D5F"/>
    <w:rsid w:val="745368A0"/>
    <w:rsid w:val="74842EFD"/>
    <w:rsid w:val="75540C92"/>
    <w:rsid w:val="7557416E"/>
    <w:rsid w:val="755A121D"/>
    <w:rsid w:val="758F1B5A"/>
    <w:rsid w:val="75B17106"/>
    <w:rsid w:val="75BE243F"/>
    <w:rsid w:val="75F714AD"/>
    <w:rsid w:val="75FE0A8D"/>
    <w:rsid w:val="761C7166"/>
    <w:rsid w:val="764D41DF"/>
    <w:rsid w:val="77356731"/>
    <w:rsid w:val="77E65C7D"/>
    <w:rsid w:val="77F55EC0"/>
    <w:rsid w:val="785250C1"/>
    <w:rsid w:val="78574485"/>
    <w:rsid w:val="786D2338"/>
    <w:rsid w:val="78C23FF4"/>
    <w:rsid w:val="794C5FB4"/>
    <w:rsid w:val="79752E15"/>
    <w:rsid w:val="79AD6A52"/>
    <w:rsid w:val="79D20267"/>
    <w:rsid w:val="79DF0BD6"/>
    <w:rsid w:val="7A0611D5"/>
    <w:rsid w:val="7A4C3137"/>
    <w:rsid w:val="7A827B79"/>
    <w:rsid w:val="7AC51B7A"/>
    <w:rsid w:val="7AED10D1"/>
    <w:rsid w:val="7B362A78"/>
    <w:rsid w:val="7B3665D4"/>
    <w:rsid w:val="7B735A7A"/>
    <w:rsid w:val="7B987878"/>
    <w:rsid w:val="7CC52305"/>
    <w:rsid w:val="7CD6006E"/>
    <w:rsid w:val="7D4551F4"/>
    <w:rsid w:val="7D6E64F9"/>
    <w:rsid w:val="7DAC7021"/>
    <w:rsid w:val="7E221091"/>
    <w:rsid w:val="7E8D0C00"/>
    <w:rsid w:val="7EC871EC"/>
    <w:rsid w:val="7EF0118F"/>
    <w:rsid w:val="7F271055"/>
    <w:rsid w:val="7F572FBC"/>
    <w:rsid w:val="7F637BB3"/>
    <w:rsid w:val="7F6A0F42"/>
    <w:rsid w:val="7FF8654D"/>
    <w:rsid w:val="7FFF16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0" w:semiHidden="0" w:name="toc 3"/>
    <w:lsdException w:unhideWhenUsed="0" w:uiPriority="0" w:semiHidden="0" w:name="toc 4"/>
    <w:lsdException w:unhideWhenUsed="0" w:uiPriority="0" w:semiHidden="0" w:name="toc 5"/>
    <w:lsdException w:qFormat="1" w:unhideWhenUsed="0" w:uiPriority="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5">
    <w:name w:val="heading 1"/>
    <w:basedOn w:val="1"/>
    <w:next w:val="1"/>
    <w:qFormat/>
    <w:uiPriority w:val="0"/>
    <w:pPr>
      <w:keepNext/>
      <w:keepLines/>
      <w:spacing w:before="340" w:after="330" w:line="578" w:lineRule="auto"/>
      <w:outlineLvl w:val="0"/>
    </w:pPr>
    <w:rPr>
      <w:b/>
      <w:bCs/>
      <w:kern w:val="44"/>
      <w:sz w:val="44"/>
      <w:szCs w:val="44"/>
    </w:rPr>
  </w:style>
  <w:style w:type="paragraph" w:styleId="6">
    <w:name w:val="heading 2"/>
    <w:basedOn w:val="1"/>
    <w:next w:val="7"/>
    <w:qFormat/>
    <w:uiPriority w:val="0"/>
    <w:pPr>
      <w:keepNext/>
      <w:keepLines/>
      <w:spacing w:before="260" w:after="260" w:line="416" w:lineRule="auto"/>
      <w:outlineLvl w:val="1"/>
    </w:pPr>
    <w:rPr>
      <w:rFonts w:ascii="Arial" w:hAnsi="Arial" w:eastAsia="黑体"/>
      <w:b/>
      <w:bCs/>
      <w:sz w:val="32"/>
      <w:szCs w:val="32"/>
    </w:rPr>
  </w:style>
  <w:style w:type="paragraph" w:styleId="9">
    <w:name w:val="heading 3"/>
    <w:basedOn w:val="1"/>
    <w:next w:val="1"/>
    <w:qFormat/>
    <w:uiPriority w:val="0"/>
    <w:pPr>
      <w:keepNext/>
      <w:keepLines/>
      <w:spacing w:before="260" w:after="260" w:line="416" w:lineRule="auto"/>
      <w:outlineLvl w:val="2"/>
    </w:pPr>
    <w:rPr>
      <w:b/>
      <w:bCs/>
      <w:sz w:val="32"/>
      <w:szCs w:val="32"/>
    </w:rPr>
  </w:style>
  <w:style w:type="character" w:default="1" w:styleId="23">
    <w:name w:val="Default Paragraph Font"/>
    <w:semiHidden/>
    <w:unhideWhenUsed/>
    <w:qFormat/>
    <w:uiPriority w:val="1"/>
  </w:style>
  <w:style w:type="table" w:default="1" w:styleId="22">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pPr>
      <w:jc w:val="center"/>
    </w:pPr>
    <w:rPr>
      <w:rFonts w:ascii="宋体" w:hAnsi="宋体"/>
      <w:b/>
      <w:bCs/>
      <w:color w:val="000000"/>
      <w:sz w:val="72"/>
      <w:szCs w:val="20"/>
    </w:rPr>
  </w:style>
  <w:style w:type="paragraph" w:styleId="3">
    <w:name w:val="Body Text First Indent"/>
    <w:basedOn w:val="2"/>
    <w:next w:val="4"/>
    <w:qFormat/>
    <w:uiPriority w:val="0"/>
    <w:pPr>
      <w:ind w:firstLine="420" w:firstLineChars="100"/>
    </w:pPr>
  </w:style>
  <w:style w:type="paragraph" w:styleId="4">
    <w:name w:val="toc 6"/>
    <w:basedOn w:val="1"/>
    <w:next w:val="1"/>
    <w:semiHidden/>
    <w:qFormat/>
    <w:uiPriority w:val="0"/>
    <w:pPr>
      <w:ind w:left="2100" w:leftChars="1000"/>
    </w:pPr>
  </w:style>
  <w:style w:type="paragraph" w:styleId="7">
    <w:name w:val="Normal Indent"/>
    <w:basedOn w:val="1"/>
    <w:next w:val="8"/>
    <w:qFormat/>
    <w:uiPriority w:val="0"/>
    <w:pPr>
      <w:ind w:firstLine="420" w:firstLineChars="200"/>
    </w:pPr>
    <w:rPr>
      <w:sz w:val="28"/>
      <w:szCs w:val="20"/>
    </w:rPr>
  </w:style>
  <w:style w:type="paragraph" w:styleId="8">
    <w:name w:val="Body Text Indent"/>
    <w:basedOn w:val="1"/>
    <w:next w:val="7"/>
    <w:qFormat/>
    <w:uiPriority w:val="0"/>
    <w:pPr>
      <w:spacing w:line="460" w:lineRule="exact"/>
      <w:ind w:firstLine="482" w:firstLineChars="200"/>
    </w:pPr>
    <w:rPr>
      <w:b/>
      <w:bCs/>
      <w:sz w:val="24"/>
      <w:shd w:val="clear" w:color="auto" w:fill="CCCCCC"/>
    </w:rPr>
  </w:style>
  <w:style w:type="paragraph" w:styleId="10">
    <w:name w:val="annotation text"/>
    <w:basedOn w:val="1"/>
    <w:qFormat/>
    <w:uiPriority w:val="0"/>
    <w:pPr>
      <w:jc w:val="left"/>
    </w:pPr>
  </w:style>
  <w:style w:type="paragraph" w:styleId="11">
    <w:name w:val="List Continue"/>
    <w:basedOn w:val="1"/>
    <w:qFormat/>
    <w:uiPriority w:val="0"/>
    <w:pPr>
      <w:spacing w:after="120"/>
      <w:ind w:left="420"/>
    </w:pPr>
  </w:style>
  <w:style w:type="paragraph" w:styleId="12">
    <w:name w:val="toc 3"/>
    <w:basedOn w:val="1"/>
    <w:next w:val="1"/>
    <w:qFormat/>
    <w:uiPriority w:val="0"/>
    <w:pPr>
      <w:ind w:left="840" w:leftChars="400"/>
    </w:pPr>
  </w:style>
  <w:style w:type="paragraph" w:styleId="13">
    <w:name w:val="Plain Text"/>
    <w:basedOn w:val="1"/>
    <w:next w:val="1"/>
    <w:qFormat/>
    <w:uiPriority w:val="0"/>
    <w:rPr>
      <w:rFonts w:ascii="宋体" w:hAnsi="Courier New" w:cs="Courier New"/>
      <w:szCs w:val="21"/>
    </w:rPr>
  </w:style>
  <w:style w:type="paragraph" w:styleId="14">
    <w:name w:val="Body Text Indent 2"/>
    <w:basedOn w:val="1"/>
    <w:qFormat/>
    <w:uiPriority w:val="0"/>
    <w:pPr>
      <w:spacing w:line="360" w:lineRule="auto"/>
      <w:ind w:firstLine="480"/>
    </w:pPr>
    <w:rPr>
      <w:rFonts w:ascii="宋体" w:eastAsia="新宋体"/>
      <w:sz w:val="24"/>
      <w:szCs w:val="20"/>
    </w:rPr>
  </w:style>
  <w:style w:type="paragraph" w:styleId="15">
    <w:name w:val="footer"/>
    <w:basedOn w:val="1"/>
    <w:qFormat/>
    <w:uiPriority w:val="0"/>
    <w:pPr>
      <w:tabs>
        <w:tab w:val="center" w:pos="4153"/>
        <w:tab w:val="right" w:pos="8306"/>
      </w:tabs>
      <w:snapToGrid w:val="0"/>
      <w:jc w:val="left"/>
    </w:pPr>
    <w:rPr>
      <w:sz w:val="18"/>
      <w:szCs w:val="18"/>
    </w:rPr>
  </w:style>
  <w:style w:type="paragraph" w:styleId="1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7">
    <w:name w:val="toc 1"/>
    <w:basedOn w:val="1"/>
    <w:next w:val="1"/>
    <w:qFormat/>
    <w:uiPriority w:val="39"/>
    <w:pPr>
      <w:spacing w:line="460" w:lineRule="exact"/>
    </w:pPr>
    <w:rPr>
      <w:b/>
      <w:bCs/>
      <w:sz w:val="28"/>
      <w:szCs w:val="30"/>
    </w:rPr>
  </w:style>
  <w:style w:type="paragraph" w:styleId="18">
    <w:name w:val="List"/>
    <w:basedOn w:val="1"/>
    <w:qFormat/>
    <w:uiPriority w:val="0"/>
    <w:pPr>
      <w:snapToGrid w:val="0"/>
      <w:spacing w:line="360" w:lineRule="auto"/>
      <w:ind w:firstLine="420" w:firstLineChars="200"/>
      <w:jc w:val="left"/>
    </w:pPr>
    <w:rPr>
      <w:color w:val="000000"/>
    </w:rPr>
  </w:style>
  <w:style w:type="paragraph" w:styleId="19">
    <w:name w:val="toc 2"/>
    <w:basedOn w:val="1"/>
    <w:next w:val="1"/>
    <w:qFormat/>
    <w:uiPriority w:val="39"/>
    <w:pPr>
      <w:spacing w:line="400" w:lineRule="exact"/>
      <w:ind w:left="200" w:leftChars="200"/>
    </w:pPr>
    <w:rPr>
      <w:sz w:val="24"/>
    </w:rPr>
  </w:style>
  <w:style w:type="paragraph" w:styleId="20">
    <w:name w:val="Normal (Web)"/>
    <w:basedOn w:val="1"/>
    <w:qFormat/>
    <w:uiPriority w:val="0"/>
    <w:rPr>
      <w:sz w:val="24"/>
    </w:rPr>
  </w:style>
  <w:style w:type="paragraph" w:styleId="21">
    <w:name w:val="Body Text First Indent 2"/>
    <w:basedOn w:val="8"/>
    <w:next w:val="1"/>
    <w:qFormat/>
    <w:uiPriority w:val="0"/>
    <w:pPr>
      <w:spacing w:after="120" w:line="240" w:lineRule="auto"/>
      <w:ind w:left="420" w:leftChars="200" w:firstLine="420"/>
    </w:pPr>
    <w:rPr>
      <w:rFonts w:cs="宋体"/>
      <w:sz w:val="21"/>
      <w:szCs w:val="21"/>
    </w:rPr>
  </w:style>
  <w:style w:type="character" w:styleId="24">
    <w:name w:val="annotation reference"/>
    <w:basedOn w:val="23"/>
    <w:qFormat/>
    <w:uiPriority w:val="0"/>
    <w:rPr>
      <w:sz w:val="21"/>
      <w:szCs w:val="21"/>
    </w:rPr>
  </w:style>
  <w:style w:type="paragraph" w:customStyle="1" w:styleId="25">
    <w:name w:val="首行缩进"/>
    <w:basedOn w:val="1"/>
    <w:next w:val="11"/>
    <w:qFormat/>
    <w:uiPriority w:val="0"/>
    <w:pPr>
      <w:spacing w:line="360" w:lineRule="auto"/>
      <w:ind w:firstLine="480" w:firstLineChars="200"/>
    </w:pPr>
    <w:rPr>
      <w:sz w:val="24"/>
      <w:lang w:val="zh-CN"/>
    </w:rPr>
  </w:style>
  <w:style w:type="paragraph" w:customStyle="1" w:styleId="26">
    <w:name w:val="标题 5（有编号）（绿盟科技）"/>
    <w:basedOn w:val="1"/>
    <w:next w:val="27"/>
    <w:qFormat/>
    <w:uiPriority w:val="99"/>
    <w:pPr>
      <w:keepNext/>
      <w:keepLines/>
      <w:spacing w:before="280" w:after="156" w:line="377" w:lineRule="auto"/>
      <w:outlineLvl w:val="4"/>
    </w:pPr>
    <w:rPr>
      <w:rFonts w:ascii="Arial" w:hAnsi="Arial" w:eastAsia="黑体" w:cs="Arial"/>
      <w:b/>
      <w:bCs/>
      <w:sz w:val="24"/>
    </w:rPr>
  </w:style>
  <w:style w:type="paragraph" w:customStyle="1" w:styleId="27">
    <w:name w:val="正文（绿盟科技）"/>
    <w:qFormat/>
    <w:uiPriority w:val="99"/>
    <w:pPr>
      <w:spacing w:line="300" w:lineRule="auto"/>
    </w:pPr>
    <w:rPr>
      <w:rFonts w:ascii="Arial" w:hAnsi="Arial" w:eastAsia="宋体" w:cs="Arial"/>
      <w:sz w:val="21"/>
      <w:szCs w:val="21"/>
      <w:lang w:val="en-US" w:eastAsia="zh-CN" w:bidi="ar-SA"/>
    </w:rPr>
  </w:style>
  <w:style w:type="paragraph" w:customStyle="1" w:styleId="28">
    <w:name w:val="a首行缩进 2 字符"/>
    <w:basedOn w:val="1"/>
    <w:next w:val="1"/>
    <w:qFormat/>
    <w:uiPriority w:val="0"/>
    <w:pPr>
      <w:tabs>
        <w:tab w:val="left" w:pos="900"/>
        <w:tab w:val="left" w:pos="1080"/>
        <w:tab w:val="left" w:pos="1260"/>
      </w:tabs>
      <w:spacing w:line="360" w:lineRule="auto"/>
      <w:ind w:firstLine="560" w:firstLineChars="200"/>
      <w:jc w:val="left"/>
    </w:pPr>
    <w:rPr>
      <w:sz w:val="28"/>
      <w:szCs w:val="28"/>
    </w:rPr>
  </w:style>
  <w:style w:type="paragraph" w:customStyle="1" w:styleId="29">
    <w:name w:val="普通(网站) Char"/>
    <w:basedOn w:val="1"/>
    <w:qFormat/>
    <w:uiPriority w:val="0"/>
    <w:pPr>
      <w:widowControl/>
      <w:spacing w:beforeAutospacing="1" w:afterAutospacing="1"/>
      <w:jc w:val="left"/>
    </w:pPr>
    <w:rPr>
      <w:rFonts w:hint="eastAsia" w:ascii="宋体" w:hAnsi="宋体"/>
      <w:kern w:val="0"/>
      <w:sz w:val="24"/>
    </w:rPr>
  </w:style>
  <w:style w:type="paragraph" w:styleId="30">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6.png"/><Relationship Id="rId16" Type="http://schemas.openxmlformats.org/officeDocument/2006/relationships/image" Target="media/image5.png"/><Relationship Id="rId15" Type="http://schemas.openxmlformats.org/officeDocument/2006/relationships/image" Target="media/image4.jpeg"/><Relationship Id="rId14" Type="http://schemas.openxmlformats.org/officeDocument/2006/relationships/image" Target="media/image3.jpeg"/><Relationship Id="rId13" Type="http://schemas.openxmlformats.org/officeDocument/2006/relationships/image" Target="media/image2.jpeg"/><Relationship Id="rId12" Type="http://schemas.openxmlformats.org/officeDocument/2006/relationships/image" Target="media/image1.jpeg"/><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62</Pages>
  <Words>32827</Words>
  <Characters>36137</Characters>
  <Lines>284</Lines>
  <Paragraphs>80</Paragraphs>
  <TotalTime>153</TotalTime>
  <ScaleCrop>false</ScaleCrop>
  <LinksUpToDate>false</LinksUpToDate>
  <CharactersWithSpaces>38945</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2022-07-20T13:35:00Z</dcterms:created>
  <dc:creator>Jairo</dc:creator>
  <cp:lastModifiedBy>我黑怪我咯～</cp:lastModifiedBy>
  <cp:lastPrinted>2022-10-31T13:53:00Z</cp:lastPrinted>
  <dcterms:modified xsi:type="dcterms:W3CDTF">2022-11-01T11:24:13Z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D59A8484ACEF4682920F0A7654D4ECD1</vt:lpwstr>
  </property>
</Properties>
</file>