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hint="eastAsia" w:ascii="宋体" w:hAnsi="宋体" w:eastAsia="宋体" w:cs="宋体"/>
          <w:b/>
          <w:bCs/>
          <w:color w:val="auto"/>
          <w:sz w:val="48"/>
          <w:szCs w:val="48"/>
          <w:highlight w:val="none"/>
          <w:lang w:val="en-US" w:eastAsia="zh-CN"/>
        </w:rPr>
      </w:pPr>
      <w:r>
        <w:rPr>
          <w:rFonts w:hint="eastAsia" w:ascii="宋体" w:hAnsi="宋体" w:cs="宋体"/>
          <w:b/>
          <w:bCs/>
          <w:color w:val="auto"/>
          <w:sz w:val="48"/>
          <w:szCs w:val="48"/>
          <w:highlight w:val="none"/>
          <w:lang w:val="en-US" w:eastAsia="zh-CN"/>
        </w:rPr>
        <w:t xml:space="preserve"> </w:t>
      </w:r>
    </w:p>
    <w:p>
      <w:pPr>
        <w:shd w:val="clear"/>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义乌市廿三里辖区路灯能源管理服务</w:t>
      </w:r>
    </w:p>
    <w:p>
      <w:pPr>
        <w:shd w:val="clear"/>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采购项目</w:t>
      </w:r>
    </w:p>
    <w:p>
      <w:pPr>
        <w:pStyle w:val="25"/>
        <w:shd w:val="clear"/>
        <w:ind w:firstLine="0" w:firstLineChars="0"/>
        <w:rPr>
          <w:rFonts w:ascii="宋体" w:hAnsi="宋体" w:cs="宋体"/>
          <w:b/>
          <w:color w:val="auto"/>
          <w:sz w:val="48"/>
          <w:szCs w:val="48"/>
          <w:highlight w:val="none"/>
        </w:rPr>
      </w:pPr>
    </w:p>
    <w:p>
      <w:pPr>
        <w:shd w:val="clear"/>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rPr>
        <w:t>采购文件</w:t>
      </w:r>
    </w:p>
    <w:p>
      <w:pPr>
        <w:shd w:val="clear"/>
        <w:spacing w:line="360" w:lineRule="auto"/>
        <w:ind w:firstLine="1440" w:firstLineChars="200"/>
        <w:jc w:val="center"/>
        <w:rPr>
          <w:rFonts w:ascii="宋体" w:hAnsi="宋体" w:cs="宋体"/>
          <w:color w:val="auto"/>
          <w:sz w:val="72"/>
          <w:szCs w:val="72"/>
          <w:highlight w:val="none"/>
        </w:rPr>
      </w:pPr>
    </w:p>
    <w:p>
      <w:pPr>
        <w:pStyle w:val="13"/>
        <w:shd w:val="clear"/>
        <w:snapToGrid w:val="0"/>
        <w:spacing w:before="120" w:after="120" w:line="360" w:lineRule="auto"/>
        <w:jc w:val="center"/>
        <w:rPr>
          <w:rFonts w:hAnsi="宋体" w:cs="宋体"/>
          <w:b/>
          <w:bCs/>
          <w:color w:val="auto"/>
          <w:sz w:val="32"/>
          <w:szCs w:val="32"/>
          <w:highlight w:val="none"/>
        </w:rPr>
      </w:pPr>
      <w:r>
        <w:rPr>
          <w:rFonts w:hint="eastAsia" w:hAnsi="宋体" w:cs="宋体"/>
          <w:b/>
          <w:bCs/>
          <w:color w:val="auto"/>
          <w:sz w:val="32"/>
          <w:szCs w:val="32"/>
          <w:highlight w:val="none"/>
        </w:rPr>
        <w:t>采购编号：ZJMD2022045GK</w:t>
      </w:r>
    </w:p>
    <w:p>
      <w:pPr>
        <w:shd w:val="clear"/>
        <w:snapToGrid w:val="0"/>
        <w:spacing w:line="360" w:lineRule="auto"/>
        <w:rPr>
          <w:rFonts w:ascii="宋体" w:hAnsi="宋体" w:cs="宋体"/>
          <w:color w:val="auto"/>
          <w:sz w:val="30"/>
          <w:szCs w:val="72"/>
          <w:highlight w:val="none"/>
        </w:rPr>
      </w:pPr>
    </w:p>
    <w:p>
      <w:pPr>
        <w:pStyle w:val="26"/>
        <w:shd w:val="clear"/>
        <w:rPr>
          <w:rFonts w:ascii="宋体" w:hAnsi="宋体" w:eastAsia="宋体" w:cs="宋体"/>
          <w:color w:val="auto"/>
          <w:highlight w:val="none"/>
        </w:rPr>
      </w:pPr>
    </w:p>
    <w:p>
      <w:pPr>
        <w:pStyle w:val="13"/>
        <w:shd w:val="clear"/>
        <w:snapToGrid w:val="0"/>
        <w:spacing w:before="120" w:after="120" w:line="360" w:lineRule="auto"/>
        <w:rPr>
          <w:rFonts w:hAnsi="宋体" w:cs="宋体"/>
          <w:color w:val="auto"/>
          <w:sz w:val="30"/>
          <w:szCs w:val="72"/>
          <w:highlight w:val="none"/>
        </w:rPr>
      </w:pPr>
    </w:p>
    <w:p>
      <w:pPr>
        <w:pStyle w:val="13"/>
        <w:shd w:val="clear"/>
        <w:snapToGrid w:val="0"/>
        <w:spacing w:before="120" w:after="120" w:line="360" w:lineRule="auto"/>
        <w:ind w:firstLine="611" w:firstLineChars="200"/>
        <w:rPr>
          <w:rFonts w:hAnsi="宋体" w:cs="宋体"/>
          <w:b/>
          <w:bCs/>
          <w:color w:val="auto"/>
          <w:w w:val="95"/>
          <w:sz w:val="32"/>
          <w:szCs w:val="32"/>
          <w:highlight w:val="none"/>
        </w:rPr>
      </w:pPr>
      <w:r>
        <w:rPr>
          <w:rFonts w:hint="eastAsia" w:hAnsi="宋体" w:cs="宋体"/>
          <w:b/>
          <w:bCs/>
          <w:color w:val="auto"/>
          <w:w w:val="95"/>
          <w:sz w:val="32"/>
          <w:szCs w:val="32"/>
          <w:highlight w:val="none"/>
        </w:rPr>
        <w:t>采　购　 人：</w:t>
      </w:r>
      <w:r>
        <w:rPr>
          <w:rFonts w:hint="eastAsia" w:hAnsi="宋体" w:cs="宋体"/>
          <w:b/>
          <w:color w:val="auto"/>
          <w:sz w:val="32"/>
          <w:szCs w:val="32"/>
          <w:highlight w:val="none"/>
          <w:u w:val="single"/>
        </w:rPr>
        <w:t>义乌市人民政府廿三里街道办事处</w:t>
      </w:r>
      <w:r>
        <w:rPr>
          <w:rFonts w:hint="eastAsia" w:hAnsi="宋体" w:cs="宋体"/>
          <w:b/>
          <w:color w:val="auto"/>
          <w:sz w:val="32"/>
          <w:szCs w:val="32"/>
          <w:highlight w:val="none"/>
        </w:rPr>
        <w:t>（盖章）</w:t>
      </w:r>
    </w:p>
    <w:p>
      <w:pPr>
        <w:pStyle w:val="13"/>
        <w:shd w:val="clear"/>
        <w:snapToGrid w:val="0"/>
        <w:spacing w:before="120" w:after="120" w:line="360" w:lineRule="auto"/>
        <w:ind w:firstLine="643" w:firstLineChars="200"/>
        <w:rPr>
          <w:rFonts w:hAnsi="宋体" w:cs="宋体"/>
          <w:b/>
          <w:color w:val="auto"/>
          <w:sz w:val="32"/>
          <w:szCs w:val="32"/>
          <w:highlight w:val="none"/>
        </w:rPr>
      </w:pPr>
      <w:r>
        <w:rPr>
          <w:rFonts w:hint="eastAsia" w:hAnsi="宋体" w:cs="宋体"/>
          <w:b/>
          <w:color w:val="auto"/>
          <w:sz w:val="32"/>
          <w:szCs w:val="32"/>
          <w:highlight w:val="none"/>
        </w:rPr>
        <w:t>法定代表人或其授权委托人：</w:t>
      </w:r>
      <w:r>
        <w:rPr>
          <w:rFonts w:hint="eastAsia" w:hAnsi="宋体" w:cs="宋体"/>
          <w:b/>
          <w:color w:val="auto"/>
          <w:sz w:val="32"/>
          <w:szCs w:val="32"/>
          <w:highlight w:val="none"/>
          <w:u w:val="single"/>
        </w:rPr>
        <w:t xml:space="preserve">             </w:t>
      </w:r>
      <w:r>
        <w:rPr>
          <w:rFonts w:hint="eastAsia" w:hAnsi="宋体" w:cs="宋体"/>
          <w:b/>
          <w:color w:val="auto"/>
          <w:sz w:val="32"/>
          <w:szCs w:val="32"/>
          <w:highlight w:val="none"/>
        </w:rPr>
        <w:t>（签字或盖章）</w:t>
      </w:r>
    </w:p>
    <w:p>
      <w:pPr>
        <w:pStyle w:val="13"/>
        <w:shd w:val="clear"/>
        <w:snapToGrid w:val="0"/>
        <w:spacing w:before="120" w:after="120" w:line="360" w:lineRule="auto"/>
        <w:ind w:firstLine="611" w:firstLineChars="200"/>
        <w:rPr>
          <w:rFonts w:hAnsi="宋体" w:cs="宋体"/>
          <w:b/>
          <w:color w:val="auto"/>
          <w:sz w:val="32"/>
          <w:szCs w:val="32"/>
          <w:highlight w:val="none"/>
        </w:rPr>
      </w:pPr>
      <w:r>
        <w:rPr>
          <w:rFonts w:hint="eastAsia" w:hAnsi="宋体" w:cs="宋体"/>
          <w:b/>
          <w:bCs/>
          <w:color w:val="auto"/>
          <w:w w:val="95"/>
          <w:sz w:val="32"/>
          <w:szCs w:val="32"/>
          <w:highlight w:val="none"/>
        </w:rPr>
        <w:t>采购代理机构：</w:t>
      </w:r>
      <w:r>
        <w:rPr>
          <w:rFonts w:hint="eastAsia" w:hAnsi="宋体" w:cs="宋体"/>
          <w:b/>
          <w:color w:val="auto"/>
          <w:sz w:val="32"/>
          <w:szCs w:val="32"/>
          <w:highlight w:val="none"/>
          <w:u w:val="single"/>
        </w:rPr>
        <w:t>浙江明达工程造价咨询有限公司</w:t>
      </w:r>
      <w:r>
        <w:rPr>
          <w:rFonts w:hint="eastAsia" w:hAnsi="宋体" w:cs="宋体"/>
          <w:b/>
          <w:color w:val="auto"/>
          <w:sz w:val="32"/>
          <w:szCs w:val="32"/>
          <w:highlight w:val="none"/>
        </w:rPr>
        <w:t>（盖章）</w:t>
      </w:r>
    </w:p>
    <w:p>
      <w:pPr>
        <w:pStyle w:val="13"/>
        <w:shd w:val="clear"/>
        <w:snapToGrid w:val="0"/>
        <w:spacing w:before="120" w:after="120" w:line="360" w:lineRule="auto"/>
        <w:ind w:firstLine="643" w:firstLineChars="200"/>
        <w:rPr>
          <w:rFonts w:hAnsi="宋体" w:cs="宋体"/>
          <w:b/>
          <w:color w:val="auto"/>
          <w:sz w:val="32"/>
          <w:szCs w:val="32"/>
          <w:highlight w:val="none"/>
        </w:rPr>
      </w:pPr>
      <w:r>
        <w:rPr>
          <w:rFonts w:hint="eastAsia" w:hAnsi="宋体" w:cs="宋体"/>
          <w:b/>
          <w:color w:val="auto"/>
          <w:sz w:val="32"/>
          <w:szCs w:val="32"/>
          <w:highlight w:val="none"/>
        </w:rPr>
        <w:t>法定代表人或其授权委托人：</w:t>
      </w:r>
      <w:r>
        <w:rPr>
          <w:rFonts w:hint="eastAsia" w:hAnsi="宋体" w:cs="宋体"/>
          <w:b/>
          <w:color w:val="auto"/>
          <w:sz w:val="32"/>
          <w:szCs w:val="32"/>
          <w:highlight w:val="none"/>
          <w:u w:val="single"/>
        </w:rPr>
        <w:t xml:space="preserve">             </w:t>
      </w:r>
      <w:r>
        <w:rPr>
          <w:rFonts w:hint="eastAsia" w:hAnsi="宋体" w:cs="宋体"/>
          <w:b/>
          <w:color w:val="auto"/>
          <w:sz w:val="32"/>
          <w:szCs w:val="32"/>
          <w:highlight w:val="none"/>
        </w:rPr>
        <w:t>（签字或盖章）</w:t>
      </w:r>
    </w:p>
    <w:p>
      <w:pPr>
        <w:pStyle w:val="13"/>
        <w:shd w:val="clear"/>
        <w:snapToGrid w:val="0"/>
        <w:spacing w:before="120" w:after="120" w:line="360" w:lineRule="auto"/>
        <w:jc w:val="center"/>
        <w:rPr>
          <w:rFonts w:hAnsi="宋体" w:cs="宋体"/>
          <w:b/>
          <w:color w:val="auto"/>
          <w:sz w:val="32"/>
          <w:szCs w:val="32"/>
          <w:highlight w:val="none"/>
        </w:rPr>
      </w:pPr>
      <w:r>
        <w:rPr>
          <w:rFonts w:hint="eastAsia" w:hAnsi="宋体" w:cs="宋体"/>
          <w:b/>
          <w:color w:val="auto"/>
          <w:sz w:val="32"/>
          <w:szCs w:val="32"/>
          <w:highlight w:val="none"/>
        </w:rPr>
        <w:t>日　 期：2022年</w:t>
      </w:r>
      <w:r>
        <w:rPr>
          <w:rFonts w:hint="eastAsia" w:hAnsi="宋体" w:cs="宋体"/>
          <w:b/>
          <w:color w:val="auto"/>
          <w:sz w:val="32"/>
          <w:szCs w:val="32"/>
          <w:highlight w:val="none"/>
          <w:lang w:val="en-US" w:eastAsia="zh-CN"/>
        </w:rPr>
        <w:t>11</w:t>
      </w:r>
      <w:r>
        <w:rPr>
          <w:rFonts w:hint="eastAsia" w:hAnsi="宋体" w:cs="宋体"/>
          <w:b/>
          <w:color w:val="auto"/>
          <w:sz w:val="32"/>
          <w:szCs w:val="32"/>
          <w:highlight w:val="none"/>
        </w:rPr>
        <w:t>月</w:t>
      </w:r>
    </w:p>
    <w:p>
      <w:pPr>
        <w:pStyle w:val="13"/>
        <w:shd w:val="clear"/>
        <w:spacing w:before="120" w:after="120" w:line="360" w:lineRule="auto"/>
        <w:ind w:firstLine="883" w:firstLineChars="200"/>
        <w:jc w:val="center"/>
        <w:rPr>
          <w:rFonts w:hAnsi="宋体" w:cs="宋体"/>
          <w:b/>
          <w:color w:val="auto"/>
          <w:sz w:val="44"/>
          <w:szCs w:val="44"/>
          <w:highlight w:val="none"/>
        </w:rPr>
        <w:sectPr>
          <w:headerReference r:id="rId5" w:type="first"/>
          <w:headerReference r:id="rId3" w:type="default"/>
          <w:footerReference r:id="rId6" w:type="default"/>
          <w:headerReference r:id="rId4" w:type="even"/>
          <w:footerReference r:id="rId7" w:type="even"/>
          <w:pgSz w:w="11906" w:h="16838"/>
          <w:pgMar w:top="1020" w:right="1134" w:bottom="1134" w:left="1418" w:header="851" w:footer="992" w:gutter="0"/>
          <w:pgNumType w:fmt="decimal" w:start="1"/>
          <w:cols w:space="720" w:num="1"/>
          <w:titlePg/>
          <w:docGrid w:type="lines" w:linePitch="312" w:charSpace="0"/>
        </w:sectPr>
      </w:pPr>
    </w:p>
    <w:p>
      <w:pPr>
        <w:pStyle w:val="13"/>
        <w:shd w:val="clear"/>
        <w:spacing w:before="120" w:after="120" w:line="360" w:lineRule="auto"/>
        <w:jc w:val="center"/>
        <w:rPr>
          <w:rFonts w:hAnsi="宋体" w:cs="宋体"/>
          <w:b/>
          <w:color w:val="auto"/>
          <w:sz w:val="36"/>
          <w:szCs w:val="36"/>
          <w:highlight w:val="none"/>
        </w:rPr>
      </w:pPr>
    </w:p>
    <w:p>
      <w:pPr>
        <w:pStyle w:val="13"/>
        <w:shd w:val="clear"/>
        <w:snapToGrid w:val="0"/>
        <w:spacing w:before="120" w:after="624" w:afterLines="200" w:line="480" w:lineRule="auto"/>
        <w:jc w:val="center"/>
        <w:rPr>
          <w:rFonts w:hAnsi="宋体" w:cs="宋体"/>
          <w:b/>
          <w:color w:val="auto"/>
          <w:sz w:val="44"/>
          <w:szCs w:val="44"/>
          <w:highlight w:val="none"/>
        </w:rPr>
      </w:pPr>
      <w:r>
        <w:rPr>
          <w:rFonts w:hint="eastAsia" w:hAnsi="宋体" w:cs="宋体"/>
          <w:b/>
          <w:color w:val="auto"/>
          <w:sz w:val="36"/>
          <w:szCs w:val="36"/>
          <w:highlight w:val="none"/>
        </w:rPr>
        <w:t>目   录</w:t>
      </w:r>
    </w:p>
    <w:p>
      <w:pPr>
        <w:pStyle w:val="17"/>
        <w:shd w:val="clear"/>
        <w:tabs>
          <w:tab w:val="right" w:leader="dot" w:pos="9354"/>
        </w:tabs>
        <w:rPr>
          <w:color w:val="auto"/>
          <w:highlight w:val="none"/>
        </w:rPr>
      </w:pPr>
      <w:r>
        <w:rPr>
          <w:rFonts w:hint="eastAsia" w:ascii="宋体" w:hAnsi="宋体" w:cs="宋体"/>
          <w:b w:val="0"/>
          <w:color w:val="auto"/>
          <w:sz w:val="24"/>
          <w:highlight w:val="none"/>
        </w:rPr>
        <w:fldChar w:fldCharType="begin"/>
      </w:r>
      <w:r>
        <w:rPr>
          <w:rFonts w:hint="eastAsia" w:ascii="宋体" w:hAnsi="宋体" w:cs="宋体"/>
          <w:b w:val="0"/>
          <w:color w:val="auto"/>
          <w:sz w:val="24"/>
          <w:highlight w:val="none"/>
        </w:rPr>
        <w:instrText xml:space="preserve"> TOC \o "1-3" \h \z \u </w:instrText>
      </w:r>
      <w:r>
        <w:rPr>
          <w:rFonts w:hint="eastAsia" w:ascii="宋体" w:hAnsi="宋体" w:cs="宋体"/>
          <w:b w:val="0"/>
          <w:color w:val="auto"/>
          <w:sz w:val="24"/>
          <w:highlight w:val="none"/>
        </w:rPr>
        <w:fldChar w:fldCharType="separate"/>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_Toc21508 </w:instrText>
      </w:r>
      <w:r>
        <w:rPr>
          <w:rFonts w:hint="eastAsia" w:ascii="宋体" w:hAnsi="宋体" w:cs="宋体"/>
          <w:color w:val="auto"/>
          <w:highlight w:val="none"/>
        </w:rPr>
        <w:fldChar w:fldCharType="separate"/>
      </w:r>
      <w:r>
        <w:rPr>
          <w:rFonts w:hint="eastAsia" w:ascii="宋体" w:hAnsi="宋体" w:cs="宋体"/>
          <w:color w:val="auto"/>
          <w:highlight w:val="none"/>
        </w:rPr>
        <w:t>第一章  采购公告</w:t>
      </w:r>
      <w:r>
        <w:rPr>
          <w:color w:val="auto"/>
          <w:highlight w:val="none"/>
        </w:rPr>
        <w:tab/>
      </w:r>
      <w:r>
        <w:rPr>
          <w:color w:val="auto"/>
          <w:highlight w:val="none"/>
        </w:rPr>
        <w:fldChar w:fldCharType="begin"/>
      </w:r>
      <w:r>
        <w:rPr>
          <w:color w:val="auto"/>
          <w:highlight w:val="none"/>
        </w:rPr>
        <w:instrText xml:space="preserve"> PAGEREF _Toc21508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color w:val="auto"/>
          <w:highlight w:val="none"/>
        </w:rPr>
        <w:fldChar w:fldCharType="end"/>
      </w:r>
    </w:p>
    <w:p>
      <w:pPr>
        <w:pStyle w:val="17"/>
        <w:shd w:val="clear"/>
        <w:tabs>
          <w:tab w:val="right" w:leader="dot" w:pos="9354"/>
        </w:tabs>
        <w:rPr>
          <w:color w:val="auto"/>
          <w:highlight w:val="none"/>
        </w:rPr>
      </w:pPr>
      <w:r>
        <w:rPr>
          <w:rFonts w:hint="eastAsia" w:ascii="宋体" w:hAnsi="宋体" w:cs="宋体"/>
          <w:color w:val="auto"/>
          <w:kern w:val="2"/>
          <w:szCs w:val="30"/>
          <w:highlight w:val="none"/>
          <w:lang w:val="en-US" w:eastAsia="zh-CN"/>
        </w:rPr>
        <w:t xml:space="preserve">第二章  </w:t>
      </w:r>
      <w:r>
        <w:rPr>
          <w:rFonts w:hint="eastAsia" w:ascii="宋体" w:hAnsi="宋体" w:cs="宋体"/>
          <w:color w:val="auto"/>
          <w:kern w:val="2"/>
          <w:szCs w:val="30"/>
          <w:highlight w:val="none"/>
        </w:rPr>
        <w:fldChar w:fldCharType="begin"/>
      </w:r>
      <w:r>
        <w:rPr>
          <w:rFonts w:hint="eastAsia" w:ascii="宋体" w:hAnsi="宋体" w:cs="宋体"/>
          <w:color w:val="auto"/>
          <w:kern w:val="2"/>
          <w:szCs w:val="30"/>
          <w:highlight w:val="none"/>
        </w:rPr>
        <w:instrText xml:space="preserve"> HYPERLINK \l _Toc23978 </w:instrText>
      </w:r>
      <w:r>
        <w:rPr>
          <w:rFonts w:hint="eastAsia" w:ascii="宋体" w:hAnsi="宋体" w:cs="宋体"/>
          <w:color w:val="auto"/>
          <w:kern w:val="2"/>
          <w:szCs w:val="30"/>
          <w:highlight w:val="none"/>
        </w:rPr>
        <w:fldChar w:fldCharType="separate"/>
      </w:r>
      <w:r>
        <w:rPr>
          <w:rFonts w:hint="eastAsia" w:ascii="宋体" w:hAnsi="宋体" w:cs="宋体"/>
          <w:color w:val="auto"/>
          <w:szCs w:val="36"/>
          <w:highlight w:val="none"/>
        </w:rPr>
        <w:t>投标须知和投标须知前附表</w:t>
      </w:r>
      <w:r>
        <w:rPr>
          <w:color w:val="auto"/>
          <w:highlight w:val="none"/>
        </w:rPr>
        <w:tab/>
      </w:r>
      <w:r>
        <w:rPr>
          <w:color w:val="auto"/>
          <w:highlight w:val="none"/>
        </w:rPr>
        <w:fldChar w:fldCharType="begin"/>
      </w:r>
      <w:r>
        <w:rPr>
          <w:color w:val="auto"/>
          <w:highlight w:val="none"/>
        </w:rPr>
        <w:instrText xml:space="preserve"> PAGEREF _Toc23978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color w:val="auto"/>
          <w:kern w:val="2"/>
          <w:szCs w:val="30"/>
          <w:highlight w:val="none"/>
        </w:rPr>
        <w:fldChar w:fldCharType="end"/>
      </w:r>
    </w:p>
    <w:p>
      <w:pPr>
        <w:pStyle w:val="17"/>
        <w:shd w:val="clear"/>
        <w:tabs>
          <w:tab w:val="right" w:leader="dot" w:pos="9354"/>
        </w:tabs>
        <w:rPr>
          <w:color w:val="auto"/>
          <w:highlight w:val="none"/>
        </w:rPr>
      </w:pPr>
      <w:r>
        <w:rPr>
          <w:rFonts w:hint="eastAsia" w:ascii="宋体" w:hAnsi="宋体" w:cs="宋体"/>
          <w:color w:val="auto"/>
          <w:kern w:val="2"/>
          <w:szCs w:val="30"/>
          <w:highlight w:val="none"/>
        </w:rPr>
        <w:fldChar w:fldCharType="begin"/>
      </w:r>
      <w:r>
        <w:rPr>
          <w:rFonts w:hint="eastAsia" w:ascii="宋体" w:hAnsi="宋体" w:cs="宋体"/>
          <w:color w:val="auto"/>
          <w:kern w:val="2"/>
          <w:szCs w:val="30"/>
          <w:highlight w:val="none"/>
        </w:rPr>
        <w:instrText xml:space="preserve"> HYPERLINK \l _Toc9924 </w:instrText>
      </w:r>
      <w:r>
        <w:rPr>
          <w:rFonts w:hint="eastAsia" w:ascii="宋体" w:hAnsi="宋体" w:cs="宋体"/>
          <w:color w:val="auto"/>
          <w:kern w:val="2"/>
          <w:szCs w:val="30"/>
          <w:highlight w:val="none"/>
        </w:rPr>
        <w:fldChar w:fldCharType="separate"/>
      </w:r>
      <w:r>
        <w:rPr>
          <w:rFonts w:hint="eastAsia" w:ascii="宋体" w:hAnsi="宋体" w:cs="宋体"/>
          <w:color w:val="auto"/>
          <w:highlight w:val="none"/>
        </w:rPr>
        <w:t>第三章  采购项目需求</w:t>
      </w:r>
      <w:r>
        <w:rPr>
          <w:color w:val="auto"/>
          <w:highlight w:val="none"/>
        </w:rPr>
        <w:tab/>
      </w:r>
      <w:r>
        <w:rPr>
          <w:color w:val="auto"/>
          <w:highlight w:val="none"/>
        </w:rPr>
        <w:fldChar w:fldCharType="begin"/>
      </w:r>
      <w:r>
        <w:rPr>
          <w:color w:val="auto"/>
          <w:highlight w:val="none"/>
        </w:rPr>
        <w:instrText xml:space="preserve"> PAGEREF _Toc9924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kern w:val="2"/>
          <w:szCs w:val="30"/>
          <w:highlight w:val="none"/>
        </w:rPr>
        <w:fldChar w:fldCharType="end"/>
      </w:r>
    </w:p>
    <w:p>
      <w:pPr>
        <w:pStyle w:val="17"/>
        <w:shd w:val="clear"/>
        <w:tabs>
          <w:tab w:val="right" w:leader="dot" w:pos="9354"/>
        </w:tabs>
        <w:rPr>
          <w:color w:val="auto"/>
          <w:highlight w:val="none"/>
        </w:rPr>
      </w:pPr>
      <w:r>
        <w:rPr>
          <w:rFonts w:hint="eastAsia" w:ascii="宋体" w:hAnsi="宋体" w:cs="宋体"/>
          <w:color w:val="auto"/>
          <w:kern w:val="2"/>
          <w:szCs w:val="30"/>
          <w:highlight w:val="none"/>
        </w:rPr>
        <w:fldChar w:fldCharType="begin"/>
      </w:r>
      <w:r>
        <w:rPr>
          <w:rFonts w:hint="eastAsia" w:ascii="宋体" w:hAnsi="宋体" w:cs="宋体"/>
          <w:color w:val="auto"/>
          <w:kern w:val="2"/>
          <w:szCs w:val="30"/>
          <w:highlight w:val="none"/>
        </w:rPr>
        <w:instrText xml:space="preserve"> HYPERLINK \l _Toc1819 </w:instrText>
      </w:r>
      <w:r>
        <w:rPr>
          <w:rFonts w:hint="eastAsia" w:ascii="宋体" w:hAnsi="宋体" w:cs="宋体"/>
          <w:color w:val="auto"/>
          <w:kern w:val="2"/>
          <w:szCs w:val="30"/>
          <w:highlight w:val="none"/>
        </w:rPr>
        <w:fldChar w:fldCharType="separate"/>
      </w:r>
      <w:r>
        <w:rPr>
          <w:rFonts w:hint="default" w:ascii="宋体" w:hAnsi="Times New Roman" w:cs="宋体"/>
          <w:color w:val="auto"/>
          <w:highlight w:val="none"/>
        </w:rPr>
        <w:t xml:space="preserve">第四章 </w:t>
      </w:r>
      <w:r>
        <w:rPr>
          <w:rFonts w:hint="eastAsia" w:ascii="宋体" w:hAnsi="宋体" w:cs="宋体"/>
          <w:color w:val="auto"/>
          <w:highlight w:val="none"/>
        </w:rPr>
        <w:t>开标、评标和定标须知</w:t>
      </w:r>
      <w:r>
        <w:rPr>
          <w:color w:val="auto"/>
          <w:highlight w:val="none"/>
        </w:rPr>
        <w:tab/>
      </w:r>
      <w:r>
        <w:rPr>
          <w:color w:val="auto"/>
          <w:highlight w:val="none"/>
        </w:rPr>
        <w:fldChar w:fldCharType="begin"/>
      </w:r>
      <w:r>
        <w:rPr>
          <w:color w:val="auto"/>
          <w:highlight w:val="none"/>
        </w:rPr>
        <w:instrText xml:space="preserve"> PAGEREF _Toc1819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cs="宋体"/>
          <w:color w:val="auto"/>
          <w:kern w:val="2"/>
          <w:szCs w:val="30"/>
          <w:highlight w:val="none"/>
        </w:rPr>
        <w:fldChar w:fldCharType="end"/>
      </w:r>
    </w:p>
    <w:p>
      <w:pPr>
        <w:pStyle w:val="19"/>
        <w:shd w:val="clear"/>
        <w:tabs>
          <w:tab w:val="right" w:leader="dot" w:pos="9354"/>
        </w:tabs>
        <w:rPr>
          <w:color w:val="auto"/>
          <w:highlight w:val="none"/>
        </w:rPr>
      </w:pPr>
      <w:r>
        <w:rPr>
          <w:rFonts w:hint="eastAsia" w:ascii="宋体" w:hAnsi="宋体" w:cs="宋体"/>
          <w:color w:val="auto"/>
          <w:kern w:val="2"/>
          <w:szCs w:val="30"/>
          <w:highlight w:val="none"/>
        </w:rPr>
        <w:fldChar w:fldCharType="begin"/>
      </w:r>
      <w:r>
        <w:rPr>
          <w:rFonts w:hint="eastAsia" w:ascii="宋体" w:hAnsi="宋体" w:cs="宋体"/>
          <w:color w:val="auto"/>
          <w:kern w:val="2"/>
          <w:szCs w:val="30"/>
          <w:highlight w:val="none"/>
        </w:rPr>
        <w:instrText xml:space="preserve"> HYPERLINK \l _Toc24286 </w:instrText>
      </w:r>
      <w:r>
        <w:rPr>
          <w:rFonts w:hint="eastAsia" w:ascii="宋体" w:hAnsi="宋体" w:cs="宋体"/>
          <w:color w:val="auto"/>
          <w:kern w:val="2"/>
          <w:szCs w:val="30"/>
          <w:highlight w:val="none"/>
        </w:rPr>
        <w:fldChar w:fldCharType="separate"/>
      </w:r>
      <w:r>
        <w:rPr>
          <w:rFonts w:hint="eastAsia" w:ascii="宋体" w:hAnsi="宋体" w:eastAsia="宋体" w:cs="宋体"/>
          <w:color w:val="auto"/>
          <w:szCs w:val="28"/>
          <w:highlight w:val="none"/>
        </w:rPr>
        <w:t>一、开标</w:t>
      </w:r>
      <w:r>
        <w:rPr>
          <w:color w:val="auto"/>
          <w:highlight w:val="none"/>
        </w:rPr>
        <w:tab/>
      </w:r>
      <w:r>
        <w:rPr>
          <w:color w:val="auto"/>
          <w:highlight w:val="none"/>
        </w:rPr>
        <w:fldChar w:fldCharType="begin"/>
      </w:r>
      <w:r>
        <w:rPr>
          <w:color w:val="auto"/>
          <w:highlight w:val="none"/>
        </w:rPr>
        <w:instrText xml:space="preserve"> PAGEREF _Toc24286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cs="宋体"/>
          <w:color w:val="auto"/>
          <w:kern w:val="2"/>
          <w:szCs w:val="30"/>
          <w:highlight w:val="none"/>
        </w:rPr>
        <w:fldChar w:fldCharType="end"/>
      </w:r>
    </w:p>
    <w:p>
      <w:pPr>
        <w:pStyle w:val="19"/>
        <w:shd w:val="clear"/>
        <w:tabs>
          <w:tab w:val="right" w:leader="dot" w:pos="9354"/>
        </w:tabs>
        <w:rPr>
          <w:color w:val="auto"/>
          <w:highlight w:val="none"/>
        </w:rPr>
      </w:pPr>
      <w:r>
        <w:rPr>
          <w:rFonts w:hint="eastAsia" w:ascii="宋体" w:hAnsi="宋体" w:cs="宋体"/>
          <w:color w:val="auto"/>
          <w:kern w:val="2"/>
          <w:szCs w:val="30"/>
          <w:highlight w:val="none"/>
        </w:rPr>
        <w:fldChar w:fldCharType="begin"/>
      </w:r>
      <w:r>
        <w:rPr>
          <w:rFonts w:hint="eastAsia" w:ascii="宋体" w:hAnsi="宋体" w:cs="宋体"/>
          <w:color w:val="auto"/>
          <w:kern w:val="2"/>
          <w:szCs w:val="30"/>
          <w:highlight w:val="none"/>
        </w:rPr>
        <w:instrText xml:space="preserve"> HYPERLINK \l _Toc7234 </w:instrText>
      </w:r>
      <w:r>
        <w:rPr>
          <w:rFonts w:hint="eastAsia" w:ascii="宋体" w:hAnsi="宋体" w:cs="宋体"/>
          <w:color w:val="auto"/>
          <w:kern w:val="2"/>
          <w:szCs w:val="30"/>
          <w:highlight w:val="none"/>
        </w:rPr>
        <w:fldChar w:fldCharType="separate"/>
      </w:r>
      <w:r>
        <w:rPr>
          <w:rFonts w:hint="eastAsia" w:ascii="宋体" w:hAnsi="宋体" w:eastAsia="宋体" w:cs="宋体"/>
          <w:color w:val="auto"/>
          <w:szCs w:val="28"/>
          <w:highlight w:val="none"/>
        </w:rPr>
        <w:t>二、评标</w:t>
      </w:r>
      <w:r>
        <w:rPr>
          <w:color w:val="auto"/>
          <w:highlight w:val="none"/>
        </w:rPr>
        <w:tab/>
      </w:r>
      <w:r>
        <w:rPr>
          <w:color w:val="auto"/>
          <w:highlight w:val="none"/>
        </w:rPr>
        <w:fldChar w:fldCharType="begin"/>
      </w:r>
      <w:r>
        <w:rPr>
          <w:color w:val="auto"/>
          <w:highlight w:val="none"/>
        </w:rPr>
        <w:instrText xml:space="preserve"> PAGEREF _Toc7234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cs="宋体"/>
          <w:color w:val="auto"/>
          <w:kern w:val="2"/>
          <w:szCs w:val="30"/>
          <w:highlight w:val="none"/>
        </w:rPr>
        <w:fldChar w:fldCharType="end"/>
      </w:r>
    </w:p>
    <w:p>
      <w:pPr>
        <w:pStyle w:val="19"/>
        <w:shd w:val="clear"/>
        <w:tabs>
          <w:tab w:val="right" w:leader="dot" w:pos="9354"/>
        </w:tabs>
        <w:rPr>
          <w:color w:val="auto"/>
          <w:highlight w:val="none"/>
        </w:rPr>
      </w:pPr>
      <w:r>
        <w:rPr>
          <w:rFonts w:hint="eastAsia" w:ascii="宋体" w:hAnsi="宋体" w:cs="宋体"/>
          <w:color w:val="auto"/>
          <w:kern w:val="2"/>
          <w:szCs w:val="30"/>
          <w:highlight w:val="none"/>
        </w:rPr>
        <w:fldChar w:fldCharType="begin"/>
      </w:r>
      <w:r>
        <w:rPr>
          <w:rFonts w:hint="eastAsia" w:ascii="宋体" w:hAnsi="宋体" w:cs="宋体"/>
          <w:color w:val="auto"/>
          <w:kern w:val="2"/>
          <w:szCs w:val="30"/>
          <w:highlight w:val="none"/>
        </w:rPr>
        <w:instrText xml:space="preserve"> HYPERLINK \l _Toc9919 </w:instrText>
      </w:r>
      <w:r>
        <w:rPr>
          <w:rFonts w:hint="eastAsia" w:ascii="宋体" w:hAnsi="宋体" w:cs="宋体"/>
          <w:color w:val="auto"/>
          <w:kern w:val="2"/>
          <w:szCs w:val="30"/>
          <w:highlight w:val="none"/>
        </w:rPr>
        <w:fldChar w:fldCharType="separate"/>
      </w:r>
      <w:r>
        <w:rPr>
          <w:rFonts w:hint="eastAsia" w:ascii="宋体" w:hAnsi="宋体" w:eastAsia="宋体" w:cs="宋体"/>
          <w:color w:val="auto"/>
          <w:szCs w:val="28"/>
          <w:highlight w:val="none"/>
        </w:rPr>
        <w:t>三、定标</w:t>
      </w:r>
      <w:r>
        <w:rPr>
          <w:color w:val="auto"/>
          <w:highlight w:val="none"/>
        </w:rPr>
        <w:tab/>
      </w:r>
      <w:r>
        <w:rPr>
          <w:color w:val="auto"/>
          <w:highlight w:val="none"/>
        </w:rPr>
        <w:fldChar w:fldCharType="begin"/>
      </w:r>
      <w:r>
        <w:rPr>
          <w:color w:val="auto"/>
          <w:highlight w:val="none"/>
        </w:rPr>
        <w:instrText xml:space="preserve"> PAGEREF _Toc9919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cs="宋体"/>
          <w:color w:val="auto"/>
          <w:kern w:val="2"/>
          <w:szCs w:val="30"/>
          <w:highlight w:val="none"/>
        </w:rPr>
        <w:fldChar w:fldCharType="end"/>
      </w:r>
    </w:p>
    <w:p>
      <w:pPr>
        <w:pStyle w:val="17"/>
        <w:shd w:val="clear"/>
        <w:tabs>
          <w:tab w:val="right" w:leader="dot" w:pos="9354"/>
        </w:tabs>
        <w:rPr>
          <w:color w:val="auto"/>
          <w:highlight w:val="none"/>
        </w:rPr>
      </w:pPr>
      <w:r>
        <w:rPr>
          <w:rFonts w:hint="eastAsia" w:ascii="宋体" w:hAnsi="宋体" w:cs="宋体"/>
          <w:color w:val="auto"/>
          <w:kern w:val="2"/>
          <w:szCs w:val="30"/>
          <w:highlight w:val="none"/>
        </w:rPr>
        <w:fldChar w:fldCharType="begin"/>
      </w:r>
      <w:r>
        <w:rPr>
          <w:rFonts w:hint="eastAsia" w:ascii="宋体" w:hAnsi="宋体" w:cs="宋体"/>
          <w:color w:val="auto"/>
          <w:kern w:val="2"/>
          <w:szCs w:val="30"/>
          <w:highlight w:val="none"/>
        </w:rPr>
        <w:instrText xml:space="preserve"> HYPERLINK \l _Toc19770 </w:instrText>
      </w:r>
      <w:r>
        <w:rPr>
          <w:rFonts w:hint="eastAsia" w:ascii="宋体" w:hAnsi="宋体" w:cs="宋体"/>
          <w:color w:val="auto"/>
          <w:kern w:val="2"/>
          <w:szCs w:val="30"/>
          <w:highlight w:val="none"/>
        </w:rPr>
        <w:fldChar w:fldCharType="separate"/>
      </w:r>
      <w:r>
        <w:rPr>
          <w:rFonts w:hint="default" w:ascii="宋体" w:hAnsi="Times New Roman" w:cs="宋体"/>
          <w:color w:val="auto"/>
          <w:highlight w:val="none"/>
        </w:rPr>
        <w:t xml:space="preserve">第五章 </w:t>
      </w:r>
      <w:r>
        <w:rPr>
          <w:rFonts w:hint="eastAsia" w:ascii="宋体" w:hAnsi="宋体" w:cs="宋体"/>
          <w:color w:val="auto"/>
          <w:highlight w:val="none"/>
        </w:rPr>
        <w:t>投标文件的有效性</w:t>
      </w:r>
      <w:r>
        <w:rPr>
          <w:color w:val="auto"/>
          <w:highlight w:val="none"/>
        </w:rPr>
        <w:tab/>
      </w:r>
      <w:r>
        <w:rPr>
          <w:color w:val="auto"/>
          <w:highlight w:val="none"/>
        </w:rPr>
        <w:fldChar w:fldCharType="begin"/>
      </w:r>
      <w:r>
        <w:rPr>
          <w:color w:val="auto"/>
          <w:highlight w:val="none"/>
        </w:rPr>
        <w:instrText xml:space="preserve"> PAGEREF _Toc19770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cs="宋体"/>
          <w:color w:val="auto"/>
          <w:kern w:val="2"/>
          <w:szCs w:val="30"/>
          <w:highlight w:val="none"/>
        </w:rPr>
        <w:fldChar w:fldCharType="end"/>
      </w:r>
    </w:p>
    <w:p>
      <w:pPr>
        <w:pStyle w:val="17"/>
        <w:shd w:val="clear"/>
        <w:tabs>
          <w:tab w:val="right" w:leader="dot" w:pos="9354"/>
        </w:tabs>
        <w:rPr>
          <w:color w:val="auto"/>
          <w:highlight w:val="none"/>
        </w:rPr>
      </w:pPr>
      <w:r>
        <w:rPr>
          <w:rFonts w:hint="eastAsia" w:ascii="宋体" w:hAnsi="宋体" w:cs="宋体"/>
          <w:color w:val="auto"/>
          <w:kern w:val="2"/>
          <w:szCs w:val="30"/>
          <w:highlight w:val="none"/>
        </w:rPr>
        <w:fldChar w:fldCharType="begin"/>
      </w:r>
      <w:r>
        <w:rPr>
          <w:rFonts w:hint="eastAsia" w:ascii="宋体" w:hAnsi="宋体" w:cs="宋体"/>
          <w:color w:val="auto"/>
          <w:kern w:val="2"/>
          <w:szCs w:val="30"/>
          <w:highlight w:val="none"/>
        </w:rPr>
        <w:instrText xml:space="preserve"> HYPERLINK \l _Toc7721 </w:instrText>
      </w:r>
      <w:r>
        <w:rPr>
          <w:rFonts w:hint="eastAsia" w:ascii="宋体" w:hAnsi="宋体" w:cs="宋体"/>
          <w:color w:val="auto"/>
          <w:kern w:val="2"/>
          <w:szCs w:val="30"/>
          <w:highlight w:val="none"/>
        </w:rPr>
        <w:fldChar w:fldCharType="separate"/>
      </w:r>
      <w:r>
        <w:rPr>
          <w:rFonts w:hint="default" w:ascii="宋体" w:hAnsi="Times New Roman" w:cs="宋体"/>
          <w:color w:val="auto"/>
          <w:highlight w:val="none"/>
        </w:rPr>
        <w:t xml:space="preserve">第六章 </w:t>
      </w:r>
      <w:r>
        <w:rPr>
          <w:rFonts w:hint="eastAsia" w:ascii="宋体" w:hAnsi="宋体" w:cs="宋体"/>
          <w:color w:val="auto"/>
          <w:highlight w:val="none"/>
        </w:rPr>
        <w:t>评标办法</w:t>
      </w:r>
      <w:r>
        <w:rPr>
          <w:color w:val="auto"/>
          <w:highlight w:val="none"/>
        </w:rPr>
        <w:tab/>
      </w:r>
      <w:r>
        <w:rPr>
          <w:color w:val="auto"/>
          <w:highlight w:val="none"/>
        </w:rPr>
        <w:fldChar w:fldCharType="begin"/>
      </w:r>
      <w:r>
        <w:rPr>
          <w:color w:val="auto"/>
          <w:highlight w:val="none"/>
        </w:rPr>
        <w:instrText xml:space="preserve"> PAGEREF _Toc7721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cs="宋体"/>
          <w:color w:val="auto"/>
          <w:kern w:val="2"/>
          <w:szCs w:val="30"/>
          <w:highlight w:val="none"/>
        </w:rPr>
        <w:fldChar w:fldCharType="end"/>
      </w:r>
    </w:p>
    <w:p>
      <w:pPr>
        <w:pStyle w:val="17"/>
        <w:shd w:val="clear"/>
        <w:tabs>
          <w:tab w:val="right" w:leader="dot" w:pos="9354"/>
        </w:tabs>
        <w:rPr>
          <w:color w:val="auto"/>
          <w:highlight w:val="none"/>
        </w:rPr>
      </w:pPr>
      <w:r>
        <w:rPr>
          <w:rFonts w:hint="eastAsia" w:ascii="宋体" w:hAnsi="宋体" w:cs="宋体"/>
          <w:color w:val="auto"/>
          <w:kern w:val="2"/>
          <w:szCs w:val="30"/>
          <w:highlight w:val="none"/>
        </w:rPr>
        <w:fldChar w:fldCharType="begin"/>
      </w:r>
      <w:r>
        <w:rPr>
          <w:rFonts w:hint="eastAsia" w:ascii="宋体" w:hAnsi="宋体" w:cs="宋体"/>
          <w:color w:val="auto"/>
          <w:kern w:val="2"/>
          <w:szCs w:val="30"/>
          <w:highlight w:val="none"/>
        </w:rPr>
        <w:instrText xml:space="preserve"> HYPERLINK \l _Toc23465 </w:instrText>
      </w:r>
      <w:r>
        <w:rPr>
          <w:rFonts w:hint="eastAsia" w:ascii="宋体" w:hAnsi="宋体" w:cs="宋体"/>
          <w:color w:val="auto"/>
          <w:kern w:val="2"/>
          <w:szCs w:val="30"/>
          <w:highlight w:val="none"/>
        </w:rPr>
        <w:fldChar w:fldCharType="separate"/>
      </w:r>
      <w:r>
        <w:rPr>
          <w:rFonts w:hint="eastAsia" w:ascii="宋体" w:hAnsi="宋体" w:cs="宋体"/>
          <w:color w:val="auto"/>
          <w:szCs w:val="36"/>
          <w:highlight w:val="none"/>
        </w:rPr>
        <w:t>第七章 拟签订的合同文本</w:t>
      </w:r>
      <w:r>
        <w:rPr>
          <w:color w:val="auto"/>
          <w:highlight w:val="none"/>
        </w:rPr>
        <w:tab/>
      </w:r>
      <w:r>
        <w:rPr>
          <w:color w:val="auto"/>
          <w:highlight w:val="none"/>
        </w:rPr>
        <w:fldChar w:fldCharType="begin"/>
      </w:r>
      <w:r>
        <w:rPr>
          <w:color w:val="auto"/>
          <w:highlight w:val="none"/>
        </w:rPr>
        <w:instrText xml:space="preserve"> PAGEREF _Toc23465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cs="宋体"/>
          <w:color w:val="auto"/>
          <w:kern w:val="2"/>
          <w:szCs w:val="30"/>
          <w:highlight w:val="none"/>
        </w:rPr>
        <w:fldChar w:fldCharType="end"/>
      </w:r>
    </w:p>
    <w:p>
      <w:pPr>
        <w:pStyle w:val="17"/>
        <w:shd w:val="clear"/>
        <w:tabs>
          <w:tab w:val="right" w:leader="dot" w:pos="9354"/>
        </w:tabs>
        <w:rPr>
          <w:color w:val="auto"/>
          <w:highlight w:val="none"/>
        </w:rPr>
      </w:pPr>
      <w:r>
        <w:rPr>
          <w:rFonts w:hint="eastAsia" w:ascii="宋体" w:hAnsi="宋体" w:cs="宋体"/>
          <w:color w:val="auto"/>
          <w:kern w:val="2"/>
          <w:szCs w:val="30"/>
          <w:highlight w:val="none"/>
        </w:rPr>
        <w:fldChar w:fldCharType="begin"/>
      </w:r>
      <w:r>
        <w:rPr>
          <w:rFonts w:hint="eastAsia" w:ascii="宋体" w:hAnsi="宋体" w:cs="宋体"/>
          <w:color w:val="auto"/>
          <w:kern w:val="2"/>
          <w:szCs w:val="30"/>
          <w:highlight w:val="none"/>
        </w:rPr>
        <w:instrText xml:space="preserve"> HYPERLINK \l _Toc23023 </w:instrText>
      </w:r>
      <w:r>
        <w:rPr>
          <w:rFonts w:hint="eastAsia" w:ascii="宋体" w:hAnsi="宋体" w:cs="宋体"/>
          <w:color w:val="auto"/>
          <w:kern w:val="2"/>
          <w:szCs w:val="30"/>
          <w:highlight w:val="none"/>
        </w:rPr>
        <w:fldChar w:fldCharType="separate"/>
      </w:r>
      <w:r>
        <w:rPr>
          <w:rFonts w:hint="eastAsia" w:ascii="宋体" w:hAnsi="宋体" w:cs="宋体"/>
          <w:color w:val="auto"/>
          <w:szCs w:val="36"/>
          <w:highlight w:val="none"/>
        </w:rPr>
        <w:t>第八章  投标文件部分格式</w:t>
      </w:r>
      <w:r>
        <w:rPr>
          <w:color w:val="auto"/>
          <w:highlight w:val="none"/>
        </w:rPr>
        <w:tab/>
      </w:r>
      <w:r>
        <w:rPr>
          <w:color w:val="auto"/>
          <w:highlight w:val="none"/>
        </w:rPr>
        <w:fldChar w:fldCharType="begin"/>
      </w:r>
      <w:r>
        <w:rPr>
          <w:color w:val="auto"/>
          <w:highlight w:val="none"/>
        </w:rPr>
        <w:instrText xml:space="preserve"> PAGEREF _Toc23023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cs="宋体"/>
          <w:color w:val="auto"/>
          <w:kern w:val="2"/>
          <w:szCs w:val="30"/>
          <w:highlight w:val="none"/>
        </w:rPr>
        <w:fldChar w:fldCharType="end"/>
      </w:r>
    </w:p>
    <w:p>
      <w:pPr>
        <w:pStyle w:val="5"/>
        <w:shd w:val="clear"/>
        <w:spacing w:before="0" w:after="0" w:line="360" w:lineRule="exact"/>
        <w:rPr>
          <w:rFonts w:ascii="宋体" w:hAnsi="宋体" w:cs="宋体"/>
          <w:color w:val="auto"/>
          <w:kern w:val="2"/>
          <w:szCs w:val="30"/>
          <w:highlight w:val="none"/>
        </w:rPr>
      </w:pPr>
      <w:r>
        <w:rPr>
          <w:rFonts w:hint="eastAsia" w:ascii="宋体" w:hAnsi="宋体" w:cs="宋体"/>
          <w:color w:val="auto"/>
          <w:kern w:val="2"/>
          <w:szCs w:val="30"/>
          <w:highlight w:val="none"/>
        </w:rPr>
        <w:fldChar w:fldCharType="end"/>
      </w:r>
    </w:p>
    <w:p>
      <w:pPr>
        <w:shd w:val="clear"/>
        <w:rPr>
          <w:rFonts w:ascii="宋体" w:hAnsi="宋体" w:cs="宋体"/>
          <w:bCs/>
          <w:color w:val="auto"/>
          <w:szCs w:val="30"/>
          <w:highlight w:val="none"/>
        </w:rPr>
      </w:pPr>
    </w:p>
    <w:p>
      <w:pPr>
        <w:shd w:val="clear"/>
        <w:rPr>
          <w:rFonts w:ascii="宋体" w:hAnsi="宋体" w:cs="宋体"/>
          <w:bCs/>
          <w:color w:val="auto"/>
          <w:szCs w:val="30"/>
          <w:highlight w:val="none"/>
        </w:rPr>
      </w:pPr>
    </w:p>
    <w:p>
      <w:pPr>
        <w:pStyle w:val="2"/>
        <w:shd w:val="clear"/>
        <w:rPr>
          <w:rFonts w:cs="宋体"/>
          <w:color w:val="auto"/>
          <w:szCs w:val="30"/>
          <w:highlight w:val="none"/>
        </w:rPr>
      </w:pPr>
    </w:p>
    <w:p>
      <w:pPr>
        <w:pStyle w:val="2"/>
        <w:shd w:val="clear"/>
        <w:rPr>
          <w:rFonts w:cs="宋体"/>
          <w:color w:val="auto"/>
          <w:szCs w:val="30"/>
          <w:highlight w:val="none"/>
        </w:rPr>
      </w:pPr>
    </w:p>
    <w:p>
      <w:pPr>
        <w:shd w:val="clear"/>
        <w:rPr>
          <w:rFonts w:ascii="宋体" w:hAnsi="宋体" w:cs="宋体"/>
          <w:color w:val="auto"/>
          <w:szCs w:val="30"/>
          <w:highlight w:val="none"/>
        </w:rPr>
      </w:pPr>
    </w:p>
    <w:p>
      <w:pPr>
        <w:pStyle w:val="2"/>
        <w:shd w:val="clear"/>
        <w:rPr>
          <w:rFonts w:cs="宋体"/>
          <w:color w:val="auto"/>
          <w:szCs w:val="30"/>
          <w:highlight w:val="none"/>
        </w:rPr>
      </w:pPr>
    </w:p>
    <w:p>
      <w:pPr>
        <w:pStyle w:val="3"/>
        <w:shd w:val="clear"/>
        <w:rPr>
          <w:rFonts w:cs="宋体"/>
          <w:color w:val="auto"/>
          <w:szCs w:val="30"/>
          <w:highlight w:val="none"/>
        </w:rPr>
      </w:pPr>
    </w:p>
    <w:p>
      <w:pPr>
        <w:pStyle w:val="4"/>
        <w:shd w:val="clear"/>
        <w:rPr>
          <w:rFonts w:cs="宋体"/>
          <w:color w:val="auto"/>
          <w:szCs w:val="30"/>
          <w:highlight w:val="none"/>
        </w:rPr>
      </w:pPr>
    </w:p>
    <w:p>
      <w:pPr>
        <w:shd w:val="clear"/>
        <w:rPr>
          <w:color w:val="auto"/>
          <w:highlight w:val="none"/>
        </w:rPr>
      </w:pPr>
    </w:p>
    <w:p>
      <w:pPr>
        <w:pStyle w:val="2"/>
        <w:shd w:val="clear"/>
        <w:rPr>
          <w:rFonts w:cs="宋体"/>
          <w:color w:val="auto"/>
          <w:szCs w:val="30"/>
          <w:highlight w:val="none"/>
        </w:rPr>
      </w:pPr>
    </w:p>
    <w:p>
      <w:pPr>
        <w:pStyle w:val="5"/>
        <w:shd w:val="clear"/>
        <w:spacing w:before="0" w:after="0" w:line="360" w:lineRule="auto"/>
        <w:jc w:val="center"/>
        <w:rPr>
          <w:rFonts w:ascii="宋体" w:hAnsi="宋体" w:cs="宋体"/>
          <w:b w:val="0"/>
          <w:color w:val="auto"/>
          <w:kern w:val="2"/>
          <w:sz w:val="24"/>
          <w:szCs w:val="30"/>
          <w:highlight w:val="none"/>
        </w:rPr>
      </w:pPr>
      <w:bookmarkStart w:id="0" w:name="_Toc368140162"/>
      <w:r>
        <w:rPr>
          <w:rFonts w:hint="eastAsia" w:ascii="宋体" w:hAnsi="宋体" w:cs="宋体"/>
          <w:color w:val="auto"/>
          <w:sz w:val="36"/>
          <w:highlight w:val="none"/>
        </w:rPr>
        <w:t xml:space="preserve"> </w:t>
      </w:r>
      <w:bookmarkStart w:id="1" w:name="_Toc21508"/>
      <w:bookmarkStart w:id="2" w:name="_Toc10089"/>
      <w:bookmarkStart w:id="3" w:name="_Toc25919"/>
      <w:r>
        <w:rPr>
          <w:rFonts w:hint="eastAsia" w:ascii="宋体" w:hAnsi="宋体" w:cs="宋体"/>
          <w:color w:val="auto"/>
          <w:sz w:val="36"/>
          <w:highlight w:val="none"/>
        </w:rPr>
        <w:t>第一章  采购公告</w:t>
      </w:r>
      <w:bookmarkEnd w:id="0"/>
      <w:bookmarkEnd w:id="1"/>
      <w:bookmarkEnd w:id="2"/>
      <w:bookmarkEnd w:id="3"/>
    </w:p>
    <w:p>
      <w:pPr>
        <w:shd w:val="clear"/>
        <w:spacing w:line="360" w:lineRule="auto"/>
        <w:ind w:firstLine="480" w:firstLineChars="200"/>
        <w:rPr>
          <w:rFonts w:ascii="宋体" w:hAnsi="宋体" w:cs="宋体"/>
          <w:color w:val="auto"/>
          <w:sz w:val="48"/>
          <w:szCs w:val="48"/>
          <w:highlight w:val="none"/>
        </w:rPr>
      </w:pPr>
      <w:r>
        <w:rPr>
          <w:rFonts w:hint="eastAsia" w:ascii="宋体" w:hAnsi="宋体" w:cs="宋体"/>
          <w:color w:val="auto"/>
          <w:sz w:val="24"/>
          <w:highlight w:val="none"/>
        </w:rPr>
        <w:t>义乌市廿三里辖区路灯能源管理服务采购项目</w:t>
      </w:r>
      <w:r>
        <w:rPr>
          <w:rFonts w:hint="eastAsia" w:ascii="宋体" w:hAnsi="宋体" w:cs="宋体"/>
          <w:color w:val="auto"/>
          <w:sz w:val="24"/>
          <w:highlight w:val="none"/>
          <w:shd w:val="clear" w:color="auto" w:fill="FFFFFF"/>
        </w:rPr>
        <w:t>的潜在投标人应在 </w:t>
      </w:r>
      <w:r>
        <w:rPr>
          <w:rFonts w:hint="eastAsia" w:ascii="宋体" w:hAnsi="宋体" w:cs="宋体"/>
          <w:color w:val="auto"/>
          <w:sz w:val="24"/>
          <w:highlight w:val="none"/>
          <w:u w:val="single"/>
          <w:shd w:val="clear" w:color="auto" w:fill="FFFFFF"/>
        </w:rPr>
        <w:t>浙江政府采购网 </w:t>
      </w:r>
      <w:r>
        <w:rPr>
          <w:rFonts w:hint="eastAsia" w:ascii="宋体" w:hAnsi="宋体" w:cs="宋体"/>
          <w:color w:val="auto"/>
          <w:sz w:val="24"/>
          <w:highlight w:val="none"/>
          <w:shd w:val="clear" w:color="auto" w:fill="FFFFFF"/>
        </w:rPr>
        <w:t>获取（下载）采购文件，并于</w:t>
      </w:r>
      <w:r>
        <w:rPr>
          <w:rFonts w:hint="eastAsia" w:ascii="宋体" w:hAnsi="宋体" w:cs="宋体"/>
          <w:color w:val="auto"/>
          <w:sz w:val="24"/>
          <w:highlight w:val="none"/>
          <w:u w:val="single"/>
          <w:shd w:val="clear" w:color="auto" w:fill="FFFFFF"/>
        </w:rPr>
        <w:t>2022年</w:t>
      </w:r>
      <w:r>
        <w:rPr>
          <w:rFonts w:hint="eastAsia" w:ascii="宋体" w:hAnsi="宋体" w:cs="宋体"/>
          <w:color w:val="auto"/>
          <w:sz w:val="24"/>
          <w:highlight w:val="none"/>
          <w:u w:val="single"/>
          <w:shd w:val="clear" w:color="auto" w:fill="FFFFFF"/>
          <w:lang w:val="en-US" w:eastAsia="zh-CN"/>
        </w:rPr>
        <w:t>11</w:t>
      </w:r>
      <w:r>
        <w:rPr>
          <w:rFonts w:hint="eastAsia" w:ascii="宋体" w:hAnsi="宋体" w:cs="宋体"/>
          <w:color w:val="auto"/>
          <w:sz w:val="24"/>
          <w:highlight w:val="none"/>
          <w:u w:val="single"/>
          <w:shd w:val="clear" w:color="auto" w:fill="FFFFFF"/>
        </w:rPr>
        <w:t>月</w:t>
      </w:r>
      <w:r>
        <w:rPr>
          <w:rFonts w:hint="eastAsia" w:ascii="宋体" w:hAnsi="宋体" w:cs="宋体"/>
          <w:color w:val="auto"/>
          <w:sz w:val="24"/>
          <w:highlight w:val="none"/>
          <w:u w:val="single"/>
          <w:shd w:val="clear" w:color="auto" w:fill="FFFFFF"/>
          <w:lang w:val="en-US" w:eastAsia="zh-CN"/>
        </w:rPr>
        <w:t>24</w:t>
      </w:r>
      <w:r>
        <w:rPr>
          <w:rFonts w:hint="eastAsia" w:ascii="宋体" w:hAnsi="宋体" w:cs="宋体"/>
          <w:color w:val="auto"/>
          <w:sz w:val="24"/>
          <w:highlight w:val="none"/>
          <w:u w:val="single"/>
          <w:shd w:val="clear" w:color="auto" w:fill="FFFFFF"/>
        </w:rPr>
        <w:t>日</w:t>
      </w:r>
      <w:r>
        <w:rPr>
          <w:rFonts w:hint="eastAsia" w:ascii="宋体" w:hAnsi="宋体" w:cs="宋体"/>
          <w:color w:val="auto"/>
          <w:sz w:val="24"/>
          <w:highlight w:val="none"/>
          <w:u w:val="single"/>
          <w:shd w:val="clear" w:color="auto" w:fill="FFFFFF"/>
          <w:lang w:val="en-US" w:eastAsia="zh-CN"/>
        </w:rPr>
        <w:t>9</w:t>
      </w:r>
      <w:r>
        <w:rPr>
          <w:rFonts w:hint="eastAsia" w:ascii="宋体" w:hAnsi="宋体" w:cs="宋体"/>
          <w:color w:val="auto"/>
          <w:sz w:val="24"/>
          <w:highlight w:val="none"/>
          <w:u w:val="single"/>
          <w:shd w:val="clear" w:color="auto" w:fill="FFFFFF"/>
        </w:rPr>
        <w:t>:</w:t>
      </w:r>
      <w:r>
        <w:rPr>
          <w:rFonts w:hint="eastAsia" w:ascii="宋体" w:hAnsi="宋体" w:cs="宋体"/>
          <w:color w:val="auto"/>
          <w:sz w:val="24"/>
          <w:highlight w:val="none"/>
          <w:u w:val="single"/>
          <w:shd w:val="clear" w:color="auto" w:fill="FFFFFF"/>
          <w:lang w:val="en-US" w:eastAsia="zh-CN"/>
        </w:rPr>
        <w:t>30</w:t>
      </w:r>
      <w:r>
        <w:rPr>
          <w:rFonts w:hint="eastAsia" w:ascii="宋体" w:hAnsi="宋体" w:cs="宋体"/>
          <w:color w:val="auto"/>
          <w:sz w:val="24"/>
          <w:highlight w:val="none"/>
          <w:shd w:val="clear" w:color="auto" w:fill="FFFFFF"/>
        </w:rPr>
        <w:t>（北京时间）前递交（上传）投标文件。</w:t>
      </w:r>
    </w:p>
    <w:p>
      <w:pPr>
        <w:pStyle w:val="20"/>
        <w:widowControl/>
        <w:numPr>
          <w:ilvl w:val="0"/>
          <w:numId w:val="1"/>
        </w:numPr>
        <w:shd w:val="clear"/>
        <w:spacing w:line="360" w:lineRule="auto"/>
        <w:rPr>
          <w:rFonts w:ascii="宋体" w:hAnsi="宋体" w:cs="宋体"/>
          <w:b/>
          <w:bCs/>
          <w:color w:val="auto"/>
          <w:sz w:val="28"/>
          <w:szCs w:val="28"/>
          <w:highlight w:val="none"/>
          <w:shd w:val="clear" w:color="auto" w:fill="FFFFFF"/>
        </w:rPr>
      </w:pPr>
      <w:r>
        <w:rPr>
          <w:rFonts w:hint="eastAsia" w:ascii="宋体" w:hAnsi="宋体" w:cs="宋体"/>
          <w:b/>
          <w:bCs/>
          <w:color w:val="auto"/>
          <w:sz w:val="28"/>
          <w:szCs w:val="28"/>
          <w:highlight w:val="none"/>
          <w:shd w:val="clear" w:color="auto" w:fill="FFFFFF"/>
        </w:rPr>
        <w:t>项目基本情况</w:t>
      </w:r>
    </w:p>
    <w:p>
      <w:pPr>
        <w:pStyle w:val="20"/>
        <w:widowControl/>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shd w:val="clear" w:color="auto" w:fill="FFFFFF"/>
        </w:rPr>
        <w:t>1、项目编号：</w:t>
      </w:r>
      <w:r>
        <w:rPr>
          <w:rFonts w:hint="eastAsia" w:ascii="宋体" w:hAnsi="宋体" w:cs="宋体"/>
          <w:color w:val="auto"/>
          <w:highlight w:val="none"/>
        </w:rPr>
        <w:t>ZJMD2022045GK</w:t>
      </w:r>
    </w:p>
    <w:p>
      <w:pPr>
        <w:pStyle w:val="20"/>
        <w:widowControl/>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shd w:val="clear" w:color="auto" w:fill="FFFFFF"/>
        </w:rPr>
        <w:t>2、项目名称：</w:t>
      </w:r>
      <w:r>
        <w:rPr>
          <w:rFonts w:hint="eastAsia" w:ascii="宋体" w:hAnsi="宋体" w:cs="宋体"/>
          <w:color w:val="auto"/>
          <w:highlight w:val="none"/>
        </w:rPr>
        <w:t>义乌市廿三里辖区路灯能源管理服务采购项目</w:t>
      </w:r>
    </w:p>
    <w:p>
      <w:pPr>
        <w:pStyle w:val="20"/>
        <w:widowControl/>
        <w:shd w:val="clear"/>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3、预算金额（元）：</w:t>
      </w:r>
      <w:r>
        <w:rPr>
          <w:rFonts w:hint="eastAsia" w:ascii="宋体" w:hAnsi="宋体" w:cs="宋体"/>
          <w:color w:val="auto"/>
          <w:highlight w:val="none"/>
          <w:shd w:val="clear" w:color="auto" w:fill="FFFFFF"/>
          <w:lang w:val="en-US" w:eastAsia="zh-CN"/>
        </w:rPr>
        <w:t>8910000</w:t>
      </w:r>
      <w:r>
        <w:rPr>
          <w:rFonts w:hint="eastAsia" w:ascii="宋体" w:hAnsi="宋体" w:cs="宋体"/>
          <w:color w:val="auto"/>
          <w:highlight w:val="none"/>
          <w:shd w:val="clear" w:color="auto" w:fill="FFFFFF"/>
        </w:rPr>
        <w:t>元 </w:t>
      </w:r>
    </w:p>
    <w:p>
      <w:pPr>
        <w:pStyle w:val="20"/>
        <w:widowControl/>
        <w:shd w:val="clear"/>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4、最高限价（元）：</w:t>
      </w:r>
      <w:r>
        <w:rPr>
          <w:rFonts w:hint="eastAsia" w:ascii="宋体" w:hAnsi="宋体" w:cs="宋体"/>
          <w:color w:val="auto"/>
          <w:highlight w:val="none"/>
          <w:shd w:val="clear" w:color="auto" w:fill="FFFFFF"/>
          <w:lang w:val="en-US" w:eastAsia="zh-CN"/>
        </w:rPr>
        <w:t>8910000</w:t>
      </w:r>
      <w:r>
        <w:rPr>
          <w:rFonts w:hint="eastAsia" w:ascii="宋体" w:hAnsi="宋体" w:cs="宋体"/>
          <w:color w:val="auto"/>
          <w:highlight w:val="none"/>
          <w:shd w:val="clear" w:color="auto" w:fill="FFFFFF"/>
        </w:rPr>
        <w:t>元 </w:t>
      </w:r>
    </w:p>
    <w:p>
      <w:pPr>
        <w:pStyle w:val="20"/>
        <w:widowControl/>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shd w:val="clear" w:color="auto" w:fill="FFFFFF"/>
        </w:rPr>
        <w:t>5、采购需求：                          </w:t>
      </w:r>
    </w:p>
    <w:tbl>
      <w:tblPr>
        <w:tblStyle w:val="22"/>
        <w:tblW w:w="52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73"/>
        <w:gridCol w:w="3005"/>
        <w:gridCol w:w="1047"/>
        <w:gridCol w:w="1760"/>
        <w:gridCol w:w="988"/>
        <w:gridCol w:w="1375"/>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 w:hRule="atLeast"/>
          <w:jc w:val="center"/>
        </w:trPr>
        <w:tc>
          <w:tcPr>
            <w:tcW w:w="527"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标项</w:t>
            </w:r>
          </w:p>
          <w:p>
            <w:pPr>
              <w:widowControl/>
              <w:shd w:val="clear"/>
              <w:wordWrap w:val="0"/>
              <w:snapToGrid w:val="0"/>
              <w:jc w:val="center"/>
              <w:rPr>
                <w:rFonts w:ascii="宋体" w:hAnsi="宋体" w:cs="宋体"/>
                <w:color w:val="auto"/>
                <w:sz w:val="24"/>
                <w:highlight w:val="none"/>
              </w:rPr>
            </w:pPr>
            <w:r>
              <w:rPr>
                <w:rFonts w:hint="eastAsia" w:ascii="宋体" w:hAnsi="宋体" w:cs="宋体"/>
                <w:color w:val="auto"/>
                <w:kern w:val="0"/>
                <w:sz w:val="24"/>
                <w:highlight w:val="none"/>
              </w:rPr>
              <w:t>序号</w:t>
            </w:r>
          </w:p>
        </w:tc>
        <w:tc>
          <w:tcPr>
            <w:tcW w:w="1475"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sz w:val="24"/>
                <w:highlight w:val="none"/>
              </w:rPr>
            </w:pPr>
            <w:r>
              <w:rPr>
                <w:rFonts w:hint="eastAsia" w:ascii="宋体" w:hAnsi="宋体" w:cs="宋体"/>
                <w:color w:val="auto"/>
                <w:kern w:val="0"/>
                <w:sz w:val="24"/>
                <w:highlight w:val="none"/>
              </w:rPr>
              <w:t>标项名称</w:t>
            </w:r>
          </w:p>
        </w:tc>
        <w:tc>
          <w:tcPr>
            <w:tcW w:w="514"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sz w:val="24"/>
                <w:highlight w:val="none"/>
              </w:rPr>
            </w:pPr>
            <w:r>
              <w:rPr>
                <w:rFonts w:hint="eastAsia" w:ascii="宋体" w:hAnsi="宋体" w:cs="宋体"/>
                <w:color w:val="auto"/>
                <w:kern w:val="0"/>
                <w:sz w:val="24"/>
                <w:highlight w:val="none"/>
              </w:rPr>
              <w:t>数量</w:t>
            </w:r>
          </w:p>
        </w:tc>
        <w:tc>
          <w:tcPr>
            <w:tcW w:w="864"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sz w:val="24"/>
                <w:highlight w:val="none"/>
              </w:rPr>
            </w:pPr>
            <w:r>
              <w:rPr>
                <w:rFonts w:hint="eastAsia" w:ascii="宋体" w:hAnsi="宋体" w:cs="宋体"/>
                <w:color w:val="auto"/>
                <w:kern w:val="0"/>
                <w:sz w:val="24"/>
                <w:highlight w:val="none"/>
              </w:rPr>
              <w:t>预算金额(元)</w:t>
            </w:r>
          </w:p>
        </w:tc>
        <w:tc>
          <w:tcPr>
            <w:tcW w:w="485"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sz w:val="24"/>
                <w:highlight w:val="none"/>
              </w:rPr>
            </w:pPr>
            <w:r>
              <w:rPr>
                <w:rFonts w:hint="eastAsia" w:ascii="宋体" w:hAnsi="宋体" w:cs="宋体"/>
                <w:color w:val="auto"/>
                <w:kern w:val="0"/>
                <w:sz w:val="24"/>
                <w:highlight w:val="none"/>
              </w:rPr>
              <w:t>单位</w:t>
            </w:r>
          </w:p>
        </w:tc>
        <w:tc>
          <w:tcPr>
            <w:tcW w:w="675"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sz w:val="24"/>
                <w:highlight w:val="none"/>
              </w:rPr>
            </w:pPr>
            <w:r>
              <w:rPr>
                <w:rFonts w:hint="eastAsia" w:ascii="宋体" w:hAnsi="宋体" w:cs="宋体"/>
                <w:color w:val="auto"/>
                <w:kern w:val="0"/>
                <w:sz w:val="24"/>
                <w:highlight w:val="none"/>
              </w:rPr>
              <w:t>简要规格描述</w:t>
            </w:r>
          </w:p>
        </w:tc>
        <w:tc>
          <w:tcPr>
            <w:tcW w:w="455"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sz w:val="24"/>
                <w:highlight w:val="none"/>
              </w:rPr>
            </w:pPr>
            <w:r>
              <w:rPr>
                <w:rFonts w:hint="eastAsia" w:ascii="宋体" w:hAnsi="宋体" w:cs="宋体"/>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2" w:hRule="atLeast"/>
          <w:jc w:val="center"/>
        </w:trPr>
        <w:tc>
          <w:tcPr>
            <w:tcW w:w="527"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75"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义乌市廿三里辖区路灯能源管理服务采购项目</w:t>
            </w:r>
          </w:p>
        </w:tc>
        <w:tc>
          <w:tcPr>
            <w:tcW w:w="514"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864" w:type="pct"/>
            <w:tcMar>
              <w:top w:w="75" w:type="dxa"/>
              <w:left w:w="150" w:type="dxa"/>
              <w:bottom w:w="75" w:type="dxa"/>
              <w:right w:w="150" w:type="dxa"/>
            </w:tcMar>
            <w:vAlign w:val="center"/>
          </w:tcPr>
          <w:p>
            <w:pPr>
              <w:widowControl/>
              <w:shd w:val="clear"/>
              <w:wordWrap w:val="0"/>
              <w:snapToGrid w:val="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8910000</w:t>
            </w:r>
          </w:p>
        </w:tc>
        <w:tc>
          <w:tcPr>
            <w:tcW w:w="485"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sz w:val="24"/>
                <w:highlight w:val="none"/>
              </w:rPr>
            </w:pPr>
            <w:r>
              <w:rPr>
                <w:rFonts w:hint="eastAsia" w:ascii="宋体" w:hAnsi="宋体" w:cs="宋体"/>
                <w:color w:val="auto"/>
                <w:kern w:val="0"/>
                <w:sz w:val="24"/>
                <w:highlight w:val="none"/>
              </w:rPr>
              <w:t>年</w:t>
            </w:r>
          </w:p>
        </w:tc>
        <w:tc>
          <w:tcPr>
            <w:tcW w:w="675"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sz w:val="24"/>
                <w:highlight w:val="none"/>
              </w:rPr>
            </w:pPr>
            <w:r>
              <w:rPr>
                <w:rFonts w:hint="eastAsia" w:ascii="宋体" w:hAnsi="宋体" w:cs="宋体"/>
                <w:color w:val="auto"/>
                <w:kern w:val="0"/>
                <w:sz w:val="24"/>
                <w:highlight w:val="none"/>
              </w:rPr>
              <w:t>详见采购文件</w:t>
            </w:r>
          </w:p>
        </w:tc>
        <w:tc>
          <w:tcPr>
            <w:tcW w:w="455"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sz w:val="24"/>
                <w:highlight w:val="none"/>
              </w:rPr>
            </w:pPr>
          </w:p>
        </w:tc>
      </w:tr>
    </w:tbl>
    <w:p>
      <w:pPr>
        <w:pStyle w:val="20"/>
        <w:widowControl/>
        <w:shd w:val="clear"/>
        <w:spacing w:line="360" w:lineRule="auto"/>
        <w:rPr>
          <w:rFonts w:ascii="宋体" w:hAnsi="宋体" w:cs="宋体"/>
          <w:b/>
          <w:bCs/>
          <w:color w:val="auto"/>
          <w:sz w:val="28"/>
          <w:szCs w:val="28"/>
          <w:highlight w:val="none"/>
          <w:shd w:val="clear" w:color="auto" w:fill="FFFFFF"/>
        </w:rPr>
      </w:pPr>
      <w:r>
        <w:rPr>
          <w:rFonts w:hint="eastAsia" w:ascii="宋体" w:hAnsi="宋体" w:cs="宋体"/>
          <w:b/>
          <w:bCs/>
          <w:color w:val="auto"/>
          <w:sz w:val="28"/>
          <w:szCs w:val="28"/>
          <w:highlight w:val="none"/>
          <w:shd w:val="clear" w:color="auto" w:fill="FFFFFF"/>
        </w:rPr>
        <w:t>二、申请人的资格要求：</w:t>
      </w:r>
    </w:p>
    <w:p>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1、满足《中华人民共和国政府采购法》第二十二条规定或符合浙财采监【2013】24号《关于规范政府采购投标人资格设定及资格审查的通知》第六条规定的投标人；</w:t>
      </w:r>
    </w:p>
    <w:p>
      <w:pPr>
        <w:shd w:val="clear"/>
        <w:spacing w:line="400" w:lineRule="exact"/>
        <w:ind w:firstLine="480" w:firstLineChars="200"/>
        <w:rPr>
          <w:color w:val="auto"/>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本项目专门面向中小企业；</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参加本次政府采购活动前三年内，在经营活动中没有重大违法记录，同时供应商无以下不良行为：开标当日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供应商自2019年01月01日起到中标公告期结束前无行贿犯罪记录［评审结束后，发放成交通知书前由采购人通过中国裁判文书网（http://wenshu.court.gov.cn/）按照采购文件约定对拟中标人的行贿犯罪记录进行查询，查询结果以网站页面显示内容为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根据《关于在全市公共资源交易活动中应用信用报告的通知》（义行服管〔2017〕17号）的规定，综合信用报告评级不属于D类或E类的（无信用评价供应商不受此项条件限制，查询结果以开标当日网站页面显示内容为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、单位负责人为同一人或者存在直接控股、管理关系的不同供应商，不得参加同一合同项下（同一标项）的政府采购活动；</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 xml:space="preserve">、为采购项目提供整体设计、规范编制或者项目管理、监理、检测等服务的供应商，不得再参加该采购项目的其他采购活动；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 xml:space="preserve">、本项目接受联合体投标； </w:t>
      </w:r>
    </w:p>
    <w:p>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.公益一类事业单位不属于政府购买服务的承接主体，不得参与承接购买服务。</w:t>
      </w:r>
    </w:p>
    <w:p>
      <w:pPr>
        <w:pStyle w:val="20"/>
        <w:widowControl/>
        <w:shd w:val="clear"/>
        <w:spacing w:line="360" w:lineRule="auto"/>
        <w:jc w:val="left"/>
        <w:rPr>
          <w:rFonts w:ascii="宋体" w:hAnsi="宋体" w:cs="宋体"/>
          <w:b/>
          <w:bCs/>
          <w:color w:val="auto"/>
          <w:sz w:val="28"/>
          <w:szCs w:val="28"/>
          <w:highlight w:val="none"/>
          <w:shd w:val="clear" w:color="auto" w:fill="FFFFFF"/>
        </w:rPr>
      </w:pPr>
      <w:r>
        <w:rPr>
          <w:rFonts w:hint="eastAsia" w:ascii="宋体" w:hAnsi="宋体" w:cs="宋体"/>
          <w:b/>
          <w:bCs/>
          <w:color w:val="auto"/>
          <w:sz w:val="28"/>
          <w:szCs w:val="28"/>
          <w:highlight w:val="none"/>
          <w:shd w:val="clear" w:color="auto" w:fill="FFFFFF"/>
        </w:rPr>
        <w:t>三、获取采购文件</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获取时间：公告发布日期至2022年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日（开标截止当天为</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），每天上午00:00至12:00，下午12:00至23:59（北京时间，线上获取法定节假日均可，线下获取文件法定节假日除外）</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获取地点（网址）：浙江政府采购网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获取方式：登录浙江政府采购网账号获取或直接在招标公告下方获取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售价（元）：0</w:t>
      </w:r>
    </w:p>
    <w:p>
      <w:pPr>
        <w:pStyle w:val="20"/>
        <w:widowControl/>
        <w:shd w:val="clear"/>
        <w:spacing w:line="360" w:lineRule="auto"/>
        <w:jc w:val="left"/>
        <w:rPr>
          <w:rFonts w:ascii="宋体" w:hAnsi="宋体" w:cs="宋体"/>
          <w:b/>
          <w:bCs/>
          <w:color w:val="auto"/>
          <w:sz w:val="28"/>
          <w:szCs w:val="28"/>
          <w:highlight w:val="none"/>
          <w:shd w:val="clear" w:color="auto" w:fill="FFFFFF"/>
        </w:rPr>
      </w:pPr>
      <w:r>
        <w:rPr>
          <w:rFonts w:hint="eastAsia" w:ascii="宋体" w:hAnsi="宋体" w:cs="宋体"/>
          <w:b/>
          <w:bCs/>
          <w:color w:val="auto"/>
          <w:sz w:val="28"/>
          <w:szCs w:val="28"/>
          <w:highlight w:val="none"/>
          <w:shd w:val="clear" w:color="auto" w:fill="FFFFFF"/>
        </w:rPr>
        <w:t>四、提交投标文件截止时间、开标时间和地点</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提交投标文件截止时间：2022年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（北京时间）</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投标地点（网址）：登录浙江政府采购网上传电子投标文件 </w:t>
      </w:r>
    </w:p>
    <w:p>
      <w:pPr>
        <w:shd w:val="clea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开标时间：2022年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开标地点（网址）：义乌市望道路300号行政服务中心四楼电子开标室。</w:t>
      </w:r>
    </w:p>
    <w:p>
      <w:pPr>
        <w:pStyle w:val="20"/>
        <w:widowControl/>
        <w:shd w:val="clear"/>
        <w:spacing w:line="360" w:lineRule="auto"/>
        <w:jc w:val="left"/>
        <w:rPr>
          <w:rFonts w:ascii="宋体" w:hAnsi="宋体" w:cs="宋体"/>
          <w:b/>
          <w:bCs/>
          <w:color w:val="auto"/>
          <w:sz w:val="28"/>
          <w:szCs w:val="28"/>
          <w:highlight w:val="none"/>
          <w:shd w:val="clear" w:color="auto" w:fill="FFFFFF"/>
        </w:rPr>
      </w:pPr>
      <w:r>
        <w:rPr>
          <w:rFonts w:hint="eastAsia" w:ascii="宋体" w:hAnsi="宋体" w:cs="宋体"/>
          <w:b/>
          <w:bCs/>
          <w:color w:val="auto"/>
          <w:sz w:val="28"/>
          <w:szCs w:val="28"/>
          <w:highlight w:val="none"/>
          <w:shd w:val="clear" w:color="auto" w:fill="FFFFFF"/>
        </w:rPr>
        <w:t>五、公告期限</w:t>
      </w:r>
    </w:p>
    <w:p>
      <w:pPr>
        <w:pStyle w:val="20"/>
        <w:widowControl/>
        <w:shd w:val="clear"/>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自本公告发布之日起5个工作日。</w:t>
      </w:r>
    </w:p>
    <w:p>
      <w:pPr>
        <w:pStyle w:val="20"/>
        <w:widowControl/>
        <w:shd w:val="clear"/>
        <w:spacing w:line="360" w:lineRule="auto"/>
        <w:jc w:val="left"/>
        <w:rPr>
          <w:rFonts w:ascii="宋体" w:hAnsi="宋体" w:cs="宋体"/>
          <w:b/>
          <w:bCs/>
          <w:color w:val="auto"/>
          <w:sz w:val="28"/>
          <w:szCs w:val="28"/>
          <w:highlight w:val="none"/>
          <w:shd w:val="clear" w:color="auto" w:fill="FFFFFF"/>
        </w:rPr>
      </w:pPr>
      <w:r>
        <w:rPr>
          <w:rFonts w:hint="eastAsia" w:ascii="宋体" w:hAnsi="宋体" w:cs="宋体"/>
          <w:b/>
          <w:bCs/>
          <w:color w:val="auto"/>
          <w:sz w:val="28"/>
          <w:szCs w:val="28"/>
          <w:highlight w:val="none"/>
          <w:shd w:val="clear" w:color="auto" w:fill="FFFFFF"/>
        </w:rPr>
        <w:t>六、其他补充事宜</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①本项目实行网上投标，以潜在投标人身份获取文件后投标人即可参投，投标方在投标截止时间之前上传电子投标文件。投标人参与投标，需自行承担投标一切费用。</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②标前准备：各投标人应在开标前确保成为浙江省政府采购网正式注册入库供应商，并完成CA数字证书办理。【办理流程详见</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https://middle.zcygov.cn/v-settle-front/registry下载，（目前“政采云”平台仅支持浙江汇信或天谷CA锁，个体工商户投标仅支持浙江汇信CA锁），申领操作流程】。因未注册入库、未办理CA数字证书等原因造成无法投标或投标失败等后果由供应商自行承担。</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投标文件制作：投标人通过“政采云”平台电子投标工具制作投标文件，电子投标工具请供应商自行前往https://middle.zcygov.cn/v-settle-front/registry下载并安装，投标文件制作具体流程详见“政采云供应商项目采购-电子招投标操作指南”（请投标供应商登录政采云平台政府采购电子卖场后，点击链接https://service.zcygov.cn/#/knowledges/CW1EtGwBFdiHxlNd6I3m/6IMVAG0BFdiHxlNdQ8Na）以获取最新操作指南。　　　　</w:t>
      </w:r>
    </w:p>
    <w:p>
      <w:pPr>
        <w:pStyle w:val="20"/>
        <w:widowControl/>
        <w:shd w:val="clear"/>
        <w:spacing w:line="360" w:lineRule="auto"/>
        <w:rPr>
          <w:rFonts w:ascii="宋体" w:hAnsi="宋体" w:cs="宋体"/>
          <w:color w:val="auto"/>
          <w:highlight w:val="none"/>
        </w:rPr>
      </w:pPr>
      <w:r>
        <w:rPr>
          <w:rFonts w:hint="eastAsia" w:ascii="宋体" w:hAnsi="宋体" w:cs="宋体"/>
          <w:b/>
          <w:bCs/>
          <w:color w:val="auto"/>
          <w:sz w:val="28"/>
          <w:szCs w:val="28"/>
          <w:highlight w:val="none"/>
          <w:shd w:val="clear" w:color="auto" w:fill="FFFFFF"/>
        </w:rPr>
        <w:t>七、对本次招标提出询问、质疑、投诉，请按以下方式联系。　　</w:t>
      </w:r>
      <w:r>
        <w:rPr>
          <w:rFonts w:hint="eastAsia" w:ascii="宋体" w:hAnsi="宋体" w:cs="宋体"/>
          <w:color w:val="auto"/>
          <w:highlight w:val="none"/>
          <w:shd w:val="clear" w:color="auto" w:fill="FFFFFF"/>
        </w:rPr>
        <w:t>　　　　　　　　　　</w:t>
      </w:r>
    </w:p>
    <w:p>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shd w:val="clea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义乌市人民政府廿三里街道办事处</w:t>
      </w:r>
    </w:p>
    <w:p>
      <w:pPr>
        <w:shd w:val="clear"/>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u w:val="single"/>
          <w:lang w:val="en-US" w:eastAsia="zh-CN"/>
        </w:rPr>
        <w:t>吕先生</w:t>
      </w:r>
    </w:p>
    <w:p>
      <w:pPr>
        <w:shd w:val="clear"/>
        <w:spacing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u w:val="single"/>
          <w:lang w:val="en-US" w:eastAsia="zh-CN"/>
        </w:rPr>
        <w:t>13516892070</w:t>
      </w:r>
    </w:p>
    <w:p>
      <w:pPr>
        <w:shd w:val="clear"/>
        <w:spacing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u w:val="single"/>
          <w:lang w:val="en-US" w:eastAsia="zh-CN"/>
        </w:rPr>
        <w:t>王先生</w:t>
      </w:r>
    </w:p>
    <w:p>
      <w:pPr>
        <w:shd w:val="clear"/>
        <w:spacing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0579-85018051</w:t>
      </w:r>
    </w:p>
    <w:p>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 浙江明达工程造价咨询有限公司</w:t>
      </w:r>
      <w:r>
        <w:rPr>
          <w:rFonts w:hint="eastAsia" w:ascii="宋体" w:hAnsi="宋体" w:cs="宋体"/>
          <w:color w:val="auto"/>
          <w:sz w:val="24"/>
          <w:highlight w:val="none"/>
        </w:rPr>
        <w:t>　　　　　　　　　　　</w:t>
      </w:r>
    </w:p>
    <w:p>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    址： </w:t>
      </w:r>
      <w:r>
        <w:rPr>
          <w:rFonts w:hint="eastAsia" w:ascii="宋体" w:hAnsi="宋体" w:cs="宋体"/>
          <w:color w:val="auto"/>
          <w:sz w:val="24"/>
          <w:highlight w:val="none"/>
          <w:u w:val="single"/>
        </w:rPr>
        <w:t>义乌市雪峰西路968号科技大楼A区6楼</w:t>
      </w:r>
    </w:p>
    <w:p>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u w:val="single"/>
        </w:rPr>
        <w:t>吕茜美</w:t>
      </w:r>
      <w:r>
        <w:rPr>
          <w:rFonts w:hint="eastAsia" w:ascii="宋体" w:hAnsi="宋体" w:cs="宋体"/>
          <w:color w:val="auto"/>
          <w:sz w:val="24"/>
          <w:highlight w:val="none"/>
        </w:rPr>
        <w:t xml:space="preserve"> </w:t>
      </w:r>
    </w:p>
    <w:p>
      <w:pPr>
        <w:shd w:val="clea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项目联系方式（询问）：</w:t>
      </w:r>
      <w:r>
        <w:rPr>
          <w:rFonts w:hint="eastAsia" w:ascii="宋体" w:hAnsi="宋体" w:cs="宋体"/>
          <w:color w:val="auto"/>
          <w:sz w:val="24"/>
          <w:highlight w:val="none"/>
          <w:u w:val="single"/>
        </w:rPr>
        <w:t>18157970625</w:t>
      </w:r>
    </w:p>
    <w:p>
      <w:pPr>
        <w:shd w:val="clea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质疑联系人：</w:t>
      </w:r>
      <w:r>
        <w:rPr>
          <w:rFonts w:hint="eastAsia" w:ascii="宋体" w:hAnsi="宋体" w:cs="宋体"/>
          <w:color w:val="auto"/>
          <w:sz w:val="24"/>
          <w:highlight w:val="none"/>
          <w:u w:val="single"/>
          <w:lang w:val="en-US" w:eastAsia="zh-CN"/>
        </w:rPr>
        <w:t>吴志豪</w:t>
      </w:r>
    </w:p>
    <w:p>
      <w:pPr>
        <w:shd w:val="clea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质疑联系方式：</w:t>
      </w:r>
      <w:r>
        <w:rPr>
          <w:rFonts w:hint="eastAsia" w:ascii="宋体" w:hAnsi="宋体" w:cs="宋体"/>
          <w:color w:val="auto"/>
          <w:sz w:val="24"/>
          <w:highlight w:val="none"/>
          <w:u w:val="single"/>
          <w:lang w:val="en-US" w:eastAsia="zh-CN"/>
        </w:rPr>
        <w:t>18868804803</w:t>
      </w:r>
    </w:p>
    <w:p>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3.同级政府采购监督管理部门</w:t>
      </w:r>
    </w:p>
    <w:p>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义乌市财政局</w:t>
      </w:r>
      <w:r>
        <w:rPr>
          <w:rFonts w:hint="eastAsia" w:ascii="宋体" w:hAnsi="宋体" w:cs="宋体"/>
          <w:color w:val="auto"/>
          <w:sz w:val="24"/>
          <w:highlight w:val="none"/>
        </w:rPr>
        <w:t>　　　　　　　　</w:t>
      </w:r>
    </w:p>
    <w:p>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cs="宋体"/>
          <w:color w:val="auto"/>
          <w:sz w:val="24"/>
          <w:highlight w:val="none"/>
          <w:u w:val="single"/>
        </w:rPr>
        <w:t> 骆女士</w:t>
      </w:r>
      <w:r>
        <w:rPr>
          <w:rFonts w:hint="eastAsia" w:ascii="宋体" w:hAnsi="宋体" w:cs="宋体"/>
          <w:color w:val="auto"/>
          <w:sz w:val="24"/>
          <w:highlight w:val="none"/>
        </w:rPr>
        <w:t>　　　　　　　　　　</w:t>
      </w:r>
    </w:p>
    <w:p>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cs="宋体"/>
          <w:color w:val="auto"/>
          <w:sz w:val="24"/>
          <w:highlight w:val="none"/>
          <w:u w:val="single"/>
        </w:rPr>
        <w:t>0579—89915066</w:t>
      </w:r>
      <w:r>
        <w:rPr>
          <w:rFonts w:hint="eastAsia" w:ascii="宋体" w:hAnsi="宋体" w:cs="宋体"/>
          <w:color w:val="auto"/>
          <w:sz w:val="24"/>
          <w:highlight w:val="none"/>
        </w:rPr>
        <w:t>　</w:t>
      </w:r>
    </w:p>
    <w:p>
      <w:pPr>
        <w:shd w:val="clear"/>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br w:type="page"/>
      </w:r>
      <w:r>
        <w:rPr>
          <w:rFonts w:hint="eastAsia" w:ascii="宋体" w:hAnsi="宋体" w:eastAsia="宋体" w:cs="宋体"/>
          <w:b/>
          <w:bCs/>
          <w:color w:val="auto"/>
          <w:kern w:val="44"/>
          <w:sz w:val="36"/>
          <w:szCs w:val="44"/>
          <w:highlight w:val="none"/>
          <w:lang w:val="en-US" w:eastAsia="zh-CN" w:bidi="ar-SA"/>
        </w:rPr>
        <w:t>第二章　投标须知和投标须知前附表</w:t>
      </w:r>
    </w:p>
    <w:p>
      <w:pPr>
        <w:shd w:val="clea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投标须知前附表</w:t>
      </w:r>
    </w:p>
    <w:tbl>
      <w:tblPr>
        <w:tblStyle w:val="22"/>
        <w:tblW w:w="10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409"/>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01" w:type="dxa"/>
            <w:vAlign w:val="center"/>
          </w:tcPr>
          <w:p>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438" w:type="dxa"/>
            <w:gridSpan w:val="2"/>
            <w:vAlign w:val="center"/>
          </w:tcPr>
          <w:p>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801" w:type="dxa"/>
            <w:vAlign w:val="center"/>
          </w:tcPr>
          <w:p>
            <w:pPr>
              <w:shd w:val="clear"/>
              <w:snapToGrid w:val="0"/>
              <w:ind w:firstLine="240" w:firstLineChars="100"/>
              <w:rPr>
                <w:rFonts w:ascii="宋体" w:hAnsi="宋体" w:cs="宋体"/>
                <w:color w:val="auto"/>
                <w:sz w:val="24"/>
                <w:highlight w:val="none"/>
              </w:rPr>
            </w:pPr>
            <w:r>
              <w:rPr>
                <w:rFonts w:hint="eastAsia" w:ascii="宋体" w:hAnsi="宋体" w:cs="宋体"/>
                <w:color w:val="auto"/>
                <w:sz w:val="24"/>
                <w:highlight w:val="none"/>
              </w:rPr>
              <w:t>1</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项目综合</w:t>
            </w:r>
          </w:p>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说明</w:t>
            </w:r>
          </w:p>
        </w:tc>
        <w:tc>
          <w:tcPr>
            <w:tcW w:w="7029" w:type="dxa"/>
            <w:vAlign w:val="center"/>
          </w:tcPr>
          <w:p>
            <w:pPr>
              <w:shd w:val="clear"/>
              <w:snapToGrid w:val="0"/>
              <w:spacing w:before="156"/>
              <w:jc w:val="left"/>
              <w:rPr>
                <w:rFonts w:ascii="宋体" w:hAnsi="宋体" w:cs="宋体"/>
                <w:b/>
                <w:bCs/>
                <w:color w:val="auto"/>
                <w:sz w:val="48"/>
                <w:szCs w:val="48"/>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：义乌市廿三里辖区路灯能源管理服务采购项目</w:t>
            </w:r>
          </w:p>
          <w:p>
            <w:pPr>
              <w:shd w:val="clear"/>
              <w:snapToGrid w:val="0"/>
              <w:spacing w:line="400" w:lineRule="exact"/>
              <w:rPr>
                <w:rFonts w:ascii="宋体" w:hAnsi="宋体" w:cs="宋体"/>
                <w:color w:val="auto"/>
                <w:sz w:val="24"/>
                <w:highlight w:val="none"/>
              </w:rPr>
            </w:pPr>
            <w:r>
              <w:rPr>
                <w:rFonts w:hint="eastAsia" w:ascii="宋体" w:hAnsi="宋体" w:cs="宋体"/>
                <w:b/>
                <w:color w:val="auto"/>
                <w:sz w:val="24"/>
                <w:highlight w:val="none"/>
              </w:rPr>
              <w:t>采购内容及数量:</w:t>
            </w:r>
            <w:r>
              <w:rPr>
                <w:rFonts w:hint="eastAsia" w:ascii="宋体" w:hAnsi="宋体" w:cs="宋体"/>
                <w:color w:val="auto"/>
                <w:sz w:val="24"/>
                <w:highlight w:val="none"/>
              </w:rPr>
              <w:t>廿三里辖区路灯能源管理服务，对廿三里全域高压钠灯具2197套进行LED灯具升级，并对其老旧载体1678盏路灯进行单灯智慧管控，对辖区内25台箱变进行智慧化控制提升，建设具备可远程控制平台，可与区智慧平台</w:t>
            </w:r>
            <w:r>
              <w:rPr>
                <w:rFonts w:hint="eastAsia" w:ascii="宋体" w:hAnsi="宋体" w:cs="宋体"/>
                <w:color w:val="auto"/>
                <w:sz w:val="24"/>
                <w:highlight w:val="none"/>
                <w:lang w:val="en-US" w:eastAsia="zh-CN"/>
              </w:rPr>
              <w:t>了解</w:t>
            </w:r>
            <w:r>
              <w:rPr>
                <w:rFonts w:hint="eastAsia" w:ascii="宋体" w:hAnsi="宋体" w:cs="宋体"/>
                <w:color w:val="auto"/>
                <w:sz w:val="24"/>
                <w:highlight w:val="none"/>
              </w:rPr>
              <w:t>并信息共享。具体内容及要求详见采购文件第三章《采购项目需求》。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招标方式</w:t>
            </w:r>
          </w:p>
        </w:tc>
        <w:tc>
          <w:tcPr>
            <w:tcW w:w="7029"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3"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投标单位资格要求</w:t>
            </w:r>
          </w:p>
        </w:tc>
        <w:tc>
          <w:tcPr>
            <w:tcW w:w="7029" w:type="dxa"/>
            <w:vAlign w:val="center"/>
          </w:tcPr>
          <w:p>
            <w:pPr>
              <w:shd w:val="clear"/>
              <w:snapToGrid w:val="0"/>
              <w:spacing w:line="240" w:lineRule="exact"/>
              <w:rPr>
                <w:rFonts w:ascii="宋体" w:hAnsi="宋体" w:cs="宋体"/>
                <w:color w:val="auto"/>
                <w:sz w:val="24"/>
                <w:highlight w:val="none"/>
              </w:rPr>
            </w:pPr>
            <w:r>
              <w:rPr>
                <w:rFonts w:hint="eastAsia" w:ascii="宋体" w:hAnsi="宋体" w:cs="宋体"/>
                <w:color w:val="auto"/>
                <w:kern w:val="0"/>
                <w:sz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服务期限</w:t>
            </w:r>
          </w:p>
        </w:tc>
        <w:tc>
          <w:tcPr>
            <w:tcW w:w="7029" w:type="dxa"/>
            <w:vAlign w:val="center"/>
          </w:tcPr>
          <w:p>
            <w:pPr>
              <w:shd w:val="clear"/>
              <w:snapToGrid w:val="0"/>
              <w:jc w:val="left"/>
              <w:rPr>
                <w:rFonts w:ascii="宋体" w:hAnsi="宋体" w:cs="宋体"/>
                <w:color w:val="auto"/>
                <w:sz w:val="24"/>
                <w:highlight w:val="none"/>
              </w:rPr>
            </w:pPr>
            <w:r>
              <w:rPr>
                <w:rFonts w:hint="eastAsia" w:ascii="宋体" w:hAnsi="宋体" w:cs="宋体"/>
                <w:color w:val="auto"/>
                <w:sz w:val="24"/>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采购文件发售时间和地点</w:t>
            </w:r>
          </w:p>
        </w:tc>
        <w:tc>
          <w:tcPr>
            <w:tcW w:w="7029"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现场踏勘时间</w:t>
            </w:r>
          </w:p>
        </w:tc>
        <w:tc>
          <w:tcPr>
            <w:tcW w:w="7029" w:type="dxa"/>
            <w:vAlign w:val="center"/>
          </w:tcPr>
          <w:p>
            <w:pPr>
              <w:shd w:val="clear"/>
              <w:snapToGrid w:val="0"/>
              <w:rPr>
                <w:rFonts w:ascii="宋体" w:hAnsi="宋体" w:cs="宋体"/>
                <w:color w:val="auto"/>
                <w:sz w:val="24"/>
                <w:highlight w:val="none"/>
              </w:rPr>
            </w:pPr>
            <w:r>
              <w:rPr>
                <w:rFonts w:hint="eastAsia" w:ascii="宋体" w:hAnsi="宋体" w:cs="宋体"/>
                <w:b/>
                <w:bCs/>
                <w:color w:val="auto"/>
                <w:sz w:val="24"/>
                <w:highlight w:val="none"/>
              </w:rPr>
              <w:t>投标前，投标人</w:t>
            </w:r>
            <w:r>
              <w:rPr>
                <w:rFonts w:hint="eastAsia" w:ascii="宋体" w:hAnsi="宋体" w:cs="宋体"/>
                <w:b/>
                <w:bCs/>
                <w:color w:val="auto"/>
                <w:sz w:val="24"/>
                <w:highlight w:val="none"/>
                <w:lang w:val="en-US" w:eastAsia="zh-CN"/>
              </w:rPr>
              <w:t>可</w:t>
            </w:r>
            <w:r>
              <w:rPr>
                <w:rFonts w:hint="eastAsia" w:ascii="宋体" w:hAnsi="宋体" w:cs="宋体"/>
                <w:b/>
                <w:bCs/>
                <w:color w:val="auto"/>
                <w:sz w:val="24"/>
                <w:highlight w:val="none"/>
              </w:rPr>
              <w:t>自行到项目所在地予以踏勘，对项目实施现场及周边环境等进行勘察，以获取编制投标文件和签署合同所需的所有资料，否则，由此所造成的一切后果由投标人自行承担。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招标答疑截止时间</w:t>
            </w:r>
          </w:p>
        </w:tc>
        <w:tc>
          <w:tcPr>
            <w:tcW w:w="7029"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7029"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自开标之日起60天（日历天）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2"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投标文件递交地点</w:t>
            </w:r>
          </w:p>
        </w:tc>
        <w:tc>
          <w:tcPr>
            <w:tcW w:w="7029"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登录浙江政府采购网“政采云”平台上上传电子投标文件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0"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上传电子投标文件时间</w:t>
            </w:r>
          </w:p>
        </w:tc>
        <w:tc>
          <w:tcPr>
            <w:tcW w:w="7029" w:type="dxa"/>
            <w:vAlign w:val="center"/>
          </w:tcPr>
          <w:p>
            <w:pPr>
              <w:pStyle w:val="13"/>
              <w:shd w:val="clear"/>
              <w:snapToGrid w:val="0"/>
              <w:spacing w:line="460" w:lineRule="exact"/>
              <w:rPr>
                <w:rFonts w:hAnsi="宋体" w:cs="宋体"/>
                <w:b/>
                <w:bCs/>
                <w:color w:val="auto"/>
                <w:sz w:val="24"/>
                <w:szCs w:val="24"/>
                <w:highlight w:val="none"/>
              </w:rPr>
            </w:pPr>
            <w:r>
              <w:rPr>
                <w:rFonts w:hint="eastAsia" w:hAnsi="宋体" w:cs="宋体"/>
                <w:color w:val="auto"/>
                <w:sz w:val="24"/>
                <w:highlight w:val="none"/>
              </w:rPr>
              <w:t>投标人应于2022年</w:t>
            </w:r>
            <w:r>
              <w:rPr>
                <w:rFonts w:hint="eastAsia" w:hAnsi="宋体" w:cs="宋体"/>
                <w:color w:val="auto"/>
                <w:sz w:val="24"/>
                <w:highlight w:val="none"/>
                <w:lang w:val="en-US" w:eastAsia="zh-CN"/>
              </w:rPr>
              <w:t>11</w:t>
            </w:r>
            <w:r>
              <w:rPr>
                <w:rFonts w:hint="eastAsia" w:hAnsi="宋体" w:cs="宋体"/>
                <w:color w:val="auto"/>
                <w:sz w:val="24"/>
                <w:highlight w:val="none"/>
              </w:rPr>
              <w:t>月</w:t>
            </w:r>
            <w:r>
              <w:rPr>
                <w:rFonts w:hint="eastAsia" w:hAnsi="宋体" w:cs="宋体"/>
                <w:color w:val="auto"/>
                <w:sz w:val="24"/>
                <w:highlight w:val="none"/>
                <w:lang w:val="en-US" w:eastAsia="zh-CN"/>
              </w:rPr>
              <w:t>24</w:t>
            </w:r>
            <w:r>
              <w:rPr>
                <w:rFonts w:hint="eastAsia" w:hAnsi="宋体" w:cs="宋体"/>
                <w:color w:val="auto"/>
                <w:sz w:val="24"/>
                <w:highlight w:val="none"/>
              </w:rPr>
              <w:t>日</w:t>
            </w:r>
            <w:r>
              <w:rPr>
                <w:rFonts w:hint="eastAsia" w:hAnsi="宋体" w:cs="宋体"/>
                <w:color w:val="auto"/>
                <w:sz w:val="24"/>
                <w:highlight w:val="none"/>
                <w:lang w:val="en-US" w:eastAsia="zh-CN"/>
              </w:rPr>
              <w:t>9</w:t>
            </w:r>
            <w:r>
              <w:rPr>
                <w:rFonts w:hint="eastAsia" w:hAnsi="宋体" w:cs="宋体"/>
                <w:color w:val="auto"/>
                <w:sz w:val="24"/>
                <w:highlight w:val="none"/>
              </w:rPr>
              <w:t>:</w:t>
            </w:r>
            <w:r>
              <w:rPr>
                <w:rFonts w:hint="eastAsia" w:hAnsi="宋体" w:cs="宋体"/>
                <w:color w:val="auto"/>
                <w:sz w:val="24"/>
                <w:highlight w:val="none"/>
                <w:lang w:val="en-US" w:eastAsia="zh-CN"/>
              </w:rPr>
              <w:t>30</w:t>
            </w:r>
            <w:r>
              <w:rPr>
                <w:rFonts w:hint="eastAsia" w:hAnsi="宋体" w:cs="宋体"/>
                <w:color w:val="auto"/>
                <w:sz w:val="24"/>
                <w:highlight w:val="none"/>
              </w:rPr>
              <w:t>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投标保证金</w:t>
            </w:r>
          </w:p>
        </w:tc>
        <w:tc>
          <w:tcPr>
            <w:tcW w:w="7029" w:type="dxa"/>
            <w:vAlign w:val="center"/>
          </w:tcPr>
          <w:p>
            <w:pPr>
              <w:shd w:val="clear"/>
              <w:snapToGrid w:val="0"/>
              <w:spacing w:line="360" w:lineRule="exact"/>
              <w:rPr>
                <w:rFonts w:ascii="宋体" w:hAnsi="宋体" w:cs="宋体"/>
                <w:color w:val="auto"/>
                <w:sz w:val="24"/>
                <w:highlight w:val="none"/>
              </w:rPr>
            </w:pPr>
            <w:r>
              <w:rPr>
                <w:rFonts w:hint="eastAsia" w:ascii="宋体" w:hAnsi="宋体" w:cs="宋体"/>
                <w:b/>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12</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开标时间</w:t>
            </w:r>
          </w:p>
        </w:tc>
        <w:tc>
          <w:tcPr>
            <w:tcW w:w="7029"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开标时间：2022年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13</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开标地点</w:t>
            </w:r>
          </w:p>
        </w:tc>
        <w:tc>
          <w:tcPr>
            <w:tcW w:w="7029" w:type="dxa"/>
            <w:vAlign w:val="center"/>
          </w:tcPr>
          <w:p>
            <w:pPr>
              <w:shd w:val="clear"/>
              <w:snapToGrid w:val="0"/>
              <w:rPr>
                <w:rFonts w:ascii="宋体" w:hAnsi="宋体" w:cs="宋体"/>
                <w:b/>
                <w:bCs/>
                <w:color w:val="auto"/>
                <w:sz w:val="24"/>
                <w:highlight w:val="none"/>
              </w:rPr>
            </w:pPr>
            <w:r>
              <w:rPr>
                <w:rFonts w:hint="eastAsia" w:ascii="宋体" w:hAnsi="宋体" w:cs="宋体"/>
                <w:b/>
                <w:bCs/>
                <w:color w:val="auto"/>
                <w:sz w:val="24"/>
                <w:highlight w:val="none"/>
              </w:rPr>
              <w:t>开标地点：义乌市望道路300号义乌市行政服务中心大楼4楼电子开标室</w:t>
            </w:r>
          </w:p>
          <w:p>
            <w:pPr>
              <w:shd w:val="clear"/>
              <w:snapToGrid w:val="0"/>
              <w:rPr>
                <w:rFonts w:ascii="宋体" w:hAnsi="宋体" w:cs="宋体"/>
                <w:color w:val="auto"/>
                <w:sz w:val="24"/>
                <w:highlight w:val="none"/>
              </w:rPr>
            </w:pPr>
            <w:r>
              <w:rPr>
                <w:rFonts w:hint="eastAsia" w:ascii="宋体" w:hAnsi="宋体" w:cs="宋体"/>
                <w:color w:val="auto"/>
                <w:sz w:val="24"/>
                <w:highlight w:val="none"/>
              </w:rPr>
              <w:t>开标时间后1小时内（2022年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前）投标人可以登录“政采云”平台，用“项目采购-开标评标”功能进行解密投标文件。若投标人在规定时间内无法解密或解密失败，将导致投标无效或失败。</w:t>
            </w:r>
          </w:p>
          <w:p>
            <w:pPr>
              <w:shd w:val="clear"/>
              <w:snapToGrid w:val="0"/>
              <w:rPr>
                <w:rFonts w:ascii="宋体" w:hAnsi="宋体" w:cs="宋体"/>
                <w:color w:val="auto"/>
                <w:sz w:val="24"/>
                <w:highlight w:val="none"/>
              </w:rPr>
            </w:pPr>
            <w:r>
              <w:rPr>
                <w:rFonts w:hint="eastAsia" w:ascii="宋体" w:hAnsi="宋体" w:cs="宋体"/>
                <w:b/>
                <w:bCs/>
                <w:color w:val="auto"/>
                <w:sz w:val="24"/>
                <w:highlight w:val="none"/>
              </w:rPr>
              <w:t>备注</w:t>
            </w:r>
            <w:r>
              <w:rPr>
                <w:rFonts w:hint="eastAsia" w:ascii="宋体" w:hAnsi="宋体" w:cs="宋体"/>
                <w:color w:val="auto"/>
                <w:sz w:val="24"/>
                <w:highlight w:val="none"/>
              </w:rPr>
              <w:t>：为确保采购项目顺利实施，避免因政采云上电子投标文件解密失败导致投标方投标无效，投标方可在2022年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 xml:space="preserve"> </w:t>
            </w:r>
            <w:r>
              <w:rPr>
                <w:color w:val="auto"/>
                <w:highlight w:val="none"/>
              </w:rPr>
              <w:fldChar w:fldCharType="begin"/>
            </w:r>
            <w:r>
              <w:rPr>
                <w:color w:val="auto"/>
                <w:highlight w:val="none"/>
              </w:rPr>
              <w:instrText xml:space="preserve"> HYPERLINK "mailto:时前将在政采云平台上最后生成的具备电子签章的备份加密投标文件（文件名后缀为备份文件四字的首字母）以电子邮件方式传送至浙江明达工程造价咨询有限公司邮箱（619980053@qq.com），传送的备份电子投标文件需打包压缩并加密，加密密码由投标方自行保管，如政采云上电子投标文件出现解密失败情况（开标当日" </w:instrText>
            </w:r>
            <w:r>
              <w:rPr>
                <w:color w:val="auto"/>
                <w:highlight w:val="none"/>
              </w:rPr>
              <w:fldChar w:fldCharType="separate"/>
            </w:r>
            <w:r>
              <w:rPr>
                <w:rFonts w:hint="eastAsia" w:ascii="宋体" w:hAnsi="宋体" w:cs="宋体"/>
                <w:color w:val="auto"/>
                <w:sz w:val="24"/>
                <w:highlight w:val="none"/>
              </w:rPr>
              <w:t>时前将在政采云平台上最后生成的具备电子签章的备份加密投标文件（文件名后缀为备份文件四字的首字母）以电子邮件方式传送至浙江明达工程造价咨询有限公司邮箱（619980053@qq.com），传送的备份电子投标文件需打包压缩并加密，加密密码由投标方自行保管，如政采云上电子投标文件出现解密失败情况（开标当日</w:t>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color w:val="auto"/>
                <w:highlight w:val="none"/>
              </w:rPr>
              <w:fldChar w:fldCharType="begin"/>
            </w:r>
            <w:r>
              <w:rPr>
                <w:color w:val="auto"/>
                <w:highlight w:val="none"/>
              </w:rPr>
              <w:instrText xml:space="preserve"> HYPERLINK "mailto:期间进行解密），投标方可按照自身意愿确认是否同意提供加密密码解密传送至浙江明达工程造价咨询有限公司邮箱（619980053@qq.com）的备份文件，并以备份文件作为替代电子投标文件，如投标方未按照规定时间（2021年" </w:instrText>
            </w:r>
            <w:r>
              <w:rPr>
                <w:color w:val="auto"/>
                <w:highlight w:val="none"/>
              </w:rPr>
              <w:fldChar w:fldCharType="separate"/>
            </w:r>
            <w:r>
              <w:rPr>
                <w:rFonts w:hint="eastAsia" w:ascii="宋体" w:hAnsi="宋体" w:cs="宋体"/>
                <w:color w:val="auto"/>
                <w:sz w:val="24"/>
                <w:highlight w:val="none"/>
              </w:rPr>
              <w:t>期间进行解密），投标方可按照自身意愿确认是否同意提供加密密码解密传送至浙江明达工程造价咨询有限公司邮箱（619980053@qq.com）的备份文件，并以备份文件作为替代电子投标文件，如投标方未按照规定时间（2022年</w:t>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 xml:space="preserve"> 前）及要求提供有效备份文件，同时政采云上投标文件解密失败的，将导致投标无效。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14</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评标办法</w:t>
            </w:r>
          </w:p>
        </w:tc>
        <w:tc>
          <w:tcPr>
            <w:tcW w:w="7029"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15</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付款方式</w:t>
            </w:r>
          </w:p>
        </w:tc>
        <w:tc>
          <w:tcPr>
            <w:tcW w:w="7029" w:type="dxa"/>
            <w:vAlign w:val="center"/>
          </w:tcPr>
          <w:p>
            <w:pPr>
              <w:pStyle w:val="25"/>
              <w:shd w:val="clear"/>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合同签订后</w:t>
            </w:r>
            <w:r>
              <w:rPr>
                <w:rFonts w:hint="eastAsia" w:ascii="宋体" w:hAnsi="宋体" w:cs="宋体"/>
                <w:color w:val="auto"/>
                <w:highlight w:val="none"/>
                <w:lang w:val="en-US" w:eastAsia="zh-CN"/>
              </w:rPr>
              <w:t>7个工作日内</w:t>
            </w:r>
            <w:r>
              <w:rPr>
                <w:rFonts w:hint="eastAsia" w:ascii="宋体" w:hAnsi="宋体" w:cs="宋体"/>
                <w:color w:val="auto"/>
                <w:highlight w:val="none"/>
              </w:rPr>
              <w:t>支付第一年合同金额的</w:t>
            </w:r>
            <w:r>
              <w:rPr>
                <w:rFonts w:hint="eastAsia" w:ascii="宋体" w:hAnsi="宋体" w:cs="宋体"/>
                <w:color w:val="auto"/>
                <w:highlight w:val="none"/>
                <w:lang w:val="en-US"/>
              </w:rPr>
              <w:t>4</w:t>
            </w:r>
            <w:r>
              <w:rPr>
                <w:rFonts w:hint="eastAsia" w:ascii="宋体" w:hAnsi="宋体" w:cs="宋体"/>
                <w:color w:val="auto"/>
                <w:highlight w:val="none"/>
              </w:rPr>
              <w:t>0%作为预付款；（在签订合同时，供应商明确表示无需预付款或者主动要求降低预付款比例的，采购单位可进行相应调整）</w:t>
            </w:r>
          </w:p>
          <w:p>
            <w:pPr>
              <w:pStyle w:val="25"/>
              <w:shd w:val="clear"/>
              <w:snapToGrid w:val="0"/>
              <w:spacing w:line="240" w:lineRule="auto"/>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每</w:t>
            </w:r>
            <w:r>
              <w:rPr>
                <w:rFonts w:hint="eastAsia" w:ascii="宋体" w:hAnsi="宋体" w:cs="宋体"/>
                <w:color w:val="auto"/>
                <w:highlight w:val="none"/>
                <w:lang w:val="en-US"/>
              </w:rPr>
              <w:t>季度</w:t>
            </w:r>
            <w:r>
              <w:rPr>
                <w:rFonts w:hint="eastAsia" w:ascii="宋体" w:hAnsi="宋体" w:cs="宋体"/>
                <w:color w:val="auto"/>
                <w:highlight w:val="none"/>
              </w:rPr>
              <w:t>结束后，采购人在收到供应商该</w:t>
            </w:r>
            <w:r>
              <w:rPr>
                <w:rFonts w:hint="eastAsia" w:ascii="宋体" w:hAnsi="宋体" w:cs="宋体"/>
                <w:color w:val="auto"/>
                <w:highlight w:val="none"/>
                <w:lang w:val="en-US"/>
              </w:rPr>
              <w:t>季度</w:t>
            </w:r>
            <w:r>
              <w:rPr>
                <w:rFonts w:hint="eastAsia" w:ascii="宋体" w:hAnsi="宋体" w:cs="宋体"/>
                <w:color w:val="auto"/>
                <w:highlight w:val="none"/>
              </w:rPr>
              <w:t>服务发票（</w:t>
            </w:r>
            <w:r>
              <w:rPr>
                <w:rFonts w:hint="eastAsia" w:ascii="宋体" w:hAnsi="宋体" w:cs="宋体"/>
                <w:color w:val="auto"/>
                <w:highlight w:val="none"/>
                <w:lang w:val="en-US"/>
              </w:rPr>
              <w:t>季度</w:t>
            </w:r>
            <w:r>
              <w:rPr>
                <w:rFonts w:hint="eastAsia" w:ascii="宋体" w:hAnsi="宋体" w:cs="宋体"/>
                <w:color w:val="auto"/>
                <w:highlight w:val="none"/>
              </w:rPr>
              <w:t>服务=</w:t>
            </w:r>
            <w:r>
              <w:rPr>
                <w:rFonts w:hint="eastAsia" w:ascii="宋体" w:hAnsi="宋体" w:cs="宋体"/>
                <w:color w:val="auto"/>
                <w:highlight w:val="none"/>
                <w:lang w:val="en-US"/>
              </w:rPr>
              <w:t>总</w:t>
            </w:r>
            <w:r>
              <w:rPr>
                <w:rFonts w:hint="eastAsia" w:ascii="宋体" w:hAnsi="宋体" w:cs="宋体"/>
                <w:color w:val="auto"/>
                <w:highlight w:val="none"/>
              </w:rPr>
              <w:t>中标价</w:t>
            </w:r>
            <w:r>
              <w:rPr>
                <w:rFonts w:hint="eastAsia" w:ascii="宋体" w:hAnsi="宋体" w:cs="宋体"/>
                <w:color w:val="auto"/>
                <w:highlight w:val="none"/>
                <w:lang w:val="en-US"/>
              </w:rPr>
              <w:t>1</w:t>
            </w:r>
            <w:r>
              <w:rPr>
                <w:rFonts w:hint="eastAsia" w:ascii="宋体" w:hAnsi="宋体" w:cs="宋体"/>
                <w:color w:val="auto"/>
                <w:highlight w:val="none"/>
              </w:rPr>
              <w:t>/</w:t>
            </w:r>
            <w:r>
              <w:rPr>
                <w:rFonts w:hint="eastAsia" w:ascii="宋体" w:hAnsi="宋体" w:cs="宋体"/>
                <w:color w:val="auto"/>
                <w:highlight w:val="none"/>
                <w:lang w:val="en-US"/>
              </w:rPr>
              <w:t>12</w:t>
            </w:r>
            <w:r>
              <w:rPr>
                <w:rFonts w:hint="eastAsia" w:ascii="宋体" w:hAnsi="宋体" w:cs="宋体"/>
                <w:color w:val="auto"/>
                <w:highlight w:val="none"/>
              </w:rPr>
              <w:t>）后</w:t>
            </w:r>
            <w:r>
              <w:rPr>
                <w:rFonts w:hint="eastAsia" w:ascii="宋体" w:hAnsi="宋体" w:cs="宋体"/>
                <w:color w:val="auto"/>
                <w:highlight w:val="none"/>
                <w:lang w:val="en-US" w:eastAsia="zh-CN"/>
              </w:rPr>
              <w:t>7个工作</w:t>
            </w:r>
            <w:r>
              <w:rPr>
                <w:rFonts w:hint="eastAsia" w:ascii="宋体" w:hAnsi="宋体" w:cs="宋体"/>
                <w:color w:val="auto"/>
                <w:highlight w:val="none"/>
              </w:rPr>
              <w:t>日内，向供应商指定账户支付该</w:t>
            </w:r>
            <w:r>
              <w:rPr>
                <w:rFonts w:hint="eastAsia" w:ascii="宋体" w:hAnsi="宋体" w:cs="宋体"/>
                <w:color w:val="auto"/>
                <w:highlight w:val="none"/>
                <w:lang w:val="en-US"/>
              </w:rPr>
              <w:t>季</w:t>
            </w:r>
            <w:r>
              <w:rPr>
                <w:rFonts w:hint="eastAsia" w:ascii="宋体" w:hAnsi="宋体" w:cs="宋体"/>
                <w:color w:val="auto"/>
                <w:highlight w:val="none"/>
              </w:rPr>
              <w:t>度的托管费用。</w:t>
            </w:r>
            <w:r>
              <w:rPr>
                <w:rFonts w:hint="eastAsia" w:ascii="宋体" w:hAnsi="宋体" w:cs="宋体"/>
                <w:color w:val="auto"/>
                <w:highlight w:val="none"/>
                <w:u w:val="none"/>
                <w:lang w:val="en-US"/>
              </w:rPr>
              <w:t>（第一年从第二季度开始支付，第二季度扣除预付款后，支付剩余应支付款项）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16</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7029"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17</w:t>
            </w:r>
          </w:p>
        </w:tc>
        <w:tc>
          <w:tcPr>
            <w:tcW w:w="2409" w:type="dxa"/>
            <w:vAlign w:val="center"/>
          </w:tcPr>
          <w:p>
            <w:pPr>
              <w:shd w:val="clear"/>
              <w:snapToGrid w:val="0"/>
              <w:spacing w:line="360" w:lineRule="exact"/>
              <w:jc w:val="center"/>
              <w:rPr>
                <w:rFonts w:ascii="宋体" w:hAnsi="宋体" w:cs="宋体"/>
                <w:color w:val="auto"/>
                <w:sz w:val="24"/>
                <w:highlight w:val="none"/>
              </w:rPr>
            </w:pPr>
            <w:r>
              <w:rPr>
                <w:rFonts w:hint="eastAsia" w:ascii="宋体" w:hAnsi="宋体" w:cs="宋体"/>
                <w:color w:val="auto"/>
                <w:sz w:val="24"/>
                <w:highlight w:val="none"/>
              </w:rPr>
              <w:t>履约保证金退还</w:t>
            </w:r>
          </w:p>
        </w:tc>
        <w:tc>
          <w:tcPr>
            <w:tcW w:w="7029" w:type="dxa"/>
            <w:vAlign w:val="center"/>
          </w:tcPr>
          <w:p>
            <w:pPr>
              <w:shd w:val="clear"/>
              <w:snapToGrid w:val="0"/>
              <w:spacing w:line="360" w:lineRule="exact"/>
              <w:rPr>
                <w:rFonts w:ascii="宋体" w:hAnsi="宋体" w:cs="宋体"/>
                <w:color w:val="auto"/>
                <w:sz w:val="24"/>
                <w:highlight w:val="none"/>
              </w:rPr>
            </w:pPr>
            <w:r>
              <w:rPr>
                <w:rFonts w:hint="eastAsia" w:ascii="宋体" w:hAns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18</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政府采购节能环保产品</w:t>
            </w:r>
          </w:p>
        </w:tc>
        <w:tc>
          <w:tcPr>
            <w:tcW w:w="7029" w:type="dxa"/>
            <w:vAlign w:val="center"/>
          </w:tcPr>
          <w:p>
            <w:pPr>
              <w:widowControl/>
              <w:shd w:val="clear"/>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1.根据财政部 发展改革委 生态环境部 市场监管总局关于调整优化节能产品、环境标志产品政府采购执行机制的通知财库〔2019〕9号文件要求，投标方所投产品如属于节能产品政府采购品目清单或环境标志产品政府从采购品目清单内的，投标人所投的相应产品须在中国政府采购网节能清单查询目录（http://www.ccgp.gov.cn/search/jnqdchaxun.htm）或环保清单查询目录（http://www.ccgp.gov.cn/search/hbqdchaxun.htm）中可查询到，并提供相应的承诺。</w:t>
            </w:r>
          </w:p>
          <w:p>
            <w:pPr>
              <w:widowControl/>
              <w:shd w:val="clear"/>
              <w:snapToGrid w:val="0"/>
              <w:jc w:val="left"/>
              <w:rPr>
                <w:rFonts w:ascii="宋体" w:hAnsi="宋体" w:cs="宋体"/>
                <w:color w:val="auto"/>
                <w:sz w:val="24"/>
                <w:highlight w:val="none"/>
              </w:rPr>
            </w:pPr>
            <w:r>
              <w:rPr>
                <w:rFonts w:hint="eastAsia" w:ascii="宋体" w:hAnsi="宋体" w:cs="宋体"/>
                <w:color w:val="auto"/>
                <w:kern w:val="0"/>
                <w:sz w:val="24"/>
                <w:highlight w:val="none"/>
              </w:rPr>
              <w:t>2、招标需求中要求提供的产品属于节能产品政府采购品目清单中强制采购的，投标人须提供该清单内产品，否则其投标将作为无效标处理。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19</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信用记录</w:t>
            </w:r>
          </w:p>
        </w:tc>
        <w:tc>
          <w:tcPr>
            <w:tcW w:w="7029" w:type="dxa"/>
            <w:vAlign w:val="center"/>
          </w:tcPr>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投标人如出现下列情形之一的，其投标将被拒绝：</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法案件当事人名单、政府采购严重违法失信行为记录名单的；义乌市综合信用报告评级为D、E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20</w:t>
            </w:r>
          </w:p>
        </w:tc>
        <w:tc>
          <w:tcPr>
            <w:tcW w:w="2409" w:type="dxa"/>
            <w:vAlign w:val="center"/>
          </w:tcPr>
          <w:p>
            <w:pPr>
              <w:shd w:val="clea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小微企业有关政策说明</w:t>
            </w:r>
          </w:p>
        </w:tc>
        <w:tc>
          <w:tcPr>
            <w:tcW w:w="7029" w:type="dxa"/>
            <w:vAlign w:val="center"/>
          </w:tcPr>
          <w:p>
            <w:pPr>
              <w:shd w:val="clear"/>
              <w:snapToGrid/>
              <w:spacing w:line="400" w:lineRule="exact"/>
              <w:rPr>
                <w:rFonts w:hint="eastAsia" w:ascii="宋体" w:hAnsi="宋体" w:eastAsia="宋体" w:cs="宋体"/>
                <w:color w:val="auto"/>
                <w:sz w:val="24"/>
                <w:highlight w:val="none"/>
              </w:rPr>
            </w:pPr>
            <w:r>
              <w:rPr>
                <w:rFonts w:hint="eastAsia"/>
                <w:color w:val="auto"/>
                <w:sz w:val="24"/>
                <w:highlight w:val="none"/>
              </w:rPr>
              <w:t>本项目执行有关政策说明。</w:t>
            </w:r>
          </w:p>
          <w:p>
            <w:pPr>
              <w:shd w:val="clear"/>
              <w:snapToGrid w:val="0"/>
              <w:spacing w:line="360" w:lineRule="exact"/>
              <w:rPr>
                <w:rFonts w:hint="eastAsia" w:ascii="宋体" w:hAnsi="宋体" w:cs="宋体"/>
                <w:color w:val="auto"/>
                <w:sz w:val="24"/>
                <w:highlight w:val="none"/>
              </w:rPr>
            </w:pPr>
            <w:r>
              <w:rPr>
                <w:rFonts w:hint="eastAsia" w:ascii="宋体" w:hAnsi="宋体" w:cs="宋体"/>
                <w:color w:val="auto"/>
                <w:sz w:val="24"/>
                <w:highlight w:val="none"/>
              </w:rPr>
              <w:t>本项目</w:t>
            </w:r>
            <w:r>
              <w:rPr>
                <w:rFonts w:hint="eastAsia"/>
                <w:color w:val="auto"/>
                <w:sz w:val="24"/>
                <w:highlight w:val="none"/>
              </w:rPr>
              <w:t>专门面向中小企业</w:t>
            </w:r>
            <w:r>
              <w:rPr>
                <w:rFonts w:hint="eastAsia"/>
                <w:color w:val="auto"/>
                <w:sz w:val="24"/>
                <w:highlight w:val="none"/>
                <w:lang w:eastAsia="zh-CN"/>
              </w:rPr>
              <w:t>，</w:t>
            </w:r>
            <w:r>
              <w:rPr>
                <w:rFonts w:hint="eastAsia" w:ascii="宋体" w:hAnsi="宋体" w:cs="宋体"/>
                <w:color w:val="auto"/>
                <w:sz w:val="24"/>
                <w:highlight w:val="none"/>
              </w:rPr>
              <w:t>属于其他未</w:t>
            </w:r>
            <w:r>
              <w:rPr>
                <w:rFonts w:hint="eastAsia" w:ascii="宋体" w:hAnsi="宋体" w:cs="宋体"/>
                <w:color w:val="auto"/>
                <w:sz w:val="24"/>
                <w:highlight w:val="none"/>
                <w:lang w:val="en-US" w:eastAsia="zh-CN"/>
              </w:rPr>
              <w:t>列明</w:t>
            </w:r>
            <w:r>
              <w:rPr>
                <w:rFonts w:hint="eastAsia" w:ascii="宋体" w:hAnsi="宋体" w:cs="宋体"/>
                <w:color w:val="auto"/>
                <w:sz w:val="24"/>
                <w:highlight w:val="none"/>
              </w:rPr>
              <w:t>行业。</w:t>
            </w:r>
          </w:p>
          <w:p>
            <w:pPr>
              <w:widowControl/>
              <w:shd w:val="clear"/>
              <w:snapToGrid w:val="0"/>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
              </w:rPr>
              <w:t>从业人员300人以下的为中小微型企业。其中，从业人员100人及以上的为中型企业；从业人员10人及以上的为小型企业；从业人员10人 以下的为微型企业。</w:t>
            </w:r>
          </w:p>
          <w:p>
            <w:pPr>
              <w:shd w:val="clear"/>
              <w:spacing w:line="400" w:lineRule="exact"/>
              <w:rPr>
                <w:rFonts w:hint="eastAsia" w:ascii="新宋体" w:hAnsi="新宋体" w:eastAsia="新宋体"/>
                <w:color w:val="auto"/>
                <w:sz w:val="24"/>
                <w:highlight w:val="none"/>
              </w:rPr>
            </w:pPr>
            <w:r>
              <w:rPr>
                <w:rFonts w:hint="eastAsia" w:ascii="新宋体" w:hAnsi="新宋体" w:eastAsia="新宋体"/>
                <w:color w:val="auto"/>
                <w:sz w:val="24"/>
                <w:highlight w:val="none"/>
              </w:rPr>
              <w:t>特别说明：</w:t>
            </w:r>
          </w:p>
          <w:p>
            <w:pPr>
              <w:shd w:val="clear"/>
              <w:spacing w:line="400" w:lineRule="exact"/>
              <w:rPr>
                <w:rFonts w:hint="eastAsia" w:ascii="新宋体" w:hAnsi="新宋体" w:eastAsia="新宋体"/>
                <w:color w:val="auto"/>
                <w:sz w:val="24"/>
                <w:highlight w:val="none"/>
              </w:rPr>
            </w:pPr>
            <w:r>
              <w:rPr>
                <w:rFonts w:hint="eastAsia" w:ascii="新宋体" w:hAnsi="新宋体" w:eastAsia="新宋体"/>
                <w:color w:val="auto"/>
                <w:sz w:val="24"/>
                <w:highlight w:val="none"/>
              </w:rPr>
              <w:t>1.小微企业有关政策：</w:t>
            </w:r>
          </w:p>
          <w:p>
            <w:pPr>
              <w:shd w:val="clear"/>
              <w:spacing w:line="400" w:lineRule="exact"/>
              <w:rPr>
                <w:rFonts w:hint="eastAsia" w:ascii="新宋体" w:hAnsi="新宋体" w:eastAsia="新宋体"/>
                <w:color w:val="auto"/>
                <w:sz w:val="24"/>
                <w:highlight w:val="none"/>
              </w:rPr>
            </w:pPr>
            <w:r>
              <w:rPr>
                <w:rFonts w:hint="eastAsia" w:ascii="新宋体" w:hAnsi="新宋体" w:eastAsia="新宋体"/>
                <w:color w:val="auto"/>
                <w:sz w:val="24"/>
                <w:highlight w:val="none"/>
              </w:rPr>
              <w:t>（1）中型、小型和微型企业参与本项目的，投标文件中必须同时提供《中小企业声明函》。中小企业应当按照《政府采购促进中小企业发展管理办法》规定和《中小企业划型标准规定》（工信部联企业〔2011〕300号），如实填写并提交《中小企业声明函》。中小企业对其声明内容的真实性负责，声明函内容不实的，属于提供虚假材料谋取中标、成交，依照《中华人民共和国政府采购法》等国家有关规定追究相应责任。</w:t>
            </w:r>
          </w:p>
          <w:p>
            <w:pPr>
              <w:shd w:val="clear"/>
              <w:spacing w:line="400" w:lineRule="exact"/>
              <w:rPr>
                <w:rFonts w:hint="eastAsia" w:ascii="新宋体" w:hAnsi="新宋体" w:eastAsia="新宋体"/>
                <w:color w:val="auto"/>
                <w:sz w:val="24"/>
                <w:highlight w:val="none"/>
              </w:rPr>
            </w:pPr>
            <w:r>
              <w:rPr>
                <w:rFonts w:hint="eastAsia" w:ascii="新宋体" w:hAnsi="新宋体" w:eastAsia="新宋体"/>
                <w:color w:val="auto"/>
                <w:sz w:val="24"/>
                <w:highlight w:val="none"/>
              </w:rPr>
              <w:t>（2）财库〔2017〕141号的相关规定，在政府采购活动中，残疾人福利性单位视同小型、微型企业。属于享受政府采购支持政策的残疾人福利性单位， 应满足财库〔2017〕141号文件第一条的规定，并在投标文件中提供残疾人福利性单位声明函（见附件）。</w:t>
            </w:r>
          </w:p>
          <w:p>
            <w:pPr>
              <w:shd w:val="clear"/>
              <w:spacing w:line="400" w:lineRule="exact"/>
              <w:rPr>
                <w:rFonts w:hint="eastAsia" w:ascii="新宋体" w:hAnsi="新宋体" w:eastAsia="新宋体"/>
                <w:color w:val="auto"/>
                <w:sz w:val="24"/>
                <w:highlight w:val="none"/>
              </w:rPr>
            </w:pPr>
            <w:r>
              <w:rPr>
                <w:rFonts w:hint="eastAsia" w:ascii="新宋体" w:hAnsi="新宋体" w:eastAsia="新宋体"/>
                <w:color w:val="auto"/>
                <w:sz w:val="24"/>
                <w:highlight w:val="none"/>
              </w:rPr>
              <w:t>（3）财库[2014]68号的相关规定，在政府采购活动中，监狱企业视同小型、微型企业。属于监狱企业的，应当提供由省级以上监狱管理局、戒毒管理局(含新疆生产建设兵团)出具的属于监狱企业的说明文件。</w:t>
            </w:r>
          </w:p>
          <w:p>
            <w:pPr>
              <w:shd w:val="clear"/>
              <w:snapToGrid w:val="0"/>
              <w:spacing w:line="360" w:lineRule="exact"/>
              <w:rPr>
                <w:rFonts w:ascii="宋体" w:hAnsi="宋体" w:cs="宋体"/>
                <w:color w:val="auto"/>
                <w:highlight w:val="none"/>
              </w:rPr>
            </w:pPr>
            <w:r>
              <w:rPr>
                <w:rFonts w:hint="eastAsia" w:ascii="新宋体" w:hAnsi="新宋体" w:eastAsia="新宋体"/>
                <w:color w:val="auto"/>
                <w:sz w:val="24"/>
                <w:highlight w:val="none"/>
              </w:rPr>
              <w:t>（注：未提供以上材料的，均不得参加本项目的投标）。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21</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信用融资</w:t>
            </w:r>
          </w:p>
        </w:tc>
        <w:tc>
          <w:tcPr>
            <w:tcW w:w="7029" w:type="dxa"/>
            <w:vAlign w:val="center"/>
          </w:tcPr>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1.为支持和促进中小企业发展，进一步发挥政府采购政策功能，根据《义乌市政府采购支持中小企业信用融资暂行办法》，供应商若有融资意向，登录义乌市公共资源交易平台（http://ywjypt.yw.gov.cn/）“政采贷”专栏进行查询，查看信用融资政策文件及各相关银行服务方案。</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2.本项目中标人与采购人签订的政府采购合同适用于义乌市政府采购贷款政策，简称“政采贷”，具体内容可参阅《义乌市政府采购支持中小企业信用融资暂行办法》（http://www.yw.gov.cn/art/2021/8/12/art_1229559413_1754526.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22</w:t>
            </w:r>
          </w:p>
        </w:tc>
        <w:tc>
          <w:tcPr>
            <w:tcW w:w="2409" w:type="dxa"/>
            <w:vAlign w:val="center"/>
          </w:tcPr>
          <w:p>
            <w:pPr>
              <w:shd w:val="clea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不良行为、信用信息查询平台</w:t>
            </w:r>
          </w:p>
        </w:tc>
        <w:tc>
          <w:tcPr>
            <w:tcW w:w="7029" w:type="dxa"/>
            <w:vAlign w:val="center"/>
          </w:tcPr>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信用信息查询以开标当天查询结果为准，凡超出以下途径的查询结果在投标文件评审时一律不作为无效标依据：</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1.义乌市公共资源交易平台（网址：http://ywjypt.yw.gov.cn/）</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2.浙江政府采购网（http://www.zjzfcg.gov.cn/）</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3.信用中国（https://www.creditchina.gov.cn/）</w:t>
            </w:r>
          </w:p>
          <w:p>
            <w:pPr>
              <w:shd w:val="clear"/>
              <w:snapToGrid w:val="0"/>
              <w:spacing w:line="400" w:lineRule="exact"/>
              <w:rPr>
                <w:rFonts w:ascii="宋体" w:hAnsi="宋体" w:cs="宋体"/>
                <w:color w:val="auto"/>
                <w:highlight w:val="none"/>
              </w:rPr>
            </w:pPr>
            <w:r>
              <w:rPr>
                <w:rFonts w:hint="eastAsia" w:ascii="宋体" w:hAnsi="宋体" w:cs="宋体"/>
                <w:color w:val="auto"/>
                <w:sz w:val="24"/>
                <w:highlight w:val="none"/>
              </w:rPr>
              <w:t>4.中国政府采购网（http://www.ccgp.gov.cn）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23</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投标人发生下列情况之一时，将按严重失信行为上报信用办记入政府采购严重失信行为记录名单</w:t>
            </w:r>
          </w:p>
        </w:tc>
        <w:tc>
          <w:tcPr>
            <w:tcW w:w="7029" w:type="dxa"/>
            <w:vAlign w:val="center"/>
          </w:tcPr>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1.投标人在规定的投标有效期内撤回投标或放弃中标的；</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2.有意串标或提供虚假材料的；</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3.中标人在收到中标通知书后，因自身原因不能在投标有效期内和采购人签订合同；</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4.中标供应商在标后履约过程中未按合同约定的期限和要求履约的；</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5.因中标供应商原因在标后履约过程中擅自终止合同的；</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6.不符合采购文件要求的其他失信行为；</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7.中标人未按采购文件规定缴纳招标代理费的。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24</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其他</w:t>
            </w:r>
          </w:p>
        </w:tc>
        <w:tc>
          <w:tcPr>
            <w:tcW w:w="7029" w:type="dxa"/>
            <w:vAlign w:val="center"/>
          </w:tcPr>
          <w:p>
            <w:pPr>
              <w:shd w:val="clear"/>
              <w:snapToGrid w:val="0"/>
              <w:spacing w:line="400" w:lineRule="exact"/>
              <w:rPr>
                <w:rFonts w:ascii="宋体" w:hAnsi="宋体" w:cs="宋体"/>
                <w:color w:val="auto"/>
                <w:sz w:val="24"/>
                <w:highlight w:val="none"/>
              </w:rPr>
            </w:pPr>
            <w:r>
              <w:rPr>
                <w:rFonts w:hint="eastAsia" w:ascii="宋体" w:hAnsi="宋体" w:cs="宋体"/>
                <w:b/>
                <w:bCs/>
                <w:color w:val="auto"/>
                <w:sz w:val="24"/>
                <w:highlight w:val="none"/>
              </w:rPr>
              <w:t>1.</w:t>
            </w:r>
            <w:r>
              <w:rPr>
                <w:rFonts w:hint="eastAsia" w:ascii="宋体" w:hAnsi="宋体" w:cs="宋体"/>
                <w:b/>
                <w:color w:val="auto"/>
                <w:sz w:val="24"/>
                <w:highlight w:val="none"/>
              </w:rPr>
              <w:t>本项目设有预算价(最高限价)</w:t>
            </w:r>
            <w:r>
              <w:rPr>
                <w:rFonts w:hint="eastAsia" w:ascii="宋体" w:hAnsi="宋体" w:cs="宋体"/>
                <w:color w:val="auto"/>
                <w:sz w:val="24"/>
                <w:highlight w:val="none"/>
              </w:rPr>
              <w:t>，投标报价超过</w:t>
            </w:r>
            <w:r>
              <w:rPr>
                <w:rFonts w:hint="eastAsia" w:ascii="宋体" w:hAnsi="宋体" w:cs="宋体"/>
                <w:b/>
                <w:color w:val="auto"/>
                <w:sz w:val="24"/>
                <w:highlight w:val="none"/>
              </w:rPr>
              <w:t>预算价(最高限价)</w:t>
            </w:r>
            <w:r>
              <w:rPr>
                <w:rFonts w:hint="eastAsia" w:ascii="宋体" w:hAnsi="宋体" w:cs="宋体"/>
                <w:color w:val="auto"/>
                <w:sz w:val="24"/>
                <w:highlight w:val="none"/>
              </w:rPr>
              <w:t>的，其投标均为无效标。</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
                <w:bCs/>
                <w:color w:val="auto"/>
                <w:sz w:val="24"/>
                <w:highlight w:val="none"/>
              </w:rPr>
              <w:t>.</w:t>
            </w:r>
            <w:r>
              <w:rPr>
                <w:rFonts w:hint="eastAsia" w:ascii="宋体" w:hAnsi="宋体" w:cs="宋体"/>
                <w:color w:val="auto"/>
                <w:sz w:val="24"/>
                <w:highlight w:val="none"/>
              </w:rPr>
              <w:t>采购文件中要求投标人在制作投标文件时，提供的复印件必须根据评审细则对评审的内容复印完整、清晰可辨，否则在评审时以最不利于投标人原则评审。</w:t>
            </w:r>
          </w:p>
        </w:tc>
      </w:tr>
    </w:tbl>
    <w:p>
      <w:pPr>
        <w:shd w:val="clea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注：投标须知前附表内容与本采购文件后述内容不一致的，以投标须知前附表为准。</w:t>
      </w:r>
    </w:p>
    <w:p>
      <w:pPr>
        <w:pStyle w:val="5"/>
        <w:shd w:val="clear"/>
        <w:spacing w:before="0" w:after="0" w:line="360" w:lineRule="auto"/>
        <w:jc w:val="center"/>
        <w:rPr>
          <w:rFonts w:ascii="宋体" w:hAnsi="宋体" w:cs="宋体"/>
          <w:color w:val="auto"/>
          <w:sz w:val="36"/>
          <w:szCs w:val="36"/>
          <w:highlight w:val="none"/>
        </w:rPr>
      </w:pPr>
      <w:bookmarkStart w:id="4" w:name="_Toc362250686"/>
      <w:bookmarkStart w:id="5" w:name="_Toc274303228"/>
      <w:r>
        <w:rPr>
          <w:rFonts w:hint="eastAsia" w:ascii="宋体" w:hAnsi="宋体" w:cs="宋体"/>
          <w:color w:val="auto"/>
          <w:sz w:val="36"/>
          <w:szCs w:val="36"/>
          <w:highlight w:val="none"/>
        </w:rPr>
        <w:br w:type="page"/>
      </w:r>
      <w:bookmarkStart w:id="6" w:name="_Toc23978"/>
      <w:bookmarkStart w:id="7" w:name="_Toc12246"/>
      <w:bookmarkStart w:id="8" w:name="_Toc30784"/>
      <w:r>
        <w:rPr>
          <w:rFonts w:hint="eastAsia" w:ascii="宋体" w:hAnsi="宋体" w:cs="宋体"/>
          <w:color w:val="auto"/>
          <w:sz w:val="36"/>
          <w:szCs w:val="36"/>
          <w:highlight w:val="none"/>
        </w:rPr>
        <w:t>投标须知</w:t>
      </w:r>
      <w:bookmarkEnd w:id="4"/>
      <w:bookmarkEnd w:id="5"/>
      <w:bookmarkEnd w:id="6"/>
      <w:bookmarkEnd w:id="7"/>
      <w:bookmarkEnd w:id="8"/>
    </w:p>
    <w:p>
      <w:pPr>
        <w:shd w:val="clear"/>
        <w:spacing w:line="360" w:lineRule="auto"/>
        <w:rPr>
          <w:rFonts w:ascii="宋体" w:hAnsi="宋体" w:cs="宋体"/>
          <w:b/>
          <w:bCs/>
          <w:color w:val="auto"/>
          <w:sz w:val="28"/>
          <w:szCs w:val="28"/>
          <w:highlight w:val="none"/>
        </w:rPr>
      </w:pPr>
      <w:bookmarkStart w:id="9" w:name="_Toc274303229"/>
      <w:bookmarkStart w:id="10" w:name="_Ref444162956"/>
      <w:bookmarkStart w:id="11" w:name="_Ref444162955"/>
      <w:bookmarkStart w:id="12" w:name="_Ref444162953"/>
      <w:bookmarkStart w:id="13" w:name="_Toc8423"/>
      <w:bookmarkStart w:id="14" w:name="_Toc362250687"/>
      <w:bookmarkStart w:id="15" w:name="_Toc20504"/>
      <w:r>
        <w:rPr>
          <w:rFonts w:hint="eastAsia" w:ascii="宋体" w:hAnsi="宋体" w:cs="宋体"/>
          <w:b/>
          <w:bCs/>
          <w:color w:val="auto"/>
          <w:sz w:val="28"/>
          <w:szCs w:val="28"/>
          <w:highlight w:val="none"/>
        </w:rPr>
        <w:t>一、说明</w:t>
      </w:r>
      <w:bookmarkEnd w:id="9"/>
      <w:bookmarkEnd w:id="10"/>
      <w:bookmarkEnd w:id="11"/>
      <w:bookmarkEnd w:id="12"/>
      <w:bookmarkEnd w:id="13"/>
      <w:bookmarkEnd w:id="14"/>
      <w:bookmarkEnd w:id="15"/>
    </w:p>
    <w:p>
      <w:pPr>
        <w:pStyle w:val="2"/>
        <w:shd w:val="clear"/>
        <w:adjustRightIn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1.适用范围</w:t>
      </w:r>
    </w:p>
    <w:p>
      <w:pPr>
        <w:pStyle w:val="2"/>
        <w:shd w:val="clear"/>
        <w:adjustRightInd w:val="0"/>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1.1 本采购文件仅适用于本次招标采购所叙述的货物和服务项目。</w:t>
      </w:r>
    </w:p>
    <w:p>
      <w:pPr>
        <w:pStyle w:val="2"/>
        <w:shd w:val="clear"/>
        <w:adjustRightInd w:val="0"/>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2.定义</w:t>
      </w:r>
    </w:p>
    <w:p>
      <w:pPr>
        <w:pStyle w:val="13"/>
        <w:shd w:val="clear"/>
        <w:adjustRightInd w:val="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2.1采购人：系指义乌市人民政府廿三里街道办事处。</w:t>
      </w:r>
    </w:p>
    <w:p>
      <w:pPr>
        <w:pStyle w:val="13"/>
        <w:shd w:val="clear"/>
        <w:adjustRightInd w:val="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2.2采购代理机构：系指浙江明达工程造价咨询有限公司。</w:t>
      </w:r>
    </w:p>
    <w:p>
      <w:pPr>
        <w:pStyle w:val="13"/>
        <w:shd w:val="clear"/>
        <w:adjustRightInd w:val="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2.3投标人：系指响应招标并且符合采购文件规定资格条件和参加投标竞争的供应商。</w:t>
      </w:r>
    </w:p>
    <w:p>
      <w:pPr>
        <w:pStyle w:val="13"/>
        <w:shd w:val="clear"/>
        <w:adjustRightInd w:val="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2.4服务：系指采购文件规定投标人须承担的劳务及其它类似的服务。</w:t>
      </w:r>
    </w:p>
    <w:p>
      <w:pPr>
        <w:pStyle w:val="14"/>
        <w:shd w:val="clear"/>
        <w:adjustRightInd w:val="0"/>
        <w:snapToGrid w:val="0"/>
        <w:ind w:firstLineChars="200"/>
        <w:rPr>
          <w:rFonts w:hAnsi="宋体" w:eastAsia="宋体" w:cs="宋体"/>
          <w:color w:val="auto"/>
          <w:szCs w:val="24"/>
          <w:highlight w:val="none"/>
        </w:rPr>
      </w:pPr>
      <w:r>
        <w:rPr>
          <w:rFonts w:hint="eastAsia" w:hAnsi="宋体" w:eastAsia="宋体" w:cs="宋体"/>
          <w:color w:val="auto"/>
          <w:szCs w:val="24"/>
          <w:highlight w:val="none"/>
        </w:rPr>
        <w:t>2.5货物：系指按采购文件规定投标人须向采购人提供的一切材料、设备、机械、仪器仪表、工具及其它有关技术资料和文字材料。</w:t>
      </w:r>
    </w:p>
    <w:p>
      <w:pPr>
        <w:pStyle w:val="2"/>
        <w:shd w:val="clear"/>
        <w:snapToGrid w:val="0"/>
        <w:spacing w:line="360" w:lineRule="auto"/>
        <w:ind w:firstLine="480" w:firstLineChars="200"/>
        <w:jc w:val="both"/>
        <w:rPr>
          <w:rFonts w:cs="宋体"/>
          <w:b w:val="0"/>
          <w:color w:val="auto"/>
          <w:sz w:val="24"/>
          <w:szCs w:val="24"/>
          <w:highlight w:val="none"/>
        </w:rPr>
      </w:pPr>
      <w:r>
        <w:rPr>
          <w:rFonts w:hint="eastAsia" w:cs="宋体"/>
          <w:b w:val="0"/>
          <w:color w:val="auto"/>
          <w:sz w:val="24"/>
          <w:szCs w:val="24"/>
          <w:highlight w:val="none"/>
        </w:rPr>
        <w:t>2.6甲方：即采购人，在招投标阶段称为采购人，在签订和执行合同阶段称为甲方。</w:t>
      </w:r>
    </w:p>
    <w:p>
      <w:pPr>
        <w:pStyle w:val="2"/>
        <w:shd w:val="clear"/>
        <w:snapToGrid w:val="0"/>
        <w:spacing w:line="360" w:lineRule="auto"/>
        <w:ind w:firstLine="480" w:firstLineChars="200"/>
        <w:jc w:val="both"/>
        <w:rPr>
          <w:rFonts w:cs="宋体"/>
          <w:color w:val="auto"/>
          <w:sz w:val="24"/>
          <w:szCs w:val="24"/>
          <w:highlight w:val="none"/>
        </w:rPr>
      </w:pPr>
      <w:r>
        <w:rPr>
          <w:rFonts w:hint="eastAsia" w:cs="宋体"/>
          <w:b w:val="0"/>
          <w:color w:val="auto"/>
          <w:sz w:val="24"/>
          <w:szCs w:val="24"/>
          <w:highlight w:val="none"/>
        </w:rPr>
        <w:t>2.7乙方：在招投标阶段称为投标人，中标后在签订和执行合同阶段称为乙方。</w:t>
      </w:r>
    </w:p>
    <w:p>
      <w:pPr>
        <w:pStyle w:val="14"/>
        <w:shd w:val="clear"/>
        <w:adjustRightInd w:val="0"/>
        <w:snapToGrid w:val="0"/>
        <w:ind w:firstLineChars="200"/>
        <w:rPr>
          <w:rFonts w:hAnsi="宋体" w:eastAsia="宋体" w:cs="宋体"/>
          <w:color w:val="auto"/>
          <w:szCs w:val="24"/>
          <w:highlight w:val="none"/>
        </w:rPr>
      </w:pPr>
      <w:r>
        <w:rPr>
          <w:rFonts w:hint="eastAsia" w:hAnsi="宋体" w:eastAsia="宋体" w:cs="宋体"/>
          <w:color w:val="auto"/>
          <w:szCs w:val="24"/>
          <w:highlight w:val="none"/>
        </w:rPr>
        <w:t>2.8“原产地”是指货物开采、生长或生产、或提供有关服务的来源地。</w:t>
      </w:r>
    </w:p>
    <w:p>
      <w:pPr>
        <w:pStyle w:val="14"/>
        <w:shd w:val="clear"/>
        <w:adjustRightInd w:val="0"/>
        <w:snapToGrid w:val="0"/>
        <w:ind w:firstLineChars="200"/>
        <w:rPr>
          <w:rFonts w:hAnsi="宋体" w:eastAsia="宋体" w:cs="宋体"/>
          <w:color w:val="auto"/>
          <w:kern w:val="0"/>
          <w:szCs w:val="24"/>
          <w:highlight w:val="none"/>
        </w:rPr>
      </w:pPr>
      <w:r>
        <w:rPr>
          <w:rFonts w:hint="eastAsia" w:hAnsi="宋体" w:eastAsia="宋体" w:cs="宋体"/>
          <w:color w:val="auto"/>
          <w:szCs w:val="24"/>
          <w:highlight w:val="none"/>
        </w:rPr>
        <w:t>2.9“★”标记系指必须满足不能负偏离或必须应答的条款。</w:t>
      </w:r>
    </w:p>
    <w:p>
      <w:pPr>
        <w:pStyle w:val="2"/>
        <w:shd w:val="clear"/>
        <w:adjustRightInd w:val="0"/>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3.合格的投标人</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3.1符合采购公告中要求的条件。</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3.2获取采购文件的投标人，并不能被认定为投标人资格已合格。投标人的资格是否符合采购文件要求，以评标小组认定为准。</w:t>
      </w:r>
    </w:p>
    <w:p>
      <w:pPr>
        <w:shd w:val="clea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4</w:t>
      </w:r>
      <w:r>
        <w:rPr>
          <w:rFonts w:hint="eastAsia" w:ascii="宋体" w:hAnsi="宋体" w:cs="宋体"/>
          <w:color w:val="auto"/>
          <w:sz w:val="24"/>
          <w:highlight w:val="none"/>
        </w:rPr>
        <w:t>.</w:t>
      </w:r>
      <w:r>
        <w:rPr>
          <w:rFonts w:hint="eastAsia" w:ascii="宋体" w:hAnsi="宋体" w:cs="宋体"/>
          <w:b/>
          <w:color w:val="auto"/>
          <w:sz w:val="24"/>
          <w:highlight w:val="none"/>
        </w:rPr>
        <w:t>保证</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4.1投标单位应保证所提交给招标机构和采购人的资料和数据是真实的。</w:t>
      </w:r>
    </w:p>
    <w:p>
      <w:pPr>
        <w:pStyle w:val="13"/>
        <w:shd w:val="clea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5</w:t>
      </w:r>
      <w:r>
        <w:rPr>
          <w:rFonts w:hint="eastAsia" w:hAnsi="宋体" w:cs="宋体"/>
          <w:color w:val="auto"/>
          <w:sz w:val="24"/>
          <w:szCs w:val="24"/>
          <w:highlight w:val="none"/>
        </w:rPr>
        <w:t>.</w:t>
      </w:r>
      <w:r>
        <w:rPr>
          <w:rFonts w:hint="eastAsia" w:hAnsi="宋体" w:cs="宋体"/>
          <w:b/>
          <w:color w:val="auto"/>
          <w:sz w:val="24"/>
          <w:szCs w:val="24"/>
          <w:highlight w:val="none"/>
        </w:rPr>
        <w:t>招标投标费用</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5.1不论投标过程中的作法和结果如何，投标人应承担所有与投标有关的全部费用。采购人和采购代理机构在任何情况下均无义务和责任承担上述这些费用。</w:t>
      </w:r>
    </w:p>
    <w:p>
      <w:pPr>
        <w:pStyle w:val="13"/>
        <w:shd w:val="clear"/>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5.2 采购代理服务费</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5.2.1中标人须向采购代理机构交纳采购代理服务费，采购代理服务费按不超过中标总金额的1.5%计算。计算示例：招标代理服务收费按差额定率累进法计算。例如：某服务招标代理业务中标金额为</w:t>
      </w:r>
      <w:r>
        <w:rPr>
          <w:rFonts w:hint="eastAsia" w:cs="宋体"/>
          <w:b w:val="0"/>
          <w:bCs w:val="0"/>
          <w:color w:val="auto"/>
          <w:sz w:val="24"/>
          <w:szCs w:val="24"/>
          <w:highlight w:val="none"/>
          <w:lang w:val="en-US" w:eastAsia="zh-CN"/>
        </w:rPr>
        <w:t>1000</w:t>
      </w:r>
      <w:r>
        <w:rPr>
          <w:rFonts w:hint="eastAsia" w:cs="宋体"/>
          <w:b w:val="0"/>
          <w:bCs w:val="0"/>
          <w:color w:val="auto"/>
          <w:sz w:val="24"/>
          <w:szCs w:val="24"/>
          <w:highlight w:val="none"/>
        </w:rPr>
        <w:t>万元，计算招标代理服务收费额如下：</w:t>
      </w:r>
    </w:p>
    <w:p>
      <w:pPr>
        <w:pStyle w:val="2"/>
        <w:shd w:val="clear"/>
        <w:snapToGrid w:val="0"/>
        <w:spacing w:line="360" w:lineRule="auto"/>
        <w:ind w:firstLine="480" w:firstLineChars="200"/>
        <w:jc w:val="both"/>
        <w:rPr>
          <w:rFonts w:hint="eastAsia" w:eastAsia="宋体" w:cs="宋体"/>
          <w:b w:val="0"/>
          <w:bCs w:val="0"/>
          <w:color w:val="auto"/>
          <w:sz w:val="24"/>
          <w:szCs w:val="24"/>
          <w:highlight w:val="none"/>
          <w:lang w:eastAsia="zh-CN"/>
        </w:rPr>
      </w:pPr>
      <w:r>
        <w:rPr>
          <w:rFonts w:hint="eastAsia" w:cs="宋体"/>
          <w:b w:val="0"/>
          <w:bCs w:val="0"/>
          <w:color w:val="auto"/>
          <w:sz w:val="24"/>
          <w:szCs w:val="24"/>
          <w:highlight w:val="none"/>
        </w:rPr>
        <w:t>100万元×1.5%=1.5万元</w:t>
      </w:r>
    </w:p>
    <w:p>
      <w:pPr>
        <w:pStyle w:val="2"/>
        <w:shd w:val="clear"/>
        <w:snapToGrid w:val="0"/>
        <w:spacing w:line="360" w:lineRule="auto"/>
        <w:ind w:firstLine="480" w:firstLineChars="200"/>
        <w:jc w:val="both"/>
        <w:rPr>
          <w:rFonts w:hint="eastAsia" w:cs="宋体"/>
          <w:b w:val="0"/>
          <w:bCs w:val="0"/>
          <w:color w:val="auto"/>
          <w:sz w:val="24"/>
          <w:szCs w:val="24"/>
          <w:highlight w:val="none"/>
        </w:rPr>
      </w:pPr>
      <w:r>
        <w:rPr>
          <w:rFonts w:hint="eastAsia" w:cs="宋体"/>
          <w:b w:val="0"/>
          <w:bCs w:val="0"/>
          <w:color w:val="auto"/>
          <w:sz w:val="24"/>
          <w:szCs w:val="24"/>
          <w:highlight w:val="none"/>
        </w:rPr>
        <w:t xml:space="preserve">   （500-100）万元×0.8%=3.2万元</w:t>
      </w:r>
    </w:p>
    <w:p>
      <w:pPr>
        <w:pStyle w:val="2"/>
        <w:shd w:val="clear"/>
        <w:snapToGrid w:val="0"/>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1000-500</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万元</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0.45%=2.25万元</w:t>
      </w:r>
    </w:p>
    <w:p>
      <w:pPr>
        <w:pStyle w:val="2"/>
        <w:shd w:val="clear"/>
        <w:snapToGrid w:val="0"/>
        <w:spacing w:line="360" w:lineRule="auto"/>
        <w:ind w:firstLine="480" w:firstLineChars="200"/>
        <w:jc w:val="both"/>
        <w:rPr>
          <w:rFonts w:hint="eastAsia" w:cs="宋体"/>
          <w:b w:val="0"/>
          <w:bCs w:val="0"/>
          <w:color w:val="auto"/>
          <w:sz w:val="24"/>
          <w:szCs w:val="24"/>
          <w:highlight w:val="none"/>
        </w:rPr>
      </w:pPr>
      <w:r>
        <w:rPr>
          <w:rFonts w:hint="eastAsia" w:cs="宋体"/>
          <w:b w:val="0"/>
          <w:bCs w:val="0"/>
          <w:color w:val="auto"/>
          <w:sz w:val="24"/>
          <w:szCs w:val="24"/>
          <w:highlight w:val="none"/>
        </w:rPr>
        <w:t>合计收费=1.5+3.2</w:t>
      </w:r>
      <w:r>
        <w:rPr>
          <w:rFonts w:hint="eastAsia" w:cs="宋体"/>
          <w:b w:val="0"/>
          <w:bCs w:val="0"/>
          <w:color w:val="auto"/>
          <w:sz w:val="24"/>
          <w:szCs w:val="24"/>
          <w:highlight w:val="none"/>
          <w:lang w:val="en-US" w:eastAsia="zh-CN"/>
        </w:rPr>
        <w:t>+2.25</w:t>
      </w:r>
      <w:r>
        <w:rPr>
          <w:rFonts w:hint="eastAsia" w:cs="宋体"/>
          <w:b w:val="0"/>
          <w:bCs w:val="0"/>
          <w:color w:val="auto"/>
          <w:sz w:val="24"/>
          <w:szCs w:val="24"/>
          <w:highlight w:val="none"/>
        </w:rPr>
        <w:t>=</w:t>
      </w:r>
      <w:r>
        <w:rPr>
          <w:rFonts w:hint="eastAsia" w:cs="宋体"/>
          <w:b w:val="0"/>
          <w:bCs w:val="0"/>
          <w:color w:val="auto"/>
          <w:sz w:val="24"/>
          <w:szCs w:val="24"/>
          <w:highlight w:val="none"/>
          <w:lang w:val="en-US" w:eastAsia="zh-CN"/>
        </w:rPr>
        <w:t>6.95</w:t>
      </w:r>
      <w:r>
        <w:rPr>
          <w:rFonts w:hint="eastAsia" w:cs="宋体"/>
          <w:b w:val="0"/>
          <w:bCs w:val="0"/>
          <w:color w:val="auto"/>
          <w:sz w:val="24"/>
          <w:szCs w:val="24"/>
          <w:highlight w:val="none"/>
        </w:rPr>
        <w:t>（万元）</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5.2.2采购代理服务费向采购代理机构直接交纳，可用汇票、电汇、银行本票、现金等付款方式。</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5.2.3采购代理服务费不在投标报价中单列。</w:t>
      </w:r>
    </w:p>
    <w:p>
      <w:pPr>
        <w:pStyle w:val="13"/>
        <w:shd w:val="clear"/>
        <w:spacing w:line="360" w:lineRule="auto"/>
        <w:ind w:firstLine="480"/>
        <w:rPr>
          <w:rFonts w:hAnsi="宋体" w:cs="宋体"/>
          <w:b/>
          <w:color w:val="auto"/>
          <w:sz w:val="24"/>
          <w:szCs w:val="24"/>
          <w:highlight w:val="none"/>
        </w:rPr>
      </w:pPr>
      <w:r>
        <w:rPr>
          <w:rFonts w:hint="eastAsia" w:hAnsi="宋体" w:cs="宋体"/>
          <w:b/>
          <w:color w:val="auto"/>
          <w:sz w:val="24"/>
          <w:szCs w:val="24"/>
          <w:highlight w:val="none"/>
        </w:rPr>
        <w:t>6</w:t>
      </w:r>
      <w:r>
        <w:rPr>
          <w:rFonts w:hint="eastAsia" w:hAnsi="宋体" w:cs="宋体"/>
          <w:color w:val="auto"/>
          <w:sz w:val="24"/>
          <w:szCs w:val="24"/>
          <w:highlight w:val="none"/>
        </w:rPr>
        <w:t>.</w:t>
      </w:r>
      <w:r>
        <w:rPr>
          <w:rFonts w:hint="eastAsia" w:hAnsi="宋体" w:cs="宋体"/>
          <w:b/>
          <w:color w:val="auto"/>
          <w:sz w:val="24"/>
          <w:szCs w:val="24"/>
          <w:highlight w:val="none"/>
        </w:rPr>
        <w:t xml:space="preserve">现场勘察 </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6.1投标前，投标人须自行到项目所在地予以踏勘，对项目实施现场及周边环境等进行勘察，以获取编制投标文件和签署合同所需的所有资料，否则，由此所造成的一切后果由投标人自行承担。</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6.2投标单位在考察过程中发生的各类事件及所发生的各项费用，均由投标单位自行承担。采购人和代理机构概不负责。</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6.3采购人向投标单位提供的有关现场的数据和资料，是采购人现有的能被投标人利用的资料，采购人对投标人据此做出的任何推论、理解和结论不负责任。</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6.4现场踏勘完毕，将认为投标人已了解现场情况，并充分理解了为之所承担的风险、义务和责任。</w:t>
      </w:r>
    </w:p>
    <w:p>
      <w:pPr>
        <w:shd w:val="clea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7</w:t>
      </w:r>
      <w:r>
        <w:rPr>
          <w:rFonts w:hint="eastAsia" w:ascii="宋体" w:hAnsi="宋体" w:cs="宋体"/>
          <w:color w:val="auto"/>
          <w:sz w:val="24"/>
          <w:highlight w:val="none"/>
        </w:rPr>
        <w:t>.</w:t>
      </w:r>
      <w:r>
        <w:rPr>
          <w:rFonts w:hint="eastAsia" w:ascii="宋体" w:hAnsi="宋体" w:cs="宋体"/>
          <w:b/>
          <w:color w:val="auto"/>
          <w:sz w:val="24"/>
          <w:highlight w:val="none"/>
        </w:rPr>
        <w:t>联合体投标</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本项目接受联合体投标。</w:t>
      </w:r>
    </w:p>
    <w:p>
      <w:pPr>
        <w:shd w:val="clear"/>
        <w:snapToGrid w:val="0"/>
        <w:spacing w:line="360" w:lineRule="auto"/>
        <w:rPr>
          <w:rFonts w:ascii="宋体" w:hAnsi="宋体" w:cs="宋体"/>
          <w:color w:val="auto"/>
          <w:sz w:val="28"/>
          <w:szCs w:val="28"/>
          <w:highlight w:val="none"/>
        </w:rPr>
      </w:pPr>
      <w:bookmarkStart w:id="16" w:name="_Toc274303230"/>
      <w:bookmarkStart w:id="17" w:name="_Toc7216"/>
      <w:bookmarkStart w:id="18" w:name="_Toc362250688"/>
      <w:bookmarkStart w:id="19" w:name="_Toc10079"/>
      <w:r>
        <w:rPr>
          <w:rFonts w:hint="eastAsia" w:ascii="宋体" w:hAnsi="宋体" w:cs="宋体"/>
          <w:b/>
          <w:bCs/>
          <w:color w:val="auto"/>
          <w:sz w:val="28"/>
          <w:szCs w:val="28"/>
          <w:highlight w:val="none"/>
        </w:rPr>
        <w:t>二、</w:t>
      </w:r>
      <w:bookmarkEnd w:id="16"/>
      <w:bookmarkEnd w:id="17"/>
      <w:bookmarkEnd w:id="18"/>
      <w:bookmarkEnd w:id="19"/>
      <w:r>
        <w:rPr>
          <w:rFonts w:hint="eastAsia" w:ascii="宋体" w:hAnsi="宋体" w:cs="宋体"/>
          <w:b/>
          <w:bCs/>
          <w:color w:val="auto"/>
          <w:sz w:val="28"/>
          <w:szCs w:val="28"/>
          <w:highlight w:val="none"/>
        </w:rPr>
        <w:t>采购文件</w:t>
      </w:r>
    </w:p>
    <w:p>
      <w:pPr>
        <w:shd w:val="clear"/>
        <w:adjustRightInd w:val="0"/>
        <w:snapToGrid w:val="0"/>
        <w:spacing w:before="50" w:after="5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w:t>
      </w:r>
      <w:r>
        <w:rPr>
          <w:rFonts w:hint="eastAsia" w:ascii="宋体" w:hAnsi="宋体" w:cs="宋体"/>
          <w:color w:val="auto"/>
          <w:sz w:val="24"/>
          <w:highlight w:val="none"/>
        </w:rPr>
        <w:t>.</w:t>
      </w:r>
      <w:r>
        <w:rPr>
          <w:rFonts w:hint="eastAsia" w:ascii="宋体" w:hAnsi="宋体" w:cs="宋体"/>
          <w:b/>
          <w:bCs/>
          <w:color w:val="auto"/>
          <w:sz w:val="24"/>
          <w:highlight w:val="none"/>
        </w:rPr>
        <w:t>采购文件的组成</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8.1采购文件包括下列内容：</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第一章  采购公告</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第二章  投标须知和投标须知前附表</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第三章  采购项目需求</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第四章  开标、评标和定标</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第五章  投标文件的有效性</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第六章  评标办法</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第七章  拟签订的合同文本</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第八章  投标文件部分格式</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8.2除8.1内容外，采购人在提交投标文件截止时间前，以书面形式发出的对采购文件的澄清或修改内容，均为采购文件的组成部分，对采购人和投标人起约束作用。</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8.3上述所列8.1及8.2条内容均以书面文件为准，采购人（采购代理机构）的任何工作人员对投标人所作的任何口头解释、介绍、答复，对采购人和投标人无任何约束力。</w:t>
      </w:r>
    </w:p>
    <w:p>
      <w:pPr>
        <w:shd w:val="clear"/>
        <w:adjustRightInd w:val="0"/>
        <w:snapToGrid w:val="0"/>
        <w:spacing w:line="360" w:lineRule="auto"/>
        <w:ind w:firstLine="480" w:firstLineChars="200"/>
        <w:rPr>
          <w:rFonts w:ascii="宋体" w:hAnsi="宋体" w:cs="宋体"/>
          <w:color w:val="auto"/>
          <w:sz w:val="24"/>
          <w:highlight w:val="none"/>
          <w:shd w:val="clear" w:color="auto" w:fill="CCCCCC"/>
        </w:rPr>
      </w:pPr>
      <w:r>
        <w:rPr>
          <w:rFonts w:hint="eastAsia" w:ascii="宋体" w:hAnsi="宋体" w:cs="宋体"/>
          <w:color w:val="auto"/>
          <w:sz w:val="24"/>
          <w:highlight w:val="none"/>
        </w:rPr>
        <w:t>8.4投标单位应认真阅读投标须知、合同条件、规定格式、项目要求、报价要求等采购文件所有的内容。如果投标单位的投标文件不能符合采购文件的要求，责任由投标单位自负。实质上不响应采购文件要求的投标文件将被拒绝。</w:t>
      </w:r>
    </w:p>
    <w:p>
      <w:pPr>
        <w:shd w:val="clea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9.采购文件的澄清</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9.1投标人若对采购文件有任何疑问，应于前附表规定的时间前以书面形式向采购人和代理机构提出。</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9.2无论是采购人根据需要主动对采购文件进行必要澄清、补充或修改，或是根据投标人的要求对采购文件做出澄清、补充或修改，采购人的书面澄清（更正）文件通过浙江政府采购网和义乌市公共资源交易服务平台上发布公告，该澄清（更正）文件作为采购文件的一部分，对所有投标人有约束力，潜在投标人请自行到浙江政府采购网和义乌市公共资源交易服务平台上下载澄清（更正）文件。</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9.3投标单位在前附表规定时间未提交疑问的，视作默认对本次招标过程中采购文件无异议，采购人对其提出的问题可以不作解释。</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9.4采购文件澄清、修改、补充等内容均以书面形式明确的内容为准。当采购文件、采购文件的澄清、修改、补充等在同一内容的表述上不一致时，以最后发出的书面文件为准。</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9.5采购人及采购代理机构工作人员向投标人所作的任何口头答复或电话通知一律无效。</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注：若本条所述的采购文件、招标答疑（补充）文件没有向投标人以书面形式发出，而是通过浙江政府采购网和义乌市公共资源交易服务平台上发出的，则以该网发出的为准，采购文件、招标答疑（补充）文件一经该网发出，即视为投标人已经收到。投标人在投标截止时间前应充分关注该网上发布的信息，如因投标人未及时关注网上发布的信息而导致的一切投标后果由投标人自行承担。</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9.6投标人应仔细阅读和检查采购文件的全部内容。如发现缺页或附件不全，应及时向采购人提出，以便补齐。如有疑问，应在投标人须知前附表规定的方式及时间前书面形式要求澄清问题的文件，要求采购人对采购文件予以澄清。否则，由此引起的损失由投标人自己承担。</w:t>
      </w:r>
    </w:p>
    <w:p>
      <w:pPr>
        <w:shd w:val="clear"/>
        <w:snapToGrid w:val="0"/>
        <w:spacing w:line="360" w:lineRule="auto"/>
        <w:rPr>
          <w:rFonts w:ascii="宋体" w:hAnsi="宋体" w:cs="宋体"/>
          <w:b/>
          <w:bCs/>
          <w:color w:val="auto"/>
          <w:sz w:val="28"/>
          <w:szCs w:val="28"/>
          <w:highlight w:val="none"/>
        </w:rPr>
      </w:pPr>
      <w:bookmarkStart w:id="20" w:name="_Toc23775"/>
      <w:bookmarkStart w:id="21" w:name="_Toc27267"/>
      <w:bookmarkStart w:id="22" w:name="_Toc274303231"/>
      <w:bookmarkStart w:id="23" w:name="_Toc362250689"/>
      <w:r>
        <w:rPr>
          <w:rFonts w:hint="eastAsia" w:ascii="宋体" w:hAnsi="宋体" w:cs="宋体"/>
          <w:b/>
          <w:bCs/>
          <w:color w:val="auto"/>
          <w:sz w:val="28"/>
          <w:szCs w:val="28"/>
          <w:highlight w:val="none"/>
        </w:rPr>
        <w:t>三、投标文件</w:t>
      </w:r>
      <w:bookmarkEnd w:id="20"/>
      <w:bookmarkEnd w:id="21"/>
      <w:bookmarkEnd w:id="22"/>
      <w:bookmarkEnd w:id="23"/>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10.投标文件的语言及度量衡单位</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10.1投标文件和与投标有关的所有文件均应使用汉语。</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10.2除工程规范另有规定外，投标文件使用的度量衡单位，均采用中华人民共和国法定计量单位。</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10.3对不同文字文本投标文件的解释发生异义的，以中文文本为准。</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11.对投标文件的要求</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11.1投标人应仔细阅读采购文件，了解采购文件的要求，在完全了解招标项目的技术要求和商务要求后，编制投标文件。</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11.2编制投标文件时，投标人对采购文件中技术及商务要求须逐条逐项作出实质性回答。</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11.3 在投标文件的技术条款描述中，投标人应充分应答和满足用户的强制性的需求，如“★”等，否则将导致无效标。</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11.4编制的投标文件对采购文件中有关条款未提出异议的，均被视为接受和同意。</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12.投标文件的组成</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12.1投标文件的组成包括以下所列内容和采购文件中“投标文件部分格式”所列的内容、格式及其投标人认为有必要提供的其他文件。</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★12.2 递交的投标文件应分为技术标和商务标，技术标为除商务报价外的所有内容，电子投标文件中所有加盖公章均采用CA签章。技术标（含资信与服务）不得含商务报价，否则作无效标处理。</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12.3资格审查文件：应包括下列内容（并不仅限于以下）：(复印件需加盖单位公章，提供的所有证书应在有效期内，逾期的无效)</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（1）关于资格的声明函；</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（2）投标单位情况介绍；</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（3）有效的营业执照副本复印件或在“国家企业信用信息公示系统”（网址：</w:t>
      </w:r>
      <w:r>
        <w:rPr>
          <w:rFonts w:hint="eastAsia" w:cs="宋体"/>
          <w:b w:val="0"/>
          <w:bCs w:val="0"/>
          <w:color w:val="auto"/>
          <w:sz w:val="24"/>
          <w:szCs w:val="24"/>
          <w:highlight w:val="none"/>
        </w:rPr>
        <w:fldChar w:fldCharType="begin"/>
      </w:r>
      <w:r>
        <w:rPr>
          <w:rFonts w:hint="eastAsia" w:cs="宋体"/>
          <w:b w:val="0"/>
          <w:bCs w:val="0"/>
          <w:color w:val="auto"/>
          <w:sz w:val="24"/>
          <w:szCs w:val="24"/>
          <w:highlight w:val="none"/>
        </w:rPr>
        <w:instrText xml:space="preserve"> HYPERLINK "http://gsxt.saic.gov.cn/）上的单位详细信息打印件（加盖投标人公章）；" </w:instrText>
      </w:r>
      <w:r>
        <w:rPr>
          <w:rFonts w:hint="eastAsia" w:cs="宋体"/>
          <w:b w:val="0"/>
          <w:bCs w:val="0"/>
          <w:color w:val="auto"/>
          <w:sz w:val="24"/>
          <w:szCs w:val="24"/>
          <w:highlight w:val="none"/>
        </w:rPr>
        <w:fldChar w:fldCharType="separate"/>
      </w:r>
      <w:r>
        <w:rPr>
          <w:rFonts w:hint="eastAsia" w:cs="宋体"/>
          <w:b w:val="0"/>
          <w:bCs w:val="0"/>
          <w:color w:val="auto"/>
          <w:sz w:val="24"/>
          <w:szCs w:val="24"/>
          <w:highlight w:val="none"/>
        </w:rPr>
        <w:t>http://gsxt.saic.gov.cn/）上的单位详细信息打印件（加盖投标人公章）；</w:t>
      </w:r>
      <w:r>
        <w:rPr>
          <w:rFonts w:hint="eastAsia" w:cs="宋体"/>
          <w:b w:val="0"/>
          <w:bCs w:val="0"/>
          <w:color w:val="auto"/>
          <w:sz w:val="24"/>
          <w:szCs w:val="24"/>
          <w:highlight w:val="none"/>
        </w:rPr>
        <w:fldChar w:fldCharType="end"/>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（4）法定代表人资格说明书、法定代表人身份证复印件；</w:t>
      </w:r>
    </w:p>
    <w:p>
      <w:pPr>
        <w:pStyle w:val="2"/>
        <w:shd w:val="clear"/>
        <w:snapToGrid w:val="0"/>
        <w:spacing w:line="360" w:lineRule="auto"/>
        <w:ind w:firstLine="480" w:firstLineChars="200"/>
        <w:jc w:val="both"/>
        <w:rPr>
          <w:rFonts w:hint="eastAsia" w:cs="宋体"/>
          <w:b w:val="0"/>
          <w:bCs w:val="0"/>
          <w:color w:val="auto"/>
          <w:sz w:val="24"/>
          <w:szCs w:val="24"/>
          <w:highlight w:val="none"/>
        </w:rPr>
      </w:pPr>
      <w:r>
        <w:rPr>
          <w:rFonts w:hint="eastAsia" w:cs="宋体"/>
          <w:b w:val="0"/>
          <w:bCs w:val="0"/>
          <w:color w:val="auto"/>
          <w:sz w:val="24"/>
          <w:szCs w:val="24"/>
          <w:highlight w:val="none"/>
        </w:rPr>
        <w:t>（5）法定代表人授权委托书、被授权代表身份证复印件（适用于授权代表参与本项目）；</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w:t>
      </w:r>
      <w:r>
        <w:rPr>
          <w:rFonts w:hint="eastAsia" w:cs="宋体"/>
          <w:b w:val="0"/>
          <w:bCs w:val="0"/>
          <w:color w:val="auto"/>
          <w:sz w:val="24"/>
          <w:szCs w:val="24"/>
          <w:highlight w:val="none"/>
          <w:lang w:val="en-US" w:eastAsia="zh-CN"/>
        </w:rPr>
        <w:t>6</w:t>
      </w:r>
      <w:r>
        <w:rPr>
          <w:rFonts w:hint="eastAsia" w:cs="宋体"/>
          <w:b w:val="0"/>
          <w:bCs w:val="0"/>
          <w:color w:val="auto"/>
          <w:sz w:val="24"/>
          <w:szCs w:val="24"/>
          <w:highlight w:val="none"/>
        </w:rPr>
        <w:t>）《中小企业声明函》｛符合</w:t>
      </w:r>
      <w:r>
        <w:rPr>
          <w:rFonts w:hint="eastAsia" w:cs="宋体"/>
          <w:b w:val="0"/>
          <w:bCs w:val="0"/>
          <w:color w:val="auto"/>
          <w:sz w:val="24"/>
          <w:szCs w:val="24"/>
          <w:highlight w:val="none"/>
          <w:lang w:val="en-US" w:eastAsia="zh-CN"/>
        </w:rPr>
        <w:t>中小</w:t>
      </w:r>
      <w:r>
        <w:rPr>
          <w:rFonts w:hint="eastAsia" w:cs="宋体"/>
          <w:b w:val="0"/>
          <w:bCs w:val="0"/>
          <w:color w:val="auto"/>
          <w:sz w:val="24"/>
          <w:szCs w:val="24"/>
          <w:highlight w:val="none"/>
        </w:rPr>
        <w:t>企业有关政策的投标人需提供本项材料。投标人应根据《工业和信息化部、国家统计局、国家发展和改革委员会、财政部关于印发中小企业划型标准规定的通知》（工信部联企业〔2011〕300号）规定的划型标准,填报企业规模类型。投标人也可在国务院客户端或工业和信息化部网站上，使用中小企业规模类型自测小程序识别企业规模类型。｝。</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w:t>
      </w:r>
      <w:r>
        <w:rPr>
          <w:rFonts w:hint="eastAsia" w:cs="宋体"/>
          <w:b w:val="0"/>
          <w:bCs w:val="0"/>
          <w:color w:val="auto"/>
          <w:sz w:val="24"/>
          <w:szCs w:val="24"/>
          <w:highlight w:val="none"/>
          <w:lang w:val="en-US" w:eastAsia="zh-CN"/>
        </w:rPr>
        <w:t>7</w:t>
      </w:r>
      <w:r>
        <w:rPr>
          <w:rFonts w:hint="eastAsia" w:cs="宋体"/>
          <w:b w:val="0"/>
          <w:bCs w:val="0"/>
          <w:color w:val="auto"/>
          <w:sz w:val="24"/>
          <w:szCs w:val="24"/>
          <w:highlight w:val="none"/>
        </w:rPr>
        <w:t>）残疾人福利企业声明函（若有，格式见附件）；</w:t>
      </w:r>
    </w:p>
    <w:p>
      <w:pPr>
        <w:pStyle w:val="2"/>
        <w:shd w:val="clear"/>
        <w:snapToGrid w:val="0"/>
        <w:spacing w:line="360" w:lineRule="auto"/>
        <w:ind w:firstLine="480" w:firstLineChars="200"/>
        <w:jc w:val="both"/>
        <w:rPr>
          <w:color w:val="auto"/>
          <w:highlight w:val="none"/>
        </w:rPr>
      </w:pPr>
      <w:r>
        <w:rPr>
          <w:rFonts w:hint="eastAsia" w:cs="宋体"/>
          <w:b w:val="0"/>
          <w:bCs w:val="0"/>
          <w:color w:val="auto"/>
          <w:sz w:val="24"/>
          <w:szCs w:val="24"/>
          <w:highlight w:val="none"/>
        </w:rPr>
        <w:t>（</w:t>
      </w:r>
      <w:r>
        <w:rPr>
          <w:rFonts w:hint="eastAsia" w:cs="宋体"/>
          <w:b w:val="0"/>
          <w:bCs w:val="0"/>
          <w:color w:val="auto"/>
          <w:sz w:val="24"/>
          <w:szCs w:val="24"/>
          <w:highlight w:val="none"/>
          <w:lang w:val="en-US" w:eastAsia="zh-CN"/>
        </w:rPr>
        <w:t>8</w:t>
      </w:r>
      <w:r>
        <w:rPr>
          <w:rFonts w:hint="eastAsia" w:cs="宋体"/>
          <w:b w:val="0"/>
          <w:bCs w:val="0"/>
          <w:color w:val="auto"/>
          <w:sz w:val="24"/>
          <w:szCs w:val="24"/>
          <w:highlight w:val="none"/>
        </w:rPr>
        <w:t>）监狱企业声明函、说明资料（若有，格式见附件）；</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12.4技术标:应包括下列内容（并不仅限于以下）：(复印件需加盖单位公章，提供的所有证书应在有效期内，逾期的无效)</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（1）总体方案；</w:t>
      </w:r>
    </w:p>
    <w:p>
      <w:pPr>
        <w:pStyle w:val="2"/>
        <w:shd w:val="clear"/>
        <w:snapToGrid w:val="0"/>
        <w:spacing w:line="360" w:lineRule="auto"/>
        <w:ind w:firstLine="480" w:firstLineChars="200"/>
        <w:jc w:val="both"/>
        <w:rPr>
          <w:rFonts w:hint="eastAsia" w:cs="宋体"/>
          <w:b w:val="0"/>
          <w:bCs w:val="0"/>
          <w:color w:val="auto"/>
          <w:sz w:val="24"/>
          <w:szCs w:val="24"/>
          <w:highlight w:val="none"/>
        </w:rPr>
      </w:pPr>
      <w:r>
        <w:rPr>
          <w:rFonts w:hint="eastAsia" w:cs="宋体"/>
          <w:b w:val="0"/>
          <w:bCs w:val="0"/>
          <w:color w:val="auto"/>
          <w:sz w:val="24"/>
          <w:szCs w:val="24"/>
          <w:highlight w:val="none"/>
        </w:rPr>
        <w:t>（2）</w:t>
      </w:r>
      <w:r>
        <w:rPr>
          <w:rFonts w:hint="eastAsia" w:cs="宋体"/>
          <w:b w:val="0"/>
          <w:bCs w:val="0"/>
          <w:color w:val="auto"/>
          <w:sz w:val="24"/>
          <w:szCs w:val="24"/>
          <w:highlight w:val="none"/>
          <w:lang w:val="en-US" w:eastAsia="zh-CN"/>
        </w:rPr>
        <w:t>拟投入本项目设备一览表</w:t>
      </w:r>
      <w:r>
        <w:rPr>
          <w:rFonts w:hint="eastAsia" w:cs="宋体"/>
          <w:b w:val="0"/>
          <w:bCs w:val="0"/>
          <w:color w:val="auto"/>
          <w:sz w:val="24"/>
          <w:szCs w:val="24"/>
          <w:highlight w:val="none"/>
        </w:rPr>
        <w:t>；</w:t>
      </w:r>
    </w:p>
    <w:p>
      <w:pPr>
        <w:pStyle w:val="2"/>
        <w:shd w:val="clear"/>
        <w:snapToGrid w:val="0"/>
        <w:spacing w:line="360" w:lineRule="auto"/>
        <w:ind w:firstLine="480" w:firstLineChars="200"/>
        <w:jc w:val="both"/>
        <w:rPr>
          <w:rFonts w:hint="default"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检测报告等</w:t>
      </w:r>
      <w:r>
        <w:rPr>
          <w:rFonts w:hint="eastAsia" w:cs="宋体"/>
          <w:b w:val="0"/>
          <w:bCs w:val="0"/>
          <w:color w:val="auto"/>
          <w:sz w:val="24"/>
          <w:szCs w:val="24"/>
          <w:highlight w:val="none"/>
          <w:lang w:val="en-US" w:eastAsia="zh-CN"/>
        </w:rPr>
        <w:t>相关材料；</w:t>
      </w:r>
    </w:p>
    <w:p>
      <w:pPr>
        <w:pStyle w:val="2"/>
        <w:tabs>
          <w:tab w:val="left" w:pos="736"/>
        </w:tabs>
        <w:snapToGrid w:val="0"/>
        <w:spacing w:line="360" w:lineRule="auto"/>
        <w:ind w:firstLine="480" w:firstLineChars="200"/>
        <w:jc w:val="both"/>
        <w:rPr>
          <w:rFonts w:hint="eastAsia" w:eastAsia="宋体"/>
          <w:lang w:eastAsia="zh-CN"/>
        </w:rPr>
      </w:pPr>
      <w:r>
        <w:rPr>
          <w:rFonts w:hint="eastAsia" w:cs="宋体"/>
          <w:b w:val="0"/>
          <w:bCs w:val="0"/>
          <w:color w:val="auto"/>
          <w:sz w:val="24"/>
          <w:szCs w:val="24"/>
          <w:highlight w:val="none"/>
          <w:lang w:eastAsia="zh-CN"/>
        </w:rPr>
        <w:t>（</w:t>
      </w:r>
      <w:r>
        <w:rPr>
          <w:rFonts w:hint="eastAsia" w:cs="宋体"/>
          <w:b w:val="0"/>
          <w:bCs w:val="0"/>
          <w:color w:val="auto"/>
          <w:sz w:val="24"/>
          <w:szCs w:val="24"/>
          <w:highlight w:val="none"/>
          <w:lang w:val="en-US" w:eastAsia="zh-CN"/>
        </w:rPr>
        <w:tab/>
      </w:r>
      <w:r>
        <w:rPr>
          <w:rFonts w:hint="eastAsia" w:cs="宋体"/>
          <w:b w:val="0"/>
          <w:bCs w:val="0"/>
          <w:color w:val="auto"/>
          <w:sz w:val="24"/>
          <w:szCs w:val="24"/>
          <w:highlight w:val="none"/>
          <w:lang w:val="en-US" w:eastAsia="zh-CN"/>
        </w:rPr>
        <w:t>4</w:t>
      </w:r>
      <w:r>
        <w:rPr>
          <w:rFonts w:hint="eastAsia" w:cs="宋体"/>
          <w:b w:val="0"/>
          <w:bCs w:val="0"/>
          <w:color w:val="auto"/>
          <w:sz w:val="24"/>
          <w:szCs w:val="24"/>
          <w:highlight w:val="none"/>
          <w:lang w:eastAsia="zh-CN"/>
        </w:rPr>
        <w:t>）</w:t>
      </w:r>
      <w:r>
        <w:rPr>
          <w:rFonts w:hint="eastAsia" w:cs="宋体"/>
          <w:b w:val="0"/>
          <w:bCs w:val="0"/>
          <w:color w:val="auto"/>
          <w:sz w:val="24"/>
          <w:szCs w:val="24"/>
          <w:highlight w:val="none"/>
        </w:rPr>
        <w:t>可远程控制云平台功能配置</w:t>
      </w:r>
      <w:r>
        <w:rPr>
          <w:rFonts w:hint="eastAsia" w:cs="宋体"/>
          <w:b w:val="0"/>
          <w:bCs w:val="0"/>
          <w:color w:val="auto"/>
          <w:sz w:val="24"/>
          <w:szCs w:val="24"/>
          <w:highlight w:val="none"/>
          <w:lang w:eastAsia="zh-CN"/>
        </w:rPr>
        <w:t>；</w:t>
      </w:r>
    </w:p>
    <w:p>
      <w:pPr>
        <w:pStyle w:val="2"/>
        <w:shd w:val="clear"/>
        <w:snapToGrid w:val="0"/>
        <w:spacing w:line="360" w:lineRule="auto"/>
        <w:ind w:firstLine="480" w:firstLineChars="200"/>
        <w:jc w:val="both"/>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eastAsia="zh-CN"/>
        </w:rPr>
        <w:t>（</w:t>
      </w:r>
      <w:r>
        <w:rPr>
          <w:rFonts w:hint="eastAsia" w:cs="宋体"/>
          <w:b w:val="0"/>
          <w:bCs w:val="0"/>
          <w:color w:val="auto"/>
          <w:sz w:val="24"/>
          <w:szCs w:val="24"/>
          <w:highlight w:val="none"/>
          <w:lang w:val="en-US" w:eastAsia="zh-CN"/>
        </w:rPr>
        <w:t>5</w:t>
      </w:r>
      <w:r>
        <w:rPr>
          <w:rFonts w:hint="eastAsia" w:cs="宋体"/>
          <w:b w:val="0"/>
          <w:bCs w:val="0"/>
          <w:color w:val="auto"/>
          <w:sz w:val="24"/>
          <w:szCs w:val="24"/>
          <w:highlight w:val="none"/>
          <w:lang w:eastAsia="zh-CN"/>
        </w:rPr>
        <w:t>）</w:t>
      </w:r>
      <w:r>
        <w:rPr>
          <w:rFonts w:hint="eastAsia" w:cs="宋体"/>
          <w:b w:val="0"/>
          <w:bCs w:val="0"/>
          <w:color w:val="auto"/>
          <w:sz w:val="24"/>
          <w:szCs w:val="24"/>
          <w:highlight w:val="none"/>
          <w:lang w:val="en-US" w:eastAsia="zh-CN"/>
        </w:rPr>
        <w:t>服务方案；</w:t>
      </w:r>
    </w:p>
    <w:p>
      <w:pPr>
        <w:pStyle w:val="2"/>
        <w:shd w:val="clear"/>
        <w:snapToGrid w:val="0"/>
        <w:spacing w:line="360" w:lineRule="auto"/>
        <w:ind w:firstLine="480" w:firstLineChars="200"/>
        <w:jc w:val="both"/>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（6）组织方案；</w:t>
      </w:r>
    </w:p>
    <w:p>
      <w:pPr>
        <w:pStyle w:val="2"/>
        <w:shd w:val="clear"/>
        <w:snapToGrid w:val="0"/>
        <w:spacing w:line="360" w:lineRule="auto"/>
        <w:ind w:firstLine="480" w:firstLineChars="200"/>
        <w:jc w:val="both"/>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（7）应急预案；</w:t>
      </w:r>
    </w:p>
    <w:p>
      <w:pPr>
        <w:pStyle w:val="2"/>
        <w:shd w:val="clear"/>
        <w:snapToGrid w:val="0"/>
        <w:spacing w:line="360" w:lineRule="auto"/>
        <w:ind w:firstLine="480" w:firstLineChars="200"/>
        <w:jc w:val="both"/>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（8）节能改造方案；</w:t>
      </w:r>
    </w:p>
    <w:p>
      <w:pPr>
        <w:pStyle w:val="2"/>
        <w:shd w:val="clear"/>
        <w:snapToGrid w:val="0"/>
        <w:spacing w:line="360" w:lineRule="auto"/>
        <w:ind w:firstLine="480" w:firstLineChars="200"/>
        <w:jc w:val="both"/>
        <w:rPr>
          <w:rFonts w:hint="default"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（9）持续性服务方案；</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w:t>
      </w:r>
      <w:r>
        <w:rPr>
          <w:rFonts w:hint="eastAsia" w:cs="宋体"/>
          <w:b w:val="0"/>
          <w:bCs w:val="0"/>
          <w:color w:val="auto"/>
          <w:sz w:val="24"/>
          <w:szCs w:val="24"/>
          <w:highlight w:val="none"/>
          <w:lang w:val="en-US" w:eastAsia="zh-CN"/>
        </w:rPr>
        <w:t>10</w:t>
      </w:r>
      <w:r>
        <w:rPr>
          <w:rFonts w:hint="eastAsia" w:cs="宋体"/>
          <w:b w:val="0"/>
          <w:bCs w:val="0"/>
          <w:color w:val="auto"/>
          <w:sz w:val="24"/>
          <w:szCs w:val="24"/>
          <w:highlight w:val="none"/>
        </w:rPr>
        <w:t>）义乌市政府采购项目投标承诺书；</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w:t>
      </w:r>
      <w:r>
        <w:rPr>
          <w:rFonts w:hint="eastAsia" w:cs="宋体"/>
          <w:b w:val="0"/>
          <w:bCs w:val="0"/>
          <w:color w:val="auto"/>
          <w:sz w:val="24"/>
          <w:szCs w:val="24"/>
          <w:highlight w:val="none"/>
          <w:lang w:val="en-US" w:eastAsia="zh-CN"/>
        </w:rPr>
        <w:t>11</w:t>
      </w:r>
      <w:r>
        <w:rPr>
          <w:rFonts w:hint="eastAsia" w:cs="宋体"/>
          <w:b w:val="0"/>
          <w:bCs w:val="0"/>
          <w:color w:val="auto"/>
          <w:sz w:val="24"/>
          <w:szCs w:val="24"/>
          <w:highlight w:val="none"/>
        </w:rPr>
        <w:t>）根据采购文件采购项目需求及评标办法要求提供的有关资料；</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w:t>
      </w:r>
      <w:r>
        <w:rPr>
          <w:rFonts w:hint="eastAsia" w:cs="宋体"/>
          <w:b w:val="0"/>
          <w:bCs w:val="0"/>
          <w:color w:val="auto"/>
          <w:sz w:val="24"/>
          <w:szCs w:val="24"/>
          <w:highlight w:val="none"/>
          <w:lang w:val="en-US" w:eastAsia="zh-CN"/>
        </w:rPr>
        <w:t>12</w:t>
      </w:r>
      <w:r>
        <w:rPr>
          <w:rFonts w:hint="eastAsia" w:cs="宋体"/>
          <w:b w:val="0"/>
          <w:bCs w:val="0"/>
          <w:color w:val="auto"/>
          <w:sz w:val="24"/>
          <w:szCs w:val="24"/>
          <w:highlight w:val="none"/>
        </w:rPr>
        <w:t>）认为须提供的其他资料。</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12.5商务标应包括下列内容（并不仅限于以下）并应按顺序装订成册：</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（1）投标函；</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（2）报价一览表；</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w:t>
      </w:r>
      <w:r>
        <w:rPr>
          <w:rFonts w:hint="eastAsia" w:cs="宋体"/>
          <w:b w:val="0"/>
          <w:bCs w:val="0"/>
          <w:color w:val="auto"/>
          <w:sz w:val="24"/>
          <w:szCs w:val="24"/>
          <w:highlight w:val="none"/>
          <w:lang w:val="en-US" w:eastAsia="zh-CN"/>
        </w:rPr>
        <w:t>3</w:t>
      </w:r>
      <w:r>
        <w:rPr>
          <w:rFonts w:hint="eastAsia" w:cs="宋体"/>
          <w:b w:val="0"/>
          <w:bCs w:val="0"/>
          <w:color w:val="auto"/>
          <w:sz w:val="24"/>
          <w:szCs w:val="24"/>
          <w:highlight w:val="none"/>
        </w:rPr>
        <w:t>）其他投标人认为须提供的资料。</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13.投标人资格的有关说明资料</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13.1投标人应提交说明其有资格参加投标和中标后有能力履行合同的文件，并作为其投标文件的一部分。</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13.2 投标人提交的合格性的说明文件应使采购人满意，投标人在投标时应是符合条件的投标人。</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14.报价要求</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14.1投标人应根据国家的有关规定和采购文件要求并结合企业的实际情况进行投标报价。投标报价以人民币为结算货币，投标报价</w:t>
      </w:r>
      <w:bookmarkStart w:id="24" w:name="OLE_LINK4"/>
      <w:r>
        <w:rPr>
          <w:rFonts w:hint="eastAsia" w:cs="宋体"/>
          <w:b w:val="0"/>
          <w:bCs w:val="0"/>
          <w:color w:val="auto"/>
          <w:sz w:val="24"/>
          <w:szCs w:val="24"/>
          <w:highlight w:val="none"/>
        </w:rPr>
        <w:t>包括货物价款、所必须配备的附件、途中运输费、装卸费、安装调试费、</w:t>
      </w:r>
      <w:r>
        <w:rPr>
          <w:rFonts w:hint="eastAsia" w:cs="宋体"/>
          <w:b w:val="0"/>
          <w:bCs w:val="0"/>
          <w:color w:val="auto"/>
          <w:sz w:val="24"/>
          <w:szCs w:val="24"/>
          <w:highlight w:val="none"/>
          <w:lang w:val="en-US" w:eastAsia="zh-CN"/>
        </w:rPr>
        <w:t>平台建设费、合同期的相关费用、</w:t>
      </w:r>
      <w:r>
        <w:rPr>
          <w:rFonts w:hint="eastAsia" w:cs="宋体"/>
          <w:b w:val="0"/>
          <w:bCs w:val="0"/>
          <w:color w:val="auto"/>
          <w:sz w:val="24"/>
          <w:szCs w:val="24"/>
          <w:highlight w:val="none"/>
        </w:rPr>
        <w:t>验收检测费（含质保期内）、质保期内的维护保养费、暂时交付期内操作人工费及维护保养费、保险、税金、第三方中间验收及最终验收、利润等一切与该项目相关的所有费用和政策性文件规定及合同包含的所有风险、责任等各项应有费用。如有漏项，视同已包含在其总报价中，合同总价和单价不做调整</w:t>
      </w:r>
      <w:bookmarkEnd w:id="24"/>
      <w:r>
        <w:rPr>
          <w:rFonts w:hint="eastAsia" w:cs="宋体"/>
          <w:b w:val="0"/>
          <w:bCs w:val="0"/>
          <w:color w:val="auto"/>
          <w:sz w:val="24"/>
          <w:szCs w:val="24"/>
          <w:highlight w:val="none"/>
        </w:rPr>
        <w:t>。</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14.2投标人应在投标文件的《报价一览表》上写明投标报价项目的单价和总价。中标后，中标人所填写的单价在合同实施期间不因市场变化因素而变动；投标人在计算报价时应考虑一定的风险系数。</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14.3投标人应按采购文件规定的报价格式进行投标报价。投标人对每种服务只允许有一个报价，采购人不接受任何有选择性的报价。</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14.4采购人不接受低于成本的投标报价。</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14.5投标人按照上述要求编制投标报价。一旦确认某一投标人中标，除合同规定的可调整内容外，中标人不得要求追加任何费用。</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14.6须由中标人开具正式增值税发票。</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14.7采购文件中规定由投标单位承担并支付的相关费用在投标报价时应一并考虑。</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15.投标文件格式</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15.1投标文件须包括本须知第12条中规定的全部内容，投标人不按采购文件的要求提供的投标文件和资料将视为没有对采购文件作实质性响应，其投标将被拒绝，其风险由投标人自行承担。</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15.2采购文件中有提供投标文件格式的，投标人提交的投标文件应当使用采购文件所提供的投标文件格式，表格格式在不改变格式内容的情况下可自行制作。采购文件中未提供投标文件格式的，投标人可以增加自行设计的表格及内容，以便更细致全面的说明其能力。</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16.投标文件编制要求</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16.1投标人应根据电子投标操作指南通过“政采云电子交易客户端”按本采购文件规定的内容和顺序编制电子投标文件并进行关联定位，其中技术标中不得出现本项目投标报价。</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16.2由于未按采购文件的规定要求编制投标文件，导致评审小组作出的对投标方的误判，责任由投标方自己承担。</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16.3投标文件内容不完整、编排混乱导致投标文件被误读、漏读或都查找不到相关内容的，责任由投标人自行承担。</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17.投标保证金：无。</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18.履约保证金：无。</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19.投标有效期</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19.1 投标文件从开标之日起，投标有效期为60天。</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19.2 特殊情况下，在原投标有效期截止之前，采购人可要求投标方同意延长有效期，这种要求与答复均应以书面形式提交。投标人可拒绝这种要求。接受延长投标有效期的投标人将不会被要求和允许修正其投标。</w:t>
      </w:r>
    </w:p>
    <w:p>
      <w:pPr>
        <w:shd w:val="clear"/>
        <w:snapToGrid w:val="0"/>
        <w:spacing w:line="360" w:lineRule="auto"/>
        <w:rPr>
          <w:rFonts w:ascii="宋体" w:hAnsi="宋体" w:cs="宋体"/>
          <w:b/>
          <w:bCs/>
          <w:color w:val="auto"/>
          <w:sz w:val="28"/>
          <w:szCs w:val="28"/>
          <w:highlight w:val="none"/>
        </w:rPr>
      </w:pPr>
      <w:bookmarkStart w:id="25" w:name="_Toc17171"/>
      <w:bookmarkStart w:id="26" w:name="_Toc414555327"/>
      <w:bookmarkStart w:id="27" w:name="_Toc31787"/>
      <w:bookmarkStart w:id="28" w:name="_Toc274303232"/>
      <w:r>
        <w:rPr>
          <w:rFonts w:hint="eastAsia" w:ascii="宋体" w:hAnsi="宋体" w:cs="宋体"/>
          <w:b/>
          <w:bCs/>
          <w:color w:val="auto"/>
          <w:sz w:val="28"/>
          <w:szCs w:val="28"/>
          <w:highlight w:val="none"/>
        </w:rPr>
        <w:t>四、投标文件的递交</w:t>
      </w:r>
      <w:bookmarkEnd w:id="25"/>
      <w:bookmarkEnd w:id="26"/>
      <w:bookmarkEnd w:id="27"/>
      <w:bookmarkEnd w:id="28"/>
    </w:p>
    <w:p>
      <w:pPr>
        <w:pStyle w:val="13"/>
        <w:shd w:val="clear"/>
        <w:spacing w:line="360" w:lineRule="auto"/>
        <w:ind w:firstLine="482" w:firstLineChars="200"/>
        <w:rPr>
          <w:rFonts w:hAnsi="宋体" w:cs="宋体"/>
          <w:b/>
          <w:bCs/>
          <w:color w:val="auto"/>
          <w:sz w:val="24"/>
          <w:szCs w:val="24"/>
          <w:highlight w:val="none"/>
        </w:rPr>
      </w:pPr>
      <w:bookmarkStart w:id="29" w:name="_Toc274303233"/>
      <w:bookmarkStart w:id="30" w:name="_Toc414555328"/>
      <w:r>
        <w:rPr>
          <w:rFonts w:hint="eastAsia" w:hAnsi="宋体" w:cs="宋体"/>
          <w:b/>
          <w:bCs/>
          <w:color w:val="auto"/>
          <w:sz w:val="24"/>
          <w:szCs w:val="24"/>
          <w:highlight w:val="none"/>
        </w:rPr>
        <w:t>20.电子投标文件上传的地点和截止时间</w:t>
      </w:r>
    </w:p>
    <w:p>
      <w:pPr>
        <w:shd w:val="clear"/>
        <w:tabs>
          <w:tab w:val="left" w:pos="2212"/>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20.1详见“采购公告”和“投标须知前附表”</w:t>
      </w:r>
    </w:p>
    <w:p>
      <w:pPr>
        <w:shd w:val="clear"/>
        <w:tabs>
          <w:tab w:val="left" w:pos="2212"/>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20.2采购人在规定的投标截止时间以后“政采云平台”将不接收投标文件。</w:t>
      </w:r>
    </w:p>
    <w:p>
      <w:pPr>
        <w:pStyle w:val="13"/>
        <w:shd w:val="clear"/>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21.投标文件解密</w:t>
      </w:r>
    </w:p>
    <w:p>
      <w:pPr>
        <w:pStyle w:val="13"/>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详见投标文件“投标须知前附表”第13条内容。</w:t>
      </w:r>
    </w:p>
    <w:p>
      <w:pPr>
        <w:pStyle w:val="13"/>
        <w:shd w:val="clear"/>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22.投标文件的补充、修改与撤回</w:t>
      </w:r>
    </w:p>
    <w:p>
      <w:pPr>
        <w:shd w:val="clear"/>
        <w:tabs>
          <w:tab w:val="left" w:pos="2212"/>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22.1投标人在提交投标文件以后，在规定的投标截止时间之前，可以以重新补充修改或撤回已上传的投标文件，补充、修改的内容为投标文件的组成部分。</w:t>
      </w:r>
    </w:p>
    <w:p>
      <w:pPr>
        <w:shd w:val="clear"/>
        <w:tabs>
          <w:tab w:val="left" w:pos="2212"/>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22.2在投标截止时间之后，投标人不得对其投标做任何修改。</w:t>
      </w:r>
    </w:p>
    <w:p>
      <w:pPr>
        <w:shd w:val="clear"/>
        <w:tabs>
          <w:tab w:val="left" w:pos="2212"/>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22.3从投标截止时间至投标人在投标书格式中确定的投标有效期期满这段时间内，投标人不得撤回其投标。</w:t>
      </w:r>
    </w:p>
    <w:p>
      <w:pPr>
        <w:shd w:val="clear"/>
        <w:snapToGrid w:val="0"/>
        <w:spacing w:line="360" w:lineRule="auto"/>
        <w:rPr>
          <w:rFonts w:ascii="宋体" w:hAnsi="宋体" w:cs="宋体"/>
          <w:b/>
          <w:bCs/>
          <w:color w:val="auto"/>
          <w:sz w:val="28"/>
          <w:szCs w:val="28"/>
          <w:highlight w:val="none"/>
        </w:rPr>
      </w:pPr>
      <w:bookmarkStart w:id="31" w:name="_Toc21504"/>
      <w:bookmarkStart w:id="32" w:name="_Toc6158"/>
      <w:r>
        <w:rPr>
          <w:rFonts w:hint="eastAsia" w:ascii="宋体" w:hAnsi="宋体" w:cs="宋体"/>
          <w:b/>
          <w:bCs/>
          <w:color w:val="auto"/>
          <w:sz w:val="28"/>
          <w:szCs w:val="28"/>
          <w:highlight w:val="none"/>
        </w:rPr>
        <w:t>五、其它</w:t>
      </w:r>
      <w:bookmarkEnd w:id="29"/>
      <w:bookmarkEnd w:id="30"/>
      <w:bookmarkEnd w:id="31"/>
      <w:bookmarkEnd w:id="32"/>
    </w:p>
    <w:p>
      <w:pPr>
        <w:shd w:val="clear"/>
        <w:tabs>
          <w:tab w:val="left" w:pos="2212"/>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23.本采购文件解释权归采购人。</w:t>
      </w:r>
    </w:p>
    <w:p>
      <w:pPr>
        <w:pStyle w:val="21"/>
        <w:shd w:val="clear"/>
        <w:ind w:firstLine="480"/>
        <w:rPr>
          <w:rFonts w:ascii="宋体" w:hAnsi="宋体"/>
          <w:b w:val="0"/>
          <w:bCs w:val="0"/>
          <w:color w:val="auto"/>
          <w:sz w:val="24"/>
          <w:highlight w:val="none"/>
        </w:rPr>
      </w:pPr>
    </w:p>
    <w:p>
      <w:pPr>
        <w:pStyle w:val="25"/>
        <w:shd w:val="clear"/>
        <w:ind w:firstLine="0" w:firstLineChars="0"/>
        <w:rPr>
          <w:rFonts w:ascii="宋体" w:hAnsi="宋体" w:cs="宋体"/>
          <w:b/>
          <w:bCs/>
          <w:color w:val="auto"/>
          <w:highlight w:val="none"/>
        </w:rPr>
      </w:pPr>
    </w:p>
    <w:p>
      <w:pPr>
        <w:pStyle w:val="11"/>
        <w:shd w:val="clear"/>
        <w:rPr>
          <w:rFonts w:ascii="宋体" w:hAnsi="宋体" w:cs="宋体"/>
          <w:b/>
          <w:bCs/>
          <w:color w:val="auto"/>
          <w:highlight w:val="none"/>
        </w:rPr>
      </w:pPr>
    </w:p>
    <w:p>
      <w:pPr>
        <w:pStyle w:val="11"/>
        <w:shd w:val="clear"/>
        <w:rPr>
          <w:rFonts w:ascii="宋体" w:hAnsi="宋体" w:cs="宋体"/>
          <w:b/>
          <w:bCs/>
          <w:color w:val="auto"/>
          <w:highlight w:val="none"/>
        </w:rPr>
      </w:pPr>
    </w:p>
    <w:p>
      <w:pPr>
        <w:pStyle w:val="11"/>
        <w:shd w:val="clear"/>
        <w:rPr>
          <w:rFonts w:ascii="宋体" w:hAnsi="宋体" w:cs="宋体"/>
          <w:b/>
          <w:bCs/>
          <w:color w:val="auto"/>
          <w:highlight w:val="none"/>
        </w:rPr>
      </w:pPr>
    </w:p>
    <w:p>
      <w:pPr>
        <w:pStyle w:val="11"/>
        <w:shd w:val="clear"/>
        <w:rPr>
          <w:rFonts w:ascii="宋体" w:hAnsi="宋体" w:cs="宋体"/>
          <w:b/>
          <w:bCs/>
          <w:color w:val="auto"/>
          <w:highlight w:val="none"/>
        </w:rPr>
      </w:pPr>
    </w:p>
    <w:p>
      <w:pPr>
        <w:pStyle w:val="11"/>
        <w:shd w:val="clear"/>
        <w:rPr>
          <w:rFonts w:ascii="宋体" w:hAnsi="宋体" w:cs="宋体"/>
          <w:b/>
          <w:bCs/>
          <w:color w:val="auto"/>
          <w:highlight w:val="none"/>
        </w:rPr>
      </w:pPr>
    </w:p>
    <w:p>
      <w:pPr>
        <w:pStyle w:val="11"/>
        <w:shd w:val="clear"/>
        <w:rPr>
          <w:rFonts w:ascii="宋体" w:hAnsi="宋体" w:cs="宋体"/>
          <w:b/>
          <w:bCs/>
          <w:color w:val="auto"/>
          <w:highlight w:val="none"/>
        </w:rPr>
      </w:pPr>
    </w:p>
    <w:p>
      <w:pPr>
        <w:pStyle w:val="11"/>
        <w:shd w:val="clear"/>
        <w:rPr>
          <w:rFonts w:ascii="宋体" w:hAnsi="宋体" w:cs="宋体"/>
          <w:b/>
          <w:bCs/>
          <w:color w:val="auto"/>
          <w:highlight w:val="none"/>
        </w:rPr>
      </w:pPr>
    </w:p>
    <w:p>
      <w:pPr>
        <w:pStyle w:val="11"/>
        <w:shd w:val="clear"/>
        <w:rPr>
          <w:rFonts w:ascii="宋体" w:hAnsi="宋体" w:cs="宋体"/>
          <w:b/>
          <w:bCs/>
          <w:color w:val="auto"/>
          <w:highlight w:val="none"/>
        </w:rPr>
      </w:pPr>
    </w:p>
    <w:p>
      <w:pPr>
        <w:pStyle w:val="11"/>
        <w:shd w:val="clear"/>
        <w:rPr>
          <w:rFonts w:ascii="宋体" w:hAnsi="宋体" w:cs="宋体"/>
          <w:b/>
          <w:bCs/>
          <w:color w:val="auto"/>
          <w:highlight w:val="none"/>
        </w:rPr>
      </w:pPr>
    </w:p>
    <w:p>
      <w:pPr>
        <w:pStyle w:val="11"/>
        <w:shd w:val="clear"/>
        <w:ind w:left="0" w:leftChars="0" w:firstLine="0" w:firstLineChars="0"/>
        <w:rPr>
          <w:rFonts w:ascii="宋体" w:hAnsi="宋体" w:cs="宋体"/>
          <w:b/>
          <w:bCs/>
          <w:color w:val="auto"/>
          <w:highlight w:val="none"/>
        </w:rPr>
      </w:pPr>
    </w:p>
    <w:p>
      <w:pPr>
        <w:pStyle w:val="5"/>
        <w:shd w:val="clear"/>
        <w:spacing w:before="0" w:after="0" w:line="240" w:lineRule="auto"/>
        <w:jc w:val="center"/>
        <w:rPr>
          <w:rFonts w:ascii="宋体" w:hAnsi="宋体" w:cs="宋体"/>
          <w:color w:val="auto"/>
          <w:highlight w:val="none"/>
        </w:rPr>
      </w:pPr>
      <w:bookmarkStart w:id="33" w:name="_Toc379811057"/>
      <w:bookmarkStart w:id="34" w:name="_Toc365897793"/>
      <w:bookmarkStart w:id="35" w:name="_Toc274303234"/>
      <w:bookmarkStart w:id="36" w:name="_Toc28488"/>
      <w:bookmarkStart w:id="37" w:name="_Toc24072"/>
      <w:bookmarkStart w:id="38" w:name="_Toc9924"/>
      <w:bookmarkStart w:id="39" w:name="_Toc226973000"/>
      <w:bookmarkStart w:id="40" w:name="_Toc274303251"/>
      <w:r>
        <w:rPr>
          <w:rFonts w:hint="eastAsia" w:ascii="宋体" w:hAnsi="宋体" w:cs="宋体"/>
          <w:color w:val="auto"/>
          <w:sz w:val="36"/>
          <w:highlight w:val="none"/>
        </w:rPr>
        <w:t xml:space="preserve">第三章  </w:t>
      </w:r>
      <w:bookmarkEnd w:id="33"/>
      <w:bookmarkEnd w:id="34"/>
      <w:bookmarkEnd w:id="35"/>
      <w:bookmarkEnd w:id="36"/>
      <w:bookmarkEnd w:id="37"/>
      <w:r>
        <w:rPr>
          <w:rFonts w:hint="eastAsia" w:ascii="宋体" w:hAnsi="宋体" w:cs="宋体"/>
          <w:color w:val="auto"/>
          <w:sz w:val="36"/>
          <w:highlight w:val="none"/>
        </w:rPr>
        <w:t>采购项目需求</w:t>
      </w:r>
      <w:bookmarkEnd w:id="38"/>
    </w:p>
    <w:p>
      <w:pPr>
        <w:shd w:val="clear"/>
        <w:spacing w:line="360" w:lineRule="auto"/>
        <w:rPr>
          <w:rFonts w:ascii="宋体" w:hAnsi="宋体" w:cs="宋体"/>
          <w:b/>
          <w:color w:val="auto"/>
          <w:sz w:val="24"/>
          <w:highlight w:val="none"/>
        </w:rPr>
      </w:pPr>
      <w:bookmarkStart w:id="41" w:name="_Toc2389"/>
      <w:bookmarkStart w:id="42" w:name="_Toc32316"/>
      <w:r>
        <w:rPr>
          <w:rFonts w:hint="eastAsia" w:ascii="宋体" w:hAnsi="宋体" w:cs="宋体"/>
          <w:b/>
          <w:color w:val="auto"/>
          <w:sz w:val="24"/>
          <w:highlight w:val="none"/>
        </w:rPr>
        <w:t>一、项目概况</w:t>
      </w:r>
    </w:p>
    <w:p>
      <w:pPr>
        <w:shd w:val="clear"/>
        <w:snapToGrid w:val="0"/>
        <w:spacing w:line="360" w:lineRule="auto"/>
        <w:ind w:firstLine="480" w:firstLineChars="200"/>
        <w:rPr>
          <w:rFonts w:hint="eastAsia" w:ascii="宋体" w:hAnsi="宋体" w:cs="宋体"/>
          <w:color w:val="auto"/>
          <w:sz w:val="24"/>
          <w:highlight w:val="none"/>
          <w:lang w:eastAsia="zh-CN"/>
        </w:rPr>
      </w:pPr>
      <w:bookmarkStart w:id="43" w:name="OLE_LINK52"/>
      <w:r>
        <w:rPr>
          <w:rFonts w:hint="eastAsia" w:ascii="宋体" w:hAnsi="宋体" w:cs="宋体"/>
          <w:color w:val="auto"/>
          <w:sz w:val="24"/>
          <w:highlight w:val="none"/>
        </w:rPr>
        <w:t>廿三里辖区路灯能源管理项目的改造内容包括对廿三里全域高压钠灯具</w:t>
      </w:r>
      <w:r>
        <w:rPr>
          <w:rFonts w:hint="eastAsia" w:ascii="宋体" w:hAnsi="宋体" w:cs="宋体"/>
          <w:color w:val="auto"/>
          <w:sz w:val="24"/>
          <w:highlight w:val="none"/>
          <w:lang w:val="en-US" w:eastAsia="zh-CN"/>
        </w:rPr>
        <w:t>2197</w:t>
      </w:r>
      <w:r>
        <w:rPr>
          <w:rFonts w:hint="eastAsia" w:ascii="宋体" w:hAnsi="宋体" w:cs="宋体"/>
          <w:color w:val="auto"/>
          <w:sz w:val="24"/>
          <w:highlight w:val="none"/>
        </w:rPr>
        <w:t>套进行LED灯具升级，并对其老旧载体1678</w:t>
      </w:r>
      <w:bookmarkStart w:id="141" w:name="_GoBack"/>
      <w:r>
        <w:rPr>
          <w:rFonts w:hint="eastAsia" w:ascii="宋体" w:hAnsi="宋体" w:cs="宋体"/>
          <w:color w:val="auto"/>
          <w:sz w:val="24"/>
          <w:highlight w:val="none"/>
        </w:rPr>
        <w:t>盏</w:t>
      </w:r>
      <w:bookmarkEnd w:id="141"/>
      <w:r>
        <w:rPr>
          <w:rFonts w:hint="eastAsia" w:ascii="宋体" w:hAnsi="宋体" w:cs="宋体"/>
          <w:color w:val="auto"/>
          <w:sz w:val="24"/>
          <w:highlight w:val="none"/>
        </w:rPr>
        <w:t>路灯进行单灯智慧管控，对辖区内25台箱变进行智慧化控制提升，建设具备可远程控制平台，可与区智慧平台</w:t>
      </w:r>
      <w:r>
        <w:rPr>
          <w:rFonts w:hint="eastAsia" w:ascii="宋体" w:hAnsi="宋体" w:cs="宋体"/>
          <w:color w:val="auto"/>
          <w:sz w:val="24"/>
          <w:highlight w:val="none"/>
          <w:lang w:val="en-US" w:eastAsia="zh-CN"/>
        </w:rPr>
        <w:t>连接</w:t>
      </w:r>
      <w:r>
        <w:rPr>
          <w:rFonts w:hint="eastAsia" w:ascii="宋体" w:hAnsi="宋体" w:cs="宋体"/>
          <w:color w:val="auto"/>
          <w:sz w:val="24"/>
          <w:highlight w:val="none"/>
        </w:rPr>
        <w:t>并信息共享。路灯进行LED光源更换、路灯设施护套线更换、熔断器更换，采用合同能源管理（EMC）方式，利用LED照明产品实施节能减排改造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数量以清单为准</w:t>
      </w:r>
      <w:r>
        <w:rPr>
          <w:rFonts w:hint="eastAsia" w:ascii="宋体" w:hAnsi="宋体" w:cs="宋体"/>
          <w:color w:val="auto"/>
          <w:sz w:val="24"/>
          <w:highlight w:val="none"/>
          <w:lang w:eastAsia="zh-CN"/>
        </w:rPr>
        <w:t>）</w:t>
      </w:r>
    </w:p>
    <w:p>
      <w:pPr>
        <w:shd w:val="clear"/>
        <w:snapToGrid w:val="0"/>
        <w:spacing w:line="360" w:lineRule="auto"/>
        <w:ind w:firstLine="420" w:firstLineChars="200"/>
        <w:rPr>
          <w:rFonts w:ascii="宋体" w:hAnsi="宋体" w:cs="宋体"/>
          <w:b/>
          <w:color w:val="auto"/>
          <w:sz w:val="24"/>
          <w:highlight w:val="none"/>
        </w:rPr>
      </w:pPr>
      <w:r>
        <w:rPr>
          <w:rFonts w:hint="eastAsia" w:hAnsi="宋体" w:eastAsia="宋体" w:cs="宋体"/>
          <w:color w:val="auto"/>
          <w:szCs w:val="24"/>
          <w:highlight w:val="none"/>
        </w:rPr>
        <w:t>★</w:t>
      </w:r>
      <w:r>
        <w:rPr>
          <w:rFonts w:hint="eastAsia" w:ascii="宋体" w:hAnsi="宋体" w:cs="宋体"/>
          <w:color w:val="auto"/>
          <w:sz w:val="24"/>
          <w:highlight w:val="none"/>
        </w:rPr>
        <w:t>每天路灯亮灯时间约11.5小时，投标时也以11.5小时作为投标基准时间，不得变更。</w:t>
      </w:r>
    </w:p>
    <w:bookmarkEnd w:id="43"/>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二、建设目标</w:t>
      </w:r>
    </w:p>
    <w:p>
      <w:pPr>
        <w:shd w:val="clea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整体改善和提升我区城市道路路面照明质量，方便人们的生产和生活；并实现区路灯节电率达到50%以上；更换护套线、熔断器，完善安全接地系统，建设整体智慧化管控系统</w:t>
      </w:r>
      <w:r>
        <w:rPr>
          <w:rFonts w:hint="eastAsia" w:ascii="宋体" w:hAnsi="宋体" w:cs="宋体"/>
          <w:color w:val="auto"/>
          <w:sz w:val="24"/>
          <w:highlight w:val="none"/>
          <w:lang w:eastAsia="zh-CN"/>
        </w:rPr>
        <w:t>，</w:t>
      </w:r>
      <w:r>
        <w:rPr>
          <w:rFonts w:hint="eastAsia" w:ascii="宋体" w:hAnsi="宋体" w:cs="宋体"/>
          <w:color w:val="auto"/>
          <w:sz w:val="24"/>
          <w:highlight w:val="none"/>
        </w:rPr>
        <w:t>符合安全规范</w:t>
      </w:r>
      <w:r>
        <w:rPr>
          <w:rFonts w:hint="eastAsia" w:ascii="宋体" w:hAnsi="宋体" w:cs="宋体"/>
          <w:color w:val="auto"/>
          <w:sz w:val="24"/>
          <w:highlight w:val="none"/>
          <w:lang w:eastAsia="zh-CN"/>
        </w:rPr>
        <w:t>，</w:t>
      </w:r>
      <w:r>
        <w:rPr>
          <w:rFonts w:hint="eastAsia" w:ascii="宋体" w:hAnsi="宋体" w:cs="宋体"/>
          <w:color w:val="auto"/>
          <w:sz w:val="24"/>
          <w:highlight w:val="none"/>
        </w:rPr>
        <w:t>提升路灯精细化管理水平。</w:t>
      </w:r>
    </w:p>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三、项目</w:t>
      </w:r>
      <w:r>
        <w:rPr>
          <w:rFonts w:hint="eastAsia" w:ascii="宋体" w:hAnsi="宋体" w:cs="宋体"/>
          <w:b/>
          <w:color w:val="auto"/>
          <w:sz w:val="24"/>
          <w:highlight w:val="none"/>
          <w:lang w:val="en-US" w:eastAsia="zh-CN"/>
        </w:rPr>
        <w:t>服务</w:t>
      </w:r>
      <w:r>
        <w:rPr>
          <w:rFonts w:hint="eastAsia" w:ascii="宋体" w:hAnsi="宋体" w:cs="宋体"/>
          <w:b/>
          <w:color w:val="auto"/>
          <w:sz w:val="24"/>
          <w:highlight w:val="none"/>
        </w:rPr>
        <w:t>主要内容</w:t>
      </w:r>
      <w:r>
        <w:rPr>
          <w:rFonts w:hint="eastAsia" w:ascii="宋体" w:hAnsi="宋体" w:cs="宋体"/>
          <w:b/>
          <w:color w:val="auto"/>
          <w:sz w:val="24"/>
          <w:highlight w:val="none"/>
        </w:rPr>
        <w:tab/>
      </w:r>
    </w:p>
    <w:p>
      <w:pPr>
        <w:shd w:val="clear"/>
        <w:adjustRightInd w:val="0"/>
        <w:snapToGrid w:val="0"/>
        <w:spacing w:line="360" w:lineRule="auto"/>
        <w:ind w:firstLine="420" w:firstLineChars="200"/>
        <w:jc w:val="left"/>
        <w:rPr>
          <w:rFonts w:ascii="宋体" w:hAnsi="宋体" w:cs="宋体"/>
          <w:color w:val="auto"/>
          <w:sz w:val="24"/>
          <w:highlight w:val="none"/>
        </w:rPr>
      </w:pPr>
      <w:r>
        <w:rPr>
          <w:rFonts w:hint="eastAsia" w:hAnsi="宋体" w:eastAsia="宋体" w:cs="宋体"/>
          <w:color w:val="auto"/>
          <w:szCs w:val="24"/>
          <w:highlight w:val="none"/>
        </w:rPr>
        <w:t>★</w:t>
      </w:r>
      <w:r>
        <w:rPr>
          <w:rFonts w:hint="eastAsia" w:ascii="宋体" w:hAnsi="宋体" w:cs="宋体"/>
          <w:color w:val="auto"/>
          <w:sz w:val="24"/>
          <w:highlight w:val="none"/>
        </w:rPr>
        <w:t>1.进行路灯灯具（含灯线、熔断器）更换，光源更换为LED，在更换灯具设备内加设智慧控制系统，原有传统光源灯具将不得继续利用；</w:t>
      </w:r>
    </w:p>
    <w:p>
      <w:pPr>
        <w:shd w:val="clea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路灯设施安全接地改造；</w:t>
      </w:r>
    </w:p>
    <w:p>
      <w:pPr>
        <w:shd w:val="clear"/>
        <w:adjustRightInd w:val="0"/>
        <w:snapToGrid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3.建设可远程控制云平台；</w:t>
      </w:r>
    </w:p>
    <w:p>
      <w:pPr>
        <w:shd w:val="clea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.设备采购、设备安装调试、人员培训、保险、配合节能检测（包括一二期的LED路灯检测）、计量确认、安全和保证等一整套的节能服务；</w:t>
      </w:r>
    </w:p>
    <w:p>
      <w:pPr>
        <w:shd w:val="clea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.合同期内免费提供灯具质保、灯具更换所需的备品备件；</w:t>
      </w:r>
    </w:p>
    <w:p>
      <w:pPr>
        <w:shd w:val="clea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.妥善处理更换下来的传统路灯，运至采购人指定地点；</w:t>
      </w:r>
    </w:p>
    <w:p>
      <w:pPr>
        <w:shd w:val="clea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.以及项目范围内为确保路灯正常运行而进行的其他合同内的作业。</w:t>
      </w:r>
    </w:p>
    <w:p>
      <w:pPr>
        <w:shd w:val="clea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采购人将按照协议约定向供应商支付能源使用费用，并由</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负责代缴采购人能源托管期内的电费。</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除完成以上内容外，中标人还需接受监理、节能评估检测机构的监督管理。</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满后，中标人需将竣工资料移交给项目用户归档，</w:t>
      </w:r>
      <w:r>
        <w:rPr>
          <w:rFonts w:hint="eastAsia" w:ascii="宋体" w:hAnsi="宋体" w:cs="宋体"/>
          <w:color w:val="auto"/>
          <w:sz w:val="24"/>
          <w:highlight w:val="none"/>
          <w:lang w:val="en-US" w:eastAsia="zh-CN"/>
        </w:rPr>
        <w:t>并配合采购人跟后续管理单位做好交接工作</w:t>
      </w:r>
      <w:r>
        <w:rPr>
          <w:rFonts w:hint="eastAsia" w:ascii="宋体" w:hAnsi="宋体" w:cs="宋体"/>
          <w:color w:val="auto"/>
          <w:sz w:val="24"/>
          <w:highlight w:val="none"/>
        </w:rPr>
        <w:t>。中标人将根据合同规定方式获得投资回报。不再参与项目的节约电费的分成。</w:t>
      </w:r>
    </w:p>
    <w:p>
      <w:pPr>
        <w:shd w:val="clear"/>
        <w:snapToGrid w:val="0"/>
        <w:spacing w:line="360" w:lineRule="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四、项目服务期</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3年</w:t>
      </w:r>
    </w:p>
    <w:p>
      <w:pPr>
        <w:shd w:val="clear"/>
        <w:spacing w:line="360" w:lineRule="auto"/>
        <w:rPr>
          <w:rFonts w:ascii="宋体" w:hAnsi="宋体" w:cs="宋体"/>
          <w:b/>
          <w:color w:val="auto"/>
          <w:sz w:val="24"/>
          <w:highlight w:val="none"/>
        </w:rPr>
      </w:pPr>
      <w:bookmarkStart w:id="44" w:name="_Toc6652"/>
      <w:bookmarkStart w:id="45" w:name="_Toc30524"/>
      <w:bookmarkStart w:id="46" w:name="_Toc31043"/>
      <w:r>
        <w:rPr>
          <w:rFonts w:hint="eastAsia" w:ascii="宋体" w:hAnsi="宋体" w:cs="宋体"/>
          <w:b/>
          <w:color w:val="auto"/>
          <w:sz w:val="24"/>
          <w:highlight w:val="none"/>
        </w:rPr>
        <w:t>五、改造详细内容及相关数据</w:t>
      </w:r>
      <w:bookmarkEnd w:id="44"/>
      <w:bookmarkEnd w:id="45"/>
      <w:bookmarkEnd w:id="46"/>
    </w:p>
    <w:p>
      <w:pPr>
        <w:pStyle w:val="28"/>
        <w:shd w:val="clear"/>
        <w:ind w:firstLine="480"/>
        <w:rPr>
          <w:rFonts w:ascii="宋体" w:hAnsi="宋体" w:cs="宋体"/>
          <w:color w:val="auto"/>
          <w:sz w:val="24"/>
          <w:szCs w:val="24"/>
          <w:highlight w:val="none"/>
        </w:rPr>
      </w:pPr>
      <w:r>
        <w:rPr>
          <w:rFonts w:hint="eastAsia" w:ascii="宋体" w:hAnsi="宋体" w:cs="宋体"/>
          <w:color w:val="auto"/>
          <w:sz w:val="24"/>
          <w:szCs w:val="24"/>
          <w:highlight w:val="none"/>
        </w:rPr>
        <w:t>1.根据规范《城市道路照明设计标准》（CJJ45-2015），并结合项目自身特点，</w:t>
      </w:r>
      <w:r>
        <w:rPr>
          <w:rFonts w:hint="eastAsia" w:ascii="宋体" w:hAnsi="宋体" w:cs="宋体"/>
          <w:b/>
          <w:color w:val="auto"/>
          <w:sz w:val="24"/>
          <w:szCs w:val="24"/>
          <w:highlight w:val="none"/>
        </w:rPr>
        <w:t>路灯节能改造后，验收值不得低于</w:t>
      </w:r>
      <w:r>
        <w:rPr>
          <w:rFonts w:hint="eastAsia" w:ascii="宋体" w:hAnsi="宋体" w:cs="宋体"/>
          <w:b/>
          <w:color w:val="auto"/>
          <w:sz w:val="24"/>
          <w:szCs w:val="24"/>
          <w:highlight w:val="none"/>
          <w:lang w:val="en-US" w:eastAsia="zh-CN"/>
        </w:rPr>
        <w:t>文件</w:t>
      </w:r>
      <w:r>
        <w:rPr>
          <w:rFonts w:hint="eastAsia" w:ascii="宋体" w:hAnsi="宋体" w:cs="宋体"/>
          <w:b/>
          <w:color w:val="auto"/>
          <w:sz w:val="24"/>
          <w:szCs w:val="24"/>
          <w:highlight w:val="none"/>
        </w:rPr>
        <w:t>中注明的数值；3年</w:t>
      </w:r>
      <w:r>
        <w:rPr>
          <w:rFonts w:hint="eastAsia" w:ascii="宋体" w:hAnsi="宋体" w:cs="宋体"/>
          <w:b/>
          <w:color w:val="auto"/>
          <w:sz w:val="24"/>
          <w:szCs w:val="24"/>
          <w:highlight w:val="none"/>
          <w:lang w:eastAsia="zh-CN"/>
        </w:rPr>
        <w:t>服务期</w:t>
      </w:r>
      <w:r>
        <w:rPr>
          <w:rFonts w:hint="eastAsia" w:ascii="宋体" w:hAnsi="宋体" w:cs="宋体"/>
          <w:b/>
          <w:color w:val="auto"/>
          <w:sz w:val="24"/>
          <w:szCs w:val="24"/>
          <w:highlight w:val="none"/>
        </w:rPr>
        <w:t>后路灯相关参数不得小于规定的参数值。</w:t>
      </w:r>
      <w:r>
        <w:rPr>
          <w:rFonts w:hint="eastAsia" w:ascii="宋体" w:hAnsi="宋体" w:cs="宋体"/>
          <w:b/>
          <w:color w:val="auto"/>
          <w:sz w:val="24"/>
          <w:szCs w:val="24"/>
          <w:highlight w:val="none"/>
          <w:lang w:eastAsia="zh-CN"/>
        </w:rPr>
        <w:t>服务期</w:t>
      </w:r>
      <w:r>
        <w:rPr>
          <w:rFonts w:hint="eastAsia" w:ascii="宋体" w:hAnsi="宋体" w:cs="宋体"/>
          <w:b/>
          <w:color w:val="auto"/>
          <w:sz w:val="24"/>
          <w:szCs w:val="24"/>
          <w:highlight w:val="none"/>
        </w:rPr>
        <w:t>内隧道照明相关技术要求必须符合《LED城市道路照明应用技术要求》（GB/T31832-2015）的相关标准。</w:t>
      </w:r>
    </w:p>
    <w:p>
      <w:pPr>
        <w:shd w:val="clear"/>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2.改造前设施能耗及亮灯时间</w:t>
      </w:r>
    </w:p>
    <w:p>
      <w:pPr>
        <w:pStyle w:val="13"/>
        <w:shd w:val="clear"/>
        <w:tabs>
          <w:tab w:val="left" w:pos="360"/>
          <w:tab w:val="left" w:pos="420"/>
          <w:tab w:val="left" w:pos="540"/>
        </w:tabs>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（1）若清单中功率与实际不一致，以实际为准；若因日常维修造成个别或小部分光源与该小区或道路的大部分光源不一致时，以大部分光源规格为准。</w:t>
      </w:r>
    </w:p>
    <w:p>
      <w:pPr>
        <w:pStyle w:val="13"/>
        <w:shd w:val="clear"/>
        <w:tabs>
          <w:tab w:val="left" w:pos="360"/>
          <w:tab w:val="left" w:pos="420"/>
          <w:tab w:val="left" w:pos="540"/>
        </w:tabs>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一年之中每天路灯亮灯时间折合成平均值约为11.5小时，除隧道照明常规照明灯外，本采购文件其他路灯（包括隧道的加强照明灯）的亮灯时间均以11.5小时进行计算，不得变更；隧道灯常规照明灯按24个小时计算。</w:t>
      </w:r>
    </w:p>
    <w:p>
      <w:pPr>
        <w:shd w:val="clear"/>
        <w:spacing w:line="360" w:lineRule="auto"/>
        <w:rPr>
          <w:rFonts w:ascii="宋体" w:hAnsi="宋体" w:cs="宋体"/>
          <w:b/>
          <w:color w:val="auto"/>
          <w:sz w:val="24"/>
          <w:highlight w:val="none"/>
        </w:rPr>
      </w:pPr>
      <w:bookmarkStart w:id="47" w:name="_Toc16494"/>
      <w:bookmarkStart w:id="48" w:name="_Toc23836"/>
      <w:bookmarkStart w:id="49" w:name="_Toc7363"/>
      <w:r>
        <w:rPr>
          <w:rFonts w:hint="eastAsia" w:ascii="宋体" w:hAnsi="宋体" w:cs="宋体"/>
          <w:b/>
          <w:color w:val="auto"/>
          <w:sz w:val="24"/>
          <w:highlight w:val="none"/>
        </w:rPr>
        <w:t>六、项目基本要求</w:t>
      </w:r>
      <w:bookmarkEnd w:id="47"/>
      <w:bookmarkEnd w:id="48"/>
      <w:bookmarkEnd w:id="49"/>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1.投标供应商所提供的所有货物必须是全新的、技术成熟的、性能可靠稳定的。</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2.投标供应商供货时提供包括但不限于满足货物使用和维护的技术文件。</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3.投标供应商交货时提供原出厂产品合格证、产品说明书、产品质量保证书和产品检测报告，投标供应商提供的产品检测报告需涵盖本采购文件所要求的技术参数。</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4.灯具使用环境</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（1）安装场所：户外</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（2）海拔：低于500米</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（3）环境温度：-5℃～+65℃</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）相对湿度：90%(20℃)</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）电源：单相交流220V、50HZ；波动范围：电压±20%、频率±2%。</w:t>
      </w:r>
    </w:p>
    <w:p>
      <w:pPr>
        <w:shd w:val="clear"/>
        <w:spacing w:line="360" w:lineRule="auto"/>
        <w:rPr>
          <w:rFonts w:ascii="宋体" w:hAnsi="宋体" w:cs="宋体"/>
          <w:b/>
          <w:color w:val="auto"/>
          <w:sz w:val="24"/>
          <w:highlight w:val="none"/>
        </w:rPr>
      </w:pPr>
      <w:bookmarkStart w:id="50" w:name="_Toc25416"/>
      <w:bookmarkStart w:id="51" w:name="_Toc19576"/>
      <w:bookmarkStart w:id="52" w:name="_Toc12703"/>
      <w:r>
        <w:rPr>
          <w:rFonts w:hint="eastAsia" w:ascii="宋体" w:hAnsi="宋体" w:cs="宋体"/>
          <w:b/>
          <w:color w:val="auto"/>
          <w:sz w:val="24"/>
          <w:highlight w:val="none"/>
        </w:rPr>
        <w:t>七、项目技术要求</w:t>
      </w:r>
      <w:bookmarkEnd w:id="50"/>
      <w:bookmarkEnd w:id="51"/>
      <w:bookmarkEnd w:id="52"/>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1.项目所选用LED路灯，在设计、制造和检验方面应符合下列标准：</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（1）CJJ45-2015《城市道路照明设计标准》；</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（2）CJJ89-2012《城市道路照明工程施工及验收规程》；</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（3）GB7000.1-2007《灯具第一部分：一般安全要求与试验》；</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（4）GB7000.5-2005《道路与街路照明灯具安全要求》；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（5）GB17625.1-2003 《电磁兼容限值谐波电流发射限值(设备每相输入电流≤16A)》；</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（6）GB17743-2007《电气照明和类似设备的无线电骚扰特性的限值和测量方法》；</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（7）GB/T18595-2001《一般照明设备电磁兼容抗扰度要求》；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（8）GB/T24827-2009《道路和街路照明灯具性能要求》；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（9）GB/T24907-2010《道路照明用LED灯性能要求》；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（10）GB/T14549--93《电能质量公用电网谐波》；</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（11）《LED城市道路照明应用技术要求》（GB/T31832-2015）</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（12）其它国家、地方标准规范；</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（13）采购人提出的要求及有关基础资料。</w:t>
      </w:r>
    </w:p>
    <w:p>
      <w:pPr>
        <w:shd w:val="clear" w:color="auto"/>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2、LED路灯技术基本要求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（1）LED照明灯具（以下简称“灯具”）应符合安全可靠、技术先进、经济合理、节能环保和维修方便的要求。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（2）投标灯具应采用模组化结构，便于更换和维修光源与控制装置，且更换后应保证原有的性能。</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（3）灯具应达到国家标准GB 37478-2019《道路和隧道照明用LED灯具能效限定值及能效等级》一级的标准要求。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（4）灯具</w:t>
      </w:r>
      <w:r>
        <w:rPr>
          <w:rFonts w:hint="eastAsia" w:ascii="宋体" w:hAnsi="宋体" w:cs="宋体"/>
          <w:b w:val="0"/>
          <w:bCs w:val="0"/>
          <w:color w:val="auto"/>
          <w:sz w:val="24"/>
          <w:highlight w:val="none"/>
        </w:rPr>
        <w:t>通过CQC认证。</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）灯具的结构应符合下列规定：</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1）灯具各类接插件、内外部接线和接线端子等在灯具内部应规范布置，避免阳光直射。</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2）灯具宜在满足功能要求的前提下兼顾美观，结构与外观颜色等与周围环境相协调。</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3）投标灯具应通过盐雾测试，测试时间不少于</w:t>
      </w:r>
      <w:r>
        <w:rPr>
          <w:rFonts w:hint="eastAsia" w:ascii="宋体" w:hAnsi="宋体" w:cs="宋体"/>
          <w:color w:val="auto"/>
          <w:sz w:val="24"/>
          <w:highlight w:val="none"/>
          <w:lang w:val="en-US" w:eastAsia="zh-CN"/>
        </w:rPr>
        <w:t>800</w:t>
      </w:r>
      <w:r>
        <w:rPr>
          <w:rFonts w:hint="eastAsia" w:ascii="宋体" w:hAnsi="宋体" w:cs="宋体"/>
          <w:color w:val="auto"/>
          <w:sz w:val="24"/>
          <w:highlight w:val="none"/>
        </w:rPr>
        <w:t>小时。</w:t>
      </w:r>
      <w:bookmarkStart w:id="53" w:name="_Hlk14295710"/>
      <w:r>
        <w:rPr>
          <w:rFonts w:hint="eastAsia" w:ascii="宋体" w:hAnsi="宋体" w:cs="宋体"/>
          <w:color w:val="auto"/>
          <w:sz w:val="24"/>
          <w:highlight w:val="none"/>
          <w:lang w:eastAsia="zh-CN"/>
        </w:rPr>
        <w:t>（</w:t>
      </w:r>
      <w:r>
        <w:rPr>
          <w:rFonts w:hint="eastAsia" w:ascii="宋体" w:hAnsi="宋体" w:cs="宋体"/>
          <w:b w:val="0"/>
          <w:bCs w:val="0"/>
          <w:color w:val="auto"/>
          <w:sz w:val="24"/>
          <w:highlight w:val="none"/>
        </w:rPr>
        <w:t>提供检测报告</w:t>
      </w:r>
      <w:r>
        <w:rPr>
          <w:rFonts w:hint="eastAsia" w:ascii="宋体" w:hAnsi="宋体" w:cs="宋体"/>
          <w:color w:val="auto"/>
          <w:sz w:val="24"/>
          <w:highlight w:val="none"/>
          <w:lang w:eastAsia="zh-CN"/>
        </w:rPr>
        <w:t>）</w:t>
      </w:r>
      <w:bookmarkEnd w:id="53"/>
    </w:p>
    <w:p>
      <w:pPr>
        <w:shd w:val="clear"/>
        <w:adjustRightInd w:val="0"/>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4）灯具应具有承受外界机械碰撞能力，防冲击性能不低于IK</w:t>
      </w:r>
      <w:r>
        <w:rPr>
          <w:rFonts w:hint="eastAsia" w:ascii="宋体" w:hAnsi="宋体" w:cs="宋体"/>
          <w:color w:val="auto"/>
          <w:sz w:val="24"/>
          <w:highlight w:val="none"/>
          <w:lang w:val="en-US" w:eastAsia="zh-CN"/>
        </w:rPr>
        <w:t>08</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b w:val="0"/>
          <w:bCs w:val="0"/>
          <w:color w:val="auto"/>
          <w:sz w:val="24"/>
          <w:highlight w:val="none"/>
        </w:rPr>
        <w:t>提供检测报告</w:t>
      </w:r>
      <w:r>
        <w:rPr>
          <w:rFonts w:hint="eastAsia" w:ascii="宋体" w:hAnsi="宋体" w:cs="宋体"/>
          <w:color w:val="auto"/>
          <w:sz w:val="24"/>
          <w:highlight w:val="none"/>
          <w:lang w:eastAsia="zh-CN"/>
        </w:rPr>
        <w:t>）</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5）灯具上盖含有合页与手拧螺丝，方便维护。上盖开通风孔，保证模组对流散热。</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6）灯具与固定构件（灯臂或其他固定件）连接应牢固。灯具应具有防坠落装置。</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7）投标灯具应通过耐振检测。</w:t>
      </w:r>
      <w:r>
        <w:rPr>
          <w:rFonts w:hint="eastAsia" w:ascii="宋体" w:hAnsi="宋体" w:cs="宋体"/>
          <w:color w:val="auto"/>
          <w:sz w:val="24"/>
          <w:highlight w:val="none"/>
          <w:lang w:eastAsia="zh-CN"/>
        </w:rPr>
        <w:t>（</w:t>
      </w:r>
      <w:r>
        <w:rPr>
          <w:rFonts w:hint="eastAsia" w:ascii="宋体" w:hAnsi="宋体" w:cs="宋体"/>
          <w:b w:val="0"/>
          <w:bCs w:val="0"/>
          <w:color w:val="auto"/>
          <w:sz w:val="24"/>
          <w:highlight w:val="none"/>
        </w:rPr>
        <w:t>提供检测报告</w:t>
      </w:r>
      <w:r>
        <w:rPr>
          <w:rFonts w:hint="eastAsia" w:ascii="宋体" w:hAnsi="宋体" w:cs="宋体"/>
          <w:color w:val="auto"/>
          <w:sz w:val="24"/>
          <w:highlight w:val="none"/>
          <w:lang w:eastAsia="zh-CN"/>
        </w:rPr>
        <w:t>）</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8）投标灯具提供</w:t>
      </w:r>
      <w:bookmarkStart w:id="54" w:name="_Hlk14295434"/>
      <w:r>
        <w:rPr>
          <w:rFonts w:hint="eastAsia" w:ascii="宋体" w:hAnsi="宋体" w:cs="宋体"/>
          <w:color w:val="auto"/>
          <w:sz w:val="24"/>
          <w:highlight w:val="none"/>
        </w:rPr>
        <w:t>灯具风压检测报告</w:t>
      </w:r>
      <w:bookmarkEnd w:id="54"/>
      <w:r>
        <w:rPr>
          <w:rFonts w:hint="eastAsia" w:ascii="宋体" w:hAnsi="宋体" w:cs="宋体"/>
          <w:color w:val="auto"/>
          <w:sz w:val="24"/>
          <w:highlight w:val="none"/>
        </w:rPr>
        <w:t>。</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9）投标灯具应通过结温检测</w:t>
      </w:r>
      <w:r>
        <w:rPr>
          <w:rFonts w:hint="eastAsia" w:ascii="宋体" w:hAnsi="宋体" w:cs="宋体"/>
          <w:color w:val="auto"/>
          <w:sz w:val="24"/>
          <w:highlight w:val="none"/>
          <w:lang w:eastAsia="zh-CN"/>
        </w:rPr>
        <w:t>。（</w:t>
      </w:r>
      <w:r>
        <w:rPr>
          <w:rFonts w:hint="eastAsia" w:ascii="宋体" w:hAnsi="宋体" w:cs="宋体"/>
          <w:b w:val="0"/>
          <w:bCs w:val="0"/>
          <w:color w:val="auto"/>
          <w:sz w:val="24"/>
          <w:highlight w:val="none"/>
        </w:rPr>
        <w:t>提供检测报告</w:t>
      </w:r>
      <w:r>
        <w:rPr>
          <w:rFonts w:hint="eastAsia" w:ascii="宋体" w:hAnsi="宋体" w:cs="宋体"/>
          <w:color w:val="auto"/>
          <w:sz w:val="24"/>
          <w:highlight w:val="none"/>
          <w:lang w:eastAsia="zh-CN"/>
        </w:rPr>
        <w:t>）</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10）投标灯具提供灯具道路模拟检测报告。（同款灯具提供任意一功率检测报告即可）</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11）投标灯具应通过的IP67防护等级检测。（同款灯具提供任意一功率检测报告即可）</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）投标灯具应整灯形式经过防腐测试，达到WF2级。</w:t>
      </w:r>
      <w:r>
        <w:rPr>
          <w:rFonts w:hint="eastAsia" w:ascii="宋体" w:hAnsi="宋体" w:cs="宋体"/>
          <w:color w:val="auto"/>
          <w:sz w:val="24"/>
          <w:highlight w:val="none"/>
          <w:lang w:eastAsia="zh-CN"/>
        </w:rPr>
        <w:t>（</w:t>
      </w:r>
      <w:r>
        <w:rPr>
          <w:rFonts w:hint="eastAsia" w:ascii="宋体" w:hAnsi="宋体" w:cs="宋体"/>
          <w:b w:val="0"/>
          <w:bCs w:val="0"/>
          <w:color w:val="auto"/>
          <w:sz w:val="24"/>
          <w:highlight w:val="none"/>
        </w:rPr>
        <w:t>提供检测报告</w:t>
      </w:r>
      <w:r>
        <w:rPr>
          <w:rFonts w:hint="eastAsia" w:ascii="宋体" w:hAnsi="宋体" w:cs="宋体"/>
          <w:color w:val="auto"/>
          <w:sz w:val="24"/>
          <w:highlight w:val="none"/>
          <w:lang w:eastAsia="zh-CN"/>
        </w:rPr>
        <w:t>）</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）灯具的光学性能应符合下列规定：</w:t>
      </w:r>
    </w:p>
    <w:p>
      <w:pPr>
        <w:shd w:val="clea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）灯具光效≥160LM/W，色温4000K±200K，显色指数不应低于70。（同款灯具提供任意一功率检测报告即可）</w:t>
      </w:r>
    </w:p>
    <w:p>
      <w:pPr>
        <w:shd w:val="clea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）灯具配光应采用等亮度配光设计，实际照射不得有明显暗区。</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）灯具的电学性能应符合下列规定：</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）路灯灯具在电压90-264VAC 范围内应正常工作。</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）灯具在额定工作条件下的实测功率与标称功率的允许偏差为10%。</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）灯具的谐波电流应符合《电磁兼容限值 谐波电流发射限值（设备每相输入电流≤16A）》GB 17625.1中关于照明设备的规定。</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）灯具的无线电骚扰应符合《电气照明和类似设备的无线电骚扰特性的限值和测量方法》GB 17743的规定。</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）灯具的浪涌抗扰度应符合《一般照明用设备电磁兼容抗扰度要求》GB/T18595的规定。</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）投标灯具尺寸应满足下图要求（±</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p>
    <w:p>
      <w:pPr>
        <w:pStyle w:val="9"/>
        <w:keepNext w:val="0"/>
        <w:keepLines w:val="0"/>
        <w:shd w:val="clear"/>
        <w:ind w:right="1310" w:rightChars="624"/>
        <w:jc w:val="center"/>
        <w:rPr>
          <w:rFonts w:ascii="宋体" w:hAnsi="宋体" w:cs="宋体"/>
          <w:color w:val="auto"/>
          <w:highlight w:val="none"/>
        </w:rPr>
      </w:pPr>
      <w:bookmarkStart w:id="55" w:name="_Toc19456"/>
      <w:r>
        <w:rPr>
          <w:rFonts w:hint="eastAsia" w:ascii="宋体" w:hAnsi="宋体" w:cs="宋体"/>
          <w:color w:val="auto"/>
          <w:highlight w:val="none"/>
        </w:rPr>
        <w:drawing>
          <wp:inline distT="0" distB="0" distL="114300" distR="114300">
            <wp:extent cx="3507105" cy="2178050"/>
            <wp:effectExtent l="0" t="0" r="17145" b="12700"/>
            <wp:docPr id="1" name="图片 1" descr="8f886bba85a74b2c803ae41185ec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f886bba85a74b2c803ae41185eced5"/>
                    <pic:cNvPicPr>
                      <a:picLocks noChangeAspect="1"/>
                    </pic:cNvPicPr>
                  </pic:nvPicPr>
                  <pic:blipFill>
                    <a:blip r:embed="rId12"/>
                    <a:stretch>
                      <a:fillRect/>
                    </a:stretch>
                  </pic:blipFill>
                  <pic:spPr>
                    <a:xfrm>
                      <a:off x="0" y="0"/>
                      <a:ext cx="3507105" cy="2178050"/>
                    </a:xfrm>
                    <a:prstGeom prst="rect">
                      <a:avLst/>
                    </a:prstGeom>
                    <a:noFill/>
                    <a:ln>
                      <a:noFill/>
                    </a:ln>
                  </pic:spPr>
                </pic:pic>
              </a:graphicData>
            </a:graphic>
          </wp:inline>
        </w:drawing>
      </w:r>
      <w:bookmarkEnd w:id="55"/>
    </w:p>
    <w:p>
      <w:pPr>
        <w:pStyle w:val="18"/>
        <w:shd w:val="clear"/>
        <w:ind w:leftChars="-295" w:right="-638" w:rightChars="-304" w:hanging="619" w:hangingChars="295"/>
        <w:jc w:val="center"/>
        <w:rPr>
          <w:rFonts w:ascii="宋体" w:hAnsi="宋体" w:cs="宋体"/>
          <w:color w:val="auto"/>
          <w:highlight w:val="none"/>
        </w:rPr>
      </w:pPr>
    </w:p>
    <w:p>
      <w:pPr>
        <w:pStyle w:val="18"/>
        <w:shd w:val="clear"/>
        <w:ind w:right="-638" w:rightChars="-304" w:firstLine="0" w:firstLineChars="0"/>
        <w:jc w:val="both"/>
        <w:rPr>
          <w:rFonts w:ascii="宋体" w:hAnsi="宋体" w:cs="宋体"/>
          <w:color w:val="auto"/>
          <w:highlight w:val="none"/>
        </w:rPr>
      </w:pPr>
    </w:p>
    <w:p>
      <w:pPr>
        <w:pStyle w:val="18"/>
        <w:shd w:val="clear"/>
        <w:spacing w:line="240" w:lineRule="auto"/>
        <w:ind w:left="103" w:leftChars="49" w:right="-636" w:rightChars="-303" w:firstLine="1202" w:firstLineChars="501"/>
        <w:jc w:val="both"/>
        <w:rPr>
          <w:rFonts w:ascii="宋体" w:hAnsi="宋体" w:cs="宋体"/>
          <w:bCs/>
          <w:color w:val="auto"/>
          <w:sz w:val="24"/>
          <w:highlight w:val="none"/>
        </w:rPr>
      </w:pPr>
      <w:r>
        <w:rPr>
          <w:rFonts w:hint="eastAsia" w:ascii="宋体" w:hAnsi="宋体" w:cs="宋体"/>
          <w:bCs/>
          <w:color w:val="auto"/>
          <w:sz w:val="24"/>
          <w:highlight w:val="none"/>
        </w:rPr>
        <w:t>一模组灯具尺寸   二模组灯具尺寸     三模组灯具尺寸</w:t>
      </w:r>
    </w:p>
    <w:p>
      <w:pPr>
        <w:pStyle w:val="18"/>
        <w:shd w:val="clear"/>
        <w:spacing w:line="240" w:lineRule="auto"/>
        <w:ind w:leftChars="-295" w:right="-636" w:rightChars="-303" w:hanging="619" w:hangingChars="295"/>
        <w:jc w:val="center"/>
        <w:rPr>
          <w:rFonts w:ascii="宋体" w:hAnsi="宋体" w:cs="宋体"/>
          <w:bCs/>
          <w:color w:val="auto"/>
          <w:sz w:val="24"/>
          <w:highlight w:val="none"/>
        </w:rPr>
      </w:pPr>
      <w:r>
        <w:rPr>
          <w:rFonts w:hint="eastAsia" w:ascii="宋体" w:hAnsi="宋体" w:cs="宋体"/>
          <w:color w:val="auto"/>
          <w:highlight w:val="none"/>
        </w:rPr>
        <w:drawing>
          <wp:inline distT="0" distB="0" distL="114300" distR="114300">
            <wp:extent cx="1780540" cy="3553460"/>
            <wp:effectExtent l="0" t="0" r="10160" b="8890"/>
            <wp:docPr id="2" name="图片 2" descr="56d6b630f890070c833eeb8dc744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6d6b630f890070c833eeb8dc744587"/>
                    <pic:cNvPicPr>
                      <a:picLocks noChangeAspect="1"/>
                    </pic:cNvPicPr>
                  </pic:nvPicPr>
                  <pic:blipFill>
                    <a:blip r:embed="rId13"/>
                    <a:stretch>
                      <a:fillRect/>
                    </a:stretch>
                  </pic:blipFill>
                  <pic:spPr>
                    <a:xfrm>
                      <a:off x="0" y="0"/>
                      <a:ext cx="1780540" cy="3553460"/>
                    </a:xfrm>
                    <a:prstGeom prst="rect">
                      <a:avLst/>
                    </a:prstGeom>
                    <a:noFill/>
                    <a:ln>
                      <a:noFill/>
                    </a:ln>
                  </pic:spPr>
                </pic:pic>
              </a:graphicData>
            </a:graphic>
          </wp:inline>
        </w:drawing>
      </w:r>
      <w:r>
        <w:rPr>
          <w:rFonts w:hint="eastAsia" w:ascii="宋体" w:hAnsi="宋体" w:cs="宋体"/>
          <w:color w:val="auto"/>
          <w:highlight w:val="none"/>
        </w:rPr>
        <w:t xml:space="preserve">               </w:t>
      </w:r>
      <w:r>
        <w:rPr>
          <w:rFonts w:hint="eastAsia" w:ascii="宋体" w:hAnsi="宋体" w:cs="宋体"/>
          <w:bCs/>
          <w:color w:val="auto"/>
          <w:sz w:val="24"/>
          <w:highlight w:val="none"/>
        </w:rPr>
        <w:drawing>
          <wp:inline distT="0" distB="0" distL="114300" distR="114300">
            <wp:extent cx="1581785" cy="3419475"/>
            <wp:effectExtent l="0" t="0" r="18415" b="9525"/>
            <wp:docPr id="3" name="图片 3" descr="38d0246f138567946bc99b4150db2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8d0246f138567946bc99b4150db26d"/>
                    <pic:cNvPicPr>
                      <a:picLocks noChangeAspect="1"/>
                    </pic:cNvPicPr>
                  </pic:nvPicPr>
                  <pic:blipFill>
                    <a:blip r:embed="rId14"/>
                    <a:stretch>
                      <a:fillRect/>
                    </a:stretch>
                  </pic:blipFill>
                  <pic:spPr>
                    <a:xfrm>
                      <a:off x="0" y="0"/>
                      <a:ext cx="1581785" cy="3419475"/>
                    </a:xfrm>
                    <a:prstGeom prst="rect">
                      <a:avLst/>
                    </a:prstGeom>
                    <a:noFill/>
                    <a:ln>
                      <a:noFill/>
                    </a:ln>
                  </pic:spPr>
                </pic:pic>
              </a:graphicData>
            </a:graphic>
          </wp:inline>
        </w:drawing>
      </w:r>
    </w:p>
    <w:p>
      <w:pPr>
        <w:pStyle w:val="18"/>
        <w:shd w:val="clear"/>
        <w:spacing w:line="240" w:lineRule="auto"/>
        <w:ind w:left="89" w:leftChars="-295" w:right="-636" w:rightChars="-303" w:hanging="708" w:hangingChars="295"/>
        <w:rPr>
          <w:rFonts w:ascii="宋体" w:hAnsi="宋体" w:cs="宋体"/>
          <w:bCs/>
          <w:color w:val="auto"/>
          <w:sz w:val="24"/>
          <w:highlight w:val="none"/>
        </w:rPr>
      </w:pPr>
      <w:r>
        <w:rPr>
          <w:rFonts w:hint="eastAsia" w:ascii="宋体" w:hAnsi="宋体" w:cs="宋体"/>
          <w:bCs/>
          <w:color w:val="auto"/>
          <w:sz w:val="24"/>
          <w:highlight w:val="none"/>
        </w:rPr>
        <w:t xml:space="preserve">                 四模组灯具尺寸                          五模组灯具尺寸</w:t>
      </w:r>
    </w:p>
    <w:p>
      <w:pPr>
        <w:pStyle w:val="29"/>
        <w:shd w:val="clear"/>
        <w:spacing w:beforeAutospacing="0" w:afterAutospacing="0" w:line="23" w:lineRule="atLeast"/>
        <w:ind w:firstLine="560"/>
        <w:jc w:val="both"/>
        <w:rPr>
          <w:rFonts w:hint="default" w:cs="宋体"/>
          <w:color w:val="auto"/>
          <w:kern w:val="2"/>
          <w:sz w:val="28"/>
          <w:szCs w:val="28"/>
          <w:highlight w:val="none"/>
        </w:rPr>
      </w:pPr>
    </w:p>
    <w:p>
      <w:pPr>
        <w:pStyle w:val="29"/>
        <w:shd w:val="clear"/>
        <w:spacing w:beforeAutospacing="0" w:afterAutospacing="0" w:line="23" w:lineRule="atLeast"/>
        <w:ind w:firstLine="560"/>
        <w:jc w:val="both"/>
        <w:rPr>
          <w:rFonts w:hint="default" w:cs="宋体"/>
          <w:color w:val="auto"/>
          <w:highlight w:val="none"/>
        </w:rPr>
      </w:pPr>
      <w:r>
        <w:rPr>
          <w:rFonts w:cs="宋体"/>
          <w:color w:val="auto"/>
          <w:kern w:val="2"/>
          <w:sz w:val="28"/>
          <w:szCs w:val="28"/>
          <w:highlight w:val="none"/>
        </w:rPr>
        <w:t>灯具参考图片</w:t>
      </w:r>
    </w:p>
    <w:p>
      <w:pPr>
        <w:pStyle w:val="29"/>
        <w:shd w:val="clear"/>
        <w:spacing w:beforeAutospacing="0" w:afterAutospacing="0" w:line="23" w:lineRule="atLeast"/>
        <w:ind w:firstLine="480"/>
        <w:jc w:val="center"/>
        <w:rPr>
          <w:rFonts w:hint="default" w:cs="宋体"/>
          <w:color w:val="auto"/>
          <w:kern w:val="2"/>
          <w:sz w:val="28"/>
          <w:szCs w:val="28"/>
          <w:highlight w:val="none"/>
        </w:rPr>
      </w:pPr>
      <w:r>
        <w:rPr>
          <w:rFonts w:cs="宋体"/>
          <w:color w:val="auto"/>
          <w:highlight w:val="none"/>
        </w:rPr>
        <w:drawing>
          <wp:inline distT="0" distB="0" distL="114300" distR="114300">
            <wp:extent cx="3399155" cy="2343150"/>
            <wp:effectExtent l="0" t="0" r="10795" b="0"/>
            <wp:docPr id="4" name="图片 4" descr="2d4fbba80a3dd3446090f1ae6d10b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d4fbba80a3dd3446090f1ae6d10bea"/>
                    <pic:cNvPicPr>
                      <a:picLocks noChangeAspect="1"/>
                    </pic:cNvPicPr>
                  </pic:nvPicPr>
                  <pic:blipFill>
                    <a:blip r:embed="rId15"/>
                    <a:stretch>
                      <a:fillRect/>
                    </a:stretch>
                  </pic:blipFill>
                  <pic:spPr>
                    <a:xfrm>
                      <a:off x="0" y="0"/>
                      <a:ext cx="3399155" cy="2343150"/>
                    </a:xfrm>
                    <a:prstGeom prst="rect">
                      <a:avLst/>
                    </a:prstGeom>
                    <a:noFill/>
                    <a:ln>
                      <a:noFill/>
                    </a:ln>
                  </pic:spPr>
                </pic:pic>
              </a:graphicData>
            </a:graphic>
          </wp:inline>
        </w:drawing>
      </w:r>
    </w:p>
    <w:p>
      <w:pPr>
        <w:pStyle w:val="29"/>
        <w:shd w:val="clear"/>
        <w:spacing w:beforeAutospacing="0" w:afterAutospacing="0" w:line="23" w:lineRule="atLeast"/>
        <w:jc w:val="both"/>
        <w:rPr>
          <w:rFonts w:hint="default" w:cs="宋体"/>
          <w:b/>
          <w:bCs/>
          <w:color w:val="auto"/>
          <w:sz w:val="28"/>
          <w:szCs w:val="28"/>
          <w:highlight w:val="none"/>
        </w:rPr>
      </w:pPr>
      <w:r>
        <w:rPr>
          <w:rFonts w:cs="宋体"/>
          <w:color w:val="auto"/>
          <w:kern w:val="2"/>
          <w:highlight w:val="none"/>
        </w:rPr>
        <w:t xml:space="preserve">        </w:t>
      </w:r>
    </w:p>
    <w:p>
      <w:pPr>
        <w:shd w:val="clear" w:color="auto"/>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3、LED</w:t>
      </w:r>
      <w:r>
        <w:rPr>
          <w:rFonts w:hint="eastAsia" w:ascii="宋体" w:hAnsi="宋体" w:cs="宋体"/>
          <w:b/>
          <w:bCs/>
          <w:color w:val="auto"/>
          <w:sz w:val="24"/>
          <w:highlight w:val="none"/>
          <w:lang w:val="en-US" w:eastAsia="zh-CN"/>
        </w:rPr>
        <w:t>灯头</w:t>
      </w:r>
      <w:r>
        <w:rPr>
          <w:rFonts w:hint="eastAsia" w:ascii="宋体" w:hAnsi="宋体" w:cs="宋体"/>
          <w:b/>
          <w:bCs/>
          <w:color w:val="auto"/>
          <w:sz w:val="24"/>
          <w:highlight w:val="none"/>
        </w:rPr>
        <w:t>模组的要求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sz w:val="24"/>
          <w:lang w:val="en-US" w:eastAsia="zh-CN"/>
        </w:rPr>
        <w:t>灯具所采用LED模组</w:t>
      </w:r>
      <w:r>
        <w:rPr>
          <w:rFonts w:hint="eastAsia" w:ascii="宋体" w:hAnsi="宋体" w:cs="宋体"/>
          <w:color w:val="auto"/>
          <w:sz w:val="24"/>
          <w:highlight w:val="none"/>
        </w:rPr>
        <w:t>通过CQC认</w:t>
      </w:r>
      <w:r>
        <w:rPr>
          <w:rFonts w:hint="eastAsia" w:ascii="宋体" w:hAnsi="宋体" w:cs="宋体"/>
          <w:b w:val="0"/>
          <w:bCs w:val="0"/>
          <w:color w:val="auto"/>
          <w:sz w:val="24"/>
          <w:highlight w:val="none"/>
        </w:rPr>
        <w:t>证。提供扫描件或复印件并加盖公章</w:t>
      </w:r>
    </w:p>
    <w:p>
      <w:pPr>
        <w:shd w:val="clear"/>
        <w:adjustRightInd w:val="0"/>
        <w:snapToGrid w:val="0"/>
        <w:spacing w:line="360" w:lineRule="auto"/>
        <w:ind w:firstLine="480" w:firstLineChars="200"/>
        <w:rPr>
          <w:rFonts w:hint="eastAsia" w:ascii="宋体" w:hAnsi="宋体" w:cs="宋体"/>
          <w:color w:val="auto"/>
          <w:sz w:val="24"/>
          <w:highlight w:val="none"/>
        </w:rPr>
      </w:pPr>
      <w:bookmarkStart w:id="56" w:name="bookmark6"/>
      <w:bookmarkEnd w:id="56"/>
      <w:bookmarkStart w:id="57" w:name="bookmark7"/>
      <w:bookmarkEnd w:id="57"/>
      <w:r>
        <w:rPr>
          <w:rFonts w:hint="eastAsia" w:ascii="宋体" w:hAnsi="宋体" w:cs="宋体"/>
          <w:color w:val="auto"/>
          <w:sz w:val="24"/>
          <w:highlight w:val="none"/>
        </w:rPr>
        <w:t>（2）</w:t>
      </w:r>
      <w:r>
        <w:rPr>
          <w:rFonts w:hint="eastAsia" w:ascii="宋体" w:hAnsi="宋体" w:cs="宋体"/>
          <w:sz w:val="24"/>
          <w:lang w:val="en-US" w:eastAsia="zh-CN"/>
        </w:rPr>
        <w:t>灯具所采用LED模组</w:t>
      </w:r>
      <w:r>
        <w:rPr>
          <w:rFonts w:hint="eastAsia" w:ascii="宋体" w:hAnsi="宋体" w:cs="宋体"/>
          <w:color w:val="auto"/>
          <w:sz w:val="24"/>
          <w:highlight w:val="none"/>
        </w:rPr>
        <w:t>应通过盐雾测试，测试时间不少于</w:t>
      </w:r>
      <w:r>
        <w:rPr>
          <w:rFonts w:hint="eastAsia" w:ascii="宋体" w:hAnsi="宋体" w:cs="宋体"/>
          <w:color w:val="auto"/>
          <w:sz w:val="24"/>
          <w:highlight w:val="none"/>
          <w:lang w:val="en-US" w:eastAsia="zh-CN"/>
        </w:rPr>
        <w:t>800</w:t>
      </w:r>
      <w:r>
        <w:rPr>
          <w:rFonts w:hint="eastAsia" w:ascii="宋体" w:hAnsi="宋体" w:cs="宋体"/>
          <w:color w:val="auto"/>
          <w:sz w:val="24"/>
          <w:highlight w:val="none"/>
        </w:rPr>
        <w:t>小时。</w:t>
      </w:r>
      <w:r>
        <w:rPr>
          <w:rFonts w:hint="eastAsia" w:ascii="宋体" w:hAnsi="宋体" w:cs="宋体"/>
          <w:color w:val="auto"/>
          <w:sz w:val="24"/>
          <w:highlight w:val="none"/>
          <w:lang w:eastAsia="zh-CN"/>
        </w:rPr>
        <w:t>（</w:t>
      </w:r>
      <w:r>
        <w:rPr>
          <w:rFonts w:hint="eastAsia" w:ascii="宋体" w:hAnsi="宋体" w:cs="宋体"/>
          <w:b w:val="0"/>
          <w:bCs w:val="0"/>
          <w:color w:val="auto"/>
          <w:sz w:val="24"/>
          <w:highlight w:val="none"/>
        </w:rPr>
        <w:t>提供检测报告</w:t>
      </w:r>
      <w:r>
        <w:rPr>
          <w:rFonts w:hint="eastAsia" w:ascii="宋体" w:hAnsi="宋体" w:cs="宋体"/>
          <w:color w:val="auto"/>
          <w:sz w:val="24"/>
          <w:highlight w:val="none"/>
          <w:lang w:eastAsia="zh-CN"/>
        </w:rPr>
        <w:t>）</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（3）灯具所采用LED模组应通过的IP68防护等级检测</w:t>
      </w:r>
      <w:r>
        <w:rPr>
          <w:rFonts w:hint="eastAsia" w:ascii="宋体" w:hAnsi="宋体" w:cs="宋体"/>
          <w:color w:val="auto"/>
          <w:sz w:val="24"/>
          <w:highlight w:val="none"/>
          <w:lang w:eastAsia="zh-CN"/>
        </w:rPr>
        <w:t>。</w:t>
      </w:r>
      <w:r>
        <w:rPr>
          <w:rFonts w:hint="eastAsia" w:ascii="宋体" w:hAnsi="宋体" w:cs="宋体"/>
          <w:color w:val="auto"/>
          <w:sz w:val="24"/>
          <w:highlight w:val="none"/>
        </w:rPr>
        <w:t>（同款灯具提供任意一功率检测报告即可）</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sz w:val="24"/>
          <w:lang w:val="en-US" w:eastAsia="zh-CN"/>
        </w:rPr>
        <w:t>灯具所采用LED模组</w:t>
      </w:r>
      <w:r>
        <w:rPr>
          <w:rFonts w:hint="eastAsia" w:ascii="宋体" w:hAnsi="宋体" w:cs="宋体"/>
          <w:color w:val="auto"/>
          <w:sz w:val="24"/>
          <w:highlight w:val="none"/>
        </w:rPr>
        <w:t>的塑料透光罩通过紫外老化检测，测试时间不少于200小时。</w:t>
      </w:r>
      <w:r>
        <w:rPr>
          <w:rFonts w:hint="eastAsia" w:ascii="宋体" w:hAnsi="宋体" w:cs="宋体"/>
          <w:color w:val="auto"/>
          <w:sz w:val="24"/>
          <w:highlight w:val="none"/>
          <w:lang w:eastAsia="zh-CN"/>
        </w:rPr>
        <w:t>（</w:t>
      </w:r>
      <w:r>
        <w:rPr>
          <w:rFonts w:hint="eastAsia" w:ascii="宋体" w:hAnsi="宋体" w:cs="宋体"/>
          <w:b w:val="0"/>
          <w:bCs w:val="0"/>
          <w:color w:val="auto"/>
          <w:sz w:val="24"/>
          <w:highlight w:val="none"/>
        </w:rPr>
        <w:t>提供检测报告</w:t>
      </w:r>
      <w:r>
        <w:rPr>
          <w:rFonts w:hint="eastAsia" w:ascii="宋体" w:hAnsi="宋体" w:cs="宋体"/>
          <w:color w:val="auto"/>
          <w:sz w:val="24"/>
          <w:highlight w:val="none"/>
          <w:lang w:eastAsia="zh-CN"/>
        </w:rPr>
        <w:t>）</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（5）灯具所采用LED模组通过1000小时双85（温度85℃ 湿度85%）恒定湿热试验。</w:t>
      </w:r>
      <w:r>
        <w:rPr>
          <w:rFonts w:hint="eastAsia" w:ascii="宋体" w:hAnsi="宋体" w:cs="宋体"/>
          <w:color w:val="auto"/>
          <w:sz w:val="24"/>
          <w:highlight w:val="none"/>
          <w:lang w:eastAsia="zh-CN"/>
        </w:rPr>
        <w:t>（</w:t>
      </w:r>
      <w:r>
        <w:rPr>
          <w:rFonts w:hint="eastAsia" w:ascii="宋体" w:hAnsi="宋体" w:cs="宋体"/>
          <w:b w:val="0"/>
          <w:bCs w:val="0"/>
          <w:color w:val="auto"/>
          <w:sz w:val="24"/>
          <w:highlight w:val="none"/>
        </w:rPr>
        <w:t>提供检测报告</w:t>
      </w:r>
      <w:r>
        <w:rPr>
          <w:rFonts w:hint="eastAsia" w:ascii="宋体" w:hAnsi="宋体" w:cs="宋体"/>
          <w:color w:val="auto"/>
          <w:sz w:val="24"/>
          <w:highlight w:val="none"/>
          <w:lang w:eastAsia="zh-CN"/>
        </w:rPr>
        <w:t>）</w:t>
      </w:r>
    </w:p>
    <w:p>
      <w:pPr>
        <w:shd w:val="clear"/>
        <w:adjustRightInd w:val="0"/>
        <w:snapToGrid w:val="0"/>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（6）</w:t>
      </w:r>
      <w:r>
        <w:rPr>
          <w:rFonts w:hint="eastAsia" w:ascii="宋体" w:hAnsi="宋体" w:cs="宋体"/>
          <w:sz w:val="24"/>
          <w:lang w:val="en-US" w:eastAsia="zh-CN"/>
        </w:rPr>
        <w:t>灯具所采用LED模组</w:t>
      </w:r>
      <w:r>
        <w:rPr>
          <w:rFonts w:hint="eastAsia" w:ascii="宋体" w:hAnsi="宋体" w:cs="宋体"/>
          <w:color w:val="auto"/>
          <w:sz w:val="24"/>
          <w:highlight w:val="none"/>
        </w:rPr>
        <w:t>光效≥205Lm/W，色温4000K±200K，显色指数不应低于70。</w:t>
      </w:r>
      <w:r>
        <w:rPr>
          <w:rFonts w:hint="eastAsia" w:ascii="宋体" w:hAnsi="宋体" w:cs="宋体"/>
          <w:color w:val="auto"/>
          <w:sz w:val="24"/>
          <w:highlight w:val="none"/>
          <w:lang w:eastAsia="zh-CN"/>
        </w:rPr>
        <w:t>（</w:t>
      </w:r>
      <w:r>
        <w:rPr>
          <w:rFonts w:hint="eastAsia" w:ascii="宋体" w:hAnsi="宋体" w:cs="宋体"/>
          <w:b w:val="0"/>
          <w:bCs w:val="0"/>
          <w:color w:val="auto"/>
          <w:sz w:val="24"/>
          <w:highlight w:val="none"/>
        </w:rPr>
        <w:t>提供检测报告</w:t>
      </w:r>
      <w:r>
        <w:rPr>
          <w:rFonts w:hint="eastAsia" w:ascii="宋体" w:hAnsi="宋体" w:cs="宋体"/>
          <w:color w:val="auto"/>
          <w:sz w:val="24"/>
          <w:highlight w:val="none"/>
          <w:lang w:eastAsia="zh-CN"/>
        </w:rPr>
        <w:t>）</w:t>
      </w:r>
    </w:p>
    <w:p>
      <w:pPr>
        <w:pStyle w:val="5"/>
        <w:keepNext/>
        <w:keepLines/>
        <w:pageBreakBefore w:val="0"/>
        <w:widowControl w:val="0"/>
        <w:shd w:val="clear"/>
        <w:kinsoku/>
        <w:wordWrap/>
        <w:overflowPunct/>
        <w:topLinePunct w:val="0"/>
        <w:autoSpaceDE/>
        <w:autoSpaceDN/>
        <w:bidi w:val="0"/>
        <w:adjustRightInd/>
        <w:snapToGrid w:val="0"/>
        <w:spacing w:before="0" w:after="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bookmarkStart w:id="58" w:name="_Toc672"/>
      <w:r>
        <w:rPr>
          <w:rFonts w:hint="eastAsia" w:ascii="宋体" w:hAnsi="宋体" w:eastAsia="宋体" w:cs="宋体"/>
          <w:b w:val="0"/>
          <w:bCs w:val="0"/>
          <w:color w:val="auto"/>
          <w:kern w:val="2"/>
          <w:sz w:val="24"/>
          <w:szCs w:val="24"/>
          <w:highlight w:val="none"/>
          <w:lang w:val="en-US" w:eastAsia="zh-CN" w:bidi="ar-SA"/>
        </w:rPr>
        <w:t>（7）</w:t>
      </w:r>
      <w:r>
        <w:rPr>
          <w:rFonts w:hint="eastAsia" w:ascii="宋体" w:hAnsi="宋体" w:cs="宋体"/>
          <w:b w:val="0"/>
          <w:bCs w:val="0"/>
          <w:sz w:val="24"/>
          <w:lang w:val="en-US" w:eastAsia="zh-CN"/>
        </w:rPr>
        <w:t>灯具所采用LED模组</w:t>
      </w:r>
      <w:r>
        <w:rPr>
          <w:rFonts w:hint="eastAsia" w:ascii="宋体" w:hAnsi="宋体" w:eastAsia="宋体" w:cs="宋体"/>
          <w:b w:val="0"/>
          <w:bCs w:val="0"/>
          <w:color w:val="auto"/>
          <w:kern w:val="2"/>
          <w:sz w:val="24"/>
          <w:szCs w:val="24"/>
          <w:highlight w:val="none"/>
          <w:lang w:val="en-US" w:eastAsia="zh-CN" w:bidi="ar-SA"/>
        </w:rPr>
        <w:t>尺寸及安装接口符合《GB∕T 34846-2017 LED道路隧道照明专用模块规格和接口技术要求》，为了安装方便，电气输入采用左侧出线方式（光源发光面向下放置）。</w:t>
      </w:r>
      <w:bookmarkEnd w:id="58"/>
    </w:p>
    <w:p>
      <w:pPr>
        <w:shd w:val="clear"/>
        <w:spacing w:line="360" w:lineRule="auto"/>
        <w:rPr>
          <w:rFonts w:ascii="宋体" w:hAnsi="宋体" w:cs="宋体"/>
          <w:b/>
          <w:color w:val="auto"/>
          <w:sz w:val="24"/>
          <w:highlight w:val="none"/>
        </w:rPr>
      </w:pPr>
      <w:r>
        <w:rPr>
          <w:rFonts w:hint="eastAsia" w:ascii="宋体" w:hAnsi="宋体" w:cs="宋体"/>
          <w:b/>
          <w:color w:val="auto"/>
          <w:kern w:val="0"/>
          <w:sz w:val="24"/>
          <w:highlight w:val="none"/>
        </w:rPr>
        <w:t>注：以上灯样仅供参考，提供样灯需与廿三里现有道路路灯建设的式样相协调，</w:t>
      </w:r>
      <w:r>
        <w:rPr>
          <w:rFonts w:hint="eastAsia" w:ascii="宋体" w:hAnsi="宋体" w:cs="宋体"/>
          <w:b/>
          <w:color w:val="auto"/>
          <w:sz w:val="24"/>
          <w:highlight w:val="none"/>
        </w:rPr>
        <w:t>其中尺寸允许偏差</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%以内，整灯重量允许偏差</w:t>
      </w:r>
      <w:r>
        <w:rPr>
          <w:rFonts w:hint="eastAsia" w:ascii="宋体" w:hAnsi="宋体" w:cs="宋体"/>
          <w:b/>
          <w:color w:val="auto"/>
          <w:sz w:val="24"/>
          <w:highlight w:val="none"/>
          <w:lang w:val="en-US" w:eastAsia="zh-CN"/>
        </w:rPr>
        <w:t>±</w:t>
      </w:r>
      <w:r>
        <w:rPr>
          <w:rFonts w:hint="eastAsia" w:ascii="宋体" w:hAnsi="宋体" w:cs="宋体"/>
          <w:b/>
          <w:color w:val="auto"/>
          <w:sz w:val="24"/>
          <w:highlight w:val="none"/>
        </w:rPr>
        <w:t>10%以内。</w:t>
      </w:r>
    </w:p>
    <w:p>
      <w:pPr>
        <w:shd w:val="clear" w:color="auto"/>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4.单灯控制器要求</w:t>
      </w:r>
    </w:p>
    <w:p>
      <w:pPr>
        <w:shd w:val="clear"/>
        <w:adjustRightInd w:val="0"/>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（1）控制器具备LoRa和Cat.1两种通讯接口，支持通用LoRaWAN协议和私有协议，也可直接部署于LTE网络，可满足多种复杂网络环境</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提供第三方检测报告扫描件或复印件并加盖公章。</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（2）控制器具备边缘计算能力,设备具有边缘计算芯片，支持接收外部输入的边缘计算命令（远程平台），支持将边缘计算结果输出；</w:t>
      </w:r>
      <w:r>
        <w:rPr>
          <w:rFonts w:hint="eastAsia" w:ascii="宋体" w:hAnsi="宋体" w:cs="宋体"/>
          <w:color w:val="auto"/>
          <w:sz w:val="24"/>
          <w:highlight w:val="none"/>
          <w:lang w:val="en-US" w:eastAsia="zh-CN"/>
        </w:rPr>
        <w:t>提供第三方检测报告扫描件或复印件并加盖公章。</w:t>
      </w:r>
    </w:p>
    <w:p>
      <w:pPr>
        <w:shd w:val="clea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（3）控制器具备基于时敏网络的高精度同步调光,控制器具备时敏网络协议控制芯片，支持多个控制器输出毫秒级时间同步信息</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提供第三方检测报告扫描件或复印件并加盖公章。</w:t>
      </w:r>
    </w:p>
    <w:p>
      <w:pPr>
        <w:shd w:val="clea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（4）控制器具备基于AI算法的多工业总线协议自动辨认机制,控制器具备协议辨认芯片，支持三种以上控制协议自动辨认能力</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提供第三方检测报告扫描件或复印件并加盖公章。</w:t>
      </w:r>
    </w:p>
    <w:p>
      <w:pPr>
        <w:shd w:val="clear"/>
        <w:adjustRightInd w:val="0"/>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（5）控制器具备独立485接口, 控制器具备485转换芯片，支持读取外部485传感器数据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提供第三方检测报告扫描件或复印件并加盖公章。</w:t>
      </w:r>
    </w:p>
    <w:p>
      <w:pPr>
        <w:shd w:val="clea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（6）控制器具备PWM调光和0-10V调光，适用于LED灯等灯具的调光和开关使用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提供第三方检测报告扫描件或复印件并加盖公章。</w:t>
      </w:r>
    </w:p>
    <w:p>
      <w:pPr>
        <w:shd w:val="clea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（7）控制器具备电流、电压、功率采集功能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提供第三方检测报告扫描件或复印件并加盖公章。</w:t>
      </w:r>
    </w:p>
    <w:p>
      <w:pPr>
        <w:shd w:val="clea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（8）控制器接口开放，满足采购人数据整合的要求。</w:t>
      </w:r>
    </w:p>
    <w:p>
      <w:pPr>
        <w:adjustRightInd w:val="0"/>
        <w:snapToGrid w:val="0"/>
        <w:spacing w:line="360" w:lineRule="auto"/>
        <w:ind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5.可远程控制云平台功能要求</w:t>
      </w:r>
    </w:p>
    <w:p>
      <w:pPr>
        <w:keepNext w:val="0"/>
        <w:keepLines w:val="0"/>
        <w:widowControl/>
        <w:suppressLineNumbers w:val="0"/>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kern w:val="2"/>
          <w:sz w:val="24"/>
          <w:szCs w:val="24"/>
          <w:highlight w:val="none"/>
          <w:lang w:val="en-US" w:eastAsia="zh-CN" w:bidi="ar"/>
        </w:rPr>
        <w:t>实时显示路灯的离线在线、电流电压等状态信息，远程控制路灯的开关、调光，根据实际情况制定各种自动控制方式，实现无人化运行。</w:t>
      </w:r>
    </w:p>
    <w:p>
      <w:pPr>
        <w:keepNext w:val="0"/>
        <w:keepLines w:val="0"/>
        <w:widowControl/>
        <w:numPr>
          <w:ilvl w:val="-1"/>
          <w:numId w:val="0"/>
        </w:numPr>
        <w:suppressLineNumbers w:val="0"/>
        <w:adjustRightInd w:val="0"/>
        <w:snapToGrid w:val="0"/>
        <w:spacing w:line="360" w:lineRule="auto"/>
        <w:ind w:firstLine="480" w:firstLineChars="200"/>
        <w:jc w:val="left"/>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结合环境监测系统和传感器采集系统实时收集气象数据，包括温度、湿度PM2.5、噪声等信息通过平台显示。</w:t>
      </w:r>
    </w:p>
    <w:p>
      <w:pPr>
        <w:keepNext w:val="0"/>
        <w:keepLines w:val="0"/>
        <w:widowControl/>
        <w:suppressLineNumbers w:val="0"/>
        <w:adjustRightInd w:val="0"/>
        <w:snapToGrid w:val="0"/>
        <w:spacing w:line="360" w:lineRule="auto"/>
        <w:ind w:firstLine="480" w:firstLineChars="200"/>
        <w:jc w:val="left"/>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（3）</w:t>
      </w:r>
      <w:r>
        <w:rPr>
          <w:rFonts w:hint="eastAsia" w:ascii="宋体" w:hAnsi="宋体" w:cs="宋体"/>
          <w:color w:val="auto"/>
          <w:sz w:val="24"/>
          <w:highlight w:val="none"/>
          <w:lang w:bidi="ar"/>
        </w:rPr>
        <w:t>路灯系统提供手动和手机远程自动控制两种方式</w:t>
      </w:r>
      <w:r>
        <w:rPr>
          <w:rFonts w:hint="eastAsia" w:ascii="宋体" w:hAnsi="宋体" w:eastAsia="宋体" w:cs="宋体"/>
          <w:color w:val="auto"/>
          <w:kern w:val="2"/>
          <w:sz w:val="24"/>
          <w:szCs w:val="24"/>
          <w:highlight w:val="none"/>
          <w:lang w:val="en-US" w:eastAsia="zh-CN" w:bidi="ar"/>
        </w:rPr>
        <w:t>。</w:t>
      </w:r>
    </w:p>
    <w:p>
      <w:pPr>
        <w:keepNext w:val="0"/>
        <w:keepLines w:val="0"/>
        <w:widowControl/>
        <w:suppressLineNumbers w:val="0"/>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2"/>
          <w:sz w:val="24"/>
          <w:szCs w:val="24"/>
          <w:highlight w:val="none"/>
          <w:lang w:val="en-US" w:eastAsia="zh-CN" w:bidi="ar"/>
        </w:rPr>
        <w:t>（4）</w:t>
      </w:r>
      <w:r>
        <w:rPr>
          <w:rFonts w:hint="eastAsia" w:ascii="宋体" w:hAnsi="宋体" w:cs="宋体"/>
          <w:color w:val="auto"/>
          <w:sz w:val="24"/>
          <w:highlight w:val="none"/>
          <w:lang w:bidi="ar"/>
        </w:rPr>
        <w:t>要显示路灯设备的故障信息，无需维护人员经常现场巡查有无故障</w:t>
      </w:r>
      <w:r>
        <w:rPr>
          <w:rFonts w:hint="eastAsia" w:ascii="宋体" w:hAnsi="宋体" w:cs="宋体"/>
          <w:color w:val="auto"/>
          <w:sz w:val="24"/>
          <w:highlight w:val="none"/>
          <w:lang w:eastAsia="zh-CN" w:bidi="ar"/>
        </w:rPr>
        <w:t>。</w:t>
      </w:r>
    </w:p>
    <w:p>
      <w:pPr>
        <w:shd w:val="clea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.对龙翔路，德民路与开元北街116根高危灯杆进行整体替换</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 高度：12米   灯杆直径上口径60mm    下口径120mm</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 材料：Q235钢板，板厚≥4mm。</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 抗风能力达36.9m/S以上，保证整杆路灯在恶劣天气状况正常工作。</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 抗震等级达8级以上。</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 灯杆内外表面热浸锌处理，锌层厚度≥85μm，防腐寿命达30年以上。</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 灯杆外表面热浸锌并经表面处理后，采用防紫外线全树脂塑粉进行喷塑，塑层厚度≥100μm，表面光滑，不变色，寿命20年以上。</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 杆底部开350×120的防水接线门，门内配接线板。门盖采用铰链开启，开门方向朝下。铰链焊接牢固，不可拆卸。门四周补强处理，补强板宽度不得低于40mm，厚度不得低于4mm。门内安装杆拔式熔断保护器和铜芯接线端子，质量达到国家电器行业标准。内外焊接地与横档，配标准锁及钥匙。接地螺栓离法兰板500mm处，接地螺栓有卡死装置。</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 灯杆底部法兰采用内外焊接，一次成形；法兰材料采用宝钢A3板，厚20mm。法兰与灯杆间焊接4块厚度不低于4mm的加强筋，焊接饱满，无虚焊。法兰尺寸生产前应征得采购人书面确认，不管尺寸有何变动，均应按采购人要求生产，价格按投标价不变。</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 灯杆颜色由采购人指定。</w:t>
      </w:r>
    </w:p>
    <w:p>
      <w:pPr>
        <w:pStyle w:val="5"/>
        <w:shd w:val="clear"/>
        <w:spacing w:before="100" w:after="0" w:line="579" w:lineRule="auto"/>
        <w:rPr>
          <w:rFonts w:ascii="宋体" w:hAnsi="宋体" w:cs="宋体"/>
          <w:color w:val="auto"/>
          <w:highlight w:val="none"/>
        </w:rPr>
      </w:pPr>
      <w:bookmarkStart w:id="59" w:name="_Toc13299"/>
      <w:r>
        <w:rPr>
          <w:rFonts w:hint="eastAsia" w:ascii="宋体" w:hAnsi="宋体" w:cs="宋体"/>
          <w:color w:val="auto"/>
          <w:sz w:val="24"/>
          <w:highlight w:val="none"/>
        </w:rPr>
        <w:t>示意图如下：</w:t>
      </w:r>
      <w:bookmarkEnd w:id="59"/>
    </w:p>
    <w:p>
      <w:pPr>
        <w:pStyle w:val="5"/>
        <w:shd w:val="clear"/>
        <w:jc w:val="center"/>
        <w:rPr>
          <w:rFonts w:ascii="宋体" w:hAnsi="宋体" w:cs="宋体"/>
          <w:color w:val="auto"/>
          <w:highlight w:val="none"/>
        </w:rPr>
      </w:pPr>
      <w:bookmarkStart w:id="60" w:name="_Toc2001"/>
      <w:r>
        <w:rPr>
          <w:rFonts w:hint="eastAsia" w:ascii="宋体" w:hAnsi="宋体" w:cs="宋体"/>
          <w:color w:val="auto"/>
          <w:highlight w:val="none"/>
        </w:rPr>
        <w:drawing>
          <wp:inline distT="0" distB="0" distL="114300" distR="114300">
            <wp:extent cx="944245" cy="2564130"/>
            <wp:effectExtent l="0" t="0" r="8255" b="7620"/>
            <wp:docPr id="7" name="图片 7" descr="64b5bff8d883fbc77613cdf74bdbd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4b5bff8d883fbc77613cdf74bdbd24"/>
                    <pic:cNvPicPr>
                      <a:picLocks noChangeAspect="1"/>
                    </pic:cNvPicPr>
                  </pic:nvPicPr>
                  <pic:blipFill>
                    <a:blip r:embed="rId16"/>
                    <a:stretch>
                      <a:fillRect/>
                    </a:stretch>
                  </pic:blipFill>
                  <pic:spPr>
                    <a:xfrm>
                      <a:off x="0" y="0"/>
                      <a:ext cx="944245" cy="2564130"/>
                    </a:xfrm>
                    <a:prstGeom prst="rect">
                      <a:avLst/>
                    </a:prstGeom>
                  </pic:spPr>
                </pic:pic>
              </a:graphicData>
            </a:graphic>
          </wp:inline>
        </w:drawing>
      </w:r>
      <w:bookmarkEnd w:id="60"/>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 高度：8米   灯杆直径上口径60mm    下口径120mm</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 材料：Q235钢板，板厚≥</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mm。</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 抗风能力达36.9m/S以上，保证整杆路灯在恶劣天气状况正常工作。</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 抗震等级达8级以上。</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 灯杆内外表面热浸锌处理，锌层厚度≥85μm，防腐寿命达30年以上。</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 灯杆外表面热浸锌并经表面处理后，采用防紫外线全树脂塑粉进行喷塑，塑层厚度≥100μm，表面光滑，不变色，寿命20年以上。</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 杆底部开350×120的防水接线门，门内配接线板。门盖采用铰链开启，开门方向朝下。铰链焊接牢固，不可拆卸。门四周补强处理，补强板宽度不得低于40mm，厚度不得低于4mm。门内安装杆拔式熔断保护器和铜芯接线端子，质量达到国家电器行业标准。内外焊接地与横档，配标准锁及钥匙。接地螺栓离法兰板500mm处，接地螺栓有卡死装置。</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 灯杆底部法兰采用内外焊接，一次成形；法兰材料采用宝钢A3板，厚20mm。法兰与灯杆间焊接4块厚度不低于4mm的加强筋，焊接饱满，无虚焊。法兰尺寸生产前应征得采购人书面确认，不管尺寸有何变动，均应按采购人要求生产，价格按投标价不变。</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 灯杆颜色由采购人指定。</w:t>
      </w:r>
    </w:p>
    <w:p>
      <w:pPr>
        <w:pStyle w:val="5"/>
        <w:shd w:val="clear"/>
        <w:spacing w:before="100" w:after="0" w:line="579" w:lineRule="auto"/>
        <w:rPr>
          <w:rFonts w:ascii="宋体" w:hAnsi="宋体" w:cs="宋体"/>
          <w:color w:val="auto"/>
          <w:sz w:val="24"/>
          <w:highlight w:val="none"/>
        </w:rPr>
      </w:pPr>
      <w:bookmarkStart w:id="61" w:name="_Toc24163"/>
      <w:r>
        <w:rPr>
          <w:rFonts w:hint="eastAsia" w:ascii="宋体" w:hAnsi="宋体" w:cs="宋体"/>
          <w:color w:val="auto"/>
          <w:sz w:val="24"/>
          <w:highlight w:val="none"/>
        </w:rPr>
        <w:t>示意图如下：</w:t>
      </w:r>
      <w:bookmarkEnd w:id="61"/>
    </w:p>
    <w:p>
      <w:pPr>
        <w:shd w:val="clear"/>
        <w:jc w:val="center"/>
        <w:rPr>
          <w:rFonts w:ascii="宋体" w:hAnsi="宋体" w:cs="宋体"/>
          <w:color w:val="auto"/>
          <w:highlight w:val="none"/>
        </w:rPr>
      </w:pPr>
      <w:r>
        <w:rPr>
          <w:rFonts w:hint="eastAsia" w:ascii="宋体" w:hAnsi="宋体" w:cs="宋体"/>
          <w:color w:val="auto"/>
          <w:highlight w:val="none"/>
        </w:rPr>
        <w:drawing>
          <wp:inline distT="0" distB="0" distL="114300" distR="114300">
            <wp:extent cx="1622425" cy="3669030"/>
            <wp:effectExtent l="0" t="0" r="15875" b="7620"/>
            <wp:docPr id="9" name="图片 9" descr="6a4545f49a5ebdfc0a14a6ccdf02f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a4545f49a5ebdfc0a14a6ccdf02f81"/>
                    <pic:cNvPicPr>
                      <a:picLocks noChangeAspect="1"/>
                    </pic:cNvPicPr>
                  </pic:nvPicPr>
                  <pic:blipFill>
                    <a:blip r:embed="rId17"/>
                    <a:stretch>
                      <a:fillRect/>
                    </a:stretch>
                  </pic:blipFill>
                  <pic:spPr>
                    <a:xfrm>
                      <a:off x="0" y="0"/>
                      <a:ext cx="1622425" cy="3669030"/>
                    </a:xfrm>
                    <a:prstGeom prst="rect">
                      <a:avLst/>
                    </a:prstGeom>
                  </pic:spPr>
                </pic:pic>
              </a:graphicData>
            </a:graphic>
          </wp:inline>
        </w:drawing>
      </w:r>
    </w:p>
    <w:p>
      <w:pPr>
        <w:shd w:val="clear"/>
        <w:adjustRightInd w:val="0"/>
        <w:snapToGrid w:val="0"/>
        <w:spacing w:line="360" w:lineRule="auto"/>
        <w:ind w:firstLine="0" w:firstLineChars="0"/>
        <w:rPr>
          <w:rFonts w:ascii="宋体" w:hAnsi="宋体" w:cs="宋体"/>
          <w:b/>
          <w:bCs/>
          <w:color w:val="auto"/>
          <w:sz w:val="24"/>
          <w:highlight w:val="none"/>
        </w:rPr>
      </w:pPr>
      <w:r>
        <w:rPr>
          <w:rFonts w:hint="eastAsia" w:ascii="宋体" w:hAnsi="宋体" w:cs="宋体"/>
          <w:b/>
          <w:bCs/>
          <w:color w:val="auto"/>
          <w:sz w:val="24"/>
          <w:highlight w:val="none"/>
        </w:rPr>
        <w:t>八、其他技术要求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1.道路照明指标在节能合同服务期内必须满足《城市道路照明设计标准》（CJJ45-2015）和《LED城市道路照明应用技术要求》（GB/T 31832—2015）的要求，道路照明系统的电压、电流、功率因素须符合《电能质量公用电网谐波》（GB/T14549--93）等国家电力设计的标准要求。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（1）在安装灯具时，在路灯灯杆检修门盖安装接线板，接线板上设置熔断保护器。</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（2）灯杆与灯具间的供电线路应在灯具内有明确的火、零、地线接线端子，灯杆、灯具内供电线路中间不得有接头。</w:t>
      </w:r>
    </w:p>
    <w:p>
      <w:pPr>
        <w:shd w:val="clear"/>
        <w:rPr>
          <w:rFonts w:ascii="宋体" w:hAnsi="宋体" w:cs="宋体"/>
          <w:b/>
          <w:color w:val="auto"/>
          <w:sz w:val="24"/>
          <w:highlight w:val="none"/>
        </w:rPr>
      </w:pPr>
      <w:bookmarkStart w:id="62" w:name="_Toc22112"/>
      <w:bookmarkStart w:id="63" w:name="_Toc2040"/>
      <w:bookmarkStart w:id="64" w:name="_Toc7454"/>
      <w:r>
        <w:rPr>
          <w:rFonts w:hint="eastAsia" w:ascii="宋体" w:hAnsi="宋体" w:cs="宋体"/>
          <w:b/>
          <w:color w:val="auto"/>
          <w:sz w:val="24"/>
          <w:highlight w:val="none"/>
        </w:rPr>
        <w:t>九、项目服务及报价要求</w:t>
      </w:r>
      <w:bookmarkEnd w:id="62"/>
      <w:bookmarkEnd w:id="63"/>
      <w:bookmarkEnd w:id="64"/>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1.中标人必须为采购人提供设备采购、设备安装调试、人员培训、配合第三方检测单位检测、项目监理单位开展监理工作、计量确认和保证等一整套的节能服务解决方案。</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2.中标人须对灯具安装的安全性负责。</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3.本项目涉及改造的所有灯具原则上全部更换，不得在现有灯具基础上进行改造，除非采购人要求。如需技改，费用由中标人负责支付。</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4.中标单位进行</w:t>
      </w:r>
      <w:r>
        <w:rPr>
          <w:rFonts w:hint="eastAsia" w:ascii="宋体" w:hAnsi="宋体" w:cs="宋体"/>
          <w:color w:val="auto"/>
          <w:sz w:val="24"/>
          <w:highlight w:val="none"/>
          <w:lang w:val="en-US" w:eastAsia="zh-CN"/>
        </w:rPr>
        <w:t>改造</w:t>
      </w:r>
      <w:r>
        <w:rPr>
          <w:rFonts w:hint="eastAsia" w:ascii="宋体" w:hAnsi="宋体" w:cs="宋体"/>
          <w:color w:val="auto"/>
          <w:sz w:val="24"/>
          <w:highlight w:val="none"/>
        </w:rPr>
        <w:t>前，把</w:t>
      </w:r>
      <w:r>
        <w:rPr>
          <w:rFonts w:hint="eastAsia" w:ascii="宋体" w:hAnsi="宋体" w:cs="宋体"/>
          <w:color w:val="auto"/>
          <w:sz w:val="24"/>
          <w:highlight w:val="none"/>
          <w:lang w:val="en-US" w:eastAsia="zh-CN"/>
        </w:rPr>
        <w:t>改造</w:t>
      </w:r>
      <w:r>
        <w:rPr>
          <w:rFonts w:hint="eastAsia" w:ascii="宋体" w:hAnsi="宋体" w:cs="宋体"/>
          <w:color w:val="auto"/>
          <w:sz w:val="24"/>
          <w:highlight w:val="none"/>
        </w:rPr>
        <w:t>方案报送监理、采购人审核同意后实施。审核意见并不免除中标人对项目质量所负的完全责任，中标人须对安装施工的安全负责。中标人须自行办理施工开挖、占道等手续。</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5.项目</w:t>
      </w:r>
      <w:r>
        <w:rPr>
          <w:rFonts w:hint="eastAsia" w:ascii="宋体" w:hAnsi="宋体" w:cs="宋体"/>
          <w:color w:val="auto"/>
          <w:sz w:val="24"/>
          <w:highlight w:val="none"/>
          <w:lang w:val="en-US" w:eastAsia="zh-CN"/>
        </w:rPr>
        <w:t>服务期满</w:t>
      </w:r>
      <w:r>
        <w:rPr>
          <w:rFonts w:hint="eastAsia" w:ascii="宋体" w:hAnsi="宋体" w:cs="宋体"/>
          <w:color w:val="auto"/>
          <w:sz w:val="24"/>
          <w:highlight w:val="none"/>
        </w:rPr>
        <w:t>后，中标人应按每一型号LED路灯1%-2%的比例免费提供备品备件交给采购人指定的维护单位（以下简称维护单位）。维护单位维修后把坏灯定期返还中标人，中标人应同时把相同数量的好灯送给维护单位，以保持各型号产品的备品备件数量充足。中标人对更换工作应予以现场指导，维护单位的维护工作并不免除中标人对巡灯、亮灯率和灯具质量的责任。</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.本项目施工期需更换灯具及提供备品的所有费用（包含人工、材料、产品、设备、设施、运输费、税费、管理费、保险、利润等一切与完成项目施工有关的所有费用）均应由中标人承担，投标时，应考虑到项目</w:t>
      </w:r>
      <w:r>
        <w:rPr>
          <w:rFonts w:hint="eastAsia" w:ascii="宋体" w:hAnsi="宋体" w:cs="宋体"/>
          <w:color w:val="auto"/>
          <w:sz w:val="24"/>
          <w:highlight w:val="none"/>
          <w:lang w:val="en-US" w:eastAsia="zh-CN"/>
        </w:rPr>
        <w:t>投标报价</w:t>
      </w:r>
      <w:r>
        <w:rPr>
          <w:rFonts w:hint="eastAsia" w:ascii="宋体" w:hAnsi="宋体" w:cs="宋体"/>
          <w:color w:val="auto"/>
          <w:sz w:val="24"/>
          <w:highlight w:val="none"/>
        </w:rPr>
        <w:t>内。</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.在</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间，当中标人因光衰、节能不达标（但不限于）等产品质量、设计原因更换LED路灯时，更换工作及费用由中标人负责。</w:t>
      </w:r>
    </w:p>
    <w:p>
      <w:pPr>
        <w:shd w:val="clea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.项目改造的施工所涉及的交通安全管理费由中标人负责。交通安全管理费包含路口标志标牌、公告、交通管制费及其他一切相关的交通安全费用</w:t>
      </w:r>
      <w:r>
        <w:rPr>
          <w:rFonts w:hint="eastAsia" w:ascii="宋体" w:hAnsi="宋体" w:cs="宋体"/>
          <w:color w:val="auto"/>
          <w:sz w:val="24"/>
          <w:highlight w:val="none"/>
          <w:lang w:eastAsia="zh-CN"/>
        </w:rPr>
        <w:t>。</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.本项目</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内的节约电费计量、光照质量检测等由具备节能检测能力的国家级检测机构出具相关检测报告。项目竣工、设施移交涉及的灯具检测、道路照明质量等项目竣工验收、设施移交所必须检测费用由中标人支付，不属于本项目第三方检测单位的工作内容。本项目除由第三方检测机构检测的内容外，其他所有检测发生的费用由中标人负责。</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在项目改造期间可能会有路灯新移交、道路、城中村改造而需要路灯拆除等情况发生，由此造成工程量调整。对于项目工程量减少部分的金额由采购人以减少的盏数乘以分享节能计算公式，在后期支付中调整按实结算。</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.本项目改造范围内的路灯灯具在</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内可能会因道路改扩建、城中村改造而需要拆除，拆除造成灯具无法运用于安装现场的，该灯具产生的节能收益金不受影响。若本项目范围内的灯具在施工期内拆除的，由中标人回收处置，该灯具不纳入</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内中标人节能收益金计量。</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内，中标人需免费提供备品备件，备品备件费用应考虑进项目总投资额内，采购人不再另行核算支付。</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.中标人应提供全新的原厂原装货物和完善服务。</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.货物质量指标达到相应的生产标准及技术要求。货物须经中国政府批准在中国境内销售。</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确定中标人后，运至现场的每批次灯具由项目监理单位随机抽取2套灯具，送检第三方检测单位检测，检测费由中标人支付，检测符合投标文件中技术要求后，交由采购人封样，方可使用；若检测不合格，该批次路灯灯具不得安装于现场，已安装于现场的必须在7个日历天内拆除。</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.改造过程中，采购人有权对已使用或即将安装的路灯进行抽检；若品牌不一致、参数不能满足投标文件和采购文件要求的，该批次路灯灯具不得安装于现场，已安装于现场的必须在7个日历天内拆除。</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.中标人在改造过程中，需根据LED灯具的重量、体积等参数，结合原有的灯杆、挑臂进行综合模拟测试，出具改用LED灯具后路灯整体无安全隐患的承诺函，并承担相应责任。</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.不允许更改中标人承诺的灯具品牌及型号。</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19</w:t>
      </w:r>
      <w:r>
        <w:rPr>
          <w:rFonts w:hint="eastAsia" w:ascii="宋体" w:hAnsi="宋体" w:cs="宋体"/>
          <w:color w:val="auto"/>
          <w:sz w:val="24"/>
          <w:highlight w:val="none"/>
        </w:rPr>
        <w:t>.</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内，在国家LED路灯新标准未出台之前，合同所涉及到的LED路灯节能产品的性能参数不能低于中标人产品在投标过程中检测报告的数据；如有参数上的差异，取更优参数为准。</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.投标供应商应提供承诺函，承诺投入使用的LED灯具技术参数不低于投标时提供的检测报告的参数。</w:t>
      </w:r>
      <w:bookmarkStart w:id="65" w:name="_Toc10423"/>
      <w:bookmarkStart w:id="66" w:name="_Toc32401"/>
      <w:bookmarkStart w:id="67" w:name="_Toc17403"/>
    </w:p>
    <w:p>
      <w:pPr>
        <w:shd w:val="clea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十、改造施工及验收</w:t>
      </w:r>
      <w:bookmarkEnd w:id="65"/>
      <w:bookmarkEnd w:id="66"/>
      <w:bookmarkEnd w:id="67"/>
    </w:p>
    <w:p>
      <w:pPr>
        <w:shd w:val="clear"/>
        <w:adjustRightInd w:val="0"/>
        <w:snapToGrid w:val="0"/>
        <w:spacing w:line="360" w:lineRule="auto"/>
        <w:ind w:firstLine="480" w:firstLineChars="200"/>
        <w:rPr>
          <w:rFonts w:ascii="宋体" w:hAnsi="宋体" w:cs="宋体"/>
          <w:color w:val="auto"/>
          <w:sz w:val="24"/>
          <w:highlight w:val="none"/>
        </w:rPr>
      </w:pPr>
      <w:bookmarkStart w:id="68" w:name="OLE_LINK60"/>
      <w:r>
        <w:rPr>
          <w:rFonts w:hint="eastAsia" w:ascii="宋体" w:hAnsi="宋体" w:cs="宋体"/>
          <w:color w:val="auto"/>
          <w:sz w:val="24"/>
          <w:highlight w:val="none"/>
        </w:rPr>
        <w:t>供应商根据本项目招标要求，由供应商到现场进行安装、调试，同时须负责办理所有涉及（但不限于）占用道路、修剪绿化等相关市政设施的手续，并经第三方检测机构检测合格后，由供应商向采购人提出申请后。供应商根据国家及地方的相关道路照明规范要求组织验收。</w:t>
      </w:r>
    </w:p>
    <w:bookmarkEnd w:id="68"/>
    <w:p>
      <w:pPr>
        <w:shd w:val="clear"/>
        <w:adjustRightInd w:val="0"/>
        <w:snapToGrid w:val="0"/>
        <w:spacing w:line="360" w:lineRule="auto"/>
        <w:ind w:firstLine="482" w:firstLineChars="200"/>
        <w:rPr>
          <w:rFonts w:ascii="宋体" w:hAnsi="宋体" w:cs="宋体"/>
          <w:b/>
          <w:bCs/>
          <w:color w:val="auto"/>
          <w:sz w:val="24"/>
          <w:highlight w:val="none"/>
        </w:rPr>
      </w:pPr>
      <w:bookmarkStart w:id="69" w:name="_Toc5529"/>
      <w:bookmarkStart w:id="70" w:name="_Toc11111"/>
      <w:bookmarkStart w:id="71" w:name="_Toc10686"/>
      <w:r>
        <w:rPr>
          <w:rFonts w:hint="eastAsia" w:ascii="宋体" w:hAnsi="宋体" w:cs="宋体"/>
          <w:b/>
          <w:bCs/>
          <w:color w:val="auto"/>
          <w:sz w:val="24"/>
          <w:highlight w:val="none"/>
        </w:rPr>
        <w:t>十一、</w:t>
      </w:r>
      <w:r>
        <w:rPr>
          <w:rFonts w:hint="eastAsia" w:ascii="宋体" w:hAnsi="宋体" w:cs="宋体"/>
          <w:b/>
          <w:bCs/>
          <w:color w:val="auto"/>
          <w:sz w:val="24"/>
          <w:highlight w:val="none"/>
          <w:lang w:eastAsia="zh-CN"/>
        </w:rPr>
        <w:t>服务期</w:t>
      </w:r>
      <w:r>
        <w:rPr>
          <w:rFonts w:hint="eastAsia" w:ascii="宋体" w:hAnsi="宋体" w:cs="宋体"/>
          <w:b/>
          <w:bCs/>
          <w:color w:val="auto"/>
          <w:sz w:val="24"/>
          <w:highlight w:val="none"/>
        </w:rPr>
        <w:t>内的维修及备件</w:t>
      </w:r>
      <w:bookmarkEnd w:id="69"/>
      <w:bookmarkEnd w:id="70"/>
      <w:bookmarkEnd w:id="71"/>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1.备品备件由应在总投资额中予以充分考虑，同时应免费提供实际安装数量多于1-2%的备品备件给采购人或采购人指定的单位负责维护管理，采购人或采购人指定的维护管理单位负责</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内灯具的更换。</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 xml:space="preserve">内，中标人需按合同要求对采购人指定人员进行维护操作培训。 </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内，中标人应按合同要求保证备品备件必需的库存量。</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4.拆卸下来的故障产品或配件，路灯维护管理单位将移交归还中标人。</w:t>
      </w:r>
      <w:bookmarkStart w:id="72" w:name="_Toc29791"/>
      <w:bookmarkStart w:id="73" w:name="_Toc10250"/>
      <w:bookmarkStart w:id="74" w:name="_Toc18566"/>
    </w:p>
    <w:p>
      <w:pPr>
        <w:shd w:val="clea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十二、保修期内容</w:t>
      </w:r>
      <w:bookmarkEnd w:id="72"/>
      <w:bookmarkEnd w:id="73"/>
      <w:bookmarkEnd w:id="74"/>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项目服务期满后，中标人需将</w:t>
      </w:r>
      <w:r>
        <w:rPr>
          <w:rFonts w:hint="eastAsia" w:ascii="宋体" w:hAnsi="宋体" w:cs="宋体"/>
          <w:color w:val="auto"/>
          <w:sz w:val="24"/>
          <w:highlight w:val="none"/>
          <w:lang w:val="en-US" w:eastAsia="zh-CN"/>
        </w:rPr>
        <w:t>项目资料</w:t>
      </w:r>
      <w:r>
        <w:rPr>
          <w:rFonts w:hint="eastAsia" w:ascii="宋体" w:hAnsi="宋体" w:cs="宋体"/>
          <w:color w:val="auto"/>
          <w:sz w:val="24"/>
          <w:highlight w:val="none"/>
        </w:rPr>
        <w:t>移交给</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归档，并配合采购人跟后续管理单位做好交接工作。</w:t>
      </w:r>
    </w:p>
    <w:p>
      <w:pPr>
        <w:shd w:val="clear"/>
        <w:adjustRightInd w:val="0"/>
        <w:snapToGrid w:val="0"/>
        <w:spacing w:line="360" w:lineRule="auto"/>
        <w:ind w:firstLine="482" w:firstLineChars="200"/>
        <w:rPr>
          <w:rFonts w:ascii="宋体" w:hAnsi="宋体" w:cs="宋体"/>
          <w:b/>
          <w:bCs/>
          <w:color w:val="auto"/>
          <w:sz w:val="24"/>
          <w:highlight w:val="none"/>
        </w:rPr>
      </w:pPr>
      <w:bookmarkStart w:id="75" w:name="_Toc32156"/>
      <w:bookmarkStart w:id="76" w:name="_Toc20400"/>
      <w:bookmarkStart w:id="77" w:name="_Toc18227"/>
      <w:r>
        <w:rPr>
          <w:rFonts w:hint="eastAsia" w:ascii="宋体" w:hAnsi="宋体" w:cs="宋体"/>
          <w:b/>
          <w:bCs/>
          <w:color w:val="auto"/>
          <w:sz w:val="24"/>
          <w:highlight w:val="none"/>
        </w:rPr>
        <w:t>十三、技术培训</w:t>
      </w:r>
      <w:bookmarkEnd w:id="75"/>
      <w:bookmarkEnd w:id="76"/>
      <w:bookmarkEnd w:id="77"/>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中标人应派合格的专业技术人员到采购人指定的地点对采购人及路灯维护单位的技术人员、维修操作人员进行使用操作、设备维修、保养等技术的现场培训，直至使用及维护单位的技术人员能熟练独立工作。</w:t>
      </w:r>
    </w:p>
    <w:p>
      <w:pPr>
        <w:shd w:val="clear"/>
        <w:adjustRightInd w:val="0"/>
        <w:snapToGrid w:val="0"/>
        <w:spacing w:line="360" w:lineRule="auto"/>
        <w:ind w:firstLine="482" w:firstLineChars="200"/>
        <w:rPr>
          <w:rFonts w:ascii="宋体" w:hAnsi="宋体" w:cs="宋体"/>
          <w:b/>
          <w:bCs/>
          <w:color w:val="auto"/>
          <w:sz w:val="24"/>
          <w:highlight w:val="none"/>
        </w:rPr>
      </w:pPr>
      <w:bookmarkStart w:id="78" w:name="_Toc29788"/>
      <w:bookmarkStart w:id="79" w:name="_Toc14588"/>
      <w:bookmarkStart w:id="80" w:name="_Toc23220"/>
      <w:r>
        <w:rPr>
          <w:rFonts w:hint="eastAsia" w:ascii="宋体" w:hAnsi="宋体" w:cs="宋体"/>
          <w:b/>
          <w:bCs/>
          <w:color w:val="auto"/>
          <w:sz w:val="24"/>
          <w:highlight w:val="none"/>
        </w:rPr>
        <w:t>十四、原有传统灯具及路灯设施处理</w:t>
      </w:r>
      <w:bookmarkEnd w:id="78"/>
      <w:bookmarkEnd w:id="79"/>
      <w:bookmarkEnd w:id="80"/>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中标人将拆除的原有灯具、灯挑、管线等路灯设施转运至甲方指定的地点并负责值守看护，由甲方负责处理，费用上交地方财政。项目竣工验收前，路灯设施拆除、运输、值守看护的费用由中标人承担。项目竣工验收后，由乙方统一清点移交给甲方，拆除的设施若被盗、遗失，甲方将从中标方的节能收益金中得到补偿。</w:t>
      </w:r>
    </w:p>
    <w:p>
      <w:pPr>
        <w:shd w:val="clear"/>
        <w:adjustRightInd w:val="0"/>
        <w:snapToGrid w:val="0"/>
        <w:spacing w:line="360" w:lineRule="auto"/>
        <w:ind w:firstLine="482" w:firstLineChars="200"/>
        <w:rPr>
          <w:rFonts w:ascii="宋体" w:hAnsi="宋体" w:cs="宋体"/>
          <w:b/>
          <w:bCs/>
          <w:color w:val="auto"/>
          <w:sz w:val="24"/>
          <w:highlight w:val="none"/>
        </w:rPr>
      </w:pPr>
      <w:bookmarkStart w:id="81" w:name="_Toc11331"/>
      <w:bookmarkStart w:id="82" w:name="_Toc25597"/>
      <w:bookmarkStart w:id="83" w:name="_Toc30308"/>
      <w:r>
        <w:rPr>
          <w:rFonts w:hint="eastAsia" w:ascii="宋体" w:hAnsi="宋体" w:cs="宋体"/>
          <w:b/>
          <w:bCs/>
          <w:color w:val="auto"/>
          <w:sz w:val="24"/>
          <w:highlight w:val="none"/>
        </w:rPr>
        <w:t>十五、交付使用时间</w:t>
      </w:r>
      <w:bookmarkEnd w:id="81"/>
      <w:bookmarkEnd w:id="82"/>
      <w:bookmarkEnd w:id="83"/>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总服务期3年，其中包含</w:t>
      </w:r>
      <w:r>
        <w:rPr>
          <w:rFonts w:hint="eastAsia" w:ascii="宋体" w:hAnsi="宋体" w:cs="宋体"/>
          <w:color w:val="auto"/>
          <w:sz w:val="24"/>
          <w:highlight w:val="none"/>
        </w:rPr>
        <w:t>100个日历天内完成灯具安装及调试、验收并交付使用。</w:t>
      </w:r>
    </w:p>
    <w:p>
      <w:pPr>
        <w:shd w:val="clear"/>
        <w:adjustRightInd w:val="0"/>
        <w:snapToGrid w:val="0"/>
        <w:spacing w:line="360" w:lineRule="auto"/>
        <w:ind w:firstLine="482" w:firstLineChars="200"/>
        <w:rPr>
          <w:rFonts w:ascii="宋体" w:hAnsi="宋体" w:cs="宋体"/>
          <w:b/>
          <w:bCs/>
          <w:color w:val="auto"/>
          <w:sz w:val="24"/>
          <w:highlight w:val="none"/>
        </w:rPr>
      </w:pPr>
      <w:bookmarkStart w:id="84" w:name="_Toc29862"/>
      <w:bookmarkStart w:id="85" w:name="_Toc19399"/>
      <w:bookmarkStart w:id="86" w:name="_Toc27331"/>
      <w:r>
        <w:rPr>
          <w:rFonts w:hint="eastAsia" w:ascii="宋体" w:hAnsi="宋体" w:cs="宋体"/>
          <w:b/>
          <w:bCs/>
          <w:color w:val="auto"/>
          <w:sz w:val="24"/>
          <w:highlight w:val="none"/>
        </w:rPr>
        <w:t>十六、注意事项</w:t>
      </w:r>
      <w:bookmarkEnd w:id="84"/>
      <w:bookmarkEnd w:id="85"/>
      <w:bookmarkEnd w:id="86"/>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1.中标人不得将项目整体转包给任何单位和个人。否则，</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有权即刻终止合同，并要求中标人赔偿相应损失。</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2.投标供应商若认为采购文件的技术要求或其他要求有倾向性或不公正性，可在招标答疑阶段提出，以维护招标行为的公平、公正。</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3.投标供应商使用的标准必须是国家或地方政府颁布的同等或更高的标准，如投标供应商使用的标准低于上述标准,评标委员会将有权不予接受，投标供应商必须列表将明显的差异详细说明。</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4.投标供应商所提交的投标文件对技术参数和各项要求的响应应是列出具体内容。如果投标供应商只注明“符合”或“满足”，将被视为“不符合”，并可能严重影响评标结果。</w:t>
      </w:r>
    </w:p>
    <w:p>
      <w:pPr>
        <w:shd w:val="clear"/>
        <w:adjustRightInd w:val="0"/>
        <w:snapToGrid w:val="0"/>
        <w:spacing w:line="360" w:lineRule="auto"/>
        <w:ind w:firstLine="482" w:firstLineChars="200"/>
        <w:rPr>
          <w:rFonts w:ascii="宋体" w:hAnsi="宋体" w:cs="宋体"/>
          <w:b/>
          <w:bCs/>
          <w:color w:val="auto"/>
          <w:sz w:val="24"/>
          <w:highlight w:val="none"/>
        </w:rPr>
      </w:pPr>
      <w:bookmarkStart w:id="87" w:name="_Toc10851"/>
      <w:bookmarkStart w:id="88" w:name="_Toc32676"/>
      <w:r>
        <w:rPr>
          <w:rFonts w:hint="eastAsia" w:ascii="宋体" w:hAnsi="宋体" w:cs="宋体"/>
          <w:b/>
          <w:bCs/>
          <w:color w:val="auto"/>
          <w:sz w:val="24"/>
          <w:highlight w:val="none"/>
        </w:rPr>
        <w:t>十七、相关计费风险提示</w:t>
      </w:r>
      <w:bookmarkEnd w:id="87"/>
      <w:bookmarkEnd w:id="88"/>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1.本项目改造的路灯中，因采购人可能存在路灯设施新移交、路灯设施拆除、提供的设施量存在误差等因素，实际数量和改造数量可能与表中存在5%左右的误差，请投标供应商对上述因素给予考虑。</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2.投标供应商须考虑以上相关风险，如中标，不能以此作为不执行中标人责任、义务的免责条款。</w:t>
      </w:r>
    </w:p>
    <w:p>
      <w:pPr>
        <w:pStyle w:val="5"/>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sectPr>
          <w:footerReference r:id="rId10" w:type="first"/>
          <w:headerReference r:id="rId8" w:type="default"/>
          <w:footerReference r:id="rId9" w:type="default"/>
          <w:pgSz w:w="11906" w:h="16838"/>
          <w:pgMar w:top="567" w:right="1134" w:bottom="567" w:left="1418" w:header="851" w:footer="992" w:gutter="0"/>
          <w:pgNumType w:fmt="decimal" w:start="1"/>
          <w:cols w:space="720" w:num="1"/>
          <w:titlePg/>
          <w:docGrid w:type="lines" w:linePitch="312" w:charSpace="0"/>
        </w:sectPr>
      </w:pPr>
    </w:p>
    <w:tbl>
      <w:tblPr>
        <w:tblStyle w:val="22"/>
        <w:tblW w:w="14460" w:type="dxa"/>
        <w:tblInd w:w="93" w:type="dxa"/>
        <w:tblLayout w:type="autofit"/>
        <w:tblCellMar>
          <w:top w:w="0" w:type="dxa"/>
          <w:left w:w="108" w:type="dxa"/>
          <w:bottom w:w="0" w:type="dxa"/>
          <w:right w:w="108" w:type="dxa"/>
        </w:tblCellMar>
      </w:tblPr>
      <w:tblGrid>
        <w:gridCol w:w="1338"/>
        <w:gridCol w:w="801"/>
        <w:gridCol w:w="2546"/>
        <w:gridCol w:w="2412"/>
        <w:gridCol w:w="1606"/>
        <w:gridCol w:w="801"/>
        <w:gridCol w:w="2546"/>
        <w:gridCol w:w="2410"/>
      </w:tblGrid>
      <w:tr>
        <w:tblPrEx>
          <w:tblCellMar>
            <w:top w:w="0" w:type="dxa"/>
            <w:left w:w="108" w:type="dxa"/>
            <w:bottom w:w="0" w:type="dxa"/>
            <w:right w:w="108" w:type="dxa"/>
          </w:tblCellMar>
        </w:tblPrEx>
        <w:trPr>
          <w:trHeight w:val="1012" w:hRule="atLeast"/>
        </w:trPr>
        <w:tc>
          <w:tcPr>
            <w:tcW w:w="14460" w:type="dxa"/>
            <w:gridSpan w:val="8"/>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2022年廿三里街道路灯分布表格</w:t>
            </w:r>
          </w:p>
        </w:tc>
      </w:tr>
      <w:tr>
        <w:tblPrEx>
          <w:tblCellMar>
            <w:top w:w="0" w:type="dxa"/>
            <w:left w:w="108" w:type="dxa"/>
            <w:bottom w:w="0" w:type="dxa"/>
            <w:right w:w="108" w:type="dxa"/>
          </w:tblCellMar>
        </w:tblPrEx>
        <w:trPr>
          <w:trHeight w:val="41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道路信息</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数量</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改造前高压钠灯</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改造后LED灯</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道路信息</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数量</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改造前高压钠灯</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改造后LED灯</w:t>
            </w:r>
          </w:p>
        </w:tc>
      </w:tr>
      <w:tr>
        <w:tblPrEx>
          <w:tblCellMar>
            <w:top w:w="0" w:type="dxa"/>
            <w:left w:w="108" w:type="dxa"/>
            <w:bottom w:w="0" w:type="dxa"/>
            <w:right w:w="108" w:type="dxa"/>
          </w:tblCellMar>
        </w:tblPrEx>
        <w:trPr>
          <w:trHeight w:val="41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开元北街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通宝路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250W9个 150W98个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120W9个 60W98个 </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春潮路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通报北区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金鳞北路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王新屋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龙翔路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武岩路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华盛北路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开元南街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思源路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信联街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大通路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金桥路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神力大道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金鳞路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竺阳路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金泰路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花仙路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华盛南路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诚信大道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中新街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恒德路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六中东门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宝丰路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中新街东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永乐路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长宁路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旺达路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兴民路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陈陀北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梅林大道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武梅二街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金鳞南门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惠民路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后乐西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安商路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草湖塘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德民路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开金一街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宜商路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开金二街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富商路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盘溪路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康民路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250W8个 150W14个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120W8个 60W14个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武溪路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标准厂房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上社区西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牛清塘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后溪路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乾元路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银海路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武梅一街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宝元路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武岩北路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龙潭路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武溪北路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武康路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西田畈东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拨浪鼓广场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桥头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r>
    </w:tbl>
    <w:p>
      <w:pPr>
        <w:pStyle w:val="5"/>
        <w:shd w:val="clear"/>
        <w:rPr>
          <w:rFonts w:ascii="宋体" w:hAnsi="宋体" w:cs="宋体"/>
          <w:color w:val="auto"/>
          <w:highlight w:val="none"/>
        </w:rPr>
        <w:sectPr>
          <w:pgSz w:w="16838" w:h="11906" w:orient="landscape"/>
          <w:pgMar w:top="1418" w:right="1191" w:bottom="1134" w:left="1134" w:header="851" w:footer="992" w:gutter="0"/>
          <w:pgNumType w:fmt="decimal"/>
          <w:cols w:space="720" w:num="1"/>
          <w:titlePg/>
          <w:docGrid w:type="lines" w:linePitch="312" w:charSpace="0"/>
        </w:sectPr>
      </w:pPr>
    </w:p>
    <w:p>
      <w:pPr>
        <w:pStyle w:val="5"/>
        <w:numPr>
          <w:ilvl w:val="0"/>
          <w:numId w:val="2"/>
        </w:numPr>
        <w:shd w:val="clear"/>
        <w:spacing w:before="0" w:after="0" w:line="360" w:lineRule="auto"/>
        <w:jc w:val="center"/>
        <w:rPr>
          <w:rFonts w:ascii="宋体" w:hAnsi="宋体" w:cs="宋体"/>
          <w:color w:val="auto"/>
          <w:sz w:val="36"/>
          <w:highlight w:val="none"/>
        </w:rPr>
      </w:pPr>
      <w:bookmarkStart w:id="89" w:name="_Toc1819"/>
      <w:r>
        <w:rPr>
          <w:rFonts w:hint="eastAsia" w:ascii="宋体" w:hAnsi="宋体" w:cs="宋体"/>
          <w:color w:val="auto"/>
          <w:sz w:val="36"/>
          <w:highlight w:val="none"/>
        </w:rPr>
        <w:t>开标、评标和定标须知</w:t>
      </w:r>
      <w:bookmarkEnd w:id="39"/>
      <w:bookmarkEnd w:id="40"/>
      <w:bookmarkEnd w:id="41"/>
      <w:bookmarkEnd w:id="42"/>
      <w:bookmarkEnd w:id="89"/>
    </w:p>
    <w:p>
      <w:pPr>
        <w:pStyle w:val="6"/>
        <w:shd w:val="clear"/>
        <w:snapToGrid w:val="0"/>
        <w:spacing w:before="120" w:after="120" w:line="360" w:lineRule="auto"/>
        <w:rPr>
          <w:rFonts w:ascii="宋体" w:hAnsi="宋体" w:eastAsia="宋体" w:cs="宋体"/>
          <w:color w:val="auto"/>
          <w:sz w:val="28"/>
          <w:szCs w:val="28"/>
          <w:highlight w:val="none"/>
        </w:rPr>
      </w:pPr>
      <w:bookmarkStart w:id="90" w:name="_Toc362250704"/>
      <w:bookmarkStart w:id="91" w:name="_Toc24286"/>
      <w:bookmarkStart w:id="92" w:name="_Toc17706"/>
      <w:bookmarkStart w:id="93" w:name="_Toc274303252"/>
      <w:bookmarkStart w:id="94" w:name="_Toc32675"/>
      <w:r>
        <w:rPr>
          <w:rFonts w:hint="eastAsia" w:ascii="宋体" w:hAnsi="宋体" w:eastAsia="宋体" w:cs="宋体"/>
          <w:color w:val="auto"/>
          <w:sz w:val="28"/>
          <w:szCs w:val="28"/>
          <w:highlight w:val="none"/>
        </w:rPr>
        <w:t>一、开标</w:t>
      </w:r>
      <w:bookmarkEnd w:id="90"/>
      <w:bookmarkEnd w:id="91"/>
      <w:bookmarkEnd w:id="92"/>
      <w:bookmarkEnd w:id="93"/>
      <w:bookmarkEnd w:id="94"/>
    </w:p>
    <w:p>
      <w:pPr>
        <w:shd w:val="clear"/>
        <w:snapToGrid w:val="0"/>
        <w:spacing w:line="360" w:lineRule="auto"/>
        <w:ind w:firstLine="480" w:firstLineChars="200"/>
        <w:rPr>
          <w:rFonts w:ascii="宋体" w:hAnsi="宋体" w:cs="宋体"/>
          <w:color w:val="auto"/>
          <w:sz w:val="24"/>
          <w:highlight w:val="none"/>
        </w:rPr>
      </w:pPr>
      <w:bookmarkStart w:id="95" w:name="_Toc362250705"/>
      <w:bookmarkStart w:id="96" w:name="_Toc263090375"/>
      <w:bookmarkStart w:id="97" w:name="_Toc274303253"/>
      <w:bookmarkStart w:id="98" w:name="_Toc226973002"/>
      <w:bookmarkStart w:id="99" w:name="_Toc261519847"/>
      <w:r>
        <w:rPr>
          <w:rFonts w:hint="eastAsia" w:ascii="宋体" w:hAnsi="宋体" w:cs="宋体"/>
          <w:color w:val="auto"/>
          <w:sz w:val="24"/>
          <w:highlight w:val="none"/>
        </w:rPr>
        <w:t>1.本项目实行电子开评标，投标方无需前往开评标现场，只需在投标截止时间前在“政采云”平台上上传电子加密投标文件。</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2.电子开评标及评审程序</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2.1投标截止时间招标人在政采云平台发出解密指令，投标人在接到解密指令后的1小时内（开标当日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 xml:space="preserve">）登录政采云平台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 </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2.2评标小组对投标方的资格和技术响应文件进行评审；</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2.3评标小组对报价情况进行评审；</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2.4在系统上公布评审结果。</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特别说明：政采云公司如对电子化开标及评审程序有调整的，按调整后的程序操作。</w:t>
      </w:r>
    </w:p>
    <w:p>
      <w:pPr>
        <w:pStyle w:val="6"/>
        <w:shd w:val="clear"/>
        <w:snapToGrid w:val="0"/>
        <w:spacing w:before="120" w:after="120" w:line="360" w:lineRule="auto"/>
        <w:rPr>
          <w:rFonts w:ascii="宋体" w:hAnsi="宋体" w:eastAsia="宋体" w:cs="宋体"/>
          <w:color w:val="auto"/>
          <w:sz w:val="28"/>
          <w:szCs w:val="28"/>
          <w:highlight w:val="none"/>
        </w:rPr>
      </w:pPr>
      <w:bookmarkStart w:id="100" w:name="_Toc30988"/>
      <w:bookmarkStart w:id="101" w:name="_Toc12059"/>
      <w:bookmarkStart w:id="102" w:name="_Toc7234"/>
      <w:r>
        <w:rPr>
          <w:rFonts w:hint="eastAsia" w:ascii="宋体" w:hAnsi="宋体" w:eastAsia="宋体" w:cs="宋体"/>
          <w:color w:val="auto"/>
          <w:sz w:val="28"/>
          <w:szCs w:val="28"/>
          <w:highlight w:val="none"/>
        </w:rPr>
        <w:t>二、评标</w:t>
      </w:r>
      <w:bookmarkEnd w:id="95"/>
      <w:bookmarkEnd w:id="96"/>
      <w:bookmarkEnd w:id="97"/>
      <w:bookmarkEnd w:id="98"/>
      <w:bookmarkEnd w:id="99"/>
      <w:bookmarkEnd w:id="100"/>
      <w:bookmarkEnd w:id="101"/>
      <w:bookmarkEnd w:id="102"/>
    </w:p>
    <w:p>
      <w:pPr>
        <w:shd w:val="clear"/>
        <w:snapToGrid w:val="0"/>
        <w:spacing w:line="360" w:lineRule="auto"/>
        <w:ind w:firstLine="480"/>
        <w:rPr>
          <w:rFonts w:ascii="宋体" w:hAnsi="宋体" w:cs="宋体"/>
          <w:b/>
          <w:color w:val="auto"/>
          <w:kern w:val="0"/>
          <w:sz w:val="24"/>
          <w:highlight w:val="none"/>
        </w:rPr>
      </w:pPr>
      <w:r>
        <w:rPr>
          <w:rFonts w:hint="eastAsia" w:ascii="宋体" w:hAnsi="宋体" w:cs="宋体"/>
          <w:b/>
          <w:color w:val="auto"/>
          <w:kern w:val="0"/>
          <w:sz w:val="24"/>
          <w:highlight w:val="none"/>
        </w:rPr>
        <w:t>3</w:t>
      </w:r>
      <w:r>
        <w:rPr>
          <w:rFonts w:hint="eastAsia" w:ascii="宋体" w:hAnsi="宋体" w:cs="宋体"/>
          <w:color w:val="auto"/>
          <w:sz w:val="24"/>
          <w:highlight w:val="none"/>
        </w:rPr>
        <w:t>.</w:t>
      </w:r>
      <w:r>
        <w:rPr>
          <w:rFonts w:hint="eastAsia" w:ascii="宋体" w:hAnsi="宋体" w:cs="宋体"/>
          <w:b/>
          <w:color w:val="auto"/>
          <w:kern w:val="0"/>
          <w:sz w:val="24"/>
          <w:highlight w:val="none"/>
        </w:rPr>
        <w:t>评标小组</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评标小组将根据招标采购项目的特点确定。其成员由技术、经济等方面专家和采购人代表5人及以上单数组成。评标小组对投标文件进行审查、质疑、评估和比较。</w:t>
      </w:r>
    </w:p>
    <w:p>
      <w:pPr>
        <w:shd w:val="clear"/>
        <w:snapToGrid w:val="0"/>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4</w:t>
      </w:r>
      <w:r>
        <w:rPr>
          <w:rFonts w:hint="eastAsia" w:ascii="宋体" w:hAnsi="宋体" w:cs="宋体"/>
          <w:color w:val="auto"/>
          <w:sz w:val="24"/>
          <w:highlight w:val="none"/>
        </w:rPr>
        <w:t>.</w:t>
      </w:r>
      <w:r>
        <w:rPr>
          <w:rFonts w:hint="eastAsia" w:ascii="宋体" w:hAnsi="宋体" w:cs="宋体"/>
          <w:b/>
          <w:color w:val="auto"/>
          <w:sz w:val="24"/>
          <w:highlight w:val="none"/>
        </w:rPr>
        <w:t>评标原则</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4.1评标小组将遵循客观、公正、审慎的原则，严格遵守评标工作纪律。</w:t>
      </w:r>
    </w:p>
    <w:p>
      <w:pPr>
        <w:shd w:val="clear"/>
        <w:snapToGrid w:val="0"/>
        <w:spacing w:line="360" w:lineRule="auto"/>
        <w:ind w:firstLine="480"/>
        <w:rPr>
          <w:rFonts w:ascii="宋体" w:hAnsi="宋体" w:cs="宋体"/>
          <w:bCs/>
          <w:color w:val="auto"/>
          <w:sz w:val="24"/>
          <w:highlight w:val="none"/>
        </w:rPr>
      </w:pPr>
      <w:r>
        <w:rPr>
          <w:rFonts w:hint="eastAsia" w:ascii="宋体" w:hAnsi="宋体" w:cs="宋体"/>
          <w:color w:val="auto"/>
          <w:sz w:val="24"/>
          <w:highlight w:val="none"/>
        </w:rPr>
        <w:t>4.2</w:t>
      </w:r>
      <w:r>
        <w:rPr>
          <w:rFonts w:hint="eastAsia" w:ascii="宋体" w:hAnsi="宋体" w:cs="宋体"/>
          <w:bCs/>
          <w:color w:val="auto"/>
          <w:sz w:val="24"/>
          <w:highlight w:val="none"/>
        </w:rPr>
        <w:t>先评技术标，再评商务标。</w:t>
      </w:r>
    </w:p>
    <w:p>
      <w:pPr>
        <w:shd w:val="clear"/>
        <w:snapToGrid w:val="0"/>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4.3</w:t>
      </w:r>
      <w:r>
        <w:rPr>
          <w:rFonts w:hint="eastAsia" w:ascii="宋体" w:hAnsi="宋体" w:cs="宋体"/>
          <w:color w:val="auto"/>
          <w:sz w:val="24"/>
          <w:highlight w:val="none"/>
        </w:rPr>
        <w:t>客观公正对待所有投标人，对所有投标评审均采用相同的程序和标准。评标的依据为采购文件和投标文件。</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4.4有利于提高投资效益，节约建设资金。</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4.5在评标过程中，出现异常或特殊情况时，由评标小组集体讨论决定。</w:t>
      </w:r>
    </w:p>
    <w:p>
      <w:pPr>
        <w:pStyle w:val="13"/>
        <w:shd w:val="clear"/>
        <w:snapToGrid w:val="0"/>
        <w:spacing w:line="360" w:lineRule="auto"/>
        <w:ind w:firstLine="482" w:firstLineChars="200"/>
        <w:rPr>
          <w:rFonts w:hAnsi="宋体" w:cs="宋体"/>
          <w:color w:val="auto"/>
          <w:sz w:val="28"/>
          <w:highlight w:val="none"/>
        </w:rPr>
      </w:pPr>
      <w:r>
        <w:rPr>
          <w:rFonts w:hint="eastAsia" w:hAnsi="宋体" w:cs="宋体"/>
          <w:b/>
          <w:color w:val="auto"/>
          <w:sz w:val="24"/>
          <w:highlight w:val="none"/>
        </w:rPr>
        <w:t>5</w:t>
      </w:r>
      <w:r>
        <w:rPr>
          <w:rFonts w:hint="eastAsia" w:hAnsi="宋体" w:cs="宋体"/>
          <w:color w:val="auto"/>
          <w:sz w:val="24"/>
          <w:szCs w:val="24"/>
          <w:highlight w:val="none"/>
        </w:rPr>
        <w:t>.</w:t>
      </w:r>
      <w:r>
        <w:rPr>
          <w:rFonts w:hint="eastAsia" w:hAnsi="宋体" w:cs="宋体"/>
          <w:b/>
          <w:color w:val="auto"/>
          <w:sz w:val="24"/>
          <w:highlight w:val="none"/>
        </w:rPr>
        <w:t>评标过程的保密</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0"/>
          <w:highlight w:val="none"/>
        </w:rPr>
        <w:t>5.1</w:t>
      </w:r>
      <w:r>
        <w:rPr>
          <w:rFonts w:hint="eastAsia" w:ascii="宋体" w:hAnsi="宋体" w:cs="宋体"/>
          <w:color w:val="auto"/>
          <w:sz w:val="24"/>
          <w:highlight w:val="none"/>
        </w:rPr>
        <w:t>开标后，直至授予中标人合同为止，凡属于对投标文件的审查、澄清、评价和比较等有关的资料以及中标候选人的推荐情况等与评标有关的任何情况均严格保密。</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0"/>
          <w:highlight w:val="none"/>
        </w:rPr>
        <w:t>5.2</w:t>
      </w:r>
      <w:r>
        <w:rPr>
          <w:rFonts w:hint="eastAsia" w:ascii="宋体" w:hAnsi="宋体" w:cs="宋体"/>
          <w:color w:val="auto"/>
          <w:sz w:val="24"/>
          <w:highlight w:val="none"/>
        </w:rPr>
        <w:t>在投标文件的评审和比较、中标候选人推荐以及授予合同的过程中，投标人向采购人和评标小组施加影响的任何行为，都将会导致其投标被拒绝。</w:t>
      </w:r>
    </w:p>
    <w:p>
      <w:pPr>
        <w:pStyle w:val="13"/>
        <w:shd w:val="clear"/>
        <w:snapToGrid w:val="0"/>
        <w:spacing w:line="360" w:lineRule="auto"/>
        <w:ind w:firstLine="480" w:firstLineChars="200"/>
        <w:rPr>
          <w:rFonts w:hAnsi="宋体" w:cs="宋体"/>
          <w:color w:val="auto"/>
          <w:sz w:val="24"/>
          <w:highlight w:val="none"/>
        </w:rPr>
      </w:pPr>
      <w:r>
        <w:rPr>
          <w:rFonts w:hint="eastAsia" w:hAnsi="宋体" w:cs="宋体"/>
          <w:color w:val="auto"/>
          <w:sz w:val="24"/>
          <w:szCs w:val="20"/>
          <w:highlight w:val="none"/>
        </w:rPr>
        <w:t>5.3</w:t>
      </w:r>
      <w:r>
        <w:rPr>
          <w:rFonts w:hint="eastAsia" w:hAnsi="宋体" w:cs="宋体"/>
          <w:color w:val="auto"/>
          <w:sz w:val="24"/>
          <w:highlight w:val="none"/>
        </w:rPr>
        <w:t>中标人确认后，采购人不对未中标人就评标过程以及未能中标原因作出任何解释。未中标人不得向评标小组人员或其他有关人员索问评标过程的全部情况。</w:t>
      </w:r>
    </w:p>
    <w:p>
      <w:pPr>
        <w:shd w:val="clear"/>
        <w:snapToGrid w:val="0"/>
        <w:spacing w:line="360" w:lineRule="auto"/>
        <w:ind w:firstLine="480" w:firstLineChars="200"/>
        <w:rPr>
          <w:rFonts w:ascii="宋体" w:hAnsi="宋体" w:cs="宋体"/>
          <w:color w:val="auto"/>
          <w:spacing w:val="-4"/>
          <w:sz w:val="24"/>
          <w:highlight w:val="none"/>
        </w:rPr>
      </w:pPr>
      <w:r>
        <w:rPr>
          <w:rFonts w:hint="eastAsia" w:ascii="宋体" w:hAnsi="宋体" w:cs="宋体"/>
          <w:color w:val="auto"/>
          <w:sz w:val="24"/>
          <w:highlight w:val="none"/>
        </w:rPr>
        <w:t>5.4</w:t>
      </w:r>
      <w:r>
        <w:rPr>
          <w:rFonts w:hint="eastAsia" w:ascii="宋体" w:hAnsi="宋体" w:cs="宋体"/>
          <w:color w:val="auto"/>
          <w:spacing w:val="-4"/>
          <w:sz w:val="24"/>
          <w:highlight w:val="none"/>
        </w:rPr>
        <w:t>为保证定标的公正性，在评标过程中，评标成员不得与投标人私人交换意见。在招标工作结束后，凡与评标情况有接触的任何人不得也不应将评标情况扩散出评标成员之外。</w:t>
      </w:r>
    </w:p>
    <w:p>
      <w:pPr>
        <w:pStyle w:val="13"/>
        <w:shd w:val="clear"/>
        <w:tabs>
          <w:tab w:val="left" w:pos="0"/>
        </w:tabs>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5.5评标小组不向落标方解释落标原因，不退还投标文件。</w:t>
      </w:r>
    </w:p>
    <w:p>
      <w:pPr>
        <w:shd w:val="clear"/>
        <w:adjustRightInd w:val="0"/>
        <w:snapToGrid w:val="0"/>
        <w:spacing w:line="360" w:lineRule="auto"/>
        <w:ind w:firstLine="472" w:firstLineChars="196"/>
        <w:rPr>
          <w:rFonts w:ascii="宋体" w:hAnsi="宋体" w:cs="宋体"/>
          <w:b/>
          <w:color w:val="auto"/>
          <w:sz w:val="24"/>
          <w:highlight w:val="none"/>
        </w:rPr>
      </w:pPr>
      <w:bookmarkStart w:id="103" w:name="_Toc7399"/>
      <w:bookmarkStart w:id="104" w:name="_Toc263090376"/>
      <w:bookmarkStart w:id="105" w:name="_Toc274303254"/>
      <w:bookmarkStart w:id="106" w:name="_Toc226973003"/>
      <w:bookmarkStart w:id="107" w:name="_Toc24478"/>
      <w:bookmarkStart w:id="108" w:name="_Toc362250706"/>
      <w:bookmarkStart w:id="109" w:name="_Toc25811"/>
      <w:bookmarkStart w:id="110" w:name="_Toc261519848"/>
      <w:bookmarkStart w:id="111" w:name="_Toc362268017"/>
      <w:r>
        <w:rPr>
          <w:rFonts w:hint="eastAsia" w:ascii="宋体" w:hAnsi="宋体" w:cs="宋体"/>
          <w:b/>
          <w:color w:val="auto"/>
          <w:sz w:val="24"/>
          <w:highlight w:val="none"/>
        </w:rPr>
        <w:t>6.投标文件的澄清</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为有助于投标文件的审查、评价和比较，评标小组可以在“政采云”平台在线询标或其他有效形式要求对于投标文件中含义不明确、同类问题表述不一致或者有明显文字和计算错误的内容，评标委员会应当以书面形式要求投标人作出必要的澄清、说明或者补正，投标人应采用在线回复或其他有效形式在询标规定时间内进行澄清、说明或者补正（需盖电子签章或实体公章），但投标人的澄清、说明或者补正不得超出投标文件的范围或者改变投标文件的实质性内容。</w:t>
      </w:r>
    </w:p>
    <w:p>
      <w:pPr>
        <w:pStyle w:val="13"/>
        <w:shd w:val="clear"/>
        <w:tabs>
          <w:tab w:val="left" w:pos="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6.2如果投标方代表拒绝按评标小组要求在“政采云”平台作出在线回复且无其他有效回复方式的，评标小组可以对其作出无效标处理。</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b/>
          <w:color w:val="auto"/>
          <w:sz w:val="24"/>
          <w:highlight w:val="none"/>
        </w:rPr>
        <w:t>投标文件的初步评审</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7.1开标后，采购人应将投标文件提交评标小组进行初步评审，初步评审内容为：</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7.1.1是否出现第五章规定的内容；</w:t>
      </w:r>
    </w:p>
    <w:p>
      <w:pPr>
        <w:shd w:val="clear"/>
        <w:snapToGrid w:val="0"/>
        <w:spacing w:line="360" w:lineRule="auto"/>
        <w:ind w:firstLine="480" w:firstLineChars="200"/>
        <w:rPr>
          <w:rFonts w:ascii="宋体" w:hAnsi="宋体" w:cs="宋体"/>
          <w:color w:val="auto"/>
          <w:spacing w:val="-4"/>
          <w:sz w:val="24"/>
          <w:highlight w:val="none"/>
        </w:rPr>
      </w:pPr>
      <w:r>
        <w:rPr>
          <w:rFonts w:hint="eastAsia" w:ascii="宋体" w:hAnsi="宋体" w:cs="宋体"/>
          <w:color w:val="auto"/>
          <w:sz w:val="24"/>
          <w:highlight w:val="none"/>
        </w:rPr>
        <w:t>出现上述情形之一者，技术文件或商务文件初步评审不予通过，不列入商务标详细评审。</w:t>
      </w:r>
    </w:p>
    <w:p>
      <w:pPr>
        <w:shd w:val="clear"/>
        <w:tabs>
          <w:tab w:val="left" w:pos="1219"/>
        </w:tabs>
        <w:adjustRightInd w:val="0"/>
        <w:snapToGrid w:val="0"/>
        <w:spacing w:line="360" w:lineRule="auto"/>
        <w:ind w:left="-67" w:leftChars="-32" w:firstLine="590" w:firstLineChars="246"/>
        <w:rPr>
          <w:rFonts w:ascii="宋体" w:hAnsi="宋体" w:cs="宋体"/>
          <w:color w:val="auto"/>
          <w:sz w:val="24"/>
          <w:highlight w:val="none"/>
        </w:rPr>
      </w:pPr>
      <w:r>
        <w:rPr>
          <w:rFonts w:hint="eastAsia" w:ascii="宋体" w:hAnsi="宋体" w:cs="宋体"/>
          <w:color w:val="auto"/>
          <w:sz w:val="24"/>
          <w:highlight w:val="none"/>
        </w:rPr>
        <w:t>7.2评标时，评标小组将首先评定每份投标文件是否在实质上响应了采购文件的要求。所谓实质性响应，是指投标文件所提供的有关资格证明文件、技术要求、合同条款等要与采购文件要求的条款、条件和规格相符，并且没有重大偏差或保留，重大偏离或保留是指影响到采购文件规定的范围、内容和技术要求，或限制了采购人的权力和投标人的义务的规定。而纠正这些偏离将影响到其它提交实质性响应投标的投标人的公平竞争地位。</w:t>
      </w:r>
    </w:p>
    <w:p>
      <w:pPr>
        <w:shd w:val="clear"/>
        <w:adjustRightInd w:val="0"/>
        <w:snapToGrid w:val="0"/>
        <w:spacing w:line="360" w:lineRule="auto"/>
        <w:ind w:firstLine="573"/>
        <w:rPr>
          <w:rFonts w:ascii="宋体" w:hAnsi="宋体" w:cs="宋体"/>
          <w:color w:val="auto"/>
          <w:sz w:val="24"/>
          <w:highlight w:val="none"/>
        </w:rPr>
      </w:pPr>
      <w:r>
        <w:rPr>
          <w:rFonts w:hint="eastAsia" w:ascii="宋体" w:hAnsi="宋体" w:cs="宋体"/>
          <w:color w:val="auto"/>
          <w:sz w:val="24"/>
          <w:highlight w:val="none"/>
        </w:rPr>
        <w:t>7.3如果投标文件实质上不响应采购文件的各项要求，评标小组将予以拒绝，并且不允许投标人通过修改或撤销其不符合要求的差异或保留，使之成为具有响应性的投标。</w:t>
      </w:r>
    </w:p>
    <w:p>
      <w:pPr>
        <w:pStyle w:val="13"/>
        <w:shd w:val="clear"/>
        <w:snapToGrid w:val="0"/>
        <w:spacing w:line="360" w:lineRule="auto"/>
        <w:ind w:firstLine="482"/>
        <w:rPr>
          <w:rFonts w:hAnsi="宋体" w:cs="宋体"/>
          <w:b/>
          <w:color w:val="auto"/>
          <w:sz w:val="24"/>
          <w:highlight w:val="none"/>
        </w:rPr>
      </w:pPr>
      <w:r>
        <w:rPr>
          <w:rFonts w:hint="eastAsia" w:hAnsi="宋体" w:cs="宋体"/>
          <w:b/>
          <w:color w:val="auto"/>
          <w:sz w:val="24"/>
          <w:highlight w:val="none"/>
        </w:rPr>
        <w:t>8.投标文件计算错误的修正</w:t>
      </w:r>
    </w:p>
    <w:p>
      <w:pPr>
        <w:pStyle w:val="13"/>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8.1评标小组将对确定为实质上响应采购文件要求的投标文件进行校核，看其是否有计算或表达上的错误，修正错误的原则如下：</w:t>
      </w:r>
    </w:p>
    <w:p>
      <w:pPr>
        <w:pStyle w:val="13"/>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8.1.1投标文件中开标一览表（报价表）内容与投标文件中相应内容不一致的，以开标一览表（报价表）为准；</w:t>
      </w:r>
    </w:p>
    <w:p>
      <w:pPr>
        <w:pStyle w:val="13"/>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8.1.2投标文件的大写金额和小写金额不一致的，以大写金额为准；</w:t>
      </w:r>
    </w:p>
    <w:p>
      <w:pPr>
        <w:pStyle w:val="13"/>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 xml:space="preserve">8.1.3单价金额小数点或者百分比有明显错位的，以开标一览表的总价为准，并修改单价； </w:t>
      </w:r>
    </w:p>
    <w:p>
      <w:pPr>
        <w:pStyle w:val="13"/>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8.1.4 总价金额与按单价汇总金额不一致的，以单价汇总金额计算结果为准；</w:t>
      </w:r>
    </w:p>
    <w:p>
      <w:pPr>
        <w:pStyle w:val="13"/>
        <w:shd w:val="clear"/>
        <w:snapToGrid w:val="0"/>
        <w:spacing w:line="360" w:lineRule="auto"/>
        <w:ind w:firstLine="482"/>
        <w:rPr>
          <w:rFonts w:hAnsi="宋体" w:cs="宋体"/>
          <w:b/>
          <w:color w:val="auto"/>
          <w:sz w:val="24"/>
          <w:highlight w:val="none"/>
          <w:u w:val="single"/>
        </w:rPr>
      </w:pPr>
      <w:r>
        <w:rPr>
          <w:rFonts w:hint="eastAsia" w:hAnsi="宋体" w:cs="宋体"/>
          <w:color w:val="auto"/>
          <w:sz w:val="24"/>
          <w:highlight w:val="none"/>
        </w:rPr>
        <w:t>8.1.5</w:t>
      </w:r>
      <w:r>
        <w:rPr>
          <w:rFonts w:hint="eastAsia" w:hAnsi="宋体" w:cs="宋体"/>
          <w:b/>
          <w:color w:val="auto"/>
          <w:sz w:val="24"/>
          <w:highlight w:val="none"/>
          <w:u w:val="single"/>
        </w:rPr>
        <w:t>客户端填写的报价与以pdf格式上传文件中的报价不一致的，应以Pdf格式上传文件中的报价为准。</w:t>
      </w:r>
    </w:p>
    <w:p>
      <w:pPr>
        <w:pStyle w:val="13"/>
        <w:shd w:val="clear"/>
        <w:snapToGrid w:val="0"/>
        <w:spacing w:line="360" w:lineRule="auto"/>
        <w:ind w:firstLine="482"/>
        <w:rPr>
          <w:rFonts w:hAnsi="宋体" w:cs="宋体"/>
          <w:color w:val="auto"/>
          <w:sz w:val="24"/>
          <w:highlight w:val="none"/>
        </w:rPr>
      </w:pPr>
      <w:r>
        <w:rPr>
          <w:rFonts w:hint="eastAsia" w:hAnsi="宋体" w:cs="宋体"/>
          <w:color w:val="auto"/>
          <w:sz w:val="24"/>
          <w:highlight w:val="none"/>
        </w:rPr>
        <w:t>8.2同时出现两种以上不一致的，按照前款规定的顺序修正，投标人同意后，修正后的投标报价对投标人起约束作用。如果投标人不接受修正后的报价，则其投标将被拒绝，并不影响评标工作。</w:t>
      </w:r>
    </w:p>
    <w:p>
      <w:pPr>
        <w:shd w:val="clear"/>
        <w:adjustRightInd w:val="0"/>
        <w:snapToGrid w:val="0"/>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9.投标文件的评审、比较和否决</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9.1评标小组将按照本须知规定，仅对在实质上响应采购文件要求的投标文件进行评估和比较。</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9.2在评审过程后，评标小组可以以书面形式要求投标人就投标文件中含义不明确的内容进行书面说明并提供相关材料。</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9.3评标小组在作出任何一项无效标决定前，都应当严格遵循以下程序：</w:t>
      </w:r>
    </w:p>
    <w:p>
      <w:pPr>
        <w:shd w:val="clear"/>
        <w:adjustRightInd w:val="0"/>
        <w:snapToGrid w:val="0"/>
        <w:spacing w:line="360" w:lineRule="auto"/>
        <w:ind w:firstLine="472" w:firstLineChars="196"/>
        <w:rPr>
          <w:rFonts w:ascii="宋体" w:hAnsi="宋体" w:cs="宋体"/>
          <w:b/>
          <w:color w:val="auto"/>
          <w:sz w:val="24"/>
          <w:highlight w:val="none"/>
          <w:shd w:val="pct10" w:color="auto" w:fill="FFFFFF"/>
        </w:rPr>
      </w:pPr>
      <w:r>
        <w:rPr>
          <w:rFonts w:hint="eastAsia" w:ascii="宋体" w:hAnsi="宋体" w:cs="宋体"/>
          <w:b/>
          <w:color w:val="auto"/>
          <w:sz w:val="24"/>
          <w:highlight w:val="none"/>
          <w:shd w:val="pct10" w:color="auto" w:fill="FFFFFF"/>
        </w:rPr>
        <w:t>9.3.1要求当事投标人作相应的答辩；</w:t>
      </w:r>
    </w:p>
    <w:p>
      <w:pPr>
        <w:shd w:val="clear"/>
        <w:adjustRightInd w:val="0"/>
        <w:snapToGrid w:val="0"/>
        <w:spacing w:line="360" w:lineRule="auto"/>
        <w:ind w:firstLine="472" w:firstLineChars="196"/>
        <w:rPr>
          <w:rFonts w:ascii="宋体" w:hAnsi="宋体" w:cs="宋体"/>
          <w:b/>
          <w:color w:val="auto"/>
          <w:sz w:val="24"/>
          <w:highlight w:val="none"/>
          <w:shd w:val="pct10" w:color="auto" w:fill="FFFFFF"/>
        </w:rPr>
      </w:pPr>
      <w:r>
        <w:rPr>
          <w:rFonts w:hint="eastAsia" w:ascii="宋体" w:hAnsi="宋体" w:cs="宋体"/>
          <w:b/>
          <w:color w:val="auto"/>
          <w:sz w:val="24"/>
          <w:highlight w:val="none"/>
          <w:shd w:val="pct10" w:color="auto" w:fill="FFFFFF"/>
        </w:rPr>
        <w:t>9.3.2在充分讨论的基础上集体表决；</w:t>
      </w:r>
    </w:p>
    <w:p>
      <w:pPr>
        <w:shd w:val="clear"/>
        <w:adjustRightInd w:val="0"/>
        <w:snapToGrid w:val="0"/>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shd w:val="pct10" w:color="auto" w:fill="FFFFFF"/>
        </w:rPr>
        <w:t>9.3.3若表决通过无效标决定，告知当事投标人，并在评标报告中详细载明无效标理由、依据、答辩的情况和集体表决的情况（同意无效标和不同意无效标的评标小组成员均应当注明）。</w:t>
      </w:r>
    </w:p>
    <w:p>
      <w:pPr>
        <w:pStyle w:val="13"/>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9.4评标小组经评审，认为所有投标都不符合采购文件要求时，可以否决所有投标。所有投标被否决后，采购人应当依法重新招标。</w:t>
      </w:r>
    </w:p>
    <w:p>
      <w:pPr>
        <w:pStyle w:val="13"/>
        <w:shd w:val="clear"/>
        <w:snapToGrid w:val="0"/>
        <w:spacing w:line="360" w:lineRule="auto"/>
        <w:ind w:firstLine="482"/>
        <w:rPr>
          <w:rFonts w:hAnsi="宋体" w:cs="宋体"/>
          <w:b/>
          <w:color w:val="auto"/>
          <w:spacing w:val="-4"/>
          <w:sz w:val="24"/>
          <w:highlight w:val="none"/>
        </w:rPr>
      </w:pPr>
      <w:r>
        <w:rPr>
          <w:rFonts w:hint="eastAsia" w:hAnsi="宋体" w:cs="宋体"/>
          <w:b/>
          <w:color w:val="auto"/>
          <w:spacing w:val="-4"/>
          <w:sz w:val="24"/>
          <w:highlight w:val="none"/>
        </w:rPr>
        <w:t>10</w:t>
      </w:r>
      <w:r>
        <w:rPr>
          <w:rFonts w:hint="eastAsia" w:hAnsi="宋体" w:cs="宋体"/>
          <w:b/>
          <w:color w:val="auto"/>
          <w:kern w:val="0"/>
          <w:sz w:val="24"/>
          <w:highlight w:val="none"/>
        </w:rPr>
        <w:t>.</w:t>
      </w:r>
      <w:r>
        <w:rPr>
          <w:rFonts w:hint="eastAsia" w:hAnsi="宋体" w:cs="宋体"/>
          <w:b/>
          <w:color w:val="auto"/>
          <w:spacing w:val="-4"/>
          <w:sz w:val="24"/>
          <w:highlight w:val="none"/>
        </w:rPr>
        <w:t>评标办法</w:t>
      </w:r>
    </w:p>
    <w:p>
      <w:pPr>
        <w:shd w:val="clea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10.1本项目采用综合评分法（具体评标办法见后）。</w:t>
      </w:r>
    </w:p>
    <w:p>
      <w:pPr>
        <w:pStyle w:val="6"/>
        <w:shd w:val="clear"/>
        <w:snapToGrid w:val="0"/>
        <w:spacing w:before="120" w:after="120" w:line="360" w:lineRule="auto"/>
        <w:rPr>
          <w:rFonts w:ascii="宋体" w:hAnsi="宋体" w:eastAsia="宋体" w:cs="宋体"/>
          <w:color w:val="auto"/>
          <w:sz w:val="28"/>
          <w:szCs w:val="28"/>
          <w:highlight w:val="none"/>
        </w:rPr>
      </w:pPr>
      <w:bookmarkStart w:id="112" w:name="_Toc14061"/>
      <w:bookmarkStart w:id="113" w:name="_Toc7779"/>
      <w:bookmarkStart w:id="114" w:name="_Toc9919"/>
      <w:r>
        <w:rPr>
          <w:rFonts w:hint="eastAsia" w:ascii="宋体" w:hAnsi="宋体" w:eastAsia="宋体" w:cs="宋体"/>
          <w:color w:val="auto"/>
          <w:sz w:val="28"/>
          <w:szCs w:val="28"/>
          <w:highlight w:val="none"/>
        </w:rPr>
        <w:t>三、定标</w:t>
      </w:r>
      <w:bookmarkEnd w:id="103"/>
      <w:bookmarkEnd w:id="104"/>
      <w:bookmarkEnd w:id="105"/>
      <w:bookmarkEnd w:id="106"/>
      <w:bookmarkEnd w:id="107"/>
      <w:bookmarkEnd w:id="108"/>
      <w:bookmarkEnd w:id="109"/>
      <w:bookmarkEnd w:id="110"/>
      <w:bookmarkEnd w:id="112"/>
      <w:bookmarkEnd w:id="113"/>
      <w:bookmarkEnd w:id="114"/>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11.1采购人根据评标小组的书面评审报告和推荐的中标候选人直接委托评标小组确定中标人。</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11.2评标结束后，中标结果公告1个工作日，发布中标结果公告的媒体为：义乌市公共资源交易服务平台、浙江政府采购网。</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发放中标通知书前，采购人将通过中国裁判文书网查询中标（成交）人自2019年01月01日至中标公告期结束前行贿犯罪记录（以网站页面显示内容为准）情况。经查实，中标人有前述行贿犯罪记录的，取消其中标资格，采购人依法重新组织采购。</w:t>
      </w:r>
    </w:p>
    <w:p>
      <w:pPr>
        <w:pStyle w:val="13"/>
        <w:shd w:val="clear"/>
        <w:tabs>
          <w:tab w:val="left" w:pos="900"/>
        </w:tabs>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11.4</w:t>
      </w:r>
      <w:r>
        <w:rPr>
          <w:rFonts w:hint="eastAsia" w:hAnsi="宋体" w:cs="宋体"/>
          <w:color w:val="auto"/>
          <w:sz w:val="24"/>
          <w:highlight w:val="none"/>
        </w:rPr>
        <w:t>采购人和其委托的采购代理机构</w:t>
      </w:r>
      <w:r>
        <w:rPr>
          <w:rFonts w:hint="eastAsia" w:hAnsi="宋体" w:cs="宋体"/>
          <w:color w:val="auto"/>
          <w:sz w:val="24"/>
          <w:szCs w:val="24"/>
          <w:highlight w:val="none"/>
        </w:rPr>
        <w:t>共同签发《中标通知书》。《中标通知书》一经发出即发生法律效力。</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12</w:t>
      </w:r>
      <w:r>
        <w:rPr>
          <w:rFonts w:hint="eastAsia" w:hAnsi="宋体" w:cs="宋体"/>
          <w:color w:val="auto"/>
          <w:sz w:val="24"/>
          <w:szCs w:val="24"/>
          <w:highlight w:val="none"/>
        </w:rPr>
        <w:t>.</w:t>
      </w:r>
      <w:r>
        <w:rPr>
          <w:rFonts w:hint="eastAsia" w:hAnsi="宋体" w:cs="宋体"/>
          <w:color w:val="auto"/>
          <w:sz w:val="24"/>
          <w:highlight w:val="none"/>
        </w:rPr>
        <w:t>质疑与投诉</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12.1采购人拒绝接受已获取采购文件但未递交投标文件的投标人的对评审结果的质疑。</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szCs w:val="24"/>
          <w:highlight w:val="none"/>
        </w:rPr>
        <w:t>12.2</w:t>
      </w:r>
      <w:r>
        <w:rPr>
          <w:rFonts w:hint="eastAsia" w:hAnsi="宋体" w:cs="宋体"/>
          <w:color w:val="auto"/>
          <w:sz w:val="24"/>
          <w:highlight w:val="none"/>
        </w:rPr>
        <w:t>开标过程中，投标人对开标有异议的，应当在“政采云”平台上及时提出，评标小组应对异常情况制作相关记录。</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szCs w:val="24"/>
          <w:highlight w:val="none"/>
        </w:rPr>
        <w:t>12.3开评标结束后，投标人或其他利害关系人对依法必须进行招标的项目的中标结果有异议的，应</w:t>
      </w:r>
      <w:r>
        <w:rPr>
          <w:rFonts w:hint="eastAsia" w:hAnsi="宋体" w:cs="宋体"/>
          <w:color w:val="auto"/>
          <w:sz w:val="24"/>
          <w:highlight w:val="none"/>
        </w:rPr>
        <w:t>首先依据招投标相关法律法规在规定时间内以书面形式向招标人和招标代理机构提出质疑。地址：义乌市雪峰西路968号科技大楼A区6楼602，联系电话：18157970625。</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12.4投标人在法定质疑期内应一次性提出针对同一采购程序环节的质疑。</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12.5投标人提出质疑应当提交质疑函和必要的证明材料。质疑函应当包括下列内容：</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（一）投标人的姓名或者名称、地址、邮编、联系人及联系电话；</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（二）质疑项目的名称、编号；</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（三）具体、明确的质疑事项和与质疑事项相关的请求；</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（四）事实依据；</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（五）必要的法律依据；</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（六）提出质疑的日期。</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质疑函应当由法定代表人、主要负责人，或者其授权代表签字或者盖章，并加盖公章。授权代表签字的应当提交供应商签署的授权委托书，其授权委托书应当载明代理人的姓名或者名称、代理事项、具体权限、期限和相关事项。</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12.6质疑属于以下情况之一的，将不予受理：</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12.6.1 质疑事项不具体，且未提供有效线索，难以查证；</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12.6.2 已超过采购文件规定质疑提出期限的事项；</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12.6.3 投诉事项已作出处理决定，并且投诉人没有提出新的证据；</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12.6.4 质疑投诉的事项已经进入行政复议或者行政诉讼程序的；投诉事项应先提出质疑而没有提出质疑的；</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12.6.5不符合《关于印发&lt;浙江省政府采购供应商质疑处理办法&gt;的通知》（浙财采监〔2012〕18号）等有关规定的质疑。</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12.7质疑人可以采取直接递交、传真或邮寄方式提交质疑函（一式三份以上）。以其他方式提出的质疑，被质疑人可不予接受、答复。</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采取邮寄方式送达质疑函的，以邮件注明的收件人实际收到邮件之日作为收到质疑的日期。</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采取传真方式送达质疑函的，质疑人应当取得被质疑人确认收到传真的意见，并及时将质疑函原件送达被质疑人。被质疑人可以实际收到原件之日作为收到质疑的日期。</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12.8若不接受招标人答复的，应当自答复期满后15个工作日内以不接受招标方答复的事项向招投标监管部门提出投诉。投诉书需按规定递交，具体要求须列明申诉理由，投诉单位名称，联系人，联系电话，手机，传真等，并加盖投标人公章。义乌市财政局（0579-89915058）。投诉属于以下情况之一的，将不予受理：</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12.8.1 投诉人不是所投诉项目的参与者，或者与投诉项目无任何利害关系。</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12.8.2 投诉事项不具体，且未提供有效线索，难以查证。</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12.8.3 投诉人为法人或者其他组织，其投诉书未经法定代表人或者主要负责人签字并加盖公章的。</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12.8.4 已超过采购文件规定投诉提出期限的事项。 </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12.8.5 投诉事项已作出处理决定，并且投诉人没有提出新的证据；</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12.8.6 投诉的事项已经进入行政复议或者行政诉讼程序的；投诉事项应先提出质疑而没有提出质疑的。</w:t>
      </w:r>
    </w:p>
    <w:p>
      <w:pPr>
        <w:shd w:val="clea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12.8.7不符合《政府采购质疑和投诉办法》（财政部令第94号）等有关规定的投诉。</w:t>
      </w:r>
    </w:p>
    <w:p>
      <w:pPr>
        <w:pStyle w:val="13"/>
        <w:shd w:val="clear"/>
        <w:tabs>
          <w:tab w:val="left" w:pos="900"/>
        </w:tabs>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13.合同签订</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13.1中标人应在投标有效标期内且自接到《中标通知书》后三十天内到采购人处与采购人签订合同。</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13.2采购文件、中标人的投标文件、评标过程中投标人在询标时作出的承诺及其澄清文件等，均为签订合同的依据。</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13.3中标人不遵守采购文件和投标文件的要约及承诺而擅自修改报价，或在接到《中标通知书》后借故拖延、拒签合同而造成超过规定时间的，将其按严重失信行为上报信用办记入政府采购严重失信行为记录名单，同时取消该投标人的中标资格。在此情况下，采购人和采购代理机构重新招标，对受影响的投标人不承担任何责任。</w:t>
      </w:r>
    </w:p>
    <w:p>
      <w:pPr>
        <w:pStyle w:val="25"/>
        <w:shd w:val="clear"/>
        <w:snapToGrid w:val="0"/>
        <w:rPr>
          <w:rFonts w:hint="eastAsia" w:ascii="宋体" w:hAnsi="宋体" w:cs="宋体"/>
          <w:color w:val="auto"/>
          <w:highlight w:val="none"/>
        </w:rPr>
      </w:pPr>
      <w:r>
        <w:rPr>
          <w:rFonts w:hint="eastAsia" w:ascii="宋体" w:hAnsi="宋体" w:cs="宋体"/>
          <w:color w:val="auto"/>
          <w:highlight w:val="none"/>
        </w:rPr>
        <w:t>13.4采购人与采购代理机构在中标结果公告的同时将中标结果通知所有未中标</w:t>
      </w:r>
      <w:r>
        <w:rPr>
          <w:rFonts w:hint="eastAsia" w:ascii="宋体" w:hAnsi="宋体" w:cs="宋体"/>
          <w:color w:val="auto"/>
          <w:highlight w:val="none"/>
          <w:lang w:val="en-US"/>
        </w:rPr>
        <w:t>单位</w:t>
      </w:r>
      <w:r>
        <w:rPr>
          <w:rFonts w:hint="eastAsia" w:ascii="宋体" w:hAnsi="宋体" w:cs="宋体"/>
          <w:color w:val="auto"/>
          <w:highlight w:val="none"/>
        </w:rPr>
        <w:t>，采购人和采购代理机构对评标结果不负责解释。</w:t>
      </w:r>
    </w:p>
    <w:p>
      <w:pPr>
        <w:shd w:val="clear"/>
        <w:rPr>
          <w:rFonts w:hint="eastAsia" w:ascii="宋体" w:hAnsi="宋体" w:cs="宋体"/>
          <w:color w:val="auto"/>
          <w:highlight w:val="none"/>
        </w:rPr>
      </w:pPr>
      <w:r>
        <w:rPr>
          <w:rFonts w:hint="eastAsia" w:ascii="宋体" w:hAnsi="宋体" w:cs="宋体"/>
          <w:color w:val="auto"/>
          <w:highlight w:val="none"/>
        </w:rPr>
        <w:br w:type="page"/>
      </w:r>
    </w:p>
    <w:p>
      <w:pPr>
        <w:pStyle w:val="11"/>
        <w:shd w:val="clear"/>
        <w:rPr>
          <w:color w:val="auto"/>
          <w:highlight w:val="none"/>
        </w:rPr>
      </w:pPr>
    </w:p>
    <w:p>
      <w:pPr>
        <w:pStyle w:val="5"/>
        <w:numPr>
          <w:ilvl w:val="0"/>
          <w:numId w:val="2"/>
        </w:numPr>
        <w:shd w:val="clear"/>
        <w:snapToGrid/>
        <w:spacing w:before="0" w:after="0" w:line="360" w:lineRule="auto"/>
        <w:jc w:val="center"/>
        <w:rPr>
          <w:rFonts w:ascii="宋体" w:hAnsi="宋体" w:cs="宋体"/>
          <w:color w:val="auto"/>
          <w:sz w:val="36"/>
          <w:highlight w:val="none"/>
        </w:rPr>
      </w:pPr>
      <w:bookmarkStart w:id="115" w:name="_Toc6748"/>
      <w:bookmarkStart w:id="116" w:name="_Toc13499"/>
      <w:r>
        <w:rPr>
          <w:rFonts w:hint="eastAsia" w:ascii="宋体" w:hAnsi="宋体" w:cs="宋体"/>
          <w:color w:val="auto"/>
          <w:sz w:val="36"/>
          <w:highlight w:val="none"/>
        </w:rPr>
        <w:t xml:space="preserve"> </w:t>
      </w:r>
      <w:bookmarkStart w:id="117" w:name="_Toc19770"/>
      <w:r>
        <w:rPr>
          <w:rFonts w:hint="eastAsia" w:ascii="宋体" w:hAnsi="宋体" w:cs="宋体"/>
          <w:color w:val="auto"/>
          <w:sz w:val="36"/>
          <w:highlight w:val="none"/>
        </w:rPr>
        <w:t>投标文件的有效性</w:t>
      </w:r>
      <w:bookmarkEnd w:id="111"/>
      <w:bookmarkEnd w:id="115"/>
      <w:bookmarkEnd w:id="116"/>
      <w:bookmarkEnd w:id="117"/>
    </w:p>
    <w:p>
      <w:pPr>
        <w:shd w:val="clea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1.有下列情形之一的，采购人将不予受理投标文件：</w:t>
      </w:r>
    </w:p>
    <w:p>
      <w:pPr>
        <w:shd w:val="clear"/>
        <w:tabs>
          <w:tab w:val="left" w:pos="5325"/>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1.1逾期上传电子档投标文件至“政采云”平台的。</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1.2投标文件只有技术标或者只有商务标。</w:t>
      </w:r>
    </w:p>
    <w:p>
      <w:pPr>
        <w:shd w:val="clea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2.投标文件评审出现下列情形之一的，由评标小组审核后按无效投标文件处理：</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2.1投标文件未按采购文件要求加盖单位公章；或无法定代表人或法定代表人授权的全权代表签字或盖章的；或授权委托书无法定代表人签字或盖章的；或授权委托书未加盖单位公章的；</w:t>
      </w:r>
    </w:p>
    <w:p>
      <w:pPr>
        <w:pStyle w:val="25"/>
        <w:shd w:val="clear"/>
        <w:snapToGrid w:val="0"/>
        <w:rPr>
          <w:rFonts w:ascii="宋体" w:hAnsi="宋体" w:cs="宋体"/>
          <w:color w:val="auto"/>
          <w:highlight w:val="none"/>
        </w:rPr>
      </w:pPr>
      <w:r>
        <w:rPr>
          <w:rFonts w:hint="eastAsia" w:ascii="宋体" w:hAnsi="宋体" w:cs="宋体"/>
          <w:color w:val="auto"/>
          <w:highlight w:val="none"/>
        </w:rPr>
        <w:t>2.2</w:t>
      </w:r>
      <w:r>
        <w:rPr>
          <w:rFonts w:hint="eastAsia" w:ascii="宋体" w:hAnsi="宋体" w:cs="宋体"/>
          <w:color w:val="auto"/>
          <w:kern w:val="0"/>
          <w:highlight w:val="none"/>
        </w:rPr>
        <w:t>未按采购文件规定提供相关文件，如资格说明、身份资料等；</w:t>
      </w:r>
    </w:p>
    <w:p>
      <w:pPr>
        <w:shd w:val="clea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2.3不具备采购文件中规定的资格要求的；</w:t>
      </w:r>
    </w:p>
    <w:p>
      <w:pPr>
        <w:shd w:val="clea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2.4投标文件不符合采购文件规定，未按规定格式填写的；或投标文件内容不全或关键字迹模糊、无法辨认的；</w:t>
      </w:r>
    </w:p>
    <w:p>
      <w:pPr>
        <w:shd w:val="clea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2.5借用或冒用他人名义或证件、涂改文件、伪造或编造投标文件的；</w:t>
      </w:r>
    </w:p>
    <w:p>
      <w:pPr>
        <w:shd w:val="clea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2.6投标中不同投标单位的投标文件出现雷同或相似（包括部分雷同或相似），对所有雷同或相似投标人按无效标处理，采购人将保留进一步追究责任的权利；</w:t>
      </w:r>
    </w:p>
    <w:p>
      <w:pPr>
        <w:shd w:val="clea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2.7对本采购文件中打★号的条款未完全响应的；</w:t>
      </w:r>
    </w:p>
    <w:p>
      <w:pPr>
        <w:shd w:val="clea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2.8投标文件附有采购人不能接受的条件；</w:t>
      </w:r>
    </w:p>
    <w:p>
      <w:pPr>
        <w:shd w:val="clea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2.9技术标中体现或包含商务报价；</w:t>
      </w:r>
    </w:p>
    <w:p>
      <w:pPr>
        <w:shd w:val="clea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2.10若发现有意串标或提供虚假材料者（含中标后查实的）；</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2.11评标小组认为技术或商务与采购文件偏离的部分过多，或在实质上不响应采购文件的</w:t>
      </w:r>
      <w:r>
        <w:rPr>
          <w:rFonts w:hint="eastAsia" w:ascii="宋体" w:hAnsi="宋体" w:cs="宋体"/>
          <w:color w:val="auto"/>
          <w:sz w:val="24"/>
          <w:highlight w:val="none"/>
        </w:rPr>
        <w:t>；</w:t>
      </w:r>
    </w:p>
    <w:p>
      <w:pPr>
        <w:shd w:val="clear"/>
        <w:adjustRightInd w:val="0"/>
        <w:snapToGrid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2.12未提交《义乌市政府采购项目投标承诺书》</w:t>
      </w:r>
      <w:r>
        <w:rPr>
          <w:rFonts w:hint="eastAsia" w:ascii="宋体" w:hAnsi="宋体" w:cs="宋体"/>
          <w:b/>
          <w:bCs/>
          <w:color w:val="auto"/>
          <w:sz w:val="24"/>
          <w:highlight w:val="none"/>
        </w:rPr>
        <w:t>；</w:t>
      </w:r>
    </w:p>
    <w:p>
      <w:pPr>
        <w:shd w:val="clea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kern w:val="0"/>
          <w:sz w:val="24"/>
          <w:highlight w:val="none"/>
        </w:rPr>
        <w:t>2.13投标人不以自己真正身份参加竞标，以挂户或以他人名义参与竞标的；投标人不具备独立法人资格或不具备独立承担民事责任能力的（如分公司、办事处等）；投标人参加本次政府采购活动前三年内在经营活动中有重大违法记录的；投标人有下列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w:t>
      </w:r>
      <w:r>
        <w:rPr>
          <w:rFonts w:hint="eastAsia" w:ascii="宋体" w:hAnsi="宋体" w:cs="宋体"/>
          <w:color w:val="auto"/>
          <w:sz w:val="24"/>
          <w:highlight w:val="none"/>
        </w:rPr>
        <w:t>或被“信用中国”（www.creditchina.gov.cn）、中国政府采购网（www.ccgp.gov.cn）列入失信被执行人、重大税收违法案件当事人名单、政府采购严重违法失信行为记录名单的；或义乌市综合信用报告评级为D、E类</w:t>
      </w:r>
      <w:r>
        <w:rPr>
          <w:rFonts w:hint="eastAsia" w:ascii="宋体" w:hAnsi="宋体" w:cs="宋体"/>
          <w:color w:val="auto"/>
          <w:kern w:val="0"/>
          <w:sz w:val="24"/>
          <w:highlight w:val="none"/>
        </w:rPr>
        <w:t>；</w:t>
      </w:r>
    </w:p>
    <w:p>
      <w:pPr>
        <w:pStyle w:val="25"/>
        <w:shd w:val="clear"/>
        <w:snapToGrid w:val="0"/>
        <w:rPr>
          <w:rFonts w:ascii="宋体" w:hAnsi="宋体" w:cs="宋体"/>
          <w:color w:val="auto"/>
          <w:highlight w:val="none"/>
          <w:lang w:val="en-US"/>
        </w:rPr>
      </w:pPr>
      <w:r>
        <w:rPr>
          <w:rFonts w:hint="eastAsia" w:ascii="宋体" w:hAnsi="宋体" w:cs="宋体"/>
          <w:color w:val="auto"/>
          <w:highlight w:val="none"/>
          <w:lang w:val="en-US"/>
        </w:rPr>
        <w:t>2.14未按采购文件要求提供电子解密文件的；</w:t>
      </w:r>
    </w:p>
    <w:p>
      <w:pPr>
        <w:shd w:val="clear"/>
        <w:adjustRightInd w:val="0"/>
        <w:snapToGrid w:val="0"/>
        <w:spacing w:line="360" w:lineRule="auto"/>
        <w:ind w:firstLine="480" w:firstLineChars="200"/>
        <w:rPr>
          <w:rFonts w:ascii="宋体" w:hAnsi="宋体" w:cs="宋体"/>
          <w:b/>
          <w:bCs/>
          <w:color w:val="auto"/>
          <w:kern w:val="0"/>
          <w:sz w:val="24"/>
          <w:highlight w:val="none"/>
        </w:rPr>
      </w:pPr>
      <w:r>
        <w:rPr>
          <w:rFonts w:hint="eastAsia" w:ascii="宋体" w:hAnsi="宋体" w:cs="宋体"/>
          <w:color w:val="auto"/>
          <w:kern w:val="0"/>
          <w:sz w:val="24"/>
          <w:highlight w:val="none"/>
        </w:rPr>
        <w:t>2.15评标小组要求投标人对其投标文件作出</w:t>
      </w:r>
      <w:r>
        <w:rPr>
          <w:rFonts w:hint="eastAsia" w:ascii="宋体" w:hAnsi="宋体" w:cs="宋体"/>
          <w:b/>
          <w:bCs/>
          <w:color w:val="auto"/>
          <w:kern w:val="0"/>
          <w:sz w:val="24"/>
          <w:highlight w:val="none"/>
        </w:rPr>
        <w:t>澄清或说明</w:t>
      </w:r>
      <w:r>
        <w:rPr>
          <w:rFonts w:hint="eastAsia" w:ascii="宋体" w:hAnsi="宋体" w:cs="宋体"/>
          <w:color w:val="auto"/>
          <w:kern w:val="0"/>
          <w:sz w:val="24"/>
          <w:highlight w:val="none"/>
        </w:rPr>
        <w:t>，如果投标人代表拒绝</w:t>
      </w:r>
      <w:r>
        <w:rPr>
          <w:rFonts w:hint="eastAsia" w:ascii="宋体" w:hAnsi="宋体" w:cs="宋体"/>
          <w:b/>
          <w:bCs/>
          <w:color w:val="auto"/>
          <w:kern w:val="0"/>
          <w:sz w:val="24"/>
          <w:highlight w:val="none"/>
        </w:rPr>
        <w:t>澄清或说明的，或者拒绝签字的；</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2.16投标报价低于企业成本价者或未填报企业成本价者； </w:t>
      </w:r>
    </w:p>
    <w:p>
      <w:pPr>
        <w:shd w:val="clea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2.17投标报价高于预算价（最高限价）；</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2.18</w:t>
      </w:r>
      <w:r>
        <w:rPr>
          <w:rFonts w:hint="eastAsia" w:ascii="宋体" w:hAnsi="宋体" w:cs="宋体"/>
          <w:color w:val="auto"/>
          <w:spacing w:val="-4"/>
          <w:sz w:val="24"/>
          <w:highlight w:val="none"/>
        </w:rPr>
        <w:t>评标小组一致</w:t>
      </w:r>
      <w:r>
        <w:rPr>
          <w:rFonts w:hint="eastAsia" w:ascii="宋体" w:hAnsi="宋体" w:cs="宋体"/>
          <w:color w:val="auto"/>
          <w:sz w:val="24"/>
          <w:highlight w:val="none"/>
        </w:rPr>
        <w:t>认为投标人的报价明显低于其他通过符合性审查投标人的报价，有可能影响项目质量或者不能诚信履约，</w:t>
      </w:r>
      <w:r>
        <w:rPr>
          <w:rFonts w:hint="eastAsia" w:ascii="宋体" w:hAnsi="宋体" w:cs="宋体"/>
          <w:color w:val="auto"/>
          <w:kern w:val="0"/>
          <w:sz w:val="24"/>
          <w:highlight w:val="none"/>
        </w:rPr>
        <w:t>要求其通过“政采云”平台在规定的时间内提供CA签章的材料；</w:t>
      </w:r>
      <w:r>
        <w:rPr>
          <w:rFonts w:hint="eastAsia" w:ascii="宋体" w:hAnsi="宋体" w:cs="宋体"/>
          <w:color w:val="auto"/>
          <w:sz w:val="24"/>
          <w:highlight w:val="none"/>
        </w:rPr>
        <w:t>投标人不能证明其报价合理性的，</w:t>
      </w:r>
      <w:r>
        <w:rPr>
          <w:rFonts w:hint="eastAsia" w:ascii="宋体" w:hAnsi="宋体" w:cs="宋体"/>
          <w:color w:val="auto"/>
          <w:spacing w:val="-4"/>
          <w:sz w:val="24"/>
          <w:highlight w:val="none"/>
        </w:rPr>
        <w:t>评标小组</w:t>
      </w:r>
      <w:r>
        <w:rPr>
          <w:rFonts w:hint="eastAsia" w:ascii="宋体" w:hAnsi="宋体" w:cs="宋体"/>
          <w:color w:val="auto"/>
          <w:sz w:val="24"/>
          <w:highlight w:val="none"/>
        </w:rPr>
        <w:t>应当将其作为无效投标处理；</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2.19投标人递交两份或多份内容不同的投标文件，或在同一份投标文件中对同一招标项目报有两个或多个报价，且未声明哪一个有效，但按采购文件规定提交备选投标方案的除外；</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2.20单位负责人为同一人或者存在直接控股、管理关系的不同投标人，参加同一合同项下的政府采购活动的，均按无效标处理；</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2.21除单一来源采购项目外，为本采购项目提供整体设计、规范编制或者项目管理、监理、检测等服务的投标人，参加本采购项目的采购活动的；</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2.22按采购文件规定对投标人的投标报价进行修正后其不确认的；</w:t>
      </w:r>
    </w:p>
    <w:p>
      <w:pPr>
        <w:shd w:val="clea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2.23其它不符合《政府采购法》或省、市有关政府采购法律、法规要求的</w:t>
      </w:r>
      <w:r>
        <w:rPr>
          <w:rFonts w:hint="eastAsia" w:ascii="宋体" w:hAnsi="宋体" w:cs="宋体"/>
          <w:b/>
          <w:color w:val="auto"/>
          <w:sz w:val="24"/>
          <w:highlight w:val="none"/>
        </w:rPr>
        <w:t>。</w:t>
      </w:r>
    </w:p>
    <w:p>
      <w:pPr>
        <w:shd w:val="clea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3.有下列情形之一的，视为投标人串通投标，其投标无效：</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3.1不同投标人的投标文件由同一单位或者个人编制；</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3.2不同投标人委托同一单位或者个人办理投标事宜；</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3.3不同投标人的投标文件载明的项目管理成员或者联系人员为同一人；</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3.4不同投标人的投标文件异常一致或者投标报价呈规律性差异；</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3.5不同投标人的投标文件相互混装；</w:t>
      </w:r>
    </w:p>
    <w:p>
      <w:pPr>
        <w:pStyle w:val="25"/>
        <w:shd w:val="clear"/>
        <w:snapToGrid w:val="0"/>
        <w:ind w:firstLine="482"/>
        <w:rPr>
          <w:rFonts w:ascii="宋体" w:hAnsi="宋体" w:cs="宋体"/>
          <w:color w:val="auto"/>
          <w:highlight w:val="none"/>
        </w:rPr>
      </w:pPr>
      <w:r>
        <w:rPr>
          <w:rFonts w:hint="eastAsia" w:ascii="宋体" w:hAnsi="宋体" w:cs="宋体"/>
          <w:b/>
          <w:color w:val="auto"/>
          <w:kern w:val="0"/>
          <w:highlight w:val="none"/>
        </w:rPr>
        <w:t>4</w:t>
      </w:r>
      <w:r>
        <w:rPr>
          <w:rFonts w:hint="eastAsia" w:ascii="宋体" w:hAnsi="宋体" w:cs="宋体"/>
          <w:b/>
          <w:color w:val="auto"/>
          <w:kern w:val="0"/>
          <w:highlight w:val="none"/>
          <w:lang w:val="en-US"/>
        </w:rPr>
        <w:t>.</w:t>
      </w:r>
      <w:r>
        <w:rPr>
          <w:rFonts w:hint="eastAsia" w:ascii="宋体" w:hAnsi="宋体" w:cs="宋体"/>
          <w:b/>
          <w:color w:val="auto"/>
          <w:kern w:val="0"/>
          <w:highlight w:val="none"/>
        </w:rPr>
        <w:t>其他违反法律法规的的情况。</w:t>
      </w:r>
    </w:p>
    <w:p>
      <w:pPr>
        <w:pStyle w:val="25"/>
        <w:shd w:val="clear"/>
        <w:snapToGrid w:val="0"/>
        <w:ind w:firstLine="482"/>
        <w:rPr>
          <w:rFonts w:hint="eastAsia" w:ascii="宋体" w:hAnsi="宋体" w:cs="宋体"/>
          <w:b/>
          <w:color w:val="auto"/>
          <w:kern w:val="0"/>
          <w:highlight w:val="none"/>
        </w:rPr>
      </w:pPr>
      <w:r>
        <w:rPr>
          <w:rFonts w:hint="eastAsia" w:ascii="宋体" w:hAnsi="宋体" w:cs="宋体"/>
          <w:b/>
          <w:color w:val="auto"/>
          <w:kern w:val="0"/>
          <w:highlight w:val="none"/>
          <w:lang w:val="en-US"/>
        </w:rPr>
        <w:t>5.</w:t>
      </w:r>
      <w:r>
        <w:rPr>
          <w:rFonts w:hint="eastAsia" w:ascii="宋体" w:hAnsi="宋体" w:cs="宋体"/>
          <w:b/>
          <w:color w:val="auto"/>
          <w:kern w:val="0"/>
          <w:highlight w:val="none"/>
        </w:rPr>
        <w:t>评标过程中，非上述所罗列的情况，不得以无效标处理。</w:t>
      </w:r>
      <w:bookmarkStart w:id="118" w:name="_Toc274303257"/>
      <w:bookmarkStart w:id="119" w:name="_Toc317082908"/>
      <w:bookmarkStart w:id="120" w:name="_Toc385504603"/>
    </w:p>
    <w:p>
      <w:pPr>
        <w:shd w:val="clear"/>
        <w:rPr>
          <w:rFonts w:hint="eastAsia" w:ascii="宋体" w:hAnsi="宋体" w:cs="宋体"/>
          <w:b/>
          <w:color w:val="auto"/>
          <w:kern w:val="0"/>
          <w:highlight w:val="none"/>
        </w:rPr>
      </w:pPr>
      <w:r>
        <w:rPr>
          <w:rFonts w:hint="eastAsia" w:ascii="宋体" w:hAnsi="宋体" w:cs="宋体"/>
          <w:b/>
          <w:color w:val="auto"/>
          <w:kern w:val="0"/>
          <w:highlight w:val="none"/>
        </w:rPr>
        <w:br w:type="page"/>
      </w:r>
    </w:p>
    <w:p>
      <w:pPr>
        <w:pStyle w:val="11"/>
        <w:shd w:val="clear"/>
        <w:rPr>
          <w:color w:val="auto"/>
          <w:highlight w:val="none"/>
        </w:rPr>
      </w:pPr>
    </w:p>
    <w:p>
      <w:pPr>
        <w:pStyle w:val="5"/>
        <w:numPr>
          <w:ilvl w:val="0"/>
          <w:numId w:val="2"/>
        </w:numPr>
        <w:shd w:val="clear"/>
        <w:snapToGrid/>
        <w:spacing w:before="0" w:after="0" w:line="360" w:lineRule="auto"/>
        <w:jc w:val="center"/>
        <w:rPr>
          <w:rFonts w:hint="eastAsia" w:ascii="宋体" w:hAnsi="宋体" w:cs="宋体"/>
          <w:color w:val="auto"/>
          <w:sz w:val="36"/>
          <w:highlight w:val="none"/>
        </w:rPr>
      </w:pPr>
      <w:bookmarkStart w:id="121" w:name="_Toc7721"/>
      <w:r>
        <w:rPr>
          <w:rFonts w:hint="eastAsia" w:ascii="宋体" w:hAnsi="宋体" w:cs="宋体"/>
          <w:color w:val="auto"/>
          <w:sz w:val="36"/>
          <w:highlight w:val="none"/>
        </w:rPr>
        <w:t>评标办法</w:t>
      </w:r>
      <w:bookmarkEnd w:id="121"/>
    </w:p>
    <w:p>
      <w:pPr>
        <w:pStyle w:val="13"/>
        <w:shd w:val="clear"/>
        <w:snapToGrid w:val="0"/>
        <w:spacing w:line="360" w:lineRule="auto"/>
        <w:ind w:firstLine="480" w:firstLineChars="200"/>
        <w:rPr>
          <w:rFonts w:hAnsi="宋体" w:cs="宋体"/>
          <w:color w:val="auto"/>
          <w:sz w:val="24"/>
          <w:highlight w:val="none"/>
        </w:rPr>
      </w:pPr>
    </w:p>
    <w:p>
      <w:pPr>
        <w:pStyle w:val="13"/>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根据《中华人民共和国政府采购法》和《政府采购货物和服务招标投标管理办法》等的有关规定，为更好地做到公开、公平、公正，结合本次招标的特点，特制定本评标办法。</w:t>
      </w:r>
    </w:p>
    <w:p>
      <w:pPr>
        <w:pStyle w:val="13"/>
        <w:shd w:val="clear"/>
        <w:snapToGrid w:val="0"/>
        <w:spacing w:line="360" w:lineRule="auto"/>
        <w:ind w:firstLine="482"/>
        <w:rPr>
          <w:rFonts w:hAnsi="宋体" w:cs="宋体"/>
          <w:b/>
          <w:bCs/>
          <w:color w:val="auto"/>
          <w:sz w:val="24"/>
          <w:highlight w:val="none"/>
        </w:rPr>
      </w:pPr>
      <w:r>
        <w:rPr>
          <w:rFonts w:hint="eastAsia" w:hAnsi="宋体" w:cs="宋体"/>
          <w:b/>
          <w:color w:val="auto"/>
          <w:spacing w:val="-4"/>
          <w:sz w:val="24"/>
          <w:highlight w:val="none"/>
        </w:rPr>
        <w:t>一、</w:t>
      </w:r>
      <w:r>
        <w:rPr>
          <w:rFonts w:hint="eastAsia" w:hAnsi="宋体" w:cs="宋体"/>
          <w:b/>
          <w:bCs/>
          <w:color w:val="auto"/>
          <w:sz w:val="24"/>
          <w:highlight w:val="none"/>
        </w:rPr>
        <w:t>评审程序</w:t>
      </w:r>
    </w:p>
    <w:p>
      <w:pPr>
        <w:pStyle w:val="13"/>
        <w:shd w:val="clear"/>
        <w:snapToGrid w:val="0"/>
        <w:spacing w:line="360" w:lineRule="auto"/>
        <w:ind w:firstLine="480"/>
        <w:rPr>
          <w:rFonts w:hAnsi="宋体" w:cs="宋体"/>
          <w:color w:val="auto"/>
          <w:sz w:val="24"/>
          <w:highlight w:val="none"/>
        </w:rPr>
      </w:pPr>
      <w:r>
        <w:rPr>
          <w:rFonts w:hint="eastAsia" w:hAnsi="宋体" w:cs="宋体"/>
          <w:color w:val="auto"/>
          <w:sz w:val="24"/>
          <w:highlight w:val="none"/>
        </w:rPr>
        <w:t>1.对投标人资格文件进行符合性审查，确定资格审查通过单位；</w:t>
      </w:r>
    </w:p>
    <w:p>
      <w:pPr>
        <w:pStyle w:val="13"/>
        <w:shd w:val="clear"/>
        <w:snapToGrid w:val="0"/>
        <w:spacing w:line="360" w:lineRule="auto"/>
        <w:ind w:firstLine="480"/>
        <w:rPr>
          <w:rFonts w:hAnsi="宋体" w:cs="宋体"/>
          <w:color w:val="auto"/>
          <w:sz w:val="24"/>
          <w:highlight w:val="none"/>
        </w:rPr>
      </w:pPr>
      <w:r>
        <w:rPr>
          <w:rFonts w:hint="eastAsia" w:hAnsi="宋体" w:cs="宋体"/>
          <w:color w:val="auto"/>
          <w:sz w:val="24"/>
          <w:highlight w:val="none"/>
        </w:rPr>
        <w:t>2</w:t>
      </w:r>
      <w:r>
        <w:rPr>
          <w:rFonts w:hint="eastAsia" w:hAnsi="宋体" w:cs="宋体"/>
          <w:color w:val="auto"/>
          <w:sz w:val="24"/>
          <w:szCs w:val="24"/>
          <w:highlight w:val="none"/>
        </w:rPr>
        <w:t>.</w:t>
      </w:r>
      <w:r>
        <w:rPr>
          <w:rFonts w:hint="eastAsia" w:hAnsi="宋体" w:cs="宋体"/>
          <w:color w:val="auto"/>
          <w:sz w:val="24"/>
          <w:highlight w:val="none"/>
        </w:rPr>
        <w:t>对资格审查通过的投标人的技术文件进行符合性审查，确定技术标有效单位；</w:t>
      </w:r>
    </w:p>
    <w:p>
      <w:pPr>
        <w:pStyle w:val="13"/>
        <w:shd w:val="clear"/>
        <w:snapToGrid w:val="0"/>
        <w:spacing w:line="360" w:lineRule="auto"/>
        <w:ind w:firstLine="480"/>
        <w:rPr>
          <w:rFonts w:hAnsi="宋体" w:cs="宋体"/>
          <w:color w:val="auto"/>
          <w:sz w:val="24"/>
          <w:highlight w:val="none"/>
        </w:rPr>
      </w:pPr>
      <w:r>
        <w:rPr>
          <w:rFonts w:hint="eastAsia" w:hAnsi="宋体" w:cs="宋体"/>
          <w:color w:val="auto"/>
          <w:sz w:val="24"/>
          <w:highlight w:val="none"/>
        </w:rPr>
        <w:t>2</w:t>
      </w:r>
      <w:r>
        <w:rPr>
          <w:rFonts w:hint="eastAsia" w:hAnsi="宋体" w:cs="宋体"/>
          <w:color w:val="auto"/>
          <w:sz w:val="24"/>
          <w:szCs w:val="24"/>
          <w:highlight w:val="none"/>
        </w:rPr>
        <w:t>.</w:t>
      </w:r>
      <w:r>
        <w:rPr>
          <w:rFonts w:hint="eastAsia" w:hAnsi="宋体" w:cs="宋体"/>
          <w:color w:val="auto"/>
          <w:sz w:val="24"/>
          <w:highlight w:val="none"/>
        </w:rPr>
        <w:t>对技术标有效的投标单位的技术标进行评分，计算出各技术标有效的投标单位的技术得分；</w:t>
      </w:r>
    </w:p>
    <w:p>
      <w:pPr>
        <w:pStyle w:val="13"/>
        <w:shd w:val="clear"/>
        <w:snapToGrid w:val="0"/>
        <w:spacing w:line="360" w:lineRule="auto"/>
        <w:ind w:firstLine="480"/>
        <w:rPr>
          <w:rFonts w:hAnsi="宋体" w:cs="宋体"/>
          <w:color w:val="auto"/>
          <w:sz w:val="24"/>
          <w:highlight w:val="none"/>
        </w:rPr>
      </w:pPr>
      <w:r>
        <w:rPr>
          <w:rFonts w:hint="eastAsia" w:hAnsi="宋体" w:cs="宋体"/>
          <w:color w:val="auto"/>
          <w:sz w:val="24"/>
          <w:highlight w:val="none"/>
        </w:rPr>
        <w:t>3</w:t>
      </w:r>
      <w:r>
        <w:rPr>
          <w:rFonts w:hint="eastAsia" w:hAnsi="宋体" w:cs="宋体"/>
          <w:color w:val="auto"/>
          <w:sz w:val="24"/>
          <w:szCs w:val="24"/>
          <w:highlight w:val="none"/>
        </w:rPr>
        <w:t>.</w:t>
      </w:r>
      <w:r>
        <w:rPr>
          <w:rFonts w:hint="eastAsia" w:hAnsi="宋体" w:cs="宋体"/>
          <w:color w:val="auto"/>
          <w:sz w:val="24"/>
          <w:highlight w:val="none"/>
        </w:rPr>
        <w:t>对商务文件进行符合性审查；</w:t>
      </w:r>
    </w:p>
    <w:p>
      <w:pPr>
        <w:pStyle w:val="13"/>
        <w:shd w:val="clear"/>
        <w:snapToGrid w:val="0"/>
        <w:spacing w:line="360" w:lineRule="auto"/>
        <w:ind w:firstLine="480"/>
        <w:rPr>
          <w:rFonts w:hAnsi="宋体" w:cs="宋体"/>
          <w:color w:val="auto"/>
          <w:sz w:val="24"/>
          <w:highlight w:val="none"/>
        </w:rPr>
      </w:pPr>
      <w:r>
        <w:rPr>
          <w:rFonts w:hint="eastAsia" w:hAnsi="宋体" w:cs="宋体"/>
          <w:color w:val="auto"/>
          <w:sz w:val="24"/>
          <w:highlight w:val="none"/>
        </w:rPr>
        <w:t>4</w:t>
      </w:r>
      <w:r>
        <w:rPr>
          <w:rFonts w:hint="eastAsia" w:hAnsi="宋体" w:cs="宋体"/>
          <w:color w:val="auto"/>
          <w:sz w:val="24"/>
          <w:szCs w:val="24"/>
          <w:highlight w:val="none"/>
        </w:rPr>
        <w:t>.</w:t>
      </w:r>
      <w:r>
        <w:rPr>
          <w:rFonts w:hint="eastAsia" w:hAnsi="宋体" w:cs="宋体"/>
          <w:color w:val="auto"/>
          <w:sz w:val="24"/>
          <w:highlight w:val="none"/>
        </w:rPr>
        <w:t>对商务标符合性审查通过的商务标进行详细评审；</w:t>
      </w:r>
    </w:p>
    <w:p>
      <w:pPr>
        <w:pStyle w:val="13"/>
        <w:shd w:val="clear"/>
        <w:snapToGrid w:val="0"/>
        <w:spacing w:line="360" w:lineRule="auto"/>
        <w:ind w:firstLine="480"/>
        <w:rPr>
          <w:rFonts w:hAnsi="宋体" w:cs="宋体"/>
          <w:color w:val="auto"/>
          <w:sz w:val="24"/>
          <w:highlight w:val="none"/>
        </w:rPr>
      </w:pPr>
      <w:r>
        <w:rPr>
          <w:rFonts w:hint="eastAsia" w:hAnsi="宋体" w:cs="宋体"/>
          <w:color w:val="auto"/>
          <w:sz w:val="24"/>
          <w:highlight w:val="none"/>
        </w:rPr>
        <w:t>5</w:t>
      </w:r>
      <w:r>
        <w:rPr>
          <w:rFonts w:hint="eastAsia" w:hAnsi="宋体" w:cs="宋体"/>
          <w:color w:val="auto"/>
          <w:sz w:val="24"/>
          <w:szCs w:val="24"/>
          <w:highlight w:val="none"/>
        </w:rPr>
        <w:t>.</w:t>
      </w:r>
      <w:r>
        <w:rPr>
          <w:rFonts w:hint="eastAsia" w:hAnsi="宋体" w:cs="宋体"/>
          <w:color w:val="auto"/>
          <w:sz w:val="24"/>
          <w:highlight w:val="none"/>
        </w:rPr>
        <w:t>推荐中标候选人、出具评标报告。</w:t>
      </w:r>
    </w:p>
    <w:p>
      <w:pPr>
        <w:pStyle w:val="13"/>
        <w:shd w:val="clear"/>
        <w:snapToGrid w:val="0"/>
        <w:spacing w:line="360" w:lineRule="auto"/>
        <w:ind w:firstLine="480" w:firstLineChars="200"/>
        <w:rPr>
          <w:rFonts w:hAnsi="宋体" w:cs="宋体"/>
          <w:b/>
          <w:color w:val="auto"/>
          <w:spacing w:val="-4"/>
          <w:sz w:val="24"/>
          <w:highlight w:val="none"/>
        </w:rPr>
      </w:pPr>
      <w:r>
        <w:rPr>
          <w:rFonts w:hint="eastAsia" w:hAnsi="宋体" w:cs="宋体"/>
          <w:color w:val="auto"/>
          <w:sz w:val="24"/>
          <w:highlight w:val="none"/>
        </w:rPr>
        <w:t>评标小组以开标、评标、询标情况为基本依据，</w:t>
      </w:r>
      <w:r>
        <w:rPr>
          <w:rFonts w:hint="eastAsia" w:hAnsi="宋体" w:cs="宋体"/>
          <w:color w:val="auto"/>
          <w:spacing w:val="-4"/>
          <w:sz w:val="24"/>
          <w:highlight w:val="none"/>
        </w:rPr>
        <w:t>对有效的投标文件分技术部分、商务报价二个部分进行分析、评议，</w:t>
      </w:r>
      <w:r>
        <w:rPr>
          <w:rFonts w:hint="eastAsia" w:hAnsi="宋体" w:cs="宋体"/>
          <w:b/>
          <w:color w:val="auto"/>
          <w:spacing w:val="-4"/>
          <w:sz w:val="24"/>
          <w:highlight w:val="none"/>
        </w:rPr>
        <w:t>先评技术标，后评商务标。</w:t>
      </w:r>
    </w:p>
    <w:p>
      <w:pPr>
        <w:pStyle w:val="13"/>
        <w:shd w:val="clear"/>
        <w:snapToGrid w:val="0"/>
        <w:spacing w:line="360" w:lineRule="auto"/>
        <w:ind w:firstLine="482"/>
        <w:rPr>
          <w:rFonts w:hAnsi="宋体" w:cs="宋体"/>
          <w:b/>
          <w:color w:val="auto"/>
          <w:spacing w:val="-4"/>
          <w:sz w:val="24"/>
          <w:highlight w:val="none"/>
        </w:rPr>
      </w:pPr>
      <w:r>
        <w:rPr>
          <w:rFonts w:hint="eastAsia" w:hAnsi="宋体" w:cs="宋体"/>
          <w:b/>
          <w:color w:val="auto"/>
          <w:spacing w:val="-4"/>
          <w:sz w:val="24"/>
          <w:highlight w:val="none"/>
        </w:rPr>
        <w:t>二、评审办法</w:t>
      </w:r>
    </w:p>
    <w:bookmarkEnd w:id="118"/>
    <w:p>
      <w:pPr>
        <w:pStyle w:val="13"/>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评标小组用综合评分法对招标项目作出评标结论。评审内容如下：</w:t>
      </w:r>
    </w:p>
    <w:p>
      <w:pPr>
        <w:pStyle w:val="13"/>
        <w:shd w:val="clear"/>
        <w:snapToGrid w:val="0"/>
        <w:spacing w:line="360" w:lineRule="auto"/>
        <w:ind w:firstLine="354" w:firstLineChars="147"/>
        <w:rPr>
          <w:rFonts w:hAnsi="宋体" w:cs="宋体"/>
          <w:b/>
          <w:bCs/>
          <w:color w:val="auto"/>
          <w:sz w:val="24"/>
          <w:szCs w:val="24"/>
          <w:highlight w:val="none"/>
        </w:rPr>
      </w:pPr>
      <w:r>
        <w:rPr>
          <w:rFonts w:hint="eastAsia" w:hAnsi="宋体" w:cs="宋体"/>
          <w:b/>
          <w:bCs/>
          <w:color w:val="auto"/>
          <w:sz w:val="24"/>
          <w:szCs w:val="24"/>
          <w:highlight w:val="none"/>
        </w:rPr>
        <w:t>1.技术标评审，满分</w:t>
      </w:r>
      <w:r>
        <w:rPr>
          <w:rFonts w:hint="eastAsia" w:hAnsi="宋体" w:cs="宋体"/>
          <w:b/>
          <w:bCs/>
          <w:color w:val="auto"/>
          <w:sz w:val="24"/>
          <w:szCs w:val="24"/>
          <w:highlight w:val="none"/>
          <w:lang w:val="en-US" w:eastAsia="zh-CN"/>
        </w:rPr>
        <w:t>8</w:t>
      </w:r>
      <w:r>
        <w:rPr>
          <w:rFonts w:hint="eastAsia" w:hAnsi="宋体" w:cs="宋体"/>
          <w:b/>
          <w:bCs/>
          <w:color w:val="auto"/>
          <w:sz w:val="24"/>
          <w:szCs w:val="24"/>
          <w:highlight w:val="none"/>
        </w:rPr>
        <w:t>0分</w:t>
      </w:r>
    </w:p>
    <w:bookmarkEnd w:id="119"/>
    <w:bookmarkEnd w:id="120"/>
    <w:tbl>
      <w:tblPr>
        <w:tblStyle w:val="22"/>
        <w:tblpPr w:leftFromText="180" w:rightFromText="180" w:vertAnchor="text" w:horzAnchor="page" w:tblpX="884" w:tblpY="428"/>
        <w:tblOverlap w:val="never"/>
        <w:tblW w:w="10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582"/>
        <w:gridCol w:w="6612"/>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8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8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评分项目</w:t>
            </w:r>
          </w:p>
        </w:tc>
        <w:tc>
          <w:tcPr>
            <w:tcW w:w="6612"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评分基本规则</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886" w:type="dxa"/>
            <w:vMerge w:val="restart"/>
            <w:tcBorders>
              <w:top w:val="single" w:color="auto" w:sz="4" w:space="0"/>
              <w:left w:val="single" w:color="auto" w:sz="4" w:space="0"/>
              <w:right w:val="single" w:color="auto" w:sz="4" w:space="0"/>
            </w:tcBorders>
            <w:vAlign w:val="center"/>
          </w:tcPr>
          <w:p>
            <w:pPr>
              <w:shd w:val="clear"/>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p>
        </w:tc>
        <w:tc>
          <w:tcPr>
            <w:tcW w:w="1582" w:type="dxa"/>
            <w:vMerge w:val="restart"/>
            <w:tcBorders>
              <w:top w:val="single" w:color="auto" w:sz="4" w:space="0"/>
              <w:left w:val="single" w:color="auto" w:sz="4" w:space="0"/>
              <w:right w:val="single" w:color="auto" w:sz="4" w:space="0"/>
            </w:tcBorders>
            <w:vAlign w:val="center"/>
          </w:tcPr>
          <w:p>
            <w:pPr>
              <w:shd w:val="clear"/>
              <w:jc w:val="center"/>
              <w:rPr>
                <w:rFonts w:hint="eastAsia"/>
                <w:color w:val="auto"/>
                <w:highlight w:val="none"/>
                <w:lang w:val="en-US" w:eastAsia="zh-CN"/>
              </w:rPr>
            </w:pPr>
            <w:r>
              <w:rPr>
                <w:rFonts w:hint="eastAsia"/>
                <w:color w:val="auto"/>
                <w:highlight w:val="none"/>
                <w:lang w:val="en-US" w:eastAsia="zh-CN"/>
              </w:rPr>
              <w:t>总体方案</w:t>
            </w:r>
          </w:p>
          <w:p>
            <w:pPr>
              <w:shd w:val="clear"/>
              <w:jc w:val="center"/>
              <w:rPr>
                <w:rFonts w:hint="default"/>
                <w:color w:val="auto"/>
                <w:highlight w:val="none"/>
                <w:lang w:val="en-US" w:eastAsia="zh-CN"/>
              </w:rPr>
            </w:pPr>
            <w:r>
              <w:rPr>
                <w:rFonts w:hint="eastAsia"/>
                <w:color w:val="auto"/>
                <w:highlight w:val="none"/>
                <w:lang w:val="en-US" w:eastAsia="zh-CN"/>
              </w:rPr>
              <w:t>(主观分)</w:t>
            </w:r>
          </w:p>
        </w:tc>
        <w:tc>
          <w:tcPr>
            <w:tcW w:w="6612" w:type="dxa"/>
            <w:tcBorders>
              <w:top w:val="single" w:color="auto" w:sz="4" w:space="0"/>
              <w:left w:val="single" w:color="auto" w:sz="4" w:space="0"/>
              <w:right w:val="single" w:color="auto" w:sz="4" w:space="0"/>
            </w:tcBorders>
            <w:vAlign w:val="center"/>
          </w:tcPr>
          <w:p>
            <w:pPr>
              <w:widowControl/>
              <w:shd w:val="clear"/>
              <w:rPr>
                <w:rFonts w:ascii="宋体" w:hAnsi="宋体" w:cs="宋体"/>
                <w:color w:val="auto"/>
                <w:kern w:val="0"/>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本项目</w:t>
            </w:r>
            <w:r>
              <w:rPr>
                <w:rFonts w:hint="eastAsia" w:ascii="宋体" w:hAnsi="宋体" w:cs="宋体"/>
                <w:color w:val="auto"/>
                <w:szCs w:val="21"/>
                <w:highlight w:val="none"/>
              </w:rPr>
              <w:t>的理解程度</w:t>
            </w:r>
            <w:r>
              <w:rPr>
                <w:rFonts w:hint="eastAsia" w:ascii="宋体" w:hAnsi="宋体" w:cs="宋体"/>
                <w:color w:val="auto"/>
                <w:szCs w:val="21"/>
                <w:highlight w:val="none"/>
                <w:lang w:val="en-US" w:eastAsia="zh-CN"/>
              </w:rPr>
              <w:t>的全面性、符合性等，进行</w:t>
            </w:r>
            <w:r>
              <w:rPr>
                <w:rFonts w:hint="eastAsia" w:ascii="宋体" w:hAnsi="宋体" w:cs="宋体"/>
                <w:color w:val="auto"/>
                <w:szCs w:val="21"/>
                <w:highlight w:val="none"/>
              </w:rPr>
              <w:t>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autoSpaceDE w:val="0"/>
              <w:jc w:val="center"/>
              <w:rPr>
                <w:rFonts w:ascii="宋体" w:hAnsi="宋体" w:cs="宋体"/>
                <w:color w:val="auto"/>
                <w:kern w:val="0"/>
                <w:szCs w:val="21"/>
                <w:highlight w:val="none"/>
              </w:rPr>
            </w:pPr>
            <w:r>
              <w:rPr>
                <w:rFonts w:hint="eastAsia" w:ascii="宋体" w:hAnsi="宋体" w:cs="宋体"/>
                <w:color w:val="auto"/>
                <w:szCs w:val="21"/>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886" w:type="dxa"/>
            <w:vMerge w:val="continue"/>
            <w:tcBorders>
              <w:left w:val="single" w:color="auto" w:sz="4" w:space="0"/>
              <w:right w:val="single" w:color="auto" w:sz="4" w:space="0"/>
            </w:tcBorders>
            <w:vAlign w:val="center"/>
          </w:tcPr>
          <w:p>
            <w:pPr>
              <w:shd w:val="clear"/>
              <w:spacing w:line="400" w:lineRule="exact"/>
              <w:jc w:val="center"/>
              <w:rPr>
                <w:rFonts w:hint="eastAsia" w:ascii="宋体" w:hAnsi="宋体" w:eastAsia="宋体" w:cs="宋体"/>
                <w:color w:val="auto"/>
                <w:kern w:val="0"/>
                <w:szCs w:val="21"/>
                <w:highlight w:val="none"/>
                <w:lang w:val="en-US" w:eastAsia="zh-CN"/>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CN"/>
              </w:rPr>
            </w:pPr>
          </w:p>
        </w:tc>
        <w:tc>
          <w:tcPr>
            <w:tcW w:w="6612" w:type="dxa"/>
            <w:tcBorders>
              <w:top w:val="single" w:color="auto" w:sz="4" w:space="0"/>
              <w:left w:val="single" w:color="auto" w:sz="4" w:space="0"/>
              <w:right w:val="single" w:color="auto" w:sz="4" w:space="0"/>
            </w:tcBorders>
            <w:vAlign w:val="center"/>
          </w:tcPr>
          <w:p>
            <w:pPr>
              <w:widowControl/>
              <w:shd w:val="clea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本项目</w:t>
            </w:r>
            <w:r>
              <w:rPr>
                <w:rFonts w:hint="eastAsia" w:ascii="宋体" w:hAnsi="宋体" w:cs="宋体"/>
                <w:color w:val="auto"/>
                <w:szCs w:val="21"/>
                <w:highlight w:val="none"/>
              </w:rPr>
              <w:t>的总体设计</w:t>
            </w:r>
            <w:r>
              <w:rPr>
                <w:rFonts w:hint="eastAsia" w:ascii="宋体" w:hAnsi="宋体" w:cs="宋体"/>
                <w:color w:val="auto"/>
                <w:szCs w:val="21"/>
                <w:highlight w:val="none"/>
                <w:lang w:val="en-US" w:eastAsia="zh-CN"/>
              </w:rPr>
              <w:t>情况的科学性、合理性、可行性等，进行打分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autoSpaceDE w:val="0"/>
              <w:jc w:val="center"/>
              <w:rPr>
                <w:rFonts w:hint="eastAsia" w:ascii="宋体" w:hAnsi="宋体" w:cs="宋体"/>
                <w:color w:val="auto"/>
                <w:szCs w:val="21"/>
                <w:highlight w:val="none"/>
              </w:rPr>
            </w:pPr>
            <w:r>
              <w:rPr>
                <w:rFonts w:hint="eastAsia" w:ascii="宋体" w:hAnsi="宋体" w:cs="宋体"/>
                <w:color w:val="auto"/>
                <w:szCs w:val="21"/>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86" w:type="dxa"/>
            <w:vMerge w:val="continue"/>
            <w:tcBorders>
              <w:left w:val="single" w:color="auto" w:sz="4" w:space="0"/>
              <w:right w:val="single" w:color="auto" w:sz="4" w:space="0"/>
            </w:tcBorders>
            <w:vAlign w:val="center"/>
          </w:tcPr>
          <w:p>
            <w:pPr>
              <w:shd w:val="clear"/>
              <w:spacing w:line="400" w:lineRule="exact"/>
              <w:jc w:val="center"/>
              <w:rPr>
                <w:rFonts w:hint="eastAsia" w:ascii="宋体" w:hAnsi="宋体" w:eastAsia="宋体" w:cs="宋体"/>
                <w:color w:val="auto"/>
                <w:kern w:val="0"/>
                <w:szCs w:val="21"/>
                <w:highlight w:val="none"/>
                <w:lang w:val="en-US" w:eastAsia="zh-CN"/>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CN"/>
              </w:rPr>
            </w:pPr>
          </w:p>
        </w:tc>
        <w:tc>
          <w:tcPr>
            <w:tcW w:w="6612" w:type="dxa"/>
            <w:tcBorders>
              <w:top w:val="single" w:color="auto" w:sz="4" w:space="0"/>
              <w:left w:val="single" w:color="auto" w:sz="4" w:space="0"/>
              <w:right w:val="single" w:color="auto" w:sz="4" w:space="0"/>
            </w:tcBorders>
            <w:vAlign w:val="center"/>
          </w:tcPr>
          <w:p>
            <w:pPr>
              <w:widowControl/>
              <w:shd w:val="clear"/>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根据投标人的管理机构设置、管理制度</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完善</w:t>
            </w:r>
            <w:r>
              <w:rPr>
                <w:rFonts w:hint="eastAsia" w:ascii="宋体" w:hAnsi="宋体" w:cs="宋体"/>
                <w:color w:val="auto"/>
                <w:sz w:val="21"/>
                <w:szCs w:val="21"/>
                <w:highlight w:val="none"/>
                <w:lang w:val="en-US" w:eastAsia="zh-CN"/>
              </w:rPr>
              <w:t>程度、全面性等</w:t>
            </w:r>
            <w:r>
              <w:rPr>
                <w:rFonts w:hint="eastAsia" w:ascii="宋体" w:hAnsi="宋体" w:eastAsia="宋体" w:cs="宋体"/>
                <w:color w:val="auto"/>
                <w:sz w:val="21"/>
                <w:szCs w:val="21"/>
                <w:highlight w:val="none"/>
                <w:lang w:val="en-US" w:eastAsia="zh-CN"/>
              </w:rPr>
              <w:t>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86" w:type="dxa"/>
            <w:vMerge w:val="continue"/>
            <w:tcBorders>
              <w:left w:val="single" w:color="auto" w:sz="4" w:space="0"/>
              <w:right w:val="single" w:color="auto" w:sz="4" w:space="0"/>
            </w:tcBorders>
            <w:vAlign w:val="center"/>
          </w:tcPr>
          <w:p>
            <w:pPr>
              <w:shd w:val="clear"/>
              <w:spacing w:line="400" w:lineRule="exact"/>
              <w:jc w:val="center"/>
              <w:rPr>
                <w:rFonts w:hint="eastAsia" w:ascii="宋体" w:hAnsi="宋体" w:eastAsia="宋体" w:cs="宋体"/>
                <w:color w:val="auto"/>
                <w:kern w:val="0"/>
                <w:szCs w:val="21"/>
                <w:highlight w:val="none"/>
                <w:lang w:val="en-US" w:eastAsia="zh-CN"/>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CN"/>
              </w:rPr>
            </w:pPr>
          </w:p>
        </w:tc>
        <w:tc>
          <w:tcPr>
            <w:tcW w:w="6612" w:type="dxa"/>
            <w:tcBorders>
              <w:top w:val="single" w:color="auto" w:sz="4" w:space="0"/>
              <w:left w:val="single" w:color="auto" w:sz="4" w:space="0"/>
              <w:right w:val="single" w:color="auto" w:sz="4" w:space="0"/>
            </w:tcBorders>
            <w:vAlign w:val="center"/>
          </w:tcPr>
          <w:p>
            <w:pPr>
              <w:widowControl/>
              <w:shd w:val="clear"/>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根据投标人的管理质量目标是否明确，综合运维技术、供配电等设备设施关键部位管理技术、重点难点分析及相应的解决办法、管理质量保证措施的可靠性等进行打分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86" w:type="dxa"/>
            <w:vMerge w:val="restart"/>
            <w:tcBorders>
              <w:top w:val="single" w:color="auto" w:sz="4" w:space="0"/>
              <w:left w:val="single" w:color="auto" w:sz="4" w:space="0"/>
              <w:right w:val="single" w:color="auto" w:sz="4" w:space="0"/>
            </w:tcBorders>
            <w:vAlign w:val="center"/>
          </w:tcPr>
          <w:p>
            <w:pPr>
              <w:shd w:val="clea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val="en-US" w:eastAsia="zh-CN"/>
              </w:rPr>
              <w:t>2</w:t>
            </w:r>
          </w:p>
        </w:tc>
        <w:tc>
          <w:tcPr>
            <w:tcW w:w="1582" w:type="dxa"/>
            <w:vMerge w:val="restart"/>
            <w:tcBorders>
              <w:top w:val="single" w:color="auto" w:sz="4" w:space="0"/>
              <w:left w:val="single" w:color="auto" w:sz="4" w:space="0"/>
              <w:right w:val="single" w:color="auto" w:sz="4" w:space="0"/>
            </w:tcBorders>
            <w:vAlign w:val="center"/>
          </w:tcPr>
          <w:p>
            <w:pPr>
              <w:shd w:val="clear"/>
              <w:jc w:val="center"/>
              <w:rPr>
                <w:rFonts w:hint="eastAsia"/>
                <w:color w:val="auto"/>
                <w:highlight w:val="none"/>
                <w:lang w:val="en-US" w:eastAsia="zh-CN"/>
              </w:rPr>
            </w:pPr>
            <w:r>
              <w:rPr>
                <w:rFonts w:hint="eastAsia"/>
                <w:color w:val="auto"/>
                <w:highlight w:val="none"/>
                <w:lang w:val="en-US" w:eastAsia="zh-CN"/>
              </w:rPr>
              <w:t>拟投入本项目设备</w:t>
            </w:r>
          </w:p>
          <w:p>
            <w:pPr>
              <w:shd w:val="clear"/>
              <w:jc w:val="center"/>
              <w:rPr>
                <w:rFonts w:hint="eastAsia"/>
                <w:color w:val="auto"/>
                <w:highlight w:val="none"/>
                <w:lang w:val="en-US" w:eastAsia="zh-CN"/>
              </w:rPr>
            </w:pPr>
            <w:r>
              <w:rPr>
                <w:rFonts w:hint="eastAsia"/>
                <w:color w:val="auto"/>
                <w:highlight w:val="none"/>
              </w:rPr>
              <w:t>(</w:t>
            </w:r>
            <w:r>
              <w:rPr>
                <w:rFonts w:hint="eastAsia"/>
                <w:color w:val="auto"/>
                <w:highlight w:val="none"/>
                <w:lang w:val="en-US" w:eastAsia="zh-CN"/>
              </w:rPr>
              <w:t>客</w:t>
            </w:r>
            <w:r>
              <w:rPr>
                <w:rFonts w:hint="eastAsia"/>
                <w:color w:val="auto"/>
                <w:highlight w:val="none"/>
              </w:rPr>
              <w:t>观分)</w:t>
            </w:r>
          </w:p>
        </w:tc>
        <w:tc>
          <w:tcPr>
            <w:tcW w:w="6612" w:type="dxa"/>
            <w:tcBorders>
              <w:top w:val="single" w:color="auto" w:sz="4" w:space="0"/>
              <w:left w:val="single" w:color="auto" w:sz="4" w:space="0"/>
              <w:right w:val="single" w:color="auto" w:sz="4" w:space="0"/>
            </w:tcBorders>
            <w:vAlign w:val="center"/>
          </w:tcPr>
          <w:p>
            <w:pPr>
              <w:shd w:val="clear"/>
              <w:rPr>
                <w:rFonts w:ascii="宋体" w:hAnsi="宋体" w:cs="宋体"/>
                <w:color w:val="auto"/>
                <w:szCs w:val="21"/>
                <w:highlight w:val="none"/>
              </w:rPr>
            </w:pPr>
            <w:r>
              <w:rPr>
                <w:rFonts w:hint="eastAsia" w:ascii="宋体" w:hAnsi="宋体" w:cs="宋体"/>
                <w:color w:val="auto"/>
                <w:szCs w:val="21"/>
                <w:highlight w:val="none"/>
                <w:lang w:val="en-US" w:eastAsia="zh-CN"/>
              </w:rPr>
              <w:t>LED灯具：6000</w:t>
            </w:r>
            <w:r>
              <w:rPr>
                <w:rFonts w:hint="eastAsia" w:ascii="宋体" w:hAnsi="宋体" w:cs="宋体"/>
                <w:color w:val="auto"/>
                <w:szCs w:val="21"/>
                <w:highlight w:val="none"/>
              </w:rPr>
              <w:t>小时光通维持率≥9</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光衰测试报告得3分</w:t>
            </w:r>
            <w:r>
              <w:rPr>
                <w:rFonts w:hint="eastAsia" w:ascii="宋体" w:hAnsi="宋体" w:cs="宋体"/>
                <w:color w:val="auto"/>
                <w:szCs w:val="21"/>
                <w:highlight w:val="none"/>
              </w:rPr>
              <w:t>；提供6000小时光通维持率≥98%光衰测试报告得2分；提供</w:t>
            </w:r>
            <w:r>
              <w:rPr>
                <w:rFonts w:hint="eastAsia" w:ascii="宋体" w:hAnsi="宋体" w:cs="宋体"/>
                <w:color w:val="auto"/>
                <w:szCs w:val="21"/>
                <w:highlight w:val="none"/>
                <w:lang w:val="en-US" w:eastAsia="zh-CN"/>
              </w:rPr>
              <w:t>6000</w:t>
            </w:r>
            <w:r>
              <w:rPr>
                <w:rFonts w:hint="eastAsia" w:ascii="宋体" w:hAnsi="宋体" w:cs="宋体"/>
                <w:color w:val="auto"/>
                <w:szCs w:val="21"/>
                <w:highlight w:val="none"/>
              </w:rPr>
              <w:t>小时光通维持率≥9</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%光衰测试报告得1分；</w:t>
            </w:r>
          </w:p>
          <w:p>
            <w:pPr>
              <w:widowControl/>
              <w:shd w:val="clea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提供光衰测试报告复印件加盖公章，未提供则不得分</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autoSpaceDE w:val="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86" w:type="dxa"/>
            <w:vMerge w:val="continue"/>
            <w:tcBorders>
              <w:left w:val="single" w:color="auto" w:sz="4" w:space="0"/>
              <w:right w:val="single" w:color="auto" w:sz="4" w:space="0"/>
            </w:tcBorders>
            <w:vAlign w:val="center"/>
          </w:tcPr>
          <w:p>
            <w:pPr>
              <w:shd w:val="clear"/>
              <w:jc w:val="center"/>
              <w:rPr>
                <w:rFonts w:hint="eastAsia" w:ascii="宋体" w:hAnsi="宋体" w:eastAsia="宋体" w:cs="宋体"/>
                <w:color w:val="auto"/>
                <w:kern w:val="2"/>
                <w:sz w:val="21"/>
                <w:szCs w:val="21"/>
                <w:highlight w:val="none"/>
                <w:lang w:val="en-US" w:eastAsia="zh-CN" w:bidi="ar-SA"/>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CN"/>
              </w:rPr>
            </w:pPr>
          </w:p>
        </w:tc>
        <w:tc>
          <w:tcPr>
            <w:tcW w:w="6612" w:type="dxa"/>
            <w:tcBorders>
              <w:top w:val="single" w:color="auto" w:sz="4" w:space="0"/>
              <w:left w:val="single" w:color="auto" w:sz="4" w:space="0"/>
              <w:right w:val="single" w:color="auto" w:sz="4" w:space="0"/>
            </w:tcBorders>
            <w:vAlign w:val="center"/>
          </w:tcPr>
          <w:p>
            <w:pPr>
              <w:widowControl/>
              <w:shd w:val="clea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LED模组和单灯控制器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根据投标人提供的</w:t>
            </w:r>
            <w:r>
              <w:rPr>
                <w:rFonts w:hint="eastAsia" w:ascii="宋体" w:hAnsi="宋体" w:cs="宋体"/>
                <w:color w:val="auto"/>
                <w:szCs w:val="21"/>
                <w:highlight w:val="none"/>
              </w:rPr>
              <w:t>LED</w:t>
            </w:r>
            <w:r>
              <w:rPr>
                <w:rFonts w:hint="eastAsia" w:ascii="宋体" w:hAnsi="宋体" w:cs="宋体"/>
                <w:color w:val="auto"/>
                <w:szCs w:val="21"/>
                <w:highlight w:val="none"/>
                <w:lang w:val="en-US" w:eastAsia="zh-CN"/>
              </w:rPr>
              <w:t>灯头</w:t>
            </w:r>
            <w:r>
              <w:rPr>
                <w:rFonts w:hint="eastAsia" w:ascii="宋体" w:hAnsi="宋体" w:cs="宋体"/>
                <w:color w:val="auto"/>
                <w:szCs w:val="21"/>
                <w:highlight w:val="none"/>
              </w:rPr>
              <w:t>模组的要求和单灯控制器要求</w:t>
            </w:r>
            <w:r>
              <w:rPr>
                <w:rFonts w:hint="eastAsia" w:ascii="宋体" w:hAnsi="宋体" w:cs="宋体"/>
                <w:color w:val="auto"/>
                <w:szCs w:val="21"/>
                <w:highlight w:val="none"/>
                <w:lang w:val="en-US" w:eastAsia="zh-CN"/>
              </w:rPr>
              <w:t>的技术参数</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投标人提供的产品全部符合招标文件要求的得17分，每有1项不满足扣1.5分，扣完为止，本项满分17分。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86" w:type="dxa"/>
            <w:vMerge w:val="restart"/>
            <w:tcBorders>
              <w:left w:val="single" w:color="auto" w:sz="4" w:space="0"/>
              <w:right w:val="single" w:color="auto" w:sz="4" w:space="0"/>
            </w:tcBorders>
            <w:vAlign w:val="center"/>
          </w:tcPr>
          <w:p>
            <w:pPr>
              <w:shd w:val="clea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1582" w:type="dxa"/>
            <w:vMerge w:val="restart"/>
            <w:tcBorders>
              <w:left w:val="single" w:color="auto" w:sz="4" w:space="0"/>
              <w:right w:val="single" w:color="auto" w:sz="4" w:space="0"/>
            </w:tcBorders>
            <w:vAlign w:val="center"/>
          </w:tcPr>
          <w:p>
            <w:pPr>
              <w:shd w:val="clear"/>
              <w:jc w:val="center"/>
              <w:rPr>
                <w:rFonts w:hint="eastAsia"/>
                <w:color w:val="auto"/>
                <w:highlight w:val="none"/>
                <w:lang w:val="en-US" w:eastAsia="zh-CN"/>
              </w:rPr>
            </w:pPr>
            <w:r>
              <w:rPr>
                <w:rFonts w:hint="eastAsia"/>
                <w:color w:val="auto"/>
                <w:highlight w:val="none"/>
              </w:rPr>
              <w:t>可远程控制云平台</w:t>
            </w:r>
            <w:r>
              <w:rPr>
                <w:rFonts w:hint="eastAsia"/>
                <w:color w:val="auto"/>
                <w:highlight w:val="none"/>
                <w:lang w:val="en-US" w:eastAsia="zh-CN"/>
              </w:rPr>
              <w:t>功能配置</w:t>
            </w:r>
          </w:p>
          <w:p>
            <w:pPr>
              <w:shd w:val="clear"/>
              <w:jc w:val="center"/>
              <w:rPr>
                <w:rFonts w:hint="eastAsia"/>
                <w:color w:val="auto"/>
                <w:highlight w:val="none"/>
                <w:lang w:val="en-US" w:eastAsia="zh-CN"/>
              </w:rPr>
            </w:pPr>
            <w:r>
              <w:rPr>
                <w:rFonts w:hint="eastAsia"/>
                <w:color w:val="auto"/>
                <w:highlight w:val="none"/>
                <w:lang w:val="en-US" w:eastAsia="zh-CN"/>
              </w:rPr>
              <w:t>(主观分)</w:t>
            </w:r>
          </w:p>
        </w:tc>
        <w:tc>
          <w:tcPr>
            <w:tcW w:w="6612" w:type="dxa"/>
            <w:tcBorders>
              <w:top w:val="single" w:color="auto" w:sz="4" w:space="0"/>
              <w:left w:val="single" w:color="auto" w:sz="4" w:space="0"/>
              <w:right w:val="single" w:color="auto" w:sz="4" w:space="0"/>
            </w:tcBorders>
            <w:vAlign w:val="center"/>
          </w:tcPr>
          <w:p>
            <w:pPr>
              <w:widowControl/>
              <w:shd w:val="clea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lang w:val="en-US" w:eastAsia="zh-CN"/>
              </w:rPr>
              <w:t>根据投标人提供的</w:t>
            </w:r>
            <w:r>
              <w:rPr>
                <w:rFonts w:hint="eastAsia"/>
                <w:color w:val="auto"/>
                <w:highlight w:val="none"/>
              </w:rPr>
              <w:t>可远程控制云平台</w:t>
            </w:r>
            <w:r>
              <w:rPr>
                <w:rFonts w:hint="eastAsia"/>
                <w:color w:val="auto"/>
                <w:highlight w:val="none"/>
                <w:lang w:val="en-US" w:eastAsia="zh-CN"/>
              </w:rPr>
              <w:t>的功能配置的完整性、全面性、先进程度等进行打分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autoSpaceDE w:val="0"/>
              <w:jc w:val="center"/>
              <w:rPr>
                <w:rFonts w:ascii="宋体" w:hAnsi="宋体" w:cs="宋体"/>
                <w:color w:val="auto"/>
                <w:kern w:val="0"/>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86" w:type="dxa"/>
            <w:vMerge w:val="continue"/>
            <w:tcBorders>
              <w:left w:val="single" w:color="auto" w:sz="4" w:space="0"/>
              <w:right w:val="single" w:color="auto" w:sz="4" w:space="0"/>
            </w:tcBorders>
            <w:vAlign w:val="center"/>
          </w:tcPr>
          <w:p>
            <w:pPr>
              <w:shd w:val="clear"/>
              <w:spacing w:line="400" w:lineRule="exact"/>
              <w:jc w:val="center"/>
              <w:rPr>
                <w:rFonts w:hint="eastAsia" w:ascii="宋体" w:hAnsi="宋体" w:cs="宋体"/>
                <w:color w:val="auto"/>
                <w:kern w:val="0"/>
                <w:szCs w:val="21"/>
                <w:highlight w:val="none"/>
                <w:lang w:val="en-US" w:eastAsia="zh-CN"/>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CN"/>
              </w:rPr>
            </w:pPr>
          </w:p>
        </w:tc>
        <w:tc>
          <w:tcPr>
            <w:tcW w:w="6612" w:type="dxa"/>
            <w:tcBorders>
              <w:top w:val="single" w:color="auto" w:sz="4" w:space="0"/>
              <w:left w:val="single" w:color="auto" w:sz="4" w:space="0"/>
              <w:right w:val="single" w:color="auto" w:sz="4" w:space="0"/>
            </w:tcBorders>
            <w:vAlign w:val="center"/>
          </w:tcPr>
          <w:p>
            <w:pPr>
              <w:widowControl/>
              <w:shd w:val="clea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根据投标人提供的</w:t>
            </w:r>
            <w:r>
              <w:rPr>
                <w:rFonts w:hint="eastAsia"/>
                <w:color w:val="auto"/>
                <w:highlight w:val="none"/>
              </w:rPr>
              <w:t>可远程控制云平台</w:t>
            </w:r>
            <w:r>
              <w:rPr>
                <w:rFonts w:hint="eastAsia"/>
                <w:color w:val="auto"/>
                <w:highlight w:val="none"/>
                <w:lang w:val="en-US" w:eastAsia="zh-CN"/>
              </w:rPr>
              <w:t>的整体操作流程的合理性、便捷性、科学性等进行打分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autoSpaceDE w:val="0"/>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86" w:type="dxa"/>
            <w:vMerge w:val="continue"/>
            <w:tcBorders>
              <w:left w:val="single" w:color="auto" w:sz="4" w:space="0"/>
              <w:right w:val="single" w:color="auto" w:sz="4" w:space="0"/>
            </w:tcBorders>
            <w:vAlign w:val="center"/>
          </w:tcPr>
          <w:p>
            <w:pPr>
              <w:shd w:val="clear"/>
              <w:spacing w:line="400" w:lineRule="exact"/>
              <w:jc w:val="center"/>
              <w:rPr>
                <w:rFonts w:hint="eastAsia" w:ascii="宋体" w:hAnsi="宋体" w:cs="宋体"/>
                <w:color w:val="auto"/>
                <w:kern w:val="0"/>
                <w:szCs w:val="21"/>
                <w:highlight w:val="none"/>
                <w:lang w:val="en-US" w:eastAsia="zh-CN"/>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CN"/>
              </w:rPr>
            </w:pPr>
          </w:p>
        </w:tc>
        <w:tc>
          <w:tcPr>
            <w:tcW w:w="6612" w:type="dxa"/>
            <w:tcBorders>
              <w:top w:val="single" w:color="auto" w:sz="4" w:space="0"/>
              <w:left w:val="single" w:color="auto" w:sz="4" w:space="0"/>
              <w:right w:val="single" w:color="auto" w:sz="4" w:space="0"/>
            </w:tcBorders>
            <w:vAlign w:val="center"/>
          </w:tcPr>
          <w:p>
            <w:pPr>
              <w:widowControl/>
              <w:shd w:val="clea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根据投标人提供的</w:t>
            </w:r>
            <w:r>
              <w:rPr>
                <w:rFonts w:hint="eastAsia"/>
                <w:color w:val="auto"/>
                <w:highlight w:val="none"/>
              </w:rPr>
              <w:t>可远程控制云平台</w:t>
            </w:r>
            <w:r>
              <w:rPr>
                <w:rFonts w:hint="eastAsia"/>
                <w:color w:val="auto"/>
                <w:highlight w:val="none"/>
                <w:lang w:val="en-US" w:eastAsia="zh-CN"/>
              </w:rPr>
              <w:t>界面的美观程度、布局的合理性等进行打分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autoSpaceDE w:val="0"/>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6" w:type="dxa"/>
            <w:vMerge w:val="restart"/>
            <w:tcBorders>
              <w:left w:val="single" w:color="auto" w:sz="4" w:space="0"/>
              <w:right w:val="single" w:color="auto" w:sz="4" w:space="0"/>
            </w:tcBorders>
            <w:vAlign w:val="center"/>
          </w:tcPr>
          <w:p>
            <w:pPr>
              <w:shd w:val="clear"/>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1582" w:type="dxa"/>
            <w:vMerge w:val="restart"/>
            <w:tcBorders>
              <w:left w:val="single" w:color="auto" w:sz="4" w:space="0"/>
              <w:right w:val="single" w:color="auto" w:sz="4" w:space="0"/>
            </w:tcBorders>
            <w:vAlign w:val="center"/>
          </w:tcPr>
          <w:p>
            <w:pPr>
              <w:shd w:val="clear"/>
              <w:jc w:val="center"/>
              <w:rPr>
                <w:rFonts w:hint="eastAsia"/>
                <w:color w:val="auto"/>
                <w:highlight w:val="none"/>
                <w:lang w:val="en-US" w:eastAsia="zh-CN"/>
              </w:rPr>
            </w:pPr>
            <w:r>
              <w:rPr>
                <w:rFonts w:hint="eastAsia"/>
                <w:color w:val="auto"/>
                <w:highlight w:val="none"/>
                <w:lang w:val="en-US" w:eastAsia="zh-CN"/>
              </w:rPr>
              <w:t>服务方案</w:t>
            </w:r>
          </w:p>
          <w:p>
            <w:pPr>
              <w:shd w:val="clear"/>
              <w:jc w:val="center"/>
              <w:rPr>
                <w:rFonts w:hint="default"/>
                <w:color w:val="auto"/>
                <w:highlight w:val="none"/>
                <w:lang w:val="en-US" w:eastAsia="zh-CN"/>
              </w:rPr>
            </w:pPr>
            <w:r>
              <w:rPr>
                <w:rFonts w:hint="eastAsia"/>
                <w:color w:val="auto"/>
                <w:highlight w:val="none"/>
                <w:lang w:val="en-US" w:eastAsia="zh-CN"/>
              </w:rPr>
              <w:t>(主观分)</w:t>
            </w:r>
          </w:p>
        </w:tc>
        <w:tc>
          <w:tcPr>
            <w:tcW w:w="6612"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auto"/>
                <w:kern w:val="0"/>
                <w:szCs w:val="21"/>
                <w:highlight w:val="none"/>
                <w:lang w:val="en-US" w:eastAsia="zh-CN"/>
              </w:rPr>
            </w:pPr>
            <w:r>
              <w:rPr>
                <w:rFonts w:hint="eastAsia" w:ascii="宋体" w:hAnsi="宋体" w:cs="宋体"/>
                <w:color w:val="auto"/>
                <w:szCs w:val="21"/>
                <w:highlight w:val="none"/>
              </w:rPr>
              <w:t>根据质保期限、售后服务方案</w:t>
            </w:r>
            <w:r>
              <w:rPr>
                <w:rFonts w:hint="eastAsia" w:ascii="宋体" w:hAnsi="宋体" w:cs="宋体"/>
                <w:color w:val="auto"/>
                <w:szCs w:val="21"/>
                <w:highlight w:val="none"/>
                <w:lang w:val="en-US" w:eastAsia="zh-CN"/>
              </w:rPr>
              <w:t>的可实现程度、可行性、全面性进行打分</w:t>
            </w:r>
          </w:p>
        </w:tc>
        <w:tc>
          <w:tcPr>
            <w:tcW w:w="976" w:type="dxa"/>
            <w:tcBorders>
              <w:top w:val="single" w:color="auto" w:sz="4" w:space="0"/>
              <w:left w:val="single" w:color="auto" w:sz="4" w:space="0"/>
              <w:right w:val="single" w:color="auto" w:sz="4" w:space="0"/>
            </w:tcBorders>
            <w:vAlign w:val="center"/>
          </w:tcPr>
          <w:p>
            <w:pPr>
              <w:shd w:val="clear"/>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vMerge w:val="continue"/>
            <w:tcBorders>
              <w:left w:val="single" w:color="auto" w:sz="4" w:space="0"/>
              <w:right w:val="single" w:color="auto" w:sz="4" w:space="0"/>
            </w:tcBorders>
            <w:vAlign w:val="center"/>
          </w:tcPr>
          <w:p>
            <w:pPr>
              <w:shd w:val="clear"/>
              <w:spacing w:line="400" w:lineRule="exact"/>
              <w:jc w:val="center"/>
              <w:rPr>
                <w:rFonts w:hint="default" w:ascii="宋体" w:hAnsi="宋体" w:cs="宋体"/>
                <w:color w:val="auto"/>
                <w:kern w:val="0"/>
                <w:szCs w:val="21"/>
                <w:highlight w:val="none"/>
                <w:lang w:val="en-US" w:eastAsia="zh-CN"/>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CN"/>
              </w:rPr>
            </w:pPr>
          </w:p>
        </w:tc>
        <w:tc>
          <w:tcPr>
            <w:tcW w:w="6612" w:type="dxa"/>
            <w:tcBorders>
              <w:top w:val="single" w:color="auto" w:sz="4" w:space="0"/>
              <w:left w:val="single" w:color="auto" w:sz="4" w:space="0"/>
              <w:bottom w:val="single" w:color="auto" w:sz="4" w:space="0"/>
              <w:right w:val="single" w:color="auto" w:sz="4" w:space="0"/>
            </w:tcBorders>
            <w:vAlign w:val="center"/>
          </w:tcPr>
          <w:p>
            <w:pPr>
              <w:shd w:val="clea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根据投标人针对本项目的服务承诺</w:t>
            </w:r>
            <w:r>
              <w:rPr>
                <w:rFonts w:hint="eastAsia" w:ascii="宋体" w:hAnsi="宋体" w:cs="宋体"/>
                <w:color w:val="auto"/>
                <w:szCs w:val="21"/>
                <w:highlight w:val="none"/>
              </w:rPr>
              <w:t>（如技术队伍能力，服务响应时效）等情况</w:t>
            </w:r>
            <w:r>
              <w:rPr>
                <w:rFonts w:hint="eastAsia" w:ascii="宋体" w:hAnsi="宋体" w:cs="宋体"/>
                <w:color w:val="auto"/>
                <w:szCs w:val="21"/>
                <w:highlight w:val="none"/>
                <w:lang w:val="en-US" w:eastAsia="zh-CN"/>
              </w:rPr>
              <w:t>进行</w:t>
            </w:r>
            <w:r>
              <w:rPr>
                <w:rFonts w:hint="eastAsia" w:ascii="宋体" w:hAnsi="宋体" w:cs="宋体"/>
                <w:color w:val="auto"/>
                <w:szCs w:val="21"/>
                <w:highlight w:val="none"/>
              </w:rPr>
              <w:t>打分</w:t>
            </w:r>
          </w:p>
        </w:tc>
        <w:tc>
          <w:tcPr>
            <w:tcW w:w="976" w:type="dxa"/>
            <w:tcBorders>
              <w:top w:val="single" w:color="auto" w:sz="4" w:space="0"/>
              <w:left w:val="single" w:color="auto" w:sz="4" w:space="0"/>
              <w:right w:val="single" w:color="auto" w:sz="4" w:space="0"/>
            </w:tcBorders>
            <w:vAlign w:val="center"/>
          </w:tcPr>
          <w:p>
            <w:pPr>
              <w:shd w:val="clea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vMerge w:val="restart"/>
            <w:tcBorders>
              <w:left w:val="single" w:color="auto" w:sz="4" w:space="0"/>
              <w:right w:val="single" w:color="auto" w:sz="4" w:space="0"/>
            </w:tcBorders>
            <w:vAlign w:val="center"/>
          </w:tcPr>
          <w:p>
            <w:pPr>
              <w:shd w:val="clea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582" w:type="dxa"/>
            <w:vMerge w:val="restart"/>
            <w:tcBorders>
              <w:left w:val="single" w:color="auto" w:sz="4" w:space="0"/>
              <w:right w:val="single" w:color="auto" w:sz="4" w:space="0"/>
            </w:tcBorders>
            <w:vAlign w:val="center"/>
          </w:tcPr>
          <w:p>
            <w:pPr>
              <w:shd w:val="clear"/>
              <w:jc w:val="center"/>
              <w:rPr>
                <w:rFonts w:hint="eastAsia"/>
                <w:color w:val="auto"/>
                <w:highlight w:val="none"/>
                <w:lang w:val="en-US" w:eastAsia="zh-CN"/>
              </w:rPr>
            </w:pPr>
            <w:r>
              <w:rPr>
                <w:rFonts w:hint="eastAsia"/>
                <w:color w:val="auto"/>
                <w:highlight w:val="none"/>
                <w:lang w:val="en-US" w:eastAsia="zh-CN"/>
              </w:rPr>
              <w:t>组织方案</w:t>
            </w:r>
          </w:p>
          <w:p>
            <w:pPr>
              <w:shd w:val="clear"/>
              <w:jc w:val="center"/>
              <w:rPr>
                <w:rFonts w:hint="eastAsia"/>
                <w:color w:val="auto"/>
                <w:highlight w:val="none"/>
                <w:lang w:val="en-US" w:eastAsia="zh-CN"/>
              </w:rPr>
            </w:pPr>
            <w:r>
              <w:rPr>
                <w:rFonts w:hint="eastAsia"/>
                <w:color w:val="auto"/>
                <w:highlight w:val="none"/>
                <w:lang w:val="en-US" w:eastAsia="zh-CN"/>
              </w:rPr>
              <w:t>(主观分)</w:t>
            </w: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rPr>
                <w:rFonts w:ascii="宋体" w:hAnsi="宋体" w:cs="宋体"/>
                <w:color w:val="auto"/>
                <w:szCs w:val="21"/>
                <w:highlight w:val="none"/>
              </w:rPr>
            </w:pPr>
            <w:r>
              <w:rPr>
                <w:rFonts w:hint="eastAsia" w:ascii="宋体" w:hAnsi="宋体" w:cs="宋体"/>
                <w:color w:val="auto"/>
                <w:szCs w:val="21"/>
                <w:highlight w:val="none"/>
              </w:rPr>
              <w:t>根据投标人组织机构</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完善，人员配备</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完善，分工</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合理明确，职责、界面</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清晰</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进行</w:t>
            </w:r>
            <w:r>
              <w:rPr>
                <w:rFonts w:hint="eastAsia" w:ascii="宋体" w:hAnsi="宋体" w:cs="宋体"/>
                <w:color w:val="auto"/>
                <w:szCs w:val="21"/>
                <w:highlight w:val="none"/>
                <w:lang w:val="en-US" w:eastAsia="zh-CN"/>
              </w:rPr>
              <w:t>打分</w:t>
            </w:r>
            <w:r>
              <w:rPr>
                <w:rFonts w:hint="eastAsia" w:ascii="宋体" w:hAnsi="宋体" w:cs="宋体"/>
                <w:color w:val="auto"/>
                <w:szCs w:val="21"/>
                <w:highlight w:val="none"/>
              </w:rPr>
              <w:t>。</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vMerge w:val="continue"/>
            <w:tcBorders>
              <w:left w:val="single" w:color="auto" w:sz="4" w:space="0"/>
              <w:right w:val="single" w:color="auto" w:sz="4" w:space="0"/>
            </w:tcBorders>
            <w:vAlign w:val="center"/>
          </w:tcPr>
          <w:p>
            <w:pPr>
              <w:shd w:val="clear"/>
              <w:spacing w:line="400" w:lineRule="exact"/>
              <w:jc w:val="center"/>
              <w:rPr>
                <w:rFonts w:hint="default" w:ascii="宋体" w:hAnsi="宋体" w:eastAsia="宋体" w:cs="宋体"/>
                <w:color w:val="auto"/>
                <w:szCs w:val="21"/>
                <w:highlight w:val="none"/>
                <w:lang w:val="en-US" w:eastAsia="zh-CN"/>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CN"/>
              </w:rPr>
            </w:pP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根据投标人工作</w:t>
            </w:r>
            <w:r>
              <w:rPr>
                <w:rFonts w:hint="eastAsia" w:ascii="宋体" w:hAnsi="宋体" w:cs="宋体"/>
                <w:color w:val="auto"/>
                <w:szCs w:val="21"/>
                <w:highlight w:val="none"/>
                <w:lang w:val="en-US" w:eastAsia="zh-CN"/>
              </w:rPr>
              <w:t>的进度</w:t>
            </w:r>
            <w:r>
              <w:rPr>
                <w:rFonts w:hint="eastAsia" w:ascii="宋体" w:hAnsi="宋体" w:cs="宋体"/>
                <w:color w:val="auto"/>
                <w:szCs w:val="21"/>
                <w:highlight w:val="none"/>
              </w:rPr>
              <w:t>计划、监督</w:t>
            </w:r>
            <w:r>
              <w:rPr>
                <w:rFonts w:hint="eastAsia" w:ascii="宋体" w:hAnsi="宋体" w:cs="宋体"/>
                <w:color w:val="auto"/>
                <w:szCs w:val="21"/>
                <w:highlight w:val="none"/>
                <w:lang w:val="en-US" w:eastAsia="zh-CN"/>
              </w:rPr>
              <w:t>力度</w:t>
            </w:r>
            <w:r>
              <w:rPr>
                <w:rFonts w:hint="eastAsia" w:ascii="宋体" w:hAnsi="宋体" w:cs="宋体"/>
                <w:color w:val="auto"/>
                <w:szCs w:val="21"/>
                <w:highlight w:val="none"/>
              </w:rPr>
              <w:t>、检查</w:t>
            </w:r>
            <w:r>
              <w:rPr>
                <w:rFonts w:hint="eastAsia" w:ascii="宋体" w:hAnsi="宋体" w:cs="宋体"/>
                <w:color w:val="auto"/>
                <w:szCs w:val="21"/>
                <w:highlight w:val="none"/>
                <w:lang w:val="en-US" w:eastAsia="zh-CN"/>
              </w:rPr>
              <w:t>机制和方案进行打分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vMerge w:val="continue"/>
            <w:tcBorders>
              <w:left w:val="single" w:color="auto" w:sz="4" w:space="0"/>
              <w:right w:val="single" w:color="auto" w:sz="4" w:space="0"/>
            </w:tcBorders>
            <w:vAlign w:val="center"/>
          </w:tcPr>
          <w:p>
            <w:pPr>
              <w:shd w:val="clear"/>
              <w:spacing w:line="400" w:lineRule="exact"/>
              <w:jc w:val="center"/>
              <w:rPr>
                <w:rFonts w:hint="eastAsia" w:ascii="宋体" w:hAnsi="宋体" w:cs="宋体"/>
                <w:color w:val="auto"/>
                <w:szCs w:val="21"/>
                <w:highlight w:val="none"/>
                <w:lang w:val="en-US" w:eastAsia="zh-CN"/>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CN"/>
              </w:rPr>
            </w:pP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根据投标人项目方案中有专门针对安全的措施，</w:t>
            </w:r>
            <w:r>
              <w:rPr>
                <w:rFonts w:hint="eastAsia" w:ascii="宋体" w:hAnsi="宋体" w:cs="宋体"/>
                <w:color w:val="auto"/>
                <w:szCs w:val="21"/>
                <w:highlight w:val="none"/>
                <w:lang w:val="en-US" w:eastAsia="zh-CN"/>
              </w:rPr>
              <w:t>实施</w:t>
            </w:r>
            <w:r>
              <w:rPr>
                <w:rFonts w:hint="eastAsia" w:ascii="宋体" w:hAnsi="宋体" w:cs="宋体"/>
                <w:color w:val="auto"/>
                <w:szCs w:val="21"/>
                <w:highlight w:val="none"/>
              </w:rPr>
              <w:t>过程中无安全隐患，进行</w:t>
            </w:r>
            <w:r>
              <w:rPr>
                <w:rFonts w:hint="eastAsia" w:ascii="宋体" w:hAnsi="宋体" w:cs="宋体"/>
                <w:color w:val="auto"/>
                <w:szCs w:val="21"/>
                <w:highlight w:val="none"/>
                <w:lang w:val="en-US" w:eastAsia="zh-CN"/>
              </w:rPr>
              <w:t>打</w:t>
            </w:r>
            <w:r>
              <w:rPr>
                <w:rFonts w:hint="eastAsia" w:ascii="宋体" w:hAnsi="宋体" w:cs="宋体"/>
                <w:color w:val="auto"/>
                <w:szCs w:val="21"/>
                <w:highlight w:val="none"/>
              </w:rPr>
              <w:t>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szCs w:val="21"/>
                <w:highlight w:val="none"/>
              </w:rPr>
            </w:pPr>
          </w:p>
          <w:p>
            <w:pPr>
              <w:shd w:val="clea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tcBorders>
              <w:left w:val="single" w:color="auto" w:sz="4" w:space="0"/>
              <w:right w:val="single" w:color="auto" w:sz="4" w:space="0"/>
            </w:tcBorders>
            <w:vAlign w:val="center"/>
          </w:tcPr>
          <w:p>
            <w:pPr>
              <w:shd w:val="clea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1582" w:type="dxa"/>
            <w:tcBorders>
              <w:left w:val="single" w:color="auto" w:sz="4" w:space="0"/>
              <w:right w:val="single" w:color="auto" w:sz="4" w:space="0"/>
            </w:tcBorders>
            <w:vAlign w:val="center"/>
          </w:tcPr>
          <w:p>
            <w:pPr>
              <w:shd w:val="clear"/>
              <w:jc w:val="center"/>
              <w:rPr>
                <w:rFonts w:hint="eastAsia"/>
                <w:color w:val="auto"/>
                <w:highlight w:val="none"/>
                <w:lang w:val="en-US" w:eastAsia="zh-CN"/>
              </w:rPr>
            </w:pPr>
            <w:r>
              <w:rPr>
                <w:rFonts w:hint="eastAsia"/>
                <w:color w:val="auto"/>
                <w:highlight w:val="none"/>
                <w:lang w:val="en-US" w:eastAsia="zh-CN"/>
              </w:rPr>
              <w:t>应急预案</w:t>
            </w:r>
          </w:p>
          <w:p>
            <w:pPr>
              <w:shd w:val="clear"/>
              <w:jc w:val="center"/>
              <w:rPr>
                <w:rFonts w:hint="eastAsia"/>
                <w:color w:val="auto"/>
                <w:highlight w:val="none"/>
                <w:lang w:val="en-US" w:eastAsia="zh-CN"/>
              </w:rPr>
            </w:pPr>
            <w:r>
              <w:rPr>
                <w:rFonts w:hint="eastAsia"/>
                <w:color w:val="auto"/>
                <w:highlight w:val="none"/>
                <w:lang w:val="en-US" w:eastAsia="zh-CN"/>
              </w:rPr>
              <w:t>(主观分)</w:t>
            </w: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根据投标人项目方案中有专门针对突发状况的应急处理预案，确保整个道路照明系统可靠稳定运行，进行打分。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6" w:type="dxa"/>
            <w:vMerge w:val="restart"/>
            <w:tcBorders>
              <w:top w:val="single" w:color="auto" w:sz="4" w:space="0"/>
              <w:left w:val="single" w:color="auto" w:sz="4" w:space="0"/>
              <w:right w:val="single" w:color="auto" w:sz="4" w:space="0"/>
            </w:tcBorders>
            <w:vAlign w:val="center"/>
          </w:tcPr>
          <w:p>
            <w:pPr>
              <w:shd w:val="clear"/>
              <w:spacing w:line="44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1582" w:type="dxa"/>
            <w:vMerge w:val="restart"/>
            <w:tcBorders>
              <w:top w:val="single" w:color="auto" w:sz="4" w:space="0"/>
              <w:left w:val="single" w:color="auto" w:sz="4" w:space="0"/>
              <w:right w:val="single" w:color="auto" w:sz="4" w:space="0"/>
            </w:tcBorders>
            <w:vAlign w:val="center"/>
          </w:tcPr>
          <w:p>
            <w:pPr>
              <w:shd w:val="clear"/>
              <w:jc w:val="center"/>
              <w:rPr>
                <w:rFonts w:hint="eastAsia"/>
                <w:color w:val="auto"/>
                <w:highlight w:val="none"/>
                <w:lang w:val="en-US" w:eastAsia="zh-CN"/>
              </w:rPr>
            </w:pPr>
            <w:r>
              <w:rPr>
                <w:rFonts w:hint="eastAsia"/>
                <w:color w:val="auto"/>
                <w:highlight w:val="none"/>
                <w:lang w:val="en-US" w:eastAsia="zh-CN"/>
              </w:rPr>
              <w:t>节能改造方案</w:t>
            </w:r>
          </w:p>
          <w:p>
            <w:pPr>
              <w:shd w:val="clear"/>
              <w:jc w:val="center"/>
              <w:rPr>
                <w:rFonts w:hint="eastAsia"/>
                <w:color w:val="auto"/>
                <w:highlight w:val="none"/>
                <w:lang w:val="en-US" w:eastAsia="zh-CN"/>
              </w:rPr>
            </w:pPr>
            <w:r>
              <w:rPr>
                <w:rFonts w:hint="eastAsia"/>
                <w:color w:val="auto"/>
                <w:highlight w:val="none"/>
                <w:lang w:val="en-US" w:eastAsia="zh-CN"/>
              </w:rPr>
              <w:t>(主观分)</w:t>
            </w: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rPr>
                <w:rFonts w:ascii="宋体" w:hAnsi="宋体" w:cs="宋体"/>
                <w:color w:val="auto"/>
                <w:szCs w:val="21"/>
                <w:highlight w:val="none"/>
              </w:rPr>
            </w:pPr>
            <w:r>
              <w:rPr>
                <w:rFonts w:hint="eastAsia" w:ascii="宋体" w:hAnsi="宋体" w:cs="宋体"/>
                <w:color w:val="auto"/>
                <w:szCs w:val="21"/>
                <w:highlight w:val="none"/>
              </w:rPr>
              <w:t>根据投标人节能改造方案</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涉及多项能源网软、硬件设备，涵盖方面</w:t>
            </w:r>
            <w:r>
              <w:rPr>
                <w:rFonts w:hint="eastAsia" w:ascii="宋体" w:hAnsi="宋体" w:cs="宋体"/>
                <w:color w:val="auto"/>
                <w:szCs w:val="21"/>
                <w:highlight w:val="none"/>
                <w:lang w:val="en-US" w:eastAsia="zh-CN"/>
              </w:rPr>
              <w:t>的全面性等</w:t>
            </w:r>
            <w:r>
              <w:rPr>
                <w:rFonts w:hint="eastAsia" w:ascii="宋体" w:hAnsi="宋体" w:cs="宋体"/>
                <w:color w:val="auto"/>
                <w:szCs w:val="21"/>
                <w:highlight w:val="none"/>
              </w:rPr>
              <w:t>进行</w:t>
            </w:r>
            <w:r>
              <w:rPr>
                <w:rFonts w:hint="eastAsia" w:ascii="宋体" w:hAnsi="宋体" w:cs="宋体"/>
                <w:color w:val="auto"/>
                <w:szCs w:val="21"/>
                <w:highlight w:val="none"/>
                <w:lang w:val="en-US" w:eastAsia="zh-CN"/>
              </w:rPr>
              <w:t>打</w:t>
            </w:r>
            <w:r>
              <w:rPr>
                <w:rFonts w:hint="eastAsia" w:ascii="宋体" w:hAnsi="宋体" w:cs="宋体"/>
                <w:color w:val="auto"/>
                <w:szCs w:val="21"/>
                <w:highlight w:val="none"/>
              </w:rPr>
              <w:t>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6" w:type="dxa"/>
            <w:vMerge w:val="continue"/>
            <w:tcBorders>
              <w:left w:val="single" w:color="auto" w:sz="4" w:space="0"/>
              <w:right w:val="single" w:color="auto" w:sz="4" w:space="0"/>
            </w:tcBorders>
            <w:vAlign w:val="center"/>
          </w:tcPr>
          <w:p>
            <w:pPr>
              <w:shd w:val="clear"/>
              <w:rPr>
                <w:color w:val="auto"/>
                <w:highlight w:val="none"/>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CN"/>
              </w:rPr>
            </w:pP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根据投标人方案对道路照明能耗基准指标性能评价与分析是否准确、清晰，进行打分</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hd w:val="clear"/>
              <w:rPr>
                <w:rFonts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86" w:type="dxa"/>
            <w:vMerge w:val="continue"/>
            <w:tcBorders>
              <w:left w:val="single" w:color="auto" w:sz="4" w:space="0"/>
              <w:right w:val="single" w:color="auto" w:sz="4" w:space="0"/>
            </w:tcBorders>
            <w:vAlign w:val="center"/>
          </w:tcPr>
          <w:p>
            <w:pPr>
              <w:shd w:val="clear"/>
              <w:spacing w:line="440" w:lineRule="exact"/>
              <w:jc w:val="center"/>
              <w:rPr>
                <w:rFonts w:hint="default" w:ascii="宋体" w:hAnsi="宋体" w:eastAsia="宋体" w:cs="宋体"/>
                <w:color w:val="auto"/>
                <w:kern w:val="0"/>
                <w:szCs w:val="21"/>
                <w:highlight w:val="none"/>
                <w:lang w:val="en-US" w:eastAsia="zh-CN"/>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Hans"/>
              </w:rPr>
            </w:pP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snapToGrid w:val="0"/>
              <w:rPr>
                <w:rFonts w:hint="default" w:ascii="宋体" w:hAnsi="宋体" w:cs="宋体"/>
                <w:color w:val="auto"/>
                <w:szCs w:val="21"/>
                <w:highlight w:val="none"/>
                <w:lang w:val="en-US"/>
              </w:rPr>
            </w:pPr>
            <w:r>
              <w:rPr>
                <w:rFonts w:hint="eastAsia" w:ascii="新宋体" w:hAnsi="新宋体" w:eastAsia="新宋体" w:cs="新宋体"/>
                <w:color w:val="auto"/>
                <w:sz w:val="21"/>
                <w:szCs w:val="21"/>
                <w:highlight w:val="none"/>
                <w:lang w:val="en-US" w:eastAsia="zh-CN"/>
              </w:rPr>
              <w:t>根据投标人项目方案中针对数据保密的措施及相关涉密信息安全的全面性、可行性等，进行打分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6" w:type="dxa"/>
            <w:vMerge w:val="continue"/>
            <w:tcBorders>
              <w:left w:val="single" w:color="auto" w:sz="4" w:space="0"/>
              <w:right w:val="single" w:color="auto" w:sz="4" w:space="0"/>
            </w:tcBorders>
            <w:vAlign w:val="center"/>
          </w:tcPr>
          <w:p>
            <w:pPr>
              <w:shd w:val="clear"/>
              <w:spacing w:line="440" w:lineRule="exact"/>
              <w:jc w:val="center"/>
              <w:rPr>
                <w:rFonts w:hint="default" w:ascii="宋体" w:hAnsi="宋体" w:eastAsia="宋体" w:cs="宋体"/>
                <w:color w:val="auto"/>
                <w:kern w:val="0"/>
                <w:szCs w:val="21"/>
                <w:highlight w:val="none"/>
                <w:lang w:val="en-US" w:eastAsia="zh-CN"/>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Hans"/>
              </w:rPr>
            </w:pP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snapToGrid w:val="0"/>
              <w:rPr>
                <w:rFonts w:hint="eastAsia" w:ascii="新宋体" w:hAnsi="新宋体" w:eastAsia="新宋体" w:cs="新宋体"/>
                <w:color w:val="auto"/>
                <w:sz w:val="21"/>
                <w:szCs w:val="21"/>
                <w:highlight w:val="none"/>
                <w:lang w:val="en-US" w:eastAsia="zh-CN"/>
              </w:rPr>
            </w:pPr>
            <w:r>
              <w:rPr>
                <w:rFonts w:hint="eastAsia" w:ascii="宋体" w:hAnsi="宋体" w:cs="宋体"/>
                <w:color w:val="auto"/>
                <w:szCs w:val="21"/>
                <w:highlight w:val="none"/>
              </w:rPr>
              <w:t>根据投标人提出的节能改造方案科学</w:t>
            </w:r>
            <w:r>
              <w:rPr>
                <w:rFonts w:hint="eastAsia" w:ascii="宋体" w:hAnsi="宋体" w:cs="宋体"/>
                <w:color w:val="auto"/>
                <w:szCs w:val="21"/>
                <w:highlight w:val="none"/>
                <w:lang w:val="en-US" w:eastAsia="zh-CN"/>
              </w:rPr>
              <w:t>性、</w:t>
            </w:r>
            <w:r>
              <w:rPr>
                <w:rFonts w:hint="eastAsia" w:ascii="宋体" w:hAnsi="宋体" w:cs="宋体"/>
                <w:color w:val="auto"/>
                <w:szCs w:val="21"/>
                <w:highlight w:val="none"/>
              </w:rPr>
              <w:t>合理</w:t>
            </w:r>
            <w:r>
              <w:rPr>
                <w:rFonts w:hint="eastAsia" w:ascii="宋体" w:hAnsi="宋体" w:cs="宋体"/>
                <w:color w:val="auto"/>
                <w:szCs w:val="21"/>
                <w:highlight w:val="none"/>
                <w:lang w:val="en-US" w:eastAsia="zh-CN"/>
              </w:rPr>
              <w:t>性进行打分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6" w:type="dxa"/>
            <w:vMerge w:val="continue"/>
            <w:tcBorders>
              <w:left w:val="single" w:color="auto" w:sz="4" w:space="0"/>
              <w:bottom w:val="single" w:color="auto" w:sz="4" w:space="0"/>
              <w:right w:val="single" w:color="auto" w:sz="4" w:space="0"/>
            </w:tcBorders>
            <w:vAlign w:val="center"/>
          </w:tcPr>
          <w:p>
            <w:pPr>
              <w:shd w:val="clear"/>
              <w:spacing w:line="440" w:lineRule="exact"/>
              <w:jc w:val="center"/>
              <w:rPr>
                <w:rFonts w:hint="default" w:ascii="宋体" w:hAnsi="宋体" w:eastAsia="宋体" w:cs="宋体"/>
                <w:color w:val="auto"/>
                <w:kern w:val="0"/>
                <w:szCs w:val="21"/>
                <w:highlight w:val="none"/>
                <w:lang w:val="en-US" w:eastAsia="zh-CN"/>
              </w:rPr>
            </w:pPr>
          </w:p>
        </w:tc>
        <w:tc>
          <w:tcPr>
            <w:tcW w:w="1582" w:type="dxa"/>
            <w:vMerge w:val="continue"/>
            <w:tcBorders>
              <w:left w:val="single" w:color="auto" w:sz="4" w:space="0"/>
              <w:bottom w:val="single" w:color="auto" w:sz="4" w:space="0"/>
              <w:right w:val="single" w:color="auto" w:sz="4" w:space="0"/>
            </w:tcBorders>
            <w:vAlign w:val="center"/>
          </w:tcPr>
          <w:p>
            <w:pPr>
              <w:shd w:val="clear"/>
              <w:jc w:val="center"/>
              <w:rPr>
                <w:rFonts w:hint="eastAsia"/>
                <w:color w:val="auto"/>
                <w:highlight w:val="none"/>
                <w:lang w:val="en-US" w:eastAsia="zh-Hans"/>
              </w:rPr>
            </w:pP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snapToGrid w:val="0"/>
              <w:rPr>
                <w:rFonts w:hint="eastAsia" w:ascii="新宋体" w:hAnsi="新宋体" w:eastAsia="新宋体" w:cs="新宋体"/>
                <w:color w:val="auto"/>
                <w:sz w:val="21"/>
                <w:szCs w:val="21"/>
                <w:highlight w:val="none"/>
                <w:lang w:val="en-US" w:eastAsia="zh-CN"/>
              </w:rPr>
            </w:pPr>
            <w:r>
              <w:rPr>
                <w:rFonts w:hint="eastAsia" w:ascii="宋体" w:hAnsi="宋体" w:cs="宋体"/>
                <w:color w:val="auto"/>
                <w:szCs w:val="21"/>
                <w:highlight w:val="none"/>
              </w:rPr>
              <w:t>根据投标人提出</w:t>
            </w:r>
            <w:r>
              <w:rPr>
                <w:rFonts w:hint="eastAsia" w:ascii="宋体" w:hAnsi="宋体" w:cs="宋体"/>
                <w:color w:val="auto"/>
                <w:szCs w:val="21"/>
                <w:highlight w:val="none"/>
                <w:lang w:val="en-US" w:eastAsia="zh-CN"/>
              </w:rPr>
              <w:t>的节能改造方案</w:t>
            </w:r>
            <w:r>
              <w:rPr>
                <w:rFonts w:hint="eastAsia" w:ascii="宋体" w:hAnsi="宋体" w:cs="宋体"/>
                <w:color w:val="auto"/>
                <w:szCs w:val="21"/>
                <w:highlight w:val="none"/>
              </w:rPr>
              <w:t>能够实现能源耦合利用的情况，进行</w:t>
            </w:r>
            <w:r>
              <w:rPr>
                <w:rFonts w:hint="eastAsia" w:ascii="宋体" w:hAnsi="宋体" w:cs="宋体"/>
                <w:color w:val="auto"/>
                <w:szCs w:val="21"/>
                <w:highlight w:val="none"/>
                <w:lang w:val="en-US" w:eastAsia="zh-CN"/>
              </w:rPr>
              <w:t>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6" w:type="dxa"/>
            <w:vMerge w:val="restart"/>
            <w:tcBorders>
              <w:top w:val="single" w:color="auto" w:sz="4" w:space="0"/>
              <w:left w:val="single" w:color="auto" w:sz="4" w:space="0"/>
              <w:right w:val="single" w:color="auto" w:sz="4" w:space="0"/>
            </w:tcBorders>
            <w:vAlign w:val="center"/>
          </w:tcPr>
          <w:p>
            <w:pPr>
              <w:shd w:val="clear"/>
              <w:spacing w:line="44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1582" w:type="dxa"/>
            <w:vMerge w:val="restart"/>
            <w:tcBorders>
              <w:top w:val="single" w:color="auto" w:sz="4" w:space="0"/>
              <w:left w:val="single" w:color="auto" w:sz="4" w:space="0"/>
              <w:right w:val="single" w:color="auto" w:sz="4" w:space="0"/>
            </w:tcBorders>
            <w:vAlign w:val="center"/>
          </w:tcPr>
          <w:p>
            <w:pPr>
              <w:shd w:val="clear"/>
              <w:jc w:val="center"/>
              <w:rPr>
                <w:rFonts w:hint="eastAsia"/>
                <w:color w:val="auto"/>
                <w:highlight w:val="none"/>
                <w:lang w:val="en-US" w:eastAsia="zh-CN"/>
              </w:rPr>
            </w:pPr>
            <w:r>
              <w:rPr>
                <w:rFonts w:hint="eastAsia"/>
                <w:color w:val="auto"/>
                <w:highlight w:val="none"/>
                <w:lang w:val="en-US" w:eastAsia="zh-CN"/>
              </w:rPr>
              <w:t>持续性服务</w:t>
            </w:r>
          </w:p>
          <w:p>
            <w:pPr>
              <w:shd w:val="clear"/>
              <w:jc w:val="center"/>
              <w:rPr>
                <w:rFonts w:hint="eastAsia"/>
                <w:color w:val="auto"/>
                <w:highlight w:val="none"/>
                <w:lang w:val="en-US" w:eastAsia="zh-CN"/>
              </w:rPr>
            </w:pPr>
            <w:r>
              <w:rPr>
                <w:rFonts w:hint="eastAsia"/>
                <w:color w:val="auto"/>
                <w:highlight w:val="none"/>
                <w:lang w:val="en-US" w:eastAsia="zh-CN"/>
              </w:rPr>
              <w:t>方案</w:t>
            </w:r>
          </w:p>
          <w:p>
            <w:pPr>
              <w:shd w:val="clear"/>
              <w:jc w:val="center"/>
              <w:rPr>
                <w:rFonts w:hint="eastAsia"/>
                <w:color w:val="auto"/>
                <w:highlight w:val="none"/>
                <w:lang w:val="en-US" w:eastAsia="zh-Hans"/>
              </w:rPr>
            </w:pPr>
            <w:r>
              <w:rPr>
                <w:rFonts w:hint="eastAsia"/>
                <w:color w:val="auto"/>
                <w:highlight w:val="none"/>
                <w:lang w:val="en-US" w:eastAsia="zh-CN"/>
              </w:rPr>
              <w:t>(主观分)</w:t>
            </w: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snapToGrid w:val="0"/>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根据投标人合同期内能够持续提供服务，有序推进各道路照明能源节约并能合理运行。提供详细的系统及设备的维保方案，进行打分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6" w:type="dxa"/>
            <w:vMerge w:val="continue"/>
            <w:tcBorders>
              <w:left w:val="single" w:color="auto" w:sz="4" w:space="0"/>
              <w:bottom w:val="single" w:color="auto" w:sz="4" w:space="0"/>
              <w:right w:val="single" w:color="auto" w:sz="4" w:space="0"/>
            </w:tcBorders>
            <w:vAlign w:val="center"/>
          </w:tcPr>
          <w:p>
            <w:pPr>
              <w:shd w:val="clear"/>
              <w:spacing w:line="440" w:lineRule="exact"/>
              <w:jc w:val="center"/>
              <w:rPr>
                <w:rFonts w:hint="default" w:ascii="宋体" w:hAnsi="宋体" w:eastAsia="宋体" w:cs="宋体"/>
                <w:color w:val="auto"/>
                <w:kern w:val="0"/>
                <w:szCs w:val="21"/>
                <w:highlight w:val="none"/>
                <w:lang w:val="en-US" w:eastAsia="zh-CN"/>
              </w:rPr>
            </w:pPr>
          </w:p>
        </w:tc>
        <w:tc>
          <w:tcPr>
            <w:tcW w:w="1582" w:type="dxa"/>
            <w:vMerge w:val="continue"/>
            <w:tcBorders>
              <w:left w:val="single" w:color="auto" w:sz="4" w:space="0"/>
              <w:bottom w:val="single" w:color="auto" w:sz="4" w:space="0"/>
              <w:right w:val="single" w:color="auto" w:sz="4" w:space="0"/>
            </w:tcBorders>
            <w:vAlign w:val="center"/>
          </w:tcPr>
          <w:p>
            <w:pPr>
              <w:shd w:val="clear"/>
              <w:jc w:val="center"/>
              <w:rPr>
                <w:rFonts w:hint="eastAsia" w:ascii="宋体" w:hAnsi="宋体" w:cs="宋体"/>
                <w:color w:val="auto"/>
                <w:szCs w:val="21"/>
                <w:highlight w:val="none"/>
                <w:lang w:eastAsia="zh-Hans"/>
              </w:rPr>
            </w:pP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snapToGrid w:val="0"/>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根据投标人合同期内能够对投入或维护的设备持续提供技术改良措施的方案进行打分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分</w:t>
            </w:r>
          </w:p>
        </w:tc>
      </w:tr>
    </w:tbl>
    <w:p>
      <w:pPr>
        <w:shd w:val="clear"/>
        <w:adjustRightInd w:val="0"/>
        <w:snapToGrid w:val="0"/>
        <w:spacing w:line="360" w:lineRule="auto"/>
        <w:ind w:firstLine="464" w:firstLineChars="200"/>
        <w:rPr>
          <w:rFonts w:ascii="宋体" w:hAnsi="宋体" w:cs="宋体"/>
          <w:color w:val="auto"/>
          <w:spacing w:val="-4"/>
          <w:sz w:val="24"/>
          <w:highlight w:val="none"/>
        </w:rPr>
      </w:pPr>
      <w:r>
        <w:rPr>
          <w:rFonts w:hint="eastAsia" w:ascii="宋体" w:hAnsi="宋体" w:cs="宋体"/>
          <w:color w:val="auto"/>
          <w:spacing w:val="-4"/>
          <w:sz w:val="24"/>
          <w:highlight w:val="none"/>
        </w:rPr>
        <w:t>评标小组根据上述评分细目和各投标方的技术标书的审核情况，自行判定，打分时保留小数1位，每人一份评分表，并签名。在统计得分时，如果发现某一单项评分超过评分细则规定的分值范围，则该张评分表无效。</w:t>
      </w:r>
    </w:p>
    <w:p>
      <w:pPr>
        <w:shd w:val="clear"/>
        <w:adjustRightInd w:val="0"/>
        <w:snapToGrid w:val="0"/>
        <w:spacing w:line="360" w:lineRule="auto"/>
        <w:ind w:firstLine="459" w:firstLineChars="198"/>
        <w:rPr>
          <w:rFonts w:ascii="宋体" w:hAnsi="宋体" w:cs="宋体"/>
          <w:b/>
          <w:bCs/>
          <w:color w:val="auto"/>
          <w:spacing w:val="-4"/>
          <w:sz w:val="24"/>
          <w:highlight w:val="none"/>
        </w:rPr>
      </w:pPr>
      <w:r>
        <w:rPr>
          <w:rFonts w:hint="eastAsia" w:ascii="宋体" w:hAnsi="宋体" w:cs="宋体"/>
          <w:color w:val="auto"/>
          <w:spacing w:val="-4"/>
          <w:sz w:val="24"/>
          <w:highlight w:val="none"/>
        </w:rPr>
        <w:t>技术标得分：最终得分为评标小组成员的有效评分的算术平均值。计算时保留小数2位（四舍五入）。</w:t>
      </w:r>
      <w:r>
        <w:rPr>
          <w:rFonts w:hint="eastAsia" w:ascii="宋体" w:hAnsi="宋体" w:cs="宋体"/>
          <w:b/>
          <w:bCs/>
          <w:color w:val="auto"/>
          <w:spacing w:val="-4"/>
          <w:sz w:val="24"/>
          <w:highlight w:val="none"/>
        </w:rPr>
        <w:t xml:space="preserve"> </w:t>
      </w:r>
    </w:p>
    <w:p>
      <w:pPr>
        <w:pStyle w:val="13"/>
        <w:shd w:val="clear"/>
        <w:snapToGrid w:val="0"/>
        <w:spacing w:line="360" w:lineRule="auto"/>
        <w:ind w:left="482"/>
        <w:rPr>
          <w:rFonts w:hAnsi="宋体" w:cs="宋体"/>
          <w:b/>
          <w:bCs/>
          <w:color w:val="auto"/>
          <w:sz w:val="24"/>
          <w:szCs w:val="24"/>
          <w:highlight w:val="none"/>
        </w:rPr>
      </w:pPr>
      <w:bookmarkStart w:id="122" w:name="_Toc385504602"/>
      <w:bookmarkStart w:id="123" w:name="_Toc317082907"/>
      <w:r>
        <w:rPr>
          <w:rFonts w:hint="eastAsia" w:hAnsi="宋体" w:cs="宋体"/>
          <w:b/>
          <w:bCs/>
          <w:color w:val="auto"/>
          <w:sz w:val="24"/>
          <w:szCs w:val="24"/>
          <w:highlight w:val="none"/>
        </w:rPr>
        <w:t>2</w:t>
      </w:r>
      <w:bookmarkEnd w:id="122"/>
      <w:bookmarkEnd w:id="123"/>
      <w:r>
        <w:rPr>
          <w:rFonts w:hint="eastAsia" w:hAnsi="宋体" w:cs="宋体"/>
          <w:b/>
          <w:bCs/>
          <w:color w:val="auto"/>
          <w:sz w:val="24"/>
          <w:highlight w:val="none"/>
        </w:rPr>
        <w:t>.</w:t>
      </w:r>
      <w:r>
        <w:rPr>
          <w:rFonts w:hint="eastAsia" w:hAnsi="宋体" w:cs="宋体"/>
          <w:b/>
          <w:bCs/>
          <w:color w:val="auto"/>
          <w:sz w:val="24"/>
          <w:szCs w:val="24"/>
          <w:highlight w:val="none"/>
        </w:rPr>
        <w:t>商务标评审，满分</w:t>
      </w:r>
      <w:r>
        <w:rPr>
          <w:rFonts w:hint="eastAsia" w:hAnsi="宋体" w:cs="宋体"/>
          <w:b/>
          <w:bCs/>
          <w:color w:val="auto"/>
          <w:sz w:val="24"/>
          <w:szCs w:val="24"/>
          <w:highlight w:val="none"/>
          <w:lang w:val="en-US" w:eastAsia="zh-CN"/>
        </w:rPr>
        <w:t>2</w:t>
      </w:r>
      <w:r>
        <w:rPr>
          <w:rFonts w:hint="eastAsia" w:hAnsi="宋体" w:cs="宋体"/>
          <w:b/>
          <w:bCs/>
          <w:color w:val="auto"/>
          <w:sz w:val="24"/>
          <w:szCs w:val="24"/>
          <w:highlight w:val="none"/>
        </w:rPr>
        <w:t>0分</w:t>
      </w:r>
    </w:p>
    <w:p>
      <w:pPr>
        <w:shd w:val="clea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2.1甄别异常报价</w:t>
      </w:r>
    </w:p>
    <w:p>
      <w:pPr>
        <w:shd w:val="clear"/>
        <w:adjustRightInd w:val="0"/>
        <w:snapToGrid w:val="0"/>
        <w:spacing w:line="400" w:lineRule="exact"/>
        <w:ind w:firstLine="459" w:firstLineChars="198"/>
        <w:rPr>
          <w:rFonts w:ascii="宋体" w:hAnsi="宋体" w:cs="宋体"/>
          <w:color w:val="auto"/>
          <w:spacing w:val="-4"/>
          <w:sz w:val="24"/>
          <w:highlight w:val="none"/>
        </w:rPr>
      </w:pPr>
      <w:r>
        <w:rPr>
          <w:rFonts w:hint="eastAsia" w:ascii="宋体" w:hAnsi="宋体" w:cs="宋体"/>
          <w:color w:val="auto"/>
          <w:spacing w:val="-4"/>
          <w:sz w:val="24"/>
          <w:highlight w:val="none"/>
        </w:rPr>
        <w:t>对出现下列情况之一的，由评标小组认定为异常报价，按无效标处理，不再进行评审：</w:t>
      </w:r>
    </w:p>
    <w:p>
      <w:pPr>
        <w:shd w:val="clear"/>
        <w:adjustRightInd w:val="0"/>
        <w:snapToGrid w:val="0"/>
        <w:spacing w:line="400" w:lineRule="exact"/>
        <w:ind w:firstLine="475" w:firstLineChars="198"/>
        <w:rPr>
          <w:rFonts w:ascii="宋体" w:hAnsi="宋体" w:cs="宋体"/>
          <w:color w:val="auto"/>
          <w:sz w:val="24"/>
          <w:highlight w:val="none"/>
        </w:rPr>
      </w:pPr>
      <w:r>
        <w:rPr>
          <w:rFonts w:hint="eastAsia" w:ascii="宋体" w:hAnsi="宋体" w:cs="宋体"/>
          <w:color w:val="auto"/>
          <w:sz w:val="24"/>
          <w:highlight w:val="none"/>
        </w:rPr>
        <w:t>2.1.1报价高于</w:t>
      </w:r>
      <w:r>
        <w:rPr>
          <w:rFonts w:hint="eastAsia" w:ascii="宋体" w:hAnsi="宋体" w:cs="宋体"/>
          <w:color w:val="auto"/>
          <w:kern w:val="0"/>
          <w:sz w:val="24"/>
          <w:highlight w:val="none"/>
        </w:rPr>
        <w:t>最高限价</w:t>
      </w:r>
      <w:r>
        <w:rPr>
          <w:rFonts w:hint="eastAsia" w:ascii="宋体" w:hAnsi="宋体" w:cs="宋体"/>
          <w:color w:val="auto"/>
          <w:sz w:val="24"/>
          <w:highlight w:val="none"/>
        </w:rPr>
        <w:t>；</w:t>
      </w:r>
    </w:p>
    <w:p>
      <w:pPr>
        <w:shd w:val="clea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pacing w:val="-4"/>
          <w:sz w:val="24"/>
          <w:highlight w:val="none"/>
        </w:rPr>
        <w:t>评标小组一致认为投标人的报价明显低于其他通过符合性审查投标人的报价，有可能影响项目质量或者不能诚信履约，要求其通过“政采云”平台在规定的时间内提供CA签章的材料；投标人不能证明其报价合理性的，评标小组应当将其作为无效投标处理</w:t>
      </w:r>
    </w:p>
    <w:p>
      <w:pPr>
        <w:pStyle w:val="14"/>
        <w:shd w:val="clear"/>
        <w:spacing w:line="460" w:lineRule="exact"/>
        <w:ind w:firstLine="482" w:firstLineChars="200"/>
        <w:rPr>
          <w:rFonts w:hAnsi="宋体" w:eastAsia="宋体" w:cs="宋体"/>
          <w:b/>
          <w:bCs/>
          <w:color w:val="auto"/>
          <w:highlight w:val="none"/>
        </w:rPr>
      </w:pPr>
      <w:r>
        <w:rPr>
          <w:rFonts w:hint="eastAsia" w:hAnsi="宋体" w:eastAsia="宋体" w:cs="宋体"/>
          <w:b/>
          <w:bCs/>
          <w:color w:val="auto"/>
          <w:highlight w:val="none"/>
        </w:rPr>
        <w:t>2.2商务报价分计算方法如下：</w:t>
      </w:r>
    </w:p>
    <w:p>
      <w:pPr>
        <w:pStyle w:val="14"/>
        <w:shd w:val="clear"/>
        <w:spacing w:line="460" w:lineRule="exact"/>
        <w:ind w:firstLineChars="200"/>
        <w:rPr>
          <w:rFonts w:hAnsi="宋体" w:eastAsia="宋体" w:cs="宋体"/>
          <w:color w:val="auto"/>
          <w:highlight w:val="none"/>
        </w:rPr>
      </w:pPr>
      <w:r>
        <w:rPr>
          <w:rFonts w:hint="eastAsia" w:hAnsi="宋体" w:eastAsia="宋体" w:cs="宋体"/>
          <w:color w:val="auto"/>
          <w:highlight w:val="none"/>
        </w:rPr>
        <w:t>评标基准价的确定办法：以所有有效报价中的最低报价为基准价，投标人的价格分统一按下列公式计算：</w:t>
      </w:r>
    </w:p>
    <w:p>
      <w:pPr>
        <w:pStyle w:val="14"/>
        <w:shd w:val="clear"/>
        <w:spacing w:line="440" w:lineRule="exact"/>
        <w:ind w:firstLineChars="200"/>
        <w:rPr>
          <w:rFonts w:hAnsi="宋体" w:eastAsia="宋体" w:cs="宋体"/>
          <w:color w:val="auto"/>
          <w:szCs w:val="24"/>
          <w:highlight w:val="none"/>
        </w:rPr>
      </w:pPr>
      <w:r>
        <w:rPr>
          <w:rFonts w:hint="eastAsia" w:hAnsi="宋体" w:eastAsia="宋体" w:cs="宋体"/>
          <w:color w:val="auto"/>
          <w:szCs w:val="24"/>
          <w:highlight w:val="none"/>
        </w:rPr>
        <w:t>商务标得分={基准价/（投标报价）}×</w:t>
      </w:r>
      <w:r>
        <w:rPr>
          <w:rFonts w:hint="eastAsia" w:hAnsi="宋体" w:eastAsia="宋体" w:cs="宋体"/>
          <w:color w:val="auto"/>
          <w:szCs w:val="24"/>
          <w:highlight w:val="none"/>
          <w:lang w:val="en-US" w:eastAsia="zh-CN"/>
        </w:rPr>
        <w:t>2</w:t>
      </w:r>
      <w:r>
        <w:rPr>
          <w:rFonts w:hint="eastAsia" w:hAnsi="宋体" w:eastAsia="宋体" w:cs="宋体"/>
          <w:color w:val="auto"/>
          <w:szCs w:val="24"/>
          <w:highlight w:val="none"/>
        </w:rPr>
        <w:t xml:space="preserve">0    </w:t>
      </w:r>
    </w:p>
    <w:p>
      <w:pPr>
        <w:pStyle w:val="14"/>
        <w:shd w:val="clear"/>
        <w:spacing w:line="460" w:lineRule="exact"/>
        <w:ind w:firstLine="482" w:firstLineChars="200"/>
        <w:rPr>
          <w:rFonts w:hAnsi="宋体" w:eastAsia="宋体" w:cs="宋体"/>
          <w:b/>
          <w:bCs/>
          <w:color w:val="auto"/>
          <w:highlight w:val="none"/>
        </w:rPr>
      </w:pPr>
      <w:r>
        <w:rPr>
          <w:rFonts w:hint="eastAsia" w:hAnsi="宋体" w:eastAsia="宋体" w:cs="宋体"/>
          <w:b/>
          <w:bCs/>
          <w:color w:val="auto"/>
          <w:highlight w:val="none"/>
        </w:rPr>
        <w:t>3.计算总得分</w:t>
      </w:r>
    </w:p>
    <w:p>
      <w:pPr>
        <w:pStyle w:val="14"/>
        <w:shd w:val="clear"/>
        <w:spacing w:line="460" w:lineRule="exact"/>
        <w:ind w:firstLineChars="200"/>
        <w:rPr>
          <w:rFonts w:hAnsi="宋体" w:eastAsia="宋体" w:cs="宋体"/>
          <w:color w:val="auto"/>
          <w:highlight w:val="none"/>
        </w:rPr>
      </w:pPr>
      <w:r>
        <w:rPr>
          <w:rFonts w:hint="eastAsia" w:hAnsi="宋体" w:eastAsia="宋体" w:cs="宋体"/>
          <w:color w:val="auto"/>
          <w:highlight w:val="none"/>
        </w:rPr>
        <w:t>总得分=技术标得分+商务标得分</w:t>
      </w:r>
      <w:bookmarkStart w:id="124" w:name="_Toc439841453"/>
      <w:bookmarkStart w:id="125" w:name="_Toc405798418"/>
      <w:r>
        <w:rPr>
          <w:rFonts w:hint="eastAsia" w:hAnsi="宋体" w:eastAsia="宋体" w:cs="宋体"/>
          <w:color w:val="auto"/>
          <w:highlight w:val="none"/>
        </w:rPr>
        <w:t xml:space="preserve">             计算时保留小数2位（四舍五入）。</w:t>
      </w:r>
    </w:p>
    <w:p>
      <w:pPr>
        <w:pStyle w:val="13"/>
        <w:shd w:val="clear"/>
        <w:snapToGrid w:val="0"/>
        <w:spacing w:line="360" w:lineRule="auto"/>
        <w:ind w:firstLine="482"/>
        <w:rPr>
          <w:rFonts w:hAnsi="宋体" w:cs="宋体"/>
          <w:b/>
          <w:color w:val="auto"/>
          <w:spacing w:val="-4"/>
          <w:sz w:val="24"/>
          <w:highlight w:val="none"/>
        </w:rPr>
      </w:pPr>
      <w:r>
        <w:rPr>
          <w:rFonts w:hint="eastAsia" w:hAnsi="宋体" w:cs="宋体"/>
          <w:b/>
          <w:color w:val="auto"/>
          <w:spacing w:val="-4"/>
          <w:sz w:val="24"/>
          <w:highlight w:val="none"/>
        </w:rPr>
        <w:t>三 、定标办法</w:t>
      </w:r>
      <w:bookmarkEnd w:id="124"/>
      <w:bookmarkEnd w:id="125"/>
    </w:p>
    <w:p>
      <w:pPr>
        <w:shd w:val="clear"/>
        <w:spacing w:line="440" w:lineRule="exact"/>
        <w:ind w:firstLine="480" w:firstLineChars="200"/>
        <w:rPr>
          <w:rFonts w:ascii="宋体" w:hAnsi="宋体" w:cs="宋体"/>
          <w:color w:val="auto"/>
          <w:highlight w:val="none"/>
        </w:rPr>
      </w:pPr>
      <w:r>
        <w:rPr>
          <w:rFonts w:hint="eastAsia" w:ascii="宋体" w:hAnsi="宋体" w:cs="宋体"/>
          <w:color w:val="auto"/>
          <w:sz w:val="24"/>
          <w:highlight w:val="none"/>
        </w:rPr>
        <w:t>1</w:t>
      </w:r>
      <w:r>
        <w:rPr>
          <w:rFonts w:hint="eastAsia" w:ascii="宋体" w:hAnsi="宋体" w:cs="宋体"/>
          <w:b/>
          <w:bCs/>
          <w:color w:val="auto"/>
          <w:highlight w:val="none"/>
        </w:rPr>
        <w:t>.</w:t>
      </w:r>
      <w:r>
        <w:rPr>
          <w:rFonts w:hint="eastAsia" w:ascii="宋体" w:hAnsi="宋体" w:cs="宋体"/>
          <w:color w:val="auto"/>
          <w:sz w:val="24"/>
          <w:highlight w:val="none"/>
        </w:rPr>
        <w:t>评标小组完成评标后，评标结果按评审后得分由高到低顺序排列（总得分相同的，按投标报价由低到高顺序排列；得分且投标报价相同的，按技术分从高到低顺序排列，技术分也相同的，由采购人代表采用公共资源交易中心抽取程序随机确定排列顺序）。评标小组直接确定</w:t>
      </w:r>
      <w:r>
        <w:rPr>
          <w:rFonts w:hint="eastAsia" w:ascii="宋体" w:hAnsi="宋体" w:cs="宋体"/>
          <w:b/>
          <w:bCs/>
          <w:color w:val="auto"/>
          <w:sz w:val="24"/>
          <w:highlight w:val="none"/>
        </w:rPr>
        <w:t>排名第一的投标单位</w:t>
      </w:r>
      <w:r>
        <w:rPr>
          <w:rFonts w:hint="eastAsia" w:ascii="宋体" w:hAnsi="宋体" w:cs="宋体"/>
          <w:color w:val="auto"/>
          <w:sz w:val="24"/>
          <w:highlight w:val="none"/>
        </w:rPr>
        <w:t>为中标候选人向采购人推荐，并提交经评标小组成员签字的评标报告。</w:t>
      </w:r>
    </w:p>
    <w:p>
      <w:pPr>
        <w:shd w:val="clear"/>
        <w:tabs>
          <w:tab w:val="left" w:pos="4111"/>
        </w:tabs>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
          <w:bCs/>
          <w:color w:val="auto"/>
          <w:highlight w:val="none"/>
        </w:rPr>
        <w:t>.</w:t>
      </w:r>
      <w:r>
        <w:rPr>
          <w:rFonts w:hint="eastAsia" w:ascii="宋体" w:hAnsi="宋体" w:cs="宋体"/>
          <w:color w:val="auto"/>
          <w:sz w:val="24"/>
          <w:highlight w:val="none"/>
        </w:rPr>
        <w:t>采购人直接授权评标小组确定中标人。</w:t>
      </w:r>
    </w:p>
    <w:p>
      <w:pPr>
        <w:pStyle w:val="13"/>
        <w:shd w:val="clear"/>
        <w:spacing w:before="120" w:after="120" w:line="440" w:lineRule="exact"/>
        <w:ind w:left="482"/>
        <w:rPr>
          <w:rFonts w:hAnsi="宋体" w:cs="宋体"/>
          <w:color w:val="auto"/>
          <w:sz w:val="24"/>
          <w:szCs w:val="24"/>
          <w:highlight w:val="none"/>
        </w:rPr>
      </w:pPr>
      <w:bookmarkStart w:id="126" w:name="_Toc338319019"/>
      <w:r>
        <w:rPr>
          <w:rFonts w:hint="eastAsia" w:hAnsi="宋体" w:cs="宋体"/>
          <w:color w:val="auto"/>
          <w:sz w:val="24"/>
          <w:szCs w:val="24"/>
          <w:highlight w:val="none"/>
        </w:rPr>
        <w:t>3.当确定的中标人放弃中标，因不可抗力提出不能履行合同，重新组织招标。</w:t>
      </w:r>
      <w:bookmarkEnd w:id="126"/>
    </w:p>
    <w:p>
      <w:pPr>
        <w:pStyle w:val="13"/>
        <w:shd w:val="clear"/>
        <w:snapToGrid w:val="0"/>
        <w:spacing w:line="360" w:lineRule="auto"/>
        <w:ind w:firstLine="482"/>
        <w:rPr>
          <w:rFonts w:hAnsi="宋体" w:cs="宋体"/>
          <w:b/>
          <w:color w:val="auto"/>
          <w:spacing w:val="-4"/>
          <w:sz w:val="24"/>
          <w:highlight w:val="none"/>
        </w:rPr>
      </w:pPr>
      <w:r>
        <w:rPr>
          <w:rFonts w:hint="eastAsia" w:hAnsi="宋体" w:cs="宋体"/>
          <w:b/>
          <w:color w:val="auto"/>
          <w:spacing w:val="-4"/>
          <w:sz w:val="24"/>
          <w:highlight w:val="none"/>
        </w:rPr>
        <w:t>四、评标小组不向落标方解释落标原因，不退还投标文件。</w:t>
      </w:r>
    </w:p>
    <w:p>
      <w:pPr>
        <w:pStyle w:val="26"/>
        <w:shd w:val="clear"/>
        <w:rPr>
          <w:rFonts w:ascii="宋体" w:hAnsi="宋体" w:eastAsia="宋体" w:cs="宋体"/>
          <w:b w:val="0"/>
          <w:bCs w:val="0"/>
          <w:color w:val="auto"/>
          <w:sz w:val="28"/>
          <w:szCs w:val="28"/>
          <w:highlight w:val="none"/>
        </w:rPr>
      </w:pPr>
    </w:p>
    <w:p>
      <w:pPr>
        <w:pStyle w:val="27"/>
        <w:shd w:val="clear"/>
        <w:rPr>
          <w:rFonts w:ascii="宋体" w:hAnsi="宋体" w:cs="宋体"/>
          <w:b/>
          <w:bCs/>
          <w:color w:val="auto"/>
          <w:sz w:val="28"/>
          <w:szCs w:val="28"/>
          <w:highlight w:val="none"/>
        </w:rPr>
      </w:pPr>
    </w:p>
    <w:p>
      <w:pPr>
        <w:pStyle w:val="27"/>
        <w:shd w:val="clear"/>
        <w:rPr>
          <w:rFonts w:ascii="宋体" w:hAnsi="宋体" w:cs="宋体"/>
          <w:b/>
          <w:bCs/>
          <w:color w:val="auto"/>
          <w:sz w:val="28"/>
          <w:szCs w:val="28"/>
          <w:highlight w:val="none"/>
        </w:rPr>
      </w:pPr>
    </w:p>
    <w:p>
      <w:pPr>
        <w:pStyle w:val="27"/>
        <w:shd w:val="clear"/>
        <w:rPr>
          <w:rFonts w:ascii="宋体" w:hAnsi="宋体" w:cs="宋体"/>
          <w:b/>
          <w:bCs/>
          <w:color w:val="auto"/>
          <w:sz w:val="28"/>
          <w:szCs w:val="28"/>
          <w:highlight w:val="none"/>
        </w:rPr>
      </w:pPr>
      <w:bookmarkStart w:id="127" w:name="_Toc9890"/>
      <w:bookmarkStart w:id="128" w:name="_Toc15129"/>
      <w:bookmarkStart w:id="129" w:name="_Toc10069"/>
    </w:p>
    <w:p>
      <w:pPr>
        <w:pStyle w:val="27"/>
        <w:shd w:val="clear"/>
        <w:rPr>
          <w:rFonts w:ascii="宋体" w:hAnsi="宋体" w:cs="宋体"/>
          <w:b/>
          <w:bCs/>
          <w:color w:val="auto"/>
          <w:sz w:val="28"/>
          <w:szCs w:val="28"/>
          <w:highlight w:val="none"/>
        </w:rPr>
      </w:pPr>
    </w:p>
    <w:p>
      <w:pPr>
        <w:pStyle w:val="27"/>
        <w:shd w:val="clear"/>
        <w:rPr>
          <w:rFonts w:ascii="宋体" w:hAnsi="宋体" w:cs="宋体"/>
          <w:b/>
          <w:bCs/>
          <w:color w:val="auto"/>
          <w:sz w:val="28"/>
          <w:szCs w:val="28"/>
          <w:highlight w:val="none"/>
        </w:rPr>
      </w:pPr>
    </w:p>
    <w:p>
      <w:pPr>
        <w:pStyle w:val="27"/>
        <w:shd w:val="clear"/>
        <w:rPr>
          <w:rFonts w:ascii="宋体" w:hAnsi="宋体" w:cs="宋体"/>
          <w:b/>
          <w:bCs/>
          <w:color w:val="auto"/>
          <w:sz w:val="28"/>
          <w:szCs w:val="28"/>
          <w:highlight w:val="none"/>
        </w:rPr>
      </w:pPr>
    </w:p>
    <w:p>
      <w:pPr>
        <w:pStyle w:val="27"/>
        <w:shd w:val="clear"/>
        <w:rPr>
          <w:rFonts w:ascii="宋体" w:hAnsi="宋体" w:cs="宋体"/>
          <w:b/>
          <w:bCs/>
          <w:color w:val="auto"/>
          <w:sz w:val="28"/>
          <w:szCs w:val="28"/>
          <w:highlight w:val="none"/>
        </w:rPr>
      </w:pPr>
    </w:p>
    <w:p>
      <w:pPr>
        <w:pStyle w:val="27"/>
        <w:shd w:val="clear"/>
        <w:rPr>
          <w:rFonts w:ascii="宋体" w:hAnsi="宋体" w:cs="宋体"/>
          <w:b/>
          <w:bCs/>
          <w:color w:val="auto"/>
          <w:sz w:val="28"/>
          <w:szCs w:val="28"/>
          <w:highlight w:val="none"/>
        </w:rPr>
      </w:pPr>
    </w:p>
    <w:p>
      <w:pPr>
        <w:pStyle w:val="5"/>
        <w:shd w:val="clear"/>
        <w:spacing w:before="0" w:after="0" w:line="240" w:lineRule="auto"/>
        <w:jc w:val="center"/>
        <w:rPr>
          <w:rFonts w:ascii="宋体" w:hAnsi="宋体" w:cs="宋体"/>
          <w:color w:val="auto"/>
          <w:sz w:val="36"/>
          <w:szCs w:val="36"/>
          <w:highlight w:val="none"/>
        </w:rPr>
      </w:pPr>
      <w:bookmarkStart w:id="130" w:name="_Toc23465"/>
      <w:r>
        <w:rPr>
          <w:rFonts w:hint="eastAsia" w:ascii="宋体" w:hAnsi="宋体" w:cs="宋体"/>
          <w:color w:val="auto"/>
          <w:sz w:val="36"/>
          <w:szCs w:val="36"/>
          <w:highlight w:val="none"/>
        </w:rPr>
        <w:t>第七章 拟签订的合同文本</w:t>
      </w:r>
      <w:bookmarkEnd w:id="127"/>
      <w:bookmarkEnd w:id="128"/>
      <w:bookmarkEnd w:id="129"/>
      <w:bookmarkEnd w:id="130"/>
    </w:p>
    <w:p>
      <w:pPr>
        <w:widowControl/>
        <w:shd w:val="clear"/>
        <w:spacing w:line="360" w:lineRule="auto"/>
        <w:ind w:firstLine="482" w:firstLineChars="20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义乌市政府采购合同（样本）</w:t>
      </w:r>
    </w:p>
    <w:p>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b/>
          <w:color w:val="auto"/>
          <w:kern w:val="0"/>
          <w:sz w:val="24"/>
          <w:highlight w:val="none"/>
          <w:u w:val="single"/>
        </w:rPr>
        <w:t>义乌市人民政府廿三里街道办事处</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 xml:space="preserve">   </w:t>
      </w:r>
    </w:p>
    <w:p>
      <w:pPr>
        <w:shd w:val="clear"/>
        <w:spacing w:line="42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pStyle w:val="13"/>
        <w:shd w:val="clear"/>
        <w:spacing w:line="420" w:lineRule="exact"/>
        <w:ind w:firstLine="420"/>
        <w:rPr>
          <w:rFonts w:hAnsi="宋体" w:cs="宋体"/>
          <w:color w:val="auto"/>
          <w:sz w:val="24"/>
          <w:szCs w:val="24"/>
          <w:highlight w:val="none"/>
        </w:rPr>
      </w:pPr>
      <w:r>
        <w:rPr>
          <w:rFonts w:hint="eastAsia" w:hAnsi="宋体" w:cs="宋体"/>
          <w:color w:val="auto"/>
          <w:sz w:val="24"/>
          <w:szCs w:val="24"/>
          <w:highlight w:val="none"/>
        </w:rPr>
        <w:t>甲、乙双方根据</w:t>
      </w:r>
      <w:r>
        <w:rPr>
          <w:rFonts w:hint="eastAsia" w:hAnsi="宋体" w:cs="宋体"/>
          <w:color w:val="auto"/>
          <w:sz w:val="24"/>
          <w:szCs w:val="24"/>
          <w:highlight w:val="none"/>
          <w:u w:val="single"/>
        </w:rPr>
        <w:t>　　　</w:t>
      </w:r>
      <w:r>
        <w:rPr>
          <w:rFonts w:hint="eastAsia" w:hAnsi="宋体" w:cs="宋体"/>
          <w:color w:val="auto"/>
          <w:sz w:val="24"/>
          <w:szCs w:val="24"/>
          <w:highlight w:val="none"/>
        </w:rPr>
        <w:t>年</w:t>
      </w:r>
      <w:r>
        <w:rPr>
          <w:rFonts w:hint="eastAsia" w:hAnsi="宋体" w:cs="宋体"/>
          <w:color w:val="auto"/>
          <w:sz w:val="24"/>
          <w:szCs w:val="24"/>
          <w:highlight w:val="none"/>
          <w:u w:val="single"/>
        </w:rPr>
        <w:t>　</w:t>
      </w:r>
      <w:r>
        <w:rPr>
          <w:rFonts w:hint="eastAsia" w:hAnsi="宋体" w:cs="宋体"/>
          <w:color w:val="auto"/>
          <w:sz w:val="24"/>
          <w:szCs w:val="24"/>
          <w:highlight w:val="none"/>
        </w:rPr>
        <w:t>月</w:t>
      </w:r>
      <w:r>
        <w:rPr>
          <w:rFonts w:hint="eastAsia" w:hAnsi="宋体" w:cs="宋体"/>
          <w:color w:val="auto"/>
          <w:sz w:val="24"/>
          <w:szCs w:val="24"/>
          <w:highlight w:val="none"/>
          <w:u w:val="single"/>
        </w:rPr>
        <w:t>　　</w:t>
      </w:r>
      <w:r>
        <w:rPr>
          <w:rFonts w:hint="eastAsia" w:hAnsi="宋体" w:cs="宋体"/>
          <w:color w:val="auto"/>
          <w:sz w:val="24"/>
          <w:szCs w:val="24"/>
          <w:highlight w:val="none"/>
        </w:rPr>
        <w:t>日义乌市</w:t>
      </w:r>
      <w:r>
        <w:rPr>
          <w:rFonts w:hint="eastAsia" w:hAnsi="宋体" w:cs="宋体"/>
          <w:color w:val="auto"/>
          <w:sz w:val="24"/>
          <w:szCs w:val="24"/>
          <w:highlight w:val="none"/>
          <w:u w:val="single"/>
        </w:rPr>
        <w:t>　　　　　　       　　　　　</w:t>
      </w:r>
      <w:r>
        <w:rPr>
          <w:rFonts w:hint="eastAsia" w:hAnsi="宋体" w:cs="宋体"/>
          <w:color w:val="auto"/>
          <w:sz w:val="24"/>
          <w:szCs w:val="24"/>
          <w:highlight w:val="none"/>
        </w:rPr>
        <w:t>项目（</w:t>
      </w:r>
      <w:r>
        <w:rPr>
          <w:rFonts w:hint="eastAsia" w:hAnsi="宋体" w:cs="宋体"/>
          <w:color w:val="auto"/>
          <w:sz w:val="24"/>
          <w:szCs w:val="24"/>
          <w:highlight w:val="none"/>
          <w:u w:val="single"/>
        </w:rPr>
        <w:t xml:space="preserve">采购编号：                 </w:t>
      </w:r>
      <w:r>
        <w:rPr>
          <w:rFonts w:hint="eastAsia" w:hAnsi="宋体" w:cs="宋体"/>
          <w:color w:val="auto"/>
          <w:sz w:val="24"/>
          <w:szCs w:val="24"/>
          <w:highlight w:val="none"/>
        </w:rPr>
        <w:t>）招标结果和采购文件的要求，并经双方协调一致，订立本采购合同。本合同（□是 □否）为可融资合同。</w:t>
      </w:r>
    </w:p>
    <w:p>
      <w:pPr>
        <w:shd w:val="clear"/>
        <w:snapToGrid w:val="0"/>
        <w:spacing w:line="440" w:lineRule="exact"/>
        <w:ind w:firstLine="482" w:firstLineChars="200"/>
        <w:textAlignment w:val="baseline"/>
        <w:rPr>
          <w:rFonts w:ascii="宋体" w:hAnsi="宋体" w:cs="宋体"/>
          <w:b/>
          <w:bCs/>
          <w:color w:val="auto"/>
          <w:sz w:val="24"/>
          <w:highlight w:val="none"/>
        </w:rPr>
      </w:pPr>
      <w:r>
        <w:rPr>
          <w:rFonts w:hint="eastAsia" w:ascii="宋体" w:hAnsi="宋体" w:cs="宋体"/>
          <w:b/>
          <w:bCs/>
          <w:color w:val="auto"/>
          <w:sz w:val="24"/>
          <w:highlight w:val="none"/>
        </w:rPr>
        <w:t>一、合同文件组成</w:t>
      </w:r>
    </w:p>
    <w:p>
      <w:pPr>
        <w:shd w:val="clear"/>
        <w:snapToGrid w:val="0"/>
        <w:spacing w:line="440" w:lineRule="exact"/>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采购文件及其补充文件、询标承诺、询疑答复、投标响应文件、双方来函。合同文件组成的所有内容是构成合同不可分割的部分，与合同具有同等法律效力。</w:t>
      </w:r>
    </w:p>
    <w:p>
      <w:pPr>
        <w:shd w:val="clear"/>
        <w:spacing w:line="4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二、服务内容及要求:</w:t>
      </w:r>
    </w:p>
    <w:p>
      <w:pPr>
        <w:shd w:val="clear"/>
        <w:spacing w:line="44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1.承包范围：</w:t>
      </w:r>
      <w:r>
        <w:rPr>
          <w:rFonts w:hint="eastAsia" w:ascii="宋体" w:hAnsi="宋体" w:cs="宋体"/>
          <w:bCs/>
          <w:color w:val="auto"/>
          <w:sz w:val="24"/>
          <w:highlight w:val="none"/>
          <w:u w:val="none"/>
        </w:rPr>
        <w:t>按采购文件内容。</w:t>
      </w:r>
    </w:p>
    <w:p>
      <w:pPr>
        <w:shd w:val="clear"/>
        <w:spacing w:line="440" w:lineRule="exact"/>
        <w:ind w:firstLine="482" w:firstLineChars="200"/>
        <w:rPr>
          <w:rFonts w:ascii="宋体" w:hAnsi="宋体" w:cs="宋体"/>
          <w:b/>
          <w:color w:val="auto"/>
          <w:sz w:val="24"/>
          <w:highlight w:val="none"/>
        </w:rPr>
      </w:pPr>
      <w:r>
        <w:rPr>
          <w:rFonts w:hint="eastAsia" w:ascii="宋体" w:hAnsi="宋体" w:cs="宋体"/>
          <w:b/>
          <w:bCs/>
          <w:color w:val="auto"/>
          <w:sz w:val="24"/>
          <w:highlight w:val="none"/>
        </w:rPr>
        <w:t>2.承包方式：</w:t>
      </w:r>
    </w:p>
    <w:p>
      <w:pPr>
        <w:shd w:val="clear"/>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本项目承包方式在约定范围内实行单价固定、包货物量、包安装、包供货安装时间、包维修、包质量、包安全、包文明施工管理的承包方式。</w:t>
      </w:r>
    </w:p>
    <w:p>
      <w:pPr>
        <w:shd w:val="clea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3.工期要求</w:t>
      </w:r>
    </w:p>
    <w:p>
      <w:pPr>
        <w:shd w:val="clear"/>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3.1货物供应及安装完成时间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rPr>
        <w:t>。</w:t>
      </w:r>
    </w:p>
    <w:p>
      <w:pPr>
        <w:shd w:val="clear"/>
        <w:autoSpaceDE w:val="0"/>
        <w:autoSpaceDN w:val="0"/>
        <w:adjustRightInd w:val="0"/>
        <w:spacing w:line="440" w:lineRule="exact"/>
        <w:ind w:firstLine="480" w:firstLineChars="200"/>
        <w:rPr>
          <w:rFonts w:ascii="宋体" w:hAnsi="宋体" w:cs="宋体"/>
          <w:bCs/>
          <w:color w:val="auto"/>
          <w:sz w:val="24"/>
          <w:highlight w:val="none"/>
          <w:u w:val="none"/>
        </w:rPr>
      </w:pPr>
      <w:r>
        <w:rPr>
          <w:rFonts w:hint="eastAsia" w:ascii="宋体" w:hAnsi="宋体" w:cs="宋体"/>
          <w:color w:val="auto"/>
          <w:sz w:val="24"/>
          <w:highlight w:val="none"/>
          <w:u w:val="none"/>
        </w:rPr>
        <w:t>3.2合同</w:t>
      </w:r>
      <w:r>
        <w:rPr>
          <w:rFonts w:hint="eastAsia" w:ascii="宋体" w:hAnsi="宋体" w:cs="宋体"/>
          <w:bCs/>
          <w:color w:val="auto"/>
          <w:sz w:val="24"/>
          <w:highlight w:val="none"/>
          <w:u w:val="none"/>
        </w:rPr>
        <w:t>供货安装时间</w:t>
      </w:r>
      <w:r>
        <w:rPr>
          <w:rFonts w:hint="eastAsia" w:ascii="宋体" w:hAnsi="宋体" w:cs="宋体"/>
          <w:color w:val="auto"/>
          <w:sz w:val="24"/>
          <w:highlight w:val="none"/>
          <w:u w:val="none"/>
        </w:rPr>
        <w:t>如遇下列情况，经甲方书面确认后，</w:t>
      </w:r>
      <w:r>
        <w:rPr>
          <w:rFonts w:hint="eastAsia" w:ascii="宋体" w:hAnsi="宋体" w:cs="宋体"/>
          <w:bCs/>
          <w:color w:val="auto"/>
          <w:sz w:val="24"/>
          <w:highlight w:val="none"/>
          <w:u w:val="none"/>
        </w:rPr>
        <w:t>供货安装时间</w:t>
      </w:r>
      <w:r>
        <w:rPr>
          <w:rFonts w:hint="eastAsia" w:ascii="宋体" w:hAnsi="宋体" w:cs="宋体"/>
          <w:color w:val="auto"/>
          <w:sz w:val="24"/>
          <w:highlight w:val="none"/>
          <w:u w:val="none"/>
        </w:rPr>
        <w:t>可相应顺延。</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3.2.1合同履行中发生重大变更而确实影响到供货安装进度（属乙方组织生产、安装等失误引起的供货安装进度滞后由乙方负责）。</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3.2.2不可抗力因素。</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3.2.3非乙方原因而确实影响到供货安装进度的。</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除上述外，乙方不得以任何理由变更供货安装时间。</w:t>
      </w:r>
    </w:p>
    <w:p>
      <w:pPr>
        <w:shd w:val="clear"/>
        <w:autoSpaceDE w:val="0"/>
        <w:autoSpaceDN w:val="0"/>
        <w:adjustRightInd w:val="0"/>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4.技术要求</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4.1所有投标的货物、设施必须满足相应标准或使用要求。</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4.2项目应遵照国家的有关技术（验收）规程、规范、标准。</w:t>
      </w:r>
    </w:p>
    <w:p>
      <w:pPr>
        <w:shd w:val="clear"/>
        <w:autoSpaceDE w:val="0"/>
        <w:autoSpaceDN w:val="0"/>
        <w:adjustRightInd w:val="0"/>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5.质量要求</w:t>
      </w:r>
    </w:p>
    <w:p>
      <w:pPr>
        <w:shd w:val="clear"/>
        <w:spacing w:line="440" w:lineRule="exact"/>
        <w:ind w:firstLine="480" w:firstLineChars="200"/>
        <w:rPr>
          <w:rFonts w:ascii="宋体" w:hAnsi="宋体" w:cs="宋体"/>
          <w:b w:val="0"/>
          <w:bCs w:val="0"/>
          <w:color w:val="auto"/>
          <w:sz w:val="24"/>
          <w:highlight w:val="none"/>
          <w:u w:val="none"/>
        </w:rPr>
      </w:pPr>
      <w:r>
        <w:rPr>
          <w:rFonts w:hint="eastAsia" w:ascii="宋体" w:hAnsi="宋体" w:cs="宋体"/>
          <w:b w:val="0"/>
          <w:bCs w:val="0"/>
          <w:color w:val="auto"/>
          <w:sz w:val="24"/>
          <w:highlight w:val="none"/>
          <w:u w:val="none"/>
        </w:rPr>
        <w:t>5.1合格，且必须符合本</w:t>
      </w:r>
      <w:r>
        <w:rPr>
          <w:rFonts w:hint="eastAsia" w:ascii="宋体" w:hAnsi="宋体" w:cs="宋体"/>
          <w:b w:val="0"/>
          <w:bCs w:val="0"/>
          <w:color w:val="auto"/>
          <w:sz w:val="24"/>
          <w:highlight w:val="none"/>
          <w:u w:val="none"/>
          <w:lang w:val="en-US" w:eastAsia="zh-CN"/>
        </w:rPr>
        <w:t>招标文件要求</w:t>
      </w:r>
      <w:r>
        <w:rPr>
          <w:rFonts w:hint="eastAsia" w:ascii="宋体" w:hAnsi="宋体" w:cs="宋体"/>
          <w:b w:val="0"/>
          <w:bCs w:val="0"/>
          <w:color w:val="auto"/>
          <w:sz w:val="24"/>
          <w:highlight w:val="none"/>
          <w:u w:val="none"/>
        </w:rPr>
        <w:t>所有条款要求。</w:t>
      </w:r>
    </w:p>
    <w:p>
      <w:pPr>
        <w:shd w:val="clear"/>
        <w:autoSpaceDE w:val="0"/>
        <w:autoSpaceDN w:val="0"/>
        <w:adjustRightInd w:val="0"/>
        <w:spacing w:line="440" w:lineRule="exact"/>
        <w:ind w:firstLine="482" w:firstLineChars="200"/>
        <w:rPr>
          <w:rFonts w:ascii="宋体" w:hAnsi="宋体" w:cs="宋体"/>
          <w:b/>
          <w:bCs/>
          <w:color w:val="auto"/>
          <w:sz w:val="24"/>
          <w:highlight w:val="none"/>
          <w:u w:val="none"/>
        </w:rPr>
      </w:pPr>
      <w:r>
        <w:rPr>
          <w:rFonts w:hint="eastAsia" w:ascii="宋体" w:hAnsi="宋体" w:cs="宋体"/>
          <w:b/>
          <w:bCs/>
          <w:color w:val="auto"/>
          <w:sz w:val="24"/>
          <w:highlight w:val="none"/>
          <w:u w:val="none"/>
        </w:rPr>
        <w:t>6.乙方必须严格按照项目技术要求进行安装，并接受甲方的监督管理。</w:t>
      </w:r>
    </w:p>
    <w:p>
      <w:pPr>
        <w:shd w:val="clea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7.培训保修</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7.1在项目组织验收之前，应完成对甲方不少于2名操作人员的培训（提供完整的技术培训，使甲方今后能自行操作、维护）。</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7.2乙方应分别提供称职的指导人员，为甲方确定的培训人员在现场提供操作和维护培训。</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7.3乙方应编写培训手册并取得甲方同意，本手册应是根据本项目的货物，在有关测试、操作及维护方面，对人员的培训和指导提供全面的培训手册，每种手册提供六套。如果需要，甲方有权对其进行复印。</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7.4乙方应对甲方提供全面的技术和维护咨询。</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7.5本项目的质保期为验收合格之日起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年，货物在</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年内损坏的（非人为造成）由乙方全权负责，如造成甲方相应的经济损失由乙方承担。</w:t>
      </w:r>
    </w:p>
    <w:p>
      <w:pPr>
        <w:shd w:val="clear"/>
        <w:autoSpaceDE w:val="0"/>
        <w:autoSpaceDN w:val="0"/>
        <w:adjustRightIn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8.货物的供应</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8.1按采购文件内容和要求；</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8.2 乙方必须经甲方确认后方可进行货物供应，擅自供应的货物甲方不予以认可</w:t>
      </w:r>
      <w:r>
        <w:rPr>
          <w:rFonts w:hint="eastAsia" w:ascii="宋体" w:hAnsi="宋体" w:cs="宋体"/>
          <w:b/>
          <w:color w:val="auto"/>
          <w:sz w:val="24"/>
          <w:highlight w:val="none"/>
          <w:u w:val="none"/>
        </w:rPr>
        <w:t>。</w:t>
      </w:r>
    </w:p>
    <w:p>
      <w:pPr>
        <w:shd w:val="clear"/>
        <w:autoSpaceDE w:val="0"/>
        <w:autoSpaceDN w:val="0"/>
        <w:adjustRightIn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9.货物、安装款的支付</w:t>
      </w:r>
    </w:p>
    <w:p>
      <w:pPr>
        <w:shd w:val="clear"/>
        <w:autoSpaceDE w:val="0"/>
        <w:autoSpaceDN w:val="0"/>
        <w:adjustRightInd w:val="0"/>
        <w:spacing w:line="440" w:lineRule="exact"/>
        <w:ind w:firstLine="480"/>
        <w:rPr>
          <w:rFonts w:ascii="宋体" w:hAnsi="宋体" w:cs="宋体"/>
          <w:color w:val="auto"/>
          <w:sz w:val="24"/>
          <w:highlight w:val="none"/>
          <w:u w:val="none"/>
          <w:lang w:val="zh-CN"/>
        </w:rPr>
      </w:pPr>
      <w:r>
        <w:rPr>
          <w:rFonts w:hint="eastAsia" w:ascii="宋体" w:hAnsi="宋体" w:cs="宋体"/>
          <w:color w:val="auto"/>
          <w:sz w:val="24"/>
          <w:highlight w:val="none"/>
          <w:u w:val="none"/>
        </w:rPr>
        <w:t>9.1</w:t>
      </w:r>
      <w:r>
        <w:rPr>
          <w:rFonts w:hint="eastAsia" w:ascii="宋体" w:hAnsi="宋体" w:cs="宋体"/>
          <w:color w:val="auto"/>
          <w:sz w:val="24"/>
          <w:highlight w:val="none"/>
          <w:u w:val="none"/>
          <w:lang w:val="zh-CN"/>
        </w:rPr>
        <w:t>改造后的亮度不低于改造前亮度的前提下，达到样板区的节电效果（灯具验收技术参数见附件设计）；</w:t>
      </w:r>
    </w:p>
    <w:p>
      <w:pPr>
        <w:shd w:val="clear"/>
        <w:autoSpaceDE w:val="0"/>
        <w:autoSpaceDN w:val="0"/>
        <w:adjustRightInd w:val="0"/>
        <w:spacing w:line="440" w:lineRule="exact"/>
        <w:ind w:firstLine="480" w:firstLineChars="200"/>
        <w:rPr>
          <w:rFonts w:ascii="宋体" w:hAnsi="宋体" w:cs="宋体"/>
          <w:color w:val="auto"/>
          <w:sz w:val="24"/>
          <w:highlight w:val="none"/>
          <w:u w:val="none"/>
          <w:lang w:val="zh-CN"/>
        </w:rPr>
      </w:pPr>
      <w:r>
        <w:rPr>
          <w:rFonts w:hint="eastAsia" w:ascii="宋体" w:hAnsi="宋体" w:cs="宋体"/>
          <w:color w:val="auto"/>
          <w:sz w:val="24"/>
          <w:highlight w:val="none"/>
          <w:u w:val="none"/>
          <w:lang w:val="zh-CN"/>
        </w:rPr>
        <w:t>9.2项目建设完工后一个月内由</w:t>
      </w:r>
      <w:r>
        <w:rPr>
          <w:rFonts w:hint="eastAsia" w:ascii="宋体" w:hAnsi="宋体" w:cs="宋体"/>
          <w:color w:val="auto"/>
          <w:sz w:val="24"/>
          <w:highlight w:val="none"/>
          <w:u w:val="none"/>
        </w:rPr>
        <w:t>甲方</w:t>
      </w:r>
      <w:r>
        <w:rPr>
          <w:rFonts w:hint="eastAsia" w:ascii="宋体" w:hAnsi="宋体" w:cs="宋体"/>
          <w:color w:val="auto"/>
          <w:sz w:val="24"/>
          <w:highlight w:val="none"/>
          <w:u w:val="none"/>
          <w:lang w:val="zh-CN"/>
        </w:rPr>
        <w:t>组织验收，验收内容主要包括：灯具改造数量、安装的灯具是否与样品相符、路灯照度是否达到国家标准。</w:t>
      </w:r>
    </w:p>
    <w:p>
      <w:pPr>
        <w:shd w:val="clear"/>
        <w:autoSpaceDE w:val="0"/>
        <w:autoSpaceDN w:val="0"/>
        <w:adjustRightInd w:val="0"/>
        <w:spacing w:line="440" w:lineRule="exact"/>
        <w:ind w:firstLine="480" w:firstLineChars="200"/>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lang w:val="zh-CN"/>
        </w:rPr>
        <w:t>9.</w:t>
      </w:r>
      <w:r>
        <w:rPr>
          <w:rFonts w:hint="eastAsia" w:ascii="宋体" w:hAnsi="宋体" w:cs="宋体"/>
          <w:color w:val="auto"/>
          <w:sz w:val="24"/>
          <w:highlight w:val="none"/>
          <w:u w:val="none"/>
          <w:lang w:val="en-US" w:eastAsia="zh-CN"/>
        </w:rPr>
        <w:t>3付款方式：合同签订后7个工作日内支付第一年合同金额的40%作为预付款；（在签订合同时，中标人明确表示无需预付款或者主动要求降低预付款比例的，采购人可进行相应调整）</w:t>
      </w:r>
    </w:p>
    <w:p>
      <w:pPr>
        <w:shd w:val="clear"/>
        <w:autoSpaceDE w:val="0"/>
        <w:autoSpaceDN w:val="0"/>
        <w:adjustRightInd w:val="0"/>
        <w:spacing w:line="440" w:lineRule="exact"/>
        <w:ind w:firstLine="480" w:firstLineChars="200"/>
        <w:rPr>
          <w:rFonts w:hint="eastAsia" w:ascii="宋体" w:hAnsi="宋体" w:eastAsia="宋体" w:cs="宋体"/>
          <w:color w:val="auto"/>
          <w:sz w:val="24"/>
          <w:highlight w:val="none"/>
          <w:u w:val="none"/>
          <w:lang w:val="zh-CN" w:eastAsia="zh-CN"/>
        </w:rPr>
      </w:pPr>
      <w:r>
        <w:rPr>
          <w:rFonts w:hint="eastAsia" w:ascii="宋体" w:hAnsi="宋体" w:cs="宋体"/>
          <w:color w:val="auto"/>
          <w:sz w:val="24"/>
          <w:highlight w:val="none"/>
          <w:u w:val="none"/>
          <w:lang w:val="en-US" w:eastAsia="zh-CN"/>
        </w:rPr>
        <w:t>每季度结束后，甲方在收到乙方该季度服务发票（季度服务=总中标价1/12）后7个工作日内，向供应商指定账户支付该季度的托管费用。（第一年从第二季度开始支付，第二季度扣除预付款后，支付剩余应支付款项）</w:t>
      </w:r>
    </w:p>
    <w:p>
      <w:pPr>
        <w:shd w:val="clear"/>
        <w:autoSpaceDE w:val="0"/>
        <w:autoSpaceDN w:val="0"/>
        <w:adjustRightInd w:val="0"/>
        <w:spacing w:line="440" w:lineRule="exact"/>
        <w:ind w:firstLine="480" w:firstLineChars="200"/>
        <w:rPr>
          <w:rFonts w:ascii="宋体" w:hAnsi="宋体" w:cs="宋体"/>
          <w:color w:val="auto"/>
          <w:sz w:val="24"/>
          <w:highlight w:val="none"/>
          <w:u w:val="none"/>
          <w:lang w:val="zh-CN"/>
        </w:rPr>
      </w:pPr>
      <w:r>
        <w:rPr>
          <w:rFonts w:hint="eastAsia" w:ascii="宋体" w:hAnsi="宋体" w:cs="宋体"/>
          <w:color w:val="auto"/>
          <w:sz w:val="24"/>
          <w:highlight w:val="none"/>
          <w:u w:val="none"/>
          <w:lang w:val="zh-CN"/>
        </w:rPr>
        <w:t>9.5第三方检测的费用由甲方支付。</w:t>
      </w:r>
    </w:p>
    <w:p>
      <w:pPr>
        <w:shd w:val="clear"/>
        <w:autoSpaceDE w:val="0"/>
        <w:autoSpaceDN w:val="0"/>
        <w:adjustRightIn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10.</w:t>
      </w:r>
      <w:r>
        <w:rPr>
          <w:rFonts w:hint="eastAsia" w:ascii="宋体" w:hAnsi="宋体" w:cs="宋体"/>
          <w:b/>
          <w:bCs/>
          <w:color w:val="auto"/>
          <w:sz w:val="24"/>
          <w:highlight w:val="none"/>
        </w:rPr>
        <w:t>甲方职责</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10.1 甲方负责对货物质量、货物安装质量进度和合同执行进行监督检查。</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10.2 组织验收和结算。</w:t>
      </w:r>
    </w:p>
    <w:p>
      <w:pPr>
        <w:shd w:val="clear"/>
        <w:autoSpaceDE w:val="0"/>
        <w:autoSpaceDN w:val="0"/>
        <w:adjustRightIn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11.中标人职责</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11.1 供货前，乙方应熟悉安装现场环境及做好其他各项准备工作，费用由乙方自理。</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11.2 在合同实施中，乙方应兑现投标书中的所有承诺。</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11.3 乙方必须严格按照本项目技术要求进行精心安装、强化现场原始记录和检测，确保货物质量。</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11.4 乙方在货物供应、安装期间如发生安全事故，由乙方处理并承担全部责任。</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11.5 在货物安装过程中，乙方应接受甲方指令，并严格服从甲方监督。</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11.6 乙方必须在约定时间内组织供货、安装，确保如期完成。</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11.7 当具备验收条件时，乙方应提前十天将验收报告送至甲方，并由甲方组织验收。</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11.8 乙方的计划进度安排、质量监督、协调管理、安装配合、安全文明施工，应完全接受甲方对本项目的统一管理，完成后将归档技术资料交予甲方。</w:t>
      </w:r>
    </w:p>
    <w:p>
      <w:pPr>
        <w:shd w:val="clear"/>
        <w:autoSpaceDE w:val="0"/>
        <w:autoSpaceDN w:val="0"/>
        <w:adjustRightInd w:val="0"/>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12.验收</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12.1 验收以采购文件和技术文件、投标文件、合同及安装技术要求为依据。</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12.2 供货安装完成后，乙方应该向甲方提交申请验收报告，并且提供主要货物的出厂合格证书（或报告）、检测报告等完整的技术档案资料，若乙方未能按照上述要求履行的，导致无法及时验收的，则须由乙方承担一切责任。</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12.3 验收必须符合国家、地方有关规范、标准及设计要求。</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12.4 符合验收条件的，由甲方组织有关部门按照国家、地方有关规范、标准及设计要求进行验收。验收后乙方应按照验收中提出的意见整改。</w:t>
      </w:r>
    </w:p>
    <w:p>
      <w:pPr>
        <w:shd w:val="clear"/>
        <w:spacing w:line="440" w:lineRule="exact"/>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12.5 整改完毕且复验合格后将本项目货物交给甲方使用，完成日期以通过复验日期为准。</w:t>
      </w:r>
    </w:p>
    <w:p>
      <w:pPr>
        <w:shd w:val="clear"/>
        <w:spacing w:line="440" w:lineRule="exact"/>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12.6甲方在中标供应商送货、安装、调试后对货物服务进行检查验收，如果发现数量不足或有质量、技术等问题，乙方应负责根据合同及甲方的要求采取补足或更换等处理措施，并承担由此发生的一切损失和费用。验收合格后，甲方在验收单上签字并加盖单位公章。</w:t>
      </w:r>
    </w:p>
    <w:p>
      <w:pPr>
        <w:shd w:val="clear"/>
        <w:autoSpaceDE w:val="0"/>
        <w:autoSpaceDN w:val="0"/>
        <w:adjustRightInd w:val="0"/>
        <w:spacing w:line="440" w:lineRule="exact"/>
        <w:ind w:firstLine="482" w:firstLineChars="200"/>
        <w:jc w:val="left"/>
        <w:textAlignment w:val="auto"/>
        <w:rPr>
          <w:rFonts w:ascii="宋体" w:hAnsi="宋体" w:cs="宋体"/>
          <w:color w:val="auto"/>
          <w:sz w:val="24"/>
          <w:highlight w:val="none"/>
          <w:u w:val="single"/>
        </w:rPr>
      </w:pPr>
      <w:r>
        <w:rPr>
          <w:rFonts w:hint="eastAsia" w:ascii="宋体" w:hAnsi="宋体" w:cs="宋体"/>
          <w:b/>
          <w:bCs/>
          <w:color w:val="auto"/>
          <w:sz w:val="24"/>
          <w:highlight w:val="none"/>
        </w:rPr>
        <w:t>13.违约责任及奖罚</w:t>
      </w:r>
    </w:p>
    <w:p>
      <w:pPr>
        <w:shd w:val="clear"/>
        <w:autoSpaceDE w:val="0"/>
        <w:autoSpaceDN w:val="0"/>
        <w:adjustRightInd w:val="0"/>
        <w:spacing w:line="360" w:lineRule="auto"/>
        <w:ind w:firstLine="480" w:firstLineChars="200"/>
        <w:jc w:val="left"/>
        <w:textAlignment w:val="baseline"/>
        <w:rPr>
          <w:rFonts w:ascii="宋体" w:hAnsi="宋体" w:cs="宋体"/>
          <w:color w:val="auto"/>
          <w:sz w:val="24"/>
          <w:highlight w:val="none"/>
          <w:u w:val="none"/>
        </w:rPr>
      </w:pPr>
      <w:r>
        <w:rPr>
          <w:rFonts w:hint="eastAsia" w:ascii="宋体" w:hAnsi="宋体" w:cs="宋体"/>
          <w:color w:val="auto"/>
          <w:sz w:val="24"/>
          <w:highlight w:val="none"/>
          <w:u w:val="none"/>
        </w:rPr>
        <w:t>进度延误处罚办法：</w:t>
      </w:r>
      <w:r>
        <w:rPr>
          <w:rFonts w:hint="eastAsia" w:ascii="宋体" w:hAnsi="宋体" w:cs="宋体"/>
          <w:color w:val="auto"/>
          <w:sz w:val="24"/>
          <w:highlight w:val="none"/>
          <w:u w:val="none"/>
          <w:lang w:val="en-US" w:eastAsia="zh-CN"/>
        </w:rPr>
        <w:t>除不可抗力因素或因甲方原因导致的工期进度延误外</w:t>
      </w:r>
      <w:r>
        <w:rPr>
          <w:rFonts w:hint="eastAsia" w:ascii="宋体" w:hAnsi="宋体" w:cs="宋体"/>
          <w:color w:val="auto"/>
          <w:sz w:val="24"/>
          <w:highlight w:val="none"/>
          <w:u w:val="none"/>
        </w:rPr>
        <w:t>中标人应根据合同内规定的完成时间完成该项目。每延期一天扣人民币10000元整。</w:t>
      </w:r>
    </w:p>
    <w:p>
      <w:pPr>
        <w:shd w:val="clear"/>
        <w:autoSpaceDE w:val="0"/>
        <w:autoSpaceDN w:val="0"/>
        <w:adjustRightInd w:val="0"/>
        <w:spacing w:line="440" w:lineRule="exact"/>
        <w:ind w:firstLine="482"/>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4.</w:t>
      </w:r>
      <w:r>
        <w:rPr>
          <w:rFonts w:hint="eastAsia" w:ascii="宋体" w:hAnsi="宋体" w:cs="宋体"/>
          <w:b/>
          <w:bCs/>
          <w:color w:val="auto"/>
          <w:sz w:val="24"/>
          <w:highlight w:val="none"/>
          <w:lang w:val="zh-CN"/>
        </w:rPr>
        <w:t>争议解决</w:t>
      </w:r>
    </w:p>
    <w:p>
      <w:pPr>
        <w:shd w:val="clear"/>
        <w:autoSpaceDE w:val="0"/>
        <w:autoSpaceDN w:val="0"/>
        <w:adjustRightInd w:val="0"/>
        <w:spacing w:line="440" w:lineRule="exact"/>
        <w:ind w:firstLine="48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4</w:t>
      </w:r>
      <w:r>
        <w:rPr>
          <w:rFonts w:hint="eastAsia" w:ascii="宋体" w:hAnsi="宋体" w:cs="宋体"/>
          <w:color w:val="auto"/>
          <w:sz w:val="24"/>
          <w:highlight w:val="none"/>
          <w:lang w:val="zh-CN"/>
        </w:rPr>
        <w:t>.1因执行本合同所发生的，或与本合同有关的一切争议，</w:t>
      </w:r>
      <w:r>
        <w:rPr>
          <w:rFonts w:hint="eastAsia" w:ascii="宋体" w:hAnsi="宋体" w:cs="宋体"/>
          <w:color w:val="auto"/>
          <w:sz w:val="24"/>
          <w:highlight w:val="none"/>
        </w:rPr>
        <w:t>甲方</w:t>
      </w:r>
      <w:r>
        <w:rPr>
          <w:rFonts w:hint="eastAsia" w:ascii="宋体" w:hAnsi="宋体" w:cs="宋体"/>
          <w:color w:val="auto"/>
          <w:sz w:val="24"/>
          <w:highlight w:val="none"/>
          <w:lang w:val="zh-CN"/>
        </w:rPr>
        <w:t>与</w:t>
      </w:r>
      <w:r>
        <w:rPr>
          <w:rFonts w:hint="eastAsia" w:ascii="宋体" w:hAnsi="宋体" w:cs="宋体"/>
          <w:color w:val="auto"/>
          <w:sz w:val="24"/>
          <w:highlight w:val="none"/>
        </w:rPr>
        <w:t>乙方</w:t>
      </w:r>
      <w:r>
        <w:rPr>
          <w:rFonts w:hint="eastAsia" w:ascii="宋体" w:hAnsi="宋体" w:cs="宋体"/>
          <w:color w:val="auto"/>
          <w:sz w:val="24"/>
          <w:highlight w:val="none"/>
          <w:lang w:val="zh-CN"/>
        </w:rPr>
        <w:t>双方应通过友好协商解决。</w:t>
      </w:r>
    </w:p>
    <w:p>
      <w:pPr>
        <w:shd w:val="clear"/>
        <w:autoSpaceDE w:val="0"/>
        <w:autoSpaceDN w:val="0"/>
        <w:adjustRightInd w:val="0"/>
        <w:spacing w:line="440" w:lineRule="exact"/>
        <w:ind w:firstLine="48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4</w:t>
      </w:r>
      <w:r>
        <w:rPr>
          <w:rFonts w:hint="eastAsia" w:ascii="宋体" w:hAnsi="宋体" w:cs="宋体"/>
          <w:color w:val="auto"/>
          <w:sz w:val="24"/>
          <w:highlight w:val="none"/>
          <w:lang w:val="zh-CN"/>
        </w:rPr>
        <w:t>.2如经协商仍不能解决争议时，可要求有关主管部门调解。如其中一方不愿调解或调解不成，可按下一种方式解决争议。</w:t>
      </w:r>
    </w:p>
    <w:p>
      <w:pPr>
        <w:shd w:val="clear"/>
        <w:autoSpaceDE w:val="0"/>
        <w:autoSpaceDN w:val="0"/>
        <w:adjustRightInd w:val="0"/>
        <w:spacing w:line="440" w:lineRule="exact"/>
        <w:ind w:firstLine="48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4</w:t>
      </w:r>
      <w:r>
        <w:rPr>
          <w:rFonts w:hint="eastAsia" w:ascii="宋体" w:hAnsi="宋体" w:cs="宋体"/>
          <w:color w:val="auto"/>
          <w:sz w:val="24"/>
          <w:highlight w:val="none"/>
          <w:lang w:val="zh-CN"/>
        </w:rPr>
        <w:t>.2.1双方达成仲裁协议，向</w:t>
      </w:r>
      <w:r>
        <w:rPr>
          <w:rFonts w:hint="eastAsia" w:ascii="宋体" w:hAnsi="宋体" w:cs="宋体"/>
          <w:color w:val="auto"/>
          <w:sz w:val="24"/>
          <w:highlight w:val="none"/>
        </w:rPr>
        <w:t>甲方</w:t>
      </w:r>
      <w:r>
        <w:rPr>
          <w:rFonts w:hint="eastAsia" w:ascii="宋体" w:hAnsi="宋体" w:cs="宋体"/>
          <w:color w:val="auto"/>
          <w:sz w:val="24"/>
          <w:highlight w:val="none"/>
          <w:lang w:val="zh-CN"/>
        </w:rPr>
        <w:t>所在地的仲裁机构申请仲裁。</w:t>
      </w:r>
    </w:p>
    <w:p>
      <w:pPr>
        <w:shd w:val="clear"/>
        <w:autoSpaceDE w:val="0"/>
        <w:autoSpaceDN w:val="0"/>
        <w:adjustRightInd w:val="0"/>
        <w:spacing w:line="440" w:lineRule="exact"/>
        <w:ind w:firstLine="48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4</w:t>
      </w:r>
      <w:r>
        <w:rPr>
          <w:rFonts w:hint="eastAsia" w:ascii="宋体" w:hAnsi="宋体" w:cs="宋体"/>
          <w:color w:val="auto"/>
          <w:sz w:val="24"/>
          <w:highlight w:val="none"/>
          <w:lang w:val="zh-CN"/>
        </w:rPr>
        <w:t>.2.2向有管辖权的人民法院起诉。</w:t>
      </w:r>
    </w:p>
    <w:p>
      <w:pPr>
        <w:shd w:val="clea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三、其他要求：</w:t>
      </w:r>
    </w:p>
    <w:p>
      <w:pPr>
        <w:shd w:val="clear"/>
        <w:autoSpaceDE w:val="0"/>
        <w:autoSpaceDN w:val="0"/>
        <w:adjustRightIn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中标人必须按规定程序和有关要求进行实施，供货过程中的各种意外，其责任由乙方承担，甲方不承担任何责任。</w:t>
      </w:r>
    </w:p>
    <w:p>
      <w:pPr>
        <w:shd w:val="clea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四、变更：</w:t>
      </w:r>
    </w:p>
    <w:p>
      <w:pPr>
        <w:shd w:val="clea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1.招标合同履行中，甲方需追加与合同标的相同的货物、工程或者服务的，在不改变合同其他条款的前提下，可以与乙方协商签订补充合同，但所有补充合同的招标金额不得超过原合同招标金额的百分之十。</w:t>
      </w:r>
    </w:p>
    <w:p>
      <w:pPr>
        <w:shd w:val="clea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 当变更只是招标量增减时，按投标所报的单价进行结算。</w:t>
      </w:r>
    </w:p>
    <w:p>
      <w:pPr>
        <w:shd w:val="clear"/>
        <w:spacing w:line="440" w:lineRule="exact"/>
        <w:ind w:firstLine="482" w:firstLineChars="200"/>
        <w:jc w:val="left"/>
        <w:rPr>
          <w:rFonts w:ascii="宋体" w:hAnsi="宋体" w:cs="宋体"/>
          <w:b/>
          <w:color w:val="auto"/>
          <w:sz w:val="24"/>
          <w:highlight w:val="none"/>
          <w:u w:val="none"/>
        </w:rPr>
      </w:pPr>
      <w:r>
        <w:rPr>
          <w:rFonts w:hint="eastAsia" w:ascii="宋体" w:hAnsi="宋体" w:cs="宋体"/>
          <w:b/>
          <w:color w:val="auto"/>
          <w:sz w:val="24"/>
          <w:highlight w:val="none"/>
          <w:u w:val="none"/>
        </w:rPr>
        <w:t>五、专利权</w:t>
      </w:r>
    </w:p>
    <w:p>
      <w:pPr>
        <w:shd w:val="clear"/>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乙方应承诺保护甲方在使用合同产品或其任何一部分时不受第三方提出侵犯专利权、商标权和工业设计权等的起诉。如果任何第三方提出侵权指控，由乙方负责与第三方交涉并承担可能发生的一切费用和相关法律责任，甲方不承担由此引起的一切经济和法律责任。</w:t>
      </w:r>
    </w:p>
    <w:p>
      <w:pPr>
        <w:shd w:val="clear"/>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六、结算原则</w:t>
      </w:r>
    </w:p>
    <w:p>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1.采购文件、招标答疑会纪要、乙方的中标报价等作为结算依据；</w:t>
      </w:r>
    </w:p>
    <w:p>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2.乙方节能效益分享比例一次性包死，不再调整。</w:t>
      </w:r>
    </w:p>
    <w:p>
      <w:pPr>
        <w:shd w:val="clear"/>
        <w:spacing w:line="440" w:lineRule="exact"/>
        <w:ind w:firstLine="482" w:firstLineChars="200"/>
        <w:jc w:val="left"/>
        <w:rPr>
          <w:rFonts w:ascii="宋体" w:hAnsi="宋体" w:cs="宋体"/>
          <w:color w:val="auto"/>
          <w:sz w:val="24"/>
          <w:highlight w:val="none"/>
          <w:u w:val="single"/>
        </w:rPr>
      </w:pPr>
      <w:r>
        <w:rPr>
          <w:rFonts w:hint="eastAsia" w:ascii="宋体" w:hAnsi="宋体" w:cs="宋体"/>
          <w:b/>
          <w:color w:val="auto"/>
          <w:sz w:val="24"/>
          <w:highlight w:val="none"/>
        </w:rPr>
        <w:t>七、签订合同时间：</w:t>
      </w:r>
      <w:r>
        <w:rPr>
          <w:rFonts w:hint="eastAsia" w:ascii="宋体" w:hAnsi="宋体" w:cs="宋体"/>
          <w:color w:val="auto"/>
          <w:sz w:val="24"/>
          <w:highlight w:val="none"/>
          <w:u w:val="single"/>
        </w:rPr>
        <w:t xml:space="preserve"> 自中标通知书发起之日起30天内。 </w:t>
      </w:r>
    </w:p>
    <w:p>
      <w:pPr>
        <w:shd w:val="clear"/>
        <w:spacing w:line="440" w:lineRule="exact"/>
        <w:ind w:firstLine="482" w:firstLineChars="200"/>
        <w:jc w:val="left"/>
        <w:rPr>
          <w:rFonts w:ascii="宋体" w:hAnsi="宋体" w:cs="宋体"/>
          <w:b/>
          <w:color w:val="auto"/>
          <w:sz w:val="24"/>
          <w:highlight w:val="none"/>
        </w:rPr>
      </w:pPr>
      <w:r>
        <w:rPr>
          <w:rFonts w:hint="eastAsia" w:ascii="宋体" w:hAnsi="宋体" w:cs="宋体"/>
          <w:b/>
          <w:bCs/>
          <w:color w:val="auto"/>
          <w:sz w:val="24"/>
          <w:highlight w:val="none"/>
        </w:rPr>
        <w:t>八、售后服务要求：</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乙方须提供从验收合格之日起，3年的免费质保期。乙方承诺超过本要求的，以优惠者为准。无论在质保期内还是质保期满后，乙方负责对其实施的项目提供现场服务。要求乙方在接到甲方的电话后24小时内响应，并最迟在第1个工作日内排除故障。</w:t>
      </w:r>
    </w:p>
    <w:p>
      <w:pPr>
        <w:shd w:val="clea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2.乙方若有其他服务承诺，也将一并执行。</w:t>
      </w:r>
    </w:p>
    <w:p>
      <w:pPr>
        <w:shd w:val="clea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3.乙方必须将公司的服务热线明确告知甲方。</w:t>
      </w:r>
    </w:p>
    <w:p>
      <w:pPr>
        <w:shd w:val="clea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九、其他</w:t>
      </w:r>
    </w:p>
    <w:p>
      <w:pPr>
        <w:widowControl/>
        <w:shd w:val="clear"/>
        <w:adjustRightInd w:val="0"/>
        <w:snapToGrid w:val="0"/>
        <w:spacing w:before="120" w:after="120" w:line="420" w:lineRule="exact"/>
        <w:ind w:firstLine="480"/>
        <w:jc w:val="left"/>
        <w:rPr>
          <w:rFonts w:ascii="宋体" w:hAnsi="宋体" w:cs="宋体"/>
          <w:color w:val="auto"/>
          <w:kern w:val="0"/>
          <w:sz w:val="24"/>
          <w:highlight w:val="none"/>
        </w:rPr>
      </w:pPr>
      <w:r>
        <w:rPr>
          <w:rFonts w:hint="eastAsia" w:ascii="宋体" w:hAnsi="宋体" w:cs="宋体"/>
          <w:color w:val="auto"/>
          <w:sz w:val="24"/>
          <w:highlight w:val="none"/>
        </w:rPr>
        <w:t>1.合同双方确认，本合同及本合同约定的其它文件组成部分中的各项约定都是通过法定招标过程形成的合法成果，不存在与采购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widowControl/>
        <w:shd w:val="clear"/>
        <w:adjustRightInd w:val="0"/>
        <w:snapToGrid w:val="0"/>
        <w:spacing w:before="120" w:after="120" w:line="42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2.本合同未尽事宜，遵照《中华人民共和国民法典》有关条文执行。</w:t>
      </w:r>
    </w:p>
    <w:p>
      <w:pPr>
        <w:shd w:val="clear"/>
        <w:snapToGrid w:val="0"/>
        <w:spacing w:line="440" w:lineRule="exact"/>
        <w:ind w:firstLine="480" w:firstLineChars="200"/>
        <w:rPr>
          <w:rFonts w:ascii="宋体" w:hAnsi="宋体" w:cs="宋体"/>
          <w:color w:val="auto"/>
          <w:kern w:val="0"/>
          <w:sz w:val="24"/>
          <w:highlight w:val="none"/>
        </w:rPr>
      </w:pPr>
      <w:bookmarkStart w:id="131" w:name="_Toc7946605"/>
      <w:bookmarkStart w:id="132" w:name="_Toc187829774"/>
      <w:bookmarkStart w:id="133" w:name="_Toc213038698"/>
      <w:bookmarkStart w:id="134" w:name="_Toc238878129"/>
      <w:bookmarkStart w:id="135" w:name="_Toc235778631"/>
      <w:bookmarkStart w:id="136" w:name="_Toc274303259"/>
      <w:r>
        <w:rPr>
          <w:rFonts w:hint="eastAsia" w:ascii="宋体" w:hAnsi="宋体" w:cs="宋体"/>
          <w:color w:val="auto"/>
          <w:kern w:val="0"/>
          <w:sz w:val="24"/>
          <w:highlight w:val="none"/>
        </w:rPr>
        <w:t>十、本合同一式____份，甲乙双方各执____份，浙江明达工程造价咨询有限公司执一份，义乌市财政局执一份，均具同等效力。</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甲    方：_________________  乙   方：________________________</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地    址：_________________  地    址：_______________________</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法定代表人：_______________ 法定代表人：____________________</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授权代表：________________  授权代表：____________________    </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电    话：_________________ 电    话：_________________</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账户</w:t>
      </w:r>
      <w:r>
        <w:rPr>
          <w:rFonts w:hint="eastAsia" w:ascii="宋体" w:hAnsi="宋体" w:cs="宋体"/>
          <w:color w:val="auto"/>
          <w:kern w:val="0"/>
          <w:sz w:val="24"/>
          <w:highlight w:val="none"/>
        </w:rPr>
        <w:t xml:space="preserve">名称：_________________ </w:t>
      </w:r>
      <w:r>
        <w:rPr>
          <w:rFonts w:hint="eastAsia" w:ascii="宋体" w:hAnsi="宋体" w:cs="宋体"/>
          <w:color w:val="auto"/>
          <w:kern w:val="0"/>
          <w:sz w:val="24"/>
          <w:highlight w:val="none"/>
          <w:lang w:val="en-US" w:eastAsia="zh-CN"/>
        </w:rPr>
        <w:t>账户</w:t>
      </w:r>
      <w:r>
        <w:rPr>
          <w:rFonts w:hint="eastAsia" w:ascii="宋体" w:hAnsi="宋体" w:cs="宋体"/>
          <w:color w:val="auto"/>
          <w:kern w:val="0"/>
          <w:sz w:val="24"/>
          <w:highlight w:val="none"/>
        </w:rPr>
        <w:t>名称：__________________</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开户银行：_________________  开户银行：__________________</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帐    号：__________________ 帐    号：___________________</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签约时间：_________________  签约地点：___________________</w:t>
      </w: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rPr>
          <w:rFonts w:ascii="宋体" w:hAnsi="宋体" w:cs="宋体"/>
          <w:color w:val="auto"/>
          <w:kern w:val="0"/>
          <w:sz w:val="24"/>
          <w:highlight w:val="none"/>
        </w:rPr>
      </w:pPr>
    </w:p>
    <w:p>
      <w:pPr>
        <w:pStyle w:val="2"/>
        <w:shd w:val="clear"/>
        <w:rPr>
          <w:rFonts w:ascii="宋体" w:hAnsi="宋体" w:cs="宋体"/>
          <w:color w:val="auto"/>
          <w:kern w:val="0"/>
          <w:sz w:val="24"/>
          <w:highlight w:val="none"/>
        </w:rPr>
      </w:pPr>
    </w:p>
    <w:p>
      <w:pPr>
        <w:pStyle w:val="3"/>
        <w:shd w:val="clear"/>
        <w:rPr>
          <w:rFonts w:ascii="宋体" w:hAnsi="宋体" w:cs="宋体"/>
          <w:color w:val="auto"/>
          <w:kern w:val="0"/>
          <w:sz w:val="24"/>
          <w:highlight w:val="none"/>
        </w:rPr>
      </w:pPr>
    </w:p>
    <w:p>
      <w:pPr>
        <w:pStyle w:val="4"/>
        <w:rPr>
          <w:rFonts w:ascii="宋体" w:hAnsi="宋体" w:cs="宋体"/>
          <w:color w:val="auto"/>
          <w:kern w:val="0"/>
          <w:sz w:val="24"/>
          <w:highlight w:val="none"/>
        </w:rPr>
      </w:pPr>
    </w:p>
    <w:p>
      <w:pPr>
        <w:rPr>
          <w:rFonts w:ascii="宋体" w:hAnsi="宋体" w:cs="宋体"/>
          <w:color w:val="auto"/>
          <w:kern w:val="0"/>
          <w:sz w:val="24"/>
          <w:highlight w:val="none"/>
        </w:rPr>
      </w:pPr>
    </w:p>
    <w:p>
      <w:pPr>
        <w:pStyle w:val="2"/>
      </w:pPr>
    </w:p>
    <w:p>
      <w:pPr>
        <w:pStyle w:val="4"/>
        <w:shd w:val="clear"/>
        <w:rPr>
          <w:rFonts w:ascii="宋体" w:hAnsi="宋体" w:cs="宋体"/>
          <w:color w:val="auto"/>
          <w:kern w:val="0"/>
          <w:sz w:val="24"/>
          <w:highlight w:val="none"/>
        </w:rPr>
      </w:pPr>
    </w:p>
    <w:p>
      <w:pPr>
        <w:shd w:val="clear"/>
        <w:rPr>
          <w:rFonts w:ascii="宋体" w:hAnsi="宋体" w:cs="宋体"/>
          <w:color w:val="auto"/>
          <w:kern w:val="0"/>
          <w:sz w:val="24"/>
          <w:highlight w:val="none"/>
        </w:rPr>
      </w:pPr>
    </w:p>
    <w:p>
      <w:pPr>
        <w:shd w:val="clear"/>
        <w:rPr>
          <w:color w:val="auto"/>
          <w:highlight w:val="none"/>
        </w:rPr>
      </w:pPr>
    </w:p>
    <w:p>
      <w:pPr>
        <w:pStyle w:val="5"/>
        <w:shd w:val="clear"/>
        <w:jc w:val="center"/>
        <w:rPr>
          <w:rFonts w:ascii="宋体" w:hAnsi="宋体" w:cs="宋体"/>
          <w:color w:val="auto"/>
          <w:sz w:val="36"/>
          <w:szCs w:val="36"/>
          <w:highlight w:val="none"/>
        </w:rPr>
      </w:pPr>
      <w:bookmarkStart w:id="137" w:name="_Toc12062"/>
      <w:bookmarkStart w:id="138" w:name="_Toc14425"/>
      <w:bookmarkStart w:id="139" w:name="_Toc23023"/>
      <w:bookmarkStart w:id="140" w:name="_Toc4405"/>
      <w:r>
        <w:rPr>
          <w:rFonts w:hint="eastAsia" w:ascii="宋体" w:hAnsi="宋体" w:cs="宋体"/>
          <w:color w:val="auto"/>
          <w:sz w:val="36"/>
          <w:szCs w:val="36"/>
          <w:highlight w:val="none"/>
        </w:rPr>
        <w:t>第八章  投标文件部分格式</w:t>
      </w:r>
      <w:bookmarkEnd w:id="131"/>
      <w:bookmarkEnd w:id="132"/>
      <w:bookmarkEnd w:id="133"/>
      <w:bookmarkEnd w:id="134"/>
      <w:bookmarkEnd w:id="135"/>
      <w:bookmarkEnd w:id="136"/>
      <w:bookmarkEnd w:id="137"/>
      <w:bookmarkEnd w:id="138"/>
      <w:bookmarkEnd w:id="139"/>
      <w:bookmarkEnd w:id="140"/>
    </w:p>
    <w:p>
      <w:pPr>
        <w:pStyle w:val="17"/>
        <w:shd w:val="clear"/>
        <w:spacing w:before="156" w:beforeLines="50" w:after="156" w:afterLines="50" w:line="600" w:lineRule="exact"/>
        <w:rPr>
          <w:rFonts w:ascii="宋体" w:hAnsi="宋体" w:cs="宋体"/>
          <w:color w:val="auto"/>
          <w:highlight w:val="none"/>
        </w:rPr>
      </w:pPr>
      <w:r>
        <w:rPr>
          <w:rFonts w:hint="eastAsia" w:ascii="宋体" w:hAnsi="宋体" w:cs="宋体"/>
          <w:color w:val="auto"/>
          <w:highlight w:val="none"/>
        </w:rPr>
        <w:t>一、技术标部分格式：</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rPr>
        <w:t>1.投标文件封面格式</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rPr>
        <w:t>2.关于资格的声明函格式</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rPr>
        <w:t>3.法定代表人说明书格式</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rPr>
        <w:t>4.法定代表人授权书格式</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 xml:space="preserve">.中小企业声明函格式 </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.残疾人福利企业声明函格式</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.监狱企业声明函格式</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.拟投入本项目人员表格式</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.拟投入本项目设备一览表</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.服务承诺书格式</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.义乌市政府采购项目投标承诺书</w:t>
      </w:r>
    </w:p>
    <w:p>
      <w:pPr>
        <w:shd w:val="clear"/>
        <w:spacing w:line="440" w:lineRule="exact"/>
        <w:ind w:firstLine="480" w:firstLineChars="200"/>
        <w:rPr>
          <w:rFonts w:ascii="宋体" w:hAnsi="宋体" w:cs="宋体"/>
          <w:color w:val="auto"/>
          <w:sz w:val="24"/>
          <w:highlight w:val="none"/>
        </w:rPr>
      </w:pPr>
    </w:p>
    <w:p>
      <w:pPr>
        <w:pStyle w:val="17"/>
        <w:shd w:val="clear"/>
        <w:spacing w:before="156" w:beforeLines="50" w:after="156" w:afterLines="50" w:line="600" w:lineRule="exact"/>
        <w:rPr>
          <w:rFonts w:ascii="宋体" w:hAnsi="宋体" w:cs="宋体"/>
          <w:color w:val="auto"/>
          <w:highlight w:val="none"/>
        </w:rPr>
      </w:pPr>
      <w:r>
        <w:rPr>
          <w:rFonts w:hint="eastAsia" w:ascii="宋体" w:hAnsi="宋体" w:cs="宋体"/>
          <w:color w:val="auto"/>
          <w:highlight w:val="none"/>
        </w:rPr>
        <w:t>二、商务标投标文件部分格式：</w:t>
      </w:r>
    </w:p>
    <w:p>
      <w:pPr>
        <w:shd w:val="clear"/>
        <w:tabs>
          <w:tab w:val="left" w:pos="1050"/>
        </w:tabs>
        <w:spacing w:line="520" w:lineRule="exact"/>
        <w:ind w:left="528"/>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w:t>
      </w:r>
      <w:r>
        <w:rPr>
          <w:rFonts w:hint="eastAsia" w:ascii="宋体" w:hAnsi="宋体" w:cs="宋体"/>
          <w:color w:val="auto"/>
          <w:sz w:val="24"/>
          <w:highlight w:val="none"/>
        </w:rPr>
        <w:t>投标函格式</w:t>
      </w:r>
    </w:p>
    <w:p>
      <w:pPr>
        <w:shd w:val="clear"/>
        <w:tabs>
          <w:tab w:val="left" w:pos="1080"/>
        </w:tabs>
        <w:spacing w:line="520" w:lineRule="exact"/>
        <w:ind w:left="528"/>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w:t>
      </w:r>
      <w:r>
        <w:rPr>
          <w:rFonts w:hint="eastAsia" w:ascii="宋体" w:hAnsi="宋体" w:cs="宋体"/>
          <w:color w:val="auto"/>
          <w:sz w:val="24"/>
          <w:highlight w:val="none"/>
        </w:rPr>
        <w:t>报价一览表格式</w:t>
      </w:r>
    </w:p>
    <w:p>
      <w:pPr>
        <w:shd w:val="clear"/>
        <w:tabs>
          <w:tab w:val="left" w:pos="1080"/>
        </w:tabs>
        <w:spacing w:line="520" w:lineRule="exact"/>
        <w:ind w:left="528"/>
        <w:rPr>
          <w:rFonts w:ascii="宋体" w:hAnsi="宋体" w:cs="宋体"/>
          <w:color w:val="auto"/>
          <w:sz w:val="24"/>
          <w:highlight w:val="none"/>
        </w:rPr>
      </w:pPr>
    </w:p>
    <w:p>
      <w:pPr>
        <w:shd w:val="clear"/>
        <w:rPr>
          <w:rFonts w:ascii="宋体" w:hAnsi="宋体" w:cs="宋体"/>
          <w:color w:val="auto"/>
          <w:sz w:val="30"/>
          <w:szCs w:val="30"/>
          <w:highlight w:val="none"/>
        </w:rPr>
      </w:pPr>
    </w:p>
    <w:p>
      <w:pPr>
        <w:shd w:val="clear"/>
        <w:rPr>
          <w:rFonts w:ascii="宋体" w:hAnsi="宋体" w:cs="宋体"/>
          <w:color w:val="auto"/>
          <w:sz w:val="30"/>
          <w:szCs w:val="30"/>
          <w:highlight w:val="none"/>
        </w:rPr>
      </w:pPr>
    </w:p>
    <w:p>
      <w:pPr>
        <w:pStyle w:val="25"/>
        <w:shd w:val="clear"/>
        <w:rPr>
          <w:rFonts w:ascii="宋体" w:hAnsi="宋体" w:cs="宋体"/>
          <w:color w:val="auto"/>
          <w:highlight w:val="none"/>
        </w:rPr>
      </w:pPr>
    </w:p>
    <w:p>
      <w:pPr>
        <w:pStyle w:val="25"/>
        <w:shd w:val="clear"/>
        <w:rPr>
          <w:rFonts w:ascii="宋体" w:hAnsi="宋体" w:cs="宋体"/>
          <w:color w:val="auto"/>
          <w:highlight w:val="none"/>
        </w:rPr>
      </w:pPr>
    </w:p>
    <w:p>
      <w:pPr>
        <w:pStyle w:val="11"/>
        <w:shd w:val="clear"/>
        <w:rPr>
          <w:rFonts w:ascii="宋体" w:hAnsi="宋体" w:cs="宋体"/>
          <w:color w:val="auto"/>
          <w:highlight w:val="none"/>
        </w:rPr>
      </w:pPr>
    </w:p>
    <w:p>
      <w:pPr>
        <w:pStyle w:val="11"/>
        <w:shd w:val="clear"/>
        <w:rPr>
          <w:rFonts w:ascii="宋体" w:hAnsi="宋体" w:cs="宋体"/>
          <w:color w:val="auto"/>
          <w:highlight w:val="none"/>
        </w:rPr>
      </w:pPr>
    </w:p>
    <w:p>
      <w:pPr>
        <w:pStyle w:val="11"/>
        <w:shd w:val="clear"/>
        <w:ind w:left="0" w:leftChars="0" w:firstLine="0" w:firstLineChars="0"/>
        <w:rPr>
          <w:rFonts w:ascii="宋体" w:hAnsi="宋体" w:cs="宋体"/>
          <w:color w:val="auto"/>
          <w:highlight w:val="none"/>
        </w:rPr>
      </w:pPr>
    </w:p>
    <w:p>
      <w:pPr>
        <w:shd w:val="clear"/>
        <w:rPr>
          <w:rFonts w:ascii="宋体" w:hAnsi="宋体" w:cs="宋体"/>
          <w:color w:val="auto"/>
          <w:sz w:val="52"/>
          <w:szCs w:val="52"/>
          <w:highlight w:val="none"/>
          <w:u w:val="single"/>
        </w:rPr>
      </w:pPr>
      <w:r>
        <w:rPr>
          <w:rFonts w:hint="eastAsia" w:ascii="宋体" w:hAnsi="宋体" w:cs="宋体"/>
          <w:b/>
          <w:bCs/>
          <w:color w:val="auto"/>
          <w:sz w:val="28"/>
          <w:szCs w:val="28"/>
          <w:highlight w:val="none"/>
        </w:rPr>
        <w:t>封面格式</w:t>
      </w:r>
    </w:p>
    <w:p>
      <w:pPr>
        <w:shd w:val="clear"/>
        <w:jc w:val="center"/>
        <w:rPr>
          <w:rFonts w:ascii="宋体" w:hAnsi="宋体" w:cs="宋体"/>
          <w:color w:val="auto"/>
          <w:sz w:val="24"/>
          <w:highlight w:val="none"/>
          <w:u w:val="single"/>
        </w:rPr>
      </w:pPr>
    </w:p>
    <w:p>
      <w:pPr>
        <w:pStyle w:val="25"/>
        <w:shd w:val="clear"/>
        <w:rPr>
          <w:rFonts w:ascii="宋体" w:hAnsi="宋体" w:cs="宋体"/>
          <w:color w:val="auto"/>
          <w:highlight w:val="none"/>
        </w:rPr>
      </w:pPr>
    </w:p>
    <w:p>
      <w:pPr>
        <w:shd w:val="clear"/>
        <w:jc w:val="center"/>
        <w:rPr>
          <w:rFonts w:ascii="宋体" w:hAnsi="宋体" w:cs="宋体"/>
          <w:color w:val="auto"/>
          <w:sz w:val="24"/>
          <w:highlight w:val="none"/>
          <w:u w:val="single"/>
        </w:rPr>
      </w:pPr>
    </w:p>
    <w:p>
      <w:pPr>
        <w:shd w:val="clear"/>
        <w:jc w:val="center"/>
        <w:rPr>
          <w:rFonts w:ascii="宋体" w:hAnsi="宋体" w:cs="宋体"/>
          <w:color w:val="auto"/>
          <w:sz w:val="52"/>
          <w:szCs w:val="52"/>
          <w:highlight w:val="none"/>
        </w:rPr>
      </w:pPr>
      <w:r>
        <w:rPr>
          <w:rFonts w:hint="eastAsia" w:ascii="宋体" w:hAnsi="宋体" w:cs="宋体"/>
          <w:color w:val="auto"/>
          <w:sz w:val="52"/>
          <w:szCs w:val="52"/>
          <w:highlight w:val="none"/>
          <w:u w:val="single"/>
        </w:rPr>
        <w:t xml:space="preserve">                        </w:t>
      </w:r>
      <w:r>
        <w:rPr>
          <w:rFonts w:hint="eastAsia" w:ascii="宋体" w:hAnsi="宋体" w:cs="宋体"/>
          <w:color w:val="auto"/>
          <w:sz w:val="52"/>
          <w:szCs w:val="52"/>
          <w:highlight w:val="none"/>
        </w:rPr>
        <w:t>项目</w:t>
      </w:r>
    </w:p>
    <w:p>
      <w:pPr>
        <w:shd w:val="clear"/>
        <w:rPr>
          <w:rFonts w:ascii="宋体" w:hAnsi="宋体" w:cs="宋体"/>
          <w:color w:val="auto"/>
          <w:sz w:val="52"/>
          <w:szCs w:val="52"/>
          <w:highlight w:val="none"/>
        </w:rPr>
      </w:pPr>
    </w:p>
    <w:p>
      <w:pPr>
        <w:shd w:val="clea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投标文件</w:t>
      </w:r>
    </w:p>
    <w:p>
      <w:pPr>
        <w:shd w:val="clea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（采购编号：     ）</w:t>
      </w:r>
    </w:p>
    <w:p>
      <w:pPr>
        <w:shd w:val="clear"/>
        <w:jc w:val="center"/>
        <w:rPr>
          <w:rFonts w:ascii="宋体" w:hAnsi="宋体" w:cs="宋体"/>
          <w:b/>
          <w:bCs/>
          <w:color w:val="auto"/>
          <w:sz w:val="28"/>
          <w:szCs w:val="28"/>
          <w:highlight w:val="none"/>
        </w:rPr>
      </w:pPr>
    </w:p>
    <w:p>
      <w:pPr>
        <w:shd w:val="clear"/>
        <w:jc w:val="center"/>
        <w:rPr>
          <w:rFonts w:ascii="宋体" w:hAnsi="宋体" w:cs="宋体"/>
          <w:b/>
          <w:bCs/>
          <w:color w:val="auto"/>
          <w:sz w:val="28"/>
          <w:szCs w:val="28"/>
          <w:highlight w:val="none"/>
        </w:rPr>
      </w:pPr>
    </w:p>
    <w:p>
      <w:pPr>
        <w:shd w:val="clear"/>
        <w:jc w:val="center"/>
        <w:rPr>
          <w:rFonts w:ascii="宋体" w:hAnsi="宋体" w:cs="宋体"/>
          <w:b/>
          <w:bCs/>
          <w:color w:val="auto"/>
          <w:sz w:val="28"/>
          <w:szCs w:val="28"/>
          <w:highlight w:val="none"/>
        </w:rPr>
      </w:pPr>
    </w:p>
    <w:p>
      <w:pPr>
        <w:shd w:val="clear"/>
        <w:jc w:val="center"/>
        <w:rPr>
          <w:rFonts w:ascii="宋体" w:hAnsi="宋体" w:cs="宋体"/>
          <w:b/>
          <w:bCs/>
          <w:color w:val="auto"/>
          <w:sz w:val="28"/>
          <w:szCs w:val="28"/>
          <w:highlight w:val="none"/>
        </w:rPr>
      </w:pPr>
    </w:p>
    <w:p>
      <w:pPr>
        <w:shd w:val="clear"/>
        <w:jc w:val="center"/>
        <w:rPr>
          <w:rFonts w:ascii="宋体" w:hAnsi="宋体" w:cs="宋体"/>
          <w:b/>
          <w:bCs/>
          <w:color w:val="auto"/>
          <w:sz w:val="28"/>
          <w:szCs w:val="28"/>
          <w:highlight w:val="none"/>
        </w:rPr>
      </w:pPr>
    </w:p>
    <w:p>
      <w:pPr>
        <w:shd w:val="clear"/>
        <w:jc w:val="center"/>
        <w:rPr>
          <w:rFonts w:ascii="宋体" w:hAnsi="宋体" w:cs="宋体"/>
          <w:b/>
          <w:bCs/>
          <w:color w:val="auto"/>
          <w:sz w:val="28"/>
          <w:szCs w:val="28"/>
          <w:highlight w:val="none"/>
        </w:rPr>
      </w:pPr>
    </w:p>
    <w:p>
      <w:pPr>
        <w:shd w:val="clear"/>
        <w:jc w:val="center"/>
        <w:rPr>
          <w:rFonts w:ascii="宋体" w:hAnsi="宋体" w:cs="宋体"/>
          <w:b/>
          <w:bCs/>
          <w:color w:val="auto"/>
          <w:sz w:val="28"/>
          <w:szCs w:val="28"/>
          <w:highlight w:val="none"/>
        </w:rPr>
      </w:pPr>
    </w:p>
    <w:p>
      <w:pPr>
        <w:shd w:val="clear"/>
        <w:spacing w:line="900" w:lineRule="exact"/>
        <w:ind w:firstLine="320" w:firstLineChars="100"/>
        <w:rPr>
          <w:rFonts w:ascii="宋体" w:hAnsi="宋体" w:cs="宋体"/>
          <w:color w:val="auto"/>
          <w:sz w:val="32"/>
          <w:szCs w:val="32"/>
          <w:highlight w:val="none"/>
          <w:u w:val="single"/>
        </w:rPr>
      </w:pPr>
      <w:r>
        <w:rPr>
          <w:rFonts w:hint="eastAsia" w:ascii="宋体" w:hAnsi="宋体" w:cs="宋体"/>
          <w:color w:val="auto"/>
          <w:sz w:val="32"/>
          <w:szCs w:val="32"/>
          <w:highlight w:val="none"/>
        </w:rPr>
        <w:t>投标文件内容：</w:t>
      </w:r>
      <w:r>
        <w:rPr>
          <w:rFonts w:hint="eastAsia" w:ascii="宋体" w:hAnsi="宋体" w:cs="宋体"/>
          <w:color w:val="auto"/>
          <w:sz w:val="32"/>
          <w:szCs w:val="32"/>
          <w:highlight w:val="none"/>
          <w:u w:val="single"/>
        </w:rPr>
        <w:t xml:space="preserve">           （资格审查文件或技术标或商务标）                    </w:t>
      </w:r>
    </w:p>
    <w:p>
      <w:pPr>
        <w:shd w:val="clear"/>
        <w:spacing w:line="900" w:lineRule="exact"/>
        <w:ind w:firstLine="313" w:firstLineChars="98"/>
        <w:rPr>
          <w:rFonts w:ascii="宋体" w:hAnsi="宋体" w:cs="宋体"/>
          <w:color w:val="auto"/>
          <w:sz w:val="32"/>
          <w:szCs w:val="32"/>
          <w:highlight w:val="none"/>
          <w:u w:val="single"/>
        </w:rPr>
      </w:pPr>
      <w:r>
        <w:rPr>
          <w:rFonts w:hint="eastAsia" w:ascii="宋体" w:hAnsi="宋体" w:cs="宋体"/>
          <w:color w:val="auto"/>
          <w:sz w:val="32"/>
          <w:szCs w:val="32"/>
          <w:highlight w:val="none"/>
        </w:rPr>
        <w:t>投   标   人：</w:t>
      </w:r>
      <w:r>
        <w:rPr>
          <w:rFonts w:hint="eastAsia" w:ascii="宋体" w:hAnsi="宋体" w:cs="宋体"/>
          <w:color w:val="auto"/>
          <w:sz w:val="32"/>
          <w:szCs w:val="32"/>
          <w:highlight w:val="none"/>
          <w:u w:val="single"/>
        </w:rPr>
        <w:t xml:space="preserve">                                 （盖章）  </w:t>
      </w:r>
    </w:p>
    <w:p>
      <w:pPr>
        <w:shd w:val="clear"/>
        <w:spacing w:line="900" w:lineRule="exact"/>
        <w:ind w:left="-4" w:leftChars="-2" w:firstLine="320" w:firstLineChars="100"/>
        <w:rPr>
          <w:rFonts w:ascii="宋体" w:hAnsi="宋体" w:cs="宋体"/>
          <w:color w:val="auto"/>
          <w:sz w:val="32"/>
          <w:szCs w:val="32"/>
          <w:highlight w:val="none"/>
          <w:u w:val="single"/>
        </w:rPr>
      </w:pPr>
      <w:r>
        <w:rPr>
          <w:rFonts w:hint="eastAsia" w:ascii="宋体" w:hAnsi="宋体" w:cs="宋体"/>
          <w:color w:val="auto"/>
          <w:sz w:val="32"/>
          <w:szCs w:val="32"/>
          <w:highlight w:val="none"/>
        </w:rPr>
        <w:t>法定代表人或其委托代理人：</w:t>
      </w:r>
      <w:r>
        <w:rPr>
          <w:rFonts w:hint="eastAsia" w:ascii="宋体" w:hAnsi="宋体" w:cs="宋体"/>
          <w:color w:val="auto"/>
          <w:sz w:val="32"/>
          <w:szCs w:val="32"/>
          <w:highlight w:val="none"/>
          <w:u w:val="single"/>
        </w:rPr>
        <w:t xml:space="preserve">                （签字或盖章） </w:t>
      </w:r>
    </w:p>
    <w:p>
      <w:pPr>
        <w:shd w:val="clear"/>
        <w:spacing w:line="900" w:lineRule="exact"/>
        <w:ind w:firstLine="160" w:firstLineChars="50"/>
        <w:rPr>
          <w:rFonts w:ascii="宋体" w:hAnsi="宋体" w:cs="宋体"/>
          <w:color w:val="auto"/>
          <w:highlight w:val="none"/>
        </w:rPr>
      </w:pPr>
      <w:r>
        <w:rPr>
          <w:rFonts w:hint="eastAsia" w:ascii="宋体" w:hAnsi="宋体" w:cs="宋体"/>
          <w:color w:val="auto"/>
          <w:sz w:val="32"/>
          <w:szCs w:val="32"/>
          <w:highlight w:val="none"/>
        </w:rPr>
        <w:t xml:space="preserve"> 日 期：</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日</w:t>
      </w:r>
    </w:p>
    <w:p>
      <w:pPr>
        <w:shd w:val="clear"/>
        <w:jc w:val="center"/>
        <w:rPr>
          <w:rFonts w:hint="eastAsia" w:ascii="宋体" w:hAnsi="宋体" w:cs="宋体"/>
          <w:b/>
          <w:bCs/>
          <w:color w:val="auto"/>
          <w:sz w:val="36"/>
          <w:szCs w:val="36"/>
          <w:highlight w:val="none"/>
        </w:rPr>
      </w:pPr>
    </w:p>
    <w:p>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关于资格的声明函（格式）</w:t>
      </w:r>
    </w:p>
    <w:p>
      <w:pPr>
        <w:pStyle w:val="2"/>
        <w:shd w:val="clear"/>
        <w:rPr>
          <w:rFonts w:cs="宋体"/>
          <w:color w:val="auto"/>
          <w:sz w:val="24"/>
          <w:szCs w:val="24"/>
          <w:highlight w:val="none"/>
        </w:rPr>
      </w:pPr>
    </w:p>
    <w:p>
      <w:pPr>
        <w:pStyle w:val="2"/>
        <w:shd w:val="clear"/>
        <w:jc w:val="both"/>
        <w:rPr>
          <w:rFonts w:cs="宋体"/>
          <w:b w:val="0"/>
          <w:bCs w:val="0"/>
          <w:color w:val="auto"/>
          <w:sz w:val="24"/>
          <w:szCs w:val="24"/>
          <w:highlight w:val="none"/>
          <w:u w:val="single"/>
        </w:rPr>
      </w:pPr>
      <w:r>
        <w:rPr>
          <w:rFonts w:hint="eastAsia" w:cs="宋体"/>
          <w:b w:val="0"/>
          <w:bCs w:val="0"/>
          <w:color w:val="auto"/>
          <w:sz w:val="24"/>
          <w:szCs w:val="24"/>
          <w:highlight w:val="none"/>
        </w:rPr>
        <w:t>致：（</w:t>
      </w:r>
      <w:r>
        <w:rPr>
          <w:rFonts w:hint="eastAsia" w:cs="宋体"/>
          <w:b w:val="0"/>
          <w:bCs w:val="0"/>
          <w:color w:val="auto"/>
          <w:sz w:val="24"/>
          <w:szCs w:val="24"/>
          <w:highlight w:val="none"/>
          <w:u w:val="single"/>
        </w:rPr>
        <w:t xml:space="preserve">采购人名称）                    </w:t>
      </w:r>
    </w:p>
    <w:p>
      <w:pPr>
        <w:shd w:val="clear"/>
        <w:spacing w:line="48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（采购代理机构名称）             </w:t>
      </w:r>
    </w:p>
    <w:p>
      <w:pPr>
        <w:shd w:val="clea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关于贵方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（采购编号）招标公告，本签字人愿意参加投标，按采购文件要求提供</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（项目名称）的 设备和服务，并说明提交的下列文件和说明是正确和真实的。</w:t>
      </w:r>
    </w:p>
    <w:p>
      <w:pPr>
        <w:shd w:val="clea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w:t>
      </w:r>
      <w:r>
        <w:rPr>
          <w:rFonts w:hint="eastAsia" w:ascii="宋体" w:hAnsi="宋体" w:cs="宋体"/>
          <w:color w:val="auto"/>
          <w:sz w:val="24"/>
          <w:highlight w:val="none"/>
        </w:rPr>
        <w:t>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（签发单位）签发的我方工商营业执照副本（复印件加盖公章后附该声明函后）。</w:t>
      </w:r>
    </w:p>
    <w:p>
      <w:pPr>
        <w:shd w:val="clea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w:t>
      </w:r>
      <w:r>
        <w:rPr>
          <w:rFonts w:hint="eastAsia" w:ascii="宋体" w:hAnsi="宋体" w:cs="宋体"/>
          <w:color w:val="auto"/>
          <w:sz w:val="24"/>
          <w:highlight w:val="none"/>
        </w:rPr>
        <w:t>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（签发人）签发的投标人情况介绍。</w:t>
      </w:r>
    </w:p>
    <w:p>
      <w:pPr>
        <w:shd w:val="clear"/>
        <w:spacing w:line="46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3</w:t>
      </w:r>
      <w:r>
        <w:rPr>
          <w:rFonts w:hint="eastAsia" w:ascii="宋体" w:hAnsi="宋体" w:cs="宋体"/>
          <w:color w:val="auto"/>
          <w:kern w:val="0"/>
          <w:sz w:val="24"/>
          <w:highlight w:val="none"/>
        </w:rPr>
        <w:t>.</w:t>
      </w:r>
      <w:r>
        <w:rPr>
          <w:rFonts w:hint="eastAsia" w:ascii="宋体" w:hAnsi="宋体" w:cs="宋体"/>
          <w:color w:val="auto"/>
          <w:sz w:val="24"/>
          <w:highlight w:val="none"/>
        </w:rPr>
        <w:t>其他资格、资质文件：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hd w:val="clear"/>
        <w:spacing w:line="460" w:lineRule="exac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（空格处填写资格证书名称、复印件加盖公章后附该声明函后）。</w:t>
      </w:r>
    </w:p>
    <w:p>
      <w:pPr>
        <w:shd w:val="clea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w:t>
      </w:r>
      <w:r>
        <w:rPr>
          <w:rFonts w:hint="eastAsia" w:ascii="宋体" w:hAnsi="宋体" w:cs="宋体"/>
          <w:color w:val="auto"/>
          <w:sz w:val="24"/>
          <w:highlight w:val="none"/>
        </w:rPr>
        <w:t>本签字人确认所提供的投标文件内容是真实的、准确的。</w:t>
      </w:r>
    </w:p>
    <w:p>
      <w:pPr>
        <w:shd w:val="clear"/>
        <w:spacing w:line="460" w:lineRule="exact"/>
        <w:ind w:firstLine="480" w:firstLineChars="200"/>
        <w:rPr>
          <w:rFonts w:ascii="宋体" w:hAnsi="宋体" w:cs="宋体"/>
          <w:color w:val="auto"/>
          <w:sz w:val="24"/>
          <w:highlight w:val="none"/>
        </w:rPr>
      </w:pPr>
    </w:p>
    <w:p>
      <w:pPr>
        <w:shd w:val="clear"/>
        <w:spacing w:line="460" w:lineRule="exact"/>
        <w:ind w:firstLine="480" w:firstLineChars="200"/>
        <w:rPr>
          <w:rFonts w:ascii="宋体" w:hAnsi="宋体" w:cs="宋体"/>
          <w:color w:val="auto"/>
          <w:sz w:val="24"/>
          <w:highlight w:val="none"/>
        </w:rPr>
      </w:pPr>
    </w:p>
    <w:p>
      <w:pPr>
        <w:shd w:val="clear"/>
        <w:spacing w:line="460" w:lineRule="exact"/>
        <w:ind w:firstLine="480" w:firstLineChars="200"/>
        <w:rPr>
          <w:rFonts w:ascii="宋体" w:hAnsi="宋体" w:cs="宋体"/>
          <w:color w:val="auto"/>
          <w:sz w:val="24"/>
          <w:highlight w:val="none"/>
        </w:rPr>
      </w:pPr>
    </w:p>
    <w:p>
      <w:pPr>
        <w:shd w:val="clear"/>
        <w:spacing w:line="460" w:lineRule="exact"/>
        <w:ind w:firstLine="480" w:firstLineChars="200"/>
        <w:rPr>
          <w:rFonts w:ascii="宋体" w:hAnsi="宋体" w:cs="宋体"/>
          <w:color w:val="auto"/>
          <w:sz w:val="24"/>
          <w:highlight w:val="none"/>
        </w:rPr>
      </w:pPr>
    </w:p>
    <w:p>
      <w:pPr>
        <w:shd w:val="clear"/>
        <w:spacing w:line="800" w:lineRule="exact"/>
        <w:rPr>
          <w:rFonts w:ascii="宋体" w:hAnsi="宋体" w:cs="宋体"/>
          <w:color w:val="auto"/>
          <w:sz w:val="24"/>
          <w:highlight w:val="none"/>
        </w:rPr>
      </w:pPr>
      <w:r>
        <w:rPr>
          <w:rFonts w:hint="eastAsia" w:ascii="宋体" w:hAnsi="宋体" w:cs="宋体"/>
          <w:color w:val="auto"/>
          <w:sz w:val="24"/>
          <w:highlight w:val="none"/>
        </w:rPr>
        <w:t>单位的名称和地址                         授权签署本资格文件人</w:t>
      </w:r>
    </w:p>
    <w:p>
      <w:pPr>
        <w:shd w:val="clear"/>
        <w:spacing w:line="800" w:lineRule="exact"/>
        <w:rPr>
          <w:rFonts w:ascii="宋体" w:hAnsi="宋体" w:cs="宋体"/>
          <w:color w:val="auto"/>
          <w:sz w:val="24"/>
          <w:highlight w:val="none"/>
        </w:rPr>
      </w:pPr>
      <w:r>
        <w:rPr>
          <w:rFonts w:hint="eastAsia" w:ascii="宋体" w:hAnsi="宋体" w:cs="宋体"/>
          <w:color w:val="auto"/>
          <w:sz w:val="24"/>
          <w:highlight w:val="none"/>
        </w:rPr>
        <w:t>名称（盖章）：                          签字（或盖章）：</w:t>
      </w:r>
      <w:r>
        <w:rPr>
          <w:rFonts w:hint="eastAsia" w:ascii="宋体" w:hAnsi="宋体" w:cs="宋体"/>
          <w:color w:val="auto"/>
          <w:sz w:val="24"/>
          <w:highlight w:val="none"/>
          <w:u w:val="single"/>
        </w:rPr>
        <w:t xml:space="preserve">                 </w:t>
      </w:r>
    </w:p>
    <w:p>
      <w:pPr>
        <w:shd w:val="clear"/>
        <w:spacing w:line="800" w:lineRule="exact"/>
        <w:rPr>
          <w:rFonts w:ascii="宋体" w:hAnsi="宋体" w:cs="宋体"/>
          <w:color w:val="auto"/>
          <w:sz w:val="24"/>
          <w:highlight w:val="none"/>
        </w:rPr>
      </w:pPr>
      <w:r>
        <w:rPr>
          <w:rFonts w:hint="eastAsia" w:ascii="宋体" w:hAnsi="宋体" w:cs="宋体"/>
          <w:color w:val="auto"/>
          <w:sz w:val="24"/>
          <w:highlight w:val="none"/>
        </w:rPr>
        <w:t>地址：                                 职务：</w:t>
      </w:r>
      <w:r>
        <w:rPr>
          <w:rFonts w:hint="eastAsia" w:ascii="宋体" w:hAnsi="宋体" w:cs="宋体"/>
          <w:color w:val="auto"/>
          <w:sz w:val="24"/>
          <w:highlight w:val="none"/>
          <w:u w:val="single"/>
        </w:rPr>
        <w:t xml:space="preserve">                        </w:t>
      </w:r>
    </w:p>
    <w:p>
      <w:pPr>
        <w:shd w:val="clear"/>
        <w:spacing w:line="800" w:lineRule="exact"/>
        <w:rPr>
          <w:rFonts w:ascii="宋体" w:hAnsi="宋体" w:cs="宋体"/>
          <w:color w:val="auto"/>
          <w:sz w:val="24"/>
          <w:highlight w:val="none"/>
          <w:u w:val="single"/>
        </w:rPr>
      </w:pPr>
      <w:r>
        <w:rPr>
          <w:rFonts w:hint="eastAsia" w:ascii="宋体" w:hAnsi="宋体" w:cs="宋体"/>
          <w:color w:val="auto"/>
          <w:sz w:val="24"/>
          <w:highlight w:val="none"/>
        </w:rPr>
        <w:t>传真：                                 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hd w:val="clear"/>
        <w:spacing w:line="800" w:lineRule="exact"/>
        <w:rPr>
          <w:rFonts w:ascii="宋体" w:hAnsi="宋体" w:cs="宋体"/>
          <w:color w:val="auto"/>
          <w:sz w:val="24"/>
          <w:highlight w:val="none"/>
          <w:u w:val="single"/>
        </w:rPr>
      </w:pPr>
      <w:r>
        <w:rPr>
          <w:rFonts w:hint="eastAsia" w:ascii="宋体" w:hAnsi="宋体" w:cs="宋体"/>
          <w:color w:val="auto"/>
          <w:sz w:val="24"/>
          <w:highlight w:val="none"/>
        </w:rPr>
        <w:t>邮编：                                 签署日期：</w:t>
      </w:r>
      <w:r>
        <w:rPr>
          <w:rFonts w:hint="eastAsia" w:ascii="宋体" w:hAnsi="宋体" w:cs="宋体"/>
          <w:color w:val="auto"/>
          <w:sz w:val="24"/>
          <w:highlight w:val="none"/>
          <w:u w:val="single"/>
        </w:rPr>
        <w:t xml:space="preserve">  </w:t>
      </w:r>
    </w:p>
    <w:p>
      <w:pPr>
        <w:shd w:val="clear"/>
        <w:spacing w:line="800" w:lineRule="exact"/>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pPr>
        <w:pStyle w:val="21"/>
        <w:shd w:val="clear"/>
        <w:ind w:left="0" w:leftChars="0" w:firstLine="0" w:firstLineChars="0"/>
        <w:rPr>
          <w:rFonts w:ascii="宋体" w:hAnsi="宋体"/>
          <w:color w:val="auto"/>
          <w:highlight w:val="none"/>
        </w:rPr>
      </w:pPr>
    </w:p>
    <w:p>
      <w:pPr>
        <w:shd w:val="clear"/>
        <w:spacing w:line="480" w:lineRule="auto"/>
        <w:jc w:val="center"/>
        <w:rPr>
          <w:rFonts w:hint="eastAsia" w:ascii="宋体" w:hAnsi="宋体" w:cs="宋体"/>
          <w:b/>
          <w:bCs/>
          <w:color w:val="auto"/>
          <w:sz w:val="36"/>
          <w:szCs w:val="36"/>
          <w:highlight w:val="none"/>
        </w:rPr>
      </w:pPr>
    </w:p>
    <w:p>
      <w:pPr>
        <w:shd w:val="clear"/>
        <w:spacing w:line="480" w:lineRule="auto"/>
        <w:jc w:val="center"/>
        <w:rPr>
          <w:rFonts w:ascii="宋体" w:hAnsi="宋体" w:cs="宋体"/>
          <w:color w:val="auto"/>
          <w:sz w:val="36"/>
          <w:szCs w:val="36"/>
          <w:highlight w:val="none"/>
        </w:rPr>
      </w:pPr>
      <w:r>
        <w:rPr>
          <w:rFonts w:hint="eastAsia" w:ascii="宋体" w:hAnsi="宋体" w:cs="宋体"/>
          <w:b/>
          <w:bCs/>
          <w:color w:val="auto"/>
          <w:sz w:val="36"/>
          <w:szCs w:val="36"/>
          <w:highlight w:val="none"/>
        </w:rPr>
        <w:t>法定代表人说明书（格式）</w:t>
      </w:r>
    </w:p>
    <w:p>
      <w:pPr>
        <w:shd w:val="clear"/>
        <w:spacing w:line="540" w:lineRule="exact"/>
        <w:rPr>
          <w:rFonts w:ascii="宋体" w:hAnsi="宋体" w:cs="宋体"/>
          <w:color w:val="auto"/>
          <w:sz w:val="24"/>
          <w:highlight w:val="none"/>
        </w:rPr>
      </w:pPr>
    </w:p>
    <w:p>
      <w:pPr>
        <w:shd w:val="clear"/>
        <w:spacing w:line="540" w:lineRule="exact"/>
        <w:rPr>
          <w:rFonts w:ascii="宋体" w:hAnsi="宋体" w:cs="宋体"/>
          <w:color w:val="auto"/>
          <w:sz w:val="24"/>
          <w:highlight w:val="none"/>
        </w:rPr>
      </w:pPr>
    </w:p>
    <w:p>
      <w:pPr>
        <w:shd w:val="clear"/>
        <w:spacing w:line="540" w:lineRule="exact"/>
        <w:rPr>
          <w:rFonts w:ascii="宋体" w:hAnsi="宋体" w:cs="宋体"/>
          <w:color w:val="auto"/>
          <w:sz w:val="24"/>
          <w:highlight w:val="none"/>
        </w:rPr>
      </w:pPr>
    </w:p>
    <w:p>
      <w:pPr>
        <w:shd w:val="clear"/>
        <w:spacing w:line="540" w:lineRule="exact"/>
        <w:rPr>
          <w:rFonts w:ascii="宋体" w:hAnsi="宋体" w:cs="宋体"/>
          <w:color w:val="auto"/>
          <w:sz w:val="24"/>
          <w:highlight w:val="none"/>
        </w:rPr>
      </w:pPr>
      <w:r>
        <w:rPr>
          <w:rFonts w:hint="eastAsia" w:ascii="宋体" w:hAnsi="宋体" w:cs="宋体"/>
          <w:color w:val="auto"/>
          <w:sz w:val="24"/>
          <w:highlight w:val="none"/>
        </w:rPr>
        <w:t>姓名：                           性别：</w:t>
      </w:r>
    </w:p>
    <w:p>
      <w:pPr>
        <w:shd w:val="clear"/>
        <w:spacing w:line="540" w:lineRule="exact"/>
        <w:rPr>
          <w:rFonts w:ascii="宋体" w:hAnsi="宋体" w:cs="宋体"/>
          <w:color w:val="auto"/>
          <w:sz w:val="24"/>
          <w:highlight w:val="none"/>
        </w:rPr>
      </w:pPr>
      <w:r>
        <w:rPr>
          <w:rFonts w:hint="eastAsia" w:ascii="宋体" w:hAnsi="宋体" w:cs="宋体"/>
          <w:color w:val="auto"/>
          <w:sz w:val="24"/>
          <w:highlight w:val="none"/>
        </w:rPr>
        <w:t>年龄：                           职务：</w:t>
      </w:r>
    </w:p>
    <w:p>
      <w:pPr>
        <w:shd w:val="clear"/>
        <w:spacing w:line="540" w:lineRule="exact"/>
        <w:rPr>
          <w:rFonts w:ascii="宋体" w:hAnsi="宋体" w:cs="宋体"/>
          <w:color w:val="auto"/>
          <w:sz w:val="24"/>
          <w:highlight w:val="none"/>
        </w:rPr>
      </w:pPr>
      <w:r>
        <w:rPr>
          <w:rFonts w:hint="eastAsia" w:ascii="宋体" w:hAnsi="宋体" w:cs="宋体"/>
          <w:color w:val="auto"/>
          <w:sz w:val="24"/>
          <w:highlight w:val="none"/>
        </w:rPr>
        <w:t>身份证号码：</w:t>
      </w:r>
    </w:p>
    <w:p>
      <w:pPr>
        <w:shd w:val="clea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（单位名称）的法定代表人，法定地址：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项目的投标、开标等事宜，签署上述投标文件，进行合同谈判、签署合同和处理与之有关的一切事务。</w:t>
      </w:r>
    </w:p>
    <w:p>
      <w:pPr>
        <w:shd w:val="clear"/>
        <w:spacing w:line="540" w:lineRule="exact"/>
        <w:ind w:firstLine="480" w:firstLineChars="200"/>
        <w:rPr>
          <w:rFonts w:ascii="宋体" w:hAnsi="宋体" w:cs="宋体"/>
          <w:color w:val="auto"/>
          <w:sz w:val="24"/>
          <w:highlight w:val="none"/>
        </w:rPr>
      </w:pPr>
    </w:p>
    <w:p>
      <w:pPr>
        <w:shd w:val="clea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hd w:val="clear"/>
        <w:spacing w:line="540" w:lineRule="exact"/>
        <w:rPr>
          <w:rFonts w:ascii="宋体" w:hAnsi="宋体" w:cs="宋体"/>
          <w:color w:val="auto"/>
          <w:sz w:val="24"/>
          <w:highlight w:val="none"/>
        </w:rPr>
      </w:pPr>
    </w:p>
    <w:p>
      <w:pPr>
        <w:shd w:val="clear"/>
        <w:spacing w:line="540" w:lineRule="exact"/>
        <w:rPr>
          <w:rFonts w:ascii="宋体" w:hAnsi="宋体" w:cs="宋体"/>
          <w:color w:val="auto"/>
          <w:sz w:val="24"/>
          <w:highlight w:val="none"/>
        </w:rPr>
      </w:pPr>
    </w:p>
    <w:p>
      <w:pPr>
        <w:shd w:val="clear"/>
        <w:spacing w:line="540" w:lineRule="exact"/>
        <w:rPr>
          <w:rFonts w:ascii="宋体" w:hAnsi="宋体" w:cs="宋体"/>
          <w:color w:val="auto"/>
          <w:sz w:val="24"/>
          <w:highlight w:val="none"/>
        </w:rPr>
      </w:pPr>
      <w:r>
        <w:rPr>
          <w:rFonts w:hint="eastAsia" w:ascii="宋体" w:hAnsi="宋体" w:cs="宋体"/>
          <w:color w:val="auto"/>
          <w:sz w:val="24"/>
          <w:highlight w:val="none"/>
        </w:rPr>
        <w:t xml:space="preserve">投标单位：（盖章）                </w:t>
      </w:r>
    </w:p>
    <w:p>
      <w:pPr>
        <w:shd w:val="clear"/>
        <w:spacing w:line="540" w:lineRule="exact"/>
        <w:rPr>
          <w:rFonts w:ascii="宋体" w:hAnsi="宋体" w:cs="宋体"/>
          <w:color w:val="auto"/>
          <w:sz w:val="24"/>
          <w:highlight w:val="none"/>
        </w:rPr>
      </w:pPr>
      <w:r>
        <w:rPr>
          <w:rFonts w:hint="eastAsia" w:ascii="宋体" w:hAnsi="宋体" w:cs="宋体"/>
          <w:color w:val="auto"/>
          <w:sz w:val="24"/>
          <w:highlight w:val="none"/>
        </w:rPr>
        <w:t>法定代表人签字：</w:t>
      </w:r>
    </w:p>
    <w:p>
      <w:pPr>
        <w:shd w:val="clear"/>
        <w:spacing w:line="540" w:lineRule="exact"/>
        <w:rPr>
          <w:rFonts w:ascii="宋体" w:hAnsi="宋体" w:cs="宋体"/>
          <w:color w:val="auto"/>
          <w:sz w:val="24"/>
          <w:highlight w:val="none"/>
        </w:rPr>
      </w:pPr>
    </w:p>
    <w:p>
      <w:pPr>
        <w:shd w:val="clear"/>
        <w:spacing w:line="540" w:lineRule="exact"/>
        <w:rPr>
          <w:rFonts w:ascii="宋体" w:hAnsi="宋体" w:cs="宋体"/>
          <w:color w:val="auto"/>
          <w:sz w:val="24"/>
          <w:highlight w:val="none"/>
        </w:rPr>
      </w:pPr>
      <w:r>
        <w:rPr>
          <w:rFonts w:hint="eastAsia" w:ascii="宋体" w:hAnsi="宋体" w:cs="宋体"/>
          <w:color w:val="auto"/>
          <w:sz w:val="24"/>
          <w:highlight w:val="none"/>
        </w:rPr>
        <w:t xml:space="preserve">日期：    年   月    日              </w:t>
      </w:r>
    </w:p>
    <w:p>
      <w:pPr>
        <w:shd w:val="clear"/>
        <w:spacing w:line="540" w:lineRule="exact"/>
        <w:rPr>
          <w:rFonts w:ascii="宋体" w:hAnsi="宋体" w:cs="宋体"/>
          <w:color w:val="auto"/>
          <w:sz w:val="24"/>
          <w:highlight w:val="none"/>
        </w:rPr>
      </w:pPr>
    </w:p>
    <w:p>
      <w:pPr>
        <w:shd w:val="clear"/>
        <w:spacing w:line="540" w:lineRule="exact"/>
        <w:rPr>
          <w:rFonts w:ascii="宋体" w:hAnsi="宋体" w:cs="宋体"/>
          <w:color w:val="auto"/>
          <w:sz w:val="24"/>
          <w:highlight w:val="none"/>
        </w:rPr>
      </w:pPr>
    </w:p>
    <w:p>
      <w:pPr>
        <w:pStyle w:val="26"/>
        <w:shd w:val="clear"/>
        <w:rPr>
          <w:rFonts w:ascii="宋体" w:hAnsi="宋体" w:eastAsia="宋体" w:cs="宋体"/>
          <w:color w:val="auto"/>
          <w:highlight w:val="none"/>
        </w:rPr>
      </w:pPr>
    </w:p>
    <w:p>
      <w:pPr>
        <w:pStyle w:val="26"/>
        <w:shd w:val="clear"/>
        <w:rPr>
          <w:rFonts w:ascii="宋体" w:hAnsi="宋体" w:eastAsia="宋体" w:cs="宋体"/>
          <w:color w:val="auto"/>
          <w:highlight w:val="none"/>
        </w:rPr>
      </w:pPr>
    </w:p>
    <w:p>
      <w:pPr>
        <w:shd w:val="clear"/>
        <w:spacing w:line="480" w:lineRule="auto"/>
        <w:jc w:val="center"/>
        <w:rPr>
          <w:rFonts w:ascii="宋体" w:hAnsi="宋体" w:cs="宋体"/>
          <w:b/>
          <w:bCs/>
          <w:color w:val="auto"/>
          <w:sz w:val="36"/>
          <w:szCs w:val="36"/>
          <w:highlight w:val="none"/>
        </w:rPr>
      </w:pPr>
    </w:p>
    <w:p>
      <w:pPr>
        <w:shd w:val="clear"/>
        <w:spacing w:line="48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投标人法定代表人授权书（格式）</w:t>
      </w:r>
    </w:p>
    <w:p>
      <w:pPr>
        <w:shd w:val="clear"/>
        <w:spacing w:line="480" w:lineRule="auto"/>
        <w:jc w:val="center"/>
        <w:rPr>
          <w:rFonts w:ascii="宋体" w:hAnsi="宋体" w:cs="宋体"/>
          <w:b/>
          <w:bCs/>
          <w:color w:val="auto"/>
          <w:sz w:val="48"/>
          <w:szCs w:val="48"/>
          <w:highlight w:val="none"/>
        </w:rPr>
      </w:pP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采购人名称）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采购代理机构名称）         </w:t>
      </w:r>
      <w:r>
        <w:rPr>
          <w:rFonts w:hint="eastAsia" w:ascii="宋体" w:hAnsi="宋体" w:cs="宋体"/>
          <w:color w:val="auto"/>
          <w:sz w:val="24"/>
          <w:highlight w:val="none"/>
        </w:rPr>
        <w:t xml:space="preserve">    </w:t>
      </w:r>
    </w:p>
    <w:p>
      <w:pPr>
        <w:shd w:val="clea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注册于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（注册地址）的</w:t>
      </w:r>
      <w:r>
        <w:rPr>
          <w:rFonts w:hint="eastAsia" w:ascii="宋体" w:hAnsi="宋体" w:cs="宋体"/>
          <w:color w:val="auto"/>
          <w:sz w:val="24"/>
          <w:highlight w:val="none"/>
          <w:u w:val="single"/>
        </w:rPr>
        <w:t xml:space="preserve">                                         </w:t>
      </w:r>
    </w:p>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（授权人姓名）系该公司的法定代表人。现特授权本单位的（被授权人姓名）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为我公司合法代理人，全权代表我公司办理就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项目的投标、开标、签约等具体工作，并签署全部有关的文件、协议及合同。</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我公司对被授权人的签名负全部责任。</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在撤销授权的书面通知以前，本授权书一直有效。被授权人签署的所有文件（在授权书有效期内签署的）不因授权的撤销而失效。被授权人无转委托。特此声明。</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被授权人身份证复印件：</w:t>
      </w:r>
    </w:p>
    <w:p>
      <w:pPr>
        <w:shd w:val="clear"/>
        <w:spacing w:line="800" w:lineRule="exact"/>
        <w:rPr>
          <w:rFonts w:ascii="宋体" w:hAnsi="宋体" w:cs="宋体"/>
          <w:color w:val="auto"/>
          <w:sz w:val="24"/>
          <w:highlight w:val="none"/>
        </w:rPr>
      </w:pPr>
      <w:r>
        <w:rPr>
          <w:rFonts w:hint="eastAsia" w:ascii="宋体" w:hAnsi="宋体" w:cs="宋体"/>
          <w:color w:val="auto"/>
          <w:sz w:val="24"/>
          <w:highlight w:val="none"/>
        </w:rPr>
        <w:t>投标人公章：</w:t>
      </w:r>
    </w:p>
    <w:p>
      <w:pPr>
        <w:shd w:val="clear"/>
        <w:spacing w:line="800" w:lineRule="exact"/>
        <w:rPr>
          <w:rFonts w:ascii="宋体" w:hAnsi="宋体" w:cs="宋体"/>
          <w:color w:val="auto"/>
          <w:sz w:val="24"/>
          <w:highlight w:val="none"/>
          <w:u w:val="single"/>
        </w:rPr>
      </w:pPr>
      <w:r>
        <w:rPr>
          <w:rFonts w:hint="eastAsia" w:ascii="宋体" w:hAnsi="宋体" w:cs="宋体"/>
          <w:color w:val="auto"/>
          <w:sz w:val="24"/>
          <w:highlight w:val="none"/>
        </w:rPr>
        <w:t>授权人签名：                            职        务：</w:t>
      </w:r>
      <w:r>
        <w:rPr>
          <w:rFonts w:hint="eastAsia" w:ascii="宋体" w:hAnsi="宋体" w:cs="宋体"/>
          <w:color w:val="auto"/>
          <w:sz w:val="24"/>
          <w:highlight w:val="none"/>
          <w:u w:val="single"/>
        </w:rPr>
        <w:t xml:space="preserve">                </w:t>
      </w:r>
    </w:p>
    <w:p>
      <w:pPr>
        <w:shd w:val="clear"/>
        <w:spacing w:line="800" w:lineRule="exact"/>
        <w:rPr>
          <w:rFonts w:ascii="宋体" w:hAnsi="宋体" w:cs="宋体"/>
          <w:color w:val="auto"/>
          <w:sz w:val="24"/>
          <w:highlight w:val="none"/>
        </w:rPr>
      </w:pPr>
      <w:r>
        <w:rPr>
          <w:rFonts w:hint="eastAsia" w:ascii="宋体" w:hAnsi="宋体" w:cs="宋体"/>
          <w:color w:val="auto"/>
          <w:sz w:val="24"/>
          <w:highlight w:val="none"/>
        </w:rPr>
        <w:t>被授权人签名：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注：投标人法定代表人参加投标的，提供法定代表人说明书和身份资料即可。</w:t>
      </w:r>
    </w:p>
    <w:p>
      <w:pPr>
        <w:pStyle w:val="5"/>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jc w:val="center"/>
        <w:rPr>
          <w:rFonts w:hint="eastAsia" w:ascii="宋体" w:hAnsi="宋体" w:cs="宋体"/>
          <w:b/>
          <w:bCs/>
          <w:color w:val="auto"/>
          <w:sz w:val="36"/>
          <w:highlight w:val="none"/>
        </w:rPr>
      </w:pPr>
    </w:p>
    <w:p>
      <w:pPr>
        <w:shd w:val="clear"/>
        <w:jc w:val="center"/>
        <w:rPr>
          <w:rFonts w:ascii="宋体" w:hAnsi="宋体" w:cs="宋体"/>
          <w:b/>
          <w:bCs/>
          <w:color w:val="auto"/>
          <w:sz w:val="36"/>
          <w:highlight w:val="none"/>
        </w:rPr>
      </w:pPr>
      <w:r>
        <w:rPr>
          <w:rFonts w:hint="eastAsia" w:ascii="宋体" w:hAnsi="宋体" w:cs="宋体"/>
          <w:b/>
          <w:bCs/>
          <w:color w:val="auto"/>
          <w:sz w:val="36"/>
          <w:highlight w:val="none"/>
        </w:rPr>
        <w:t>拟投入本项目的人员表（格式）</w:t>
      </w:r>
    </w:p>
    <w:p>
      <w:pPr>
        <w:shd w:val="clear"/>
        <w:tabs>
          <w:tab w:val="left" w:pos="360"/>
        </w:tabs>
        <w:spacing w:line="360" w:lineRule="auto"/>
        <w:rPr>
          <w:rFonts w:ascii="宋体" w:hAnsi="宋体" w:cs="宋体"/>
          <w:b/>
          <w:bCs/>
          <w:color w:val="auto"/>
          <w:highlight w:val="none"/>
        </w:rPr>
      </w:pPr>
      <w:r>
        <w:rPr>
          <w:rFonts w:hint="eastAsia" w:ascii="宋体" w:hAnsi="宋体" w:cs="宋体"/>
          <w:bCs/>
          <w:color w:val="auto"/>
          <w:sz w:val="24"/>
          <w:szCs w:val="28"/>
          <w:highlight w:val="none"/>
        </w:rPr>
        <w:t>投标人（公章）：</w:t>
      </w:r>
      <w:r>
        <w:rPr>
          <w:rFonts w:hint="eastAsia" w:ascii="宋体" w:hAnsi="宋体" w:cs="宋体"/>
          <w:bCs/>
          <w:color w:val="auto"/>
          <w:sz w:val="24"/>
          <w:szCs w:val="28"/>
          <w:highlight w:val="none"/>
          <w:u w:val="single"/>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00"/>
        <w:gridCol w:w="1440"/>
        <w:gridCol w:w="1460"/>
        <w:gridCol w:w="2680"/>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r>
              <w:rPr>
                <w:rFonts w:hint="eastAsia" w:ascii="宋体" w:hAnsi="宋体" w:cs="宋体"/>
                <w:color w:val="auto"/>
                <w:sz w:val="24"/>
                <w:highlight w:val="none"/>
              </w:rPr>
              <w:t>姓名</w:t>
            </w:r>
          </w:p>
        </w:tc>
        <w:tc>
          <w:tcPr>
            <w:tcW w:w="900" w:type="dxa"/>
            <w:vAlign w:val="center"/>
          </w:tcPr>
          <w:p>
            <w:pPr>
              <w:shd w:val="clear"/>
              <w:tabs>
                <w:tab w:val="left" w:pos="360"/>
              </w:tabs>
              <w:spacing w:line="460" w:lineRule="exact"/>
              <w:jc w:val="center"/>
              <w:rPr>
                <w:rFonts w:ascii="宋体" w:hAnsi="宋体" w:cs="宋体"/>
                <w:color w:val="auto"/>
                <w:sz w:val="24"/>
                <w:highlight w:val="none"/>
              </w:rPr>
            </w:pPr>
            <w:r>
              <w:rPr>
                <w:rFonts w:hint="eastAsia" w:ascii="宋体" w:hAnsi="宋体" w:cs="宋体"/>
                <w:color w:val="auto"/>
                <w:sz w:val="24"/>
                <w:highlight w:val="none"/>
              </w:rPr>
              <w:t>性别</w:t>
            </w:r>
          </w:p>
        </w:tc>
        <w:tc>
          <w:tcPr>
            <w:tcW w:w="1440" w:type="dxa"/>
            <w:vAlign w:val="center"/>
          </w:tcPr>
          <w:p>
            <w:pPr>
              <w:shd w:val="clear"/>
              <w:tabs>
                <w:tab w:val="left" w:pos="360"/>
              </w:tabs>
              <w:spacing w:line="460" w:lineRule="exact"/>
              <w:jc w:val="center"/>
              <w:rPr>
                <w:rFonts w:ascii="宋体" w:hAnsi="宋体" w:cs="宋体"/>
                <w:color w:val="auto"/>
                <w:sz w:val="24"/>
                <w:highlight w:val="none"/>
              </w:rPr>
            </w:pPr>
            <w:r>
              <w:rPr>
                <w:rFonts w:hint="eastAsia" w:ascii="宋体" w:hAnsi="宋体" w:cs="宋体"/>
                <w:color w:val="auto"/>
                <w:sz w:val="24"/>
                <w:highlight w:val="none"/>
              </w:rPr>
              <w:t>职称</w:t>
            </w:r>
          </w:p>
        </w:tc>
        <w:tc>
          <w:tcPr>
            <w:tcW w:w="1460" w:type="dxa"/>
            <w:vAlign w:val="center"/>
          </w:tcPr>
          <w:p>
            <w:pPr>
              <w:shd w:val="clear"/>
              <w:tabs>
                <w:tab w:val="left" w:pos="360"/>
              </w:tabs>
              <w:spacing w:line="460" w:lineRule="exact"/>
              <w:jc w:val="center"/>
              <w:rPr>
                <w:rFonts w:ascii="宋体" w:hAnsi="宋体" w:cs="宋体"/>
                <w:color w:val="auto"/>
                <w:sz w:val="24"/>
                <w:highlight w:val="none"/>
              </w:rPr>
            </w:pPr>
            <w:r>
              <w:rPr>
                <w:rFonts w:hint="eastAsia" w:ascii="宋体" w:hAnsi="宋体" w:cs="宋体"/>
                <w:color w:val="auto"/>
                <w:sz w:val="24"/>
                <w:highlight w:val="none"/>
              </w:rPr>
              <w:t>从事岗位</w:t>
            </w:r>
          </w:p>
        </w:tc>
        <w:tc>
          <w:tcPr>
            <w:tcW w:w="2680" w:type="dxa"/>
            <w:vAlign w:val="center"/>
          </w:tcPr>
          <w:p>
            <w:pPr>
              <w:shd w:val="clear"/>
              <w:tabs>
                <w:tab w:val="left" w:pos="360"/>
              </w:tabs>
              <w:spacing w:line="460" w:lineRule="exact"/>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542" w:type="dxa"/>
            <w:vAlign w:val="center"/>
          </w:tcPr>
          <w:p>
            <w:pPr>
              <w:shd w:val="clear"/>
              <w:tabs>
                <w:tab w:val="left" w:pos="360"/>
              </w:tabs>
              <w:jc w:val="center"/>
              <w:rPr>
                <w:rFonts w:ascii="宋体" w:hAnsi="宋体" w:cs="宋体"/>
                <w:color w:val="auto"/>
                <w:sz w:val="24"/>
                <w:highlight w:val="none"/>
              </w:rPr>
            </w:pPr>
            <w:r>
              <w:rPr>
                <w:rFonts w:hint="eastAsia" w:ascii="宋体" w:hAnsi="宋体" w:cs="宋体"/>
                <w:color w:val="auto"/>
                <w:sz w:val="24"/>
                <w:highlight w:val="none"/>
              </w:rPr>
              <w:t>从事</w:t>
            </w:r>
          </w:p>
          <w:p>
            <w:pPr>
              <w:shd w:val="clear"/>
              <w:tabs>
                <w:tab w:val="left" w:pos="360"/>
              </w:tabs>
              <w:jc w:val="center"/>
              <w:rPr>
                <w:rFonts w:ascii="宋体" w:hAnsi="宋体" w:cs="宋体"/>
                <w:color w:val="auto"/>
                <w:sz w:val="24"/>
                <w:highlight w:val="none"/>
              </w:rPr>
            </w:pPr>
            <w:r>
              <w:rPr>
                <w:rFonts w:hint="eastAsia" w:ascii="宋体" w:hAnsi="宋体" w:cs="宋体"/>
                <w:color w:val="auto"/>
                <w:sz w:val="24"/>
                <w:highlight w:val="none"/>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bl>
    <w:p>
      <w:pPr>
        <w:shd w:val="clear"/>
        <w:tabs>
          <w:tab w:val="left" w:pos="360"/>
        </w:tabs>
        <w:spacing w:line="500" w:lineRule="exact"/>
        <w:rPr>
          <w:rFonts w:ascii="宋体" w:hAnsi="宋体" w:cs="宋体"/>
          <w:color w:val="auto"/>
          <w:sz w:val="24"/>
          <w:highlight w:val="none"/>
        </w:rPr>
      </w:pPr>
    </w:p>
    <w:p>
      <w:pPr>
        <w:shd w:val="clear"/>
        <w:tabs>
          <w:tab w:val="left" w:pos="360"/>
        </w:tabs>
        <w:spacing w:line="500" w:lineRule="exact"/>
        <w:rPr>
          <w:rFonts w:ascii="宋体" w:hAnsi="宋体" w:cs="宋体"/>
          <w:color w:val="auto"/>
          <w:sz w:val="24"/>
          <w:highlight w:val="none"/>
          <w:u w:val="single"/>
        </w:rPr>
      </w:pPr>
      <w:r>
        <w:rPr>
          <w:rFonts w:hint="eastAsia" w:ascii="宋体" w:hAnsi="宋体" w:cs="宋体"/>
          <w:color w:val="auto"/>
          <w:sz w:val="24"/>
          <w:highlight w:val="none"/>
        </w:rPr>
        <w:t>全权代表签字：                 职 务：            日 期：</w:t>
      </w:r>
      <w:r>
        <w:rPr>
          <w:rFonts w:hint="eastAsia" w:ascii="宋体" w:hAnsi="宋体" w:cs="宋体"/>
          <w:color w:val="auto"/>
          <w:sz w:val="24"/>
          <w:highlight w:val="none"/>
          <w:u w:val="single"/>
        </w:rPr>
        <w:t xml:space="preserve">           </w:t>
      </w:r>
    </w:p>
    <w:p>
      <w:pPr>
        <w:shd w:val="clear"/>
        <w:tabs>
          <w:tab w:val="left" w:pos="360"/>
        </w:tabs>
        <w:spacing w:line="460" w:lineRule="exact"/>
        <w:rPr>
          <w:rFonts w:ascii="宋体" w:hAnsi="宋体" w:cs="宋体"/>
          <w:color w:val="auto"/>
          <w:sz w:val="24"/>
          <w:highlight w:val="none"/>
        </w:rPr>
      </w:pPr>
      <w:r>
        <w:rPr>
          <w:rFonts w:hint="eastAsia" w:ascii="宋体" w:hAnsi="宋体" w:cs="宋体"/>
          <w:color w:val="auto"/>
          <w:sz w:val="24"/>
          <w:highlight w:val="none"/>
        </w:rPr>
        <w:t>注：1</w:t>
      </w:r>
      <w:r>
        <w:rPr>
          <w:rFonts w:hint="eastAsia" w:ascii="宋体" w:hAnsi="宋体" w:cs="宋体"/>
          <w:color w:val="auto"/>
          <w:kern w:val="0"/>
          <w:sz w:val="24"/>
          <w:highlight w:val="none"/>
        </w:rPr>
        <w:t>.</w:t>
      </w:r>
      <w:r>
        <w:rPr>
          <w:rFonts w:hint="eastAsia" w:ascii="宋体" w:hAnsi="宋体" w:cs="宋体"/>
          <w:color w:val="auto"/>
          <w:sz w:val="24"/>
          <w:highlight w:val="none"/>
        </w:rPr>
        <w:t>此表在不改变表式的情况下，可自行制作。</w:t>
      </w:r>
    </w:p>
    <w:p>
      <w:pPr>
        <w:shd w:val="clear"/>
        <w:tabs>
          <w:tab w:val="left" w:pos="360"/>
        </w:tabs>
        <w:spacing w:line="460" w:lineRule="exact"/>
        <w:ind w:firstLine="48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w:t>
      </w:r>
      <w:r>
        <w:rPr>
          <w:rFonts w:hint="eastAsia" w:ascii="宋体" w:hAnsi="宋体" w:cs="宋体"/>
          <w:color w:val="auto"/>
          <w:sz w:val="24"/>
          <w:highlight w:val="none"/>
        </w:rPr>
        <w:t>有资格、职称人员须附相关职称证书和资格证书复印件（加盖公章）。</w:t>
      </w:r>
    </w:p>
    <w:p>
      <w:pPr>
        <w:shd w:val="clear"/>
        <w:tabs>
          <w:tab w:val="left" w:pos="360"/>
        </w:tabs>
        <w:spacing w:line="460" w:lineRule="exact"/>
        <w:ind w:firstLine="480"/>
        <w:rPr>
          <w:rFonts w:ascii="宋体" w:hAnsi="宋体" w:cs="宋体"/>
          <w:color w:val="auto"/>
          <w:highlight w:val="none"/>
        </w:rPr>
      </w:pPr>
    </w:p>
    <w:p>
      <w:pPr>
        <w:shd w:val="clear"/>
        <w:jc w:val="center"/>
        <w:rPr>
          <w:rFonts w:ascii="宋体" w:hAnsi="宋体" w:cs="宋体"/>
          <w:b/>
          <w:bCs/>
          <w:color w:val="auto"/>
          <w:sz w:val="36"/>
          <w:highlight w:val="none"/>
        </w:rPr>
      </w:pPr>
    </w:p>
    <w:p>
      <w:pPr>
        <w:shd w:val="clear"/>
        <w:jc w:val="center"/>
        <w:rPr>
          <w:rFonts w:ascii="宋体" w:hAnsi="宋体" w:cs="宋体"/>
          <w:b/>
          <w:bCs/>
          <w:color w:val="auto"/>
          <w:sz w:val="36"/>
          <w:highlight w:val="none"/>
        </w:rPr>
      </w:pPr>
      <w:r>
        <w:rPr>
          <w:rFonts w:hint="eastAsia" w:ascii="宋体" w:hAnsi="宋体" w:cs="宋体"/>
          <w:b/>
          <w:bCs/>
          <w:color w:val="auto"/>
          <w:sz w:val="36"/>
          <w:highlight w:val="none"/>
        </w:rPr>
        <w:t>拟投入本项目设备一览表（格式）</w:t>
      </w:r>
    </w:p>
    <w:p>
      <w:pPr>
        <w:shd w:val="clear"/>
        <w:tabs>
          <w:tab w:val="left" w:pos="360"/>
        </w:tabs>
        <w:spacing w:line="360" w:lineRule="auto"/>
        <w:rPr>
          <w:rFonts w:ascii="宋体" w:hAnsi="宋体" w:cs="宋体"/>
          <w:b/>
          <w:bCs/>
          <w:color w:val="auto"/>
          <w:highlight w:val="none"/>
        </w:rPr>
      </w:pPr>
      <w:r>
        <w:rPr>
          <w:rFonts w:hint="eastAsia" w:ascii="宋体" w:hAnsi="宋体" w:cs="宋体"/>
          <w:bCs/>
          <w:color w:val="auto"/>
          <w:sz w:val="24"/>
          <w:szCs w:val="28"/>
          <w:highlight w:val="none"/>
        </w:rPr>
        <w:t>投标人（公章）：</w:t>
      </w:r>
      <w:r>
        <w:rPr>
          <w:rFonts w:hint="eastAsia" w:ascii="宋体" w:hAnsi="宋体" w:cs="宋体"/>
          <w:bCs/>
          <w:color w:val="auto"/>
          <w:sz w:val="24"/>
          <w:szCs w:val="28"/>
          <w:highlight w:val="none"/>
          <w:u w:val="single"/>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336"/>
        <w:gridCol w:w="2182"/>
        <w:gridCol w:w="2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r>
              <w:rPr>
                <w:rFonts w:hint="eastAsia" w:ascii="宋体" w:hAnsi="宋体" w:cs="宋体"/>
                <w:color w:val="auto"/>
                <w:sz w:val="24"/>
                <w:highlight w:val="none"/>
              </w:rPr>
              <w:t>设备名称</w:t>
            </w:r>
          </w:p>
        </w:tc>
        <w:tc>
          <w:tcPr>
            <w:tcW w:w="2336" w:type="dxa"/>
            <w:vAlign w:val="center"/>
          </w:tcPr>
          <w:p>
            <w:pPr>
              <w:shd w:val="clear"/>
              <w:tabs>
                <w:tab w:val="left" w:pos="360"/>
              </w:tabs>
              <w:spacing w:line="460" w:lineRule="exact"/>
              <w:jc w:val="center"/>
              <w:rPr>
                <w:rFonts w:ascii="宋体" w:hAnsi="宋体" w:cs="宋体"/>
                <w:color w:val="auto"/>
                <w:sz w:val="24"/>
                <w:highlight w:val="none"/>
              </w:rPr>
            </w:pPr>
            <w:r>
              <w:rPr>
                <w:rFonts w:hint="eastAsia" w:ascii="宋体" w:hAnsi="宋体" w:cs="宋体"/>
                <w:color w:val="auto"/>
                <w:sz w:val="24"/>
                <w:highlight w:val="none"/>
              </w:rPr>
              <w:t>品牌、规格型号</w:t>
            </w:r>
          </w:p>
        </w:tc>
        <w:tc>
          <w:tcPr>
            <w:tcW w:w="2182" w:type="dxa"/>
            <w:vAlign w:val="center"/>
          </w:tcPr>
          <w:p>
            <w:pPr>
              <w:shd w:val="clear"/>
              <w:tabs>
                <w:tab w:val="left" w:pos="360"/>
              </w:tabs>
              <w:spacing w:line="460" w:lineRule="exact"/>
              <w:jc w:val="center"/>
              <w:rPr>
                <w:rFonts w:ascii="宋体" w:hAnsi="宋体" w:cs="宋体"/>
                <w:color w:val="auto"/>
                <w:sz w:val="24"/>
                <w:highlight w:val="none"/>
              </w:rPr>
            </w:pPr>
            <w:r>
              <w:rPr>
                <w:rFonts w:hint="eastAsia" w:ascii="宋体" w:hAnsi="宋体" w:cs="宋体"/>
                <w:color w:val="auto"/>
                <w:sz w:val="24"/>
                <w:highlight w:val="none"/>
              </w:rPr>
              <w:t>购买时间</w:t>
            </w:r>
          </w:p>
        </w:tc>
        <w:tc>
          <w:tcPr>
            <w:tcW w:w="2868" w:type="dxa"/>
            <w:vAlign w:val="center"/>
          </w:tcPr>
          <w:p>
            <w:pPr>
              <w:shd w:val="clear"/>
              <w:tabs>
                <w:tab w:val="left" w:pos="360"/>
              </w:tabs>
              <w:spacing w:line="460" w:lineRule="exact"/>
              <w:jc w:val="center"/>
              <w:rPr>
                <w:rFonts w:ascii="宋体" w:hAnsi="宋体" w:cs="宋体"/>
                <w:color w:val="auto"/>
                <w:sz w:val="24"/>
                <w:highlight w:val="none"/>
              </w:rPr>
            </w:pPr>
            <w:r>
              <w:rPr>
                <w:rFonts w:hint="eastAsia" w:ascii="宋体" w:hAnsi="宋体" w:cs="宋体"/>
                <w:color w:val="auto"/>
                <w:sz w:val="24"/>
                <w:highlight w:val="none"/>
              </w:rPr>
              <w:t>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bl>
    <w:p>
      <w:pPr>
        <w:shd w:val="clear"/>
        <w:tabs>
          <w:tab w:val="left" w:pos="360"/>
        </w:tabs>
        <w:spacing w:line="500" w:lineRule="exact"/>
        <w:rPr>
          <w:rFonts w:ascii="宋体" w:hAnsi="宋体" w:cs="宋体"/>
          <w:color w:val="auto"/>
          <w:sz w:val="24"/>
          <w:highlight w:val="none"/>
        </w:rPr>
      </w:pPr>
    </w:p>
    <w:p>
      <w:pPr>
        <w:pStyle w:val="27"/>
        <w:shd w:val="clear"/>
        <w:rPr>
          <w:rFonts w:ascii="宋体" w:hAnsi="宋体" w:cs="宋体"/>
          <w:color w:val="auto"/>
          <w:highlight w:val="none"/>
        </w:rPr>
      </w:pPr>
      <w:r>
        <w:rPr>
          <w:rFonts w:hint="eastAsia" w:ascii="宋体" w:hAnsi="宋体" w:cs="宋体"/>
          <w:color w:val="auto"/>
          <w:sz w:val="24"/>
          <w:highlight w:val="none"/>
        </w:rPr>
        <w:t>全权代表签字：                 职 务：            日 期：</w:t>
      </w:r>
      <w:r>
        <w:rPr>
          <w:rFonts w:hint="eastAsia" w:ascii="宋体" w:hAnsi="宋体" w:cs="宋体"/>
          <w:color w:val="auto"/>
          <w:sz w:val="24"/>
          <w:highlight w:val="none"/>
          <w:u w:val="single"/>
        </w:rPr>
        <w:t xml:space="preserve">         </w:t>
      </w:r>
    </w:p>
    <w:p>
      <w:pPr>
        <w:pStyle w:val="2"/>
        <w:shd w:val="clear"/>
        <w:jc w:val="both"/>
        <w:rPr>
          <w:rFonts w:cs="宋体"/>
          <w:color w:val="auto"/>
          <w:sz w:val="36"/>
          <w:highlight w:val="none"/>
        </w:rPr>
      </w:pPr>
      <w:r>
        <w:rPr>
          <w:rFonts w:hint="eastAsia" w:cs="宋体"/>
          <w:b w:val="0"/>
          <w:bCs w:val="0"/>
          <w:color w:val="auto"/>
          <w:sz w:val="36"/>
          <w:highlight w:val="none"/>
        </w:rPr>
        <w:br w:type="page"/>
      </w:r>
    </w:p>
    <w:p>
      <w:pPr>
        <w:shd w:val="clear"/>
        <w:jc w:val="center"/>
        <w:rPr>
          <w:rFonts w:ascii="宋体" w:hAnsi="宋体" w:cs="宋体"/>
          <w:b/>
          <w:color w:val="auto"/>
          <w:sz w:val="36"/>
          <w:highlight w:val="none"/>
        </w:rPr>
      </w:pPr>
      <w:r>
        <w:rPr>
          <w:rFonts w:hint="eastAsia" w:ascii="宋体" w:hAnsi="宋体" w:cs="宋体"/>
          <w:b/>
          <w:color w:val="auto"/>
          <w:sz w:val="36"/>
          <w:highlight w:val="none"/>
        </w:rPr>
        <w:t>服务承诺书（格式）</w:t>
      </w:r>
    </w:p>
    <w:p>
      <w:pPr>
        <w:shd w:val="clear"/>
        <w:jc w:val="center"/>
        <w:rPr>
          <w:rFonts w:ascii="宋体" w:hAnsi="宋体" w:cs="宋体"/>
          <w:b/>
          <w:bCs/>
          <w:color w:val="auto"/>
          <w:sz w:val="36"/>
          <w:highlight w:val="none"/>
        </w:rPr>
      </w:pPr>
    </w:p>
    <w:p>
      <w:pPr>
        <w:pStyle w:val="13"/>
        <w:shd w:val="clear"/>
        <w:spacing w:line="460" w:lineRule="exact"/>
        <w:ind w:firstLine="240" w:firstLineChars="100"/>
        <w:rPr>
          <w:rFonts w:hAnsi="宋体" w:cs="宋体"/>
          <w:color w:val="auto"/>
          <w:sz w:val="24"/>
          <w:highlight w:val="none"/>
        </w:rPr>
      </w:pPr>
      <w:r>
        <w:rPr>
          <w:rFonts w:hint="eastAsia" w:hAnsi="宋体" w:cs="宋体"/>
          <w:color w:val="auto"/>
          <w:sz w:val="24"/>
          <w:highlight w:val="none"/>
        </w:rPr>
        <w:t>1.投标单位须对服务期限、质量、人员、服务等采购文件中要求做出承诺的内容做出相应承诺；</w:t>
      </w:r>
    </w:p>
    <w:p>
      <w:pPr>
        <w:shd w:val="clear"/>
        <w:tabs>
          <w:tab w:val="left" w:pos="360"/>
        </w:tabs>
        <w:spacing w:line="460" w:lineRule="exact"/>
        <w:rPr>
          <w:rFonts w:ascii="宋体" w:hAnsi="宋体" w:cs="宋体"/>
          <w:color w:val="auto"/>
          <w:sz w:val="24"/>
          <w:highlight w:val="none"/>
        </w:rPr>
      </w:pPr>
    </w:p>
    <w:p>
      <w:pPr>
        <w:shd w:val="clear"/>
        <w:tabs>
          <w:tab w:val="left" w:pos="360"/>
        </w:tabs>
        <w:spacing w:line="460" w:lineRule="exact"/>
        <w:rPr>
          <w:rFonts w:ascii="宋体" w:hAnsi="宋体" w:cs="宋体"/>
          <w:color w:val="auto"/>
          <w:sz w:val="24"/>
          <w:highlight w:val="none"/>
        </w:rPr>
      </w:pPr>
    </w:p>
    <w:p>
      <w:pPr>
        <w:shd w:val="clear"/>
        <w:tabs>
          <w:tab w:val="left" w:pos="360"/>
        </w:tabs>
        <w:spacing w:line="460" w:lineRule="exact"/>
        <w:rPr>
          <w:rFonts w:ascii="宋体" w:hAnsi="宋体" w:cs="宋体"/>
          <w:color w:val="auto"/>
          <w:sz w:val="24"/>
          <w:highlight w:val="none"/>
        </w:rPr>
      </w:pPr>
    </w:p>
    <w:p>
      <w:pPr>
        <w:shd w:val="clear"/>
        <w:tabs>
          <w:tab w:val="left" w:pos="360"/>
        </w:tabs>
        <w:spacing w:line="460" w:lineRule="exact"/>
        <w:rPr>
          <w:rFonts w:ascii="宋体" w:hAnsi="宋体" w:cs="宋体"/>
          <w:color w:val="auto"/>
          <w:sz w:val="24"/>
          <w:highlight w:val="none"/>
        </w:rPr>
      </w:pPr>
    </w:p>
    <w:p>
      <w:pPr>
        <w:shd w:val="clear"/>
        <w:tabs>
          <w:tab w:val="left" w:pos="360"/>
        </w:tabs>
        <w:spacing w:line="460" w:lineRule="exact"/>
        <w:rPr>
          <w:rFonts w:ascii="宋体" w:hAnsi="宋体" w:cs="宋体"/>
          <w:color w:val="auto"/>
          <w:sz w:val="24"/>
          <w:highlight w:val="none"/>
        </w:rPr>
      </w:pPr>
    </w:p>
    <w:p>
      <w:pPr>
        <w:shd w:val="clear"/>
        <w:tabs>
          <w:tab w:val="left" w:pos="360"/>
        </w:tabs>
        <w:spacing w:line="460" w:lineRule="exact"/>
        <w:rPr>
          <w:rFonts w:ascii="宋体" w:hAnsi="宋体" w:cs="宋体"/>
          <w:color w:val="auto"/>
          <w:sz w:val="24"/>
          <w:highlight w:val="none"/>
        </w:rPr>
      </w:pPr>
    </w:p>
    <w:p>
      <w:pPr>
        <w:shd w:val="clear"/>
        <w:tabs>
          <w:tab w:val="left" w:pos="360"/>
        </w:tabs>
        <w:spacing w:line="460" w:lineRule="exact"/>
        <w:rPr>
          <w:rFonts w:ascii="宋体" w:hAnsi="宋体" w:cs="宋体"/>
          <w:color w:val="auto"/>
          <w:sz w:val="24"/>
          <w:highlight w:val="none"/>
        </w:rPr>
      </w:pPr>
      <w:r>
        <w:rPr>
          <w:rFonts w:hint="eastAsia" w:ascii="宋体" w:hAnsi="宋体" w:cs="宋体"/>
          <w:color w:val="auto"/>
          <w:sz w:val="24"/>
          <w:highlight w:val="none"/>
        </w:rPr>
        <w:t>本附件可根据实际情况自行制作。</w:t>
      </w:r>
    </w:p>
    <w:p>
      <w:pPr>
        <w:shd w:val="clear"/>
        <w:tabs>
          <w:tab w:val="left" w:pos="360"/>
        </w:tabs>
        <w:spacing w:line="460" w:lineRule="exact"/>
        <w:rPr>
          <w:rFonts w:ascii="宋体" w:hAnsi="宋体" w:cs="宋体"/>
          <w:color w:val="auto"/>
          <w:sz w:val="24"/>
          <w:highlight w:val="none"/>
        </w:rPr>
      </w:pPr>
    </w:p>
    <w:p>
      <w:pPr>
        <w:shd w:val="clear"/>
        <w:tabs>
          <w:tab w:val="left" w:pos="360"/>
        </w:tabs>
        <w:spacing w:line="500" w:lineRule="exact"/>
        <w:rPr>
          <w:rFonts w:ascii="宋体" w:hAnsi="宋体" w:cs="宋体"/>
          <w:bCs/>
          <w:color w:val="auto"/>
          <w:sz w:val="24"/>
          <w:szCs w:val="28"/>
          <w:highlight w:val="none"/>
        </w:rPr>
      </w:pPr>
    </w:p>
    <w:p>
      <w:pPr>
        <w:shd w:val="clear"/>
        <w:tabs>
          <w:tab w:val="left" w:pos="360"/>
        </w:tabs>
        <w:spacing w:line="500" w:lineRule="exact"/>
        <w:rPr>
          <w:rFonts w:ascii="宋体" w:hAnsi="宋体" w:cs="宋体"/>
          <w:bCs/>
          <w:color w:val="auto"/>
          <w:sz w:val="24"/>
          <w:szCs w:val="28"/>
          <w:highlight w:val="none"/>
        </w:rPr>
      </w:pPr>
    </w:p>
    <w:p>
      <w:pPr>
        <w:shd w:val="clear"/>
        <w:tabs>
          <w:tab w:val="left" w:pos="360"/>
        </w:tabs>
        <w:spacing w:line="500" w:lineRule="exact"/>
        <w:rPr>
          <w:rFonts w:ascii="宋体" w:hAnsi="宋体" w:cs="宋体"/>
          <w:bCs/>
          <w:color w:val="auto"/>
          <w:sz w:val="24"/>
          <w:szCs w:val="28"/>
          <w:highlight w:val="none"/>
        </w:rPr>
      </w:pPr>
    </w:p>
    <w:p>
      <w:pPr>
        <w:shd w:val="clear"/>
        <w:tabs>
          <w:tab w:val="left" w:pos="360"/>
        </w:tabs>
        <w:spacing w:line="500" w:lineRule="exact"/>
        <w:rPr>
          <w:rFonts w:ascii="宋体" w:hAnsi="宋体" w:cs="宋体"/>
          <w:bCs/>
          <w:color w:val="auto"/>
          <w:sz w:val="24"/>
          <w:szCs w:val="28"/>
          <w:highlight w:val="none"/>
        </w:rPr>
      </w:pPr>
    </w:p>
    <w:p>
      <w:pPr>
        <w:shd w:val="clear"/>
        <w:tabs>
          <w:tab w:val="left" w:pos="360"/>
        </w:tabs>
        <w:spacing w:line="500" w:lineRule="exact"/>
        <w:rPr>
          <w:rFonts w:ascii="宋体" w:hAnsi="宋体" w:cs="宋体"/>
          <w:bCs/>
          <w:color w:val="auto"/>
          <w:sz w:val="24"/>
          <w:szCs w:val="28"/>
          <w:highlight w:val="none"/>
        </w:rPr>
      </w:pPr>
    </w:p>
    <w:p>
      <w:pPr>
        <w:shd w:val="clear"/>
        <w:tabs>
          <w:tab w:val="left" w:pos="360"/>
        </w:tabs>
        <w:spacing w:line="500" w:lineRule="exact"/>
        <w:rPr>
          <w:rFonts w:ascii="宋体" w:hAnsi="宋体" w:cs="宋体"/>
          <w:bCs/>
          <w:color w:val="auto"/>
          <w:sz w:val="24"/>
          <w:szCs w:val="28"/>
          <w:highlight w:val="none"/>
        </w:rPr>
      </w:pPr>
    </w:p>
    <w:p>
      <w:pPr>
        <w:shd w:val="clear"/>
        <w:tabs>
          <w:tab w:val="left" w:pos="360"/>
        </w:tabs>
        <w:spacing w:line="500" w:lineRule="exact"/>
        <w:rPr>
          <w:rFonts w:ascii="宋体" w:hAnsi="宋体" w:cs="宋体"/>
          <w:bCs/>
          <w:color w:val="auto"/>
          <w:sz w:val="24"/>
          <w:szCs w:val="28"/>
          <w:highlight w:val="none"/>
        </w:rPr>
      </w:pPr>
    </w:p>
    <w:p>
      <w:pPr>
        <w:shd w:val="clear"/>
        <w:tabs>
          <w:tab w:val="left" w:pos="360"/>
        </w:tabs>
        <w:spacing w:line="700" w:lineRule="exact"/>
        <w:ind w:firstLine="2880" w:firstLineChars="1200"/>
        <w:rPr>
          <w:rFonts w:ascii="宋体" w:hAnsi="宋体" w:cs="宋体"/>
          <w:color w:val="auto"/>
          <w:sz w:val="24"/>
          <w:highlight w:val="none"/>
        </w:rPr>
      </w:pPr>
      <w:r>
        <w:rPr>
          <w:rFonts w:hint="eastAsia" w:ascii="宋体" w:hAnsi="宋体" w:cs="宋体"/>
          <w:bCs/>
          <w:color w:val="auto"/>
          <w:sz w:val="24"/>
          <w:szCs w:val="28"/>
          <w:highlight w:val="none"/>
        </w:rPr>
        <w:t xml:space="preserve"> 投标人（公章）：</w:t>
      </w:r>
    </w:p>
    <w:p>
      <w:pPr>
        <w:shd w:val="clear"/>
        <w:tabs>
          <w:tab w:val="left" w:pos="360"/>
        </w:tabs>
        <w:spacing w:line="700" w:lineRule="exact"/>
        <w:ind w:firstLine="3000" w:firstLineChars="1250"/>
        <w:rPr>
          <w:rFonts w:ascii="宋体" w:hAnsi="宋体" w:cs="宋体"/>
          <w:color w:val="auto"/>
          <w:sz w:val="24"/>
          <w:highlight w:val="none"/>
        </w:rPr>
      </w:pPr>
      <w:r>
        <w:rPr>
          <w:rFonts w:hint="eastAsia" w:ascii="宋体" w:hAnsi="宋体" w:cs="宋体"/>
          <w:color w:val="auto"/>
          <w:sz w:val="24"/>
          <w:highlight w:val="none"/>
        </w:rPr>
        <w:t>全权代表签字：</w:t>
      </w:r>
    </w:p>
    <w:p>
      <w:pPr>
        <w:shd w:val="clear"/>
        <w:tabs>
          <w:tab w:val="left" w:pos="360"/>
        </w:tabs>
        <w:spacing w:line="700" w:lineRule="exact"/>
        <w:rPr>
          <w:rFonts w:ascii="宋体" w:hAnsi="宋体" w:cs="宋体"/>
          <w:color w:val="auto"/>
          <w:sz w:val="24"/>
          <w:highlight w:val="none"/>
        </w:rPr>
      </w:pPr>
      <w:r>
        <w:rPr>
          <w:rFonts w:hint="eastAsia" w:ascii="宋体" w:hAnsi="宋体" w:cs="宋体"/>
          <w:color w:val="auto"/>
          <w:sz w:val="24"/>
          <w:highlight w:val="none"/>
        </w:rPr>
        <w:t xml:space="preserve">                         职        务： </w:t>
      </w:r>
    </w:p>
    <w:p>
      <w:pPr>
        <w:shd w:val="clear"/>
        <w:tabs>
          <w:tab w:val="left" w:pos="360"/>
        </w:tabs>
        <w:spacing w:line="700" w:lineRule="exact"/>
        <w:ind w:firstLine="3000" w:firstLineChars="1250"/>
        <w:rPr>
          <w:rFonts w:ascii="宋体" w:hAnsi="宋体" w:cs="宋体"/>
          <w:color w:val="auto"/>
          <w:sz w:val="24"/>
          <w:highlight w:val="none"/>
        </w:rPr>
      </w:pPr>
      <w:r>
        <w:rPr>
          <w:rFonts w:hint="eastAsia" w:ascii="宋体" w:hAnsi="宋体" w:cs="宋体"/>
          <w:color w:val="auto"/>
          <w:sz w:val="24"/>
          <w:highlight w:val="none"/>
        </w:rPr>
        <w:t xml:space="preserve">日        期： </w:t>
      </w:r>
    </w:p>
    <w:p>
      <w:pPr>
        <w:pStyle w:val="5"/>
        <w:shd w:val="clear"/>
        <w:rPr>
          <w:rFonts w:ascii="宋体" w:hAnsi="宋体" w:cs="宋体"/>
          <w:color w:val="auto"/>
          <w:highlight w:val="none"/>
        </w:rPr>
      </w:pPr>
    </w:p>
    <w:p>
      <w:pPr>
        <w:pStyle w:val="13"/>
        <w:shd w:val="clear"/>
        <w:spacing w:line="460" w:lineRule="exact"/>
        <w:ind w:left="239" w:leftChars="114" w:firstLine="2088" w:firstLineChars="650"/>
        <w:rPr>
          <w:rFonts w:hAnsi="宋体" w:cs="宋体"/>
          <w:b/>
          <w:bCs/>
          <w:color w:val="auto"/>
          <w:sz w:val="32"/>
          <w:szCs w:val="32"/>
          <w:highlight w:val="none"/>
        </w:rPr>
      </w:pPr>
    </w:p>
    <w:p>
      <w:pPr>
        <w:pStyle w:val="13"/>
        <w:shd w:val="clear"/>
        <w:spacing w:line="460" w:lineRule="exact"/>
        <w:ind w:left="239" w:leftChars="114" w:firstLine="2088" w:firstLineChars="650"/>
        <w:rPr>
          <w:rFonts w:hAnsi="宋体" w:cs="宋体"/>
          <w:b/>
          <w:bCs/>
          <w:color w:val="auto"/>
          <w:sz w:val="32"/>
          <w:szCs w:val="32"/>
          <w:highlight w:val="none"/>
        </w:rPr>
      </w:pPr>
      <w:r>
        <w:rPr>
          <w:rFonts w:hint="eastAsia" w:hAnsi="宋体" w:cs="宋体"/>
          <w:b/>
          <w:bCs/>
          <w:color w:val="auto"/>
          <w:sz w:val="32"/>
          <w:szCs w:val="32"/>
          <w:highlight w:val="none"/>
        </w:rPr>
        <w:t>义乌市政府采购项目投标承诺书</w:t>
      </w:r>
    </w:p>
    <w:p>
      <w:pPr>
        <w:shd w:val="clear"/>
        <w:spacing w:line="440" w:lineRule="exact"/>
        <w:ind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 w:val="24"/>
          <w:highlight w:val="none"/>
        </w:rPr>
        <w:t>.</w:t>
      </w:r>
      <w:r>
        <w:rPr>
          <w:rFonts w:hint="eastAsia" w:ascii="宋体" w:hAnsi="宋体" w:cs="宋体"/>
          <w:color w:val="auto"/>
          <w:highlight w:val="none"/>
        </w:rPr>
        <w:t>我单位已认真阅读了本项目的招标公告、采购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成交；</w:t>
      </w:r>
    </w:p>
    <w:p>
      <w:pPr>
        <w:pStyle w:val="20"/>
        <w:shd w:val="clear"/>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highlight w:val="none"/>
        </w:rPr>
        <w:t>.</w:t>
      </w:r>
      <w:r>
        <w:rPr>
          <w:rFonts w:hint="eastAsia" w:ascii="宋体" w:hAnsi="宋体" w:cs="宋体"/>
          <w:color w:val="auto"/>
          <w:sz w:val="21"/>
          <w:szCs w:val="21"/>
          <w:highlight w:val="none"/>
        </w:rPr>
        <w:t>自愿接受义乌市财政局（以下简称财政局）的管理，并严格遵守财政局制定的招投标管理制度、规范和纪律。</w:t>
      </w:r>
    </w:p>
    <w:p>
      <w:pPr>
        <w:shd w:val="clear"/>
        <w:spacing w:line="440" w:lineRule="exact"/>
        <w:ind w:left="-34" w:leftChars="-16"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sz w:val="24"/>
          <w:highlight w:val="none"/>
        </w:rPr>
        <w:t>.</w:t>
      </w:r>
      <w:r>
        <w:rPr>
          <w:rFonts w:hint="eastAsia" w:ascii="宋体" w:hAnsi="宋体" w:cs="宋体"/>
          <w:color w:val="auto"/>
          <w:highlight w:val="none"/>
        </w:rPr>
        <w:t>我单位承诺参与本次投标的资格符合《中华人民共和国政府采购法》和《中华人民共和国政府采购法实施条例》的规定，并承诺近三年内，在经营活动中没有重大违法记录。</w:t>
      </w:r>
    </w:p>
    <w:p>
      <w:pPr>
        <w:shd w:val="clear"/>
        <w:spacing w:line="44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sz w:val="24"/>
          <w:highlight w:val="none"/>
        </w:rPr>
        <w:t>.</w:t>
      </w:r>
      <w:r>
        <w:rPr>
          <w:rFonts w:hint="eastAsia" w:ascii="宋体" w:hAnsi="宋体" w:cs="宋体"/>
          <w:color w:val="auto"/>
          <w:highlight w:val="none"/>
        </w:rPr>
        <w:t>积极主动配合财政局的调查。及时、如实、全面地回答财政局提出的问题，并在调查笔录中签字确认。如拒绝签字确认的，则视为我单位及有关工作人员认可调查笔录中的全部内容，并对最终的调查结果无任何异议，且自愿放弃一切救济途径。</w:t>
      </w:r>
    </w:p>
    <w:p>
      <w:pPr>
        <w:shd w:val="clear"/>
        <w:spacing w:line="440" w:lineRule="exact"/>
        <w:ind w:firstLine="420" w:firstLineChars="20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sz w:val="24"/>
          <w:highlight w:val="none"/>
        </w:rPr>
        <w:t>.</w:t>
      </w:r>
      <w:r>
        <w:rPr>
          <w:rFonts w:hint="eastAsia" w:ascii="宋体" w:hAnsi="宋体" w:cs="宋体"/>
          <w:color w:val="auto"/>
          <w:highlight w:val="none"/>
        </w:rPr>
        <w:t>不转让、出借、涂改、伪造资质（资格）证书或者以其他方式允许其他单位（个人）以我单位（本人）名义承接业务。</w:t>
      </w:r>
    </w:p>
    <w:p>
      <w:pPr>
        <w:shd w:val="clear"/>
        <w:spacing w:line="440" w:lineRule="exact"/>
        <w:ind w:left="-34" w:leftChars="-16" w:firstLine="420" w:firstLineChars="200"/>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sz w:val="24"/>
          <w:highlight w:val="none"/>
        </w:rPr>
        <w:t>.</w:t>
      </w:r>
      <w:r>
        <w:rPr>
          <w:rFonts w:hint="eastAsia" w:ascii="宋体" w:hAnsi="宋体" w:cs="宋体"/>
          <w:color w:val="auto"/>
          <w:highlight w:val="none"/>
        </w:rPr>
        <w:t>不与采购人或者其他投标人相互串通投标，围标，不以行贿等不正当手段谋取成交。</w:t>
      </w:r>
    </w:p>
    <w:p>
      <w:pPr>
        <w:shd w:val="clear"/>
        <w:spacing w:line="440" w:lineRule="exact"/>
        <w:ind w:left="-34" w:leftChars="-16" w:firstLine="420" w:firstLineChars="200"/>
        <w:rPr>
          <w:rFonts w:ascii="宋体" w:hAnsi="宋体" w:cs="宋体"/>
          <w:color w:val="auto"/>
          <w:highlight w:val="none"/>
        </w:rPr>
      </w:pPr>
      <w:r>
        <w:rPr>
          <w:rFonts w:hint="eastAsia" w:ascii="宋体" w:hAnsi="宋体" w:cs="宋体"/>
          <w:color w:val="auto"/>
          <w:highlight w:val="none"/>
        </w:rPr>
        <w:t>7</w:t>
      </w:r>
      <w:r>
        <w:rPr>
          <w:rFonts w:hint="eastAsia" w:ascii="宋体" w:hAnsi="宋体" w:cs="宋体"/>
          <w:color w:val="auto"/>
          <w:sz w:val="24"/>
          <w:highlight w:val="none"/>
        </w:rPr>
        <w:t>.</w:t>
      </w:r>
      <w:r>
        <w:rPr>
          <w:rFonts w:hint="eastAsia" w:ascii="宋体" w:hAnsi="宋体" w:cs="宋体"/>
          <w:color w:val="auto"/>
          <w:highlight w:val="none"/>
        </w:rPr>
        <w:t>在备案、招标、投标、现场获取采购文件、开标、评标、询标、成交、签订合同、合同备案等招投标预备和进行的全过程中提供的资料均真实、有效，不弄虚作假。</w:t>
      </w:r>
    </w:p>
    <w:p>
      <w:pPr>
        <w:shd w:val="clear"/>
        <w:tabs>
          <w:tab w:val="left" w:pos="8820"/>
        </w:tabs>
        <w:spacing w:line="440" w:lineRule="exact"/>
        <w:ind w:firstLine="420" w:firstLineChars="200"/>
        <w:rPr>
          <w:rFonts w:ascii="宋体" w:hAnsi="宋体" w:cs="宋体"/>
          <w:color w:val="auto"/>
          <w:highlight w:val="none"/>
        </w:rPr>
      </w:pPr>
      <w:r>
        <w:rPr>
          <w:rFonts w:hint="eastAsia" w:ascii="宋体" w:hAnsi="宋体" w:cs="宋体"/>
          <w:color w:val="auto"/>
          <w:highlight w:val="none"/>
        </w:rPr>
        <w:t>8</w:t>
      </w:r>
      <w:r>
        <w:rPr>
          <w:rFonts w:hint="eastAsia" w:ascii="宋体" w:hAnsi="宋体" w:cs="宋体"/>
          <w:color w:val="auto"/>
          <w:sz w:val="24"/>
          <w:highlight w:val="none"/>
        </w:rPr>
        <w:t>.</w:t>
      </w:r>
      <w:r>
        <w:rPr>
          <w:rFonts w:hint="eastAsia" w:ascii="宋体" w:hAnsi="宋体" w:cs="宋体"/>
          <w:color w:val="auto"/>
          <w:highlight w:val="none"/>
        </w:rPr>
        <w:t>我方已详细审核全部采购文件，包括修改文件(如果有的话)，及有关附件，我方同意放弃提出含糊不清或误解的权力。 </w:t>
      </w:r>
    </w:p>
    <w:p>
      <w:pPr>
        <w:shd w:val="clear"/>
        <w:tabs>
          <w:tab w:val="left" w:pos="8820"/>
        </w:tabs>
        <w:spacing w:line="440" w:lineRule="exact"/>
        <w:ind w:firstLine="420" w:firstLineChars="200"/>
        <w:rPr>
          <w:rFonts w:ascii="宋体" w:hAnsi="宋体" w:cs="宋体"/>
          <w:color w:val="auto"/>
          <w:highlight w:val="none"/>
        </w:rPr>
      </w:pPr>
      <w:r>
        <w:rPr>
          <w:rFonts w:hint="eastAsia" w:ascii="宋体" w:hAnsi="宋体" w:cs="宋体"/>
          <w:color w:val="auto"/>
          <w:highlight w:val="none"/>
        </w:rPr>
        <w:t>9</w:t>
      </w:r>
      <w:r>
        <w:rPr>
          <w:rFonts w:hint="eastAsia" w:ascii="宋体" w:hAnsi="宋体" w:cs="宋体"/>
          <w:color w:val="auto"/>
          <w:sz w:val="24"/>
          <w:highlight w:val="none"/>
        </w:rPr>
        <w:t>.</w:t>
      </w:r>
      <w:r>
        <w:rPr>
          <w:rFonts w:hint="eastAsia" w:ascii="宋体" w:hAnsi="宋体" w:cs="宋体"/>
          <w:color w:val="auto"/>
          <w:highlight w:val="none"/>
        </w:rPr>
        <w:t>我方同意所递交的投标文件在招标期内有效，在此期间内我方有可能成交，我方将受此约束。</w:t>
      </w:r>
    </w:p>
    <w:p>
      <w:pPr>
        <w:shd w:val="clear"/>
        <w:tabs>
          <w:tab w:val="left" w:pos="8820"/>
        </w:tabs>
        <w:spacing w:line="440" w:lineRule="exact"/>
        <w:ind w:firstLine="420" w:firstLineChars="200"/>
        <w:rPr>
          <w:rFonts w:ascii="宋体" w:hAnsi="宋体" w:cs="宋体"/>
          <w:color w:val="auto"/>
          <w:highlight w:val="none"/>
        </w:rPr>
      </w:pPr>
      <w:r>
        <w:rPr>
          <w:rFonts w:hint="eastAsia" w:ascii="宋体" w:hAnsi="宋体" w:cs="宋体"/>
          <w:color w:val="auto"/>
          <w:highlight w:val="none"/>
        </w:rPr>
        <w:t>10</w:t>
      </w:r>
      <w:r>
        <w:rPr>
          <w:rFonts w:hint="eastAsia" w:ascii="宋体" w:hAnsi="宋体" w:cs="宋体"/>
          <w:color w:val="auto"/>
          <w:sz w:val="24"/>
          <w:highlight w:val="none"/>
        </w:rPr>
        <w:t>.</w:t>
      </w:r>
      <w:r>
        <w:rPr>
          <w:rFonts w:hint="eastAsia" w:ascii="宋体" w:hAnsi="宋体" w:cs="宋体"/>
          <w:color w:val="auto"/>
          <w:highlight w:val="none"/>
        </w:rPr>
        <w:t>我方相信贵方的招标结果是公正、合法的，无论我方成交还是落标，我方将接受这一结果。 </w:t>
      </w:r>
    </w:p>
    <w:p>
      <w:pPr>
        <w:shd w:val="clear"/>
        <w:tabs>
          <w:tab w:val="left" w:pos="8820"/>
        </w:tabs>
        <w:spacing w:line="440" w:lineRule="exact"/>
        <w:ind w:firstLine="420" w:firstLineChars="200"/>
        <w:rPr>
          <w:rFonts w:ascii="宋体" w:hAnsi="宋体" w:cs="宋体"/>
          <w:color w:val="auto"/>
          <w:highlight w:val="none"/>
        </w:rPr>
      </w:pPr>
      <w:r>
        <w:rPr>
          <w:rFonts w:hint="eastAsia" w:ascii="宋体" w:hAnsi="宋体" w:cs="宋体"/>
          <w:color w:val="auto"/>
          <w:highlight w:val="none"/>
        </w:rPr>
        <w:t>11</w:t>
      </w:r>
      <w:r>
        <w:rPr>
          <w:rFonts w:hint="eastAsia" w:ascii="宋体" w:hAnsi="宋体" w:cs="宋体"/>
          <w:color w:val="auto"/>
          <w:sz w:val="24"/>
          <w:highlight w:val="none"/>
        </w:rPr>
        <w:t>.</w:t>
      </w:r>
      <w:r>
        <w:rPr>
          <w:rFonts w:hint="eastAsia" w:ascii="宋体" w:hAnsi="宋体" w:cs="宋体"/>
          <w:color w:val="auto"/>
          <w:highlight w:val="none"/>
        </w:rPr>
        <w:t>一旦我方成交，我方将严格依照采购文件中的相关规定与采购人签订合同。</w:t>
      </w:r>
    </w:p>
    <w:p>
      <w:pPr>
        <w:shd w:val="clear"/>
        <w:spacing w:line="440" w:lineRule="exact"/>
        <w:ind w:left="-34" w:leftChars="-16" w:firstLine="420" w:firstLineChars="200"/>
        <w:rPr>
          <w:rFonts w:ascii="宋体" w:hAnsi="宋体" w:cs="宋体"/>
          <w:color w:val="auto"/>
          <w:highlight w:val="none"/>
        </w:rPr>
      </w:pPr>
      <w:r>
        <w:rPr>
          <w:rFonts w:hint="eastAsia" w:ascii="宋体" w:hAnsi="宋体" w:cs="宋体"/>
          <w:color w:val="auto"/>
          <w:highlight w:val="none"/>
        </w:rPr>
        <w:t>12</w:t>
      </w:r>
      <w:r>
        <w:rPr>
          <w:rFonts w:hint="eastAsia" w:ascii="宋体" w:hAnsi="宋体" w:cs="宋体"/>
          <w:color w:val="auto"/>
          <w:sz w:val="24"/>
          <w:highlight w:val="none"/>
        </w:rPr>
        <w:t>.</w:t>
      </w:r>
      <w:r>
        <w:rPr>
          <w:rFonts w:hint="eastAsia" w:ascii="宋体" w:hAnsi="宋体" w:cs="宋体"/>
          <w:color w:val="auto"/>
          <w:highlight w:val="none"/>
        </w:rPr>
        <w:t>不低于企业成本价投标，不恶意过高报价，不扰乱招投标的正常秩序。</w:t>
      </w:r>
    </w:p>
    <w:p>
      <w:pPr>
        <w:shd w:val="clear"/>
        <w:spacing w:line="440" w:lineRule="exact"/>
        <w:ind w:left="-34" w:leftChars="-16" w:firstLine="420" w:firstLineChars="200"/>
        <w:rPr>
          <w:rFonts w:ascii="宋体" w:hAnsi="宋体" w:cs="宋体"/>
          <w:color w:val="auto"/>
          <w:highlight w:val="none"/>
        </w:rPr>
      </w:pPr>
      <w:r>
        <w:rPr>
          <w:rFonts w:hint="eastAsia" w:ascii="宋体" w:hAnsi="宋体" w:cs="宋体"/>
          <w:color w:val="auto"/>
          <w:highlight w:val="none"/>
        </w:rPr>
        <w:t>13</w:t>
      </w:r>
      <w:r>
        <w:rPr>
          <w:rFonts w:hint="eastAsia" w:ascii="宋体" w:hAnsi="宋体" w:cs="宋体"/>
          <w:color w:val="auto"/>
          <w:sz w:val="24"/>
          <w:highlight w:val="none"/>
        </w:rPr>
        <w:t>.</w:t>
      </w:r>
      <w:r>
        <w:rPr>
          <w:rFonts w:hint="eastAsia" w:ascii="宋体" w:hAnsi="宋体" w:cs="宋体"/>
          <w:color w:val="auto"/>
          <w:highlight w:val="none"/>
        </w:rPr>
        <w:t>严格遵守开标会议纪律，不在开标会场吵闹、滋事，服从工作人员指挥。</w:t>
      </w:r>
    </w:p>
    <w:p>
      <w:pPr>
        <w:shd w:val="clear"/>
        <w:spacing w:line="440" w:lineRule="exact"/>
        <w:ind w:firstLine="420" w:firstLineChars="200"/>
        <w:rPr>
          <w:rFonts w:ascii="宋体" w:hAnsi="宋体" w:cs="宋体"/>
          <w:color w:val="auto"/>
          <w:highlight w:val="none"/>
        </w:rPr>
      </w:pPr>
      <w:r>
        <w:rPr>
          <w:rFonts w:hint="eastAsia" w:ascii="宋体" w:hAnsi="宋体" w:cs="宋体"/>
          <w:color w:val="auto"/>
          <w:highlight w:val="none"/>
        </w:rPr>
        <w:t>14</w:t>
      </w:r>
      <w:r>
        <w:rPr>
          <w:rFonts w:hint="eastAsia" w:ascii="宋体" w:hAnsi="宋体" w:cs="宋体"/>
          <w:color w:val="auto"/>
          <w:sz w:val="24"/>
          <w:highlight w:val="none"/>
        </w:rPr>
        <w:t>.</w:t>
      </w:r>
      <w:r>
        <w:rPr>
          <w:rFonts w:hint="eastAsia" w:ascii="宋体" w:hAnsi="宋体" w:cs="宋体"/>
          <w:color w:val="auto"/>
          <w:highlight w:val="none"/>
        </w:rPr>
        <w:t>按照法律法规和本项目采购文件规定的程序和方式进行异议和投诉，不越级投诉，不无理投诉。如捏造事实、伪造材料或者以非法手段取得说明材料进行投诉，给他人造成损失的，依法承担赔偿责任。</w:t>
      </w:r>
    </w:p>
    <w:p>
      <w:pPr>
        <w:shd w:val="clear"/>
        <w:spacing w:line="440" w:lineRule="exact"/>
        <w:ind w:firstLine="420" w:firstLineChars="200"/>
        <w:rPr>
          <w:rFonts w:ascii="宋体" w:hAnsi="宋体" w:cs="宋体"/>
          <w:color w:val="auto"/>
          <w:highlight w:val="none"/>
        </w:rPr>
      </w:pPr>
      <w:r>
        <w:rPr>
          <w:rFonts w:hint="eastAsia" w:ascii="宋体" w:hAnsi="宋体" w:cs="宋体"/>
          <w:color w:val="auto"/>
          <w:highlight w:val="none"/>
        </w:rPr>
        <w:t>上述承诺事项已认真逐项核对，均表达我单位真实意见，愿承担任何责任。若有任何弄虚作假内容或未遵守上述约定的，经查实后，愿意放弃投标及成交资格，采购人可据此将我公司列入政府采购严重违法失信行为记录名单，并承担因此引起的经济损失。如我单位违反上述承诺事项，无条件接受财政局或相关监管部门作出的任何管理和处理决定，并自愿承担一切不利的后果。</w:t>
      </w:r>
    </w:p>
    <w:p>
      <w:pPr>
        <w:shd w:val="clear"/>
        <w:spacing w:line="440" w:lineRule="exact"/>
        <w:ind w:firstLine="420" w:firstLineChars="200"/>
        <w:rPr>
          <w:rFonts w:ascii="宋体" w:hAnsi="宋体" w:cs="宋体"/>
          <w:color w:val="auto"/>
          <w:highlight w:val="none"/>
        </w:rPr>
      </w:pPr>
      <w:r>
        <w:rPr>
          <w:rFonts w:hint="eastAsia" w:ascii="宋体" w:hAnsi="宋体" w:cs="宋体"/>
          <w:color w:val="auto"/>
          <w:highlight w:val="none"/>
        </w:rPr>
        <w:t>投标人（公章）：        法定代表人或其授权的委托代理人（签字或盖章）：        年   月   日</w:t>
      </w:r>
    </w:p>
    <w:p>
      <w:pPr>
        <w:pStyle w:val="13"/>
        <w:shd w:val="clear"/>
        <w:spacing w:line="360" w:lineRule="auto"/>
        <w:jc w:val="center"/>
        <w:rPr>
          <w:rFonts w:hAnsi="宋体" w:cs="宋体"/>
          <w:b/>
          <w:bCs/>
          <w:color w:val="auto"/>
          <w:sz w:val="36"/>
          <w:szCs w:val="36"/>
          <w:highlight w:val="none"/>
        </w:rPr>
      </w:pPr>
      <w:r>
        <w:rPr>
          <w:rFonts w:hint="eastAsia" w:hAnsi="宋体" w:cs="宋体"/>
          <w:b/>
          <w:bCs/>
          <w:color w:val="auto"/>
          <w:sz w:val="36"/>
          <w:szCs w:val="36"/>
          <w:highlight w:val="none"/>
        </w:rPr>
        <w:t xml:space="preserve">   </w:t>
      </w:r>
    </w:p>
    <w:p>
      <w:pPr>
        <w:pStyle w:val="13"/>
        <w:shd w:val="clear"/>
        <w:spacing w:line="360" w:lineRule="auto"/>
        <w:jc w:val="center"/>
        <w:rPr>
          <w:rFonts w:hAnsi="宋体" w:cs="宋体"/>
          <w:b/>
          <w:bCs/>
          <w:color w:val="auto"/>
          <w:sz w:val="36"/>
          <w:szCs w:val="36"/>
          <w:highlight w:val="none"/>
        </w:rPr>
      </w:pPr>
      <w:r>
        <w:rPr>
          <w:rFonts w:hint="eastAsia" w:hAnsi="宋体" w:cs="宋体"/>
          <w:b/>
          <w:bCs/>
          <w:color w:val="auto"/>
          <w:sz w:val="36"/>
          <w:szCs w:val="36"/>
          <w:highlight w:val="none"/>
        </w:rPr>
        <w:t>投标函（格式）</w:t>
      </w:r>
    </w:p>
    <w:p>
      <w:pPr>
        <w:pStyle w:val="13"/>
        <w:shd w:val="clear"/>
        <w:snapToGrid w:val="0"/>
        <w:spacing w:line="360" w:lineRule="auto"/>
        <w:rPr>
          <w:rFonts w:hAnsi="宋体" w:cs="宋体"/>
          <w:color w:val="auto"/>
          <w:sz w:val="24"/>
          <w:szCs w:val="24"/>
          <w:highlight w:val="none"/>
        </w:rPr>
      </w:pPr>
      <w:r>
        <w:rPr>
          <w:rFonts w:hint="eastAsia" w:hAnsi="宋体" w:cs="宋体"/>
          <w:color w:val="auto"/>
          <w:sz w:val="24"/>
          <w:szCs w:val="24"/>
          <w:highlight w:val="none"/>
        </w:rPr>
        <w:t>致：</w:t>
      </w:r>
      <w:r>
        <w:rPr>
          <w:rFonts w:hint="eastAsia" w:hAnsi="宋体" w:cs="宋体"/>
          <w:color w:val="auto"/>
          <w:sz w:val="24"/>
          <w:szCs w:val="24"/>
          <w:highlight w:val="none"/>
          <w:u w:val="single"/>
        </w:rPr>
        <w:t xml:space="preserve">                  </w:t>
      </w:r>
    </w:p>
    <w:p>
      <w:pPr>
        <w:pStyle w:val="13"/>
        <w:shd w:val="clear"/>
        <w:snapToGrid w:val="0"/>
        <w:spacing w:line="360" w:lineRule="auto"/>
        <w:rPr>
          <w:rFonts w:hAnsi="宋体" w:cs="宋体"/>
          <w:color w:val="auto"/>
          <w:sz w:val="24"/>
          <w:szCs w:val="24"/>
          <w:highlight w:val="none"/>
        </w:rPr>
      </w:pPr>
      <w:r>
        <w:rPr>
          <w:rFonts w:hint="eastAsia" w:hAnsi="宋体" w:cs="宋体"/>
          <w:color w:val="auto"/>
          <w:sz w:val="24"/>
          <w:szCs w:val="24"/>
          <w:highlight w:val="none"/>
        </w:rPr>
        <w:t xml:space="preserve">     ____________________（投标人全称）授权____________（全名、职务）为全权代表参加贵方组织的_________________________项目（招标项目名称、采购编号）的招标、投标等有关活动，为此提交下述文件：</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1.技术标；2.商务标；3.其他：</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pacing w:val="12"/>
          <w:sz w:val="24"/>
          <w:highlight w:val="none"/>
        </w:rPr>
        <w:t xml:space="preserve">所附投标报价表中规定的应提供和支付的服务投标总价为（人民币） </w:t>
      </w:r>
      <w:r>
        <w:rPr>
          <w:rFonts w:hint="eastAsia" w:ascii="宋体" w:hAnsi="宋体" w:cs="宋体"/>
          <w:color w:val="auto"/>
          <w:sz w:val="24"/>
          <w:highlight w:val="none"/>
        </w:rPr>
        <w:t>______， 即 _______________（大写）。</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2）我方已详细审查全部采购文件，我们完全理解并同意放弃对这方面有不明及误解的权利。</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3）我方将按采购文件规定履行合同责任和义务。</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4）投标自开标之日起有效期____个日历天。</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5）如果在规定的开标时间后，我方在投标有效期内撤回投标，将按严重失信行为上报信用办并记入政府采购严重失信行为记录名单</w:t>
      </w:r>
      <w:r>
        <w:rPr>
          <w:rFonts w:hint="eastAsia" w:ascii="宋体" w:hAnsi="宋体" w:cs="宋体"/>
          <w:color w:val="auto"/>
          <w:spacing w:val="-6"/>
          <w:sz w:val="24"/>
          <w:highlight w:val="none"/>
        </w:rPr>
        <w:t>。</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我方</w:t>
      </w:r>
      <w:r>
        <w:rPr>
          <w:rFonts w:hint="eastAsia" w:ascii="宋体" w:hAnsi="宋体" w:cs="宋体"/>
          <w:color w:val="auto"/>
          <w:sz w:val="24"/>
          <w:highlight w:val="none"/>
        </w:rPr>
        <w:t>同意提供按照贵方可能要求的与其投标有关的一切数据或资料，理解贵方不一定要接受最低价的投标或收到的任何投标。</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7）投标文件中未明确的东西，一律按采购文件规定执行。</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8）与本投标有关的一切正式往来通讯请寄：</w:t>
      </w:r>
    </w:p>
    <w:p>
      <w:pPr>
        <w:pStyle w:val="5"/>
        <w:shd w:val="clear"/>
        <w:snapToGrid w:val="0"/>
        <w:spacing w:before="0" w:after="0" w:line="360" w:lineRule="auto"/>
        <w:rPr>
          <w:rFonts w:ascii="宋体" w:hAnsi="宋体" w:cs="宋体"/>
          <w:color w:val="auto"/>
          <w:highlight w:val="none"/>
        </w:rPr>
      </w:pPr>
    </w:p>
    <w:p>
      <w:pPr>
        <w:shd w:val="clear"/>
        <w:spacing w:line="600" w:lineRule="exact"/>
        <w:rPr>
          <w:rFonts w:ascii="宋体" w:hAnsi="宋体" w:cs="宋体"/>
          <w:color w:val="auto"/>
          <w:sz w:val="24"/>
          <w:highlight w:val="none"/>
        </w:rPr>
      </w:pPr>
      <w:r>
        <w:rPr>
          <w:rFonts w:hint="eastAsia" w:ascii="宋体" w:hAnsi="宋体" w:cs="宋体"/>
          <w:color w:val="auto"/>
          <w:sz w:val="24"/>
          <w:highlight w:val="none"/>
        </w:rPr>
        <w:t xml:space="preserve">地址：                                  邮编： </w:t>
      </w:r>
    </w:p>
    <w:p>
      <w:pPr>
        <w:shd w:val="clear"/>
        <w:spacing w:line="600" w:lineRule="exact"/>
        <w:rPr>
          <w:rFonts w:ascii="宋体" w:hAnsi="宋体" w:cs="宋体"/>
          <w:color w:val="auto"/>
          <w:sz w:val="24"/>
          <w:highlight w:val="none"/>
        </w:rPr>
      </w:pPr>
      <w:r>
        <w:rPr>
          <w:rFonts w:hint="eastAsia" w:ascii="宋体" w:hAnsi="宋体" w:cs="宋体"/>
          <w:color w:val="auto"/>
          <w:sz w:val="24"/>
          <w:highlight w:val="none"/>
        </w:rPr>
        <w:t>电话：                                  传真：</w:t>
      </w:r>
    </w:p>
    <w:p>
      <w:pPr>
        <w:shd w:val="clear"/>
        <w:spacing w:line="600" w:lineRule="exact"/>
        <w:rPr>
          <w:rFonts w:ascii="宋体" w:hAnsi="宋体" w:cs="宋体"/>
          <w:color w:val="auto"/>
          <w:sz w:val="24"/>
          <w:highlight w:val="none"/>
        </w:rPr>
      </w:pPr>
      <w:r>
        <w:rPr>
          <w:rFonts w:hint="eastAsia" w:ascii="宋体" w:hAnsi="宋体" w:cs="宋体"/>
          <w:color w:val="auto"/>
          <w:sz w:val="24"/>
          <w:highlight w:val="none"/>
        </w:rPr>
        <w:t xml:space="preserve">投标人名称（公章）：                            </w:t>
      </w:r>
    </w:p>
    <w:p>
      <w:pPr>
        <w:shd w:val="clear"/>
        <w:spacing w:line="600" w:lineRule="exact"/>
        <w:rPr>
          <w:rFonts w:ascii="宋体" w:hAnsi="宋体" w:cs="宋体"/>
          <w:color w:val="auto"/>
          <w:sz w:val="24"/>
          <w:highlight w:val="none"/>
        </w:rPr>
      </w:pPr>
      <w:r>
        <w:rPr>
          <w:rFonts w:hint="eastAsia" w:ascii="宋体" w:hAnsi="宋体" w:cs="宋体"/>
          <w:color w:val="auto"/>
          <w:sz w:val="24"/>
          <w:highlight w:val="none"/>
        </w:rPr>
        <w:t xml:space="preserve">投标人代表职务： </w:t>
      </w:r>
    </w:p>
    <w:p>
      <w:pPr>
        <w:shd w:val="clear"/>
        <w:spacing w:line="600" w:lineRule="exact"/>
        <w:rPr>
          <w:rFonts w:ascii="宋体" w:hAnsi="宋体" w:cs="宋体"/>
          <w:color w:val="auto"/>
          <w:sz w:val="24"/>
          <w:highlight w:val="none"/>
        </w:rPr>
      </w:pPr>
      <w:r>
        <w:rPr>
          <w:rFonts w:hint="eastAsia" w:ascii="宋体" w:hAnsi="宋体" w:cs="宋体"/>
          <w:color w:val="auto"/>
          <w:sz w:val="24"/>
          <w:highlight w:val="none"/>
        </w:rPr>
        <w:t>全权代表签字：</w:t>
      </w:r>
    </w:p>
    <w:p>
      <w:pPr>
        <w:shd w:val="clear"/>
        <w:spacing w:line="600" w:lineRule="exact"/>
        <w:rPr>
          <w:rFonts w:ascii="宋体" w:hAnsi="宋体" w:cs="宋体"/>
          <w:color w:val="auto"/>
          <w:sz w:val="24"/>
          <w:highlight w:val="none"/>
          <w:u w:val="single"/>
        </w:rPr>
      </w:pPr>
      <w:r>
        <w:rPr>
          <w:rFonts w:hint="eastAsia" w:ascii="宋体" w:hAnsi="宋体" w:cs="宋体"/>
          <w:color w:val="auto"/>
          <w:sz w:val="24"/>
          <w:highlight w:val="none"/>
        </w:rPr>
        <w:t xml:space="preserve">投标日期：     年     月    日      </w:t>
      </w:r>
      <w:r>
        <w:rPr>
          <w:rFonts w:hint="eastAsia" w:ascii="宋体" w:hAnsi="宋体" w:cs="宋体"/>
          <w:color w:val="auto"/>
          <w:sz w:val="24"/>
          <w:highlight w:val="none"/>
          <w:u w:val="single"/>
        </w:rPr>
        <w:t xml:space="preserve">   </w:t>
      </w:r>
    </w:p>
    <w:p>
      <w:pPr>
        <w:shd w:val="clear"/>
        <w:jc w:val="center"/>
        <w:rPr>
          <w:rFonts w:ascii="宋体" w:hAnsi="宋体" w:cs="宋体"/>
          <w:b/>
          <w:bCs/>
          <w:color w:val="auto"/>
          <w:sz w:val="36"/>
          <w:szCs w:val="36"/>
          <w:highlight w:val="none"/>
        </w:rPr>
      </w:pPr>
    </w:p>
    <w:p>
      <w:pPr>
        <w:shd w:val="clear"/>
        <w:jc w:val="center"/>
        <w:rPr>
          <w:rFonts w:ascii="宋体" w:hAnsi="宋体" w:cs="宋体"/>
          <w:b/>
          <w:bCs/>
          <w:color w:val="auto"/>
          <w:sz w:val="36"/>
          <w:szCs w:val="36"/>
          <w:highlight w:val="none"/>
        </w:rPr>
      </w:pPr>
    </w:p>
    <w:p>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报价一览表（格式）</w:t>
      </w:r>
    </w:p>
    <w:p>
      <w:pPr>
        <w:shd w:val="clear"/>
        <w:rPr>
          <w:rFonts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投标人名称（公章）：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hd w:val="clear"/>
        <w:rPr>
          <w:rFonts w:ascii="宋体" w:hAnsi="宋体" w:cs="宋体"/>
          <w:color w:val="auto"/>
          <w:sz w:val="24"/>
          <w:highlight w:val="none"/>
        </w:rPr>
      </w:pPr>
      <w:r>
        <w:rPr>
          <w:rFonts w:hint="eastAsia" w:ascii="宋体" w:hAnsi="宋体" w:cs="宋体"/>
          <w:color w:val="auto"/>
          <w:sz w:val="24"/>
          <w:highlight w:val="none"/>
        </w:rPr>
        <w:t>采购编号：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hd w:val="clear"/>
        <w:rPr>
          <w:rFonts w:ascii="宋体" w:hAnsi="宋体" w:cs="宋体"/>
          <w:color w:val="auto"/>
          <w:sz w:val="24"/>
          <w:highlight w:val="none"/>
          <w:u w:val="single"/>
        </w:rPr>
      </w:pPr>
    </w:p>
    <w:tbl>
      <w:tblPr>
        <w:tblStyle w:val="22"/>
        <w:tblpPr w:leftFromText="180" w:rightFromText="180" w:vertAnchor="text" w:horzAnchor="page" w:tblpX="1432" w:tblpY="54"/>
        <w:tblW w:w="9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0"/>
        <w:gridCol w:w="1135"/>
        <w:gridCol w:w="2994"/>
        <w:gridCol w:w="1176"/>
        <w:gridCol w:w="1087"/>
        <w:gridCol w:w="1377"/>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trPr>
        <w:tc>
          <w:tcPr>
            <w:tcW w:w="73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序号</w:t>
            </w:r>
          </w:p>
        </w:tc>
        <w:tc>
          <w:tcPr>
            <w:tcW w:w="4129" w:type="dxa"/>
            <w:gridSpan w:val="2"/>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176"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数量</w:t>
            </w:r>
          </w:p>
        </w:tc>
        <w:tc>
          <w:tcPr>
            <w:tcW w:w="1087"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单位</w:t>
            </w:r>
          </w:p>
        </w:tc>
        <w:tc>
          <w:tcPr>
            <w:tcW w:w="1377"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 xml:space="preserve">总价 </w:t>
            </w:r>
          </w:p>
        </w:tc>
        <w:tc>
          <w:tcPr>
            <w:tcW w:w="73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w:t>
            </w:r>
          </w:p>
        </w:tc>
        <w:tc>
          <w:tcPr>
            <w:tcW w:w="4129" w:type="dxa"/>
            <w:gridSpan w:val="2"/>
            <w:shd w:val="clear" w:color="auto" w:fill="auto"/>
          </w:tcPr>
          <w:p>
            <w:pPr>
              <w:shd w:val="clear"/>
              <w:snapToGrid w:val="0"/>
              <w:spacing w:line="380" w:lineRule="exact"/>
              <w:textAlignment w:val="bottom"/>
              <w:rPr>
                <w:rFonts w:ascii="宋体" w:hAnsi="宋体" w:cs="宋体"/>
                <w:bCs/>
                <w:color w:val="auto"/>
                <w:kern w:val="0"/>
                <w:sz w:val="24"/>
                <w:highlight w:val="none"/>
              </w:rPr>
            </w:pPr>
          </w:p>
        </w:tc>
        <w:tc>
          <w:tcPr>
            <w:tcW w:w="1176" w:type="dxa"/>
            <w:shd w:val="clear" w:color="auto" w:fill="auto"/>
            <w:vAlign w:val="center"/>
          </w:tcPr>
          <w:p>
            <w:pPr>
              <w:shd w:val="clear"/>
              <w:jc w:val="center"/>
              <w:rPr>
                <w:rFonts w:ascii="宋体" w:hAnsi="宋体" w:cs="宋体"/>
                <w:color w:val="auto"/>
                <w:sz w:val="24"/>
                <w:highlight w:val="none"/>
              </w:rPr>
            </w:pPr>
          </w:p>
        </w:tc>
        <w:tc>
          <w:tcPr>
            <w:tcW w:w="1087" w:type="dxa"/>
            <w:shd w:val="clear" w:color="auto" w:fill="auto"/>
            <w:vAlign w:val="center"/>
          </w:tcPr>
          <w:p>
            <w:pPr>
              <w:shd w:val="clear"/>
              <w:jc w:val="center"/>
              <w:rPr>
                <w:rFonts w:ascii="宋体" w:hAnsi="宋体" w:cs="宋体"/>
                <w:color w:val="auto"/>
                <w:sz w:val="24"/>
                <w:highlight w:val="none"/>
              </w:rPr>
            </w:pPr>
          </w:p>
        </w:tc>
        <w:tc>
          <w:tcPr>
            <w:tcW w:w="1377" w:type="dxa"/>
            <w:shd w:val="clear" w:color="auto" w:fill="auto"/>
            <w:vAlign w:val="center"/>
          </w:tcPr>
          <w:p>
            <w:pPr>
              <w:shd w:val="clear"/>
              <w:jc w:val="center"/>
              <w:rPr>
                <w:rFonts w:ascii="宋体" w:hAnsi="宋体" w:cs="宋体"/>
                <w:color w:val="auto"/>
                <w:sz w:val="24"/>
                <w:highlight w:val="none"/>
              </w:rPr>
            </w:pPr>
          </w:p>
        </w:tc>
        <w:tc>
          <w:tcPr>
            <w:tcW w:w="730" w:type="dxa"/>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2</w:t>
            </w:r>
          </w:p>
        </w:tc>
        <w:tc>
          <w:tcPr>
            <w:tcW w:w="4129" w:type="dxa"/>
            <w:gridSpan w:val="2"/>
            <w:shd w:val="clear" w:color="auto" w:fill="auto"/>
          </w:tcPr>
          <w:p>
            <w:pPr>
              <w:shd w:val="clear"/>
              <w:snapToGrid w:val="0"/>
              <w:spacing w:line="380" w:lineRule="exact"/>
              <w:textAlignment w:val="bottom"/>
              <w:rPr>
                <w:rFonts w:ascii="宋体" w:hAnsi="宋体" w:cs="宋体"/>
                <w:bCs/>
                <w:color w:val="auto"/>
                <w:kern w:val="0"/>
                <w:sz w:val="24"/>
                <w:highlight w:val="none"/>
              </w:rPr>
            </w:pPr>
          </w:p>
        </w:tc>
        <w:tc>
          <w:tcPr>
            <w:tcW w:w="1176" w:type="dxa"/>
            <w:shd w:val="clear" w:color="auto" w:fill="auto"/>
            <w:vAlign w:val="center"/>
          </w:tcPr>
          <w:p>
            <w:pPr>
              <w:shd w:val="clear"/>
              <w:jc w:val="center"/>
              <w:rPr>
                <w:rFonts w:ascii="宋体" w:hAnsi="宋体" w:cs="宋体"/>
                <w:color w:val="auto"/>
                <w:sz w:val="24"/>
                <w:highlight w:val="none"/>
              </w:rPr>
            </w:pPr>
          </w:p>
        </w:tc>
        <w:tc>
          <w:tcPr>
            <w:tcW w:w="1087" w:type="dxa"/>
            <w:shd w:val="clear" w:color="auto" w:fill="auto"/>
            <w:vAlign w:val="center"/>
          </w:tcPr>
          <w:p>
            <w:pPr>
              <w:shd w:val="clear"/>
              <w:jc w:val="center"/>
              <w:rPr>
                <w:rFonts w:ascii="宋体" w:hAnsi="宋体" w:cs="宋体"/>
                <w:color w:val="auto"/>
                <w:sz w:val="24"/>
                <w:highlight w:val="none"/>
              </w:rPr>
            </w:pPr>
          </w:p>
        </w:tc>
        <w:tc>
          <w:tcPr>
            <w:tcW w:w="1377" w:type="dxa"/>
            <w:shd w:val="clear" w:color="auto" w:fill="auto"/>
            <w:vAlign w:val="center"/>
          </w:tcPr>
          <w:p>
            <w:pPr>
              <w:shd w:val="clear"/>
              <w:jc w:val="center"/>
              <w:rPr>
                <w:rFonts w:ascii="宋体" w:hAnsi="宋体" w:cs="宋体"/>
                <w:color w:val="auto"/>
                <w:sz w:val="24"/>
                <w:highlight w:val="none"/>
              </w:rPr>
            </w:pPr>
          </w:p>
        </w:tc>
        <w:tc>
          <w:tcPr>
            <w:tcW w:w="730" w:type="dxa"/>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w:t>
            </w:r>
          </w:p>
        </w:tc>
        <w:tc>
          <w:tcPr>
            <w:tcW w:w="4129" w:type="dxa"/>
            <w:gridSpan w:val="2"/>
            <w:shd w:val="clear" w:color="auto" w:fill="auto"/>
          </w:tcPr>
          <w:p>
            <w:pPr>
              <w:shd w:val="clear"/>
              <w:snapToGrid w:val="0"/>
              <w:spacing w:line="380" w:lineRule="exact"/>
              <w:textAlignment w:val="bottom"/>
              <w:rPr>
                <w:rFonts w:ascii="宋体" w:hAnsi="宋体" w:cs="宋体"/>
                <w:bCs/>
                <w:color w:val="auto"/>
                <w:kern w:val="0"/>
                <w:sz w:val="24"/>
                <w:highlight w:val="none"/>
              </w:rPr>
            </w:pPr>
          </w:p>
        </w:tc>
        <w:tc>
          <w:tcPr>
            <w:tcW w:w="1176" w:type="dxa"/>
            <w:shd w:val="clear" w:color="auto" w:fill="auto"/>
            <w:vAlign w:val="center"/>
          </w:tcPr>
          <w:p>
            <w:pPr>
              <w:shd w:val="clear"/>
              <w:jc w:val="center"/>
              <w:rPr>
                <w:rFonts w:ascii="宋体" w:hAnsi="宋体" w:cs="宋体"/>
                <w:color w:val="auto"/>
                <w:sz w:val="24"/>
                <w:highlight w:val="none"/>
              </w:rPr>
            </w:pPr>
          </w:p>
        </w:tc>
        <w:tc>
          <w:tcPr>
            <w:tcW w:w="1087" w:type="dxa"/>
            <w:shd w:val="clear" w:color="auto" w:fill="auto"/>
            <w:vAlign w:val="center"/>
          </w:tcPr>
          <w:p>
            <w:pPr>
              <w:shd w:val="clear"/>
              <w:jc w:val="center"/>
              <w:rPr>
                <w:rFonts w:ascii="宋体" w:hAnsi="宋体" w:cs="宋体"/>
                <w:color w:val="auto"/>
                <w:sz w:val="24"/>
                <w:highlight w:val="none"/>
              </w:rPr>
            </w:pPr>
          </w:p>
        </w:tc>
        <w:tc>
          <w:tcPr>
            <w:tcW w:w="1377" w:type="dxa"/>
            <w:shd w:val="clear" w:color="auto" w:fill="auto"/>
            <w:vAlign w:val="center"/>
          </w:tcPr>
          <w:p>
            <w:pPr>
              <w:shd w:val="clear"/>
              <w:jc w:val="center"/>
              <w:rPr>
                <w:rFonts w:ascii="宋体" w:hAnsi="宋体" w:cs="宋体"/>
                <w:color w:val="auto"/>
                <w:sz w:val="24"/>
                <w:highlight w:val="none"/>
              </w:rPr>
            </w:pPr>
          </w:p>
        </w:tc>
        <w:tc>
          <w:tcPr>
            <w:tcW w:w="730" w:type="dxa"/>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w:t>
            </w:r>
          </w:p>
        </w:tc>
        <w:tc>
          <w:tcPr>
            <w:tcW w:w="4129" w:type="dxa"/>
            <w:gridSpan w:val="2"/>
            <w:shd w:val="clear" w:color="auto" w:fill="auto"/>
          </w:tcPr>
          <w:p>
            <w:pPr>
              <w:shd w:val="clear"/>
              <w:snapToGrid w:val="0"/>
              <w:spacing w:line="380" w:lineRule="exact"/>
              <w:textAlignment w:val="bottom"/>
              <w:rPr>
                <w:rFonts w:ascii="宋体" w:hAnsi="宋体" w:cs="宋体"/>
                <w:bCs/>
                <w:color w:val="auto"/>
                <w:kern w:val="0"/>
                <w:sz w:val="24"/>
                <w:highlight w:val="none"/>
              </w:rPr>
            </w:pPr>
          </w:p>
        </w:tc>
        <w:tc>
          <w:tcPr>
            <w:tcW w:w="1176" w:type="dxa"/>
            <w:shd w:val="clear" w:color="auto" w:fill="auto"/>
            <w:vAlign w:val="center"/>
          </w:tcPr>
          <w:p>
            <w:pPr>
              <w:shd w:val="clear"/>
              <w:jc w:val="center"/>
              <w:rPr>
                <w:rFonts w:ascii="宋体" w:hAnsi="宋体" w:cs="宋体"/>
                <w:color w:val="auto"/>
                <w:sz w:val="24"/>
                <w:highlight w:val="none"/>
              </w:rPr>
            </w:pPr>
          </w:p>
        </w:tc>
        <w:tc>
          <w:tcPr>
            <w:tcW w:w="1087" w:type="dxa"/>
            <w:shd w:val="clear" w:color="auto" w:fill="auto"/>
            <w:vAlign w:val="center"/>
          </w:tcPr>
          <w:p>
            <w:pPr>
              <w:shd w:val="clear"/>
              <w:jc w:val="center"/>
              <w:rPr>
                <w:rFonts w:ascii="宋体" w:hAnsi="宋体" w:cs="宋体"/>
                <w:color w:val="auto"/>
                <w:sz w:val="24"/>
                <w:highlight w:val="none"/>
              </w:rPr>
            </w:pPr>
          </w:p>
        </w:tc>
        <w:tc>
          <w:tcPr>
            <w:tcW w:w="1377" w:type="dxa"/>
            <w:shd w:val="clear" w:color="auto" w:fill="auto"/>
            <w:vAlign w:val="center"/>
          </w:tcPr>
          <w:p>
            <w:pPr>
              <w:shd w:val="clear"/>
              <w:jc w:val="center"/>
              <w:rPr>
                <w:rFonts w:ascii="宋体" w:hAnsi="宋体" w:cs="宋体"/>
                <w:color w:val="auto"/>
                <w:sz w:val="24"/>
                <w:highlight w:val="none"/>
              </w:rPr>
            </w:pPr>
          </w:p>
        </w:tc>
        <w:tc>
          <w:tcPr>
            <w:tcW w:w="730" w:type="dxa"/>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w:t>
            </w:r>
          </w:p>
        </w:tc>
        <w:tc>
          <w:tcPr>
            <w:tcW w:w="4129" w:type="dxa"/>
            <w:gridSpan w:val="2"/>
            <w:shd w:val="clear" w:color="auto" w:fill="auto"/>
          </w:tcPr>
          <w:p>
            <w:pPr>
              <w:shd w:val="clear"/>
              <w:snapToGrid w:val="0"/>
              <w:spacing w:line="380" w:lineRule="exact"/>
              <w:textAlignment w:val="bottom"/>
              <w:rPr>
                <w:rFonts w:ascii="宋体" w:hAnsi="宋体" w:cs="宋体"/>
                <w:bCs/>
                <w:color w:val="auto"/>
                <w:kern w:val="0"/>
                <w:sz w:val="24"/>
                <w:highlight w:val="none"/>
              </w:rPr>
            </w:pPr>
          </w:p>
        </w:tc>
        <w:tc>
          <w:tcPr>
            <w:tcW w:w="1176" w:type="dxa"/>
            <w:shd w:val="clear" w:color="auto" w:fill="auto"/>
            <w:vAlign w:val="center"/>
          </w:tcPr>
          <w:p>
            <w:pPr>
              <w:shd w:val="clear"/>
              <w:jc w:val="center"/>
              <w:rPr>
                <w:rFonts w:ascii="宋体" w:hAnsi="宋体" w:cs="宋体"/>
                <w:color w:val="auto"/>
                <w:sz w:val="24"/>
                <w:highlight w:val="none"/>
              </w:rPr>
            </w:pPr>
          </w:p>
        </w:tc>
        <w:tc>
          <w:tcPr>
            <w:tcW w:w="1087" w:type="dxa"/>
            <w:shd w:val="clear" w:color="auto" w:fill="auto"/>
            <w:vAlign w:val="center"/>
          </w:tcPr>
          <w:p>
            <w:pPr>
              <w:shd w:val="clear"/>
              <w:jc w:val="center"/>
              <w:rPr>
                <w:rFonts w:ascii="宋体" w:hAnsi="宋体" w:cs="宋体"/>
                <w:color w:val="auto"/>
                <w:sz w:val="24"/>
                <w:highlight w:val="none"/>
              </w:rPr>
            </w:pPr>
          </w:p>
        </w:tc>
        <w:tc>
          <w:tcPr>
            <w:tcW w:w="1377" w:type="dxa"/>
            <w:shd w:val="clear" w:color="auto" w:fill="auto"/>
            <w:vAlign w:val="center"/>
          </w:tcPr>
          <w:p>
            <w:pPr>
              <w:shd w:val="clear"/>
              <w:jc w:val="center"/>
              <w:rPr>
                <w:rFonts w:ascii="宋体" w:hAnsi="宋体" w:cs="宋体"/>
                <w:color w:val="auto"/>
                <w:sz w:val="24"/>
                <w:highlight w:val="none"/>
              </w:rPr>
            </w:pPr>
          </w:p>
        </w:tc>
        <w:tc>
          <w:tcPr>
            <w:tcW w:w="730" w:type="dxa"/>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6</w:t>
            </w:r>
          </w:p>
        </w:tc>
        <w:tc>
          <w:tcPr>
            <w:tcW w:w="4129" w:type="dxa"/>
            <w:gridSpan w:val="2"/>
            <w:shd w:val="clear" w:color="auto" w:fill="auto"/>
          </w:tcPr>
          <w:p>
            <w:pPr>
              <w:shd w:val="clear"/>
              <w:snapToGrid w:val="0"/>
              <w:spacing w:line="380" w:lineRule="exact"/>
              <w:textAlignment w:val="bottom"/>
              <w:rPr>
                <w:rFonts w:ascii="宋体" w:hAnsi="宋体" w:cs="宋体"/>
                <w:bCs/>
                <w:color w:val="auto"/>
                <w:kern w:val="0"/>
                <w:sz w:val="24"/>
                <w:highlight w:val="none"/>
              </w:rPr>
            </w:pPr>
          </w:p>
        </w:tc>
        <w:tc>
          <w:tcPr>
            <w:tcW w:w="1176" w:type="dxa"/>
            <w:shd w:val="clear" w:color="auto" w:fill="auto"/>
            <w:vAlign w:val="center"/>
          </w:tcPr>
          <w:p>
            <w:pPr>
              <w:shd w:val="clear"/>
              <w:jc w:val="center"/>
              <w:rPr>
                <w:rFonts w:ascii="宋体" w:hAnsi="宋体" w:cs="宋体"/>
                <w:color w:val="auto"/>
                <w:sz w:val="24"/>
                <w:highlight w:val="none"/>
              </w:rPr>
            </w:pPr>
          </w:p>
        </w:tc>
        <w:tc>
          <w:tcPr>
            <w:tcW w:w="1087" w:type="dxa"/>
            <w:shd w:val="clear" w:color="auto" w:fill="auto"/>
            <w:vAlign w:val="center"/>
          </w:tcPr>
          <w:p>
            <w:pPr>
              <w:shd w:val="clear"/>
              <w:jc w:val="center"/>
              <w:rPr>
                <w:rFonts w:ascii="宋体" w:hAnsi="宋体" w:cs="宋体"/>
                <w:color w:val="auto"/>
                <w:sz w:val="24"/>
                <w:highlight w:val="none"/>
              </w:rPr>
            </w:pPr>
          </w:p>
        </w:tc>
        <w:tc>
          <w:tcPr>
            <w:tcW w:w="1377" w:type="dxa"/>
            <w:shd w:val="clear" w:color="auto" w:fill="auto"/>
            <w:vAlign w:val="center"/>
          </w:tcPr>
          <w:p>
            <w:pPr>
              <w:shd w:val="clear"/>
              <w:jc w:val="center"/>
              <w:rPr>
                <w:rFonts w:ascii="宋体" w:hAnsi="宋体" w:cs="宋体"/>
                <w:color w:val="auto"/>
                <w:sz w:val="24"/>
                <w:highlight w:val="none"/>
              </w:rPr>
            </w:pPr>
          </w:p>
        </w:tc>
        <w:tc>
          <w:tcPr>
            <w:tcW w:w="730" w:type="dxa"/>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7</w:t>
            </w:r>
          </w:p>
        </w:tc>
        <w:tc>
          <w:tcPr>
            <w:tcW w:w="4129" w:type="dxa"/>
            <w:gridSpan w:val="2"/>
            <w:shd w:val="clear" w:color="auto" w:fill="auto"/>
            <w:vAlign w:val="center"/>
          </w:tcPr>
          <w:p>
            <w:pPr>
              <w:shd w:val="clear"/>
              <w:spacing w:line="360" w:lineRule="exact"/>
              <w:rPr>
                <w:rFonts w:ascii="宋体" w:hAnsi="宋体" w:cs="宋体"/>
                <w:bCs/>
                <w:color w:val="auto"/>
                <w:kern w:val="0"/>
                <w:sz w:val="24"/>
                <w:highlight w:val="none"/>
              </w:rPr>
            </w:pPr>
          </w:p>
        </w:tc>
        <w:tc>
          <w:tcPr>
            <w:tcW w:w="1176" w:type="dxa"/>
            <w:shd w:val="clear" w:color="auto" w:fill="auto"/>
            <w:vAlign w:val="center"/>
          </w:tcPr>
          <w:p>
            <w:pPr>
              <w:shd w:val="clear"/>
              <w:jc w:val="center"/>
              <w:rPr>
                <w:rFonts w:ascii="宋体" w:hAnsi="宋体" w:cs="宋体"/>
                <w:color w:val="auto"/>
                <w:sz w:val="24"/>
                <w:highlight w:val="none"/>
              </w:rPr>
            </w:pPr>
          </w:p>
        </w:tc>
        <w:tc>
          <w:tcPr>
            <w:tcW w:w="1087" w:type="dxa"/>
            <w:shd w:val="clear" w:color="auto" w:fill="auto"/>
            <w:vAlign w:val="center"/>
          </w:tcPr>
          <w:p>
            <w:pPr>
              <w:shd w:val="clear"/>
              <w:jc w:val="center"/>
              <w:rPr>
                <w:rFonts w:ascii="宋体" w:hAnsi="宋体" w:cs="宋体"/>
                <w:color w:val="auto"/>
                <w:sz w:val="24"/>
                <w:highlight w:val="none"/>
              </w:rPr>
            </w:pPr>
          </w:p>
        </w:tc>
        <w:tc>
          <w:tcPr>
            <w:tcW w:w="1377" w:type="dxa"/>
            <w:shd w:val="clear" w:color="auto" w:fill="auto"/>
            <w:vAlign w:val="center"/>
          </w:tcPr>
          <w:p>
            <w:pPr>
              <w:shd w:val="clear"/>
              <w:jc w:val="center"/>
              <w:rPr>
                <w:rFonts w:ascii="宋体" w:hAnsi="宋体" w:cs="宋体"/>
                <w:color w:val="auto"/>
                <w:sz w:val="24"/>
                <w:highlight w:val="none"/>
              </w:rPr>
            </w:pPr>
          </w:p>
        </w:tc>
        <w:tc>
          <w:tcPr>
            <w:tcW w:w="730" w:type="dxa"/>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865" w:type="dxa"/>
            <w:gridSpan w:val="2"/>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合  计</w:t>
            </w:r>
          </w:p>
        </w:tc>
        <w:tc>
          <w:tcPr>
            <w:tcW w:w="7364" w:type="dxa"/>
            <w:gridSpan w:val="5"/>
            <w:shd w:val="clear" w:color="auto" w:fill="auto"/>
          </w:tcPr>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人民币（小写）：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p>
        </w:tc>
      </w:tr>
    </w:tbl>
    <w:p>
      <w:pPr>
        <w:shd w:val="clear"/>
        <w:rPr>
          <w:rFonts w:ascii="宋体" w:hAnsi="宋体" w:cs="宋体"/>
          <w:color w:val="auto"/>
          <w:sz w:val="24"/>
          <w:highlight w:val="none"/>
        </w:rPr>
      </w:pPr>
    </w:p>
    <w:p>
      <w:pPr>
        <w:shd w:val="clear"/>
        <w:spacing w:line="500" w:lineRule="exact"/>
        <w:rPr>
          <w:rFonts w:ascii="宋体" w:hAnsi="宋体" w:cs="宋体"/>
          <w:color w:val="auto"/>
          <w:sz w:val="24"/>
          <w:highlight w:val="none"/>
          <w:u w:val="single"/>
        </w:rPr>
      </w:pPr>
      <w:r>
        <w:rPr>
          <w:rFonts w:hint="eastAsia" w:ascii="宋体" w:hAnsi="宋体" w:cs="宋体"/>
          <w:color w:val="auto"/>
          <w:sz w:val="24"/>
          <w:highlight w:val="none"/>
        </w:rPr>
        <w:t xml:space="preserve">全权代表签字： </w:t>
      </w:r>
      <w:r>
        <w:rPr>
          <w:rFonts w:hint="eastAsia" w:ascii="宋体" w:hAnsi="宋体" w:cs="宋体"/>
          <w:color w:val="auto"/>
          <w:sz w:val="24"/>
          <w:highlight w:val="none"/>
          <w:u w:val="single"/>
        </w:rPr>
        <w:t xml:space="preserve">                  </w:t>
      </w:r>
    </w:p>
    <w:p>
      <w:pPr>
        <w:shd w:val="clear"/>
        <w:spacing w:line="500" w:lineRule="exact"/>
        <w:rPr>
          <w:rFonts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shd w:val="clear"/>
        <w:spacing w:line="400" w:lineRule="exact"/>
        <w:ind w:left="480" w:hanging="480" w:hangingChars="200"/>
        <w:rPr>
          <w:rFonts w:ascii="宋体" w:hAnsi="宋体" w:cs="宋体"/>
          <w:color w:val="auto"/>
          <w:sz w:val="24"/>
          <w:highlight w:val="none"/>
        </w:rPr>
      </w:pPr>
      <w:r>
        <w:rPr>
          <w:rFonts w:hint="eastAsia" w:ascii="宋体" w:hAnsi="宋体" w:cs="宋体"/>
          <w:color w:val="auto"/>
          <w:sz w:val="24"/>
          <w:highlight w:val="none"/>
        </w:rPr>
        <w:t>注：</w:t>
      </w:r>
    </w:p>
    <w:p>
      <w:pPr>
        <w:pStyle w:val="13"/>
        <w:shd w:val="clear"/>
        <w:spacing w:line="460" w:lineRule="exact"/>
        <w:rPr>
          <w:rFonts w:hAnsi="宋体" w:cs="宋体"/>
          <w:b/>
          <w:bCs/>
          <w:color w:val="auto"/>
          <w:sz w:val="24"/>
          <w:szCs w:val="24"/>
          <w:highlight w:val="none"/>
        </w:rPr>
      </w:pPr>
      <w:r>
        <w:rPr>
          <w:rFonts w:hint="eastAsia" w:hAnsi="宋体" w:cs="宋体"/>
          <w:color w:val="auto"/>
          <w:sz w:val="24"/>
          <w:szCs w:val="24"/>
          <w:highlight w:val="none"/>
        </w:rPr>
        <w:t>1.投标人应根据国家的有关规定和</w:t>
      </w:r>
      <w:r>
        <w:rPr>
          <w:rFonts w:hint="eastAsia" w:hAnsi="宋体" w:cs="宋体"/>
          <w:b/>
          <w:bCs/>
          <w:color w:val="auto"/>
          <w:sz w:val="24"/>
          <w:szCs w:val="24"/>
          <w:highlight w:val="none"/>
          <w:shd w:val="pct10" w:color="auto" w:fill="FFFFFF"/>
        </w:rPr>
        <w:t>实际情况</w:t>
      </w:r>
      <w:r>
        <w:rPr>
          <w:rFonts w:hint="eastAsia" w:hAnsi="宋体" w:cs="宋体"/>
          <w:color w:val="auto"/>
          <w:sz w:val="24"/>
          <w:szCs w:val="24"/>
          <w:highlight w:val="none"/>
        </w:rPr>
        <w:t>并结合企业的实际情况进行投标报价。</w:t>
      </w:r>
      <w:r>
        <w:rPr>
          <w:rFonts w:hint="eastAsia" w:hAnsi="宋体" w:cs="宋体"/>
          <w:b/>
          <w:bCs/>
          <w:color w:val="auto"/>
          <w:sz w:val="24"/>
          <w:szCs w:val="24"/>
          <w:highlight w:val="none"/>
        </w:rPr>
        <w:t>投标报价为投标人所能承受的最</w:t>
      </w:r>
      <w:r>
        <w:rPr>
          <w:rFonts w:hint="eastAsia" w:hAnsi="宋体" w:cs="宋体"/>
          <w:b/>
          <w:bCs/>
          <w:color w:val="auto"/>
          <w:sz w:val="24"/>
          <w:szCs w:val="24"/>
          <w:highlight w:val="none"/>
          <w:lang w:val="en-US" w:eastAsia="zh-CN"/>
        </w:rPr>
        <w:t>低</w:t>
      </w:r>
      <w:r>
        <w:rPr>
          <w:rFonts w:hint="eastAsia" w:hAnsi="宋体" w:cs="宋体"/>
          <w:b/>
          <w:bCs/>
          <w:color w:val="auto"/>
          <w:sz w:val="24"/>
          <w:szCs w:val="24"/>
          <w:highlight w:val="none"/>
        </w:rPr>
        <w:t>、最终一次性报价。</w:t>
      </w:r>
    </w:p>
    <w:p>
      <w:pPr>
        <w:shd w:val="clear"/>
        <w:tabs>
          <w:tab w:val="left" w:pos="945"/>
        </w:tabs>
        <w:spacing w:line="360" w:lineRule="auto"/>
        <w:rPr>
          <w:rFonts w:ascii="宋体" w:hAnsi="宋体" w:cs="宋体"/>
          <w:color w:val="auto"/>
          <w:sz w:val="24"/>
          <w:highlight w:val="none"/>
        </w:rPr>
      </w:pPr>
      <w:r>
        <w:rPr>
          <w:rFonts w:hint="eastAsia" w:ascii="宋体" w:hAnsi="宋体" w:cs="宋体"/>
          <w:color w:val="auto"/>
          <w:sz w:val="24"/>
          <w:highlight w:val="none"/>
        </w:rPr>
        <w:t>2.此表在不改变表式内容的情况下，可自行制作。</w:t>
      </w:r>
    </w:p>
    <w:p>
      <w:pPr>
        <w:pStyle w:val="21"/>
        <w:shd w:val="clear"/>
        <w:ind w:left="0" w:leftChars="0" w:firstLine="0" w:firstLineChars="0"/>
        <w:rPr>
          <w:rFonts w:ascii="宋体" w:hAnsi="宋体"/>
          <w:color w:val="auto"/>
          <w:highlight w:val="none"/>
        </w:rPr>
      </w:pPr>
    </w:p>
    <w:p>
      <w:pPr>
        <w:shd w:val="clear"/>
        <w:rPr>
          <w:rFonts w:ascii="宋体" w:hAnsi="宋体" w:cs="宋体"/>
          <w:color w:val="auto"/>
          <w:highlight w:val="none"/>
        </w:rPr>
      </w:pPr>
    </w:p>
    <w:p>
      <w:pPr>
        <w:pStyle w:val="5"/>
        <w:shd w:val="clear"/>
        <w:rPr>
          <w:rFonts w:ascii="宋体" w:hAnsi="宋体" w:cs="宋体"/>
          <w:color w:val="auto"/>
          <w:highlight w:val="none"/>
        </w:rPr>
      </w:pPr>
    </w:p>
    <w:p>
      <w:pPr>
        <w:shd w:val="clear"/>
        <w:rPr>
          <w:color w:val="auto"/>
          <w:highlight w:val="none"/>
        </w:rPr>
      </w:pPr>
    </w:p>
    <w:p>
      <w:pPr>
        <w:shd w:val="clear"/>
        <w:jc w:val="center"/>
        <w:rPr>
          <w:rFonts w:ascii="宋体" w:hAnsi="宋体" w:cs="宋体"/>
          <w:color w:val="auto"/>
          <w:highlight w:val="none"/>
        </w:rPr>
      </w:pPr>
      <w:r>
        <w:rPr>
          <w:rFonts w:hint="eastAsia" w:ascii="宋体" w:hAnsi="宋体" w:cs="宋体"/>
          <w:b/>
          <w:bCs/>
          <w:color w:val="auto"/>
          <w:sz w:val="36"/>
          <w:szCs w:val="36"/>
          <w:highlight w:val="none"/>
        </w:rPr>
        <w:t>中小企业声明函</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本公司郑重声明，根据《政府采购促进中小企业发展管理办法》（财库﹝2020﹞46 号）的规定，本公司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（单位名称）的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（项目名称）采购活动，服务全部由符合政策要求的中小企业承接）。相关企业的具体情况如下：</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投标人名称（盖章）：</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 从业人员、营业收入、资产总额填报上一年度数据，无上一年度数据的新成立企业可不填报。</w:t>
      </w:r>
    </w:p>
    <w:p>
      <w:pPr>
        <w:shd w:val="clear"/>
        <w:spacing w:line="360" w:lineRule="auto"/>
        <w:ind w:firstLine="482" w:firstLineChars="200"/>
        <w:rPr>
          <w:rFonts w:ascii="宋体" w:hAnsi="宋体" w:cs="宋体"/>
          <w:b/>
          <w:bCs/>
          <w:color w:val="auto"/>
          <w:sz w:val="24"/>
          <w:highlight w:val="none"/>
        </w:rPr>
      </w:pPr>
    </w:p>
    <w:p>
      <w:pPr>
        <w:pStyle w:val="21"/>
        <w:shd w:val="clear"/>
        <w:ind w:left="0" w:leftChars="0" w:firstLine="0" w:firstLineChars="0"/>
        <w:rPr>
          <w:rFonts w:ascii="宋体" w:hAnsi="宋体"/>
          <w:color w:val="auto"/>
          <w:sz w:val="36"/>
          <w:szCs w:val="36"/>
          <w:highlight w:val="none"/>
        </w:rPr>
      </w:pPr>
    </w:p>
    <w:p>
      <w:pPr>
        <w:shd w:val="clear"/>
        <w:rPr>
          <w:rFonts w:ascii="宋体" w:hAnsi="宋体" w:cs="宋体"/>
          <w:color w:val="auto"/>
          <w:sz w:val="36"/>
          <w:szCs w:val="36"/>
          <w:highlight w:val="none"/>
        </w:rPr>
      </w:pPr>
    </w:p>
    <w:p>
      <w:pPr>
        <w:pStyle w:val="5"/>
        <w:shd w:val="clear"/>
        <w:rPr>
          <w:rFonts w:ascii="宋体" w:hAnsi="宋体" w:cs="宋体"/>
          <w:color w:val="auto"/>
          <w:sz w:val="36"/>
          <w:szCs w:val="36"/>
          <w:highlight w:val="none"/>
        </w:rPr>
      </w:pPr>
    </w:p>
    <w:p>
      <w:pPr>
        <w:shd w:val="clear"/>
        <w:rPr>
          <w:rFonts w:ascii="宋体" w:hAnsi="宋体" w:cs="宋体"/>
          <w:color w:val="auto"/>
          <w:sz w:val="36"/>
          <w:szCs w:val="36"/>
          <w:highlight w:val="none"/>
        </w:rPr>
      </w:pPr>
    </w:p>
    <w:p>
      <w:pPr>
        <w:pStyle w:val="5"/>
        <w:shd w:val="clear"/>
        <w:rPr>
          <w:color w:val="auto"/>
          <w:highlight w:val="none"/>
        </w:rPr>
      </w:pPr>
    </w:p>
    <w:p>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 xml:space="preserve">残疾人福利性单位声明函 </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项目采购活动提供本单位制造的货物（由本单位承担工程/提供服务），或者提供其他残疾人福利性单位制造的货物（不包括使用非残疾人福利性单位注册商标的货物）。 本单位对上述声明的真实性负责。如有虚假，将依法承担相应责任。 </w:t>
      </w:r>
    </w:p>
    <w:p>
      <w:pPr>
        <w:pStyle w:val="6"/>
        <w:shd w:val="clear"/>
        <w:tabs>
          <w:tab w:val="left" w:pos="360"/>
        </w:tabs>
        <w:rPr>
          <w:rFonts w:ascii="宋体" w:hAnsi="宋体" w:eastAsia="宋体" w:cs="宋体"/>
          <w:color w:val="auto"/>
          <w:highlight w:val="none"/>
        </w:rPr>
      </w:pPr>
    </w:p>
    <w:p>
      <w:pPr>
        <w:pStyle w:val="6"/>
        <w:shd w:val="clear"/>
        <w:tabs>
          <w:tab w:val="left" w:pos="360"/>
        </w:tabs>
        <w:rPr>
          <w:rFonts w:ascii="宋体" w:hAnsi="宋体" w:eastAsia="宋体" w:cs="宋体"/>
          <w:color w:val="auto"/>
          <w:highlight w:val="none"/>
        </w:rPr>
      </w:pPr>
    </w:p>
    <w:p>
      <w:pPr>
        <w:shd w:val="clear"/>
        <w:rPr>
          <w:rFonts w:ascii="宋体" w:hAnsi="宋体" w:cs="宋体"/>
          <w:color w:val="auto"/>
          <w:sz w:val="24"/>
          <w:highlight w:val="none"/>
        </w:rPr>
      </w:pPr>
    </w:p>
    <w:p>
      <w:pPr>
        <w:shd w:val="clear"/>
        <w:spacing w:line="360" w:lineRule="auto"/>
        <w:ind w:left="5269" w:leftChars="2166" w:hanging="720" w:hangingChars="300"/>
        <w:rPr>
          <w:rFonts w:ascii="宋体" w:hAnsi="宋体" w:cs="宋体"/>
          <w:color w:val="auto"/>
          <w:sz w:val="24"/>
          <w:highlight w:val="none"/>
        </w:rPr>
      </w:pPr>
      <w:r>
        <w:rPr>
          <w:rFonts w:hint="eastAsia" w:ascii="宋体" w:hAnsi="宋体" w:cs="宋体"/>
          <w:color w:val="auto"/>
          <w:sz w:val="24"/>
          <w:highlight w:val="none"/>
        </w:rPr>
        <w:t xml:space="preserve">                                                 投标人名称（盖章）： </w:t>
      </w:r>
    </w:p>
    <w:p>
      <w:pPr>
        <w:shd w:val="clear"/>
        <w:spacing w:line="360" w:lineRule="auto"/>
        <w:ind w:left="5267" w:leftChars="2508"/>
        <w:rPr>
          <w:rFonts w:ascii="宋体" w:hAnsi="宋体" w:cs="宋体"/>
          <w:color w:val="auto"/>
          <w:sz w:val="24"/>
          <w:highlight w:val="none"/>
        </w:rPr>
      </w:pPr>
      <w:r>
        <w:rPr>
          <w:rFonts w:hint="eastAsia" w:ascii="宋体" w:hAnsi="宋体" w:cs="宋体"/>
          <w:color w:val="auto"/>
          <w:sz w:val="24"/>
          <w:highlight w:val="none"/>
        </w:rPr>
        <w:t xml:space="preserve">日 期： </w:t>
      </w:r>
    </w:p>
    <w:p>
      <w:pPr>
        <w:pStyle w:val="6"/>
        <w:shd w:val="clear"/>
        <w:tabs>
          <w:tab w:val="left" w:pos="360"/>
        </w:tabs>
        <w:rPr>
          <w:rFonts w:ascii="宋体" w:hAnsi="宋体" w:eastAsia="宋体" w:cs="宋体"/>
          <w:color w:val="auto"/>
          <w:highlight w:val="none"/>
        </w:rPr>
      </w:pPr>
    </w:p>
    <w:p>
      <w:pPr>
        <w:shd w:val="clear"/>
        <w:rPr>
          <w:rFonts w:ascii="宋体" w:hAnsi="宋体" w:cs="宋体"/>
          <w:color w:val="auto"/>
          <w:highlight w:val="none"/>
        </w:rPr>
      </w:pPr>
    </w:p>
    <w:p>
      <w:pPr>
        <w:pStyle w:val="6"/>
        <w:shd w:val="clear"/>
        <w:tabs>
          <w:tab w:val="left" w:pos="360"/>
        </w:tabs>
        <w:rPr>
          <w:rFonts w:ascii="宋体" w:hAnsi="宋体" w:eastAsia="宋体" w:cs="宋体"/>
          <w:color w:val="auto"/>
          <w:highlight w:val="none"/>
        </w:rPr>
      </w:pPr>
    </w:p>
    <w:p>
      <w:pPr>
        <w:shd w:val="clear"/>
        <w:rPr>
          <w:rFonts w:ascii="宋体" w:hAnsi="宋体" w:cs="宋体"/>
          <w:color w:val="auto"/>
          <w:highlight w:val="none"/>
        </w:rPr>
      </w:pPr>
    </w:p>
    <w:p>
      <w:pPr>
        <w:pStyle w:val="5"/>
        <w:shd w:val="clear"/>
        <w:rPr>
          <w:rFonts w:ascii="宋体" w:hAnsi="宋体" w:cs="宋体"/>
          <w:color w:val="auto"/>
          <w:highlight w:val="none"/>
        </w:rPr>
      </w:pPr>
    </w:p>
    <w:p>
      <w:pPr>
        <w:shd w:val="clear"/>
        <w:rPr>
          <w:color w:val="auto"/>
          <w:highlight w:val="none"/>
        </w:rPr>
      </w:pPr>
    </w:p>
    <w:p>
      <w:pPr>
        <w:shd w:val="clear"/>
        <w:jc w:val="center"/>
        <w:rPr>
          <w:rFonts w:ascii="宋体" w:hAnsi="宋体" w:cs="宋体"/>
          <w:b/>
          <w:bCs/>
          <w:color w:val="auto"/>
          <w:sz w:val="36"/>
          <w:szCs w:val="36"/>
          <w:highlight w:val="none"/>
        </w:rPr>
      </w:pPr>
    </w:p>
    <w:p>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监狱企业声明函</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本单位郑重声明，根据《财政部、司法部关于政府采购支持监狱企业发展有关问题的通知》（财库〔2014〕68号）的规定，本单位为符合条件的监狱企业，且本单位参加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项目采购活动提供本单位制造的货物（由本单位承担工程/提供服务），或者提供其他监狱企业制造的货物。 本单位对上述声明的真实性负责。如有虚假，将依法承担相应责任。 </w:t>
      </w:r>
    </w:p>
    <w:p>
      <w:pPr>
        <w:shd w:val="clear"/>
        <w:spacing w:line="360" w:lineRule="auto"/>
        <w:ind w:firstLine="480" w:firstLineChars="200"/>
        <w:rPr>
          <w:rFonts w:ascii="宋体" w:hAnsi="宋体" w:cs="宋体"/>
          <w:color w:val="auto"/>
          <w:sz w:val="24"/>
          <w:highlight w:val="none"/>
        </w:rPr>
      </w:pPr>
    </w:p>
    <w:p>
      <w:pPr>
        <w:pStyle w:val="6"/>
        <w:shd w:val="clear"/>
        <w:tabs>
          <w:tab w:val="left" w:pos="360"/>
        </w:tabs>
        <w:rPr>
          <w:rFonts w:ascii="宋体" w:hAnsi="宋体" w:eastAsia="宋体" w:cs="宋体"/>
          <w:color w:val="auto"/>
          <w:highlight w:val="none"/>
        </w:rPr>
      </w:pPr>
    </w:p>
    <w:p>
      <w:pPr>
        <w:shd w:val="clear"/>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560" w:firstLineChars="1900"/>
        <w:rPr>
          <w:rFonts w:ascii="宋体" w:hAnsi="宋体" w:cs="宋体"/>
          <w:color w:val="auto"/>
          <w:sz w:val="24"/>
          <w:highlight w:val="none"/>
        </w:rPr>
      </w:pPr>
      <w:r>
        <w:rPr>
          <w:rFonts w:hint="eastAsia" w:ascii="宋体" w:hAnsi="宋体" w:cs="宋体"/>
          <w:color w:val="auto"/>
          <w:sz w:val="24"/>
          <w:highlight w:val="none"/>
        </w:rPr>
        <w:t xml:space="preserve">投标人名称（盖章）： </w:t>
      </w:r>
    </w:p>
    <w:p>
      <w:pPr>
        <w:shd w:val="clear"/>
        <w:spacing w:line="360" w:lineRule="auto"/>
        <w:ind w:firstLine="4560" w:firstLineChars="1900"/>
        <w:rPr>
          <w:rFonts w:ascii="宋体" w:hAnsi="宋体" w:cs="宋体"/>
          <w:color w:val="auto"/>
          <w:sz w:val="24"/>
          <w:highlight w:val="none"/>
        </w:rPr>
      </w:pPr>
      <w:r>
        <w:rPr>
          <w:rFonts w:hint="eastAsia" w:ascii="宋体" w:hAnsi="宋体" w:cs="宋体"/>
          <w:color w:val="auto"/>
          <w:sz w:val="24"/>
          <w:highlight w:val="none"/>
        </w:rPr>
        <w:t xml:space="preserve">日 期： </w:t>
      </w:r>
    </w:p>
    <w:p>
      <w:pPr>
        <w:pStyle w:val="6"/>
        <w:shd w:val="clear"/>
        <w:tabs>
          <w:tab w:val="left" w:pos="360"/>
        </w:tabs>
        <w:rPr>
          <w:rFonts w:ascii="宋体" w:hAnsi="宋体" w:eastAsia="宋体" w:cs="宋体"/>
          <w:color w:val="auto"/>
          <w:highlight w:val="none"/>
        </w:rPr>
      </w:pPr>
    </w:p>
    <w:p>
      <w:pPr>
        <w:shd w:val="clear"/>
        <w:rPr>
          <w:rFonts w:ascii="宋体" w:hAnsi="宋体" w:cs="宋体"/>
          <w:color w:val="auto"/>
          <w:highlight w:val="none"/>
        </w:rPr>
      </w:pPr>
    </w:p>
    <w:p>
      <w:pPr>
        <w:shd w:val="clear"/>
        <w:spacing w:line="360" w:lineRule="auto"/>
        <w:ind w:firstLine="482" w:firstLineChars="200"/>
        <w:rPr>
          <w:rFonts w:ascii="宋体" w:hAnsi="宋体" w:cs="宋体"/>
          <w:color w:val="auto"/>
          <w:highlight w:val="none"/>
        </w:rPr>
      </w:pPr>
      <w:r>
        <w:rPr>
          <w:rFonts w:hint="eastAsia" w:ascii="宋体" w:hAnsi="宋体" w:cs="宋体"/>
          <w:b/>
          <w:bCs/>
          <w:color w:val="auto"/>
          <w:sz w:val="24"/>
          <w:highlight w:val="none"/>
        </w:rPr>
        <w:t>注：1.应当提供由省级以上监狱管理局、戒毒管理局(含新疆生产建设兵团)出具的属于监狱企业的说明文件。</w:t>
      </w:r>
    </w:p>
    <w:p>
      <w:pPr>
        <w:pStyle w:val="26"/>
        <w:shd w:val="clear"/>
        <w:rPr>
          <w:rFonts w:ascii="宋体" w:hAnsi="宋体" w:eastAsia="宋体" w:cs="宋体"/>
          <w:color w:val="auto"/>
          <w:highlight w:val="none"/>
        </w:rPr>
      </w:pPr>
    </w:p>
    <w:p>
      <w:pPr>
        <w:pStyle w:val="27"/>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pStyle w:val="2"/>
        <w:shd w:val="clear"/>
        <w:rPr>
          <w:rFonts w:ascii="宋体" w:hAnsi="宋体" w:cs="宋体"/>
          <w:color w:val="auto"/>
          <w:highlight w:val="none"/>
        </w:rPr>
      </w:pPr>
    </w:p>
    <w:p>
      <w:pPr>
        <w:pStyle w:val="3"/>
        <w:shd w:val="clear"/>
        <w:rPr>
          <w:rFonts w:ascii="宋体" w:hAnsi="宋体" w:cs="宋体"/>
          <w:color w:val="auto"/>
          <w:highlight w:val="none"/>
        </w:rPr>
      </w:pPr>
    </w:p>
    <w:p>
      <w:pPr>
        <w:pStyle w:val="4"/>
        <w:shd w:val="clear"/>
        <w:rPr>
          <w:color w:val="auto"/>
          <w:highlight w:val="none"/>
        </w:rPr>
      </w:pPr>
    </w:p>
    <w:p>
      <w:pPr>
        <w:pStyle w:val="4"/>
        <w:shd w:val="clear"/>
        <w:rPr>
          <w:rFonts w:ascii="宋体" w:hAnsi="宋体" w:cs="宋体"/>
          <w:color w:val="auto"/>
          <w:highlight w:val="none"/>
        </w:rPr>
      </w:pPr>
    </w:p>
    <w:p>
      <w:pPr>
        <w:shd w:val="clear"/>
        <w:rPr>
          <w:rFonts w:ascii="宋体" w:hAnsi="宋体" w:cs="宋体"/>
          <w:color w:val="auto"/>
          <w:highlight w:val="none"/>
        </w:rPr>
      </w:pPr>
    </w:p>
    <w:p>
      <w:pPr>
        <w:shd w:val="clear"/>
        <w:jc w:val="center"/>
        <w:rPr>
          <w:rFonts w:hint="eastAsia" w:ascii="宋体" w:eastAsia="宋体" w:cs="宋体"/>
          <w:b/>
          <w:bCs/>
          <w:color w:val="auto"/>
          <w:sz w:val="36"/>
          <w:szCs w:val="36"/>
          <w:highlight w:val="none"/>
        </w:rPr>
      </w:pPr>
      <w:r>
        <w:rPr>
          <w:rFonts w:hint="eastAsia" w:ascii="宋体" w:eastAsia="宋体" w:cs="宋体"/>
          <w:b/>
          <w:bCs/>
          <w:color w:val="auto"/>
          <w:sz w:val="36"/>
          <w:szCs w:val="36"/>
          <w:highlight w:val="none"/>
        </w:rPr>
        <w:t>联合体协议书</w:t>
      </w:r>
    </w:p>
    <w:p>
      <w:pPr>
        <w:pStyle w:val="2"/>
        <w:shd w:val="clear"/>
        <w:spacing w:line="440" w:lineRule="exact"/>
        <w:ind w:firstLine="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（适用于联合体）</w:t>
      </w:r>
    </w:p>
    <w:p>
      <w:pPr>
        <w:shd w:val="clear"/>
        <w:tabs>
          <w:tab w:val="left" w:pos="2977"/>
        </w:tabs>
        <w:spacing w:line="420" w:lineRule="exact"/>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（甲公司名称）              、（乙公司名称）              自愿组成联合体，参加                      项目的投标。现就有关事宜订立协议如下：</w:t>
      </w:r>
    </w:p>
    <w:p>
      <w:pPr>
        <w:pStyle w:val="30"/>
        <w:shd w:val="clear"/>
        <w:tabs>
          <w:tab w:val="left" w:pos="2977"/>
        </w:tabs>
        <w:spacing w:line="420" w:lineRule="exact"/>
        <w:ind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1.（甲公司名称）为联合体牵头人，（乙公司名称）为联合体成员；</w:t>
      </w:r>
    </w:p>
    <w:p>
      <w:pPr>
        <w:pStyle w:val="30"/>
        <w:shd w:val="clear"/>
        <w:tabs>
          <w:tab w:val="left" w:pos="2977"/>
        </w:tabs>
        <w:spacing w:line="420" w:lineRule="exact"/>
        <w:ind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 联合体内部有关事项规定如下：</w:t>
      </w:r>
    </w:p>
    <w:p>
      <w:pPr>
        <w:pStyle w:val="30"/>
        <w:shd w:val="clear"/>
        <w:tabs>
          <w:tab w:val="left" w:pos="2977"/>
        </w:tabs>
        <w:spacing w:line="420" w:lineRule="exact"/>
        <w:ind w:left="420"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（1）联合体由牵头人负责与采购人联系。</w:t>
      </w:r>
    </w:p>
    <w:p>
      <w:pPr>
        <w:pStyle w:val="30"/>
        <w:shd w:val="clear"/>
        <w:tabs>
          <w:tab w:val="left" w:pos="2977"/>
        </w:tabs>
        <w:spacing w:line="420" w:lineRule="exact"/>
        <w:ind w:left="420"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（2）投标工作由联合体牵头人负责，由双方组成的投标小组具体实施；联合体牵头人代表联合体办理投标事宜，联合体牵头人在投标文件中的所有承诺均代表了联合体各成员。</w:t>
      </w:r>
    </w:p>
    <w:p>
      <w:pPr>
        <w:pStyle w:val="30"/>
        <w:shd w:val="clear"/>
        <w:tabs>
          <w:tab w:val="left" w:pos="2977"/>
        </w:tabs>
        <w:spacing w:line="420" w:lineRule="exact"/>
        <w:ind w:left="420"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（3）联合体将严格按照招标文件的各项要求，递交投标文件，切实执行一切合同文件，共同承担合同规定的一切义务和责任，同时按照内部职责的划分，承担自身所负的责任和风险，在法律上承担连带责任。</w:t>
      </w:r>
    </w:p>
    <w:p>
      <w:pPr>
        <w:pStyle w:val="30"/>
        <w:shd w:val="clear"/>
        <w:tabs>
          <w:tab w:val="left" w:pos="2977"/>
        </w:tabs>
        <w:spacing w:line="420" w:lineRule="exact"/>
        <w:ind w:left="480"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（4）如中标，联合体内部将遵守以下规定：</w:t>
      </w:r>
    </w:p>
    <w:p>
      <w:pPr>
        <w:pStyle w:val="30"/>
        <w:shd w:val="clear"/>
        <w:tabs>
          <w:tab w:val="left" w:pos="2977"/>
        </w:tabs>
        <w:spacing w:line="420" w:lineRule="exact"/>
        <w:ind w:left="420"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a.联合体牵头人和成员共同与采购人签订合同，并就中标项目向采购人负责有连带的和各自的法律责任；</w:t>
      </w:r>
    </w:p>
    <w:p>
      <w:pPr>
        <w:pStyle w:val="30"/>
        <w:shd w:val="clear"/>
        <w:tabs>
          <w:tab w:val="left" w:pos="2977"/>
        </w:tabs>
        <w:spacing w:line="420" w:lineRule="exact"/>
        <w:ind w:left="420"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b.联合体牵头人代表联合体成员承担和接受采购人的指令、指示和通知，并且在整个合同实施过程中的全部事宜均由联合体牵头人负责；</w:t>
      </w:r>
    </w:p>
    <w:p>
      <w:pPr>
        <w:pStyle w:val="30"/>
        <w:shd w:val="clear"/>
        <w:tabs>
          <w:tab w:val="left" w:pos="2977"/>
        </w:tabs>
        <w:spacing w:line="420" w:lineRule="exact"/>
        <w:ind w:left="420"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c.联合体分工原则：     （此处明确各方责任和各方工作内容）                                </w:t>
      </w:r>
    </w:p>
    <w:p>
      <w:pPr>
        <w:pStyle w:val="30"/>
        <w:shd w:val="clear"/>
        <w:tabs>
          <w:tab w:val="left" w:pos="2977"/>
        </w:tabs>
        <w:spacing w:line="420" w:lineRule="exact"/>
        <w:ind w:left="480"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(5)投标工作和联合体在中标后工程实施过程中的有关费用按各自承担的工作量分摊。</w:t>
      </w:r>
    </w:p>
    <w:p>
      <w:pPr>
        <w:pStyle w:val="30"/>
        <w:shd w:val="clear"/>
        <w:tabs>
          <w:tab w:val="left" w:pos="2977"/>
        </w:tabs>
        <w:spacing w:line="420" w:lineRule="exact"/>
        <w:ind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3.本协议书自签署之日起生效，在上述（4）a所述的合同规定的期限之后自行失效；如中标后，联合体内部另有协议的，应取得采购人同意，联合体牵头人应将该协议书递交采购人。</w:t>
      </w:r>
    </w:p>
    <w:p>
      <w:pPr>
        <w:shd w:val="clear"/>
        <w:tabs>
          <w:tab w:val="left" w:pos="2977"/>
        </w:tabs>
        <w:spacing w:line="42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甲公司名称：全称（盖章）                 乙公司名称：全称（盖章） </w:t>
      </w:r>
    </w:p>
    <w:p>
      <w:pPr>
        <w:shd w:val="clear"/>
        <w:tabs>
          <w:tab w:val="left" w:pos="2977"/>
        </w:tabs>
        <w:spacing w:line="42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法定代表人：（签字或盖章）               法定代表人（签字或盖章）</w:t>
      </w:r>
    </w:p>
    <w:p>
      <w:pPr>
        <w:shd w:val="clear"/>
        <w:spacing w:line="420" w:lineRule="exact"/>
        <w:ind w:firstLine="720" w:firstLineChars="3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年    月    日                            年    月    日</w:t>
      </w:r>
    </w:p>
    <w:p>
      <w:pPr>
        <w:pStyle w:val="13"/>
        <w:shd w:val="clear"/>
        <w:spacing w:line="460" w:lineRule="exact"/>
        <w:ind w:left="49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备注：1.联合体投标时需签订本协议，联合体各方签字盖章。）</w:t>
      </w:r>
    </w:p>
    <w:p>
      <w:pPr>
        <w:pStyle w:val="13"/>
        <w:shd w:val="clear"/>
        <w:spacing w:line="460" w:lineRule="exact"/>
        <w:ind w:left="49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2.此表在不改变表式内容的情况下，可自行制作。</w:t>
      </w:r>
    </w:p>
    <w:p>
      <w:pPr>
        <w:widowControl/>
        <w:shd w:val="clear"/>
        <w:spacing w:after="167" w:afterLines="50" w:line="360" w:lineRule="auto"/>
        <w:jc w:val="center"/>
        <w:rPr>
          <w:rFonts w:hint="eastAsia" w:ascii="宋体" w:hAnsi="宋体" w:cs="宋体"/>
          <w:b/>
          <w:bCs/>
          <w:color w:val="auto"/>
          <w:sz w:val="36"/>
          <w:szCs w:val="36"/>
          <w:highlight w:val="none"/>
        </w:rPr>
      </w:pPr>
    </w:p>
    <w:p>
      <w:pPr>
        <w:widowControl/>
        <w:shd w:val="clear"/>
        <w:spacing w:after="167" w:afterLines="50" w:line="360" w:lineRule="auto"/>
        <w:jc w:val="center"/>
        <w:rPr>
          <w:rFonts w:hint="eastAsia" w:ascii="宋体" w:hAnsi="宋体" w:cs="宋体"/>
          <w:b/>
          <w:bCs/>
          <w:color w:val="auto"/>
          <w:sz w:val="36"/>
          <w:szCs w:val="36"/>
          <w:highlight w:val="none"/>
        </w:rPr>
      </w:pPr>
    </w:p>
    <w:p>
      <w:pPr>
        <w:pStyle w:val="7"/>
        <w:shd w:val="clear"/>
        <w:spacing w:line="440" w:lineRule="exact"/>
        <w:ind w:firstLine="655"/>
        <w:rPr>
          <w:rFonts w:hint="eastAsia" w:ascii="仿宋_GB2312" w:eastAsia="仿宋_GB2312" w:cs="仿宋_GB2312"/>
          <w:b/>
          <w:bCs/>
          <w:color w:val="auto"/>
          <w:sz w:val="32"/>
          <w:szCs w:val="32"/>
          <w:highlight w:val="none"/>
        </w:rPr>
      </w:pPr>
    </w:p>
    <w:p>
      <w:pPr>
        <w:shd w:val="clear"/>
        <w:jc w:val="center"/>
        <w:rPr>
          <w:rFonts w:hint="default" w:ascii="宋体" w:eastAsia="宋体" w:cs="宋体"/>
          <w:b/>
          <w:bCs/>
          <w:color w:val="auto"/>
          <w:sz w:val="36"/>
          <w:szCs w:val="36"/>
          <w:highlight w:val="none"/>
          <w:lang w:eastAsia="zh-CN"/>
        </w:rPr>
      </w:pPr>
      <w:r>
        <w:rPr>
          <w:rFonts w:hint="default" w:ascii="宋体" w:eastAsia="宋体" w:cs="宋体"/>
          <w:b/>
          <w:bCs/>
          <w:color w:val="auto"/>
          <w:sz w:val="36"/>
          <w:szCs w:val="36"/>
          <w:highlight w:val="none"/>
          <w:lang w:eastAsia="zh-CN"/>
        </w:rPr>
        <w:t>联合体牵头人授权委托书</w:t>
      </w:r>
    </w:p>
    <w:p>
      <w:pPr>
        <w:pStyle w:val="2"/>
        <w:shd w:val="clear"/>
        <w:spacing w:line="440" w:lineRule="exact"/>
        <w:ind w:firstLine="437"/>
        <w:rPr>
          <w:rFonts w:ascii="Times New Roman" w:hAnsi="Times New Roman"/>
          <w:color w:val="auto"/>
          <w:sz w:val="21"/>
          <w:szCs w:val="21"/>
          <w:highlight w:val="none"/>
        </w:rPr>
      </w:pPr>
      <w:r>
        <w:rPr>
          <w:rFonts w:ascii="Times New Roman" w:hAnsi="Times New Roman"/>
          <w:color w:val="auto"/>
          <w:sz w:val="21"/>
          <w:szCs w:val="21"/>
          <w:highlight w:val="none"/>
        </w:rPr>
        <w:t>（适用于联合体）</w:t>
      </w:r>
    </w:p>
    <w:p>
      <w:pPr>
        <w:shd w:val="clear"/>
        <w:spacing w:line="460" w:lineRule="exact"/>
        <w:jc w:val="center"/>
        <w:rPr>
          <w:b/>
          <w:color w:val="auto"/>
          <w:sz w:val="32"/>
          <w:highlight w:val="none"/>
        </w:rPr>
      </w:pPr>
    </w:p>
    <w:p>
      <w:pPr>
        <w:shd w:val="clear"/>
        <w:spacing w:line="460" w:lineRule="exact"/>
        <w:rPr>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本授权委托书声明：我             （姓名）系             （单位名称）的法定代表人，现授权委托                 （联合体牵头人的单位名称）的          （姓名）为联合体双方全权代表，以                                （联合体名称：牵头单位全称加成员单位全称）联合体的名义参加               （采购人）的     （项目名称）      标段（标段名称）的投标活动。全权代表在开标、评标、询标、合同谈判过程中所签署的一切文件和处理与之有关的一切事务，我均以承认。</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代理人无转委托权。特此委托。</w:t>
      </w: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代理人：                     性别：            年龄：         </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身份证号码：               </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单位：                       部门：            职务：         </w:t>
      </w: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联合体牵头人（盖章）：</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法定代表人（签字盖章）：</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pStyle w:val="2"/>
        <w:shd w:val="clear"/>
        <w:rPr>
          <w:color w:val="auto"/>
          <w:highlight w:val="none"/>
        </w:rPr>
      </w:pPr>
    </w:p>
    <w:p/>
    <w:sectPr>
      <w:pgSz w:w="11906" w:h="16838"/>
      <w:pgMar w:top="1191" w:right="1134" w:bottom="1134" w:left="141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kern w:val="0"/>
        <w:szCs w:val="21"/>
        <w:u w:val="single"/>
      </w:rPr>
    </w:pPr>
    <w:r>
      <w:rPr>
        <w:rFonts w:hint="eastAsia"/>
        <w:kern w:val="0"/>
        <w:szCs w:val="21"/>
        <w:u w:val="single"/>
      </w:rPr>
      <w:t xml:space="preserve">                                                       </w:t>
    </w:r>
  </w:p>
  <w:p>
    <w:pPr>
      <w:pStyle w:val="15"/>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kern w:val="0"/>
        <w:szCs w:val="21"/>
        <w:u w:val="single"/>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15875">
                        <a:noFill/>
                      </a:ln>
                    </wps:spPr>
                    <wps:txbx>
                      <w:txbxContent>
                        <w:p>
                          <w:pPr>
                            <w:pStyle w:val="15"/>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Fxy/d1AAAAAMBAAAPAAAAAAAAAAEAIAAA&#10;ACIAAABkcnMvZG93bnJldi54bWxQSwECFAAUAAAACACHTuJAQ7oowtcBAAChAwAADgAAAAAAAAAB&#10;ACAAAAAjAQAAZHJzL2Uyb0RvYy54bWxQSwUGAAAAAAYABgBZAQAAbAUAAAAA&#10;">
              <v:fill on="f" focussize="0,0"/>
              <v:stroke on="f" weight="1.25pt"/>
              <v:imagedata o:title=""/>
              <o:lock v:ext="edit" aspectratio="f"/>
              <v:textbox inset="0mm,0mm,0mm,0mm" style="mso-fit-shape-to-text:t;">
                <w:txbxContent>
                  <w:p>
                    <w:pPr>
                      <w:pStyle w:val="15"/>
                    </w:pPr>
                    <w:r>
                      <w:fldChar w:fldCharType="begin"/>
                    </w:r>
                    <w:r>
                      <w:instrText xml:space="preserve"> PAGE  \* MERGEFORMAT </w:instrText>
                    </w:r>
                    <w:r>
                      <w:fldChar w:fldCharType="separate"/>
                    </w:r>
                    <w:r>
                      <w:t>0</w:t>
                    </w:r>
                    <w:r>
                      <w:fldChar w:fldCharType="end"/>
                    </w:r>
                  </w:p>
                </w:txbxContent>
              </v:textbox>
            </v:shape>
          </w:pict>
        </mc:Fallback>
      </mc:AlternateContent>
    </w:r>
    <w:r>
      <w:rPr>
        <w:rFonts w:hint="eastAsia"/>
        <w:kern w:val="0"/>
        <w:szCs w:val="21"/>
        <w:u w:val="single"/>
      </w:rPr>
      <w:t xml:space="preserve">                                                       </w:t>
    </w:r>
  </w:p>
  <w:p>
    <w:pPr>
      <w:pStyle w:val="15"/>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15875">
                        <a:noFill/>
                      </a:ln>
                    </wps:spPr>
                    <wps:txbx>
                      <w:txbxContent>
                        <w:p>
                          <w:pPr>
                            <w:pStyle w:val="15"/>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XHL93UAAAAAwEAAA8AAAAAAAAAAQAgAAAA&#10;IgAAAGRycy9kb3ducmV2LnhtbFBLAQIUABQAAAAIAIdO4kARxW3G1gEAAKEDAAAOAAAAAAAAAAEA&#10;IAAAACMBAABkcnMvZTJvRG9jLnhtbFBLBQYAAAAABgAGAFkBAABrBQAAAAA=&#10;">
              <v:fill on="f" focussize="0,0"/>
              <v:stroke on="f" weight="1.25pt"/>
              <v:imagedata o:title=""/>
              <o:lock v:ext="edit" aspectratio="f"/>
              <v:textbox inset="0mm,0mm,0mm,0mm" style="mso-fit-shape-to-text:t;">
                <w:txbxContent>
                  <w:p>
                    <w:pPr>
                      <w:pStyle w:val="15"/>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90" w:firstLineChars="50"/>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90" w:firstLineChars="50"/>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14A83"/>
    <w:multiLevelType w:val="singleLevel"/>
    <w:tmpl w:val="C1D14A83"/>
    <w:lvl w:ilvl="0" w:tentative="0">
      <w:start w:val="1"/>
      <w:numFmt w:val="chineseCounting"/>
      <w:suff w:val="nothing"/>
      <w:lvlText w:val="%1、"/>
      <w:lvlJc w:val="left"/>
      <w:rPr>
        <w:rFonts w:hint="eastAsia"/>
      </w:rPr>
    </w:lvl>
  </w:abstractNum>
  <w:abstractNum w:abstractNumId="1">
    <w:nsid w:val="010F4CD1"/>
    <w:multiLevelType w:val="multilevel"/>
    <w:tmpl w:val="010F4CD1"/>
    <w:lvl w:ilvl="0" w:tentative="0">
      <w:start w:val="4"/>
      <w:numFmt w:val="japaneseCounting"/>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jOGFkMmQ0YmViZGE4MDg3MTc3MzA2ODY1OTc0YWUifQ=="/>
  </w:docVars>
  <w:rsids>
    <w:rsidRoot w:val="5E1E6120"/>
    <w:rsid w:val="0012493B"/>
    <w:rsid w:val="00260833"/>
    <w:rsid w:val="00416146"/>
    <w:rsid w:val="0050638A"/>
    <w:rsid w:val="005574FC"/>
    <w:rsid w:val="00560AF0"/>
    <w:rsid w:val="00771217"/>
    <w:rsid w:val="00B37DC0"/>
    <w:rsid w:val="00B6144E"/>
    <w:rsid w:val="00DC5E6F"/>
    <w:rsid w:val="016025FC"/>
    <w:rsid w:val="017936BE"/>
    <w:rsid w:val="01964270"/>
    <w:rsid w:val="01AA1AC9"/>
    <w:rsid w:val="022573A2"/>
    <w:rsid w:val="024A0BB7"/>
    <w:rsid w:val="02557C87"/>
    <w:rsid w:val="028916DF"/>
    <w:rsid w:val="029A1B3E"/>
    <w:rsid w:val="02B250DA"/>
    <w:rsid w:val="02C3371F"/>
    <w:rsid w:val="03031491"/>
    <w:rsid w:val="034C72DC"/>
    <w:rsid w:val="037759DB"/>
    <w:rsid w:val="039E11BA"/>
    <w:rsid w:val="03A34A22"/>
    <w:rsid w:val="03C03826"/>
    <w:rsid w:val="03C5268A"/>
    <w:rsid w:val="040E4CFF"/>
    <w:rsid w:val="04762137"/>
    <w:rsid w:val="04AC5B58"/>
    <w:rsid w:val="04C17856"/>
    <w:rsid w:val="04D74983"/>
    <w:rsid w:val="04E6106A"/>
    <w:rsid w:val="050140F6"/>
    <w:rsid w:val="05065269"/>
    <w:rsid w:val="050F05C1"/>
    <w:rsid w:val="052878D5"/>
    <w:rsid w:val="058645FB"/>
    <w:rsid w:val="058C1C12"/>
    <w:rsid w:val="05E51322"/>
    <w:rsid w:val="063B3638"/>
    <w:rsid w:val="06840B3B"/>
    <w:rsid w:val="06DE46EF"/>
    <w:rsid w:val="06E17D3B"/>
    <w:rsid w:val="06E25862"/>
    <w:rsid w:val="07013F3A"/>
    <w:rsid w:val="0717375D"/>
    <w:rsid w:val="07740BAF"/>
    <w:rsid w:val="07822AA3"/>
    <w:rsid w:val="078E1545"/>
    <w:rsid w:val="08057A5A"/>
    <w:rsid w:val="08210B42"/>
    <w:rsid w:val="082F2D28"/>
    <w:rsid w:val="0878647D"/>
    <w:rsid w:val="087B5F6E"/>
    <w:rsid w:val="087F780C"/>
    <w:rsid w:val="08AB0D9A"/>
    <w:rsid w:val="09016473"/>
    <w:rsid w:val="09242161"/>
    <w:rsid w:val="09CF47C3"/>
    <w:rsid w:val="0A283ED3"/>
    <w:rsid w:val="0A540824"/>
    <w:rsid w:val="0A656ED5"/>
    <w:rsid w:val="0A7809B7"/>
    <w:rsid w:val="0ABA012B"/>
    <w:rsid w:val="0AC260D6"/>
    <w:rsid w:val="0AD876A7"/>
    <w:rsid w:val="0AE93662"/>
    <w:rsid w:val="0B0F299D"/>
    <w:rsid w:val="0B212DFC"/>
    <w:rsid w:val="0B472137"/>
    <w:rsid w:val="0B8B296C"/>
    <w:rsid w:val="0BBF6171"/>
    <w:rsid w:val="0BD47E6F"/>
    <w:rsid w:val="0C3B6140"/>
    <w:rsid w:val="0C6F5686"/>
    <w:rsid w:val="0D1129FD"/>
    <w:rsid w:val="0D611BD6"/>
    <w:rsid w:val="0D8F7B6B"/>
    <w:rsid w:val="0D9378B6"/>
    <w:rsid w:val="0D9C676A"/>
    <w:rsid w:val="0DA27AF9"/>
    <w:rsid w:val="0DA47D15"/>
    <w:rsid w:val="0DCB704F"/>
    <w:rsid w:val="0E1F739B"/>
    <w:rsid w:val="0E552DBD"/>
    <w:rsid w:val="0E5C414B"/>
    <w:rsid w:val="0E72396F"/>
    <w:rsid w:val="0EB9334C"/>
    <w:rsid w:val="0F2E7896"/>
    <w:rsid w:val="0F8950CD"/>
    <w:rsid w:val="0F8B4CE8"/>
    <w:rsid w:val="0FA61B22"/>
    <w:rsid w:val="0FEE5277"/>
    <w:rsid w:val="101F18D4"/>
    <w:rsid w:val="10267556"/>
    <w:rsid w:val="103A226A"/>
    <w:rsid w:val="105C48D7"/>
    <w:rsid w:val="106317C1"/>
    <w:rsid w:val="10AC760C"/>
    <w:rsid w:val="10C55FD8"/>
    <w:rsid w:val="10E548CC"/>
    <w:rsid w:val="10F7015B"/>
    <w:rsid w:val="11292A0B"/>
    <w:rsid w:val="113849FC"/>
    <w:rsid w:val="11392CF6"/>
    <w:rsid w:val="11651569"/>
    <w:rsid w:val="11A77DD3"/>
    <w:rsid w:val="11B524F0"/>
    <w:rsid w:val="121D1E44"/>
    <w:rsid w:val="122C6D57"/>
    <w:rsid w:val="1272218F"/>
    <w:rsid w:val="129F0AAB"/>
    <w:rsid w:val="12C624DB"/>
    <w:rsid w:val="13031039"/>
    <w:rsid w:val="131B45D5"/>
    <w:rsid w:val="131E5E73"/>
    <w:rsid w:val="13203999"/>
    <w:rsid w:val="1369697B"/>
    <w:rsid w:val="137E6912"/>
    <w:rsid w:val="13BF1404"/>
    <w:rsid w:val="13C702B9"/>
    <w:rsid w:val="145F4995"/>
    <w:rsid w:val="146F2E2A"/>
    <w:rsid w:val="14DC1B42"/>
    <w:rsid w:val="1525798D"/>
    <w:rsid w:val="156A1844"/>
    <w:rsid w:val="156A35F2"/>
    <w:rsid w:val="156C736A"/>
    <w:rsid w:val="15E6711C"/>
    <w:rsid w:val="164B51D1"/>
    <w:rsid w:val="166B7621"/>
    <w:rsid w:val="169F551D"/>
    <w:rsid w:val="16C64858"/>
    <w:rsid w:val="16CB4564"/>
    <w:rsid w:val="16E3365C"/>
    <w:rsid w:val="16F3455C"/>
    <w:rsid w:val="171E4694"/>
    <w:rsid w:val="172A128B"/>
    <w:rsid w:val="17400AAE"/>
    <w:rsid w:val="17D905BB"/>
    <w:rsid w:val="17F453F5"/>
    <w:rsid w:val="18041ADC"/>
    <w:rsid w:val="180C273E"/>
    <w:rsid w:val="1844637C"/>
    <w:rsid w:val="188B2F0E"/>
    <w:rsid w:val="188E5849"/>
    <w:rsid w:val="18C7014D"/>
    <w:rsid w:val="18FC6C57"/>
    <w:rsid w:val="19406B43"/>
    <w:rsid w:val="196565AA"/>
    <w:rsid w:val="198D5B01"/>
    <w:rsid w:val="19BC1F42"/>
    <w:rsid w:val="1A345F7C"/>
    <w:rsid w:val="1A4F2DB6"/>
    <w:rsid w:val="1AC76DF0"/>
    <w:rsid w:val="1AEB2ADF"/>
    <w:rsid w:val="1B010554"/>
    <w:rsid w:val="1BC3580A"/>
    <w:rsid w:val="1C125CC7"/>
    <w:rsid w:val="1C2277C9"/>
    <w:rsid w:val="1C273FEB"/>
    <w:rsid w:val="1CA94A00"/>
    <w:rsid w:val="1CDB6B83"/>
    <w:rsid w:val="1CF0511D"/>
    <w:rsid w:val="1CFA525B"/>
    <w:rsid w:val="1D0600A4"/>
    <w:rsid w:val="1D1E3640"/>
    <w:rsid w:val="1D6923E1"/>
    <w:rsid w:val="1D8F0099"/>
    <w:rsid w:val="1DA756F1"/>
    <w:rsid w:val="1DF20628"/>
    <w:rsid w:val="1DF61EC7"/>
    <w:rsid w:val="1DFD14A7"/>
    <w:rsid w:val="1E171F5D"/>
    <w:rsid w:val="1E25455A"/>
    <w:rsid w:val="1E2B45A7"/>
    <w:rsid w:val="1E470974"/>
    <w:rsid w:val="1E8041F9"/>
    <w:rsid w:val="1E9F430C"/>
    <w:rsid w:val="1EEE0DF0"/>
    <w:rsid w:val="1F072441"/>
    <w:rsid w:val="1F221FC0"/>
    <w:rsid w:val="1F460C2C"/>
    <w:rsid w:val="1F6139F7"/>
    <w:rsid w:val="1F9C6A9E"/>
    <w:rsid w:val="1FA12306"/>
    <w:rsid w:val="1FC3227C"/>
    <w:rsid w:val="1FE16BA6"/>
    <w:rsid w:val="1FF95C9E"/>
    <w:rsid w:val="200A7EAB"/>
    <w:rsid w:val="203C5B8B"/>
    <w:rsid w:val="20511636"/>
    <w:rsid w:val="206E2BCA"/>
    <w:rsid w:val="20830256"/>
    <w:rsid w:val="20DD5505"/>
    <w:rsid w:val="20DF4E94"/>
    <w:rsid w:val="20E92EC4"/>
    <w:rsid w:val="21222FD3"/>
    <w:rsid w:val="21586264"/>
    <w:rsid w:val="216D06F2"/>
    <w:rsid w:val="21F506E7"/>
    <w:rsid w:val="22124DF5"/>
    <w:rsid w:val="222F3BF9"/>
    <w:rsid w:val="22963C78"/>
    <w:rsid w:val="22A068A5"/>
    <w:rsid w:val="22EF3388"/>
    <w:rsid w:val="232E2103"/>
    <w:rsid w:val="237A0EA4"/>
    <w:rsid w:val="2398757C"/>
    <w:rsid w:val="239E30F8"/>
    <w:rsid w:val="23EE25B8"/>
    <w:rsid w:val="240B3ACA"/>
    <w:rsid w:val="241237D2"/>
    <w:rsid w:val="242B219E"/>
    <w:rsid w:val="24455956"/>
    <w:rsid w:val="246102B6"/>
    <w:rsid w:val="24773635"/>
    <w:rsid w:val="24CA19B7"/>
    <w:rsid w:val="24CD76F9"/>
    <w:rsid w:val="25072C0B"/>
    <w:rsid w:val="250A44A9"/>
    <w:rsid w:val="251A0B90"/>
    <w:rsid w:val="254554E2"/>
    <w:rsid w:val="25496D80"/>
    <w:rsid w:val="25586430"/>
    <w:rsid w:val="255929F1"/>
    <w:rsid w:val="25641E0C"/>
    <w:rsid w:val="259A582D"/>
    <w:rsid w:val="25A14E0E"/>
    <w:rsid w:val="25BC39F6"/>
    <w:rsid w:val="25E22D30"/>
    <w:rsid w:val="2613738E"/>
    <w:rsid w:val="262B2929"/>
    <w:rsid w:val="26347A30"/>
    <w:rsid w:val="265E551A"/>
    <w:rsid w:val="267C3185"/>
    <w:rsid w:val="26BE19EF"/>
    <w:rsid w:val="26E36D60"/>
    <w:rsid w:val="27167136"/>
    <w:rsid w:val="273B094A"/>
    <w:rsid w:val="275814FC"/>
    <w:rsid w:val="28862099"/>
    <w:rsid w:val="28AF339E"/>
    <w:rsid w:val="28C80903"/>
    <w:rsid w:val="29453D02"/>
    <w:rsid w:val="296A3BA3"/>
    <w:rsid w:val="29C0782D"/>
    <w:rsid w:val="29C27803"/>
    <w:rsid w:val="29EE6148"/>
    <w:rsid w:val="2A3C3357"/>
    <w:rsid w:val="2A5C7555"/>
    <w:rsid w:val="2A5F2BA2"/>
    <w:rsid w:val="2A8D5961"/>
    <w:rsid w:val="2A900FAD"/>
    <w:rsid w:val="2A9F7442"/>
    <w:rsid w:val="2AF7727E"/>
    <w:rsid w:val="2B373B1E"/>
    <w:rsid w:val="2B6366C1"/>
    <w:rsid w:val="2B960845"/>
    <w:rsid w:val="2BB41D6A"/>
    <w:rsid w:val="2BDA4BD6"/>
    <w:rsid w:val="2BDB094E"/>
    <w:rsid w:val="2BE94E19"/>
    <w:rsid w:val="2BF35C97"/>
    <w:rsid w:val="2BFD6B16"/>
    <w:rsid w:val="2C273B93"/>
    <w:rsid w:val="2C4B162F"/>
    <w:rsid w:val="2CD94E8D"/>
    <w:rsid w:val="2D287BC3"/>
    <w:rsid w:val="2DBE22D5"/>
    <w:rsid w:val="2DC93154"/>
    <w:rsid w:val="2DF53F49"/>
    <w:rsid w:val="2E330409"/>
    <w:rsid w:val="2E50117F"/>
    <w:rsid w:val="2E5F13C2"/>
    <w:rsid w:val="2E6C1D31"/>
    <w:rsid w:val="2E905A1F"/>
    <w:rsid w:val="2EA4738B"/>
    <w:rsid w:val="2EA96AE1"/>
    <w:rsid w:val="2EC21951"/>
    <w:rsid w:val="2EF97D09"/>
    <w:rsid w:val="2F191EB9"/>
    <w:rsid w:val="2F287E07"/>
    <w:rsid w:val="2F34284F"/>
    <w:rsid w:val="2F61560E"/>
    <w:rsid w:val="2FB63264"/>
    <w:rsid w:val="2FD22068"/>
    <w:rsid w:val="308342C6"/>
    <w:rsid w:val="3092365B"/>
    <w:rsid w:val="30C85944"/>
    <w:rsid w:val="30CE0A81"/>
    <w:rsid w:val="30F32296"/>
    <w:rsid w:val="312B5ED3"/>
    <w:rsid w:val="31B5579D"/>
    <w:rsid w:val="31E542D4"/>
    <w:rsid w:val="322A1CE7"/>
    <w:rsid w:val="325F15B3"/>
    <w:rsid w:val="329830F5"/>
    <w:rsid w:val="32A45F3D"/>
    <w:rsid w:val="331D7A9E"/>
    <w:rsid w:val="33F46A50"/>
    <w:rsid w:val="341449FD"/>
    <w:rsid w:val="34DD74E5"/>
    <w:rsid w:val="34EE34A0"/>
    <w:rsid w:val="35F9034E"/>
    <w:rsid w:val="36B9188B"/>
    <w:rsid w:val="36DB5CA6"/>
    <w:rsid w:val="36EC3A0F"/>
    <w:rsid w:val="37092813"/>
    <w:rsid w:val="37164F30"/>
    <w:rsid w:val="371F5B92"/>
    <w:rsid w:val="374B6987"/>
    <w:rsid w:val="375241BA"/>
    <w:rsid w:val="378B76CC"/>
    <w:rsid w:val="37D83F93"/>
    <w:rsid w:val="385B52F0"/>
    <w:rsid w:val="38763ED8"/>
    <w:rsid w:val="38B22A36"/>
    <w:rsid w:val="38C2711D"/>
    <w:rsid w:val="38CD7870"/>
    <w:rsid w:val="39072D82"/>
    <w:rsid w:val="397C3770"/>
    <w:rsid w:val="39A16D33"/>
    <w:rsid w:val="39F8091D"/>
    <w:rsid w:val="39FF1CAB"/>
    <w:rsid w:val="3A080B60"/>
    <w:rsid w:val="3A1E0383"/>
    <w:rsid w:val="3A540249"/>
    <w:rsid w:val="3A772E7A"/>
    <w:rsid w:val="3A7C154E"/>
    <w:rsid w:val="3ADC3D9A"/>
    <w:rsid w:val="3AF35977"/>
    <w:rsid w:val="3B547DD5"/>
    <w:rsid w:val="3B5F50F7"/>
    <w:rsid w:val="3B862684"/>
    <w:rsid w:val="3B9D79CE"/>
    <w:rsid w:val="3BAA5C47"/>
    <w:rsid w:val="3C0161AE"/>
    <w:rsid w:val="3C123F18"/>
    <w:rsid w:val="3C1732DC"/>
    <w:rsid w:val="3C410359"/>
    <w:rsid w:val="3C4542ED"/>
    <w:rsid w:val="3EF06066"/>
    <w:rsid w:val="3EFA29A4"/>
    <w:rsid w:val="3F2301EA"/>
    <w:rsid w:val="3F473ED8"/>
    <w:rsid w:val="3F6B1EDC"/>
    <w:rsid w:val="405D7F36"/>
    <w:rsid w:val="40750F19"/>
    <w:rsid w:val="40F736DC"/>
    <w:rsid w:val="40FB5737"/>
    <w:rsid w:val="413859AA"/>
    <w:rsid w:val="41686388"/>
    <w:rsid w:val="416B7C26"/>
    <w:rsid w:val="41AA4BF2"/>
    <w:rsid w:val="41AA69A0"/>
    <w:rsid w:val="41AD44DA"/>
    <w:rsid w:val="41DA54D8"/>
    <w:rsid w:val="42690B45"/>
    <w:rsid w:val="431B5DA8"/>
    <w:rsid w:val="431C784C"/>
    <w:rsid w:val="436314FD"/>
    <w:rsid w:val="436D4129"/>
    <w:rsid w:val="43BB31A0"/>
    <w:rsid w:val="440E76BA"/>
    <w:rsid w:val="441D16AC"/>
    <w:rsid w:val="442962A2"/>
    <w:rsid w:val="44315157"/>
    <w:rsid w:val="44352E99"/>
    <w:rsid w:val="444514A2"/>
    <w:rsid w:val="44501A81"/>
    <w:rsid w:val="447C0AC8"/>
    <w:rsid w:val="448E07FB"/>
    <w:rsid w:val="44B87626"/>
    <w:rsid w:val="45034D45"/>
    <w:rsid w:val="450A60D4"/>
    <w:rsid w:val="454964D0"/>
    <w:rsid w:val="454F3AE7"/>
    <w:rsid w:val="455530C7"/>
    <w:rsid w:val="455C6204"/>
    <w:rsid w:val="456D21BF"/>
    <w:rsid w:val="45AF7A12"/>
    <w:rsid w:val="45CE5353"/>
    <w:rsid w:val="45EC7588"/>
    <w:rsid w:val="469B0FAE"/>
    <w:rsid w:val="46D87B0C"/>
    <w:rsid w:val="472471F5"/>
    <w:rsid w:val="474B4782"/>
    <w:rsid w:val="47705F96"/>
    <w:rsid w:val="47A872E3"/>
    <w:rsid w:val="47ED75E7"/>
    <w:rsid w:val="48117779"/>
    <w:rsid w:val="48F36E7F"/>
    <w:rsid w:val="48FF3A76"/>
    <w:rsid w:val="496F0BFB"/>
    <w:rsid w:val="49B04D70"/>
    <w:rsid w:val="49B26D3A"/>
    <w:rsid w:val="49DA3B9B"/>
    <w:rsid w:val="4A5B2F2E"/>
    <w:rsid w:val="4A6D4A0F"/>
    <w:rsid w:val="4AC26B09"/>
    <w:rsid w:val="4AD54A8E"/>
    <w:rsid w:val="4B2257F9"/>
    <w:rsid w:val="4B5856BF"/>
    <w:rsid w:val="4BBF129A"/>
    <w:rsid w:val="4BCD7E5B"/>
    <w:rsid w:val="4BD20FCE"/>
    <w:rsid w:val="4BFB49C8"/>
    <w:rsid w:val="4C013661"/>
    <w:rsid w:val="4C0A4C0B"/>
    <w:rsid w:val="4C465518"/>
    <w:rsid w:val="4C5440D8"/>
    <w:rsid w:val="4C765DFD"/>
    <w:rsid w:val="4C935807"/>
    <w:rsid w:val="4CCA439B"/>
    <w:rsid w:val="4D2B4E39"/>
    <w:rsid w:val="4D73058E"/>
    <w:rsid w:val="4E037B64"/>
    <w:rsid w:val="4E127DA7"/>
    <w:rsid w:val="4E257ADB"/>
    <w:rsid w:val="4EB40E5E"/>
    <w:rsid w:val="4ED96B17"/>
    <w:rsid w:val="4EE94FAC"/>
    <w:rsid w:val="4EFC63A0"/>
    <w:rsid w:val="4F1D2EA8"/>
    <w:rsid w:val="4F5148FF"/>
    <w:rsid w:val="4F5F526E"/>
    <w:rsid w:val="4FFC486B"/>
    <w:rsid w:val="4FFE6835"/>
    <w:rsid w:val="50096F88"/>
    <w:rsid w:val="502F4C40"/>
    <w:rsid w:val="50487AB0"/>
    <w:rsid w:val="506863A4"/>
    <w:rsid w:val="506F14E1"/>
    <w:rsid w:val="50AF5D81"/>
    <w:rsid w:val="50E7376D"/>
    <w:rsid w:val="512C1180"/>
    <w:rsid w:val="517F39A6"/>
    <w:rsid w:val="51870AAC"/>
    <w:rsid w:val="520E0886"/>
    <w:rsid w:val="52D548A2"/>
    <w:rsid w:val="52EF6909"/>
    <w:rsid w:val="53A5346C"/>
    <w:rsid w:val="53BD2563"/>
    <w:rsid w:val="53F8359B"/>
    <w:rsid w:val="5435659E"/>
    <w:rsid w:val="54482775"/>
    <w:rsid w:val="54492049"/>
    <w:rsid w:val="5452714F"/>
    <w:rsid w:val="545F73EB"/>
    <w:rsid w:val="54BA4CF5"/>
    <w:rsid w:val="54EB3100"/>
    <w:rsid w:val="54FC530D"/>
    <w:rsid w:val="55434CEA"/>
    <w:rsid w:val="55564A1D"/>
    <w:rsid w:val="559A4947"/>
    <w:rsid w:val="55C0458D"/>
    <w:rsid w:val="55F12998"/>
    <w:rsid w:val="56150744"/>
    <w:rsid w:val="56291A17"/>
    <w:rsid w:val="56424FA2"/>
    <w:rsid w:val="564C7BCE"/>
    <w:rsid w:val="566D0271"/>
    <w:rsid w:val="56941CA1"/>
    <w:rsid w:val="56955A19"/>
    <w:rsid w:val="56DF1904"/>
    <w:rsid w:val="571B5F1F"/>
    <w:rsid w:val="57601B83"/>
    <w:rsid w:val="57835872"/>
    <w:rsid w:val="57C55E8A"/>
    <w:rsid w:val="584A0ABE"/>
    <w:rsid w:val="59140E77"/>
    <w:rsid w:val="591470C9"/>
    <w:rsid w:val="592866D1"/>
    <w:rsid w:val="5976568E"/>
    <w:rsid w:val="59F36CDF"/>
    <w:rsid w:val="5A3A490E"/>
    <w:rsid w:val="5A407A4A"/>
    <w:rsid w:val="5A5359CF"/>
    <w:rsid w:val="5A6574B1"/>
    <w:rsid w:val="5A8C60FD"/>
    <w:rsid w:val="5ACE32A8"/>
    <w:rsid w:val="5B3F63EB"/>
    <w:rsid w:val="5BCB77E7"/>
    <w:rsid w:val="5BF3746A"/>
    <w:rsid w:val="5C133668"/>
    <w:rsid w:val="5C533A65"/>
    <w:rsid w:val="5C6E089F"/>
    <w:rsid w:val="5C6E6AF1"/>
    <w:rsid w:val="5CB52971"/>
    <w:rsid w:val="5CB564CD"/>
    <w:rsid w:val="5CBC70DB"/>
    <w:rsid w:val="5CD10E2D"/>
    <w:rsid w:val="5CDA12A8"/>
    <w:rsid w:val="5DBA1E87"/>
    <w:rsid w:val="5E0A0A9B"/>
    <w:rsid w:val="5E0A2849"/>
    <w:rsid w:val="5E1E6120"/>
    <w:rsid w:val="5E54464F"/>
    <w:rsid w:val="5E6F08FE"/>
    <w:rsid w:val="5E78638D"/>
    <w:rsid w:val="5E8C7702"/>
    <w:rsid w:val="5EBA426F"/>
    <w:rsid w:val="5F092B01"/>
    <w:rsid w:val="5F3538F6"/>
    <w:rsid w:val="5F434264"/>
    <w:rsid w:val="5F797C86"/>
    <w:rsid w:val="5FB54A36"/>
    <w:rsid w:val="607641C6"/>
    <w:rsid w:val="60DA29A7"/>
    <w:rsid w:val="60E8168A"/>
    <w:rsid w:val="60EC26DA"/>
    <w:rsid w:val="610712C2"/>
    <w:rsid w:val="610C4B2A"/>
    <w:rsid w:val="614147D4"/>
    <w:rsid w:val="61C243C9"/>
    <w:rsid w:val="61F21F72"/>
    <w:rsid w:val="620D2908"/>
    <w:rsid w:val="62377985"/>
    <w:rsid w:val="628A2D71"/>
    <w:rsid w:val="629152E7"/>
    <w:rsid w:val="62943029"/>
    <w:rsid w:val="62A019CE"/>
    <w:rsid w:val="62CA07F9"/>
    <w:rsid w:val="630A36B6"/>
    <w:rsid w:val="636C18B0"/>
    <w:rsid w:val="640F0BB9"/>
    <w:rsid w:val="64104931"/>
    <w:rsid w:val="643C1282"/>
    <w:rsid w:val="643C74D4"/>
    <w:rsid w:val="64616F3B"/>
    <w:rsid w:val="649317EA"/>
    <w:rsid w:val="64C03C61"/>
    <w:rsid w:val="64F733FB"/>
    <w:rsid w:val="6518584B"/>
    <w:rsid w:val="6546685C"/>
    <w:rsid w:val="65613696"/>
    <w:rsid w:val="65D75707"/>
    <w:rsid w:val="66081D64"/>
    <w:rsid w:val="66140709"/>
    <w:rsid w:val="666A3259"/>
    <w:rsid w:val="66723681"/>
    <w:rsid w:val="66A852F5"/>
    <w:rsid w:val="66C814F3"/>
    <w:rsid w:val="67003A74"/>
    <w:rsid w:val="67087B42"/>
    <w:rsid w:val="67363669"/>
    <w:rsid w:val="675D1C3B"/>
    <w:rsid w:val="676C00D0"/>
    <w:rsid w:val="67E934CF"/>
    <w:rsid w:val="68525518"/>
    <w:rsid w:val="68776D2D"/>
    <w:rsid w:val="688A4CB2"/>
    <w:rsid w:val="688B0A2A"/>
    <w:rsid w:val="68A13DAA"/>
    <w:rsid w:val="68B00491"/>
    <w:rsid w:val="692A0243"/>
    <w:rsid w:val="6951757E"/>
    <w:rsid w:val="69B12712"/>
    <w:rsid w:val="69BF098B"/>
    <w:rsid w:val="69CC4E56"/>
    <w:rsid w:val="69E20B1E"/>
    <w:rsid w:val="6A162576"/>
    <w:rsid w:val="6A202150"/>
    <w:rsid w:val="6A42336B"/>
    <w:rsid w:val="6A4D243B"/>
    <w:rsid w:val="6A9736B6"/>
    <w:rsid w:val="6AD761A9"/>
    <w:rsid w:val="6AE508C6"/>
    <w:rsid w:val="6B1747F7"/>
    <w:rsid w:val="6B1940CB"/>
    <w:rsid w:val="6B3528F1"/>
    <w:rsid w:val="6B4F5D3F"/>
    <w:rsid w:val="6B572E46"/>
    <w:rsid w:val="6B686E01"/>
    <w:rsid w:val="6BD34BC2"/>
    <w:rsid w:val="6BF54B38"/>
    <w:rsid w:val="6C0B610A"/>
    <w:rsid w:val="6C44786E"/>
    <w:rsid w:val="6C953CC0"/>
    <w:rsid w:val="6CA36342"/>
    <w:rsid w:val="6D543AE1"/>
    <w:rsid w:val="6D765805"/>
    <w:rsid w:val="6DC36570"/>
    <w:rsid w:val="6DCE3893"/>
    <w:rsid w:val="6E42780D"/>
    <w:rsid w:val="6E5B2C4D"/>
    <w:rsid w:val="6E900B48"/>
    <w:rsid w:val="6E916ACA"/>
    <w:rsid w:val="6EED1AF7"/>
    <w:rsid w:val="6EF56BFD"/>
    <w:rsid w:val="6F1B2B08"/>
    <w:rsid w:val="6F9E7295"/>
    <w:rsid w:val="6FF375E1"/>
    <w:rsid w:val="70293003"/>
    <w:rsid w:val="70716758"/>
    <w:rsid w:val="7075449A"/>
    <w:rsid w:val="707E792B"/>
    <w:rsid w:val="70934920"/>
    <w:rsid w:val="70C1323B"/>
    <w:rsid w:val="71306613"/>
    <w:rsid w:val="7141612A"/>
    <w:rsid w:val="7157594D"/>
    <w:rsid w:val="71641E18"/>
    <w:rsid w:val="72141A90"/>
    <w:rsid w:val="722F148A"/>
    <w:rsid w:val="7231619E"/>
    <w:rsid w:val="725D3437"/>
    <w:rsid w:val="73025CFD"/>
    <w:rsid w:val="7371736D"/>
    <w:rsid w:val="739C7F8F"/>
    <w:rsid w:val="73A155A6"/>
    <w:rsid w:val="73C66DBA"/>
    <w:rsid w:val="7400051E"/>
    <w:rsid w:val="743957DE"/>
    <w:rsid w:val="743B1D5F"/>
    <w:rsid w:val="745368A0"/>
    <w:rsid w:val="74842EFD"/>
    <w:rsid w:val="75540C92"/>
    <w:rsid w:val="7557416E"/>
    <w:rsid w:val="755A121D"/>
    <w:rsid w:val="758F1B5A"/>
    <w:rsid w:val="75B17106"/>
    <w:rsid w:val="75BE243F"/>
    <w:rsid w:val="75F714AD"/>
    <w:rsid w:val="75FE0A8D"/>
    <w:rsid w:val="761C7166"/>
    <w:rsid w:val="764D41DF"/>
    <w:rsid w:val="77356731"/>
    <w:rsid w:val="77E65C7D"/>
    <w:rsid w:val="77F55EC0"/>
    <w:rsid w:val="785250C1"/>
    <w:rsid w:val="78574485"/>
    <w:rsid w:val="786D2338"/>
    <w:rsid w:val="78C23FF4"/>
    <w:rsid w:val="794C5FB4"/>
    <w:rsid w:val="79752E15"/>
    <w:rsid w:val="79AD6A52"/>
    <w:rsid w:val="79D20267"/>
    <w:rsid w:val="79DF0BD6"/>
    <w:rsid w:val="7A0611D5"/>
    <w:rsid w:val="7A4C3137"/>
    <w:rsid w:val="7A827B79"/>
    <w:rsid w:val="7AC51B7A"/>
    <w:rsid w:val="7AED10D1"/>
    <w:rsid w:val="7B362A78"/>
    <w:rsid w:val="7B3665D4"/>
    <w:rsid w:val="7B735A7A"/>
    <w:rsid w:val="7B987878"/>
    <w:rsid w:val="7CC52305"/>
    <w:rsid w:val="7CD6006E"/>
    <w:rsid w:val="7D4551F4"/>
    <w:rsid w:val="7D6E64F9"/>
    <w:rsid w:val="7DAC7021"/>
    <w:rsid w:val="7E221091"/>
    <w:rsid w:val="7E8D0C00"/>
    <w:rsid w:val="7EC871EC"/>
    <w:rsid w:val="7EF0118F"/>
    <w:rsid w:val="7F271055"/>
    <w:rsid w:val="7F572FBC"/>
    <w:rsid w:val="7F637BB3"/>
    <w:rsid w:val="7F6A0F42"/>
    <w:rsid w:val="7FF8654D"/>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7"/>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rFonts w:ascii="宋体" w:hAnsi="宋体"/>
      <w:b/>
      <w:bCs/>
      <w:color w:val="000000"/>
      <w:sz w:val="72"/>
      <w:szCs w:val="20"/>
    </w:rPr>
  </w:style>
  <w:style w:type="paragraph" w:styleId="3">
    <w:name w:val="Body Text First Indent"/>
    <w:basedOn w:val="2"/>
    <w:next w:val="4"/>
    <w:qFormat/>
    <w:uiPriority w:val="0"/>
    <w:pPr>
      <w:ind w:firstLine="420" w:firstLineChars="100"/>
    </w:pPr>
  </w:style>
  <w:style w:type="paragraph" w:styleId="4">
    <w:name w:val="toc 6"/>
    <w:basedOn w:val="1"/>
    <w:next w:val="1"/>
    <w:semiHidden/>
    <w:qFormat/>
    <w:uiPriority w:val="0"/>
    <w:pPr>
      <w:ind w:left="2100" w:leftChars="1000"/>
    </w:pPr>
  </w:style>
  <w:style w:type="paragraph" w:styleId="7">
    <w:name w:val="Normal Indent"/>
    <w:basedOn w:val="1"/>
    <w:next w:val="8"/>
    <w:qFormat/>
    <w:uiPriority w:val="0"/>
    <w:pPr>
      <w:ind w:firstLine="420" w:firstLineChars="200"/>
    </w:pPr>
    <w:rPr>
      <w:sz w:val="28"/>
      <w:szCs w:val="20"/>
    </w:rPr>
  </w:style>
  <w:style w:type="paragraph" w:styleId="8">
    <w:name w:val="Body Text Indent"/>
    <w:basedOn w:val="1"/>
    <w:next w:val="7"/>
    <w:qFormat/>
    <w:uiPriority w:val="0"/>
    <w:pPr>
      <w:spacing w:line="460" w:lineRule="exact"/>
      <w:ind w:firstLine="482" w:firstLineChars="200"/>
    </w:pPr>
    <w:rPr>
      <w:b/>
      <w:bCs/>
      <w:sz w:val="24"/>
      <w:shd w:val="clear" w:color="auto" w:fill="CCCCCC"/>
    </w:rPr>
  </w:style>
  <w:style w:type="paragraph" w:styleId="10">
    <w:name w:val="annotation text"/>
    <w:basedOn w:val="1"/>
    <w:qFormat/>
    <w:uiPriority w:val="0"/>
    <w:pPr>
      <w:jc w:val="left"/>
    </w:pPr>
  </w:style>
  <w:style w:type="paragraph" w:styleId="11">
    <w:name w:val="List Continue"/>
    <w:basedOn w:val="1"/>
    <w:qFormat/>
    <w:uiPriority w:val="0"/>
    <w:pPr>
      <w:spacing w:after="120"/>
      <w:ind w:left="420"/>
    </w:pPr>
  </w:style>
  <w:style w:type="paragraph" w:styleId="12">
    <w:name w:val="toc 3"/>
    <w:basedOn w:val="1"/>
    <w:next w:val="1"/>
    <w:qFormat/>
    <w:uiPriority w:val="0"/>
    <w:pPr>
      <w:ind w:left="840" w:leftChars="400"/>
    </w:pPr>
  </w:style>
  <w:style w:type="paragraph" w:styleId="13">
    <w:name w:val="Plain Text"/>
    <w:basedOn w:val="1"/>
    <w:next w:val="1"/>
    <w:qFormat/>
    <w:uiPriority w:val="0"/>
    <w:rPr>
      <w:rFonts w:ascii="宋体" w:hAnsi="Courier New" w:cs="Courier New"/>
      <w:szCs w:val="21"/>
    </w:rPr>
  </w:style>
  <w:style w:type="paragraph" w:styleId="14">
    <w:name w:val="Body Text Indent 2"/>
    <w:basedOn w:val="1"/>
    <w:qFormat/>
    <w:uiPriority w:val="0"/>
    <w:pPr>
      <w:spacing w:line="360" w:lineRule="auto"/>
      <w:ind w:firstLine="480"/>
    </w:pPr>
    <w:rPr>
      <w:rFonts w:ascii="宋体" w:eastAsia="新宋体"/>
      <w:sz w:val="24"/>
      <w:szCs w:val="20"/>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line="460" w:lineRule="exact"/>
    </w:pPr>
    <w:rPr>
      <w:b/>
      <w:bCs/>
      <w:sz w:val="28"/>
      <w:szCs w:val="30"/>
    </w:rPr>
  </w:style>
  <w:style w:type="paragraph" w:styleId="18">
    <w:name w:val="List"/>
    <w:basedOn w:val="1"/>
    <w:qFormat/>
    <w:uiPriority w:val="0"/>
    <w:pPr>
      <w:snapToGrid w:val="0"/>
      <w:spacing w:line="360" w:lineRule="auto"/>
      <w:ind w:firstLine="420" w:firstLineChars="200"/>
      <w:jc w:val="left"/>
    </w:pPr>
    <w:rPr>
      <w:color w:val="000000"/>
    </w:rPr>
  </w:style>
  <w:style w:type="paragraph" w:styleId="19">
    <w:name w:val="toc 2"/>
    <w:basedOn w:val="1"/>
    <w:next w:val="1"/>
    <w:qFormat/>
    <w:uiPriority w:val="39"/>
    <w:pPr>
      <w:spacing w:line="400" w:lineRule="exact"/>
      <w:ind w:left="200" w:leftChars="200"/>
    </w:pPr>
    <w:rPr>
      <w:sz w:val="24"/>
    </w:rPr>
  </w:style>
  <w:style w:type="paragraph" w:styleId="20">
    <w:name w:val="Normal (Web)"/>
    <w:basedOn w:val="1"/>
    <w:qFormat/>
    <w:uiPriority w:val="0"/>
    <w:rPr>
      <w:sz w:val="24"/>
    </w:rPr>
  </w:style>
  <w:style w:type="paragraph" w:styleId="21">
    <w:name w:val="Body Text First Indent 2"/>
    <w:basedOn w:val="8"/>
    <w:next w:val="1"/>
    <w:qFormat/>
    <w:uiPriority w:val="0"/>
    <w:pPr>
      <w:spacing w:after="120" w:line="240" w:lineRule="auto"/>
      <w:ind w:left="420" w:leftChars="200" w:firstLine="420"/>
    </w:pPr>
    <w:rPr>
      <w:rFonts w:cs="宋体"/>
      <w:sz w:val="21"/>
      <w:szCs w:val="21"/>
    </w:rPr>
  </w:style>
  <w:style w:type="character" w:styleId="24">
    <w:name w:val="annotation reference"/>
    <w:basedOn w:val="23"/>
    <w:qFormat/>
    <w:uiPriority w:val="0"/>
    <w:rPr>
      <w:sz w:val="21"/>
      <w:szCs w:val="21"/>
    </w:rPr>
  </w:style>
  <w:style w:type="paragraph" w:customStyle="1" w:styleId="25">
    <w:name w:val="首行缩进"/>
    <w:basedOn w:val="1"/>
    <w:next w:val="11"/>
    <w:qFormat/>
    <w:uiPriority w:val="0"/>
    <w:pPr>
      <w:spacing w:line="360" w:lineRule="auto"/>
      <w:ind w:firstLine="480" w:firstLineChars="200"/>
    </w:pPr>
    <w:rPr>
      <w:sz w:val="24"/>
      <w:lang w:val="zh-CN"/>
    </w:rPr>
  </w:style>
  <w:style w:type="paragraph" w:customStyle="1" w:styleId="26">
    <w:name w:val="标题 5（有编号）（绿盟科技）"/>
    <w:basedOn w:val="1"/>
    <w:next w:val="27"/>
    <w:qFormat/>
    <w:uiPriority w:val="99"/>
    <w:pPr>
      <w:keepNext/>
      <w:keepLines/>
      <w:spacing w:before="280" w:after="156" w:line="377" w:lineRule="auto"/>
      <w:outlineLvl w:val="4"/>
    </w:pPr>
    <w:rPr>
      <w:rFonts w:ascii="Arial" w:hAnsi="Arial" w:eastAsia="黑体" w:cs="Arial"/>
      <w:b/>
      <w:bCs/>
      <w:sz w:val="24"/>
    </w:rPr>
  </w:style>
  <w:style w:type="paragraph" w:customStyle="1" w:styleId="27">
    <w:name w:val="正文（绿盟科技）"/>
    <w:qFormat/>
    <w:uiPriority w:val="99"/>
    <w:pPr>
      <w:spacing w:line="300" w:lineRule="auto"/>
    </w:pPr>
    <w:rPr>
      <w:rFonts w:ascii="Arial" w:hAnsi="Arial" w:eastAsia="宋体" w:cs="Arial"/>
      <w:sz w:val="21"/>
      <w:szCs w:val="21"/>
      <w:lang w:val="en-US" w:eastAsia="zh-CN" w:bidi="ar-SA"/>
    </w:rPr>
  </w:style>
  <w:style w:type="paragraph" w:customStyle="1" w:styleId="28">
    <w:name w:val="a首行缩进 2 字符"/>
    <w:basedOn w:val="1"/>
    <w:next w:val="1"/>
    <w:qFormat/>
    <w:uiPriority w:val="0"/>
    <w:pPr>
      <w:tabs>
        <w:tab w:val="left" w:pos="900"/>
        <w:tab w:val="left" w:pos="1080"/>
        <w:tab w:val="left" w:pos="1260"/>
      </w:tabs>
      <w:spacing w:line="360" w:lineRule="auto"/>
      <w:ind w:firstLine="560" w:firstLineChars="200"/>
      <w:jc w:val="left"/>
    </w:pPr>
    <w:rPr>
      <w:sz w:val="28"/>
      <w:szCs w:val="28"/>
    </w:rPr>
  </w:style>
  <w:style w:type="paragraph" w:customStyle="1" w:styleId="29">
    <w:name w:val="普通(网站) Char"/>
    <w:basedOn w:val="1"/>
    <w:qFormat/>
    <w:uiPriority w:val="0"/>
    <w:pPr>
      <w:widowControl/>
      <w:spacing w:beforeAutospacing="1" w:afterAutospacing="1"/>
      <w:jc w:val="left"/>
    </w:pPr>
    <w:rPr>
      <w:rFonts w:hint="eastAsia" w:ascii="宋体" w:hAnsi="宋体"/>
      <w:kern w:val="0"/>
      <w:sz w:val="24"/>
    </w:rPr>
  </w:style>
  <w:style w:type="paragraph" w:styleId="3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32827</Words>
  <Characters>36137</Characters>
  <Lines>284</Lines>
  <Paragraphs>80</Paragraphs>
  <TotalTime>153</TotalTime>
  <ScaleCrop>false</ScaleCrop>
  <LinksUpToDate>false</LinksUpToDate>
  <CharactersWithSpaces>38945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2022-07-20T13:35:00Z</dcterms:created>
  <dc:creator>Jairo</dc:creator>
  <cp:lastModifiedBy>我黑怪我咯～</cp:lastModifiedBy>
  <cp:lastPrinted>2022-10-31T13:53:00Z</cp:lastPrinted>
  <dcterms:modified xsi:type="dcterms:W3CDTF">2022-11-01T11:24:13Z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D59A8484ACEF4682920F0A7654D4ECD1</vt:lpwstr>
  </property>
</Properties>
</file>