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spacing w:line="840" w:lineRule="exact"/>
        <w:jc w:val="center"/>
        <w:outlineLvl w:val="0"/>
        <w:rPr>
          <w:rFonts w:hint="eastAsia" w:ascii="新宋体" w:hAnsi="新宋体" w:eastAsia="新宋体"/>
          <w:b/>
          <w:bCs/>
          <w:sz w:val="52"/>
          <w:lang w:eastAsia="zh-CN"/>
        </w:rPr>
      </w:pPr>
    </w:p>
    <w:p>
      <w:pPr>
        <w:pStyle w:val="26"/>
        <w:spacing w:line="840" w:lineRule="exact"/>
        <w:jc w:val="center"/>
        <w:outlineLvl w:val="0"/>
        <w:rPr>
          <w:rFonts w:ascii="新宋体" w:hAnsi="新宋体" w:eastAsia="新宋体"/>
          <w:b/>
          <w:bCs/>
          <w:sz w:val="52"/>
        </w:rPr>
      </w:pPr>
    </w:p>
    <w:p>
      <w:pPr>
        <w:spacing w:beforeLines="50"/>
        <w:jc w:val="center"/>
        <w:rPr>
          <w:rFonts w:hint="eastAsia" w:ascii="新宋体" w:hAnsi="新宋体" w:eastAsia="新宋体"/>
          <w:b/>
          <w:sz w:val="48"/>
          <w:szCs w:val="48"/>
          <w:lang w:eastAsia="zh-CN"/>
        </w:rPr>
      </w:pPr>
      <w:r>
        <w:rPr>
          <w:rFonts w:hint="eastAsia" w:ascii="新宋体" w:hAnsi="新宋体" w:eastAsia="新宋体"/>
          <w:b/>
          <w:sz w:val="48"/>
          <w:szCs w:val="48"/>
          <w:lang w:eastAsia="zh-CN"/>
        </w:rPr>
        <w:t>义乌市教育研修院</w:t>
      </w:r>
    </w:p>
    <w:p>
      <w:pPr>
        <w:spacing w:beforeLines="50"/>
        <w:jc w:val="center"/>
        <w:rPr>
          <w:rFonts w:ascii="新宋体" w:hAnsi="新宋体" w:eastAsia="新宋体"/>
          <w:b/>
          <w:sz w:val="48"/>
          <w:szCs w:val="48"/>
          <w:u w:val="single"/>
        </w:rPr>
      </w:pPr>
      <w:r>
        <w:rPr>
          <w:rFonts w:hint="eastAsia" w:ascii="新宋体" w:hAnsi="新宋体" w:eastAsia="新宋体"/>
          <w:b/>
          <w:sz w:val="48"/>
          <w:szCs w:val="48"/>
          <w:lang w:eastAsia="zh-CN"/>
        </w:rPr>
        <w:t>多媒体触控一体机</w:t>
      </w:r>
      <w:r>
        <w:rPr>
          <w:rFonts w:hint="eastAsia" w:ascii="新宋体" w:hAnsi="新宋体" w:eastAsia="新宋体"/>
          <w:b/>
          <w:sz w:val="48"/>
          <w:szCs w:val="48"/>
        </w:rPr>
        <w:t>采购项目</w:t>
      </w:r>
    </w:p>
    <w:p>
      <w:pPr>
        <w:spacing w:line="360" w:lineRule="auto"/>
        <w:ind w:firstLine="964" w:firstLineChars="200"/>
        <w:jc w:val="center"/>
        <w:rPr>
          <w:rFonts w:ascii="新宋体" w:hAnsi="新宋体" w:eastAsia="新宋体"/>
          <w:b/>
          <w:sz w:val="48"/>
          <w:szCs w:val="48"/>
        </w:rPr>
      </w:pPr>
    </w:p>
    <w:p>
      <w:pPr>
        <w:spacing w:line="360" w:lineRule="auto"/>
        <w:ind w:firstLine="964" w:firstLineChars="200"/>
        <w:jc w:val="center"/>
        <w:rPr>
          <w:rFonts w:ascii="新宋体" w:hAnsi="新宋体" w:eastAsia="新宋体"/>
          <w:b/>
          <w:sz w:val="48"/>
          <w:szCs w:val="48"/>
        </w:rPr>
      </w:pPr>
    </w:p>
    <w:p>
      <w:pPr>
        <w:spacing w:line="360" w:lineRule="auto"/>
        <w:jc w:val="center"/>
        <w:rPr>
          <w:rFonts w:ascii="新宋体" w:hAnsi="新宋体" w:eastAsia="新宋体"/>
          <w:sz w:val="84"/>
          <w:szCs w:val="84"/>
        </w:rPr>
      </w:pPr>
      <w:r>
        <w:rPr>
          <w:rFonts w:hint="eastAsia" w:ascii="新宋体" w:hAnsi="新宋体" w:eastAsia="新宋体"/>
          <w:sz w:val="84"/>
          <w:szCs w:val="84"/>
        </w:rPr>
        <w:t>招标文件</w:t>
      </w:r>
    </w:p>
    <w:p>
      <w:pPr>
        <w:spacing w:line="360" w:lineRule="auto"/>
        <w:ind w:firstLine="1440" w:firstLineChars="200"/>
        <w:jc w:val="center"/>
        <w:rPr>
          <w:rFonts w:ascii="新宋体" w:hAnsi="新宋体" w:eastAsia="新宋体"/>
          <w:sz w:val="72"/>
          <w:szCs w:val="72"/>
        </w:rPr>
      </w:pPr>
    </w:p>
    <w:p>
      <w:pPr>
        <w:spacing w:line="360" w:lineRule="auto"/>
        <w:ind w:firstLine="1440" w:firstLineChars="200"/>
        <w:jc w:val="center"/>
        <w:rPr>
          <w:rFonts w:ascii="新宋体" w:hAnsi="新宋体" w:eastAsia="新宋体"/>
          <w:sz w:val="72"/>
          <w:szCs w:val="72"/>
        </w:rPr>
      </w:pPr>
    </w:p>
    <w:p>
      <w:pPr>
        <w:pStyle w:val="26"/>
        <w:snapToGrid w:val="0"/>
        <w:spacing w:before="120" w:after="120" w:line="360" w:lineRule="auto"/>
        <w:jc w:val="center"/>
        <w:rPr>
          <w:rFonts w:hint="eastAsia" w:ascii="新宋体" w:hAnsi="新宋体" w:eastAsia="新宋体"/>
          <w:b/>
          <w:bCs/>
          <w:sz w:val="32"/>
          <w:szCs w:val="32"/>
          <w:lang w:eastAsia="zh-CN"/>
        </w:rPr>
      </w:pPr>
      <w:r>
        <w:rPr>
          <w:rFonts w:hint="eastAsia" w:ascii="新宋体" w:hAnsi="新宋体" w:eastAsia="新宋体"/>
          <w:b/>
          <w:bCs/>
          <w:sz w:val="32"/>
          <w:szCs w:val="32"/>
        </w:rPr>
        <w:t>采购</w:t>
      </w:r>
      <w:r>
        <w:rPr>
          <w:rFonts w:ascii="新宋体" w:hAnsi="新宋体" w:eastAsia="新宋体"/>
          <w:b/>
          <w:bCs/>
          <w:sz w:val="32"/>
          <w:szCs w:val="32"/>
        </w:rPr>
        <w:t>编号：</w:t>
      </w:r>
      <w:r>
        <w:rPr>
          <w:rFonts w:hint="eastAsia" w:ascii="新宋体" w:hAnsi="新宋体" w:eastAsia="新宋体"/>
          <w:b/>
          <w:bCs/>
          <w:sz w:val="32"/>
          <w:szCs w:val="32"/>
          <w:lang w:eastAsia="zh-CN"/>
        </w:rPr>
        <w:t>YWCG2024013GK</w:t>
      </w:r>
    </w:p>
    <w:p>
      <w:pPr>
        <w:snapToGrid w:val="0"/>
        <w:spacing w:line="360" w:lineRule="auto"/>
        <w:ind w:firstLine="600" w:firstLineChars="200"/>
        <w:rPr>
          <w:rFonts w:ascii="新宋体" w:hAnsi="新宋体" w:eastAsia="新宋体"/>
          <w:sz w:val="30"/>
          <w:szCs w:val="72"/>
        </w:rPr>
      </w:pPr>
    </w:p>
    <w:p>
      <w:pPr>
        <w:snapToGrid w:val="0"/>
        <w:spacing w:line="360" w:lineRule="auto"/>
        <w:ind w:firstLine="600" w:firstLineChars="200"/>
        <w:rPr>
          <w:rFonts w:ascii="新宋体" w:hAnsi="新宋体" w:eastAsia="新宋体"/>
          <w:sz w:val="30"/>
          <w:szCs w:val="72"/>
        </w:rPr>
      </w:pPr>
    </w:p>
    <w:p>
      <w:pPr>
        <w:pStyle w:val="26"/>
        <w:snapToGrid w:val="0"/>
        <w:spacing w:before="120" w:after="120" w:line="360" w:lineRule="auto"/>
        <w:rPr>
          <w:rFonts w:ascii="新宋体" w:hAnsi="新宋体" w:eastAsia="新宋体"/>
          <w:sz w:val="30"/>
          <w:szCs w:val="72"/>
        </w:rPr>
      </w:pPr>
    </w:p>
    <w:p>
      <w:pPr>
        <w:pStyle w:val="26"/>
        <w:jc w:val="center"/>
        <w:rPr>
          <w:rFonts w:hint="eastAsia" w:ascii="新宋体" w:hAnsi="新宋体" w:eastAsia="新宋体"/>
          <w:b/>
          <w:bCs/>
          <w:w w:val="95"/>
          <w:sz w:val="32"/>
          <w:szCs w:val="32"/>
          <w:lang w:eastAsia="zh-CN"/>
        </w:rPr>
      </w:pPr>
      <w:r>
        <w:rPr>
          <w:rFonts w:hint="eastAsia" w:ascii="新宋体" w:hAnsi="新宋体" w:eastAsia="新宋体"/>
          <w:b/>
          <w:bCs/>
          <w:w w:val="95"/>
          <w:sz w:val="32"/>
          <w:szCs w:val="32"/>
        </w:rPr>
        <w:t>采   购</w:t>
      </w:r>
      <w:r>
        <w:rPr>
          <w:rFonts w:ascii="新宋体" w:hAnsi="新宋体" w:eastAsia="新宋体"/>
          <w:b/>
          <w:bCs/>
          <w:w w:val="95"/>
          <w:sz w:val="32"/>
          <w:szCs w:val="32"/>
        </w:rPr>
        <w:t>　 人：</w:t>
      </w:r>
      <w:r>
        <w:rPr>
          <w:rFonts w:hint="eastAsia" w:ascii="新宋体" w:hAnsi="新宋体" w:eastAsia="新宋体"/>
          <w:b/>
          <w:sz w:val="32"/>
          <w:szCs w:val="32"/>
          <w:u w:val="single"/>
          <w:lang w:eastAsia="zh-CN"/>
        </w:rPr>
        <w:t>义乌市教育研修院</w:t>
      </w:r>
    </w:p>
    <w:p>
      <w:pPr>
        <w:pStyle w:val="26"/>
        <w:jc w:val="center"/>
        <w:rPr>
          <w:rFonts w:ascii="新宋体" w:hAnsi="新宋体" w:eastAsia="新宋体"/>
          <w:b/>
          <w:sz w:val="32"/>
          <w:szCs w:val="32"/>
        </w:rPr>
      </w:pPr>
      <w:r>
        <w:rPr>
          <w:rFonts w:hint="eastAsia" w:ascii="新宋体" w:hAnsi="新宋体" w:eastAsia="新宋体"/>
          <w:b/>
          <w:bCs/>
          <w:w w:val="95"/>
          <w:sz w:val="32"/>
          <w:szCs w:val="32"/>
        </w:rPr>
        <w:t>采购</w:t>
      </w:r>
      <w:r>
        <w:rPr>
          <w:rFonts w:ascii="新宋体" w:hAnsi="新宋体" w:eastAsia="新宋体"/>
          <w:b/>
          <w:bCs/>
          <w:w w:val="95"/>
          <w:sz w:val="32"/>
          <w:szCs w:val="32"/>
        </w:rPr>
        <w:t>代理机构：</w:t>
      </w:r>
      <w:r>
        <w:rPr>
          <w:rFonts w:hint="eastAsia" w:ascii="新宋体" w:hAnsi="新宋体" w:eastAsia="新宋体"/>
          <w:b/>
          <w:sz w:val="32"/>
          <w:szCs w:val="32"/>
          <w:u w:val="single"/>
        </w:rPr>
        <w:t>义乌市政府采购中心</w:t>
      </w:r>
    </w:p>
    <w:p>
      <w:pPr>
        <w:pStyle w:val="26"/>
        <w:snapToGrid w:val="0"/>
        <w:spacing w:before="120" w:after="120" w:line="360" w:lineRule="auto"/>
        <w:jc w:val="center"/>
        <w:rPr>
          <w:rFonts w:hint="eastAsia" w:ascii="新宋体" w:hAnsi="新宋体" w:eastAsia="新宋体"/>
          <w:b/>
          <w:sz w:val="32"/>
          <w:szCs w:val="32"/>
          <w:lang w:eastAsia="zh-CN"/>
        </w:rPr>
      </w:pPr>
      <w:r>
        <w:rPr>
          <w:rFonts w:ascii="新宋体" w:hAnsi="新宋体" w:eastAsia="新宋体"/>
          <w:b/>
          <w:sz w:val="32"/>
          <w:szCs w:val="32"/>
        </w:rPr>
        <w:t>日　　　 期：</w:t>
      </w:r>
      <w:r>
        <w:rPr>
          <w:rFonts w:hint="eastAsia" w:ascii="新宋体" w:hAnsi="新宋体" w:eastAsia="新宋体"/>
          <w:b/>
          <w:sz w:val="32"/>
          <w:szCs w:val="32"/>
          <w:u w:val="single"/>
          <w:lang w:eastAsia="zh-CN"/>
        </w:rPr>
        <w:t>2024年0</w:t>
      </w:r>
      <w:r>
        <w:rPr>
          <w:rFonts w:hint="eastAsia" w:ascii="新宋体" w:hAnsi="新宋体" w:eastAsia="新宋体"/>
          <w:b/>
          <w:sz w:val="32"/>
          <w:szCs w:val="32"/>
          <w:u w:val="single"/>
          <w:lang w:val="en-US" w:eastAsia="zh-CN"/>
        </w:rPr>
        <w:t>5</w:t>
      </w:r>
      <w:r>
        <w:rPr>
          <w:rFonts w:hint="eastAsia" w:ascii="新宋体" w:hAnsi="新宋体" w:eastAsia="新宋体"/>
          <w:b/>
          <w:sz w:val="32"/>
          <w:szCs w:val="32"/>
          <w:u w:val="single"/>
          <w:lang w:eastAsia="zh-CN"/>
        </w:rPr>
        <w:t>月</w:t>
      </w:r>
      <w:r>
        <w:rPr>
          <w:rFonts w:hint="eastAsia" w:ascii="新宋体" w:hAnsi="新宋体" w:eastAsia="新宋体"/>
          <w:b/>
          <w:sz w:val="32"/>
          <w:szCs w:val="32"/>
          <w:u w:val="single"/>
          <w:lang w:val="en-US" w:eastAsia="zh-CN"/>
        </w:rPr>
        <w:t>1</w:t>
      </w:r>
      <w:r>
        <w:rPr>
          <w:rFonts w:hint="eastAsia" w:ascii="新宋体" w:hAnsi="新宋体" w:eastAsia="新宋体"/>
          <w:b/>
          <w:sz w:val="32"/>
          <w:szCs w:val="32"/>
          <w:u w:val="single"/>
          <w:lang w:eastAsia="zh-CN"/>
        </w:rPr>
        <w:t>5日</w:t>
      </w:r>
    </w:p>
    <w:p>
      <w:pPr>
        <w:pStyle w:val="26"/>
        <w:spacing w:before="120" w:after="120" w:line="360" w:lineRule="auto"/>
        <w:ind w:firstLine="420" w:firstLineChars="200"/>
        <w:jc w:val="center"/>
        <w:rPr>
          <w:rFonts w:ascii="新宋体" w:hAnsi="新宋体" w:eastAsia="新宋体"/>
          <w:b/>
          <w:sz w:val="44"/>
          <w:szCs w:val="44"/>
        </w:rPr>
      </w:pPr>
      <w:r>
        <w:rPr>
          <w:rFonts w:ascii="新宋体" w:hAnsi="新宋体" w:eastAsia="新宋体"/>
        </w:rPr>
        <w:br w:type="page"/>
      </w:r>
      <w:r>
        <w:rPr>
          <w:rFonts w:ascii="新宋体" w:hAnsi="新宋体" w:eastAsia="新宋体"/>
          <w:b/>
          <w:sz w:val="44"/>
          <w:szCs w:val="44"/>
        </w:rPr>
        <w:t>招标文件目录</w:t>
      </w:r>
    </w:p>
    <w:p>
      <w:pPr>
        <w:pStyle w:val="34"/>
        <w:tabs>
          <w:tab w:val="right" w:leader="dot" w:pos="9354"/>
          <w:tab w:val="clear" w:pos="9344"/>
        </w:tabs>
      </w:pPr>
      <w:r>
        <w:rPr>
          <w:rFonts w:ascii="新宋体" w:hAnsi="新宋体" w:eastAsia="新宋体"/>
          <w:color w:val="auto"/>
          <w:sz w:val="24"/>
        </w:rPr>
        <w:fldChar w:fldCharType="begin"/>
      </w:r>
      <w:r>
        <w:rPr>
          <w:rFonts w:ascii="新宋体" w:hAnsi="新宋体" w:eastAsia="新宋体"/>
          <w:color w:val="auto"/>
          <w:sz w:val="24"/>
        </w:rPr>
        <w:instrText xml:space="preserve"> TOC \o "1-3" \h \z \u </w:instrText>
      </w:r>
      <w:r>
        <w:rPr>
          <w:rFonts w:ascii="新宋体" w:hAnsi="新宋体" w:eastAsia="新宋体"/>
          <w:color w:val="auto"/>
          <w:sz w:val="24"/>
        </w:rPr>
        <w:fldChar w:fldCharType="separate"/>
      </w:r>
      <w:r>
        <w:fldChar w:fldCharType="begin"/>
      </w:r>
      <w:r>
        <w:instrText xml:space="preserve"> HYPERLINK \l "_Toc347" </w:instrText>
      </w:r>
      <w:r>
        <w:fldChar w:fldCharType="separate"/>
      </w:r>
      <w:r>
        <w:rPr>
          <w:rFonts w:hint="eastAsia" w:ascii="新宋体" w:hAnsi="新宋体" w:eastAsia="新宋体"/>
          <w:szCs w:val="36"/>
        </w:rPr>
        <w:t>第一章 采购公告</w:t>
      </w:r>
      <w:r>
        <w:tab/>
      </w:r>
      <w:r>
        <w:fldChar w:fldCharType="begin"/>
      </w:r>
      <w:r>
        <w:instrText xml:space="preserve"> PAGEREF _Toc347 \h </w:instrText>
      </w:r>
      <w:r>
        <w:fldChar w:fldCharType="separate"/>
      </w:r>
      <w:r>
        <w:t>2</w:t>
      </w:r>
      <w:r>
        <w:fldChar w:fldCharType="end"/>
      </w:r>
      <w:r>
        <w:fldChar w:fldCharType="end"/>
      </w:r>
    </w:p>
    <w:p>
      <w:pPr>
        <w:pStyle w:val="34"/>
        <w:tabs>
          <w:tab w:val="right" w:leader="dot" w:pos="9354"/>
          <w:tab w:val="clear" w:pos="9344"/>
        </w:tabs>
      </w:pPr>
      <w:r>
        <w:fldChar w:fldCharType="begin"/>
      </w:r>
      <w:r>
        <w:instrText xml:space="preserve"> HYPERLINK \l "_Toc9521" </w:instrText>
      </w:r>
      <w:r>
        <w:fldChar w:fldCharType="separate"/>
      </w:r>
      <w:r>
        <w:rPr>
          <w:rFonts w:hint="eastAsia" w:ascii="新宋体" w:hAnsi="新宋体" w:eastAsia="新宋体" w:cs="新宋体"/>
          <w:szCs w:val="36"/>
        </w:rPr>
        <w:t>第二章 投标须知前附表和投标须知</w:t>
      </w:r>
      <w:r>
        <w:tab/>
      </w:r>
      <w:r>
        <w:fldChar w:fldCharType="begin"/>
      </w:r>
      <w:r>
        <w:instrText xml:space="preserve"> PAGEREF _Toc9521 \h </w:instrText>
      </w:r>
      <w:r>
        <w:fldChar w:fldCharType="separate"/>
      </w:r>
      <w:r>
        <w:t>6</w:t>
      </w:r>
      <w:r>
        <w:fldChar w:fldCharType="end"/>
      </w:r>
      <w:r>
        <w:fldChar w:fldCharType="end"/>
      </w:r>
    </w:p>
    <w:p>
      <w:pPr>
        <w:pStyle w:val="34"/>
        <w:tabs>
          <w:tab w:val="right" w:leader="dot" w:pos="9354"/>
          <w:tab w:val="clear" w:pos="9344"/>
        </w:tabs>
      </w:pPr>
      <w:r>
        <w:fldChar w:fldCharType="begin"/>
      </w:r>
      <w:r>
        <w:instrText xml:space="preserve"> HYPERLINK \l "_Toc10273" </w:instrText>
      </w:r>
      <w:r>
        <w:fldChar w:fldCharType="separate"/>
      </w:r>
      <w:r>
        <w:rPr>
          <w:rFonts w:hint="eastAsia" w:ascii="新宋体" w:hAnsi="新宋体" w:eastAsia="新宋体"/>
          <w:szCs w:val="36"/>
        </w:rPr>
        <w:t>第三章 招标项目要求</w:t>
      </w:r>
      <w:r>
        <w:tab/>
      </w:r>
      <w:r>
        <w:fldChar w:fldCharType="begin"/>
      </w:r>
      <w:r>
        <w:instrText xml:space="preserve"> PAGEREF _Toc10273 \h </w:instrText>
      </w:r>
      <w:r>
        <w:fldChar w:fldCharType="separate"/>
      </w:r>
      <w:r>
        <w:t>17</w:t>
      </w:r>
      <w:r>
        <w:fldChar w:fldCharType="end"/>
      </w:r>
      <w:r>
        <w:fldChar w:fldCharType="end"/>
      </w:r>
    </w:p>
    <w:p>
      <w:pPr>
        <w:pStyle w:val="34"/>
      </w:pPr>
      <w:r>
        <w:fldChar w:fldCharType="begin"/>
      </w:r>
      <w:r>
        <w:instrText xml:space="preserve"> HYPERLINK \l "_Toc30887" </w:instrText>
      </w:r>
      <w:r>
        <w:fldChar w:fldCharType="separate"/>
      </w:r>
      <w:r>
        <w:rPr>
          <w:rFonts w:hint="eastAsia" w:ascii="新宋体" w:hAnsi="新宋体" w:eastAsia="新宋体" w:cs="新宋体"/>
          <w:szCs w:val="36"/>
        </w:rPr>
        <w:t>第四章 开标、评标和定标须知</w:t>
      </w:r>
      <w:r>
        <w:tab/>
      </w:r>
      <w:r>
        <w:fldChar w:fldCharType="begin"/>
      </w:r>
      <w:r>
        <w:instrText xml:space="preserve"> PAGEREF _Toc30887 \h </w:instrText>
      </w:r>
      <w:r>
        <w:fldChar w:fldCharType="separate"/>
      </w:r>
      <w:r>
        <w:t>17</w:t>
      </w:r>
      <w:r>
        <w:fldChar w:fldCharType="end"/>
      </w:r>
      <w:r>
        <w:fldChar w:fldCharType="end"/>
      </w:r>
    </w:p>
    <w:p>
      <w:pPr>
        <w:pStyle w:val="34"/>
        <w:tabs>
          <w:tab w:val="right" w:leader="dot" w:pos="9354"/>
          <w:tab w:val="clear" w:pos="9344"/>
        </w:tabs>
      </w:pPr>
      <w:r>
        <w:fldChar w:fldCharType="begin"/>
      </w:r>
      <w:r>
        <w:instrText xml:space="preserve"> HYPERLINK \l "_Toc19638" </w:instrText>
      </w:r>
      <w:r>
        <w:fldChar w:fldCharType="separate"/>
      </w:r>
      <w:r>
        <w:rPr>
          <w:rFonts w:hint="eastAsia" w:ascii="新宋体" w:hAnsi="新宋体" w:eastAsia="新宋体"/>
          <w:szCs w:val="36"/>
        </w:rPr>
        <w:t>第五章 投标文件的无效情形</w:t>
      </w:r>
      <w:r>
        <w:tab/>
      </w:r>
      <w:r>
        <w:fldChar w:fldCharType="begin"/>
      </w:r>
      <w:r>
        <w:instrText xml:space="preserve"> PAGEREF _Toc19638 \h </w:instrText>
      </w:r>
      <w:r>
        <w:fldChar w:fldCharType="separate"/>
      </w:r>
      <w:r>
        <w:t>28</w:t>
      </w:r>
      <w:r>
        <w:fldChar w:fldCharType="end"/>
      </w:r>
      <w:r>
        <w:fldChar w:fldCharType="end"/>
      </w:r>
    </w:p>
    <w:p>
      <w:pPr>
        <w:pStyle w:val="34"/>
        <w:tabs>
          <w:tab w:val="right" w:leader="dot" w:pos="9354"/>
          <w:tab w:val="clear" w:pos="9344"/>
        </w:tabs>
      </w:pPr>
      <w:r>
        <w:fldChar w:fldCharType="begin"/>
      </w:r>
      <w:r>
        <w:instrText xml:space="preserve"> HYPERLINK \l "_Toc1718" </w:instrText>
      </w:r>
      <w:r>
        <w:fldChar w:fldCharType="separate"/>
      </w:r>
      <w:r>
        <w:rPr>
          <w:rFonts w:hint="eastAsia" w:ascii="新宋体" w:hAnsi="新宋体" w:eastAsia="新宋体"/>
          <w:szCs w:val="36"/>
        </w:rPr>
        <w:t>第六章 评标办法</w:t>
      </w:r>
      <w:r>
        <w:tab/>
      </w:r>
      <w:r>
        <w:fldChar w:fldCharType="begin"/>
      </w:r>
      <w:r>
        <w:instrText xml:space="preserve"> PAGEREF _Toc1718 \h </w:instrText>
      </w:r>
      <w:r>
        <w:fldChar w:fldCharType="separate"/>
      </w:r>
      <w:r>
        <w:t>30</w:t>
      </w:r>
      <w:r>
        <w:fldChar w:fldCharType="end"/>
      </w:r>
      <w:r>
        <w:fldChar w:fldCharType="end"/>
      </w:r>
    </w:p>
    <w:p>
      <w:pPr>
        <w:pStyle w:val="34"/>
        <w:tabs>
          <w:tab w:val="right" w:leader="dot" w:pos="9354"/>
          <w:tab w:val="clear" w:pos="9344"/>
        </w:tabs>
      </w:pPr>
      <w:r>
        <w:fldChar w:fldCharType="begin"/>
      </w:r>
      <w:r>
        <w:instrText xml:space="preserve"> HYPERLINK \l "_Toc23933" </w:instrText>
      </w:r>
      <w:r>
        <w:fldChar w:fldCharType="separate"/>
      </w:r>
      <w:r>
        <w:rPr>
          <w:rFonts w:hint="eastAsia" w:ascii="新宋体" w:hAnsi="新宋体" w:eastAsia="新宋体"/>
          <w:szCs w:val="36"/>
        </w:rPr>
        <w:t>第七章 合同主要条款</w:t>
      </w:r>
      <w:r>
        <w:tab/>
      </w:r>
      <w:r>
        <w:fldChar w:fldCharType="begin"/>
      </w:r>
      <w:r>
        <w:instrText xml:space="preserve"> PAGEREF _Toc23933 \h </w:instrText>
      </w:r>
      <w:r>
        <w:fldChar w:fldCharType="separate"/>
      </w:r>
      <w:r>
        <w:t>33</w:t>
      </w:r>
      <w:r>
        <w:fldChar w:fldCharType="end"/>
      </w:r>
      <w:r>
        <w:fldChar w:fldCharType="end"/>
      </w:r>
    </w:p>
    <w:p>
      <w:pPr>
        <w:pStyle w:val="34"/>
        <w:tabs>
          <w:tab w:val="right" w:leader="dot" w:pos="9354"/>
          <w:tab w:val="clear" w:pos="9344"/>
        </w:tabs>
      </w:pPr>
      <w:r>
        <w:fldChar w:fldCharType="begin"/>
      </w:r>
      <w:r>
        <w:instrText xml:space="preserve"> HYPERLINK \l "_Toc20613" </w:instrText>
      </w:r>
      <w:r>
        <w:fldChar w:fldCharType="separate"/>
      </w:r>
      <w:r>
        <w:rPr>
          <w:rFonts w:hint="eastAsia" w:ascii="新宋体" w:hAnsi="新宋体" w:eastAsia="新宋体"/>
          <w:szCs w:val="36"/>
        </w:rPr>
        <w:t>第八章 投标文件部分格式</w:t>
      </w:r>
      <w:r>
        <w:tab/>
      </w:r>
      <w:r>
        <w:fldChar w:fldCharType="begin"/>
      </w:r>
      <w:r>
        <w:instrText xml:space="preserve"> PAGEREF _Toc20613 \h </w:instrText>
      </w:r>
      <w:r>
        <w:fldChar w:fldCharType="separate"/>
      </w:r>
      <w:r>
        <w:t>48</w:t>
      </w:r>
      <w:r>
        <w:fldChar w:fldCharType="end"/>
      </w:r>
      <w:r>
        <w:fldChar w:fldCharType="end"/>
      </w:r>
    </w:p>
    <w:p>
      <w:pPr>
        <w:pStyle w:val="3"/>
        <w:spacing w:before="0" w:after="0" w:line="400" w:lineRule="exact"/>
        <w:rPr>
          <w:rFonts w:ascii="新宋体" w:hAnsi="新宋体" w:eastAsia="新宋体"/>
          <w:b w:val="0"/>
          <w:kern w:val="2"/>
          <w:sz w:val="24"/>
          <w:szCs w:val="30"/>
        </w:rPr>
      </w:pPr>
      <w:r>
        <w:rPr>
          <w:rFonts w:ascii="新宋体" w:hAnsi="新宋体" w:eastAsia="新宋体"/>
          <w:kern w:val="2"/>
          <w:szCs w:val="30"/>
        </w:rPr>
        <w:fldChar w:fldCharType="end"/>
      </w:r>
    </w:p>
    <w:p/>
    <w:p>
      <w:pPr>
        <w:pStyle w:val="3"/>
        <w:spacing w:before="0" w:after="0" w:line="360" w:lineRule="exact"/>
        <w:jc w:val="center"/>
        <w:rPr>
          <w:rFonts w:ascii="新宋体" w:hAnsi="新宋体" w:eastAsia="新宋体"/>
          <w:sz w:val="36"/>
        </w:rPr>
      </w:pPr>
      <w:bookmarkStart w:id="0" w:name="_Toc453144900"/>
      <w:r>
        <w:rPr>
          <w:rFonts w:hint="eastAsia" w:ascii="新宋体" w:hAnsi="新宋体" w:eastAsia="新宋体"/>
          <w:sz w:val="36"/>
          <w:szCs w:val="36"/>
        </w:rPr>
        <w:br w:type="page"/>
      </w:r>
      <w:bookmarkStart w:id="1" w:name="_Toc347"/>
      <w:r>
        <w:rPr>
          <w:rFonts w:hint="eastAsia" w:ascii="新宋体" w:hAnsi="新宋体" w:eastAsia="新宋体"/>
          <w:sz w:val="36"/>
          <w:szCs w:val="36"/>
        </w:rPr>
        <w:t xml:space="preserve">第一章 </w:t>
      </w:r>
      <w:bookmarkEnd w:id="0"/>
      <w:r>
        <w:rPr>
          <w:rFonts w:hint="eastAsia" w:ascii="新宋体" w:hAnsi="新宋体" w:eastAsia="新宋体"/>
          <w:sz w:val="36"/>
          <w:szCs w:val="36"/>
        </w:rPr>
        <w:t>采购公告</w:t>
      </w:r>
      <w:bookmarkEnd w:id="1"/>
    </w:p>
    <w:p>
      <w:pPr>
        <w:spacing w:line="300" w:lineRule="exact"/>
        <w:ind w:firstLine="480" w:firstLineChars="200"/>
        <w:jc w:val="center"/>
        <w:rPr>
          <w:rFonts w:ascii="新宋体" w:hAnsi="新宋体" w:eastAsia="新宋体"/>
          <w:sz w:val="24"/>
        </w:rPr>
      </w:pPr>
    </w:p>
    <w:p>
      <w:pPr>
        <w:pStyle w:val="26"/>
        <w:adjustRightInd w:val="0"/>
        <w:snapToGrid w:val="0"/>
        <w:spacing w:line="400" w:lineRule="exact"/>
        <w:ind w:firstLine="480" w:firstLineChars="200"/>
        <w:rPr>
          <w:rFonts w:ascii="新宋体" w:hAnsi="新宋体" w:eastAsia="新宋体" w:cs="Times New Roman"/>
          <w:sz w:val="24"/>
          <w:szCs w:val="24"/>
        </w:rPr>
      </w:pPr>
      <w:r>
        <w:rPr>
          <w:rFonts w:ascii="新宋体" w:hAnsi="新宋体" w:eastAsia="新宋体" w:cs="Times New Roman"/>
          <w:sz w:val="24"/>
          <w:szCs w:val="20"/>
        </w:rPr>
        <w:t>根据《中华人民共和国政府采购法》等有关规定，</w:t>
      </w:r>
      <w:r>
        <w:rPr>
          <w:rFonts w:hint="eastAsia" w:ascii="新宋体" w:hAnsi="新宋体" w:eastAsia="新宋体" w:cs="Times New Roman"/>
          <w:sz w:val="24"/>
          <w:szCs w:val="20"/>
        </w:rPr>
        <w:t>义乌市政府采购中心受</w:t>
      </w:r>
      <w:r>
        <w:rPr>
          <w:rFonts w:hint="eastAsia" w:ascii="新宋体" w:hAnsi="新宋体" w:eastAsia="新宋体" w:cs="Times New Roman"/>
          <w:sz w:val="24"/>
          <w:szCs w:val="20"/>
          <w:lang w:eastAsia="zh-CN"/>
        </w:rPr>
        <w:t>义乌市教育研修院</w:t>
      </w:r>
      <w:r>
        <w:rPr>
          <w:rFonts w:hint="eastAsia" w:ascii="新宋体" w:hAnsi="新宋体" w:eastAsia="新宋体" w:cs="Times New Roman"/>
          <w:sz w:val="24"/>
          <w:szCs w:val="20"/>
        </w:rPr>
        <w:t>委托，现就</w:t>
      </w:r>
      <w:r>
        <w:rPr>
          <w:rFonts w:hint="eastAsia" w:ascii="新宋体" w:hAnsi="新宋体" w:eastAsia="新宋体" w:cs="Times New Roman"/>
          <w:sz w:val="24"/>
          <w:szCs w:val="20"/>
          <w:lang w:eastAsia="zh-CN"/>
        </w:rPr>
        <w:t>多媒体触控一体机采购项目</w:t>
      </w:r>
      <w:r>
        <w:rPr>
          <w:rFonts w:hint="eastAsia" w:ascii="新宋体" w:hAnsi="新宋体" w:eastAsia="新宋体" w:cs="Times New Roman"/>
          <w:sz w:val="24"/>
          <w:szCs w:val="20"/>
        </w:rPr>
        <w:t>进行公开招标，欢迎国内合格的供应商参加投标。</w:t>
      </w:r>
    </w:p>
    <w:p>
      <w:pPr>
        <w:pStyle w:val="4"/>
        <w:numPr>
          <w:ilvl w:val="0"/>
          <w:numId w:val="1"/>
        </w:numPr>
        <w:spacing w:before="120" w:after="120" w:line="400" w:lineRule="exact"/>
        <w:rPr>
          <w:rFonts w:hint="eastAsia" w:ascii="新宋体" w:hAnsi="新宋体" w:eastAsia="新宋体"/>
          <w:sz w:val="28"/>
          <w:szCs w:val="28"/>
        </w:rPr>
      </w:pPr>
      <w:bookmarkStart w:id="2" w:name="_Toc14081"/>
      <w:r>
        <w:rPr>
          <w:rFonts w:hint="eastAsia" w:ascii="新宋体" w:hAnsi="新宋体" w:eastAsia="新宋体"/>
          <w:sz w:val="28"/>
          <w:szCs w:val="28"/>
        </w:rPr>
        <w:t>项目基本情况</w:t>
      </w:r>
      <w:bookmarkEnd w:id="2"/>
    </w:p>
    <w:p>
      <w:pPr>
        <w:pStyle w:val="26"/>
        <w:adjustRightInd w:val="0"/>
        <w:snapToGrid w:val="0"/>
        <w:spacing w:line="400" w:lineRule="exact"/>
        <w:ind w:firstLine="480" w:firstLineChars="200"/>
        <w:rPr>
          <w:rFonts w:hint="eastAsia" w:ascii="新宋体" w:hAnsi="新宋体" w:eastAsia="新宋体" w:cs="Times New Roman"/>
          <w:color w:val="auto"/>
          <w:sz w:val="24"/>
          <w:szCs w:val="20"/>
          <w:highlight w:val="none"/>
          <w:lang w:eastAsia="zh-CN"/>
        </w:rPr>
      </w:pPr>
      <w:r>
        <w:rPr>
          <w:rFonts w:hint="eastAsia" w:ascii="新宋体" w:hAnsi="新宋体" w:eastAsia="新宋体" w:cs="Times New Roman"/>
          <w:color w:val="auto"/>
          <w:sz w:val="24"/>
          <w:szCs w:val="20"/>
          <w:highlight w:val="none"/>
        </w:rPr>
        <w:t>1.采购编号：</w:t>
      </w:r>
      <w:r>
        <w:rPr>
          <w:rFonts w:hint="eastAsia" w:ascii="新宋体" w:hAnsi="新宋体" w:eastAsia="新宋体" w:cs="Times New Roman"/>
          <w:color w:val="auto"/>
          <w:sz w:val="24"/>
          <w:szCs w:val="20"/>
          <w:highlight w:val="none"/>
          <w:lang w:eastAsia="zh-CN"/>
        </w:rPr>
        <w:t>YWCG2024013GK。</w:t>
      </w:r>
    </w:p>
    <w:p>
      <w:pPr>
        <w:pStyle w:val="26"/>
        <w:adjustRightInd w:val="0"/>
        <w:snapToGrid w:val="0"/>
        <w:spacing w:line="400" w:lineRule="exact"/>
        <w:ind w:firstLine="480" w:firstLineChars="200"/>
        <w:rPr>
          <w:rFonts w:hint="eastAsia" w:ascii="新宋体" w:hAnsi="新宋体" w:eastAsia="新宋体" w:cs="Times New Roman"/>
          <w:color w:val="auto"/>
          <w:sz w:val="24"/>
          <w:szCs w:val="20"/>
          <w:highlight w:val="none"/>
          <w:lang w:eastAsia="zh-CN"/>
        </w:rPr>
      </w:pPr>
      <w:r>
        <w:rPr>
          <w:rFonts w:hint="eastAsia" w:ascii="新宋体" w:hAnsi="新宋体" w:eastAsia="新宋体" w:cs="Times New Roman"/>
          <w:color w:val="auto"/>
          <w:sz w:val="24"/>
          <w:szCs w:val="20"/>
          <w:highlight w:val="none"/>
        </w:rPr>
        <w:t>2.项目名称：</w:t>
      </w:r>
      <w:r>
        <w:rPr>
          <w:rFonts w:hint="eastAsia" w:ascii="新宋体" w:hAnsi="新宋体" w:eastAsia="新宋体" w:cs="Times New Roman"/>
          <w:color w:val="auto"/>
          <w:sz w:val="24"/>
          <w:szCs w:val="20"/>
          <w:highlight w:val="none"/>
          <w:lang w:eastAsia="zh-CN"/>
        </w:rPr>
        <w:t>义乌市教育研修院多媒体触控一体机</w:t>
      </w:r>
      <w:r>
        <w:rPr>
          <w:rFonts w:hint="eastAsia" w:ascii="新宋体" w:hAnsi="新宋体" w:eastAsia="新宋体" w:cs="Times New Roman"/>
          <w:color w:val="auto"/>
          <w:sz w:val="24"/>
          <w:szCs w:val="20"/>
          <w:highlight w:val="none"/>
        </w:rPr>
        <w:t>采购</w:t>
      </w:r>
      <w:r>
        <w:rPr>
          <w:rFonts w:hint="eastAsia" w:ascii="新宋体" w:hAnsi="新宋体" w:eastAsia="新宋体" w:cs="Times New Roman"/>
          <w:color w:val="auto"/>
          <w:sz w:val="24"/>
          <w:szCs w:val="20"/>
          <w:highlight w:val="none"/>
          <w:lang w:eastAsia="zh-CN"/>
        </w:rPr>
        <w:t>项目。</w:t>
      </w:r>
    </w:p>
    <w:p>
      <w:pPr>
        <w:pStyle w:val="26"/>
        <w:adjustRightInd w:val="0"/>
        <w:snapToGrid w:val="0"/>
        <w:spacing w:line="400" w:lineRule="exact"/>
        <w:ind w:firstLine="480" w:firstLineChars="200"/>
        <w:rPr>
          <w:rFonts w:hint="eastAsia" w:ascii="新宋体" w:hAnsi="新宋体" w:eastAsia="新宋体" w:cs="Times New Roman"/>
          <w:color w:val="auto"/>
          <w:sz w:val="24"/>
          <w:szCs w:val="20"/>
          <w:highlight w:val="none"/>
          <w:lang w:eastAsia="zh-CN"/>
        </w:rPr>
      </w:pPr>
      <w:r>
        <w:rPr>
          <w:rFonts w:hint="eastAsia" w:ascii="新宋体" w:hAnsi="新宋体" w:eastAsia="新宋体" w:cs="Times New Roman"/>
          <w:color w:val="auto"/>
          <w:sz w:val="24"/>
          <w:szCs w:val="20"/>
          <w:highlight w:val="none"/>
          <w:lang w:val="en-US" w:eastAsia="zh-CN"/>
        </w:rPr>
        <w:t>3.</w:t>
      </w:r>
      <w:r>
        <w:rPr>
          <w:rFonts w:hint="eastAsia" w:ascii="新宋体" w:hAnsi="新宋体" w:eastAsia="新宋体" w:cs="Times New Roman"/>
          <w:color w:val="auto"/>
          <w:sz w:val="24"/>
          <w:szCs w:val="20"/>
          <w:highlight w:val="none"/>
        </w:rPr>
        <w:t>项目预算：</w:t>
      </w:r>
      <w:r>
        <w:rPr>
          <w:rFonts w:hint="eastAsia" w:ascii="新宋体" w:hAnsi="新宋体" w:eastAsia="新宋体" w:cs="Times New Roman"/>
          <w:color w:val="auto"/>
          <w:sz w:val="24"/>
          <w:szCs w:val="20"/>
          <w:highlight w:val="none"/>
          <w:lang w:val="en-US" w:eastAsia="zh-CN"/>
        </w:rPr>
        <w:t>482.5</w:t>
      </w:r>
      <w:r>
        <w:rPr>
          <w:rFonts w:hint="eastAsia" w:ascii="新宋体" w:hAnsi="新宋体" w:eastAsia="新宋体" w:cs="Times New Roman"/>
          <w:color w:val="auto"/>
          <w:sz w:val="24"/>
          <w:szCs w:val="20"/>
          <w:highlight w:val="none"/>
        </w:rPr>
        <w:t>万元；最高限价：</w:t>
      </w:r>
      <w:r>
        <w:rPr>
          <w:rFonts w:hint="eastAsia" w:ascii="新宋体" w:hAnsi="新宋体" w:eastAsia="新宋体" w:cs="Times New Roman"/>
          <w:color w:val="auto"/>
          <w:sz w:val="24"/>
          <w:szCs w:val="20"/>
          <w:highlight w:val="none"/>
          <w:lang w:val="en-US" w:eastAsia="zh-CN"/>
        </w:rPr>
        <w:t>482.5</w:t>
      </w:r>
      <w:r>
        <w:rPr>
          <w:rFonts w:hint="eastAsia" w:ascii="新宋体" w:hAnsi="新宋体" w:eastAsia="新宋体" w:cs="Times New Roman"/>
          <w:color w:val="auto"/>
          <w:sz w:val="24"/>
          <w:szCs w:val="20"/>
          <w:highlight w:val="none"/>
        </w:rPr>
        <w:t>万元</w:t>
      </w:r>
    </w:p>
    <w:p>
      <w:pPr>
        <w:pStyle w:val="26"/>
        <w:adjustRightInd w:val="0"/>
        <w:snapToGrid w:val="0"/>
        <w:spacing w:line="400" w:lineRule="exact"/>
        <w:ind w:firstLine="480" w:firstLineChars="200"/>
        <w:rPr>
          <w:rFonts w:hint="eastAsia" w:ascii="新宋体" w:hAnsi="新宋体" w:eastAsia="新宋体"/>
          <w:b/>
          <w:color w:val="auto"/>
          <w:sz w:val="24"/>
          <w:szCs w:val="24"/>
          <w:highlight w:val="none"/>
          <w:lang w:eastAsia="zh-CN"/>
        </w:rPr>
      </w:pPr>
      <w:r>
        <w:rPr>
          <w:rFonts w:hint="eastAsia" w:ascii="新宋体" w:hAnsi="新宋体" w:eastAsia="新宋体" w:cs="Times New Roman"/>
          <w:color w:val="auto"/>
          <w:sz w:val="24"/>
          <w:szCs w:val="20"/>
          <w:highlight w:val="none"/>
        </w:rPr>
        <w:t>4.采购需求</w:t>
      </w:r>
      <w:r>
        <w:rPr>
          <w:rFonts w:hint="eastAsia" w:ascii="新宋体" w:hAnsi="新宋体" w:eastAsia="新宋体" w:cs="Times New Roman"/>
          <w:color w:val="auto"/>
          <w:sz w:val="24"/>
          <w:szCs w:val="20"/>
          <w:highlight w:val="none"/>
          <w:lang w:eastAsia="zh-CN"/>
        </w:rPr>
        <w:t>：</w:t>
      </w:r>
    </w:p>
    <w:tbl>
      <w:tblPr>
        <w:tblStyle w:val="5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
        <w:gridCol w:w="2287"/>
        <w:gridCol w:w="1727"/>
        <w:gridCol w:w="4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33" w:type="pct"/>
            <w:noWrap w:val="0"/>
            <w:vAlign w:val="center"/>
          </w:tcPr>
          <w:p>
            <w:pPr>
              <w:pStyle w:val="26"/>
              <w:adjustRightInd w:val="0"/>
              <w:snapToGrid w:val="0"/>
              <w:spacing w:line="400" w:lineRule="exact"/>
              <w:jc w:val="center"/>
              <w:rPr>
                <w:rFonts w:hint="eastAsia" w:ascii="新宋体" w:hAnsi="新宋体" w:eastAsia="新宋体"/>
                <w:color w:val="auto"/>
                <w:sz w:val="24"/>
                <w:szCs w:val="24"/>
                <w:highlight w:val="none"/>
              </w:rPr>
            </w:pPr>
            <w:r>
              <w:rPr>
                <w:rFonts w:hint="eastAsia" w:ascii="新宋体" w:hAnsi="新宋体" w:eastAsia="新宋体"/>
                <w:color w:val="auto"/>
                <w:sz w:val="24"/>
                <w:szCs w:val="24"/>
                <w:highlight w:val="none"/>
              </w:rPr>
              <w:t>标项</w:t>
            </w:r>
          </w:p>
        </w:tc>
        <w:tc>
          <w:tcPr>
            <w:tcW w:w="1196" w:type="pct"/>
            <w:noWrap w:val="0"/>
            <w:vAlign w:val="center"/>
          </w:tcPr>
          <w:p>
            <w:pPr>
              <w:pStyle w:val="26"/>
              <w:adjustRightInd w:val="0"/>
              <w:snapToGrid w:val="0"/>
              <w:spacing w:line="400" w:lineRule="exact"/>
              <w:jc w:val="center"/>
              <w:rPr>
                <w:rFonts w:hint="eastAsia" w:ascii="新宋体" w:hAnsi="新宋体" w:eastAsia="新宋体"/>
                <w:color w:val="auto"/>
                <w:sz w:val="24"/>
                <w:szCs w:val="24"/>
                <w:highlight w:val="none"/>
                <w:lang w:eastAsia="zh-CN"/>
              </w:rPr>
            </w:pPr>
            <w:r>
              <w:rPr>
                <w:rFonts w:hint="eastAsia" w:ascii="新宋体" w:hAnsi="新宋体" w:eastAsia="新宋体"/>
                <w:color w:val="auto"/>
                <w:sz w:val="24"/>
                <w:szCs w:val="24"/>
                <w:highlight w:val="none"/>
              </w:rPr>
              <w:t>标项</w:t>
            </w:r>
            <w:r>
              <w:rPr>
                <w:rFonts w:hint="eastAsia" w:ascii="新宋体" w:hAnsi="新宋体" w:eastAsia="新宋体"/>
                <w:color w:val="auto"/>
                <w:sz w:val="24"/>
                <w:szCs w:val="24"/>
                <w:highlight w:val="none"/>
                <w:lang w:val="en-US" w:eastAsia="zh-CN"/>
              </w:rPr>
              <w:t>名称</w:t>
            </w:r>
          </w:p>
        </w:tc>
        <w:tc>
          <w:tcPr>
            <w:tcW w:w="903" w:type="pct"/>
            <w:noWrap w:val="0"/>
            <w:vAlign w:val="center"/>
          </w:tcPr>
          <w:p>
            <w:pPr>
              <w:pStyle w:val="26"/>
              <w:adjustRightInd w:val="0"/>
              <w:snapToGrid w:val="0"/>
              <w:spacing w:line="400" w:lineRule="exact"/>
              <w:jc w:val="center"/>
              <w:rPr>
                <w:rFonts w:hint="eastAsia" w:ascii="新宋体" w:hAnsi="新宋体" w:eastAsia="新宋体"/>
                <w:color w:val="auto"/>
                <w:sz w:val="24"/>
                <w:szCs w:val="24"/>
                <w:highlight w:val="none"/>
              </w:rPr>
            </w:pPr>
            <w:r>
              <w:rPr>
                <w:rFonts w:hint="eastAsia" w:ascii="新宋体" w:hAnsi="新宋体" w:eastAsia="新宋体"/>
                <w:color w:val="auto"/>
                <w:sz w:val="24"/>
                <w:szCs w:val="24"/>
                <w:highlight w:val="none"/>
              </w:rPr>
              <w:t>数量</w:t>
            </w:r>
          </w:p>
        </w:tc>
        <w:tc>
          <w:tcPr>
            <w:tcW w:w="2367" w:type="pct"/>
            <w:noWrap w:val="0"/>
            <w:vAlign w:val="center"/>
          </w:tcPr>
          <w:p>
            <w:pPr>
              <w:pStyle w:val="26"/>
              <w:adjustRightInd w:val="0"/>
              <w:snapToGrid w:val="0"/>
              <w:spacing w:line="400" w:lineRule="exact"/>
              <w:jc w:val="center"/>
              <w:rPr>
                <w:rFonts w:hint="eastAsia" w:ascii="新宋体" w:hAnsi="新宋体" w:eastAsia="新宋体"/>
                <w:color w:val="auto"/>
                <w:sz w:val="24"/>
                <w:szCs w:val="24"/>
                <w:highlight w:val="none"/>
              </w:rPr>
            </w:pPr>
            <w:r>
              <w:rPr>
                <w:rFonts w:hint="eastAsia" w:ascii="新宋体" w:hAnsi="新宋体" w:eastAsia="新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533" w:type="pct"/>
            <w:noWrap w:val="0"/>
            <w:vAlign w:val="center"/>
          </w:tcPr>
          <w:p>
            <w:pPr>
              <w:pStyle w:val="26"/>
              <w:adjustRightInd w:val="0"/>
              <w:snapToGrid w:val="0"/>
              <w:spacing w:line="400" w:lineRule="exact"/>
              <w:jc w:val="center"/>
              <w:rPr>
                <w:rFonts w:hint="eastAsia" w:ascii="新宋体" w:hAnsi="新宋体" w:eastAsia="新宋体"/>
                <w:color w:val="auto"/>
                <w:sz w:val="24"/>
                <w:szCs w:val="24"/>
                <w:highlight w:val="none"/>
              </w:rPr>
            </w:pPr>
            <w:r>
              <w:rPr>
                <w:rFonts w:hint="eastAsia" w:ascii="新宋体" w:hAnsi="新宋体" w:eastAsia="新宋体"/>
                <w:color w:val="auto"/>
                <w:sz w:val="24"/>
                <w:szCs w:val="24"/>
                <w:highlight w:val="none"/>
              </w:rPr>
              <w:t>一</w:t>
            </w:r>
          </w:p>
        </w:tc>
        <w:tc>
          <w:tcPr>
            <w:tcW w:w="1196" w:type="pct"/>
            <w:noWrap w:val="0"/>
            <w:vAlign w:val="center"/>
          </w:tcPr>
          <w:p>
            <w:pPr>
              <w:pStyle w:val="26"/>
              <w:adjustRightInd w:val="0"/>
              <w:snapToGrid w:val="0"/>
              <w:spacing w:line="400" w:lineRule="exact"/>
              <w:jc w:val="center"/>
              <w:rPr>
                <w:rFonts w:hint="eastAsia" w:ascii="新宋体" w:hAnsi="新宋体" w:eastAsia="新宋体" w:cs="Courier New"/>
                <w:color w:val="auto"/>
                <w:sz w:val="24"/>
                <w:szCs w:val="24"/>
                <w:highlight w:val="none"/>
                <w:lang w:val="en-US" w:eastAsia="zh-CN"/>
              </w:rPr>
            </w:pPr>
            <w:r>
              <w:rPr>
                <w:rFonts w:hint="eastAsia" w:ascii="新宋体" w:hAnsi="新宋体" w:eastAsia="新宋体" w:cs="Courier New"/>
                <w:color w:val="auto"/>
                <w:sz w:val="24"/>
                <w:szCs w:val="24"/>
                <w:highlight w:val="none"/>
                <w:lang w:eastAsia="zh-CN"/>
              </w:rPr>
              <w:t>多媒体触控一体机</w:t>
            </w:r>
          </w:p>
        </w:tc>
        <w:tc>
          <w:tcPr>
            <w:tcW w:w="903" w:type="pct"/>
            <w:noWrap w:val="0"/>
            <w:vAlign w:val="center"/>
          </w:tcPr>
          <w:p>
            <w:pPr>
              <w:pStyle w:val="26"/>
              <w:adjustRightInd w:val="0"/>
              <w:snapToGrid w:val="0"/>
              <w:spacing w:line="400" w:lineRule="exact"/>
              <w:jc w:val="center"/>
              <w:rPr>
                <w:rFonts w:hint="eastAsia" w:ascii="新宋体" w:hAnsi="新宋体" w:eastAsia="新宋体"/>
                <w:color w:val="auto"/>
                <w:sz w:val="24"/>
                <w:szCs w:val="24"/>
                <w:highlight w:val="none"/>
                <w:lang w:eastAsia="zh-CN"/>
              </w:rPr>
            </w:pPr>
            <w:r>
              <w:rPr>
                <w:rFonts w:hint="eastAsia" w:ascii="新宋体" w:hAnsi="新宋体" w:eastAsia="新宋体"/>
                <w:color w:val="auto"/>
                <w:sz w:val="24"/>
                <w:szCs w:val="24"/>
                <w:highlight w:val="none"/>
                <w:lang w:val="en-US" w:eastAsia="zh-CN"/>
              </w:rPr>
              <w:t>358套</w:t>
            </w:r>
          </w:p>
        </w:tc>
        <w:tc>
          <w:tcPr>
            <w:tcW w:w="2367" w:type="pct"/>
            <w:noWrap w:val="0"/>
            <w:vAlign w:val="center"/>
          </w:tcPr>
          <w:p>
            <w:pPr>
              <w:pStyle w:val="26"/>
              <w:adjustRightInd w:val="0"/>
              <w:snapToGrid w:val="0"/>
              <w:spacing w:line="400" w:lineRule="exact"/>
              <w:jc w:val="both"/>
              <w:rPr>
                <w:rFonts w:hint="eastAsia" w:ascii="新宋体" w:hAnsi="新宋体" w:eastAsia="新宋体"/>
                <w:color w:val="auto"/>
                <w:sz w:val="24"/>
                <w:szCs w:val="24"/>
                <w:highlight w:val="none"/>
              </w:rPr>
            </w:pPr>
            <w:r>
              <w:rPr>
                <w:rFonts w:hint="eastAsia" w:ascii="新宋体" w:hAnsi="新宋体" w:eastAsia="新宋体" w:cs="Courier New"/>
                <w:color w:val="auto"/>
                <w:sz w:val="24"/>
                <w:highlight w:val="none"/>
                <w:lang w:val="en-US" w:eastAsia="zh-CN"/>
              </w:rPr>
              <w:t>具体要求，</w:t>
            </w:r>
            <w:r>
              <w:rPr>
                <w:rFonts w:hint="eastAsia" w:ascii="新宋体" w:hAnsi="新宋体" w:eastAsia="新宋体"/>
                <w:color w:val="auto"/>
                <w:sz w:val="24"/>
                <w:szCs w:val="24"/>
                <w:highlight w:val="none"/>
              </w:rPr>
              <w:t>详见《第三章招标项目要求》</w:t>
            </w:r>
          </w:p>
        </w:tc>
      </w:tr>
    </w:tbl>
    <w:p>
      <w:pPr>
        <w:pStyle w:val="26"/>
        <w:adjustRightInd w:val="0"/>
        <w:snapToGrid w:val="0"/>
        <w:spacing w:line="400" w:lineRule="exact"/>
        <w:ind w:firstLine="480" w:firstLineChars="200"/>
        <w:rPr>
          <w:rFonts w:hint="eastAsia" w:ascii="新宋体" w:hAnsi="新宋体" w:eastAsia="新宋体" w:cs="Times New Roman"/>
          <w:color w:val="auto"/>
          <w:sz w:val="24"/>
          <w:szCs w:val="20"/>
          <w:highlight w:val="none"/>
        </w:rPr>
      </w:pPr>
      <w:r>
        <w:rPr>
          <w:rFonts w:hint="eastAsia" w:ascii="新宋体" w:hAnsi="新宋体" w:eastAsia="新宋体" w:cs="Times New Roman"/>
          <w:color w:val="auto"/>
          <w:sz w:val="24"/>
          <w:szCs w:val="20"/>
          <w:highlight w:val="none"/>
        </w:rPr>
        <w:t>5.合同履约期限：</w:t>
      </w:r>
      <w:r>
        <w:rPr>
          <w:sz w:val="24"/>
          <w:szCs w:val="24"/>
        </w:rPr>
        <w:t>合同签订后60天内完成产品交货、安装、调试及验收</w:t>
      </w:r>
      <w:r>
        <w:rPr>
          <w:rFonts w:hint="eastAsia" w:ascii="新宋体" w:hAnsi="新宋体" w:eastAsia="新宋体" w:cs="Times New Roman"/>
          <w:sz w:val="24"/>
          <w:szCs w:val="20"/>
        </w:rPr>
        <w:t>。</w:t>
      </w:r>
    </w:p>
    <w:p>
      <w:pPr>
        <w:pStyle w:val="26"/>
        <w:adjustRightInd w:val="0"/>
        <w:snapToGrid w:val="0"/>
        <w:spacing w:line="400" w:lineRule="exact"/>
        <w:ind w:firstLine="480" w:firstLineChars="200"/>
      </w:pPr>
      <w:r>
        <w:rPr>
          <w:rFonts w:hint="eastAsia" w:ascii="新宋体" w:hAnsi="新宋体" w:eastAsia="新宋体" w:cs="Times New Roman"/>
          <w:color w:val="auto"/>
          <w:sz w:val="24"/>
          <w:szCs w:val="20"/>
          <w:highlight w:val="none"/>
          <w:lang w:val="en-US" w:eastAsia="zh-CN"/>
        </w:rPr>
        <w:t>6.</w:t>
      </w:r>
      <w:r>
        <w:rPr>
          <w:rFonts w:hint="eastAsia" w:ascii="新宋体" w:hAnsi="新宋体" w:eastAsia="新宋体" w:cs="Courier New"/>
          <w:color w:val="auto"/>
          <w:sz w:val="24"/>
          <w:highlight w:val="none"/>
        </w:rPr>
        <w:t>本项目</w:t>
      </w:r>
      <w:r>
        <w:rPr>
          <w:rFonts w:hint="eastAsia" w:ascii="新宋体" w:hAnsi="新宋体" w:eastAsia="新宋体" w:cs="Courier New"/>
          <w:color w:val="auto"/>
          <w:sz w:val="24"/>
          <w:highlight w:val="none"/>
          <w:lang w:eastAsia="zh-CN"/>
        </w:rPr>
        <w:t>（</w:t>
      </w:r>
      <w:r>
        <w:rPr>
          <w:rFonts w:hint="eastAsia" w:ascii="新宋体" w:hAnsi="新宋体" w:eastAsia="新宋体" w:cs="新宋体"/>
          <w:color w:val="auto"/>
          <w:kern w:val="0"/>
          <w:sz w:val="24"/>
          <w:highlight w:val="none"/>
        </w:rPr>
        <w:sym w:font="Wingdings" w:char="00A8"/>
      </w:r>
      <w:r>
        <w:rPr>
          <w:rFonts w:hint="eastAsia" w:ascii="新宋体" w:hAnsi="新宋体" w:eastAsia="新宋体" w:cs="Courier New"/>
          <w:color w:val="auto"/>
          <w:sz w:val="24"/>
          <w:highlight w:val="none"/>
        </w:rPr>
        <w:t xml:space="preserve">是 </w:t>
      </w:r>
      <w:r>
        <w:rPr>
          <w:rFonts w:hint="eastAsia" w:ascii="新宋体" w:hAnsi="新宋体" w:eastAsia="新宋体" w:cs="新宋体"/>
          <w:color w:val="auto"/>
          <w:kern w:val="0"/>
          <w:sz w:val="24"/>
          <w:highlight w:val="none"/>
        </w:rPr>
        <w:sym w:font="Wingdings" w:char="00FE"/>
      </w:r>
      <w:r>
        <w:rPr>
          <w:rFonts w:hint="eastAsia" w:ascii="新宋体" w:hAnsi="新宋体" w:eastAsia="新宋体" w:cs="Courier New"/>
          <w:color w:val="auto"/>
          <w:sz w:val="24"/>
          <w:highlight w:val="none"/>
        </w:rPr>
        <w:t>否</w:t>
      </w:r>
      <w:r>
        <w:rPr>
          <w:rFonts w:hint="eastAsia" w:ascii="新宋体" w:hAnsi="新宋体" w:eastAsia="新宋体" w:cs="Courier New"/>
          <w:color w:val="auto"/>
          <w:sz w:val="24"/>
          <w:highlight w:val="none"/>
          <w:lang w:eastAsia="zh-CN"/>
        </w:rPr>
        <w:t>）</w:t>
      </w:r>
      <w:r>
        <w:rPr>
          <w:rFonts w:hint="eastAsia" w:ascii="新宋体" w:hAnsi="新宋体" w:eastAsia="新宋体" w:cs="Courier New"/>
          <w:color w:val="auto"/>
          <w:sz w:val="24"/>
          <w:highlight w:val="none"/>
        </w:rPr>
        <w:t>接受联合体投标</w:t>
      </w:r>
      <w:r>
        <w:rPr>
          <w:rFonts w:hint="eastAsia" w:ascii="新宋体" w:hAnsi="新宋体" w:eastAsia="新宋体" w:cs="Courier New"/>
          <w:color w:val="auto"/>
          <w:sz w:val="24"/>
          <w:highlight w:val="none"/>
          <w:lang w:eastAsia="zh-CN"/>
        </w:rPr>
        <w:t>。</w:t>
      </w:r>
    </w:p>
    <w:p>
      <w:pPr>
        <w:pStyle w:val="4"/>
        <w:spacing w:before="120" w:after="120" w:line="400" w:lineRule="exact"/>
        <w:rPr>
          <w:rFonts w:hint="eastAsia" w:ascii="新宋体" w:hAnsi="新宋体" w:eastAsia="新宋体"/>
          <w:sz w:val="28"/>
          <w:szCs w:val="28"/>
        </w:rPr>
      </w:pPr>
      <w:bookmarkStart w:id="3" w:name="_Toc17608"/>
      <w:r>
        <w:rPr>
          <w:rFonts w:hint="eastAsia" w:ascii="新宋体" w:hAnsi="新宋体" w:eastAsia="新宋体"/>
          <w:sz w:val="28"/>
          <w:szCs w:val="28"/>
        </w:rPr>
        <w:t>二、投标人的资格要求，须同时满足以下条件</w:t>
      </w:r>
      <w:bookmarkEnd w:id="3"/>
    </w:p>
    <w:p>
      <w:pPr>
        <w:snapToGrid w:val="0"/>
        <w:spacing w:line="400" w:lineRule="exact"/>
        <w:ind w:firstLine="480" w:firstLineChars="200"/>
        <w:rPr>
          <w:rFonts w:hint="eastAsia" w:ascii="新宋体" w:hAnsi="新宋体" w:eastAsia="新宋体" w:cs="Courier New"/>
          <w:color w:val="auto"/>
          <w:sz w:val="24"/>
          <w:highlight w:val="none"/>
        </w:rPr>
      </w:pPr>
      <w:r>
        <w:rPr>
          <w:rFonts w:hint="eastAsia" w:ascii="新宋体" w:hAnsi="新宋体" w:eastAsia="新宋体" w:cs="Courier New"/>
          <w:color w:val="auto"/>
          <w:sz w:val="24"/>
          <w:highlight w:val="none"/>
          <w:lang w:val="en-US" w:eastAsia="zh-CN"/>
        </w:rPr>
        <w:t>1.</w:t>
      </w:r>
      <w:r>
        <w:rPr>
          <w:rFonts w:hint="eastAsia" w:ascii="新宋体" w:hAnsi="新宋体" w:eastAsia="新宋体" w:cs="Courier New"/>
          <w:color w:val="auto"/>
          <w:sz w:val="24"/>
          <w:highlight w:val="none"/>
        </w:rPr>
        <w:t>符合《中华人民共和国政府采购法》第二十二条供应商应当具备的条件；</w:t>
      </w:r>
    </w:p>
    <w:p>
      <w:pPr>
        <w:snapToGrid w:val="0"/>
        <w:spacing w:line="400" w:lineRule="exact"/>
        <w:ind w:firstLine="480" w:firstLineChars="200"/>
        <w:rPr>
          <w:rFonts w:hint="eastAsia" w:ascii="新宋体" w:hAnsi="新宋体" w:eastAsia="新宋体" w:cs="Courier New"/>
          <w:color w:val="auto"/>
          <w:sz w:val="24"/>
          <w:highlight w:val="none"/>
          <w:lang w:eastAsia="zh-CN"/>
        </w:rPr>
      </w:pPr>
      <w:r>
        <w:rPr>
          <w:rFonts w:hint="eastAsia" w:ascii="新宋体" w:hAnsi="新宋体" w:eastAsia="新宋体" w:cs="Courier New"/>
          <w:color w:val="auto"/>
          <w:sz w:val="24"/>
          <w:highlight w:val="none"/>
          <w:lang w:eastAsia="zh-CN"/>
        </w:rPr>
        <w:t>2.投标人无以下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或被“信用中国”（www.creditchina.gov.cn）、中国政府采购网（www.ccgp.gov.cn）列入失信被执行人、重大税收违法案件当事人名单、政府采购严重违法失信行为记录名单的；联合体成员任意一方存在不良信用记录的，视同联合体存在不良信用记录；</w:t>
      </w:r>
    </w:p>
    <w:p>
      <w:pPr>
        <w:snapToGrid w:val="0"/>
        <w:spacing w:line="400" w:lineRule="exact"/>
        <w:ind w:firstLine="480" w:firstLineChars="200"/>
        <w:rPr>
          <w:rFonts w:hint="eastAsia" w:ascii="新宋体" w:hAnsi="新宋体" w:eastAsia="新宋体" w:cs="Courier New"/>
          <w:color w:val="auto"/>
          <w:sz w:val="24"/>
          <w:highlight w:val="none"/>
          <w:lang w:eastAsia="zh-CN"/>
        </w:rPr>
      </w:pPr>
      <w:r>
        <w:rPr>
          <w:rFonts w:hint="eastAsia" w:ascii="新宋体" w:hAnsi="新宋体" w:eastAsia="新宋体" w:cs="Courier New"/>
          <w:color w:val="auto"/>
          <w:sz w:val="24"/>
          <w:highlight w:val="none"/>
          <w:lang w:eastAsia="zh-CN"/>
        </w:rPr>
        <w:t>3.投标人自2021年01月01日起至中标公告期结束前无行贿犯罪记录；</w:t>
      </w:r>
    </w:p>
    <w:p>
      <w:pPr>
        <w:snapToGrid w:val="0"/>
        <w:spacing w:line="400" w:lineRule="exact"/>
        <w:ind w:firstLine="480" w:firstLineChars="200"/>
        <w:rPr>
          <w:rFonts w:hint="eastAsia" w:ascii="新宋体" w:hAnsi="新宋体" w:eastAsia="新宋体" w:cs="Courier New"/>
          <w:color w:val="auto"/>
          <w:sz w:val="24"/>
          <w:highlight w:val="none"/>
        </w:rPr>
      </w:pPr>
      <w:r>
        <w:rPr>
          <w:rFonts w:hint="eastAsia" w:ascii="新宋体" w:hAnsi="新宋体" w:eastAsia="新宋体" w:cs="Courier New"/>
          <w:color w:val="auto"/>
          <w:sz w:val="24"/>
          <w:highlight w:val="none"/>
        </w:rPr>
        <w:t>4.根据《关于在全市公共资源交易活动中应用信用报告的通知》（义行服管〔2017〕17号）的规定，综合信用报告评级不属于D类或E类的（无信用评价供应商不受此项条件限制，查询结果以开标当日网站页面显示内容为准）；</w:t>
      </w:r>
    </w:p>
    <w:p>
      <w:pPr>
        <w:snapToGrid w:val="0"/>
        <w:spacing w:line="400" w:lineRule="exact"/>
        <w:ind w:firstLine="480" w:firstLineChars="200"/>
        <w:rPr>
          <w:rFonts w:hint="eastAsia" w:ascii="新宋体" w:hAnsi="新宋体" w:eastAsia="新宋体" w:cs="Courier New"/>
          <w:color w:val="auto"/>
          <w:sz w:val="24"/>
          <w:highlight w:val="none"/>
        </w:rPr>
      </w:pPr>
      <w:r>
        <w:rPr>
          <w:rFonts w:hint="eastAsia" w:ascii="新宋体" w:hAnsi="新宋体" w:eastAsia="新宋体" w:cs="Courier New"/>
          <w:color w:val="auto"/>
          <w:sz w:val="24"/>
          <w:highlight w:val="none"/>
        </w:rPr>
        <w:t>5.单位负责人为同一人或者存在直接控股、管理关系的不同供应商，不得参加同一合同项（同一标项）下的政府采购活动；为采购项目提供整体设计、规范编制或者项目管理、监理、检测等服务的供应商，不得再参加该采购项目的其他采购活动</w:t>
      </w:r>
      <w:r>
        <w:rPr>
          <w:rFonts w:hint="eastAsia" w:ascii="新宋体" w:hAnsi="新宋体" w:eastAsia="新宋体" w:cs="Courier New"/>
          <w:color w:val="auto"/>
          <w:sz w:val="24"/>
          <w:highlight w:val="none"/>
          <w:lang w:eastAsia="zh-CN"/>
        </w:rPr>
        <w:t>；</w:t>
      </w:r>
    </w:p>
    <w:p>
      <w:pPr>
        <w:snapToGrid w:val="0"/>
        <w:spacing w:line="400" w:lineRule="exact"/>
        <w:ind w:firstLine="480" w:firstLineChars="200"/>
        <w:rPr>
          <w:rFonts w:hint="eastAsia" w:ascii="新宋体" w:hAnsi="新宋体" w:eastAsia="新宋体" w:cs="Courier New"/>
          <w:color w:val="auto"/>
          <w:sz w:val="24"/>
          <w:highlight w:val="none"/>
        </w:rPr>
      </w:pPr>
      <w:r>
        <w:rPr>
          <w:rFonts w:hint="eastAsia" w:ascii="新宋体" w:hAnsi="新宋体" w:eastAsia="新宋体" w:cs="Courier New"/>
          <w:color w:val="auto"/>
          <w:sz w:val="24"/>
          <w:highlight w:val="none"/>
        </w:rPr>
        <w:t>7.落实政府采购政策需满足的资格要求；</w:t>
      </w:r>
    </w:p>
    <w:p>
      <w:pPr>
        <w:snapToGrid w:val="0"/>
        <w:spacing w:line="400" w:lineRule="exact"/>
        <w:ind w:firstLine="480" w:firstLineChars="200"/>
        <w:rPr>
          <w:rFonts w:hint="eastAsia" w:ascii="新宋体" w:hAnsi="新宋体" w:eastAsia="新宋体" w:cs="Courier New"/>
          <w:color w:val="auto"/>
          <w:sz w:val="24"/>
          <w:highlight w:val="none"/>
        </w:rPr>
      </w:pPr>
      <w:r>
        <w:rPr>
          <w:rFonts w:hint="eastAsia" w:ascii="新宋体" w:hAnsi="新宋体" w:eastAsia="新宋体" w:cs="Courier New"/>
          <w:color w:val="auto"/>
          <w:sz w:val="24"/>
          <w:highlight w:val="none"/>
        </w:rPr>
        <w:t>☐无；</w:t>
      </w:r>
    </w:p>
    <w:p>
      <w:pPr>
        <w:snapToGrid w:val="0"/>
        <w:spacing w:line="400" w:lineRule="exact"/>
        <w:ind w:firstLine="480" w:firstLineChars="200"/>
        <w:rPr>
          <w:rFonts w:hint="eastAsia" w:ascii="新宋体" w:hAnsi="新宋体" w:eastAsia="新宋体" w:cs="Courier New"/>
          <w:color w:val="auto"/>
          <w:sz w:val="24"/>
          <w:highlight w:val="none"/>
        </w:rPr>
      </w:pPr>
      <w:r>
        <w:rPr>
          <w:rFonts w:hint="eastAsia" w:ascii="新宋体" w:hAnsi="新宋体" w:eastAsia="新宋体" w:cs="Courier New"/>
          <w:color w:val="auto"/>
          <w:sz w:val="24"/>
          <w:highlight w:val="none"/>
        </w:rPr>
        <w:sym w:font="Wingdings 2" w:char="F052"/>
      </w:r>
      <w:r>
        <w:rPr>
          <w:rFonts w:hint="eastAsia" w:ascii="新宋体" w:hAnsi="新宋体" w:eastAsia="新宋体" w:cs="Courier New"/>
          <w:color w:val="auto"/>
          <w:sz w:val="24"/>
          <w:highlight w:val="none"/>
        </w:rPr>
        <w:t>专门面向中小企业；</w:t>
      </w:r>
    </w:p>
    <w:p>
      <w:pPr>
        <w:snapToGrid w:val="0"/>
        <w:spacing w:line="400" w:lineRule="exact"/>
        <w:ind w:firstLine="480" w:firstLineChars="200"/>
        <w:rPr>
          <w:rFonts w:hint="eastAsia" w:ascii="新宋体" w:hAnsi="新宋体" w:eastAsia="新宋体" w:cs="Courier New"/>
          <w:color w:val="auto"/>
          <w:sz w:val="24"/>
          <w:highlight w:val="none"/>
        </w:rPr>
      </w:pPr>
      <w:r>
        <w:rPr>
          <w:rFonts w:hint="eastAsia" w:ascii="新宋体" w:hAnsi="新宋体" w:eastAsia="新宋体" w:cs="Courier New"/>
          <w:color w:val="auto"/>
          <w:sz w:val="24"/>
          <w:highlight w:val="none"/>
        </w:rPr>
        <w:t>8. 本项目的特定资格要求：无。</w:t>
      </w:r>
    </w:p>
    <w:p>
      <w:pPr>
        <w:pStyle w:val="4"/>
        <w:spacing w:before="120" w:after="120" w:line="400" w:lineRule="exact"/>
        <w:rPr>
          <w:rFonts w:hint="eastAsia" w:ascii="新宋体" w:hAnsi="新宋体" w:eastAsia="新宋体" w:cs="Times New Roman"/>
          <w:b/>
          <w:bCs/>
          <w:color w:val="auto"/>
          <w:sz w:val="28"/>
          <w:szCs w:val="28"/>
          <w:highlight w:val="none"/>
        </w:rPr>
      </w:pPr>
      <w:bookmarkStart w:id="4" w:name="_Toc29326"/>
      <w:r>
        <w:rPr>
          <w:rFonts w:hint="eastAsia" w:ascii="新宋体" w:hAnsi="新宋体" w:eastAsia="新宋体" w:cs="Times New Roman"/>
          <w:b/>
          <w:bCs/>
          <w:color w:val="auto"/>
          <w:sz w:val="28"/>
          <w:szCs w:val="28"/>
          <w:highlight w:val="none"/>
        </w:rPr>
        <w:t>三、采购文件（即招标文件，下同）获取时间、地点及方式</w:t>
      </w:r>
      <w:bookmarkEnd w:id="4"/>
    </w:p>
    <w:p>
      <w:pPr>
        <w:pStyle w:val="26"/>
        <w:adjustRightInd w:val="0"/>
        <w:snapToGrid w:val="0"/>
        <w:spacing w:line="400" w:lineRule="exact"/>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rPr>
        <w:t>1.时间：公告发布时间起至投标截止时间止。</w:t>
      </w:r>
    </w:p>
    <w:p>
      <w:pPr>
        <w:pStyle w:val="26"/>
        <w:adjustRightInd w:val="0"/>
        <w:snapToGrid w:val="0"/>
        <w:spacing w:line="400" w:lineRule="exact"/>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rPr>
        <w:t>2.地点：浙江政府采购网（http://zfcg.czt.zj.gov.cn/）。</w:t>
      </w:r>
    </w:p>
    <w:p>
      <w:pPr>
        <w:pStyle w:val="26"/>
        <w:adjustRightInd w:val="0"/>
        <w:snapToGrid w:val="0"/>
        <w:spacing w:line="400" w:lineRule="exact"/>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rPr>
        <w:t>3.方式：潜在供应商应按照浙江省政府采购网上所提示的方式免费获取采购文件。</w:t>
      </w:r>
    </w:p>
    <w:p>
      <w:pPr>
        <w:pStyle w:val="26"/>
        <w:adjustRightInd w:val="0"/>
        <w:snapToGrid w:val="0"/>
        <w:spacing w:line="400" w:lineRule="exact"/>
        <w:ind w:firstLine="480" w:firstLineChars="200"/>
        <w:rPr>
          <w:rFonts w:hint="eastAsia" w:ascii="新宋体" w:hAnsi="新宋体" w:eastAsia="新宋体" w:cs="Courier New"/>
          <w:color w:val="auto"/>
          <w:sz w:val="24"/>
          <w:highlight w:val="none"/>
        </w:rPr>
      </w:pPr>
      <w:r>
        <w:rPr>
          <w:rFonts w:hint="eastAsia" w:ascii="新宋体" w:hAnsi="新宋体" w:eastAsia="新宋体" w:cs="Courier New"/>
          <w:color w:val="auto"/>
          <w:sz w:val="24"/>
          <w:highlight w:val="none"/>
        </w:rPr>
        <w:t>对未在规定的期限内按照上述方式获取招标文件的潜在供应商对该文件提出的质疑，采购人、采购代理机构将不予受理。</w:t>
      </w:r>
    </w:p>
    <w:p>
      <w:pPr>
        <w:pStyle w:val="4"/>
        <w:spacing w:before="120" w:after="120" w:line="400" w:lineRule="exact"/>
        <w:rPr>
          <w:rFonts w:hint="eastAsia" w:ascii="新宋体" w:hAnsi="新宋体" w:eastAsia="新宋体" w:cs="Times New Roman"/>
          <w:b/>
          <w:bCs/>
          <w:color w:val="auto"/>
          <w:sz w:val="28"/>
          <w:szCs w:val="28"/>
          <w:highlight w:val="none"/>
        </w:rPr>
      </w:pPr>
      <w:bookmarkStart w:id="5" w:name="_Toc9203"/>
      <w:r>
        <w:rPr>
          <w:rFonts w:hint="eastAsia" w:ascii="新宋体" w:hAnsi="新宋体" w:eastAsia="新宋体" w:cs="Times New Roman"/>
          <w:b/>
          <w:bCs/>
          <w:color w:val="auto"/>
          <w:sz w:val="28"/>
          <w:szCs w:val="28"/>
          <w:highlight w:val="none"/>
        </w:rPr>
        <w:t>四、投标截止时间及地点</w:t>
      </w:r>
      <w:bookmarkEnd w:id="5"/>
    </w:p>
    <w:p>
      <w:pPr>
        <w:snapToGrid w:val="0"/>
        <w:spacing w:line="400" w:lineRule="exact"/>
        <w:ind w:firstLine="480" w:firstLineChars="200"/>
        <w:rPr>
          <w:rFonts w:hint="eastAsia" w:ascii="新宋体" w:hAnsi="新宋体" w:eastAsia="新宋体" w:cs="Courier New"/>
          <w:color w:val="auto"/>
          <w:sz w:val="24"/>
          <w:highlight w:val="none"/>
        </w:rPr>
      </w:pPr>
      <w:r>
        <w:rPr>
          <w:rFonts w:hint="eastAsia" w:ascii="新宋体" w:hAnsi="新宋体" w:eastAsia="新宋体" w:cs="Courier New"/>
          <w:color w:val="auto"/>
          <w:sz w:val="24"/>
          <w:highlight w:val="none"/>
        </w:rPr>
        <w:t>1.提交投标文件截止时间：</w:t>
      </w:r>
      <w:r>
        <w:rPr>
          <w:rFonts w:hint="eastAsia" w:ascii="新宋体" w:hAnsi="新宋体" w:eastAsia="新宋体" w:cs="Courier New"/>
          <w:color w:val="auto"/>
          <w:sz w:val="24"/>
          <w:highlight w:val="none"/>
          <w:lang w:eastAsia="zh-CN"/>
        </w:rPr>
        <w:t>2024年06月05日上午9:30</w:t>
      </w:r>
      <w:r>
        <w:rPr>
          <w:rFonts w:hint="eastAsia" w:ascii="新宋体" w:hAnsi="新宋体" w:eastAsia="新宋体" w:cs="Courier New"/>
          <w:color w:val="auto"/>
          <w:sz w:val="24"/>
          <w:highlight w:val="none"/>
        </w:rPr>
        <w:t>（北京时间）。</w:t>
      </w:r>
    </w:p>
    <w:p>
      <w:pPr>
        <w:snapToGrid w:val="0"/>
        <w:spacing w:line="400" w:lineRule="exact"/>
        <w:ind w:firstLine="480" w:firstLineChars="200"/>
        <w:rPr>
          <w:rFonts w:hint="eastAsia" w:ascii="新宋体" w:hAnsi="新宋体" w:eastAsia="新宋体" w:cs="Courier New"/>
          <w:color w:val="auto"/>
          <w:sz w:val="24"/>
          <w:highlight w:val="none"/>
          <w:lang w:eastAsia="zh-CN"/>
        </w:rPr>
      </w:pPr>
      <w:r>
        <w:rPr>
          <w:rFonts w:hint="eastAsia" w:ascii="新宋体" w:hAnsi="新宋体" w:eastAsia="新宋体" w:cs="Courier New"/>
          <w:color w:val="auto"/>
          <w:sz w:val="24"/>
          <w:highlight w:val="none"/>
        </w:rPr>
        <w:t>2.投标地点：政府采购云平台（</w:t>
      </w:r>
      <w:r>
        <w:rPr>
          <w:rFonts w:hint="eastAsia" w:ascii="新宋体" w:hAnsi="新宋体" w:eastAsia="新宋体" w:cs="Courier New"/>
          <w:color w:val="auto"/>
          <w:sz w:val="24"/>
          <w:highlight w:val="none"/>
          <w:lang w:val="en-US" w:eastAsia="zh-CN"/>
        </w:rPr>
        <w:t>以下</w:t>
      </w:r>
      <w:r>
        <w:rPr>
          <w:rFonts w:hint="eastAsia" w:ascii="新宋体" w:hAnsi="新宋体" w:eastAsia="新宋体" w:cs="Courier New"/>
          <w:color w:val="auto"/>
          <w:sz w:val="24"/>
          <w:highlight w:val="none"/>
        </w:rPr>
        <w:t>简称“政采云”，https://www.zcygov.cn/）</w:t>
      </w:r>
      <w:r>
        <w:rPr>
          <w:rFonts w:hint="eastAsia" w:ascii="新宋体" w:hAnsi="新宋体" w:eastAsia="新宋体" w:cs="Courier New"/>
          <w:color w:val="auto"/>
          <w:sz w:val="24"/>
          <w:highlight w:val="none"/>
          <w:lang w:eastAsia="zh-CN"/>
        </w:rPr>
        <w:t>。</w:t>
      </w:r>
    </w:p>
    <w:p>
      <w:pPr>
        <w:snapToGrid w:val="0"/>
        <w:spacing w:line="400" w:lineRule="exact"/>
        <w:ind w:firstLine="480" w:firstLineChars="200"/>
        <w:rPr>
          <w:rFonts w:hint="eastAsia" w:ascii="新宋体" w:hAnsi="新宋体" w:eastAsia="新宋体" w:cs="Courier New"/>
          <w:color w:val="auto"/>
          <w:sz w:val="24"/>
          <w:highlight w:val="none"/>
        </w:rPr>
      </w:pPr>
      <w:r>
        <w:rPr>
          <w:rFonts w:hint="eastAsia" w:ascii="新宋体" w:hAnsi="新宋体" w:eastAsia="新宋体" w:cs="Courier New"/>
          <w:color w:val="auto"/>
          <w:sz w:val="24"/>
          <w:highlight w:val="none"/>
        </w:rPr>
        <w:t>3.</w:t>
      </w:r>
      <w:r>
        <w:rPr>
          <w:rFonts w:hint="eastAsia" w:ascii="新宋体" w:hAnsi="新宋体" w:eastAsia="新宋体" w:cs="Courier New"/>
          <w:b/>
          <w:color w:val="auto"/>
          <w:sz w:val="24"/>
          <w:highlight w:val="none"/>
        </w:rPr>
        <w:t>开标时间</w:t>
      </w:r>
      <w:r>
        <w:rPr>
          <w:rFonts w:hint="eastAsia" w:ascii="新宋体" w:hAnsi="新宋体" w:eastAsia="新宋体" w:cs="Courier New"/>
          <w:color w:val="auto"/>
          <w:sz w:val="24"/>
          <w:highlight w:val="none"/>
        </w:rPr>
        <w:t>：</w:t>
      </w:r>
      <w:r>
        <w:rPr>
          <w:rFonts w:hint="eastAsia" w:ascii="新宋体" w:hAnsi="新宋体" w:eastAsia="新宋体" w:cs="Courier New"/>
          <w:color w:val="auto"/>
          <w:sz w:val="24"/>
          <w:highlight w:val="none"/>
          <w:lang w:eastAsia="zh-CN"/>
        </w:rPr>
        <w:t>2024年06月05日上午9:30</w:t>
      </w:r>
      <w:r>
        <w:rPr>
          <w:rFonts w:hint="eastAsia" w:ascii="新宋体" w:hAnsi="新宋体" w:eastAsia="新宋体" w:cs="Courier New"/>
          <w:color w:val="auto"/>
          <w:sz w:val="24"/>
          <w:highlight w:val="none"/>
        </w:rPr>
        <w:t>。</w:t>
      </w:r>
    </w:p>
    <w:p>
      <w:pPr>
        <w:snapToGrid w:val="0"/>
        <w:spacing w:line="400" w:lineRule="exact"/>
        <w:ind w:firstLine="480" w:firstLineChars="200"/>
        <w:rPr>
          <w:rFonts w:hint="eastAsia" w:ascii="新宋体" w:hAnsi="新宋体" w:eastAsia="新宋体" w:cs="Courier New"/>
          <w:color w:val="auto"/>
          <w:sz w:val="24"/>
          <w:highlight w:val="none"/>
        </w:rPr>
      </w:pPr>
      <w:r>
        <w:rPr>
          <w:rFonts w:hint="eastAsia" w:ascii="新宋体" w:hAnsi="新宋体" w:eastAsia="新宋体" w:cs="Courier New"/>
          <w:color w:val="auto"/>
          <w:sz w:val="24"/>
          <w:highlight w:val="none"/>
        </w:rPr>
        <w:t>4.</w:t>
      </w:r>
      <w:r>
        <w:rPr>
          <w:rFonts w:hint="eastAsia" w:ascii="新宋体" w:hAnsi="新宋体" w:eastAsia="新宋体" w:cs="Courier New"/>
          <w:b/>
          <w:color w:val="auto"/>
          <w:sz w:val="24"/>
          <w:highlight w:val="none"/>
        </w:rPr>
        <w:t>开标地点</w:t>
      </w:r>
      <w:r>
        <w:rPr>
          <w:rFonts w:hint="eastAsia" w:ascii="新宋体" w:hAnsi="新宋体" w:eastAsia="新宋体" w:cs="Courier New"/>
          <w:color w:val="auto"/>
          <w:sz w:val="24"/>
          <w:highlight w:val="none"/>
        </w:rPr>
        <w:t>：“政采云”。</w:t>
      </w:r>
    </w:p>
    <w:p>
      <w:pPr>
        <w:pStyle w:val="4"/>
        <w:spacing w:before="120" w:after="120" w:line="400" w:lineRule="exact"/>
        <w:rPr>
          <w:rFonts w:hint="eastAsia" w:ascii="新宋体" w:hAnsi="新宋体" w:eastAsia="新宋体" w:cs="Times New Roman"/>
          <w:b/>
          <w:bCs/>
          <w:color w:val="auto"/>
          <w:sz w:val="28"/>
          <w:szCs w:val="28"/>
          <w:highlight w:val="none"/>
        </w:rPr>
      </w:pPr>
      <w:bookmarkStart w:id="6" w:name="_Toc961"/>
      <w:r>
        <w:rPr>
          <w:rFonts w:hint="eastAsia" w:ascii="新宋体" w:hAnsi="新宋体" w:eastAsia="新宋体" w:cs="Times New Roman"/>
          <w:b/>
          <w:bCs/>
          <w:color w:val="auto"/>
          <w:sz w:val="28"/>
          <w:szCs w:val="28"/>
          <w:highlight w:val="none"/>
        </w:rPr>
        <w:t>五、公告期限</w:t>
      </w:r>
      <w:bookmarkEnd w:id="6"/>
    </w:p>
    <w:p>
      <w:pPr>
        <w:snapToGrid w:val="0"/>
        <w:spacing w:line="400" w:lineRule="exact"/>
        <w:ind w:firstLine="480" w:firstLineChars="200"/>
        <w:rPr>
          <w:rFonts w:hint="eastAsia" w:ascii="新宋体" w:hAnsi="新宋体" w:eastAsia="新宋体" w:cs="Courier New"/>
          <w:color w:val="auto"/>
          <w:sz w:val="24"/>
          <w:highlight w:val="none"/>
        </w:rPr>
      </w:pPr>
      <w:r>
        <w:rPr>
          <w:rFonts w:hint="eastAsia" w:ascii="新宋体" w:hAnsi="新宋体" w:eastAsia="新宋体" w:cs="Courier New"/>
          <w:color w:val="auto"/>
          <w:sz w:val="24"/>
          <w:highlight w:val="none"/>
        </w:rPr>
        <w:t>自本公告发布之日起5个工作日。</w:t>
      </w:r>
    </w:p>
    <w:p>
      <w:pPr>
        <w:pStyle w:val="4"/>
        <w:spacing w:before="120" w:after="120" w:line="400" w:lineRule="exact"/>
        <w:rPr>
          <w:rFonts w:hint="eastAsia" w:ascii="新宋体" w:hAnsi="新宋体" w:eastAsia="新宋体" w:cs="Times New Roman"/>
          <w:b/>
          <w:bCs/>
          <w:color w:val="auto"/>
          <w:sz w:val="28"/>
          <w:szCs w:val="28"/>
          <w:highlight w:val="none"/>
        </w:rPr>
      </w:pPr>
      <w:bookmarkStart w:id="7" w:name="_Toc9426"/>
      <w:r>
        <w:rPr>
          <w:rFonts w:hint="eastAsia" w:ascii="新宋体" w:hAnsi="新宋体" w:eastAsia="新宋体" w:cs="Times New Roman"/>
          <w:b/>
          <w:bCs/>
          <w:color w:val="auto"/>
          <w:sz w:val="28"/>
          <w:szCs w:val="28"/>
          <w:highlight w:val="none"/>
        </w:rPr>
        <w:t>六、其他补充事宜</w:t>
      </w:r>
      <w:bookmarkEnd w:id="7"/>
    </w:p>
    <w:p>
      <w:pPr>
        <w:snapToGrid w:val="0"/>
        <w:spacing w:line="400" w:lineRule="exact"/>
        <w:ind w:firstLine="480" w:firstLineChars="200"/>
        <w:rPr>
          <w:rFonts w:hint="eastAsia" w:ascii="新宋体" w:hAnsi="新宋体" w:eastAsia="新宋体" w:cs="Courier New"/>
          <w:color w:val="auto"/>
          <w:sz w:val="24"/>
          <w:highlight w:val="none"/>
        </w:rPr>
      </w:pPr>
      <w:r>
        <w:rPr>
          <w:rFonts w:hint="eastAsia" w:ascii="新宋体" w:hAnsi="新宋体" w:eastAsia="新宋体" w:cs="Courier New"/>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snapToGrid w:val="0"/>
        <w:spacing w:line="400" w:lineRule="exact"/>
        <w:ind w:firstLine="480" w:firstLineChars="200"/>
        <w:rPr>
          <w:rFonts w:hint="eastAsia" w:ascii="新宋体" w:hAnsi="新宋体" w:eastAsia="新宋体" w:cs="Courier New"/>
          <w:color w:val="auto"/>
          <w:sz w:val="24"/>
          <w:highlight w:val="none"/>
        </w:rPr>
      </w:pPr>
      <w:r>
        <w:rPr>
          <w:rFonts w:hint="eastAsia" w:ascii="新宋体" w:hAnsi="新宋体" w:eastAsia="新宋体" w:cs="Courier New"/>
          <w:color w:val="auto"/>
          <w:sz w:val="24"/>
          <w:highlight w:val="none"/>
        </w:rPr>
        <w:t>2.根据《浙江省财政厅关于进一步促进政府采购公平竞争打造最优营商环境的通知》（浙财采监（2021）22号）文件关于“健全行政裁决机制”要求，鼓励供应商在线提起询问，路径为：“政采云”</w:t>
      </w:r>
      <w:r>
        <w:rPr>
          <w:rFonts w:hint="eastAsia" w:ascii="新宋体" w:hAnsi="新宋体" w:eastAsia="新宋体" w:cs="Courier New"/>
          <w:color w:val="auto"/>
          <w:sz w:val="24"/>
          <w:highlight w:val="none"/>
          <w:lang w:eastAsia="zh-CN"/>
        </w:rPr>
        <w:t>－</w:t>
      </w:r>
      <w:r>
        <w:rPr>
          <w:rFonts w:hint="eastAsia" w:ascii="新宋体" w:hAnsi="新宋体" w:eastAsia="新宋体" w:cs="Courier New"/>
          <w:color w:val="auto"/>
          <w:sz w:val="24"/>
          <w:highlight w:val="none"/>
        </w:rPr>
        <w:t>项目采购</w:t>
      </w:r>
      <w:r>
        <w:rPr>
          <w:rFonts w:hint="eastAsia" w:ascii="新宋体" w:hAnsi="新宋体" w:eastAsia="新宋体" w:cs="Courier New"/>
          <w:color w:val="auto"/>
          <w:sz w:val="24"/>
          <w:highlight w:val="none"/>
          <w:lang w:eastAsia="zh-CN"/>
        </w:rPr>
        <w:t>－</w:t>
      </w:r>
      <w:r>
        <w:rPr>
          <w:rFonts w:hint="eastAsia" w:ascii="新宋体" w:hAnsi="新宋体" w:eastAsia="新宋体" w:cs="Courier New"/>
          <w:color w:val="auto"/>
          <w:sz w:val="24"/>
          <w:highlight w:val="none"/>
        </w:rPr>
        <w:t>询问质疑投诉</w:t>
      </w:r>
      <w:r>
        <w:rPr>
          <w:rFonts w:hint="eastAsia" w:ascii="新宋体" w:hAnsi="新宋体" w:eastAsia="新宋体" w:cs="Courier New"/>
          <w:color w:val="auto"/>
          <w:sz w:val="24"/>
          <w:highlight w:val="none"/>
          <w:lang w:eastAsia="zh-CN"/>
        </w:rPr>
        <w:t>－</w:t>
      </w:r>
      <w:r>
        <w:rPr>
          <w:rFonts w:hint="eastAsia" w:ascii="新宋体" w:hAnsi="新宋体" w:eastAsia="新宋体" w:cs="Courier New"/>
          <w:color w:val="auto"/>
          <w:sz w:val="24"/>
          <w:highlight w:val="none"/>
        </w:rPr>
        <w:t>询问列表</w:t>
      </w:r>
      <w:r>
        <w:rPr>
          <w:rFonts w:hint="eastAsia" w:ascii="新宋体" w:hAnsi="新宋体" w:eastAsia="新宋体" w:cs="Courier New"/>
          <w:color w:val="auto"/>
          <w:sz w:val="24"/>
          <w:highlight w:val="none"/>
          <w:lang w:eastAsia="zh-CN"/>
        </w:rPr>
        <w:t>；</w:t>
      </w:r>
      <w:r>
        <w:rPr>
          <w:rFonts w:hint="eastAsia" w:ascii="新宋体" w:hAnsi="新宋体" w:eastAsia="新宋体" w:cs="Courier New"/>
          <w:color w:val="auto"/>
          <w:sz w:val="24"/>
          <w:highlight w:val="none"/>
        </w:rPr>
        <w:t>鼓励供应商在线提起质疑，路径为：“政采云”</w:t>
      </w:r>
      <w:r>
        <w:rPr>
          <w:rFonts w:hint="eastAsia" w:ascii="新宋体" w:hAnsi="新宋体" w:eastAsia="新宋体" w:cs="Courier New"/>
          <w:color w:val="auto"/>
          <w:sz w:val="24"/>
          <w:highlight w:val="none"/>
          <w:lang w:eastAsia="zh-CN"/>
        </w:rPr>
        <w:t>－</w:t>
      </w:r>
      <w:r>
        <w:rPr>
          <w:rFonts w:hint="eastAsia" w:ascii="新宋体" w:hAnsi="新宋体" w:eastAsia="新宋体" w:cs="Courier New"/>
          <w:color w:val="auto"/>
          <w:sz w:val="24"/>
          <w:highlight w:val="none"/>
        </w:rPr>
        <w:t>项目采购</w:t>
      </w:r>
      <w:r>
        <w:rPr>
          <w:rFonts w:hint="eastAsia" w:ascii="新宋体" w:hAnsi="新宋体" w:eastAsia="新宋体" w:cs="Courier New"/>
          <w:color w:val="auto"/>
          <w:sz w:val="24"/>
          <w:highlight w:val="none"/>
          <w:lang w:eastAsia="zh-CN"/>
        </w:rPr>
        <w:t>－</w:t>
      </w:r>
      <w:r>
        <w:rPr>
          <w:rFonts w:hint="eastAsia" w:ascii="新宋体" w:hAnsi="新宋体" w:eastAsia="新宋体" w:cs="Courier New"/>
          <w:color w:val="auto"/>
          <w:sz w:val="24"/>
          <w:highlight w:val="none"/>
        </w:rPr>
        <w:t>询问质疑投诉</w:t>
      </w:r>
      <w:r>
        <w:rPr>
          <w:rFonts w:hint="eastAsia" w:ascii="新宋体" w:hAnsi="新宋体" w:eastAsia="新宋体" w:cs="Courier New"/>
          <w:color w:val="auto"/>
          <w:sz w:val="24"/>
          <w:highlight w:val="none"/>
          <w:lang w:eastAsia="zh-CN"/>
        </w:rPr>
        <w:t>－</w:t>
      </w:r>
      <w:r>
        <w:rPr>
          <w:rFonts w:hint="eastAsia" w:ascii="新宋体" w:hAnsi="新宋体" w:eastAsia="新宋体" w:cs="Courier New"/>
          <w:color w:val="auto"/>
          <w:sz w:val="24"/>
          <w:highlight w:val="none"/>
        </w:rPr>
        <w:t>质疑列表。质疑供应商对在线质疑答复不满意的，可在线提起投诉，路径为：浙江政府服务网</w:t>
      </w:r>
      <w:r>
        <w:rPr>
          <w:rFonts w:hint="eastAsia" w:ascii="新宋体" w:hAnsi="新宋体" w:eastAsia="新宋体" w:cs="Courier New"/>
          <w:color w:val="auto"/>
          <w:sz w:val="24"/>
          <w:highlight w:val="none"/>
          <w:lang w:eastAsia="zh-CN"/>
        </w:rPr>
        <w:t>－</w:t>
      </w:r>
      <w:r>
        <w:rPr>
          <w:rFonts w:hint="eastAsia" w:ascii="新宋体" w:hAnsi="新宋体" w:eastAsia="新宋体" w:cs="Courier New"/>
          <w:color w:val="auto"/>
          <w:sz w:val="24"/>
          <w:highlight w:val="none"/>
        </w:rPr>
        <w:t>政府采购投诉处理</w:t>
      </w:r>
      <w:r>
        <w:rPr>
          <w:rFonts w:hint="eastAsia" w:ascii="新宋体" w:hAnsi="新宋体" w:eastAsia="新宋体" w:cs="Courier New"/>
          <w:color w:val="auto"/>
          <w:sz w:val="24"/>
          <w:highlight w:val="none"/>
          <w:lang w:eastAsia="zh-CN"/>
        </w:rPr>
        <w:t>－</w:t>
      </w:r>
      <w:r>
        <w:rPr>
          <w:rFonts w:hint="eastAsia" w:ascii="新宋体" w:hAnsi="新宋体" w:eastAsia="新宋体" w:cs="Courier New"/>
          <w:color w:val="auto"/>
          <w:sz w:val="24"/>
          <w:highlight w:val="none"/>
        </w:rPr>
        <w:t>在线办理。</w:t>
      </w:r>
    </w:p>
    <w:p>
      <w:pPr>
        <w:snapToGrid w:val="0"/>
        <w:spacing w:line="400" w:lineRule="exact"/>
        <w:ind w:firstLine="480" w:firstLineChars="200"/>
        <w:rPr>
          <w:rFonts w:hint="eastAsia" w:ascii="新宋体" w:hAnsi="新宋体" w:eastAsia="新宋体" w:cs="Courier New"/>
          <w:color w:val="auto"/>
          <w:sz w:val="24"/>
          <w:highlight w:val="none"/>
          <w:lang w:eastAsia="zh-CN"/>
        </w:rPr>
      </w:pPr>
      <w:r>
        <w:rPr>
          <w:rFonts w:hint="eastAsia" w:ascii="新宋体" w:hAnsi="新宋体" w:eastAsia="新宋体" w:cs="Courier New"/>
          <w:color w:val="auto"/>
          <w:sz w:val="24"/>
          <w:highlight w:val="none"/>
          <w:lang w:val="en-US" w:eastAsia="zh-CN"/>
        </w:rPr>
        <w:t>3</w:t>
      </w:r>
      <w:r>
        <w:rPr>
          <w:rFonts w:hint="eastAsia" w:ascii="新宋体" w:hAnsi="新宋体" w:eastAsia="新宋体" w:cs="Courier New"/>
          <w:color w:val="auto"/>
          <w:sz w:val="24"/>
          <w:highlight w:val="none"/>
        </w:rPr>
        <w:t>.</w:t>
      </w:r>
      <w:r>
        <w:rPr>
          <w:rFonts w:hint="eastAsia" w:ascii="新宋体" w:hAnsi="新宋体" w:eastAsia="新宋体" w:cs="Courier New"/>
          <w:color w:val="auto"/>
          <w:sz w:val="24"/>
          <w:highlight w:val="none"/>
          <w:lang w:eastAsia="zh-CN"/>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400" w:lineRule="exact"/>
        <w:ind w:firstLine="480" w:firstLineChars="200"/>
        <w:rPr>
          <w:rFonts w:hint="eastAsia" w:ascii="新宋体" w:hAnsi="新宋体" w:eastAsia="新宋体" w:cs="Courier New"/>
          <w:color w:val="auto"/>
          <w:sz w:val="24"/>
          <w:highlight w:val="none"/>
          <w:lang w:eastAsia="zh-CN"/>
        </w:rPr>
      </w:pPr>
      <w:r>
        <w:rPr>
          <w:rFonts w:hint="eastAsia" w:ascii="新宋体" w:hAnsi="新宋体" w:eastAsia="新宋体" w:cs="Courier New"/>
          <w:color w:val="auto"/>
          <w:sz w:val="24"/>
          <w:highlight w:val="none"/>
          <w:lang w:val="en-US" w:eastAsia="zh-CN"/>
        </w:rPr>
        <w:t>4</w:t>
      </w:r>
      <w:r>
        <w:rPr>
          <w:rFonts w:hint="eastAsia" w:ascii="新宋体" w:hAnsi="新宋体" w:eastAsia="新宋体" w:cs="Courier New"/>
          <w:color w:val="auto"/>
          <w:sz w:val="24"/>
          <w:highlight w:val="none"/>
        </w:rPr>
        <w:t>.投标保证金：无</w:t>
      </w:r>
      <w:r>
        <w:rPr>
          <w:rFonts w:hint="eastAsia" w:ascii="新宋体" w:hAnsi="新宋体" w:eastAsia="新宋体" w:cs="Courier New"/>
          <w:color w:val="auto"/>
          <w:sz w:val="24"/>
          <w:highlight w:val="none"/>
          <w:lang w:eastAsia="zh-CN"/>
        </w:rPr>
        <w:t>。</w:t>
      </w:r>
    </w:p>
    <w:p>
      <w:pPr>
        <w:snapToGrid w:val="0"/>
        <w:spacing w:line="400" w:lineRule="exact"/>
        <w:ind w:firstLine="480" w:firstLineChars="200"/>
        <w:rPr>
          <w:rFonts w:hint="eastAsia" w:ascii="新宋体" w:hAnsi="新宋体" w:eastAsia="新宋体" w:cs="Courier New"/>
          <w:color w:val="auto"/>
          <w:sz w:val="24"/>
          <w:highlight w:val="none"/>
        </w:rPr>
      </w:pPr>
      <w:r>
        <w:rPr>
          <w:rFonts w:hint="eastAsia" w:ascii="新宋体" w:hAnsi="新宋体" w:eastAsia="新宋体" w:cs="Courier New"/>
          <w:color w:val="auto"/>
          <w:sz w:val="24"/>
          <w:highlight w:val="none"/>
          <w:lang w:val="en-US" w:eastAsia="zh-CN"/>
        </w:rPr>
        <w:t>5</w:t>
      </w:r>
      <w:r>
        <w:rPr>
          <w:rFonts w:hint="eastAsia" w:ascii="新宋体" w:hAnsi="新宋体" w:eastAsia="新宋体" w:cs="Courier New"/>
          <w:color w:val="auto"/>
          <w:sz w:val="24"/>
          <w:highlight w:val="none"/>
        </w:rPr>
        <w:t>.投标与开标注意事项：</w:t>
      </w:r>
    </w:p>
    <w:p>
      <w:pPr>
        <w:snapToGrid w:val="0"/>
        <w:spacing w:line="400" w:lineRule="exact"/>
        <w:ind w:firstLine="480" w:firstLineChars="200"/>
        <w:rPr>
          <w:rFonts w:hint="eastAsia" w:ascii="新宋体" w:hAnsi="新宋体" w:eastAsia="新宋体" w:cs="Courier New"/>
          <w:color w:val="auto"/>
          <w:sz w:val="24"/>
          <w:highlight w:val="none"/>
          <w:lang w:eastAsia="zh-CN"/>
        </w:rPr>
      </w:pPr>
      <w:r>
        <w:rPr>
          <w:rFonts w:hint="eastAsia" w:ascii="新宋体" w:hAnsi="新宋体" w:eastAsia="新宋体" w:cs="Courier New"/>
          <w:color w:val="auto"/>
          <w:sz w:val="24"/>
          <w:highlight w:val="none"/>
        </w:rPr>
        <w:t>①标前准备：本项目通过“政采云”实行在线投标（电子投标），各供应商在投标前应确保成为浙江政府采购网正式注册入库供应商，并完成CA数字证书办理。【办理流程详见电子投标工具链接：</w:t>
      </w:r>
      <w:r>
        <w:rPr>
          <w:rFonts w:hint="eastAsia" w:ascii="新宋体" w:hAnsi="新宋体" w:eastAsia="新宋体" w:cs="Courier New"/>
          <w:color w:val="auto"/>
          <w:sz w:val="24"/>
          <w:highlight w:val="none"/>
        </w:rPr>
        <w:fldChar w:fldCharType="begin"/>
      </w:r>
      <w:r>
        <w:rPr>
          <w:rFonts w:hint="eastAsia" w:ascii="新宋体" w:hAnsi="新宋体" w:eastAsia="新宋体" w:cs="Courier New"/>
          <w:color w:val="auto"/>
          <w:sz w:val="24"/>
          <w:highlight w:val="none"/>
        </w:rPr>
        <w:instrText xml:space="preserve"> HYPERLINK "file:///C:\\Users\\Administrator\\AppData\\Roaming\\Microsoft\\Word\\CA申领操作指南.pdf" </w:instrText>
      </w:r>
      <w:r>
        <w:rPr>
          <w:rFonts w:hint="eastAsia" w:ascii="新宋体" w:hAnsi="新宋体" w:eastAsia="新宋体" w:cs="Courier New"/>
          <w:color w:val="auto"/>
          <w:sz w:val="24"/>
          <w:highlight w:val="none"/>
        </w:rPr>
        <w:fldChar w:fldCharType="separate"/>
      </w:r>
      <w:r>
        <w:rPr>
          <w:rFonts w:hint="eastAsia" w:ascii="新宋体" w:hAnsi="新宋体" w:eastAsia="新宋体" w:cs="Courier New"/>
          <w:color w:val="auto"/>
          <w:sz w:val="24"/>
          <w:highlight w:val="none"/>
        </w:rPr>
        <w:t>申领操作流程</w:t>
      </w:r>
      <w:r>
        <w:rPr>
          <w:rFonts w:hint="eastAsia" w:ascii="新宋体" w:hAnsi="新宋体" w:eastAsia="新宋体" w:cs="Courier New"/>
          <w:color w:val="auto"/>
          <w:sz w:val="24"/>
          <w:highlight w:val="none"/>
        </w:rPr>
        <w:fldChar w:fldCharType="end"/>
      </w:r>
      <w:r>
        <w:rPr>
          <w:rFonts w:hint="eastAsia" w:ascii="新宋体" w:hAnsi="新宋体" w:eastAsia="新宋体" w:cs="Courier New"/>
          <w:color w:val="auto"/>
          <w:sz w:val="24"/>
          <w:highlight w:val="none"/>
        </w:rPr>
        <w:t>（目前“政采云”</w:t>
      </w:r>
      <w:r>
        <w:rPr>
          <w:rFonts w:hint="eastAsia" w:ascii="新宋体" w:hAnsi="新宋体" w:eastAsia="新宋体" w:cs="Courier New"/>
          <w:color w:val="auto"/>
          <w:sz w:val="24"/>
          <w:highlight w:val="none"/>
          <w:lang w:eastAsia="zh-CN"/>
        </w:rPr>
        <w:t>支持</w:t>
      </w:r>
      <w:r>
        <w:rPr>
          <w:rFonts w:hint="eastAsia" w:ascii="新宋体" w:hAnsi="新宋体" w:eastAsia="新宋体" w:cs="Courier New"/>
          <w:color w:val="auto"/>
          <w:sz w:val="24"/>
          <w:highlight w:val="none"/>
        </w:rPr>
        <w:t>浙江汇信或天谷CA锁，个体工商户投标</w:t>
      </w:r>
      <w:r>
        <w:rPr>
          <w:rFonts w:hint="eastAsia" w:ascii="新宋体" w:hAnsi="新宋体" w:eastAsia="新宋体" w:cs="Courier New"/>
          <w:color w:val="auto"/>
          <w:sz w:val="24"/>
          <w:highlight w:val="none"/>
          <w:lang w:eastAsia="zh-CN"/>
        </w:rPr>
        <w:t>支持</w:t>
      </w:r>
      <w:r>
        <w:rPr>
          <w:rFonts w:hint="eastAsia" w:ascii="新宋体" w:hAnsi="新宋体" w:eastAsia="新宋体" w:cs="Courier New"/>
          <w:color w:val="auto"/>
          <w:sz w:val="24"/>
          <w:highlight w:val="none"/>
        </w:rPr>
        <w:t>浙江汇信CA锁）】。因未注册入库、未办理CA数字证书等原因造成无法投标或投标失败等后果由供应商自行承担</w:t>
      </w:r>
      <w:r>
        <w:rPr>
          <w:rFonts w:hint="eastAsia" w:ascii="新宋体" w:hAnsi="新宋体" w:eastAsia="新宋体" w:cs="Courier New"/>
          <w:color w:val="auto"/>
          <w:sz w:val="24"/>
          <w:highlight w:val="none"/>
          <w:lang w:eastAsia="zh-CN"/>
        </w:rPr>
        <w:t>；</w:t>
      </w:r>
    </w:p>
    <w:p>
      <w:pPr>
        <w:snapToGrid w:val="0"/>
        <w:spacing w:line="400" w:lineRule="exact"/>
        <w:ind w:firstLine="480" w:firstLineChars="200"/>
        <w:rPr>
          <w:rFonts w:hint="eastAsia" w:ascii="新宋体" w:hAnsi="新宋体" w:eastAsia="新宋体" w:cs="Courier New"/>
          <w:color w:val="auto"/>
          <w:sz w:val="24"/>
          <w:highlight w:val="none"/>
          <w:lang w:eastAsia="zh-CN"/>
        </w:rPr>
      </w:pPr>
      <w:r>
        <w:rPr>
          <w:rFonts w:hint="eastAsia" w:ascii="新宋体" w:hAnsi="新宋体" w:eastAsia="新宋体" w:cs="Courier New"/>
          <w:color w:val="auto"/>
          <w:sz w:val="24"/>
          <w:highlight w:val="none"/>
        </w:rPr>
        <w:t>②</w:t>
      </w:r>
      <w:r>
        <w:rPr>
          <w:rFonts w:ascii="新宋体" w:hAnsi="新宋体" w:eastAsia="新宋体"/>
          <w:color w:val="auto"/>
          <w:sz w:val="24"/>
          <w:highlight w:val="none"/>
        </w:rPr>
        <w:t>投标文件制作：投标人通过</w:t>
      </w:r>
      <w:r>
        <w:rPr>
          <w:rFonts w:hint="eastAsia" w:ascii="新宋体" w:hAnsi="新宋体" w:eastAsia="新宋体"/>
          <w:color w:val="auto"/>
          <w:sz w:val="24"/>
          <w:highlight w:val="none"/>
        </w:rPr>
        <w:t>“政采云”</w:t>
      </w:r>
      <w:r>
        <w:rPr>
          <w:rFonts w:ascii="新宋体" w:hAnsi="新宋体" w:eastAsia="新宋体"/>
          <w:color w:val="auto"/>
          <w:sz w:val="24"/>
          <w:highlight w:val="none"/>
        </w:rPr>
        <w:t>电子投标工具制作投标文件，电子投标工具请供应商自行前往浙江省政府采购网下载并安装，投标文件制作具体流程详见</w:t>
      </w:r>
      <w:r>
        <w:rPr>
          <w:rFonts w:hint="eastAsia" w:ascii="新宋体" w:hAnsi="新宋体" w:eastAsia="新宋体" w:cs="Courier New"/>
          <w:color w:val="auto"/>
          <w:sz w:val="24"/>
          <w:highlight w:val="none"/>
        </w:rPr>
        <w:t>“政采云”</w:t>
      </w:r>
      <w:r>
        <w:rPr>
          <w:rFonts w:ascii="新宋体" w:hAnsi="新宋体" w:eastAsia="新宋体"/>
          <w:color w:val="auto"/>
          <w:sz w:val="24"/>
          <w:highlight w:val="none"/>
        </w:rPr>
        <w:t>供应商项目采购</w:t>
      </w:r>
      <w:r>
        <w:rPr>
          <w:rFonts w:hint="eastAsia" w:ascii="新宋体" w:hAnsi="新宋体" w:eastAsia="新宋体"/>
          <w:color w:val="auto"/>
          <w:sz w:val="24"/>
          <w:highlight w:val="none"/>
          <w:lang w:eastAsia="zh-CN"/>
        </w:rPr>
        <w:t>－</w:t>
      </w:r>
      <w:r>
        <w:rPr>
          <w:rFonts w:ascii="新宋体" w:hAnsi="新宋体" w:eastAsia="新宋体"/>
          <w:color w:val="auto"/>
          <w:sz w:val="24"/>
          <w:highlight w:val="none"/>
        </w:rPr>
        <w:t>电子招投标</w:t>
      </w:r>
      <w:r>
        <w:rPr>
          <w:rFonts w:ascii="新宋体" w:hAnsi="新宋体" w:eastAsia="新宋体" w:cs="Times New Roman"/>
          <w:color w:val="auto"/>
          <w:sz w:val="24"/>
          <w:highlight w:val="none"/>
        </w:rPr>
        <w:t>操作指南</w:t>
      </w:r>
      <w:r>
        <w:rPr>
          <w:rFonts w:hint="eastAsia" w:ascii="新宋体" w:hAnsi="新宋体" w:eastAsia="新宋体" w:cs="Times New Roman"/>
          <w:color w:val="auto"/>
          <w:sz w:val="24"/>
          <w:highlight w:val="none"/>
          <w:lang w:eastAsia="zh-CN"/>
        </w:rPr>
        <w:t>，</w:t>
      </w:r>
      <w:r>
        <w:rPr>
          <w:rFonts w:ascii="新宋体" w:hAnsi="新宋体" w:eastAsia="新宋体" w:cs="Times New Roman"/>
          <w:color w:val="auto"/>
          <w:sz w:val="24"/>
          <w:highlight w:val="none"/>
        </w:rPr>
        <w:t>以获取最新操作指南</w:t>
      </w:r>
      <w:r>
        <w:rPr>
          <w:rFonts w:hint="eastAsia" w:ascii="新宋体" w:hAnsi="新宋体" w:eastAsia="新宋体" w:cs="Times New Roman"/>
          <w:color w:val="auto"/>
          <w:sz w:val="24"/>
          <w:highlight w:val="none"/>
          <w:lang w:eastAsia="zh-CN"/>
        </w:rPr>
        <w:t>；</w:t>
      </w:r>
    </w:p>
    <w:p>
      <w:pPr>
        <w:snapToGrid w:val="0"/>
        <w:spacing w:line="400" w:lineRule="exact"/>
        <w:ind w:firstLine="480" w:firstLineChars="200"/>
        <w:rPr>
          <w:rFonts w:hint="eastAsia" w:ascii="新宋体" w:hAnsi="新宋体" w:eastAsia="新宋体" w:cs="Courier New"/>
          <w:color w:val="auto"/>
          <w:sz w:val="24"/>
          <w:highlight w:val="none"/>
          <w:lang w:eastAsia="zh-CN"/>
        </w:rPr>
      </w:pPr>
      <w:r>
        <w:rPr>
          <w:rFonts w:hint="eastAsia" w:ascii="新宋体" w:hAnsi="新宋体" w:eastAsia="新宋体" w:cs="Courier New"/>
          <w:color w:val="auto"/>
          <w:sz w:val="24"/>
          <w:highlight w:val="none"/>
        </w:rPr>
        <w:t>③</w:t>
      </w:r>
      <w:r>
        <w:rPr>
          <w:rFonts w:hint="eastAsia" w:ascii="新宋体" w:hAnsi="新宋体" w:eastAsia="新宋体" w:cs="Courier New"/>
          <w:color w:val="auto"/>
          <w:sz w:val="24"/>
          <w:highlight w:val="none"/>
          <w:u w:val="single"/>
        </w:rPr>
        <w:t>投标文件上传：投标人应在投标截止时间之前上传投标文件</w:t>
      </w:r>
      <w:r>
        <w:rPr>
          <w:rFonts w:hint="eastAsia" w:ascii="新宋体" w:hAnsi="新宋体" w:eastAsia="新宋体" w:cs="Courier New"/>
          <w:color w:val="auto"/>
          <w:sz w:val="24"/>
          <w:highlight w:val="none"/>
        </w:rPr>
        <w:t>。同时，投标人可在投标截止时间前，将在“政采云”上最后生成的具备电子签章的备份加密投标文件，以电子邮件方式传送至义乌市政府采购中心邮箱（ywszfcgzx@163.com），传送的备份投标文件（文件名采用“采购编号+投标人名称+系统自动生成的后缀名”）需打包压缩并加密，加密密码由投标人自行保管。为了防止泄密，建议投标人在设置加密密码时采用大小写字母加数字的组合方式。</w:t>
      </w:r>
      <w:r>
        <w:rPr>
          <w:rFonts w:hint="eastAsia" w:ascii="新宋体" w:hAnsi="新宋体" w:eastAsia="新宋体" w:cs="Courier New"/>
          <w:b/>
          <w:bCs/>
          <w:color w:val="auto"/>
          <w:sz w:val="24"/>
          <w:highlight w:val="none"/>
        </w:rPr>
        <w:t>投标供应商仅递交备份投标文件的，投标无效</w:t>
      </w:r>
      <w:r>
        <w:rPr>
          <w:rFonts w:hint="eastAsia" w:ascii="新宋体" w:hAnsi="新宋体" w:eastAsia="新宋体" w:cs="Courier New"/>
          <w:color w:val="auto"/>
          <w:sz w:val="24"/>
          <w:highlight w:val="none"/>
          <w:lang w:eastAsia="zh-CN"/>
        </w:rPr>
        <w:t>；</w:t>
      </w:r>
    </w:p>
    <w:p>
      <w:pPr>
        <w:snapToGrid w:val="0"/>
        <w:spacing w:line="400" w:lineRule="exact"/>
        <w:ind w:firstLine="480" w:firstLineChars="200"/>
        <w:rPr>
          <w:rFonts w:hint="eastAsia" w:ascii="新宋体" w:hAnsi="新宋体" w:eastAsia="新宋体" w:cs="Courier New"/>
          <w:color w:val="auto"/>
          <w:sz w:val="24"/>
          <w:highlight w:val="none"/>
        </w:rPr>
      </w:pPr>
      <w:r>
        <w:rPr>
          <w:rFonts w:hint="eastAsia" w:ascii="新宋体" w:hAnsi="新宋体" w:eastAsia="新宋体" w:cs="Courier New"/>
          <w:color w:val="auto"/>
          <w:sz w:val="24"/>
          <w:highlight w:val="none"/>
        </w:rPr>
        <w:t>④开标与投标文件解密：本项目采用线上开标，供应商无需到开标现场，但应准时参加线上开标。开标时间后</w:t>
      </w:r>
      <w:r>
        <w:rPr>
          <w:rFonts w:hint="eastAsia" w:ascii="新宋体" w:hAnsi="新宋体" w:eastAsia="新宋体" w:cs="Courier New"/>
          <w:color w:val="auto"/>
          <w:sz w:val="24"/>
          <w:highlight w:val="none"/>
          <w:lang w:val="en-US" w:eastAsia="zh-CN"/>
        </w:rPr>
        <w:t>招标方</w:t>
      </w:r>
      <w:r>
        <w:rPr>
          <w:rFonts w:hint="eastAsia" w:ascii="新宋体" w:hAnsi="新宋体" w:eastAsia="新宋体" w:cs="Courier New"/>
          <w:color w:val="auto"/>
          <w:sz w:val="24"/>
          <w:highlight w:val="none"/>
        </w:rPr>
        <w:t>开启解密。开启解密后的1小时内，供应商应当登录</w:t>
      </w:r>
      <w:r>
        <w:rPr>
          <w:rFonts w:hint="eastAsia" w:ascii="新宋体" w:hAnsi="新宋体" w:eastAsia="新宋体" w:cs="Courier New"/>
          <w:color w:val="auto"/>
          <w:sz w:val="24"/>
          <w:highlight w:val="none"/>
          <w:lang w:eastAsia="zh-CN"/>
        </w:rPr>
        <w:t>“政采云”</w:t>
      </w:r>
      <w:r>
        <w:rPr>
          <w:rFonts w:hint="eastAsia" w:ascii="新宋体" w:hAnsi="新宋体" w:eastAsia="新宋体" w:cs="Courier New"/>
          <w:color w:val="auto"/>
          <w:sz w:val="24"/>
          <w:highlight w:val="none"/>
        </w:rPr>
        <w:t>，用“项目采购</w:t>
      </w:r>
      <w:r>
        <w:rPr>
          <w:rFonts w:hint="eastAsia" w:ascii="新宋体" w:hAnsi="新宋体" w:eastAsia="新宋体" w:cs="Courier New"/>
          <w:color w:val="auto"/>
          <w:sz w:val="24"/>
          <w:highlight w:val="none"/>
          <w:lang w:eastAsia="zh-CN"/>
        </w:rPr>
        <w:t>－</w:t>
      </w:r>
      <w:r>
        <w:rPr>
          <w:rFonts w:hint="eastAsia" w:ascii="新宋体" w:hAnsi="新宋体" w:eastAsia="新宋体" w:cs="Courier New"/>
          <w:color w:val="auto"/>
          <w:sz w:val="24"/>
          <w:highlight w:val="none"/>
        </w:rPr>
        <w:t>开标评标”功能解密投标文件。</w:t>
      </w:r>
    </w:p>
    <w:p>
      <w:pPr>
        <w:snapToGrid w:val="0"/>
        <w:spacing w:line="400" w:lineRule="exact"/>
        <w:ind w:firstLine="480" w:firstLineChars="200"/>
        <w:rPr>
          <w:rFonts w:hint="eastAsia" w:ascii="新宋体" w:hAnsi="新宋体" w:eastAsia="新宋体" w:cs="Courier New"/>
          <w:color w:val="auto"/>
          <w:sz w:val="24"/>
          <w:highlight w:val="none"/>
        </w:rPr>
      </w:pPr>
      <w:r>
        <w:rPr>
          <w:rFonts w:hint="eastAsia" w:ascii="新宋体" w:hAnsi="新宋体" w:eastAsia="新宋体" w:cs="Courier New"/>
          <w:color w:val="auto"/>
          <w:sz w:val="24"/>
          <w:highlight w:val="none"/>
        </w:rPr>
        <w:t>如“政采云”上投标文件在规定时间内出现解密失败的，投标人可按照自身意愿确认同意提供加密密码，启用备份文件，并由招标方把备份文件上传至“政采云”。如投标人未按照规定时间及要求提供有效备份标书，同时“政采云”上投标文件解密失败的，将导致投标无效。</w:t>
      </w:r>
    </w:p>
    <w:p>
      <w:pPr>
        <w:snapToGrid w:val="0"/>
        <w:spacing w:line="400" w:lineRule="exact"/>
        <w:ind w:firstLine="480" w:firstLineChars="200"/>
        <w:rPr>
          <w:rFonts w:hint="eastAsia" w:ascii="新宋体" w:hAnsi="新宋体" w:eastAsia="新宋体" w:cs="Courier New"/>
          <w:color w:val="auto"/>
          <w:sz w:val="24"/>
          <w:highlight w:val="none"/>
        </w:rPr>
      </w:pPr>
      <w:r>
        <w:rPr>
          <w:rFonts w:hint="eastAsia" w:ascii="新宋体" w:hAnsi="新宋体" w:eastAsia="新宋体" w:cs="Courier New"/>
          <w:color w:val="auto"/>
          <w:sz w:val="24"/>
          <w:highlight w:val="none"/>
        </w:rPr>
        <w:t>如果投标人发送两份以上备份投标文件的，以最后收到的一份为准，通过“政采云”上传递交的“加密投标文件”已按时解密的，“备份投标文件”自动失效。</w:t>
      </w:r>
    </w:p>
    <w:p>
      <w:pPr>
        <w:snapToGrid w:val="0"/>
        <w:spacing w:line="400" w:lineRule="exact"/>
        <w:ind w:firstLine="480" w:firstLineChars="200"/>
        <w:rPr>
          <w:rFonts w:hint="eastAsia" w:ascii="新宋体" w:hAnsi="新宋体" w:eastAsia="新宋体" w:cs="Courier New"/>
          <w:color w:val="auto"/>
          <w:sz w:val="24"/>
          <w:highlight w:val="none"/>
        </w:rPr>
      </w:pPr>
      <w:r>
        <w:rPr>
          <w:rFonts w:hint="eastAsia" w:ascii="新宋体" w:hAnsi="新宋体" w:eastAsia="新宋体" w:cs="Courier New"/>
          <w:color w:val="auto"/>
          <w:sz w:val="24"/>
          <w:highlight w:val="none"/>
        </w:rPr>
        <w:t>6.参与在线投标时如遇平台技术问题可登录“政采云”，点击右侧咨询小采，获取采小蜜智能服务管家帮助，或拨打“政采云”服务热线95763（服务时间：工作日8：00-20：00）；电子投标制作问题详询：汪先生0579</w:t>
      </w:r>
      <w:r>
        <w:rPr>
          <w:rFonts w:hint="eastAsia" w:ascii="新宋体" w:hAnsi="新宋体" w:eastAsia="新宋体" w:cs="Courier New"/>
          <w:color w:val="auto"/>
          <w:sz w:val="24"/>
          <w:szCs w:val="24"/>
          <w:highlight w:val="none"/>
          <w:lang w:val="en-US" w:eastAsia="zh-CN"/>
        </w:rPr>
        <w:t>-</w:t>
      </w:r>
      <w:r>
        <w:rPr>
          <w:rFonts w:hint="eastAsia" w:ascii="新宋体" w:hAnsi="新宋体" w:eastAsia="新宋体" w:cs="Courier New"/>
          <w:color w:val="auto"/>
          <w:sz w:val="24"/>
          <w:highlight w:val="none"/>
        </w:rPr>
        <w:t>85583800。</w:t>
      </w:r>
    </w:p>
    <w:p>
      <w:pPr>
        <w:snapToGrid w:val="0"/>
        <w:spacing w:line="400" w:lineRule="exact"/>
        <w:ind w:firstLine="480" w:firstLineChars="200"/>
        <w:rPr>
          <w:rFonts w:hint="eastAsia" w:ascii="新宋体" w:hAnsi="新宋体" w:eastAsia="新宋体" w:cs="Courier New"/>
          <w:color w:val="auto"/>
          <w:sz w:val="24"/>
          <w:highlight w:val="none"/>
        </w:rPr>
      </w:pPr>
      <w:r>
        <w:rPr>
          <w:rFonts w:hint="eastAsia" w:ascii="新宋体" w:hAnsi="新宋体" w:eastAsia="新宋体" w:cs="Courier New"/>
          <w:color w:val="auto"/>
          <w:sz w:val="24"/>
          <w:highlight w:val="none"/>
        </w:rPr>
        <w:t>7.CA问题联系电话（人工）：汇信CA 400-888-4636；天谷CA 400-087-8198。</w:t>
      </w:r>
    </w:p>
    <w:p>
      <w:pPr>
        <w:pStyle w:val="4"/>
        <w:spacing w:before="120" w:after="120" w:line="400" w:lineRule="exact"/>
        <w:rPr>
          <w:rFonts w:hint="eastAsia" w:ascii="新宋体" w:hAnsi="新宋体" w:eastAsia="新宋体" w:cs="Times New Roman"/>
          <w:b/>
          <w:bCs/>
          <w:color w:val="auto"/>
          <w:sz w:val="28"/>
          <w:szCs w:val="28"/>
          <w:highlight w:val="none"/>
        </w:rPr>
      </w:pPr>
      <w:bookmarkStart w:id="8" w:name="_Toc27360"/>
      <w:r>
        <w:rPr>
          <w:rFonts w:hint="eastAsia" w:ascii="新宋体" w:hAnsi="新宋体" w:eastAsia="新宋体" w:cs="Times New Roman"/>
          <w:b/>
          <w:bCs/>
          <w:color w:val="auto"/>
          <w:sz w:val="28"/>
          <w:szCs w:val="28"/>
          <w:highlight w:val="none"/>
        </w:rPr>
        <w:t>七、对本次招标提出询问、质疑、投诉，请按以下方式联系</w:t>
      </w:r>
      <w:r>
        <w:rPr>
          <w:rFonts w:hint="eastAsia" w:ascii="新宋体" w:hAnsi="新宋体" w:eastAsia="新宋体" w:cs="Times New Roman"/>
          <w:b/>
          <w:bCs/>
          <w:color w:val="auto"/>
          <w:sz w:val="28"/>
          <w:szCs w:val="28"/>
          <w:highlight w:val="none"/>
          <w:lang w:eastAsia="zh-CN"/>
        </w:rPr>
        <w:t>：</w:t>
      </w:r>
      <w:bookmarkEnd w:id="8"/>
    </w:p>
    <w:p>
      <w:pPr>
        <w:snapToGrid w:val="0"/>
        <w:spacing w:line="400" w:lineRule="exact"/>
        <w:ind w:firstLine="482" w:firstLineChars="200"/>
        <w:rPr>
          <w:rFonts w:hint="eastAsia" w:ascii="新宋体" w:hAnsi="新宋体" w:eastAsia="新宋体" w:cs="新宋体"/>
          <w:b/>
          <w:color w:val="auto"/>
          <w:sz w:val="24"/>
          <w:highlight w:val="none"/>
          <w:lang w:eastAsia="zh-CN"/>
        </w:rPr>
      </w:pPr>
      <w:r>
        <w:rPr>
          <w:rFonts w:hint="eastAsia" w:ascii="新宋体" w:hAnsi="新宋体" w:eastAsia="新宋体" w:cs="新宋体"/>
          <w:b/>
          <w:color w:val="auto"/>
          <w:sz w:val="24"/>
          <w:highlight w:val="none"/>
        </w:rPr>
        <w:t>1.采购人信息</w:t>
      </w:r>
      <w:r>
        <w:rPr>
          <w:rFonts w:hint="eastAsia" w:ascii="新宋体" w:hAnsi="新宋体" w:eastAsia="新宋体" w:cs="新宋体"/>
          <w:b/>
          <w:color w:val="auto"/>
          <w:sz w:val="24"/>
          <w:highlight w:val="none"/>
          <w:lang w:eastAsia="zh-CN"/>
        </w:rPr>
        <w:t>：</w:t>
      </w:r>
    </w:p>
    <w:p>
      <w:pPr>
        <w:pStyle w:val="26"/>
        <w:adjustRightInd w:val="0"/>
        <w:snapToGrid w:val="0"/>
        <w:spacing w:line="400" w:lineRule="exact"/>
        <w:ind w:firstLine="480" w:firstLineChars="200"/>
        <w:rPr>
          <w:rFonts w:hint="eastAsia" w:ascii="新宋体" w:hAnsi="新宋体" w:eastAsia="新宋体" w:cs="Courier New"/>
          <w:color w:val="auto"/>
          <w:sz w:val="24"/>
          <w:szCs w:val="24"/>
          <w:highlight w:val="none"/>
          <w:lang w:eastAsia="zh-CN"/>
        </w:rPr>
      </w:pPr>
      <w:r>
        <w:rPr>
          <w:rFonts w:hint="eastAsia" w:ascii="新宋体" w:hAnsi="新宋体" w:eastAsia="新宋体" w:cs="Courier New"/>
          <w:color w:val="auto"/>
          <w:sz w:val="24"/>
          <w:szCs w:val="24"/>
          <w:highlight w:val="none"/>
          <w:lang w:eastAsia="zh-CN"/>
        </w:rPr>
        <w:t>名  称：义乌市教育研修院</w:t>
      </w:r>
    </w:p>
    <w:p>
      <w:pPr>
        <w:pStyle w:val="26"/>
        <w:adjustRightInd w:val="0"/>
        <w:snapToGrid w:val="0"/>
        <w:spacing w:line="400" w:lineRule="exact"/>
        <w:ind w:firstLine="480" w:firstLineChars="200"/>
        <w:rPr>
          <w:rFonts w:hint="default"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地  址：义乌市西城路266号</w:t>
      </w:r>
    </w:p>
    <w:p>
      <w:pPr>
        <w:pStyle w:val="26"/>
        <w:adjustRightInd w:val="0"/>
        <w:snapToGrid w:val="0"/>
        <w:spacing w:line="400" w:lineRule="exact"/>
        <w:ind w:firstLine="480" w:firstLineChars="200"/>
        <w:rPr>
          <w:rFonts w:hint="default"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项目联系人：黄先生</w:t>
      </w:r>
    </w:p>
    <w:p>
      <w:pPr>
        <w:pStyle w:val="26"/>
        <w:adjustRightInd w:val="0"/>
        <w:snapToGrid w:val="0"/>
        <w:spacing w:line="400" w:lineRule="exact"/>
        <w:ind w:firstLine="480" w:firstLineChars="200"/>
        <w:rPr>
          <w:rFonts w:hint="default"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项目联系方式：0579-85398965</w:t>
      </w:r>
    </w:p>
    <w:p>
      <w:pPr>
        <w:pStyle w:val="26"/>
        <w:adjustRightInd w:val="0"/>
        <w:snapToGrid w:val="0"/>
        <w:spacing w:line="400" w:lineRule="exact"/>
        <w:ind w:firstLine="480" w:firstLineChars="200"/>
        <w:rPr>
          <w:rFonts w:hint="default"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质疑联系人：刘先生</w:t>
      </w:r>
    </w:p>
    <w:p>
      <w:pPr>
        <w:pStyle w:val="26"/>
        <w:adjustRightInd w:val="0"/>
        <w:snapToGrid w:val="0"/>
        <w:spacing w:line="400" w:lineRule="exact"/>
        <w:ind w:firstLine="480" w:firstLineChars="200"/>
        <w:rPr>
          <w:rFonts w:hint="default"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质疑联系方式：0579-85369602</w:t>
      </w:r>
    </w:p>
    <w:p>
      <w:pPr>
        <w:snapToGrid w:val="0"/>
        <w:spacing w:line="400" w:lineRule="exact"/>
        <w:ind w:firstLine="482" w:firstLineChars="200"/>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t>2.采购代理机构信息</w:t>
      </w:r>
    </w:p>
    <w:p>
      <w:pPr>
        <w:pStyle w:val="26"/>
        <w:adjustRightInd w:val="0"/>
        <w:snapToGrid w:val="0"/>
        <w:spacing w:line="40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名  称：义乌市政府采购中心</w:t>
      </w:r>
    </w:p>
    <w:p>
      <w:pPr>
        <w:pStyle w:val="26"/>
        <w:adjustRightInd w:val="0"/>
        <w:snapToGrid w:val="0"/>
        <w:spacing w:line="40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地  址：义乌市望道路300号4楼</w:t>
      </w:r>
    </w:p>
    <w:p>
      <w:pPr>
        <w:pStyle w:val="26"/>
        <w:adjustRightInd w:val="0"/>
        <w:snapToGrid w:val="0"/>
        <w:spacing w:line="400" w:lineRule="exact"/>
        <w:ind w:firstLine="480" w:firstLineChars="200"/>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传   真：0579-85570067</w:t>
      </w:r>
    </w:p>
    <w:p>
      <w:pPr>
        <w:pStyle w:val="26"/>
        <w:adjustRightInd w:val="0"/>
        <w:snapToGrid w:val="0"/>
        <w:spacing w:line="400" w:lineRule="exact"/>
        <w:ind w:firstLine="480" w:firstLineChars="200"/>
        <w:rPr>
          <w:rFonts w:hint="eastAsia"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rPr>
        <w:t>项目联系人：</w:t>
      </w:r>
      <w:r>
        <w:rPr>
          <w:rFonts w:hint="eastAsia" w:ascii="新宋体" w:hAnsi="新宋体" w:eastAsia="新宋体" w:cs="新宋体"/>
          <w:color w:val="auto"/>
          <w:sz w:val="24"/>
          <w:highlight w:val="none"/>
          <w:lang w:eastAsia="zh-CN"/>
        </w:rPr>
        <w:t>杨先生</w:t>
      </w:r>
    </w:p>
    <w:p>
      <w:pPr>
        <w:pStyle w:val="26"/>
        <w:adjustRightInd w:val="0"/>
        <w:snapToGrid w:val="0"/>
        <w:spacing w:line="400" w:lineRule="exact"/>
        <w:ind w:firstLine="480" w:firstLineChars="200"/>
        <w:rPr>
          <w:rFonts w:hint="default"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rPr>
        <w:t>项目联系方式：0579-855838</w:t>
      </w:r>
      <w:r>
        <w:rPr>
          <w:rFonts w:hint="eastAsia" w:ascii="新宋体" w:hAnsi="新宋体" w:eastAsia="新宋体" w:cs="新宋体"/>
          <w:color w:val="auto"/>
          <w:sz w:val="24"/>
          <w:highlight w:val="none"/>
          <w:lang w:val="en-US" w:eastAsia="zh-CN"/>
        </w:rPr>
        <w:t>05</w:t>
      </w:r>
    </w:p>
    <w:p>
      <w:pPr>
        <w:pStyle w:val="26"/>
        <w:adjustRightInd w:val="0"/>
        <w:snapToGrid w:val="0"/>
        <w:spacing w:line="400" w:lineRule="exact"/>
        <w:ind w:firstLine="480" w:firstLineChars="200"/>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质疑联系人</w:t>
      </w:r>
      <w:bookmarkStart w:id="106" w:name="_GoBack"/>
      <w:bookmarkEnd w:id="106"/>
      <w:r>
        <w:rPr>
          <w:rFonts w:hint="eastAsia" w:ascii="新宋体" w:hAnsi="新宋体" w:eastAsia="新宋体" w:cs="新宋体"/>
          <w:color w:val="auto"/>
          <w:sz w:val="24"/>
          <w:highlight w:val="none"/>
        </w:rPr>
        <w:t>：洪</w:t>
      </w:r>
      <w:r>
        <w:rPr>
          <w:rFonts w:hint="eastAsia" w:ascii="新宋体" w:hAnsi="新宋体" w:eastAsia="新宋体" w:cs="新宋体"/>
          <w:color w:val="auto"/>
          <w:sz w:val="24"/>
          <w:highlight w:val="none"/>
          <w:lang w:val="en-US" w:eastAsia="zh-CN"/>
        </w:rPr>
        <w:t>女士</w:t>
      </w:r>
    </w:p>
    <w:p>
      <w:pPr>
        <w:pStyle w:val="26"/>
        <w:adjustRightInd w:val="0"/>
        <w:snapToGrid w:val="0"/>
        <w:spacing w:line="40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质疑联系方式：0579-85232979</w:t>
      </w:r>
    </w:p>
    <w:p>
      <w:pPr>
        <w:snapToGrid w:val="0"/>
        <w:spacing w:line="400" w:lineRule="exact"/>
        <w:ind w:firstLine="482" w:firstLineChars="200"/>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t>3.同级政府采购监督管理部门</w:t>
      </w:r>
    </w:p>
    <w:p>
      <w:pPr>
        <w:pStyle w:val="26"/>
        <w:adjustRightInd w:val="0"/>
        <w:snapToGrid w:val="0"/>
        <w:spacing w:line="40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名  称：义乌市财政局</w:t>
      </w:r>
    </w:p>
    <w:p>
      <w:pPr>
        <w:pStyle w:val="26"/>
        <w:adjustRightInd w:val="0"/>
        <w:snapToGrid w:val="0"/>
        <w:spacing w:line="40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地  址：义乌市望道路300号5楼</w:t>
      </w:r>
    </w:p>
    <w:p>
      <w:pPr>
        <w:pStyle w:val="26"/>
        <w:adjustRightInd w:val="0"/>
        <w:snapToGrid w:val="0"/>
        <w:spacing w:line="40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联系人：</w:t>
      </w:r>
      <w:r>
        <w:rPr>
          <w:rFonts w:hint="eastAsia" w:ascii="新宋体" w:hAnsi="新宋体" w:eastAsia="新宋体" w:cs="新宋体"/>
          <w:color w:val="auto"/>
          <w:sz w:val="24"/>
          <w:highlight w:val="none"/>
          <w:lang w:eastAsia="zh-CN"/>
        </w:rPr>
        <w:t>龚</w:t>
      </w:r>
      <w:r>
        <w:rPr>
          <w:rFonts w:hint="eastAsia" w:ascii="新宋体" w:hAnsi="新宋体" w:eastAsia="新宋体" w:cs="新宋体"/>
          <w:color w:val="auto"/>
          <w:sz w:val="24"/>
          <w:highlight w:val="none"/>
        </w:rPr>
        <w:t>女士</w:t>
      </w:r>
    </w:p>
    <w:p>
      <w:pPr>
        <w:pStyle w:val="26"/>
        <w:adjustRightInd w:val="0"/>
        <w:snapToGrid w:val="0"/>
        <w:spacing w:line="400" w:lineRule="exact"/>
        <w:ind w:firstLine="480" w:firstLineChars="200"/>
        <w:rPr>
          <w:rFonts w:hint="default"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rPr>
        <w:t>监督投诉电话：0579-899150</w:t>
      </w:r>
      <w:r>
        <w:rPr>
          <w:rFonts w:hint="eastAsia" w:ascii="新宋体" w:hAnsi="新宋体" w:eastAsia="新宋体" w:cs="新宋体"/>
          <w:color w:val="auto"/>
          <w:sz w:val="24"/>
          <w:highlight w:val="none"/>
          <w:lang w:val="en-US" w:eastAsia="zh-CN"/>
        </w:rPr>
        <w:t>66</w:t>
      </w:r>
    </w:p>
    <w:p>
      <w:pPr>
        <w:pStyle w:val="26"/>
        <w:adjustRightInd w:val="0"/>
        <w:snapToGrid w:val="0"/>
        <w:spacing w:line="400" w:lineRule="exact"/>
        <w:ind w:firstLine="480" w:firstLineChars="200"/>
        <w:rPr>
          <w:rFonts w:hint="eastAsia" w:ascii="新宋体" w:hAnsi="新宋体" w:eastAsia="新宋体"/>
          <w:color w:val="auto"/>
          <w:sz w:val="24"/>
          <w:szCs w:val="24"/>
          <w:highlight w:val="none"/>
        </w:rPr>
      </w:pPr>
    </w:p>
    <w:p>
      <w:pPr>
        <w:pStyle w:val="26"/>
        <w:adjustRightInd w:val="0"/>
        <w:snapToGrid w:val="0"/>
        <w:spacing w:line="400" w:lineRule="exact"/>
        <w:rPr>
          <w:rFonts w:hint="eastAsia" w:ascii="新宋体" w:hAnsi="新宋体" w:eastAsia="新宋体"/>
          <w:color w:val="auto"/>
          <w:sz w:val="24"/>
          <w:highlight w:val="none"/>
        </w:rPr>
      </w:pPr>
    </w:p>
    <w:p>
      <w:pPr>
        <w:pStyle w:val="26"/>
        <w:adjustRightInd w:val="0"/>
        <w:snapToGrid w:val="0"/>
        <w:spacing w:line="400" w:lineRule="exact"/>
        <w:ind w:firstLine="480" w:firstLineChars="200"/>
        <w:jc w:val="right"/>
        <w:rPr>
          <w:rFonts w:hint="eastAsia" w:ascii="新宋体" w:hAnsi="新宋体" w:eastAsia="新宋体"/>
          <w:color w:val="auto"/>
          <w:sz w:val="24"/>
          <w:highlight w:val="none"/>
          <w:lang w:eastAsia="zh-CN"/>
        </w:rPr>
      </w:pPr>
      <w:r>
        <w:rPr>
          <w:rFonts w:hint="eastAsia" w:ascii="新宋体" w:hAnsi="新宋体" w:eastAsia="新宋体"/>
          <w:color w:val="auto"/>
          <w:sz w:val="24"/>
          <w:highlight w:val="none"/>
          <w:lang w:eastAsia="zh-CN"/>
        </w:rPr>
        <w:t>义乌市教育研修院</w:t>
      </w:r>
    </w:p>
    <w:p>
      <w:pPr>
        <w:pStyle w:val="26"/>
        <w:adjustRightInd w:val="0"/>
        <w:snapToGrid w:val="0"/>
        <w:spacing w:line="400" w:lineRule="exact"/>
        <w:ind w:firstLine="480" w:firstLineChars="200"/>
        <w:jc w:val="right"/>
        <w:rPr>
          <w:rFonts w:hint="eastAsia" w:ascii="新宋体" w:hAnsi="新宋体" w:eastAsia="新宋体"/>
          <w:color w:val="auto"/>
          <w:sz w:val="24"/>
          <w:highlight w:val="none"/>
        </w:rPr>
      </w:pPr>
      <w:r>
        <w:rPr>
          <w:rFonts w:hint="eastAsia" w:ascii="新宋体" w:hAnsi="新宋体" w:eastAsia="新宋体"/>
          <w:color w:val="auto"/>
          <w:sz w:val="24"/>
          <w:highlight w:val="none"/>
        </w:rPr>
        <w:t>义乌市政府采购中心</w:t>
      </w:r>
    </w:p>
    <w:p>
      <w:pPr>
        <w:pStyle w:val="26"/>
        <w:adjustRightInd w:val="0"/>
        <w:snapToGrid w:val="0"/>
        <w:spacing w:line="400" w:lineRule="exact"/>
        <w:ind w:firstLine="480" w:firstLineChars="200"/>
        <w:jc w:val="right"/>
        <w:rPr>
          <w:rFonts w:hint="eastAsia" w:ascii="新宋体" w:hAnsi="新宋体" w:eastAsia="新宋体"/>
          <w:color w:val="auto"/>
          <w:sz w:val="24"/>
          <w:highlight w:val="none"/>
          <w:lang w:eastAsia="zh-CN"/>
        </w:rPr>
      </w:pPr>
      <w:r>
        <w:rPr>
          <w:rFonts w:hint="eastAsia" w:ascii="新宋体" w:hAnsi="新宋体" w:eastAsia="新宋体"/>
          <w:color w:val="auto"/>
          <w:sz w:val="24"/>
          <w:highlight w:val="none"/>
          <w:lang w:eastAsia="zh-CN"/>
        </w:rPr>
        <w:t>2024年0</w:t>
      </w:r>
      <w:r>
        <w:rPr>
          <w:rFonts w:hint="eastAsia" w:ascii="新宋体" w:hAnsi="新宋体" w:eastAsia="新宋体"/>
          <w:color w:val="auto"/>
          <w:sz w:val="24"/>
          <w:highlight w:val="none"/>
          <w:lang w:val="en-US" w:eastAsia="zh-CN"/>
        </w:rPr>
        <w:t>5</w:t>
      </w:r>
      <w:r>
        <w:rPr>
          <w:rFonts w:hint="eastAsia" w:ascii="新宋体" w:hAnsi="新宋体" w:eastAsia="新宋体"/>
          <w:color w:val="auto"/>
          <w:sz w:val="24"/>
          <w:highlight w:val="none"/>
          <w:lang w:eastAsia="zh-CN"/>
        </w:rPr>
        <w:t>月</w:t>
      </w:r>
      <w:r>
        <w:rPr>
          <w:rFonts w:hint="eastAsia" w:ascii="新宋体" w:hAnsi="新宋体" w:eastAsia="新宋体"/>
          <w:color w:val="auto"/>
          <w:sz w:val="24"/>
          <w:highlight w:val="none"/>
          <w:lang w:val="en-US" w:eastAsia="zh-CN"/>
        </w:rPr>
        <w:t>1</w:t>
      </w:r>
      <w:r>
        <w:rPr>
          <w:rFonts w:hint="eastAsia" w:ascii="新宋体" w:hAnsi="新宋体" w:eastAsia="新宋体"/>
          <w:color w:val="auto"/>
          <w:sz w:val="24"/>
          <w:highlight w:val="none"/>
          <w:lang w:eastAsia="zh-CN"/>
        </w:rPr>
        <w:t>5日</w:t>
      </w:r>
    </w:p>
    <w:p>
      <w:pPr>
        <w:pStyle w:val="26"/>
        <w:adjustRightInd w:val="0"/>
        <w:snapToGrid w:val="0"/>
        <w:spacing w:line="400" w:lineRule="exact"/>
        <w:ind w:firstLine="480" w:firstLineChars="200"/>
        <w:jc w:val="right"/>
        <w:rPr>
          <w:rFonts w:ascii="新宋体" w:hAnsi="新宋体" w:eastAsia="新宋体"/>
          <w:sz w:val="24"/>
        </w:rPr>
      </w:pPr>
    </w:p>
    <w:p>
      <w:pPr>
        <w:pStyle w:val="26"/>
        <w:adjustRightInd w:val="0"/>
        <w:snapToGrid w:val="0"/>
        <w:spacing w:line="400" w:lineRule="exact"/>
        <w:ind w:firstLine="480" w:firstLineChars="200"/>
        <w:jc w:val="right"/>
        <w:rPr>
          <w:rFonts w:ascii="新宋体" w:hAnsi="新宋体" w:eastAsia="新宋体"/>
          <w:sz w:val="24"/>
        </w:rPr>
      </w:pPr>
    </w:p>
    <w:p>
      <w:pPr>
        <w:pStyle w:val="3"/>
        <w:spacing w:before="0" w:after="0" w:line="360" w:lineRule="exact"/>
        <w:jc w:val="center"/>
        <w:rPr>
          <w:rFonts w:ascii="新宋体" w:hAnsi="新宋体" w:eastAsia="新宋体" w:cs="新宋体"/>
          <w:sz w:val="36"/>
        </w:rPr>
      </w:pPr>
      <w:r>
        <w:rPr>
          <w:rFonts w:hint="eastAsia" w:ascii="新宋体" w:hAnsi="新宋体" w:eastAsia="新宋体"/>
          <w:sz w:val="24"/>
        </w:rPr>
        <w:br w:type="page"/>
      </w:r>
      <w:bookmarkStart w:id="9" w:name="_Toc453144901"/>
      <w:bookmarkStart w:id="10" w:name="_Toc9521"/>
      <w:r>
        <w:rPr>
          <w:rFonts w:hint="eastAsia" w:ascii="新宋体" w:hAnsi="新宋体" w:eastAsia="新宋体" w:cs="新宋体"/>
          <w:sz w:val="36"/>
          <w:szCs w:val="36"/>
        </w:rPr>
        <w:t xml:space="preserve">第二章 </w:t>
      </w:r>
      <w:bookmarkEnd w:id="9"/>
      <w:r>
        <w:rPr>
          <w:rFonts w:hint="eastAsia" w:ascii="新宋体" w:hAnsi="新宋体" w:eastAsia="新宋体" w:cs="新宋体"/>
          <w:sz w:val="36"/>
          <w:szCs w:val="36"/>
        </w:rPr>
        <w:t>投标须知前附表和投标须知</w:t>
      </w:r>
      <w:bookmarkEnd w:id="10"/>
    </w:p>
    <w:p>
      <w:pPr>
        <w:spacing w:line="360" w:lineRule="auto"/>
        <w:ind w:firstLine="602" w:firstLineChars="200"/>
        <w:jc w:val="center"/>
        <w:rPr>
          <w:rFonts w:hint="eastAsia" w:ascii="新宋体" w:hAnsi="新宋体" w:eastAsia="新宋体" w:cs="新宋体"/>
          <w:b/>
          <w:sz w:val="30"/>
          <w:szCs w:val="30"/>
        </w:rPr>
      </w:pPr>
      <w:r>
        <w:rPr>
          <w:rFonts w:hint="eastAsia" w:ascii="新宋体" w:hAnsi="新宋体" w:eastAsia="新宋体" w:cs="新宋体"/>
          <w:b/>
          <w:sz w:val="30"/>
          <w:szCs w:val="30"/>
        </w:rPr>
        <w:t>投标须知前附表</w:t>
      </w:r>
    </w:p>
    <w:tbl>
      <w:tblPr>
        <w:tblStyle w:val="52"/>
        <w:tblW w:w="10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953"/>
        <w:gridCol w:w="7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15" w:type="dxa"/>
            <w:noWrap w:val="0"/>
            <w:vAlign w:val="center"/>
          </w:tcPr>
          <w:p>
            <w:pPr>
              <w:jc w:val="center"/>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t>序号</w:t>
            </w:r>
          </w:p>
        </w:tc>
        <w:tc>
          <w:tcPr>
            <w:tcW w:w="9300" w:type="dxa"/>
            <w:gridSpan w:val="2"/>
            <w:noWrap w:val="0"/>
            <w:vAlign w:val="center"/>
          </w:tcPr>
          <w:p>
            <w:pPr>
              <w:jc w:val="center"/>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715" w:type="dxa"/>
            <w:noWrap w:val="0"/>
            <w:vAlign w:val="center"/>
          </w:tcPr>
          <w:p>
            <w:pPr>
              <w:ind w:firstLine="240" w:firstLineChars="1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w:t>
            </w:r>
          </w:p>
        </w:tc>
        <w:tc>
          <w:tcPr>
            <w:tcW w:w="1953" w:type="dxa"/>
            <w:noWrap w:val="0"/>
            <w:vAlign w:val="center"/>
          </w:tcPr>
          <w:p>
            <w:pPr>
              <w:spacing w:line="400" w:lineRule="exact"/>
              <w:jc w:val="center"/>
              <w:rPr>
                <w:rFonts w:hint="eastAsia" w:ascii="新宋体" w:hAnsi="新宋体" w:eastAsia="新宋体" w:cs="新宋体"/>
                <w:color w:val="auto"/>
                <w:sz w:val="24"/>
                <w:highlight w:val="none"/>
              </w:rPr>
            </w:pPr>
            <w:r>
              <w:rPr>
                <w:rFonts w:hint="eastAsia" w:ascii="新宋体" w:hAnsi="新宋体" w:eastAsia="新宋体"/>
                <w:color w:val="auto"/>
                <w:sz w:val="24"/>
                <w:highlight w:val="none"/>
              </w:rPr>
              <w:t>项目综合说明</w:t>
            </w:r>
          </w:p>
        </w:tc>
        <w:tc>
          <w:tcPr>
            <w:tcW w:w="7347" w:type="dxa"/>
            <w:noWrap w:val="0"/>
            <w:vAlign w:val="center"/>
          </w:tcPr>
          <w:p>
            <w:pPr>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lang w:val="en-US" w:eastAsia="zh-CN"/>
              </w:rPr>
              <w:t>1.</w:t>
            </w:r>
            <w:r>
              <w:rPr>
                <w:rFonts w:hint="eastAsia" w:ascii="新宋体" w:hAnsi="新宋体" w:eastAsia="新宋体" w:cs="新宋体"/>
                <w:color w:val="auto"/>
                <w:sz w:val="24"/>
                <w:highlight w:val="none"/>
              </w:rPr>
              <w:t>项目名称：</w:t>
            </w:r>
            <w:r>
              <w:rPr>
                <w:rFonts w:hint="eastAsia" w:ascii="新宋体" w:hAnsi="新宋体" w:eastAsia="新宋体" w:cs="新宋体"/>
                <w:color w:val="auto"/>
                <w:sz w:val="24"/>
                <w:highlight w:val="none"/>
                <w:lang w:eastAsia="zh-CN"/>
              </w:rPr>
              <w:t>多媒体触控一体机</w:t>
            </w:r>
            <w:r>
              <w:rPr>
                <w:rFonts w:hint="eastAsia" w:ascii="新宋体" w:hAnsi="新宋体" w:eastAsia="新宋体" w:cs="新宋体"/>
                <w:color w:val="auto"/>
                <w:sz w:val="24"/>
                <w:highlight w:val="none"/>
              </w:rPr>
              <w:t>采购</w:t>
            </w:r>
            <w:r>
              <w:rPr>
                <w:rFonts w:hint="eastAsia" w:ascii="新宋体" w:hAnsi="新宋体" w:eastAsia="新宋体" w:cs="新宋体"/>
                <w:color w:val="auto"/>
                <w:sz w:val="24"/>
                <w:highlight w:val="none"/>
                <w:lang w:eastAsia="zh-CN"/>
              </w:rPr>
              <w:t>。</w:t>
            </w:r>
          </w:p>
          <w:p>
            <w:pPr>
              <w:rPr>
                <w:rFonts w:hint="eastAsia"/>
                <w:color w:val="auto"/>
              </w:rPr>
            </w:pPr>
            <w:r>
              <w:rPr>
                <w:rFonts w:hint="eastAsia" w:ascii="新宋体" w:hAnsi="新宋体" w:eastAsia="新宋体" w:cs="新宋体"/>
                <w:color w:val="auto"/>
                <w:sz w:val="24"/>
                <w:highlight w:val="none"/>
                <w:lang w:val="en-US" w:eastAsia="zh-CN"/>
              </w:rPr>
              <w:t>2.</w:t>
            </w:r>
            <w:r>
              <w:rPr>
                <w:rFonts w:hint="eastAsia" w:ascii="新宋体" w:hAnsi="新宋体" w:eastAsia="新宋体" w:cs="新宋体"/>
                <w:color w:val="auto"/>
                <w:sz w:val="24"/>
                <w:highlight w:val="none"/>
              </w:rPr>
              <w:t>项目属性：</w:t>
            </w:r>
            <w:r>
              <w:rPr>
                <w:rFonts w:hint="eastAsia" w:ascii="新宋体" w:hAnsi="新宋体" w:eastAsia="新宋体" w:cs="新宋体"/>
                <w:color w:val="auto"/>
                <w:sz w:val="24"/>
                <w:highlight w:val="none"/>
                <w:u w:val="single"/>
                <w:lang w:val="en-US" w:eastAsia="zh-CN"/>
              </w:rPr>
              <w:t xml:space="preserve">  货物类  </w:t>
            </w:r>
            <w:r>
              <w:rPr>
                <w:rFonts w:hint="eastAsia"/>
                <w:color w:val="auto"/>
              </w:rPr>
              <w:t>；</w:t>
            </w:r>
          </w:p>
          <w:p>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单一产品或核心产品：</w:t>
            </w:r>
            <w:r>
              <w:rPr>
                <w:rFonts w:hint="eastAsia" w:ascii="新宋体" w:hAnsi="新宋体" w:eastAsia="新宋体" w:cs="新宋体"/>
                <w:color w:val="auto"/>
                <w:sz w:val="24"/>
                <w:highlight w:val="none"/>
                <w:u w:val="single"/>
                <w:lang w:val="en-US" w:eastAsia="zh-CN"/>
              </w:rPr>
              <w:t xml:space="preserve"> 多媒体触控一体机        </w:t>
            </w:r>
            <w:r>
              <w:rPr>
                <w:rFonts w:hint="eastAsia" w:ascii="新宋体" w:hAnsi="新宋体" w:eastAsia="新宋体" w:cs="新宋体"/>
                <w:color w:val="auto"/>
                <w:sz w:val="24"/>
                <w:highlight w:val="none"/>
              </w:rPr>
              <w:t>。</w:t>
            </w:r>
          </w:p>
          <w:p>
            <w:pPr>
              <w:rPr>
                <w:rFonts w:hint="eastAsia" w:ascii="新宋体" w:hAnsi="新宋体" w:eastAsia="新宋体" w:cs="Courier New"/>
                <w:color w:val="auto"/>
                <w:sz w:val="24"/>
                <w:highlight w:val="none"/>
                <w:lang w:val="en-US" w:eastAsia="zh-CN"/>
              </w:rPr>
            </w:pPr>
            <w:r>
              <w:rPr>
                <w:rFonts w:hint="eastAsia" w:ascii="新宋体" w:hAnsi="新宋体" w:eastAsia="新宋体" w:cs="新宋体"/>
                <w:color w:val="auto"/>
                <w:sz w:val="24"/>
                <w:highlight w:val="none"/>
                <w:lang w:val="en-US" w:eastAsia="zh-CN"/>
              </w:rPr>
              <w:t>3.</w:t>
            </w:r>
            <w:r>
              <w:rPr>
                <w:rFonts w:hint="eastAsia" w:ascii="新宋体" w:hAnsi="新宋体" w:eastAsia="新宋体" w:cs="新宋体"/>
                <w:color w:val="auto"/>
                <w:sz w:val="24"/>
                <w:highlight w:val="none"/>
              </w:rPr>
              <w:t>采购内容及数量：具体</w:t>
            </w:r>
            <w:r>
              <w:rPr>
                <w:rFonts w:hint="eastAsia" w:ascii="新宋体" w:hAnsi="新宋体" w:eastAsia="新宋体" w:cs="新宋体"/>
                <w:color w:val="auto"/>
                <w:sz w:val="24"/>
                <w:highlight w:val="none"/>
                <w:lang w:val="en-US" w:eastAsia="zh-CN"/>
              </w:rPr>
              <w:t>内容，详</w:t>
            </w:r>
            <w:r>
              <w:rPr>
                <w:rFonts w:hint="eastAsia" w:ascii="新宋体" w:hAnsi="新宋体" w:eastAsia="新宋体" w:cs="新宋体"/>
                <w:color w:val="auto"/>
                <w:sz w:val="24"/>
                <w:highlight w:val="none"/>
              </w:rPr>
              <w:t>见《第三章招标项目要求》。</w:t>
            </w:r>
          </w:p>
          <w:p>
            <w:pPr>
              <w:rPr>
                <w:rFonts w:hint="eastAsia" w:ascii="新宋体" w:hAnsi="新宋体" w:eastAsia="新宋体" w:cs="新宋体"/>
                <w:color w:val="auto"/>
                <w:sz w:val="24"/>
                <w:highlight w:val="none"/>
              </w:rPr>
            </w:pPr>
            <w:r>
              <w:rPr>
                <w:rFonts w:hint="eastAsia" w:ascii="新宋体" w:hAnsi="新宋体" w:eastAsia="新宋体" w:cs="Courier New"/>
                <w:color w:val="auto"/>
                <w:sz w:val="24"/>
                <w:highlight w:val="none"/>
                <w:lang w:val="en-US" w:eastAsia="zh-CN"/>
              </w:rPr>
              <w:t>4.</w:t>
            </w:r>
            <w:r>
              <w:rPr>
                <w:rFonts w:hint="eastAsia" w:ascii="新宋体" w:hAnsi="新宋体" w:eastAsia="新宋体" w:cs="新宋体"/>
                <w:color w:val="auto"/>
                <w:sz w:val="24"/>
                <w:highlight w:val="none"/>
              </w:rPr>
              <w:t>本次</w:t>
            </w:r>
            <w:r>
              <w:rPr>
                <w:rFonts w:hint="eastAsia" w:ascii="新宋体" w:hAnsi="新宋体" w:eastAsia="新宋体" w:cs="新宋体"/>
                <w:b/>
                <w:bCs/>
                <w:color w:val="auto"/>
                <w:sz w:val="24"/>
                <w:highlight w:val="none"/>
                <w:u w:val="single"/>
              </w:rPr>
              <w:t>采购标的</w:t>
            </w:r>
            <w:r>
              <w:rPr>
                <w:rFonts w:hint="eastAsia" w:ascii="新宋体" w:hAnsi="新宋体" w:eastAsia="新宋体" w:cs="新宋体"/>
                <w:color w:val="auto"/>
                <w:sz w:val="24"/>
                <w:highlight w:val="none"/>
              </w:rPr>
              <w:t>（具体内容见第三章</w:t>
            </w:r>
            <w:r>
              <w:rPr>
                <w:rFonts w:hint="eastAsia" w:ascii="新宋体" w:hAnsi="新宋体" w:eastAsia="新宋体" w:cs="新宋体"/>
                <w:color w:val="auto"/>
                <w:sz w:val="24"/>
                <w:highlight w:val="none"/>
                <w:lang w:val="en-US" w:eastAsia="zh-CN"/>
              </w:rPr>
              <w:t>的</w:t>
            </w:r>
            <w:r>
              <w:rPr>
                <w:rFonts w:hint="eastAsia" w:ascii="新宋体" w:hAnsi="新宋体" w:eastAsia="新宋体" w:cs="新宋体"/>
                <w:b/>
                <w:bCs/>
                <w:color w:val="auto"/>
                <w:sz w:val="24"/>
                <w:highlight w:val="none"/>
                <w:u w:val="single"/>
              </w:rPr>
              <w:t>技术要求及采购货物一览表</w:t>
            </w:r>
            <w:r>
              <w:rPr>
                <w:rFonts w:hint="eastAsia" w:ascii="新宋体" w:hAnsi="新宋体" w:eastAsia="新宋体" w:cs="新宋体"/>
                <w:color w:val="auto"/>
                <w:sz w:val="24"/>
                <w:highlight w:val="none"/>
              </w:rPr>
              <w:t>）对应的所属行业</w:t>
            </w:r>
            <w:r>
              <w:rPr>
                <w:rFonts w:hint="eastAsia" w:ascii="新宋体" w:hAnsi="新宋体" w:eastAsia="新宋体" w:cs="新宋体"/>
                <w:color w:val="auto"/>
                <w:sz w:val="24"/>
                <w:highlight w:val="none"/>
                <w:lang w:eastAsia="zh-CN"/>
              </w:rPr>
              <w:t>：【</w:t>
            </w:r>
            <w:r>
              <w:rPr>
                <w:rFonts w:hint="eastAsia" w:ascii="新宋体" w:hAnsi="新宋体" w:eastAsia="新宋体" w:cs="Courier New"/>
                <w:b/>
                <w:bCs/>
                <w:i/>
                <w:iCs/>
                <w:color w:val="auto"/>
                <w:sz w:val="24"/>
                <w:highlight w:val="none"/>
                <w:u w:val="single"/>
                <w:lang w:val="en-US" w:eastAsia="zh-CN"/>
              </w:rPr>
              <w:t>工业</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rPr>
              <w:t>。中小企业划型标准</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rPr>
              <w:t>从业人员1000人以下或营业收入40000万元以下的为</w:t>
            </w:r>
            <w:r>
              <w:rPr>
                <w:rFonts w:hint="eastAsia" w:ascii="新宋体" w:hAnsi="新宋体" w:eastAsia="新宋体" w:cs="新宋体"/>
                <w:b/>
                <w:bCs/>
                <w:color w:val="auto"/>
                <w:sz w:val="24"/>
                <w:highlight w:val="none"/>
                <w:u w:val="single"/>
              </w:rPr>
              <w:t>中小微型企业</w:t>
            </w:r>
            <w:r>
              <w:rPr>
                <w:rFonts w:hint="eastAsia" w:ascii="新宋体" w:hAnsi="新宋体" w:eastAsia="新宋体" w:cs="新宋体"/>
                <w:color w:val="auto"/>
                <w:sz w:val="24"/>
                <w:highlight w:val="none"/>
              </w:rPr>
              <w:t>。其中，从业人员300人及以上，且营业收入2000万元及以上的为</w:t>
            </w:r>
            <w:r>
              <w:rPr>
                <w:rFonts w:hint="eastAsia" w:ascii="新宋体" w:hAnsi="新宋体" w:eastAsia="新宋体" w:cs="新宋体"/>
                <w:b/>
                <w:bCs/>
                <w:color w:val="auto"/>
                <w:sz w:val="24"/>
                <w:highlight w:val="none"/>
                <w:u w:val="single"/>
              </w:rPr>
              <w:t>中型企业</w:t>
            </w:r>
            <w:r>
              <w:rPr>
                <w:rFonts w:hint="eastAsia" w:ascii="新宋体" w:hAnsi="新宋体" w:eastAsia="新宋体" w:cs="新宋体"/>
                <w:color w:val="auto"/>
                <w:sz w:val="24"/>
                <w:highlight w:val="none"/>
              </w:rPr>
              <w:t>；从业人员20人及以上，且营业收入300万元及以上的为</w:t>
            </w:r>
            <w:r>
              <w:rPr>
                <w:rFonts w:hint="eastAsia" w:ascii="新宋体" w:hAnsi="新宋体" w:eastAsia="新宋体" w:cs="新宋体"/>
                <w:b/>
                <w:bCs/>
                <w:color w:val="auto"/>
                <w:sz w:val="24"/>
                <w:highlight w:val="none"/>
                <w:u w:val="single"/>
              </w:rPr>
              <w:t>小型企业</w:t>
            </w:r>
            <w:r>
              <w:rPr>
                <w:rFonts w:hint="eastAsia" w:ascii="新宋体" w:hAnsi="新宋体" w:eastAsia="新宋体" w:cs="新宋体"/>
                <w:color w:val="auto"/>
                <w:sz w:val="24"/>
                <w:highlight w:val="none"/>
              </w:rPr>
              <w:t>；从业人员20人以下或营业收入300万元以下的为</w:t>
            </w:r>
            <w:r>
              <w:rPr>
                <w:rFonts w:hint="eastAsia" w:ascii="新宋体" w:hAnsi="新宋体" w:eastAsia="新宋体" w:cs="新宋体"/>
                <w:b/>
                <w:bCs/>
                <w:color w:val="auto"/>
                <w:sz w:val="24"/>
                <w:highlight w:val="none"/>
                <w:u w:val="single"/>
              </w:rPr>
              <w:t>微型企业</w:t>
            </w:r>
            <w:r>
              <w:rPr>
                <w:rFonts w:hint="eastAsia" w:ascii="新宋体" w:hAnsi="新宋体" w:eastAsia="新宋体" w:cs="新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15" w:type="dxa"/>
            <w:noWrap w:val="0"/>
            <w:vAlign w:val="center"/>
          </w:tcPr>
          <w:p>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w:t>
            </w:r>
          </w:p>
        </w:tc>
        <w:tc>
          <w:tcPr>
            <w:tcW w:w="1953" w:type="dxa"/>
            <w:noWrap w:val="0"/>
            <w:vAlign w:val="center"/>
          </w:tcPr>
          <w:p>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招标方式</w:t>
            </w:r>
          </w:p>
        </w:tc>
        <w:tc>
          <w:tcPr>
            <w:tcW w:w="7347" w:type="dxa"/>
            <w:noWrap w:val="0"/>
            <w:vAlign w:val="center"/>
          </w:tcPr>
          <w:p>
            <w:pPr>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公开招标</w:t>
            </w:r>
            <w:r>
              <w:rPr>
                <w:rFonts w:hint="eastAsia" w:ascii="新宋体" w:hAnsi="新宋体" w:eastAsia="新宋体" w:cs="新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15" w:type="dxa"/>
            <w:noWrap w:val="0"/>
            <w:vAlign w:val="center"/>
          </w:tcPr>
          <w:p>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w:t>
            </w:r>
          </w:p>
        </w:tc>
        <w:tc>
          <w:tcPr>
            <w:tcW w:w="1953" w:type="dxa"/>
            <w:noWrap w:val="0"/>
            <w:vAlign w:val="center"/>
          </w:tcPr>
          <w:p>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投标人资格要求</w:t>
            </w:r>
          </w:p>
        </w:tc>
        <w:tc>
          <w:tcPr>
            <w:tcW w:w="7347" w:type="dxa"/>
            <w:noWrap w:val="0"/>
            <w:vAlign w:val="center"/>
          </w:tcPr>
          <w:p>
            <w:pPr>
              <w:spacing w:line="240" w:lineRule="exact"/>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kern w:val="0"/>
                <w:sz w:val="24"/>
                <w:highlight w:val="none"/>
              </w:rPr>
              <w:t>详见采购公告</w:t>
            </w:r>
            <w:r>
              <w:rPr>
                <w:rFonts w:hint="eastAsia" w:ascii="新宋体" w:hAnsi="新宋体" w:eastAsia="新宋体" w:cs="新宋体"/>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15" w:type="dxa"/>
            <w:noWrap w:val="0"/>
            <w:vAlign w:val="center"/>
          </w:tcPr>
          <w:p>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4</w:t>
            </w:r>
          </w:p>
        </w:tc>
        <w:tc>
          <w:tcPr>
            <w:tcW w:w="1953" w:type="dxa"/>
            <w:noWrap w:val="0"/>
            <w:vAlign w:val="center"/>
          </w:tcPr>
          <w:p>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合同履约期限</w:t>
            </w:r>
          </w:p>
        </w:tc>
        <w:tc>
          <w:tcPr>
            <w:tcW w:w="7347" w:type="dxa"/>
            <w:noWrap w:val="0"/>
            <w:vAlign w:val="center"/>
          </w:tcPr>
          <w:p>
            <w:pPr>
              <w:spacing w:line="300" w:lineRule="exact"/>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kern w:val="0"/>
                <w:sz w:val="24"/>
                <w:highlight w:val="none"/>
              </w:rPr>
              <w:t>详见</w:t>
            </w:r>
            <w:r>
              <w:rPr>
                <w:rFonts w:hint="eastAsia" w:ascii="新宋体" w:hAnsi="新宋体" w:eastAsia="新宋体" w:cs="新宋体"/>
                <w:color w:val="auto"/>
                <w:kern w:val="0"/>
                <w:sz w:val="24"/>
                <w:highlight w:val="none"/>
                <w:lang w:val="en-US" w:eastAsia="zh-CN"/>
              </w:rPr>
              <w:t>第三章</w:t>
            </w:r>
            <w:r>
              <w:rPr>
                <w:rFonts w:hint="eastAsia" w:ascii="新宋体" w:hAnsi="新宋体" w:eastAsia="新宋体" w:cs="新宋体"/>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5" w:type="dxa"/>
            <w:noWrap w:val="0"/>
            <w:vAlign w:val="center"/>
          </w:tcPr>
          <w:p>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5</w:t>
            </w:r>
          </w:p>
        </w:tc>
        <w:tc>
          <w:tcPr>
            <w:tcW w:w="1953" w:type="dxa"/>
            <w:noWrap w:val="0"/>
            <w:vAlign w:val="center"/>
          </w:tcPr>
          <w:p>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采购文件获取时间和方式</w:t>
            </w:r>
          </w:p>
        </w:tc>
        <w:tc>
          <w:tcPr>
            <w:tcW w:w="7347" w:type="dxa"/>
            <w:noWrap w:val="0"/>
            <w:vAlign w:val="center"/>
          </w:tcPr>
          <w:p>
            <w:pPr>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详见采购公告</w:t>
            </w:r>
            <w:r>
              <w:rPr>
                <w:rFonts w:hint="eastAsia" w:ascii="新宋体" w:hAnsi="新宋体" w:eastAsia="新宋体" w:cs="新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15" w:type="dxa"/>
            <w:noWrap w:val="0"/>
            <w:vAlign w:val="center"/>
          </w:tcPr>
          <w:p>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6</w:t>
            </w:r>
          </w:p>
        </w:tc>
        <w:tc>
          <w:tcPr>
            <w:tcW w:w="1953" w:type="dxa"/>
            <w:noWrap w:val="0"/>
            <w:vAlign w:val="center"/>
          </w:tcPr>
          <w:p>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现场踏勘</w:t>
            </w:r>
          </w:p>
        </w:tc>
        <w:tc>
          <w:tcPr>
            <w:tcW w:w="7347" w:type="dxa"/>
            <w:noWrap w:val="0"/>
            <w:vAlign w:val="center"/>
          </w:tcPr>
          <w:p>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招标方不统一组织投标人前往项目实施场地踏勘，根据项目实际投标需求，投标人可自行前往项目实施场地进行现场踏勘，以获取编制投标文件所需资料，如投标人因未现场踏勘原因导致投标文件出现错误或遗漏的，由投标人自行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715" w:type="dxa"/>
            <w:noWrap w:val="0"/>
            <w:vAlign w:val="center"/>
          </w:tcPr>
          <w:p>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7</w:t>
            </w:r>
          </w:p>
        </w:tc>
        <w:tc>
          <w:tcPr>
            <w:tcW w:w="1953" w:type="dxa"/>
            <w:noWrap w:val="0"/>
            <w:vAlign w:val="center"/>
          </w:tcPr>
          <w:p>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招标答疑</w:t>
            </w:r>
          </w:p>
        </w:tc>
        <w:tc>
          <w:tcPr>
            <w:tcW w:w="7347" w:type="dxa"/>
            <w:noWrap w:val="0"/>
            <w:vAlign w:val="center"/>
          </w:tcPr>
          <w:p>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本项目不组织答疑会；招标方的答疑内容、书面澄清文件是招标文件的组成部分，招标方的书面澄清（更正）文件会在浙江政府采购网上发布公告，同时“政采云”会向所有已按招标文件规定方式获取招标文件的潜在供应商发送澄清（更正）提醒信息，潜在供应商请自行到浙江政府采购网上下载澄清（更正）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15" w:type="dxa"/>
            <w:noWrap w:val="0"/>
            <w:vAlign w:val="center"/>
          </w:tcPr>
          <w:p>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8</w:t>
            </w:r>
          </w:p>
        </w:tc>
        <w:tc>
          <w:tcPr>
            <w:tcW w:w="1953" w:type="dxa"/>
            <w:noWrap w:val="0"/>
            <w:vAlign w:val="center"/>
          </w:tcPr>
          <w:p>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投标有效期</w:t>
            </w:r>
          </w:p>
        </w:tc>
        <w:tc>
          <w:tcPr>
            <w:tcW w:w="7347" w:type="dxa"/>
            <w:noWrap w:val="0"/>
            <w:vAlign w:val="center"/>
          </w:tcPr>
          <w:p>
            <w:pPr>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自开标之日起90天（日历天）</w:t>
            </w:r>
            <w:r>
              <w:rPr>
                <w:rFonts w:hint="eastAsia" w:ascii="新宋体" w:hAnsi="新宋体" w:eastAsia="新宋体" w:cs="新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15" w:type="dxa"/>
            <w:noWrap w:val="0"/>
            <w:vAlign w:val="center"/>
          </w:tcPr>
          <w:p>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9</w:t>
            </w:r>
          </w:p>
        </w:tc>
        <w:tc>
          <w:tcPr>
            <w:tcW w:w="1953" w:type="dxa"/>
            <w:noWrap w:val="0"/>
            <w:vAlign w:val="center"/>
          </w:tcPr>
          <w:p>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方案讲解演示</w:t>
            </w:r>
          </w:p>
        </w:tc>
        <w:tc>
          <w:tcPr>
            <w:tcW w:w="7347" w:type="dxa"/>
            <w:noWrap w:val="0"/>
            <w:vAlign w:val="center"/>
          </w:tcPr>
          <w:p>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sym w:font="Wingdings" w:char="00A8"/>
            </w:r>
            <w:r>
              <w:rPr>
                <w:rFonts w:hint="eastAsia" w:ascii="新宋体" w:hAnsi="新宋体" w:eastAsia="新宋体" w:cs="新宋体"/>
                <w:color w:val="auto"/>
                <w:sz w:val="24"/>
                <w:highlight w:val="none"/>
              </w:rPr>
              <w:t>不组织</w:t>
            </w:r>
          </w:p>
          <w:p>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sym w:font="Wingdings" w:char="00FE"/>
            </w:r>
            <w:r>
              <w:rPr>
                <w:rFonts w:hint="eastAsia" w:ascii="新宋体" w:hAnsi="新宋体" w:eastAsia="新宋体" w:cs="新宋体"/>
                <w:color w:val="auto"/>
                <w:sz w:val="24"/>
                <w:highlight w:val="none"/>
              </w:rPr>
              <w:t>组织</w:t>
            </w:r>
          </w:p>
          <w:p>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lang w:eastAsia="zh-CN"/>
              </w:rPr>
              <w:t>1.本项</w:t>
            </w:r>
            <w:r>
              <w:rPr>
                <w:rFonts w:hint="eastAsia" w:ascii="新宋体" w:hAnsi="新宋体" w:eastAsia="新宋体" w:cs="新宋体"/>
                <w:color w:val="auto"/>
                <w:sz w:val="24"/>
                <w:highlight w:val="none"/>
                <w:lang w:val="en-US" w:eastAsia="zh-CN"/>
              </w:rPr>
              <w:t>目</w:t>
            </w:r>
            <w:r>
              <w:rPr>
                <w:rFonts w:hint="eastAsia" w:ascii="新宋体" w:hAnsi="新宋体" w:eastAsia="新宋体" w:cs="新宋体"/>
                <w:color w:val="auto"/>
                <w:sz w:val="24"/>
                <w:highlight w:val="none"/>
                <w:lang w:eastAsia="zh-CN"/>
              </w:rPr>
              <w:t>需要演示：投标</w:t>
            </w:r>
            <w:r>
              <w:rPr>
                <w:rFonts w:hint="eastAsia" w:ascii="新宋体" w:hAnsi="新宋体" w:eastAsia="新宋体" w:cs="新宋体"/>
                <w:color w:val="auto"/>
                <w:sz w:val="24"/>
                <w:highlight w:val="none"/>
                <w:lang w:val="en-US" w:eastAsia="zh-CN"/>
              </w:rPr>
              <w:t>人</w:t>
            </w:r>
            <w:r>
              <w:rPr>
                <w:rFonts w:hint="eastAsia" w:ascii="新宋体" w:hAnsi="新宋体" w:eastAsia="新宋体" w:cs="新宋体"/>
                <w:color w:val="auto"/>
                <w:sz w:val="24"/>
                <w:highlight w:val="none"/>
                <w:lang w:eastAsia="zh-CN"/>
              </w:rPr>
              <w:t>需在投标文件解密成功后，进入“政采云”开标大厅，等待通知演示。“政采云”会以投标文件解密时间的先后顺序以短信的形式通知演示，每个投标人演示前的调试准备时间不超过15分钟。演示的方式通过“开标大厅”（建议选择谷歌浏览器）的屏幕共享方式进行演示，投标人应在开标前确保网络、麦克风、演示环境等演示所需设备和系统正常稳定，并提前熟悉操作和使用。由评委对各投标人针对招标文件中演示部分进行评定打分。</w:t>
            </w:r>
          </w:p>
          <w:p>
            <w:pPr>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2.演示形式：投标</w:t>
            </w:r>
            <w:r>
              <w:rPr>
                <w:rFonts w:hint="eastAsia" w:ascii="新宋体" w:hAnsi="新宋体" w:eastAsia="新宋体" w:cs="新宋体"/>
                <w:color w:val="auto"/>
                <w:sz w:val="24"/>
                <w:highlight w:val="none"/>
                <w:lang w:val="en-US" w:eastAsia="zh-CN"/>
              </w:rPr>
              <w:t>人</w:t>
            </w:r>
            <w:r>
              <w:rPr>
                <w:rFonts w:hint="eastAsia" w:ascii="新宋体" w:hAnsi="新宋体" w:eastAsia="新宋体" w:cs="新宋体"/>
                <w:color w:val="auto"/>
                <w:sz w:val="24"/>
                <w:highlight w:val="none"/>
              </w:rPr>
              <w:t>针对招标文件需要演示的内容，进行</w:t>
            </w:r>
            <w:r>
              <w:rPr>
                <w:rFonts w:hint="eastAsia" w:ascii="新宋体" w:hAnsi="新宋体" w:eastAsia="新宋体" w:cs="新宋体"/>
                <w:color w:val="auto"/>
                <w:sz w:val="24"/>
                <w:highlight w:val="none"/>
                <w:lang w:val="en-US" w:eastAsia="zh-CN"/>
              </w:rPr>
              <w:t>讲解</w:t>
            </w:r>
            <w:r>
              <w:rPr>
                <w:rFonts w:hint="eastAsia" w:ascii="新宋体" w:hAnsi="新宋体" w:eastAsia="新宋体" w:cs="新宋体"/>
                <w:color w:val="auto"/>
                <w:sz w:val="24"/>
                <w:highlight w:val="none"/>
              </w:rPr>
              <w:t>演示，演示过程中需语音介绍目前演示的内容是什么，演示时长不超过30分钟（不包含评标小组提问解答时间）。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5" w:type="dxa"/>
            <w:noWrap w:val="0"/>
            <w:vAlign w:val="center"/>
          </w:tcPr>
          <w:p>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10</w:t>
            </w:r>
          </w:p>
        </w:tc>
        <w:tc>
          <w:tcPr>
            <w:tcW w:w="1953" w:type="dxa"/>
            <w:noWrap w:val="0"/>
            <w:vAlign w:val="center"/>
          </w:tcPr>
          <w:p>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投标文件组成</w:t>
            </w:r>
          </w:p>
        </w:tc>
        <w:tc>
          <w:tcPr>
            <w:tcW w:w="7347" w:type="dxa"/>
            <w:noWrap w:val="0"/>
            <w:vAlign w:val="center"/>
          </w:tcPr>
          <w:p>
            <w:pPr>
              <w:adjustRightInd w:val="0"/>
              <w:snapToGrid w:val="0"/>
              <w:spacing w:line="440" w:lineRule="exact"/>
              <w:ind w:firstLine="480"/>
              <w:rPr>
                <w:rFonts w:hint="eastAsia" w:ascii="新宋体" w:hAnsi="新宋体" w:eastAsia="新宋体" w:cs="新宋体"/>
                <w:b/>
                <w:bCs/>
                <w:color w:val="auto"/>
                <w:sz w:val="24"/>
                <w:highlight w:val="none"/>
                <w:lang w:eastAsia="zh-CN"/>
              </w:rPr>
            </w:pPr>
            <w:r>
              <w:rPr>
                <w:rFonts w:hint="eastAsia" w:ascii="新宋体" w:hAnsi="新宋体" w:eastAsia="新宋体" w:cs="新宋体"/>
                <w:b/>
                <w:bCs/>
                <w:color w:val="auto"/>
                <w:sz w:val="24"/>
                <w:highlight w:val="none"/>
              </w:rPr>
              <w:t>投标文件由资格响应文件、商务技术响应文件和报价响应文件组成，以下的“格式”，指的是第八章投标文件格式中的表格</w:t>
            </w:r>
            <w:r>
              <w:rPr>
                <w:rFonts w:hint="eastAsia" w:ascii="新宋体" w:hAnsi="新宋体" w:eastAsia="新宋体" w:cs="新宋体"/>
                <w:b/>
                <w:bCs/>
                <w:color w:val="auto"/>
                <w:sz w:val="24"/>
                <w:highlight w:val="none"/>
                <w:lang w:eastAsia="zh-CN"/>
              </w:rPr>
              <w:t>。</w:t>
            </w:r>
          </w:p>
          <w:p>
            <w:pPr>
              <w:keepNext w:val="0"/>
              <w:keepLines w:val="0"/>
              <w:widowControl/>
              <w:suppressLineNumbers w:val="0"/>
              <w:adjustRightInd w:val="0"/>
              <w:snapToGrid w:val="0"/>
              <w:spacing w:before="0" w:beforeAutospacing="0" w:after="0" w:afterAutospacing="0" w:line="460" w:lineRule="exact"/>
              <w:ind w:left="0" w:right="0" w:firstLine="463" w:firstLineChars="192"/>
              <w:rPr>
                <w:rFonts w:hint="default"/>
                <w:b/>
                <w:sz w:val="24"/>
                <w:szCs w:val="24"/>
                <w:u w:val="single"/>
              </w:rPr>
            </w:pPr>
            <w:r>
              <w:rPr>
                <w:rFonts w:hint="default"/>
                <w:b/>
                <w:sz w:val="24"/>
                <w:szCs w:val="24"/>
              </w:rPr>
              <w:t>1</w:t>
            </w:r>
            <w:r>
              <w:rPr>
                <w:rFonts w:hint="eastAsia"/>
                <w:b/>
                <w:sz w:val="24"/>
                <w:szCs w:val="24"/>
              </w:rPr>
              <w:t>.</w:t>
            </w:r>
            <w:r>
              <w:rPr>
                <w:rFonts w:hint="default"/>
                <w:sz w:val="24"/>
                <w:szCs w:val="24"/>
              </w:rPr>
              <w:t>投标文件由</w:t>
            </w:r>
            <w:r>
              <w:rPr>
                <w:rFonts w:hint="eastAsia"/>
                <w:b/>
                <w:sz w:val="24"/>
                <w:szCs w:val="24"/>
              </w:rPr>
              <w:t>资格响应文件</w:t>
            </w:r>
            <w:r>
              <w:rPr>
                <w:rFonts w:hint="eastAsia"/>
                <w:sz w:val="24"/>
                <w:szCs w:val="24"/>
              </w:rPr>
              <w:t>、</w:t>
            </w:r>
            <w:r>
              <w:rPr>
                <w:rFonts w:hint="eastAsia"/>
                <w:b/>
                <w:sz w:val="24"/>
                <w:szCs w:val="24"/>
              </w:rPr>
              <w:t>商务技术响应文件</w:t>
            </w:r>
            <w:r>
              <w:rPr>
                <w:rFonts w:hint="default"/>
                <w:sz w:val="24"/>
                <w:szCs w:val="24"/>
              </w:rPr>
              <w:t>和</w:t>
            </w:r>
            <w:r>
              <w:rPr>
                <w:rFonts w:hint="eastAsia"/>
                <w:b/>
                <w:sz w:val="24"/>
                <w:szCs w:val="24"/>
              </w:rPr>
              <w:t>报价响应文件</w:t>
            </w:r>
            <w:r>
              <w:rPr>
                <w:rFonts w:hint="default"/>
                <w:sz w:val="24"/>
                <w:szCs w:val="24"/>
              </w:rPr>
              <w:t>组成，以下的“格式”，指的是第八章投标文件格式中的表格</w:t>
            </w:r>
            <w:r>
              <w:rPr>
                <w:rFonts w:hint="eastAsia"/>
                <w:sz w:val="24"/>
                <w:szCs w:val="24"/>
              </w:rPr>
              <w:t>；</w:t>
            </w:r>
          </w:p>
          <w:p>
            <w:pPr>
              <w:keepNext w:val="0"/>
              <w:keepLines w:val="0"/>
              <w:widowControl/>
              <w:suppressLineNumbers w:val="0"/>
              <w:adjustRightInd w:val="0"/>
              <w:snapToGrid w:val="0"/>
              <w:spacing w:before="0" w:beforeAutospacing="0" w:after="0" w:afterAutospacing="0" w:line="460" w:lineRule="exact"/>
              <w:ind w:left="0" w:right="0" w:firstLine="482" w:firstLineChars="200"/>
              <w:rPr>
                <w:rFonts w:hint="default"/>
                <w:b/>
                <w:sz w:val="24"/>
                <w:szCs w:val="24"/>
                <w:u w:val="single"/>
              </w:rPr>
            </w:pPr>
            <w:r>
              <w:rPr>
                <w:rFonts w:hint="eastAsia"/>
                <w:b/>
                <w:sz w:val="24"/>
                <w:szCs w:val="24"/>
              </w:rPr>
              <w:t>2.资格响应文件：</w:t>
            </w:r>
            <w:r>
              <w:rPr>
                <w:rFonts w:hint="default"/>
                <w:b/>
                <w:sz w:val="24"/>
                <w:szCs w:val="24"/>
              </w:rPr>
              <w:t>包含以下内容</w:t>
            </w:r>
          </w:p>
          <w:p>
            <w:pPr>
              <w:keepNext w:val="0"/>
              <w:keepLines w:val="0"/>
              <w:widowControl/>
              <w:suppressLineNumbers w:val="0"/>
              <w:spacing w:before="0" w:beforeAutospacing="0" w:after="0" w:afterAutospacing="0" w:line="440" w:lineRule="exact"/>
              <w:ind w:left="0" w:right="0" w:firstLine="480"/>
              <w:rPr>
                <w:rFonts w:hint="default" w:ascii="新宋体" w:hAnsi="新宋体" w:eastAsia="新宋体" w:cs="新宋体"/>
                <w:sz w:val="24"/>
                <w:szCs w:val="24"/>
              </w:rPr>
            </w:pPr>
            <w:r>
              <w:rPr>
                <w:rFonts w:hint="eastAsia" w:ascii="新宋体" w:hAnsi="新宋体" w:eastAsia="新宋体" w:cs="新宋体"/>
                <w:sz w:val="24"/>
                <w:szCs w:val="24"/>
              </w:rPr>
              <w:t>★①单位营业执照副本等经营资格文件扫描件（</w:t>
            </w:r>
            <w:r>
              <w:rPr>
                <w:rFonts w:hint="eastAsia" w:ascii="新宋体" w:hAnsi="新宋体" w:eastAsia="新宋体" w:cs="Courier New"/>
                <w:sz w:val="24"/>
                <w:szCs w:val="24"/>
              </w:rPr>
              <w:t>电子签章</w:t>
            </w:r>
            <w:r>
              <w:rPr>
                <w:rFonts w:hint="eastAsia" w:ascii="新宋体" w:hAnsi="新宋体" w:eastAsia="新宋体" w:cs="新宋体"/>
                <w:sz w:val="24"/>
                <w:szCs w:val="24"/>
              </w:rPr>
              <w:t>）；</w:t>
            </w:r>
          </w:p>
          <w:p>
            <w:pPr>
              <w:keepNext w:val="0"/>
              <w:keepLines w:val="0"/>
              <w:widowControl/>
              <w:suppressLineNumbers w:val="0"/>
              <w:spacing w:before="0" w:beforeAutospacing="0" w:after="0" w:afterAutospacing="0" w:line="440" w:lineRule="exact"/>
              <w:ind w:left="0" w:right="0" w:firstLine="480"/>
              <w:rPr>
                <w:rFonts w:hint="default" w:ascii="新宋体" w:hAnsi="新宋体" w:eastAsia="新宋体"/>
                <w:sz w:val="24"/>
                <w:szCs w:val="24"/>
              </w:rPr>
            </w:pPr>
            <w:r>
              <w:rPr>
                <w:rFonts w:hint="eastAsia" w:ascii="新宋体" w:hAnsi="新宋体" w:eastAsia="新宋体" w:cs="新宋体"/>
                <w:sz w:val="24"/>
                <w:szCs w:val="24"/>
              </w:rPr>
              <w:t>★②义乌市政府采购项目投标承诺书（见格式）；</w:t>
            </w:r>
          </w:p>
          <w:p>
            <w:pPr>
              <w:pStyle w:val="45"/>
              <w:keepNext w:val="0"/>
              <w:keepLines w:val="0"/>
              <w:widowControl/>
              <w:suppressLineNumbers w:val="0"/>
              <w:spacing w:before="0" w:beforeAutospacing="0" w:after="0" w:afterAutospacing="0" w:line="400" w:lineRule="exact"/>
              <w:ind w:left="0" w:right="0" w:firstLine="480" w:firstLineChars="200"/>
              <w:textAlignment w:val="baseline"/>
              <w:rPr>
                <w:rFonts w:hint="eastAsia" w:ascii="新宋体" w:hAnsi="新宋体" w:eastAsia="新宋体"/>
                <w:color w:val="auto"/>
                <w:sz w:val="24"/>
                <w:highlight w:val="none"/>
                <w:lang w:eastAsia="zh-CN"/>
              </w:rPr>
            </w:pPr>
            <w:r>
              <w:rPr>
                <w:rFonts w:hint="eastAsia" w:ascii="新宋体" w:hAnsi="新宋体" w:eastAsia="新宋体" w:cs="新宋体"/>
                <w:sz w:val="24"/>
                <w:szCs w:val="24"/>
              </w:rPr>
              <w:t>★③</w:t>
            </w:r>
            <w:r>
              <w:rPr>
                <w:rFonts w:hint="eastAsia" w:ascii="新宋体" w:hAnsi="新宋体" w:eastAsia="新宋体" w:cs="Courier New"/>
                <w:sz w:val="24"/>
                <w:szCs w:val="24"/>
              </w:rPr>
              <w:t>中小企业声明函（见格式）｛投标人应根据《工业和信息化部、国家统计局、国家发展和改革委员会、财政部关于印发中小企业划型标准规定的通知》（工信部联企业〔2011〕300号）规定的划型标准，填报企业规模类型。投标人也可在国务院客户端或工业和信息化部网站上，使用中小企业规模类型自测小程序识别企业规模类型。｝；或残疾人福利性单位声明函（见格式）（符合残疾人福利性单位有关政策的投标人需提供本项材料）；或省级及以上监狱管理局、戒毒管理局（含新疆生产建设兵团）出具的属于监狱企业的文件扫描件加盖电子签章（符合监狱企业有关政策的投标人需提供本项材料）。</w:t>
            </w:r>
          </w:p>
          <w:p>
            <w:pPr>
              <w:spacing w:line="440" w:lineRule="exact"/>
              <w:ind w:firstLine="480"/>
              <w:rPr>
                <w:rFonts w:hint="eastAsia" w:ascii="新宋体" w:hAnsi="新宋体" w:eastAsia="新宋体" w:cs="新宋体"/>
                <w:color w:val="auto"/>
                <w:sz w:val="24"/>
                <w:highlight w:val="none"/>
              </w:rPr>
            </w:pPr>
            <w:r>
              <w:rPr>
                <w:rFonts w:hint="eastAsia" w:ascii="新宋体" w:hAnsi="新宋体" w:eastAsia="新宋体" w:cs="新宋体"/>
                <w:b/>
                <w:bCs/>
                <w:color w:val="auto"/>
                <w:sz w:val="24"/>
                <w:highlight w:val="none"/>
                <w:lang w:val="en-US" w:eastAsia="zh-CN"/>
              </w:rPr>
              <w:t>3.</w:t>
            </w:r>
            <w:r>
              <w:rPr>
                <w:rFonts w:hint="eastAsia" w:ascii="新宋体" w:hAnsi="新宋体" w:eastAsia="新宋体" w:cs="新宋体"/>
                <w:b/>
                <w:bCs/>
                <w:color w:val="auto"/>
                <w:sz w:val="24"/>
                <w:highlight w:val="none"/>
              </w:rPr>
              <w:t>商务技术响应文件：包含以下内容</w:t>
            </w:r>
            <w:r>
              <w:rPr>
                <w:rFonts w:hint="eastAsia" w:ascii="新宋体" w:hAnsi="新宋体" w:eastAsia="新宋体" w:cs="新宋体"/>
                <w:b/>
                <w:bCs/>
                <w:color w:val="auto"/>
                <w:sz w:val="24"/>
                <w:highlight w:val="none"/>
                <w:lang w:eastAsia="zh-CN"/>
              </w:rPr>
              <w:t>：</w:t>
            </w:r>
          </w:p>
          <w:p>
            <w:pPr>
              <w:spacing w:line="440" w:lineRule="exact"/>
              <w:ind w:firstLine="480"/>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★①</w:t>
            </w:r>
            <w:r>
              <w:rPr>
                <w:rFonts w:hint="eastAsia" w:ascii="新宋体" w:hAnsi="新宋体" w:eastAsia="新宋体" w:cs="新宋体"/>
                <w:color w:val="auto"/>
                <w:sz w:val="24"/>
                <w:highlight w:val="none"/>
                <w:lang w:eastAsia="zh-CN"/>
              </w:rPr>
              <w:t>参投货物说明一览表</w:t>
            </w:r>
            <w:r>
              <w:rPr>
                <w:rFonts w:hint="eastAsia" w:ascii="新宋体" w:hAnsi="新宋体" w:eastAsia="新宋体" w:cs="新宋体"/>
                <w:color w:val="auto"/>
                <w:sz w:val="24"/>
                <w:highlight w:val="none"/>
              </w:rPr>
              <w:t>（见格式）</w:t>
            </w:r>
            <w:r>
              <w:rPr>
                <w:rFonts w:hint="eastAsia" w:ascii="新宋体" w:hAnsi="新宋体" w:eastAsia="新宋体" w:cs="新宋体"/>
                <w:color w:val="auto"/>
                <w:sz w:val="24"/>
                <w:highlight w:val="none"/>
                <w:lang w:eastAsia="zh-CN"/>
              </w:rPr>
              <w:t>；</w:t>
            </w:r>
          </w:p>
          <w:p>
            <w:pPr>
              <w:spacing w:line="440" w:lineRule="exact"/>
              <w:ind w:firstLine="480"/>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★②规范偏离表（见格式）</w:t>
            </w:r>
            <w:r>
              <w:rPr>
                <w:rFonts w:hint="eastAsia" w:ascii="新宋体" w:hAnsi="新宋体" w:eastAsia="新宋体" w:cs="新宋体"/>
                <w:color w:val="auto"/>
                <w:sz w:val="24"/>
                <w:highlight w:val="none"/>
                <w:lang w:eastAsia="zh-CN"/>
              </w:rPr>
              <w:t>；</w:t>
            </w:r>
          </w:p>
          <w:p>
            <w:pPr>
              <w:spacing w:line="440" w:lineRule="exact"/>
              <w:ind w:firstLine="480"/>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③产品技术</w:t>
            </w:r>
            <w:r>
              <w:rPr>
                <w:rFonts w:hint="eastAsia" w:ascii="新宋体" w:hAnsi="新宋体" w:eastAsia="新宋体" w:cs="新宋体"/>
                <w:color w:val="auto"/>
                <w:sz w:val="24"/>
                <w:highlight w:val="none"/>
                <w:lang w:eastAsia="zh-CN"/>
              </w:rPr>
              <w:t>佐证</w:t>
            </w:r>
            <w:r>
              <w:rPr>
                <w:rFonts w:hint="eastAsia" w:ascii="新宋体" w:hAnsi="新宋体" w:eastAsia="新宋体" w:cs="新宋体"/>
                <w:color w:val="auto"/>
                <w:sz w:val="24"/>
                <w:highlight w:val="none"/>
              </w:rPr>
              <w:t>资料，包含以下内容</w:t>
            </w:r>
            <w:r>
              <w:rPr>
                <w:rFonts w:hint="eastAsia" w:ascii="新宋体" w:hAnsi="新宋体" w:eastAsia="新宋体" w:cs="新宋体"/>
                <w:color w:val="auto"/>
                <w:sz w:val="24"/>
                <w:highlight w:val="none"/>
                <w:lang w:eastAsia="zh-CN"/>
              </w:rPr>
              <w:t>：</w:t>
            </w:r>
          </w:p>
          <w:p>
            <w:pPr>
              <w:spacing w:line="440" w:lineRule="exact"/>
              <w:ind w:firstLine="480"/>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a.所投产品型号宣传彩页、说明书或官网截图材料</w:t>
            </w:r>
            <w:r>
              <w:rPr>
                <w:rFonts w:hint="eastAsia" w:ascii="新宋体" w:hAnsi="新宋体" w:eastAsia="新宋体" w:cs="新宋体"/>
                <w:color w:val="auto"/>
                <w:sz w:val="24"/>
                <w:highlight w:val="none"/>
                <w:lang w:eastAsia="zh-CN"/>
              </w:rPr>
              <w:t>；</w:t>
            </w:r>
          </w:p>
          <w:p>
            <w:pPr>
              <w:spacing w:line="440" w:lineRule="exact"/>
              <w:ind w:firstLine="480"/>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b.如所投产品型号需要国家强制性认证的，则需提供所投产品型号的国家强制性产品认证证书的扫描件</w:t>
            </w:r>
            <w:r>
              <w:rPr>
                <w:rFonts w:hint="eastAsia" w:ascii="新宋体" w:hAnsi="新宋体" w:eastAsia="新宋体" w:cs="新宋体"/>
                <w:color w:val="auto"/>
                <w:sz w:val="24"/>
                <w:highlight w:val="none"/>
                <w:lang w:eastAsia="zh-CN"/>
              </w:rPr>
              <w:t>；</w:t>
            </w:r>
          </w:p>
          <w:p>
            <w:pPr>
              <w:spacing w:line="440" w:lineRule="exact"/>
              <w:ind w:firstLine="480"/>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c.列入政府采购节能环保清单的资料（如有）</w:t>
            </w:r>
            <w:r>
              <w:rPr>
                <w:rFonts w:hint="eastAsia" w:ascii="新宋体" w:hAnsi="新宋体" w:eastAsia="新宋体" w:cs="新宋体"/>
                <w:color w:val="auto"/>
                <w:sz w:val="24"/>
                <w:highlight w:val="none"/>
                <w:lang w:eastAsia="zh-CN"/>
              </w:rPr>
              <w:t>，</w:t>
            </w:r>
            <w:r>
              <w:rPr>
                <w:rFonts w:hint="eastAsia" w:ascii="新宋体" w:hAnsi="新宋体" w:eastAsia="新宋体" w:cs="Courier New"/>
                <w:b/>
                <w:bCs/>
                <w:color w:val="auto"/>
                <w:sz w:val="24"/>
                <w:highlight w:val="none"/>
                <w:u w:val="single"/>
              </w:rPr>
              <w:t>见“投标须知前附表”要求</w:t>
            </w:r>
            <w:r>
              <w:rPr>
                <w:rFonts w:hint="eastAsia" w:ascii="新宋体" w:hAnsi="新宋体" w:eastAsia="新宋体" w:cs="Courier New"/>
                <w:color w:val="auto"/>
                <w:sz w:val="24"/>
                <w:highlight w:val="none"/>
              </w:rPr>
              <w:t>。</w:t>
            </w:r>
          </w:p>
          <w:p>
            <w:pPr>
              <w:spacing w:line="440" w:lineRule="exact"/>
              <w:ind w:firstLine="480"/>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④产品的主要技术、结构、性能、特点和质量水平的详细描述</w:t>
            </w:r>
            <w:r>
              <w:rPr>
                <w:rFonts w:hint="eastAsia" w:ascii="新宋体" w:hAnsi="新宋体" w:eastAsia="新宋体" w:cs="新宋体"/>
                <w:color w:val="auto"/>
                <w:sz w:val="24"/>
                <w:highlight w:val="none"/>
                <w:lang w:eastAsia="zh-CN"/>
              </w:rPr>
              <w:t>；</w:t>
            </w:r>
          </w:p>
          <w:p>
            <w:pPr>
              <w:spacing w:line="440" w:lineRule="exact"/>
              <w:ind w:firstLine="480"/>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⑤项目实施方案及售后服务：包含以下内容</w:t>
            </w:r>
            <w:r>
              <w:rPr>
                <w:rFonts w:hint="eastAsia" w:ascii="新宋体" w:hAnsi="新宋体" w:eastAsia="新宋体" w:cs="新宋体"/>
                <w:color w:val="auto"/>
                <w:sz w:val="24"/>
                <w:highlight w:val="none"/>
                <w:lang w:eastAsia="zh-CN"/>
              </w:rPr>
              <w:t>：</w:t>
            </w:r>
          </w:p>
          <w:p>
            <w:pPr>
              <w:spacing w:line="440" w:lineRule="exact"/>
              <w:ind w:firstLine="480"/>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a.项目实施方案</w:t>
            </w:r>
            <w:r>
              <w:rPr>
                <w:rFonts w:hint="eastAsia" w:ascii="新宋体" w:hAnsi="新宋体" w:eastAsia="新宋体" w:cs="新宋体"/>
                <w:color w:val="auto"/>
                <w:sz w:val="24"/>
                <w:highlight w:val="none"/>
                <w:lang w:eastAsia="zh-CN"/>
              </w:rPr>
              <w:t>：</w:t>
            </w:r>
            <w:r>
              <w:rPr>
                <w:rFonts w:hint="eastAsia" w:ascii="新宋体" w:hAnsi="新宋体" w:eastAsia="新宋体" w:cs="Courier New"/>
                <w:color w:val="auto"/>
                <w:sz w:val="24"/>
                <w:highlight w:val="none"/>
              </w:rPr>
              <w:t>包括但不仅限于项目实施人员安排、项目实施进度安排、对实施过程中可能遇到的问题的解决方案等内容</w:t>
            </w:r>
            <w:r>
              <w:rPr>
                <w:rFonts w:hint="eastAsia" w:ascii="新宋体" w:hAnsi="新宋体" w:eastAsia="新宋体" w:cs="Courier New"/>
                <w:color w:val="auto"/>
                <w:sz w:val="24"/>
                <w:highlight w:val="none"/>
                <w:lang w:eastAsia="zh-CN"/>
              </w:rPr>
              <w:t>；</w:t>
            </w:r>
          </w:p>
          <w:p>
            <w:pPr>
              <w:spacing w:line="440" w:lineRule="exact"/>
              <w:ind w:firstLine="480"/>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★b.产品质量保证及售后服务承诺书（见格式）</w:t>
            </w:r>
            <w:r>
              <w:rPr>
                <w:rFonts w:hint="eastAsia" w:ascii="新宋体" w:hAnsi="新宋体" w:eastAsia="新宋体" w:cs="新宋体"/>
                <w:color w:val="auto"/>
                <w:sz w:val="24"/>
                <w:highlight w:val="none"/>
                <w:lang w:eastAsia="zh-CN"/>
              </w:rPr>
              <w:t>；</w:t>
            </w:r>
          </w:p>
          <w:p>
            <w:pPr>
              <w:spacing w:line="440" w:lineRule="exact"/>
              <w:ind w:firstLine="480"/>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c.备品备件及专用工具清单表（见格式）</w:t>
            </w:r>
            <w:r>
              <w:rPr>
                <w:rFonts w:hint="eastAsia" w:ascii="新宋体" w:hAnsi="新宋体" w:eastAsia="新宋体" w:cs="新宋体"/>
                <w:color w:val="auto"/>
                <w:sz w:val="24"/>
                <w:highlight w:val="none"/>
                <w:lang w:eastAsia="zh-CN"/>
              </w:rPr>
              <w:t>。</w:t>
            </w:r>
          </w:p>
          <w:p>
            <w:pPr>
              <w:spacing w:line="440" w:lineRule="exact"/>
              <w:ind w:firstLine="480"/>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⑥投标人应仔细分析第六章评标办法中评分细则，按要求提供评分方法所需的资料</w:t>
            </w:r>
            <w:r>
              <w:rPr>
                <w:rFonts w:hint="eastAsia" w:ascii="新宋体" w:hAnsi="新宋体" w:eastAsia="新宋体" w:cs="新宋体"/>
                <w:color w:val="auto"/>
                <w:sz w:val="24"/>
                <w:highlight w:val="none"/>
                <w:lang w:eastAsia="zh-CN"/>
              </w:rPr>
              <w:t>。</w:t>
            </w:r>
          </w:p>
          <w:p>
            <w:pPr>
              <w:adjustRightInd w:val="0"/>
              <w:snapToGrid w:val="0"/>
              <w:spacing w:line="440" w:lineRule="exact"/>
              <w:ind w:firstLine="480"/>
              <w:rPr>
                <w:rFonts w:hint="eastAsia" w:ascii="新宋体" w:hAnsi="新宋体" w:eastAsia="新宋体" w:cs="新宋体"/>
                <w:b/>
                <w:bCs/>
                <w:color w:val="auto"/>
                <w:sz w:val="24"/>
                <w:highlight w:val="none"/>
                <w:lang w:eastAsia="zh-CN"/>
              </w:rPr>
            </w:pPr>
            <w:r>
              <w:rPr>
                <w:rFonts w:hint="eastAsia" w:ascii="新宋体" w:hAnsi="新宋体" w:eastAsia="新宋体" w:cs="新宋体"/>
                <w:b/>
                <w:bCs/>
                <w:color w:val="auto"/>
                <w:sz w:val="24"/>
                <w:highlight w:val="none"/>
                <w:lang w:val="en-US" w:eastAsia="zh-CN"/>
              </w:rPr>
              <w:t>4.</w:t>
            </w:r>
            <w:r>
              <w:rPr>
                <w:rFonts w:hint="eastAsia" w:ascii="新宋体" w:hAnsi="新宋体" w:eastAsia="新宋体" w:cs="新宋体"/>
                <w:b/>
                <w:bCs/>
                <w:color w:val="auto"/>
                <w:sz w:val="24"/>
                <w:highlight w:val="none"/>
              </w:rPr>
              <w:t>报价响应文件：包含下列内容</w:t>
            </w:r>
            <w:r>
              <w:rPr>
                <w:rFonts w:hint="eastAsia" w:ascii="新宋体" w:hAnsi="新宋体" w:eastAsia="新宋体" w:cs="新宋体"/>
                <w:b/>
                <w:bCs/>
                <w:color w:val="auto"/>
                <w:sz w:val="24"/>
                <w:highlight w:val="none"/>
                <w:lang w:eastAsia="zh-CN"/>
              </w:rPr>
              <w:t>：</w:t>
            </w:r>
          </w:p>
          <w:p>
            <w:pPr>
              <w:spacing w:line="440" w:lineRule="exact"/>
              <w:ind w:firstLine="480"/>
              <w:rPr>
                <w:rFonts w:hint="eastAsia" w:ascii="新宋体" w:hAnsi="新宋体" w:eastAsia="新宋体" w:cs="新宋体"/>
                <w:b/>
                <w:bCs/>
                <w:color w:val="auto"/>
                <w:sz w:val="24"/>
                <w:highlight w:val="none"/>
                <w:lang w:eastAsia="zh-CN"/>
              </w:rPr>
            </w:pPr>
            <w:r>
              <w:rPr>
                <w:rFonts w:hint="eastAsia" w:ascii="新宋体" w:hAnsi="新宋体" w:eastAsia="新宋体" w:cs="新宋体"/>
                <w:color w:val="auto"/>
                <w:sz w:val="24"/>
                <w:highlight w:val="none"/>
              </w:rPr>
              <w:t>★①开标一览表（见格式）</w:t>
            </w:r>
            <w:r>
              <w:rPr>
                <w:rFonts w:hint="eastAsia" w:ascii="新宋体" w:hAnsi="新宋体" w:eastAsia="新宋体" w:cs="新宋体"/>
                <w:color w:val="auto"/>
                <w:sz w:val="24"/>
                <w:highlight w:val="none"/>
                <w:lang w:eastAsia="zh-CN"/>
              </w:rPr>
              <w:t>；</w:t>
            </w:r>
          </w:p>
          <w:p>
            <w:pPr>
              <w:spacing w:line="400" w:lineRule="exact"/>
              <w:ind w:firstLine="480" w:firstLineChars="200"/>
              <w:rPr>
                <w:rFonts w:hint="eastAsia" w:ascii="新宋体" w:hAnsi="新宋体" w:eastAsia="新宋体" w:cs="新宋体"/>
                <w:color w:val="auto"/>
                <w:highlight w:val="none"/>
                <w:lang w:eastAsia="zh-CN"/>
              </w:rPr>
            </w:pPr>
            <w:r>
              <w:rPr>
                <w:rFonts w:hint="eastAsia" w:ascii="新宋体" w:hAnsi="新宋体" w:eastAsia="新宋体" w:cs="新宋体"/>
                <w:color w:val="auto"/>
                <w:sz w:val="24"/>
                <w:highlight w:val="none"/>
              </w:rPr>
              <w:t>★②</w:t>
            </w:r>
            <w:r>
              <w:rPr>
                <w:rFonts w:hint="eastAsia" w:ascii="新宋体" w:hAnsi="新宋体" w:eastAsia="新宋体" w:cs="新宋体"/>
                <w:color w:val="auto"/>
                <w:sz w:val="24"/>
                <w:highlight w:val="none"/>
                <w:lang w:eastAsia="zh-CN"/>
              </w:rPr>
              <w:t>投标人自报成本价表</w:t>
            </w:r>
            <w:r>
              <w:rPr>
                <w:rFonts w:hint="eastAsia" w:ascii="新宋体" w:hAnsi="新宋体" w:eastAsia="新宋体" w:cs="新宋体"/>
                <w:color w:val="auto"/>
                <w:sz w:val="24"/>
                <w:highlight w:val="none"/>
              </w:rPr>
              <w:t>（见格式）</w:t>
            </w:r>
            <w:r>
              <w:rPr>
                <w:rFonts w:hint="eastAsia" w:ascii="新宋体" w:hAnsi="新宋体" w:eastAsia="新宋体" w:cs="新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15" w:type="dxa"/>
            <w:noWrap w:val="0"/>
            <w:vAlign w:val="center"/>
          </w:tcPr>
          <w:p>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11</w:t>
            </w:r>
          </w:p>
        </w:tc>
        <w:tc>
          <w:tcPr>
            <w:tcW w:w="1953" w:type="dxa"/>
            <w:noWrap w:val="0"/>
            <w:vAlign w:val="center"/>
          </w:tcPr>
          <w:p>
            <w:pPr>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highlight w:val="none"/>
              </w:rPr>
              <w:t>履约保证金</w:t>
            </w:r>
          </w:p>
        </w:tc>
        <w:tc>
          <w:tcPr>
            <w:tcW w:w="7347" w:type="dxa"/>
            <w:noWrap w:val="0"/>
            <w:vAlign w:val="center"/>
          </w:tcPr>
          <w:p>
            <w:pPr>
              <w:spacing w:line="400" w:lineRule="exact"/>
              <w:rPr>
                <w:rFonts w:hint="eastAsia" w:ascii="新宋体" w:hAnsi="新宋体" w:eastAsia="新宋体" w:cs="新宋体"/>
                <w:color w:val="auto"/>
                <w:kern w:val="2"/>
                <w:sz w:val="21"/>
                <w:szCs w:val="24"/>
                <w:highlight w:val="none"/>
                <w:lang w:val="en-US" w:eastAsia="zh-CN" w:bidi="ar-SA"/>
              </w:rPr>
            </w:pPr>
            <w:r>
              <w:rPr>
                <w:rFonts w:hint="eastAsia" w:ascii="新宋体" w:hAnsi="新宋体" w:eastAsia="新宋体" w:cs="新宋体"/>
                <w:color w:val="auto"/>
                <w:sz w:val="24"/>
                <w:highlight w:val="none"/>
              </w:rPr>
              <w:t>无</w:t>
            </w:r>
            <w:r>
              <w:rPr>
                <w:rFonts w:hint="eastAsia" w:ascii="新宋体" w:hAnsi="新宋体" w:eastAsia="新宋体" w:cs="新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15" w:type="dxa"/>
            <w:noWrap w:val="0"/>
            <w:vAlign w:val="center"/>
          </w:tcPr>
          <w:p>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12</w:t>
            </w:r>
          </w:p>
        </w:tc>
        <w:tc>
          <w:tcPr>
            <w:tcW w:w="1953" w:type="dxa"/>
            <w:noWrap w:val="0"/>
            <w:vAlign w:val="center"/>
          </w:tcPr>
          <w:p>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评标办法</w:t>
            </w:r>
          </w:p>
        </w:tc>
        <w:tc>
          <w:tcPr>
            <w:tcW w:w="7347" w:type="dxa"/>
            <w:noWrap w:val="0"/>
            <w:vAlign w:val="center"/>
          </w:tcPr>
          <w:p>
            <w:pPr>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综合评分法</w:t>
            </w:r>
            <w:r>
              <w:rPr>
                <w:rFonts w:hint="eastAsia" w:ascii="新宋体" w:hAnsi="新宋体" w:eastAsia="新宋体" w:cs="新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15" w:type="dxa"/>
            <w:noWrap w:val="0"/>
            <w:vAlign w:val="center"/>
          </w:tcPr>
          <w:p>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13</w:t>
            </w:r>
          </w:p>
        </w:tc>
        <w:tc>
          <w:tcPr>
            <w:tcW w:w="1953" w:type="dxa"/>
            <w:noWrap w:val="0"/>
            <w:vAlign w:val="center"/>
          </w:tcPr>
          <w:p>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付款方式</w:t>
            </w:r>
          </w:p>
        </w:tc>
        <w:tc>
          <w:tcPr>
            <w:tcW w:w="7347" w:type="dxa"/>
            <w:noWrap w:val="0"/>
            <w:vAlign w:val="center"/>
          </w:tcPr>
          <w:p>
            <w:pPr>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详见第三章招标项目要求</w:t>
            </w:r>
            <w:r>
              <w:rPr>
                <w:rFonts w:hint="eastAsia" w:ascii="新宋体" w:hAnsi="新宋体" w:eastAsia="新宋体" w:cs="新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15" w:type="dxa"/>
            <w:noWrap w:val="0"/>
            <w:vAlign w:val="center"/>
          </w:tcPr>
          <w:p>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14</w:t>
            </w:r>
          </w:p>
        </w:tc>
        <w:tc>
          <w:tcPr>
            <w:tcW w:w="1953" w:type="dxa"/>
            <w:noWrap w:val="0"/>
            <w:vAlign w:val="center"/>
          </w:tcPr>
          <w:p>
            <w:pPr>
              <w:snapToGrid w:val="0"/>
              <w:spacing w:line="360" w:lineRule="exact"/>
              <w:jc w:val="center"/>
              <w:rPr>
                <w:rFonts w:hint="eastAsia" w:ascii="新宋体" w:hAnsi="新宋体" w:eastAsia="新宋体" w:cs="新宋体"/>
                <w:color w:val="auto"/>
                <w:highlight w:val="none"/>
              </w:rPr>
            </w:pPr>
            <w:r>
              <w:rPr>
                <w:rFonts w:hint="eastAsia" w:ascii="新宋体" w:hAnsi="新宋体" w:eastAsia="新宋体" w:cs="新宋体"/>
                <w:color w:val="auto"/>
                <w:sz w:val="24"/>
                <w:highlight w:val="none"/>
              </w:rPr>
              <w:t>不良行为记录</w:t>
            </w:r>
          </w:p>
        </w:tc>
        <w:tc>
          <w:tcPr>
            <w:tcW w:w="7347" w:type="dxa"/>
            <w:noWrap w:val="0"/>
            <w:vAlign w:val="center"/>
          </w:tcPr>
          <w:p>
            <w:pPr>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详见</w:t>
            </w:r>
            <w:r>
              <w:rPr>
                <w:rFonts w:hint="eastAsia" w:ascii="新宋体" w:hAnsi="新宋体" w:eastAsia="新宋体" w:cs="新宋体"/>
                <w:color w:val="auto"/>
                <w:sz w:val="24"/>
                <w:highlight w:val="none"/>
                <w:lang w:eastAsia="zh-CN"/>
              </w:rPr>
              <w:t>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15" w:type="dxa"/>
            <w:noWrap w:val="0"/>
            <w:vAlign w:val="center"/>
          </w:tcPr>
          <w:p>
            <w:pPr>
              <w:jc w:val="center"/>
              <w:rPr>
                <w:rFonts w:hint="default"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15</w:t>
            </w:r>
          </w:p>
        </w:tc>
        <w:tc>
          <w:tcPr>
            <w:tcW w:w="1953" w:type="dxa"/>
            <w:noWrap w:val="0"/>
            <w:vAlign w:val="center"/>
          </w:tcPr>
          <w:p>
            <w:pPr>
              <w:spacing w:line="400" w:lineRule="exact"/>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highlight w:val="none"/>
              </w:rPr>
              <w:t>是否接受进口产品参与投标</w:t>
            </w:r>
          </w:p>
        </w:tc>
        <w:tc>
          <w:tcPr>
            <w:tcW w:w="7347" w:type="dxa"/>
            <w:noWrap w:val="0"/>
            <w:vAlign w:val="center"/>
          </w:tcPr>
          <w:p>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sym w:font="Wingdings" w:char="00FE"/>
            </w:r>
            <w:r>
              <w:rPr>
                <w:rFonts w:hint="eastAsia" w:ascii="新宋体" w:hAnsi="新宋体" w:eastAsia="新宋体" w:cs="新宋体"/>
                <w:color w:val="auto"/>
                <w:sz w:val="24"/>
                <w:highlight w:val="none"/>
              </w:rPr>
              <w:t>本项目不允许采购进口产品。</w:t>
            </w:r>
          </w:p>
          <w:p>
            <w:pPr>
              <w:rPr>
                <w:rFonts w:hint="eastAsia" w:ascii="新宋体" w:hAnsi="新宋体" w:eastAsia="新宋体" w:cs="新宋体"/>
                <w:color w:val="auto"/>
                <w:sz w:val="24"/>
                <w:highlight w:val="none"/>
              </w:rPr>
            </w:pPr>
            <w:r>
              <w:rPr>
                <w:rFonts w:hint="eastAsia" w:ascii="新宋体" w:hAnsi="新宋体" w:eastAsia="新宋体" w:cs="新宋体"/>
                <w:color w:val="auto"/>
                <w:kern w:val="0"/>
                <w:sz w:val="24"/>
                <w:highlight w:val="none"/>
              </w:rPr>
              <w:sym w:font="Wingdings" w:char="00A8"/>
            </w:r>
            <w:r>
              <w:rPr>
                <w:rFonts w:hint="eastAsia" w:ascii="新宋体" w:hAnsi="新宋体" w:eastAsia="新宋体" w:cs="新宋体"/>
                <w:color w:val="auto"/>
                <w:sz w:val="24"/>
                <w:highlight w:val="none"/>
              </w:rPr>
              <w:t>本项目允许采购进口产品</w:t>
            </w:r>
            <w:r>
              <w:rPr>
                <w:rFonts w:hint="eastAsia" w:ascii="新宋体" w:hAnsi="新宋体" w:eastAsia="新宋体" w:cs="新宋体"/>
                <w:color w:val="auto"/>
                <w:sz w:val="24"/>
                <w:highlight w:val="none"/>
                <w:lang w:val="en-US" w:eastAsia="zh-CN"/>
              </w:rPr>
              <w:t>。</w:t>
            </w:r>
          </w:p>
          <w:p>
            <w:pP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highlight w:val="none"/>
                <w:lang w:val="en-US" w:eastAsia="zh-CN"/>
              </w:rPr>
              <w:t>详见投标须知7。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15" w:type="dxa"/>
            <w:noWrap w:val="0"/>
            <w:vAlign w:val="center"/>
          </w:tcPr>
          <w:p>
            <w:pPr>
              <w:jc w:val="center"/>
              <w:rPr>
                <w:rFonts w:hint="default"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16</w:t>
            </w:r>
          </w:p>
        </w:tc>
        <w:tc>
          <w:tcPr>
            <w:tcW w:w="1953" w:type="dxa"/>
            <w:noWrap w:val="0"/>
            <w:vAlign w:val="center"/>
          </w:tcPr>
          <w:p>
            <w:pPr>
              <w:spacing w:line="400" w:lineRule="exact"/>
              <w:jc w:val="center"/>
              <w:rPr>
                <w:rFonts w:hint="eastAsia" w:ascii="新宋体" w:hAnsi="新宋体" w:eastAsia="新宋体" w:cs="新宋体"/>
                <w:color w:val="auto"/>
                <w:sz w:val="24"/>
                <w:highlight w:val="none"/>
              </w:rPr>
            </w:pPr>
            <w:r>
              <w:rPr>
                <w:rFonts w:hint="eastAsia" w:ascii="新宋体" w:hAnsi="新宋体" w:eastAsia="新宋体" w:cs="Courier New"/>
                <w:color w:val="auto"/>
                <w:sz w:val="24"/>
                <w:highlight w:val="none"/>
                <w:lang w:val="en-US" w:eastAsia="zh-CN"/>
              </w:rPr>
              <w:t>扶持中小企业</w:t>
            </w:r>
          </w:p>
        </w:tc>
        <w:tc>
          <w:tcPr>
            <w:tcW w:w="7347" w:type="dxa"/>
            <w:noWrap w:val="0"/>
            <w:vAlign w:val="center"/>
          </w:tcPr>
          <w:p>
            <w:pPr>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sym w:font="Wingdings" w:char="00FE"/>
            </w:r>
            <w:r>
              <w:rPr>
                <w:rFonts w:hint="eastAsia" w:ascii="新宋体" w:hAnsi="新宋体" w:eastAsia="新宋体" w:cs="新宋体"/>
                <w:color w:val="auto"/>
                <w:sz w:val="24"/>
                <w:highlight w:val="none"/>
              </w:rPr>
              <w:t>本项目为专门面向中小企业采购的项目或者标项，不再执行价格评审优惠的扶持政策</w:t>
            </w:r>
            <w:r>
              <w:rPr>
                <w:rFonts w:hint="eastAsia" w:ascii="新宋体" w:hAnsi="新宋体" w:eastAsia="新宋体" w:cs="新宋体"/>
                <w:color w:val="auto"/>
                <w:sz w:val="24"/>
                <w:highlight w:val="none"/>
                <w:lang w:eastAsia="zh-CN"/>
              </w:rPr>
              <w:t>。</w:t>
            </w:r>
          </w:p>
          <w:p>
            <w:pPr>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sym w:font="Wingdings" w:char="00A8"/>
            </w:r>
            <w:r>
              <w:rPr>
                <w:rFonts w:hint="eastAsia" w:ascii="新宋体" w:hAnsi="新宋体" w:eastAsia="新宋体" w:cs="新宋体"/>
                <w:color w:val="auto"/>
                <w:sz w:val="24"/>
                <w:highlight w:val="none"/>
              </w:rPr>
              <w:t>本项目为非专门面向中小企业采购的</w:t>
            </w:r>
            <w:r>
              <w:rPr>
                <w:rFonts w:hint="eastAsia" w:ascii="新宋体" w:hAnsi="新宋体" w:eastAsia="新宋体" w:cs="新宋体"/>
                <w:color w:val="auto"/>
                <w:sz w:val="24"/>
                <w:highlight w:val="none"/>
                <w:lang w:eastAsia="zh-CN"/>
              </w:rPr>
              <w:t>项目或者标项</w:t>
            </w:r>
            <w:r>
              <w:rPr>
                <w:rFonts w:hint="eastAsia" w:ascii="新宋体" w:hAnsi="新宋体" w:eastAsia="新宋体" w:cs="新宋体"/>
                <w:color w:val="auto"/>
                <w:sz w:val="24"/>
                <w:highlight w:val="none"/>
              </w:rPr>
              <w:t>，执行价格评审优惠</w:t>
            </w:r>
            <w:r>
              <w:rPr>
                <w:rFonts w:hint="eastAsia" w:ascii="新宋体" w:hAnsi="新宋体" w:eastAsia="新宋体" w:cs="新宋体"/>
                <w:color w:val="auto"/>
                <w:sz w:val="24"/>
                <w:highlight w:val="none"/>
                <w:lang w:eastAsia="zh-CN"/>
              </w:rPr>
              <w:t>。</w:t>
            </w:r>
          </w:p>
          <w:p>
            <w:pPr>
              <w:rPr>
                <w:rFonts w:hint="eastAsia"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具体要求详见投标须知7。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15" w:type="dxa"/>
            <w:noWrap w:val="0"/>
            <w:vAlign w:val="center"/>
          </w:tcPr>
          <w:p>
            <w:pPr>
              <w:jc w:val="center"/>
              <w:rPr>
                <w:rFonts w:hint="default"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17</w:t>
            </w:r>
          </w:p>
        </w:tc>
        <w:tc>
          <w:tcPr>
            <w:tcW w:w="1953" w:type="dxa"/>
            <w:noWrap w:val="0"/>
            <w:vAlign w:val="center"/>
          </w:tcPr>
          <w:p>
            <w:pPr>
              <w:snapToGrid w:val="0"/>
              <w:spacing w:line="360" w:lineRule="exact"/>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highlight w:val="none"/>
              </w:rPr>
              <w:t>是否接受</w:t>
            </w:r>
            <w:r>
              <w:rPr>
                <w:rFonts w:hint="eastAsia" w:ascii="新宋体" w:hAnsi="新宋体" w:eastAsia="新宋体" w:cs="新宋体"/>
                <w:color w:val="auto"/>
                <w:sz w:val="24"/>
                <w:highlight w:val="none"/>
                <w:lang w:val="en-US" w:eastAsia="zh-CN"/>
              </w:rPr>
              <w:t>分包</w:t>
            </w:r>
          </w:p>
        </w:tc>
        <w:tc>
          <w:tcPr>
            <w:tcW w:w="7347" w:type="dxa"/>
            <w:noWrap w:val="0"/>
            <w:vAlign w:val="center"/>
          </w:tcPr>
          <w:p>
            <w:pPr>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kern w:val="0"/>
                <w:sz w:val="24"/>
                <w:highlight w:val="none"/>
              </w:rPr>
              <w:sym w:font="Wingdings" w:char="00FE"/>
            </w:r>
            <w:r>
              <w:rPr>
                <w:rFonts w:hint="eastAsia" w:ascii="新宋体" w:hAnsi="新宋体" w:eastAsia="新宋体" w:cs="新宋体"/>
                <w:color w:val="auto"/>
                <w:sz w:val="24"/>
                <w:highlight w:val="none"/>
              </w:rPr>
              <w:t>不接受</w:t>
            </w:r>
            <w:r>
              <w:rPr>
                <w:rFonts w:hint="eastAsia" w:ascii="新宋体" w:hAnsi="新宋体" w:eastAsia="新宋体" w:cs="新宋体"/>
                <w:color w:val="auto"/>
                <w:sz w:val="24"/>
                <w:highlight w:val="none"/>
                <w:lang w:eastAsia="zh-CN"/>
              </w:rPr>
              <w:t>。</w:t>
            </w:r>
          </w:p>
          <w:p>
            <w:pP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kern w:val="0"/>
                <w:sz w:val="24"/>
                <w:highlight w:val="none"/>
              </w:rPr>
              <w:sym w:font="Wingdings" w:char="00A8"/>
            </w:r>
            <w:r>
              <w:rPr>
                <w:rFonts w:hint="eastAsia" w:ascii="新宋体" w:hAnsi="新宋体" w:eastAsia="新宋体" w:cs="新宋体"/>
                <w:color w:val="auto"/>
                <w:sz w:val="24"/>
                <w:highlight w:val="none"/>
              </w:rPr>
              <w:t>接受</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lang w:val="en-US" w:eastAsia="zh-CN"/>
              </w:rPr>
              <w:t>详见投标须知6。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15" w:type="dxa"/>
            <w:noWrap w:val="0"/>
            <w:vAlign w:val="center"/>
          </w:tcPr>
          <w:p>
            <w:pPr>
              <w:jc w:val="center"/>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1</w:t>
            </w:r>
            <w:r>
              <w:rPr>
                <w:rFonts w:hint="eastAsia" w:ascii="新宋体" w:hAnsi="新宋体" w:eastAsia="新宋体" w:cs="新宋体"/>
                <w:color w:val="auto"/>
                <w:sz w:val="24"/>
                <w:highlight w:val="none"/>
                <w:lang w:val="en-US" w:eastAsia="zh-CN"/>
              </w:rPr>
              <w:t>8</w:t>
            </w:r>
          </w:p>
        </w:tc>
        <w:tc>
          <w:tcPr>
            <w:tcW w:w="1953" w:type="dxa"/>
            <w:noWrap w:val="0"/>
            <w:vAlign w:val="center"/>
          </w:tcPr>
          <w:p>
            <w:pPr>
              <w:jc w:val="cente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节能产品、环境标志产品</w:t>
            </w:r>
          </w:p>
        </w:tc>
        <w:tc>
          <w:tcPr>
            <w:tcW w:w="7347" w:type="dxa"/>
            <w:noWrap w:val="0"/>
            <w:vAlign w:val="center"/>
          </w:tcPr>
          <w:p>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1.根据财政部 发展改革委 生态环境部 市场监管总局关于调整优化节能产品、环境标志产品政府采购执行机制的通知财库〔2019〕9号文件要求，如本项目采购人拟采购的产品，属于节能产品政府采购品目清单或环境标志产品政府采购品目清单内的，投标人所投的相应产品须在中国政府采购网节能清单查询目录（http://www.ccgp.gov.cn/search/jnqdchaxun.htm）或环保清单查询目录（http://www.ccgp.gov.cn/search/hbqdchaxun.htm）中可查询到。</w:t>
            </w:r>
          </w:p>
          <w:p>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★2.如本项目采购人拟采购的产品，属于“节能产品政府采购品目清单”中的“</w:t>
            </w:r>
            <w:r>
              <w:rPr>
                <w:rFonts w:ascii="宋体" w:hAnsi="宋体" w:cs="宋体"/>
                <w:color w:val="auto"/>
                <w:sz w:val="24"/>
                <w:highlight w:val="none"/>
              </w:rPr>
              <w:t>政府强制采购产品</w:t>
            </w:r>
            <w:r>
              <w:rPr>
                <w:rFonts w:hint="eastAsia" w:ascii="新宋体" w:hAnsi="新宋体" w:eastAsia="新宋体" w:cs="新宋体"/>
                <w:color w:val="auto"/>
                <w:sz w:val="24"/>
                <w:highlight w:val="none"/>
              </w:rPr>
              <w:t>”。投标人所投的产品须具有由</w:t>
            </w:r>
            <w:r>
              <w:rPr>
                <w:rFonts w:hint="eastAsia" w:ascii="新宋体" w:hAnsi="新宋体" w:eastAsia="新宋体" w:cs="新宋体"/>
                <w:color w:val="auto"/>
                <w:sz w:val="24"/>
                <w:highlight w:val="none"/>
                <w:u w:val="single"/>
              </w:rPr>
              <w:t>国家确定的认证机构</w:t>
            </w:r>
            <w:r>
              <w:rPr>
                <w:rFonts w:hint="eastAsia" w:ascii="新宋体" w:hAnsi="新宋体" w:eastAsia="新宋体" w:cs="新宋体"/>
                <w:color w:val="auto"/>
                <w:sz w:val="24"/>
                <w:highlight w:val="none"/>
              </w:rPr>
              <w:t>出具的处于</w:t>
            </w:r>
            <w:r>
              <w:rPr>
                <w:rFonts w:hint="eastAsia" w:ascii="新宋体" w:hAnsi="新宋体" w:eastAsia="新宋体" w:cs="新宋体"/>
                <w:color w:val="auto"/>
                <w:sz w:val="24"/>
                <w:highlight w:val="none"/>
                <w:u w:val="single"/>
              </w:rPr>
              <w:t>有效期内</w:t>
            </w:r>
            <w:r>
              <w:rPr>
                <w:rFonts w:hint="eastAsia" w:ascii="新宋体" w:hAnsi="新宋体" w:eastAsia="新宋体" w:cs="新宋体"/>
                <w:color w:val="auto"/>
                <w:sz w:val="24"/>
                <w:highlight w:val="none"/>
              </w:rPr>
              <w:t>的</w:t>
            </w:r>
            <w:r>
              <w:rPr>
                <w:rFonts w:hint="eastAsia" w:ascii="新宋体" w:hAnsi="新宋体" w:eastAsia="新宋体" w:cs="新宋体"/>
                <w:color w:val="auto"/>
                <w:sz w:val="24"/>
                <w:highlight w:val="none"/>
                <w:u w:val="single"/>
              </w:rPr>
              <w:t>节能产品认证证书</w:t>
            </w:r>
            <w:r>
              <w:rPr>
                <w:rFonts w:hint="eastAsia" w:ascii="新宋体" w:hAnsi="新宋体" w:eastAsia="新宋体" w:cs="新宋体"/>
                <w:color w:val="auto"/>
                <w:sz w:val="24"/>
                <w:highlight w:val="none"/>
              </w:rPr>
              <w:t>，并提供相关证书的扫描件，否则其投标将作为无效标处理。</w:t>
            </w:r>
          </w:p>
          <w:p>
            <w:pP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highlight w:val="none"/>
              </w:rPr>
              <w:t>★3.如本项目采购人拟采购的产品，属于“环境标志产品政府采购品目清单”中的“</w:t>
            </w:r>
            <w:r>
              <w:rPr>
                <w:rFonts w:ascii="宋体" w:hAnsi="宋体" w:cs="宋体"/>
                <w:color w:val="auto"/>
                <w:sz w:val="24"/>
                <w:highlight w:val="none"/>
              </w:rPr>
              <w:t>政府强制采购产品</w:t>
            </w:r>
            <w:r>
              <w:rPr>
                <w:rFonts w:hint="eastAsia" w:ascii="新宋体" w:hAnsi="新宋体" w:eastAsia="新宋体" w:cs="新宋体"/>
                <w:color w:val="auto"/>
                <w:sz w:val="24"/>
                <w:highlight w:val="none"/>
              </w:rPr>
              <w:t>”。投标人所投的产品须具有由</w:t>
            </w:r>
            <w:r>
              <w:rPr>
                <w:rFonts w:hint="eastAsia" w:ascii="新宋体" w:hAnsi="新宋体" w:eastAsia="新宋体" w:cs="新宋体"/>
                <w:color w:val="auto"/>
                <w:sz w:val="24"/>
                <w:highlight w:val="none"/>
                <w:u w:val="single"/>
              </w:rPr>
              <w:t>国家确定的认证机构</w:t>
            </w:r>
            <w:r>
              <w:rPr>
                <w:rFonts w:hint="eastAsia" w:ascii="新宋体" w:hAnsi="新宋体" w:eastAsia="新宋体" w:cs="新宋体"/>
                <w:color w:val="auto"/>
                <w:sz w:val="24"/>
                <w:highlight w:val="none"/>
              </w:rPr>
              <w:t>出具的处于</w:t>
            </w:r>
            <w:r>
              <w:rPr>
                <w:rFonts w:hint="eastAsia" w:ascii="新宋体" w:hAnsi="新宋体" w:eastAsia="新宋体" w:cs="新宋体"/>
                <w:color w:val="auto"/>
                <w:sz w:val="24"/>
                <w:highlight w:val="none"/>
                <w:u w:val="single"/>
              </w:rPr>
              <w:t>有效期内</w:t>
            </w:r>
            <w:r>
              <w:rPr>
                <w:rFonts w:hint="eastAsia" w:ascii="新宋体" w:hAnsi="新宋体" w:eastAsia="新宋体" w:cs="新宋体"/>
                <w:color w:val="auto"/>
                <w:sz w:val="24"/>
                <w:highlight w:val="none"/>
              </w:rPr>
              <w:t>的</w:t>
            </w:r>
            <w:r>
              <w:rPr>
                <w:rFonts w:hint="eastAsia" w:ascii="新宋体" w:hAnsi="新宋体" w:eastAsia="新宋体" w:cs="新宋体"/>
                <w:color w:val="auto"/>
                <w:sz w:val="24"/>
                <w:highlight w:val="none"/>
                <w:u w:val="single"/>
              </w:rPr>
              <w:t>环境标志产品认证证书</w:t>
            </w:r>
            <w:r>
              <w:rPr>
                <w:rFonts w:hint="eastAsia" w:ascii="新宋体" w:hAnsi="新宋体" w:eastAsia="新宋体" w:cs="新宋体"/>
                <w:color w:val="auto"/>
                <w:sz w:val="24"/>
                <w:highlight w:val="none"/>
              </w:rPr>
              <w:t>，并提供相关证书的扫描件，否则其投标将作为无效标处理。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5" w:type="dxa"/>
            <w:noWrap w:val="0"/>
            <w:vAlign w:val="center"/>
          </w:tcPr>
          <w:p>
            <w:pPr>
              <w:jc w:val="center"/>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1</w:t>
            </w:r>
            <w:r>
              <w:rPr>
                <w:rFonts w:hint="eastAsia" w:ascii="新宋体" w:hAnsi="新宋体" w:eastAsia="新宋体" w:cs="新宋体"/>
                <w:color w:val="auto"/>
                <w:sz w:val="24"/>
                <w:highlight w:val="none"/>
                <w:lang w:val="en-US" w:eastAsia="zh-CN"/>
              </w:rPr>
              <w:t>9</w:t>
            </w:r>
          </w:p>
        </w:tc>
        <w:tc>
          <w:tcPr>
            <w:tcW w:w="1953" w:type="dxa"/>
            <w:noWrap w:val="0"/>
            <w:vAlign w:val="center"/>
          </w:tcPr>
          <w:p>
            <w:pPr>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highlight w:val="none"/>
              </w:rPr>
              <w:t>失信行为处理</w:t>
            </w:r>
          </w:p>
        </w:tc>
        <w:tc>
          <w:tcPr>
            <w:tcW w:w="7347" w:type="dxa"/>
            <w:noWrap w:val="0"/>
            <w:vAlign w:val="center"/>
          </w:tcPr>
          <w:p>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投标人发生下列情况之一时，除严格依法依规进行处理外，还将通报市信用管理部门，列入严重失信名单：</w:t>
            </w:r>
          </w:p>
          <w:p>
            <w:pPr>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lang w:val="en-US" w:eastAsia="zh-CN"/>
              </w:rPr>
              <w:t>1.</w:t>
            </w:r>
            <w:r>
              <w:rPr>
                <w:rFonts w:hint="eastAsia" w:ascii="新宋体" w:hAnsi="新宋体" w:eastAsia="新宋体" w:cs="新宋体"/>
                <w:color w:val="auto"/>
                <w:sz w:val="24"/>
                <w:highlight w:val="none"/>
              </w:rPr>
              <w:t>投标人在规定的投标有效期内撤回投标或放弃中标的</w:t>
            </w:r>
            <w:r>
              <w:rPr>
                <w:rFonts w:hint="eastAsia" w:ascii="新宋体" w:hAnsi="新宋体" w:eastAsia="新宋体" w:cs="新宋体"/>
                <w:color w:val="auto"/>
                <w:sz w:val="24"/>
                <w:highlight w:val="none"/>
                <w:lang w:eastAsia="zh-CN"/>
              </w:rPr>
              <w:t>；</w:t>
            </w:r>
          </w:p>
          <w:p>
            <w:pPr>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lang w:val="en-US" w:eastAsia="zh-CN"/>
              </w:rPr>
              <w:t>2.</w:t>
            </w:r>
            <w:r>
              <w:rPr>
                <w:rFonts w:hint="eastAsia" w:ascii="新宋体" w:hAnsi="新宋体" w:eastAsia="新宋体" w:cs="新宋体"/>
                <w:color w:val="auto"/>
                <w:sz w:val="24"/>
                <w:highlight w:val="none"/>
              </w:rPr>
              <w:t>有意串标或提供虚假材料的</w:t>
            </w:r>
            <w:r>
              <w:rPr>
                <w:rFonts w:hint="eastAsia" w:ascii="新宋体" w:hAnsi="新宋体" w:eastAsia="新宋体" w:cs="新宋体"/>
                <w:color w:val="auto"/>
                <w:sz w:val="24"/>
                <w:highlight w:val="none"/>
                <w:lang w:eastAsia="zh-CN"/>
              </w:rPr>
              <w:t>；</w:t>
            </w:r>
          </w:p>
          <w:p>
            <w:pPr>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lang w:val="en-US" w:eastAsia="zh-CN"/>
              </w:rPr>
              <w:t>3.</w:t>
            </w:r>
            <w:r>
              <w:rPr>
                <w:rFonts w:hint="eastAsia" w:ascii="新宋体" w:hAnsi="新宋体" w:eastAsia="新宋体" w:cs="新宋体"/>
                <w:color w:val="auto"/>
                <w:sz w:val="24"/>
                <w:highlight w:val="none"/>
              </w:rPr>
              <w:t>中标人在收到中标通知书后，因自身原因不能在投标有效期内和采购人签订合同</w:t>
            </w:r>
            <w:r>
              <w:rPr>
                <w:rFonts w:hint="eastAsia" w:ascii="新宋体" w:hAnsi="新宋体" w:eastAsia="新宋体" w:cs="新宋体"/>
                <w:color w:val="auto"/>
                <w:sz w:val="24"/>
                <w:highlight w:val="none"/>
                <w:lang w:eastAsia="zh-CN"/>
              </w:rPr>
              <w:t>；</w:t>
            </w:r>
          </w:p>
          <w:p>
            <w:pPr>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lang w:val="en-US" w:eastAsia="zh-CN"/>
              </w:rPr>
              <w:t>4.</w:t>
            </w:r>
            <w:r>
              <w:rPr>
                <w:rFonts w:hint="eastAsia" w:ascii="新宋体" w:hAnsi="新宋体" w:eastAsia="新宋体" w:cs="新宋体"/>
                <w:color w:val="auto"/>
                <w:sz w:val="24"/>
                <w:highlight w:val="none"/>
              </w:rPr>
              <w:t>中标供应商在标后履约过程中未按合同约定的期限和要求履约的</w:t>
            </w:r>
            <w:r>
              <w:rPr>
                <w:rFonts w:hint="eastAsia" w:ascii="新宋体" w:hAnsi="新宋体" w:eastAsia="新宋体" w:cs="新宋体"/>
                <w:color w:val="auto"/>
                <w:sz w:val="24"/>
                <w:highlight w:val="none"/>
                <w:lang w:eastAsia="zh-CN"/>
              </w:rPr>
              <w:t>；</w:t>
            </w:r>
          </w:p>
          <w:p>
            <w:pPr>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lang w:val="en-US" w:eastAsia="zh-CN"/>
              </w:rPr>
              <w:t>5.</w:t>
            </w:r>
            <w:r>
              <w:rPr>
                <w:rFonts w:hint="eastAsia" w:ascii="新宋体" w:hAnsi="新宋体" w:eastAsia="新宋体" w:cs="新宋体"/>
                <w:color w:val="auto"/>
                <w:sz w:val="24"/>
                <w:highlight w:val="none"/>
              </w:rPr>
              <w:t>因中标供应商原因在标后履约过程中擅自终止合同的</w:t>
            </w:r>
            <w:r>
              <w:rPr>
                <w:rFonts w:hint="eastAsia" w:ascii="新宋体" w:hAnsi="新宋体" w:eastAsia="新宋体" w:cs="新宋体"/>
                <w:color w:val="auto"/>
                <w:sz w:val="24"/>
                <w:highlight w:val="none"/>
                <w:lang w:eastAsia="zh-CN"/>
              </w:rPr>
              <w:t>；</w:t>
            </w:r>
          </w:p>
          <w:p>
            <w:pP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highlight w:val="none"/>
                <w:lang w:val="en-US" w:eastAsia="zh-CN"/>
              </w:rPr>
              <w:t>6.</w:t>
            </w:r>
            <w:r>
              <w:rPr>
                <w:rFonts w:hint="eastAsia" w:ascii="新宋体" w:hAnsi="新宋体" w:eastAsia="新宋体" w:cs="新宋体"/>
                <w:color w:val="auto"/>
                <w:sz w:val="24"/>
                <w:highlight w:val="none"/>
              </w:rPr>
              <w:t>不符合招标文件要求的其他失信行为。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5" w:type="dxa"/>
            <w:noWrap w:val="0"/>
            <w:vAlign w:val="center"/>
          </w:tcPr>
          <w:p>
            <w:pPr>
              <w:spacing w:line="400" w:lineRule="exact"/>
              <w:jc w:val="center"/>
              <w:rPr>
                <w:rFonts w:hint="default" w:ascii="新宋体" w:hAnsi="新宋体" w:eastAsia="新宋体"/>
                <w:color w:val="auto"/>
                <w:kern w:val="2"/>
                <w:sz w:val="24"/>
                <w:szCs w:val="24"/>
                <w:highlight w:val="none"/>
                <w:lang w:val="en-US" w:eastAsia="zh-CN" w:bidi="ar-SA"/>
              </w:rPr>
            </w:pPr>
            <w:r>
              <w:rPr>
                <w:rFonts w:hint="eastAsia" w:ascii="新宋体" w:hAnsi="新宋体" w:eastAsia="新宋体"/>
                <w:color w:val="auto"/>
                <w:kern w:val="2"/>
                <w:sz w:val="24"/>
                <w:szCs w:val="24"/>
                <w:highlight w:val="none"/>
                <w:lang w:val="en-US" w:eastAsia="zh-CN" w:bidi="ar-SA"/>
              </w:rPr>
              <w:t>20</w:t>
            </w:r>
          </w:p>
        </w:tc>
        <w:tc>
          <w:tcPr>
            <w:tcW w:w="1953" w:type="dxa"/>
            <w:noWrap w:val="0"/>
            <w:vAlign w:val="center"/>
          </w:tcPr>
          <w:p>
            <w:pPr>
              <w:jc w:val="cente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highlight w:val="none"/>
                <w:lang w:eastAsia="zh-CN"/>
              </w:rPr>
              <w:t>信用融资</w:t>
            </w:r>
          </w:p>
        </w:tc>
        <w:tc>
          <w:tcPr>
            <w:tcW w:w="7347" w:type="dxa"/>
            <w:noWrap w:val="0"/>
            <w:vAlign w:val="center"/>
          </w:tcPr>
          <w:p>
            <w:pP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szCs w:val="24"/>
              </w:rPr>
              <w:t>为支持和促进中小企业发展，进一步发挥政府采购政策功能，根据《浙江省财政厅关于进一步发挥政府采购政策功能全力推动经济稳进提质的通知》（浙财采监〔2022〕3号），供应商若有融资意向，登录</w:t>
            </w:r>
            <w:r>
              <w:rPr>
                <w:rFonts w:hint="eastAsia" w:ascii="新宋体" w:hAnsi="新宋体" w:eastAsia="新宋体" w:cs="新宋体"/>
                <w:color w:val="auto"/>
                <w:sz w:val="24"/>
                <w:szCs w:val="24"/>
                <w:lang w:eastAsia="zh-CN"/>
              </w:rPr>
              <w:t>“政采云”</w:t>
            </w:r>
            <w:r>
              <w:rPr>
                <w:rFonts w:hint="eastAsia" w:ascii="新宋体" w:hAnsi="新宋体" w:eastAsia="新宋体" w:cs="新宋体"/>
                <w:color w:val="auto"/>
                <w:sz w:val="24"/>
                <w:szCs w:val="24"/>
                <w:lang w:val="en-US" w:eastAsia="zh-CN"/>
              </w:rPr>
              <w:t>的</w:t>
            </w:r>
            <w:r>
              <w:rPr>
                <w:rFonts w:hint="eastAsia" w:ascii="新宋体" w:hAnsi="新宋体" w:eastAsia="新宋体" w:cs="新宋体"/>
                <w:color w:val="auto"/>
                <w:sz w:val="24"/>
                <w:szCs w:val="24"/>
              </w:rPr>
              <w:t>“金融支撑”栏目进行查询，查看各相关银行服务方案。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5" w:type="dxa"/>
            <w:noWrap w:val="0"/>
            <w:vAlign w:val="center"/>
          </w:tcPr>
          <w:p>
            <w:pPr>
              <w:jc w:val="center"/>
              <w:rPr>
                <w:rFonts w:hint="default"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21</w:t>
            </w:r>
          </w:p>
        </w:tc>
        <w:tc>
          <w:tcPr>
            <w:tcW w:w="1953" w:type="dxa"/>
            <w:noWrap w:val="0"/>
            <w:vAlign w:val="center"/>
          </w:tcPr>
          <w:p>
            <w:pPr>
              <w:spacing w:line="400" w:lineRule="exact"/>
              <w:jc w:val="center"/>
              <w:rPr>
                <w:rFonts w:hint="eastAsia" w:ascii="新宋体" w:hAnsi="新宋体" w:eastAsia="新宋体" w:cs="新宋体"/>
                <w:color w:val="auto"/>
                <w:kern w:val="2"/>
                <w:sz w:val="21"/>
                <w:szCs w:val="24"/>
                <w:highlight w:val="none"/>
                <w:lang w:val="en-US" w:eastAsia="zh-CN" w:bidi="ar-SA"/>
              </w:rPr>
            </w:pPr>
            <w:r>
              <w:rPr>
                <w:rFonts w:hint="eastAsia" w:ascii="新宋体" w:hAnsi="新宋体" w:eastAsia="新宋体" w:cs="新宋体"/>
                <w:color w:val="auto"/>
                <w:sz w:val="24"/>
                <w:highlight w:val="none"/>
              </w:rPr>
              <w:t>质疑与投诉</w:t>
            </w:r>
          </w:p>
        </w:tc>
        <w:tc>
          <w:tcPr>
            <w:tcW w:w="7347" w:type="dxa"/>
            <w:noWrap w:val="0"/>
            <w:vAlign w:val="center"/>
          </w:tcPr>
          <w:p>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1.供应商认为采购文件、采购过程、中标结果使自己的权益受到损害的，可以在知道或者应知其权益受到损害之起7个工作日内，</w:t>
            </w:r>
            <w:r>
              <w:rPr>
                <w:rFonts w:hint="eastAsia" w:ascii="新宋体" w:hAnsi="新宋体" w:eastAsia="新宋体" w:cs="新宋体"/>
                <w:color w:val="auto"/>
                <w:sz w:val="24"/>
                <w:highlight w:val="none"/>
                <w:lang w:eastAsia="zh-CN"/>
              </w:rPr>
              <w:t>对采购文件需求的以书面形式向采购人提出质疑，对其他内容的以书面形式向采购人和采购代理机构提出质疑</w:t>
            </w:r>
            <w:r>
              <w:rPr>
                <w:rFonts w:hint="eastAsia" w:ascii="新宋体" w:hAnsi="新宋体" w:eastAsia="新宋体" w:cs="新宋体"/>
                <w:color w:val="auto"/>
                <w:sz w:val="24"/>
                <w:highlight w:val="none"/>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lang w:val="en-US" w:eastAsia="zh-CN"/>
              </w:rPr>
              <w:t>2</w:t>
            </w:r>
            <w:r>
              <w:rPr>
                <w:rFonts w:hint="eastAsia" w:ascii="新宋体" w:hAnsi="新宋体" w:eastAsia="新宋体" w:cs="新宋体"/>
                <w:color w:val="auto"/>
                <w:sz w:val="24"/>
                <w:highlight w:val="none"/>
              </w:rPr>
              <w:t>.供应商应在法定质疑</w:t>
            </w:r>
            <w:r>
              <w:rPr>
                <w:rFonts w:hint="eastAsia" w:ascii="新宋体" w:hAnsi="新宋体" w:eastAsia="新宋体" w:cs="新宋体"/>
                <w:color w:val="auto"/>
                <w:sz w:val="24"/>
                <w:highlight w:val="none"/>
                <w:lang w:eastAsia="zh-CN"/>
              </w:rPr>
              <w:t>期</w:t>
            </w:r>
            <w:r>
              <w:rPr>
                <w:rFonts w:hint="eastAsia" w:ascii="新宋体" w:hAnsi="新宋体" w:eastAsia="新宋体" w:cs="新宋体"/>
                <w:color w:val="auto"/>
                <w:sz w:val="24"/>
                <w:highlight w:val="none"/>
              </w:rPr>
              <w:t>内</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rPr>
              <w:t>一次性提出针对同一采购程序环节的质疑。</w:t>
            </w:r>
          </w:p>
          <w:p>
            <w:pPr>
              <w:rPr>
                <w:rFonts w:hint="eastAsia"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3</w:t>
            </w:r>
            <w:r>
              <w:rPr>
                <w:rFonts w:hint="eastAsia" w:ascii="新宋体" w:hAnsi="新宋体" w:eastAsia="新宋体" w:cs="新宋体"/>
                <w:color w:val="auto"/>
                <w:sz w:val="24"/>
                <w:highlight w:val="none"/>
              </w:rPr>
              <w:t>.提出质疑的供应商应当是参与所质疑项目采购活动的供应商。</w:t>
            </w:r>
          </w:p>
          <w:p>
            <w:pPr>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sz w:val="24"/>
                <w:highlight w:val="none"/>
                <w:lang w:val="en-US" w:eastAsia="zh-CN"/>
              </w:rPr>
              <w:t>4.鼓励供应商通过“政采云”在线提起质疑。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15" w:type="dxa"/>
            <w:noWrap w:val="0"/>
            <w:vAlign w:val="center"/>
          </w:tcPr>
          <w:p>
            <w:pPr>
              <w:jc w:val="center"/>
              <w:rPr>
                <w:rFonts w:hint="default"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22</w:t>
            </w:r>
          </w:p>
        </w:tc>
        <w:tc>
          <w:tcPr>
            <w:tcW w:w="1953" w:type="dxa"/>
            <w:noWrap w:val="0"/>
            <w:vAlign w:val="center"/>
          </w:tcPr>
          <w:p>
            <w:pPr>
              <w:spacing w:line="400" w:lineRule="exact"/>
              <w:jc w:val="center"/>
              <w:rPr>
                <w:rFonts w:hint="eastAsia" w:ascii="新宋体" w:hAnsi="新宋体" w:eastAsia="新宋体" w:cs="新宋体"/>
                <w:color w:val="auto"/>
                <w:highlight w:val="none"/>
              </w:rPr>
            </w:pPr>
            <w:r>
              <w:rPr>
                <w:rFonts w:hint="eastAsia" w:ascii="新宋体" w:hAnsi="新宋体" w:eastAsia="新宋体" w:cs="新宋体"/>
                <w:color w:val="auto"/>
                <w:sz w:val="24"/>
                <w:highlight w:val="none"/>
              </w:rPr>
              <w:t>其他</w:t>
            </w:r>
          </w:p>
        </w:tc>
        <w:tc>
          <w:tcPr>
            <w:tcW w:w="7347" w:type="dxa"/>
            <w:noWrap w:val="0"/>
            <w:vAlign w:val="center"/>
          </w:tcPr>
          <w:p>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1.投标报价超过预算价或最高限价的，其投标为无效标。</w:t>
            </w:r>
          </w:p>
          <w:p>
            <w:pPr>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2.要求投标人在制作投标文件时，提供的证书等</w:t>
            </w:r>
            <w:r>
              <w:rPr>
                <w:rFonts w:hint="eastAsia" w:ascii="新宋体" w:hAnsi="新宋体" w:eastAsia="新宋体" w:cs="新宋体"/>
                <w:color w:val="auto"/>
                <w:sz w:val="24"/>
                <w:highlight w:val="none"/>
                <w:lang w:eastAsia="zh-CN"/>
              </w:rPr>
              <w:t>佐证</w:t>
            </w:r>
            <w:r>
              <w:rPr>
                <w:rFonts w:hint="eastAsia" w:ascii="新宋体" w:hAnsi="新宋体" w:eastAsia="新宋体" w:cs="新宋体"/>
                <w:color w:val="auto"/>
                <w:sz w:val="24"/>
                <w:highlight w:val="none"/>
              </w:rPr>
              <w:t>材料均采用扫描件的形式提供，且材料的内容要求完整、清晰可辨，否则在评审时以最不利于投标人原则评审。</w:t>
            </w:r>
          </w:p>
        </w:tc>
      </w:tr>
    </w:tbl>
    <w:p>
      <w:pPr>
        <w:spacing w:line="360" w:lineRule="auto"/>
        <w:rPr>
          <w:rFonts w:ascii="新宋体" w:hAnsi="新宋体" w:eastAsia="新宋体" w:cs="新宋体"/>
          <w:b/>
          <w:sz w:val="24"/>
        </w:rPr>
      </w:pPr>
      <w:r>
        <w:rPr>
          <w:rFonts w:hint="eastAsia" w:ascii="新宋体" w:hAnsi="新宋体" w:eastAsia="新宋体" w:cs="新宋体"/>
          <w:b/>
          <w:sz w:val="24"/>
        </w:rPr>
        <w:t>注：投标人须知前附表内容与本招标文件后述内容不一致的，以投标须知前附表为准。</w:t>
      </w:r>
    </w:p>
    <w:p>
      <w:pPr>
        <w:pStyle w:val="3"/>
        <w:spacing w:before="0" w:after="0" w:line="360" w:lineRule="exact"/>
        <w:jc w:val="center"/>
        <w:rPr>
          <w:rFonts w:ascii="新宋体" w:hAnsi="新宋体" w:eastAsia="新宋体" w:cs="新宋体"/>
          <w:sz w:val="36"/>
          <w:szCs w:val="36"/>
        </w:rPr>
      </w:pPr>
      <w:bookmarkStart w:id="11" w:name="_Toc362250686"/>
      <w:bookmarkStart w:id="12" w:name="_Toc274303228"/>
      <w:r>
        <w:rPr>
          <w:rFonts w:hint="eastAsia" w:ascii="新宋体" w:hAnsi="新宋体" w:eastAsia="新宋体" w:cs="新宋体"/>
          <w:sz w:val="36"/>
          <w:szCs w:val="36"/>
        </w:rPr>
        <w:br w:type="page"/>
      </w:r>
      <w:bookmarkStart w:id="13" w:name="_Toc31462"/>
      <w:r>
        <w:rPr>
          <w:rFonts w:hint="eastAsia" w:ascii="新宋体" w:hAnsi="新宋体" w:eastAsia="新宋体" w:cs="新宋体"/>
          <w:sz w:val="36"/>
          <w:szCs w:val="36"/>
        </w:rPr>
        <w:t>投标须知</w:t>
      </w:r>
      <w:bookmarkEnd w:id="11"/>
      <w:bookmarkEnd w:id="12"/>
      <w:bookmarkEnd w:id="13"/>
    </w:p>
    <w:p>
      <w:pPr>
        <w:pStyle w:val="4"/>
        <w:spacing w:before="120" w:after="120" w:line="440" w:lineRule="exact"/>
        <w:rPr>
          <w:rFonts w:hint="eastAsia" w:ascii="新宋体" w:hAnsi="新宋体" w:eastAsia="新宋体" w:cs="新宋体"/>
          <w:color w:val="auto"/>
          <w:sz w:val="28"/>
          <w:szCs w:val="28"/>
          <w:highlight w:val="none"/>
        </w:rPr>
      </w:pPr>
      <w:bookmarkStart w:id="14" w:name="_Toc362250687"/>
      <w:bookmarkStart w:id="15" w:name="_Toc18062"/>
      <w:bookmarkStart w:id="16" w:name="_Toc274303229"/>
      <w:r>
        <w:rPr>
          <w:rFonts w:hint="eastAsia" w:ascii="新宋体" w:hAnsi="新宋体" w:eastAsia="新宋体" w:cs="新宋体"/>
          <w:color w:val="auto"/>
          <w:sz w:val="28"/>
          <w:szCs w:val="28"/>
          <w:highlight w:val="none"/>
        </w:rPr>
        <w:t>一.说明</w:t>
      </w:r>
      <w:bookmarkEnd w:id="14"/>
      <w:bookmarkEnd w:id="15"/>
      <w:bookmarkEnd w:id="16"/>
    </w:p>
    <w:p>
      <w:pPr>
        <w:pStyle w:val="22"/>
        <w:adjustRightInd w:val="0"/>
        <w:snapToGrid w:val="0"/>
        <w:spacing w:line="440" w:lineRule="exact"/>
        <w:ind w:firstLine="482" w:firstLineChars="200"/>
        <w:jc w:val="both"/>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1.适用范围</w:t>
      </w:r>
    </w:p>
    <w:p>
      <w:pPr>
        <w:pStyle w:val="22"/>
        <w:adjustRightInd w:val="0"/>
        <w:snapToGrid w:val="0"/>
        <w:spacing w:line="440" w:lineRule="exact"/>
        <w:ind w:firstLine="480" w:firstLineChars="200"/>
        <w:jc w:val="both"/>
        <w:rPr>
          <w:rFonts w:hint="eastAsia" w:ascii="新宋体" w:hAnsi="新宋体" w:eastAsia="新宋体" w:cs="新宋体"/>
          <w:b w:val="0"/>
          <w:bCs w:val="0"/>
          <w:color w:val="auto"/>
          <w:sz w:val="24"/>
          <w:highlight w:val="none"/>
        </w:rPr>
      </w:pPr>
      <w:r>
        <w:rPr>
          <w:rFonts w:hint="eastAsia" w:ascii="新宋体" w:hAnsi="新宋体" w:eastAsia="新宋体" w:cs="新宋体"/>
          <w:b w:val="0"/>
          <w:bCs w:val="0"/>
          <w:color w:val="auto"/>
          <w:sz w:val="24"/>
          <w:szCs w:val="24"/>
          <w:highlight w:val="none"/>
        </w:rPr>
        <w:t>1.1本招标文件仅适用于本次招标采购所叙述的货物及服务项目。</w:t>
      </w:r>
    </w:p>
    <w:p>
      <w:pPr>
        <w:pStyle w:val="22"/>
        <w:adjustRightInd w:val="0"/>
        <w:snapToGrid w:val="0"/>
        <w:spacing w:line="440" w:lineRule="exact"/>
        <w:ind w:firstLine="482" w:firstLineChars="200"/>
        <w:jc w:val="both"/>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2.定义</w:t>
      </w:r>
    </w:p>
    <w:p>
      <w:pPr>
        <w:pStyle w:val="26"/>
        <w:adjustRightInd w:val="0"/>
        <w:snapToGrid w:val="0"/>
        <w:spacing w:line="44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2.1招标方：系指的是采购人和采购代理机构。</w:t>
      </w:r>
    </w:p>
    <w:p>
      <w:pPr>
        <w:pStyle w:val="26"/>
        <w:adjustRightInd w:val="0"/>
        <w:snapToGrid w:val="0"/>
        <w:spacing w:line="44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2.2采购人：系指的是</w:t>
      </w:r>
      <w:r>
        <w:rPr>
          <w:rFonts w:hint="eastAsia" w:ascii="新宋体" w:hAnsi="新宋体" w:eastAsia="新宋体" w:cs="新宋体"/>
          <w:color w:val="auto"/>
          <w:sz w:val="24"/>
          <w:highlight w:val="none"/>
          <w:lang w:eastAsia="zh-CN"/>
        </w:rPr>
        <w:t>义乌市教育研修院。</w:t>
      </w:r>
    </w:p>
    <w:p>
      <w:pPr>
        <w:pStyle w:val="26"/>
        <w:adjustRightInd w:val="0"/>
        <w:snapToGrid w:val="0"/>
        <w:spacing w:line="440" w:lineRule="exact"/>
        <w:ind w:firstLine="960" w:firstLineChars="4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采购（招标）代理机构：系指的是义乌市政府采购中心。</w:t>
      </w:r>
    </w:p>
    <w:p>
      <w:pPr>
        <w:pStyle w:val="26"/>
        <w:adjustRightInd w:val="0"/>
        <w:snapToGrid w:val="0"/>
        <w:spacing w:line="44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2.3投标人：系指响应招标、参加投标竞争的供应商。</w:t>
      </w:r>
    </w:p>
    <w:p>
      <w:pPr>
        <w:pStyle w:val="26"/>
        <w:adjustRightInd w:val="0"/>
        <w:snapToGrid w:val="0"/>
        <w:spacing w:line="44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2.4服务：系指招标文件规定投标人须承担的劳务及</w:t>
      </w:r>
      <w:r>
        <w:rPr>
          <w:rFonts w:hint="eastAsia" w:ascii="新宋体" w:hAnsi="新宋体" w:eastAsia="新宋体" w:cs="新宋体"/>
          <w:color w:val="auto"/>
          <w:sz w:val="24"/>
          <w:highlight w:val="none"/>
          <w:lang w:eastAsia="zh-CN"/>
        </w:rPr>
        <w:t>其他</w:t>
      </w:r>
      <w:r>
        <w:rPr>
          <w:rFonts w:hint="eastAsia" w:ascii="新宋体" w:hAnsi="新宋体" w:eastAsia="新宋体" w:cs="新宋体"/>
          <w:color w:val="auto"/>
          <w:sz w:val="24"/>
          <w:highlight w:val="none"/>
        </w:rPr>
        <w:t>类似的服务。</w:t>
      </w:r>
    </w:p>
    <w:p>
      <w:pPr>
        <w:pStyle w:val="26"/>
        <w:adjustRightInd w:val="0"/>
        <w:snapToGrid w:val="0"/>
        <w:spacing w:line="44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2.5货物：系指按招标文件规定投标人须向采购人提供的设备及附件等。</w:t>
      </w:r>
    </w:p>
    <w:p>
      <w:pPr>
        <w:pStyle w:val="26"/>
        <w:adjustRightInd w:val="0"/>
        <w:snapToGrid w:val="0"/>
        <w:spacing w:line="44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2.6</w:t>
      </w:r>
      <w:r>
        <w:rPr>
          <w:rFonts w:hint="eastAsia" w:ascii="新宋体" w:hAnsi="新宋体" w:eastAsia="新宋体" w:cs="新宋体"/>
          <w:color w:val="auto"/>
          <w:sz w:val="24"/>
          <w:highlight w:val="none"/>
          <w:lang w:eastAsia="zh-CN"/>
        </w:rPr>
        <w:t>甲方</w:t>
      </w:r>
      <w:r>
        <w:rPr>
          <w:rFonts w:hint="eastAsia" w:ascii="新宋体" w:hAnsi="新宋体" w:eastAsia="新宋体" w:cs="新宋体"/>
          <w:color w:val="auto"/>
          <w:sz w:val="24"/>
          <w:highlight w:val="none"/>
        </w:rPr>
        <w:t>：即采购人，在招投标阶段称为采购人，在签订和执行合同阶段称为</w:t>
      </w:r>
      <w:r>
        <w:rPr>
          <w:rFonts w:hint="eastAsia" w:ascii="新宋体" w:hAnsi="新宋体" w:eastAsia="新宋体" w:cs="新宋体"/>
          <w:color w:val="auto"/>
          <w:sz w:val="24"/>
          <w:highlight w:val="none"/>
          <w:lang w:eastAsia="zh-CN"/>
        </w:rPr>
        <w:t>甲方</w:t>
      </w:r>
      <w:r>
        <w:rPr>
          <w:rFonts w:hint="eastAsia" w:ascii="新宋体" w:hAnsi="新宋体" w:eastAsia="新宋体" w:cs="新宋体"/>
          <w:color w:val="auto"/>
          <w:sz w:val="24"/>
          <w:highlight w:val="none"/>
        </w:rPr>
        <w:t>。</w:t>
      </w:r>
    </w:p>
    <w:p>
      <w:pPr>
        <w:pStyle w:val="26"/>
        <w:adjustRightInd w:val="0"/>
        <w:snapToGrid w:val="0"/>
        <w:spacing w:line="44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2.7</w:t>
      </w:r>
      <w:r>
        <w:rPr>
          <w:rFonts w:hint="eastAsia" w:ascii="新宋体" w:hAnsi="新宋体" w:eastAsia="新宋体" w:cs="新宋体"/>
          <w:color w:val="auto"/>
          <w:sz w:val="24"/>
          <w:highlight w:val="none"/>
          <w:lang w:eastAsia="zh-CN"/>
        </w:rPr>
        <w:t>乙方</w:t>
      </w:r>
      <w:r>
        <w:rPr>
          <w:rFonts w:hint="eastAsia" w:ascii="新宋体" w:hAnsi="新宋体" w:eastAsia="新宋体" w:cs="新宋体"/>
          <w:color w:val="auto"/>
          <w:sz w:val="24"/>
          <w:highlight w:val="none"/>
        </w:rPr>
        <w:t>：在招投标阶段称为投标人，</w:t>
      </w:r>
      <w:r>
        <w:rPr>
          <w:rFonts w:hint="eastAsia" w:ascii="新宋体" w:hAnsi="新宋体" w:eastAsia="新宋体"/>
          <w:color w:val="auto"/>
          <w:sz w:val="24"/>
          <w:highlight w:val="none"/>
        </w:rPr>
        <w:t>中标后称为中标人，</w:t>
      </w:r>
      <w:r>
        <w:rPr>
          <w:rFonts w:hint="eastAsia" w:ascii="新宋体" w:hAnsi="新宋体" w:eastAsia="新宋体" w:cs="新宋体"/>
          <w:color w:val="auto"/>
          <w:sz w:val="24"/>
          <w:highlight w:val="none"/>
        </w:rPr>
        <w:t>在签订和执行合同阶段称为</w:t>
      </w:r>
      <w:r>
        <w:rPr>
          <w:rFonts w:hint="eastAsia" w:ascii="新宋体" w:hAnsi="新宋体" w:eastAsia="新宋体" w:cs="新宋体"/>
          <w:color w:val="auto"/>
          <w:sz w:val="24"/>
          <w:highlight w:val="none"/>
          <w:lang w:eastAsia="zh-CN"/>
        </w:rPr>
        <w:t>乙方</w:t>
      </w:r>
      <w:r>
        <w:rPr>
          <w:rFonts w:hint="eastAsia" w:ascii="新宋体" w:hAnsi="新宋体" w:eastAsia="新宋体" w:cs="新宋体"/>
          <w:color w:val="auto"/>
          <w:sz w:val="24"/>
          <w:highlight w:val="none"/>
        </w:rPr>
        <w:t>。</w:t>
      </w:r>
      <w:r>
        <w:rPr>
          <w:rFonts w:hint="eastAsia" w:ascii="新宋体" w:hAnsi="新宋体" w:eastAsia="新宋体"/>
          <w:color w:val="auto"/>
          <w:sz w:val="24"/>
          <w:szCs w:val="24"/>
          <w:highlight w:val="none"/>
          <w:lang w:val="en-US" w:eastAsia="zh-CN"/>
        </w:rPr>
        <w:t>如中标人</w:t>
      </w:r>
      <w:r>
        <w:rPr>
          <w:rFonts w:hint="eastAsia" w:ascii="新宋体" w:hAnsi="新宋体" w:eastAsia="新宋体" w:cs="Courier New"/>
          <w:color w:val="auto"/>
          <w:sz w:val="24"/>
          <w:szCs w:val="24"/>
          <w:highlight w:val="none"/>
          <w:lang w:val="en-US" w:eastAsia="zh-CN"/>
        </w:rPr>
        <w:t>为联合体，则乙方指联合体各方。</w:t>
      </w:r>
    </w:p>
    <w:p>
      <w:pPr>
        <w:pStyle w:val="30"/>
        <w:adjustRightInd w:val="0"/>
        <w:snapToGrid w:val="0"/>
        <w:spacing w:line="440" w:lineRule="exact"/>
        <w:ind w:firstLineChars="200"/>
        <w:rPr>
          <w:rFonts w:ascii="新宋体" w:hAnsi="新宋体" w:cs="新宋体"/>
          <w:color w:val="auto"/>
          <w:szCs w:val="24"/>
          <w:highlight w:val="none"/>
        </w:rPr>
      </w:pPr>
      <w:r>
        <w:rPr>
          <w:rFonts w:ascii="新宋体" w:hAnsi="新宋体" w:cs="新宋体"/>
          <w:color w:val="auto"/>
          <w:szCs w:val="24"/>
          <w:highlight w:val="none"/>
        </w:rPr>
        <w:t>2.8“原产地”是指货物开采、生长或生产</w:t>
      </w:r>
      <w:r>
        <w:rPr>
          <w:rFonts w:hint="eastAsia" w:ascii="新宋体" w:hAnsi="新宋体" w:cs="新宋体"/>
          <w:color w:val="auto"/>
          <w:szCs w:val="24"/>
          <w:highlight w:val="none"/>
          <w:lang w:eastAsia="zh-CN"/>
        </w:rPr>
        <w:t>，或</w:t>
      </w:r>
      <w:r>
        <w:rPr>
          <w:rFonts w:ascii="新宋体" w:hAnsi="新宋体" w:cs="新宋体"/>
          <w:color w:val="auto"/>
          <w:szCs w:val="24"/>
          <w:highlight w:val="none"/>
        </w:rPr>
        <w:t>提供有关服务的来源地。</w:t>
      </w:r>
    </w:p>
    <w:p>
      <w:pPr>
        <w:pStyle w:val="30"/>
        <w:adjustRightInd w:val="0"/>
        <w:snapToGrid w:val="0"/>
        <w:spacing w:line="440" w:lineRule="exact"/>
        <w:ind w:firstLineChars="200"/>
        <w:rPr>
          <w:rFonts w:ascii="新宋体" w:hAnsi="新宋体" w:cs="新宋体"/>
          <w:color w:val="auto"/>
          <w:highlight w:val="none"/>
        </w:rPr>
      </w:pPr>
      <w:r>
        <w:rPr>
          <w:rFonts w:ascii="新宋体" w:hAnsi="新宋体" w:cs="新宋体"/>
          <w:color w:val="auto"/>
          <w:highlight w:val="none"/>
        </w:rPr>
        <w:t>2.9“★”</w:t>
      </w:r>
      <w:r>
        <w:rPr>
          <w:rFonts w:hint="eastAsia" w:ascii="新宋体" w:hAnsi="新宋体" w:eastAsia="新宋体" w:cs="Courier New"/>
          <w:color w:val="auto"/>
          <w:sz w:val="24"/>
          <w:szCs w:val="24"/>
          <w:highlight w:val="none"/>
          <w:lang w:val="en-US" w:eastAsia="zh-CN"/>
        </w:rPr>
        <w:t>标记系指必须满足不能负偏离或必须应答的条款。</w:t>
      </w:r>
    </w:p>
    <w:p>
      <w:pPr>
        <w:pStyle w:val="30"/>
        <w:adjustRightInd w:val="0"/>
        <w:snapToGrid w:val="0"/>
        <w:spacing w:line="440" w:lineRule="exact"/>
        <w:ind w:firstLine="960" w:firstLineChars="400"/>
        <w:rPr>
          <w:rFonts w:ascii="新宋体" w:hAnsi="新宋体" w:cs="Courier New"/>
          <w:color w:val="auto"/>
          <w:highlight w:val="none"/>
        </w:rPr>
      </w:pPr>
      <w:r>
        <w:rPr>
          <w:rFonts w:ascii="新宋体" w:hAnsi="新宋体" w:cs="Courier New"/>
          <w:color w:val="auto"/>
          <w:highlight w:val="none"/>
        </w:rPr>
        <w:t>“▲”标记系指重点参数。</w:t>
      </w:r>
    </w:p>
    <w:p>
      <w:pPr>
        <w:pStyle w:val="30"/>
        <w:adjustRightInd w:val="0"/>
        <w:snapToGrid w:val="0"/>
        <w:spacing w:line="440" w:lineRule="exact"/>
        <w:ind w:firstLine="960" w:firstLineChars="400"/>
        <w:rPr>
          <w:rFonts w:ascii="新宋体" w:hAnsi="新宋体" w:cs="新宋体"/>
          <w:color w:val="auto"/>
          <w:highlight w:val="none"/>
        </w:rPr>
      </w:pPr>
      <w:r>
        <w:rPr>
          <w:rFonts w:hint="eastAsia" w:ascii="新宋体" w:hAnsi="新宋体" w:eastAsia="新宋体" w:cs="Courier New"/>
          <w:color w:val="auto"/>
          <w:sz w:val="24"/>
          <w:highlight w:val="none"/>
        </w:rPr>
        <w:t>“</w:t>
      </w:r>
      <w:r>
        <w:rPr>
          <w:rFonts w:hint="eastAsia" w:ascii="新宋体" w:hAnsi="新宋体" w:eastAsia="新宋体" w:cs="Courier New"/>
          <w:color w:val="auto"/>
          <w:sz w:val="24"/>
          <w:highlight w:val="none"/>
        </w:rPr>
        <w:sym w:font="Wingdings" w:char="00FE"/>
      </w:r>
      <w:r>
        <w:rPr>
          <w:rFonts w:hint="eastAsia" w:ascii="新宋体" w:hAnsi="新宋体" w:eastAsia="新宋体" w:cs="Courier New"/>
          <w:color w:val="auto"/>
          <w:sz w:val="24"/>
          <w:highlight w:val="none"/>
        </w:rPr>
        <w:t>”系指适用本项目的要求，“☐”系指不适用本项目的要求。</w:t>
      </w:r>
    </w:p>
    <w:p>
      <w:pPr>
        <w:pStyle w:val="22"/>
        <w:adjustRightInd w:val="0"/>
        <w:snapToGrid w:val="0"/>
        <w:spacing w:line="440" w:lineRule="exact"/>
        <w:ind w:firstLine="482" w:firstLineChars="200"/>
        <w:jc w:val="both"/>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3.合格的投标人</w:t>
      </w:r>
    </w:p>
    <w:p>
      <w:pPr>
        <w:pStyle w:val="30"/>
        <w:adjustRightInd w:val="0"/>
        <w:snapToGrid w:val="0"/>
        <w:spacing w:line="440" w:lineRule="exact"/>
        <w:ind w:firstLineChars="200"/>
        <w:rPr>
          <w:rFonts w:ascii="新宋体" w:hAnsi="新宋体" w:cs="新宋体"/>
          <w:color w:val="auto"/>
          <w:highlight w:val="none"/>
        </w:rPr>
      </w:pPr>
      <w:r>
        <w:rPr>
          <w:rFonts w:ascii="新宋体" w:hAnsi="新宋体" w:cs="新宋体"/>
          <w:color w:val="auto"/>
          <w:highlight w:val="none"/>
        </w:rPr>
        <w:t>符合第一章采购公告中关于“投标人资格要求”规定的投标人。</w:t>
      </w:r>
    </w:p>
    <w:p>
      <w:pPr>
        <w:pStyle w:val="26"/>
        <w:spacing w:line="440" w:lineRule="exact"/>
        <w:ind w:firstLine="482" w:firstLineChars="200"/>
        <w:rPr>
          <w:rFonts w:hint="eastAsia" w:ascii="新宋体" w:hAnsi="新宋体" w:eastAsia="新宋体" w:cs="新宋体"/>
          <w:color w:val="auto"/>
          <w:sz w:val="24"/>
          <w:highlight w:val="none"/>
        </w:rPr>
      </w:pPr>
      <w:r>
        <w:rPr>
          <w:rFonts w:hint="eastAsia" w:ascii="新宋体" w:hAnsi="新宋体" w:eastAsia="新宋体" w:cs="新宋体"/>
          <w:b/>
          <w:color w:val="auto"/>
          <w:sz w:val="24"/>
          <w:highlight w:val="none"/>
        </w:rPr>
        <w:t>4.保证</w:t>
      </w:r>
    </w:p>
    <w:p>
      <w:pPr>
        <w:pStyle w:val="26"/>
        <w:spacing w:line="44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投标人应保证所提交给采购代理机构和采购人的资料和数据是真实、有效的。</w:t>
      </w:r>
    </w:p>
    <w:p>
      <w:pPr>
        <w:pStyle w:val="26"/>
        <w:spacing w:line="440" w:lineRule="exact"/>
        <w:ind w:firstLine="482" w:firstLineChars="200"/>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t>5.招标投标费用</w:t>
      </w:r>
    </w:p>
    <w:p>
      <w:pPr>
        <w:pStyle w:val="26"/>
        <w:spacing w:line="440" w:lineRule="exact"/>
        <w:ind w:firstLine="480" w:firstLineChars="200"/>
        <w:rPr>
          <w:rFonts w:hint="eastAsia" w:ascii="新宋体" w:hAnsi="新宋体" w:eastAsia="新宋体" w:cs="新宋体"/>
          <w:b/>
          <w:color w:val="auto"/>
          <w:sz w:val="24"/>
          <w:highlight w:val="none"/>
        </w:rPr>
      </w:pPr>
      <w:r>
        <w:rPr>
          <w:rFonts w:hint="eastAsia" w:ascii="新宋体" w:hAnsi="新宋体" w:eastAsia="新宋体" w:cs="新宋体"/>
          <w:color w:val="auto"/>
          <w:sz w:val="24"/>
          <w:highlight w:val="none"/>
        </w:rPr>
        <w:t>不论投标过程中的</w:t>
      </w:r>
      <w:r>
        <w:rPr>
          <w:rFonts w:hint="eastAsia" w:ascii="新宋体" w:hAnsi="新宋体" w:eastAsia="新宋体" w:cs="新宋体"/>
          <w:color w:val="auto"/>
          <w:sz w:val="24"/>
          <w:highlight w:val="none"/>
          <w:lang w:eastAsia="zh-CN"/>
        </w:rPr>
        <w:t>做法</w:t>
      </w:r>
      <w:r>
        <w:rPr>
          <w:rFonts w:hint="eastAsia" w:ascii="新宋体" w:hAnsi="新宋体" w:eastAsia="新宋体" w:cs="新宋体"/>
          <w:color w:val="auto"/>
          <w:sz w:val="24"/>
          <w:highlight w:val="none"/>
        </w:rPr>
        <w:t>和结果如何，投标人应承担所有与投标有关的全部费用。采购人和采购代理机构在任何情况下均无义务和责任承担上述这些费用。</w:t>
      </w:r>
    </w:p>
    <w:p>
      <w:pPr>
        <w:pStyle w:val="26"/>
        <w:spacing w:line="440" w:lineRule="exact"/>
        <w:ind w:firstLine="482" w:firstLineChars="200"/>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t>6.转包、分包、联合体</w:t>
      </w:r>
    </w:p>
    <w:p>
      <w:pPr>
        <w:pStyle w:val="26"/>
        <w:spacing w:line="400" w:lineRule="exact"/>
        <w:ind w:firstLine="480" w:firstLineChars="200"/>
        <w:rPr>
          <w:rFonts w:hint="eastAsia" w:ascii="新宋体" w:hAnsi="新宋体" w:eastAsia="新宋体" w:cs="Courier New"/>
          <w:color w:val="auto"/>
          <w:sz w:val="24"/>
          <w:highlight w:val="none"/>
          <w:lang w:val="en-US" w:eastAsia="zh-CN"/>
        </w:rPr>
      </w:pPr>
      <w:r>
        <w:rPr>
          <w:rFonts w:hint="eastAsia" w:ascii="新宋体" w:hAnsi="新宋体" w:eastAsia="新宋体" w:cs="Courier New"/>
          <w:color w:val="auto"/>
          <w:sz w:val="24"/>
          <w:highlight w:val="none"/>
          <w:lang w:val="en-US" w:eastAsia="zh-CN"/>
        </w:rPr>
        <w:t>6.1本项目不允许转包。</w:t>
      </w:r>
    </w:p>
    <w:p>
      <w:pPr>
        <w:pStyle w:val="26"/>
        <w:spacing w:line="400" w:lineRule="exact"/>
        <w:ind w:firstLine="480" w:firstLineChars="200"/>
        <w:rPr>
          <w:rFonts w:hint="eastAsia" w:ascii="新宋体" w:hAnsi="新宋体" w:eastAsia="新宋体" w:cs="Courier New"/>
          <w:color w:val="auto"/>
          <w:sz w:val="24"/>
          <w:highlight w:val="none"/>
          <w:lang w:val="en-US" w:eastAsia="zh-CN"/>
        </w:rPr>
      </w:pPr>
      <w:r>
        <w:rPr>
          <w:rFonts w:hint="eastAsia" w:ascii="新宋体" w:hAnsi="新宋体" w:eastAsia="新宋体" w:cs="Courier New"/>
          <w:color w:val="auto"/>
          <w:sz w:val="24"/>
          <w:highlight w:val="none"/>
          <w:lang w:val="en-US" w:eastAsia="zh-CN"/>
        </w:rPr>
        <w:t>6.2分包采购相关规定（</w:t>
      </w:r>
      <w:r>
        <w:rPr>
          <w:rFonts w:hint="eastAsia" w:ascii="新宋体" w:hAnsi="新宋体" w:eastAsia="新宋体" w:cs="Courier New"/>
          <w:color w:val="auto"/>
          <w:sz w:val="24"/>
          <w:highlight w:val="none"/>
          <w:u w:val="single"/>
          <w:lang w:val="en-US" w:eastAsia="zh-CN"/>
        </w:rPr>
        <w:t>本项目是否接受分包，见投标须知前附表的规定</w:t>
      </w:r>
      <w:r>
        <w:rPr>
          <w:rFonts w:hint="eastAsia" w:ascii="新宋体" w:hAnsi="新宋体" w:eastAsia="新宋体" w:cs="Courier New"/>
          <w:color w:val="auto"/>
          <w:sz w:val="24"/>
          <w:highlight w:val="none"/>
          <w:lang w:val="en-US" w:eastAsia="zh-CN"/>
        </w:rPr>
        <w:t>）：</w:t>
      </w:r>
    </w:p>
    <w:p>
      <w:pPr>
        <w:pStyle w:val="26"/>
        <w:spacing w:line="400" w:lineRule="exact"/>
        <w:ind w:firstLine="480" w:firstLineChars="200"/>
        <w:rPr>
          <w:rFonts w:hint="eastAsia" w:ascii="新宋体" w:hAnsi="新宋体" w:eastAsia="新宋体" w:cs="Courier New"/>
          <w:color w:val="auto"/>
          <w:sz w:val="24"/>
          <w:highlight w:val="none"/>
          <w:lang w:val="en-US" w:eastAsia="zh-CN"/>
        </w:rPr>
      </w:pPr>
      <w:r>
        <w:rPr>
          <w:rFonts w:hint="eastAsia" w:ascii="新宋体" w:hAnsi="新宋体" w:eastAsia="新宋体" w:cs="Courier New"/>
          <w:color w:val="auto"/>
          <w:sz w:val="24"/>
          <w:highlight w:val="none"/>
          <w:lang w:val="en-US" w:eastAsia="zh-CN"/>
        </w:rPr>
        <w:t>6.2.1投标人根据招标文件的规定和采购项目的实际情况，拟在中标后将中标项目的非主体、非关键性工作分包的，应当在投标文件中载明分包承担主体，分包承担主体应当具备相应资质条件且不得再次分包；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26"/>
        <w:spacing w:line="400" w:lineRule="exact"/>
        <w:ind w:firstLine="480" w:firstLineChars="200"/>
        <w:rPr>
          <w:rFonts w:hint="eastAsia" w:ascii="新宋体" w:hAnsi="新宋体" w:eastAsia="新宋体" w:cs="Courier New"/>
          <w:color w:val="auto"/>
          <w:sz w:val="24"/>
          <w:highlight w:val="none"/>
          <w:lang w:val="en-US" w:eastAsia="zh-CN"/>
        </w:rPr>
      </w:pPr>
      <w:r>
        <w:rPr>
          <w:rFonts w:hint="eastAsia" w:ascii="新宋体" w:hAnsi="新宋体" w:eastAsia="新宋体" w:cs="Courier New"/>
          <w:color w:val="auto"/>
          <w:sz w:val="24"/>
          <w:highlight w:val="none"/>
          <w:lang w:val="en-US" w:eastAsia="zh-CN"/>
        </w:rPr>
        <w:t>6.2.2享受中小企业扶持政策获得政府采购合同的，小微企业不得将合同分包给大中型企业，中型企业不得将合同分包给大型企业。</w:t>
      </w:r>
    </w:p>
    <w:p>
      <w:pPr>
        <w:pStyle w:val="26"/>
        <w:spacing w:line="400" w:lineRule="exact"/>
        <w:ind w:firstLine="480" w:firstLineChars="200"/>
        <w:rPr>
          <w:rFonts w:hint="eastAsia" w:ascii="新宋体" w:hAnsi="新宋体" w:eastAsia="新宋体" w:cs="Courier New"/>
          <w:color w:val="auto"/>
          <w:sz w:val="24"/>
          <w:highlight w:val="none"/>
          <w:lang w:val="en-US" w:eastAsia="zh-CN"/>
        </w:rPr>
      </w:pPr>
      <w:r>
        <w:rPr>
          <w:rFonts w:hint="eastAsia" w:ascii="新宋体" w:hAnsi="新宋体" w:eastAsia="新宋体" w:cs="Courier New"/>
          <w:color w:val="auto"/>
          <w:sz w:val="24"/>
          <w:highlight w:val="none"/>
          <w:lang w:val="en-US" w:eastAsia="zh-CN"/>
        </w:rPr>
        <w:t>6.3联合体采购相关规定（</w:t>
      </w:r>
      <w:r>
        <w:rPr>
          <w:rFonts w:hint="eastAsia" w:ascii="新宋体" w:hAnsi="新宋体" w:eastAsia="新宋体" w:cs="Courier New"/>
          <w:color w:val="auto"/>
          <w:sz w:val="24"/>
          <w:highlight w:val="none"/>
          <w:u w:val="single"/>
          <w:lang w:val="en-US" w:eastAsia="zh-CN"/>
        </w:rPr>
        <w:t>本项目是否接受联合体投标，见第一章的规定</w:t>
      </w:r>
      <w:r>
        <w:rPr>
          <w:rFonts w:hint="eastAsia" w:ascii="新宋体" w:hAnsi="新宋体" w:eastAsia="新宋体" w:cs="Courier New"/>
          <w:color w:val="auto"/>
          <w:sz w:val="24"/>
          <w:highlight w:val="none"/>
          <w:lang w:val="en-US" w:eastAsia="zh-CN"/>
        </w:rPr>
        <w:t>）：</w:t>
      </w:r>
    </w:p>
    <w:p>
      <w:pPr>
        <w:pStyle w:val="26"/>
        <w:spacing w:line="400" w:lineRule="exact"/>
        <w:ind w:firstLine="480" w:firstLineChars="200"/>
        <w:rPr>
          <w:rFonts w:hint="eastAsia" w:ascii="新宋体" w:hAnsi="新宋体" w:eastAsia="宋体" w:cs="Courier New"/>
          <w:color w:val="auto"/>
          <w:sz w:val="24"/>
          <w:highlight w:val="none"/>
          <w:lang w:val="en-US" w:eastAsia="zh-CN"/>
        </w:rPr>
      </w:pPr>
      <w:r>
        <w:rPr>
          <w:rFonts w:hint="eastAsia" w:ascii="新宋体" w:hAnsi="新宋体" w:eastAsia="新宋体" w:cs="Courier New"/>
          <w:color w:val="auto"/>
          <w:sz w:val="24"/>
          <w:highlight w:val="none"/>
          <w:lang w:val="en-US" w:eastAsia="zh-CN"/>
        </w:rPr>
        <w:t>6.3.1</w:t>
      </w:r>
      <w:r>
        <w:rPr>
          <w:rFonts w:hint="eastAsia" w:ascii="宋体" w:hAnsi="宋体" w:eastAsia="宋体"/>
          <w:color w:val="auto"/>
          <w:sz w:val="24"/>
        </w:rPr>
        <w:t>除特定资格要求外，联合体各方均应符合本项目规定的资格要求</w:t>
      </w:r>
      <w:r>
        <w:rPr>
          <w:rFonts w:hint="eastAsia" w:hAnsi="宋体" w:eastAsia="宋体"/>
          <w:color w:val="auto"/>
          <w:sz w:val="24"/>
          <w:lang w:eastAsia="zh-CN"/>
        </w:rPr>
        <w:t>；</w:t>
      </w:r>
    </w:p>
    <w:p>
      <w:pPr>
        <w:pStyle w:val="26"/>
        <w:spacing w:line="400" w:lineRule="exact"/>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rPr>
        <w:t>6.3.2如本项目有特定资格要求的，</w:t>
      </w:r>
      <w:r>
        <w:rPr>
          <w:rFonts w:hint="eastAsia" w:ascii="新宋体" w:hAnsi="新宋体" w:eastAsia="新宋体" w:cs="Courier New"/>
          <w:color w:val="auto"/>
          <w:sz w:val="24"/>
          <w:highlight w:val="none"/>
        </w:rPr>
        <w:t>除第一章资格要求另行规定外，</w:t>
      </w:r>
      <w:r>
        <w:rPr>
          <w:rFonts w:hint="eastAsia" w:ascii="新宋体" w:hAnsi="新宋体" w:eastAsia="新宋体"/>
          <w:color w:val="auto"/>
          <w:sz w:val="24"/>
          <w:highlight w:val="none"/>
        </w:rPr>
        <w:t>联合体中至少有一方应符合本文件规定的特定资格要求。但联合体中有同类资质的投标人按照联合体分工承担相同工作的，应当按照资质等级较低的投标人确定资质等级；</w:t>
      </w:r>
    </w:p>
    <w:p>
      <w:pPr>
        <w:pStyle w:val="26"/>
        <w:spacing w:line="400" w:lineRule="exact"/>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rPr>
        <w:t>6.3.3以联合体形式参加政府采购活动的，联合体各方不得再单独参加或者与其他投标人另外组成联合体参加同一合同项下的政府采购活动；</w:t>
      </w:r>
    </w:p>
    <w:p>
      <w:pPr>
        <w:pStyle w:val="26"/>
        <w:spacing w:line="400" w:lineRule="exact"/>
        <w:ind w:firstLine="480" w:firstLineChars="200"/>
        <w:rPr>
          <w:rFonts w:hint="eastAsia" w:ascii="新宋体" w:hAnsi="新宋体" w:eastAsia="新宋体" w:cs="Courier New"/>
          <w:color w:val="auto"/>
          <w:sz w:val="24"/>
          <w:highlight w:val="none"/>
          <w:lang w:val="en-US" w:eastAsia="zh-CN"/>
        </w:rPr>
      </w:pPr>
      <w:r>
        <w:rPr>
          <w:rFonts w:hint="eastAsia" w:ascii="新宋体" w:hAnsi="新宋体" w:eastAsia="新宋体"/>
          <w:color w:val="auto"/>
          <w:sz w:val="24"/>
          <w:highlight w:val="none"/>
        </w:rPr>
        <w:t>6.3.4联合体各方应当指定牵头人，授权其代表联合体各方负责投标和合同实施阶段的主办、协调工作，</w:t>
      </w:r>
      <w:r>
        <w:rPr>
          <w:rFonts w:hint="eastAsia" w:ascii="新宋体" w:hAnsi="新宋体" w:eastAsia="新宋体" w:cs="Courier New"/>
          <w:color w:val="auto"/>
          <w:sz w:val="24"/>
          <w:highlight w:val="none"/>
        </w:rPr>
        <w:t>同时应当提</w:t>
      </w:r>
      <w:r>
        <w:rPr>
          <w:rFonts w:hint="eastAsia" w:ascii="新宋体" w:hAnsi="新宋体" w:eastAsia="新宋体"/>
          <w:color w:val="auto"/>
          <w:sz w:val="24"/>
          <w:highlight w:val="none"/>
        </w:rPr>
        <w:t>交</w:t>
      </w:r>
      <w:r>
        <w:rPr>
          <w:rFonts w:hint="eastAsia" w:ascii="新宋体" w:hAnsi="新宋体" w:eastAsia="新宋体"/>
          <w:b/>
          <w:bCs/>
          <w:color w:val="auto"/>
          <w:sz w:val="24"/>
          <w:highlight w:val="none"/>
          <w:u w:val="single"/>
        </w:rPr>
        <w:t>联合体协议</w:t>
      </w:r>
      <w:r>
        <w:rPr>
          <w:rFonts w:hint="eastAsia" w:ascii="新宋体" w:hAnsi="新宋体" w:eastAsia="新宋体"/>
          <w:color w:val="auto"/>
          <w:sz w:val="24"/>
          <w:highlight w:val="none"/>
        </w:rPr>
        <w:t>，载明联合体各方承担的工作和义务。联合体协议中应当注明由联合体各方共同与采购人签订合同，并就采购合同约定的事项对采购人承担连带责任。联合体协议中仅约定由牵头人或联合体各方中某一方与采购人签订合同的，或联合体协议中仅约定由牵头人或联合体各方中某一方就采购合同约定的事项对采购人承担责任的，视为未提供联合体协议</w:t>
      </w:r>
      <w:r>
        <w:rPr>
          <w:rFonts w:hint="eastAsia" w:ascii="新宋体" w:hAnsi="新宋体" w:eastAsia="新宋体"/>
          <w:color w:val="auto"/>
          <w:sz w:val="24"/>
          <w:highlight w:val="none"/>
          <w:lang w:eastAsia="zh-CN"/>
        </w:rPr>
        <w:t>；</w:t>
      </w:r>
    </w:p>
    <w:p>
      <w:pPr>
        <w:pStyle w:val="26"/>
        <w:spacing w:line="400" w:lineRule="exact"/>
        <w:ind w:firstLine="480" w:firstLineChars="200"/>
        <w:rPr>
          <w:rFonts w:hint="eastAsia" w:ascii="新宋体" w:hAnsi="新宋体" w:eastAsia="新宋体" w:cs="Courier New"/>
          <w:color w:val="auto"/>
          <w:sz w:val="24"/>
          <w:highlight w:val="none"/>
          <w:lang w:val="en-US" w:eastAsia="zh-CN"/>
        </w:rPr>
      </w:pPr>
      <w:r>
        <w:rPr>
          <w:rFonts w:hint="eastAsia" w:ascii="新宋体" w:hAnsi="新宋体" w:eastAsia="新宋体" w:cs="Courier New"/>
          <w:color w:val="auto"/>
          <w:sz w:val="24"/>
          <w:highlight w:val="none"/>
          <w:lang w:val="en-US" w:eastAsia="zh-CN"/>
        </w:rPr>
        <w:t>6.3.5如采购项目对供应商有业绩要求。联合体各方分别提供与联合体协议中约定的分工内容相应的业绩材料，业绩数量以提供材料较少的一方为准；</w:t>
      </w:r>
    </w:p>
    <w:p>
      <w:pPr>
        <w:pStyle w:val="26"/>
        <w:spacing w:line="400" w:lineRule="exact"/>
        <w:ind w:firstLine="480" w:firstLineChars="200"/>
        <w:rPr>
          <w:rFonts w:hint="eastAsia" w:ascii="新宋体" w:hAnsi="新宋体" w:eastAsia="新宋体" w:cs="Courier New"/>
          <w:color w:val="auto"/>
          <w:sz w:val="24"/>
          <w:highlight w:val="none"/>
          <w:lang w:val="en-US" w:eastAsia="zh-CN"/>
        </w:rPr>
      </w:pPr>
      <w:r>
        <w:rPr>
          <w:rFonts w:hint="eastAsia" w:ascii="新宋体" w:hAnsi="新宋体" w:eastAsia="新宋体" w:cs="Courier New"/>
          <w:color w:val="auto"/>
          <w:sz w:val="24"/>
          <w:highlight w:val="none"/>
          <w:lang w:val="en-US" w:eastAsia="zh-CN"/>
        </w:rPr>
        <w:t>6.3.6联合体各方均为中小企业的，该联合体视同中小企业；</w:t>
      </w:r>
    </w:p>
    <w:p>
      <w:pPr>
        <w:pStyle w:val="26"/>
        <w:spacing w:line="400" w:lineRule="exact"/>
        <w:ind w:firstLine="480" w:firstLineChars="200"/>
        <w:rPr>
          <w:rFonts w:hint="eastAsia" w:ascii="新宋体" w:hAnsi="新宋体" w:eastAsia="新宋体" w:cs="Courier New"/>
          <w:color w:val="auto"/>
          <w:sz w:val="24"/>
          <w:highlight w:val="none"/>
          <w:lang w:val="en-US" w:eastAsia="zh-CN"/>
        </w:rPr>
      </w:pPr>
      <w:r>
        <w:rPr>
          <w:rFonts w:hint="eastAsia" w:ascii="新宋体" w:hAnsi="新宋体" w:eastAsia="新宋体" w:cs="Courier New"/>
          <w:color w:val="auto"/>
          <w:sz w:val="24"/>
          <w:highlight w:val="none"/>
          <w:lang w:val="en-US" w:eastAsia="zh-CN"/>
        </w:rPr>
        <w:t>6.3.7以联合体形式参加政府采购活动的，其投诉应当由组成联合体的所有供应商共同提出；</w:t>
      </w:r>
    </w:p>
    <w:p>
      <w:pPr>
        <w:pStyle w:val="26"/>
        <w:spacing w:line="400" w:lineRule="exact"/>
        <w:ind w:firstLine="480" w:firstLineChars="200"/>
        <w:rPr>
          <w:rFonts w:hint="default" w:ascii="新宋体" w:hAnsi="新宋体" w:eastAsia="新宋体" w:cs="Courier New"/>
          <w:color w:val="auto"/>
          <w:sz w:val="24"/>
          <w:highlight w:val="none"/>
          <w:lang w:val="en-US" w:eastAsia="zh-CN"/>
        </w:rPr>
      </w:pPr>
      <w:r>
        <w:rPr>
          <w:rFonts w:hint="eastAsia" w:ascii="新宋体" w:hAnsi="新宋体" w:eastAsia="新宋体" w:cs="Courier New"/>
          <w:color w:val="auto"/>
          <w:sz w:val="24"/>
          <w:highlight w:val="none"/>
          <w:lang w:val="en-US" w:eastAsia="zh-CN"/>
        </w:rPr>
        <w:t>6.3.8采购人或采购代理机构对联合体中任何一方的书面文件都对联合体各方具有约束力。</w:t>
      </w:r>
    </w:p>
    <w:p>
      <w:pPr>
        <w:pStyle w:val="26"/>
        <w:keepNext w:val="0"/>
        <w:keepLines w:val="0"/>
        <w:pageBreakBefore w:val="0"/>
        <w:widowControl w:val="0"/>
        <w:kinsoku/>
        <w:wordWrap/>
        <w:overflowPunct/>
        <w:topLinePunct w:val="0"/>
        <w:autoSpaceDE/>
        <w:autoSpaceDN/>
        <w:bidi w:val="0"/>
        <w:spacing w:line="440" w:lineRule="exact"/>
        <w:ind w:firstLine="482" w:firstLineChars="200"/>
        <w:textAlignment w:val="auto"/>
        <w:rPr>
          <w:rFonts w:hint="eastAsia" w:ascii="新宋体" w:hAnsi="新宋体" w:eastAsia="新宋体" w:cs="Courier New"/>
          <w:color w:val="auto"/>
          <w:sz w:val="24"/>
          <w:highlight w:val="none"/>
          <w:lang w:val="en-US" w:eastAsia="zh-CN"/>
        </w:rPr>
      </w:pPr>
      <w:r>
        <w:rPr>
          <w:rFonts w:hint="eastAsia" w:ascii="新宋体" w:hAnsi="新宋体" w:eastAsia="新宋体" w:cs="新宋体"/>
          <w:b/>
          <w:color w:val="auto"/>
          <w:sz w:val="24"/>
          <w:highlight w:val="none"/>
          <w:lang w:val="en-US" w:eastAsia="zh-CN"/>
        </w:rPr>
        <w:t>7.政府采购政策</w:t>
      </w:r>
    </w:p>
    <w:p>
      <w:pPr>
        <w:pStyle w:val="26"/>
        <w:spacing w:line="440" w:lineRule="exact"/>
        <w:ind w:firstLine="480" w:firstLineChars="200"/>
        <w:rPr>
          <w:rFonts w:hint="eastAsia" w:ascii="新宋体" w:hAnsi="新宋体" w:eastAsia="新宋体" w:cs="Courier New"/>
          <w:color w:val="auto"/>
          <w:sz w:val="24"/>
          <w:highlight w:val="none"/>
          <w:lang w:val="en-US" w:eastAsia="zh-CN"/>
        </w:rPr>
      </w:pPr>
      <w:r>
        <w:rPr>
          <w:rFonts w:hint="eastAsia" w:ascii="新宋体" w:hAnsi="新宋体" w:eastAsia="新宋体" w:cs="Courier New"/>
          <w:color w:val="auto"/>
          <w:sz w:val="24"/>
          <w:highlight w:val="none"/>
          <w:lang w:val="en-US" w:eastAsia="zh-CN"/>
        </w:rPr>
        <w:t>7.1进口产品采购规定（</w:t>
      </w:r>
      <w:r>
        <w:rPr>
          <w:rFonts w:hint="eastAsia" w:ascii="新宋体" w:hAnsi="新宋体" w:eastAsia="新宋体" w:cs="Courier New"/>
          <w:color w:val="auto"/>
          <w:sz w:val="24"/>
          <w:highlight w:val="none"/>
          <w:u w:val="single"/>
          <w:lang w:val="en-US" w:eastAsia="zh-CN"/>
        </w:rPr>
        <w:t>本项目是否允许进口产品参投，见投标须知前附表的规定</w:t>
      </w:r>
      <w:r>
        <w:rPr>
          <w:rFonts w:hint="eastAsia" w:ascii="新宋体" w:hAnsi="新宋体" w:eastAsia="新宋体" w:cs="Courier New"/>
          <w:color w:val="auto"/>
          <w:sz w:val="24"/>
          <w:highlight w:val="none"/>
          <w:lang w:val="en-US" w:eastAsia="zh-CN"/>
        </w:rPr>
        <w:t>）：</w:t>
      </w:r>
    </w:p>
    <w:p>
      <w:pPr>
        <w:pStyle w:val="26"/>
        <w:spacing w:line="440" w:lineRule="exact"/>
        <w:ind w:firstLine="480" w:firstLineChars="200"/>
        <w:rPr>
          <w:rFonts w:hint="eastAsia" w:ascii="新宋体" w:hAnsi="新宋体" w:eastAsia="新宋体" w:cs="Courier New"/>
          <w:color w:val="auto"/>
          <w:sz w:val="24"/>
          <w:highlight w:val="none"/>
          <w:lang w:val="en-US" w:eastAsia="zh-CN"/>
        </w:rPr>
      </w:pPr>
      <w:r>
        <w:rPr>
          <w:rFonts w:hint="eastAsia" w:ascii="新宋体" w:hAnsi="新宋体" w:eastAsia="新宋体" w:cs="Courier New"/>
          <w:color w:val="auto"/>
          <w:sz w:val="24"/>
          <w:highlight w:val="none"/>
          <w:lang w:val="en-US" w:eastAsia="zh-CN"/>
        </w:rPr>
        <w:t>7.1.1进口产品认定根据财政部财库[2007]119号和财政部办公厅财办库[2008]248号文件规定，“进口产品”系指通过中国海关报关验放进入中国境内且产自关境外的产品。但在海关特殊监管区域内企业生产或加工（包括从境外进口原料件）销往境内其他地区的产品，不作为政府采购项下进口产品。对从境外进入海关特殊监管区域，再经办理报关手续后从海关特殊监管区域进入境内其他地区的产品，应当认定为进口产品；</w:t>
      </w:r>
    </w:p>
    <w:p>
      <w:pPr>
        <w:pStyle w:val="26"/>
        <w:spacing w:line="440" w:lineRule="exact"/>
        <w:ind w:firstLine="480" w:firstLineChars="200"/>
        <w:rPr>
          <w:rFonts w:hint="eastAsia" w:ascii="新宋体" w:hAnsi="新宋体" w:eastAsia="新宋体" w:cs="Courier New"/>
          <w:color w:val="auto"/>
          <w:sz w:val="24"/>
          <w:highlight w:val="none"/>
          <w:lang w:val="en-US" w:eastAsia="zh-CN"/>
        </w:rPr>
      </w:pPr>
      <w:r>
        <w:rPr>
          <w:rFonts w:hint="eastAsia" w:ascii="新宋体" w:hAnsi="新宋体" w:eastAsia="新宋体" w:cs="Courier New"/>
          <w:color w:val="auto"/>
          <w:sz w:val="24"/>
          <w:highlight w:val="none"/>
          <w:lang w:val="en-US" w:eastAsia="zh-CN"/>
        </w:rPr>
        <w:t>特殊监管区域包括：保税区、出口加工区、保税港区、珠澳跨境工业区珠海园区、中哈霍尔果斯国际边境合作中心中方配套区、综合保税区等区域；</w:t>
      </w:r>
    </w:p>
    <w:p>
      <w:pPr>
        <w:pStyle w:val="26"/>
        <w:spacing w:line="440" w:lineRule="exact"/>
        <w:ind w:firstLine="480" w:firstLineChars="200"/>
        <w:rPr>
          <w:rFonts w:hint="eastAsia" w:ascii="新宋体" w:hAnsi="新宋体" w:eastAsia="新宋体" w:cs="Courier New"/>
          <w:color w:val="auto"/>
          <w:sz w:val="24"/>
          <w:highlight w:val="none"/>
          <w:lang w:val="en-US" w:eastAsia="zh-CN"/>
        </w:rPr>
      </w:pPr>
      <w:r>
        <w:rPr>
          <w:rFonts w:hint="eastAsia" w:ascii="新宋体" w:hAnsi="新宋体" w:eastAsia="新宋体" w:cs="Courier New"/>
          <w:color w:val="auto"/>
          <w:sz w:val="24"/>
          <w:highlight w:val="none"/>
          <w:lang w:val="en-US" w:eastAsia="zh-CN"/>
        </w:rPr>
        <w:t>7.1.2不允许进口产品参投的项目，投标人所投产品中有进口产品的，其投标无效；</w:t>
      </w:r>
    </w:p>
    <w:p>
      <w:pPr>
        <w:pStyle w:val="26"/>
        <w:spacing w:line="400" w:lineRule="exact"/>
        <w:ind w:firstLine="480" w:firstLineChars="200"/>
        <w:rPr>
          <w:rFonts w:hint="eastAsia" w:ascii="新宋体" w:hAnsi="新宋体" w:eastAsia="新宋体" w:cs="Courier New"/>
          <w:color w:val="auto"/>
          <w:sz w:val="24"/>
          <w:highlight w:val="none"/>
          <w:lang w:val="en-US" w:eastAsia="zh-CN"/>
        </w:rPr>
      </w:pPr>
      <w:r>
        <w:rPr>
          <w:rFonts w:hint="eastAsia" w:ascii="新宋体" w:hAnsi="新宋体" w:eastAsia="新宋体" w:cs="Courier New"/>
          <w:color w:val="auto"/>
          <w:sz w:val="24"/>
          <w:highlight w:val="none"/>
          <w:lang w:val="en-US" w:eastAsia="zh-CN"/>
        </w:rPr>
        <w:t>7.1.3允许进口产品参投的项目，同时也允许满足实质性需求的国内产品参与投标。</w:t>
      </w:r>
    </w:p>
    <w:p>
      <w:pPr>
        <w:pStyle w:val="26"/>
        <w:spacing w:line="400" w:lineRule="exact"/>
        <w:ind w:firstLine="480" w:firstLineChars="200"/>
        <w:rPr>
          <w:rFonts w:hint="eastAsia" w:ascii="新宋体" w:hAnsi="新宋体" w:eastAsia="新宋体" w:cs="Courier New"/>
          <w:color w:val="auto"/>
          <w:sz w:val="24"/>
          <w:highlight w:val="none"/>
          <w:lang w:val="en-US" w:eastAsia="zh-CN"/>
        </w:rPr>
      </w:pPr>
      <w:r>
        <w:rPr>
          <w:rFonts w:hint="eastAsia" w:ascii="新宋体" w:hAnsi="新宋体" w:eastAsia="新宋体" w:cs="Courier New"/>
          <w:color w:val="auto"/>
          <w:sz w:val="24"/>
          <w:highlight w:val="none"/>
          <w:lang w:val="en-US" w:eastAsia="zh-CN"/>
        </w:rPr>
        <w:t>7.2扶持中小企业政策：</w:t>
      </w:r>
    </w:p>
    <w:p>
      <w:pPr>
        <w:pStyle w:val="26"/>
        <w:spacing w:line="400" w:lineRule="exact"/>
        <w:ind w:firstLine="480" w:firstLineChars="200"/>
        <w:rPr>
          <w:rFonts w:hint="eastAsia" w:ascii="新宋体" w:hAnsi="新宋体" w:eastAsia="新宋体" w:cs="Courier New"/>
          <w:color w:val="auto"/>
          <w:sz w:val="24"/>
          <w:highlight w:val="none"/>
          <w:lang w:val="en-US" w:eastAsia="zh-CN"/>
        </w:rPr>
      </w:pPr>
      <w:r>
        <w:rPr>
          <w:rFonts w:hint="eastAsia" w:ascii="新宋体" w:hAnsi="新宋体" w:eastAsia="新宋体" w:cs="Courier New"/>
          <w:color w:val="auto"/>
          <w:sz w:val="24"/>
          <w:highlight w:val="none"/>
          <w:lang w:val="en-US" w:eastAsia="zh-CN"/>
        </w:rPr>
        <w:t>7.2.1专门面向中小企业（具体情形详见采购公告资格要求中的情形）采购的项目或者标项，不再执行价格评审优惠的扶持政策。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26"/>
        <w:spacing w:line="400" w:lineRule="exact"/>
        <w:ind w:firstLine="480" w:firstLineChars="200"/>
        <w:rPr>
          <w:rFonts w:hint="eastAsia" w:ascii="新宋体" w:hAnsi="新宋体" w:eastAsia="新宋体" w:cs="Courier New"/>
          <w:color w:val="auto"/>
          <w:sz w:val="24"/>
          <w:highlight w:val="none"/>
          <w:lang w:val="en-US" w:eastAsia="zh-CN"/>
        </w:rPr>
      </w:pPr>
      <w:r>
        <w:rPr>
          <w:rFonts w:hint="eastAsia" w:ascii="新宋体" w:hAnsi="新宋体" w:eastAsia="新宋体" w:cs="Courier New"/>
          <w:color w:val="auto"/>
          <w:sz w:val="24"/>
          <w:highlight w:val="none"/>
          <w:lang w:val="en-US" w:eastAsia="zh-CN"/>
        </w:rPr>
        <w:t>7.2.2.非专门面向中小企业采购的项目或者标项，执行价格评审优惠：</w:t>
      </w:r>
    </w:p>
    <w:p>
      <w:pPr>
        <w:pStyle w:val="26"/>
        <w:spacing w:line="400" w:lineRule="exact"/>
        <w:ind w:firstLine="480" w:firstLineChars="200"/>
        <w:rPr>
          <w:rFonts w:hint="eastAsia" w:ascii="新宋体" w:hAnsi="新宋体" w:eastAsia="新宋体" w:cs="Courier New"/>
          <w:color w:val="auto"/>
          <w:sz w:val="24"/>
          <w:highlight w:val="none"/>
          <w:lang w:val="en-US" w:eastAsia="zh-CN"/>
        </w:rPr>
      </w:pPr>
      <w:r>
        <w:rPr>
          <w:rFonts w:hint="eastAsia" w:ascii="新宋体" w:hAnsi="新宋体" w:eastAsia="新宋体" w:cs="Courier New"/>
          <w:color w:val="auto"/>
          <w:sz w:val="24"/>
          <w:highlight w:val="none"/>
          <w:lang w:val="en-US" w:eastAsia="zh-CN"/>
        </w:rPr>
        <w:t>7.2.2.1根据符合《政府采购促进中小企业发展管理办法》（财库〔2020〕46号）等文件要求，对小微企业报价给予</w:t>
      </w:r>
      <w:r>
        <w:rPr>
          <w:rFonts w:hint="eastAsia" w:ascii="新宋体" w:hAnsi="新宋体" w:eastAsia="新宋体" w:cs="Courier New"/>
          <w:color w:val="auto"/>
          <w:sz w:val="24"/>
          <w:highlight w:val="none"/>
          <w:u w:val="single"/>
          <w:lang w:val="en-US" w:eastAsia="zh-CN"/>
        </w:rPr>
        <w:t xml:space="preserve"> 20% </w:t>
      </w:r>
      <w:r>
        <w:rPr>
          <w:rFonts w:hint="eastAsia" w:ascii="新宋体" w:hAnsi="新宋体" w:eastAsia="新宋体" w:cs="Courier New"/>
          <w:color w:val="auto"/>
          <w:sz w:val="24"/>
          <w:highlight w:val="none"/>
          <w:lang w:val="en-US" w:eastAsia="zh-CN"/>
        </w:rPr>
        <w:t>的扣除，用扣除后的价格参加评审；对于接受大中型企业与小微企业组成联合体或者允许大中型企业向一家或者多家小微企业分包的采购项目，对于联合协议或者分包意向协议约定小微企业的合同份额占到合同总金额</w:t>
      </w:r>
      <w:r>
        <w:rPr>
          <w:rFonts w:hint="eastAsia" w:ascii="新宋体" w:hAnsi="新宋体" w:eastAsia="新宋体" w:cs="Courier New"/>
          <w:color w:val="auto"/>
          <w:sz w:val="24"/>
          <w:highlight w:val="none"/>
          <w:u w:val="single"/>
          <w:lang w:val="en-US" w:eastAsia="zh-CN"/>
        </w:rPr>
        <w:t xml:space="preserve"> 30% </w:t>
      </w:r>
      <w:r>
        <w:rPr>
          <w:rFonts w:hint="eastAsia" w:ascii="新宋体" w:hAnsi="新宋体" w:eastAsia="新宋体" w:cs="Courier New"/>
          <w:color w:val="auto"/>
          <w:sz w:val="24"/>
          <w:highlight w:val="none"/>
          <w:lang w:val="en-US" w:eastAsia="zh-CN"/>
        </w:rPr>
        <w:t>以上的，对联合体或者大中型企业的报价给予</w:t>
      </w:r>
      <w:r>
        <w:rPr>
          <w:rFonts w:hint="eastAsia" w:ascii="新宋体" w:hAnsi="新宋体" w:eastAsia="新宋体" w:cs="Courier New"/>
          <w:color w:val="auto"/>
          <w:sz w:val="24"/>
          <w:highlight w:val="none"/>
          <w:u w:val="single"/>
          <w:lang w:val="en-US" w:eastAsia="zh-CN"/>
        </w:rPr>
        <w:t xml:space="preserve"> 6% </w:t>
      </w:r>
      <w:r>
        <w:rPr>
          <w:rFonts w:hint="eastAsia" w:ascii="新宋体" w:hAnsi="新宋体" w:eastAsia="新宋体" w:cs="Courier New"/>
          <w:color w:val="auto"/>
          <w:sz w:val="24"/>
          <w:highlight w:val="none"/>
          <w:lang w:val="en-US" w:eastAsia="zh-CN"/>
        </w:rPr>
        <w:t>的扣除，用扣除后的价格参加评审。组成联合体或者接受分包的小微企业与联合体内其他企业、分包企业之间存在直接控股、管理关系的，不享受价格扣除优惠政策。</w:t>
      </w:r>
      <w:r>
        <w:rPr>
          <w:rFonts w:hint="eastAsia" w:ascii="新宋体" w:hAnsi="新宋体" w:eastAsia="新宋体" w:cs="Courier New"/>
          <w:b/>
          <w:bCs/>
          <w:color w:val="auto"/>
          <w:sz w:val="24"/>
          <w:highlight w:val="none"/>
          <w:u w:val="single"/>
          <w:lang w:val="en-US" w:eastAsia="zh-CN"/>
        </w:rPr>
        <w:t>享受相关中小企业扶持政策的投标人，应在投标文件中提供《中小企业声明函》</w:t>
      </w:r>
      <w:r>
        <w:rPr>
          <w:rFonts w:hint="eastAsia" w:ascii="新宋体" w:hAnsi="新宋体" w:eastAsia="新宋体" w:cs="Courier New"/>
          <w:color w:val="auto"/>
          <w:sz w:val="24"/>
          <w:highlight w:val="none"/>
          <w:lang w:val="en-US" w:eastAsia="zh-CN"/>
        </w:rPr>
        <w:t>；</w:t>
      </w:r>
    </w:p>
    <w:p>
      <w:pPr>
        <w:pStyle w:val="26"/>
        <w:spacing w:line="400" w:lineRule="exact"/>
        <w:ind w:firstLine="480" w:firstLineChars="200"/>
        <w:rPr>
          <w:rFonts w:hint="eastAsia" w:ascii="新宋体" w:hAnsi="新宋体" w:eastAsia="新宋体" w:cs="Courier New"/>
          <w:color w:val="auto"/>
          <w:sz w:val="24"/>
          <w:highlight w:val="none"/>
          <w:lang w:val="en-US" w:eastAsia="zh-CN"/>
        </w:rPr>
      </w:pPr>
      <w:r>
        <w:rPr>
          <w:rFonts w:hint="eastAsia" w:ascii="新宋体" w:hAnsi="新宋体" w:eastAsia="新宋体" w:cs="Courier New"/>
          <w:color w:val="auto"/>
          <w:sz w:val="24"/>
          <w:highlight w:val="none"/>
          <w:lang w:val="en-US" w:eastAsia="zh-CN"/>
        </w:rPr>
        <w:t>7.2.2.2根据财库[2017]141号的相关规定，符合该文件第一条规定的残疾人福利性单位，视同小型、微型企业，享受评审中价格扣除政策。</w:t>
      </w:r>
      <w:r>
        <w:rPr>
          <w:rFonts w:hint="eastAsia" w:ascii="新宋体" w:hAnsi="新宋体" w:eastAsia="新宋体" w:cs="Courier New"/>
          <w:b/>
          <w:bCs/>
          <w:color w:val="auto"/>
          <w:sz w:val="24"/>
          <w:highlight w:val="none"/>
          <w:u w:val="single"/>
          <w:lang w:val="en-US" w:eastAsia="zh-CN"/>
        </w:rPr>
        <w:t>享受相关中小企业扶持政策的投标人，</w:t>
      </w:r>
      <w:r>
        <w:rPr>
          <w:rFonts w:hint="eastAsia" w:ascii="新宋体" w:hAnsi="新宋体" w:eastAsia="新宋体" w:cs="Courier New"/>
          <w:color w:val="auto"/>
          <w:sz w:val="24"/>
          <w:highlight w:val="none"/>
          <w:lang w:val="en-US" w:eastAsia="zh-CN"/>
        </w:rPr>
        <w:t>应在投标文件中提供</w:t>
      </w:r>
      <w:r>
        <w:rPr>
          <w:rFonts w:hint="eastAsia" w:ascii="新宋体" w:hAnsi="新宋体" w:eastAsia="新宋体" w:cs="Courier New"/>
          <w:b/>
          <w:bCs/>
          <w:color w:val="auto"/>
          <w:sz w:val="24"/>
          <w:highlight w:val="none"/>
          <w:u w:val="single"/>
          <w:lang w:val="en-US" w:eastAsia="zh-CN"/>
        </w:rPr>
        <w:t>残疾人福利性单位声明函</w:t>
      </w:r>
      <w:r>
        <w:rPr>
          <w:rFonts w:hint="eastAsia" w:ascii="新宋体" w:hAnsi="新宋体" w:eastAsia="新宋体" w:cs="Courier New"/>
          <w:color w:val="auto"/>
          <w:sz w:val="24"/>
          <w:highlight w:val="none"/>
          <w:lang w:val="en-US" w:eastAsia="zh-CN"/>
        </w:rPr>
        <w:t>；</w:t>
      </w:r>
    </w:p>
    <w:p>
      <w:pPr>
        <w:pStyle w:val="26"/>
        <w:spacing w:line="400" w:lineRule="exact"/>
        <w:ind w:firstLine="480" w:firstLineChars="200"/>
        <w:rPr>
          <w:rFonts w:hint="eastAsia" w:ascii="新宋体" w:hAnsi="新宋体" w:eastAsia="新宋体" w:cs="Courier New"/>
          <w:color w:val="auto"/>
          <w:sz w:val="24"/>
          <w:highlight w:val="none"/>
          <w:lang w:val="en-US" w:eastAsia="zh-CN"/>
        </w:rPr>
      </w:pPr>
      <w:r>
        <w:rPr>
          <w:rFonts w:hint="eastAsia" w:ascii="新宋体" w:hAnsi="新宋体" w:eastAsia="新宋体" w:cs="Courier New"/>
          <w:color w:val="auto"/>
          <w:sz w:val="24"/>
          <w:highlight w:val="none"/>
          <w:lang w:val="en-US" w:eastAsia="zh-CN"/>
        </w:rPr>
        <w:t>7.2.2.3根据财库[2014]68号的相关规定，在政府采购活动中，监狱企业视同小型、微型企业，享受评审中价格扣除政策。</w:t>
      </w:r>
      <w:r>
        <w:rPr>
          <w:rFonts w:hint="eastAsia" w:ascii="新宋体" w:hAnsi="新宋体" w:eastAsia="新宋体" w:cs="Courier New"/>
          <w:b/>
          <w:bCs/>
          <w:color w:val="auto"/>
          <w:sz w:val="24"/>
          <w:highlight w:val="none"/>
          <w:u w:val="single"/>
          <w:lang w:val="en-US" w:eastAsia="zh-CN"/>
        </w:rPr>
        <w:t>享受相关中小企业扶持政策的投标人，</w:t>
      </w:r>
      <w:r>
        <w:rPr>
          <w:rFonts w:hint="eastAsia" w:ascii="新宋体" w:hAnsi="新宋体" w:eastAsia="新宋体" w:cs="Courier New"/>
          <w:color w:val="auto"/>
          <w:sz w:val="24"/>
          <w:highlight w:val="none"/>
          <w:lang w:val="en-US" w:eastAsia="zh-CN"/>
        </w:rPr>
        <w:t>应在投标文件中提供由省级以上监狱管理局、戒毒管理局（含新疆生产建设兵团）出具的</w:t>
      </w:r>
      <w:r>
        <w:rPr>
          <w:rFonts w:hint="eastAsia" w:ascii="新宋体" w:hAnsi="新宋体" w:eastAsia="新宋体" w:cs="Courier New"/>
          <w:b/>
          <w:bCs/>
          <w:color w:val="auto"/>
          <w:sz w:val="24"/>
          <w:highlight w:val="none"/>
          <w:u w:val="single"/>
          <w:lang w:val="en-US" w:eastAsia="zh-CN"/>
        </w:rPr>
        <w:t>属于监狱企业的声明文件</w:t>
      </w:r>
      <w:r>
        <w:rPr>
          <w:rFonts w:hint="eastAsia" w:ascii="新宋体" w:hAnsi="新宋体" w:eastAsia="新宋体" w:cs="Courier New"/>
          <w:color w:val="auto"/>
          <w:sz w:val="24"/>
          <w:highlight w:val="none"/>
          <w:lang w:val="en-US" w:eastAsia="zh-CN"/>
        </w:rPr>
        <w:t>；</w:t>
      </w:r>
    </w:p>
    <w:p>
      <w:pPr>
        <w:pStyle w:val="26"/>
        <w:spacing w:line="400" w:lineRule="exact"/>
        <w:ind w:firstLine="480" w:firstLineChars="200"/>
        <w:rPr>
          <w:rFonts w:hint="eastAsia" w:ascii="新宋体" w:hAnsi="新宋体" w:eastAsia="新宋体" w:cs="Courier New"/>
          <w:color w:val="auto"/>
          <w:sz w:val="24"/>
          <w:highlight w:val="none"/>
          <w:lang w:val="en-US" w:eastAsia="zh-CN"/>
        </w:rPr>
      </w:pPr>
      <w:r>
        <w:rPr>
          <w:rFonts w:hint="eastAsia" w:ascii="新宋体" w:hAnsi="新宋体" w:eastAsia="新宋体" w:cs="Courier New"/>
          <w:color w:val="auto"/>
          <w:sz w:val="24"/>
          <w:highlight w:val="none"/>
          <w:lang w:val="en-US" w:eastAsia="zh-CN"/>
        </w:rPr>
        <w:t>7.2.3对于采购标的中有不同属性（货物、服务、工程）的采购项目，应当根据采购项目的属性来执行中小企业政策。享受中小企业扶持政策的供应商应当满足下列条件：在货物采购项目中，货物应当由中小企业制造，不对其中涉及的服务的承接商作出要求；在工程采购项目中，工程应当由中小企业承建，不对其中涉及的货物的制造商和服务的承接商作出要求；在服务采购项目中，服务的承接商应当为中小企业，不对其中涉及的货物的制造商作出要求。</w:t>
      </w:r>
    </w:p>
    <w:p>
      <w:pPr>
        <w:pStyle w:val="26"/>
        <w:spacing w:line="400" w:lineRule="exact"/>
        <w:ind w:firstLine="480" w:firstLineChars="200"/>
        <w:rPr>
          <w:rFonts w:hint="eastAsia" w:ascii="新宋体" w:hAnsi="新宋体" w:eastAsia="新宋体" w:cs="Courier New"/>
          <w:color w:val="auto"/>
          <w:sz w:val="24"/>
          <w:highlight w:val="none"/>
          <w:lang w:val="en-US" w:eastAsia="zh-CN"/>
        </w:rPr>
      </w:pPr>
      <w:r>
        <w:rPr>
          <w:rFonts w:hint="eastAsia" w:ascii="新宋体" w:hAnsi="新宋体" w:eastAsia="新宋体" w:cs="Courier New"/>
          <w:color w:val="auto"/>
          <w:sz w:val="24"/>
          <w:highlight w:val="none"/>
          <w:lang w:val="en-US" w:eastAsia="zh-CN"/>
        </w:rPr>
        <w:t>7.3投标产品为省级以上主管部门认定的首台套产品，自纳入《省推广应用指导目录》起三年内参加政府采购活动，视同已具备相应销售业绩，业绩项评分为满分，提供相关的材料。</w:t>
      </w:r>
    </w:p>
    <w:p>
      <w:pPr>
        <w:pStyle w:val="4"/>
        <w:spacing w:before="120" w:after="120" w:line="440" w:lineRule="exact"/>
        <w:rPr>
          <w:rFonts w:hint="eastAsia" w:ascii="新宋体" w:hAnsi="新宋体" w:eastAsia="新宋体" w:cs="新宋体"/>
          <w:color w:val="auto"/>
          <w:sz w:val="28"/>
          <w:szCs w:val="28"/>
          <w:highlight w:val="none"/>
        </w:rPr>
      </w:pPr>
      <w:bookmarkStart w:id="17" w:name="_Toc13791"/>
      <w:bookmarkStart w:id="18" w:name="_Toc28168"/>
      <w:bookmarkStart w:id="19" w:name="_Toc362250688"/>
      <w:bookmarkStart w:id="20" w:name="_Toc274303230"/>
      <w:r>
        <w:rPr>
          <w:rFonts w:hint="eastAsia" w:ascii="新宋体" w:hAnsi="新宋体" w:eastAsia="新宋体" w:cs="新宋体"/>
          <w:color w:val="auto"/>
          <w:sz w:val="28"/>
          <w:szCs w:val="28"/>
          <w:highlight w:val="none"/>
        </w:rPr>
        <w:t>二.招标文件</w:t>
      </w:r>
      <w:bookmarkEnd w:id="17"/>
      <w:bookmarkEnd w:id="18"/>
      <w:bookmarkEnd w:id="19"/>
      <w:bookmarkEnd w:id="20"/>
    </w:p>
    <w:p>
      <w:pPr>
        <w:pStyle w:val="26"/>
        <w:spacing w:line="440" w:lineRule="exact"/>
        <w:ind w:firstLine="482" w:firstLineChars="200"/>
        <w:rPr>
          <w:rFonts w:hint="eastAsia" w:ascii="新宋体" w:hAnsi="新宋体" w:eastAsia="新宋体" w:cs="新宋体"/>
          <w:b/>
          <w:color w:val="auto"/>
          <w:sz w:val="24"/>
          <w:highlight w:val="none"/>
          <w:lang w:eastAsia="zh-CN"/>
        </w:rPr>
      </w:pPr>
      <w:r>
        <w:rPr>
          <w:rFonts w:hint="eastAsia" w:ascii="新宋体" w:hAnsi="新宋体" w:eastAsia="新宋体" w:cs="新宋体"/>
          <w:b/>
          <w:color w:val="auto"/>
          <w:sz w:val="24"/>
          <w:highlight w:val="none"/>
          <w:lang w:val="en-US" w:eastAsia="zh-CN"/>
        </w:rPr>
        <w:t>8</w:t>
      </w:r>
      <w:r>
        <w:rPr>
          <w:rFonts w:hint="eastAsia" w:ascii="新宋体" w:hAnsi="新宋体" w:eastAsia="新宋体" w:cs="新宋体"/>
          <w:b/>
          <w:color w:val="auto"/>
          <w:sz w:val="24"/>
          <w:highlight w:val="none"/>
        </w:rPr>
        <w:t>.招标文件的组成</w:t>
      </w:r>
      <w:r>
        <w:rPr>
          <w:rFonts w:hint="eastAsia" w:ascii="新宋体" w:hAnsi="新宋体" w:eastAsia="新宋体" w:cs="新宋体"/>
          <w:b/>
          <w:color w:val="auto"/>
          <w:sz w:val="24"/>
          <w:highlight w:val="none"/>
          <w:lang w:eastAsia="zh-CN"/>
        </w:rPr>
        <w:t>：</w:t>
      </w:r>
    </w:p>
    <w:p>
      <w:pPr>
        <w:pStyle w:val="26"/>
        <w:spacing w:line="44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lang w:val="en-US" w:eastAsia="zh-CN"/>
        </w:rPr>
        <w:t>8</w:t>
      </w:r>
      <w:r>
        <w:rPr>
          <w:rFonts w:hint="eastAsia" w:ascii="新宋体" w:hAnsi="新宋体" w:eastAsia="新宋体" w:cs="新宋体"/>
          <w:color w:val="auto"/>
          <w:sz w:val="24"/>
          <w:highlight w:val="none"/>
        </w:rPr>
        <w:t>.1招标文件包括下列内容：</w:t>
      </w:r>
    </w:p>
    <w:p>
      <w:pPr>
        <w:pStyle w:val="26"/>
        <w:spacing w:line="440" w:lineRule="exact"/>
        <w:ind w:firstLine="480" w:firstLineChars="200"/>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第一章 采购公告</w:t>
      </w:r>
      <w:r>
        <w:rPr>
          <w:rFonts w:hint="eastAsia" w:ascii="新宋体" w:hAnsi="新宋体" w:eastAsia="新宋体" w:cs="新宋体"/>
          <w:color w:val="auto"/>
          <w:sz w:val="24"/>
          <w:highlight w:val="none"/>
          <w:lang w:eastAsia="zh-CN"/>
        </w:rPr>
        <w:t>；</w:t>
      </w:r>
    </w:p>
    <w:p>
      <w:pPr>
        <w:pStyle w:val="26"/>
        <w:spacing w:line="440" w:lineRule="exact"/>
        <w:ind w:firstLine="480" w:firstLineChars="200"/>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 xml:space="preserve">第二章 </w:t>
      </w:r>
      <w:r>
        <w:rPr>
          <w:rFonts w:hint="eastAsia" w:ascii="新宋体" w:hAnsi="新宋体" w:eastAsia="新宋体" w:cs="新宋体"/>
          <w:color w:val="auto"/>
          <w:sz w:val="24"/>
          <w:highlight w:val="none"/>
          <w:lang w:eastAsia="zh-CN"/>
        </w:rPr>
        <w:t>投标须知前附表和投标须知；</w:t>
      </w:r>
    </w:p>
    <w:p>
      <w:pPr>
        <w:pStyle w:val="26"/>
        <w:spacing w:line="440" w:lineRule="exact"/>
        <w:ind w:firstLine="480" w:firstLineChars="200"/>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第三章 招标项目要求</w:t>
      </w:r>
      <w:r>
        <w:rPr>
          <w:rFonts w:hint="eastAsia" w:ascii="新宋体" w:hAnsi="新宋体" w:eastAsia="新宋体" w:cs="新宋体"/>
          <w:color w:val="auto"/>
          <w:sz w:val="24"/>
          <w:highlight w:val="none"/>
          <w:lang w:eastAsia="zh-CN"/>
        </w:rPr>
        <w:t>；</w:t>
      </w:r>
    </w:p>
    <w:p>
      <w:pPr>
        <w:pStyle w:val="26"/>
        <w:spacing w:line="440" w:lineRule="exact"/>
        <w:ind w:firstLine="480" w:firstLineChars="200"/>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第四章 开标、评标和定标须知</w:t>
      </w:r>
      <w:r>
        <w:rPr>
          <w:rFonts w:hint="eastAsia" w:ascii="新宋体" w:hAnsi="新宋体" w:eastAsia="新宋体" w:cs="新宋体"/>
          <w:color w:val="auto"/>
          <w:sz w:val="24"/>
          <w:highlight w:val="none"/>
          <w:lang w:eastAsia="zh-CN"/>
        </w:rPr>
        <w:t>；</w:t>
      </w:r>
    </w:p>
    <w:p>
      <w:pPr>
        <w:pStyle w:val="26"/>
        <w:spacing w:line="440" w:lineRule="exact"/>
        <w:ind w:firstLine="480" w:firstLineChars="200"/>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第五章 投标文件的无效情形</w:t>
      </w:r>
      <w:r>
        <w:rPr>
          <w:rFonts w:hint="eastAsia" w:ascii="新宋体" w:hAnsi="新宋体" w:eastAsia="新宋体" w:cs="新宋体"/>
          <w:color w:val="auto"/>
          <w:sz w:val="24"/>
          <w:highlight w:val="none"/>
          <w:lang w:eastAsia="zh-CN"/>
        </w:rPr>
        <w:t>；</w:t>
      </w:r>
    </w:p>
    <w:p>
      <w:pPr>
        <w:pStyle w:val="26"/>
        <w:spacing w:line="440" w:lineRule="exact"/>
        <w:ind w:firstLine="480" w:firstLineChars="200"/>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第六章 评标办法</w:t>
      </w:r>
      <w:r>
        <w:rPr>
          <w:rFonts w:hint="eastAsia" w:ascii="新宋体" w:hAnsi="新宋体" w:eastAsia="新宋体" w:cs="新宋体"/>
          <w:color w:val="auto"/>
          <w:sz w:val="24"/>
          <w:highlight w:val="none"/>
          <w:lang w:eastAsia="zh-CN"/>
        </w:rPr>
        <w:t>；</w:t>
      </w:r>
    </w:p>
    <w:p>
      <w:pPr>
        <w:pStyle w:val="26"/>
        <w:spacing w:line="440" w:lineRule="exact"/>
        <w:ind w:firstLine="480" w:firstLineChars="200"/>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第七章 合同主要条款</w:t>
      </w:r>
      <w:r>
        <w:rPr>
          <w:rFonts w:hint="eastAsia" w:ascii="新宋体" w:hAnsi="新宋体" w:eastAsia="新宋体" w:cs="新宋体"/>
          <w:color w:val="auto"/>
          <w:sz w:val="24"/>
          <w:highlight w:val="none"/>
          <w:lang w:eastAsia="zh-CN"/>
        </w:rPr>
        <w:t>；</w:t>
      </w:r>
    </w:p>
    <w:p>
      <w:pPr>
        <w:pStyle w:val="26"/>
        <w:spacing w:line="440" w:lineRule="exact"/>
        <w:ind w:firstLine="480" w:firstLineChars="200"/>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第八章 投标文件部分格式</w:t>
      </w:r>
      <w:r>
        <w:rPr>
          <w:rFonts w:hint="eastAsia" w:ascii="新宋体" w:hAnsi="新宋体" w:eastAsia="新宋体" w:cs="新宋体"/>
          <w:color w:val="auto"/>
          <w:sz w:val="24"/>
          <w:highlight w:val="none"/>
          <w:lang w:eastAsia="zh-CN"/>
        </w:rPr>
        <w:t>；</w:t>
      </w:r>
    </w:p>
    <w:p>
      <w:pPr>
        <w:pStyle w:val="26"/>
        <w:spacing w:line="440" w:lineRule="exact"/>
        <w:ind w:firstLine="480" w:firstLineChars="200"/>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lang w:val="en-US" w:eastAsia="zh-CN"/>
        </w:rPr>
        <w:t>8</w:t>
      </w:r>
      <w:r>
        <w:rPr>
          <w:rFonts w:hint="eastAsia" w:ascii="新宋体" w:hAnsi="新宋体" w:eastAsia="新宋体" w:cs="新宋体"/>
          <w:color w:val="auto"/>
          <w:sz w:val="24"/>
          <w:highlight w:val="none"/>
        </w:rPr>
        <w:t>.2除</w:t>
      </w:r>
      <w:r>
        <w:rPr>
          <w:rFonts w:hint="eastAsia" w:ascii="新宋体" w:hAnsi="新宋体" w:eastAsia="新宋体" w:cs="新宋体"/>
          <w:color w:val="auto"/>
          <w:sz w:val="24"/>
          <w:highlight w:val="none"/>
          <w:lang w:val="en-US" w:eastAsia="zh-CN"/>
        </w:rPr>
        <w:t>8</w:t>
      </w:r>
      <w:r>
        <w:rPr>
          <w:rFonts w:hint="eastAsia" w:ascii="新宋体" w:hAnsi="新宋体" w:eastAsia="新宋体" w:cs="新宋体"/>
          <w:color w:val="auto"/>
          <w:sz w:val="24"/>
          <w:highlight w:val="none"/>
        </w:rPr>
        <w:t>.1内容外，招标方在投标截止时间前以公告形式发出的对招标文件的澄清或修改内容，均为招标文件的组成部分，对招标方和投标人起约束作用</w:t>
      </w:r>
      <w:r>
        <w:rPr>
          <w:rFonts w:hint="eastAsia" w:ascii="新宋体" w:hAnsi="新宋体" w:eastAsia="新宋体" w:cs="新宋体"/>
          <w:color w:val="auto"/>
          <w:sz w:val="24"/>
          <w:highlight w:val="none"/>
          <w:lang w:eastAsia="zh-CN"/>
        </w:rPr>
        <w:t>；</w:t>
      </w:r>
    </w:p>
    <w:p>
      <w:pPr>
        <w:pStyle w:val="26"/>
        <w:spacing w:line="440" w:lineRule="exact"/>
        <w:ind w:firstLine="480" w:firstLineChars="200"/>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lang w:val="en-US" w:eastAsia="zh-CN"/>
        </w:rPr>
        <w:t>8</w:t>
      </w:r>
      <w:r>
        <w:rPr>
          <w:rFonts w:hint="eastAsia" w:ascii="新宋体" w:hAnsi="新宋体" w:eastAsia="新宋体" w:cs="新宋体"/>
          <w:color w:val="auto"/>
          <w:sz w:val="24"/>
          <w:highlight w:val="none"/>
        </w:rPr>
        <w:t>.3上述所列</w:t>
      </w:r>
      <w:r>
        <w:rPr>
          <w:rFonts w:hint="eastAsia" w:ascii="新宋体" w:hAnsi="新宋体" w:eastAsia="新宋体" w:cs="新宋体"/>
          <w:color w:val="auto"/>
          <w:sz w:val="24"/>
          <w:highlight w:val="none"/>
          <w:lang w:val="en-US" w:eastAsia="zh-CN"/>
        </w:rPr>
        <w:t>8</w:t>
      </w:r>
      <w:r>
        <w:rPr>
          <w:rFonts w:hint="eastAsia" w:ascii="新宋体" w:hAnsi="新宋体" w:eastAsia="新宋体" w:cs="新宋体"/>
          <w:color w:val="auto"/>
          <w:sz w:val="24"/>
          <w:highlight w:val="none"/>
        </w:rPr>
        <w:t>.1及</w:t>
      </w:r>
      <w:r>
        <w:rPr>
          <w:rFonts w:hint="eastAsia" w:ascii="新宋体" w:hAnsi="新宋体" w:eastAsia="新宋体" w:cs="新宋体"/>
          <w:color w:val="auto"/>
          <w:sz w:val="24"/>
          <w:highlight w:val="none"/>
          <w:lang w:val="en-US" w:eastAsia="zh-CN"/>
        </w:rPr>
        <w:t>8</w:t>
      </w:r>
      <w:r>
        <w:rPr>
          <w:rFonts w:hint="eastAsia" w:ascii="新宋体" w:hAnsi="新宋体" w:eastAsia="新宋体" w:cs="新宋体"/>
          <w:color w:val="auto"/>
          <w:sz w:val="24"/>
          <w:highlight w:val="none"/>
        </w:rPr>
        <w:t>.2条内容均以公告内容为准，招标方的任何工作人员对投标人所作的任何口头解释、介绍、答复，对招标方和投标人无任何约束力</w:t>
      </w:r>
      <w:r>
        <w:rPr>
          <w:rFonts w:hint="eastAsia" w:ascii="新宋体" w:hAnsi="新宋体" w:eastAsia="新宋体" w:cs="新宋体"/>
          <w:color w:val="auto"/>
          <w:sz w:val="24"/>
          <w:highlight w:val="none"/>
          <w:lang w:eastAsia="zh-CN"/>
        </w:rPr>
        <w:t>；</w:t>
      </w:r>
    </w:p>
    <w:p>
      <w:pPr>
        <w:pStyle w:val="26"/>
        <w:spacing w:line="440" w:lineRule="exact"/>
        <w:ind w:firstLine="480" w:firstLineChars="200"/>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lang w:val="en-US" w:eastAsia="zh-CN"/>
        </w:rPr>
        <w:t>8</w:t>
      </w:r>
      <w:r>
        <w:rPr>
          <w:rFonts w:hint="eastAsia" w:ascii="新宋体" w:hAnsi="新宋体" w:eastAsia="新宋体" w:cs="新宋体"/>
          <w:color w:val="auto"/>
          <w:sz w:val="24"/>
          <w:highlight w:val="none"/>
        </w:rPr>
        <w:t>.4投标人应认真阅读投标须知、合同条件、规定格式、项目要求、报价要求等招标文件所有的内容。如果投标人的投标文件不能符合招标文件的要求，责任由投标人自负。实质上不响应招标文件要求的投标文件将被拒绝</w:t>
      </w:r>
      <w:r>
        <w:rPr>
          <w:rFonts w:hint="eastAsia" w:ascii="新宋体" w:hAnsi="新宋体" w:eastAsia="新宋体" w:cs="新宋体"/>
          <w:color w:val="auto"/>
          <w:sz w:val="24"/>
          <w:highlight w:val="none"/>
          <w:lang w:eastAsia="zh-CN"/>
        </w:rPr>
        <w:t>；</w:t>
      </w:r>
    </w:p>
    <w:p>
      <w:pPr>
        <w:pStyle w:val="26"/>
        <w:spacing w:line="440" w:lineRule="exact"/>
        <w:ind w:firstLine="480" w:firstLineChars="200"/>
        <w:rPr>
          <w:rFonts w:hint="eastAsia" w:ascii="新宋体" w:hAnsi="新宋体" w:eastAsia="新宋体" w:cs="新宋体"/>
          <w:color w:val="auto"/>
          <w:highlight w:val="none"/>
        </w:rPr>
      </w:pPr>
      <w:r>
        <w:rPr>
          <w:rFonts w:hint="eastAsia" w:ascii="新宋体" w:hAnsi="新宋体" w:eastAsia="新宋体" w:cs="新宋体"/>
          <w:color w:val="auto"/>
          <w:sz w:val="24"/>
          <w:highlight w:val="none"/>
          <w:lang w:val="en-US" w:eastAsia="zh-CN"/>
        </w:rPr>
        <w:t>8</w:t>
      </w:r>
      <w:r>
        <w:rPr>
          <w:rFonts w:hint="eastAsia" w:ascii="新宋体" w:hAnsi="新宋体" w:eastAsia="新宋体" w:cs="新宋体"/>
          <w:color w:val="auto"/>
          <w:sz w:val="24"/>
          <w:highlight w:val="none"/>
        </w:rPr>
        <w:t>.5招标方在“政采云”上设定的内容与招标文件的内容如有不一致的，以招标文件为准。</w:t>
      </w:r>
    </w:p>
    <w:p>
      <w:pPr>
        <w:pStyle w:val="26"/>
        <w:spacing w:line="440" w:lineRule="exact"/>
        <w:ind w:firstLine="482" w:firstLineChars="200"/>
        <w:rPr>
          <w:rFonts w:hint="eastAsia" w:ascii="新宋体" w:hAnsi="新宋体" w:eastAsia="新宋体" w:cs="新宋体"/>
          <w:b/>
          <w:color w:val="auto"/>
          <w:sz w:val="24"/>
          <w:highlight w:val="none"/>
          <w:lang w:eastAsia="zh-CN"/>
        </w:rPr>
      </w:pPr>
      <w:r>
        <w:rPr>
          <w:rFonts w:hint="eastAsia" w:ascii="新宋体" w:hAnsi="新宋体" w:eastAsia="新宋体" w:cs="新宋体"/>
          <w:b/>
          <w:color w:val="auto"/>
          <w:sz w:val="24"/>
          <w:highlight w:val="none"/>
          <w:lang w:val="en-US" w:eastAsia="zh-CN"/>
        </w:rPr>
        <w:t>9</w:t>
      </w:r>
      <w:r>
        <w:rPr>
          <w:rFonts w:hint="eastAsia" w:ascii="新宋体" w:hAnsi="新宋体" w:eastAsia="新宋体" w:cs="新宋体"/>
          <w:b/>
          <w:color w:val="auto"/>
          <w:sz w:val="24"/>
          <w:highlight w:val="none"/>
        </w:rPr>
        <w:t>.招标文件的澄清</w:t>
      </w:r>
      <w:r>
        <w:rPr>
          <w:rFonts w:hint="eastAsia" w:ascii="新宋体" w:hAnsi="新宋体" w:eastAsia="新宋体" w:cs="新宋体"/>
          <w:b/>
          <w:color w:val="auto"/>
          <w:sz w:val="24"/>
          <w:highlight w:val="none"/>
          <w:lang w:eastAsia="zh-CN"/>
        </w:rPr>
        <w:t>：</w:t>
      </w:r>
    </w:p>
    <w:p>
      <w:pPr>
        <w:pStyle w:val="26"/>
        <w:spacing w:line="440" w:lineRule="exact"/>
        <w:ind w:firstLine="480" w:firstLineChars="200"/>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lang w:val="en-US" w:eastAsia="zh-CN"/>
        </w:rPr>
        <w:t>9</w:t>
      </w:r>
      <w:r>
        <w:rPr>
          <w:rFonts w:hint="eastAsia" w:ascii="新宋体" w:hAnsi="新宋体" w:eastAsia="新宋体" w:cs="新宋体"/>
          <w:color w:val="auto"/>
          <w:sz w:val="24"/>
          <w:highlight w:val="none"/>
        </w:rPr>
        <w:t>.1投标人若对招标文件有任何疑问，应于投标须知前附表规定的时间以书面形式送（传真）向采购人和代理机构提出。投标人应仔细阅读和检查招标文件的全部内容。如发现缺页或附件不全，应及时向招标方提出，以便补齐。如有疑问，应在投标人须知前附表规定的方式及时间前以署名书面或传真形式要求澄清问题的文件，要求招标方对招标文件予以澄清。否则，由此引起的损失由投标人自己承担</w:t>
      </w:r>
      <w:r>
        <w:rPr>
          <w:rFonts w:hint="eastAsia" w:ascii="新宋体" w:hAnsi="新宋体" w:eastAsia="新宋体" w:cs="新宋体"/>
          <w:color w:val="auto"/>
          <w:sz w:val="24"/>
          <w:highlight w:val="none"/>
          <w:lang w:eastAsia="zh-CN"/>
        </w:rPr>
        <w:t>；</w:t>
      </w:r>
    </w:p>
    <w:p>
      <w:pPr>
        <w:pStyle w:val="26"/>
        <w:spacing w:line="440" w:lineRule="exact"/>
        <w:ind w:firstLine="480" w:firstLineChars="200"/>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lang w:val="en-US" w:eastAsia="zh-CN"/>
        </w:rPr>
        <w:t>9</w:t>
      </w:r>
      <w:r>
        <w:rPr>
          <w:rFonts w:hint="eastAsia" w:ascii="新宋体" w:hAnsi="新宋体" w:eastAsia="新宋体" w:cs="新宋体"/>
          <w:color w:val="auto"/>
          <w:sz w:val="24"/>
          <w:highlight w:val="none"/>
        </w:rPr>
        <w:t>.2无论是招标方根据需要主动对招标文件进行必要澄清，或是根据投标人的要求对招标文件</w:t>
      </w:r>
      <w:r>
        <w:rPr>
          <w:rFonts w:hint="eastAsia" w:ascii="新宋体" w:hAnsi="新宋体" w:eastAsia="新宋体" w:cs="新宋体"/>
          <w:color w:val="auto"/>
          <w:sz w:val="24"/>
          <w:highlight w:val="none"/>
          <w:lang w:eastAsia="zh-CN"/>
        </w:rPr>
        <w:t>作出</w:t>
      </w:r>
      <w:r>
        <w:rPr>
          <w:rFonts w:hint="eastAsia" w:ascii="新宋体" w:hAnsi="新宋体" w:eastAsia="新宋体" w:cs="新宋体"/>
          <w:color w:val="auto"/>
          <w:sz w:val="24"/>
          <w:highlight w:val="none"/>
        </w:rPr>
        <w:t>澄清，招标方的书面澄清（更正）文件会在浙江省政府网上发布公告，同时“政采云”会向所有已按招标文件规定方式获取招标文件的潜在供应商发送更正提醒信息，潜在供应商请自行到浙江省政府</w:t>
      </w:r>
      <w:r>
        <w:rPr>
          <w:rFonts w:hint="eastAsia" w:ascii="新宋体" w:hAnsi="新宋体" w:eastAsia="新宋体" w:cs="新宋体"/>
          <w:color w:val="auto"/>
          <w:sz w:val="24"/>
          <w:highlight w:val="none"/>
          <w:lang w:eastAsia="zh-CN"/>
        </w:rPr>
        <w:t>采购</w:t>
      </w:r>
      <w:r>
        <w:rPr>
          <w:rFonts w:hint="eastAsia" w:ascii="新宋体" w:hAnsi="新宋体" w:eastAsia="新宋体" w:cs="新宋体"/>
          <w:color w:val="auto"/>
          <w:sz w:val="24"/>
          <w:highlight w:val="none"/>
        </w:rPr>
        <w:t>网上下载澄清（更正）文件</w:t>
      </w:r>
      <w:r>
        <w:rPr>
          <w:rFonts w:hint="eastAsia" w:ascii="新宋体" w:hAnsi="新宋体" w:eastAsia="新宋体" w:cs="新宋体"/>
          <w:color w:val="auto"/>
          <w:sz w:val="24"/>
          <w:highlight w:val="none"/>
          <w:lang w:eastAsia="zh-CN"/>
        </w:rPr>
        <w:t>；</w:t>
      </w:r>
    </w:p>
    <w:p>
      <w:pPr>
        <w:pStyle w:val="26"/>
        <w:spacing w:line="440" w:lineRule="exact"/>
        <w:ind w:firstLine="480" w:firstLineChars="200"/>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lang w:val="en-US" w:eastAsia="zh-CN"/>
        </w:rPr>
        <w:t>9</w:t>
      </w:r>
      <w:r>
        <w:rPr>
          <w:rFonts w:hint="eastAsia" w:ascii="新宋体" w:hAnsi="新宋体" w:eastAsia="新宋体" w:cs="新宋体"/>
          <w:color w:val="auto"/>
          <w:sz w:val="24"/>
          <w:highlight w:val="none"/>
        </w:rPr>
        <w:t>.3在前附表规定时间未提交疑问或质疑的投标人，视作默认对本次招标过程中招标文件无异议，招标方对其提出的问题可以不予受理</w:t>
      </w:r>
      <w:r>
        <w:rPr>
          <w:rFonts w:hint="eastAsia" w:ascii="新宋体" w:hAnsi="新宋体" w:eastAsia="新宋体" w:cs="新宋体"/>
          <w:color w:val="auto"/>
          <w:sz w:val="24"/>
          <w:highlight w:val="none"/>
          <w:lang w:eastAsia="zh-CN"/>
        </w:rPr>
        <w:t>；</w:t>
      </w:r>
    </w:p>
    <w:p>
      <w:pPr>
        <w:pStyle w:val="26"/>
        <w:spacing w:line="44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lang w:val="en-US" w:eastAsia="zh-CN"/>
        </w:rPr>
        <w:t>9</w:t>
      </w:r>
      <w:r>
        <w:rPr>
          <w:rFonts w:hint="eastAsia" w:ascii="新宋体" w:hAnsi="新宋体" w:eastAsia="新宋体" w:cs="新宋体"/>
          <w:color w:val="auto"/>
          <w:sz w:val="24"/>
          <w:highlight w:val="none"/>
        </w:rPr>
        <w:t>.4招标文件澄清、变更、补充等内容均以浙江政府采购网公示的内容为准。当招标文件、招标文件的澄清、变更、补充等在同一内容的表述上不一致时，以最后在浙江政府采购网发出的公示内容为准。</w:t>
      </w:r>
    </w:p>
    <w:p>
      <w:pPr>
        <w:pStyle w:val="4"/>
        <w:spacing w:before="120" w:after="120" w:line="440" w:lineRule="exact"/>
        <w:rPr>
          <w:rFonts w:hint="eastAsia" w:ascii="新宋体" w:hAnsi="新宋体" w:eastAsia="新宋体" w:cs="新宋体"/>
          <w:color w:val="auto"/>
          <w:sz w:val="28"/>
          <w:szCs w:val="28"/>
          <w:highlight w:val="none"/>
        </w:rPr>
      </w:pPr>
      <w:bookmarkStart w:id="21" w:name="_Toc362250689"/>
      <w:bookmarkStart w:id="22" w:name="_Toc16909"/>
      <w:bookmarkStart w:id="23" w:name="_Toc10134"/>
      <w:bookmarkStart w:id="24" w:name="_Toc274303231"/>
      <w:r>
        <w:rPr>
          <w:rFonts w:hint="eastAsia" w:ascii="新宋体" w:hAnsi="新宋体" w:eastAsia="新宋体" w:cs="新宋体"/>
          <w:color w:val="auto"/>
          <w:sz w:val="28"/>
          <w:szCs w:val="28"/>
          <w:highlight w:val="none"/>
        </w:rPr>
        <w:t>三.投标文件</w:t>
      </w:r>
      <w:bookmarkEnd w:id="21"/>
      <w:bookmarkEnd w:id="22"/>
      <w:bookmarkEnd w:id="23"/>
      <w:bookmarkEnd w:id="24"/>
    </w:p>
    <w:p>
      <w:pPr>
        <w:adjustRightInd w:val="0"/>
        <w:snapToGrid w:val="0"/>
        <w:spacing w:line="440" w:lineRule="exact"/>
        <w:ind w:firstLine="480"/>
        <w:rPr>
          <w:rFonts w:hint="eastAsia" w:ascii="新宋体" w:hAnsi="新宋体" w:eastAsia="新宋体" w:cs="新宋体"/>
          <w:b/>
          <w:bCs/>
          <w:color w:val="auto"/>
          <w:sz w:val="24"/>
          <w:highlight w:val="none"/>
          <w:lang w:eastAsia="zh-CN"/>
        </w:rPr>
      </w:pPr>
      <w:r>
        <w:rPr>
          <w:rFonts w:hint="eastAsia" w:ascii="新宋体" w:hAnsi="新宋体" w:eastAsia="新宋体" w:cs="新宋体"/>
          <w:b/>
          <w:bCs/>
          <w:color w:val="auto"/>
          <w:sz w:val="24"/>
          <w:highlight w:val="none"/>
          <w:lang w:val="en-US" w:eastAsia="zh-CN"/>
        </w:rPr>
        <w:t>10</w:t>
      </w:r>
      <w:r>
        <w:rPr>
          <w:rFonts w:hint="eastAsia" w:ascii="新宋体" w:hAnsi="新宋体" w:eastAsia="新宋体" w:cs="新宋体"/>
          <w:b/>
          <w:bCs/>
          <w:color w:val="auto"/>
          <w:sz w:val="24"/>
          <w:highlight w:val="none"/>
        </w:rPr>
        <w:t>.投标文件的组成</w:t>
      </w:r>
    </w:p>
    <w:p>
      <w:pPr>
        <w:spacing w:line="440" w:lineRule="exact"/>
        <w:ind w:firstLine="480"/>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投标文件由资格响应文件、商务技术响应文件和报价响应文件组成，具体见投标须知前附表。</w:t>
      </w:r>
    </w:p>
    <w:p>
      <w:pPr>
        <w:adjustRightInd w:val="0"/>
        <w:snapToGrid w:val="0"/>
        <w:spacing w:line="440" w:lineRule="exact"/>
        <w:ind w:firstLine="480"/>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1</w:t>
      </w:r>
      <w:r>
        <w:rPr>
          <w:rFonts w:hint="eastAsia" w:ascii="新宋体" w:hAnsi="新宋体" w:eastAsia="新宋体" w:cs="新宋体"/>
          <w:b/>
          <w:bCs/>
          <w:color w:val="auto"/>
          <w:sz w:val="24"/>
          <w:highlight w:val="none"/>
          <w:lang w:val="en-US" w:eastAsia="zh-CN"/>
        </w:rPr>
        <w:t>1</w:t>
      </w:r>
      <w:r>
        <w:rPr>
          <w:rFonts w:hint="eastAsia" w:ascii="新宋体" w:hAnsi="新宋体" w:eastAsia="新宋体" w:cs="新宋体"/>
          <w:b/>
          <w:bCs/>
          <w:color w:val="auto"/>
          <w:sz w:val="24"/>
          <w:highlight w:val="none"/>
        </w:rPr>
        <w:t>.投标文件编制要求</w:t>
      </w:r>
    </w:p>
    <w:p>
      <w:pPr>
        <w:spacing w:line="440" w:lineRule="exact"/>
        <w:ind w:firstLine="48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w:t>
      </w:r>
      <w:r>
        <w:rPr>
          <w:rFonts w:hint="eastAsia" w:ascii="新宋体" w:hAnsi="新宋体" w:eastAsia="新宋体" w:cs="新宋体"/>
          <w:color w:val="auto"/>
          <w:sz w:val="24"/>
          <w:highlight w:val="none"/>
          <w:lang w:val="en-US" w:eastAsia="zh-CN"/>
        </w:rPr>
        <w:t>1</w:t>
      </w:r>
      <w:r>
        <w:rPr>
          <w:rFonts w:hint="eastAsia" w:ascii="新宋体" w:hAnsi="新宋体" w:eastAsia="新宋体" w:cs="新宋体"/>
          <w:color w:val="auto"/>
          <w:sz w:val="24"/>
          <w:highlight w:val="none"/>
        </w:rPr>
        <w:t>.1投标人应仔细阅读招标文件，了解招标文件的要求，在完全了解招标项目的要求后，编制投标文件。</w:t>
      </w:r>
    </w:p>
    <w:p>
      <w:pPr>
        <w:spacing w:line="440" w:lineRule="exact"/>
        <w:ind w:firstLine="48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w:t>
      </w:r>
      <w:r>
        <w:rPr>
          <w:rFonts w:hint="eastAsia" w:ascii="新宋体" w:hAnsi="新宋体" w:eastAsia="新宋体" w:cs="新宋体"/>
          <w:color w:val="auto"/>
          <w:sz w:val="24"/>
          <w:highlight w:val="none"/>
          <w:lang w:val="en-US" w:eastAsia="zh-CN"/>
        </w:rPr>
        <w:t>1</w:t>
      </w:r>
      <w:r>
        <w:rPr>
          <w:rFonts w:hint="eastAsia" w:ascii="新宋体" w:hAnsi="新宋体" w:eastAsia="新宋体" w:cs="新宋体"/>
          <w:color w:val="auto"/>
          <w:sz w:val="24"/>
          <w:highlight w:val="none"/>
        </w:rPr>
        <w:t>.2在招标文件的要求中，投标人必须充分应答和满足用户的强制性的需求，如“★”等，否则将导致无效标。</w:t>
      </w:r>
    </w:p>
    <w:p>
      <w:pPr>
        <w:spacing w:line="440" w:lineRule="exact"/>
        <w:ind w:firstLine="48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w:t>
      </w:r>
      <w:r>
        <w:rPr>
          <w:rFonts w:hint="eastAsia" w:ascii="新宋体" w:hAnsi="新宋体" w:eastAsia="新宋体" w:cs="新宋体"/>
          <w:color w:val="auto"/>
          <w:sz w:val="24"/>
          <w:highlight w:val="none"/>
          <w:lang w:val="en-US" w:eastAsia="zh-CN"/>
        </w:rPr>
        <w:t>1</w:t>
      </w:r>
      <w:r>
        <w:rPr>
          <w:rFonts w:hint="eastAsia" w:ascii="新宋体" w:hAnsi="新宋体" w:eastAsia="新宋体" w:cs="新宋体"/>
          <w:color w:val="auto"/>
          <w:sz w:val="24"/>
          <w:highlight w:val="none"/>
        </w:rPr>
        <w:t>.3编制的投标文件对招标文件中有关条款未提出异议的，均被视为接受和同意。</w:t>
      </w:r>
    </w:p>
    <w:p>
      <w:pPr>
        <w:spacing w:line="440" w:lineRule="exact"/>
        <w:ind w:firstLine="48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w:t>
      </w:r>
      <w:r>
        <w:rPr>
          <w:rFonts w:hint="eastAsia" w:ascii="新宋体" w:hAnsi="新宋体" w:eastAsia="新宋体" w:cs="新宋体"/>
          <w:color w:val="auto"/>
          <w:sz w:val="24"/>
          <w:highlight w:val="none"/>
          <w:lang w:val="en-US" w:eastAsia="zh-CN"/>
        </w:rPr>
        <w:t>1</w:t>
      </w:r>
      <w:r>
        <w:rPr>
          <w:rFonts w:hint="eastAsia" w:ascii="新宋体" w:hAnsi="新宋体" w:eastAsia="新宋体" w:cs="新宋体"/>
          <w:color w:val="auto"/>
          <w:sz w:val="24"/>
          <w:highlight w:val="none"/>
        </w:rPr>
        <w:t>.4投标人应根据电子投标操作指南按本招标文件规定的格式和顺序编制电子投标文件并进行关联定位。</w:t>
      </w:r>
    </w:p>
    <w:p>
      <w:pPr>
        <w:spacing w:line="440" w:lineRule="exact"/>
        <w:ind w:firstLine="48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w:t>
      </w:r>
      <w:r>
        <w:rPr>
          <w:rFonts w:hint="eastAsia" w:ascii="新宋体" w:hAnsi="新宋体" w:eastAsia="新宋体" w:cs="新宋体"/>
          <w:color w:val="auto"/>
          <w:sz w:val="24"/>
          <w:highlight w:val="none"/>
          <w:lang w:val="en-US" w:eastAsia="zh-CN"/>
        </w:rPr>
        <w:t>1</w:t>
      </w:r>
      <w:r>
        <w:rPr>
          <w:rFonts w:hint="eastAsia" w:ascii="新宋体" w:hAnsi="新宋体" w:eastAsia="新宋体" w:cs="新宋体"/>
          <w:color w:val="auto"/>
          <w:sz w:val="24"/>
          <w:highlight w:val="none"/>
        </w:rPr>
        <w:t>.5由于未按招标文件的规定要求编制投标文件，导致评审小组作出的对投标人的误判，责任由投标人自己承担。</w:t>
      </w:r>
    </w:p>
    <w:p>
      <w:pPr>
        <w:adjustRightInd w:val="0"/>
        <w:snapToGrid w:val="0"/>
        <w:spacing w:line="440" w:lineRule="exact"/>
        <w:ind w:firstLine="480"/>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1</w:t>
      </w:r>
      <w:r>
        <w:rPr>
          <w:rFonts w:hint="eastAsia" w:ascii="新宋体" w:hAnsi="新宋体" w:eastAsia="新宋体" w:cs="新宋体"/>
          <w:b/>
          <w:bCs/>
          <w:color w:val="auto"/>
          <w:sz w:val="24"/>
          <w:highlight w:val="none"/>
          <w:lang w:val="en-US" w:eastAsia="zh-CN"/>
        </w:rPr>
        <w:t>2</w:t>
      </w:r>
      <w:r>
        <w:rPr>
          <w:rFonts w:hint="eastAsia" w:ascii="新宋体" w:hAnsi="新宋体" w:eastAsia="新宋体" w:cs="新宋体"/>
          <w:b/>
          <w:bCs/>
          <w:color w:val="auto"/>
          <w:sz w:val="24"/>
          <w:highlight w:val="none"/>
        </w:rPr>
        <w:t>.投标文件的语言及度量衡单位</w:t>
      </w:r>
    </w:p>
    <w:p>
      <w:pPr>
        <w:spacing w:line="440" w:lineRule="exact"/>
        <w:ind w:firstLine="48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w:t>
      </w:r>
      <w:r>
        <w:rPr>
          <w:rFonts w:hint="eastAsia" w:ascii="新宋体" w:hAnsi="新宋体" w:eastAsia="新宋体" w:cs="新宋体"/>
          <w:color w:val="auto"/>
          <w:sz w:val="24"/>
          <w:highlight w:val="none"/>
          <w:lang w:val="en-US" w:eastAsia="zh-CN"/>
        </w:rPr>
        <w:t>2</w:t>
      </w:r>
      <w:r>
        <w:rPr>
          <w:rFonts w:hint="eastAsia" w:ascii="新宋体" w:hAnsi="新宋体" w:eastAsia="新宋体" w:cs="新宋体"/>
          <w:color w:val="auto"/>
          <w:sz w:val="24"/>
          <w:highlight w:val="none"/>
        </w:rPr>
        <w:t>.1投标文件和与投标有关的所有文件均应使用中文简体字。</w:t>
      </w:r>
    </w:p>
    <w:p>
      <w:pPr>
        <w:spacing w:line="440" w:lineRule="exact"/>
        <w:ind w:firstLine="48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w:t>
      </w:r>
      <w:r>
        <w:rPr>
          <w:rFonts w:hint="eastAsia" w:ascii="新宋体" w:hAnsi="新宋体" w:eastAsia="新宋体" w:cs="新宋体"/>
          <w:color w:val="auto"/>
          <w:sz w:val="24"/>
          <w:highlight w:val="none"/>
          <w:lang w:val="en-US" w:eastAsia="zh-CN"/>
        </w:rPr>
        <w:t>2</w:t>
      </w:r>
      <w:r>
        <w:rPr>
          <w:rFonts w:hint="eastAsia" w:ascii="新宋体" w:hAnsi="新宋体" w:eastAsia="新宋体" w:cs="新宋体"/>
          <w:color w:val="auto"/>
          <w:sz w:val="24"/>
          <w:highlight w:val="none"/>
        </w:rPr>
        <w:t>.2原版为外文的证书类文件，以及由外国人作出的本人签名、外国公司的名称或外国印章等可以是外文，但应当提供中文翻译文件</w:t>
      </w:r>
      <w:r>
        <w:rPr>
          <w:rFonts w:hint="eastAsia" w:ascii="新宋体" w:hAnsi="新宋体" w:eastAsia="新宋体" w:cs="Courier New"/>
          <w:color w:val="auto"/>
          <w:sz w:val="24"/>
          <w:szCs w:val="21"/>
          <w:highlight w:val="none"/>
        </w:rPr>
        <w:t>并加盖电子签章</w:t>
      </w:r>
      <w:r>
        <w:rPr>
          <w:rFonts w:hint="eastAsia" w:ascii="新宋体" w:hAnsi="新宋体" w:eastAsia="新宋体" w:cs="新宋体"/>
          <w:color w:val="auto"/>
          <w:sz w:val="24"/>
          <w:highlight w:val="none"/>
        </w:rPr>
        <w:t>。</w:t>
      </w:r>
    </w:p>
    <w:p>
      <w:pPr>
        <w:spacing w:line="440" w:lineRule="exact"/>
        <w:ind w:firstLine="48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w:t>
      </w:r>
      <w:r>
        <w:rPr>
          <w:rFonts w:hint="eastAsia" w:ascii="新宋体" w:hAnsi="新宋体" w:eastAsia="新宋体" w:cs="新宋体"/>
          <w:color w:val="auto"/>
          <w:sz w:val="24"/>
          <w:highlight w:val="none"/>
          <w:lang w:val="en-US" w:eastAsia="zh-CN"/>
        </w:rPr>
        <w:t>2</w:t>
      </w:r>
      <w:r>
        <w:rPr>
          <w:rFonts w:hint="eastAsia" w:ascii="新宋体" w:hAnsi="新宋体" w:eastAsia="新宋体" w:cs="新宋体"/>
          <w:color w:val="auto"/>
          <w:sz w:val="24"/>
          <w:highlight w:val="none"/>
        </w:rPr>
        <w:t>.3除工程规范另有规定外，投标文件使用的度量衡单位，均采用中华人民共和国法定计量单位。</w:t>
      </w:r>
    </w:p>
    <w:p>
      <w:pPr>
        <w:adjustRightInd w:val="0"/>
        <w:snapToGrid w:val="0"/>
        <w:spacing w:line="440" w:lineRule="exact"/>
        <w:ind w:firstLine="480"/>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1</w:t>
      </w:r>
      <w:r>
        <w:rPr>
          <w:rFonts w:hint="eastAsia" w:ascii="新宋体" w:hAnsi="新宋体" w:eastAsia="新宋体" w:cs="新宋体"/>
          <w:b/>
          <w:bCs/>
          <w:color w:val="auto"/>
          <w:sz w:val="24"/>
          <w:highlight w:val="none"/>
          <w:lang w:val="en-US" w:eastAsia="zh-CN"/>
        </w:rPr>
        <w:t>3</w:t>
      </w:r>
      <w:r>
        <w:rPr>
          <w:rFonts w:hint="eastAsia" w:ascii="新宋体" w:hAnsi="新宋体" w:eastAsia="新宋体" w:cs="新宋体"/>
          <w:b/>
          <w:bCs/>
          <w:color w:val="auto"/>
          <w:sz w:val="24"/>
          <w:highlight w:val="none"/>
        </w:rPr>
        <w:t>.投标报价</w:t>
      </w:r>
    </w:p>
    <w:p>
      <w:pPr>
        <w:pStyle w:val="26"/>
        <w:spacing w:line="440" w:lineRule="exact"/>
        <w:ind w:firstLine="480" w:firstLineChars="200"/>
        <w:rPr>
          <w:rFonts w:hAnsi="宋体"/>
          <w:sz w:val="24"/>
          <w:szCs w:val="24"/>
        </w:rPr>
      </w:pPr>
      <w:r>
        <w:rPr>
          <w:rFonts w:hint="eastAsia" w:ascii="新宋体" w:hAnsi="新宋体" w:eastAsia="新宋体" w:cs="新宋体"/>
          <w:color w:val="auto"/>
          <w:sz w:val="24"/>
          <w:highlight w:val="none"/>
        </w:rPr>
        <w:t>1</w:t>
      </w:r>
      <w:r>
        <w:rPr>
          <w:rFonts w:hint="eastAsia" w:ascii="新宋体" w:hAnsi="新宋体" w:eastAsia="新宋体" w:cs="新宋体"/>
          <w:color w:val="auto"/>
          <w:sz w:val="24"/>
          <w:highlight w:val="none"/>
          <w:lang w:val="en-US" w:eastAsia="zh-CN"/>
        </w:rPr>
        <w:t>3</w:t>
      </w:r>
      <w:r>
        <w:rPr>
          <w:rFonts w:hint="eastAsia" w:ascii="新宋体" w:hAnsi="新宋体" w:eastAsia="新宋体" w:cs="新宋体"/>
          <w:color w:val="auto"/>
          <w:sz w:val="24"/>
          <w:highlight w:val="none"/>
        </w:rPr>
        <w:t>.1</w:t>
      </w:r>
      <w:r>
        <w:rPr>
          <w:rFonts w:ascii="Times New Roman" w:hAnsi="Times New Roman" w:cs="Times New Roman"/>
          <w:sz w:val="24"/>
          <w:szCs w:val="24"/>
        </w:rPr>
        <w:t>投标人应根据国家的有关规定和招标文件要求并结合企业的实际情况进行投标报价。投标报价以人民币为结算货币，</w:t>
      </w:r>
      <w:r>
        <w:rPr>
          <w:rFonts w:hint="eastAsia" w:hAnsi="宋体"/>
          <w:b/>
          <w:sz w:val="24"/>
          <w:szCs w:val="24"/>
        </w:rPr>
        <w:t>投标报价须包括</w:t>
      </w:r>
      <w:r>
        <w:rPr>
          <w:rFonts w:hint="eastAsia" w:ascii="新宋体" w:hAnsi="新宋体" w:eastAsia="新宋体" w:cs="新宋体"/>
          <w:b/>
          <w:sz w:val="24"/>
        </w:rPr>
        <w:t>货物价款、所必须配备的附件、途中运输费、装卸费、安装调试费、</w:t>
      </w:r>
      <w:r>
        <w:rPr>
          <w:rFonts w:hint="eastAsia" w:hAnsi="宋体"/>
          <w:b/>
          <w:sz w:val="24"/>
          <w:szCs w:val="24"/>
        </w:rPr>
        <w:t>税费、完成本项目的其它费用和政策性文件规定及合同包含的所有风险、责任等所有费用，即按采购人要求提供货物到现场并安装完毕的价格。</w:t>
      </w:r>
      <w:r>
        <w:rPr>
          <w:rFonts w:ascii="Times New Roman" w:hAnsi="Times New Roman" w:cs="Times New Roman"/>
          <w:sz w:val="24"/>
          <w:szCs w:val="24"/>
        </w:rPr>
        <w:t>如有漏项，视同已包含在其总项目中，合同</w:t>
      </w:r>
      <w:r>
        <w:rPr>
          <w:rFonts w:hint="eastAsia" w:ascii="Times New Roman" w:hAnsi="Times New Roman" w:cs="Times New Roman"/>
          <w:sz w:val="24"/>
          <w:szCs w:val="24"/>
        </w:rPr>
        <w:t>单价及</w:t>
      </w:r>
      <w:r>
        <w:rPr>
          <w:rFonts w:ascii="Times New Roman" w:hAnsi="Times New Roman" w:cs="Times New Roman"/>
          <w:sz w:val="24"/>
          <w:szCs w:val="24"/>
        </w:rPr>
        <w:t>总价不予调整。</w:t>
      </w:r>
    </w:p>
    <w:p>
      <w:pPr>
        <w:spacing w:line="440" w:lineRule="exact"/>
        <w:ind w:firstLine="480"/>
        <w:rPr>
          <w:rFonts w:hint="eastAsia" w:ascii="新宋体" w:hAnsi="新宋体" w:eastAsia="新宋体" w:cs="新宋体"/>
          <w:color w:val="auto"/>
          <w:sz w:val="24"/>
          <w:highlight w:val="yellow"/>
        </w:rPr>
      </w:pPr>
      <w:r>
        <w:rPr>
          <w:rFonts w:hint="eastAsia" w:ascii="新宋体" w:hAnsi="新宋体" w:eastAsia="新宋体" w:cs="新宋体"/>
          <w:color w:val="auto"/>
          <w:sz w:val="24"/>
          <w:highlight w:val="none"/>
        </w:rPr>
        <w:t>如有漏项，视同已包含在本报价中，</w:t>
      </w:r>
      <w:r>
        <w:rPr>
          <w:rFonts w:hint="eastAsia" w:ascii="新宋体" w:hAnsi="新宋体" w:eastAsia="新宋体" w:cs="新宋体"/>
          <w:color w:val="auto"/>
          <w:sz w:val="24"/>
          <w:highlight w:val="none"/>
          <w:lang w:val="en-US" w:eastAsia="zh-CN"/>
        </w:rPr>
        <w:t>最终的</w:t>
      </w:r>
      <w:r>
        <w:rPr>
          <w:rFonts w:hint="eastAsia" w:ascii="新宋体" w:hAnsi="新宋体" w:eastAsia="新宋体" w:cs="新宋体"/>
          <w:color w:val="auto"/>
          <w:sz w:val="24"/>
          <w:highlight w:val="none"/>
        </w:rPr>
        <w:t>单价和总价不</w:t>
      </w:r>
      <w:r>
        <w:rPr>
          <w:rFonts w:hint="eastAsia" w:ascii="新宋体" w:hAnsi="新宋体" w:eastAsia="新宋体" w:cs="新宋体"/>
          <w:color w:val="auto"/>
          <w:sz w:val="24"/>
          <w:highlight w:val="none"/>
          <w:lang w:eastAsia="zh-CN"/>
        </w:rPr>
        <w:t>作调整</w:t>
      </w:r>
      <w:r>
        <w:rPr>
          <w:rFonts w:hint="eastAsia" w:hAnsi="宋体"/>
          <w:b/>
          <w:color w:val="auto"/>
          <w:sz w:val="24"/>
          <w:szCs w:val="24"/>
          <w:highlight w:val="none"/>
        </w:rPr>
        <w:t>。</w:t>
      </w:r>
    </w:p>
    <w:p>
      <w:pPr>
        <w:spacing w:line="440" w:lineRule="exact"/>
        <w:ind w:firstLine="48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w:t>
      </w:r>
      <w:r>
        <w:rPr>
          <w:rFonts w:hint="eastAsia" w:ascii="新宋体" w:hAnsi="新宋体" w:eastAsia="新宋体" w:cs="新宋体"/>
          <w:color w:val="auto"/>
          <w:sz w:val="24"/>
          <w:highlight w:val="none"/>
          <w:lang w:val="en-US" w:eastAsia="zh-CN"/>
        </w:rPr>
        <w:t>3</w:t>
      </w:r>
      <w:r>
        <w:rPr>
          <w:rFonts w:hint="eastAsia" w:ascii="新宋体" w:hAnsi="新宋体" w:eastAsia="新宋体" w:cs="新宋体"/>
          <w:color w:val="auto"/>
          <w:sz w:val="24"/>
          <w:highlight w:val="none"/>
        </w:rPr>
        <w:t>.2投标人应在投标文件的《开标一览表》上写明投标报价项目的单价和总价。</w:t>
      </w:r>
    </w:p>
    <w:p>
      <w:pPr>
        <w:spacing w:line="440" w:lineRule="exact"/>
        <w:ind w:firstLine="48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w:t>
      </w:r>
      <w:r>
        <w:rPr>
          <w:rFonts w:hint="eastAsia" w:ascii="新宋体" w:hAnsi="新宋体" w:eastAsia="新宋体" w:cs="新宋体"/>
          <w:color w:val="auto"/>
          <w:sz w:val="24"/>
          <w:highlight w:val="none"/>
          <w:lang w:val="en-US" w:eastAsia="zh-CN"/>
        </w:rPr>
        <w:t>3</w:t>
      </w:r>
      <w:r>
        <w:rPr>
          <w:rFonts w:hint="eastAsia" w:ascii="新宋体" w:hAnsi="新宋体" w:eastAsia="新宋体" w:cs="新宋体"/>
          <w:color w:val="auto"/>
          <w:sz w:val="24"/>
          <w:highlight w:val="none"/>
        </w:rPr>
        <w:t>.3中标后，中标人所填写的</w:t>
      </w:r>
      <w:r>
        <w:rPr>
          <w:rFonts w:hint="eastAsia" w:ascii="新宋体" w:hAnsi="新宋体" w:eastAsia="新宋体" w:cs="新宋体"/>
          <w:color w:val="auto"/>
          <w:sz w:val="24"/>
          <w:highlight w:val="none"/>
          <w:lang w:val="en-US" w:eastAsia="zh-CN"/>
        </w:rPr>
        <w:t>总价</w:t>
      </w:r>
      <w:r>
        <w:rPr>
          <w:rFonts w:hint="eastAsia" w:ascii="新宋体" w:hAnsi="新宋体" w:eastAsia="新宋体" w:cs="新宋体"/>
          <w:color w:val="auto"/>
          <w:sz w:val="24"/>
          <w:highlight w:val="none"/>
        </w:rPr>
        <w:t>在合同实施期间不因市场变化因素而变动，投标人在计算报价时应考虑一定的风险系数。</w:t>
      </w:r>
    </w:p>
    <w:p>
      <w:pPr>
        <w:spacing w:line="440" w:lineRule="exact"/>
        <w:ind w:firstLine="48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w:t>
      </w:r>
      <w:r>
        <w:rPr>
          <w:rFonts w:hint="eastAsia" w:ascii="新宋体" w:hAnsi="新宋体" w:eastAsia="新宋体" w:cs="新宋体"/>
          <w:color w:val="auto"/>
          <w:sz w:val="24"/>
          <w:highlight w:val="none"/>
          <w:lang w:val="en-US" w:eastAsia="zh-CN"/>
        </w:rPr>
        <w:t>3</w:t>
      </w:r>
      <w:r>
        <w:rPr>
          <w:rFonts w:hint="eastAsia" w:ascii="新宋体" w:hAnsi="新宋体" w:eastAsia="新宋体" w:cs="新宋体"/>
          <w:color w:val="auto"/>
          <w:sz w:val="24"/>
          <w:highlight w:val="none"/>
        </w:rPr>
        <w:t>.4投标人应按招标文件规定的报价格式进行投标报价。投标人对每种货物只允许有一个报价，招标方不接受任何有选择性的报价。</w:t>
      </w:r>
    </w:p>
    <w:p>
      <w:pPr>
        <w:spacing w:line="440" w:lineRule="exact"/>
        <w:ind w:firstLine="48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w:t>
      </w:r>
      <w:r>
        <w:rPr>
          <w:rFonts w:hint="eastAsia" w:ascii="新宋体" w:hAnsi="新宋体" w:eastAsia="新宋体" w:cs="新宋体"/>
          <w:color w:val="auto"/>
          <w:sz w:val="24"/>
          <w:highlight w:val="none"/>
          <w:lang w:val="en-US" w:eastAsia="zh-CN"/>
        </w:rPr>
        <w:t>3</w:t>
      </w:r>
      <w:r>
        <w:rPr>
          <w:rFonts w:hint="eastAsia" w:ascii="新宋体" w:hAnsi="新宋体" w:eastAsia="新宋体" w:cs="新宋体"/>
          <w:color w:val="auto"/>
          <w:sz w:val="24"/>
          <w:highlight w:val="none"/>
        </w:rPr>
        <w:t>.5</w:t>
      </w:r>
      <w:r>
        <w:rPr>
          <w:rFonts w:hint="eastAsia" w:ascii="新宋体" w:hAnsi="新宋体" w:eastAsia="新宋体" w:cs="新宋体"/>
          <w:i/>
          <w:iCs/>
          <w:color w:val="auto"/>
          <w:sz w:val="24"/>
          <w:highlight w:val="none"/>
        </w:rPr>
        <w:t>招标方不接受低于成本的投标报价</w:t>
      </w:r>
      <w:r>
        <w:rPr>
          <w:rFonts w:hint="eastAsia" w:ascii="新宋体" w:hAnsi="新宋体" w:eastAsia="新宋体" w:cs="新宋体"/>
          <w:color w:val="auto"/>
          <w:sz w:val="24"/>
          <w:highlight w:val="none"/>
        </w:rPr>
        <w:t>。</w:t>
      </w:r>
    </w:p>
    <w:p>
      <w:pPr>
        <w:spacing w:line="440" w:lineRule="exact"/>
        <w:ind w:firstLine="48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w:t>
      </w:r>
      <w:r>
        <w:rPr>
          <w:rFonts w:hint="eastAsia" w:ascii="新宋体" w:hAnsi="新宋体" w:eastAsia="新宋体" w:cs="新宋体"/>
          <w:color w:val="auto"/>
          <w:sz w:val="24"/>
          <w:highlight w:val="none"/>
          <w:lang w:val="en-US" w:eastAsia="zh-CN"/>
        </w:rPr>
        <w:t>3</w:t>
      </w:r>
      <w:r>
        <w:rPr>
          <w:rFonts w:hint="eastAsia" w:ascii="新宋体" w:hAnsi="新宋体" w:eastAsia="新宋体" w:cs="新宋体"/>
          <w:color w:val="auto"/>
          <w:sz w:val="24"/>
          <w:highlight w:val="none"/>
        </w:rPr>
        <w:t>.6投标人按照上述要求编制投标报价。一旦确认某一投标人中标，除合同规定的可调整内容外，中标人不得要求追加任何费用。</w:t>
      </w:r>
    </w:p>
    <w:p>
      <w:pPr>
        <w:spacing w:line="440" w:lineRule="exact"/>
        <w:ind w:firstLine="48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w:t>
      </w:r>
      <w:r>
        <w:rPr>
          <w:rFonts w:hint="eastAsia" w:ascii="新宋体" w:hAnsi="新宋体" w:eastAsia="新宋体" w:cs="新宋体"/>
          <w:color w:val="auto"/>
          <w:sz w:val="24"/>
          <w:highlight w:val="none"/>
          <w:lang w:val="en-US" w:eastAsia="zh-CN"/>
        </w:rPr>
        <w:t>3</w:t>
      </w:r>
      <w:r>
        <w:rPr>
          <w:rFonts w:hint="eastAsia" w:ascii="新宋体" w:hAnsi="新宋体" w:eastAsia="新宋体" w:cs="新宋体"/>
          <w:color w:val="auto"/>
          <w:sz w:val="24"/>
          <w:highlight w:val="none"/>
        </w:rPr>
        <w:t>.7须由中标人开具正式发票。</w:t>
      </w:r>
    </w:p>
    <w:p>
      <w:pPr>
        <w:spacing w:line="440" w:lineRule="exact"/>
        <w:ind w:firstLine="48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w:t>
      </w:r>
      <w:r>
        <w:rPr>
          <w:rFonts w:hint="eastAsia" w:ascii="新宋体" w:hAnsi="新宋体" w:eastAsia="新宋体" w:cs="新宋体"/>
          <w:color w:val="auto"/>
          <w:sz w:val="24"/>
          <w:highlight w:val="none"/>
          <w:lang w:val="en-US" w:eastAsia="zh-CN"/>
        </w:rPr>
        <w:t>3</w:t>
      </w:r>
      <w:r>
        <w:rPr>
          <w:rFonts w:hint="eastAsia" w:ascii="新宋体" w:hAnsi="新宋体" w:eastAsia="新宋体" w:cs="新宋体"/>
          <w:color w:val="auto"/>
          <w:sz w:val="24"/>
          <w:highlight w:val="none"/>
        </w:rPr>
        <w:t>.8招标文件中规定由投标人承担并支付的相关费用在投标报价时应一并考虑。</w:t>
      </w:r>
    </w:p>
    <w:p>
      <w:pPr>
        <w:adjustRightInd w:val="0"/>
        <w:snapToGrid w:val="0"/>
        <w:spacing w:line="440" w:lineRule="exact"/>
        <w:ind w:firstLine="480"/>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1</w:t>
      </w:r>
      <w:r>
        <w:rPr>
          <w:rFonts w:hint="eastAsia" w:ascii="新宋体" w:hAnsi="新宋体" w:eastAsia="新宋体" w:cs="新宋体"/>
          <w:b/>
          <w:bCs/>
          <w:color w:val="auto"/>
          <w:sz w:val="24"/>
          <w:highlight w:val="none"/>
          <w:lang w:val="en-US" w:eastAsia="zh-CN"/>
        </w:rPr>
        <w:t>4</w:t>
      </w:r>
      <w:r>
        <w:rPr>
          <w:rFonts w:hint="eastAsia" w:ascii="新宋体" w:hAnsi="新宋体" w:eastAsia="新宋体" w:cs="新宋体"/>
          <w:b/>
          <w:bCs/>
          <w:color w:val="auto"/>
          <w:sz w:val="24"/>
          <w:highlight w:val="none"/>
        </w:rPr>
        <w:t>.投标文件格式</w:t>
      </w:r>
    </w:p>
    <w:p>
      <w:pPr>
        <w:spacing w:line="440" w:lineRule="exact"/>
        <w:ind w:firstLine="48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投标人提交的投标文件应当使用招标文件所提供的投标文件格式，表格格式在不改变格式内容的情况下可自行制作。在所提供表格格式之外，投标人可以增加自行设计的表格及内容，以便更细致全面</w:t>
      </w:r>
      <w:r>
        <w:rPr>
          <w:rFonts w:hint="eastAsia" w:ascii="新宋体" w:hAnsi="新宋体" w:eastAsia="新宋体" w:cs="新宋体"/>
          <w:color w:val="auto"/>
          <w:sz w:val="24"/>
          <w:highlight w:val="none"/>
          <w:lang w:eastAsia="zh-CN"/>
        </w:rPr>
        <w:t>地</w:t>
      </w:r>
      <w:r>
        <w:rPr>
          <w:rFonts w:hint="eastAsia" w:ascii="新宋体" w:hAnsi="新宋体" w:eastAsia="新宋体" w:cs="新宋体"/>
          <w:color w:val="auto"/>
          <w:sz w:val="24"/>
          <w:highlight w:val="none"/>
        </w:rPr>
        <w:t>说明其能力。</w:t>
      </w:r>
    </w:p>
    <w:p>
      <w:pPr>
        <w:adjustRightInd w:val="0"/>
        <w:snapToGrid w:val="0"/>
        <w:spacing w:line="440" w:lineRule="exact"/>
        <w:ind w:firstLine="480"/>
        <w:rPr>
          <w:rFonts w:hint="eastAsia" w:ascii="新宋体" w:hAnsi="新宋体" w:eastAsia="新宋体" w:cs="新宋体"/>
          <w:b/>
          <w:bCs/>
          <w:color w:val="auto"/>
          <w:sz w:val="24"/>
          <w:highlight w:val="none"/>
          <w:lang w:eastAsia="zh-CN"/>
        </w:rPr>
      </w:pPr>
      <w:r>
        <w:rPr>
          <w:rFonts w:hint="eastAsia" w:ascii="新宋体" w:hAnsi="新宋体" w:eastAsia="新宋体" w:cs="新宋体"/>
          <w:b/>
          <w:bCs/>
          <w:color w:val="auto"/>
          <w:sz w:val="24"/>
          <w:highlight w:val="none"/>
        </w:rPr>
        <w:t>1</w:t>
      </w:r>
      <w:r>
        <w:rPr>
          <w:rFonts w:hint="eastAsia" w:ascii="新宋体" w:hAnsi="新宋体" w:eastAsia="新宋体" w:cs="新宋体"/>
          <w:b/>
          <w:bCs/>
          <w:color w:val="auto"/>
          <w:sz w:val="24"/>
          <w:highlight w:val="none"/>
          <w:lang w:val="en-US" w:eastAsia="zh-CN"/>
        </w:rPr>
        <w:t>5</w:t>
      </w:r>
      <w:r>
        <w:rPr>
          <w:rFonts w:hint="eastAsia" w:ascii="新宋体" w:hAnsi="新宋体" w:eastAsia="新宋体" w:cs="新宋体"/>
          <w:b/>
          <w:bCs/>
          <w:color w:val="auto"/>
          <w:sz w:val="24"/>
          <w:highlight w:val="none"/>
        </w:rPr>
        <w:t>.履约保证金：无</w:t>
      </w:r>
      <w:r>
        <w:rPr>
          <w:rFonts w:hint="eastAsia" w:ascii="新宋体" w:hAnsi="新宋体" w:eastAsia="新宋体" w:cs="新宋体"/>
          <w:b/>
          <w:bCs/>
          <w:color w:val="auto"/>
          <w:sz w:val="24"/>
          <w:highlight w:val="none"/>
          <w:lang w:eastAsia="zh-CN"/>
        </w:rPr>
        <w:t>。</w:t>
      </w:r>
    </w:p>
    <w:p>
      <w:pPr>
        <w:adjustRightInd w:val="0"/>
        <w:snapToGrid w:val="0"/>
        <w:spacing w:line="440" w:lineRule="exact"/>
        <w:ind w:firstLine="480"/>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1</w:t>
      </w:r>
      <w:r>
        <w:rPr>
          <w:rFonts w:hint="eastAsia" w:ascii="新宋体" w:hAnsi="新宋体" w:eastAsia="新宋体" w:cs="新宋体"/>
          <w:b/>
          <w:bCs/>
          <w:color w:val="auto"/>
          <w:sz w:val="24"/>
          <w:highlight w:val="none"/>
          <w:lang w:val="en-US" w:eastAsia="zh-CN"/>
        </w:rPr>
        <w:t>6</w:t>
      </w:r>
      <w:r>
        <w:rPr>
          <w:rFonts w:hint="eastAsia" w:ascii="新宋体" w:hAnsi="新宋体" w:eastAsia="新宋体" w:cs="新宋体"/>
          <w:b/>
          <w:bCs/>
          <w:color w:val="auto"/>
          <w:sz w:val="24"/>
          <w:highlight w:val="none"/>
        </w:rPr>
        <w:t>.投标有效期</w:t>
      </w:r>
    </w:p>
    <w:p>
      <w:pPr>
        <w:spacing w:line="440" w:lineRule="exact"/>
        <w:ind w:firstLine="48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w:t>
      </w:r>
      <w:r>
        <w:rPr>
          <w:rFonts w:hint="eastAsia" w:ascii="新宋体" w:hAnsi="新宋体" w:eastAsia="新宋体" w:cs="新宋体"/>
          <w:color w:val="auto"/>
          <w:sz w:val="24"/>
          <w:highlight w:val="none"/>
          <w:lang w:val="en-US" w:eastAsia="zh-CN"/>
        </w:rPr>
        <w:t>6</w:t>
      </w:r>
      <w:r>
        <w:rPr>
          <w:rFonts w:hint="eastAsia" w:ascii="新宋体" w:hAnsi="新宋体" w:eastAsia="新宋体" w:cs="新宋体"/>
          <w:color w:val="auto"/>
          <w:sz w:val="24"/>
          <w:highlight w:val="none"/>
        </w:rPr>
        <w:t>.1投标文件从开标之日起，投标有效期为90天。</w:t>
      </w:r>
      <w:r>
        <w:rPr>
          <w:rFonts w:hint="eastAsia" w:ascii="新宋体" w:hAnsi="新宋体" w:eastAsia="新宋体" w:cs="新宋体"/>
          <w:color w:val="auto"/>
          <w:sz w:val="24"/>
          <w:szCs w:val="24"/>
          <w:highlight w:val="none"/>
        </w:rPr>
        <w:t>★</w:t>
      </w:r>
      <w:r>
        <w:rPr>
          <w:rFonts w:hint="eastAsia" w:ascii="新宋体" w:hAnsi="新宋体" w:eastAsia="新宋体" w:cs="新宋体"/>
          <w:b/>
          <w:color w:val="auto"/>
          <w:sz w:val="24"/>
          <w:szCs w:val="24"/>
        </w:rPr>
        <w:t>投标人的投标文件中承诺的投标有效期少于招标文件中载明的投标有效期的，投标无效。</w:t>
      </w:r>
    </w:p>
    <w:p>
      <w:pPr>
        <w:spacing w:line="440" w:lineRule="exact"/>
        <w:ind w:firstLine="48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w:t>
      </w:r>
      <w:r>
        <w:rPr>
          <w:rFonts w:hint="eastAsia" w:ascii="新宋体" w:hAnsi="新宋体" w:eastAsia="新宋体" w:cs="新宋体"/>
          <w:color w:val="auto"/>
          <w:sz w:val="24"/>
          <w:highlight w:val="none"/>
          <w:lang w:val="en-US" w:eastAsia="zh-CN"/>
        </w:rPr>
        <w:t>6</w:t>
      </w:r>
      <w:r>
        <w:rPr>
          <w:rFonts w:hint="eastAsia" w:ascii="新宋体" w:hAnsi="新宋体" w:eastAsia="新宋体" w:cs="新宋体"/>
          <w:color w:val="auto"/>
          <w:sz w:val="24"/>
          <w:highlight w:val="none"/>
        </w:rPr>
        <w:t>.2特殊情况下，在原投标有效期截止之前，采购人可以以书面形式通知投标人延长投标有效期。投标人同意延长的，不得要求或被允许修改其投标文件，投标人拒绝延长的，其投标无效。</w:t>
      </w:r>
    </w:p>
    <w:p>
      <w:pPr>
        <w:pStyle w:val="4"/>
        <w:spacing w:before="120" w:after="120" w:line="440" w:lineRule="exact"/>
        <w:rPr>
          <w:rFonts w:hint="eastAsia" w:ascii="新宋体" w:hAnsi="新宋体" w:eastAsia="新宋体" w:cs="新宋体"/>
          <w:color w:val="auto"/>
          <w:sz w:val="28"/>
          <w:szCs w:val="28"/>
          <w:highlight w:val="none"/>
        </w:rPr>
      </w:pPr>
      <w:bookmarkStart w:id="25" w:name="_Toc274303232"/>
      <w:bookmarkStart w:id="26" w:name="_Toc362250690"/>
      <w:bookmarkStart w:id="27" w:name="_Toc20813"/>
      <w:bookmarkStart w:id="28" w:name="_Toc25250"/>
      <w:r>
        <w:rPr>
          <w:rFonts w:hint="eastAsia" w:ascii="新宋体" w:hAnsi="新宋体" w:eastAsia="新宋体" w:cs="新宋体"/>
          <w:color w:val="auto"/>
          <w:sz w:val="28"/>
          <w:szCs w:val="28"/>
          <w:highlight w:val="none"/>
        </w:rPr>
        <w:t>四.投标文件的递交</w:t>
      </w:r>
      <w:bookmarkEnd w:id="25"/>
      <w:bookmarkEnd w:id="26"/>
      <w:bookmarkEnd w:id="27"/>
      <w:bookmarkEnd w:id="28"/>
    </w:p>
    <w:p>
      <w:pPr>
        <w:adjustRightInd w:val="0"/>
        <w:snapToGrid w:val="0"/>
        <w:spacing w:line="440" w:lineRule="exact"/>
        <w:ind w:firstLine="480"/>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1</w:t>
      </w:r>
      <w:r>
        <w:rPr>
          <w:rFonts w:hint="eastAsia" w:ascii="新宋体" w:hAnsi="新宋体" w:eastAsia="新宋体" w:cs="新宋体"/>
          <w:b/>
          <w:bCs/>
          <w:color w:val="auto"/>
          <w:sz w:val="24"/>
          <w:highlight w:val="none"/>
          <w:lang w:val="en-US" w:eastAsia="zh-CN"/>
        </w:rPr>
        <w:t>7</w:t>
      </w:r>
      <w:r>
        <w:rPr>
          <w:rFonts w:hint="eastAsia" w:ascii="新宋体" w:hAnsi="新宋体" w:eastAsia="新宋体" w:cs="新宋体"/>
          <w:b/>
          <w:bCs/>
          <w:color w:val="auto"/>
          <w:sz w:val="24"/>
          <w:highlight w:val="none"/>
        </w:rPr>
        <w:t>.电子投标文件上传的地点和截止时间</w:t>
      </w:r>
    </w:p>
    <w:p>
      <w:pPr>
        <w:spacing w:line="440" w:lineRule="exact"/>
        <w:ind w:firstLine="48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lang w:val="en-US" w:eastAsia="zh-CN"/>
        </w:rPr>
        <w:t>17.1</w:t>
      </w:r>
      <w:r>
        <w:rPr>
          <w:rFonts w:hint="eastAsia" w:ascii="新宋体" w:hAnsi="新宋体" w:eastAsia="新宋体" w:cs="新宋体"/>
          <w:color w:val="auto"/>
          <w:sz w:val="24"/>
          <w:highlight w:val="none"/>
        </w:rPr>
        <w:t>投标人应在投标截止时间之前上传投标文件。同时，投标人可在投标截止时间前，将在“政采云”上最后生成的具备电子签章的备份加密投标文件（文件名采用“采购编号+投标人名称+系统自动生成的后缀名”），以电子邮件方式传送至义乌市政府采购中心邮箱（ywszfcgzx@163.com），传送的备份投标文件需打包压缩并加密，加密密码由投标人自行保管。为了防止泄密，建议投标人在设置加密密码时采用大小写字母加数字的组合方式。仅递交备份投标文件的投标人，投标失败。</w:t>
      </w:r>
    </w:p>
    <w:p>
      <w:pPr>
        <w:spacing w:line="440" w:lineRule="exact"/>
        <w:ind w:firstLine="48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17.2采购人、采购代理机构可以视情况延长投标文件提交的截止时间。在上述情况下，采购代理机构与投标人在</w:t>
      </w:r>
      <w:r>
        <w:rPr>
          <w:rFonts w:hint="eastAsia" w:ascii="新宋体" w:hAnsi="新宋体" w:eastAsia="新宋体" w:cs="新宋体"/>
          <w:color w:val="auto"/>
          <w:sz w:val="24"/>
          <w:highlight w:val="none"/>
          <w:lang w:val="en-US" w:eastAsia="zh-CN"/>
        </w:rPr>
        <w:t>原</w:t>
      </w:r>
      <w:r>
        <w:rPr>
          <w:rFonts w:hint="eastAsia" w:ascii="新宋体" w:hAnsi="新宋体" w:eastAsia="新宋体" w:cs="新宋体"/>
          <w:color w:val="auto"/>
          <w:sz w:val="24"/>
          <w:highlight w:val="none"/>
        </w:rPr>
        <w:t>投标截止时间</w:t>
      </w:r>
      <w:r>
        <w:rPr>
          <w:rFonts w:hint="eastAsia" w:ascii="新宋体" w:hAnsi="新宋体" w:eastAsia="新宋体" w:cs="新宋体"/>
          <w:color w:val="auto"/>
          <w:sz w:val="24"/>
          <w:highlight w:val="none"/>
          <w:lang w:val="en-US" w:eastAsia="zh-CN"/>
        </w:rPr>
        <w:t>之前</w:t>
      </w:r>
      <w:r>
        <w:rPr>
          <w:rFonts w:hint="eastAsia" w:ascii="新宋体" w:hAnsi="新宋体" w:eastAsia="新宋体" w:cs="新宋体"/>
          <w:color w:val="auto"/>
          <w:sz w:val="24"/>
          <w:highlight w:val="none"/>
        </w:rPr>
        <w:t>的全部权利、责任和义务，将延长至新的投标截止时间。</w:t>
      </w:r>
    </w:p>
    <w:p>
      <w:pPr>
        <w:adjustRightInd w:val="0"/>
        <w:snapToGrid w:val="0"/>
        <w:spacing w:line="440" w:lineRule="exact"/>
        <w:ind w:firstLine="480"/>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1</w:t>
      </w:r>
      <w:r>
        <w:rPr>
          <w:rFonts w:hint="eastAsia" w:ascii="新宋体" w:hAnsi="新宋体" w:eastAsia="新宋体" w:cs="新宋体"/>
          <w:b/>
          <w:bCs/>
          <w:color w:val="auto"/>
          <w:sz w:val="24"/>
          <w:highlight w:val="none"/>
          <w:lang w:val="en-US" w:eastAsia="zh-CN"/>
        </w:rPr>
        <w:t>8</w:t>
      </w:r>
      <w:r>
        <w:rPr>
          <w:rFonts w:hint="eastAsia" w:ascii="新宋体" w:hAnsi="新宋体" w:eastAsia="新宋体" w:cs="新宋体"/>
          <w:b/>
          <w:bCs/>
          <w:color w:val="auto"/>
          <w:sz w:val="24"/>
          <w:highlight w:val="none"/>
        </w:rPr>
        <w:t>.投标文件的补充、修改与撤回</w:t>
      </w:r>
    </w:p>
    <w:p>
      <w:pPr>
        <w:spacing w:line="440" w:lineRule="exact"/>
        <w:ind w:firstLine="48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w:t>
      </w:r>
      <w:r>
        <w:rPr>
          <w:rFonts w:hint="eastAsia" w:ascii="新宋体" w:hAnsi="新宋体" w:eastAsia="新宋体" w:cs="新宋体"/>
          <w:color w:val="auto"/>
          <w:sz w:val="24"/>
          <w:highlight w:val="none"/>
          <w:lang w:val="en-US" w:eastAsia="zh-CN"/>
        </w:rPr>
        <w:t>8</w:t>
      </w:r>
      <w:r>
        <w:rPr>
          <w:rFonts w:hint="eastAsia" w:ascii="新宋体" w:hAnsi="新宋体" w:eastAsia="新宋体" w:cs="新宋体"/>
          <w:color w:val="auto"/>
          <w:sz w:val="24"/>
          <w:highlight w:val="none"/>
        </w:rPr>
        <w:t>.1投标人在“政采云”系统上提交投标文件以后，在规定的投标截止时间之前，可以重新补充</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rPr>
        <w:t>修改或撤回已上传的投标文件</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rPr>
        <w:t>补充或者修改投标文件的，应当先行撤回原文件，补充、修改后重新提交。投标截止时间前未完成</w:t>
      </w:r>
      <w:r>
        <w:rPr>
          <w:rFonts w:hint="eastAsia" w:ascii="新宋体" w:hAnsi="新宋体" w:eastAsia="新宋体" w:cs="新宋体"/>
          <w:color w:val="auto"/>
          <w:sz w:val="24"/>
          <w:highlight w:val="none"/>
          <w:lang w:val="en-US" w:eastAsia="zh-CN"/>
        </w:rPr>
        <w:t>提交</w:t>
      </w:r>
      <w:r>
        <w:rPr>
          <w:rFonts w:hint="eastAsia" w:ascii="新宋体" w:hAnsi="新宋体" w:eastAsia="新宋体" w:cs="新宋体"/>
          <w:color w:val="auto"/>
          <w:sz w:val="24"/>
          <w:highlight w:val="none"/>
        </w:rPr>
        <w:t>的，视为撤回投标文件。投标截止时间后提交的投标文件，电子交易平台将拒收。</w:t>
      </w:r>
    </w:p>
    <w:p>
      <w:pPr>
        <w:spacing w:line="440" w:lineRule="exact"/>
        <w:ind w:firstLine="48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18.2在投标截止时间前，除供应商补充、修改或者撤回投标文件外，任何单位和个人不得解密或提取投标文件。</w:t>
      </w:r>
    </w:p>
    <w:p>
      <w:pPr>
        <w:spacing w:line="440" w:lineRule="exact"/>
        <w:ind w:firstLine="48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w:t>
      </w:r>
      <w:r>
        <w:rPr>
          <w:rFonts w:hint="eastAsia" w:ascii="新宋体" w:hAnsi="新宋体" w:eastAsia="新宋体" w:cs="新宋体"/>
          <w:color w:val="auto"/>
          <w:sz w:val="24"/>
          <w:highlight w:val="none"/>
          <w:lang w:val="en-US" w:eastAsia="zh-CN"/>
        </w:rPr>
        <w:t>8</w:t>
      </w:r>
      <w:r>
        <w:rPr>
          <w:rFonts w:hint="eastAsia" w:ascii="新宋体" w:hAnsi="新宋体" w:eastAsia="新宋体" w:cs="新宋体"/>
          <w:color w:val="auto"/>
          <w:sz w:val="24"/>
          <w:highlight w:val="none"/>
        </w:rPr>
        <w:t>.3从投标截止时间至投标人在投标书格式中确定的投标有效期期满这段时间内，投标人不得撤回其投标。</w:t>
      </w:r>
    </w:p>
    <w:p>
      <w:pPr>
        <w:pStyle w:val="4"/>
        <w:spacing w:before="120" w:after="120" w:line="440" w:lineRule="exact"/>
        <w:rPr>
          <w:rFonts w:hint="eastAsia" w:ascii="新宋体" w:hAnsi="新宋体" w:eastAsia="新宋体" w:cs="新宋体"/>
          <w:color w:val="auto"/>
          <w:sz w:val="28"/>
          <w:szCs w:val="28"/>
          <w:highlight w:val="none"/>
        </w:rPr>
      </w:pPr>
      <w:bookmarkStart w:id="29" w:name="_Toc30804"/>
      <w:bookmarkStart w:id="30" w:name="_Toc274303233"/>
      <w:bookmarkStart w:id="31" w:name="_Toc362250691"/>
      <w:bookmarkStart w:id="32" w:name="_Toc21336"/>
      <w:r>
        <w:rPr>
          <w:rFonts w:hint="eastAsia" w:ascii="新宋体" w:hAnsi="新宋体" w:eastAsia="新宋体" w:cs="新宋体"/>
          <w:color w:val="auto"/>
          <w:highlight w:val="none"/>
        </w:rPr>
        <w:t>五.</w:t>
      </w:r>
      <w:bookmarkEnd w:id="29"/>
      <w:bookmarkEnd w:id="30"/>
      <w:bookmarkEnd w:id="31"/>
      <w:r>
        <w:rPr>
          <w:rFonts w:hint="eastAsia" w:ascii="新宋体" w:hAnsi="新宋体" w:eastAsia="新宋体" w:cs="新宋体"/>
          <w:color w:val="auto"/>
          <w:highlight w:val="none"/>
          <w:lang w:eastAsia="zh-CN"/>
        </w:rPr>
        <w:t>其他</w:t>
      </w:r>
      <w:bookmarkEnd w:id="32"/>
    </w:p>
    <w:p>
      <w:pPr>
        <w:spacing w:line="440" w:lineRule="exact"/>
        <w:ind w:firstLine="482" w:firstLineChars="200"/>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1</w:t>
      </w:r>
      <w:r>
        <w:rPr>
          <w:rFonts w:hint="eastAsia" w:ascii="新宋体" w:hAnsi="新宋体" w:eastAsia="新宋体" w:cs="新宋体"/>
          <w:b/>
          <w:bCs/>
          <w:color w:val="auto"/>
          <w:sz w:val="24"/>
          <w:highlight w:val="none"/>
          <w:lang w:val="en-US" w:eastAsia="zh-CN"/>
        </w:rPr>
        <w:t>9</w:t>
      </w:r>
      <w:r>
        <w:rPr>
          <w:rFonts w:hint="eastAsia" w:ascii="新宋体" w:hAnsi="新宋体" w:eastAsia="新宋体" w:cs="新宋体"/>
          <w:b/>
          <w:bCs/>
          <w:color w:val="auto"/>
          <w:sz w:val="24"/>
          <w:highlight w:val="none"/>
        </w:rPr>
        <w:t>.本招标文件解释权归“招标方”。</w:t>
      </w:r>
    </w:p>
    <w:p>
      <w:pPr>
        <w:spacing w:line="460" w:lineRule="exact"/>
        <w:rPr>
          <w:rFonts w:ascii="新宋体" w:hAnsi="新宋体" w:eastAsia="新宋体"/>
          <w:b/>
          <w:bCs/>
          <w:sz w:val="24"/>
        </w:rPr>
      </w:pPr>
    </w:p>
    <w:p>
      <w:pPr>
        <w:pStyle w:val="3"/>
        <w:spacing w:before="0" w:after="0" w:line="360" w:lineRule="exact"/>
        <w:jc w:val="center"/>
        <w:rPr>
          <w:rFonts w:ascii="新宋体" w:hAnsi="新宋体" w:eastAsia="新宋体"/>
          <w:sz w:val="36"/>
        </w:rPr>
      </w:pPr>
      <w:r>
        <w:rPr>
          <w:rFonts w:hint="eastAsia" w:ascii="新宋体" w:hAnsi="新宋体" w:eastAsia="新宋体"/>
          <w:b w:val="0"/>
          <w:bCs w:val="0"/>
          <w:sz w:val="24"/>
        </w:rPr>
        <w:br w:type="page"/>
      </w:r>
      <w:bookmarkStart w:id="33" w:name="_Toc453144908"/>
      <w:bookmarkStart w:id="34" w:name="_Toc10273"/>
      <w:r>
        <w:rPr>
          <w:rFonts w:hint="eastAsia" w:ascii="新宋体" w:hAnsi="新宋体" w:eastAsia="新宋体"/>
          <w:sz w:val="36"/>
          <w:szCs w:val="36"/>
        </w:rPr>
        <w:t>第三章 招标项目要求</w:t>
      </w:r>
      <w:bookmarkEnd w:id="33"/>
      <w:bookmarkEnd w:id="34"/>
    </w:p>
    <w:p>
      <w:pPr>
        <w:pStyle w:val="4"/>
        <w:widowControl w:val="0"/>
        <w:spacing w:before="120" w:after="120" w:line="312" w:lineRule="auto"/>
        <w:jc w:val="both"/>
        <w:rPr>
          <w:rFonts w:ascii="Times New Roman" w:hAnsi="Times New Roman" w:eastAsia="宋体"/>
          <w:bCs w:val="0"/>
          <w:sz w:val="24"/>
          <w:szCs w:val="24"/>
        </w:rPr>
      </w:pPr>
      <w:bookmarkStart w:id="35" w:name="_Toc521403320"/>
      <w:bookmarkStart w:id="36" w:name="_Toc37951771"/>
      <w:bookmarkStart w:id="37" w:name="_Toc132635741"/>
      <w:bookmarkStart w:id="38" w:name="_Toc132635986"/>
      <w:bookmarkStart w:id="39" w:name="_Toc132635583"/>
      <w:bookmarkStart w:id="40" w:name="_Toc11061"/>
      <w:bookmarkStart w:id="41" w:name="_Toc74063753"/>
      <w:bookmarkStart w:id="42" w:name="_Toc90042290"/>
      <w:bookmarkStart w:id="43" w:name="_Toc30887"/>
      <w:bookmarkStart w:id="44" w:name="_Toc226973000"/>
      <w:bookmarkStart w:id="45" w:name="_Toc274303251"/>
      <w:bookmarkStart w:id="46" w:name="_Toc453144913"/>
      <w:r>
        <w:rPr>
          <w:rFonts w:ascii="Times New Roman" w:hAnsi="Times New Roman" w:eastAsia="宋体"/>
          <w:bCs w:val="0"/>
          <w:sz w:val="24"/>
          <w:szCs w:val="24"/>
        </w:rPr>
        <w:t>一、</w:t>
      </w:r>
      <w:bookmarkEnd w:id="35"/>
      <w:bookmarkEnd w:id="36"/>
      <w:r>
        <w:rPr>
          <w:rFonts w:ascii="Times New Roman" w:hAnsi="Times New Roman" w:eastAsia="宋体"/>
          <w:bCs w:val="0"/>
          <w:sz w:val="24"/>
          <w:szCs w:val="24"/>
        </w:rPr>
        <w:t>技术要求及采购货物一览表</w:t>
      </w:r>
      <w:bookmarkEnd w:id="37"/>
      <w:bookmarkEnd w:id="38"/>
      <w:bookmarkEnd w:id="39"/>
    </w:p>
    <w:tbl>
      <w:tblPr>
        <w:tblStyle w:val="52"/>
        <w:tblW w:w="50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4053"/>
        <w:gridCol w:w="1255"/>
        <w:gridCol w:w="3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8" w:type="pct"/>
            <w:noWrap w:val="0"/>
            <w:vAlign w:val="center"/>
          </w:tcPr>
          <w:p>
            <w:pPr>
              <w:pStyle w:val="26"/>
              <w:adjustRightInd w:val="0"/>
              <w:spacing w:line="312" w:lineRule="auto"/>
              <w:jc w:val="center"/>
              <w:rPr>
                <w:rFonts w:ascii="Times New Roman" w:hAnsi="Times New Roman" w:cs="Times New Roman"/>
                <w:sz w:val="24"/>
                <w:szCs w:val="24"/>
              </w:rPr>
            </w:pPr>
            <w:r>
              <w:rPr>
                <w:rFonts w:ascii="Times New Roman" w:hAnsi="Times New Roman" w:cs="Times New Roman"/>
                <w:sz w:val="24"/>
                <w:szCs w:val="24"/>
              </w:rPr>
              <w:t>序号</w:t>
            </w:r>
          </w:p>
        </w:tc>
        <w:tc>
          <w:tcPr>
            <w:tcW w:w="2116" w:type="pct"/>
            <w:noWrap w:val="0"/>
            <w:vAlign w:val="center"/>
          </w:tcPr>
          <w:p>
            <w:pPr>
              <w:pStyle w:val="26"/>
              <w:adjustRightInd w:val="0"/>
              <w:spacing w:line="312" w:lineRule="auto"/>
              <w:jc w:val="center"/>
              <w:rPr>
                <w:rFonts w:ascii="Times New Roman" w:hAnsi="Times New Roman" w:cs="Times New Roman"/>
                <w:sz w:val="24"/>
                <w:szCs w:val="24"/>
              </w:rPr>
            </w:pPr>
            <w:r>
              <w:rPr>
                <w:rFonts w:ascii="Times New Roman" w:hAnsi="Times New Roman" w:cs="Times New Roman"/>
                <w:sz w:val="24"/>
                <w:szCs w:val="24"/>
              </w:rPr>
              <w:t>货物名称（采购标的）</w:t>
            </w:r>
          </w:p>
        </w:tc>
        <w:tc>
          <w:tcPr>
            <w:tcW w:w="655" w:type="pct"/>
            <w:noWrap w:val="0"/>
            <w:vAlign w:val="center"/>
          </w:tcPr>
          <w:p>
            <w:pPr>
              <w:pStyle w:val="26"/>
              <w:adjustRightInd w:val="0"/>
              <w:spacing w:line="312" w:lineRule="auto"/>
              <w:jc w:val="center"/>
              <w:rPr>
                <w:rFonts w:ascii="Times New Roman" w:hAnsi="Times New Roman" w:cs="Times New Roman"/>
                <w:sz w:val="24"/>
                <w:szCs w:val="24"/>
              </w:rPr>
            </w:pPr>
            <w:r>
              <w:rPr>
                <w:rFonts w:ascii="Times New Roman" w:hAnsi="Times New Roman" w:cs="Times New Roman"/>
                <w:sz w:val="24"/>
                <w:szCs w:val="24"/>
              </w:rPr>
              <w:t>数量</w:t>
            </w:r>
          </w:p>
        </w:tc>
        <w:tc>
          <w:tcPr>
            <w:tcW w:w="1799" w:type="pct"/>
            <w:noWrap w:val="0"/>
            <w:vAlign w:val="center"/>
          </w:tcPr>
          <w:p>
            <w:pPr>
              <w:pStyle w:val="26"/>
              <w:adjustRightInd w:val="0"/>
              <w:spacing w:line="312" w:lineRule="auto"/>
              <w:jc w:val="center"/>
              <w:rPr>
                <w:rFonts w:ascii="Times New Roman" w:hAnsi="Times New Roman" w:cs="Times New Roman"/>
                <w:sz w:val="24"/>
                <w:szCs w:val="24"/>
              </w:rPr>
            </w:pPr>
            <w:r>
              <w:rPr>
                <w:rFonts w:ascii="Times New Roman" w:hAnsi="Times New Roman" w:cs="Times New Roman"/>
                <w:sz w:val="24"/>
                <w:szCs w:val="24"/>
              </w:rPr>
              <w:t>详细技术性能要求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8" w:type="pct"/>
            <w:noWrap w:val="0"/>
            <w:vAlign w:val="center"/>
          </w:tcPr>
          <w:p>
            <w:pPr>
              <w:pStyle w:val="26"/>
              <w:adjustRightInd w:val="0"/>
              <w:spacing w:line="312"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16" w:type="pct"/>
            <w:noWrap w:val="0"/>
            <w:vAlign w:val="center"/>
          </w:tcPr>
          <w:p>
            <w:pPr>
              <w:pStyle w:val="26"/>
              <w:adjustRightInd w:val="0"/>
              <w:spacing w:line="312"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多媒体触控一体机</w:t>
            </w:r>
          </w:p>
        </w:tc>
        <w:tc>
          <w:tcPr>
            <w:tcW w:w="655" w:type="pct"/>
            <w:noWrap w:val="0"/>
            <w:vAlign w:val="center"/>
          </w:tcPr>
          <w:p>
            <w:pPr>
              <w:pStyle w:val="26"/>
              <w:adjustRightInd w:val="0"/>
              <w:spacing w:line="312" w:lineRule="auto"/>
              <w:jc w:val="center"/>
              <w:rPr>
                <w:rFonts w:ascii="Times New Roman" w:hAnsi="Times New Roman" w:cs="Times New Roman"/>
                <w:sz w:val="24"/>
                <w:szCs w:val="24"/>
              </w:rPr>
            </w:pPr>
            <w:r>
              <w:rPr>
                <w:rFonts w:hint="eastAsia" w:ascii="Times New Roman" w:hAnsi="Times New Roman" w:cs="Times New Roman"/>
                <w:sz w:val="24"/>
                <w:szCs w:val="24"/>
                <w:lang w:val="en-US" w:eastAsia="zh-CN"/>
              </w:rPr>
              <w:t>358</w:t>
            </w:r>
            <w:r>
              <w:rPr>
                <w:rFonts w:ascii="Times New Roman" w:hAnsi="Times New Roman" w:cs="Times New Roman"/>
                <w:sz w:val="24"/>
                <w:szCs w:val="24"/>
              </w:rPr>
              <w:t>台</w:t>
            </w:r>
          </w:p>
        </w:tc>
        <w:tc>
          <w:tcPr>
            <w:tcW w:w="1799" w:type="pct"/>
            <w:vMerge w:val="restart"/>
            <w:noWrap w:val="0"/>
            <w:vAlign w:val="center"/>
          </w:tcPr>
          <w:p>
            <w:pPr>
              <w:pStyle w:val="26"/>
              <w:adjustRightInd w:val="0"/>
              <w:spacing w:line="312" w:lineRule="auto"/>
              <w:rPr>
                <w:rFonts w:ascii="Times New Roman" w:hAnsi="Times New Roman" w:cs="Times New Roman"/>
                <w:sz w:val="24"/>
                <w:szCs w:val="24"/>
              </w:rPr>
            </w:pPr>
            <w:r>
              <w:rPr>
                <w:rFonts w:ascii="Times New Roman" w:hAnsi="Times New Roman" w:cs="Times New Roman"/>
                <w:sz w:val="24"/>
                <w:szCs w:val="24"/>
              </w:rPr>
              <w:t>具体要求参见“二、详细技术规范和功能要求”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8" w:type="pct"/>
            <w:noWrap w:val="0"/>
            <w:vAlign w:val="center"/>
          </w:tcPr>
          <w:p>
            <w:pPr>
              <w:pStyle w:val="26"/>
              <w:adjustRightInd w:val="0"/>
              <w:spacing w:line="312"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16" w:type="pct"/>
            <w:noWrap w:val="0"/>
            <w:vAlign w:val="center"/>
          </w:tcPr>
          <w:p>
            <w:pPr>
              <w:pStyle w:val="26"/>
              <w:adjustRightInd w:val="0"/>
              <w:spacing w:line="312"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智能笔</w:t>
            </w:r>
          </w:p>
        </w:tc>
        <w:tc>
          <w:tcPr>
            <w:tcW w:w="655" w:type="pct"/>
            <w:noWrap w:val="0"/>
            <w:vAlign w:val="center"/>
          </w:tcPr>
          <w:p>
            <w:pPr>
              <w:pStyle w:val="26"/>
              <w:adjustRightInd w:val="0"/>
              <w:spacing w:line="312" w:lineRule="auto"/>
              <w:jc w:val="center"/>
              <w:rPr>
                <w:rFonts w:ascii="Times New Roman" w:hAnsi="Times New Roman" w:cs="Times New Roman"/>
                <w:sz w:val="24"/>
                <w:szCs w:val="24"/>
              </w:rPr>
            </w:pPr>
            <w:r>
              <w:rPr>
                <w:rFonts w:hint="eastAsia" w:ascii="Times New Roman" w:hAnsi="Times New Roman" w:cs="Times New Roman"/>
                <w:sz w:val="24"/>
                <w:szCs w:val="24"/>
                <w:lang w:val="en-US" w:eastAsia="zh-CN"/>
              </w:rPr>
              <w:t>358支</w:t>
            </w:r>
          </w:p>
        </w:tc>
        <w:tc>
          <w:tcPr>
            <w:tcW w:w="1799" w:type="pct"/>
            <w:vMerge w:val="continue"/>
            <w:noWrap w:val="0"/>
            <w:vAlign w:val="center"/>
          </w:tcPr>
          <w:p>
            <w:pPr>
              <w:pStyle w:val="26"/>
              <w:adjustRightInd w:val="0"/>
              <w:spacing w:line="312"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8" w:type="pct"/>
            <w:noWrap w:val="0"/>
            <w:vAlign w:val="center"/>
          </w:tcPr>
          <w:p>
            <w:pPr>
              <w:pStyle w:val="26"/>
              <w:adjustRightInd w:val="0"/>
              <w:spacing w:line="312"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116" w:type="pct"/>
            <w:noWrap w:val="0"/>
            <w:vAlign w:val="center"/>
          </w:tcPr>
          <w:p>
            <w:pPr>
              <w:pStyle w:val="26"/>
              <w:adjustRightInd w:val="0"/>
              <w:spacing w:line="312"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壁挂高清展台</w:t>
            </w:r>
          </w:p>
        </w:tc>
        <w:tc>
          <w:tcPr>
            <w:tcW w:w="655" w:type="pct"/>
            <w:noWrap w:val="0"/>
            <w:vAlign w:val="center"/>
          </w:tcPr>
          <w:p>
            <w:pPr>
              <w:pStyle w:val="26"/>
              <w:adjustRightInd w:val="0"/>
              <w:spacing w:line="312" w:lineRule="auto"/>
              <w:jc w:val="center"/>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358</w:t>
            </w:r>
            <w:r>
              <w:rPr>
                <w:rFonts w:hint="eastAsia" w:ascii="Times New Roman" w:hAnsi="Times New Roman" w:cs="Times New Roman"/>
                <w:sz w:val="24"/>
                <w:szCs w:val="24"/>
                <w:lang w:eastAsia="zh-CN"/>
              </w:rPr>
              <w:t>套</w:t>
            </w:r>
          </w:p>
        </w:tc>
        <w:tc>
          <w:tcPr>
            <w:tcW w:w="1799" w:type="pct"/>
            <w:vMerge w:val="continue"/>
            <w:noWrap w:val="0"/>
            <w:vAlign w:val="center"/>
          </w:tcPr>
          <w:p>
            <w:pPr>
              <w:pStyle w:val="26"/>
              <w:adjustRightInd w:val="0"/>
              <w:spacing w:line="312"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8" w:type="pct"/>
            <w:noWrap w:val="0"/>
            <w:vAlign w:val="center"/>
          </w:tcPr>
          <w:p>
            <w:pPr>
              <w:pStyle w:val="26"/>
              <w:adjustRightInd w:val="0"/>
              <w:spacing w:line="312"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116" w:type="pct"/>
            <w:noWrap w:val="0"/>
            <w:vAlign w:val="center"/>
          </w:tcPr>
          <w:p>
            <w:pPr>
              <w:pStyle w:val="26"/>
              <w:adjustRightInd w:val="0"/>
              <w:spacing w:line="312"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双层推拉式黑板</w:t>
            </w:r>
          </w:p>
        </w:tc>
        <w:tc>
          <w:tcPr>
            <w:tcW w:w="655" w:type="pct"/>
            <w:noWrap w:val="0"/>
            <w:vAlign w:val="center"/>
          </w:tcPr>
          <w:p>
            <w:pPr>
              <w:pStyle w:val="26"/>
              <w:adjustRightInd w:val="0"/>
              <w:spacing w:line="312" w:lineRule="auto"/>
              <w:jc w:val="center"/>
              <w:rPr>
                <w:rFonts w:ascii="Times New Roman" w:hAnsi="Times New Roman" w:cs="Times New Roman"/>
                <w:sz w:val="24"/>
                <w:szCs w:val="24"/>
              </w:rPr>
            </w:pPr>
            <w:r>
              <w:rPr>
                <w:rFonts w:hint="eastAsia" w:ascii="Times New Roman" w:hAnsi="Times New Roman" w:cs="Times New Roman"/>
                <w:sz w:val="24"/>
                <w:szCs w:val="24"/>
                <w:lang w:val="en-US" w:eastAsia="zh-CN"/>
              </w:rPr>
              <w:t>358</w:t>
            </w:r>
            <w:r>
              <w:rPr>
                <w:rFonts w:ascii="Times New Roman" w:hAnsi="Times New Roman" w:cs="Times New Roman"/>
                <w:sz w:val="24"/>
                <w:szCs w:val="24"/>
              </w:rPr>
              <w:t>套</w:t>
            </w:r>
          </w:p>
        </w:tc>
        <w:tc>
          <w:tcPr>
            <w:tcW w:w="1799" w:type="pct"/>
            <w:vMerge w:val="continue"/>
            <w:noWrap w:val="0"/>
            <w:vAlign w:val="center"/>
          </w:tcPr>
          <w:p>
            <w:pPr>
              <w:pStyle w:val="26"/>
              <w:adjustRightInd w:val="0"/>
              <w:spacing w:line="312"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8" w:type="pct"/>
            <w:noWrap w:val="0"/>
            <w:vAlign w:val="center"/>
          </w:tcPr>
          <w:p>
            <w:pPr>
              <w:pStyle w:val="26"/>
              <w:adjustRightInd w:val="0"/>
              <w:spacing w:line="312"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116" w:type="pct"/>
            <w:noWrap w:val="0"/>
            <w:vAlign w:val="center"/>
          </w:tcPr>
          <w:p>
            <w:pPr>
              <w:pStyle w:val="26"/>
              <w:adjustRightInd w:val="0"/>
              <w:spacing w:line="312"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漏电保护器</w:t>
            </w:r>
          </w:p>
        </w:tc>
        <w:tc>
          <w:tcPr>
            <w:tcW w:w="655" w:type="pct"/>
            <w:noWrap w:val="0"/>
            <w:vAlign w:val="center"/>
          </w:tcPr>
          <w:p>
            <w:pPr>
              <w:pStyle w:val="26"/>
              <w:adjustRightInd w:val="0"/>
              <w:spacing w:line="312" w:lineRule="auto"/>
              <w:jc w:val="center"/>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358</w:t>
            </w:r>
            <w:r>
              <w:rPr>
                <w:rFonts w:hint="eastAsia" w:ascii="Times New Roman" w:hAnsi="Times New Roman" w:cs="Times New Roman"/>
                <w:sz w:val="24"/>
                <w:szCs w:val="24"/>
                <w:lang w:eastAsia="zh-CN"/>
              </w:rPr>
              <w:t>个</w:t>
            </w:r>
          </w:p>
        </w:tc>
        <w:tc>
          <w:tcPr>
            <w:tcW w:w="1799" w:type="pct"/>
            <w:vMerge w:val="continue"/>
            <w:noWrap w:val="0"/>
            <w:vAlign w:val="center"/>
          </w:tcPr>
          <w:p>
            <w:pPr>
              <w:pStyle w:val="26"/>
              <w:adjustRightInd w:val="0"/>
              <w:spacing w:line="312"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8" w:type="pct"/>
            <w:noWrap w:val="0"/>
            <w:vAlign w:val="center"/>
          </w:tcPr>
          <w:p>
            <w:pPr>
              <w:pStyle w:val="26"/>
              <w:adjustRightInd w:val="0"/>
              <w:spacing w:line="312"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116" w:type="pct"/>
            <w:noWrap w:val="0"/>
            <w:vAlign w:val="center"/>
          </w:tcPr>
          <w:p>
            <w:pPr>
              <w:pStyle w:val="26"/>
              <w:adjustRightInd w:val="0"/>
              <w:spacing w:line="312"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附件</w:t>
            </w:r>
          </w:p>
        </w:tc>
        <w:tc>
          <w:tcPr>
            <w:tcW w:w="655" w:type="pct"/>
            <w:noWrap w:val="0"/>
            <w:vAlign w:val="center"/>
          </w:tcPr>
          <w:p>
            <w:pPr>
              <w:pStyle w:val="26"/>
              <w:adjustRightInd w:val="0"/>
              <w:spacing w:line="312" w:lineRule="auto"/>
              <w:jc w:val="center"/>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358</w:t>
            </w:r>
            <w:r>
              <w:rPr>
                <w:rFonts w:hint="eastAsia" w:ascii="Times New Roman" w:hAnsi="Times New Roman" w:cs="Times New Roman"/>
                <w:sz w:val="24"/>
                <w:szCs w:val="24"/>
                <w:lang w:eastAsia="zh-CN"/>
              </w:rPr>
              <w:t>项</w:t>
            </w:r>
          </w:p>
        </w:tc>
        <w:tc>
          <w:tcPr>
            <w:tcW w:w="1799" w:type="pct"/>
            <w:vMerge w:val="continue"/>
            <w:noWrap w:val="0"/>
            <w:vAlign w:val="center"/>
          </w:tcPr>
          <w:p>
            <w:pPr>
              <w:pStyle w:val="26"/>
              <w:adjustRightInd w:val="0"/>
              <w:spacing w:line="312"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8" w:type="pct"/>
            <w:noWrap w:val="0"/>
            <w:vAlign w:val="center"/>
          </w:tcPr>
          <w:p>
            <w:pPr>
              <w:pStyle w:val="26"/>
              <w:adjustRightInd w:val="0"/>
              <w:spacing w:line="312" w:lineRule="auto"/>
              <w:jc w:val="center"/>
              <w:rPr>
                <w:rFonts w:ascii="Times New Roman" w:hAnsi="Times New Roman" w:cs="Times New Roman"/>
                <w:sz w:val="24"/>
                <w:szCs w:val="24"/>
              </w:rPr>
            </w:pPr>
          </w:p>
        </w:tc>
        <w:tc>
          <w:tcPr>
            <w:tcW w:w="2116" w:type="pct"/>
            <w:noWrap w:val="0"/>
            <w:vAlign w:val="center"/>
          </w:tcPr>
          <w:p>
            <w:pPr>
              <w:pStyle w:val="26"/>
              <w:adjustRightInd w:val="0"/>
              <w:spacing w:line="312" w:lineRule="auto"/>
              <w:jc w:val="center"/>
              <w:rPr>
                <w:rFonts w:ascii="Times New Roman" w:hAnsi="Times New Roman" w:cs="Times New Roman"/>
                <w:sz w:val="24"/>
                <w:szCs w:val="24"/>
              </w:rPr>
            </w:pPr>
          </w:p>
        </w:tc>
        <w:tc>
          <w:tcPr>
            <w:tcW w:w="655" w:type="pct"/>
            <w:noWrap w:val="0"/>
            <w:vAlign w:val="center"/>
          </w:tcPr>
          <w:p>
            <w:pPr>
              <w:pStyle w:val="26"/>
              <w:adjustRightInd w:val="0"/>
              <w:spacing w:line="312" w:lineRule="auto"/>
              <w:jc w:val="center"/>
              <w:rPr>
                <w:rFonts w:ascii="Times New Roman" w:hAnsi="Times New Roman" w:cs="Times New Roman"/>
                <w:sz w:val="24"/>
                <w:szCs w:val="24"/>
              </w:rPr>
            </w:pPr>
          </w:p>
        </w:tc>
        <w:tc>
          <w:tcPr>
            <w:tcW w:w="1799" w:type="pct"/>
            <w:vMerge w:val="continue"/>
            <w:noWrap w:val="0"/>
            <w:vAlign w:val="center"/>
          </w:tcPr>
          <w:p>
            <w:pPr>
              <w:pStyle w:val="26"/>
              <w:adjustRightInd w:val="0"/>
              <w:spacing w:line="312" w:lineRule="auto"/>
              <w:jc w:val="center"/>
              <w:rPr>
                <w:rFonts w:ascii="Times New Roman" w:hAnsi="Times New Roman" w:cs="Times New Roman"/>
                <w:sz w:val="24"/>
                <w:szCs w:val="24"/>
              </w:rPr>
            </w:pPr>
          </w:p>
        </w:tc>
      </w:tr>
    </w:tbl>
    <w:p>
      <w:pPr>
        <w:spacing w:line="312" w:lineRule="auto"/>
      </w:pPr>
    </w:p>
    <w:bookmarkEnd w:id="40"/>
    <w:p>
      <w:pPr>
        <w:pStyle w:val="4"/>
        <w:widowControl w:val="0"/>
        <w:spacing w:before="120" w:after="120" w:line="312" w:lineRule="auto"/>
        <w:jc w:val="both"/>
        <w:rPr>
          <w:rFonts w:ascii="Times New Roman" w:hAnsi="Times New Roman" w:eastAsia="宋体"/>
          <w:bCs w:val="0"/>
          <w:sz w:val="24"/>
          <w:szCs w:val="24"/>
        </w:rPr>
      </w:pPr>
      <w:bookmarkStart w:id="47" w:name="_Toc37951772"/>
      <w:bookmarkStart w:id="48" w:name="_Toc511291243"/>
      <w:bookmarkStart w:id="49" w:name="_Toc519089551"/>
      <w:bookmarkStart w:id="50" w:name="_Toc132635742"/>
      <w:bookmarkStart w:id="51" w:name="_Toc132635584"/>
      <w:bookmarkStart w:id="52" w:name="_Toc12525"/>
      <w:bookmarkStart w:id="53" w:name="_Toc132635987"/>
      <w:r>
        <w:rPr>
          <w:rFonts w:ascii="Times New Roman" w:hAnsi="Times New Roman" w:eastAsia="宋体"/>
          <w:bCs w:val="0"/>
          <w:sz w:val="24"/>
          <w:szCs w:val="24"/>
        </w:rPr>
        <w:t>二、</w:t>
      </w:r>
      <w:bookmarkEnd w:id="47"/>
      <w:bookmarkEnd w:id="48"/>
      <w:bookmarkEnd w:id="49"/>
      <w:r>
        <w:rPr>
          <w:rFonts w:ascii="Times New Roman" w:hAnsi="Times New Roman" w:eastAsia="宋体"/>
          <w:bCs w:val="0"/>
          <w:sz w:val="24"/>
          <w:szCs w:val="24"/>
        </w:rPr>
        <w:t>详细技术规范和功能要求</w:t>
      </w:r>
      <w:bookmarkEnd w:id="50"/>
      <w:bookmarkEnd w:id="51"/>
      <w:bookmarkEnd w:id="52"/>
      <w:bookmarkEnd w:id="53"/>
    </w:p>
    <w:tbl>
      <w:tblPr>
        <w:tblStyle w:val="52"/>
        <w:tblW w:w="9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877"/>
        <w:gridCol w:w="6939"/>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spacing w:line="312" w:lineRule="auto"/>
              <w:jc w:val="center"/>
              <w:rPr>
                <w:sz w:val="24"/>
                <w:szCs w:val="24"/>
              </w:rPr>
            </w:pPr>
            <w:r>
              <w:rPr>
                <w:sz w:val="24"/>
                <w:szCs w:val="24"/>
              </w:rPr>
              <w:t>序号</w:t>
            </w:r>
          </w:p>
        </w:tc>
        <w:tc>
          <w:tcPr>
            <w:tcW w:w="877" w:type="dxa"/>
            <w:vAlign w:val="center"/>
          </w:tcPr>
          <w:p>
            <w:pPr>
              <w:spacing w:line="312" w:lineRule="auto"/>
              <w:jc w:val="center"/>
              <w:rPr>
                <w:sz w:val="24"/>
                <w:szCs w:val="24"/>
              </w:rPr>
            </w:pPr>
            <w:r>
              <w:rPr>
                <w:sz w:val="24"/>
                <w:szCs w:val="24"/>
              </w:rPr>
              <w:t>名称</w:t>
            </w:r>
          </w:p>
        </w:tc>
        <w:tc>
          <w:tcPr>
            <w:tcW w:w="6939" w:type="dxa"/>
            <w:vAlign w:val="center"/>
          </w:tcPr>
          <w:p>
            <w:pPr>
              <w:spacing w:line="312" w:lineRule="auto"/>
              <w:jc w:val="center"/>
              <w:rPr>
                <w:sz w:val="24"/>
                <w:szCs w:val="24"/>
              </w:rPr>
            </w:pPr>
            <w:r>
              <w:rPr>
                <w:sz w:val="24"/>
                <w:szCs w:val="24"/>
              </w:rPr>
              <w:t>技术参数</w:t>
            </w:r>
          </w:p>
        </w:tc>
        <w:tc>
          <w:tcPr>
            <w:tcW w:w="997" w:type="dxa"/>
            <w:vAlign w:val="center"/>
          </w:tcPr>
          <w:p>
            <w:pPr>
              <w:spacing w:line="312" w:lineRule="auto"/>
              <w:jc w:val="center"/>
              <w:rPr>
                <w:rFonts w:hint="eastAsia" w:eastAsia="宋体"/>
                <w:sz w:val="24"/>
                <w:szCs w:val="24"/>
                <w:lang w:eastAsia="zh-CN"/>
              </w:rPr>
            </w:pPr>
            <w:r>
              <w:rPr>
                <w:rFonts w:hint="eastAsia"/>
                <w:sz w:val="24"/>
                <w:szCs w:val="24"/>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pStyle w:val="90"/>
              <w:spacing w:line="312" w:lineRule="auto"/>
              <w:ind w:left="0" w:leftChars="0" w:firstLine="240" w:firstLineChars="100"/>
              <w:jc w:val="both"/>
              <w:rPr>
                <w:rFonts w:ascii="Times New Roman" w:hAnsi="Times New Roman"/>
                <w:sz w:val="24"/>
                <w:szCs w:val="24"/>
              </w:rPr>
            </w:pPr>
            <w:r>
              <w:rPr>
                <w:rFonts w:ascii="Times New Roman" w:hAnsi="Times New Roman"/>
                <w:sz w:val="24"/>
                <w:szCs w:val="24"/>
              </w:rPr>
              <w:t>1</w:t>
            </w:r>
          </w:p>
        </w:tc>
        <w:tc>
          <w:tcPr>
            <w:tcW w:w="877" w:type="dxa"/>
            <w:vAlign w:val="center"/>
          </w:tcPr>
          <w:p>
            <w:pPr>
              <w:spacing w:line="312" w:lineRule="auto"/>
              <w:rPr>
                <w:sz w:val="24"/>
                <w:szCs w:val="24"/>
              </w:rPr>
            </w:pPr>
            <w:r>
              <w:rPr>
                <w:sz w:val="24"/>
                <w:szCs w:val="24"/>
              </w:rPr>
              <w:t>多媒体触控一体机</w:t>
            </w:r>
          </w:p>
        </w:tc>
        <w:tc>
          <w:tcPr>
            <w:tcW w:w="6939" w:type="dxa"/>
          </w:tcPr>
          <w:p>
            <w:pPr>
              <w:spacing w:line="312" w:lineRule="auto"/>
              <w:rPr>
                <w:b/>
                <w:bCs/>
                <w:sz w:val="24"/>
                <w:szCs w:val="24"/>
              </w:rPr>
            </w:pPr>
            <w:r>
              <w:rPr>
                <w:b/>
                <w:bCs/>
                <w:sz w:val="24"/>
                <w:szCs w:val="24"/>
              </w:rPr>
              <w:t>（一）屏体规格</w:t>
            </w:r>
          </w:p>
          <w:p>
            <w:pPr>
              <w:spacing w:line="312" w:lineRule="auto"/>
              <w:rPr>
                <w:sz w:val="24"/>
                <w:szCs w:val="24"/>
              </w:rPr>
            </w:pPr>
            <w:r>
              <w:rPr>
                <w:sz w:val="24"/>
                <w:szCs w:val="24"/>
              </w:rPr>
              <w:t>1.★尺寸:≥86英寸, LED背光,液晶A规屏；</w:t>
            </w:r>
          </w:p>
          <w:p>
            <w:pPr>
              <w:spacing w:line="312" w:lineRule="auto"/>
              <w:rPr>
                <w:sz w:val="24"/>
                <w:szCs w:val="24"/>
              </w:rPr>
            </w:pPr>
            <w:r>
              <w:rPr>
                <w:sz w:val="24"/>
                <w:szCs w:val="24"/>
              </w:rPr>
              <w:t>2.屏幕物理分辨率:≥3840*2160；</w:t>
            </w:r>
          </w:p>
          <w:p>
            <w:pPr>
              <w:spacing w:line="312" w:lineRule="auto"/>
              <w:rPr>
                <w:sz w:val="24"/>
                <w:szCs w:val="24"/>
              </w:rPr>
            </w:pPr>
            <w:r>
              <w:rPr>
                <w:sz w:val="24"/>
                <w:szCs w:val="24"/>
              </w:rPr>
              <w:t>3.全屏显示比例16:9或16:10</w:t>
            </w:r>
            <w:r>
              <w:rPr>
                <w:rFonts w:hint="eastAsia"/>
                <w:sz w:val="24"/>
                <w:szCs w:val="24"/>
              </w:rPr>
              <w:t>；</w:t>
            </w:r>
          </w:p>
          <w:p>
            <w:pPr>
              <w:pStyle w:val="51"/>
              <w:ind w:left="0" w:leftChars="0" w:firstLine="0" w:firstLineChars="0"/>
              <w:jc w:val="both"/>
              <w:rPr>
                <w:sz w:val="24"/>
                <w:szCs w:val="24"/>
                <w:lang w:val="en-US" w:eastAsia="zh-CN"/>
              </w:rPr>
            </w:pPr>
            <w:r>
              <w:rPr>
                <w:rFonts w:hint="eastAsia"/>
                <w:sz w:val="24"/>
                <w:szCs w:val="24"/>
                <w:lang w:val="en-US" w:eastAsia="zh-CN"/>
              </w:rPr>
              <w:t>4.屏幕表面采用钢化玻璃全贴合或零贴合生产技术规范标准，防撞防划，具备防眩光效果</w:t>
            </w:r>
            <w:r>
              <w:rPr>
                <w:sz w:val="24"/>
                <w:szCs w:val="24"/>
                <w:lang w:val="en-US" w:eastAsia="zh-CN"/>
              </w:rPr>
              <w:t>。</w:t>
            </w:r>
          </w:p>
          <w:p>
            <w:pPr>
              <w:spacing w:line="312" w:lineRule="auto"/>
              <w:rPr>
                <w:b/>
                <w:bCs/>
                <w:sz w:val="24"/>
                <w:szCs w:val="24"/>
              </w:rPr>
            </w:pPr>
            <w:r>
              <w:rPr>
                <w:b/>
                <w:bCs/>
                <w:sz w:val="24"/>
                <w:szCs w:val="24"/>
              </w:rPr>
              <w:t>（二）整机外观</w:t>
            </w:r>
          </w:p>
          <w:p>
            <w:pPr>
              <w:spacing w:line="312" w:lineRule="auto"/>
              <w:rPr>
                <w:sz w:val="24"/>
                <w:szCs w:val="24"/>
              </w:rPr>
            </w:pPr>
            <w:r>
              <w:rPr>
                <w:sz w:val="24"/>
                <w:szCs w:val="24"/>
              </w:rPr>
              <w:t>1.要求整机外壳采用金属材质,抗撞抗划抗腐蚀；表面无尖锐边缘或凸起,保证师生安全使用；</w:t>
            </w:r>
          </w:p>
          <w:p>
            <w:pPr>
              <w:spacing w:line="312" w:lineRule="auto"/>
              <w:rPr>
                <w:sz w:val="24"/>
                <w:szCs w:val="24"/>
              </w:rPr>
            </w:pPr>
            <w:r>
              <w:rPr>
                <w:sz w:val="24"/>
                <w:szCs w:val="24"/>
              </w:rPr>
              <w:t>2.采用全物理防眩光钢化玻璃，钢化玻璃厚度≤</w:t>
            </w:r>
            <w:r>
              <w:rPr>
                <w:rFonts w:hint="eastAsia"/>
                <w:sz w:val="24"/>
                <w:szCs w:val="24"/>
              </w:rPr>
              <w:t>3.5</w:t>
            </w:r>
            <w:r>
              <w:rPr>
                <w:sz w:val="24"/>
                <w:szCs w:val="24"/>
              </w:rPr>
              <w:t>mm，钢化玻璃表面硬度≥9H；屏体表面因磨耗而引起的雾度≤2%，符合GB/T 5137.1-2002和JC/T 2130-2012标准（提供</w:t>
            </w:r>
            <w:r>
              <w:rPr>
                <w:rFonts w:hint="eastAsia"/>
                <w:sz w:val="24"/>
                <w:szCs w:val="24"/>
              </w:rPr>
              <w:t>第三方</w:t>
            </w:r>
            <w:r>
              <w:rPr>
                <w:sz w:val="24"/>
                <w:szCs w:val="24"/>
              </w:rPr>
              <w:t>检测机构出具的包含以上内容且能符合以上所有参数标准的检测报告扫描件加盖投标单位电子签章）；</w:t>
            </w:r>
          </w:p>
          <w:p>
            <w:pPr>
              <w:spacing w:line="312" w:lineRule="auto"/>
              <w:rPr>
                <w:sz w:val="24"/>
                <w:szCs w:val="24"/>
              </w:rPr>
            </w:pPr>
            <w:r>
              <w:rPr>
                <w:sz w:val="24"/>
                <w:szCs w:val="24"/>
              </w:rPr>
              <w:t xml:space="preserve">3.具备抗强光干扰性能，保证在100K LUX照度的光照下正常触控、书写； </w:t>
            </w:r>
          </w:p>
          <w:p>
            <w:pPr>
              <w:pStyle w:val="51"/>
              <w:spacing w:line="312" w:lineRule="auto"/>
              <w:ind w:left="0" w:leftChars="0" w:firstLine="0" w:firstLineChars="0"/>
              <w:rPr>
                <w:sz w:val="24"/>
                <w:szCs w:val="24"/>
                <w:lang w:val="en-US" w:eastAsia="zh-CN"/>
              </w:rPr>
            </w:pPr>
            <w:r>
              <w:rPr>
                <w:sz w:val="24"/>
                <w:szCs w:val="24"/>
                <w:lang w:val="en-US" w:eastAsia="zh-CN"/>
              </w:rPr>
              <w:t>4.整机内置音箱，额定功率≥</w:t>
            </w:r>
            <w:r>
              <w:rPr>
                <w:rFonts w:hint="eastAsia"/>
                <w:sz w:val="24"/>
                <w:szCs w:val="24"/>
                <w:lang w:val="en-US" w:eastAsia="zh-CN"/>
              </w:rPr>
              <w:t>60</w:t>
            </w:r>
            <w:r>
              <w:rPr>
                <w:sz w:val="24"/>
                <w:szCs w:val="24"/>
                <w:lang w:val="en-US" w:eastAsia="zh-CN"/>
              </w:rPr>
              <w:t>W。</w:t>
            </w:r>
          </w:p>
          <w:p>
            <w:pPr>
              <w:pStyle w:val="51"/>
              <w:spacing w:line="312" w:lineRule="auto"/>
              <w:ind w:left="0" w:leftChars="0" w:firstLine="0" w:firstLineChars="0"/>
              <w:rPr>
                <w:b/>
                <w:bCs/>
                <w:sz w:val="24"/>
                <w:szCs w:val="24"/>
                <w:lang w:val="en-US" w:eastAsia="zh-CN"/>
              </w:rPr>
            </w:pPr>
            <w:r>
              <w:rPr>
                <w:b/>
                <w:bCs/>
                <w:sz w:val="24"/>
                <w:szCs w:val="24"/>
                <w:lang w:val="en-US" w:eastAsia="zh-CN"/>
              </w:rPr>
              <w:t>（三）硬件系统</w:t>
            </w:r>
          </w:p>
          <w:p>
            <w:pPr>
              <w:spacing w:line="312" w:lineRule="auto"/>
              <w:rPr>
                <w:sz w:val="24"/>
                <w:szCs w:val="24"/>
              </w:rPr>
            </w:pPr>
            <w:r>
              <w:rPr>
                <w:sz w:val="24"/>
                <w:szCs w:val="24"/>
              </w:rPr>
              <w:t>1.交互平板要求使用Windows和Android双系统架构并存设计方案；</w:t>
            </w:r>
          </w:p>
          <w:p>
            <w:pPr>
              <w:spacing w:line="312" w:lineRule="auto"/>
              <w:rPr>
                <w:sz w:val="24"/>
                <w:szCs w:val="24"/>
              </w:rPr>
            </w:pPr>
            <w:r>
              <w:rPr>
                <w:sz w:val="24"/>
                <w:szCs w:val="24"/>
              </w:rPr>
              <w:t>2.整机架构:要求使用插拔式</w:t>
            </w:r>
            <w:r>
              <w:rPr>
                <w:rFonts w:hint="eastAsia"/>
                <w:sz w:val="24"/>
                <w:szCs w:val="24"/>
              </w:rPr>
              <w:t>或按压卡扣式</w:t>
            </w:r>
            <w:r>
              <w:rPr>
                <w:sz w:val="24"/>
                <w:szCs w:val="24"/>
              </w:rPr>
              <w:t>模块电脑架构(不接受外挂盒模式)；</w:t>
            </w:r>
          </w:p>
          <w:p>
            <w:pPr>
              <w:spacing w:line="312" w:lineRule="auto"/>
              <w:rPr>
                <w:sz w:val="24"/>
                <w:szCs w:val="24"/>
              </w:rPr>
            </w:pPr>
            <w:r>
              <w:rPr>
                <w:sz w:val="24"/>
                <w:szCs w:val="24"/>
              </w:rPr>
              <w:t>3.主板支持无盘启动、网络唤醒、上电开机、看门狗功能；</w:t>
            </w:r>
          </w:p>
          <w:p>
            <w:pPr>
              <w:spacing w:line="312" w:lineRule="auto"/>
              <w:rPr>
                <w:sz w:val="24"/>
                <w:szCs w:val="24"/>
              </w:rPr>
            </w:pPr>
            <w:r>
              <w:rPr>
                <w:sz w:val="24"/>
                <w:szCs w:val="24"/>
              </w:rPr>
              <w:t>4.整机内置无线网络模块</w:t>
            </w:r>
            <w:r>
              <w:rPr>
                <w:rFonts w:hint="eastAsia"/>
                <w:sz w:val="24"/>
                <w:szCs w:val="24"/>
              </w:rPr>
              <w:t>和路由模块</w:t>
            </w:r>
            <w:r>
              <w:rPr>
                <w:sz w:val="24"/>
                <w:szCs w:val="24"/>
              </w:rPr>
              <w:t>，PC模块无任何外接或转接天线、网卡可同时实现Wi-Fi无线上网连接。Wi-Fi支持双频2.4G &amp; 5G ，</w:t>
            </w:r>
            <w:r>
              <w:rPr>
                <w:rFonts w:hint="eastAsia"/>
                <w:sz w:val="24"/>
                <w:szCs w:val="24"/>
              </w:rPr>
              <w:t>满足</w:t>
            </w:r>
            <w:r>
              <w:rPr>
                <w:sz w:val="24"/>
                <w:szCs w:val="24"/>
              </w:rPr>
              <w:t>IEEE 802.11 a/b/g/n/ac</w:t>
            </w:r>
            <w:r>
              <w:rPr>
                <w:rFonts w:hint="eastAsia"/>
                <w:sz w:val="24"/>
                <w:szCs w:val="24"/>
              </w:rPr>
              <w:t>/ax标准，支持wifi6；</w:t>
            </w:r>
          </w:p>
          <w:p>
            <w:pPr>
              <w:spacing w:line="312" w:lineRule="auto"/>
              <w:rPr>
                <w:sz w:val="24"/>
                <w:szCs w:val="24"/>
              </w:rPr>
            </w:pPr>
            <w:r>
              <w:rPr>
                <w:sz w:val="24"/>
                <w:szCs w:val="24"/>
              </w:rPr>
              <w:t>5.整机配备高清</w:t>
            </w:r>
            <w:r>
              <w:rPr>
                <w:rFonts w:hint="eastAsia"/>
                <w:sz w:val="24"/>
                <w:szCs w:val="24"/>
              </w:rPr>
              <w:t>广角</w:t>
            </w:r>
            <w:r>
              <w:rPr>
                <w:sz w:val="24"/>
                <w:szCs w:val="24"/>
              </w:rPr>
              <w:t>摄像头，拍摄像素≥</w:t>
            </w:r>
            <w:r>
              <w:rPr>
                <w:rFonts w:hint="eastAsia"/>
                <w:sz w:val="24"/>
                <w:szCs w:val="24"/>
              </w:rPr>
              <w:t>12</w:t>
            </w:r>
            <w:r>
              <w:rPr>
                <w:sz w:val="24"/>
                <w:szCs w:val="24"/>
              </w:rPr>
              <w:t>00万；</w:t>
            </w:r>
          </w:p>
          <w:p>
            <w:pPr>
              <w:spacing w:line="312" w:lineRule="auto"/>
              <w:rPr>
                <w:sz w:val="24"/>
                <w:szCs w:val="24"/>
              </w:rPr>
            </w:pPr>
            <w:r>
              <w:rPr>
                <w:sz w:val="24"/>
                <w:szCs w:val="24"/>
              </w:rPr>
              <w:t>6.整机配备麦克风，可用于一键录屏对教室环境音频进行采集；</w:t>
            </w:r>
          </w:p>
          <w:p>
            <w:pPr>
              <w:spacing w:line="312" w:lineRule="auto"/>
              <w:rPr>
                <w:sz w:val="24"/>
                <w:szCs w:val="24"/>
              </w:rPr>
            </w:pPr>
            <w:r>
              <w:rPr>
                <w:sz w:val="24"/>
                <w:szCs w:val="24"/>
              </w:rPr>
              <w:t>7.支持护眼模式，可通过触摸菜单按键或物理按键启用护眼模式（提供</w:t>
            </w:r>
            <w:r>
              <w:rPr>
                <w:rFonts w:hint="eastAsia"/>
                <w:sz w:val="24"/>
                <w:szCs w:val="24"/>
              </w:rPr>
              <w:t>第三方</w:t>
            </w:r>
            <w:r>
              <w:rPr>
                <w:sz w:val="24"/>
                <w:szCs w:val="24"/>
              </w:rPr>
              <w:t>检测机构出具的能实现以上功能的检测报告扫描件加盖投标单位电子签章）；</w:t>
            </w:r>
          </w:p>
          <w:p>
            <w:pPr>
              <w:spacing w:line="312" w:lineRule="auto"/>
              <w:rPr>
                <w:sz w:val="24"/>
                <w:szCs w:val="24"/>
              </w:rPr>
            </w:pPr>
            <w:r>
              <w:rPr>
                <w:sz w:val="24"/>
                <w:szCs w:val="24"/>
              </w:rPr>
              <w:t>8.具有防蓝光设计，有效抗蓝光、防眩光，无危害（提供</w:t>
            </w:r>
            <w:r>
              <w:rPr>
                <w:rFonts w:hint="eastAsia"/>
                <w:sz w:val="24"/>
                <w:szCs w:val="24"/>
              </w:rPr>
              <w:t>第三方</w:t>
            </w:r>
            <w:r>
              <w:rPr>
                <w:sz w:val="24"/>
                <w:szCs w:val="24"/>
              </w:rPr>
              <w:t>检测机构出具的能实现以上功能的检测报告</w:t>
            </w:r>
            <w:r>
              <w:rPr>
                <w:rFonts w:hint="eastAsia"/>
                <w:sz w:val="24"/>
                <w:szCs w:val="24"/>
              </w:rPr>
              <w:t>或证书</w:t>
            </w:r>
            <w:r>
              <w:rPr>
                <w:sz w:val="24"/>
                <w:szCs w:val="24"/>
              </w:rPr>
              <w:t xml:space="preserve">扫描件加盖投标单位电子签章）； </w:t>
            </w:r>
          </w:p>
          <w:p>
            <w:pPr>
              <w:spacing w:line="312" w:lineRule="auto"/>
              <w:rPr>
                <w:sz w:val="24"/>
                <w:szCs w:val="24"/>
              </w:rPr>
            </w:pPr>
            <w:r>
              <w:rPr>
                <w:sz w:val="24"/>
                <w:szCs w:val="24"/>
              </w:rPr>
              <w:t>9.整机具备抗振动、防跌落特性，浪涌（冲击）抗扰度满足GB/T 17626.5-2019标准，电快速瞬变脉冲群抗扰度试验满足GB/T 17626.4-2018标准（提供</w:t>
            </w:r>
            <w:r>
              <w:rPr>
                <w:rFonts w:hint="eastAsia"/>
                <w:sz w:val="24"/>
                <w:szCs w:val="24"/>
              </w:rPr>
              <w:t>第三方</w:t>
            </w:r>
            <w:r>
              <w:rPr>
                <w:sz w:val="24"/>
                <w:szCs w:val="24"/>
              </w:rPr>
              <w:t>检测机构出具符合以上标准的检测报告扫描件加盖投标单位电子签章）；</w:t>
            </w:r>
          </w:p>
          <w:p>
            <w:pPr>
              <w:spacing w:line="312" w:lineRule="auto"/>
              <w:rPr>
                <w:color w:val="auto"/>
                <w:sz w:val="24"/>
                <w:szCs w:val="24"/>
              </w:rPr>
            </w:pPr>
            <w:r>
              <w:rPr>
                <w:color w:val="auto"/>
                <w:sz w:val="24"/>
                <w:szCs w:val="24"/>
              </w:rPr>
              <w:t>10.处理器</w:t>
            </w:r>
            <w:r>
              <w:rPr>
                <w:rFonts w:hint="eastAsia"/>
                <w:color w:val="auto"/>
                <w:sz w:val="24"/>
                <w:szCs w:val="24"/>
                <w:lang w:val="en-US" w:eastAsia="zh-CN"/>
              </w:rPr>
              <w:t>四</w:t>
            </w:r>
            <w:r>
              <w:rPr>
                <w:color w:val="auto"/>
                <w:sz w:val="24"/>
                <w:szCs w:val="24"/>
              </w:rPr>
              <w:t>核、2.</w:t>
            </w:r>
            <w:r>
              <w:rPr>
                <w:rFonts w:hint="eastAsia"/>
                <w:color w:val="auto"/>
                <w:sz w:val="24"/>
                <w:szCs w:val="24"/>
                <w:lang w:val="en-US" w:eastAsia="zh-CN"/>
              </w:rPr>
              <w:t>0</w:t>
            </w:r>
            <w:r>
              <w:rPr>
                <w:color w:val="auto"/>
                <w:sz w:val="24"/>
                <w:szCs w:val="24"/>
              </w:rPr>
              <w:t>GHz或以上</w:t>
            </w:r>
            <w:r>
              <w:rPr>
                <w:rFonts w:hint="eastAsia"/>
                <w:color w:val="auto"/>
                <w:sz w:val="24"/>
                <w:szCs w:val="24"/>
                <w:lang w:eastAsia="zh-CN"/>
              </w:rPr>
              <w:t>，</w:t>
            </w:r>
            <w:r>
              <w:rPr>
                <w:rFonts w:hint="eastAsia"/>
                <w:color w:val="auto"/>
                <w:sz w:val="24"/>
                <w:szCs w:val="24"/>
                <w:lang w:val="en-US" w:eastAsia="zh-CN"/>
              </w:rPr>
              <w:t>八线程</w:t>
            </w:r>
            <w:r>
              <w:rPr>
                <w:color w:val="auto"/>
                <w:sz w:val="24"/>
                <w:szCs w:val="24"/>
              </w:rPr>
              <w:t>；</w:t>
            </w:r>
          </w:p>
          <w:p>
            <w:pPr>
              <w:spacing w:line="312" w:lineRule="auto"/>
              <w:rPr>
                <w:sz w:val="24"/>
                <w:szCs w:val="24"/>
              </w:rPr>
            </w:pPr>
            <w:r>
              <w:rPr>
                <w:sz w:val="24"/>
                <w:szCs w:val="24"/>
              </w:rPr>
              <w:t>11.内存：≥</w:t>
            </w:r>
            <w:r>
              <w:rPr>
                <w:rFonts w:hint="eastAsia"/>
                <w:sz w:val="24"/>
                <w:szCs w:val="24"/>
                <w:lang w:val="en-US" w:eastAsia="zh-CN"/>
              </w:rPr>
              <w:t>16</w:t>
            </w:r>
            <w:r>
              <w:rPr>
                <w:sz w:val="24"/>
                <w:szCs w:val="24"/>
              </w:rPr>
              <w:t>GB；</w:t>
            </w:r>
          </w:p>
          <w:p>
            <w:pPr>
              <w:spacing w:line="312" w:lineRule="auto"/>
              <w:rPr>
                <w:sz w:val="24"/>
                <w:szCs w:val="24"/>
              </w:rPr>
            </w:pPr>
            <w:r>
              <w:rPr>
                <w:sz w:val="24"/>
                <w:szCs w:val="24"/>
              </w:rPr>
              <w:t>12.硬盘：≥256GB SSD；</w:t>
            </w:r>
          </w:p>
          <w:p>
            <w:pPr>
              <w:spacing w:line="312" w:lineRule="auto"/>
              <w:rPr>
                <w:sz w:val="24"/>
                <w:szCs w:val="24"/>
              </w:rPr>
            </w:pPr>
            <w:r>
              <w:rPr>
                <w:sz w:val="24"/>
                <w:szCs w:val="24"/>
              </w:rPr>
              <w:t>13.配备USB 无线键盘、鼠标；</w:t>
            </w:r>
          </w:p>
          <w:p>
            <w:pPr>
              <w:spacing w:line="312" w:lineRule="auto"/>
              <w:rPr>
                <w:sz w:val="24"/>
                <w:szCs w:val="24"/>
              </w:rPr>
            </w:pPr>
            <w:r>
              <w:rPr>
                <w:rFonts w:hint="eastAsia"/>
                <w:sz w:val="24"/>
                <w:szCs w:val="24"/>
              </w:rPr>
              <w:t>14.嵌入式系统版本不低于Android</w:t>
            </w:r>
            <w:r>
              <w:rPr>
                <w:sz w:val="24"/>
                <w:szCs w:val="24"/>
              </w:rPr>
              <w:t>11</w:t>
            </w:r>
            <w:r>
              <w:rPr>
                <w:rFonts w:hint="eastAsia"/>
                <w:sz w:val="24"/>
                <w:szCs w:val="24"/>
              </w:rPr>
              <w:t>.0</w:t>
            </w:r>
          </w:p>
          <w:p>
            <w:pPr>
              <w:spacing w:line="312" w:lineRule="auto"/>
              <w:rPr>
                <w:sz w:val="24"/>
                <w:szCs w:val="24"/>
              </w:rPr>
            </w:pPr>
            <w:r>
              <w:rPr>
                <w:sz w:val="24"/>
                <w:szCs w:val="24"/>
              </w:rPr>
              <w:t>1</w:t>
            </w:r>
            <w:r>
              <w:rPr>
                <w:rFonts w:hint="eastAsia"/>
                <w:sz w:val="24"/>
                <w:szCs w:val="24"/>
              </w:rPr>
              <w:t>5</w:t>
            </w:r>
            <w:r>
              <w:rPr>
                <w:sz w:val="24"/>
                <w:szCs w:val="24"/>
              </w:rPr>
              <w:t>.配有USB有线传屏器或通过无线传屏技术实现外部电脑、移动设备与多媒体触控一体机之间高清视频信号、音频信号以及触摸信号的实时传输</w:t>
            </w:r>
            <w:r>
              <w:rPr>
                <w:rFonts w:hint="eastAsia"/>
                <w:sz w:val="24"/>
                <w:szCs w:val="24"/>
              </w:rPr>
              <w:t>(本项需演示）</w:t>
            </w:r>
            <w:r>
              <w:rPr>
                <w:sz w:val="24"/>
                <w:szCs w:val="24"/>
              </w:rPr>
              <w:t>；</w:t>
            </w:r>
          </w:p>
          <w:p>
            <w:pPr>
              <w:spacing w:line="312" w:lineRule="auto"/>
              <w:rPr>
                <w:sz w:val="24"/>
                <w:szCs w:val="24"/>
              </w:rPr>
            </w:pPr>
            <w:r>
              <w:rPr>
                <w:sz w:val="24"/>
                <w:szCs w:val="24"/>
              </w:rPr>
              <w:t>1</w:t>
            </w:r>
            <w:r>
              <w:rPr>
                <w:rFonts w:hint="eastAsia"/>
                <w:sz w:val="24"/>
                <w:szCs w:val="24"/>
              </w:rPr>
              <w:t>6</w:t>
            </w:r>
            <w:r>
              <w:rPr>
                <w:sz w:val="24"/>
                <w:szCs w:val="24"/>
              </w:rPr>
              <w:t>.提供1路HDMI高清输入接口(标准HDMI接口)，前置面板提供3路USB接口,其中一路为USB3.0接口为windows与Android双读取，提供1路TypeC接口。</w:t>
            </w:r>
          </w:p>
          <w:p>
            <w:pPr>
              <w:spacing w:line="312" w:lineRule="auto"/>
              <w:rPr>
                <w:b/>
                <w:bCs/>
                <w:sz w:val="24"/>
                <w:szCs w:val="24"/>
              </w:rPr>
            </w:pPr>
            <w:r>
              <w:rPr>
                <w:b/>
                <w:bCs/>
                <w:sz w:val="24"/>
                <w:szCs w:val="24"/>
              </w:rPr>
              <w:t>（四）触控性能</w:t>
            </w:r>
          </w:p>
          <w:p>
            <w:pPr>
              <w:spacing w:line="312" w:lineRule="auto"/>
              <w:rPr>
                <w:sz w:val="24"/>
                <w:szCs w:val="24"/>
              </w:rPr>
            </w:pPr>
            <w:r>
              <w:rPr>
                <w:sz w:val="24"/>
                <w:szCs w:val="24"/>
              </w:rPr>
              <w:t>1.非接触式红外触摸技术（采用内置触摸技术，不接受外挂触件），双系统下</w:t>
            </w:r>
            <w:r>
              <w:rPr>
                <w:rFonts w:hint="eastAsia"/>
                <w:sz w:val="24"/>
                <w:szCs w:val="24"/>
              </w:rPr>
              <w:t>二十</w:t>
            </w:r>
            <w:r>
              <w:rPr>
                <w:sz w:val="24"/>
                <w:szCs w:val="24"/>
              </w:rPr>
              <w:t>点或以上触摸，支持</w:t>
            </w:r>
            <w:r>
              <w:rPr>
                <w:rFonts w:hint="eastAsia"/>
                <w:sz w:val="24"/>
                <w:szCs w:val="24"/>
              </w:rPr>
              <w:t>二</w:t>
            </w:r>
            <w:r>
              <w:rPr>
                <w:sz w:val="24"/>
                <w:szCs w:val="24"/>
              </w:rPr>
              <w:t>十点或以上同时书写；</w:t>
            </w:r>
          </w:p>
          <w:p>
            <w:pPr>
              <w:spacing w:line="312" w:lineRule="auto"/>
              <w:rPr>
                <w:sz w:val="24"/>
                <w:szCs w:val="24"/>
              </w:rPr>
            </w:pPr>
            <w:r>
              <w:rPr>
                <w:sz w:val="24"/>
                <w:szCs w:val="24"/>
              </w:rPr>
              <w:t>2.触摸精准性：整机屏幕触摸有效识别高度小于3.5mm,，即触摸物体距离玻璃外表面高度低于3.5mm时，触摸屏识别为点击操作，保证触摸精准（提供</w:t>
            </w:r>
            <w:r>
              <w:rPr>
                <w:rFonts w:hint="eastAsia"/>
                <w:sz w:val="24"/>
                <w:szCs w:val="24"/>
              </w:rPr>
              <w:t>第三方</w:t>
            </w:r>
            <w:r>
              <w:rPr>
                <w:sz w:val="24"/>
                <w:szCs w:val="24"/>
              </w:rPr>
              <w:t>检测机构出具的能实现以上功能的检测报告扫描件加盖投标单位电子签章）。</w:t>
            </w:r>
          </w:p>
          <w:p>
            <w:pPr>
              <w:spacing w:line="312" w:lineRule="auto"/>
              <w:rPr>
                <w:b/>
                <w:bCs/>
                <w:sz w:val="24"/>
                <w:szCs w:val="24"/>
              </w:rPr>
            </w:pPr>
            <w:r>
              <w:rPr>
                <w:b/>
                <w:bCs/>
                <w:sz w:val="24"/>
                <w:szCs w:val="24"/>
              </w:rPr>
              <w:t>（五）设备管理</w:t>
            </w:r>
          </w:p>
          <w:p>
            <w:pPr>
              <w:spacing w:line="312" w:lineRule="auto"/>
              <w:rPr>
                <w:sz w:val="24"/>
                <w:szCs w:val="24"/>
              </w:rPr>
            </w:pPr>
            <w:r>
              <w:rPr>
                <w:sz w:val="24"/>
                <w:szCs w:val="24"/>
              </w:rPr>
              <w:t>1.提供开机硬件系统检测(支持无PC状况下使用):对系统内存、硬盘、红外框、内嵌电脑、屏温监控等提供直观的状态、故障提示；</w:t>
            </w:r>
          </w:p>
          <w:p>
            <w:pPr>
              <w:spacing w:line="312" w:lineRule="auto"/>
              <w:rPr>
                <w:sz w:val="24"/>
                <w:szCs w:val="24"/>
              </w:rPr>
            </w:pPr>
            <w:r>
              <w:rPr>
                <w:sz w:val="24"/>
                <w:szCs w:val="24"/>
              </w:rPr>
              <w:t>2.要求具备一键PC系统还原按钮，不需专业人员即可轻松解决电脑系统故障；</w:t>
            </w:r>
          </w:p>
          <w:p>
            <w:pPr>
              <w:pStyle w:val="20"/>
              <w:spacing w:line="312" w:lineRule="auto"/>
              <w:rPr>
                <w:sz w:val="24"/>
                <w:szCs w:val="24"/>
              </w:rPr>
            </w:pPr>
            <w:r>
              <w:rPr>
                <w:sz w:val="24"/>
                <w:szCs w:val="24"/>
              </w:rPr>
              <w:t>3.支持智能锁</w:t>
            </w:r>
            <w:r>
              <w:rPr>
                <w:rFonts w:ascii="Times New Roman" w:hAnsi="Times New Roman" w:eastAsia="宋体" w:cs="Times New Roman"/>
                <w:sz w:val="24"/>
                <w:szCs w:val="24"/>
              </w:rPr>
              <w:t>功能，</w:t>
            </w:r>
            <w:r>
              <w:rPr>
                <w:rFonts w:hint="default" w:ascii="Times New Roman" w:hAnsi="Times New Roman" w:eastAsia="宋体" w:cs="Times New Roman"/>
                <w:sz w:val="24"/>
                <w:szCs w:val="24"/>
                <w:lang w:val="en-US" w:eastAsia="zh-CN"/>
              </w:rPr>
              <w:t>整机可设置快速锁定</w:t>
            </w:r>
            <w:r>
              <w:rPr>
                <w:sz w:val="24"/>
                <w:szCs w:val="24"/>
              </w:rPr>
              <w:t>，保证无关人士无法自由操作</w:t>
            </w:r>
            <w:r>
              <w:rPr>
                <w:rFonts w:hint="eastAsia"/>
                <w:sz w:val="24"/>
                <w:szCs w:val="24"/>
              </w:rPr>
              <w:t>(本项需演示）</w:t>
            </w:r>
            <w:r>
              <w:rPr>
                <w:sz w:val="24"/>
                <w:szCs w:val="24"/>
              </w:rPr>
              <w:t>；</w:t>
            </w:r>
          </w:p>
          <w:p>
            <w:pPr>
              <w:spacing w:line="312" w:lineRule="auto"/>
              <w:rPr>
                <w:sz w:val="24"/>
                <w:szCs w:val="24"/>
              </w:rPr>
            </w:pPr>
            <w:r>
              <w:rPr>
                <w:rFonts w:hint="eastAsia"/>
                <w:sz w:val="24"/>
                <w:szCs w:val="24"/>
                <w:lang w:val="en-US" w:eastAsia="zh-CN"/>
              </w:rPr>
              <w:t>4</w:t>
            </w:r>
            <w:r>
              <w:rPr>
                <w:sz w:val="24"/>
                <w:szCs w:val="24"/>
              </w:rPr>
              <w:t>.无需任何软件或硬件按钮，通过手势即可实现黑屏和唤醒屏体</w:t>
            </w:r>
            <w:r>
              <w:rPr>
                <w:rFonts w:hint="eastAsia"/>
                <w:sz w:val="24"/>
                <w:szCs w:val="24"/>
              </w:rPr>
              <w:t>（本项需演示）</w:t>
            </w:r>
            <w:r>
              <w:rPr>
                <w:sz w:val="24"/>
                <w:szCs w:val="24"/>
              </w:rPr>
              <w:t>；</w:t>
            </w:r>
          </w:p>
          <w:p>
            <w:pPr>
              <w:spacing w:line="312" w:lineRule="auto"/>
              <w:rPr>
                <w:sz w:val="24"/>
                <w:szCs w:val="24"/>
              </w:rPr>
            </w:pPr>
            <w:r>
              <w:rPr>
                <w:rFonts w:hint="eastAsia"/>
                <w:sz w:val="24"/>
                <w:szCs w:val="24"/>
                <w:lang w:val="en-US" w:eastAsia="zh-CN"/>
              </w:rPr>
              <w:t>5</w:t>
            </w:r>
            <w:r>
              <w:rPr>
                <w:sz w:val="24"/>
                <w:szCs w:val="24"/>
              </w:rPr>
              <w:t>.要求具备关闭推拉黑板</w:t>
            </w:r>
            <w:r>
              <w:rPr>
                <w:rFonts w:hint="eastAsia"/>
                <w:sz w:val="24"/>
                <w:szCs w:val="24"/>
              </w:rPr>
              <w:t>，</w:t>
            </w:r>
            <w:r>
              <w:rPr>
                <w:sz w:val="24"/>
                <w:szCs w:val="24"/>
              </w:rPr>
              <w:t>整机自动进入黑屏节能模式（该功能启动时间可自主设置）的功能（提供</w:t>
            </w:r>
            <w:r>
              <w:rPr>
                <w:rFonts w:hint="eastAsia"/>
                <w:sz w:val="24"/>
                <w:szCs w:val="24"/>
              </w:rPr>
              <w:t>第三方</w:t>
            </w:r>
            <w:r>
              <w:rPr>
                <w:sz w:val="24"/>
                <w:szCs w:val="24"/>
              </w:rPr>
              <w:t>检测机构出具的能实现以上功能的检测报告扫描件加盖投标单位电子签章）；</w:t>
            </w:r>
          </w:p>
          <w:p>
            <w:pPr>
              <w:spacing w:line="312" w:lineRule="auto"/>
              <w:rPr>
                <w:sz w:val="24"/>
                <w:szCs w:val="24"/>
              </w:rPr>
            </w:pPr>
            <w:r>
              <w:rPr>
                <w:rFonts w:hint="eastAsia"/>
                <w:sz w:val="24"/>
                <w:szCs w:val="24"/>
                <w:lang w:val="en-US" w:eastAsia="zh-CN"/>
              </w:rPr>
              <w:t>6</w:t>
            </w:r>
            <w:r>
              <w:rPr>
                <w:sz w:val="24"/>
                <w:szCs w:val="24"/>
              </w:rPr>
              <w:t>.屏体正面前置按键，包含音量加减、触控开关、安卓主页、节能等按键；</w:t>
            </w:r>
          </w:p>
          <w:p>
            <w:pPr>
              <w:spacing w:line="312" w:lineRule="auto"/>
              <w:rPr>
                <w:sz w:val="24"/>
                <w:szCs w:val="24"/>
              </w:rPr>
            </w:pPr>
            <w:r>
              <w:rPr>
                <w:rFonts w:hint="eastAsia"/>
                <w:sz w:val="24"/>
                <w:szCs w:val="24"/>
                <w:lang w:val="en-US" w:eastAsia="zh-CN"/>
              </w:rPr>
              <w:t>7</w:t>
            </w:r>
            <w:r>
              <w:rPr>
                <w:sz w:val="24"/>
                <w:szCs w:val="24"/>
              </w:rPr>
              <w:t>.在Windows和Android双系统下，可</w:t>
            </w:r>
            <w:r>
              <w:rPr>
                <w:rFonts w:hint="eastAsia"/>
                <w:sz w:val="24"/>
                <w:szCs w:val="24"/>
                <w:lang w:val="en-US" w:eastAsia="zh-CN"/>
              </w:rPr>
              <w:t>支持</w:t>
            </w:r>
            <w:r>
              <w:rPr>
                <w:sz w:val="24"/>
                <w:szCs w:val="24"/>
              </w:rPr>
              <w:t>一键</w:t>
            </w:r>
            <w:r>
              <w:rPr>
                <w:rFonts w:hint="eastAsia"/>
                <w:sz w:val="24"/>
                <w:szCs w:val="24"/>
                <w:lang w:val="en-US" w:eastAsia="zh-CN"/>
              </w:rPr>
              <w:t>快捷</w:t>
            </w:r>
            <w:r>
              <w:rPr>
                <w:sz w:val="24"/>
                <w:szCs w:val="24"/>
              </w:rPr>
              <w:t>切换信号源通道</w:t>
            </w:r>
            <w:r>
              <w:rPr>
                <w:rFonts w:hint="eastAsia"/>
                <w:sz w:val="24"/>
                <w:szCs w:val="24"/>
              </w:rPr>
              <w:t>（本项需演示）</w:t>
            </w:r>
            <w:r>
              <w:rPr>
                <w:sz w:val="24"/>
                <w:szCs w:val="24"/>
              </w:rPr>
              <w:t>；</w:t>
            </w:r>
          </w:p>
          <w:p>
            <w:pPr>
              <w:spacing w:line="312" w:lineRule="auto"/>
              <w:rPr>
                <w:sz w:val="24"/>
                <w:szCs w:val="24"/>
              </w:rPr>
            </w:pPr>
            <w:r>
              <w:rPr>
                <w:rFonts w:hint="eastAsia"/>
                <w:sz w:val="24"/>
                <w:szCs w:val="24"/>
                <w:lang w:val="en-US" w:eastAsia="zh-CN"/>
              </w:rPr>
              <w:t>8</w:t>
            </w:r>
            <w:r>
              <w:rPr>
                <w:sz w:val="24"/>
                <w:szCs w:val="24"/>
              </w:rPr>
              <w:t>.整机处于任意通道下，可调用互动教学功能</w:t>
            </w:r>
            <w:r>
              <w:rPr>
                <w:rFonts w:hint="eastAsia"/>
                <w:sz w:val="24"/>
                <w:szCs w:val="24"/>
              </w:rPr>
              <w:t>（本项需演示）</w:t>
            </w:r>
            <w:r>
              <w:rPr>
                <w:sz w:val="24"/>
                <w:szCs w:val="24"/>
              </w:rPr>
              <w:t>；</w:t>
            </w:r>
          </w:p>
          <w:p>
            <w:pPr>
              <w:spacing w:line="312" w:lineRule="auto"/>
              <w:rPr>
                <w:sz w:val="24"/>
                <w:szCs w:val="24"/>
              </w:rPr>
            </w:pPr>
            <w:r>
              <w:rPr>
                <w:rFonts w:hint="eastAsia"/>
                <w:sz w:val="24"/>
                <w:szCs w:val="24"/>
                <w:lang w:val="en-US" w:eastAsia="zh-CN"/>
              </w:rPr>
              <w:t>9</w:t>
            </w:r>
            <w:r>
              <w:rPr>
                <w:sz w:val="24"/>
                <w:szCs w:val="24"/>
              </w:rPr>
              <w:t>.支持手势下移或快捷键方式实现屏幕下移，同时方便快捷返回全屏</w:t>
            </w:r>
            <w:r>
              <w:rPr>
                <w:rFonts w:hint="eastAsia"/>
                <w:sz w:val="24"/>
                <w:szCs w:val="24"/>
              </w:rPr>
              <w:t>（本项需演示）</w:t>
            </w:r>
            <w:r>
              <w:rPr>
                <w:sz w:val="24"/>
                <w:szCs w:val="24"/>
              </w:rPr>
              <w:t>。</w:t>
            </w:r>
          </w:p>
          <w:p>
            <w:pPr>
              <w:spacing w:line="312" w:lineRule="auto"/>
              <w:rPr>
                <w:b/>
                <w:bCs/>
                <w:sz w:val="24"/>
                <w:szCs w:val="24"/>
              </w:rPr>
            </w:pPr>
            <w:r>
              <w:rPr>
                <w:b/>
                <w:bCs/>
                <w:sz w:val="24"/>
                <w:szCs w:val="24"/>
              </w:rPr>
              <w:t>（六）智慧软件</w:t>
            </w:r>
          </w:p>
          <w:p>
            <w:pPr>
              <w:spacing w:line="312" w:lineRule="auto"/>
              <w:rPr>
                <w:sz w:val="24"/>
                <w:szCs w:val="24"/>
              </w:rPr>
            </w:pPr>
            <w:r>
              <w:rPr>
                <w:sz w:val="24"/>
                <w:szCs w:val="24"/>
              </w:rPr>
              <w:t>1.支持手机投屏，可通过软件将手机屏幕画面实时投影到大屏上；</w:t>
            </w:r>
          </w:p>
          <w:p>
            <w:pPr>
              <w:spacing w:line="312" w:lineRule="auto"/>
              <w:rPr>
                <w:sz w:val="24"/>
                <w:szCs w:val="24"/>
              </w:rPr>
            </w:pPr>
            <w:r>
              <w:rPr>
                <w:sz w:val="24"/>
                <w:szCs w:val="24"/>
              </w:rPr>
              <w:t>2.支持二维码扫描方式快速注册与登陆，支持免登录直接使用本地教学工具与资源；</w:t>
            </w:r>
          </w:p>
          <w:p>
            <w:pPr>
              <w:spacing w:line="312" w:lineRule="auto"/>
              <w:rPr>
                <w:sz w:val="24"/>
                <w:szCs w:val="24"/>
              </w:rPr>
            </w:pPr>
            <w:r>
              <w:rPr>
                <w:sz w:val="24"/>
                <w:szCs w:val="24"/>
              </w:rPr>
              <w:t>3.正常打开PPT课件的播放，一键对PPT控制(如前后翻页)、绘图、聚光灯、书写批注等功能,并可将批注嵌入至PPT中做注释保存;支持PPT课件原有动画效果正常播放；</w:t>
            </w:r>
          </w:p>
          <w:p>
            <w:pPr>
              <w:spacing w:line="312" w:lineRule="auto"/>
              <w:rPr>
                <w:sz w:val="24"/>
                <w:szCs w:val="24"/>
              </w:rPr>
            </w:pPr>
            <w:r>
              <w:rPr>
                <w:sz w:val="24"/>
                <w:szCs w:val="24"/>
              </w:rPr>
              <w:t>4.设备具有通过前置按键或快捷键方式一键启动录屏功能，可将屏幕中显示的课件、音频等内容与老师人声同步录制，方便制作教学视频</w:t>
            </w:r>
            <w:r>
              <w:rPr>
                <w:rFonts w:hint="eastAsia"/>
                <w:sz w:val="24"/>
                <w:szCs w:val="24"/>
              </w:rPr>
              <w:t>（本项需演示）</w:t>
            </w:r>
            <w:r>
              <w:rPr>
                <w:rFonts w:hint="eastAsia"/>
                <w:color w:val="FF0000"/>
                <w:sz w:val="24"/>
                <w:szCs w:val="24"/>
                <w:lang w:eastAsia="zh-CN"/>
              </w:rPr>
              <w:t>。</w:t>
            </w:r>
          </w:p>
        </w:tc>
        <w:tc>
          <w:tcPr>
            <w:tcW w:w="997" w:type="dxa"/>
            <w:vAlign w:val="center"/>
          </w:tcPr>
          <w:p>
            <w:pPr>
              <w:spacing w:line="312" w:lineRule="auto"/>
              <w:jc w:val="center"/>
              <w:rPr>
                <w:rFonts w:hint="default" w:eastAsia="宋体"/>
                <w:sz w:val="24"/>
                <w:szCs w:val="24"/>
                <w:lang w:val="en-US" w:eastAsia="zh-CN"/>
              </w:rPr>
            </w:pPr>
            <w:r>
              <w:rPr>
                <w:rFonts w:hint="eastAsia"/>
                <w:sz w:val="24"/>
                <w:szCs w:val="24"/>
                <w:lang w:val="en-US" w:eastAsia="zh-CN"/>
              </w:rPr>
              <w:t>358台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pStyle w:val="90"/>
              <w:spacing w:line="312" w:lineRule="auto"/>
              <w:ind w:left="0" w:leftChars="0" w:firstLine="0" w:firstLineChars="0"/>
              <w:jc w:val="center"/>
              <w:rPr>
                <w:rFonts w:hint="eastAsia" w:ascii="Times New Roman" w:hAnsi="Times New Roman" w:eastAsia="宋体"/>
                <w:sz w:val="24"/>
                <w:szCs w:val="24"/>
                <w:lang w:eastAsia="zh-CN"/>
              </w:rPr>
            </w:pPr>
            <w:r>
              <w:rPr>
                <w:rFonts w:hint="eastAsia" w:ascii="Times New Roman" w:hAnsi="Times New Roman"/>
                <w:sz w:val="24"/>
                <w:szCs w:val="24"/>
                <w:lang w:val="en-US" w:eastAsia="zh-CN"/>
              </w:rPr>
              <w:t>2</w:t>
            </w:r>
          </w:p>
        </w:tc>
        <w:tc>
          <w:tcPr>
            <w:tcW w:w="877" w:type="dxa"/>
            <w:vAlign w:val="center"/>
          </w:tcPr>
          <w:p>
            <w:pPr>
              <w:spacing w:line="312" w:lineRule="auto"/>
              <w:jc w:val="center"/>
              <w:rPr>
                <w:sz w:val="24"/>
                <w:szCs w:val="24"/>
              </w:rPr>
            </w:pPr>
            <w:r>
              <w:rPr>
                <w:sz w:val="24"/>
                <w:szCs w:val="24"/>
              </w:rPr>
              <w:t>智能笔</w:t>
            </w:r>
          </w:p>
        </w:tc>
        <w:tc>
          <w:tcPr>
            <w:tcW w:w="6939" w:type="dxa"/>
            <w:vAlign w:val="center"/>
          </w:tcPr>
          <w:p>
            <w:pPr>
              <w:spacing w:line="312" w:lineRule="auto"/>
              <w:rPr>
                <w:sz w:val="24"/>
                <w:szCs w:val="24"/>
              </w:rPr>
            </w:pPr>
            <w:r>
              <w:rPr>
                <w:sz w:val="24"/>
                <w:szCs w:val="24"/>
              </w:rPr>
              <w:t>1.采用笔型设计，具有遥控按键，既可用于触摸书写，也可用于远程操控；</w:t>
            </w:r>
          </w:p>
          <w:p>
            <w:pPr>
              <w:spacing w:line="312" w:lineRule="auto"/>
              <w:rPr>
                <w:sz w:val="24"/>
                <w:szCs w:val="24"/>
              </w:rPr>
            </w:pPr>
            <w:r>
              <w:rPr>
                <w:sz w:val="24"/>
                <w:szCs w:val="24"/>
              </w:rPr>
              <w:t>2.采用2.4G无线或蓝牙连接技术，无线接收距离≥10米；</w:t>
            </w:r>
          </w:p>
          <w:p>
            <w:pPr>
              <w:spacing w:line="312" w:lineRule="auto"/>
              <w:rPr>
                <w:rFonts w:hint="eastAsia" w:eastAsia="宋体"/>
                <w:sz w:val="24"/>
                <w:szCs w:val="24"/>
                <w:lang w:eastAsia="zh-CN"/>
              </w:rPr>
            </w:pPr>
            <w:r>
              <w:rPr>
                <w:sz w:val="24"/>
                <w:szCs w:val="24"/>
              </w:rPr>
              <w:t>3.如采用2.4G无线连接技术，无线接收器采用微型设计，并能收纳在笔上，整洁美观</w:t>
            </w:r>
            <w:r>
              <w:rPr>
                <w:rFonts w:hint="eastAsia"/>
                <w:color w:val="FF0000"/>
                <w:sz w:val="24"/>
                <w:szCs w:val="24"/>
                <w:lang w:eastAsia="zh-CN"/>
              </w:rPr>
              <w:t>。</w:t>
            </w:r>
          </w:p>
        </w:tc>
        <w:tc>
          <w:tcPr>
            <w:tcW w:w="997" w:type="dxa"/>
            <w:vAlign w:val="center"/>
          </w:tcPr>
          <w:p>
            <w:pPr>
              <w:spacing w:line="312" w:lineRule="auto"/>
              <w:rPr>
                <w:sz w:val="24"/>
                <w:szCs w:val="24"/>
              </w:rPr>
            </w:pPr>
            <w:r>
              <w:rPr>
                <w:rFonts w:hint="eastAsia"/>
                <w:sz w:val="24"/>
                <w:szCs w:val="24"/>
                <w:lang w:val="en-US" w:eastAsia="zh-CN"/>
              </w:rPr>
              <w:t>358支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pStyle w:val="90"/>
              <w:spacing w:line="312" w:lineRule="auto"/>
              <w:ind w:left="0" w:leftChars="0" w:firstLine="0" w:firstLineChars="0"/>
              <w:jc w:val="center"/>
              <w:rPr>
                <w:rFonts w:hint="eastAsia" w:ascii="Times New Roman" w:hAnsi="Times New Roman" w:eastAsia="宋体"/>
                <w:sz w:val="24"/>
                <w:szCs w:val="24"/>
                <w:lang w:eastAsia="zh-CN"/>
              </w:rPr>
            </w:pPr>
            <w:r>
              <w:rPr>
                <w:rFonts w:hint="eastAsia" w:ascii="Times New Roman" w:hAnsi="Times New Roman"/>
                <w:sz w:val="24"/>
                <w:szCs w:val="24"/>
                <w:lang w:val="en-US" w:eastAsia="zh-CN"/>
              </w:rPr>
              <w:t>3</w:t>
            </w:r>
          </w:p>
        </w:tc>
        <w:tc>
          <w:tcPr>
            <w:tcW w:w="877" w:type="dxa"/>
            <w:vAlign w:val="center"/>
          </w:tcPr>
          <w:p>
            <w:pPr>
              <w:spacing w:line="312" w:lineRule="auto"/>
              <w:jc w:val="center"/>
              <w:rPr>
                <w:sz w:val="24"/>
                <w:szCs w:val="24"/>
              </w:rPr>
            </w:pPr>
            <w:r>
              <w:rPr>
                <w:sz w:val="24"/>
                <w:szCs w:val="24"/>
              </w:rPr>
              <w:t>壁挂高清展台</w:t>
            </w:r>
          </w:p>
        </w:tc>
        <w:tc>
          <w:tcPr>
            <w:tcW w:w="6939" w:type="dxa"/>
          </w:tcPr>
          <w:p>
            <w:pPr>
              <w:spacing w:line="312" w:lineRule="auto"/>
              <w:rPr>
                <w:sz w:val="24"/>
                <w:szCs w:val="24"/>
              </w:rPr>
            </w:pPr>
            <w:r>
              <w:rPr>
                <w:sz w:val="24"/>
                <w:szCs w:val="24"/>
              </w:rPr>
              <w:t>1.像素：≥</w:t>
            </w:r>
            <w:r>
              <w:rPr>
                <w:rFonts w:hint="eastAsia"/>
                <w:sz w:val="24"/>
                <w:szCs w:val="24"/>
              </w:rPr>
              <w:t>1300</w:t>
            </w:r>
            <w:r>
              <w:rPr>
                <w:sz w:val="24"/>
                <w:szCs w:val="24"/>
              </w:rPr>
              <w:t>万，刷新频率：≥30帧/秒，1080P模式；</w:t>
            </w:r>
          </w:p>
          <w:p>
            <w:pPr>
              <w:spacing w:line="312" w:lineRule="auto"/>
              <w:rPr>
                <w:sz w:val="24"/>
                <w:szCs w:val="24"/>
              </w:rPr>
            </w:pPr>
            <w:r>
              <w:rPr>
                <w:sz w:val="24"/>
                <w:szCs w:val="24"/>
              </w:rPr>
              <w:t>2.TV线：≥ 1000线（1080P模式）；</w:t>
            </w:r>
          </w:p>
          <w:p>
            <w:pPr>
              <w:spacing w:line="312" w:lineRule="auto"/>
              <w:rPr>
                <w:sz w:val="24"/>
                <w:szCs w:val="24"/>
              </w:rPr>
            </w:pPr>
            <w:r>
              <w:rPr>
                <w:sz w:val="24"/>
                <w:szCs w:val="24"/>
              </w:rPr>
              <w:t>3.变焦：数码≥10X；</w:t>
            </w:r>
          </w:p>
          <w:p>
            <w:pPr>
              <w:spacing w:line="312" w:lineRule="auto"/>
              <w:rPr>
                <w:sz w:val="24"/>
                <w:szCs w:val="24"/>
              </w:rPr>
            </w:pPr>
            <w:r>
              <w:rPr>
                <w:sz w:val="24"/>
                <w:szCs w:val="24"/>
              </w:rPr>
              <w:t>4.镜头垂直旋转角度≥90度；</w:t>
            </w:r>
          </w:p>
          <w:p>
            <w:pPr>
              <w:spacing w:line="312" w:lineRule="auto"/>
              <w:rPr>
                <w:sz w:val="24"/>
                <w:szCs w:val="24"/>
              </w:rPr>
            </w:pPr>
            <w:r>
              <w:rPr>
                <w:sz w:val="24"/>
                <w:szCs w:val="24"/>
              </w:rPr>
              <w:t>5.输出分辨率：1080P ，且支持XGA、SXGA、WXGA、720P；</w:t>
            </w:r>
          </w:p>
          <w:p>
            <w:pPr>
              <w:spacing w:line="312" w:lineRule="auto"/>
              <w:rPr>
                <w:sz w:val="24"/>
                <w:szCs w:val="24"/>
              </w:rPr>
            </w:pPr>
            <w:r>
              <w:rPr>
                <w:sz w:val="24"/>
                <w:szCs w:val="24"/>
              </w:rPr>
              <w:t>6.接口：支持USB线与微型电脑连接；</w:t>
            </w:r>
          </w:p>
          <w:p>
            <w:pPr>
              <w:spacing w:line="312" w:lineRule="auto"/>
              <w:rPr>
                <w:rFonts w:hint="eastAsia" w:eastAsia="宋体"/>
                <w:sz w:val="24"/>
                <w:szCs w:val="24"/>
                <w:lang w:eastAsia="zh-CN"/>
              </w:rPr>
            </w:pPr>
            <w:r>
              <w:rPr>
                <w:sz w:val="24"/>
                <w:szCs w:val="24"/>
              </w:rPr>
              <w:t>7.整机自带LED补光灯</w:t>
            </w:r>
            <w:r>
              <w:rPr>
                <w:rFonts w:hint="eastAsia"/>
                <w:color w:val="FF0000"/>
                <w:sz w:val="24"/>
                <w:szCs w:val="24"/>
                <w:lang w:eastAsia="zh-CN"/>
              </w:rPr>
              <w:t>。</w:t>
            </w:r>
          </w:p>
        </w:tc>
        <w:tc>
          <w:tcPr>
            <w:tcW w:w="997" w:type="dxa"/>
            <w:vAlign w:val="center"/>
          </w:tcPr>
          <w:p>
            <w:pPr>
              <w:spacing w:line="312" w:lineRule="auto"/>
              <w:jc w:val="center"/>
              <w:rPr>
                <w:sz w:val="24"/>
                <w:szCs w:val="24"/>
              </w:rPr>
            </w:pPr>
            <w:r>
              <w:rPr>
                <w:rFonts w:hint="eastAsia"/>
                <w:sz w:val="24"/>
                <w:szCs w:val="24"/>
                <w:lang w:val="en-US" w:eastAsia="zh-CN"/>
              </w:rPr>
              <w:t>358套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pStyle w:val="90"/>
              <w:spacing w:line="312" w:lineRule="auto"/>
              <w:ind w:left="0" w:leftChars="0" w:firstLine="0" w:firstLineChars="0"/>
              <w:jc w:val="center"/>
              <w:rPr>
                <w:rFonts w:ascii="Times New Roman" w:hAnsi="Times New Roman"/>
                <w:sz w:val="24"/>
                <w:szCs w:val="24"/>
              </w:rPr>
            </w:pPr>
            <w:r>
              <w:rPr>
                <w:rFonts w:hint="eastAsia" w:ascii="Times New Roman" w:hAnsi="Times New Roman"/>
                <w:sz w:val="24"/>
                <w:szCs w:val="24"/>
                <w:lang w:val="en-US" w:eastAsia="zh-CN"/>
              </w:rPr>
              <w:t>4</w:t>
            </w:r>
          </w:p>
        </w:tc>
        <w:tc>
          <w:tcPr>
            <w:tcW w:w="877" w:type="dxa"/>
            <w:vAlign w:val="center"/>
          </w:tcPr>
          <w:p>
            <w:pPr>
              <w:spacing w:line="312" w:lineRule="auto"/>
              <w:jc w:val="center"/>
              <w:rPr>
                <w:sz w:val="24"/>
                <w:szCs w:val="24"/>
              </w:rPr>
            </w:pPr>
            <w:r>
              <w:rPr>
                <w:sz w:val="24"/>
                <w:szCs w:val="24"/>
              </w:rPr>
              <w:t>双层</w:t>
            </w:r>
          </w:p>
          <w:p>
            <w:pPr>
              <w:spacing w:line="312" w:lineRule="auto"/>
              <w:jc w:val="center"/>
              <w:rPr>
                <w:sz w:val="24"/>
                <w:szCs w:val="24"/>
              </w:rPr>
            </w:pPr>
            <w:r>
              <w:rPr>
                <w:sz w:val="24"/>
                <w:szCs w:val="24"/>
              </w:rPr>
              <w:t>推拉式黑板</w:t>
            </w:r>
          </w:p>
        </w:tc>
        <w:tc>
          <w:tcPr>
            <w:tcW w:w="6939" w:type="dxa"/>
          </w:tcPr>
          <w:p>
            <w:pPr>
              <w:spacing w:line="312" w:lineRule="auto"/>
              <w:rPr>
                <w:sz w:val="24"/>
                <w:szCs w:val="24"/>
              </w:rPr>
            </w:pPr>
            <w:r>
              <w:rPr>
                <w:sz w:val="24"/>
                <w:szCs w:val="24"/>
              </w:rPr>
              <w:t>1.结构：双层结构，外挂式推拉绿板由大框及四块≥1000 mm×1200mm（四块独板，每块不得拼接）的书写板组成。内层两端各装一块固定书写板与多媒体触控一体机前端平齐，外层为两块滑动书写板，开闭自如，多媒体触控一体机居中嵌入黑板中。基本尺寸：≥4200mm×1240mm；</w:t>
            </w:r>
          </w:p>
          <w:p>
            <w:pPr>
              <w:spacing w:line="312" w:lineRule="auto"/>
              <w:rPr>
                <w:sz w:val="24"/>
                <w:szCs w:val="24"/>
              </w:rPr>
            </w:pPr>
            <w:r>
              <w:rPr>
                <w:sz w:val="24"/>
                <w:szCs w:val="24"/>
              </w:rPr>
              <w:t>2.黑板边框采用白色铝合金边框，横立框采用双层加强结构；</w:t>
            </w:r>
          </w:p>
          <w:p>
            <w:pPr>
              <w:spacing w:line="312" w:lineRule="auto"/>
              <w:rPr>
                <w:sz w:val="24"/>
                <w:szCs w:val="24"/>
              </w:rPr>
            </w:pPr>
            <w:r>
              <w:rPr>
                <w:sz w:val="24"/>
                <w:szCs w:val="24"/>
              </w:rPr>
              <w:t>3.绿板厚度不少于3mm；绿板底板采用镀锌板，厚度不少于2mm；</w:t>
            </w:r>
          </w:p>
          <w:p>
            <w:pPr>
              <w:spacing w:line="312" w:lineRule="auto"/>
              <w:rPr>
                <w:sz w:val="24"/>
                <w:szCs w:val="24"/>
              </w:rPr>
            </w:pPr>
            <w:r>
              <w:rPr>
                <w:sz w:val="24"/>
                <w:szCs w:val="24"/>
              </w:rPr>
              <w:t>4.绿板中间采用防潮、吸音、高强度聚苯乙烯泡沫板（泡沫板适应长期潮湿环境），厚度≥15mm；</w:t>
            </w:r>
          </w:p>
          <w:p>
            <w:pPr>
              <w:spacing w:line="312" w:lineRule="auto"/>
              <w:rPr>
                <w:sz w:val="24"/>
                <w:szCs w:val="24"/>
              </w:rPr>
            </w:pPr>
            <w:r>
              <w:rPr>
                <w:sz w:val="24"/>
                <w:szCs w:val="24"/>
              </w:rPr>
              <w:t>5.采用一体化C形形槽轨道,支持活动板垂直吊装。推拉板上方有2组滑轮，每组轨道内两个轮子滑动，轨道上方一个承重轮滑动；</w:t>
            </w:r>
          </w:p>
          <w:p>
            <w:pPr>
              <w:spacing w:line="312" w:lineRule="auto"/>
              <w:rPr>
                <w:color w:val="auto"/>
                <w:sz w:val="24"/>
                <w:szCs w:val="24"/>
              </w:rPr>
            </w:pPr>
            <w:r>
              <w:rPr>
                <w:color w:val="auto"/>
                <w:sz w:val="24"/>
                <w:szCs w:val="24"/>
              </w:rPr>
              <w:t>6.外挂式移动板下方装有拉手；</w:t>
            </w:r>
          </w:p>
          <w:p>
            <w:pPr>
              <w:spacing w:line="312" w:lineRule="auto"/>
              <w:rPr>
                <w:sz w:val="24"/>
                <w:szCs w:val="24"/>
                <w:lang w:val="zh-TW" w:eastAsia="zh-TW"/>
              </w:rPr>
            </w:pPr>
            <w:r>
              <w:rPr>
                <w:color w:val="auto"/>
                <w:sz w:val="24"/>
                <w:szCs w:val="24"/>
              </w:rPr>
              <w:t>7.具体尺寸视多媒体触控一体机与学校实际要求定制，多媒体触控一体机边框和黑板边框之间应紧凑、牢固。</w:t>
            </w:r>
          </w:p>
        </w:tc>
        <w:tc>
          <w:tcPr>
            <w:tcW w:w="997" w:type="dxa"/>
            <w:vAlign w:val="center"/>
          </w:tcPr>
          <w:p>
            <w:pPr>
              <w:spacing w:line="312" w:lineRule="auto"/>
              <w:jc w:val="center"/>
              <w:rPr>
                <w:sz w:val="24"/>
                <w:szCs w:val="24"/>
              </w:rPr>
            </w:pPr>
            <w:r>
              <w:rPr>
                <w:rFonts w:hint="eastAsia"/>
                <w:sz w:val="24"/>
                <w:szCs w:val="24"/>
                <w:lang w:val="en-US" w:eastAsia="zh-CN"/>
              </w:rPr>
              <w:t>358套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pStyle w:val="90"/>
              <w:spacing w:line="312" w:lineRule="auto"/>
              <w:ind w:left="0" w:leftChars="0" w:firstLine="0" w:firstLineChars="0"/>
              <w:jc w:val="center"/>
              <w:rPr>
                <w:rFonts w:hint="eastAsia" w:ascii="Times New Roman" w:hAnsi="Times New Roman" w:eastAsia="宋体"/>
                <w:sz w:val="24"/>
                <w:szCs w:val="24"/>
                <w:lang w:eastAsia="zh-CN"/>
              </w:rPr>
            </w:pPr>
            <w:r>
              <w:rPr>
                <w:rFonts w:hint="eastAsia" w:ascii="Times New Roman" w:hAnsi="Times New Roman"/>
                <w:sz w:val="24"/>
                <w:szCs w:val="24"/>
                <w:lang w:val="en-US" w:eastAsia="zh-CN"/>
              </w:rPr>
              <w:t>5</w:t>
            </w:r>
          </w:p>
        </w:tc>
        <w:tc>
          <w:tcPr>
            <w:tcW w:w="877" w:type="dxa"/>
            <w:vAlign w:val="center"/>
          </w:tcPr>
          <w:p>
            <w:pPr>
              <w:spacing w:line="312" w:lineRule="auto"/>
              <w:jc w:val="center"/>
              <w:rPr>
                <w:sz w:val="24"/>
                <w:szCs w:val="24"/>
              </w:rPr>
            </w:pPr>
            <w:r>
              <w:rPr>
                <w:sz w:val="24"/>
                <w:szCs w:val="24"/>
              </w:rPr>
              <w:t>漏电保护器</w:t>
            </w:r>
          </w:p>
        </w:tc>
        <w:tc>
          <w:tcPr>
            <w:tcW w:w="6939" w:type="dxa"/>
          </w:tcPr>
          <w:p>
            <w:pPr>
              <w:spacing w:line="312" w:lineRule="auto"/>
              <w:rPr>
                <w:sz w:val="24"/>
                <w:szCs w:val="24"/>
              </w:rPr>
            </w:pPr>
            <w:r>
              <w:rPr>
                <w:sz w:val="24"/>
                <w:szCs w:val="24"/>
              </w:rPr>
              <w:t>1.额定剩余动作电流IΔn≤30mA；</w:t>
            </w:r>
          </w:p>
          <w:p>
            <w:pPr>
              <w:spacing w:line="312" w:lineRule="auto"/>
              <w:rPr>
                <w:sz w:val="24"/>
                <w:szCs w:val="24"/>
              </w:rPr>
            </w:pPr>
            <w:r>
              <w:rPr>
                <w:sz w:val="24"/>
                <w:szCs w:val="24"/>
              </w:rPr>
              <w:t>2.剩余电流动作的分断时间TΔn≤0.1s；</w:t>
            </w:r>
          </w:p>
          <w:p>
            <w:pPr>
              <w:spacing w:line="312" w:lineRule="auto"/>
              <w:rPr>
                <w:sz w:val="24"/>
                <w:szCs w:val="24"/>
              </w:rPr>
            </w:pPr>
            <w:r>
              <w:rPr>
                <w:sz w:val="24"/>
                <w:szCs w:val="24"/>
              </w:rPr>
              <w:t>3.额定电流：In≥10A ；通过3C安全认证。</w:t>
            </w:r>
          </w:p>
        </w:tc>
        <w:tc>
          <w:tcPr>
            <w:tcW w:w="997" w:type="dxa"/>
            <w:vAlign w:val="center"/>
          </w:tcPr>
          <w:p>
            <w:pPr>
              <w:spacing w:line="312" w:lineRule="auto"/>
              <w:jc w:val="center"/>
              <w:rPr>
                <w:sz w:val="24"/>
                <w:szCs w:val="24"/>
              </w:rPr>
            </w:pPr>
            <w:r>
              <w:rPr>
                <w:rFonts w:hint="eastAsia"/>
                <w:sz w:val="24"/>
                <w:szCs w:val="24"/>
                <w:lang w:val="en-US" w:eastAsia="zh-CN"/>
              </w:rPr>
              <w:t>358个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pStyle w:val="90"/>
              <w:spacing w:line="312" w:lineRule="auto"/>
              <w:ind w:left="0" w:leftChars="0" w:firstLine="0" w:firstLineChars="0"/>
              <w:jc w:val="center"/>
              <w:rPr>
                <w:rFonts w:hint="eastAsia" w:ascii="Times New Roman" w:hAnsi="Times New Roman" w:eastAsia="宋体"/>
                <w:sz w:val="24"/>
                <w:szCs w:val="24"/>
                <w:lang w:eastAsia="zh-CN"/>
              </w:rPr>
            </w:pPr>
            <w:r>
              <w:rPr>
                <w:rFonts w:hint="eastAsia" w:ascii="Times New Roman" w:hAnsi="Times New Roman"/>
                <w:sz w:val="24"/>
                <w:szCs w:val="24"/>
                <w:lang w:val="en-US" w:eastAsia="zh-CN"/>
              </w:rPr>
              <w:t>6</w:t>
            </w:r>
          </w:p>
        </w:tc>
        <w:tc>
          <w:tcPr>
            <w:tcW w:w="877" w:type="dxa"/>
            <w:vAlign w:val="center"/>
          </w:tcPr>
          <w:p>
            <w:pPr>
              <w:spacing w:line="312" w:lineRule="auto"/>
              <w:jc w:val="center"/>
              <w:rPr>
                <w:sz w:val="24"/>
                <w:szCs w:val="24"/>
              </w:rPr>
            </w:pPr>
            <w:r>
              <w:rPr>
                <w:sz w:val="24"/>
                <w:szCs w:val="24"/>
              </w:rPr>
              <w:t>附件</w:t>
            </w:r>
          </w:p>
        </w:tc>
        <w:tc>
          <w:tcPr>
            <w:tcW w:w="6939" w:type="dxa"/>
          </w:tcPr>
          <w:p>
            <w:pPr>
              <w:spacing w:line="312" w:lineRule="auto"/>
              <w:rPr>
                <w:sz w:val="24"/>
                <w:szCs w:val="24"/>
              </w:rPr>
            </w:pPr>
            <w:r>
              <w:rPr>
                <w:sz w:val="24"/>
                <w:szCs w:val="24"/>
              </w:rPr>
              <w:t>1.教室拆旧：将教室原有多媒体设备拆卸堆放至校园指定教室；</w:t>
            </w:r>
          </w:p>
          <w:p>
            <w:pPr>
              <w:spacing w:line="312" w:lineRule="auto"/>
              <w:rPr>
                <w:sz w:val="24"/>
                <w:szCs w:val="24"/>
              </w:rPr>
            </w:pPr>
            <w:r>
              <w:rPr>
                <w:sz w:val="24"/>
                <w:szCs w:val="24"/>
              </w:rPr>
              <w:t>2.完成整套多媒体触控一体机安装调试需要的所有线材、配件及线槽等。</w:t>
            </w:r>
          </w:p>
        </w:tc>
        <w:tc>
          <w:tcPr>
            <w:tcW w:w="997" w:type="dxa"/>
            <w:vAlign w:val="center"/>
          </w:tcPr>
          <w:p>
            <w:pPr>
              <w:spacing w:line="312" w:lineRule="auto"/>
              <w:jc w:val="center"/>
              <w:rPr>
                <w:sz w:val="24"/>
                <w:szCs w:val="24"/>
              </w:rPr>
            </w:pPr>
            <w:r>
              <w:rPr>
                <w:rFonts w:hint="eastAsia"/>
                <w:sz w:val="24"/>
                <w:szCs w:val="24"/>
                <w:lang w:val="en-US" w:eastAsia="zh-CN"/>
              </w:rPr>
              <w:t>358项</w:t>
            </w:r>
          </w:p>
        </w:tc>
      </w:tr>
    </w:tbl>
    <w:p>
      <w:pPr>
        <w:rPr>
          <w:rFonts w:ascii="Times New Roman" w:hAnsi="Times New Roman" w:eastAsia="宋体"/>
          <w:bCs w:val="0"/>
          <w:sz w:val="24"/>
          <w:szCs w:val="24"/>
        </w:rPr>
      </w:pPr>
    </w:p>
    <w:p>
      <w:pPr>
        <w:snapToGrid w:val="0"/>
        <w:spacing w:line="312" w:lineRule="auto"/>
        <w:rPr>
          <w:sz w:val="24"/>
          <w:szCs w:val="24"/>
          <w:lang w:val="zh-CN"/>
        </w:rPr>
      </w:pPr>
      <w:r>
        <w:rPr>
          <w:sz w:val="24"/>
          <w:szCs w:val="24"/>
          <w:lang w:val="zh-CN"/>
        </w:rPr>
        <w:t>注：未列明但是必须的各种合理配件包含在总价中，供应商不得额外收费。</w:t>
      </w:r>
    </w:p>
    <w:p>
      <w:pPr>
        <w:pStyle w:val="3"/>
        <w:numPr>
          <w:ilvl w:val="0"/>
          <w:numId w:val="0"/>
        </w:numPr>
        <w:spacing w:before="0" w:after="0" w:line="312" w:lineRule="auto"/>
        <w:ind w:leftChars="0"/>
        <w:rPr>
          <w:sz w:val="24"/>
          <w:szCs w:val="24"/>
        </w:rPr>
      </w:pPr>
      <w:bookmarkStart w:id="54" w:name="_Toc132635743"/>
      <w:bookmarkStart w:id="55" w:name="_Toc132635585"/>
      <w:bookmarkStart w:id="56" w:name="_Toc132635988"/>
      <w:r>
        <w:rPr>
          <w:kern w:val="2"/>
          <w:sz w:val="24"/>
          <w:szCs w:val="24"/>
        </w:rPr>
        <w:t>三、</w:t>
      </w:r>
      <w:r>
        <w:rPr>
          <w:sz w:val="24"/>
          <w:szCs w:val="24"/>
        </w:rPr>
        <w:t>对投标方产品及服务的要求</w:t>
      </w:r>
      <w:bookmarkEnd w:id="54"/>
      <w:bookmarkEnd w:id="55"/>
      <w:bookmarkEnd w:id="56"/>
    </w:p>
    <w:p>
      <w:pPr>
        <w:snapToGrid w:val="0"/>
        <w:spacing w:line="312" w:lineRule="auto"/>
        <w:ind w:firstLine="480" w:firstLineChars="200"/>
        <w:rPr>
          <w:sz w:val="24"/>
          <w:szCs w:val="24"/>
        </w:rPr>
      </w:pPr>
      <w:r>
        <w:rPr>
          <w:sz w:val="24"/>
          <w:szCs w:val="24"/>
        </w:rPr>
        <w:t>1.投标方所提供的产品（含音频线、视频线等所有配件）均应为符合相应的国家标准的行货产品，并须提供相关产品的产品合格证、产品说明书等资料，投标方所提供的产品在安装调试完成后，应构成一个完整的系统，能按照技术要求连续运行。</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sz w:val="24"/>
          <w:szCs w:val="24"/>
        </w:rPr>
      </w:pPr>
      <w:r>
        <w:rPr>
          <w:sz w:val="24"/>
          <w:szCs w:val="24"/>
        </w:rPr>
        <w:t>★2.投标时做出承诺（</w:t>
      </w:r>
      <w:r>
        <w:rPr>
          <w:rFonts w:hint="eastAsia"/>
          <w:sz w:val="24"/>
          <w:szCs w:val="24"/>
        </w:rPr>
        <w:t>在投标文件商务技术响应文件中提供</w:t>
      </w:r>
      <w:r>
        <w:rPr>
          <w:sz w:val="24"/>
          <w:szCs w:val="24"/>
        </w:rPr>
        <w:t>承诺函加盖投标单位电子签章）：多媒体触控一体机的原厂质保服务承诺函于合同签订后5个工作日内提供并加盖原厂公章。若无法提供的，采购人有权解除合同。</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sz w:val="24"/>
          <w:szCs w:val="24"/>
        </w:rPr>
      </w:pPr>
      <w:r>
        <w:rPr>
          <w:sz w:val="24"/>
          <w:szCs w:val="24"/>
        </w:rPr>
        <w:t>★3.多媒体触控一体机中若因学校需要，将双层推拉式黑板置换成配套移动支架，由此产生差价等费用学校不予以增补。</w:t>
      </w:r>
    </w:p>
    <w:p>
      <w:pPr>
        <w:pStyle w:val="51"/>
        <w:keepNext w:val="0"/>
        <w:keepLines w:val="0"/>
        <w:pageBreakBefore w:val="0"/>
        <w:widowControl w:val="0"/>
        <w:kinsoku/>
        <w:wordWrap/>
        <w:overflowPunct/>
        <w:topLinePunct w:val="0"/>
        <w:autoSpaceDE/>
        <w:autoSpaceDN/>
        <w:bidi w:val="0"/>
        <w:adjustRightInd/>
        <w:spacing w:line="400" w:lineRule="exact"/>
        <w:ind w:left="0" w:leftChars="0" w:firstLine="480"/>
        <w:textAlignment w:val="auto"/>
        <w:rPr>
          <w:sz w:val="24"/>
          <w:szCs w:val="24"/>
        </w:rPr>
      </w:pPr>
      <w:r>
        <w:rPr>
          <w:rFonts w:hint="eastAsia"/>
          <w:sz w:val="24"/>
          <w:szCs w:val="24"/>
        </w:rPr>
        <w:t>4.供货时中标单位需将整套多媒体触控一体机设备齐全后送学校安装，学校不接受设备分批快递投送。</w:t>
      </w:r>
    </w:p>
    <w:p>
      <w:pPr>
        <w:pStyle w:val="4"/>
        <w:spacing w:before="0" w:after="0" w:line="312" w:lineRule="auto"/>
        <w:rPr>
          <w:rFonts w:ascii="Times New Roman" w:hAnsi="Times New Roman" w:eastAsia="宋体"/>
          <w:kern w:val="2"/>
          <w:sz w:val="24"/>
          <w:szCs w:val="24"/>
        </w:rPr>
      </w:pPr>
      <w:bookmarkStart w:id="57" w:name="_Toc132635744"/>
      <w:bookmarkStart w:id="58" w:name="_Toc132635586"/>
      <w:bookmarkStart w:id="59" w:name="_Toc132635989"/>
      <w:r>
        <w:rPr>
          <w:rFonts w:ascii="Times New Roman" w:hAnsi="Times New Roman" w:eastAsia="宋体"/>
          <w:kern w:val="2"/>
          <w:sz w:val="24"/>
          <w:szCs w:val="24"/>
        </w:rPr>
        <w:t>四、演示要求</w:t>
      </w:r>
      <w:bookmarkEnd w:id="57"/>
      <w:bookmarkEnd w:id="58"/>
      <w:bookmarkEnd w:id="59"/>
    </w:p>
    <w:p>
      <w:pPr>
        <w:snapToGrid w:val="0"/>
        <w:spacing w:line="312" w:lineRule="auto"/>
        <w:ind w:firstLine="480" w:firstLineChars="200"/>
        <w:rPr>
          <w:sz w:val="24"/>
          <w:szCs w:val="24"/>
        </w:rPr>
      </w:pPr>
      <w:r>
        <w:rPr>
          <w:sz w:val="24"/>
          <w:szCs w:val="24"/>
        </w:rPr>
        <w:t>1.本项</w:t>
      </w:r>
      <w:r>
        <w:rPr>
          <w:rFonts w:hint="eastAsia"/>
          <w:sz w:val="24"/>
          <w:szCs w:val="24"/>
        </w:rPr>
        <w:t>目</w:t>
      </w:r>
      <w:r>
        <w:rPr>
          <w:sz w:val="24"/>
          <w:szCs w:val="24"/>
        </w:rPr>
        <w:t>需要演示：投标方需在投标文件解密成功后，进入</w:t>
      </w:r>
      <w:r>
        <w:rPr>
          <w:rFonts w:hint="eastAsia"/>
          <w:sz w:val="24"/>
          <w:szCs w:val="24"/>
        </w:rPr>
        <w:t>“</w:t>
      </w:r>
      <w:r>
        <w:rPr>
          <w:sz w:val="24"/>
          <w:szCs w:val="24"/>
        </w:rPr>
        <w:t>政采云平台</w:t>
      </w:r>
      <w:r>
        <w:rPr>
          <w:rFonts w:hint="eastAsia"/>
          <w:sz w:val="24"/>
          <w:szCs w:val="24"/>
        </w:rPr>
        <w:t>”</w:t>
      </w:r>
      <w:r>
        <w:rPr>
          <w:sz w:val="24"/>
          <w:szCs w:val="24"/>
        </w:rPr>
        <w:t>开标大厅，等待通知演示。</w:t>
      </w:r>
      <w:r>
        <w:rPr>
          <w:rFonts w:hint="eastAsia"/>
          <w:sz w:val="24"/>
          <w:szCs w:val="24"/>
        </w:rPr>
        <w:t>“</w:t>
      </w:r>
      <w:r>
        <w:rPr>
          <w:sz w:val="24"/>
          <w:szCs w:val="24"/>
        </w:rPr>
        <w:t>政采云平台</w:t>
      </w:r>
      <w:r>
        <w:rPr>
          <w:rFonts w:hint="eastAsia"/>
          <w:sz w:val="24"/>
          <w:szCs w:val="24"/>
        </w:rPr>
        <w:t>”</w:t>
      </w:r>
      <w:r>
        <w:rPr>
          <w:sz w:val="24"/>
          <w:szCs w:val="24"/>
        </w:rPr>
        <w:t>会以投标文件解密时间的先后顺序以短信的形式通知演示，每个投标人演示前的调试准备时间不超过15分钟，演示时间不超过30分钟，不包含评标委员会提问解答时间。演示的方式通过“开标大厅”的屏幕共享方式进行演示，其中涉及需要安装的软件投标人应在开标前自行下载安装，确保网络、麦克风、演示环境等演示所需设备和系统正常稳定，并提前熟悉操作和使用。由评委对各投标人针对招标文件中演示部分进行评定打分。</w:t>
      </w:r>
    </w:p>
    <w:p>
      <w:pPr>
        <w:snapToGrid w:val="0"/>
        <w:spacing w:line="312" w:lineRule="auto"/>
        <w:ind w:firstLine="480" w:firstLineChars="200"/>
        <w:rPr>
          <w:sz w:val="24"/>
          <w:szCs w:val="24"/>
        </w:rPr>
      </w:pPr>
      <w:r>
        <w:rPr>
          <w:sz w:val="24"/>
          <w:szCs w:val="24"/>
        </w:rPr>
        <w:t>2.演示形式：投标方针对招标文件需要演示的内容，</w:t>
      </w:r>
      <w:r>
        <w:rPr>
          <w:rFonts w:hint="eastAsia" w:ascii="宋体" w:hAnsi="宋体" w:eastAsia="宋体"/>
          <w:sz w:val="24"/>
          <w:szCs w:val="24"/>
        </w:rPr>
        <w:t>提供第三人视角方式进行连续拍摄，拍摄画面中需包含时间计时器或其他方式以表明其拍摄过程不存在剪切编辑情况存在，请依照招标文件要求进行演示，</w:t>
      </w:r>
      <w:r>
        <w:rPr>
          <w:sz w:val="24"/>
          <w:szCs w:val="24"/>
        </w:rPr>
        <w:t>演示过程中需语音介绍目前演示的内容是什么，演示时长不超过30分钟。</w:t>
      </w:r>
    </w:p>
    <w:p>
      <w:pPr>
        <w:pStyle w:val="4"/>
        <w:spacing w:before="0" w:after="0" w:line="312" w:lineRule="auto"/>
        <w:rPr>
          <w:rFonts w:ascii="Times New Roman" w:hAnsi="Times New Roman" w:eastAsia="宋体"/>
          <w:kern w:val="2"/>
          <w:sz w:val="24"/>
          <w:szCs w:val="24"/>
        </w:rPr>
      </w:pPr>
      <w:bookmarkStart w:id="60" w:name="_Toc132635990"/>
      <w:bookmarkStart w:id="61" w:name="_Toc132635587"/>
      <w:bookmarkStart w:id="62" w:name="_Toc132635745"/>
      <w:r>
        <w:rPr>
          <w:rFonts w:ascii="Times New Roman" w:hAnsi="Times New Roman" w:eastAsia="宋体"/>
          <w:kern w:val="2"/>
          <w:sz w:val="24"/>
          <w:szCs w:val="24"/>
        </w:rPr>
        <w:t>五、商务要求</w:t>
      </w:r>
      <w:bookmarkEnd w:id="60"/>
      <w:bookmarkEnd w:id="61"/>
      <w:bookmarkEnd w:id="62"/>
    </w:p>
    <w:p>
      <w:pPr>
        <w:snapToGrid w:val="0"/>
        <w:spacing w:line="312" w:lineRule="auto"/>
        <w:ind w:firstLine="482" w:firstLineChars="200"/>
        <w:rPr>
          <w:b/>
          <w:bCs/>
          <w:sz w:val="24"/>
          <w:szCs w:val="24"/>
        </w:rPr>
      </w:pPr>
      <w:r>
        <w:rPr>
          <w:b/>
          <w:bCs/>
          <w:sz w:val="24"/>
          <w:szCs w:val="24"/>
        </w:rPr>
        <w:t>（一）质保期和售后服务</w:t>
      </w:r>
    </w:p>
    <w:p>
      <w:pPr>
        <w:snapToGrid w:val="0"/>
        <w:spacing w:line="312" w:lineRule="auto"/>
        <w:ind w:firstLine="480" w:firstLineChars="200"/>
        <w:rPr>
          <w:sz w:val="24"/>
          <w:szCs w:val="24"/>
        </w:rPr>
      </w:pPr>
      <w:r>
        <w:rPr>
          <w:sz w:val="24"/>
          <w:szCs w:val="24"/>
        </w:rPr>
        <w:t>1.质保期</w:t>
      </w:r>
    </w:p>
    <w:p>
      <w:pPr>
        <w:snapToGrid w:val="0"/>
        <w:spacing w:line="312" w:lineRule="auto"/>
        <w:ind w:firstLine="480" w:firstLineChars="200"/>
        <w:rPr>
          <w:sz w:val="24"/>
          <w:szCs w:val="24"/>
        </w:rPr>
      </w:pPr>
      <w:r>
        <w:rPr>
          <w:sz w:val="24"/>
          <w:szCs w:val="24"/>
        </w:rPr>
        <w:t>质保期从安装调试完毕，验收合格毕之日开始计算，除非采购人另有要求，质保期内所有的服务均为免费上门服务。</w:t>
      </w:r>
    </w:p>
    <w:p>
      <w:pPr>
        <w:snapToGrid w:val="0"/>
        <w:spacing w:line="312" w:lineRule="auto"/>
        <w:ind w:firstLine="480" w:firstLineChars="200"/>
        <w:rPr>
          <w:sz w:val="24"/>
          <w:szCs w:val="24"/>
        </w:rPr>
      </w:pPr>
      <w:r>
        <w:rPr>
          <w:sz w:val="24"/>
          <w:szCs w:val="24"/>
        </w:rPr>
        <w:t>投标方全套设备提供3年免费质保，投标货物为原厂生产；质保期内安排每学期第一周对所有设备进行现场维护保养，保证正常教学使用；投标时有详细的培训计划和项目实施方案。（若产品另有超过3年质保期规定的，按其规定执行）。</w:t>
      </w:r>
    </w:p>
    <w:p>
      <w:pPr>
        <w:snapToGrid w:val="0"/>
        <w:spacing w:line="312" w:lineRule="auto"/>
        <w:ind w:firstLine="480" w:firstLineChars="200"/>
        <w:rPr>
          <w:color w:val="auto"/>
          <w:sz w:val="24"/>
          <w:szCs w:val="24"/>
        </w:rPr>
      </w:pPr>
      <w:r>
        <w:rPr>
          <w:color w:val="auto"/>
          <w:sz w:val="24"/>
          <w:szCs w:val="24"/>
        </w:rPr>
        <w:t>2.售后服务和响应时间</w:t>
      </w:r>
    </w:p>
    <w:p>
      <w:pPr>
        <w:snapToGrid w:val="0"/>
        <w:spacing w:line="312" w:lineRule="auto"/>
        <w:ind w:firstLine="480" w:firstLineChars="200"/>
        <w:rPr>
          <w:color w:val="auto"/>
          <w:sz w:val="24"/>
          <w:szCs w:val="24"/>
        </w:rPr>
      </w:pPr>
      <w:r>
        <w:rPr>
          <w:color w:val="auto"/>
          <w:sz w:val="24"/>
          <w:szCs w:val="24"/>
        </w:rPr>
        <w:t>在质保期内，使用单位有故障申报，中标方必须在</w:t>
      </w:r>
      <w:r>
        <w:rPr>
          <w:rFonts w:hint="eastAsia"/>
          <w:color w:val="auto"/>
          <w:sz w:val="24"/>
          <w:szCs w:val="24"/>
          <w:lang w:val="en-US" w:eastAsia="zh-CN"/>
        </w:rPr>
        <w:t>1</w:t>
      </w:r>
      <w:r>
        <w:rPr>
          <w:color w:val="auto"/>
          <w:sz w:val="24"/>
          <w:szCs w:val="24"/>
        </w:rPr>
        <w:t>小时内响应，</w:t>
      </w:r>
      <w:r>
        <w:rPr>
          <w:rFonts w:hint="eastAsia"/>
          <w:color w:val="auto"/>
          <w:sz w:val="24"/>
          <w:szCs w:val="24"/>
          <w:lang w:val="en-US" w:eastAsia="zh-CN"/>
        </w:rPr>
        <w:t>3小时内到达现场处理，</w:t>
      </w:r>
      <w:r>
        <w:rPr>
          <w:color w:val="auto"/>
          <w:sz w:val="24"/>
          <w:szCs w:val="24"/>
        </w:rPr>
        <w:t xml:space="preserve">8小时内解决。若不能在8小时内解决，须提供同等性能、同等配置的产品替换。 </w:t>
      </w:r>
    </w:p>
    <w:p>
      <w:pPr>
        <w:snapToGrid w:val="0"/>
        <w:spacing w:line="312" w:lineRule="auto"/>
        <w:ind w:firstLine="480" w:firstLineChars="200"/>
        <w:rPr>
          <w:color w:val="auto"/>
          <w:sz w:val="24"/>
          <w:szCs w:val="24"/>
        </w:rPr>
      </w:pPr>
      <w:r>
        <w:rPr>
          <w:color w:val="auto"/>
          <w:sz w:val="24"/>
          <w:szCs w:val="24"/>
        </w:rPr>
        <w:t>质保期内，与保修和维修相关的所有费用由中标方负责。</w:t>
      </w:r>
    </w:p>
    <w:p>
      <w:pPr>
        <w:snapToGrid w:val="0"/>
        <w:spacing w:line="312" w:lineRule="auto"/>
        <w:ind w:firstLine="480" w:firstLineChars="200"/>
        <w:rPr>
          <w:sz w:val="24"/>
          <w:szCs w:val="24"/>
        </w:rPr>
      </w:pPr>
      <w:r>
        <w:rPr>
          <w:color w:val="auto"/>
          <w:sz w:val="24"/>
          <w:szCs w:val="24"/>
        </w:rPr>
        <w:t>3.若中标方为制造商，须委托签约的独立维修服务机构承担本项目的售后服务工作（</w:t>
      </w:r>
      <w:r>
        <w:rPr>
          <w:sz w:val="24"/>
          <w:szCs w:val="24"/>
        </w:rPr>
        <w:t>该机构在随机附带的保修条款或原厂商官方网站中能够查询得到的）。</w:t>
      </w:r>
    </w:p>
    <w:p>
      <w:pPr>
        <w:snapToGrid w:val="0"/>
        <w:spacing w:line="312" w:lineRule="auto"/>
        <w:ind w:firstLine="480" w:firstLineChars="200"/>
        <w:rPr>
          <w:sz w:val="24"/>
          <w:szCs w:val="24"/>
        </w:rPr>
      </w:pPr>
      <w:r>
        <w:rPr>
          <w:sz w:val="24"/>
          <w:szCs w:val="24"/>
        </w:rPr>
        <w:t>★4.中标方需提供每半年一次的各学校（使用单位）例行设备巡检，以确保设备正常教学使用。</w:t>
      </w:r>
    </w:p>
    <w:p>
      <w:pPr>
        <w:snapToGrid w:val="0"/>
        <w:spacing w:line="312" w:lineRule="auto"/>
        <w:ind w:firstLine="482" w:firstLineChars="200"/>
        <w:rPr>
          <w:b/>
          <w:bCs/>
          <w:sz w:val="24"/>
          <w:szCs w:val="24"/>
        </w:rPr>
      </w:pPr>
      <w:r>
        <w:rPr>
          <w:b/>
          <w:bCs/>
          <w:sz w:val="24"/>
          <w:szCs w:val="24"/>
        </w:rPr>
        <w:t>★（二）工期要求</w:t>
      </w:r>
    </w:p>
    <w:p>
      <w:pPr>
        <w:snapToGrid w:val="0"/>
        <w:spacing w:line="312" w:lineRule="auto"/>
        <w:ind w:firstLine="480" w:firstLineChars="200"/>
        <w:rPr>
          <w:sz w:val="24"/>
          <w:szCs w:val="24"/>
        </w:rPr>
      </w:pPr>
      <w:r>
        <w:rPr>
          <w:sz w:val="24"/>
          <w:szCs w:val="24"/>
        </w:rPr>
        <w:t>1.中标通知书签发后，中标单位尽快与采购人和使用单位完成签订合同工作，合同签订后60天内完成产品交货、安装、调试及验收，交货地点由甲方指定的义乌市各相关学校。</w:t>
      </w:r>
    </w:p>
    <w:p>
      <w:pPr>
        <w:snapToGrid w:val="0"/>
        <w:spacing w:line="312" w:lineRule="auto"/>
        <w:ind w:firstLine="480" w:firstLineChars="200"/>
        <w:rPr>
          <w:sz w:val="24"/>
          <w:szCs w:val="24"/>
        </w:rPr>
      </w:pPr>
      <w:r>
        <w:rPr>
          <w:sz w:val="24"/>
          <w:szCs w:val="24"/>
        </w:rPr>
        <w:t>2.使用单位须做好配合工作，无正当理由不得拒收产品或拒付货款的。</w:t>
      </w:r>
    </w:p>
    <w:p>
      <w:pPr>
        <w:widowControl w:val="0"/>
        <w:spacing w:line="312" w:lineRule="auto"/>
        <w:ind w:firstLine="482" w:firstLineChars="200"/>
        <w:jc w:val="both"/>
        <w:rPr>
          <w:b/>
          <w:bCs/>
          <w:kern w:val="2"/>
          <w:sz w:val="24"/>
          <w:szCs w:val="24"/>
        </w:rPr>
      </w:pPr>
      <w:r>
        <w:rPr>
          <w:b/>
          <w:bCs/>
          <w:kern w:val="2"/>
          <w:sz w:val="24"/>
          <w:szCs w:val="24"/>
        </w:rPr>
        <w:t>（三）验收标准</w:t>
      </w:r>
    </w:p>
    <w:p>
      <w:pPr>
        <w:pStyle w:val="51"/>
        <w:spacing w:after="0" w:line="312" w:lineRule="auto"/>
        <w:ind w:left="0" w:leftChars="0" w:firstLine="480"/>
        <w:rPr>
          <w:sz w:val="24"/>
          <w:szCs w:val="24"/>
          <w:lang w:val="zh-CN"/>
        </w:rPr>
      </w:pPr>
      <w:r>
        <w:rPr>
          <w:sz w:val="24"/>
          <w:szCs w:val="24"/>
        </w:rPr>
        <w:t>根据中华人民共和国现行技术标准，按采购文件以及合同规定的验收评定标准等规范，由采购人和使用单位根</w:t>
      </w:r>
      <w:r>
        <w:rPr>
          <w:sz w:val="24"/>
          <w:szCs w:val="24"/>
          <w:lang w:val="zh-CN"/>
        </w:rPr>
        <w:t>据《义乌市人民政府办公室关于印发规范政府采购管理若干意见的通知》（义政办发〔2017〕102号）、《政府采购合同履约和验收管理办法（暂行）》（义招管办【2008】32号）文件要求组织验收。</w:t>
      </w:r>
    </w:p>
    <w:p>
      <w:pPr>
        <w:pStyle w:val="51"/>
        <w:spacing w:after="0" w:line="312" w:lineRule="auto"/>
        <w:ind w:left="0" w:leftChars="0" w:firstLine="480"/>
        <w:rPr>
          <w:kern w:val="2"/>
          <w:sz w:val="24"/>
          <w:szCs w:val="24"/>
        </w:rPr>
      </w:pPr>
      <w:r>
        <w:rPr>
          <w:kern w:val="2"/>
          <w:sz w:val="24"/>
          <w:szCs w:val="24"/>
        </w:rPr>
        <w:t>安装调试完毕，由使用单位按照招标文件要求组织供货设备与投标文件的一致性进行验收，并出具验收报告，再由义乌市教育研修院组织最终验收。</w:t>
      </w:r>
    </w:p>
    <w:p>
      <w:pPr>
        <w:widowControl w:val="0"/>
        <w:spacing w:line="312" w:lineRule="auto"/>
        <w:ind w:firstLine="482" w:firstLineChars="200"/>
        <w:jc w:val="both"/>
        <w:rPr>
          <w:b/>
          <w:bCs/>
          <w:kern w:val="2"/>
          <w:sz w:val="24"/>
          <w:szCs w:val="24"/>
        </w:rPr>
      </w:pPr>
      <w:r>
        <w:rPr>
          <w:b/>
          <w:bCs/>
          <w:kern w:val="2"/>
          <w:sz w:val="24"/>
          <w:szCs w:val="24"/>
        </w:rPr>
        <w:t>（四）结算和付款方式：</w:t>
      </w:r>
    </w:p>
    <w:p>
      <w:pPr>
        <w:widowControl w:val="0"/>
        <w:spacing w:line="312" w:lineRule="auto"/>
        <w:ind w:firstLine="480" w:firstLineChars="200"/>
        <w:jc w:val="both"/>
        <w:rPr>
          <w:kern w:val="2"/>
          <w:sz w:val="24"/>
          <w:szCs w:val="24"/>
        </w:rPr>
      </w:pPr>
      <w:r>
        <w:rPr>
          <w:kern w:val="2"/>
          <w:sz w:val="24"/>
          <w:szCs w:val="24"/>
        </w:rPr>
        <w:t>1.在合同生效以及具备实施条件后</w:t>
      </w:r>
      <w:r>
        <w:rPr>
          <w:rFonts w:hint="eastAsia"/>
          <w:kern w:val="2"/>
          <w:sz w:val="24"/>
          <w:szCs w:val="24"/>
        </w:rPr>
        <w:t>7</w:t>
      </w:r>
      <w:r>
        <w:rPr>
          <w:kern w:val="2"/>
          <w:sz w:val="24"/>
          <w:szCs w:val="24"/>
        </w:rPr>
        <w:t>个工作日内</w:t>
      </w:r>
      <w:r>
        <w:rPr>
          <w:rFonts w:hint="eastAsia"/>
          <w:kern w:val="2"/>
          <w:sz w:val="24"/>
          <w:szCs w:val="24"/>
        </w:rPr>
        <w:t>，</w:t>
      </w:r>
      <w:r>
        <w:rPr>
          <w:kern w:val="2"/>
          <w:sz w:val="24"/>
          <w:szCs w:val="24"/>
        </w:rPr>
        <w:t>使用单位向中标人支付合同价的40%作为预付款（在签订合同时，中标方明确表示无需预付款或者主动要求降低预付款比例的，采购单位可不支付或减少预付款支付比例）。</w:t>
      </w:r>
      <w:r>
        <w:rPr>
          <w:rFonts w:hint="eastAsia"/>
          <w:kern w:val="2"/>
          <w:sz w:val="24"/>
          <w:szCs w:val="24"/>
        </w:rPr>
        <w:t>使用</w:t>
      </w:r>
      <w:r>
        <w:rPr>
          <w:kern w:val="2"/>
          <w:sz w:val="24"/>
          <w:szCs w:val="24"/>
        </w:rPr>
        <w:t>单位可以要求供应商提交银行、保险公司等金融机构出具的预付款保函或其他担保措施。</w:t>
      </w:r>
      <w:r>
        <w:rPr>
          <w:kern w:val="2"/>
          <w:sz w:val="24"/>
          <w:szCs w:val="24"/>
        </w:rPr>
        <w:br w:type="textWrapping"/>
      </w:r>
      <w:r>
        <w:rPr>
          <w:kern w:val="2"/>
          <w:sz w:val="24"/>
          <w:szCs w:val="24"/>
        </w:rPr>
        <w:t xml:space="preserve">    2.货物送达指定地点安装调试，对于满足合同约定支付条件的，使用单位自收到发票后7个工作日内将</w:t>
      </w:r>
      <w:r>
        <w:rPr>
          <w:rFonts w:hint="eastAsia"/>
          <w:sz w:val="24"/>
          <w:szCs w:val="24"/>
          <w:lang w:val="zh-CN"/>
        </w:rPr>
        <w:t>剩余货款</w:t>
      </w:r>
      <w:r>
        <w:rPr>
          <w:kern w:val="2"/>
          <w:sz w:val="24"/>
          <w:szCs w:val="24"/>
        </w:rPr>
        <w:t>支付到合同约定的供应商账户。货款凭合同、中标通知书、发票、政府采购验收单和政府采购资金结算单，由使用单位直接支付。</w:t>
      </w:r>
    </w:p>
    <w:p>
      <w:pPr>
        <w:widowControl w:val="0"/>
        <w:spacing w:line="312" w:lineRule="auto"/>
        <w:ind w:firstLine="480" w:firstLineChars="200"/>
        <w:jc w:val="both"/>
        <w:rPr>
          <w:b/>
          <w:bCs/>
          <w:kern w:val="2"/>
          <w:sz w:val="24"/>
          <w:szCs w:val="24"/>
        </w:rPr>
      </w:pPr>
      <w:r>
        <w:rPr>
          <w:rFonts w:hint="eastAsia" w:ascii="宋体" w:hAnsi="宋体" w:cs="宋体"/>
          <w:sz w:val="24"/>
          <w:szCs w:val="24"/>
        </w:rPr>
        <w:t>★</w:t>
      </w:r>
      <w:r>
        <w:rPr>
          <w:sz w:val="24"/>
          <w:szCs w:val="24"/>
        </w:rPr>
        <w:t xml:space="preserve"> 3.本项目的支付发票必须为增值税专用发票。</w:t>
      </w:r>
    </w:p>
    <w:p>
      <w:pPr>
        <w:pStyle w:val="4"/>
        <w:spacing w:before="120" w:after="120" w:line="312" w:lineRule="auto"/>
        <w:rPr>
          <w:rFonts w:ascii="Times New Roman" w:hAnsi="Times New Roman" w:eastAsia="宋体"/>
          <w:kern w:val="2"/>
          <w:sz w:val="24"/>
          <w:szCs w:val="24"/>
        </w:rPr>
      </w:pPr>
      <w:bookmarkStart w:id="63" w:name="_Toc132635746"/>
      <w:bookmarkStart w:id="64" w:name="_Toc132635991"/>
      <w:bookmarkStart w:id="65" w:name="_Toc132635588"/>
      <w:r>
        <w:rPr>
          <w:rFonts w:ascii="Times New Roman" w:hAnsi="Times New Roman" w:eastAsia="宋体"/>
          <w:kern w:val="2"/>
          <w:sz w:val="24"/>
          <w:szCs w:val="24"/>
        </w:rPr>
        <w:t>六、其它说明</w:t>
      </w:r>
      <w:bookmarkEnd w:id="63"/>
      <w:bookmarkEnd w:id="64"/>
      <w:bookmarkEnd w:id="65"/>
    </w:p>
    <w:p>
      <w:pPr>
        <w:widowControl w:val="0"/>
        <w:spacing w:line="312" w:lineRule="auto"/>
        <w:ind w:firstLine="480" w:firstLineChars="200"/>
        <w:jc w:val="both"/>
        <w:rPr>
          <w:kern w:val="2"/>
          <w:sz w:val="24"/>
          <w:szCs w:val="24"/>
        </w:rPr>
      </w:pPr>
      <w:r>
        <w:rPr>
          <w:kern w:val="2"/>
          <w:sz w:val="24"/>
          <w:szCs w:val="24"/>
        </w:rPr>
        <w:t>★1.本项目设有一个标项，对于同一标段内的产品或服务不允许拆分参投，否则其投标无效。</w:t>
      </w:r>
    </w:p>
    <w:p>
      <w:pPr>
        <w:widowControl w:val="0"/>
        <w:spacing w:line="312" w:lineRule="auto"/>
        <w:ind w:firstLine="480" w:firstLineChars="200"/>
        <w:jc w:val="both"/>
        <w:rPr>
          <w:kern w:val="2"/>
        </w:rPr>
      </w:pPr>
      <w:r>
        <w:rPr>
          <w:kern w:val="2"/>
          <w:sz w:val="24"/>
          <w:szCs w:val="24"/>
        </w:rPr>
        <w:t>2.中标之后，如发现投标人的投标文件内容有不一致的，以有利于采购人和使用单位的原则执行。</w:t>
      </w:r>
      <w:bookmarkEnd w:id="41"/>
      <w:bookmarkEnd w:id="42"/>
    </w:p>
    <w:p>
      <w:pPr>
        <w:snapToGrid w:val="0"/>
        <w:spacing w:line="360" w:lineRule="exact"/>
        <w:ind w:firstLine="720" w:firstLineChars="200"/>
        <w:jc w:val="center"/>
        <w:rPr>
          <w:rFonts w:hint="eastAsia" w:ascii="新宋体" w:hAnsi="新宋体" w:eastAsia="新宋体" w:cs="新宋体"/>
          <w:sz w:val="36"/>
          <w:szCs w:val="36"/>
        </w:rPr>
      </w:pPr>
    </w:p>
    <w:p>
      <w:pPr>
        <w:snapToGrid w:val="0"/>
        <w:spacing w:line="360" w:lineRule="exact"/>
        <w:ind w:firstLine="720" w:firstLineChars="200"/>
        <w:jc w:val="center"/>
        <w:rPr>
          <w:rFonts w:hint="eastAsia" w:ascii="新宋体" w:hAnsi="新宋体" w:eastAsia="新宋体" w:cs="新宋体"/>
          <w:sz w:val="36"/>
          <w:szCs w:val="36"/>
        </w:rPr>
      </w:pPr>
    </w:p>
    <w:p>
      <w:pPr>
        <w:pStyle w:val="2"/>
        <w:rPr>
          <w:rFonts w:hint="eastAsia" w:ascii="新宋体" w:hAnsi="新宋体" w:eastAsia="新宋体" w:cs="新宋体"/>
          <w:sz w:val="36"/>
          <w:szCs w:val="36"/>
        </w:rPr>
      </w:pPr>
    </w:p>
    <w:p>
      <w:pPr>
        <w:pStyle w:val="2"/>
        <w:rPr>
          <w:rFonts w:hint="eastAsia" w:ascii="新宋体" w:hAnsi="新宋体" w:eastAsia="新宋体" w:cs="新宋体"/>
          <w:sz w:val="36"/>
          <w:szCs w:val="36"/>
        </w:rPr>
      </w:pPr>
    </w:p>
    <w:p>
      <w:pPr>
        <w:snapToGrid w:val="0"/>
        <w:spacing w:line="360" w:lineRule="exact"/>
        <w:jc w:val="both"/>
        <w:rPr>
          <w:rFonts w:hint="eastAsia" w:ascii="新宋体" w:hAnsi="新宋体" w:eastAsia="新宋体" w:cs="新宋体"/>
          <w:sz w:val="36"/>
          <w:szCs w:val="36"/>
        </w:rPr>
      </w:pPr>
    </w:p>
    <w:p>
      <w:pPr>
        <w:pStyle w:val="2"/>
        <w:rPr>
          <w:rFonts w:hint="eastAsia"/>
        </w:rPr>
      </w:pPr>
    </w:p>
    <w:p>
      <w:pPr>
        <w:snapToGrid w:val="0"/>
        <w:spacing w:line="360" w:lineRule="exact"/>
        <w:ind w:firstLine="720" w:firstLineChars="200"/>
        <w:jc w:val="center"/>
        <w:rPr>
          <w:rFonts w:hint="eastAsia" w:ascii="新宋体" w:hAnsi="新宋体" w:eastAsia="新宋体" w:cs="新宋体"/>
          <w:sz w:val="36"/>
          <w:szCs w:val="36"/>
        </w:rPr>
      </w:pPr>
    </w:p>
    <w:p>
      <w:pPr>
        <w:snapToGrid w:val="0"/>
        <w:spacing w:line="360" w:lineRule="exact"/>
        <w:ind w:firstLine="723" w:firstLineChars="200"/>
        <w:jc w:val="center"/>
        <w:rPr>
          <w:rFonts w:hint="eastAsia" w:ascii="新宋体" w:hAnsi="新宋体" w:eastAsia="新宋体" w:cs="新宋体"/>
          <w:b/>
          <w:bCs/>
          <w:sz w:val="36"/>
          <w:szCs w:val="36"/>
        </w:rPr>
      </w:pPr>
    </w:p>
    <w:p>
      <w:pPr>
        <w:snapToGrid w:val="0"/>
        <w:spacing w:line="360" w:lineRule="exact"/>
        <w:ind w:firstLine="723" w:firstLineChars="200"/>
        <w:jc w:val="center"/>
        <w:rPr>
          <w:rFonts w:ascii="新宋体" w:hAnsi="新宋体" w:eastAsia="新宋体"/>
          <w:szCs w:val="21"/>
        </w:rPr>
      </w:pPr>
      <w:r>
        <w:rPr>
          <w:rFonts w:hint="eastAsia" w:ascii="新宋体" w:hAnsi="新宋体" w:eastAsia="新宋体" w:cs="新宋体"/>
          <w:b/>
          <w:bCs/>
          <w:sz w:val="36"/>
          <w:szCs w:val="36"/>
        </w:rPr>
        <w:t>第四章 开标、评标和定标须知</w:t>
      </w:r>
      <w:bookmarkEnd w:id="43"/>
      <w:bookmarkEnd w:id="44"/>
      <w:bookmarkEnd w:id="45"/>
      <w:bookmarkEnd w:id="46"/>
    </w:p>
    <w:p>
      <w:pPr>
        <w:pStyle w:val="4"/>
        <w:spacing w:before="120" w:after="120" w:line="440" w:lineRule="exact"/>
        <w:rPr>
          <w:rFonts w:hint="eastAsia" w:ascii="新宋体" w:hAnsi="新宋体" w:eastAsia="新宋体" w:cs="新宋体"/>
          <w:color w:val="auto"/>
          <w:sz w:val="28"/>
          <w:szCs w:val="28"/>
          <w:highlight w:val="none"/>
        </w:rPr>
      </w:pPr>
      <w:bookmarkStart w:id="66" w:name="_Toc362250704"/>
      <w:bookmarkStart w:id="67" w:name="_Toc24970"/>
      <w:bookmarkStart w:id="68" w:name="_Toc274303252"/>
      <w:r>
        <w:rPr>
          <w:rFonts w:hint="eastAsia" w:ascii="新宋体" w:hAnsi="新宋体" w:eastAsia="新宋体" w:cs="新宋体"/>
          <w:color w:val="auto"/>
          <w:sz w:val="28"/>
          <w:szCs w:val="28"/>
          <w:highlight w:val="none"/>
        </w:rPr>
        <w:t>一.开标</w:t>
      </w:r>
      <w:bookmarkEnd w:id="66"/>
      <w:bookmarkEnd w:id="67"/>
      <w:bookmarkEnd w:id="68"/>
    </w:p>
    <w:p>
      <w:pPr>
        <w:spacing w:line="44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1.本项目实行电子开评标，投标人无需前往开评标现场，</w:t>
      </w:r>
      <w:r>
        <w:rPr>
          <w:rFonts w:hint="eastAsia" w:ascii="新宋体" w:hAnsi="新宋体" w:eastAsia="新宋体" w:cs="新宋体"/>
          <w:color w:val="auto"/>
          <w:sz w:val="24"/>
          <w:highlight w:val="none"/>
          <w:lang w:val="en-US" w:eastAsia="zh-CN"/>
        </w:rPr>
        <w:t>应</w:t>
      </w:r>
      <w:r>
        <w:rPr>
          <w:rFonts w:hint="eastAsia" w:ascii="新宋体" w:hAnsi="新宋体" w:eastAsia="新宋体" w:cs="新宋体"/>
          <w:color w:val="auto"/>
          <w:sz w:val="24"/>
          <w:highlight w:val="none"/>
        </w:rPr>
        <w:t>在规定时间内在“政采云”上上传电子投标文件和准时在线参加开标。投标人不足3家的，不得开标。</w:t>
      </w:r>
    </w:p>
    <w:p>
      <w:pPr>
        <w:spacing w:line="440" w:lineRule="exact"/>
        <w:ind w:firstLine="480" w:firstLineChars="200"/>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2.电子开评标及评审程序</w:t>
      </w:r>
      <w:r>
        <w:rPr>
          <w:rFonts w:hint="eastAsia" w:ascii="新宋体" w:hAnsi="新宋体" w:eastAsia="新宋体" w:cs="新宋体"/>
          <w:color w:val="auto"/>
          <w:sz w:val="24"/>
          <w:highlight w:val="none"/>
          <w:lang w:eastAsia="zh-CN"/>
        </w:rPr>
        <w:t>：</w:t>
      </w:r>
    </w:p>
    <w:p>
      <w:pPr>
        <w:spacing w:line="44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2.1</w:t>
      </w:r>
      <w:r>
        <w:rPr>
          <w:rFonts w:hint="eastAsia" w:ascii="新宋体" w:hAnsi="新宋体" w:eastAsia="新宋体" w:cs="新宋体"/>
          <w:color w:val="auto"/>
          <w:sz w:val="24"/>
          <w:highlight w:val="none"/>
          <w:lang w:eastAsia="zh-CN"/>
        </w:rPr>
        <w:t>采购代理机构</w:t>
      </w:r>
      <w:r>
        <w:rPr>
          <w:rFonts w:hint="eastAsia" w:ascii="新宋体" w:hAnsi="新宋体" w:eastAsia="新宋体" w:cs="新宋体"/>
          <w:color w:val="auto"/>
          <w:sz w:val="24"/>
          <w:highlight w:val="none"/>
        </w:rPr>
        <w:t>开启解密后的1小时内，由各投标人自行对电子投标文件进行解密（请各投标人务必在规定时间内完成电子投标文件的解密工作，在电子开评标期间，投标人（授权代表）需确保在各自所在的区域具备上网的技术条件并保持网络及联系方式畅通）；</w:t>
      </w:r>
    </w:p>
    <w:p>
      <w:pPr>
        <w:spacing w:line="440" w:lineRule="exact"/>
        <w:ind w:firstLine="480" w:firstLineChars="200"/>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2.2.采购人或采购代理机构对投标人的资格响应文件进行评审。采购人或采购代理机构应对投标人“信用中国”网站（www.creditchina.gov.cn）、中国政府采购网（www.ccgp.gov.cn）信用记录情况进行查询，根据（义行服管〔2017〕17号）的规定，对投标人的综合信用报告评级进行查询</w:t>
      </w:r>
      <w:r>
        <w:rPr>
          <w:rFonts w:hint="eastAsia" w:ascii="新宋体" w:hAnsi="新宋体" w:eastAsia="新宋体" w:cs="新宋体"/>
          <w:color w:val="auto"/>
          <w:sz w:val="24"/>
          <w:highlight w:val="none"/>
          <w:lang w:eastAsia="zh-CN"/>
        </w:rPr>
        <w:t>；</w:t>
      </w:r>
    </w:p>
    <w:p>
      <w:pPr>
        <w:spacing w:line="440" w:lineRule="exact"/>
        <w:ind w:firstLine="480" w:firstLineChars="200"/>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2.3评标委员会（即评标小组）对通过资格审查的投标人</w:t>
      </w:r>
      <w:r>
        <w:rPr>
          <w:rFonts w:hint="eastAsia" w:ascii="新宋体" w:hAnsi="新宋体" w:eastAsia="新宋体" w:cs="新宋体"/>
          <w:color w:val="auto"/>
          <w:sz w:val="24"/>
          <w:highlight w:val="none"/>
          <w:lang w:val="en-US" w:eastAsia="zh-CN"/>
        </w:rPr>
        <w:t>的</w:t>
      </w:r>
      <w:r>
        <w:rPr>
          <w:rFonts w:hint="eastAsia" w:ascii="新宋体" w:hAnsi="新宋体" w:eastAsia="新宋体" w:cs="新宋体"/>
          <w:color w:val="auto"/>
          <w:sz w:val="24"/>
          <w:highlight w:val="none"/>
        </w:rPr>
        <w:t>商务技术响应文件进行评审</w:t>
      </w:r>
      <w:r>
        <w:rPr>
          <w:rFonts w:hint="eastAsia" w:ascii="新宋体" w:hAnsi="新宋体" w:eastAsia="新宋体" w:cs="新宋体"/>
          <w:color w:val="auto"/>
          <w:sz w:val="24"/>
          <w:highlight w:val="none"/>
          <w:lang w:eastAsia="zh-CN"/>
        </w:rPr>
        <w:t>；</w:t>
      </w:r>
    </w:p>
    <w:p>
      <w:pPr>
        <w:spacing w:line="44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2.4评标小组对通过符合性审查的投标人</w:t>
      </w:r>
      <w:r>
        <w:rPr>
          <w:rFonts w:hint="eastAsia" w:ascii="新宋体" w:hAnsi="新宋体" w:eastAsia="新宋体" w:cs="新宋体"/>
          <w:color w:val="auto"/>
          <w:sz w:val="24"/>
          <w:highlight w:val="none"/>
          <w:lang w:val="en-US" w:eastAsia="zh-CN"/>
        </w:rPr>
        <w:t>的</w:t>
      </w:r>
      <w:r>
        <w:rPr>
          <w:rFonts w:hint="eastAsia" w:ascii="新宋体" w:hAnsi="新宋体" w:eastAsia="新宋体" w:cs="新宋体"/>
          <w:color w:val="auto"/>
          <w:sz w:val="24"/>
          <w:highlight w:val="none"/>
        </w:rPr>
        <w:t>报价响应文件进行评审；</w:t>
      </w:r>
    </w:p>
    <w:p>
      <w:pPr>
        <w:spacing w:line="44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w:t>
      </w:r>
      <w:r>
        <w:rPr>
          <w:rFonts w:hint="eastAsia" w:ascii="新宋体" w:hAnsi="新宋体" w:eastAsia="新宋体" w:cs="新宋体"/>
          <w:color w:val="auto"/>
          <w:sz w:val="24"/>
          <w:highlight w:val="none"/>
          <w:lang w:val="en-US" w:eastAsia="zh-CN"/>
        </w:rPr>
        <w:t>5</w:t>
      </w:r>
      <w:r>
        <w:rPr>
          <w:rFonts w:hint="eastAsia" w:ascii="新宋体" w:hAnsi="新宋体" w:eastAsia="新宋体" w:cs="新宋体"/>
          <w:color w:val="auto"/>
          <w:sz w:val="24"/>
          <w:highlight w:val="none"/>
        </w:rPr>
        <w:t>在系统上公布评审结果。</w:t>
      </w:r>
    </w:p>
    <w:p>
      <w:pPr>
        <w:spacing w:line="400" w:lineRule="exact"/>
        <w:ind w:firstLine="482" w:firstLineChars="200"/>
        <w:rPr>
          <w:rFonts w:hint="eastAsia" w:ascii="新宋体" w:hAnsi="新宋体" w:eastAsia="新宋体" w:cs="新宋体"/>
          <w:color w:val="auto"/>
          <w:sz w:val="24"/>
          <w:highlight w:val="none"/>
        </w:rPr>
      </w:pPr>
      <w:r>
        <w:rPr>
          <w:rFonts w:hint="eastAsia" w:ascii="新宋体" w:hAnsi="新宋体" w:eastAsia="新宋体" w:cs="新宋体"/>
          <w:b/>
          <w:bCs/>
          <w:color w:val="auto"/>
          <w:sz w:val="24"/>
          <w:highlight w:val="none"/>
          <w:u w:val="single"/>
        </w:rPr>
        <w:t>特别说明：“政采云”如对开评标程序有调整的，按调整后的程序操作。</w:t>
      </w:r>
    </w:p>
    <w:p>
      <w:pPr>
        <w:pStyle w:val="4"/>
        <w:spacing w:before="120" w:after="120" w:line="440" w:lineRule="exact"/>
        <w:rPr>
          <w:rFonts w:hint="eastAsia" w:ascii="新宋体" w:hAnsi="新宋体" w:eastAsia="新宋体" w:cs="新宋体"/>
          <w:color w:val="auto"/>
          <w:sz w:val="28"/>
          <w:szCs w:val="28"/>
          <w:highlight w:val="none"/>
        </w:rPr>
      </w:pPr>
      <w:bookmarkStart w:id="69" w:name="_Toc261519847"/>
      <w:bookmarkStart w:id="70" w:name="_Toc274303253"/>
      <w:bookmarkStart w:id="71" w:name="_Toc15660"/>
      <w:bookmarkStart w:id="72" w:name="_Toc263090375"/>
      <w:bookmarkStart w:id="73" w:name="_Toc362250705"/>
      <w:bookmarkStart w:id="74" w:name="_Toc226973002"/>
      <w:r>
        <w:rPr>
          <w:rFonts w:hint="eastAsia" w:ascii="新宋体" w:hAnsi="新宋体" w:eastAsia="新宋体" w:cs="新宋体"/>
          <w:color w:val="auto"/>
          <w:highlight w:val="none"/>
        </w:rPr>
        <w:t>二.评标</w:t>
      </w:r>
      <w:bookmarkEnd w:id="69"/>
      <w:bookmarkEnd w:id="70"/>
      <w:bookmarkEnd w:id="71"/>
      <w:bookmarkEnd w:id="72"/>
      <w:bookmarkEnd w:id="73"/>
      <w:bookmarkEnd w:id="74"/>
    </w:p>
    <w:p>
      <w:pPr>
        <w:spacing w:line="440" w:lineRule="exact"/>
        <w:ind w:firstLine="480"/>
        <w:rPr>
          <w:rFonts w:hint="eastAsia" w:ascii="新宋体" w:hAnsi="新宋体" w:eastAsia="新宋体" w:cs="新宋体"/>
          <w:b/>
          <w:color w:val="auto"/>
          <w:kern w:val="0"/>
          <w:sz w:val="24"/>
          <w:highlight w:val="none"/>
        </w:rPr>
      </w:pPr>
      <w:r>
        <w:rPr>
          <w:rFonts w:hint="eastAsia" w:ascii="新宋体" w:hAnsi="新宋体" w:eastAsia="新宋体" w:cs="新宋体"/>
          <w:b/>
          <w:color w:val="auto"/>
          <w:kern w:val="0"/>
          <w:sz w:val="24"/>
          <w:highlight w:val="none"/>
        </w:rPr>
        <w:t>3.评标委员会</w:t>
      </w:r>
    </w:p>
    <w:p>
      <w:pPr>
        <w:spacing w:line="440" w:lineRule="exact"/>
        <w:ind w:firstLine="480" w:firstLineChars="200"/>
        <w:rPr>
          <w:rFonts w:hint="eastAsia" w:ascii="新宋体" w:hAnsi="新宋体" w:eastAsia="新宋体" w:cs="新宋体"/>
          <w:iCs/>
          <w:color w:val="auto"/>
          <w:sz w:val="24"/>
          <w:highlight w:val="none"/>
        </w:rPr>
      </w:pPr>
      <w:r>
        <w:rPr>
          <w:rFonts w:hint="eastAsia" w:ascii="新宋体" w:hAnsi="新宋体" w:eastAsia="新宋体" w:cs="新宋体"/>
          <w:iCs/>
          <w:color w:val="auto"/>
          <w:sz w:val="24"/>
          <w:highlight w:val="none"/>
        </w:rPr>
        <w:t>招标方将根据招标采购项目的特点确定评标委员会（即评标小组）。其成员由专家和采购人代表共</w:t>
      </w:r>
      <w:r>
        <w:rPr>
          <w:rFonts w:hint="eastAsia" w:ascii="新宋体" w:hAnsi="新宋体" w:eastAsia="新宋体" w:cs="Courier New"/>
          <w:iCs/>
          <w:color w:val="auto"/>
          <w:sz w:val="24"/>
          <w:szCs w:val="21"/>
          <w:highlight w:val="none"/>
        </w:rPr>
        <w:t>5人及以上单数</w:t>
      </w:r>
      <w:r>
        <w:rPr>
          <w:rFonts w:hint="eastAsia" w:ascii="新宋体" w:hAnsi="新宋体" w:eastAsia="新宋体" w:cs="新宋体"/>
          <w:iCs/>
          <w:color w:val="auto"/>
          <w:sz w:val="24"/>
          <w:highlight w:val="none"/>
        </w:rPr>
        <w:t>组成。评标委员会对投标文件进行审查、质疑、评估和比较。</w:t>
      </w:r>
    </w:p>
    <w:p>
      <w:pPr>
        <w:spacing w:line="440" w:lineRule="exact"/>
        <w:ind w:firstLine="480"/>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t>4.评标原则</w:t>
      </w:r>
    </w:p>
    <w:p>
      <w:pPr>
        <w:spacing w:line="44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4.1评标委员会将遵循公开、公平、公正的原则，严格遵守评标工作纪律。</w:t>
      </w:r>
    </w:p>
    <w:p>
      <w:pPr>
        <w:spacing w:line="44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4.2先评资格及商务技术响应文件，再评报价响应文件。</w:t>
      </w:r>
    </w:p>
    <w:p>
      <w:pPr>
        <w:spacing w:line="440" w:lineRule="exact"/>
        <w:ind w:firstLine="480"/>
        <w:rPr>
          <w:rFonts w:hint="eastAsia" w:ascii="新宋体" w:hAnsi="新宋体" w:eastAsia="新宋体" w:cs="新宋体"/>
          <w:color w:val="auto"/>
          <w:sz w:val="24"/>
          <w:highlight w:val="none"/>
        </w:rPr>
      </w:pPr>
      <w:r>
        <w:rPr>
          <w:rFonts w:hint="eastAsia" w:ascii="新宋体" w:hAnsi="新宋体" w:eastAsia="新宋体" w:cs="新宋体"/>
          <w:bCs/>
          <w:color w:val="auto"/>
          <w:sz w:val="24"/>
          <w:highlight w:val="none"/>
        </w:rPr>
        <w:t>4.3</w:t>
      </w:r>
      <w:r>
        <w:rPr>
          <w:rFonts w:hint="eastAsia" w:ascii="新宋体" w:hAnsi="新宋体" w:eastAsia="新宋体" w:cs="新宋体"/>
          <w:color w:val="auto"/>
          <w:sz w:val="24"/>
          <w:highlight w:val="none"/>
        </w:rPr>
        <w:t>客观公正对待所有投标人，对所有投标评审均采用相同的程序和标准。评标的依据为招标文件和相关</w:t>
      </w:r>
      <w:r>
        <w:rPr>
          <w:rFonts w:hint="eastAsia" w:ascii="新宋体" w:hAnsi="新宋体" w:eastAsia="新宋体" w:cs="新宋体"/>
          <w:color w:val="auto"/>
          <w:sz w:val="24"/>
          <w:highlight w:val="none"/>
          <w:lang w:eastAsia="zh-CN"/>
        </w:rPr>
        <w:t>法律法规</w:t>
      </w:r>
      <w:r>
        <w:rPr>
          <w:rFonts w:hint="eastAsia" w:ascii="新宋体" w:hAnsi="新宋体" w:eastAsia="新宋体" w:cs="新宋体"/>
          <w:color w:val="auto"/>
          <w:sz w:val="24"/>
          <w:highlight w:val="none"/>
        </w:rPr>
        <w:t>及政策文件。</w:t>
      </w:r>
    </w:p>
    <w:p>
      <w:pPr>
        <w:pStyle w:val="26"/>
        <w:spacing w:line="440" w:lineRule="exact"/>
        <w:ind w:firstLine="482"/>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4.4异常或特殊情况处理</w:t>
      </w:r>
      <w:r>
        <w:rPr>
          <w:rFonts w:hint="eastAsia" w:ascii="新宋体" w:hAnsi="新宋体" w:eastAsia="新宋体" w:cs="新宋体"/>
          <w:color w:val="auto"/>
          <w:sz w:val="24"/>
          <w:highlight w:val="none"/>
          <w:lang w:eastAsia="zh-CN"/>
        </w:rPr>
        <w:t>：</w:t>
      </w:r>
    </w:p>
    <w:p>
      <w:pPr>
        <w:pStyle w:val="26"/>
        <w:spacing w:line="440" w:lineRule="exact"/>
        <w:ind w:firstLine="482"/>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highlight w:val="none"/>
        </w:rPr>
        <w:t>4.4.1</w:t>
      </w:r>
      <w:r>
        <w:rPr>
          <w:rFonts w:hint="eastAsia" w:ascii="新宋体" w:hAnsi="新宋体" w:eastAsia="新宋体" w:cs="新宋体"/>
          <w:color w:val="auto"/>
          <w:sz w:val="24"/>
          <w:szCs w:val="24"/>
          <w:highlight w:val="none"/>
        </w:rPr>
        <w:t>在评标过程中，如发现招标文件中内容有不一致的（除招标文件中</w:t>
      </w:r>
      <w:r>
        <w:rPr>
          <w:rFonts w:hint="eastAsia" w:ascii="新宋体" w:hAnsi="新宋体" w:eastAsia="新宋体" w:cs="新宋体"/>
          <w:color w:val="auto"/>
          <w:sz w:val="24"/>
          <w:szCs w:val="24"/>
          <w:highlight w:val="none"/>
          <w:lang w:eastAsia="zh-CN"/>
        </w:rPr>
        <w:t>其他</w:t>
      </w:r>
      <w:r>
        <w:rPr>
          <w:rFonts w:hint="eastAsia" w:ascii="新宋体" w:hAnsi="新宋体" w:eastAsia="新宋体" w:cs="新宋体"/>
          <w:color w:val="auto"/>
          <w:sz w:val="24"/>
          <w:szCs w:val="24"/>
          <w:highlight w:val="none"/>
        </w:rPr>
        <w:t>地方另有规定的外），经评标委员</w:t>
      </w:r>
      <w:r>
        <w:rPr>
          <w:rFonts w:hint="eastAsia" w:ascii="新宋体" w:hAnsi="新宋体" w:eastAsia="新宋体" w:cs="新宋体"/>
          <w:color w:val="auto"/>
          <w:sz w:val="24"/>
          <w:szCs w:val="24"/>
          <w:highlight w:val="none"/>
          <w:lang w:val="en-US" w:eastAsia="zh-CN"/>
        </w:rPr>
        <w:t>会</w:t>
      </w:r>
      <w:r>
        <w:rPr>
          <w:rFonts w:hint="eastAsia" w:ascii="新宋体" w:hAnsi="新宋体" w:eastAsia="新宋体" w:cs="新宋体"/>
          <w:color w:val="auto"/>
          <w:sz w:val="24"/>
          <w:szCs w:val="24"/>
          <w:highlight w:val="none"/>
        </w:rPr>
        <w:t>讨论认为不影响评标的，可以继续评标</w:t>
      </w:r>
      <w:r>
        <w:rPr>
          <w:rFonts w:hint="eastAsia" w:ascii="新宋体" w:hAnsi="新宋体" w:eastAsia="新宋体" w:cs="新宋体"/>
          <w:color w:val="auto"/>
          <w:sz w:val="24"/>
          <w:szCs w:val="24"/>
          <w:highlight w:val="none"/>
          <w:lang w:eastAsia="zh-CN"/>
        </w:rPr>
        <w:t>；</w:t>
      </w:r>
    </w:p>
    <w:p>
      <w:pPr>
        <w:spacing w:line="440" w:lineRule="exact"/>
        <w:ind w:firstLine="480" w:firstLineChars="200"/>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r>
        <w:rPr>
          <w:rFonts w:hint="eastAsia" w:ascii="新宋体" w:hAnsi="新宋体" w:eastAsia="新宋体" w:cs="新宋体"/>
          <w:color w:val="auto"/>
          <w:sz w:val="24"/>
          <w:highlight w:val="none"/>
          <w:lang w:eastAsia="zh-CN"/>
        </w:rPr>
        <w:t>；</w:t>
      </w:r>
    </w:p>
    <w:p>
      <w:pPr>
        <w:spacing w:line="440" w:lineRule="exact"/>
        <w:ind w:firstLine="466" w:firstLineChars="200"/>
        <w:rPr>
          <w:rFonts w:hint="eastAsia" w:ascii="新宋体" w:hAnsi="新宋体" w:eastAsia="新宋体" w:cs="新宋体"/>
          <w:color w:val="auto"/>
          <w:sz w:val="24"/>
          <w:highlight w:val="none"/>
        </w:rPr>
      </w:pPr>
      <w:r>
        <w:rPr>
          <w:rFonts w:hint="eastAsia" w:ascii="新宋体" w:hAnsi="新宋体" w:eastAsia="新宋体" w:cs="新宋体"/>
          <w:b/>
          <w:color w:val="auto"/>
          <w:spacing w:val="-4"/>
          <w:sz w:val="24"/>
          <w:highlight w:val="none"/>
        </w:rPr>
        <w:t>4.4.2</w:t>
      </w:r>
      <w:r>
        <w:rPr>
          <w:rFonts w:hint="eastAsia" w:ascii="新宋体" w:hAnsi="新宋体" w:eastAsia="新宋体" w:cs="新宋体"/>
          <w:color w:val="auto"/>
          <w:sz w:val="24"/>
          <w:highlight w:val="none"/>
        </w:rPr>
        <w:t>在评标过程中，出现</w:t>
      </w:r>
      <w:r>
        <w:rPr>
          <w:rFonts w:hint="eastAsia" w:ascii="新宋体" w:hAnsi="新宋体" w:eastAsia="新宋体" w:cs="新宋体"/>
          <w:color w:val="auto"/>
          <w:sz w:val="24"/>
          <w:highlight w:val="none"/>
          <w:lang w:eastAsia="zh-CN"/>
        </w:rPr>
        <w:t>其他</w:t>
      </w:r>
      <w:r>
        <w:rPr>
          <w:rFonts w:hint="eastAsia" w:ascii="新宋体" w:hAnsi="新宋体" w:eastAsia="新宋体" w:cs="新宋体"/>
          <w:color w:val="auto"/>
          <w:sz w:val="24"/>
          <w:highlight w:val="none"/>
        </w:rPr>
        <w:t>异常或特殊情况时，由评标委员会集体讨论决定。</w:t>
      </w:r>
    </w:p>
    <w:p>
      <w:pPr>
        <w:adjustRightInd w:val="0"/>
        <w:snapToGrid w:val="0"/>
        <w:spacing w:line="440" w:lineRule="exact"/>
        <w:ind w:firstLine="472" w:firstLineChars="196"/>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t>★4.5供应商的认定</w:t>
      </w:r>
    </w:p>
    <w:p>
      <w:pPr>
        <w:spacing w:line="44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提供相同品牌的</w:t>
      </w:r>
      <w:r>
        <w:rPr>
          <w:rFonts w:hint="eastAsia" w:ascii="新宋体" w:hAnsi="新宋体" w:eastAsia="新宋体" w:cs="新宋体"/>
          <w:color w:val="auto"/>
          <w:sz w:val="24"/>
          <w:highlight w:val="none"/>
          <w:lang w:eastAsia="zh-CN"/>
        </w:rPr>
        <w:t>多媒体触控一体机</w:t>
      </w:r>
      <w:r>
        <w:rPr>
          <w:rFonts w:hint="eastAsia" w:ascii="新宋体" w:hAnsi="新宋体" w:eastAsia="新宋体" w:cs="新宋体"/>
          <w:color w:val="auto"/>
          <w:sz w:val="24"/>
          <w:highlight w:val="none"/>
        </w:rPr>
        <w:t>且通过资格审查、符合性审查的不同投标人参加同一标项下投标的，按一家投标人计算，评审后得分最高的同品牌投标人作为有效供应商，评审得分相同的，采取随机抽取方式确定，其他同品牌投标人投标无效。</w:t>
      </w:r>
    </w:p>
    <w:p>
      <w:pPr>
        <w:spacing w:line="44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4.6评标委员会成员对需要共同认定的事项存在争议的，应当按照少数服从多数的原则作出结论。持不同意见的评标委员会成员应当在评标报告上签署不同意见及理由，否则视为同意评标报告。</w:t>
      </w:r>
    </w:p>
    <w:p>
      <w:pPr>
        <w:spacing w:line="440" w:lineRule="exact"/>
        <w:ind w:firstLine="482" w:firstLineChars="200"/>
        <w:rPr>
          <w:rFonts w:hint="eastAsia" w:ascii="新宋体" w:hAnsi="新宋体" w:eastAsia="新宋体" w:cs="新宋体"/>
          <w:color w:val="auto"/>
          <w:sz w:val="28"/>
          <w:highlight w:val="none"/>
        </w:rPr>
      </w:pPr>
      <w:r>
        <w:rPr>
          <w:rFonts w:hint="eastAsia" w:ascii="新宋体" w:hAnsi="新宋体" w:eastAsia="新宋体" w:cs="新宋体"/>
          <w:b/>
          <w:color w:val="auto"/>
          <w:sz w:val="24"/>
          <w:highlight w:val="none"/>
        </w:rPr>
        <w:t>5.评标过程的保密</w:t>
      </w:r>
    </w:p>
    <w:p>
      <w:pPr>
        <w:spacing w:line="44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开标后，直至授予中标人合同为止，凡属于对投标文件的审查、澄清、评价和比较等与评标有关的任何资料、情况均严格保密。</w:t>
      </w:r>
    </w:p>
    <w:p>
      <w:pPr>
        <w:adjustRightInd w:val="0"/>
        <w:snapToGrid w:val="0"/>
        <w:spacing w:line="440" w:lineRule="exact"/>
        <w:ind w:firstLine="472" w:firstLineChars="196"/>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t>6.投标文件中内容不一致的处理</w:t>
      </w:r>
    </w:p>
    <w:p>
      <w:pPr>
        <w:spacing w:line="440" w:lineRule="exact"/>
        <w:ind w:firstLine="482" w:firstLineChars="200"/>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t>同一份投标文件中，彩页、官网下载资料、检测报告等证明性资料中描写的技术性能指标与投标文件中</w:t>
      </w:r>
      <w:r>
        <w:rPr>
          <w:rFonts w:hint="eastAsia" w:ascii="新宋体" w:hAnsi="新宋体" w:eastAsia="新宋体" w:cs="新宋体"/>
          <w:b/>
          <w:color w:val="auto"/>
          <w:sz w:val="24"/>
          <w:highlight w:val="none"/>
          <w:lang w:eastAsia="zh-CN"/>
        </w:rPr>
        <w:t>其他</w:t>
      </w:r>
      <w:r>
        <w:rPr>
          <w:rFonts w:hint="eastAsia" w:ascii="新宋体" w:hAnsi="新宋体" w:eastAsia="新宋体" w:cs="新宋体"/>
          <w:b/>
          <w:color w:val="auto"/>
          <w:sz w:val="24"/>
          <w:highlight w:val="none"/>
        </w:rPr>
        <w:t>地方内容描述不一致的，应以上述证明性资料为准；规范偏离表等偏离表的内容与投标文件中</w:t>
      </w:r>
      <w:r>
        <w:rPr>
          <w:rFonts w:hint="eastAsia" w:ascii="新宋体" w:hAnsi="新宋体" w:eastAsia="新宋体" w:cs="新宋体"/>
          <w:b/>
          <w:color w:val="auto"/>
          <w:sz w:val="24"/>
          <w:highlight w:val="none"/>
          <w:lang w:eastAsia="zh-CN"/>
        </w:rPr>
        <w:t>其他</w:t>
      </w:r>
      <w:r>
        <w:rPr>
          <w:rFonts w:hint="eastAsia" w:ascii="新宋体" w:hAnsi="新宋体" w:eastAsia="新宋体" w:cs="新宋体"/>
          <w:b/>
          <w:color w:val="auto"/>
          <w:sz w:val="24"/>
          <w:highlight w:val="none"/>
        </w:rPr>
        <w:t>地方内容有描述不一致的，应以投标文件中</w:t>
      </w:r>
      <w:r>
        <w:rPr>
          <w:rFonts w:hint="eastAsia" w:ascii="新宋体" w:hAnsi="新宋体" w:eastAsia="新宋体" w:cs="新宋体"/>
          <w:b/>
          <w:color w:val="auto"/>
          <w:sz w:val="24"/>
          <w:highlight w:val="none"/>
          <w:lang w:eastAsia="zh-CN"/>
        </w:rPr>
        <w:t>其他</w:t>
      </w:r>
      <w:r>
        <w:rPr>
          <w:rFonts w:hint="eastAsia" w:ascii="新宋体" w:hAnsi="新宋体" w:eastAsia="新宋体" w:cs="新宋体"/>
          <w:b/>
          <w:color w:val="auto"/>
          <w:sz w:val="24"/>
          <w:highlight w:val="none"/>
        </w:rPr>
        <w:t>地方内容的描述为准。</w:t>
      </w:r>
    </w:p>
    <w:p>
      <w:pPr>
        <w:spacing w:line="440" w:lineRule="exact"/>
        <w:ind w:firstLine="482" w:firstLineChars="200"/>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t>7.投标文件的澄清</w:t>
      </w:r>
    </w:p>
    <w:p>
      <w:pPr>
        <w:adjustRightInd w:val="0"/>
        <w:snapToGrid w:val="0"/>
        <w:spacing w:line="44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7.1为有助于投标文件的审查、评价和比较，评标委员会应当在“政采云”在线询标或采用其他有效形式要求投标人对同一份投标文件含义不明确、同类问题表述不一致或者有明显文字和计算错误的内容（除招标文件中</w:t>
      </w:r>
      <w:r>
        <w:rPr>
          <w:rFonts w:hint="eastAsia" w:ascii="新宋体" w:hAnsi="新宋体" w:eastAsia="新宋体" w:cs="新宋体"/>
          <w:color w:val="auto"/>
          <w:sz w:val="24"/>
          <w:highlight w:val="none"/>
          <w:lang w:eastAsia="zh-CN"/>
        </w:rPr>
        <w:t>其他</w:t>
      </w:r>
      <w:r>
        <w:rPr>
          <w:rFonts w:hint="eastAsia" w:ascii="新宋体" w:hAnsi="新宋体" w:eastAsia="新宋体" w:cs="新宋体"/>
          <w:color w:val="auto"/>
          <w:sz w:val="24"/>
          <w:highlight w:val="none"/>
        </w:rPr>
        <w:t>地方另有规定的外）作必要的澄清或说明，投标人应采用在线回复或其他有效形式在询标规定时间内进行澄清或说明（需盖电子签章或实体公章），但不得超出投标文件的范围或改变投标文件的实质性内容。根据本须知第9条规定，凡属于评标小组在评标中发现的计算错误并进行核实的修改不在此列。</w:t>
      </w:r>
    </w:p>
    <w:p>
      <w:pPr>
        <w:adjustRightInd w:val="0"/>
        <w:snapToGrid w:val="0"/>
        <w:spacing w:line="44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7.2如果投标人代表拒绝按评标委员会要求在“政采云”作出在线回复且无其他有效回复方式的，评标委员会可以对其作出无效标处理。</w:t>
      </w:r>
    </w:p>
    <w:p>
      <w:pPr>
        <w:adjustRightInd w:val="0"/>
        <w:snapToGrid w:val="0"/>
        <w:spacing w:line="44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8.</w:t>
      </w:r>
      <w:r>
        <w:rPr>
          <w:rFonts w:hint="eastAsia" w:ascii="新宋体" w:hAnsi="新宋体" w:eastAsia="新宋体" w:cs="新宋体"/>
          <w:b/>
          <w:color w:val="auto"/>
          <w:sz w:val="24"/>
          <w:highlight w:val="none"/>
        </w:rPr>
        <w:t>投标文件的资格性和符合性评审</w:t>
      </w:r>
    </w:p>
    <w:p>
      <w:pPr>
        <w:adjustRightInd w:val="0"/>
        <w:snapToGrid w:val="0"/>
        <w:spacing w:line="44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8.1评标时，评标委员会将首先评定每份投标文件是否实质上响应了招标文件的要求。所谓实质上响应，是指投标文件应与招标文件的所有实质性条款、条件和要求相符，无显著差异或保留。</w:t>
      </w:r>
    </w:p>
    <w:p>
      <w:pPr>
        <w:adjustRightInd w:val="0"/>
        <w:snapToGrid w:val="0"/>
        <w:spacing w:line="44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8.2如果投标文件出现第五章规定的内容，即为实质上不响应招标文件的各项要求，评标委员会将予以拒绝（或认定为无效标），并且不允许投标人通过修改或撤销其不符合要求的差异或保留，使之成为实质上响应的投标。</w:t>
      </w:r>
    </w:p>
    <w:p>
      <w:pPr>
        <w:adjustRightInd w:val="0"/>
        <w:snapToGrid w:val="0"/>
        <w:spacing w:line="44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8.3在投标文件的评审和比较、中标候选人推荐的过程中，投标人向采购人和评标小组施加影响的任何行为，都将会导致其投标被拒绝。</w:t>
      </w:r>
    </w:p>
    <w:p>
      <w:pPr>
        <w:adjustRightInd w:val="0"/>
        <w:snapToGrid w:val="0"/>
        <w:spacing w:line="440" w:lineRule="exact"/>
        <w:ind w:firstLine="482" w:firstLineChars="200"/>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t>8.4评标委员会在作出任何一项无效标决定前，都应当严格遵循以下程序：</w:t>
      </w:r>
    </w:p>
    <w:p>
      <w:pPr>
        <w:adjustRightInd w:val="0"/>
        <w:snapToGrid w:val="0"/>
        <w:spacing w:line="44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8.4.1要求当事投标人作相应的答辩；</w:t>
      </w:r>
    </w:p>
    <w:p>
      <w:pPr>
        <w:adjustRightInd w:val="0"/>
        <w:snapToGrid w:val="0"/>
        <w:spacing w:line="44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8.4.2在充分讨论的基础上集体表决。</w:t>
      </w:r>
    </w:p>
    <w:p>
      <w:pPr>
        <w:pStyle w:val="26"/>
        <w:spacing w:line="440" w:lineRule="exact"/>
        <w:ind w:firstLine="482"/>
        <w:rPr>
          <w:rFonts w:hint="eastAsia" w:ascii="新宋体" w:hAnsi="新宋体" w:eastAsia="新宋体" w:cs="新宋体"/>
          <w:b/>
          <w:color w:val="auto"/>
          <w:sz w:val="24"/>
          <w:highlight w:val="none"/>
          <w:lang w:eastAsia="zh-CN"/>
        </w:rPr>
      </w:pPr>
      <w:r>
        <w:rPr>
          <w:rFonts w:hint="eastAsia" w:ascii="新宋体" w:hAnsi="新宋体" w:eastAsia="新宋体" w:cs="新宋体"/>
          <w:b/>
          <w:color w:val="auto"/>
          <w:sz w:val="24"/>
          <w:highlight w:val="none"/>
        </w:rPr>
        <w:t>9.投标文件中</w:t>
      </w:r>
      <w:r>
        <w:rPr>
          <w:rFonts w:hint="eastAsia" w:ascii="新宋体" w:hAnsi="新宋体" w:eastAsia="新宋体" w:cs="新宋体"/>
          <w:b/>
          <w:color w:val="auto"/>
          <w:sz w:val="24"/>
          <w:highlight w:val="none"/>
          <w:u w:val="single"/>
        </w:rPr>
        <w:t>计算错误和不同文字文本</w:t>
      </w:r>
      <w:r>
        <w:rPr>
          <w:rFonts w:hint="eastAsia" w:ascii="新宋体" w:hAnsi="新宋体" w:eastAsia="新宋体" w:cs="新宋体"/>
          <w:b/>
          <w:color w:val="auto"/>
          <w:sz w:val="24"/>
          <w:highlight w:val="none"/>
        </w:rPr>
        <w:t>的修正</w:t>
      </w:r>
      <w:r>
        <w:rPr>
          <w:rFonts w:hint="eastAsia" w:ascii="新宋体" w:hAnsi="新宋体" w:eastAsia="新宋体" w:cs="新宋体"/>
          <w:b/>
          <w:color w:val="auto"/>
          <w:sz w:val="24"/>
          <w:highlight w:val="none"/>
          <w:lang w:eastAsia="zh-CN"/>
        </w:rPr>
        <w:t>。</w:t>
      </w:r>
    </w:p>
    <w:p>
      <w:pPr>
        <w:pStyle w:val="26"/>
        <w:spacing w:line="440" w:lineRule="exact"/>
        <w:ind w:firstLine="482"/>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9.1修正原则如下：</w:t>
      </w:r>
    </w:p>
    <w:p>
      <w:pPr>
        <w:pStyle w:val="26"/>
        <w:spacing w:line="440" w:lineRule="exact"/>
        <w:ind w:firstLine="482"/>
        <w:rPr>
          <w:rFonts w:hint="eastAsia" w:ascii="新宋体" w:hAnsi="新宋体" w:eastAsia="新宋体" w:cs="新宋体"/>
          <w:color w:val="auto"/>
          <w:kern w:val="0"/>
          <w:sz w:val="24"/>
          <w:szCs w:val="24"/>
          <w:highlight w:val="none"/>
          <w:lang w:eastAsia="zh-CN"/>
        </w:rPr>
      </w:pPr>
      <w:r>
        <w:rPr>
          <w:rFonts w:hint="eastAsia" w:ascii="新宋体" w:hAnsi="新宋体" w:eastAsia="新宋体" w:cs="新宋体"/>
          <w:color w:val="auto"/>
          <w:kern w:val="0"/>
          <w:sz w:val="24"/>
          <w:szCs w:val="24"/>
          <w:highlight w:val="none"/>
        </w:rPr>
        <w:t>9.1.1对不同文字文本投标文件的解释发生异义的，以中文文本为准；评标委员会可以拒绝接受不是中文版的投标文件以及与投标相关的资料</w:t>
      </w:r>
      <w:r>
        <w:rPr>
          <w:rFonts w:hint="eastAsia" w:ascii="新宋体" w:hAnsi="新宋体" w:eastAsia="新宋体" w:cs="新宋体"/>
          <w:color w:val="auto"/>
          <w:kern w:val="0"/>
          <w:sz w:val="24"/>
          <w:szCs w:val="24"/>
          <w:highlight w:val="none"/>
          <w:lang w:eastAsia="zh-CN"/>
        </w:rPr>
        <w:t>；</w:t>
      </w:r>
    </w:p>
    <w:p>
      <w:pPr>
        <w:pStyle w:val="26"/>
        <w:spacing w:line="440" w:lineRule="exact"/>
        <w:ind w:firstLine="482"/>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9.1.2投标文件报价出现不一致的，除招标文件另有规定外，按照下列规定修正：</w:t>
      </w:r>
    </w:p>
    <w:p>
      <w:pPr>
        <w:pStyle w:val="26"/>
        <w:spacing w:line="440" w:lineRule="exact"/>
        <w:ind w:firstLine="482"/>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（1）客户端填写的报价与以pdf格式上传文件中的报价不一致的，应以Pdf格式上传文件中的报价为准；</w:t>
      </w:r>
    </w:p>
    <w:p>
      <w:pPr>
        <w:pStyle w:val="26"/>
        <w:spacing w:line="440" w:lineRule="exact"/>
        <w:ind w:firstLine="482"/>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（2）投标文件中开标一览表内容与投标文件中相应内容不一致的，以开标一览表为准；</w:t>
      </w:r>
    </w:p>
    <w:p>
      <w:pPr>
        <w:pStyle w:val="26"/>
        <w:spacing w:line="440" w:lineRule="exact"/>
        <w:ind w:firstLine="482"/>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（3）投标文件的大写金额和小写金额不一致的，以大写金额为准；</w:t>
      </w:r>
    </w:p>
    <w:p>
      <w:pPr>
        <w:pStyle w:val="26"/>
        <w:spacing w:line="440" w:lineRule="exact"/>
        <w:ind w:firstLine="482"/>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（4）单价金额</w:t>
      </w:r>
      <w:r>
        <w:rPr>
          <w:rFonts w:hint="eastAsia" w:ascii="新宋体" w:hAnsi="新宋体" w:eastAsia="新宋体" w:cs="新宋体"/>
          <w:color w:val="auto"/>
          <w:kern w:val="0"/>
          <w:sz w:val="24"/>
          <w:szCs w:val="24"/>
          <w:highlight w:val="none"/>
          <w:lang w:val="en-US" w:eastAsia="zh-CN"/>
        </w:rPr>
        <w:t>的</w:t>
      </w:r>
      <w:r>
        <w:rPr>
          <w:rFonts w:hint="eastAsia" w:ascii="新宋体" w:hAnsi="新宋体" w:eastAsia="新宋体" w:cs="新宋体"/>
          <w:color w:val="auto"/>
          <w:kern w:val="0"/>
          <w:sz w:val="24"/>
          <w:szCs w:val="24"/>
          <w:highlight w:val="none"/>
        </w:rPr>
        <w:t>小数点或者百分比有明显错位的</w:t>
      </w:r>
      <w:r>
        <w:rPr>
          <w:rFonts w:hint="eastAsia" w:ascii="新宋体" w:hAnsi="新宋体" w:eastAsia="新宋体" w:cs="新宋体"/>
          <w:color w:val="auto"/>
          <w:kern w:val="0"/>
          <w:sz w:val="24"/>
          <w:szCs w:val="24"/>
          <w:highlight w:val="none"/>
          <w:lang w:val="en-US" w:eastAsia="zh-CN"/>
        </w:rPr>
        <w:t>，</w:t>
      </w:r>
      <w:r>
        <w:rPr>
          <w:rFonts w:hint="eastAsia" w:ascii="新宋体" w:hAnsi="新宋体" w:eastAsia="新宋体" w:cs="新宋体"/>
          <w:color w:val="auto"/>
          <w:kern w:val="0"/>
          <w:sz w:val="24"/>
          <w:szCs w:val="24"/>
          <w:highlight w:val="none"/>
        </w:rPr>
        <w:t>以开标一览表的总价为准，并修改单价；</w:t>
      </w:r>
    </w:p>
    <w:p>
      <w:pPr>
        <w:pStyle w:val="26"/>
        <w:spacing w:line="440" w:lineRule="exact"/>
        <w:ind w:firstLine="482"/>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（5）总价金额与按单价汇总金额不一致的，以单价金额计算结果为准。</w:t>
      </w:r>
    </w:p>
    <w:p>
      <w:pPr>
        <w:pStyle w:val="26"/>
        <w:spacing w:line="440" w:lineRule="exact"/>
        <w:ind w:firstLine="482"/>
        <w:rPr>
          <w:rFonts w:hint="eastAsia" w:ascii="新宋体" w:hAnsi="新宋体" w:eastAsia="新宋体" w:cs="新宋体"/>
          <w:color w:val="auto"/>
          <w:sz w:val="24"/>
          <w:highlight w:val="none"/>
        </w:rPr>
      </w:pPr>
      <w:r>
        <w:rPr>
          <w:rFonts w:hint="eastAsia" w:ascii="新宋体" w:hAnsi="新宋体" w:eastAsia="新宋体" w:cs="新宋体"/>
          <w:color w:val="auto"/>
          <w:kern w:val="0"/>
          <w:sz w:val="24"/>
          <w:szCs w:val="24"/>
          <w:highlight w:val="none"/>
        </w:rPr>
        <w:t>同时出现两种以上不一致的，按照前款规定的顺序修正。修正后的报价通过“政采云”经投标人确认后产生约束力，投标人不确认的，其投标无效。</w:t>
      </w:r>
    </w:p>
    <w:p>
      <w:pPr>
        <w:pStyle w:val="26"/>
        <w:spacing w:line="440" w:lineRule="exact"/>
        <w:ind w:firstLine="482"/>
        <w:rPr>
          <w:rFonts w:hint="eastAsia" w:ascii="新宋体" w:hAnsi="新宋体" w:eastAsia="新宋体" w:cs="新宋体"/>
          <w:b/>
          <w:color w:val="auto"/>
          <w:spacing w:val="-4"/>
          <w:sz w:val="24"/>
          <w:highlight w:val="none"/>
        </w:rPr>
      </w:pPr>
      <w:r>
        <w:rPr>
          <w:rFonts w:hint="eastAsia" w:ascii="新宋体" w:hAnsi="新宋体" w:eastAsia="新宋体" w:cs="新宋体"/>
          <w:b/>
          <w:color w:val="auto"/>
          <w:spacing w:val="-4"/>
          <w:sz w:val="24"/>
          <w:highlight w:val="none"/>
        </w:rPr>
        <w:t>10.评标办法</w:t>
      </w:r>
    </w:p>
    <w:p>
      <w:pPr>
        <w:adjustRightInd w:val="0"/>
        <w:snapToGrid w:val="0"/>
        <w:spacing w:line="440" w:lineRule="exact"/>
        <w:ind w:firstLine="482" w:firstLineChars="200"/>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t>10.1本项目采用综合评分法。</w:t>
      </w:r>
    </w:p>
    <w:p>
      <w:pPr>
        <w:pStyle w:val="26"/>
        <w:spacing w:line="440" w:lineRule="exact"/>
        <w:ind w:firstLine="482"/>
        <w:rPr>
          <w:rFonts w:hint="eastAsia" w:ascii="新宋体" w:hAnsi="新宋体" w:eastAsia="新宋体" w:cs="新宋体"/>
          <w:b/>
          <w:color w:val="auto"/>
          <w:spacing w:val="-4"/>
          <w:sz w:val="24"/>
          <w:highlight w:val="none"/>
        </w:rPr>
      </w:pPr>
      <w:r>
        <w:rPr>
          <w:rFonts w:hint="eastAsia" w:ascii="新宋体" w:hAnsi="新宋体" w:eastAsia="新宋体" w:cs="新宋体"/>
          <w:b/>
          <w:color w:val="auto"/>
          <w:spacing w:val="-4"/>
          <w:sz w:val="24"/>
          <w:highlight w:val="none"/>
        </w:rPr>
        <w:t>11.决标</w:t>
      </w:r>
    </w:p>
    <w:p>
      <w:pPr>
        <w:pStyle w:val="26"/>
        <w:spacing w:line="440" w:lineRule="exact"/>
        <w:ind w:firstLine="482"/>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rPr>
        <w:t>11.1评标委员会依据本招标文件规定的评标标准和方法，对投标文件进行评审和比较，向招标方提出书面评标报告。</w:t>
      </w:r>
    </w:p>
    <w:p>
      <w:pPr>
        <w:pStyle w:val="26"/>
        <w:spacing w:line="440" w:lineRule="exact"/>
        <w:ind w:firstLine="482"/>
        <w:rPr>
          <w:rFonts w:hint="eastAsia" w:ascii="新宋体" w:hAnsi="新宋体" w:eastAsia="新宋体" w:cs="新宋体"/>
          <w:b/>
          <w:color w:val="auto"/>
          <w:spacing w:val="-4"/>
          <w:sz w:val="24"/>
          <w:highlight w:val="none"/>
        </w:rPr>
      </w:pPr>
      <w:r>
        <w:rPr>
          <w:rFonts w:hint="eastAsia" w:ascii="新宋体" w:hAnsi="新宋体" w:eastAsia="新宋体" w:cs="新宋体"/>
          <w:b/>
          <w:color w:val="auto"/>
          <w:spacing w:val="-4"/>
          <w:sz w:val="24"/>
          <w:highlight w:val="none"/>
        </w:rPr>
        <w:t>11.2在招标采购过程中，有下列情形之一的，应对采购项目予以废标：</w:t>
      </w:r>
    </w:p>
    <w:p>
      <w:pPr>
        <w:adjustRightInd w:val="0"/>
        <w:snapToGrid w:val="0"/>
        <w:spacing w:line="440" w:lineRule="exact"/>
        <w:ind w:firstLine="573"/>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（1）通过资格审查或评审后有效投标人不足三家的；</w:t>
      </w:r>
    </w:p>
    <w:p>
      <w:pPr>
        <w:adjustRightInd w:val="0"/>
        <w:snapToGrid w:val="0"/>
        <w:spacing w:line="440" w:lineRule="exact"/>
        <w:ind w:firstLine="573"/>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（2）出现影响采购公正的违法、违规行为的；</w:t>
      </w:r>
    </w:p>
    <w:p>
      <w:pPr>
        <w:adjustRightInd w:val="0"/>
        <w:snapToGrid w:val="0"/>
        <w:spacing w:line="440" w:lineRule="exact"/>
        <w:ind w:firstLine="573"/>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（3）因重大变故采购任务取消的；</w:t>
      </w:r>
    </w:p>
    <w:p>
      <w:pPr>
        <w:adjustRightInd w:val="0"/>
        <w:snapToGrid w:val="0"/>
        <w:spacing w:line="440" w:lineRule="exact"/>
        <w:ind w:firstLine="573"/>
        <w:rPr>
          <w:rFonts w:hint="eastAsia" w:ascii="新宋体" w:hAnsi="新宋体" w:eastAsia="新宋体" w:cs="新宋体"/>
          <w:color w:val="auto"/>
          <w:highlight w:val="none"/>
        </w:rPr>
      </w:pPr>
      <w:r>
        <w:rPr>
          <w:rFonts w:hint="eastAsia" w:ascii="新宋体" w:hAnsi="新宋体" w:eastAsia="新宋体" w:cs="新宋体"/>
          <w:color w:val="auto"/>
          <w:sz w:val="24"/>
          <w:highlight w:val="none"/>
        </w:rPr>
        <w:t>（4）招标文件另有规定情形的。</w:t>
      </w:r>
    </w:p>
    <w:p>
      <w:pPr>
        <w:pStyle w:val="4"/>
        <w:spacing w:before="120" w:after="120" w:line="440" w:lineRule="exact"/>
        <w:rPr>
          <w:rFonts w:hint="eastAsia" w:ascii="新宋体" w:hAnsi="新宋体" w:eastAsia="新宋体" w:cs="新宋体"/>
          <w:color w:val="auto"/>
          <w:sz w:val="28"/>
          <w:szCs w:val="28"/>
          <w:highlight w:val="none"/>
        </w:rPr>
      </w:pPr>
      <w:bookmarkStart w:id="75" w:name="_Toc226973003"/>
      <w:bookmarkStart w:id="76" w:name="_Toc263090376"/>
      <w:bookmarkStart w:id="77" w:name="_Toc261519848"/>
      <w:bookmarkStart w:id="78" w:name="_Toc362250706"/>
      <w:bookmarkStart w:id="79" w:name="_Toc27063"/>
      <w:bookmarkStart w:id="80" w:name="_Toc274303254"/>
      <w:r>
        <w:rPr>
          <w:rFonts w:hint="eastAsia" w:ascii="新宋体" w:hAnsi="新宋体" w:eastAsia="新宋体" w:cs="新宋体"/>
          <w:color w:val="auto"/>
          <w:sz w:val="28"/>
          <w:szCs w:val="28"/>
          <w:highlight w:val="none"/>
        </w:rPr>
        <w:t>三.定标</w:t>
      </w:r>
      <w:bookmarkEnd w:id="75"/>
      <w:bookmarkEnd w:id="76"/>
      <w:bookmarkEnd w:id="77"/>
      <w:bookmarkEnd w:id="78"/>
      <w:bookmarkEnd w:id="79"/>
      <w:bookmarkEnd w:id="80"/>
    </w:p>
    <w:p>
      <w:pPr>
        <w:spacing w:line="44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12.中标通知</w:t>
      </w:r>
    </w:p>
    <w:p>
      <w:pPr>
        <w:spacing w:line="44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12.1投标人自</w:t>
      </w:r>
      <w:r>
        <w:rPr>
          <w:rFonts w:hint="eastAsia" w:ascii="新宋体" w:hAnsi="新宋体" w:eastAsia="新宋体" w:cs="Courier New"/>
          <w:color w:val="auto"/>
          <w:sz w:val="24"/>
          <w:highlight w:val="none"/>
          <w:lang w:eastAsia="zh-CN"/>
        </w:rPr>
        <w:t>2021年01月01日</w:t>
      </w:r>
      <w:r>
        <w:rPr>
          <w:rFonts w:hint="eastAsia" w:ascii="新宋体" w:hAnsi="新宋体" w:eastAsia="新宋体" w:cs="新宋体"/>
          <w:color w:val="auto"/>
          <w:sz w:val="24"/>
          <w:highlight w:val="none"/>
        </w:rPr>
        <w:t>起</w:t>
      </w:r>
      <w:r>
        <w:rPr>
          <w:rFonts w:hint="eastAsia" w:ascii="新宋体" w:hAnsi="新宋体" w:eastAsia="新宋体" w:cs="新宋体"/>
          <w:color w:val="auto"/>
          <w:sz w:val="24"/>
          <w:highlight w:val="none"/>
          <w:lang w:eastAsia="zh-CN"/>
        </w:rPr>
        <w:t>至</w:t>
      </w:r>
      <w:r>
        <w:rPr>
          <w:rFonts w:hint="eastAsia" w:ascii="新宋体" w:hAnsi="新宋体" w:eastAsia="新宋体" w:cs="新宋体"/>
          <w:color w:val="auto"/>
          <w:sz w:val="24"/>
          <w:highlight w:val="none"/>
        </w:rPr>
        <w:t>中标公告期结束前无行贿犯罪记录【评标结束后，</w:t>
      </w:r>
      <w:r>
        <w:rPr>
          <w:rFonts w:hint="eastAsia" w:ascii="新宋体" w:hAnsi="新宋体" w:eastAsia="新宋体" w:cs="新宋体"/>
          <w:color w:val="auto"/>
          <w:sz w:val="24"/>
          <w:highlight w:val="none"/>
          <w:lang w:val="en-US" w:eastAsia="zh-CN"/>
        </w:rPr>
        <w:t>确认</w:t>
      </w:r>
      <w:r>
        <w:rPr>
          <w:rFonts w:hint="eastAsia" w:ascii="新宋体" w:hAnsi="新宋体" w:eastAsia="新宋体" w:cs="新宋体"/>
          <w:color w:val="auto"/>
          <w:sz w:val="24"/>
          <w:highlight w:val="none"/>
        </w:rPr>
        <w:t>中标（成交）</w:t>
      </w:r>
      <w:r>
        <w:rPr>
          <w:rFonts w:hint="eastAsia" w:ascii="新宋体" w:hAnsi="新宋体" w:eastAsia="新宋体" w:cs="新宋体"/>
          <w:color w:val="auto"/>
          <w:sz w:val="24"/>
          <w:highlight w:val="none"/>
          <w:lang w:val="en-US" w:eastAsia="zh-CN"/>
        </w:rPr>
        <w:t>供应商</w:t>
      </w:r>
      <w:r>
        <w:rPr>
          <w:rFonts w:hint="eastAsia" w:ascii="新宋体" w:hAnsi="新宋体" w:eastAsia="新宋体" w:cs="新宋体"/>
          <w:color w:val="auto"/>
          <w:sz w:val="24"/>
          <w:highlight w:val="none"/>
        </w:rPr>
        <w:t>前</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rPr>
        <w:t>由采购人通过中国裁判文书网（http://wenshu.court.gov.cn/）按照招标文件约定</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rPr>
        <w:t>对</w:t>
      </w:r>
      <w:bookmarkStart w:id="81" w:name="OLE_LINK1"/>
      <w:r>
        <w:rPr>
          <w:rFonts w:hint="eastAsia" w:ascii="新宋体" w:hAnsi="新宋体" w:eastAsia="新宋体" w:cs="新宋体"/>
          <w:color w:val="auto"/>
          <w:sz w:val="24"/>
          <w:highlight w:val="none"/>
        </w:rPr>
        <w:t>拟中标（成交）</w:t>
      </w:r>
      <w:r>
        <w:rPr>
          <w:rFonts w:hint="eastAsia" w:ascii="新宋体" w:hAnsi="新宋体" w:eastAsia="新宋体" w:cs="新宋体"/>
          <w:color w:val="auto"/>
          <w:sz w:val="24"/>
          <w:highlight w:val="none"/>
          <w:lang w:val="en-US" w:eastAsia="zh-CN"/>
        </w:rPr>
        <w:t>供应商</w:t>
      </w:r>
      <w:bookmarkEnd w:id="81"/>
      <w:r>
        <w:rPr>
          <w:rFonts w:hint="eastAsia" w:ascii="新宋体" w:hAnsi="新宋体" w:eastAsia="新宋体" w:cs="新宋体"/>
          <w:color w:val="auto"/>
          <w:sz w:val="24"/>
          <w:highlight w:val="none"/>
        </w:rPr>
        <w:t>及其拟派项目负责人的行贿犯罪记录进行查询</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rPr>
        <w:t>拟中标（成交）</w:t>
      </w:r>
      <w:r>
        <w:rPr>
          <w:rFonts w:hint="eastAsia" w:ascii="新宋体" w:hAnsi="新宋体" w:eastAsia="新宋体" w:cs="新宋体"/>
          <w:color w:val="auto"/>
          <w:sz w:val="24"/>
          <w:highlight w:val="none"/>
          <w:lang w:val="en-US" w:eastAsia="zh-CN"/>
        </w:rPr>
        <w:t>供应商为</w:t>
      </w:r>
      <w:r>
        <w:rPr>
          <w:rFonts w:hint="eastAsia" w:ascii="新宋体" w:hAnsi="新宋体" w:eastAsia="新宋体" w:cs="Courier New"/>
          <w:color w:val="auto"/>
          <w:sz w:val="24"/>
          <w:highlight w:val="none"/>
          <w:lang w:val="en-US" w:eastAsia="zh-CN"/>
        </w:rPr>
        <w:t>联合体</w:t>
      </w:r>
      <w:r>
        <w:rPr>
          <w:rFonts w:hint="eastAsia" w:ascii="新宋体" w:hAnsi="新宋体" w:eastAsia="新宋体" w:cs="新宋体"/>
          <w:color w:val="auto"/>
          <w:sz w:val="24"/>
          <w:highlight w:val="none"/>
          <w:lang w:val="en-US" w:eastAsia="zh-CN"/>
        </w:rPr>
        <w:t>的</w:t>
      </w:r>
      <w:r>
        <w:rPr>
          <w:rFonts w:hint="eastAsia" w:ascii="新宋体" w:hAnsi="新宋体" w:eastAsia="新宋体" w:cs="Courier New"/>
          <w:color w:val="auto"/>
          <w:sz w:val="24"/>
          <w:highlight w:val="none"/>
          <w:lang w:val="en-US" w:eastAsia="zh-CN"/>
        </w:rPr>
        <w:t>：对</w:t>
      </w:r>
      <w:r>
        <w:rPr>
          <w:rFonts w:hint="eastAsia" w:ascii="新宋体" w:hAnsi="新宋体" w:eastAsia="新宋体" w:cs="新宋体"/>
          <w:color w:val="auto"/>
          <w:sz w:val="24"/>
          <w:highlight w:val="none"/>
        </w:rPr>
        <w:t>拟</w:t>
      </w:r>
      <w:r>
        <w:rPr>
          <w:rFonts w:hint="eastAsia" w:ascii="新宋体" w:hAnsi="新宋体" w:eastAsia="新宋体" w:cs="Courier New"/>
          <w:color w:val="auto"/>
          <w:sz w:val="24"/>
          <w:highlight w:val="none"/>
          <w:lang w:val="en-US" w:eastAsia="zh-CN"/>
        </w:rPr>
        <w:t>中标</w:t>
      </w:r>
      <w:r>
        <w:rPr>
          <w:rFonts w:hint="eastAsia" w:ascii="新宋体" w:hAnsi="新宋体" w:eastAsia="新宋体" w:cs="新宋体"/>
          <w:color w:val="auto"/>
          <w:sz w:val="24"/>
          <w:highlight w:val="none"/>
        </w:rPr>
        <w:t>（成交）</w:t>
      </w:r>
      <w:r>
        <w:rPr>
          <w:rFonts w:hint="eastAsia" w:ascii="新宋体" w:hAnsi="新宋体" w:eastAsia="新宋体" w:cs="Courier New"/>
          <w:color w:val="auto"/>
          <w:sz w:val="24"/>
          <w:highlight w:val="none"/>
          <w:lang w:val="en-US" w:eastAsia="zh-CN"/>
        </w:rPr>
        <w:t>的联合体各方</w:t>
      </w:r>
      <w:r>
        <w:rPr>
          <w:rFonts w:hint="eastAsia" w:ascii="新宋体" w:hAnsi="新宋体" w:eastAsia="新宋体" w:cs="新宋体"/>
          <w:color w:val="auto"/>
          <w:sz w:val="24"/>
          <w:highlight w:val="none"/>
        </w:rPr>
        <w:t>及其拟派项目负责人的行贿犯罪记录</w:t>
      </w:r>
      <w:r>
        <w:rPr>
          <w:rFonts w:hint="eastAsia" w:ascii="新宋体" w:hAnsi="新宋体" w:eastAsia="新宋体" w:cs="Courier New"/>
          <w:color w:val="auto"/>
          <w:sz w:val="24"/>
          <w:highlight w:val="none"/>
          <w:lang w:val="en-US" w:eastAsia="zh-CN"/>
        </w:rPr>
        <w:t>进行查询</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rPr>
        <w:t>，查询结果以网站页面显示内容为准】</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rPr>
        <w:t>经查实，中标人有前述行贿犯罪记录的，取消其中标资格，采购人依法重新组织采购。</w:t>
      </w:r>
    </w:p>
    <w:p>
      <w:pPr>
        <w:widowControl/>
        <w:spacing w:line="440" w:lineRule="exact"/>
        <w:ind w:firstLine="480"/>
        <w:jc w:val="left"/>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12.2评标结束后，采购结果公告期限为1个工作日，发布采购结果公告的媒体为：浙江政府采购网站。自中标人确定之日起2个工作日内，由采购代理机构通过 “政采云”签发《中标通知书》，《中标通知书》一经发出即发生法律效力。</w:t>
      </w:r>
    </w:p>
    <w:p>
      <w:pPr>
        <w:pStyle w:val="26"/>
        <w:tabs>
          <w:tab w:val="left" w:pos="900"/>
        </w:tabs>
        <w:spacing w:line="440" w:lineRule="exact"/>
        <w:ind w:firstLine="482" w:firstLineChars="200"/>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t>13.合同签订</w:t>
      </w:r>
    </w:p>
    <w:p>
      <w:pPr>
        <w:spacing w:line="44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13.1中标人应在自《中标通知书》发出之日起三十天内与采购人签订合同，按照招标文件确定的事项签订政府采购合同，并在签订之日起2个工作日内将政府采购合同在浙江政府采购网上公告。鼓励有条件的采购人视情缩减采购合同签订时限，提高采购效率。</w:t>
      </w:r>
    </w:p>
    <w:p>
      <w:pPr>
        <w:spacing w:line="44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13.2</w:t>
      </w:r>
      <w:r>
        <w:rPr>
          <w:rFonts w:hint="eastAsia" w:ascii="新宋体" w:hAnsi="新宋体" w:eastAsia="新宋体" w:cs="新宋体"/>
          <w:color w:val="auto"/>
          <w:sz w:val="24"/>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spacing w:line="44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13.</w:t>
      </w:r>
      <w:r>
        <w:rPr>
          <w:rFonts w:hint="eastAsia" w:ascii="新宋体" w:hAnsi="新宋体" w:eastAsia="新宋体" w:cs="新宋体"/>
          <w:color w:val="auto"/>
          <w:sz w:val="24"/>
          <w:highlight w:val="none"/>
          <w:lang w:val="en-US" w:eastAsia="zh-CN"/>
        </w:rPr>
        <w:t>3</w:t>
      </w:r>
      <w:r>
        <w:rPr>
          <w:rFonts w:hint="eastAsia" w:ascii="新宋体" w:hAnsi="新宋体" w:eastAsia="新宋体" w:cs="新宋体"/>
          <w:color w:val="auto"/>
          <w:sz w:val="24"/>
          <w:highlight w:val="none"/>
        </w:rPr>
        <w:t>招标文件、中标人的投标文件、评标过程中投标人在询标时作出的承诺及其澄清文件等，均为签订合同的依据。</w:t>
      </w:r>
    </w:p>
    <w:p>
      <w:pPr>
        <w:spacing w:line="44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13.</w:t>
      </w:r>
      <w:r>
        <w:rPr>
          <w:rFonts w:hint="eastAsia" w:ascii="新宋体" w:hAnsi="新宋体" w:eastAsia="新宋体" w:cs="新宋体"/>
          <w:color w:val="auto"/>
          <w:sz w:val="24"/>
          <w:highlight w:val="none"/>
          <w:lang w:val="en-US" w:eastAsia="zh-CN"/>
        </w:rPr>
        <w:t>4</w:t>
      </w:r>
      <w:r>
        <w:rPr>
          <w:rFonts w:hint="eastAsia" w:ascii="新宋体" w:hAnsi="新宋体" w:eastAsia="新宋体" w:cs="新宋体"/>
          <w:color w:val="auto"/>
          <w:sz w:val="24"/>
          <w:highlight w:val="none"/>
        </w:rPr>
        <w:t>中标人不遵守招标文件和投标文件的要约及承诺而擅自修改报价，或在接到《中标通知书》后借故拖延、拒签合同而造成超过规定时间的，取消该投标人的中标资格。在此情况下，采购人和招标代理机构重新招标，对受影响的投标人不承担任何责任。</w:t>
      </w:r>
    </w:p>
    <w:p>
      <w:pPr>
        <w:spacing w:line="440" w:lineRule="exact"/>
        <w:ind w:firstLine="480" w:firstLineChars="200"/>
        <w:rPr>
          <w:rFonts w:hint="eastAsia" w:ascii="新宋体" w:hAnsi="新宋体" w:eastAsia="新宋体" w:cs="新宋体"/>
          <w:color w:val="auto"/>
          <w:sz w:val="24"/>
          <w:highlight w:val="none"/>
          <w:lang w:eastAsia="zh-CN"/>
        </w:rPr>
      </w:pPr>
      <w:r>
        <w:rPr>
          <w:rFonts w:hint="eastAsia" w:ascii="新宋体" w:hAnsi="新宋体" w:eastAsia="新宋体" w:cs="新宋体"/>
          <w:color w:val="auto"/>
          <w:sz w:val="24"/>
          <w:highlight w:val="none"/>
        </w:rPr>
        <w:t>13.</w:t>
      </w:r>
      <w:r>
        <w:rPr>
          <w:rFonts w:hint="eastAsia" w:ascii="新宋体" w:hAnsi="新宋体" w:eastAsia="新宋体" w:cs="新宋体"/>
          <w:color w:val="auto"/>
          <w:sz w:val="24"/>
          <w:highlight w:val="none"/>
          <w:lang w:val="en-US" w:eastAsia="zh-CN"/>
        </w:rPr>
        <w:t>5</w:t>
      </w:r>
      <w:r>
        <w:rPr>
          <w:rFonts w:hint="eastAsia" w:ascii="新宋体" w:hAnsi="新宋体" w:eastAsia="新宋体" w:cs="新宋体"/>
          <w:color w:val="auto"/>
          <w:sz w:val="24"/>
          <w:highlight w:val="none"/>
        </w:rPr>
        <w:t>采购人变更数量的权利</w:t>
      </w:r>
      <w:r>
        <w:rPr>
          <w:rFonts w:hint="eastAsia" w:ascii="新宋体" w:hAnsi="新宋体" w:eastAsia="新宋体" w:cs="新宋体"/>
          <w:color w:val="auto"/>
          <w:sz w:val="24"/>
          <w:highlight w:val="none"/>
          <w:lang w:eastAsia="zh-CN"/>
        </w:rPr>
        <w:t>：</w:t>
      </w:r>
    </w:p>
    <w:p>
      <w:pPr>
        <w:spacing w:line="44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olor w:val="auto"/>
          <w:sz w:val="24"/>
          <w:highlight w:val="none"/>
        </w:rPr>
        <w:t>采购人在授予合同时有权对“第三章 招标项目要求”中规定的</w:t>
      </w:r>
      <w:r>
        <w:rPr>
          <w:rFonts w:hint="eastAsia" w:ascii="新宋体" w:hAnsi="新宋体" w:eastAsia="新宋体"/>
          <w:color w:val="auto"/>
          <w:sz w:val="24"/>
          <w:highlight w:val="none"/>
          <w:lang w:val="en-US" w:eastAsia="zh-CN"/>
        </w:rPr>
        <w:t>产品</w:t>
      </w:r>
      <w:r>
        <w:rPr>
          <w:rFonts w:hint="eastAsia" w:ascii="新宋体" w:hAnsi="新宋体" w:eastAsia="新宋体"/>
          <w:color w:val="auto"/>
          <w:sz w:val="24"/>
          <w:highlight w:val="none"/>
        </w:rPr>
        <w:t>予以增加或减少，但必须符合《中华人民共和国政府采购法》及义乌市政府采购的相关规定。</w:t>
      </w:r>
    </w:p>
    <w:p>
      <w:pPr>
        <w:pStyle w:val="4"/>
        <w:spacing w:before="120" w:after="120" w:line="440" w:lineRule="exact"/>
        <w:rPr>
          <w:rFonts w:hint="eastAsia" w:ascii="新宋体" w:hAnsi="新宋体" w:eastAsia="新宋体" w:cs="新宋体"/>
          <w:color w:val="auto"/>
          <w:sz w:val="28"/>
          <w:szCs w:val="28"/>
          <w:highlight w:val="none"/>
        </w:rPr>
      </w:pPr>
      <w:bookmarkStart w:id="82" w:name="_Toc12719"/>
      <w:r>
        <w:rPr>
          <w:rFonts w:hint="eastAsia" w:ascii="新宋体" w:hAnsi="新宋体" w:eastAsia="新宋体" w:cs="新宋体"/>
          <w:color w:val="auto"/>
          <w:sz w:val="28"/>
          <w:szCs w:val="28"/>
          <w:highlight w:val="none"/>
        </w:rPr>
        <w:t>四.质疑和投诉</w:t>
      </w:r>
      <w:bookmarkEnd w:id="82"/>
    </w:p>
    <w:p>
      <w:pPr>
        <w:spacing w:line="44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14.1开标过程中，投标人对开标有异议的，应当在“政采云”上及时提出，评标委员</w:t>
      </w:r>
      <w:r>
        <w:rPr>
          <w:rFonts w:hint="eastAsia" w:ascii="新宋体" w:hAnsi="新宋体" w:eastAsia="新宋体" w:cs="新宋体"/>
          <w:color w:val="auto"/>
          <w:sz w:val="24"/>
          <w:highlight w:val="none"/>
          <w:lang w:val="en-US" w:eastAsia="zh-CN"/>
        </w:rPr>
        <w:t>会</w:t>
      </w:r>
      <w:r>
        <w:rPr>
          <w:rFonts w:hint="eastAsia" w:ascii="新宋体" w:hAnsi="新宋体" w:eastAsia="新宋体" w:cs="新宋体"/>
          <w:color w:val="auto"/>
          <w:sz w:val="24"/>
          <w:highlight w:val="none"/>
        </w:rPr>
        <w:t>应对异常情况制作相关记录。</w:t>
      </w:r>
    </w:p>
    <w:p>
      <w:pPr>
        <w:spacing w:line="44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14.2开评标结束后，投标人或者其他利害关系人对依法必须进行招标的项目的评标结果有异议的，应在采购结果公告期限结束之日起的7个工作日内，依据政府采购相关法律法规向采购人、采购代理机构提出</w:t>
      </w:r>
      <w:r>
        <w:rPr>
          <w:rFonts w:hint="eastAsia" w:ascii="新宋体" w:hAnsi="新宋体" w:eastAsia="新宋体" w:cs="新宋体"/>
          <w:color w:val="auto"/>
          <w:sz w:val="24"/>
          <w:highlight w:val="none"/>
          <w:lang w:val="en-US" w:eastAsia="zh-CN"/>
        </w:rPr>
        <w:t>书面</w:t>
      </w:r>
      <w:r>
        <w:rPr>
          <w:rFonts w:hint="eastAsia" w:ascii="新宋体" w:hAnsi="新宋体" w:eastAsia="新宋体" w:cs="新宋体"/>
          <w:color w:val="auto"/>
          <w:sz w:val="24"/>
          <w:highlight w:val="none"/>
        </w:rPr>
        <w:t>质疑。采购人或招标代理机构将在收到书面质疑后7个工作日内对质疑内容作出答复。若投标人对采购人或采购代理机构的答复、处理结果不满意，应在收到书面答复后十五个工作日内向同级政府采购监督管理部门投诉。</w:t>
      </w:r>
    </w:p>
    <w:p>
      <w:pPr>
        <w:spacing w:line="44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14.3质疑函应当包括下列内容：</w:t>
      </w:r>
    </w:p>
    <w:p>
      <w:pPr>
        <w:spacing w:line="44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（1）供应商的名称（或姓名）、地址、邮编、联系人及联系电话；</w:t>
      </w:r>
    </w:p>
    <w:p>
      <w:pPr>
        <w:spacing w:line="44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（2）质疑项目的名称、编号；</w:t>
      </w:r>
    </w:p>
    <w:p>
      <w:pPr>
        <w:spacing w:line="44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（3）具体、明确的质疑事项和与质疑事项相关的请求；</w:t>
      </w:r>
    </w:p>
    <w:p>
      <w:pPr>
        <w:spacing w:line="44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（4）事实依据及相关证据材料；</w:t>
      </w:r>
    </w:p>
    <w:p>
      <w:pPr>
        <w:spacing w:line="44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（5）必要的法律依据；</w:t>
      </w:r>
    </w:p>
    <w:p>
      <w:pPr>
        <w:spacing w:line="44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（6）提出质疑的日期。</w:t>
      </w:r>
    </w:p>
    <w:p>
      <w:pPr>
        <w:spacing w:line="44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rPr>
        <w:t>质疑函不符合《政府采购质疑和投诉办法》相关规定的，应在规定期限内补齐的，招标方自收到补齐材料之日起受理；逾期未补齐的，按自动撤回质疑处理。</w:t>
      </w:r>
    </w:p>
    <w:p>
      <w:pPr>
        <w:spacing w:line="44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质疑投诉存在以下情形之一的，将不予受理：</w:t>
      </w:r>
    </w:p>
    <w:p>
      <w:pPr>
        <w:spacing w:line="44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（1）质疑投诉人不是参加本项目的供应商；</w:t>
      </w:r>
    </w:p>
    <w:p>
      <w:pPr>
        <w:spacing w:line="44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（2）供应商自身权益未受到损害的；</w:t>
      </w:r>
    </w:p>
    <w:p>
      <w:pPr>
        <w:spacing w:line="44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（3）已超过法定质疑投诉提出期限的事项；</w:t>
      </w:r>
    </w:p>
    <w:p>
      <w:pPr>
        <w:spacing w:line="44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（4）质疑未提供书面质疑或未按要求签署或盖章的；</w:t>
      </w:r>
    </w:p>
    <w:p>
      <w:pPr>
        <w:spacing w:line="44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（5）质疑已经处理并答复后，质疑人就同一事项再次提起质疑且未提供新的有效证据的；</w:t>
      </w:r>
    </w:p>
    <w:p>
      <w:pPr>
        <w:spacing w:line="440" w:lineRule="exact"/>
        <w:ind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（6）质疑投诉的事项已经进入行政复议或者行政诉讼程序的；投诉事项应先提出质疑而没有提出质疑的；</w:t>
      </w:r>
    </w:p>
    <w:p>
      <w:pPr>
        <w:spacing w:line="420" w:lineRule="exact"/>
        <w:rPr>
          <w:rFonts w:ascii="新宋体" w:hAnsi="新宋体" w:eastAsia="新宋体" w:cs="新宋体"/>
          <w:sz w:val="24"/>
        </w:rPr>
      </w:pPr>
      <w:r>
        <w:rPr>
          <w:rFonts w:hint="eastAsia" w:ascii="新宋体" w:hAnsi="新宋体" w:eastAsia="新宋体" w:cs="新宋体"/>
          <w:color w:val="auto"/>
          <w:sz w:val="24"/>
          <w:highlight w:val="none"/>
        </w:rPr>
        <w:t>（7）不符合《政府采购质疑和投诉办法》（财政部令第94号）等有关规定的投诉。</w:t>
      </w:r>
    </w:p>
    <w:p>
      <w:pPr>
        <w:pStyle w:val="3"/>
        <w:spacing w:before="0" w:after="0" w:line="360" w:lineRule="auto"/>
        <w:jc w:val="center"/>
        <w:rPr>
          <w:rFonts w:ascii="新宋体" w:hAnsi="新宋体" w:eastAsia="新宋体"/>
          <w:sz w:val="36"/>
        </w:rPr>
      </w:pPr>
      <w:r>
        <w:rPr>
          <w:rFonts w:hint="eastAsia" w:ascii="新宋体" w:hAnsi="新宋体" w:eastAsia="新宋体"/>
          <w:sz w:val="24"/>
        </w:rPr>
        <w:br w:type="page"/>
      </w:r>
      <w:bookmarkStart w:id="83" w:name="_Toc453144917"/>
      <w:bookmarkStart w:id="84" w:name="_Toc362268017"/>
      <w:bookmarkStart w:id="85" w:name="_Toc19638"/>
      <w:r>
        <w:rPr>
          <w:rFonts w:hint="eastAsia" w:ascii="新宋体" w:hAnsi="新宋体" w:eastAsia="新宋体"/>
          <w:sz w:val="36"/>
          <w:szCs w:val="36"/>
        </w:rPr>
        <w:t>第五章 投标文件的</w:t>
      </w:r>
      <w:bookmarkEnd w:id="83"/>
      <w:bookmarkEnd w:id="84"/>
      <w:r>
        <w:rPr>
          <w:rFonts w:hint="eastAsia" w:ascii="新宋体" w:hAnsi="新宋体" w:eastAsia="新宋体"/>
          <w:sz w:val="36"/>
          <w:szCs w:val="36"/>
        </w:rPr>
        <w:t>无效情形</w:t>
      </w:r>
      <w:bookmarkEnd w:id="85"/>
    </w:p>
    <w:p>
      <w:pPr>
        <w:pStyle w:val="26"/>
        <w:spacing w:line="450" w:lineRule="exact"/>
        <w:ind w:firstLine="472" w:firstLineChars="196"/>
        <w:rPr>
          <w:rFonts w:ascii="新宋体" w:hAnsi="新宋体" w:eastAsia="新宋体"/>
          <w:b/>
          <w:sz w:val="24"/>
        </w:rPr>
      </w:pPr>
    </w:p>
    <w:p>
      <w:pPr>
        <w:pStyle w:val="26"/>
        <w:spacing w:line="440" w:lineRule="exact"/>
        <w:ind w:firstLine="472" w:firstLineChars="196"/>
        <w:rPr>
          <w:rFonts w:ascii="新宋体" w:hAnsi="新宋体" w:eastAsia="新宋体"/>
          <w:b/>
          <w:color w:val="auto"/>
          <w:sz w:val="24"/>
          <w:highlight w:val="none"/>
        </w:rPr>
      </w:pPr>
      <w:r>
        <w:rPr>
          <w:rFonts w:hint="eastAsia" w:ascii="新宋体" w:hAnsi="新宋体" w:eastAsia="新宋体"/>
          <w:b/>
          <w:color w:val="auto"/>
          <w:sz w:val="24"/>
          <w:highlight w:val="none"/>
        </w:rPr>
        <w:t>1.</w:t>
      </w:r>
      <w:r>
        <w:rPr>
          <w:rFonts w:ascii="新宋体" w:hAnsi="新宋体" w:eastAsia="新宋体"/>
          <w:b/>
          <w:color w:val="auto"/>
          <w:sz w:val="24"/>
          <w:highlight w:val="none"/>
        </w:rPr>
        <w:t>有下列情形之一的，</w:t>
      </w:r>
      <w:r>
        <w:rPr>
          <w:rFonts w:hint="eastAsia" w:ascii="新宋体" w:hAnsi="新宋体" w:eastAsia="新宋体"/>
          <w:b/>
          <w:color w:val="auto"/>
          <w:sz w:val="24"/>
          <w:highlight w:val="none"/>
        </w:rPr>
        <w:t>招标方</w:t>
      </w:r>
      <w:r>
        <w:rPr>
          <w:rFonts w:ascii="新宋体" w:hAnsi="新宋体" w:eastAsia="新宋体"/>
          <w:b/>
          <w:color w:val="auto"/>
          <w:sz w:val="24"/>
          <w:highlight w:val="none"/>
        </w:rPr>
        <w:t>将不予受理投标文件：</w:t>
      </w:r>
    </w:p>
    <w:p>
      <w:pPr>
        <w:keepNext w:val="0"/>
        <w:keepLines w:val="0"/>
        <w:pageBreakBefore w:val="0"/>
        <w:widowControl w:val="0"/>
        <w:tabs>
          <w:tab w:val="left" w:pos="5325"/>
        </w:tabs>
        <w:kinsoku/>
        <w:wordWrap/>
        <w:overflowPunct/>
        <w:topLinePunct w:val="0"/>
        <w:autoSpaceDE/>
        <w:autoSpaceDN/>
        <w:bidi w:val="0"/>
        <w:adjustRightInd w:val="0"/>
        <w:snapToGrid w:val="0"/>
        <w:spacing w:line="440" w:lineRule="exact"/>
        <w:ind w:firstLine="480" w:firstLineChars="200"/>
        <w:textAlignment w:val="auto"/>
        <w:rPr>
          <w:rFonts w:hint="eastAsia" w:ascii="新宋体" w:hAnsi="新宋体" w:eastAsia="新宋体"/>
          <w:color w:val="auto"/>
          <w:sz w:val="24"/>
          <w:highlight w:val="none"/>
          <w:lang w:eastAsia="zh-CN"/>
        </w:rPr>
      </w:pPr>
      <w:r>
        <w:rPr>
          <w:rFonts w:hint="eastAsia" w:ascii="新宋体" w:hAnsi="新宋体" w:eastAsia="新宋体"/>
          <w:color w:val="auto"/>
          <w:sz w:val="24"/>
          <w:highlight w:val="none"/>
        </w:rPr>
        <w:t>1.1</w:t>
      </w:r>
      <w:r>
        <w:rPr>
          <w:rFonts w:hint="eastAsia" w:ascii="新宋体" w:hAnsi="新宋体" w:eastAsia="新宋体"/>
          <w:color w:val="auto"/>
          <w:sz w:val="24"/>
          <w:highlight w:val="none"/>
          <w:lang w:val="en-US" w:eastAsia="zh-CN"/>
        </w:rPr>
        <w:t>未上传或</w:t>
      </w:r>
      <w:r>
        <w:rPr>
          <w:rFonts w:hint="eastAsia" w:ascii="新宋体" w:hAnsi="新宋体" w:eastAsia="新宋体"/>
          <w:color w:val="auto"/>
          <w:sz w:val="24"/>
          <w:highlight w:val="none"/>
        </w:rPr>
        <w:t>逾期上传电子投标文件至</w:t>
      </w:r>
      <w:r>
        <w:rPr>
          <w:rFonts w:hint="eastAsia" w:ascii="新宋体" w:hAnsi="新宋体" w:eastAsia="新宋体"/>
          <w:color w:val="auto"/>
          <w:sz w:val="24"/>
          <w:highlight w:val="none"/>
          <w:lang w:eastAsia="zh-CN"/>
        </w:rPr>
        <w:t>“政采云”</w:t>
      </w:r>
      <w:r>
        <w:rPr>
          <w:rFonts w:hint="eastAsia" w:ascii="新宋体" w:hAnsi="新宋体" w:eastAsia="新宋体"/>
          <w:color w:val="auto"/>
          <w:sz w:val="24"/>
          <w:highlight w:val="none"/>
        </w:rPr>
        <w:t>的</w:t>
      </w:r>
      <w:r>
        <w:rPr>
          <w:rFonts w:hint="eastAsia" w:ascii="新宋体" w:hAnsi="新宋体" w:eastAsia="新宋体"/>
          <w:color w:val="auto"/>
          <w:sz w:val="24"/>
          <w:highlight w:val="none"/>
          <w:lang w:eastAsia="zh-CN"/>
        </w:rPr>
        <w:t>；</w:t>
      </w:r>
    </w:p>
    <w:p>
      <w:pPr>
        <w:tabs>
          <w:tab w:val="left" w:pos="5325"/>
        </w:tabs>
        <w:adjustRightInd w:val="0"/>
        <w:snapToGrid w:val="0"/>
        <w:spacing w:line="440" w:lineRule="exact"/>
        <w:ind w:firstLine="480" w:firstLineChars="200"/>
        <w:rPr>
          <w:rFonts w:hint="eastAsia" w:ascii="新宋体" w:hAnsi="新宋体" w:eastAsia="新宋体" w:cs="Times New Roman"/>
          <w:color w:val="auto"/>
          <w:sz w:val="24"/>
          <w:highlight w:val="none"/>
          <w:lang w:eastAsia="zh-CN"/>
        </w:rPr>
      </w:pPr>
      <w:r>
        <w:rPr>
          <w:rFonts w:hint="eastAsia" w:ascii="新宋体" w:hAnsi="新宋体" w:eastAsia="新宋体" w:cs="Times New Roman"/>
          <w:color w:val="auto"/>
          <w:sz w:val="24"/>
          <w:highlight w:val="none"/>
        </w:rPr>
        <w:t>1.2电子投标文件在规定时间内解密未成功且未提供备份投标文件</w:t>
      </w:r>
      <w:r>
        <w:rPr>
          <w:rFonts w:hint="eastAsia" w:ascii="新宋体" w:hAnsi="新宋体" w:eastAsia="新宋体" w:cs="Times New Roman"/>
          <w:color w:val="auto"/>
          <w:sz w:val="24"/>
          <w:highlight w:val="none"/>
          <w:lang w:val="en-US" w:eastAsia="zh-CN"/>
        </w:rPr>
        <w:t>的</w:t>
      </w:r>
      <w:r>
        <w:rPr>
          <w:rFonts w:hint="eastAsia" w:ascii="新宋体" w:hAnsi="新宋体" w:eastAsia="新宋体" w:cs="Times New Roman"/>
          <w:color w:val="auto"/>
          <w:sz w:val="24"/>
          <w:highlight w:val="none"/>
          <w:lang w:eastAsia="zh-CN"/>
        </w:rPr>
        <w:t>，</w:t>
      </w:r>
      <w:r>
        <w:rPr>
          <w:rFonts w:hint="eastAsia" w:ascii="新宋体" w:hAnsi="新宋体" w:eastAsia="新宋体" w:cs="Times New Roman"/>
          <w:color w:val="auto"/>
          <w:sz w:val="24"/>
          <w:highlight w:val="none"/>
        </w:rPr>
        <w:t>或电子投标文件在规定时间内解密未成功且提供的备份投标文件无法上传打开的</w:t>
      </w:r>
      <w:r>
        <w:rPr>
          <w:rFonts w:hint="eastAsia" w:ascii="新宋体" w:hAnsi="新宋体" w:eastAsia="新宋体" w:cs="Times New Roman"/>
          <w:color w:val="auto"/>
          <w:sz w:val="24"/>
          <w:highlight w:val="none"/>
          <w:lang w:eastAsia="zh-CN"/>
        </w:rPr>
        <w:t>；</w:t>
      </w:r>
    </w:p>
    <w:p>
      <w:pPr>
        <w:tabs>
          <w:tab w:val="left" w:pos="5325"/>
        </w:tabs>
        <w:adjustRightInd w:val="0"/>
        <w:snapToGrid w:val="0"/>
        <w:spacing w:line="440" w:lineRule="exact"/>
        <w:ind w:firstLine="480" w:firstLineChars="200"/>
        <w:rPr>
          <w:rFonts w:hint="eastAsia" w:ascii="新宋体" w:hAnsi="新宋体" w:eastAsia="新宋体" w:cs="Times New Roman"/>
          <w:color w:val="auto"/>
          <w:sz w:val="24"/>
          <w:highlight w:val="none"/>
          <w:lang w:eastAsia="zh-CN"/>
        </w:rPr>
      </w:pPr>
      <w:r>
        <w:rPr>
          <w:rFonts w:hint="eastAsia" w:ascii="新宋体" w:hAnsi="新宋体" w:eastAsia="新宋体" w:cs="Times New Roman"/>
          <w:color w:val="auto"/>
          <w:sz w:val="24"/>
          <w:highlight w:val="none"/>
        </w:rPr>
        <w:t>1.3仅提供备份投标文件的</w:t>
      </w:r>
      <w:r>
        <w:rPr>
          <w:rFonts w:hint="eastAsia" w:ascii="新宋体" w:hAnsi="新宋体" w:eastAsia="新宋体" w:cs="Times New Roman"/>
          <w:color w:val="auto"/>
          <w:sz w:val="24"/>
          <w:highlight w:val="none"/>
          <w:lang w:eastAsia="zh-CN"/>
        </w:rPr>
        <w:t>。</w:t>
      </w:r>
    </w:p>
    <w:p>
      <w:pPr>
        <w:adjustRightInd w:val="0"/>
        <w:snapToGrid w:val="0"/>
        <w:spacing w:line="440" w:lineRule="exact"/>
        <w:ind w:firstLine="482" w:firstLineChars="200"/>
        <w:rPr>
          <w:rFonts w:hint="eastAsia" w:ascii="新宋体" w:hAnsi="新宋体" w:eastAsia="新宋体"/>
          <w:b/>
          <w:color w:val="auto"/>
          <w:sz w:val="24"/>
          <w:highlight w:val="none"/>
        </w:rPr>
      </w:pPr>
      <w:r>
        <w:rPr>
          <w:rFonts w:hint="eastAsia" w:ascii="新宋体" w:hAnsi="新宋体" w:eastAsia="新宋体"/>
          <w:b/>
          <w:color w:val="auto"/>
          <w:sz w:val="24"/>
          <w:highlight w:val="none"/>
          <w:shd w:val="pct10" w:color="auto" w:fill="FFFFFF"/>
        </w:rPr>
        <w:t>2.投标文</w:t>
      </w:r>
      <w:r>
        <w:rPr>
          <w:rFonts w:hint="eastAsia" w:ascii="新宋体" w:hAnsi="新宋体" w:eastAsia="新宋体" w:cs="Times New Roman"/>
          <w:b/>
          <w:color w:val="auto"/>
          <w:sz w:val="24"/>
          <w:highlight w:val="none"/>
          <w:shd w:val="pct10" w:color="auto" w:fill="FFFFFF"/>
        </w:rPr>
        <w:t>件在资格响应文件或商务技术响应文件评审中出现下列</w:t>
      </w:r>
      <w:r>
        <w:rPr>
          <w:rFonts w:hint="eastAsia" w:ascii="新宋体" w:hAnsi="新宋体" w:eastAsia="新宋体"/>
          <w:b/>
          <w:color w:val="auto"/>
          <w:sz w:val="24"/>
          <w:highlight w:val="none"/>
          <w:shd w:val="pct10" w:color="auto" w:fill="FFFFFF"/>
        </w:rPr>
        <w:t>情形之一的，由评标委员会审核后按无效投标文件处理：</w:t>
      </w:r>
    </w:p>
    <w:p>
      <w:pPr>
        <w:tabs>
          <w:tab w:val="left" w:pos="5325"/>
        </w:tabs>
        <w:adjustRightInd w:val="0"/>
        <w:snapToGrid w:val="0"/>
        <w:spacing w:line="440" w:lineRule="exact"/>
        <w:ind w:firstLine="480" w:firstLineChars="200"/>
        <w:rPr>
          <w:rFonts w:hint="eastAsia" w:ascii="新宋体" w:hAnsi="新宋体" w:eastAsia="新宋体"/>
          <w:color w:val="auto"/>
          <w:sz w:val="24"/>
          <w:highlight w:val="none"/>
          <w:lang w:eastAsia="zh-CN"/>
        </w:rPr>
      </w:pPr>
      <w:r>
        <w:rPr>
          <w:rFonts w:hint="eastAsia" w:ascii="新宋体" w:hAnsi="新宋体" w:eastAsia="新宋体"/>
          <w:color w:val="auto"/>
          <w:sz w:val="24"/>
          <w:highlight w:val="none"/>
        </w:rPr>
        <w:t>2.1资格响应文件或商务技术响应文件中包含商务报价的</w:t>
      </w:r>
      <w:r>
        <w:rPr>
          <w:rFonts w:hint="eastAsia" w:ascii="新宋体" w:hAnsi="新宋体" w:eastAsia="新宋体"/>
          <w:color w:val="auto"/>
          <w:sz w:val="24"/>
          <w:highlight w:val="none"/>
          <w:lang w:eastAsia="zh-CN"/>
        </w:rPr>
        <w:t>；</w:t>
      </w:r>
    </w:p>
    <w:p>
      <w:pPr>
        <w:tabs>
          <w:tab w:val="left" w:pos="5325"/>
        </w:tabs>
        <w:adjustRightInd w:val="0"/>
        <w:snapToGrid w:val="0"/>
        <w:spacing w:line="440" w:lineRule="exact"/>
        <w:ind w:firstLine="480" w:firstLineChars="200"/>
        <w:rPr>
          <w:rFonts w:hint="eastAsia" w:ascii="新宋体" w:hAnsi="新宋体" w:eastAsia="新宋体" w:cs="Times New Roman"/>
          <w:color w:val="auto"/>
          <w:sz w:val="24"/>
          <w:highlight w:val="none"/>
          <w:lang w:eastAsia="zh-CN"/>
        </w:rPr>
      </w:pPr>
      <w:r>
        <w:rPr>
          <w:rFonts w:hint="eastAsia" w:ascii="新宋体" w:hAnsi="新宋体" w:eastAsia="新宋体" w:cs="Times New Roman"/>
          <w:color w:val="auto"/>
          <w:sz w:val="24"/>
          <w:highlight w:val="none"/>
        </w:rPr>
        <w:t>2.2招标文件关于投标文件要求中打“★”的内容，投标人的投标文件内容未提供完整的，或关键字迹模糊、无法辨认的，或未按其规定的格式及要求填写、签字、盖章，或提供的投标文件内容不符合招标文件的中有关打★号的条款的规定；</w:t>
      </w:r>
    </w:p>
    <w:p>
      <w:pPr>
        <w:adjustRightInd w:val="0"/>
        <w:snapToGrid w:val="0"/>
        <w:spacing w:line="440" w:lineRule="exact"/>
        <w:ind w:firstLine="480" w:firstLineChars="200"/>
        <w:rPr>
          <w:rFonts w:hint="eastAsia" w:ascii="新宋体" w:hAnsi="新宋体" w:eastAsia="新宋体" w:cs="Times New Roman"/>
          <w:color w:val="auto"/>
          <w:sz w:val="24"/>
          <w:highlight w:val="none"/>
          <w:lang w:eastAsia="zh-CN"/>
        </w:rPr>
      </w:pPr>
      <w:r>
        <w:rPr>
          <w:rFonts w:hint="eastAsia" w:ascii="新宋体" w:hAnsi="新宋体" w:eastAsia="新宋体" w:cs="Times New Roman"/>
          <w:color w:val="auto"/>
          <w:sz w:val="24"/>
          <w:highlight w:val="none"/>
        </w:rPr>
        <w:t>2.3投标人不具备招标文件中规定的资格要求的（投标人未提供有效的资格文件的，视为投标人不具备招标文件中规定的资格要求）</w:t>
      </w:r>
      <w:r>
        <w:rPr>
          <w:rFonts w:hint="eastAsia" w:ascii="新宋体" w:hAnsi="新宋体" w:eastAsia="新宋体" w:cs="Times New Roman"/>
          <w:color w:val="auto"/>
          <w:sz w:val="24"/>
          <w:highlight w:val="none"/>
          <w:lang w:eastAsia="zh-CN"/>
        </w:rPr>
        <w:t>；</w:t>
      </w:r>
    </w:p>
    <w:p>
      <w:pPr>
        <w:adjustRightInd w:val="0"/>
        <w:snapToGrid w:val="0"/>
        <w:spacing w:line="440" w:lineRule="exact"/>
        <w:ind w:firstLine="480" w:firstLineChars="200"/>
        <w:rPr>
          <w:rFonts w:hint="eastAsia" w:ascii="新宋体" w:hAnsi="新宋体" w:eastAsia="新宋体" w:cs="Times New Roman"/>
          <w:color w:val="auto"/>
          <w:sz w:val="24"/>
          <w:highlight w:val="none"/>
        </w:rPr>
      </w:pPr>
      <w:r>
        <w:rPr>
          <w:rFonts w:hint="eastAsia" w:ascii="新宋体" w:hAnsi="新宋体" w:eastAsia="新宋体" w:cs="Times New Roman"/>
          <w:color w:val="auto"/>
          <w:sz w:val="24"/>
          <w:highlight w:val="none"/>
        </w:rPr>
        <w:t>2.4采购人拟采购的产品属于政府强制采购的节能产品品目清单范围的，投标人相应的投标产品在中国政府采购网（http://www.ccgp.gov.cn）中</w:t>
      </w:r>
      <w:r>
        <w:rPr>
          <w:rFonts w:hint="eastAsia" w:ascii="新宋体" w:hAnsi="新宋体" w:eastAsia="新宋体" w:cs="Times New Roman"/>
          <w:color w:val="auto"/>
          <w:sz w:val="24"/>
          <w:highlight w:val="none"/>
          <w:lang w:val="en-US" w:eastAsia="zh-CN"/>
        </w:rPr>
        <w:t>未</w:t>
      </w:r>
      <w:r>
        <w:rPr>
          <w:rFonts w:hint="eastAsia" w:ascii="新宋体" w:hAnsi="新宋体" w:eastAsia="新宋体" w:cs="Times New Roman"/>
          <w:color w:val="auto"/>
          <w:sz w:val="24"/>
          <w:highlight w:val="none"/>
        </w:rPr>
        <w:t>查询到；</w:t>
      </w:r>
    </w:p>
    <w:p>
      <w:pPr>
        <w:adjustRightInd w:val="0"/>
        <w:snapToGrid w:val="0"/>
        <w:spacing w:line="440" w:lineRule="exact"/>
        <w:ind w:firstLine="480" w:firstLineChars="200"/>
        <w:rPr>
          <w:rFonts w:hint="eastAsia" w:ascii="新宋体" w:hAnsi="新宋体" w:eastAsia="新宋体" w:cs="Times New Roman"/>
          <w:color w:val="auto"/>
          <w:sz w:val="24"/>
          <w:highlight w:val="none"/>
        </w:rPr>
      </w:pPr>
      <w:r>
        <w:rPr>
          <w:rFonts w:hint="eastAsia" w:ascii="新宋体" w:hAnsi="新宋体" w:eastAsia="新宋体" w:cs="Times New Roman"/>
          <w:color w:val="auto"/>
          <w:sz w:val="24"/>
          <w:highlight w:val="none"/>
        </w:rPr>
        <w:t>2.5投标文件中承诺的投标有效期少于招标文件中载明的投标有效期的；</w:t>
      </w:r>
    </w:p>
    <w:p>
      <w:pPr>
        <w:adjustRightInd w:val="0"/>
        <w:snapToGrid w:val="0"/>
        <w:spacing w:line="440" w:lineRule="exact"/>
        <w:ind w:firstLine="480" w:firstLineChars="200"/>
        <w:rPr>
          <w:rFonts w:hint="eastAsia" w:ascii="新宋体" w:hAnsi="新宋体" w:eastAsia="新宋体"/>
          <w:color w:val="auto"/>
          <w:szCs w:val="21"/>
          <w:highlight w:val="none"/>
          <w:lang w:eastAsia="zh-CN"/>
        </w:rPr>
      </w:pPr>
      <w:r>
        <w:rPr>
          <w:rFonts w:hint="eastAsia" w:ascii="新宋体" w:hAnsi="新宋体" w:eastAsia="新宋体"/>
          <w:color w:val="auto"/>
          <w:sz w:val="24"/>
          <w:highlight w:val="none"/>
        </w:rPr>
        <w:t>2.</w:t>
      </w:r>
      <w:r>
        <w:rPr>
          <w:rFonts w:hint="eastAsia" w:ascii="新宋体" w:hAnsi="新宋体" w:eastAsia="新宋体"/>
          <w:color w:val="auto"/>
          <w:sz w:val="24"/>
          <w:highlight w:val="none"/>
          <w:lang w:val="en-US" w:eastAsia="zh-CN"/>
        </w:rPr>
        <w:t>6</w:t>
      </w:r>
      <w:r>
        <w:rPr>
          <w:rFonts w:hint="eastAsia" w:ascii="新宋体" w:hAnsi="新宋体" w:eastAsia="新宋体"/>
          <w:color w:val="auto"/>
          <w:sz w:val="24"/>
          <w:highlight w:val="none"/>
        </w:rPr>
        <w:t>投标人所投产品的数量不符合招标文件规定的</w:t>
      </w:r>
      <w:r>
        <w:rPr>
          <w:rFonts w:hint="eastAsia" w:ascii="新宋体" w:hAnsi="新宋体" w:eastAsia="新宋体"/>
          <w:color w:val="auto"/>
          <w:sz w:val="24"/>
          <w:highlight w:val="none"/>
          <w:lang w:eastAsia="zh-CN"/>
        </w:rPr>
        <w:t>；</w:t>
      </w:r>
    </w:p>
    <w:p>
      <w:pPr>
        <w:adjustRightInd w:val="0"/>
        <w:snapToGrid w:val="0"/>
        <w:spacing w:line="440" w:lineRule="exact"/>
        <w:ind w:firstLine="480" w:firstLineChars="200"/>
        <w:rPr>
          <w:rFonts w:hint="eastAsia" w:ascii="新宋体" w:hAnsi="新宋体" w:eastAsia="新宋体" w:cs="Times New Roman"/>
          <w:color w:val="auto"/>
          <w:sz w:val="24"/>
          <w:highlight w:val="none"/>
          <w:lang w:eastAsia="zh-CN"/>
        </w:rPr>
      </w:pPr>
      <w:r>
        <w:rPr>
          <w:rFonts w:hint="eastAsia" w:ascii="新宋体" w:hAnsi="新宋体" w:eastAsia="新宋体" w:cs="Times New Roman"/>
          <w:color w:val="auto"/>
          <w:sz w:val="24"/>
          <w:highlight w:val="none"/>
        </w:rPr>
        <w:t>2.</w:t>
      </w:r>
      <w:r>
        <w:rPr>
          <w:rFonts w:hint="eastAsia" w:ascii="新宋体" w:hAnsi="新宋体" w:eastAsia="新宋体" w:cs="Times New Roman"/>
          <w:color w:val="auto"/>
          <w:sz w:val="24"/>
          <w:highlight w:val="none"/>
          <w:lang w:val="en-US" w:eastAsia="zh-CN"/>
        </w:rPr>
        <w:t>7</w:t>
      </w:r>
      <w:r>
        <w:rPr>
          <w:rFonts w:hint="eastAsia" w:ascii="新宋体" w:hAnsi="新宋体" w:eastAsia="新宋体" w:cs="Times New Roman"/>
          <w:color w:val="auto"/>
          <w:sz w:val="24"/>
          <w:highlight w:val="none"/>
        </w:rPr>
        <w:t>投标人借用或冒用他人名义或证件、涂改文件、伪造或编造投标文件的</w:t>
      </w:r>
      <w:r>
        <w:rPr>
          <w:rFonts w:hint="eastAsia" w:ascii="新宋体" w:hAnsi="新宋体" w:eastAsia="新宋体" w:cs="Times New Roman"/>
          <w:color w:val="auto"/>
          <w:sz w:val="24"/>
          <w:highlight w:val="none"/>
          <w:lang w:eastAsia="zh-CN"/>
        </w:rPr>
        <w:t>；</w:t>
      </w:r>
    </w:p>
    <w:p>
      <w:pPr>
        <w:spacing w:line="440" w:lineRule="exact"/>
        <w:ind w:firstLine="480" w:firstLineChars="200"/>
        <w:rPr>
          <w:rFonts w:hint="eastAsia" w:ascii="新宋体" w:hAnsi="新宋体" w:eastAsia="新宋体"/>
          <w:color w:val="auto"/>
          <w:kern w:val="0"/>
          <w:sz w:val="24"/>
          <w:highlight w:val="none"/>
        </w:rPr>
      </w:pPr>
      <w:r>
        <w:rPr>
          <w:rFonts w:hint="eastAsia" w:ascii="新宋体" w:hAnsi="新宋体" w:eastAsia="新宋体"/>
          <w:color w:val="auto"/>
          <w:kern w:val="0"/>
          <w:sz w:val="24"/>
          <w:highlight w:val="none"/>
        </w:rPr>
        <w:t>2.</w:t>
      </w:r>
      <w:r>
        <w:rPr>
          <w:rFonts w:hint="eastAsia" w:ascii="新宋体" w:hAnsi="新宋体" w:eastAsia="新宋体"/>
          <w:color w:val="auto"/>
          <w:kern w:val="0"/>
          <w:sz w:val="24"/>
          <w:highlight w:val="none"/>
          <w:lang w:val="en-US" w:eastAsia="zh-CN"/>
        </w:rPr>
        <w:t>8</w:t>
      </w:r>
      <w:r>
        <w:rPr>
          <w:rFonts w:hint="eastAsia" w:ascii="新宋体" w:hAnsi="新宋体" w:eastAsia="新宋体"/>
          <w:color w:val="auto"/>
          <w:kern w:val="0"/>
          <w:sz w:val="24"/>
          <w:highlight w:val="none"/>
        </w:rPr>
        <w:t>投标中不同投标人的投标文件出现雷同或相似（包括部分雷同或相似），对所有雷同或相似投标人按无效标处理，招标方将保留进一步追究责任的权利；</w:t>
      </w:r>
    </w:p>
    <w:p>
      <w:pPr>
        <w:spacing w:line="440" w:lineRule="exact"/>
        <w:ind w:firstLine="480" w:firstLineChars="200"/>
        <w:rPr>
          <w:rFonts w:hint="eastAsia" w:ascii="新宋体" w:hAnsi="新宋体" w:eastAsia="新宋体"/>
          <w:color w:val="auto"/>
          <w:kern w:val="0"/>
          <w:sz w:val="24"/>
          <w:highlight w:val="none"/>
          <w:lang w:eastAsia="zh-CN"/>
        </w:rPr>
      </w:pPr>
      <w:r>
        <w:rPr>
          <w:rFonts w:hint="eastAsia" w:ascii="新宋体" w:hAnsi="新宋体" w:eastAsia="新宋体"/>
          <w:color w:val="auto"/>
          <w:kern w:val="0"/>
          <w:sz w:val="24"/>
          <w:highlight w:val="none"/>
        </w:rPr>
        <w:t>2.</w:t>
      </w:r>
      <w:r>
        <w:rPr>
          <w:rFonts w:hint="eastAsia" w:ascii="新宋体" w:hAnsi="新宋体" w:eastAsia="新宋体"/>
          <w:color w:val="auto"/>
          <w:kern w:val="0"/>
          <w:sz w:val="24"/>
          <w:highlight w:val="none"/>
          <w:lang w:val="en-US" w:eastAsia="zh-CN"/>
        </w:rPr>
        <w:t>9</w:t>
      </w:r>
      <w:r>
        <w:rPr>
          <w:rFonts w:hint="eastAsia" w:ascii="新宋体" w:hAnsi="新宋体" w:eastAsia="新宋体"/>
          <w:color w:val="auto"/>
          <w:kern w:val="0"/>
          <w:sz w:val="24"/>
          <w:highlight w:val="none"/>
          <w:lang w:eastAsia="zh-CN"/>
        </w:rPr>
        <w:t>其他</w:t>
      </w:r>
      <w:r>
        <w:rPr>
          <w:rFonts w:hint="eastAsia" w:ascii="新宋体" w:hAnsi="新宋体" w:eastAsia="新宋体"/>
          <w:color w:val="auto"/>
          <w:sz w:val="24"/>
          <w:highlight w:val="none"/>
        </w:rPr>
        <w:t>对本招标文件中打★号的条款未完全响应的</w:t>
      </w:r>
      <w:r>
        <w:rPr>
          <w:rFonts w:hint="eastAsia" w:ascii="新宋体" w:hAnsi="新宋体" w:eastAsia="新宋体"/>
          <w:color w:val="auto"/>
          <w:sz w:val="24"/>
          <w:highlight w:val="none"/>
          <w:lang w:eastAsia="zh-CN"/>
        </w:rPr>
        <w:t>；</w:t>
      </w:r>
    </w:p>
    <w:p>
      <w:pPr>
        <w:spacing w:line="440" w:lineRule="exact"/>
        <w:ind w:firstLine="480" w:firstLineChars="200"/>
        <w:rPr>
          <w:rFonts w:hint="eastAsia" w:ascii="新宋体" w:hAnsi="新宋体" w:eastAsia="新宋体"/>
          <w:color w:val="auto"/>
          <w:sz w:val="24"/>
          <w:highlight w:val="none"/>
          <w:lang w:eastAsia="zh-CN"/>
        </w:rPr>
      </w:pPr>
      <w:r>
        <w:rPr>
          <w:rFonts w:hint="eastAsia" w:ascii="新宋体" w:hAnsi="新宋体" w:eastAsia="新宋体"/>
          <w:color w:val="auto"/>
          <w:kern w:val="0"/>
          <w:sz w:val="24"/>
          <w:highlight w:val="none"/>
        </w:rPr>
        <w:t>2.</w:t>
      </w:r>
      <w:r>
        <w:rPr>
          <w:rFonts w:hint="eastAsia" w:ascii="新宋体" w:hAnsi="新宋体" w:eastAsia="新宋体"/>
          <w:color w:val="auto"/>
          <w:kern w:val="0"/>
          <w:sz w:val="24"/>
          <w:highlight w:val="none"/>
          <w:lang w:val="en-US" w:eastAsia="zh-CN"/>
        </w:rPr>
        <w:t>10</w:t>
      </w:r>
      <w:r>
        <w:rPr>
          <w:rFonts w:hint="eastAsia" w:ascii="新宋体" w:hAnsi="新宋体" w:eastAsia="新宋体"/>
          <w:color w:val="auto"/>
          <w:kern w:val="0"/>
          <w:sz w:val="24"/>
          <w:highlight w:val="none"/>
        </w:rPr>
        <w:t>经评标委员会认定，</w:t>
      </w:r>
      <w:r>
        <w:rPr>
          <w:rFonts w:hint="eastAsia" w:ascii="新宋体" w:hAnsi="新宋体" w:eastAsia="新宋体"/>
          <w:color w:val="auto"/>
          <w:sz w:val="24"/>
          <w:highlight w:val="none"/>
        </w:rPr>
        <w:t>投标文件附有采购人不能接受的条件</w:t>
      </w:r>
      <w:r>
        <w:rPr>
          <w:rFonts w:hint="eastAsia" w:ascii="新宋体" w:hAnsi="新宋体" w:eastAsia="新宋体"/>
          <w:color w:val="auto"/>
          <w:sz w:val="24"/>
          <w:highlight w:val="none"/>
          <w:lang w:eastAsia="zh-CN"/>
        </w:rPr>
        <w:t>；</w:t>
      </w:r>
    </w:p>
    <w:p>
      <w:pPr>
        <w:adjustRightInd w:val="0"/>
        <w:snapToGrid w:val="0"/>
        <w:spacing w:line="440" w:lineRule="exact"/>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rPr>
        <w:t>2.</w:t>
      </w:r>
      <w:r>
        <w:rPr>
          <w:rFonts w:hint="eastAsia" w:ascii="新宋体" w:hAnsi="新宋体" w:eastAsia="新宋体"/>
          <w:color w:val="auto"/>
          <w:sz w:val="24"/>
          <w:highlight w:val="none"/>
          <w:lang w:val="en-US" w:eastAsia="zh-CN"/>
        </w:rPr>
        <w:t>11</w:t>
      </w:r>
      <w:r>
        <w:rPr>
          <w:rFonts w:hint="eastAsia" w:ascii="新宋体" w:hAnsi="新宋体" w:eastAsia="新宋体"/>
          <w:color w:val="auto"/>
          <w:sz w:val="24"/>
          <w:highlight w:val="none"/>
        </w:rPr>
        <w:t>评标委员会要求投标人澄清或说明的，如果投标人拒绝按照招标文件规定进行澄清或说明的。</w:t>
      </w:r>
    </w:p>
    <w:p>
      <w:pPr>
        <w:adjustRightInd w:val="0"/>
        <w:snapToGrid w:val="0"/>
        <w:spacing w:line="440" w:lineRule="exact"/>
        <w:ind w:firstLine="482" w:firstLineChars="200"/>
        <w:rPr>
          <w:rFonts w:hint="eastAsia" w:ascii="新宋体" w:hAnsi="新宋体" w:eastAsia="新宋体"/>
          <w:b/>
          <w:color w:val="auto"/>
          <w:sz w:val="24"/>
          <w:highlight w:val="none"/>
        </w:rPr>
      </w:pPr>
      <w:r>
        <w:rPr>
          <w:rFonts w:hint="eastAsia" w:ascii="新宋体" w:hAnsi="新宋体" w:eastAsia="新宋体"/>
          <w:b/>
          <w:color w:val="auto"/>
          <w:sz w:val="24"/>
          <w:highlight w:val="none"/>
          <w:shd w:val="pct10" w:color="auto" w:fill="FFFFFF"/>
        </w:rPr>
        <w:t>3.投标文件</w:t>
      </w:r>
      <w:r>
        <w:rPr>
          <w:rFonts w:hint="eastAsia" w:ascii="新宋体" w:hAnsi="新宋体" w:eastAsia="新宋体" w:cs="Times New Roman"/>
          <w:b/>
          <w:color w:val="auto"/>
          <w:sz w:val="24"/>
          <w:highlight w:val="none"/>
          <w:shd w:val="pct10" w:color="auto" w:fill="FFFFFF"/>
        </w:rPr>
        <w:t>在报价响应文件评审出现下</w:t>
      </w:r>
      <w:r>
        <w:rPr>
          <w:rFonts w:hint="eastAsia" w:ascii="新宋体" w:hAnsi="新宋体" w:eastAsia="新宋体"/>
          <w:b/>
          <w:color w:val="auto"/>
          <w:sz w:val="24"/>
          <w:highlight w:val="none"/>
          <w:shd w:val="pct10" w:color="auto" w:fill="FFFFFF"/>
        </w:rPr>
        <w:t>列情形之一的，由评标委员会审核后按无效投标文件处理：</w:t>
      </w:r>
    </w:p>
    <w:p>
      <w:pPr>
        <w:adjustRightInd w:val="0"/>
        <w:snapToGrid w:val="0"/>
        <w:spacing w:line="440" w:lineRule="exact"/>
        <w:ind w:firstLine="480" w:firstLineChars="200"/>
        <w:rPr>
          <w:rFonts w:hint="eastAsia" w:ascii="新宋体" w:hAnsi="新宋体" w:eastAsia="新宋体"/>
          <w:color w:val="auto"/>
          <w:kern w:val="0"/>
          <w:sz w:val="24"/>
          <w:highlight w:val="none"/>
          <w:lang w:eastAsia="zh-CN"/>
        </w:rPr>
      </w:pPr>
      <w:r>
        <w:rPr>
          <w:rFonts w:hint="eastAsia" w:ascii="新宋体" w:hAnsi="新宋体" w:eastAsia="新宋体"/>
          <w:color w:val="auto"/>
          <w:sz w:val="24"/>
          <w:highlight w:val="none"/>
        </w:rPr>
        <w:t>3.1招标文件关于投标文件组成内容报价响应文件要求中打“</w:t>
      </w:r>
      <w:r>
        <w:rPr>
          <w:rFonts w:ascii="新宋体" w:hAnsi="新宋体" w:eastAsia="新宋体"/>
          <w:color w:val="auto"/>
          <w:highlight w:val="none"/>
        </w:rPr>
        <w:t>★</w:t>
      </w:r>
      <w:r>
        <w:rPr>
          <w:rFonts w:hint="eastAsia" w:ascii="新宋体" w:hAnsi="新宋体" w:eastAsia="新宋体"/>
          <w:color w:val="auto"/>
          <w:highlight w:val="none"/>
        </w:rPr>
        <w:t>”的</w:t>
      </w:r>
      <w:r>
        <w:rPr>
          <w:rFonts w:hint="eastAsia" w:ascii="新宋体" w:hAnsi="新宋体" w:eastAsia="新宋体"/>
          <w:color w:val="auto"/>
          <w:kern w:val="0"/>
          <w:sz w:val="24"/>
          <w:highlight w:val="none"/>
        </w:rPr>
        <w:t>内容，投标人的投标文件内容未提供完整，或关键字迹模糊、无法辨认的，或未按其规定的格式及要求填写、签字、盖章，或提供的投标文件内容不符合招标文件中有关打★号的条款的规定</w:t>
      </w:r>
      <w:r>
        <w:rPr>
          <w:rFonts w:hint="eastAsia" w:ascii="新宋体" w:hAnsi="新宋体" w:eastAsia="新宋体"/>
          <w:color w:val="auto"/>
          <w:kern w:val="0"/>
          <w:sz w:val="24"/>
          <w:highlight w:val="none"/>
          <w:lang w:eastAsia="zh-CN"/>
        </w:rPr>
        <w:t>；</w:t>
      </w:r>
    </w:p>
    <w:p>
      <w:pPr>
        <w:adjustRightInd w:val="0"/>
        <w:snapToGrid w:val="0"/>
        <w:spacing w:line="440" w:lineRule="exact"/>
        <w:ind w:firstLine="480" w:firstLineChars="200"/>
        <w:rPr>
          <w:rFonts w:hint="eastAsia" w:ascii="新宋体" w:hAnsi="新宋体" w:eastAsia="新宋体"/>
          <w:color w:val="auto"/>
          <w:sz w:val="24"/>
          <w:highlight w:val="none"/>
          <w:lang w:eastAsia="zh-CN"/>
        </w:rPr>
      </w:pPr>
      <w:r>
        <w:rPr>
          <w:rFonts w:hint="eastAsia" w:ascii="新宋体" w:hAnsi="新宋体" w:eastAsia="新宋体"/>
          <w:color w:val="auto"/>
          <w:sz w:val="24"/>
          <w:highlight w:val="none"/>
        </w:rPr>
        <w:t>3.2</w:t>
      </w:r>
      <w:r>
        <w:rPr>
          <w:rFonts w:hint="eastAsia" w:ascii="新宋体" w:hAnsi="新宋体" w:eastAsia="新宋体"/>
          <w:i/>
          <w:iCs/>
          <w:color w:val="auto"/>
          <w:sz w:val="24"/>
          <w:highlight w:val="none"/>
        </w:rPr>
        <w:t>投标总价高于预算价（或最高限价），或投标总价低于投标人的企业成本价</w:t>
      </w:r>
      <w:r>
        <w:rPr>
          <w:rFonts w:hint="eastAsia" w:ascii="新宋体" w:hAnsi="新宋体" w:eastAsia="新宋体"/>
          <w:i/>
          <w:iCs/>
          <w:color w:val="auto"/>
          <w:sz w:val="24"/>
          <w:highlight w:val="none"/>
          <w:lang w:eastAsia="zh-CN"/>
        </w:rPr>
        <w:t>；</w:t>
      </w:r>
    </w:p>
    <w:p>
      <w:pPr>
        <w:adjustRightInd w:val="0"/>
        <w:snapToGrid w:val="0"/>
        <w:spacing w:line="440" w:lineRule="exact"/>
        <w:ind w:firstLine="480" w:firstLineChars="200"/>
        <w:rPr>
          <w:rFonts w:hint="eastAsia" w:ascii="新宋体" w:hAnsi="新宋体" w:eastAsia="新宋体"/>
          <w:color w:val="auto"/>
          <w:sz w:val="24"/>
          <w:highlight w:val="none"/>
          <w:lang w:eastAsia="zh-CN"/>
        </w:rPr>
      </w:pPr>
      <w:r>
        <w:rPr>
          <w:rFonts w:hint="eastAsia" w:ascii="新宋体" w:hAnsi="新宋体" w:eastAsia="新宋体"/>
          <w:color w:val="auto"/>
          <w:sz w:val="24"/>
          <w:highlight w:val="none"/>
        </w:rPr>
        <w:t>3.3投标人的所投产品的数量不符合招标文件规定的</w:t>
      </w:r>
      <w:r>
        <w:rPr>
          <w:rFonts w:hint="eastAsia" w:ascii="新宋体" w:hAnsi="新宋体" w:eastAsia="新宋体"/>
          <w:color w:val="auto"/>
          <w:sz w:val="24"/>
          <w:highlight w:val="none"/>
          <w:lang w:eastAsia="zh-CN"/>
        </w:rPr>
        <w:t>；</w:t>
      </w:r>
    </w:p>
    <w:p>
      <w:pPr>
        <w:adjustRightInd w:val="0"/>
        <w:snapToGrid w:val="0"/>
        <w:spacing w:line="440" w:lineRule="exact"/>
        <w:ind w:firstLine="480" w:firstLineChars="200"/>
        <w:rPr>
          <w:rFonts w:hint="eastAsia" w:ascii="新宋体" w:hAnsi="新宋体" w:eastAsia="新宋体"/>
          <w:color w:val="auto"/>
          <w:sz w:val="24"/>
          <w:highlight w:val="none"/>
          <w:lang w:eastAsia="zh-CN"/>
        </w:rPr>
      </w:pPr>
      <w:r>
        <w:rPr>
          <w:rFonts w:hint="eastAsia" w:ascii="新宋体" w:hAnsi="新宋体" w:eastAsia="新宋体"/>
          <w:color w:val="auto"/>
          <w:sz w:val="24"/>
          <w:highlight w:val="none"/>
        </w:rPr>
        <w:t>3.4投标人的投标报价未明确的，或者对同一采购项目提供两个或两个以上报价且未声明哪一个有效的，或者对同一采购项目提供两个或两个以上成本价且未声明哪一个有效</w:t>
      </w:r>
      <w:r>
        <w:rPr>
          <w:rFonts w:hint="eastAsia" w:ascii="新宋体" w:hAnsi="新宋体" w:eastAsia="新宋体"/>
          <w:color w:val="auto"/>
          <w:sz w:val="24"/>
          <w:highlight w:val="none"/>
          <w:lang w:eastAsia="zh-CN"/>
        </w:rPr>
        <w:t>；</w:t>
      </w:r>
    </w:p>
    <w:p>
      <w:pPr>
        <w:adjustRightInd w:val="0"/>
        <w:snapToGrid w:val="0"/>
        <w:spacing w:line="440" w:lineRule="exact"/>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rPr>
        <w:t>3.</w:t>
      </w:r>
      <w:r>
        <w:rPr>
          <w:rFonts w:hint="eastAsia" w:ascii="新宋体" w:hAnsi="新宋体" w:eastAsia="新宋体"/>
          <w:color w:val="auto"/>
          <w:sz w:val="24"/>
          <w:highlight w:val="none"/>
          <w:lang w:val="en-US" w:eastAsia="zh-CN"/>
        </w:rPr>
        <w:t>5</w:t>
      </w:r>
      <w:r>
        <w:rPr>
          <w:rFonts w:hint="eastAsia" w:ascii="新宋体" w:hAnsi="新宋体" w:eastAsia="新宋体"/>
          <w:i/>
          <w:color w:val="auto"/>
          <w:sz w:val="24"/>
          <w:highlight w:val="none"/>
        </w:rPr>
        <w:t>评标委员会认为投标人的报价明显</w:t>
      </w:r>
      <w:r>
        <w:rPr>
          <w:rFonts w:hint="eastAsia" w:ascii="新宋体" w:hAnsi="新宋体" w:eastAsia="新宋体" w:cs="Times New Roman"/>
          <w:i/>
          <w:color w:val="auto"/>
          <w:sz w:val="24"/>
          <w:highlight w:val="none"/>
        </w:rPr>
        <w:t>低于其他通过符合性审查投标人的报价，有可能影响服务质量或者不能诚信履约的，要求其通过“政采云”在规定的时间内提供CA签章的材料，必要时提交相关证明材料；投标人不能证明其报价合理性的</w:t>
      </w:r>
      <w:r>
        <w:rPr>
          <w:rFonts w:hint="eastAsia" w:ascii="新宋体" w:hAnsi="新宋体" w:eastAsia="新宋体" w:cs="Times New Roman"/>
          <w:i/>
          <w:color w:val="auto"/>
          <w:sz w:val="24"/>
          <w:highlight w:val="none"/>
          <w:lang w:eastAsia="zh-CN"/>
        </w:rPr>
        <w:t>；</w:t>
      </w:r>
    </w:p>
    <w:p>
      <w:pPr>
        <w:adjustRightInd w:val="0"/>
        <w:snapToGrid w:val="0"/>
        <w:spacing w:line="440" w:lineRule="exact"/>
        <w:ind w:firstLine="480" w:firstLineChars="200"/>
        <w:rPr>
          <w:rFonts w:hint="eastAsia" w:ascii="新宋体" w:hAnsi="新宋体" w:eastAsia="新宋体" w:cs="Times New Roman"/>
          <w:color w:val="auto"/>
          <w:sz w:val="24"/>
          <w:highlight w:val="none"/>
        </w:rPr>
      </w:pPr>
      <w:r>
        <w:rPr>
          <w:rFonts w:hint="eastAsia" w:ascii="新宋体" w:hAnsi="新宋体" w:eastAsia="新宋体" w:cs="Times New Roman"/>
          <w:color w:val="auto"/>
          <w:sz w:val="24"/>
          <w:highlight w:val="none"/>
        </w:rPr>
        <w:t>3.6当投标人由于报价计算错误，投标人拒绝接受按招标文件的规定进行修正处理；</w:t>
      </w:r>
    </w:p>
    <w:p>
      <w:pPr>
        <w:adjustRightInd w:val="0"/>
        <w:snapToGrid w:val="0"/>
        <w:spacing w:line="440" w:lineRule="exact"/>
        <w:ind w:firstLine="480" w:firstLineChars="200"/>
        <w:rPr>
          <w:rFonts w:hint="eastAsia" w:ascii="新宋体" w:hAnsi="新宋体" w:eastAsia="新宋体"/>
          <w:color w:val="auto"/>
          <w:sz w:val="24"/>
          <w:highlight w:val="none"/>
          <w:lang w:eastAsia="zh-CN"/>
        </w:rPr>
      </w:pPr>
      <w:r>
        <w:rPr>
          <w:rFonts w:hint="eastAsia" w:ascii="新宋体" w:hAnsi="新宋体" w:eastAsia="新宋体"/>
          <w:color w:val="auto"/>
          <w:sz w:val="24"/>
          <w:highlight w:val="none"/>
        </w:rPr>
        <w:t>3.</w:t>
      </w:r>
      <w:r>
        <w:rPr>
          <w:rFonts w:hint="eastAsia" w:ascii="新宋体" w:hAnsi="新宋体" w:eastAsia="新宋体"/>
          <w:color w:val="auto"/>
          <w:sz w:val="24"/>
          <w:highlight w:val="none"/>
          <w:lang w:val="en-US" w:eastAsia="zh-CN"/>
        </w:rPr>
        <w:t>7</w:t>
      </w:r>
      <w:r>
        <w:rPr>
          <w:rFonts w:hint="eastAsia" w:ascii="新宋体" w:hAnsi="新宋体" w:eastAsia="新宋体"/>
          <w:color w:val="auto"/>
          <w:sz w:val="24"/>
          <w:highlight w:val="none"/>
        </w:rPr>
        <w:t>经评标委员会审议认为投标文件附有采购人不能接受的条件</w:t>
      </w:r>
      <w:r>
        <w:rPr>
          <w:rFonts w:hint="eastAsia" w:ascii="新宋体" w:hAnsi="新宋体" w:eastAsia="新宋体"/>
          <w:color w:val="auto"/>
          <w:sz w:val="24"/>
          <w:highlight w:val="none"/>
          <w:lang w:eastAsia="zh-CN"/>
        </w:rPr>
        <w:t>。</w:t>
      </w:r>
    </w:p>
    <w:p>
      <w:pPr>
        <w:adjustRightInd w:val="0"/>
        <w:snapToGrid w:val="0"/>
        <w:spacing w:line="440" w:lineRule="exact"/>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rPr>
        <w:t>4、在资格审查及评审过程中，符合中华人民共和国财政部令第87号《政府采购货物和服务招标投标管理办法》第三十七条情形之一的，视为投标人串通投标，其投标无效，并移送采购监管部门：</w:t>
      </w:r>
    </w:p>
    <w:p>
      <w:pPr>
        <w:adjustRightInd w:val="0"/>
        <w:snapToGrid w:val="0"/>
        <w:spacing w:line="440" w:lineRule="exact"/>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lang w:val="en-US" w:eastAsia="zh-CN"/>
        </w:rPr>
        <w:t>4.1</w:t>
      </w:r>
      <w:r>
        <w:rPr>
          <w:rFonts w:hint="eastAsia" w:ascii="新宋体" w:hAnsi="新宋体" w:eastAsia="新宋体"/>
          <w:color w:val="auto"/>
          <w:sz w:val="24"/>
          <w:highlight w:val="none"/>
        </w:rPr>
        <w:t>不同投标人的投标文件由同一单位或者个人编制；</w:t>
      </w:r>
    </w:p>
    <w:p>
      <w:pPr>
        <w:adjustRightInd w:val="0"/>
        <w:snapToGrid w:val="0"/>
        <w:spacing w:line="440" w:lineRule="exact"/>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lang w:val="en-US" w:eastAsia="zh-CN"/>
        </w:rPr>
        <w:t>4.2</w:t>
      </w:r>
      <w:r>
        <w:rPr>
          <w:rFonts w:hint="eastAsia" w:ascii="新宋体" w:hAnsi="新宋体" w:eastAsia="新宋体"/>
          <w:color w:val="auto"/>
          <w:sz w:val="24"/>
          <w:highlight w:val="none"/>
        </w:rPr>
        <w:t>不同投标人委托同一单位或者个人办理投标事宜；</w:t>
      </w:r>
    </w:p>
    <w:p>
      <w:pPr>
        <w:adjustRightInd w:val="0"/>
        <w:snapToGrid w:val="0"/>
        <w:spacing w:line="440" w:lineRule="exact"/>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lang w:val="en-US" w:eastAsia="zh-CN"/>
        </w:rPr>
        <w:t>4.3</w:t>
      </w:r>
      <w:r>
        <w:rPr>
          <w:rFonts w:hint="eastAsia" w:ascii="新宋体" w:hAnsi="新宋体" w:eastAsia="新宋体"/>
          <w:color w:val="auto"/>
          <w:sz w:val="24"/>
          <w:highlight w:val="none"/>
        </w:rPr>
        <w:t>不同投标人的投标文件载明的项目管理成员或者联系人员为同一人；</w:t>
      </w:r>
    </w:p>
    <w:p>
      <w:pPr>
        <w:adjustRightInd w:val="0"/>
        <w:snapToGrid w:val="0"/>
        <w:spacing w:line="440" w:lineRule="exact"/>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lang w:val="en-US" w:eastAsia="zh-CN"/>
        </w:rPr>
        <w:t>4.4</w:t>
      </w:r>
      <w:r>
        <w:rPr>
          <w:rFonts w:hint="eastAsia" w:ascii="新宋体" w:hAnsi="新宋体" w:eastAsia="新宋体"/>
          <w:color w:val="auto"/>
          <w:sz w:val="24"/>
          <w:highlight w:val="none"/>
        </w:rPr>
        <w:t>不同投标人的投标文件异常一致或者投标报价呈规律性差异；</w:t>
      </w:r>
    </w:p>
    <w:p>
      <w:pPr>
        <w:adjustRightInd w:val="0"/>
        <w:snapToGrid w:val="0"/>
        <w:spacing w:line="440" w:lineRule="exact"/>
        <w:ind w:firstLine="480" w:firstLineChars="200"/>
        <w:rPr>
          <w:rFonts w:hint="eastAsia" w:ascii="新宋体" w:hAnsi="新宋体" w:eastAsia="新宋体"/>
          <w:color w:val="auto"/>
          <w:sz w:val="24"/>
          <w:highlight w:val="none"/>
          <w:lang w:eastAsia="zh-CN"/>
        </w:rPr>
      </w:pPr>
      <w:r>
        <w:rPr>
          <w:rFonts w:hint="eastAsia" w:ascii="新宋体" w:hAnsi="新宋体" w:eastAsia="新宋体"/>
          <w:color w:val="auto"/>
          <w:sz w:val="24"/>
          <w:highlight w:val="none"/>
          <w:lang w:val="en-US" w:eastAsia="zh-CN"/>
        </w:rPr>
        <w:t>4.5</w:t>
      </w:r>
      <w:r>
        <w:rPr>
          <w:rFonts w:hint="eastAsia" w:ascii="新宋体" w:hAnsi="新宋体" w:eastAsia="新宋体"/>
          <w:color w:val="auto"/>
          <w:sz w:val="24"/>
          <w:highlight w:val="none"/>
        </w:rPr>
        <w:t>不同投标人的投标文件相互混装</w:t>
      </w:r>
      <w:r>
        <w:rPr>
          <w:rFonts w:hint="eastAsia" w:ascii="新宋体" w:hAnsi="新宋体" w:eastAsia="新宋体"/>
          <w:color w:val="auto"/>
          <w:sz w:val="24"/>
          <w:highlight w:val="none"/>
          <w:lang w:eastAsia="zh-CN"/>
        </w:rPr>
        <w:t>。</w:t>
      </w:r>
    </w:p>
    <w:p>
      <w:pPr>
        <w:spacing w:line="440" w:lineRule="exact"/>
        <w:ind w:firstLine="482" w:firstLineChars="200"/>
        <w:rPr>
          <w:rFonts w:hint="eastAsia" w:ascii="新宋体" w:hAnsi="新宋体" w:eastAsia="新宋体"/>
          <w:b/>
          <w:color w:val="auto"/>
          <w:kern w:val="0"/>
          <w:sz w:val="24"/>
          <w:highlight w:val="none"/>
        </w:rPr>
      </w:pPr>
      <w:r>
        <w:rPr>
          <w:rFonts w:hint="eastAsia" w:ascii="新宋体" w:hAnsi="新宋体" w:eastAsia="新宋体"/>
          <w:b/>
          <w:color w:val="auto"/>
          <w:kern w:val="0"/>
          <w:sz w:val="24"/>
          <w:highlight w:val="none"/>
        </w:rPr>
        <w:t>5.其他违反法律法规的情况。</w:t>
      </w:r>
    </w:p>
    <w:p>
      <w:pPr>
        <w:spacing w:line="440" w:lineRule="exact"/>
        <w:ind w:firstLine="482" w:firstLineChars="200"/>
        <w:rPr>
          <w:rFonts w:hint="eastAsia" w:ascii="新宋体" w:hAnsi="新宋体" w:eastAsia="新宋体"/>
          <w:b/>
          <w:color w:val="auto"/>
          <w:kern w:val="0"/>
          <w:sz w:val="24"/>
          <w:highlight w:val="none"/>
        </w:rPr>
      </w:pPr>
      <w:r>
        <w:rPr>
          <w:rFonts w:hint="eastAsia" w:ascii="新宋体" w:hAnsi="新宋体" w:eastAsia="新宋体"/>
          <w:b/>
          <w:color w:val="auto"/>
          <w:kern w:val="0"/>
          <w:sz w:val="24"/>
          <w:highlight w:val="none"/>
        </w:rPr>
        <w:t>6.评标过程中，非上述所罗列的情况，不得以无效标处理。</w:t>
      </w:r>
    </w:p>
    <w:p>
      <w:pPr>
        <w:spacing w:line="460" w:lineRule="exact"/>
        <w:ind w:firstLine="482" w:firstLineChars="200"/>
        <w:rPr>
          <w:rFonts w:ascii="新宋体" w:hAnsi="新宋体" w:eastAsia="新宋体"/>
          <w:b/>
          <w:kern w:val="0"/>
          <w:sz w:val="24"/>
        </w:rPr>
      </w:pPr>
    </w:p>
    <w:p>
      <w:pPr>
        <w:spacing w:line="460" w:lineRule="exact"/>
        <w:ind w:firstLine="480" w:firstLineChars="200"/>
        <w:rPr>
          <w:rFonts w:ascii="新宋体" w:hAnsi="新宋体" w:eastAsia="新宋体"/>
          <w:kern w:val="0"/>
          <w:sz w:val="24"/>
        </w:rPr>
      </w:pPr>
    </w:p>
    <w:p>
      <w:pPr>
        <w:pStyle w:val="3"/>
        <w:spacing w:before="0" w:after="0" w:line="360" w:lineRule="auto"/>
        <w:jc w:val="center"/>
        <w:rPr>
          <w:rFonts w:ascii="新宋体" w:hAnsi="新宋体" w:eastAsia="新宋体"/>
          <w:sz w:val="36"/>
        </w:rPr>
      </w:pPr>
      <w:r>
        <w:rPr>
          <w:rFonts w:hint="eastAsia" w:ascii="新宋体" w:hAnsi="新宋体" w:eastAsia="新宋体"/>
          <w:sz w:val="24"/>
        </w:rPr>
        <w:br w:type="page"/>
      </w:r>
      <w:bookmarkStart w:id="86" w:name="_Toc1718"/>
      <w:bookmarkStart w:id="87" w:name="_Toc453144918"/>
      <w:bookmarkStart w:id="88" w:name="_Toc274303258"/>
      <w:bookmarkStart w:id="89" w:name="_Toc213038697"/>
      <w:bookmarkStart w:id="90" w:name="_Toc238878128"/>
      <w:r>
        <w:rPr>
          <w:rFonts w:hint="eastAsia" w:ascii="新宋体" w:hAnsi="新宋体" w:eastAsia="新宋体"/>
          <w:sz w:val="36"/>
          <w:szCs w:val="36"/>
        </w:rPr>
        <w:t>第六章 评标办法</w:t>
      </w:r>
      <w:bookmarkEnd w:id="86"/>
      <w:bookmarkEnd w:id="87"/>
    </w:p>
    <w:bookmarkEnd w:id="88"/>
    <w:bookmarkEnd w:id="89"/>
    <w:bookmarkEnd w:id="90"/>
    <w:p>
      <w:pPr>
        <w:pStyle w:val="26"/>
        <w:spacing w:line="440" w:lineRule="exact"/>
        <w:ind w:firstLine="480" w:firstLineChars="200"/>
        <w:rPr>
          <w:rFonts w:hint="eastAsia" w:ascii="新宋体" w:hAnsi="新宋体" w:eastAsia="新宋体"/>
          <w:color w:val="auto"/>
          <w:sz w:val="24"/>
          <w:highlight w:val="none"/>
        </w:rPr>
      </w:pPr>
      <w:bookmarkStart w:id="91" w:name="_Toc274303257"/>
      <w:bookmarkStart w:id="92" w:name="_Toc453144919"/>
      <w:r>
        <w:rPr>
          <w:rFonts w:hint="eastAsia" w:ascii="新宋体" w:hAnsi="新宋体" w:eastAsia="新宋体"/>
          <w:color w:val="auto"/>
          <w:sz w:val="24"/>
          <w:highlight w:val="none"/>
        </w:rPr>
        <w:t>根据《中华人民共和国政府采购法》及相关法律的有关规定，为更好地做到公开、公平、公正，结合本次招标的特点，特制定本评标办法，本项目的评标办法为综合评分法。</w:t>
      </w:r>
    </w:p>
    <w:p>
      <w:pPr>
        <w:pStyle w:val="26"/>
        <w:spacing w:line="440" w:lineRule="exact"/>
        <w:ind w:firstLine="482" w:firstLineChars="200"/>
        <w:rPr>
          <w:rFonts w:hint="eastAsia" w:ascii="新宋体" w:hAnsi="新宋体" w:eastAsia="新宋体"/>
          <w:b/>
          <w:color w:val="auto"/>
          <w:sz w:val="24"/>
          <w:highlight w:val="none"/>
        </w:rPr>
      </w:pPr>
      <w:r>
        <w:rPr>
          <w:rFonts w:hint="eastAsia" w:ascii="新宋体" w:hAnsi="新宋体" w:eastAsia="新宋体"/>
          <w:b/>
          <w:color w:val="auto"/>
          <w:sz w:val="24"/>
          <w:highlight w:val="none"/>
        </w:rPr>
        <w:t>一、评审程序</w:t>
      </w:r>
    </w:p>
    <w:p>
      <w:pPr>
        <w:pStyle w:val="26"/>
        <w:spacing w:line="440" w:lineRule="exact"/>
        <w:ind w:firstLine="480" w:firstLineChars="200"/>
        <w:rPr>
          <w:rFonts w:hint="eastAsia" w:ascii="新宋体" w:hAnsi="新宋体" w:eastAsia="宋体"/>
          <w:b/>
          <w:bCs/>
          <w:color w:val="auto"/>
          <w:sz w:val="24"/>
          <w:highlight w:val="none"/>
          <w:lang w:val="en-US" w:eastAsia="zh-CN"/>
        </w:rPr>
      </w:pPr>
      <w:r>
        <w:rPr>
          <w:rFonts w:hint="eastAsia" w:ascii="新宋体" w:hAnsi="新宋体" w:eastAsia="新宋体"/>
          <w:color w:val="auto"/>
          <w:sz w:val="24"/>
          <w:highlight w:val="none"/>
        </w:rPr>
        <w:t>评标委员会以开标、评标、询标情况为基本依据，按照招标文件的规定，</w:t>
      </w:r>
      <w:r>
        <w:rPr>
          <w:rFonts w:hint="eastAsia" w:hAnsi="宋体"/>
          <w:color w:val="auto"/>
          <w:sz w:val="24"/>
          <w:szCs w:val="24"/>
        </w:rPr>
        <w:t>对各投标人的投标文件按商务技术部分和报价部分顺序进行分析、评议，具体按以下程序进行评审</w:t>
      </w:r>
      <w:r>
        <w:rPr>
          <w:rFonts w:hint="eastAsia" w:hAnsi="宋体"/>
          <w:color w:val="auto"/>
          <w:sz w:val="24"/>
          <w:szCs w:val="24"/>
          <w:lang w:eastAsia="zh-CN"/>
        </w:rPr>
        <w:t>。</w:t>
      </w:r>
    </w:p>
    <w:bookmarkEnd w:id="91"/>
    <w:p>
      <w:pPr>
        <w:pStyle w:val="26"/>
        <w:spacing w:line="440" w:lineRule="exact"/>
        <w:ind w:firstLine="480" w:firstLineChars="200"/>
        <w:rPr>
          <w:rFonts w:hint="eastAsia" w:ascii="新宋体" w:hAnsi="新宋体" w:eastAsia="新宋体"/>
          <w:color w:val="auto"/>
          <w:sz w:val="24"/>
          <w:highlight w:val="none"/>
        </w:rPr>
      </w:pPr>
      <w:bookmarkStart w:id="93" w:name="_Toc330474791"/>
      <w:bookmarkStart w:id="94" w:name="_Toc269969080"/>
      <w:bookmarkStart w:id="95" w:name="_Toc295815145"/>
      <w:bookmarkStart w:id="96" w:name="_Toc362250710"/>
      <w:bookmarkStart w:id="97" w:name="_Toc358884475"/>
      <w:bookmarkStart w:id="98" w:name="_Toc323024194"/>
      <w:r>
        <w:rPr>
          <w:rFonts w:hint="eastAsia" w:ascii="新宋体" w:hAnsi="新宋体" w:eastAsia="新宋体"/>
          <w:color w:val="auto"/>
          <w:sz w:val="24"/>
          <w:highlight w:val="none"/>
        </w:rPr>
        <w:t>（一）对通过资格性审查合格的投标人的商务技术响应文件进行符合性审查。</w:t>
      </w:r>
    </w:p>
    <w:p>
      <w:pPr>
        <w:pStyle w:val="26"/>
        <w:spacing w:line="440" w:lineRule="exact"/>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rPr>
        <w:t>（二）对通过符合性审查有效的投标人的商务技术响应文件进行技术评分（详见三、评分细则）。</w:t>
      </w:r>
    </w:p>
    <w:p>
      <w:pPr>
        <w:pStyle w:val="26"/>
        <w:spacing w:line="440" w:lineRule="exact"/>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rPr>
        <w:t>（三）上述投标人的评分结束后，评标委员会对上述投标人的报价文件进行评审；评标委员会认为投标人的报价明显低于其他通过符合性审查投标人的报价，有可能影响服务质量或者不能诚信履约的，</w:t>
      </w:r>
      <w:r>
        <w:rPr>
          <w:rFonts w:hint="eastAsia" w:ascii="新宋体" w:hAnsi="新宋体" w:eastAsia="新宋体" w:cs="Times New Roman"/>
          <w:i/>
          <w:color w:val="auto"/>
          <w:sz w:val="24"/>
          <w:highlight w:val="none"/>
        </w:rPr>
        <w:t>要求其通过“政采云”在规定的时间内提供CA签章的材料</w:t>
      </w:r>
      <w:r>
        <w:rPr>
          <w:rFonts w:hint="eastAsia" w:ascii="新宋体" w:hAnsi="新宋体" w:eastAsia="新宋体"/>
          <w:color w:val="auto"/>
          <w:sz w:val="24"/>
          <w:highlight w:val="none"/>
        </w:rPr>
        <w:t>，必要时提交相关证明材料；投标人不能证明其报价合理性的，评标委员会应当将其作为无效投标处理。</w:t>
      </w:r>
    </w:p>
    <w:p>
      <w:pPr>
        <w:pStyle w:val="26"/>
        <w:spacing w:line="440" w:lineRule="exact"/>
        <w:ind w:firstLine="480" w:firstLineChars="200"/>
        <w:rPr>
          <w:rFonts w:hint="eastAsia" w:ascii="新宋体" w:hAnsi="新宋体" w:eastAsia="新宋体"/>
          <w:color w:val="auto"/>
          <w:sz w:val="24"/>
          <w:highlight w:val="none"/>
        </w:rPr>
      </w:pPr>
      <w:r>
        <w:rPr>
          <w:rFonts w:hint="eastAsia" w:ascii="新宋体" w:hAnsi="新宋体" w:eastAsia="新宋体"/>
          <w:color w:val="auto"/>
          <w:sz w:val="24"/>
          <w:highlight w:val="none"/>
        </w:rPr>
        <w:t>（四）对通过报价评审有效的投标人</w:t>
      </w:r>
      <w:r>
        <w:rPr>
          <w:rFonts w:hint="eastAsia" w:ascii="新宋体" w:hAnsi="新宋体" w:eastAsia="新宋体"/>
          <w:color w:val="auto"/>
          <w:sz w:val="24"/>
          <w:highlight w:val="none"/>
          <w:lang w:eastAsia="zh-CN"/>
        </w:rPr>
        <w:t>，</w:t>
      </w:r>
      <w:r>
        <w:rPr>
          <w:rFonts w:hint="eastAsia" w:ascii="新宋体" w:hAnsi="新宋体" w:eastAsia="新宋体"/>
          <w:color w:val="auto"/>
          <w:sz w:val="24"/>
          <w:highlight w:val="none"/>
        </w:rPr>
        <w:t>由“政采云”计算出其报价分及总得分，并由评标委员会进行确认。</w:t>
      </w:r>
    </w:p>
    <w:p>
      <w:pPr>
        <w:pStyle w:val="26"/>
        <w:spacing w:line="440" w:lineRule="exact"/>
        <w:ind w:firstLine="480" w:firstLineChars="200"/>
        <w:rPr>
          <w:rFonts w:hint="eastAsia" w:ascii="新宋体" w:hAnsi="新宋体" w:eastAsia="新宋体"/>
          <w:color w:val="auto"/>
          <w:sz w:val="24"/>
          <w:highlight w:val="none"/>
          <w:lang w:eastAsia="zh-CN"/>
        </w:rPr>
      </w:pPr>
      <w:r>
        <w:rPr>
          <w:rFonts w:hint="eastAsia" w:ascii="新宋体" w:hAnsi="新宋体" w:eastAsia="新宋体"/>
          <w:color w:val="auto"/>
          <w:sz w:val="24"/>
          <w:highlight w:val="none"/>
        </w:rPr>
        <w:t>（五）确定中标</w:t>
      </w:r>
      <w:r>
        <w:rPr>
          <w:rFonts w:hint="eastAsia" w:ascii="新宋体" w:hAnsi="新宋体" w:eastAsia="新宋体"/>
          <w:color w:val="auto"/>
          <w:kern w:val="0"/>
          <w:sz w:val="24"/>
          <w:highlight w:val="none"/>
        </w:rPr>
        <w:t>候选</w:t>
      </w:r>
      <w:r>
        <w:rPr>
          <w:rFonts w:hint="eastAsia" w:ascii="新宋体" w:hAnsi="新宋体" w:eastAsia="新宋体"/>
          <w:color w:val="auto"/>
          <w:sz w:val="24"/>
          <w:highlight w:val="none"/>
        </w:rPr>
        <w:t>人</w:t>
      </w:r>
      <w:r>
        <w:rPr>
          <w:rFonts w:hint="eastAsia" w:ascii="新宋体" w:hAnsi="新宋体" w:eastAsia="新宋体"/>
          <w:color w:val="auto"/>
          <w:sz w:val="24"/>
          <w:highlight w:val="none"/>
          <w:lang w:eastAsia="zh-CN"/>
        </w:rPr>
        <w:t>：</w:t>
      </w:r>
    </w:p>
    <w:p>
      <w:pPr>
        <w:spacing w:line="440" w:lineRule="exact"/>
        <w:ind w:firstLine="480" w:firstLineChars="200"/>
        <w:rPr>
          <w:rFonts w:hint="eastAsia" w:ascii="新宋体" w:hAnsi="新宋体" w:eastAsia="新宋体"/>
          <w:color w:val="auto"/>
          <w:kern w:val="0"/>
          <w:sz w:val="24"/>
          <w:highlight w:val="none"/>
          <w:lang w:eastAsia="zh-CN"/>
        </w:rPr>
      </w:pPr>
      <w:r>
        <w:rPr>
          <w:rFonts w:hint="eastAsia" w:ascii="新宋体" w:hAnsi="新宋体" w:eastAsia="新宋体"/>
          <w:color w:val="auto"/>
          <w:kern w:val="0"/>
          <w:sz w:val="24"/>
          <w:highlight w:val="none"/>
        </w:rPr>
        <w:t>1.首先，评标委员会按综合得分从高到低顺序进行排列；得分相同的，按投标报价由低到高顺序排列；得分且投标报价相同的，按商务技术分从高到低顺序排列；商务技术分也相同的，投标报价相同的由采购人代表采用公共资源交易中心抽取程序随机确定</w:t>
      </w:r>
      <w:r>
        <w:rPr>
          <w:rFonts w:hint="eastAsia" w:ascii="新宋体" w:hAnsi="新宋体" w:eastAsia="新宋体"/>
          <w:color w:val="auto"/>
          <w:kern w:val="0"/>
          <w:sz w:val="24"/>
          <w:highlight w:val="none"/>
          <w:lang w:eastAsia="zh-CN"/>
        </w:rPr>
        <w:t>；</w:t>
      </w:r>
    </w:p>
    <w:p>
      <w:pPr>
        <w:spacing w:line="440" w:lineRule="exact"/>
        <w:ind w:firstLine="480" w:firstLineChars="200"/>
        <w:rPr>
          <w:rFonts w:hint="eastAsia" w:ascii="新宋体" w:hAnsi="新宋体" w:eastAsia="新宋体"/>
          <w:color w:val="auto"/>
          <w:kern w:val="0"/>
          <w:sz w:val="24"/>
          <w:highlight w:val="none"/>
        </w:rPr>
      </w:pPr>
      <w:r>
        <w:rPr>
          <w:rFonts w:hint="eastAsia" w:ascii="新宋体" w:hAnsi="新宋体" w:eastAsia="新宋体"/>
          <w:color w:val="auto"/>
          <w:kern w:val="0"/>
          <w:sz w:val="24"/>
          <w:highlight w:val="none"/>
        </w:rPr>
        <w:t>2.其次，评标委员会直接确定排名第一的投标人为中标候选人。</w:t>
      </w:r>
    </w:p>
    <w:p>
      <w:pPr>
        <w:spacing w:line="440" w:lineRule="exact"/>
        <w:ind w:firstLine="480" w:firstLineChars="200"/>
        <w:rPr>
          <w:rFonts w:hint="eastAsia" w:ascii="新宋体" w:hAnsi="新宋体" w:eastAsia="新宋体"/>
          <w:color w:val="auto"/>
          <w:sz w:val="24"/>
          <w:highlight w:val="none"/>
          <w:lang w:eastAsia="zh-CN"/>
        </w:rPr>
      </w:pPr>
      <w:r>
        <w:rPr>
          <w:rFonts w:hint="eastAsia" w:ascii="新宋体" w:hAnsi="新宋体" w:eastAsia="新宋体"/>
          <w:color w:val="auto"/>
          <w:sz w:val="24"/>
          <w:highlight w:val="none"/>
        </w:rPr>
        <w:t>（六）完成评标报告</w:t>
      </w:r>
    </w:p>
    <w:p>
      <w:pPr>
        <w:spacing w:line="440" w:lineRule="exact"/>
        <w:ind w:firstLine="480" w:firstLineChars="200"/>
        <w:rPr>
          <w:rFonts w:hint="eastAsia" w:ascii="新宋体" w:hAnsi="新宋体" w:eastAsia="新宋体"/>
          <w:color w:val="auto"/>
          <w:sz w:val="24"/>
          <w:highlight w:val="none"/>
        </w:rPr>
      </w:pPr>
      <w:r>
        <w:rPr>
          <w:rFonts w:hint="eastAsia" w:ascii="新宋体" w:hAnsi="新宋体" w:eastAsia="新宋体"/>
          <w:color w:val="auto"/>
          <w:kern w:val="0"/>
          <w:sz w:val="24"/>
          <w:highlight w:val="none"/>
        </w:rPr>
        <w:t>评标委员会根据评审相关情况</w:t>
      </w:r>
      <w:r>
        <w:rPr>
          <w:rFonts w:hint="eastAsia" w:ascii="新宋体" w:hAnsi="新宋体" w:eastAsia="新宋体"/>
          <w:color w:val="auto"/>
          <w:kern w:val="0"/>
          <w:sz w:val="24"/>
          <w:highlight w:val="none"/>
          <w:lang w:eastAsia="zh-CN"/>
        </w:rPr>
        <w:t>做出</w:t>
      </w:r>
      <w:r>
        <w:rPr>
          <w:rFonts w:hint="eastAsia" w:ascii="新宋体" w:hAnsi="新宋体" w:eastAsia="新宋体"/>
          <w:color w:val="auto"/>
          <w:kern w:val="0"/>
          <w:sz w:val="24"/>
          <w:highlight w:val="none"/>
        </w:rPr>
        <w:t>评标报告</w:t>
      </w:r>
      <w:r>
        <w:rPr>
          <w:rFonts w:hint="eastAsia" w:ascii="新宋体" w:hAnsi="新宋体" w:eastAsia="新宋体"/>
          <w:color w:val="auto"/>
          <w:sz w:val="24"/>
          <w:highlight w:val="none"/>
        </w:rPr>
        <w:t>。</w:t>
      </w:r>
    </w:p>
    <w:p>
      <w:pPr>
        <w:spacing w:line="440" w:lineRule="exact"/>
        <w:rPr>
          <w:rFonts w:hint="eastAsia" w:ascii="新宋体" w:hAnsi="新宋体" w:eastAsia="新宋体"/>
          <w:b/>
          <w:color w:val="auto"/>
          <w:sz w:val="24"/>
          <w:highlight w:val="none"/>
        </w:rPr>
      </w:pPr>
      <w:r>
        <w:rPr>
          <w:rFonts w:hint="eastAsia" w:ascii="新宋体" w:hAnsi="新宋体" w:eastAsia="新宋体"/>
          <w:b/>
          <w:color w:val="auto"/>
          <w:sz w:val="24"/>
          <w:highlight w:val="none"/>
        </w:rPr>
        <w:t>二、确定的中标人放弃中标等情况的处理</w:t>
      </w:r>
    </w:p>
    <w:bookmarkEnd w:id="93"/>
    <w:bookmarkEnd w:id="94"/>
    <w:bookmarkEnd w:id="95"/>
    <w:bookmarkEnd w:id="96"/>
    <w:bookmarkEnd w:id="97"/>
    <w:bookmarkEnd w:id="98"/>
    <w:p>
      <w:pPr>
        <w:spacing w:line="440" w:lineRule="exact"/>
        <w:rPr>
          <w:rFonts w:hint="eastAsia" w:ascii="新宋体" w:hAnsi="新宋体" w:eastAsia="新宋体"/>
          <w:b/>
          <w:color w:val="auto"/>
          <w:kern w:val="0"/>
          <w:sz w:val="24"/>
          <w:highlight w:val="none"/>
        </w:rPr>
      </w:pPr>
      <w:r>
        <w:rPr>
          <w:rFonts w:hint="eastAsia" w:ascii="新宋体" w:hAnsi="新宋体" w:eastAsia="新宋体"/>
          <w:color w:val="auto"/>
          <w:kern w:val="0"/>
          <w:sz w:val="24"/>
          <w:highlight w:val="none"/>
        </w:rPr>
        <w:t>当确定的中标人放弃中标，因不可抗力提出不能履行合同，或者质疑投诉成立，取消中标人资格的，都不再确定其余投标人作为中标人</w:t>
      </w:r>
      <w:r>
        <w:rPr>
          <w:rFonts w:hint="eastAsia" w:ascii="新宋体" w:hAnsi="新宋体" w:eastAsia="新宋体"/>
          <w:b/>
          <w:color w:val="auto"/>
          <w:kern w:val="0"/>
          <w:sz w:val="24"/>
          <w:highlight w:val="none"/>
        </w:rPr>
        <w:t>。</w:t>
      </w:r>
    </w:p>
    <w:p>
      <w:pPr>
        <w:numPr>
          <w:ilvl w:val="0"/>
          <w:numId w:val="1"/>
        </w:numPr>
        <w:spacing w:line="440" w:lineRule="exact"/>
        <w:ind w:left="0" w:leftChars="0" w:firstLine="0" w:firstLineChars="0"/>
        <w:rPr>
          <w:rFonts w:hint="eastAsia" w:ascii="新宋体" w:hAnsi="新宋体" w:eastAsia="新宋体"/>
          <w:b/>
          <w:kern w:val="0"/>
          <w:sz w:val="24"/>
        </w:rPr>
      </w:pPr>
      <w:r>
        <w:rPr>
          <w:rFonts w:hint="eastAsia" w:ascii="新宋体" w:hAnsi="新宋体" w:eastAsia="新宋体"/>
          <w:b/>
          <w:kern w:val="0"/>
          <w:sz w:val="24"/>
        </w:rPr>
        <w:t>评分细则</w:t>
      </w:r>
    </w:p>
    <w:tbl>
      <w:tblPr>
        <w:tblStyle w:val="52"/>
        <w:tblW w:w="9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705"/>
        <w:gridCol w:w="645"/>
        <w:gridCol w:w="6285"/>
        <w:gridCol w:w="666"/>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62" w:type="dxa"/>
            <w:noWrap/>
            <w:vAlign w:val="center"/>
          </w:tcPr>
          <w:p>
            <w:pPr>
              <w:jc w:val="center"/>
              <w:rPr>
                <w:b/>
                <w:sz w:val="21"/>
                <w:szCs w:val="21"/>
              </w:rPr>
            </w:pPr>
            <w:r>
              <w:rPr>
                <w:b/>
                <w:sz w:val="21"/>
                <w:szCs w:val="21"/>
              </w:rPr>
              <w:t>序号</w:t>
            </w:r>
          </w:p>
        </w:tc>
        <w:tc>
          <w:tcPr>
            <w:tcW w:w="1350" w:type="dxa"/>
            <w:gridSpan w:val="2"/>
            <w:noWrap/>
          </w:tcPr>
          <w:p>
            <w:pPr>
              <w:jc w:val="center"/>
              <w:rPr>
                <w:b/>
                <w:sz w:val="21"/>
                <w:szCs w:val="21"/>
              </w:rPr>
            </w:pPr>
            <w:r>
              <w:rPr>
                <w:b/>
                <w:sz w:val="21"/>
                <w:szCs w:val="21"/>
              </w:rPr>
              <w:t>评分内容</w:t>
            </w:r>
          </w:p>
        </w:tc>
        <w:tc>
          <w:tcPr>
            <w:tcW w:w="6285" w:type="dxa"/>
            <w:noWrap/>
          </w:tcPr>
          <w:p>
            <w:pPr>
              <w:jc w:val="center"/>
              <w:rPr>
                <w:b/>
                <w:sz w:val="21"/>
                <w:szCs w:val="21"/>
              </w:rPr>
            </w:pPr>
            <w:r>
              <w:rPr>
                <w:b/>
                <w:sz w:val="21"/>
                <w:szCs w:val="21"/>
              </w:rPr>
              <w:t>评分细则</w:t>
            </w:r>
          </w:p>
        </w:tc>
        <w:tc>
          <w:tcPr>
            <w:tcW w:w="666" w:type="dxa"/>
            <w:noWrap/>
            <w:vAlign w:val="center"/>
          </w:tcPr>
          <w:p>
            <w:pPr>
              <w:jc w:val="center"/>
              <w:rPr>
                <w:b/>
                <w:sz w:val="21"/>
                <w:szCs w:val="21"/>
              </w:rPr>
            </w:pPr>
            <w:r>
              <w:rPr>
                <w:b/>
                <w:sz w:val="21"/>
                <w:szCs w:val="21"/>
              </w:rPr>
              <w:t>分值</w:t>
            </w:r>
          </w:p>
        </w:tc>
        <w:tc>
          <w:tcPr>
            <w:tcW w:w="880" w:type="dxa"/>
            <w:noWrap/>
            <w:vAlign w:val="center"/>
          </w:tcPr>
          <w:p>
            <w:pPr>
              <w:jc w:val="center"/>
              <w:rPr>
                <w:b/>
                <w:sz w:val="21"/>
                <w:szCs w:val="21"/>
              </w:rPr>
            </w:pPr>
            <w:r>
              <w:rPr>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62" w:type="dxa"/>
            <w:noWrap/>
            <w:vAlign w:val="center"/>
          </w:tcPr>
          <w:p>
            <w:pPr>
              <w:jc w:val="center"/>
              <w:rPr>
                <w:sz w:val="21"/>
                <w:szCs w:val="21"/>
              </w:rPr>
            </w:pPr>
            <w:r>
              <w:rPr>
                <w:sz w:val="21"/>
                <w:szCs w:val="21"/>
              </w:rPr>
              <w:t>一</w:t>
            </w:r>
          </w:p>
        </w:tc>
        <w:tc>
          <w:tcPr>
            <w:tcW w:w="1350" w:type="dxa"/>
            <w:gridSpan w:val="2"/>
            <w:noWrap/>
            <w:vAlign w:val="center"/>
          </w:tcPr>
          <w:p>
            <w:pPr>
              <w:jc w:val="center"/>
              <w:rPr>
                <w:sz w:val="21"/>
                <w:szCs w:val="21"/>
              </w:rPr>
            </w:pPr>
            <w:r>
              <w:rPr>
                <w:sz w:val="21"/>
                <w:szCs w:val="21"/>
              </w:rPr>
              <w:t>技术分</w:t>
            </w:r>
          </w:p>
        </w:tc>
        <w:tc>
          <w:tcPr>
            <w:tcW w:w="6285" w:type="dxa"/>
            <w:noWrap/>
          </w:tcPr>
          <w:p>
            <w:pPr>
              <w:rPr>
                <w:sz w:val="21"/>
                <w:szCs w:val="21"/>
              </w:rPr>
            </w:pPr>
            <w:r>
              <w:rPr>
                <w:sz w:val="21"/>
                <w:szCs w:val="21"/>
              </w:rPr>
              <w:t>评标委员会根据评分细则，对各投标人的技术标进行书面审核和评论后，由各成员独立给分，打分时保留小数1位，每人一份评分表，并签名。在统计得分时，如果发现某一单项评分超过评分细则规定的分值范围，则该张评分表无效。投标人技术分的最终得分为评标委员会组成员的有效评分的算术平均值。计算结果保留小数2位(第三位四舍五入)。</w:t>
            </w:r>
          </w:p>
        </w:tc>
        <w:tc>
          <w:tcPr>
            <w:tcW w:w="666" w:type="dxa"/>
            <w:noWrap/>
            <w:vAlign w:val="center"/>
          </w:tcPr>
          <w:p>
            <w:pPr>
              <w:jc w:val="center"/>
              <w:rPr>
                <w:sz w:val="21"/>
                <w:szCs w:val="21"/>
              </w:rPr>
            </w:pPr>
            <w:r>
              <w:rPr>
                <w:sz w:val="21"/>
                <w:szCs w:val="21"/>
              </w:rPr>
              <w:t>70分</w:t>
            </w:r>
          </w:p>
        </w:tc>
        <w:tc>
          <w:tcPr>
            <w:tcW w:w="880" w:type="dxa"/>
            <w:noWrap/>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662" w:type="dxa"/>
            <w:noWrap/>
            <w:vAlign w:val="center"/>
          </w:tcPr>
          <w:p>
            <w:pPr>
              <w:jc w:val="center"/>
              <w:rPr>
                <w:sz w:val="21"/>
                <w:szCs w:val="21"/>
              </w:rPr>
            </w:pPr>
            <w:r>
              <w:rPr>
                <w:sz w:val="21"/>
                <w:szCs w:val="21"/>
              </w:rPr>
              <w:t>1</w:t>
            </w:r>
          </w:p>
        </w:tc>
        <w:tc>
          <w:tcPr>
            <w:tcW w:w="1350" w:type="dxa"/>
            <w:gridSpan w:val="2"/>
            <w:noWrap/>
            <w:vAlign w:val="center"/>
          </w:tcPr>
          <w:p>
            <w:pPr>
              <w:jc w:val="center"/>
              <w:rPr>
                <w:sz w:val="21"/>
                <w:szCs w:val="21"/>
              </w:rPr>
            </w:pPr>
            <w:r>
              <w:rPr>
                <w:sz w:val="21"/>
                <w:szCs w:val="21"/>
              </w:rPr>
              <w:t>业绩</w:t>
            </w:r>
          </w:p>
        </w:tc>
        <w:tc>
          <w:tcPr>
            <w:tcW w:w="6285" w:type="dxa"/>
            <w:noWrap/>
            <w:vAlign w:val="center"/>
          </w:tcPr>
          <w:p>
            <w:pPr>
              <w:rPr>
                <w:sz w:val="21"/>
                <w:szCs w:val="21"/>
              </w:rPr>
            </w:pPr>
            <w:r>
              <w:rPr>
                <w:sz w:val="21"/>
                <w:szCs w:val="21"/>
              </w:rPr>
              <w:t>投标方自20</w:t>
            </w:r>
            <w:r>
              <w:rPr>
                <w:rFonts w:hint="eastAsia"/>
                <w:sz w:val="21"/>
                <w:szCs w:val="21"/>
              </w:rPr>
              <w:t>2</w:t>
            </w:r>
            <w:r>
              <w:rPr>
                <w:rFonts w:hint="eastAsia"/>
                <w:sz w:val="21"/>
                <w:szCs w:val="21"/>
                <w:lang w:val="en-US" w:eastAsia="zh-CN"/>
              </w:rPr>
              <w:t>1</w:t>
            </w:r>
            <w:r>
              <w:rPr>
                <w:sz w:val="21"/>
                <w:szCs w:val="21"/>
              </w:rPr>
              <w:t>年01月01日以来（以合同签订日期为准）具备类似项目成功实施案例的，每提供1个案例得0.5分，最高得3.0分，投标文件</w:t>
            </w:r>
            <w:r>
              <w:rPr>
                <w:rFonts w:hint="eastAsia"/>
                <w:sz w:val="21"/>
                <w:szCs w:val="21"/>
              </w:rPr>
              <w:t>商务技术响应文件</w:t>
            </w:r>
            <w:r>
              <w:rPr>
                <w:sz w:val="21"/>
                <w:szCs w:val="21"/>
              </w:rPr>
              <w:t>标中提供合同及验收报告扫描件加盖投标单位电子签章，未提供或提供的内容不符合要求的不得分。</w:t>
            </w:r>
          </w:p>
        </w:tc>
        <w:tc>
          <w:tcPr>
            <w:tcW w:w="666" w:type="dxa"/>
            <w:noWrap/>
            <w:vAlign w:val="center"/>
          </w:tcPr>
          <w:p>
            <w:pPr>
              <w:pStyle w:val="26"/>
              <w:jc w:val="center"/>
              <w:rPr>
                <w:rFonts w:ascii="Times New Roman" w:hAnsi="Times New Roman" w:cs="Times New Roman"/>
              </w:rPr>
            </w:pPr>
            <w:r>
              <w:rPr>
                <w:rFonts w:ascii="Times New Roman" w:hAnsi="Times New Roman" w:cs="Times New Roman"/>
              </w:rPr>
              <w:t>0</w:t>
            </w:r>
            <w:r>
              <w:rPr>
                <w:rFonts w:hint="eastAsia" w:ascii="Times New Roman" w:hAnsi="Times New Roman" w:cs="Times New Roman"/>
              </w:rPr>
              <w:t>-</w:t>
            </w:r>
            <w:r>
              <w:rPr>
                <w:rFonts w:ascii="Times New Roman" w:hAnsi="Times New Roman" w:cs="Times New Roman"/>
              </w:rPr>
              <w:t>3</w:t>
            </w:r>
          </w:p>
        </w:tc>
        <w:tc>
          <w:tcPr>
            <w:tcW w:w="880" w:type="dxa"/>
            <w:noWrap/>
            <w:vAlign w:val="center"/>
          </w:tcPr>
          <w:p>
            <w:pPr>
              <w:jc w:val="center"/>
              <w:rPr>
                <w:sz w:val="21"/>
                <w:szCs w:val="21"/>
              </w:rPr>
            </w:pPr>
            <w:r>
              <w:rPr>
                <w:sz w:val="21"/>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62" w:type="dxa"/>
            <w:noWrap/>
            <w:vAlign w:val="center"/>
          </w:tcPr>
          <w:p>
            <w:pPr>
              <w:jc w:val="center"/>
              <w:rPr>
                <w:rFonts w:hint="eastAsia" w:eastAsia="宋体"/>
                <w:sz w:val="21"/>
                <w:szCs w:val="21"/>
                <w:lang w:eastAsia="zh-CN"/>
              </w:rPr>
            </w:pPr>
            <w:r>
              <w:rPr>
                <w:rFonts w:hint="eastAsia"/>
                <w:sz w:val="21"/>
                <w:szCs w:val="21"/>
                <w:lang w:val="en-US" w:eastAsia="zh-CN"/>
              </w:rPr>
              <w:t>2</w:t>
            </w:r>
          </w:p>
        </w:tc>
        <w:tc>
          <w:tcPr>
            <w:tcW w:w="1350" w:type="dxa"/>
            <w:gridSpan w:val="2"/>
            <w:noWrap/>
            <w:vAlign w:val="center"/>
          </w:tcPr>
          <w:p>
            <w:pPr>
              <w:jc w:val="center"/>
              <w:rPr>
                <w:sz w:val="21"/>
                <w:szCs w:val="21"/>
              </w:rPr>
            </w:pPr>
            <w:r>
              <w:rPr>
                <w:sz w:val="21"/>
                <w:szCs w:val="21"/>
              </w:rPr>
              <w:t>检测报告</w:t>
            </w:r>
          </w:p>
        </w:tc>
        <w:tc>
          <w:tcPr>
            <w:tcW w:w="6285" w:type="dxa"/>
            <w:noWrap/>
            <w:vAlign w:val="center"/>
          </w:tcPr>
          <w:p>
            <w:pPr>
              <w:rPr>
                <w:sz w:val="21"/>
                <w:szCs w:val="21"/>
              </w:rPr>
            </w:pPr>
            <w:r>
              <w:rPr>
                <w:sz w:val="21"/>
                <w:szCs w:val="21"/>
              </w:rPr>
              <w:t>根据投标方提供的与招标文件第三章“详细技术规范和功能要求”表格中所要求的</w:t>
            </w:r>
            <w:r>
              <w:rPr>
                <w:rFonts w:hint="eastAsia"/>
                <w:sz w:val="21"/>
                <w:szCs w:val="21"/>
                <w:lang w:val="en-US" w:eastAsia="zh-CN"/>
              </w:rPr>
              <w:t>六</w:t>
            </w:r>
            <w:r>
              <w:rPr>
                <w:sz w:val="21"/>
                <w:szCs w:val="21"/>
              </w:rPr>
              <w:t>项检测报告</w:t>
            </w:r>
            <w:r>
              <w:rPr>
                <w:rFonts w:hint="eastAsia"/>
                <w:sz w:val="21"/>
                <w:szCs w:val="21"/>
              </w:rPr>
              <w:t>内容</w:t>
            </w:r>
            <w:r>
              <w:rPr>
                <w:sz w:val="21"/>
                <w:szCs w:val="21"/>
              </w:rPr>
              <w:t>进行打分，每提供1份符合表格要求的报告得1分，最高得</w:t>
            </w:r>
            <w:r>
              <w:rPr>
                <w:rFonts w:hint="eastAsia"/>
                <w:sz w:val="21"/>
                <w:szCs w:val="21"/>
                <w:lang w:val="en-US" w:eastAsia="zh-CN"/>
              </w:rPr>
              <w:t>6</w:t>
            </w:r>
            <w:r>
              <w:rPr>
                <w:sz w:val="21"/>
                <w:szCs w:val="21"/>
              </w:rPr>
              <w:t>.0分。供应商针对其中一项检测报告，提供多份合格材料的，只认定其中一份合格。</w:t>
            </w:r>
          </w:p>
        </w:tc>
        <w:tc>
          <w:tcPr>
            <w:tcW w:w="666" w:type="dxa"/>
            <w:noWrap/>
            <w:vAlign w:val="center"/>
          </w:tcPr>
          <w:p>
            <w:pPr>
              <w:jc w:val="center"/>
              <w:rPr>
                <w:rFonts w:hint="eastAsia" w:eastAsia="宋体"/>
                <w:sz w:val="21"/>
                <w:szCs w:val="21"/>
                <w:lang w:eastAsia="zh-CN"/>
              </w:rPr>
            </w:pPr>
            <w:r>
              <w:rPr>
                <w:sz w:val="21"/>
                <w:szCs w:val="21"/>
              </w:rPr>
              <w:t>0-</w:t>
            </w:r>
            <w:r>
              <w:rPr>
                <w:rFonts w:hint="eastAsia"/>
                <w:sz w:val="21"/>
                <w:szCs w:val="21"/>
                <w:lang w:val="en-US" w:eastAsia="zh-CN"/>
              </w:rPr>
              <w:t>6</w:t>
            </w:r>
          </w:p>
        </w:tc>
        <w:tc>
          <w:tcPr>
            <w:tcW w:w="880" w:type="dxa"/>
            <w:noWrap/>
            <w:vAlign w:val="center"/>
          </w:tcPr>
          <w:p>
            <w:pPr>
              <w:jc w:val="center"/>
              <w:rPr>
                <w:sz w:val="21"/>
                <w:szCs w:val="21"/>
              </w:rPr>
            </w:pPr>
            <w:r>
              <w:rPr>
                <w:sz w:val="21"/>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62" w:type="dxa"/>
            <w:vMerge w:val="restart"/>
            <w:noWrap/>
            <w:vAlign w:val="center"/>
          </w:tcPr>
          <w:p>
            <w:pPr>
              <w:jc w:val="center"/>
              <w:rPr>
                <w:rFonts w:hint="eastAsia" w:eastAsia="宋体"/>
                <w:color w:val="auto"/>
                <w:sz w:val="21"/>
                <w:szCs w:val="21"/>
                <w:lang w:eastAsia="zh-CN"/>
              </w:rPr>
            </w:pPr>
            <w:r>
              <w:rPr>
                <w:rFonts w:hint="eastAsia"/>
                <w:color w:val="auto"/>
                <w:sz w:val="21"/>
                <w:szCs w:val="21"/>
                <w:lang w:val="en-US" w:eastAsia="zh-CN"/>
              </w:rPr>
              <w:t>3</w:t>
            </w:r>
          </w:p>
        </w:tc>
        <w:tc>
          <w:tcPr>
            <w:tcW w:w="1350" w:type="dxa"/>
            <w:gridSpan w:val="2"/>
            <w:vMerge w:val="restart"/>
            <w:noWrap/>
            <w:vAlign w:val="center"/>
          </w:tcPr>
          <w:p>
            <w:pPr>
              <w:jc w:val="center"/>
              <w:rPr>
                <w:color w:val="auto"/>
                <w:sz w:val="21"/>
                <w:szCs w:val="21"/>
              </w:rPr>
            </w:pPr>
            <w:r>
              <w:rPr>
                <w:color w:val="auto"/>
                <w:sz w:val="21"/>
                <w:szCs w:val="21"/>
              </w:rPr>
              <w:t>实施方案</w:t>
            </w:r>
          </w:p>
        </w:tc>
        <w:tc>
          <w:tcPr>
            <w:tcW w:w="6285" w:type="dxa"/>
            <w:noWrap/>
            <w:vAlign w:val="center"/>
          </w:tcPr>
          <w:p>
            <w:pPr>
              <w:rPr>
                <w:rFonts w:hint="eastAsia" w:eastAsia="宋体"/>
                <w:color w:val="auto"/>
                <w:sz w:val="21"/>
                <w:szCs w:val="21"/>
                <w:lang w:eastAsia="zh-CN"/>
              </w:rPr>
            </w:pPr>
            <w:r>
              <w:rPr>
                <w:rFonts w:hint="eastAsia" w:ascii="宋体" w:hAnsi="宋体" w:cs="宋体"/>
                <w:color w:val="auto"/>
              </w:rPr>
              <w:t>根据</w:t>
            </w:r>
            <w:r>
              <w:rPr>
                <w:color w:val="auto"/>
                <w:sz w:val="21"/>
                <w:szCs w:val="21"/>
              </w:rPr>
              <w:t>投标方提供的设备供货时间安排</w:t>
            </w:r>
            <w:r>
              <w:rPr>
                <w:rFonts w:hint="eastAsia" w:ascii="宋体" w:hAnsi="宋体" w:cs="宋体"/>
                <w:color w:val="auto"/>
              </w:rPr>
              <w:t>的合理性、科学性进行评分</w:t>
            </w:r>
            <w:r>
              <w:rPr>
                <w:rFonts w:hint="eastAsia" w:ascii="宋体" w:hAnsi="宋体" w:cs="宋体"/>
                <w:color w:val="auto"/>
                <w:lang w:eastAsia="zh-CN"/>
              </w:rPr>
              <w:t>。</w:t>
            </w:r>
          </w:p>
        </w:tc>
        <w:tc>
          <w:tcPr>
            <w:tcW w:w="666" w:type="dxa"/>
            <w:noWrap/>
            <w:vAlign w:val="center"/>
          </w:tcPr>
          <w:p>
            <w:pPr>
              <w:pStyle w:val="26"/>
              <w:jc w:val="center"/>
              <w:rPr>
                <w:rFonts w:ascii="Times New Roman" w:hAnsi="Times New Roman" w:cs="Times New Roman"/>
                <w:color w:val="auto"/>
              </w:rPr>
            </w:pPr>
            <w:r>
              <w:rPr>
                <w:rFonts w:hint="eastAsia" w:ascii="Times New Roman" w:hAnsi="Times New Roman" w:cs="Times New Roman"/>
                <w:color w:val="auto"/>
                <w:lang w:val="en-US" w:eastAsia="zh-CN"/>
              </w:rPr>
              <w:t>0-2</w:t>
            </w:r>
          </w:p>
        </w:tc>
        <w:tc>
          <w:tcPr>
            <w:tcW w:w="880" w:type="dxa"/>
            <w:noWrap/>
            <w:vAlign w:val="center"/>
          </w:tcPr>
          <w:p>
            <w:pPr>
              <w:jc w:val="center"/>
              <w:rPr>
                <w:color w:val="auto"/>
                <w:sz w:val="21"/>
                <w:szCs w:val="21"/>
              </w:rPr>
            </w:pPr>
            <w:r>
              <w:rPr>
                <w:color w:val="auto"/>
                <w:sz w:val="21"/>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62" w:type="dxa"/>
            <w:vMerge w:val="continue"/>
            <w:noWrap/>
            <w:vAlign w:val="center"/>
          </w:tcPr>
          <w:p>
            <w:pPr>
              <w:jc w:val="center"/>
              <w:rPr>
                <w:rFonts w:hint="eastAsia"/>
                <w:color w:val="auto"/>
                <w:sz w:val="21"/>
                <w:szCs w:val="21"/>
                <w:lang w:val="en-US" w:eastAsia="zh-CN"/>
              </w:rPr>
            </w:pPr>
          </w:p>
        </w:tc>
        <w:tc>
          <w:tcPr>
            <w:tcW w:w="1350" w:type="dxa"/>
            <w:gridSpan w:val="2"/>
            <w:vMerge w:val="continue"/>
            <w:noWrap/>
            <w:vAlign w:val="center"/>
          </w:tcPr>
          <w:p>
            <w:pPr>
              <w:jc w:val="center"/>
              <w:rPr>
                <w:color w:val="auto"/>
                <w:sz w:val="21"/>
                <w:szCs w:val="21"/>
              </w:rPr>
            </w:pPr>
          </w:p>
        </w:tc>
        <w:tc>
          <w:tcPr>
            <w:tcW w:w="6285" w:type="dxa"/>
            <w:noWrap/>
            <w:vAlign w:val="center"/>
          </w:tcPr>
          <w:p>
            <w:pPr>
              <w:rPr>
                <w:rFonts w:hint="eastAsia" w:eastAsia="宋体"/>
                <w:color w:val="auto"/>
                <w:sz w:val="21"/>
                <w:szCs w:val="21"/>
                <w:lang w:eastAsia="zh-CN"/>
              </w:rPr>
            </w:pPr>
            <w:r>
              <w:rPr>
                <w:rFonts w:hint="eastAsia" w:ascii="宋体" w:hAnsi="宋体" w:cs="宋体"/>
                <w:color w:val="auto"/>
              </w:rPr>
              <w:t>根据</w:t>
            </w:r>
            <w:r>
              <w:rPr>
                <w:color w:val="auto"/>
                <w:sz w:val="21"/>
                <w:szCs w:val="21"/>
              </w:rPr>
              <w:t>投标方提供的安装实施人员配备</w:t>
            </w:r>
            <w:r>
              <w:rPr>
                <w:rFonts w:hint="eastAsia" w:ascii="宋体" w:hAnsi="宋体" w:cs="宋体"/>
                <w:color w:val="auto"/>
              </w:rPr>
              <w:t>的合理性、</w:t>
            </w:r>
            <w:r>
              <w:rPr>
                <w:rFonts w:hint="eastAsia" w:ascii="宋体" w:hAnsi="宋体" w:cs="宋体"/>
                <w:color w:val="auto"/>
                <w:lang w:val="en-US" w:eastAsia="zh-CN"/>
              </w:rPr>
              <w:t>全面性、</w:t>
            </w:r>
            <w:r>
              <w:rPr>
                <w:rFonts w:hint="eastAsia" w:ascii="宋体" w:hAnsi="宋体" w:cs="宋体"/>
                <w:color w:val="auto"/>
              </w:rPr>
              <w:t>科学性进行评分</w:t>
            </w:r>
            <w:r>
              <w:rPr>
                <w:rFonts w:hint="eastAsia" w:ascii="宋体" w:hAnsi="宋体" w:cs="宋体"/>
                <w:color w:val="auto"/>
                <w:lang w:eastAsia="zh-CN"/>
              </w:rPr>
              <w:t>。</w:t>
            </w:r>
          </w:p>
        </w:tc>
        <w:tc>
          <w:tcPr>
            <w:tcW w:w="666" w:type="dxa"/>
            <w:noWrap/>
            <w:vAlign w:val="center"/>
          </w:tcPr>
          <w:p>
            <w:pPr>
              <w:pStyle w:val="26"/>
              <w:jc w:val="center"/>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0-2</w:t>
            </w:r>
          </w:p>
        </w:tc>
        <w:tc>
          <w:tcPr>
            <w:tcW w:w="880" w:type="dxa"/>
            <w:noWrap/>
            <w:vAlign w:val="center"/>
          </w:tcPr>
          <w:p>
            <w:pPr>
              <w:jc w:val="center"/>
              <w:rPr>
                <w:color w:val="auto"/>
                <w:sz w:val="21"/>
                <w:szCs w:val="21"/>
              </w:rPr>
            </w:pPr>
            <w:r>
              <w:rPr>
                <w:rFonts w:hint="default"/>
                <w:color w:val="auto"/>
                <w:sz w:val="21"/>
                <w:szCs w:val="21"/>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62" w:type="dxa"/>
            <w:vMerge w:val="continue"/>
            <w:noWrap/>
            <w:vAlign w:val="center"/>
          </w:tcPr>
          <w:p>
            <w:pPr>
              <w:jc w:val="center"/>
              <w:rPr>
                <w:rFonts w:hint="eastAsia"/>
                <w:color w:val="auto"/>
                <w:sz w:val="21"/>
                <w:szCs w:val="21"/>
                <w:lang w:val="en-US" w:eastAsia="zh-CN"/>
              </w:rPr>
            </w:pPr>
          </w:p>
        </w:tc>
        <w:tc>
          <w:tcPr>
            <w:tcW w:w="1350" w:type="dxa"/>
            <w:gridSpan w:val="2"/>
            <w:vMerge w:val="continue"/>
            <w:noWrap/>
            <w:vAlign w:val="center"/>
          </w:tcPr>
          <w:p>
            <w:pPr>
              <w:jc w:val="center"/>
              <w:rPr>
                <w:color w:val="auto"/>
                <w:sz w:val="21"/>
                <w:szCs w:val="21"/>
              </w:rPr>
            </w:pPr>
          </w:p>
        </w:tc>
        <w:tc>
          <w:tcPr>
            <w:tcW w:w="6285" w:type="dxa"/>
            <w:noWrap/>
            <w:vAlign w:val="center"/>
          </w:tcPr>
          <w:p>
            <w:pPr>
              <w:textAlignment w:val="center"/>
              <w:rPr>
                <w:rFonts w:hint="eastAsia" w:ascii="宋体" w:hAnsi="宋体" w:eastAsia="宋体" w:cs="宋体"/>
                <w:color w:val="auto"/>
                <w:kern w:val="2"/>
                <w:sz w:val="21"/>
                <w:szCs w:val="24"/>
                <w:lang w:val="en-US" w:eastAsia="zh-CN" w:bidi="ar-SA"/>
              </w:rPr>
            </w:pPr>
            <w:r>
              <w:rPr>
                <w:rFonts w:hint="eastAsia" w:ascii="宋体" w:hAnsi="宋体" w:cs="宋体"/>
                <w:color w:val="auto"/>
              </w:rPr>
              <w:t>根据</w:t>
            </w:r>
            <w:r>
              <w:rPr>
                <w:color w:val="auto"/>
                <w:sz w:val="21"/>
                <w:szCs w:val="21"/>
              </w:rPr>
              <w:t>投标方提供的</w:t>
            </w:r>
            <w:r>
              <w:rPr>
                <w:rFonts w:hint="eastAsia"/>
                <w:color w:val="auto"/>
                <w:sz w:val="21"/>
                <w:szCs w:val="21"/>
                <w:lang w:val="en-US" w:eastAsia="zh-CN"/>
              </w:rPr>
              <w:t>项目</w:t>
            </w:r>
            <w:r>
              <w:rPr>
                <w:color w:val="auto"/>
                <w:sz w:val="21"/>
                <w:szCs w:val="21"/>
              </w:rPr>
              <w:t>具体管控计划、设备调试</w:t>
            </w:r>
            <w:r>
              <w:rPr>
                <w:rFonts w:hint="eastAsia" w:ascii="宋体" w:hAnsi="宋体" w:cs="宋体"/>
                <w:color w:val="auto"/>
              </w:rPr>
              <w:t>的合理性、</w:t>
            </w:r>
            <w:r>
              <w:rPr>
                <w:rFonts w:hint="eastAsia" w:ascii="宋体" w:hAnsi="宋体" w:cs="宋体"/>
                <w:color w:val="auto"/>
                <w:lang w:val="en-US" w:eastAsia="zh-CN"/>
              </w:rPr>
              <w:t>全面性、</w:t>
            </w:r>
            <w:r>
              <w:rPr>
                <w:rFonts w:hint="eastAsia" w:ascii="宋体" w:hAnsi="宋体" w:cs="宋体"/>
                <w:color w:val="auto"/>
              </w:rPr>
              <w:t>科学性进行评分</w:t>
            </w:r>
            <w:r>
              <w:rPr>
                <w:rFonts w:hint="eastAsia" w:ascii="宋体" w:hAnsi="宋体" w:cs="宋体"/>
                <w:color w:val="auto"/>
                <w:lang w:eastAsia="zh-CN"/>
              </w:rPr>
              <w:t>。</w:t>
            </w:r>
          </w:p>
        </w:tc>
        <w:tc>
          <w:tcPr>
            <w:tcW w:w="666" w:type="dxa"/>
            <w:noWrap/>
            <w:vAlign w:val="center"/>
          </w:tcPr>
          <w:p>
            <w:pPr>
              <w:jc w:val="center"/>
              <w:rPr>
                <w:rFonts w:ascii="Times New Roman" w:hAnsi="Times New Roman" w:cs="Times New Roman"/>
                <w:color w:val="auto"/>
              </w:rPr>
            </w:pPr>
            <w:r>
              <w:rPr>
                <w:rFonts w:hint="eastAsia" w:ascii="Times New Roman" w:hAnsi="Times New Roman" w:cs="Times New Roman"/>
                <w:color w:val="auto"/>
                <w:lang w:val="en-US" w:eastAsia="zh-CN"/>
              </w:rPr>
              <w:t>0-2</w:t>
            </w:r>
          </w:p>
        </w:tc>
        <w:tc>
          <w:tcPr>
            <w:tcW w:w="880" w:type="dxa"/>
            <w:noWrap/>
            <w:vAlign w:val="center"/>
          </w:tcPr>
          <w:p>
            <w:pPr>
              <w:jc w:val="center"/>
              <w:rPr>
                <w:color w:val="auto"/>
                <w:sz w:val="21"/>
                <w:szCs w:val="21"/>
              </w:rPr>
            </w:pPr>
            <w:r>
              <w:rPr>
                <w:rFonts w:hint="default"/>
                <w:color w:val="auto"/>
                <w:sz w:val="21"/>
                <w:szCs w:val="21"/>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62" w:type="dxa"/>
            <w:vMerge w:val="restart"/>
            <w:noWrap/>
            <w:vAlign w:val="center"/>
          </w:tcPr>
          <w:p>
            <w:pPr>
              <w:jc w:val="center"/>
              <w:rPr>
                <w:rFonts w:hint="default"/>
                <w:color w:val="auto"/>
                <w:sz w:val="21"/>
                <w:szCs w:val="21"/>
                <w:lang w:val="en-US" w:eastAsia="zh-CN"/>
              </w:rPr>
            </w:pPr>
            <w:r>
              <w:rPr>
                <w:rFonts w:hint="eastAsia"/>
                <w:color w:val="auto"/>
                <w:sz w:val="21"/>
                <w:szCs w:val="21"/>
                <w:lang w:val="en-US" w:eastAsia="zh-CN"/>
              </w:rPr>
              <w:t>4</w:t>
            </w:r>
          </w:p>
        </w:tc>
        <w:tc>
          <w:tcPr>
            <w:tcW w:w="1350" w:type="dxa"/>
            <w:gridSpan w:val="2"/>
            <w:vMerge w:val="restart"/>
            <w:noWrap/>
            <w:vAlign w:val="center"/>
          </w:tcPr>
          <w:p>
            <w:pPr>
              <w:jc w:val="center"/>
              <w:rPr>
                <w:color w:val="auto"/>
                <w:sz w:val="21"/>
                <w:szCs w:val="21"/>
              </w:rPr>
            </w:pPr>
            <w:r>
              <w:rPr>
                <w:rFonts w:hint="default" w:ascii="Times New Roman" w:hAnsi="Times New Roman" w:eastAsia="宋体" w:cs="Times New Roman"/>
                <w:color w:val="auto"/>
                <w:kern w:val="0"/>
                <w:sz w:val="21"/>
                <w:szCs w:val="21"/>
              </w:rPr>
              <w:t>质量保证措施</w:t>
            </w:r>
          </w:p>
        </w:tc>
        <w:tc>
          <w:tcPr>
            <w:tcW w:w="6285" w:type="dxa"/>
            <w:noWrap/>
            <w:vAlign w:val="center"/>
          </w:tcPr>
          <w:p>
            <w:pPr>
              <w:rPr>
                <w:rFonts w:hint="eastAsia" w:ascii="宋体" w:hAnsi="宋体" w:cs="宋体"/>
                <w:color w:val="auto"/>
              </w:rPr>
            </w:pPr>
            <w:r>
              <w:rPr>
                <w:color w:val="auto"/>
                <w:sz w:val="21"/>
                <w:szCs w:val="21"/>
              </w:rPr>
              <w:t>根据投标方提供的项目</w:t>
            </w:r>
            <w:r>
              <w:rPr>
                <w:rFonts w:hint="default" w:ascii="Times New Roman" w:hAnsi="Times New Roman" w:eastAsia="宋体" w:cs="Times New Roman"/>
                <w:color w:val="auto"/>
                <w:kern w:val="0"/>
                <w:sz w:val="21"/>
                <w:szCs w:val="21"/>
              </w:rPr>
              <w:t>质量保证体系进行</w:t>
            </w:r>
            <w:r>
              <w:rPr>
                <w:rFonts w:hint="default" w:ascii="Times New Roman" w:hAnsi="Times New Roman" w:eastAsia="宋体" w:cs="Times New Roman"/>
                <w:color w:val="auto"/>
                <w:kern w:val="0"/>
                <w:sz w:val="21"/>
                <w:szCs w:val="21"/>
                <w:lang w:val="en-US" w:eastAsia="zh-CN"/>
              </w:rPr>
              <w:t>打分。</w:t>
            </w:r>
          </w:p>
        </w:tc>
        <w:tc>
          <w:tcPr>
            <w:tcW w:w="666" w:type="dxa"/>
            <w:noWrap/>
            <w:vAlign w:val="center"/>
          </w:tcPr>
          <w:p>
            <w:pPr>
              <w:jc w:val="center"/>
              <w:rPr>
                <w:rFonts w:ascii="Times New Roman" w:hAnsi="Times New Roman" w:cs="Times New Roman"/>
                <w:color w:val="auto"/>
              </w:rPr>
            </w:pPr>
            <w:r>
              <w:rPr>
                <w:rFonts w:hint="eastAsia" w:ascii="Times New Roman" w:hAnsi="Times New Roman" w:cs="Times New Roman"/>
                <w:color w:val="auto"/>
                <w:lang w:val="en-US" w:eastAsia="zh-CN"/>
              </w:rPr>
              <w:t>0-2</w:t>
            </w:r>
          </w:p>
        </w:tc>
        <w:tc>
          <w:tcPr>
            <w:tcW w:w="880" w:type="dxa"/>
            <w:noWrap/>
            <w:vAlign w:val="center"/>
          </w:tcPr>
          <w:p>
            <w:pPr>
              <w:jc w:val="center"/>
              <w:rPr>
                <w:color w:val="auto"/>
                <w:sz w:val="21"/>
                <w:szCs w:val="21"/>
              </w:rPr>
            </w:pPr>
            <w:r>
              <w:rPr>
                <w:rFonts w:hint="default"/>
                <w:color w:val="auto"/>
                <w:sz w:val="21"/>
                <w:szCs w:val="21"/>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62" w:type="dxa"/>
            <w:vMerge w:val="continue"/>
            <w:noWrap/>
            <w:vAlign w:val="center"/>
          </w:tcPr>
          <w:p>
            <w:pPr>
              <w:jc w:val="center"/>
              <w:rPr>
                <w:rFonts w:hint="eastAsia"/>
                <w:color w:val="auto"/>
                <w:lang w:val="en-US" w:eastAsia="zh-CN"/>
              </w:rPr>
            </w:pPr>
          </w:p>
        </w:tc>
        <w:tc>
          <w:tcPr>
            <w:tcW w:w="1350" w:type="dxa"/>
            <w:gridSpan w:val="2"/>
            <w:vMerge w:val="continue"/>
            <w:noWrap/>
            <w:vAlign w:val="center"/>
          </w:tcPr>
          <w:p>
            <w:pPr>
              <w:jc w:val="center"/>
              <w:rPr>
                <w:color w:val="auto"/>
                <w:sz w:val="21"/>
                <w:szCs w:val="21"/>
              </w:rPr>
            </w:pPr>
          </w:p>
        </w:tc>
        <w:tc>
          <w:tcPr>
            <w:tcW w:w="6285" w:type="dxa"/>
            <w:noWrap/>
            <w:vAlign w:val="center"/>
          </w:tcPr>
          <w:p>
            <w:pPr>
              <w:rPr>
                <w:rFonts w:hint="eastAsia" w:ascii="宋体" w:hAnsi="宋体" w:cs="宋体"/>
                <w:color w:val="auto"/>
              </w:rPr>
            </w:pPr>
            <w:r>
              <w:rPr>
                <w:color w:val="auto"/>
                <w:sz w:val="21"/>
                <w:szCs w:val="21"/>
              </w:rPr>
              <w:t>根据投标方提供的项目</w:t>
            </w:r>
            <w:r>
              <w:rPr>
                <w:rFonts w:hint="default" w:ascii="Times New Roman" w:hAnsi="Times New Roman" w:eastAsia="宋体" w:cs="Times New Roman"/>
                <w:color w:val="auto"/>
                <w:kern w:val="0"/>
                <w:sz w:val="21"/>
                <w:szCs w:val="21"/>
              </w:rPr>
              <w:t>质量保证</w:t>
            </w:r>
            <w:r>
              <w:rPr>
                <w:rFonts w:hint="eastAsia" w:cs="Times New Roman"/>
                <w:color w:val="auto"/>
                <w:kern w:val="0"/>
                <w:sz w:val="21"/>
                <w:szCs w:val="21"/>
                <w:lang w:val="en-US" w:eastAsia="zh-CN"/>
              </w:rPr>
              <w:t>制度</w:t>
            </w:r>
            <w:r>
              <w:rPr>
                <w:rFonts w:hint="default" w:ascii="Times New Roman" w:hAnsi="Times New Roman" w:eastAsia="宋体" w:cs="Times New Roman"/>
                <w:color w:val="auto"/>
                <w:kern w:val="0"/>
                <w:sz w:val="21"/>
                <w:szCs w:val="21"/>
              </w:rPr>
              <w:t>进行</w:t>
            </w:r>
            <w:r>
              <w:rPr>
                <w:rFonts w:hint="default" w:ascii="Times New Roman" w:hAnsi="Times New Roman" w:eastAsia="宋体" w:cs="Times New Roman"/>
                <w:color w:val="auto"/>
                <w:kern w:val="0"/>
                <w:sz w:val="21"/>
                <w:szCs w:val="21"/>
                <w:lang w:val="en-US" w:eastAsia="zh-CN"/>
              </w:rPr>
              <w:t>打分。</w:t>
            </w:r>
          </w:p>
        </w:tc>
        <w:tc>
          <w:tcPr>
            <w:tcW w:w="666" w:type="dxa"/>
            <w:noWrap/>
            <w:vAlign w:val="center"/>
          </w:tcPr>
          <w:p>
            <w:pPr>
              <w:jc w:val="center"/>
              <w:rPr>
                <w:rFonts w:ascii="Times New Roman" w:hAnsi="Times New Roman" w:cs="Times New Roman"/>
                <w:color w:val="auto"/>
              </w:rPr>
            </w:pPr>
            <w:r>
              <w:rPr>
                <w:rFonts w:hint="eastAsia" w:ascii="Times New Roman" w:hAnsi="Times New Roman" w:cs="Times New Roman"/>
                <w:color w:val="auto"/>
                <w:lang w:val="en-US" w:eastAsia="zh-CN"/>
              </w:rPr>
              <w:t>0-2</w:t>
            </w:r>
          </w:p>
        </w:tc>
        <w:tc>
          <w:tcPr>
            <w:tcW w:w="880" w:type="dxa"/>
            <w:noWrap/>
            <w:vAlign w:val="center"/>
          </w:tcPr>
          <w:p>
            <w:pPr>
              <w:jc w:val="center"/>
              <w:rPr>
                <w:color w:val="auto"/>
                <w:sz w:val="21"/>
                <w:szCs w:val="21"/>
              </w:rPr>
            </w:pPr>
            <w:r>
              <w:rPr>
                <w:rFonts w:hint="default"/>
                <w:color w:val="auto"/>
                <w:sz w:val="21"/>
                <w:szCs w:val="21"/>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62" w:type="dxa"/>
            <w:vMerge w:val="continue"/>
            <w:noWrap/>
            <w:vAlign w:val="center"/>
          </w:tcPr>
          <w:p>
            <w:pPr>
              <w:jc w:val="center"/>
              <w:rPr>
                <w:rFonts w:hint="eastAsia"/>
                <w:color w:val="auto"/>
                <w:sz w:val="21"/>
                <w:szCs w:val="21"/>
                <w:lang w:val="en-US" w:eastAsia="zh-CN"/>
              </w:rPr>
            </w:pPr>
          </w:p>
        </w:tc>
        <w:tc>
          <w:tcPr>
            <w:tcW w:w="1350" w:type="dxa"/>
            <w:gridSpan w:val="2"/>
            <w:vMerge w:val="continue"/>
            <w:noWrap/>
            <w:vAlign w:val="center"/>
          </w:tcPr>
          <w:p>
            <w:pPr>
              <w:jc w:val="center"/>
              <w:rPr>
                <w:color w:val="auto"/>
                <w:sz w:val="21"/>
                <w:szCs w:val="21"/>
              </w:rPr>
            </w:pPr>
          </w:p>
        </w:tc>
        <w:tc>
          <w:tcPr>
            <w:tcW w:w="6285" w:type="dxa"/>
            <w:noWrap/>
            <w:vAlign w:val="center"/>
          </w:tcPr>
          <w:p>
            <w:pPr>
              <w:rPr>
                <w:rFonts w:hint="eastAsia" w:ascii="宋体" w:hAnsi="宋体" w:cs="宋体"/>
                <w:color w:val="auto"/>
              </w:rPr>
            </w:pPr>
            <w:r>
              <w:rPr>
                <w:color w:val="auto"/>
                <w:sz w:val="21"/>
                <w:szCs w:val="21"/>
              </w:rPr>
              <w:t>根据投标方提供的项目</w:t>
            </w:r>
            <w:r>
              <w:rPr>
                <w:rFonts w:hint="default" w:ascii="Times New Roman" w:hAnsi="Times New Roman" w:eastAsia="宋体" w:cs="Times New Roman"/>
                <w:color w:val="auto"/>
                <w:kern w:val="0"/>
                <w:sz w:val="21"/>
                <w:szCs w:val="21"/>
              </w:rPr>
              <w:t>质量保证</w:t>
            </w:r>
            <w:r>
              <w:rPr>
                <w:rFonts w:hint="eastAsia" w:cs="Times New Roman"/>
                <w:color w:val="auto"/>
                <w:kern w:val="0"/>
                <w:sz w:val="21"/>
                <w:szCs w:val="21"/>
                <w:lang w:val="en-US" w:eastAsia="zh-CN"/>
              </w:rPr>
              <w:t>措施</w:t>
            </w:r>
            <w:r>
              <w:rPr>
                <w:rFonts w:hint="default" w:ascii="Times New Roman" w:hAnsi="Times New Roman" w:eastAsia="宋体" w:cs="Times New Roman"/>
                <w:color w:val="auto"/>
                <w:kern w:val="0"/>
                <w:sz w:val="21"/>
                <w:szCs w:val="21"/>
              </w:rPr>
              <w:t>进行</w:t>
            </w:r>
            <w:r>
              <w:rPr>
                <w:rFonts w:hint="default" w:ascii="Times New Roman" w:hAnsi="Times New Roman" w:eastAsia="宋体" w:cs="Times New Roman"/>
                <w:color w:val="auto"/>
                <w:kern w:val="0"/>
                <w:sz w:val="21"/>
                <w:szCs w:val="21"/>
                <w:lang w:val="en-US" w:eastAsia="zh-CN"/>
              </w:rPr>
              <w:t>打分。</w:t>
            </w:r>
          </w:p>
        </w:tc>
        <w:tc>
          <w:tcPr>
            <w:tcW w:w="666" w:type="dxa"/>
            <w:noWrap/>
            <w:vAlign w:val="center"/>
          </w:tcPr>
          <w:p>
            <w:pPr>
              <w:jc w:val="center"/>
              <w:rPr>
                <w:rFonts w:ascii="Times New Roman" w:hAnsi="Times New Roman" w:cs="Times New Roman"/>
                <w:color w:val="auto"/>
              </w:rPr>
            </w:pPr>
            <w:r>
              <w:rPr>
                <w:rFonts w:hint="eastAsia" w:ascii="Times New Roman" w:hAnsi="Times New Roman" w:cs="Times New Roman"/>
                <w:color w:val="auto"/>
                <w:lang w:val="en-US" w:eastAsia="zh-CN"/>
              </w:rPr>
              <w:t>0-2</w:t>
            </w:r>
          </w:p>
        </w:tc>
        <w:tc>
          <w:tcPr>
            <w:tcW w:w="880" w:type="dxa"/>
            <w:noWrap/>
            <w:vAlign w:val="center"/>
          </w:tcPr>
          <w:p>
            <w:pPr>
              <w:jc w:val="center"/>
              <w:rPr>
                <w:color w:val="auto"/>
                <w:sz w:val="21"/>
                <w:szCs w:val="21"/>
              </w:rPr>
            </w:pPr>
            <w:r>
              <w:rPr>
                <w:rFonts w:hint="default"/>
                <w:color w:val="auto"/>
                <w:sz w:val="21"/>
                <w:szCs w:val="21"/>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62" w:type="dxa"/>
            <w:vMerge w:val="restart"/>
            <w:noWrap/>
            <w:vAlign w:val="center"/>
          </w:tcPr>
          <w:p>
            <w:pPr>
              <w:jc w:val="center"/>
              <w:rPr>
                <w:rFonts w:hint="default"/>
                <w:color w:val="auto"/>
                <w:sz w:val="21"/>
                <w:szCs w:val="21"/>
                <w:lang w:val="en-US" w:eastAsia="zh-CN"/>
              </w:rPr>
            </w:pPr>
            <w:r>
              <w:rPr>
                <w:rFonts w:hint="eastAsia"/>
                <w:color w:val="auto"/>
                <w:sz w:val="21"/>
                <w:szCs w:val="21"/>
                <w:lang w:val="en-US" w:eastAsia="zh-CN"/>
              </w:rPr>
              <w:t>5</w:t>
            </w:r>
          </w:p>
        </w:tc>
        <w:tc>
          <w:tcPr>
            <w:tcW w:w="1350" w:type="dxa"/>
            <w:gridSpan w:val="2"/>
            <w:vMerge w:val="restart"/>
            <w:noWrap/>
            <w:vAlign w:val="center"/>
          </w:tcPr>
          <w:p>
            <w:pPr>
              <w:jc w:val="center"/>
              <w:rPr>
                <w:color w:val="auto"/>
                <w:sz w:val="21"/>
                <w:szCs w:val="21"/>
              </w:rPr>
            </w:pPr>
            <w:r>
              <w:rPr>
                <w:color w:val="auto"/>
                <w:sz w:val="21"/>
                <w:szCs w:val="21"/>
              </w:rPr>
              <w:t>产品方案</w:t>
            </w:r>
          </w:p>
        </w:tc>
        <w:tc>
          <w:tcPr>
            <w:tcW w:w="6285" w:type="dxa"/>
            <w:noWrap/>
            <w:vAlign w:val="center"/>
          </w:tcPr>
          <w:p>
            <w:pPr>
              <w:rPr>
                <w:color w:val="auto"/>
                <w:sz w:val="21"/>
                <w:szCs w:val="21"/>
              </w:rPr>
            </w:pPr>
            <w:r>
              <w:rPr>
                <w:color w:val="auto"/>
                <w:sz w:val="21"/>
                <w:szCs w:val="21"/>
              </w:rPr>
              <w:t>根据投标方提供的产品组成方案的统一性进行打分。</w:t>
            </w:r>
          </w:p>
        </w:tc>
        <w:tc>
          <w:tcPr>
            <w:tcW w:w="666" w:type="dxa"/>
            <w:noWrap/>
            <w:vAlign w:val="center"/>
          </w:tcPr>
          <w:p>
            <w:pPr>
              <w:jc w:val="center"/>
              <w:rPr>
                <w:rFonts w:ascii="Times New Roman" w:hAnsi="Times New Roman" w:cs="Times New Roman"/>
                <w:color w:val="auto"/>
              </w:rPr>
            </w:pPr>
            <w:r>
              <w:rPr>
                <w:rFonts w:hint="eastAsia" w:ascii="Times New Roman" w:hAnsi="Times New Roman" w:cs="Times New Roman"/>
                <w:color w:val="auto"/>
                <w:lang w:val="en-US" w:eastAsia="zh-CN"/>
              </w:rPr>
              <w:t>0-2</w:t>
            </w:r>
          </w:p>
        </w:tc>
        <w:tc>
          <w:tcPr>
            <w:tcW w:w="880" w:type="dxa"/>
            <w:noWrap/>
            <w:vAlign w:val="center"/>
          </w:tcPr>
          <w:p>
            <w:pPr>
              <w:jc w:val="center"/>
              <w:rPr>
                <w:color w:val="auto"/>
                <w:sz w:val="21"/>
                <w:szCs w:val="21"/>
              </w:rPr>
            </w:pPr>
            <w:r>
              <w:rPr>
                <w:rFonts w:hint="default"/>
                <w:color w:val="auto"/>
                <w:sz w:val="21"/>
                <w:szCs w:val="21"/>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62" w:type="dxa"/>
            <w:vMerge w:val="continue"/>
            <w:noWrap/>
            <w:vAlign w:val="center"/>
          </w:tcPr>
          <w:p>
            <w:pPr>
              <w:jc w:val="center"/>
              <w:rPr>
                <w:rFonts w:hint="eastAsia"/>
                <w:color w:val="auto"/>
                <w:sz w:val="21"/>
                <w:szCs w:val="21"/>
                <w:lang w:val="en-US" w:eastAsia="zh-CN"/>
              </w:rPr>
            </w:pPr>
          </w:p>
        </w:tc>
        <w:tc>
          <w:tcPr>
            <w:tcW w:w="1350" w:type="dxa"/>
            <w:gridSpan w:val="2"/>
            <w:vMerge w:val="continue"/>
            <w:noWrap/>
            <w:vAlign w:val="center"/>
          </w:tcPr>
          <w:p>
            <w:pPr>
              <w:jc w:val="center"/>
              <w:rPr>
                <w:color w:val="auto"/>
                <w:sz w:val="21"/>
                <w:szCs w:val="21"/>
              </w:rPr>
            </w:pPr>
          </w:p>
        </w:tc>
        <w:tc>
          <w:tcPr>
            <w:tcW w:w="6285" w:type="dxa"/>
            <w:noWrap/>
            <w:vAlign w:val="center"/>
          </w:tcPr>
          <w:p>
            <w:pPr>
              <w:rPr>
                <w:color w:val="auto"/>
                <w:sz w:val="21"/>
                <w:szCs w:val="21"/>
              </w:rPr>
            </w:pPr>
            <w:r>
              <w:rPr>
                <w:color w:val="auto"/>
                <w:sz w:val="21"/>
                <w:szCs w:val="21"/>
              </w:rPr>
              <w:t>根据投标方提供的产品组成方案的</w:t>
            </w:r>
            <w:r>
              <w:rPr>
                <w:rFonts w:hint="eastAsia"/>
                <w:color w:val="auto"/>
                <w:sz w:val="21"/>
                <w:szCs w:val="21"/>
                <w:lang w:val="en-US" w:eastAsia="zh-CN"/>
              </w:rPr>
              <w:t>稳定</w:t>
            </w:r>
            <w:r>
              <w:rPr>
                <w:color w:val="auto"/>
                <w:sz w:val="21"/>
                <w:szCs w:val="21"/>
              </w:rPr>
              <w:t>性</w:t>
            </w:r>
            <w:r>
              <w:rPr>
                <w:rFonts w:hint="eastAsia"/>
                <w:color w:val="auto"/>
                <w:sz w:val="21"/>
                <w:szCs w:val="21"/>
                <w:lang w:eastAsia="zh-CN"/>
              </w:rPr>
              <w:t>、</w:t>
            </w:r>
            <w:r>
              <w:rPr>
                <w:rFonts w:hint="eastAsia"/>
                <w:color w:val="auto"/>
                <w:sz w:val="21"/>
                <w:szCs w:val="21"/>
                <w:lang w:val="en-US" w:eastAsia="zh-CN"/>
              </w:rPr>
              <w:t>组合性</w:t>
            </w:r>
            <w:r>
              <w:rPr>
                <w:color w:val="auto"/>
                <w:sz w:val="21"/>
                <w:szCs w:val="21"/>
              </w:rPr>
              <w:t>进行打分。</w:t>
            </w:r>
          </w:p>
        </w:tc>
        <w:tc>
          <w:tcPr>
            <w:tcW w:w="666" w:type="dxa"/>
            <w:noWrap/>
            <w:vAlign w:val="center"/>
          </w:tcPr>
          <w:p>
            <w:pPr>
              <w:jc w:val="center"/>
              <w:rPr>
                <w:rFonts w:ascii="Times New Roman" w:hAnsi="Times New Roman" w:cs="Times New Roman"/>
                <w:color w:val="auto"/>
              </w:rPr>
            </w:pPr>
            <w:r>
              <w:rPr>
                <w:rFonts w:hint="eastAsia" w:ascii="Times New Roman" w:hAnsi="Times New Roman" w:cs="Times New Roman"/>
                <w:color w:val="auto"/>
                <w:lang w:val="en-US" w:eastAsia="zh-CN"/>
              </w:rPr>
              <w:t>0-2</w:t>
            </w:r>
          </w:p>
        </w:tc>
        <w:tc>
          <w:tcPr>
            <w:tcW w:w="880" w:type="dxa"/>
            <w:noWrap/>
            <w:vAlign w:val="center"/>
          </w:tcPr>
          <w:p>
            <w:pPr>
              <w:jc w:val="center"/>
              <w:rPr>
                <w:color w:val="auto"/>
                <w:sz w:val="21"/>
                <w:szCs w:val="21"/>
              </w:rPr>
            </w:pPr>
            <w:r>
              <w:rPr>
                <w:rFonts w:hint="default"/>
                <w:color w:val="auto"/>
                <w:sz w:val="21"/>
                <w:szCs w:val="21"/>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62" w:type="dxa"/>
            <w:vMerge w:val="continue"/>
            <w:noWrap/>
            <w:vAlign w:val="center"/>
          </w:tcPr>
          <w:p>
            <w:pPr>
              <w:jc w:val="center"/>
              <w:rPr>
                <w:rFonts w:hint="eastAsia"/>
                <w:color w:val="auto"/>
                <w:sz w:val="21"/>
                <w:szCs w:val="21"/>
                <w:lang w:val="en-US" w:eastAsia="zh-CN"/>
              </w:rPr>
            </w:pPr>
          </w:p>
        </w:tc>
        <w:tc>
          <w:tcPr>
            <w:tcW w:w="1350" w:type="dxa"/>
            <w:gridSpan w:val="2"/>
            <w:vMerge w:val="continue"/>
            <w:noWrap/>
            <w:vAlign w:val="center"/>
          </w:tcPr>
          <w:p>
            <w:pPr>
              <w:jc w:val="center"/>
              <w:rPr>
                <w:color w:val="auto"/>
                <w:sz w:val="21"/>
                <w:szCs w:val="21"/>
              </w:rPr>
            </w:pPr>
          </w:p>
        </w:tc>
        <w:tc>
          <w:tcPr>
            <w:tcW w:w="6285" w:type="dxa"/>
            <w:noWrap/>
            <w:vAlign w:val="center"/>
          </w:tcPr>
          <w:p>
            <w:pPr>
              <w:rPr>
                <w:color w:val="auto"/>
                <w:sz w:val="21"/>
                <w:szCs w:val="21"/>
              </w:rPr>
            </w:pPr>
            <w:r>
              <w:rPr>
                <w:color w:val="auto"/>
                <w:sz w:val="21"/>
                <w:szCs w:val="21"/>
              </w:rPr>
              <w:t>根据投标方提供的产品组成方案的安全性、管控性进行打分。</w:t>
            </w:r>
          </w:p>
        </w:tc>
        <w:tc>
          <w:tcPr>
            <w:tcW w:w="666" w:type="dxa"/>
            <w:noWrap/>
            <w:vAlign w:val="center"/>
          </w:tcPr>
          <w:p>
            <w:pPr>
              <w:jc w:val="center"/>
              <w:rPr>
                <w:rFonts w:ascii="Times New Roman" w:hAnsi="Times New Roman" w:cs="Times New Roman"/>
                <w:color w:val="auto"/>
              </w:rPr>
            </w:pPr>
            <w:r>
              <w:rPr>
                <w:rFonts w:hint="eastAsia" w:ascii="Times New Roman" w:hAnsi="Times New Roman" w:cs="Times New Roman"/>
                <w:color w:val="auto"/>
                <w:lang w:val="en-US" w:eastAsia="zh-CN"/>
              </w:rPr>
              <w:t>0-2</w:t>
            </w:r>
          </w:p>
        </w:tc>
        <w:tc>
          <w:tcPr>
            <w:tcW w:w="880" w:type="dxa"/>
            <w:noWrap/>
            <w:vAlign w:val="center"/>
          </w:tcPr>
          <w:p>
            <w:pPr>
              <w:jc w:val="center"/>
              <w:rPr>
                <w:color w:val="auto"/>
                <w:sz w:val="21"/>
                <w:szCs w:val="21"/>
              </w:rPr>
            </w:pPr>
            <w:r>
              <w:rPr>
                <w:rFonts w:hint="default"/>
                <w:color w:val="auto"/>
                <w:sz w:val="21"/>
                <w:szCs w:val="21"/>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62" w:type="dxa"/>
            <w:vMerge w:val="restart"/>
            <w:noWrap/>
            <w:vAlign w:val="center"/>
          </w:tcPr>
          <w:p>
            <w:pPr>
              <w:jc w:val="center"/>
              <w:rPr>
                <w:rFonts w:hint="default"/>
                <w:color w:val="auto"/>
                <w:sz w:val="21"/>
                <w:szCs w:val="21"/>
                <w:lang w:val="en-US" w:eastAsia="zh-CN"/>
              </w:rPr>
            </w:pPr>
            <w:r>
              <w:rPr>
                <w:rFonts w:hint="eastAsia"/>
                <w:color w:val="auto"/>
                <w:sz w:val="21"/>
                <w:szCs w:val="21"/>
                <w:lang w:val="en-US" w:eastAsia="zh-CN"/>
              </w:rPr>
              <w:t>6</w:t>
            </w:r>
          </w:p>
        </w:tc>
        <w:tc>
          <w:tcPr>
            <w:tcW w:w="1350" w:type="dxa"/>
            <w:gridSpan w:val="2"/>
            <w:vMerge w:val="restart"/>
            <w:noWrap/>
            <w:vAlign w:val="center"/>
          </w:tcPr>
          <w:p>
            <w:pPr>
              <w:jc w:val="center"/>
              <w:rPr>
                <w:color w:val="auto"/>
                <w:sz w:val="21"/>
                <w:szCs w:val="21"/>
              </w:rPr>
            </w:pPr>
            <w:r>
              <w:rPr>
                <w:color w:val="auto"/>
                <w:sz w:val="21"/>
                <w:szCs w:val="21"/>
              </w:rPr>
              <w:t>售后服务</w:t>
            </w:r>
          </w:p>
        </w:tc>
        <w:tc>
          <w:tcPr>
            <w:tcW w:w="6285" w:type="dxa"/>
            <w:noWrap/>
            <w:vAlign w:val="center"/>
          </w:tcPr>
          <w:p>
            <w:pPr>
              <w:rPr>
                <w:color w:val="auto"/>
                <w:sz w:val="21"/>
                <w:szCs w:val="21"/>
              </w:rPr>
            </w:pPr>
            <w:r>
              <w:rPr>
                <w:color w:val="auto"/>
                <w:sz w:val="21"/>
                <w:szCs w:val="21"/>
              </w:rPr>
              <w:t>除不能负偏离内容外，根据投标方拟提供的售后服务人员</w:t>
            </w:r>
            <w:r>
              <w:rPr>
                <w:rFonts w:hint="eastAsia"/>
                <w:color w:val="auto"/>
                <w:sz w:val="21"/>
                <w:szCs w:val="21"/>
                <w:lang w:eastAsia="zh-CN"/>
              </w:rPr>
              <w:t>、</w:t>
            </w:r>
            <w:r>
              <w:rPr>
                <w:color w:val="auto"/>
                <w:sz w:val="21"/>
                <w:szCs w:val="21"/>
              </w:rPr>
              <w:t>服务次数及内容安排进行打分。</w:t>
            </w:r>
          </w:p>
        </w:tc>
        <w:tc>
          <w:tcPr>
            <w:tcW w:w="666" w:type="dxa"/>
            <w:noWrap/>
            <w:vAlign w:val="center"/>
          </w:tcPr>
          <w:p>
            <w:pPr>
              <w:jc w:val="center"/>
              <w:rPr>
                <w:rFonts w:ascii="Times New Roman" w:hAnsi="Times New Roman" w:cs="Times New Roman"/>
                <w:color w:val="auto"/>
              </w:rPr>
            </w:pPr>
            <w:r>
              <w:rPr>
                <w:rFonts w:hint="eastAsia" w:ascii="Times New Roman" w:hAnsi="Times New Roman" w:cs="Times New Roman"/>
                <w:color w:val="auto"/>
                <w:lang w:val="en-US" w:eastAsia="zh-CN"/>
              </w:rPr>
              <w:t>0-2</w:t>
            </w:r>
          </w:p>
        </w:tc>
        <w:tc>
          <w:tcPr>
            <w:tcW w:w="880" w:type="dxa"/>
            <w:noWrap/>
            <w:vAlign w:val="center"/>
          </w:tcPr>
          <w:p>
            <w:pPr>
              <w:jc w:val="center"/>
              <w:rPr>
                <w:color w:val="auto"/>
                <w:sz w:val="21"/>
                <w:szCs w:val="21"/>
              </w:rPr>
            </w:pPr>
            <w:r>
              <w:rPr>
                <w:rFonts w:hint="default"/>
                <w:color w:val="auto"/>
                <w:sz w:val="21"/>
                <w:szCs w:val="21"/>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62" w:type="dxa"/>
            <w:vMerge w:val="continue"/>
            <w:noWrap/>
            <w:vAlign w:val="center"/>
          </w:tcPr>
          <w:p>
            <w:pPr>
              <w:jc w:val="center"/>
              <w:rPr>
                <w:rFonts w:hint="eastAsia"/>
                <w:color w:val="auto"/>
                <w:sz w:val="21"/>
                <w:szCs w:val="21"/>
                <w:lang w:val="en-US" w:eastAsia="zh-CN"/>
              </w:rPr>
            </w:pPr>
          </w:p>
        </w:tc>
        <w:tc>
          <w:tcPr>
            <w:tcW w:w="1350" w:type="dxa"/>
            <w:gridSpan w:val="2"/>
            <w:vMerge w:val="continue"/>
            <w:noWrap/>
            <w:vAlign w:val="center"/>
          </w:tcPr>
          <w:p>
            <w:pPr>
              <w:jc w:val="center"/>
              <w:rPr>
                <w:color w:val="auto"/>
                <w:sz w:val="21"/>
                <w:szCs w:val="21"/>
              </w:rPr>
            </w:pPr>
          </w:p>
        </w:tc>
        <w:tc>
          <w:tcPr>
            <w:tcW w:w="6285" w:type="dxa"/>
            <w:noWrap/>
            <w:vAlign w:val="center"/>
          </w:tcPr>
          <w:p>
            <w:pPr>
              <w:rPr>
                <w:color w:val="auto"/>
                <w:sz w:val="21"/>
                <w:szCs w:val="21"/>
              </w:rPr>
            </w:pPr>
            <w:r>
              <w:rPr>
                <w:color w:val="auto"/>
                <w:sz w:val="21"/>
                <w:szCs w:val="21"/>
              </w:rPr>
              <w:t>除不能负偏离内容外，根据投标方拟提供的售后服务</w:t>
            </w:r>
            <w:r>
              <w:rPr>
                <w:rFonts w:hint="eastAsia"/>
                <w:color w:val="auto"/>
                <w:sz w:val="21"/>
                <w:szCs w:val="21"/>
                <w:lang w:val="en-US" w:eastAsia="zh-CN"/>
              </w:rPr>
              <w:t>培训</w:t>
            </w:r>
            <w:r>
              <w:rPr>
                <w:color w:val="auto"/>
                <w:sz w:val="21"/>
                <w:szCs w:val="21"/>
              </w:rPr>
              <w:t>安排进行打分。</w:t>
            </w:r>
          </w:p>
        </w:tc>
        <w:tc>
          <w:tcPr>
            <w:tcW w:w="666" w:type="dxa"/>
            <w:noWrap/>
            <w:vAlign w:val="center"/>
          </w:tcPr>
          <w:p>
            <w:pPr>
              <w:jc w:val="center"/>
              <w:rPr>
                <w:rFonts w:ascii="Times New Roman" w:hAnsi="Times New Roman" w:cs="Times New Roman"/>
                <w:color w:val="auto"/>
              </w:rPr>
            </w:pPr>
            <w:r>
              <w:rPr>
                <w:rFonts w:hint="eastAsia" w:ascii="Times New Roman" w:hAnsi="Times New Roman" w:cs="Times New Roman"/>
                <w:color w:val="auto"/>
                <w:lang w:val="en-US" w:eastAsia="zh-CN"/>
              </w:rPr>
              <w:t>0-2</w:t>
            </w:r>
          </w:p>
        </w:tc>
        <w:tc>
          <w:tcPr>
            <w:tcW w:w="880" w:type="dxa"/>
            <w:noWrap/>
            <w:vAlign w:val="center"/>
          </w:tcPr>
          <w:p>
            <w:pPr>
              <w:jc w:val="center"/>
              <w:rPr>
                <w:color w:val="auto"/>
                <w:sz w:val="21"/>
                <w:szCs w:val="21"/>
              </w:rPr>
            </w:pPr>
            <w:r>
              <w:rPr>
                <w:rFonts w:hint="default"/>
                <w:color w:val="auto"/>
                <w:sz w:val="21"/>
                <w:szCs w:val="21"/>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62" w:type="dxa"/>
            <w:vMerge w:val="continue"/>
            <w:noWrap/>
            <w:vAlign w:val="center"/>
          </w:tcPr>
          <w:p>
            <w:pPr>
              <w:jc w:val="center"/>
              <w:rPr>
                <w:rFonts w:hint="eastAsia"/>
                <w:color w:val="auto"/>
                <w:sz w:val="21"/>
                <w:szCs w:val="21"/>
                <w:lang w:val="en-US" w:eastAsia="zh-CN"/>
              </w:rPr>
            </w:pPr>
          </w:p>
        </w:tc>
        <w:tc>
          <w:tcPr>
            <w:tcW w:w="1350" w:type="dxa"/>
            <w:gridSpan w:val="2"/>
            <w:vMerge w:val="continue"/>
            <w:noWrap/>
            <w:vAlign w:val="center"/>
          </w:tcPr>
          <w:p>
            <w:pPr>
              <w:jc w:val="center"/>
              <w:rPr>
                <w:color w:val="auto"/>
                <w:sz w:val="21"/>
                <w:szCs w:val="21"/>
              </w:rPr>
            </w:pPr>
          </w:p>
        </w:tc>
        <w:tc>
          <w:tcPr>
            <w:tcW w:w="6285" w:type="dxa"/>
            <w:noWrap/>
            <w:vAlign w:val="center"/>
          </w:tcPr>
          <w:p>
            <w:pPr>
              <w:rPr>
                <w:color w:val="auto"/>
                <w:sz w:val="21"/>
                <w:szCs w:val="21"/>
              </w:rPr>
            </w:pPr>
            <w:r>
              <w:rPr>
                <w:color w:val="auto"/>
                <w:sz w:val="21"/>
                <w:szCs w:val="21"/>
              </w:rPr>
              <w:t>除不能负偏离内容外，根据投标方拟提供的</w:t>
            </w:r>
            <w:r>
              <w:rPr>
                <w:rFonts w:hint="eastAsia" w:ascii="宋体" w:hAnsi="宋体" w:cs="宋体"/>
                <w:color w:val="auto"/>
                <w:szCs w:val="21"/>
              </w:rPr>
              <w:t>售后服务承诺是否响应及时、解决问题是否有效进行评分。</w:t>
            </w:r>
          </w:p>
        </w:tc>
        <w:tc>
          <w:tcPr>
            <w:tcW w:w="666" w:type="dxa"/>
            <w:noWrap/>
            <w:vAlign w:val="center"/>
          </w:tcPr>
          <w:p>
            <w:pPr>
              <w:jc w:val="center"/>
              <w:rPr>
                <w:rFonts w:ascii="Times New Roman" w:hAnsi="Times New Roman" w:cs="Times New Roman"/>
                <w:color w:val="auto"/>
              </w:rPr>
            </w:pPr>
            <w:r>
              <w:rPr>
                <w:rFonts w:hint="eastAsia" w:ascii="Times New Roman" w:hAnsi="Times New Roman" w:cs="Times New Roman"/>
                <w:color w:val="auto"/>
                <w:lang w:val="en-US" w:eastAsia="zh-CN"/>
              </w:rPr>
              <w:t>0-2</w:t>
            </w:r>
          </w:p>
        </w:tc>
        <w:tc>
          <w:tcPr>
            <w:tcW w:w="880" w:type="dxa"/>
            <w:noWrap/>
            <w:vAlign w:val="center"/>
          </w:tcPr>
          <w:p>
            <w:pPr>
              <w:jc w:val="center"/>
              <w:rPr>
                <w:color w:val="auto"/>
                <w:sz w:val="21"/>
                <w:szCs w:val="21"/>
              </w:rPr>
            </w:pPr>
            <w:r>
              <w:rPr>
                <w:rFonts w:hint="default"/>
                <w:color w:val="auto"/>
                <w:sz w:val="21"/>
                <w:szCs w:val="21"/>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62" w:type="dxa"/>
            <w:vMerge w:val="restart"/>
            <w:noWrap/>
            <w:vAlign w:val="center"/>
          </w:tcPr>
          <w:p>
            <w:pPr>
              <w:jc w:val="center"/>
              <w:rPr>
                <w:rFonts w:hint="eastAsia" w:eastAsia="宋体"/>
                <w:color w:val="auto"/>
                <w:sz w:val="21"/>
                <w:szCs w:val="21"/>
                <w:lang w:eastAsia="zh-CN"/>
              </w:rPr>
            </w:pPr>
            <w:r>
              <w:rPr>
                <w:rFonts w:hint="eastAsia"/>
                <w:color w:val="auto"/>
                <w:sz w:val="21"/>
                <w:szCs w:val="21"/>
                <w:lang w:val="en-US" w:eastAsia="zh-CN"/>
              </w:rPr>
              <w:t>7</w:t>
            </w:r>
          </w:p>
        </w:tc>
        <w:tc>
          <w:tcPr>
            <w:tcW w:w="705" w:type="dxa"/>
            <w:vMerge w:val="restart"/>
            <w:noWrap/>
            <w:vAlign w:val="center"/>
          </w:tcPr>
          <w:p>
            <w:pPr>
              <w:jc w:val="center"/>
              <w:rPr>
                <w:color w:val="auto"/>
                <w:sz w:val="21"/>
                <w:szCs w:val="21"/>
              </w:rPr>
            </w:pPr>
            <w:r>
              <w:rPr>
                <w:color w:val="auto"/>
              </w:rPr>
              <w:t>多媒体触控一体机</w:t>
            </w:r>
          </w:p>
          <w:p>
            <w:pPr>
              <w:jc w:val="center"/>
              <w:rPr>
                <w:color w:val="auto"/>
                <w:sz w:val="21"/>
                <w:szCs w:val="21"/>
              </w:rPr>
            </w:pPr>
          </w:p>
        </w:tc>
        <w:tc>
          <w:tcPr>
            <w:tcW w:w="645" w:type="dxa"/>
            <w:noWrap/>
            <w:vAlign w:val="center"/>
          </w:tcPr>
          <w:p>
            <w:pPr>
              <w:jc w:val="center"/>
              <w:rPr>
                <w:color w:val="auto"/>
                <w:sz w:val="21"/>
                <w:szCs w:val="21"/>
              </w:rPr>
            </w:pPr>
            <w:r>
              <w:rPr>
                <w:color w:val="auto"/>
                <w:sz w:val="21"/>
                <w:szCs w:val="21"/>
              </w:rPr>
              <w:t>硬件配置</w:t>
            </w:r>
          </w:p>
        </w:tc>
        <w:tc>
          <w:tcPr>
            <w:tcW w:w="6285" w:type="dxa"/>
            <w:noWrap/>
            <w:vAlign w:val="center"/>
          </w:tcPr>
          <w:p>
            <w:pPr>
              <w:rPr>
                <w:color w:val="auto"/>
                <w:sz w:val="21"/>
                <w:szCs w:val="21"/>
              </w:rPr>
            </w:pPr>
            <w:r>
              <w:rPr>
                <w:color w:val="auto"/>
                <w:sz w:val="21"/>
                <w:szCs w:val="21"/>
              </w:rPr>
              <w:t>除不能负偏离内容</w:t>
            </w:r>
            <w:r>
              <w:rPr>
                <w:rFonts w:hint="eastAsia"/>
                <w:color w:val="auto"/>
                <w:sz w:val="21"/>
                <w:szCs w:val="21"/>
              </w:rPr>
              <w:t>和产品演示项</w:t>
            </w:r>
            <w:r>
              <w:rPr>
                <w:color w:val="auto"/>
                <w:sz w:val="21"/>
                <w:szCs w:val="21"/>
              </w:rPr>
              <w:t>外，根据触控一体机的分辨率、硬件系统等参数，与招标文件要求的符合性，进行打分。投标指标与招标需求完全一致的，得</w:t>
            </w:r>
            <w:r>
              <w:rPr>
                <w:rFonts w:hint="default"/>
                <w:color w:val="auto"/>
                <w:sz w:val="21"/>
                <w:szCs w:val="21"/>
                <w:lang w:val="en-US" w:eastAsia="zh-CN"/>
              </w:rPr>
              <w:t>8</w:t>
            </w:r>
            <w:r>
              <w:rPr>
                <w:color w:val="auto"/>
                <w:sz w:val="21"/>
                <w:szCs w:val="21"/>
              </w:rPr>
              <w:t>.0分；如投标指标完全满足招标文件要求且有正偏离的，每正偏离一项在</w:t>
            </w:r>
            <w:r>
              <w:rPr>
                <w:rFonts w:hint="default"/>
                <w:color w:val="auto"/>
                <w:sz w:val="21"/>
                <w:szCs w:val="21"/>
                <w:lang w:val="en-US" w:eastAsia="zh-CN"/>
              </w:rPr>
              <w:t>8</w:t>
            </w:r>
            <w:r>
              <w:rPr>
                <w:color w:val="auto"/>
                <w:sz w:val="21"/>
                <w:szCs w:val="21"/>
              </w:rPr>
              <w:t>分基础上加0.5分；如投标指标有负偏离的，每负偏离一项在</w:t>
            </w:r>
            <w:r>
              <w:rPr>
                <w:rFonts w:hint="default"/>
                <w:color w:val="auto"/>
                <w:sz w:val="21"/>
                <w:szCs w:val="21"/>
                <w:lang w:val="en-US" w:eastAsia="zh-CN"/>
              </w:rPr>
              <w:t>8</w:t>
            </w:r>
            <w:r>
              <w:rPr>
                <w:color w:val="auto"/>
                <w:sz w:val="21"/>
                <w:szCs w:val="21"/>
              </w:rPr>
              <w:t>分基础上扣</w:t>
            </w:r>
            <w:r>
              <w:rPr>
                <w:rFonts w:hint="eastAsia"/>
                <w:color w:val="auto"/>
                <w:sz w:val="21"/>
                <w:szCs w:val="21"/>
                <w:lang w:val="en-US" w:eastAsia="zh-CN"/>
              </w:rPr>
              <w:t>1</w:t>
            </w:r>
            <w:r>
              <w:rPr>
                <w:color w:val="auto"/>
                <w:sz w:val="21"/>
                <w:szCs w:val="21"/>
              </w:rPr>
              <w:t>分。本项最高得10分，最低得0分。</w:t>
            </w:r>
          </w:p>
        </w:tc>
        <w:tc>
          <w:tcPr>
            <w:tcW w:w="666" w:type="dxa"/>
            <w:noWrap/>
            <w:vAlign w:val="center"/>
          </w:tcPr>
          <w:p>
            <w:pPr>
              <w:snapToGrid w:val="0"/>
              <w:spacing w:line="320" w:lineRule="exact"/>
              <w:jc w:val="center"/>
              <w:rPr>
                <w:rFonts w:hint="eastAsia" w:eastAsia="宋体"/>
                <w:b/>
                <w:color w:val="auto"/>
                <w:kern w:val="2"/>
                <w:sz w:val="21"/>
                <w:szCs w:val="21"/>
                <w:lang w:eastAsia="zh-CN"/>
              </w:rPr>
            </w:pPr>
            <w:r>
              <w:rPr>
                <w:color w:val="auto"/>
                <w:sz w:val="21"/>
                <w:szCs w:val="21"/>
              </w:rPr>
              <w:t>0-1</w:t>
            </w:r>
            <w:r>
              <w:rPr>
                <w:rFonts w:hint="eastAsia"/>
                <w:color w:val="auto"/>
                <w:sz w:val="21"/>
                <w:szCs w:val="21"/>
                <w:lang w:val="en-US" w:eastAsia="zh-CN"/>
              </w:rPr>
              <w:t>0</w:t>
            </w:r>
          </w:p>
        </w:tc>
        <w:tc>
          <w:tcPr>
            <w:tcW w:w="880" w:type="dxa"/>
            <w:noWrap/>
            <w:vAlign w:val="center"/>
          </w:tcPr>
          <w:p>
            <w:pPr>
              <w:jc w:val="center"/>
              <w:rPr>
                <w:color w:val="auto"/>
                <w:sz w:val="21"/>
                <w:szCs w:val="21"/>
              </w:rPr>
            </w:pPr>
            <w:r>
              <w:rPr>
                <w:color w:val="auto"/>
                <w:sz w:val="21"/>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62" w:type="dxa"/>
            <w:vMerge w:val="continue"/>
            <w:noWrap/>
            <w:vAlign w:val="center"/>
          </w:tcPr>
          <w:p>
            <w:pPr>
              <w:jc w:val="center"/>
              <w:rPr>
                <w:color w:val="auto"/>
                <w:sz w:val="21"/>
                <w:szCs w:val="21"/>
              </w:rPr>
            </w:pPr>
          </w:p>
        </w:tc>
        <w:tc>
          <w:tcPr>
            <w:tcW w:w="705" w:type="dxa"/>
            <w:vMerge w:val="continue"/>
            <w:noWrap/>
            <w:vAlign w:val="center"/>
          </w:tcPr>
          <w:p>
            <w:pPr>
              <w:jc w:val="center"/>
              <w:rPr>
                <w:color w:val="auto"/>
                <w:sz w:val="21"/>
                <w:szCs w:val="21"/>
              </w:rPr>
            </w:pPr>
          </w:p>
        </w:tc>
        <w:tc>
          <w:tcPr>
            <w:tcW w:w="645" w:type="dxa"/>
            <w:vMerge w:val="restart"/>
            <w:noWrap/>
            <w:vAlign w:val="center"/>
          </w:tcPr>
          <w:p>
            <w:pPr>
              <w:pStyle w:val="26"/>
              <w:jc w:val="center"/>
              <w:rPr>
                <w:rFonts w:ascii="Times New Roman" w:hAnsi="Times New Roman" w:cs="Times New Roman"/>
                <w:color w:val="auto"/>
              </w:rPr>
            </w:pPr>
            <w:r>
              <w:rPr>
                <w:rFonts w:ascii="Times New Roman" w:hAnsi="Times New Roman" w:cs="Times New Roman"/>
                <w:color w:val="auto"/>
              </w:rPr>
              <w:t>软件功能</w:t>
            </w:r>
          </w:p>
        </w:tc>
        <w:tc>
          <w:tcPr>
            <w:tcW w:w="6285" w:type="dxa"/>
            <w:noWrap/>
            <w:vAlign w:val="center"/>
          </w:tcPr>
          <w:p>
            <w:pPr>
              <w:rPr>
                <w:color w:val="auto"/>
                <w:sz w:val="21"/>
                <w:szCs w:val="21"/>
              </w:rPr>
            </w:pPr>
            <w:r>
              <w:rPr>
                <w:color w:val="auto"/>
                <w:sz w:val="21"/>
                <w:szCs w:val="21"/>
              </w:rPr>
              <w:t>根据投标产品应用软件的实用性进行打分</w:t>
            </w:r>
            <w:r>
              <w:rPr>
                <w:rFonts w:hint="eastAsia"/>
                <w:color w:val="auto"/>
                <w:sz w:val="21"/>
                <w:szCs w:val="21"/>
              </w:rPr>
              <w:t>。</w:t>
            </w:r>
          </w:p>
        </w:tc>
        <w:tc>
          <w:tcPr>
            <w:tcW w:w="666" w:type="dxa"/>
            <w:noWrap/>
            <w:vAlign w:val="center"/>
          </w:tcPr>
          <w:p>
            <w:pPr>
              <w:jc w:val="center"/>
              <w:rPr>
                <w:rFonts w:ascii="Times New Roman" w:hAnsi="Times New Roman" w:cs="Times New Roman"/>
                <w:color w:val="auto"/>
              </w:rPr>
            </w:pPr>
            <w:r>
              <w:rPr>
                <w:rFonts w:hint="eastAsia" w:ascii="Times New Roman" w:hAnsi="Times New Roman" w:cs="Times New Roman"/>
                <w:color w:val="auto"/>
                <w:lang w:val="en-US" w:eastAsia="zh-CN"/>
              </w:rPr>
              <w:t>0-2</w:t>
            </w:r>
          </w:p>
        </w:tc>
        <w:tc>
          <w:tcPr>
            <w:tcW w:w="880" w:type="dxa"/>
            <w:noWrap/>
            <w:vAlign w:val="center"/>
          </w:tcPr>
          <w:p>
            <w:pPr>
              <w:jc w:val="center"/>
              <w:rPr>
                <w:color w:val="auto"/>
                <w:sz w:val="21"/>
                <w:szCs w:val="21"/>
              </w:rPr>
            </w:pPr>
            <w:r>
              <w:rPr>
                <w:rFonts w:hint="default"/>
                <w:color w:val="auto"/>
                <w:sz w:val="21"/>
                <w:szCs w:val="21"/>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62" w:type="dxa"/>
            <w:vMerge w:val="continue"/>
            <w:noWrap/>
            <w:vAlign w:val="center"/>
          </w:tcPr>
          <w:p>
            <w:pPr>
              <w:jc w:val="center"/>
              <w:rPr>
                <w:color w:val="auto"/>
                <w:sz w:val="21"/>
                <w:szCs w:val="21"/>
              </w:rPr>
            </w:pPr>
          </w:p>
        </w:tc>
        <w:tc>
          <w:tcPr>
            <w:tcW w:w="705" w:type="dxa"/>
            <w:vMerge w:val="continue"/>
            <w:noWrap/>
            <w:vAlign w:val="center"/>
          </w:tcPr>
          <w:p>
            <w:pPr>
              <w:jc w:val="center"/>
              <w:rPr>
                <w:color w:val="auto"/>
                <w:sz w:val="21"/>
                <w:szCs w:val="21"/>
              </w:rPr>
            </w:pPr>
          </w:p>
        </w:tc>
        <w:tc>
          <w:tcPr>
            <w:tcW w:w="645" w:type="dxa"/>
            <w:vMerge w:val="continue"/>
            <w:noWrap/>
            <w:vAlign w:val="center"/>
          </w:tcPr>
          <w:p>
            <w:pPr>
              <w:pStyle w:val="26"/>
              <w:jc w:val="center"/>
              <w:rPr>
                <w:rFonts w:ascii="Times New Roman" w:hAnsi="Times New Roman" w:cs="Times New Roman"/>
                <w:color w:val="auto"/>
              </w:rPr>
            </w:pPr>
          </w:p>
        </w:tc>
        <w:tc>
          <w:tcPr>
            <w:tcW w:w="6285" w:type="dxa"/>
            <w:noWrap/>
            <w:vAlign w:val="center"/>
          </w:tcPr>
          <w:p>
            <w:pPr>
              <w:rPr>
                <w:color w:val="auto"/>
                <w:sz w:val="21"/>
                <w:szCs w:val="21"/>
              </w:rPr>
            </w:pPr>
            <w:r>
              <w:rPr>
                <w:color w:val="auto"/>
                <w:sz w:val="21"/>
                <w:szCs w:val="21"/>
              </w:rPr>
              <w:t>根据投标产品应用软件</w:t>
            </w:r>
            <w:r>
              <w:rPr>
                <w:rFonts w:hint="eastAsia"/>
                <w:color w:val="auto"/>
                <w:sz w:val="21"/>
                <w:szCs w:val="21"/>
                <w:lang w:val="en-US" w:eastAsia="zh-CN"/>
              </w:rPr>
              <w:t>的</w:t>
            </w:r>
            <w:r>
              <w:rPr>
                <w:color w:val="auto"/>
                <w:sz w:val="21"/>
                <w:szCs w:val="21"/>
              </w:rPr>
              <w:t>新颖性、完整性进行打分</w:t>
            </w:r>
            <w:r>
              <w:rPr>
                <w:rFonts w:hint="eastAsia"/>
                <w:color w:val="auto"/>
                <w:sz w:val="21"/>
                <w:szCs w:val="21"/>
              </w:rPr>
              <w:t>。</w:t>
            </w:r>
          </w:p>
        </w:tc>
        <w:tc>
          <w:tcPr>
            <w:tcW w:w="666" w:type="dxa"/>
            <w:noWrap/>
            <w:vAlign w:val="center"/>
          </w:tcPr>
          <w:p>
            <w:pPr>
              <w:jc w:val="center"/>
              <w:rPr>
                <w:rFonts w:ascii="Times New Roman" w:hAnsi="Times New Roman" w:cs="Times New Roman"/>
                <w:color w:val="auto"/>
              </w:rPr>
            </w:pPr>
            <w:r>
              <w:rPr>
                <w:rFonts w:hint="eastAsia" w:ascii="Times New Roman" w:hAnsi="Times New Roman" w:cs="Times New Roman"/>
                <w:color w:val="auto"/>
                <w:lang w:val="en-US" w:eastAsia="zh-CN"/>
              </w:rPr>
              <w:t>0-2</w:t>
            </w:r>
          </w:p>
        </w:tc>
        <w:tc>
          <w:tcPr>
            <w:tcW w:w="880" w:type="dxa"/>
            <w:noWrap/>
            <w:vAlign w:val="center"/>
          </w:tcPr>
          <w:p>
            <w:pPr>
              <w:jc w:val="center"/>
              <w:rPr>
                <w:color w:val="auto"/>
                <w:sz w:val="21"/>
                <w:szCs w:val="21"/>
              </w:rPr>
            </w:pPr>
            <w:r>
              <w:rPr>
                <w:rFonts w:hint="default"/>
                <w:color w:val="auto"/>
                <w:sz w:val="21"/>
                <w:szCs w:val="21"/>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62" w:type="dxa"/>
            <w:vMerge w:val="continue"/>
            <w:noWrap/>
            <w:vAlign w:val="center"/>
          </w:tcPr>
          <w:p>
            <w:pPr>
              <w:jc w:val="center"/>
              <w:rPr>
                <w:sz w:val="21"/>
                <w:szCs w:val="21"/>
              </w:rPr>
            </w:pPr>
          </w:p>
        </w:tc>
        <w:tc>
          <w:tcPr>
            <w:tcW w:w="705" w:type="dxa"/>
            <w:vMerge w:val="continue"/>
            <w:noWrap/>
            <w:vAlign w:val="center"/>
          </w:tcPr>
          <w:p>
            <w:pPr>
              <w:jc w:val="center"/>
              <w:rPr>
                <w:sz w:val="21"/>
                <w:szCs w:val="21"/>
              </w:rPr>
            </w:pPr>
          </w:p>
        </w:tc>
        <w:tc>
          <w:tcPr>
            <w:tcW w:w="645" w:type="dxa"/>
            <w:vMerge w:val="continue"/>
            <w:noWrap/>
            <w:vAlign w:val="center"/>
          </w:tcPr>
          <w:p>
            <w:pPr>
              <w:pStyle w:val="26"/>
              <w:jc w:val="center"/>
              <w:rPr>
                <w:rFonts w:ascii="Times New Roman" w:hAnsi="Times New Roman" w:cs="Times New Roman"/>
              </w:rPr>
            </w:pPr>
          </w:p>
        </w:tc>
        <w:tc>
          <w:tcPr>
            <w:tcW w:w="6285" w:type="dxa"/>
            <w:noWrap/>
            <w:vAlign w:val="center"/>
          </w:tcPr>
          <w:p>
            <w:pPr>
              <w:rPr>
                <w:color w:val="auto"/>
                <w:sz w:val="21"/>
                <w:szCs w:val="21"/>
              </w:rPr>
            </w:pPr>
            <w:r>
              <w:rPr>
                <w:color w:val="auto"/>
                <w:sz w:val="21"/>
                <w:szCs w:val="21"/>
              </w:rPr>
              <w:t>根据投标产品应用软件的</w:t>
            </w:r>
            <w:r>
              <w:rPr>
                <w:rFonts w:hint="eastAsia"/>
                <w:color w:val="auto"/>
                <w:sz w:val="21"/>
                <w:szCs w:val="21"/>
                <w:lang w:val="en-US" w:eastAsia="zh-CN"/>
              </w:rPr>
              <w:t>成熟</w:t>
            </w:r>
            <w:r>
              <w:rPr>
                <w:color w:val="auto"/>
                <w:sz w:val="21"/>
                <w:szCs w:val="21"/>
              </w:rPr>
              <w:t>性进行打分</w:t>
            </w:r>
            <w:r>
              <w:rPr>
                <w:rFonts w:hint="eastAsia"/>
                <w:color w:val="auto"/>
                <w:sz w:val="21"/>
                <w:szCs w:val="21"/>
              </w:rPr>
              <w:t>。</w:t>
            </w:r>
          </w:p>
        </w:tc>
        <w:tc>
          <w:tcPr>
            <w:tcW w:w="666" w:type="dxa"/>
            <w:noWrap/>
            <w:vAlign w:val="center"/>
          </w:tcPr>
          <w:p>
            <w:pPr>
              <w:jc w:val="center"/>
              <w:rPr>
                <w:rFonts w:ascii="Times New Roman" w:hAnsi="Times New Roman" w:cs="Times New Roman"/>
                <w:color w:val="auto"/>
              </w:rPr>
            </w:pPr>
            <w:r>
              <w:rPr>
                <w:rFonts w:hint="eastAsia" w:ascii="Times New Roman" w:hAnsi="Times New Roman" w:cs="Times New Roman"/>
                <w:color w:val="auto"/>
                <w:lang w:val="en-US" w:eastAsia="zh-CN"/>
              </w:rPr>
              <w:t>0-2</w:t>
            </w:r>
          </w:p>
        </w:tc>
        <w:tc>
          <w:tcPr>
            <w:tcW w:w="880" w:type="dxa"/>
            <w:noWrap/>
            <w:vAlign w:val="center"/>
          </w:tcPr>
          <w:p>
            <w:pPr>
              <w:jc w:val="center"/>
              <w:rPr>
                <w:color w:val="auto"/>
                <w:sz w:val="21"/>
                <w:szCs w:val="21"/>
              </w:rPr>
            </w:pPr>
            <w:r>
              <w:rPr>
                <w:rFonts w:hint="default"/>
                <w:color w:val="auto"/>
                <w:sz w:val="21"/>
                <w:szCs w:val="21"/>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62" w:type="dxa"/>
            <w:vMerge w:val="restart"/>
            <w:noWrap/>
            <w:vAlign w:val="center"/>
          </w:tcPr>
          <w:p>
            <w:pPr>
              <w:jc w:val="center"/>
              <w:rPr>
                <w:rFonts w:hint="eastAsia" w:eastAsia="宋体"/>
                <w:lang w:eastAsia="zh-CN"/>
              </w:rPr>
            </w:pPr>
            <w:r>
              <w:rPr>
                <w:rFonts w:hint="eastAsia"/>
                <w:sz w:val="21"/>
                <w:szCs w:val="21"/>
                <w:lang w:val="en-US" w:eastAsia="zh-CN"/>
              </w:rPr>
              <w:t>8</w:t>
            </w:r>
          </w:p>
        </w:tc>
        <w:tc>
          <w:tcPr>
            <w:tcW w:w="1350" w:type="dxa"/>
            <w:gridSpan w:val="2"/>
            <w:vMerge w:val="restart"/>
            <w:noWrap/>
            <w:vAlign w:val="center"/>
          </w:tcPr>
          <w:p>
            <w:pPr>
              <w:jc w:val="center"/>
            </w:pPr>
            <w:r>
              <w:rPr>
                <w:sz w:val="21"/>
                <w:szCs w:val="21"/>
              </w:rPr>
              <w:t>产品演示</w:t>
            </w:r>
          </w:p>
        </w:tc>
        <w:tc>
          <w:tcPr>
            <w:tcW w:w="6285" w:type="dxa"/>
            <w:noWrap/>
            <w:vAlign w:val="center"/>
          </w:tcPr>
          <w:p>
            <w:pPr>
              <w:rPr>
                <w:color w:val="auto"/>
              </w:rPr>
            </w:pPr>
            <w:r>
              <w:rPr>
                <w:color w:val="auto"/>
                <w:sz w:val="21"/>
                <w:szCs w:val="21"/>
              </w:rPr>
              <w:t>1.根据触控一体机输出的图像、文字、4K高清视频、动画等的清晰度及播放声音的效果方面打分（</w:t>
            </w:r>
            <w:r>
              <w:rPr>
                <w:rFonts w:hint="eastAsia" w:ascii="Times New Roman" w:hAnsi="Times New Roman" w:cs="Times New Roman"/>
                <w:color w:val="auto"/>
                <w:lang w:val="en-US" w:eastAsia="zh-CN"/>
              </w:rPr>
              <w:t>0-2</w:t>
            </w:r>
            <w:r>
              <w:rPr>
                <w:color w:val="auto"/>
                <w:sz w:val="21"/>
                <w:szCs w:val="21"/>
              </w:rPr>
              <w:t>分）；</w:t>
            </w:r>
          </w:p>
        </w:tc>
        <w:tc>
          <w:tcPr>
            <w:tcW w:w="666" w:type="dxa"/>
            <w:noWrap/>
            <w:vAlign w:val="center"/>
          </w:tcPr>
          <w:p>
            <w:pPr>
              <w:pStyle w:val="26"/>
              <w:jc w:val="center"/>
              <w:rPr>
                <w:color w:val="auto"/>
              </w:rPr>
            </w:pPr>
            <w:r>
              <w:rPr>
                <w:rFonts w:hint="eastAsia" w:ascii="Times New Roman" w:hAnsi="Times New Roman" w:cs="Times New Roman"/>
                <w:color w:val="auto"/>
                <w:lang w:val="en-US" w:eastAsia="zh-CN"/>
              </w:rPr>
              <w:t>0-2</w:t>
            </w:r>
          </w:p>
        </w:tc>
        <w:tc>
          <w:tcPr>
            <w:tcW w:w="880" w:type="dxa"/>
            <w:noWrap/>
            <w:vAlign w:val="center"/>
          </w:tcPr>
          <w:p>
            <w:pPr>
              <w:jc w:val="center"/>
              <w:rPr>
                <w:color w:val="auto"/>
                <w:sz w:val="21"/>
                <w:szCs w:val="21"/>
              </w:rPr>
            </w:pPr>
            <w:r>
              <w:rPr>
                <w:color w:val="auto"/>
                <w:sz w:val="21"/>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62" w:type="dxa"/>
            <w:vMerge w:val="continue"/>
            <w:noWrap/>
            <w:vAlign w:val="center"/>
          </w:tcPr>
          <w:p>
            <w:pPr>
              <w:jc w:val="center"/>
            </w:pPr>
          </w:p>
          <w:p>
            <w:pPr>
              <w:rPr>
                <w:sz w:val="21"/>
                <w:szCs w:val="21"/>
              </w:rPr>
            </w:pPr>
            <w:r>
              <w:rPr>
                <w:sz w:val="21"/>
                <w:szCs w:val="21"/>
              </w:rPr>
              <w:t>客观分</w:t>
            </w:r>
          </w:p>
          <w:p>
            <w:pPr>
              <w:rPr>
                <w:sz w:val="21"/>
                <w:szCs w:val="21"/>
              </w:rPr>
            </w:pPr>
            <w:r>
              <w:rPr>
                <w:sz w:val="21"/>
                <w:szCs w:val="21"/>
              </w:rPr>
              <w:t>客观分</w:t>
            </w:r>
          </w:p>
          <w:p>
            <w:pPr>
              <w:rPr>
                <w:sz w:val="21"/>
                <w:szCs w:val="21"/>
              </w:rPr>
            </w:pPr>
            <w:r>
              <w:rPr>
                <w:sz w:val="21"/>
                <w:szCs w:val="21"/>
              </w:rPr>
              <w:t>客观分</w:t>
            </w:r>
          </w:p>
          <w:p>
            <w:pPr>
              <w:rPr>
                <w:sz w:val="21"/>
                <w:szCs w:val="21"/>
              </w:rPr>
            </w:pPr>
            <w:r>
              <w:rPr>
                <w:sz w:val="21"/>
                <w:szCs w:val="21"/>
              </w:rPr>
              <w:t>客观分</w:t>
            </w:r>
          </w:p>
          <w:p>
            <w:pPr>
              <w:rPr>
                <w:sz w:val="21"/>
                <w:szCs w:val="21"/>
              </w:rPr>
            </w:pPr>
            <w:r>
              <w:rPr>
                <w:sz w:val="21"/>
                <w:szCs w:val="21"/>
              </w:rPr>
              <w:t>客观分</w:t>
            </w:r>
          </w:p>
          <w:p>
            <w:pPr>
              <w:rPr>
                <w:sz w:val="21"/>
                <w:szCs w:val="21"/>
              </w:rPr>
            </w:pPr>
            <w:r>
              <w:rPr>
                <w:sz w:val="21"/>
                <w:szCs w:val="21"/>
              </w:rPr>
              <w:t>客观分</w:t>
            </w:r>
          </w:p>
          <w:p>
            <w:r>
              <w:rPr>
                <w:sz w:val="21"/>
                <w:szCs w:val="21"/>
              </w:rPr>
              <w:t>客观分</w:t>
            </w:r>
          </w:p>
        </w:tc>
        <w:tc>
          <w:tcPr>
            <w:tcW w:w="1350" w:type="dxa"/>
            <w:gridSpan w:val="2"/>
            <w:vMerge w:val="continue"/>
            <w:noWrap/>
            <w:vAlign w:val="center"/>
          </w:tcPr>
          <w:p>
            <w:pPr>
              <w:jc w:val="center"/>
            </w:pPr>
          </w:p>
          <w:p>
            <w:pPr>
              <w:rPr>
                <w:sz w:val="21"/>
                <w:szCs w:val="21"/>
              </w:rPr>
            </w:pPr>
            <w:r>
              <w:rPr>
                <w:sz w:val="21"/>
                <w:szCs w:val="21"/>
              </w:rPr>
              <w:t>客观分</w:t>
            </w:r>
          </w:p>
          <w:p>
            <w:pPr>
              <w:rPr>
                <w:sz w:val="21"/>
                <w:szCs w:val="21"/>
              </w:rPr>
            </w:pPr>
            <w:r>
              <w:rPr>
                <w:sz w:val="21"/>
                <w:szCs w:val="21"/>
              </w:rPr>
              <w:t>客观分</w:t>
            </w:r>
          </w:p>
          <w:p>
            <w:pPr>
              <w:rPr>
                <w:sz w:val="21"/>
                <w:szCs w:val="21"/>
              </w:rPr>
            </w:pPr>
            <w:r>
              <w:rPr>
                <w:sz w:val="21"/>
                <w:szCs w:val="21"/>
              </w:rPr>
              <w:t>客观分</w:t>
            </w:r>
          </w:p>
          <w:p>
            <w:pPr>
              <w:rPr>
                <w:sz w:val="21"/>
                <w:szCs w:val="21"/>
              </w:rPr>
            </w:pPr>
            <w:r>
              <w:rPr>
                <w:sz w:val="21"/>
                <w:szCs w:val="21"/>
              </w:rPr>
              <w:t>客观分</w:t>
            </w:r>
          </w:p>
          <w:p>
            <w:pPr>
              <w:rPr>
                <w:sz w:val="21"/>
                <w:szCs w:val="21"/>
              </w:rPr>
            </w:pPr>
            <w:r>
              <w:rPr>
                <w:sz w:val="21"/>
                <w:szCs w:val="21"/>
              </w:rPr>
              <w:t>客观分</w:t>
            </w:r>
          </w:p>
          <w:p>
            <w:pPr>
              <w:rPr>
                <w:sz w:val="21"/>
                <w:szCs w:val="21"/>
              </w:rPr>
            </w:pPr>
            <w:r>
              <w:rPr>
                <w:sz w:val="21"/>
                <w:szCs w:val="21"/>
              </w:rPr>
              <w:t>客观分</w:t>
            </w:r>
          </w:p>
          <w:p>
            <w:r>
              <w:rPr>
                <w:sz w:val="21"/>
                <w:szCs w:val="21"/>
              </w:rPr>
              <w:t>客观分</w:t>
            </w:r>
          </w:p>
        </w:tc>
        <w:tc>
          <w:tcPr>
            <w:tcW w:w="6285" w:type="dxa"/>
            <w:noWrap/>
            <w:vAlign w:val="center"/>
          </w:tcPr>
          <w:p>
            <w:pPr>
              <w:rPr>
                <w:color w:val="auto"/>
              </w:rPr>
            </w:pPr>
            <w:r>
              <w:rPr>
                <w:color w:val="auto"/>
                <w:sz w:val="21"/>
                <w:szCs w:val="21"/>
              </w:rPr>
              <w:t>2.配有USB有线传屏器或通过无线传屏技术实现外部电脑、移动设备与多媒体触控一体机之间高清视频信号、音频信号以及触摸信号的实时传输。满足以上功能得1分，否则不得分；</w:t>
            </w:r>
          </w:p>
        </w:tc>
        <w:tc>
          <w:tcPr>
            <w:tcW w:w="666" w:type="dxa"/>
            <w:noWrap/>
            <w:vAlign w:val="center"/>
          </w:tcPr>
          <w:p>
            <w:pPr>
              <w:jc w:val="center"/>
              <w:rPr>
                <w:color w:val="auto"/>
              </w:rPr>
            </w:pPr>
            <w:r>
              <w:rPr>
                <w:rFonts w:hint="eastAsia"/>
                <w:color w:val="auto"/>
                <w:sz w:val="21"/>
                <w:szCs w:val="21"/>
              </w:rPr>
              <w:t>0-1</w:t>
            </w:r>
          </w:p>
        </w:tc>
        <w:tc>
          <w:tcPr>
            <w:tcW w:w="880" w:type="dxa"/>
            <w:noWrap/>
            <w:vAlign w:val="center"/>
          </w:tcPr>
          <w:p>
            <w:pPr>
              <w:jc w:val="center"/>
              <w:rPr>
                <w:color w:val="auto"/>
                <w:sz w:val="21"/>
                <w:szCs w:val="21"/>
              </w:rPr>
            </w:pPr>
            <w:r>
              <w:rPr>
                <w:color w:val="auto"/>
                <w:sz w:val="21"/>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62" w:type="dxa"/>
            <w:vMerge w:val="continue"/>
            <w:noWrap/>
            <w:vAlign w:val="center"/>
          </w:tcPr>
          <w:p>
            <w:pPr>
              <w:jc w:val="center"/>
              <w:rPr>
                <w:sz w:val="21"/>
                <w:szCs w:val="21"/>
              </w:rPr>
            </w:pPr>
          </w:p>
        </w:tc>
        <w:tc>
          <w:tcPr>
            <w:tcW w:w="1350" w:type="dxa"/>
            <w:gridSpan w:val="2"/>
            <w:vMerge w:val="continue"/>
            <w:noWrap/>
            <w:vAlign w:val="center"/>
          </w:tcPr>
          <w:p>
            <w:pPr>
              <w:jc w:val="center"/>
              <w:rPr>
                <w:sz w:val="21"/>
                <w:szCs w:val="21"/>
              </w:rPr>
            </w:pPr>
          </w:p>
        </w:tc>
        <w:tc>
          <w:tcPr>
            <w:tcW w:w="6285" w:type="dxa"/>
            <w:noWrap/>
            <w:vAlign w:val="center"/>
          </w:tcPr>
          <w:p>
            <w:pPr>
              <w:rPr>
                <w:sz w:val="21"/>
                <w:szCs w:val="21"/>
              </w:rPr>
            </w:pPr>
            <w:r>
              <w:rPr>
                <w:sz w:val="21"/>
                <w:szCs w:val="21"/>
              </w:rPr>
              <w:t>3. 支持智能锁功能，</w:t>
            </w:r>
            <w:r>
              <w:rPr>
                <w:rFonts w:hint="default"/>
                <w:sz w:val="21"/>
                <w:szCs w:val="21"/>
                <w:lang w:val="en-US" w:eastAsia="zh-CN"/>
              </w:rPr>
              <w:t>整机可设置快速锁定</w:t>
            </w:r>
            <w:r>
              <w:rPr>
                <w:sz w:val="21"/>
                <w:szCs w:val="21"/>
              </w:rPr>
              <w:t>，保证无关人士无法自由操作。满足得1分，否则不得分；</w:t>
            </w:r>
          </w:p>
        </w:tc>
        <w:tc>
          <w:tcPr>
            <w:tcW w:w="666" w:type="dxa"/>
            <w:noWrap/>
            <w:vAlign w:val="center"/>
          </w:tcPr>
          <w:p>
            <w:pPr>
              <w:jc w:val="center"/>
              <w:rPr>
                <w:sz w:val="21"/>
                <w:szCs w:val="21"/>
              </w:rPr>
            </w:pPr>
            <w:r>
              <w:rPr>
                <w:rFonts w:hint="eastAsia"/>
                <w:sz w:val="21"/>
                <w:szCs w:val="21"/>
              </w:rPr>
              <w:t>0-1</w:t>
            </w:r>
          </w:p>
        </w:tc>
        <w:tc>
          <w:tcPr>
            <w:tcW w:w="880" w:type="dxa"/>
            <w:noWrap/>
            <w:vAlign w:val="center"/>
          </w:tcPr>
          <w:p>
            <w:pPr>
              <w:jc w:val="center"/>
              <w:rPr>
                <w:sz w:val="21"/>
                <w:szCs w:val="21"/>
              </w:rPr>
            </w:pPr>
            <w:r>
              <w:rPr>
                <w:sz w:val="21"/>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62" w:type="dxa"/>
            <w:vMerge w:val="continue"/>
            <w:noWrap/>
            <w:vAlign w:val="center"/>
          </w:tcPr>
          <w:p>
            <w:pPr>
              <w:jc w:val="center"/>
              <w:rPr>
                <w:sz w:val="21"/>
                <w:szCs w:val="21"/>
              </w:rPr>
            </w:pPr>
          </w:p>
        </w:tc>
        <w:tc>
          <w:tcPr>
            <w:tcW w:w="1350" w:type="dxa"/>
            <w:gridSpan w:val="2"/>
            <w:vMerge w:val="continue"/>
            <w:noWrap/>
            <w:vAlign w:val="center"/>
          </w:tcPr>
          <w:p>
            <w:pPr>
              <w:jc w:val="center"/>
              <w:rPr>
                <w:sz w:val="21"/>
                <w:szCs w:val="21"/>
              </w:rPr>
            </w:pPr>
          </w:p>
        </w:tc>
        <w:tc>
          <w:tcPr>
            <w:tcW w:w="6285" w:type="dxa"/>
            <w:noWrap/>
            <w:vAlign w:val="center"/>
          </w:tcPr>
          <w:p>
            <w:pPr>
              <w:rPr>
                <w:sz w:val="21"/>
                <w:szCs w:val="21"/>
              </w:rPr>
            </w:pPr>
            <w:r>
              <w:rPr>
                <w:rFonts w:hint="eastAsia"/>
                <w:sz w:val="21"/>
                <w:szCs w:val="21"/>
                <w:lang w:val="en-US" w:eastAsia="zh-CN"/>
              </w:rPr>
              <w:t>4</w:t>
            </w:r>
            <w:r>
              <w:rPr>
                <w:sz w:val="21"/>
                <w:szCs w:val="21"/>
              </w:rPr>
              <w:t>. 无需任何软件或硬件按钮，通过手势即可实现黑屏和唤醒屏体的，得1分，否则不得分；</w:t>
            </w:r>
          </w:p>
        </w:tc>
        <w:tc>
          <w:tcPr>
            <w:tcW w:w="666" w:type="dxa"/>
            <w:noWrap/>
            <w:vAlign w:val="center"/>
          </w:tcPr>
          <w:p>
            <w:pPr>
              <w:jc w:val="center"/>
              <w:rPr>
                <w:sz w:val="21"/>
                <w:szCs w:val="21"/>
              </w:rPr>
            </w:pPr>
            <w:r>
              <w:rPr>
                <w:rFonts w:hint="eastAsia"/>
                <w:sz w:val="21"/>
                <w:szCs w:val="21"/>
              </w:rPr>
              <w:t>0-1</w:t>
            </w:r>
          </w:p>
        </w:tc>
        <w:tc>
          <w:tcPr>
            <w:tcW w:w="880" w:type="dxa"/>
            <w:noWrap/>
            <w:vAlign w:val="center"/>
          </w:tcPr>
          <w:p>
            <w:pPr>
              <w:jc w:val="both"/>
              <w:rPr>
                <w:sz w:val="21"/>
                <w:szCs w:val="21"/>
              </w:rPr>
            </w:pPr>
            <w:r>
              <w:rPr>
                <w:sz w:val="21"/>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62" w:type="dxa"/>
            <w:vMerge w:val="continue"/>
            <w:noWrap/>
            <w:vAlign w:val="center"/>
          </w:tcPr>
          <w:p>
            <w:pPr>
              <w:jc w:val="center"/>
              <w:rPr>
                <w:sz w:val="21"/>
                <w:szCs w:val="21"/>
              </w:rPr>
            </w:pPr>
          </w:p>
        </w:tc>
        <w:tc>
          <w:tcPr>
            <w:tcW w:w="1350" w:type="dxa"/>
            <w:gridSpan w:val="2"/>
            <w:vMerge w:val="continue"/>
            <w:noWrap/>
            <w:vAlign w:val="center"/>
          </w:tcPr>
          <w:p>
            <w:pPr>
              <w:jc w:val="center"/>
              <w:rPr>
                <w:sz w:val="21"/>
                <w:szCs w:val="21"/>
              </w:rPr>
            </w:pPr>
          </w:p>
        </w:tc>
        <w:tc>
          <w:tcPr>
            <w:tcW w:w="6285" w:type="dxa"/>
            <w:noWrap/>
            <w:vAlign w:val="center"/>
          </w:tcPr>
          <w:p>
            <w:pPr>
              <w:rPr>
                <w:sz w:val="21"/>
                <w:szCs w:val="21"/>
              </w:rPr>
            </w:pPr>
            <w:r>
              <w:rPr>
                <w:rFonts w:hint="eastAsia"/>
                <w:sz w:val="21"/>
                <w:szCs w:val="21"/>
                <w:lang w:val="en-US" w:eastAsia="zh-CN"/>
              </w:rPr>
              <w:t>5</w:t>
            </w:r>
            <w:r>
              <w:rPr>
                <w:sz w:val="21"/>
                <w:szCs w:val="21"/>
              </w:rPr>
              <w:t>.在Windows和Android双系统下，可</w:t>
            </w:r>
            <w:r>
              <w:rPr>
                <w:rFonts w:hint="eastAsia"/>
                <w:sz w:val="21"/>
                <w:szCs w:val="21"/>
                <w:lang w:val="en-US" w:eastAsia="zh-CN"/>
              </w:rPr>
              <w:t>支持</w:t>
            </w:r>
            <w:r>
              <w:rPr>
                <w:sz w:val="21"/>
                <w:szCs w:val="21"/>
              </w:rPr>
              <w:t>一键</w:t>
            </w:r>
            <w:r>
              <w:rPr>
                <w:rFonts w:hint="eastAsia"/>
                <w:sz w:val="21"/>
                <w:szCs w:val="21"/>
                <w:lang w:val="en-US" w:eastAsia="zh-CN"/>
              </w:rPr>
              <w:t>快捷</w:t>
            </w:r>
            <w:r>
              <w:rPr>
                <w:sz w:val="21"/>
                <w:szCs w:val="21"/>
              </w:rPr>
              <w:t>切换信号源通道。满足得1分，否则不得分；</w:t>
            </w:r>
          </w:p>
        </w:tc>
        <w:tc>
          <w:tcPr>
            <w:tcW w:w="666" w:type="dxa"/>
            <w:noWrap/>
            <w:vAlign w:val="center"/>
          </w:tcPr>
          <w:p>
            <w:pPr>
              <w:jc w:val="center"/>
              <w:rPr>
                <w:sz w:val="21"/>
                <w:szCs w:val="21"/>
              </w:rPr>
            </w:pPr>
            <w:r>
              <w:rPr>
                <w:rFonts w:hint="eastAsia"/>
                <w:sz w:val="21"/>
                <w:szCs w:val="21"/>
              </w:rPr>
              <w:t>0-1</w:t>
            </w:r>
          </w:p>
        </w:tc>
        <w:tc>
          <w:tcPr>
            <w:tcW w:w="880" w:type="dxa"/>
            <w:noWrap/>
            <w:vAlign w:val="center"/>
          </w:tcPr>
          <w:p>
            <w:pPr>
              <w:jc w:val="center"/>
              <w:rPr>
                <w:sz w:val="21"/>
                <w:szCs w:val="21"/>
              </w:rPr>
            </w:pPr>
            <w:r>
              <w:rPr>
                <w:sz w:val="21"/>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62" w:type="dxa"/>
            <w:vMerge w:val="continue"/>
            <w:noWrap/>
            <w:vAlign w:val="center"/>
          </w:tcPr>
          <w:p>
            <w:pPr>
              <w:jc w:val="center"/>
              <w:rPr>
                <w:sz w:val="21"/>
                <w:szCs w:val="21"/>
              </w:rPr>
            </w:pPr>
          </w:p>
        </w:tc>
        <w:tc>
          <w:tcPr>
            <w:tcW w:w="1350" w:type="dxa"/>
            <w:gridSpan w:val="2"/>
            <w:vMerge w:val="continue"/>
            <w:noWrap/>
            <w:vAlign w:val="center"/>
          </w:tcPr>
          <w:p>
            <w:pPr>
              <w:jc w:val="center"/>
              <w:rPr>
                <w:sz w:val="21"/>
                <w:szCs w:val="21"/>
              </w:rPr>
            </w:pPr>
          </w:p>
        </w:tc>
        <w:tc>
          <w:tcPr>
            <w:tcW w:w="6285" w:type="dxa"/>
            <w:noWrap/>
            <w:vAlign w:val="center"/>
          </w:tcPr>
          <w:p>
            <w:pPr>
              <w:rPr>
                <w:sz w:val="21"/>
                <w:szCs w:val="21"/>
              </w:rPr>
            </w:pPr>
            <w:r>
              <w:rPr>
                <w:rFonts w:hint="eastAsia"/>
                <w:sz w:val="21"/>
                <w:szCs w:val="21"/>
                <w:lang w:val="en-US" w:eastAsia="zh-CN"/>
              </w:rPr>
              <w:t>6</w:t>
            </w:r>
            <w:r>
              <w:rPr>
                <w:sz w:val="21"/>
                <w:szCs w:val="21"/>
              </w:rPr>
              <w:t>.整机处于任意通道下，可调用互动教学功能。满足得1分，否则不得分；</w:t>
            </w:r>
          </w:p>
        </w:tc>
        <w:tc>
          <w:tcPr>
            <w:tcW w:w="666" w:type="dxa"/>
            <w:noWrap/>
            <w:vAlign w:val="center"/>
          </w:tcPr>
          <w:p>
            <w:pPr>
              <w:jc w:val="center"/>
              <w:rPr>
                <w:sz w:val="21"/>
                <w:szCs w:val="21"/>
              </w:rPr>
            </w:pPr>
            <w:r>
              <w:rPr>
                <w:rFonts w:hint="eastAsia"/>
                <w:sz w:val="21"/>
                <w:szCs w:val="21"/>
              </w:rPr>
              <w:t>0-1</w:t>
            </w:r>
          </w:p>
        </w:tc>
        <w:tc>
          <w:tcPr>
            <w:tcW w:w="880" w:type="dxa"/>
            <w:noWrap/>
            <w:vAlign w:val="center"/>
          </w:tcPr>
          <w:p>
            <w:pPr>
              <w:jc w:val="center"/>
              <w:rPr>
                <w:sz w:val="21"/>
                <w:szCs w:val="21"/>
              </w:rPr>
            </w:pPr>
            <w:r>
              <w:rPr>
                <w:sz w:val="21"/>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62" w:type="dxa"/>
            <w:vMerge w:val="continue"/>
            <w:noWrap/>
            <w:vAlign w:val="center"/>
          </w:tcPr>
          <w:p>
            <w:pPr>
              <w:jc w:val="center"/>
              <w:rPr>
                <w:sz w:val="21"/>
                <w:szCs w:val="21"/>
              </w:rPr>
            </w:pPr>
          </w:p>
        </w:tc>
        <w:tc>
          <w:tcPr>
            <w:tcW w:w="1350" w:type="dxa"/>
            <w:gridSpan w:val="2"/>
            <w:vMerge w:val="continue"/>
            <w:noWrap/>
            <w:vAlign w:val="center"/>
          </w:tcPr>
          <w:p>
            <w:pPr>
              <w:jc w:val="center"/>
              <w:rPr>
                <w:sz w:val="21"/>
                <w:szCs w:val="21"/>
              </w:rPr>
            </w:pPr>
          </w:p>
        </w:tc>
        <w:tc>
          <w:tcPr>
            <w:tcW w:w="6285" w:type="dxa"/>
            <w:noWrap/>
            <w:vAlign w:val="center"/>
          </w:tcPr>
          <w:p>
            <w:pPr>
              <w:pStyle w:val="22"/>
              <w:jc w:val="left"/>
              <w:rPr>
                <w:rFonts w:ascii="Times New Roman" w:hAnsi="Times New Roman"/>
                <w:color w:val="auto"/>
                <w:sz w:val="21"/>
                <w:szCs w:val="21"/>
              </w:rPr>
            </w:pPr>
            <w:r>
              <w:rPr>
                <w:rFonts w:hint="eastAsia" w:ascii="Times New Roman" w:hAnsi="Times New Roman"/>
                <w:b w:val="0"/>
                <w:bCs w:val="0"/>
                <w:color w:val="auto"/>
                <w:sz w:val="21"/>
                <w:szCs w:val="21"/>
                <w:lang w:val="en-US" w:eastAsia="zh-CN"/>
              </w:rPr>
              <w:t>7</w:t>
            </w:r>
            <w:r>
              <w:rPr>
                <w:rFonts w:ascii="Times New Roman" w:hAnsi="Times New Roman"/>
                <w:b w:val="0"/>
                <w:bCs w:val="0"/>
                <w:color w:val="auto"/>
                <w:sz w:val="21"/>
                <w:szCs w:val="21"/>
              </w:rPr>
              <w:t>.支持手势下移或快捷键方式实现屏幕下移，同时方便快捷返回全屏</w:t>
            </w:r>
            <w:r>
              <w:rPr>
                <w:rFonts w:hint="eastAsia" w:ascii="Times New Roman" w:hAnsi="Times New Roman"/>
                <w:b w:val="0"/>
                <w:bCs w:val="0"/>
                <w:color w:val="auto"/>
                <w:sz w:val="21"/>
                <w:szCs w:val="21"/>
              </w:rPr>
              <w:t>。</w:t>
            </w:r>
            <w:r>
              <w:rPr>
                <w:rFonts w:ascii="Times New Roman" w:hAnsi="Times New Roman"/>
                <w:b w:val="0"/>
                <w:bCs w:val="0"/>
                <w:color w:val="auto"/>
                <w:sz w:val="21"/>
                <w:szCs w:val="21"/>
              </w:rPr>
              <w:t>满足得1分，否则不得分；</w:t>
            </w:r>
          </w:p>
        </w:tc>
        <w:tc>
          <w:tcPr>
            <w:tcW w:w="666" w:type="dxa"/>
            <w:noWrap/>
            <w:vAlign w:val="center"/>
          </w:tcPr>
          <w:p>
            <w:pPr>
              <w:jc w:val="center"/>
              <w:rPr>
                <w:sz w:val="21"/>
                <w:szCs w:val="21"/>
              </w:rPr>
            </w:pPr>
            <w:r>
              <w:rPr>
                <w:rFonts w:hint="eastAsia"/>
                <w:sz w:val="21"/>
                <w:szCs w:val="21"/>
              </w:rPr>
              <w:t>0-1</w:t>
            </w:r>
          </w:p>
        </w:tc>
        <w:tc>
          <w:tcPr>
            <w:tcW w:w="880" w:type="dxa"/>
            <w:noWrap/>
            <w:vAlign w:val="center"/>
          </w:tcPr>
          <w:p>
            <w:pPr>
              <w:jc w:val="center"/>
              <w:rPr>
                <w:sz w:val="21"/>
                <w:szCs w:val="21"/>
              </w:rPr>
            </w:pPr>
            <w:r>
              <w:rPr>
                <w:sz w:val="21"/>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62" w:type="dxa"/>
            <w:vMerge w:val="continue"/>
            <w:noWrap/>
            <w:vAlign w:val="center"/>
          </w:tcPr>
          <w:p>
            <w:pPr>
              <w:jc w:val="center"/>
              <w:rPr>
                <w:sz w:val="21"/>
                <w:szCs w:val="21"/>
              </w:rPr>
            </w:pPr>
          </w:p>
        </w:tc>
        <w:tc>
          <w:tcPr>
            <w:tcW w:w="1350" w:type="dxa"/>
            <w:gridSpan w:val="2"/>
            <w:vMerge w:val="continue"/>
            <w:noWrap/>
            <w:vAlign w:val="center"/>
          </w:tcPr>
          <w:p>
            <w:pPr>
              <w:jc w:val="center"/>
              <w:rPr>
                <w:sz w:val="21"/>
                <w:szCs w:val="21"/>
              </w:rPr>
            </w:pPr>
          </w:p>
        </w:tc>
        <w:tc>
          <w:tcPr>
            <w:tcW w:w="6285" w:type="dxa"/>
            <w:noWrap/>
            <w:vAlign w:val="center"/>
          </w:tcPr>
          <w:p>
            <w:pPr>
              <w:snapToGrid w:val="0"/>
              <w:rPr>
                <w:sz w:val="21"/>
                <w:szCs w:val="21"/>
              </w:rPr>
            </w:pPr>
            <w:r>
              <w:rPr>
                <w:rFonts w:hint="eastAsia"/>
                <w:sz w:val="21"/>
                <w:szCs w:val="21"/>
                <w:lang w:val="en-US" w:eastAsia="zh-CN"/>
              </w:rPr>
              <w:t>8</w:t>
            </w:r>
            <w:r>
              <w:rPr>
                <w:sz w:val="21"/>
                <w:szCs w:val="21"/>
              </w:rPr>
              <w:t xml:space="preserve">.设备具有通过前置按键或快捷键方式一键启动录屏功能，可将屏幕中显示的课件、音频等内容与老师人声同步录制，方便制作教学视频的得1分，否则不得分； </w:t>
            </w:r>
          </w:p>
        </w:tc>
        <w:tc>
          <w:tcPr>
            <w:tcW w:w="666" w:type="dxa"/>
            <w:noWrap/>
            <w:vAlign w:val="center"/>
          </w:tcPr>
          <w:p>
            <w:pPr>
              <w:jc w:val="center"/>
              <w:rPr>
                <w:sz w:val="21"/>
                <w:szCs w:val="21"/>
              </w:rPr>
            </w:pPr>
            <w:r>
              <w:rPr>
                <w:rFonts w:hint="eastAsia"/>
                <w:sz w:val="21"/>
                <w:szCs w:val="21"/>
              </w:rPr>
              <w:t>0-1</w:t>
            </w:r>
          </w:p>
        </w:tc>
        <w:tc>
          <w:tcPr>
            <w:tcW w:w="880" w:type="dxa"/>
            <w:noWrap/>
            <w:vAlign w:val="center"/>
          </w:tcPr>
          <w:p>
            <w:pPr>
              <w:jc w:val="center"/>
              <w:rPr>
                <w:sz w:val="21"/>
                <w:szCs w:val="21"/>
              </w:rPr>
            </w:pPr>
            <w:r>
              <w:rPr>
                <w:sz w:val="21"/>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62" w:type="dxa"/>
            <w:noWrap/>
            <w:vAlign w:val="center"/>
          </w:tcPr>
          <w:p>
            <w:pPr>
              <w:jc w:val="center"/>
              <w:rPr>
                <w:rFonts w:hint="eastAsia" w:eastAsia="宋体"/>
                <w:sz w:val="21"/>
                <w:szCs w:val="21"/>
                <w:lang w:eastAsia="zh-CN"/>
              </w:rPr>
            </w:pPr>
            <w:r>
              <w:rPr>
                <w:rFonts w:hint="eastAsia"/>
                <w:sz w:val="21"/>
                <w:szCs w:val="21"/>
                <w:lang w:val="en-US" w:eastAsia="zh-CN"/>
              </w:rPr>
              <w:t>9</w:t>
            </w:r>
          </w:p>
        </w:tc>
        <w:tc>
          <w:tcPr>
            <w:tcW w:w="1350" w:type="dxa"/>
            <w:gridSpan w:val="2"/>
            <w:noWrap/>
            <w:vAlign w:val="center"/>
          </w:tcPr>
          <w:p>
            <w:pPr>
              <w:jc w:val="center"/>
              <w:rPr>
                <w:color w:val="auto"/>
                <w:sz w:val="21"/>
                <w:szCs w:val="21"/>
              </w:rPr>
            </w:pPr>
            <w:r>
              <w:rPr>
                <w:color w:val="auto"/>
                <w:sz w:val="21"/>
                <w:szCs w:val="21"/>
              </w:rPr>
              <w:t>壁挂高清展台、智能笔</w:t>
            </w:r>
          </w:p>
        </w:tc>
        <w:tc>
          <w:tcPr>
            <w:tcW w:w="6285" w:type="dxa"/>
            <w:noWrap/>
            <w:vAlign w:val="center"/>
          </w:tcPr>
          <w:p>
            <w:pPr>
              <w:rPr>
                <w:color w:val="auto"/>
                <w:sz w:val="21"/>
                <w:szCs w:val="21"/>
              </w:rPr>
            </w:pPr>
            <w:r>
              <w:rPr>
                <w:color w:val="auto"/>
                <w:sz w:val="21"/>
                <w:szCs w:val="21"/>
              </w:rPr>
              <w:t xml:space="preserve">除不能负偏离内容外，根据投标方提供的壁挂高清展台、智能笔技术参数及性能进行打分。 </w:t>
            </w:r>
          </w:p>
        </w:tc>
        <w:tc>
          <w:tcPr>
            <w:tcW w:w="666" w:type="dxa"/>
            <w:noWrap/>
            <w:vAlign w:val="center"/>
          </w:tcPr>
          <w:p>
            <w:pPr>
              <w:pStyle w:val="26"/>
              <w:jc w:val="center"/>
              <w:rPr>
                <w:rFonts w:hint="eastAsia" w:ascii="Times New Roman" w:hAnsi="Times New Roman" w:eastAsia="宋体" w:cs="Times New Roman"/>
                <w:color w:val="auto"/>
                <w:lang w:eastAsia="zh-CN"/>
              </w:rPr>
            </w:pPr>
            <w:r>
              <w:rPr>
                <w:rFonts w:hint="eastAsia" w:ascii="Times New Roman" w:hAnsi="Times New Roman" w:cs="Times New Roman"/>
                <w:color w:val="auto"/>
                <w:lang w:val="en-US" w:eastAsia="zh-CN"/>
              </w:rPr>
              <w:t>0-2</w:t>
            </w:r>
          </w:p>
        </w:tc>
        <w:tc>
          <w:tcPr>
            <w:tcW w:w="880" w:type="dxa"/>
            <w:noWrap/>
            <w:vAlign w:val="center"/>
          </w:tcPr>
          <w:p>
            <w:pPr>
              <w:jc w:val="center"/>
              <w:rPr>
                <w:color w:val="auto"/>
                <w:sz w:val="21"/>
                <w:szCs w:val="21"/>
              </w:rPr>
            </w:pPr>
            <w:r>
              <w:rPr>
                <w:color w:val="auto"/>
                <w:sz w:val="21"/>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62" w:type="dxa"/>
            <w:vMerge w:val="restart"/>
            <w:noWrap/>
            <w:vAlign w:val="center"/>
          </w:tcPr>
          <w:p>
            <w:pPr>
              <w:jc w:val="center"/>
              <w:rPr>
                <w:rFonts w:hint="eastAsia" w:eastAsia="宋体"/>
                <w:color w:val="FF0000"/>
                <w:sz w:val="21"/>
                <w:szCs w:val="21"/>
                <w:lang w:eastAsia="zh-CN"/>
              </w:rPr>
            </w:pPr>
            <w:r>
              <w:rPr>
                <w:color w:val="auto"/>
                <w:sz w:val="21"/>
                <w:szCs w:val="21"/>
              </w:rPr>
              <w:t>1</w:t>
            </w:r>
            <w:r>
              <w:rPr>
                <w:rFonts w:hint="eastAsia"/>
                <w:color w:val="auto"/>
                <w:sz w:val="21"/>
                <w:szCs w:val="21"/>
                <w:lang w:val="en-US" w:eastAsia="zh-CN"/>
              </w:rPr>
              <w:t>0</w:t>
            </w:r>
          </w:p>
        </w:tc>
        <w:tc>
          <w:tcPr>
            <w:tcW w:w="1350" w:type="dxa"/>
            <w:gridSpan w:val="2"/>
            <w:vMerge w:val="restart"/>
            <w:noWrap/>
            <w:vAlign w:val="center"/>
          </w:tcPr>
          <w:p>
            <w:pPr>
              <w:jc w:val="center"/>
              <w:rPr>
                <w:color w:val="auto"/>
                <w:sz w:val="21"/>
                <w:szCs w:val="21"/>
              </w:rPr>
            </w:pPr>
            <w:r>
              <w:rPr>
                <w:color w:val="auto"/>
                <w:sz w:val="21"/>
                <w:szCs w:val="21"/>
              </w:rPr>
              <w:t>双层推拉</w:t>
            </w:r>
            <w:r>
              <w:rPr>
                <w:rFonts w:hint="eastAsia"/>
                <w:color w:val="auto"/>
                <w:sz w:val="21"/>
                <w:szCs w:val="21"/>
              </w:rPr>
              <w:t>式</w:t>
            </w:r>
            <w:r>
              <w:rPr>
                <w:color w:val="auto"/>
                <w:sz w:val="21"/>
                <w:szCs w:val="21"/>
              </w:rPr>
              <w:t>黑板</w:t>
            </w:r>
          </w:p>
        </w:tc>
        <w:tc>
          <w:tcPr>
            <w:tcW w:w="6285" w:type="dxa"/>
            <w:noWrap/>
            <w:vAlign w:val="center"/>
          </w:tcPr>
          <w:p>
            <w:pPr>
              <w:rPr>
                <w:color w:val="auto"/>
                <w:sz w:val="21"/>
                <w:szCs w:val="21"/>
              </w:rPr>
            </w:pPr>
            <w:r>
              <w:rPr>
                <w:color w:val="auto"/>
                <w:sz w:val="21"/>
                <w:szCs w:val="21"/>
              </w:rPr>
              <w:t>除不可偏离指标外，根据投标方提供的双层推拉式黑板</w:t>
            </w:r>
            <w:r>
              <w:rPr>
                <w:rFonts w:hint="eastAsia"/>
                <w:color w:val="auto"/>
                <w:sz w:val="21"/>
                <w:szCs w:val="21"/>
                <w:lang w:val="en-US" w:eastAsia="zh-CN"/>
              </w:rPr>
              <w:t>技术参数</w:t>
            </w:r>
            <w:r>
              <w:rPr>
                <w:color w:val="auto"/>
                <w:sz w:val="21"/>
                <w:szCs w:val="21"/>
              </w:rPr>
              <w:t>进行打分。</w:t>
            </w:r>
          </w:p>
        </w:tc>
        <w:tc>
          <w:tcPr>
            <w:tcW w:w="666" w:type="dxa"/>
            <w:noWrap/>
            <w:vAlign w:val="center"/>
          </w:tcPr>
          <w:p>
            <w:pPr>
              <w:pStyle w:val="26"/>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lang w:val="en-US" w:eastAsia="zh-CN"/>
              </w:rPr>
              <w:t>0-2</w:t>
            </w:r>
          </w:p>
        </w:tc>
        <w:tc>
          <w:tcPr>
            <w:tcW w:w="880" w:type="dxa"/>
            <w:noWrap/>
            <w:vAlign w:val="center"/>
          </w:tcPr>
          <w:p>
            <w:pPr>
              <w:jc w:val="center"/>
              <w:rPr>
                <w:color w:val="auto"/>
                <w:sz w:val="21"/>
                <w:szCs w:val="21"/>
              </w:rPr>
            </w:pPr>
            <w:r>
              <w:rPr>
                <w:color w:val="auto"/>
                <w:sz w:val="21"/>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62" w:type="dxa"/>
            <w:vMerge w:val="continue"/>
            <w:noWrap/>
            <w:vAlign w:val="center"/>
          </w:tcPr>
          <w:p>
            <w:pPr>
              <w:jc w:val="center"/>
              <w:rPr>
                <w:color w:val="FF0000"/>
                <w:sz w:val="21"/>
                <w:szCs w:val="21"/>
              </w:rPr>
            </w:pPr>
          </w:p>
        </w:tc>
        <w:tc>
          <w:tcPr>
            <w:tcW w:w="1350" w:type="dxa"/>
            <w:gridSpan w:val="2"/>
            <w:vMerge w:val="continue"/>
            <w:noWrap/>
            <w:vAlign w:val="center"/>
          </w:tcPr>
          <w:p>
            <w:pPr>
              <w:jc w:val="center"/>
              <w:rPr>
                <w:color w:val="auto"/>
                <w:sz w:val="21"/>
                <w:szCs w:val="21"/>
              </w:rPr>
            </w:pPr>
          </w:p>
        </w:tc>
        <w:tc>
          <w:tcPr>
            <w:tcW w:w="6285" w:type="dxa"/>
            <w:noWrap/>
            <w:vAlign w:val="center"/>
          </w:tcPr>
          <w:p>
            <w:pPr>
              <w:rPr>
                <w:color w:val="auto"/>
                <w:sz w:val="21"/>
                <w:szCs w:val="21"/>
              </w:rPr>
            </w:pPr>
            <w:r>
              <w:rPr>
                <w:color w:val="auto"/>
                <w:sz w:val="21"/>
                <w:szCs w:val="21"/>
              </w:rPr>
              <w:t>除不可偏离指标外，根据投标方提供的双层推拉式黑板功能进行打分。</w:t>
            </w:r>
          </w:p>
        </w:tc>
        <w:tc>
          <w:tcPr>
            <w:tcW w:w="666" w:type="dxa"/>
            <w:noWrap/>
            <w:vAlign w:val="center"/>
          </w:tcPr>
          <w:p>
            <w:pPr>
              <w:pStyle w:val="26"/>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lang w:val="en-US" w:eastAsia="zh-CN"/>
              </w:rPr>
              <w:t>0-2</w:t>
            </w:r>
          </w:p>
        </w:tc>
        <w:tc>
          <w:tcPr>
            <w:tcW w:w="880" w:type="dxa"/>
            <w:noWrap/>
            <w:vAlign w:val="center"/>
          </w:tcPr>
          <w:p>
            <w:pPr>
              <w:jc w:val="center"/>
              <w:rPr>
                <w:color w:val="auto"/>
                <w:sz w:val="21"/>
                <w:szCs w:val="21"/>
              </w:rPr>
            </w:pPr>
            <w:r>
              <w:rPr>
                <w:color w:val="auto"/>
                <w:sz w:val="21"/>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62" w:type="dxa"/>
            <w:noWrap/>
            <w:vAlign w:val="center"/>
          </w:tcPr>
          <w:p>
            <w:pPr>
              <w:jc w:val="center"/>
              <w:rPr>
                <w:rFonts w:hint="default" w:eastAsia="宋体"/>
                <w:sz w:val="21"/>
                <w:szCs w:val="21"/>
                <w:lang w:val="en-US" w:eastAsia="zh-CN"/>
              </w:rPr>
            </w:pPr>
            <w:r>
              <w:rPr>
                <w:sz w:val="21"/>
                <w:szCs w:val="21"/>
              </w:rPr>
              <w:t>1</w:t>
            </w:r>
            <w:r>
              <w:rPr>
                <w:rFonts w:hint="eastAsia"/>
                <w:sz w:val="21"/>
                <w:szCs w:val="21"/>
                <w:lang w:val="en-US" w:eastAsia="zh-CN"/>
              </w:rPr>
              <w:t>1</w:t>
            </w:r>
          </w:p>
        </w:tc>
        <w:tc>
          <w:tcPr>
            <w:tcW w:w="1350" w:type="dxa"/>
            <w:gridSpan w:val="2"/>
            <w:noWrap/>
            <w:vAlign w:val="center"/>
          </w:tcPr>
          <w:p>
            <w:pPr>
              <w:jc w:val="center"/>
              <w:rPr>
                <w:sz w:val="21"/>
                <w:szCs w:val="21"/>
              </w:rPr>
            </w:pPr>
            <w:r>
              <w:rPr>
                <w:sz w:val="21"/>
                <w:szCs w:val="21"/>
              </w:rPr>
              <w:t>质保服务</w:t>
            </w:r>
          </w:p>
        </w:tc>
        <w:tc>
          <w:tcPr>
            <w:tcW w:w="6285" w:type="dxa"/>
            <w:noWrap/>
            <w:vAlign w:val="center"/>
          </w:tcPr>
          <w:p>
            <w:pPr>
              <w:rPr>
                <w:sz w:val="21"/>
                <w:szCs w:val="21"/>
              </w:rPr>
            </w:pPr>
            <w:r>
              <w:rPr>
                <w:sz w:val="21"/>
                <w:szCs w:val="21"/>
              </w:rPr>
              <w:t>在招标文件要求的3年质保期限上，针对项目每增加1年质保加2.0分，本项最高得</w:t>
            </w:r>
            <w:r>
              <w:rPr>
                <w:rFonts w:hint="eastAsia"/>
                <w:sz w:val="21"/>
                <w:szCs w:val="21"/>
                <w:lang w:val="en-US" w:eastAsia="zh-CN"/>
              </w:rPr>
              <w:t>6</w:t>
            </w:r>
            <w:r>
              <w:rPr>
                <w:sz w:val="21"/>
                <w:szCs w:val="21"/>
              </w:rPr>
              <w:t>.0分。</w:t>
            </w:r>
          </w:p>
        </w:tc>
        <w:tc>
          <w:tcPr>
            <w:tcW w:w="666" w:type="dxa"/>
            <w:noWrap/>
            <w:vAlign w:val="center"/>
          </w:tcPr>
          <w:p>
            <w:pPr>
              <w:pStyle w:val="26"/>
              <w:jc w:val="center"/>
              <w:rPr>
                <w:rFonts w:hint="eastAsia" w:ascii="Times New Roman" w:hAnsi="Times New Roman" w:eastAsia="宋体" w:cs="Times New Roman"/>
                <w:lang w:eastAsia="zh-CN"/>
              </w:rPr>
            </w:pPr>
            <w:r>
              <w:rPr>
                <w:rFonts w:ascii="Times New Roman" w:hAnsi="Times New Roman" w:cs="Times New Roman"/>
              </w:rPr>
              <w:t>0-</w:t>
            </w:r>
            <w:r>
              <w:rPr>
                <w:rFonts w:hint="eastAsia" w:ascii="Times New Roman" w:hAnsi="Times New Roman" w:cs="Times New Roman"/>
                <w:lang w:val="en-US" w:eastAsia="zh-CN"/>
              </w:rPr>
              <w:t>6</w:t>
            </w:r>
          </w:p>
        </w:tc>
        <w:tc>
          <w:tcPr>
            <w:tcW w:w="880" w:type="dxa"/>
            <w:noWrap/>
            <w:vAlign w:val="center"/>
          </w:tcPr>
          <w:p>
            <w:pPr>
              <w:jc w:val="center"/>
              <w:rPr>
                <w:sz w:val="21"/>
                <w:szCs w:val="21"/>
              </w:rPr>
            </w:pPr>
            <w:r>
              <w:rPr>
                <w:sz w:val="21"/>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662" w:type="dxa"/>
            <w:noWrap/>
            <w:vAlign w:val="center"/>
          </w:tcPr>
          <w:p>
            <w:pPr>
              <w:jc w:val="center"/>
              <w:rPr>
                <w:sz w:val="21"/>
                <w:szCs w:val="21"/>
              </w:rPr>
            </w:pPr>
            <w:r>
              <w:rPr>
                <w:sz w:val="21"/>
                <w:szCs w:val="21"/>
              </w:rPr>
              <w:t>二</w:t>
            </w:r>
          </w:p>
        </w:tc>
        <w:tc>
          <w:tcPr>
            <w:tcW w:w="1350" w:type="dxa"/>
            <w:gridSpan w:val="2"/>
            <w:noWrap/>
            <w:vAlign w:val="center"/>
          </w:tcPr>
          <w:p>
            <w:pPr>
              <w:jc w:val="center"/>
              <w:rPr>
                <w:sz w:val="21"/>
                <w:szCs w:val="21"/>
              </w:rPr>
            </w:pPr>
            <w:r>
              <w:rPr>
                <w:rFonts w:hint="eastAsia"/>
                <w:sz w:val="21"/>
                <w:szCs w:val="21"/>
              </w:rPr>
              <w:t>报价</w:t>
            </w:r>
            <w:r>
              <w:rPr>
                <w:sz w:val="21"/>
                <w:szCs w:val="21"/>
              </w:rPr>
              <w:t>分</w:t>
            </w:r>
          </w:p>
        </w:tc>
        <w:tc>
          <w:tcPr>
            <w:tcW w:w="6285" w:type="dxa"/>
            <w:noWrap/>
          </w:tcPr>
          <w:p>
            <w:r>
              <w:rPr>
                <w:rFonts w:hint="eastAsia"/>
              </w:rPr>
              <w:t>1</w:t>
            </w:r>
            <w:r>
              <w:rPr>
                <w:rFonts w:hint="eastAsia"/>
                <w:lang w:val="en-US" w:eastAsia="zh-CN"/>
              </w:rPr>
              <w:t>.</w:t>
            </w:r>
            <w:r>
              <w:rPr>
                <w:rFonts w:hint="eastAsia"/>
              </w:rPr>
              <w:t>以符合招标文件要求且投标价格最低的投标报价为评标基准价，其商务报价得分为满分。</w:t>
            </w:r>
          </w:p>
          <w:p>
            <w:r>
              <w:rPr>
                <w:rFonts w:hint="eastAsia"/>
              </w:rPr>
              <w:t>2</w:t>
            </w:r>
            <w:r>
              <w:rPr>
                <w:rFonts w:hint="eastAsia"/>
                <w:lang w:val="en-US" w:eastAsia="zh-CN"/>
              </w:rPr>
              <w:t>.</w:t>
            </w:r>
            <w:r>
              <w:rPr>
                <w:rFonts w:hint="eastAsia"/>
              </w:rPr>
              <w:t>其他投标人的商务报价分统一按照下列公式计算：</w:t>
            </w:r>
          </w:p>
          <w:p>
            <w:pPr>
              <w:rPr>
                <w:rFonts w:asciiTheme="minorEastAsia" w:hAnsiTheme="minorEastAsia" w:eastAsiaTheme="minorEastAsia"/>
                <w:b/>
              </w:rPr>
            </w:pPr>
            <w:r>
              <w:rPr>
                <w:rFonts w:hint="eastAsia"/>
              </w:rPr>
              <w:t>商务报价分＝（评标基准价／投标报价）×30，计算结果保留2位小数（第三位小数四舍五入）。</w:t>
            </w:r>
          </w:p>
        </w:tc>
        <w:tc>
          <w:tcPr>
            <w:tcW w:w="1546" w:type="dxa"/>
            <w:gridSpan w:val="2"/>
            <w:noWrap/>
            <w:vAlign w:val="center"/>
          </w:tcPr>
          <w:p>
            <w:pPr>
              <w:jc w:val="center"/>
              <w:rPr>
                <w:sz w:val="21"/>
                <w:szCs w:val="21"/>
              </w:rPr>
            </w:pPr>
            <w:r>
              <w:rPr>
                <w:rFonts w:hint="eastAsia"/>
                <w:sz w:val="21"/>
                <w:szCs w:val="21"/>
              </w:rPr>
              <w:t>3</w:t>
            </w:r>
            <w:r>
              <w:rPr>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662" w:type="dxa"/>
            <w:noWrap/>
            <w:vAlign w:val="center"/>
          </w:tcPr>
          <w:p>
            <w:pPr>
              <w:ind w:firstLine="105" w:firstLineChars="50"/>
              <w:jc w:val="center"/>
              <w:rPr>
                <w:sz w:val="21"/>
                <w:szCs w:val="21"/>
              </w:rPr>
            </w:pPr>
            <w:r>
              <w:rPr>
                <w:sz w:val="21"/>
                <w:szCs w:val="21"/>
              </w:rPr>
              <w:t>三</w:t>
            </w:r>
          </w:p>
        </w:tc>
        <w:tc>
          <w:tcPr>
            <w:tcW w:w="1350" w:type="dxa"/>
            <w:gridSpan w:val="2"/>
            <w:noWrap/>
            <w:vAlign w:val="center"/>
          </w:tcPr>
          <w:p>
            <w:pPr>
              <w:jc w:val="center"/>
              <w:rPr>
                <w:sz w:val="21"/>
                <w:szCs w:val="21"/>
              </w:rPr>
            </w:pPr>
            <w:r>
              <w:rPr>
                <w:sz w:val="21"/>
                <w:szCs w:val="21"/>
              </w:rPr>
              <w:t>综合得分</w:t>
            </w:r>
          </w:p>
        </w:tc>
        <w:tc>
          <w:tcPr>
            <w:tcW w:w="6285" w:type="dxa"/>
            <w:noWrap/>
            <w:vAlign w:val="center"/>
          </w:tcPr>
          <w:p>
            <w:pPr>
              <w:rPr>
                <w:sz w:val="21"/>
                <w:szCs w:val="21"/>
              </w:rPr>
            </w:pPr>
            <w:r>
              <w:rPr>
                <w:sz w:val="21"/>
                <w:szCs w:val="21"/>
              </w:rPr>
              <w:t>投标单位综合得分=技术分+报价分</w:t>
            </w:r>
          </w:p>
        </w:tc>
        <w:tc>
          <w:tcPr>
            <w:tcW w:w="1546" w:type="dxa"/>
            <w:gridSpan w:val="2"/>
            <w:noWrap/>
            <w:vAlign w:val="center"/>
          </w:tcPr>
          <w:p>
            <w:pPr>
              <w:jc w:val="center"/>
              <w:rPr>
                <w:sz w:val="21"/>
                <w:szCs w:val="21"/>
              </w:rPr>
            </w:pPr>
            <w:r>
              <w:rPr>
                <w:sz w:val="21"/>
                <w:szCs w:val="21"/>
              </w:rPr>
              <w:t>100分</w:t>
            </w:r>
          </w:p>
        </w:tc>
      </w:tr>
    </w:tbl>
    <w:p>
      <w:pPr>
        <w:pStyle w:val="120"/>
        <w:ind w:firstLine="0" w:firstLineChars="0"/>
        <w:rPr>
          <w:rFonts w:ascii="新宋体" w:hAnsi="新宋体" w:eastAsia="新宋体" w:cs="新宋体"/>
          <w:sz w:val="21"/>
          <w:szCs w:val="21"/>
        </w:rPr>
      </w:pPr>
      <w:r>
        <w:rPr>
          <w:rFonts w:hint="eastAsia" w:ascii="新宋体" w:hAnsi="新宋体" w:eastAsia="新宋体" w:cs="新宋体"/>
          <w:sz w:val="21"/>
          <w:szCs w:val="21"/>
        </w:rPr>
        <w:t>以上评分内容仅限对未打“★”条款进行评分。</w:t>
      </w:r>
    </w:p>
    <w:p>
      <w:pPr>
        <w:rPr>
          <w:rFonts w:ascii="新宋体" w:hAnsi="新宋体" w:eastAsia="新宋体" w:cs="Courier New"/>
          <w:b/>
          <w:bCs/>
          <w:sz w:val="24"/>
        </w:rPr>
      </w:pPr>
    </w:p>
    <w:p>
      <w:pPr>
        <w:pStyle w:val="22"/>
        <w:rPr>
          <w:rFonts w:ascii="新宋体" w:hAnsi="新宋体" w:eastAsia="新宋体" w:cs="Courier New"/>
          <w:color w:val="auto"/>
          <w:sz w:val="24"/>
          <w:szCs w:val="24"/>
        </w:rPr>
      </w:pPr>
    </w:p>
    <w:p>
      <w:pPr>
        <w:pStyle w:val="50"/>
        <w:ind w:firstLine="241"/>
        <w:rPr>
          <w:rFonts w:ascii="新宋体" w:hAnsi="新宋体" w:eastAsia="新宋体" w:cs="Courier New"/>
          <w:color w:val="auto"/>
          <w:sz w:val="24"/>
          <w:szCs w:val="24"/>
        </w:rPr>
      </w:pPr>
    </w:p>
    <w:p>
      <w:pPr>
        <w:pStyle w:val="50"/>
        <w:ind w:firstLine="241"/>
        <w:rPr>
          <w:rFonts w:ascii="新宋体" w:hAnsi="新宋体" w:eastAsia="新宋体" w:cs="Courier New"/>
          <w:color w:val="auto"/>
          <w:sz w:val="24"/>
          <w:szCs w:val="24"/>
        </w:rPr>
      </w:pPr>
    </w:p>
    <w:p>
      <w:pPr>
        <w:pStyle w:val="3"/>
        <w:spacing w:before="0" w:after="0" w:line="240" w:lineRule="auto"/>
        <w:jc w:val="both"/>
        <w:rPr>
          <w:rFonts w:hint="eastAsia"/>
        </w:rPr>
      </w:pPr>
      <w:r>
        <w:rPr>
          <w:rFonts w:hint="eastAsia"/>
        </w:rPr>
        <w:br w:type="page"/>
      </w:r>
      <w:bookmarkStart w:id="99" w:name="_Toc23933"/>
    </w:p>
    <w:p>
      <w:pPr>
        <w:pStyle w:val="3"/>
        <w:spacing w:before="0" w:after="0" w:line="240" w:lineRule="auto"/>
        <w:jc w:val="both"/>
        <w:rPr>
          <w:rFonts w:hint="eastAsia"/>
        </w:rPr>
      </w:pPr>
    </w:p>
    <w:p>
      <w:pPr>
        <w:pStyle w:val="3"/>
        <w:spacing w:before="0" w:after="0" w:line="240" w:lineRule="auto"/>
        <w:jc w:val="both"/>
        <w:rPr>
          <w:rFonts w:hint="eastAsia"/>
        </w:rPr>
      </w:pPr>
    </w:p>
    <w:p>
      <w:pPr>
        <w:pStyle w:val="3"/>
        <w:spacing w:before="0" w:after="0" w:line="240" w:lineRule="auto"/>
        <w:jc w:val="center"/>
        <w:rPr>
          <w:rFonts w:hint="eastAsia" w:ascii="新宋体" w:hAnsi="新宋体" w:eastAsia="新宋体" w:cs="Times New Roman"/>
          <w:sz w:val="48"/>
          <w:szCs w:val="48"/>
        </w:rPr>
      </w:pPr>
      <w:r>
        <w:rPr>
          <w:rFonts w:hint="eastAsia" w:ascii="新宋体" w:hAnsi="新宋体" w:eastAsia="新宋体" w:cs="Times New Roman"/>
          <w:sz w:val="48"/>
          <w:szCs w:val="48"/>
        </w:rPr>
        <w:t xml:space="preserve">第七章 </w:t>
      </w:r>
      <w:r>
        <w:rPr>
          <w:rFonts w:hint="eastAsia" w:ascii="新宋体" w:hAnsi="新宋体" w:eastAsia="新宋体" w:cs="Times New Roman"/>
          <w:sz w:val="36"/>
          <w:szCs w:val="36"/>
        </w:rPr>
        <w:t xml:space="preserve"> </w:t>
      </w:r>
      <w:bookmarkEnd w:id="92"/>
      <w:bookmarkEnd w:id="99"/>
      <w:r>
        <w:rPr>
          <w:rFonts w:hint="eastAsia" w:ascii="新宋体" w:hAnsi="新宋体" w:eastAsia="新宋体" w:cs="Times New Roman"/>
          <w:sz w:val="48"/>
          <w:szCs w:val="48"/>
        </w:rPr>
        <w:t>政府采购</w:t>
      </w:r>
      <w:r>
        <w:rPr>
          <w:rFonts w:hint="eastAsia" w:ascii="新宋体" w:hAnsi="新宋体" w:eastAsia="新宋体" w:cs="Times New Roman"/>
          <w:sz w:val="48"/>
          <w:szCs w:val="48"/>
          <w:lang w:eastAsia="zh-CN"/>
        </w:rPr>
        <w:t>货物买卖</w:t>
      </w:r>
      <w:r>
        <w:rPr>
          <w:rFonts w:hint="eastAsia" w:ascii="新宋体" w:hAnsi="新宋体" w:eastAsia="新宋体" w:cs="Times New Roman"/>
          <w:sz w:val="48"/>
          <w:szCs w:val="48"/>
        </w:rPr>
        <w:t>合同</w:t>
      </w:r>
    </w:p>
    <w:p>
      <w:pPr>
        <w:pStyle w:val="3"/>
        <w:spacing w:before="0" w:after="0" w:line="240" w:lineRule="auto"/>
        <w:jc w:val="center"/>
        <w:rPr>
          <w:rFonts w:hint="eastAsia" w:ascii="新宋体" w:hAnsi="新宋体" w:eastAsia="新宋体" w:cs="Times New Roman"/>
          <w:sz w:val="36"/>
          <w:szCs w:val="36"/>
          <w:lang w:eastAsia="zh-CN"/>
        </w:rPr>
      </w:pPr>
      <w:r>
        <w:rPr>
          <w:rFonts w:hint="eastAsia" w:ascii="新宋体" w:hAnsi="新宋体" w:eastAsia="新宋体" w:cs="Times New Roman"/>
          <w:sz w:val="36"/>
          <w:szCs w:val="36"/>
          <w:lang w:val="en-US" w:eastAsia="zh-CN"/>
        </w:rPr>
        <w:t xml:space="preserve">    </w:t>
      </w:r>
    </w:p>
    <w:p>
      <w:pPr>
        <w:pStyle w:val="2"/>
        <w:ind w:left="0" w:leftChars="0" w:firstLine="0" w:firstLineChars="0"/>
        <w:rPr>
          <w:rFonts w:ascii="宋体" w:hAnsi="宋体" w:cs="宋体"/>
          <w:b/>
          <w:bCs/>
          <w:spacing w:val="-20"/>
          <w:kern w:val="44"/>
          <w:sz w:val="40"/>
          <w:szCs w:val="40"/>
        </w:rPr>
      </w:pPr>
      <w:r>
        <w:rPr>
          <w:rFonts w:ascii="宋体" w:hAnsi="宋体" w:cs="宋体"/>
          <w:b/>
          <w:bCs/>
          <w:spacing w:val="-20"/>
          <w:kern w:val="44"/>
          <w:sz w:val="40"/>
          <w:szCs w:val="40"/>
        </w:rPr>
        <w:object>
          <v:shape id="_x0000_i1025" o:spt="75" type="#_x0000_t75" style="height:285.65pt;width:415.05pt;" o:ole="t" filled="f" o:preferrelative="t" stroked="f" coordsize="21600,21600">
            <v:path/>
            <v:fill on="f" focussize="0,0"/>
            <v:stroke on="f"/>
            <v:imagedata r:id="rId7" o:title=""/>
            <o:lock v:ext="edit" aspectratio="f"/>
            <w10:wrap type="none"/>
            <w10:anchorlock/>
          </v:shape>
          <o:OLEObject Type="Embed" ProgID="Word.Document.8" ShapeID="_x0000_i1025" DrawAspect="Content" ObjectID="_1468075725" r:id="rId6">
            <o:LockedField>false</o:LockedField>
          </o:OLEObject>
        </w:object>
      </w:r>
    </w:p>
    <w:p>
      <w:pPr>
        <w:spacing w:beforeLines="0" w:afterLines="0"/>
        <w:rPr>
          <w:rFonts w:hint="eastAsia" w:ascii="宋体" w:hAnsi="宋体" w:eastAsia="宋体" w:cs="宋体"/>
          <w:b/>
          <w:bCs w:val="0"/>
          <w:spacing w:val="-20"/>
          <w:kern w:val="44"/>
          <w:sz w:val="40"/>
          <w:szCs w:val="40"/>
        </w:rPr>
      </w:pPr>
    </w:p>
    <w:p>
      <w:pPr>
        <w:spacing w:beforeLines="0" w:afterLines="0"/>
        <w:rPr>
          <w:rFonts w:hint="eastAsia" w:ascii="宋体" w:hAnsi="宋体" w:eastAsia="宋体" w:cs="宋体"/>
          <w:b/>
          <w:spacing w:val="-20"/>
          <w:kern w:val="44"/>
          <w:sz w:val="40"/>
          <w:szCs w:val="40"/>
        </w:rPr>
      </w:pPr>
    </w:p>
    <w:p>
      <w:pPr>
        <w:spacing w:line="360" w:lineRule="auto"/>
        <w:ind w:left="420" w:leftChars="200"/>
        <w:rPr>
          <w:rFonts w:hint="eastAsia" w:ascii="宋体" w:hAnsi="宋体" w:cs="宋体"/>
          <w:kern w:val="0"/>
          <w:sz w:val="32"/>
          <w:szCs w:val="32"/>
          <w:highlight w:val="none"/>
          <w:u w:val="single"/>
          <w:lang w:val="en-US" w:eastAsia="zh-CN"/>
        </w:rPr>
      </w:pPr>
      <w:r>
        <w:rPr>
          <w:rFonts w:hint="eastAsia" w:ascii="宋体" w:hAnsi="宋体" w:cs="宋体"/>
          <w:kern w:val="0"/>
          <w:sz w:val="32"/>
          <w:szCs w:val="32"/>
          <w:highlight w:val="none"/>
        </w:rPr>
        <w:t>项目名称：</w:t>
      </w:r>
      <w:r>
        <w:rPr>
          <w:rFonts w:hint="eastAsia" w:ascii="宋体" w:hAnsi="宋体" w:cs="宋体"/>
          <w:kern w:val="0"/>
          <w:sz w:val="32"/>
          <w:szCs w:val="32"/>
          <w:highlight w:val="none"/>
          <w:lang w:val="en-US" w:eastAsia="zh-CN"/>
        </w:rPr>
        <w:t xml:space="preserve">   </w:t>
      </w:r>
      <w:r>
        <w:rPr>
          <w:rFonts w:hint="eastAsia" w:ascii="宋体" w:hAnsi="宋体" w:cs="宋体"/>
          <w:kern w:val="0"/>
          <w:sz w:val="32"/>
          <w:szCs w:val="32"/>
          <w:highlight w:val="none"/>
          <w:u w:val="single"/>
          <w:lang w:val="en-US" w:eastAsia="zh-CN"/>
        </w:rPr>
        <w:t xml:space="preserve">   </w:t>
      </w:r>
    </w:p>
    <w:p>
      <w:pPr>
        <w:spacing w:line="360" w:lineRule="auto"/>
        <w:ind w:left="420" w:leftChars="200"/>
        <w:rPr>
          <w:sz w:val="32"/>
          <w:szCs w:val="32"/>
          <w:highlight w:val="none"/>
          <w:u w:val="single"/>
        </w:rPr>
      </w:pPr>
      <w:r>
        <w:rPr>
          <w:rFonts w:hint="eastAsia"/>
          <w:sz w:val="32"/>
          <w:szCs w:val="32"/>
          <w:highlight w:val="none"/>
        </w:rPr>
        <w:t>合同编号：</w:t>
      </w:r>
      <w:r>
        <w:rPr>
          <w:rFonts w:hint="eastAsia"/>
          <w:sz w:val="32"/>
          <w:szCs w:val="32"/>
          <w:highlight w:val="none"/>
          <w:u w:val="single"/>
        </w:rPr>
        <w:t xml:space="preserve">                             </w:t>
      </w:r>
    </w:p>
    <w:p>
      <w:pPr>
        <w:spacing w:line="360" w:lineRule="auto"/>
        <w:ind w:left="420" w:leftChars="200"/>
        <w:rPr>
          <w:sz w:val="32"/>
          <w:szCs w:val="32"/>
          <w:highlight w:val="none"/>
        </w:rPr>
      </w:pPr>
      <w:r>
        <w:rPr>
          <w:rFonts w:hint="eastAsia"/>
          <w:sz w:val="32"/>
          <w:szCs w:val="32"/>
          <w:highlight w:val="none"/>
        </w:rPr>
        <w:t>甲    方：</w:t>
      </w:r>
      <w:r>
        <w:rPr>
          <w:rFonts w:hint="eastAsia"/>
          <w:sz w:val="32"/>
          <w:szCs w:val="32"/>
          <w:highlight w:val="none"/>
          <w:u w:val="single"/>
        </w:rPr>
        <w:t xml:space="preserve">                             </w:t>
      </w:r>
    </w:p>
    <w:p>
      <w:pPr>
        <w:spacing w:line="360" w:lineRule="auto"/>
        <w:ind w:left="420" w:leftChars="200"/>
        <w:rPr>
          <w:sz w:val="32"/>
          <w:szCs w:val="32"/>
          <w:highlight w:val="none"/>
          <w:u w:val="single"/>
        </w:rPr>
      </w:pPr>
      <w:r>
        <w:rPr>
          <w:rFonts w:hint="eastAsia"/>
          <w:sz w:val="32"/>
          <w:szCs w:val="32"/>
          <w:highlight w:val="none"/>
        </w:rPr>
        <w:t>乙    方：</w:t>
      </w:r>
      <w:r>
        <w:rPr>
          <w:rFonts w:hint="eastAsia"/>
          <w:sz w:val="32"/>
          <w:szCs w:val="32"/>
          <w:highlight w:val="none"/>
          <w:u w:val="single"/>
        </w:rPr>
        <w:t xml:space="preserve">                             </w:t>
      </w:r>
    </w:p>
    <w:p>
      <w:pPr>
        <w:spacing w:beforeLines="0" w:afterLines="0" w:line="360" w:lineRule="auto"/>
        <w:ind w:left="420" w:leftChars="200"/>
        <w:rPr>
          <w:rFonts w:hint="default"/>
          <w:sz w:val="32"/>
          <w:szCs w:val="24"/>
        </w:rPr>
      </w:pPr>
      <w:r>
        <w:rPr>
          <w:rFonts w:hint="eastAsia"/>
          <w:sz w:val="32"/>
          <w:szCs w:val="32"/>
          <w:highlight w:val="none"/>
        </w:rPr>
        <w:t>签订时间：</w:t>
      </w:r>
      <w:r>
        <w:rPr>
          <w:rFonts w:hint="eastAsia"/>
          <w:sz w:val="32"/>
          <w:szCs w:val="32"/>
          <w:highlight w:val="none"/>
          <w:u w:val="single"/>
        </w:rPr>
        <w:t xml:space="preserve">      </w:t>
      </w:r>
      <w:r>
        <w:rPr>
          <w:sz w:val="32"/>
          <w:szCs w:val="32"/>
          <w:highlight w:val="none"/>
          <w:u w:val="single"/>
        </w:rPr>
        <w:t xml:space="preserve">           </w:t>
      </w:r>
      <w:r>
        <w:rPr>
          <w:rFonts w:hint="eastAsia"/>
          <w:sz w:val="32"/>
          <w:szCs w:val="32"/>
          <w:highlight w:val="none"/>
          <w:u w:val="single"/>
        </w:rPr>
        <w:t xml:space="preserve">            </w:t>
      </w:r>
      <w:r>
        <w:rPr>
          <w:rFonts w:hint="default"/>
          <w:sz w:val="32"/>
          <w:szCs w:val="24"/>
          <w:u w:val="single"/>
        </w:rPr>
        <w:t xml:space="preserve">              </w:t>
      </w:r>
    </w:p>
    <w:p>
      <w:pPr>
        <w:spacing w:beforeLines="0" w:afterLines="0"/>
        <w:rPr>
          <w:rFonts w:hint="default"/>
          <w:sz w:val="21"/>
          <w:szCs w:val="24"/>
        </w:rPr>
      </w:pPr>
    </w:p>
    <w:p>
      <w:pPr>
        <w:spacing w:beforeLines="0" w:afterLines="0"/>
        <w:rPr>
          <w:rFonts w:hint="default" w:ascii="Times New Roman" w:hAnsi="Times New Roman" w:eastAsia="黑体"/>
          <w:sz w:val="44"/>
          <w:szCs w:val="24"/>
        </w:rPr>
      </w:pPr>
      <w:r>
        <w:rPr>
          <w:rFonts w:hint="default" w:ascii="Times New Roman" w:hAnsi="Times New Roman" w:eastAsia="黑体"/>
          <w:sz w:val="44"/>
          <w:szCs w:val="24"/>
        </w:rPr>
        <w:br w:type="page"/>
      </w:r>
    </w:p>
    <w:p>
      <w:pPr>
        <w:spacing w:beforeLines="0" w:afterLines="0"/>
        <w:rPr>
          <w:rFonts w:hint="default" w:ascii="Times New Roman" w:hAnsi="Times New Roman" w:eastAsia="黑体"/>
          <w:sz w:val="44"/>
          <w:szCs w:val="24"/>
        </w:rPr>
      </w:pPr>
    </w:p>
    <w:p>
      <w:pPr>
        <w:spacing w:beforeLines="0" w:afterLines="0"/>
        <w:rPr>
          <w:rFonts w:hint="default" w:ascii="Times New Roman" w:hAnsi="Times New Roman" w:eastAsia="黑体"/>
          <w:sz w:val="44"/>
          <w:szCs w:val="24"/>
        </w:rPr>
      </w:pPr>
    </w:p>
    <w:p>
      <w:pPr>
        <w:spacing w:beforeLines="0" w:afterLines="0"/>
        <w:jc w:val="center"/>
        <w:rPr>
          <w:rFonts w:hint="eastAsia" w:ascii="Times New Roman" w:hAnsi="Times New Roman" w:eastAsia="黑体"/>
          <w:sz w:val="44"/>
          <w:szCs w:val="24"/>
        </w:rPr>
      </w:pPr>
      <w:r>
        <w:rPr>
          <w:rFonts w:hint="eastAsia" w:ascii="Times New Roman" w:hAnsi="Times New Roman" w:eastAsia="黑体"/>
          <w:sz w:val="44"/>
          <w:szCs w:val="24"/>
        </w:rPr>
        <w:t>使 用 说 明</w:t>
      </w:r>
    </w:p>
    <w:p>
      <w:pPr>
        <w:spacing w:beforeLines="0" w:afterLines="0"/>
        <w:ind w:firstLine="640" w:firstLineChars="200"/>
        <w:rPr>
          <w:rFonts w:hint="eastAsia" w:ascii="仿宋_GB2312" w:hAnsi="仿宋_GB2312" w:eastAsia="仿宋_GB2312" w:cs="仿宋_GB2312"/>
          <w:sz w:val="32"/>
          <w:szCs w:val="32"/>
        </w:rPr>
      </w:pP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1.本合同标准文本适用于购买现成货物的采购项目，不包括需要供应商定制开发、创新研发的货物采购项目。</w:t>
      </w:r>
    </w:p>
    <w:p>
      <w:pPr>
        <w:spacing w:beforeLines="0" w:afterLines="0"/>
        <w:rPr>
          <w:rFonts w:hint="default" w:ascii="Times New Roman" w:hAnsi="Times New Roman" w:eastAsia="黑体"/>
          <w:sz w:val="44"/>
          <w:szCs w:val="24"/>
        </w:rPr>
      </w:pPr>
      <w:r>
        <w:rPr>
          <w:rFonts w:hint="eastAsia" w:ascii="Times New Roman" w:hAnsi="Times New Roman" w:eastAsia="黑体"/>
          <w:sz w:val="44"/>
          <w:szCs w:val="24"/>
        </w:rPr>
        <w:t xml:space="preserve">   </w:t>
      </w:r>
      <w:r>
        <w:rPr>
          <w:rFonts w:hint="eastAsia" w:ascii="仿宋_GB2312" w:hAnsi="仿宋_GB2312" w:eastAsia="仿宋_GB2312" w:cs="仿宋_GB2312"/>
          <w:sz w:val="32"/>
          <w:szCs w:val="32"/>
        </w:rPr>
        <w:t>2.本合同标准文本为政府采购货物买卖合同编制提供参考，可以结合采购项目具体情况，对文本做必要的调整修订后使用。</w:t>
      </w:r>
    </w:p>
    <w:p>
      <w:pPr>
        <w:spacing w:beforeLines="0" w:afterLines="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3.本合同标准文本各条款中，如涉及填写多家供应商、制造商，多种采购标的、分包主要内容等信息的，可根据采购项目具体情况添加信息项。</w:t>
      </w:r>
    </w:p>
    <w:p>
      <w:pPr>
        <w:pStyle w:val="4"/>
        <w:adjustRightInd w:val="0"/>
        <w:snapToGrid w:val="0"/>
        <w:spacing w:line="400" w:lineRule="exact"/>
        <w:jc w:val="center"/>
        <w:rPr>
          <w:rFonts w:hint="eastAsia" w:ascii="黑体" w:hAnsi="华文中宋"/>
          <w:b w:val="0"/>
          <w:sz w:val="28"/>
          <w:szCs w:val="24"/>
        </w:rPr>
      </w:pPr>
      <w:bookmarkStart w:id="100" w:name="_Toc22209"/>
      <w:r>
        <w:rPr>
          <w:rFonts w:hint="eastAsia" w:ascii="黑体" w:hAnsi="黑体"/>
          <w:b w:val="0"/>
          <w:sz w:val="28"/>
          <w:szCs w:val="24"/>
        </w:rPr>
        <w:br w:type="page"/>
      </w:r>
      <w:r>
        <w:rPr>
          <w:rFonts w:hint="eastAsia" w:ascii="黑体" w:hAnsi="黑体"/>
          <w:b w:val="0"/>
          <w:sz w:val="28"/>
          <w:szCs w:val="24"/>
        </w:rPr>
        <w:t xml:space="preserve">第一节 </w:t>
      </w:r>
      <w:r>
        <w:rPr>
          <w:rFonts w:hint="eastAsia" w:ascii="黑体" w:hAnsi="华文中宋"/>
          <w:b w:val="0"/>
          <w:sz w:val="28"/>
          <w:szCs w:val="24"/>
        </w:rPr>
        <w:t>政府采购合同协议书</w:t>
      </w:r>
      <w:bookmarkEnd w:id="100"/>
    </w:p>
    <w:p>
      <w:pPr>
        <w:adjustRightInd w:val="0"/>
        <w:snapToGrid w:val="0"/>
        <w:spacing w:afterLines="0" w:line="400" w:lineRule="exact"/>
        <w:jc w:val="center"/>
        <w:rPr>
          <w:rFonts w:hint="eastAsia" w:ascii="黑体" w:hAnsi="华文中宋" w:eastAsia="黑体"/>
          <w:sz w:val="28"/>
          <w:szCs w:val="24"/>
        </w:rPr>
      </w:pPr>
    </w:p>
    <w:p>
      <w:pPr>
        <w:adjustRightInd w:val="0"/>
        <w:snapToGrid w:val="0"/>
        <w:spacing w:afterLines="0" w:line="400" w:lineRule="exact"/>
        <w:rPr>
          <w:rFonts w:hint="eastAsia" w:ascii="宋体" w:hAnsi="宋体" w:eastAsia="宋体"/>
          <w:sz w:val="21"/>
          <w:szCs w:val="24"/>
        </w:rPr>
      </w:pPr>
      <w:r>
        <w:rPr>
          <w:rFonts w:hint="eastAsia" w:ascii="宋体" w:hAnsi="宋体" w:eastAsia="宋体"/>
          <w:sz w:val="21"/>
          <w:szCs w:val="24"/>
        </w:rPr>
        <w:t>甲方（全称）：</w:t>
      </w:r>
      <w:r>
        <w:rPr>
          <w:rFonts w:hint="eastAsia" w:ascii="宋体" w:hAnsi="宋体" w:eastAsia="宋体"/>
          <w:sz w:val="21"/>
          <w:szCs w:val="24"/>
          <w:u w:val="single"/>
        </w:rPr>
        <w:t xml:space="preserve">                        </w:t>
      </w:r>
      <w:r>
        <w:rPr>
          <w:rFonts w:hint="eastAsia" w:ascii="宋体" w:hAnsi="宋体" w:eastAsia="宋体"/>
          <w:sz w:val="21"/>
          <w:szCs w:val="24"/>
        </w:rPr>
        <w:t>（采购人、受采购人委托签订合同的单位或采购</w:t>
      </w:r>
      <w:r>
        <w:rPr>
          <w:rFonts w:hint="eastAsia" w:ascii="宋体" w:hAnsi="宋体" w:eastAsia="宋体"/>
          <w:sz w:val="21"/>
          <w:szCs w:val="24"/>
        </w:rPr>
        <w:tab/>
      </w:r>
      <w:r>
        <w:rPr>
          <w:rFonts w:hint="eastAsia" w:ascii="宋体" w:hAnsi="宋体" w:eastAsia="宋体"/>
          <w:sz w:val="21"/>
          <w:szCs w:val="24"/>
        </w:rPr>
        <w:t xml:space="preserve">                                   文件约定的合同甲方）</w:t>
      </w:r>
    </w:p>
    <w:p>
      <w:pPr>
        <w:adjustRightInd w:val="0"/>
        <w:snapToGrid w:val="0"/>
        <w:spacing w:afterLines="0" w:line="400" w:lineRule="exact"/>
        <w:rPr>
          <w:rFonts w:hint="eastAsia" w:ascii="宋体" w:hAnsi="宋体" w:eastAsia="宋体"/>
          <w:sz w:val="21"/>
          <w:szCs w:val="24"/>
        </w:rPr>
      </w:pPr>
      <w:r>
        <w:rPr>
          <w:rFonts w:hint="eastAsia" w:ascii="宋体" w:hAnsi="宋体" w:eastAsia="宋体"/>
          <w:sz w:val="21"/>
          <w:szCs w:val="24"/>
        </w:rPr>
        <w:t>乙方1（全称）：</w:t>
      </w:r>
      <w:r>
        <w:rPr>
          <w:rFonts w:hint="eastAsia" w:ascii="宋体" w:hAnsi="宋体" w:eastAsia="宋体"/>
          <w:sz w:val="21"/>
          <w:szCs w:val="24"/>
          <w:u w:val="single"/>
        </w:rPr>
        <w:t xml:space="preserve">                       </w:t>
      </w:r>
      <w:r>
        <w:rPr>
          <w:rFonts w:hint="eastAsia" w:ascii="宋体" w:hAnsi="宋体" w:eastAsia="宋体"/>
          <w:sz w:val="21"/>
          <w:szCs w:val="24"/>
        </w:rPr>
        <w:t>（供应商）</w:t>
      </w:r>
    </w:p>
    <w:p>
      <w:pPr>
        <w:adjustRightInd w:val="0"/>
        <w:snapToGrid w:val="0"/>
        <w:spacing w:afterLines="0" w:line="400" w:lineRule="exact"/>
        <w:rPr>
          <w:rFonts w:hint="eastAsia" w:ascii="宋体" w:hAnsi="宋体" w:eastAsia="宋体"/>
          <w:sz w:val="21"/>
          <w:szCs w:val="24"/>
        </w:rPr>
      </w:pPr>
      <w:r>
        <w:rPr>
          <w:rFonts w:hint="eastAsia" w:ascii="宋体" w:hAnsi="宋体" w:eastAsia="宋体"/>
          <w:sz w:val="21"/>
          <w:szCs w:val="24"/>
        </w:rPr>
        <w:t>乙方2（全称）：</w:t>
      </w:r>
      <w:r>
        <w:rPr>
          <w:rFonts w:hint="eastAsia" w:ascii="宋体" w:hAnsi="宋体" w:eastAsia="宋体"/>
          <w:sz w:val="21"/>
          <w:szCs w:val="24"/>
          <w:u w:val="single"/>
        </w:rPr>
        <w:t xml:space="preserve">                        </w:t>
      </w:r>
      <w:r>
        <w:rPr>
          <w:rFonts w:hint="eastAsia" w:ascii="宋体" w:hAnsi="宋体" w:eastAsia="宋体"/>
          <w:sz w:val="21"/>
          <w:szCs w:val="24"/>
        </w:rPr>
        <w:t>（联合体成员供应商或其他合同主体）（如有）</w:t>
      </w:r>
    </w:p>
    <w:p>
      <w:pPr>
        <w:adjustRightInd w:val="0"/>
        <w:snapToGrid w:val="0"/>
        <w:spacing w:afterLines="0" w:line="400" w:lineRule="exact"/>
        <w:rPr>
          <w:rFonts w:hint="eastAsia" w:ascii="宋体" w:hAnsi="宋体" w:eastAsia="宋体"/>
          <w:sz w:val="21"/>
          <w:szCs w:val="24"/>
        </w:rPr>
      </w:pPr>
      <w:r>
        <w:rPr>
          <w:rFonts w:hint="eastAsia" w:eastAsia="宋体"/>
          <w:sz w:val="21"/>
          <w:szCs w:val="24"/>
        </w:rPr>
        <w:t>乙方</w:t>
      </w:r>
      <w:r>
        <w:rPr>
          <w:rFonts w:hint="eastAsia" w:ascii="宋体" w:hAnsi="宋体" w:eastAsia="宋体"/>
          <w:sz w:val="21"/>
          <w:szCs w:val="24"/>
        </w:rPr>
        <w:t>3</w:t>
      </w:r>
      <w:r>
        <w:rPr>
          <w:rFonts w:hint="eastAsia" w:eastAsia="宋体"/>
          <w:sz w:val="21"/>
          <w:szCs w:val="24"/>
        </w:rPr>
        <w:t>（全称）</w:t>
      </w:r>
      <w:r>
        <w:rPr>
          <w:rFonts w:hint="eastAsia" w:ascii="宋体" w:hAnsi="宋体" w:eastAsia="宋体"/>
          <w:sz w:val="21"/>
          <w:szCs w:val="24"/>
          <w:u w:val="single"/>
        </w:rPr>
        <w:t xml:space="preserve">                          </w:t>
      </w:r>
      <w:r>
        <w:rPr>
          <w:rFonts w:hint="eastAsia" w:ascii="宋体" w:hAnsi="宋体" w:eastAsia="宋体"/>
          <w:sz w:val="21"/>
          <w:szCs w:val="24"/>
        </w:rPr>
        <w:t>（联合体成员供应商或其他合同主体）（如有）</w:t>
      </w:r>
    </w:p>
    <w:p>
      <w:pPr>
        <w:spacing w:afterLines="0" w:line="400" w:lineRule="exact"/>
        <w:rPr>
          <w:rFonts w:hint="default" w:ascii="Times New Roman" w:hAnsi="Times New Roman" w:eastAsia="宋体"/>
          <w:sz w:val="21"/>
          <w:szCs w:val="24"/>
        </w:rPr>
      </w:pPr>
    </w:p>
    <w:p>
      <w:pPr>
        <w:pStyle w:val="17"/>
        <w:adjustRightInd w:val="0"/>
        <w:snapToGrid w:val="0"/>
        <w:spacing w:after="0" w:line="400" w:lineRule="exact"/>
        <w:ind w:left="0" w:leftChars="0" w:firstLine="420" w:firstLineChars="200"/>
        <w:rPr>
          <w:rFonts w:hint="eastAsia" w:ascii="宋体" w:hAnsi="宋体" w:eastAsia="宋体"/>
          <w:b w:val="0"/>
          <w:bCs w:val="0"/>
          <w:sz w:val="21"/>
          <w:szCs w:val="24"/>
          <w:shd w:val="clear" w:color="auto" w:fill="auto"/>
        </w:rPr>
      </w:pPr>
      <w:r>
        <w:rPr>
          <w:rFonts w:hint="eastAsia" w:ascii="宋体" w:hAnsi="宋体" w:eastAsia="宋体"/>
          <w:b w:val="0"/>
          <w:bCs w:val="0"/>
          <w:sz w:val="21"/>
          <w:szCs w:val="24"/>
          <w:shd w:val="clear" w:color="auto" w:fill="auto"/>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pPr>
        <w:numPr>
          <w:ilvl w:val="0"/>
          <w:numId w:val="2"/>
        </w:numPr>
        <w:adjustRightInd w:val="0"/>
        <w:snapToGrid w:val="0"/>
        <w:spacing w:afterLines="0" w:line="400" w:lineRule="exact"/>
        <w:ind w:firstLine="420" w:firstLineChars="200"/>
        <w:rPr>
          <w:rFonts w:hint="eastAsia" w:ascii="宋体" w:hAnsi="宋体" w:eastAsia="宋体"/>
          <w:b w:val="0"/>
          <w:bCs w:val="0"/>
          <w:sz w:val="21"/>
          <w:szCs w:val="24"/>
          <w:shd w:val="clear" w:color="auto" w:fill="auto"/>
        </w:rPr>
      </w:pPr>
      <w:r>
        <w:rPr>
          <w:rFonts w:hint="eastAsia" w:ascii="宋体" w:hAnsi="宋体" w:eastAsia="宋体"/>
          <w:b w:val="0"/>
          <w:bCs w:val="0"/>
          <w:sz w:val="21"/>
          <w:szCs w:val="24"/>
          <w:shd w:val="clear" w:color="auto" w:fill="auto"/>
        </w:rPr>
        <w:t>项目信息</w:t>
      </w:r>
    </w:p>
    <w:p>
      <w:pPr>
        <w:pStyle w:val="17"/>
        <w:numPr>
          <w:ilvl w:val="0"/>
          <w:numId w:val="3"/>
        </w:numPr>
        <w:adjustRightInd w:val="0"/>
        <w:snapToGrid w:val="0"/>
        <w:spacing w:after="0" w:line="400" w:lineRule="exact"/>
        <w:ind w:leftChars="0" w:firstLine="420" w:firstLineChars="200"/>
        <w:rPr>
          <w:rFonts w:hint="eastAsia" w:ascii="宋体" w:hAnsi="宋体" w:eastAsia="宋体"/>
          <w:b w:val="0"/>
          <w:bCs w:val="0"/>
          <w:sz w:val="21"/>
          <w:szCs w:val="24"/>
          <w:u w:val="single"/>
          <w:shd w:val="clear" w:color="auto" w:fill="auto"/>
        </w:rPr>
      </w:pPr>
      <w:r>
        <w:rPr>
          <w:rFonts w:hint="eastAsia" w:ascii="宋体" w:hAnsi="宋体" w:eastAsia="宋体"/>
          <w:b w:val="0"/>
          <w:bCs w:val="0"/>
          <w:sz w:val="21"/>
          <w:szCs w:val="24"/>
          <w:shd w:val="clear" w:color="auto" w:fill="auto"/>
        </w:rPr>
        <w:t>采购项目名称：</w:t>
      </w:r>
      <w:r>
        <w:rPr>
          <w:rFonts w:hint="eastAsia" w:ascii="宋体" w:hAnsi="宋体" w:eastAsia="宋体"/>
          <w:b w:val="0"/>
          <w:bCs w:val="0"/>
          <w:sz w:val="21"/>
          <w:szCs w:val="24"/>
          <w:u w:val="single"/>
          <w:shd w:val="clear" w:color="auto" w:fill="auto"/>
          <w:lang w:val="en-US" w:eastAsia="zh-CN"/>
        </w:rPr>
        <w:t xml:space="preserve">   </w:t>
      </w:r>
      <w:r>
        <w:rPr>
          <w:rFonts w:hint="eastAsia" w:ascii="宋体" w:hAnsi="宋体" w:eastAsia="宋体"/>
          <w:b w:val="0"/>
          <w:bCs w:val="0"/>
          <w:sz w:val="21"/>
          <w:szCs w:val="24"/>
          <w:u w:val="single"/>
          <w:shd w:val="clear" w:color="auto" w:fill="auto"/>
        </w:rPr>
        <w:t xml:space="preserve">                                          </w:t>
      </w:r>
    </w:p>
    <w:p>
      <w:pPr>
        <w:pStyle w:val="17"/>
        <w:numPr>
          <w:ilvl w:val="0"/>
          <w:numId w:val="0"/>
        </w:numPr>
        <w:tabs>
          <w:tab w:val="left" w:pos="999"/>
        </w:tabs>
        <w:adjustRightInd w:val="0"/>
        <w:snapToGrid w:val="0"/>
        <w:spacing w:after="0" w:line="400" w:lineRule="exact"/>
        <w:ind w:left="0" w:leftChars="0"/>
        <w:rPr>
          <w:rFonts w:hint="eastAsia" w:ascii="宋体" w:hAnsi="宋体" w:eastAsia="宋体"/>
          <w:b w:val="0"/>
          <w:bCs w:val="0"/>
          <w:sz w:val="21"/>
          <w:szCs w:val="24"/>
          <w:shd w:val="clear" w:color="auto" w:fill="auto"/>
        </w:rPr>
      </w:pPr>
      <w:r>
        <w:rPr>
          <w:rFonts w:hint="eastAsia" w:ascii="宋体" w:hAnsi="宋体" w:eastAsia="宋体"/>
          <w:b w:val="0"/>
          <w:bCs w:val="0"/>
          <w:sz w:val="21"/>
          <w:szCs w:val="24"/>
          <w:shd w:val="clear" w:color="auto" w:fill="auto"/>
        </w:rPr>
        <w:t xml:space="preserve">         采购项目编号：</w:t>
      </w:r>
      <w:r>
        <w:rPr>
          <w:rFonts w:hint="eastAsia" w:ascii="宋体" w:hAnsi="宋体" w:eastAsia="宋体"/>
          <w:b w:val="0"/>
          <w:bCs w:val="0"/>
          <w:sz w:val="21"/>
          <w:szCs w:val="24"/>
          <w:u w:val="single"/>
          <w:shd w:val="clear" w:color="auto" w:fill="auto"/>
        </w:rPr>
        <w:t xml:space="preserve">                                          </w:t>
      </w:r>
    </w:p>
    <w:p>
      <w:pPr>
        <w:pStyle w:val="17"/>
        <w:adjustRightInd w:val="0"/>
        <w:snapToGrid w:val="0"/>
        <w:spacing w:after="0" w:line="400" w:lineRule="exact"/>
        <w:ind w:left="0" w:leftChars="0" w:firstLine="420" w:firstLineChars="200"/>
        <w:rPr>
          <w:rFonts w:hint="eastAsia" w:ascii="宋体" w:hAnsi="宋体" w:eastAsia="宋体"/>
          <w:sz w:val="21"/>
          <w:szCs w:val="24"/>
        </w:rPr>
      </w:pPr>
      <w:r>
        <w:rPr>
          <w:rFonts w:hint="eastAsia" w:ascii="宋体" w:hAnsi="宋体" w:eastAsia="宋体"/>
          <w:b w:val="0"/>
          <w:bCs w:val="0"/>
          <w:sz w:val="21"/>
          <w:szCs w:val="24"/>
          <w:shd w:val="clear" w:color="auto" w:fill="auto"/>
        </w:rPr>
        <w:t>（2）采购计划编号：</w:t>
      </w:r>
      <w:r>
        <w:rPr>
          <w:rFonts w:hint="eastAsia" w:ascii="宋体" w:hAnsi="宋体" w:eastAsia="宋体"/>
          <w:b w:val="0"/>
          <w:bCs w:val="0"/>
          <w:sz w:val="21"/>
          <w:szCs w:val="24"/>
          <w:u w:val="single"/>
          <w:shd w:val="clear" w:color="auto" w:fill="auto"/>
        </w:rPr>
        <w:t xml:space="preserve">     </w:t>
      </w:r>
      <w:r>
        <w:rPr>
          <w:rFonts w:hint="eastAsia" w:ascii="宋体" w:hAnsi="宋体" w:eastAsia="宋体"/>
          <w:sz w:val="21"/>
          <w:szCs w:val="24"/>
          <w:u w:val="single"/>
        </w:rPr>
        <w:t xml:space="preserve">                                     </w:t>
      </w:r>
      <w:r>
        <w:rPr>
          <w:rFonts w:hint="eastAsia" w:ascii="宋体" w:hAnsi="宋体" w:eastAsia="宋体"/>
          <w:sz w:val="21"/>
          <w:szCs w:val="24"/>
        </w:rPr>
        <w:t xml:space="preserve"> </w:t>
      </w:r>
    </w:p>
    <w:p>
      <w:pPr>
        <w:adjustRightInd w:val="0"/>
        <w:snapToGrid w:val="0"/>
        <w:spacing w:afterLines="0" w:line="400" w:lineRule="exact"/>
        <w:ind w:firstLine="420" w:firstLineChars="200"/>
        <w:rPr>
          <w:rFonts w:hint="eastAsia" w:ascii="宋体" w:hAnsi="宋体" w:eastAsia="宋体"/>
          <w:sz w:val="21"/>
          <w:szCs w:val="24"/>
        </w:rPr>
      </w:pPr>
      <w:r>
        <w:rPr>
          <w:rFonts w:hint="eastAsia" w:ascii="宋体" w:hAnsi="宋体" w:eastAsia="宋体"/>
          <w:sz w:val="21"/>
          <w:szCs w:val="24"/>
        </w:rPr>
        <w:t>（3）项目内容：</w:t>
      </w:r>
    </w:p>
    <w:p>
      <w:pPr>
        <w:adjustRightInd w:val="0"/>
        <w:snapToGrid w:val="0"/>
        <w:spacing w:afterLines="0" w:line="400" w:lineRule="exact"/>
        <w:ind w:firstLine="420" w:firstLineChars="200"/>
        <w:rPr>
          <w:rFonts w:hint="eastAsia" w:ascii="宋体" w:hAnsi="宋体" w:eastAsia="宋体"/>
          <w:sz w:val="21"/>
          <w:szCs w:val="24"/>
        </w:rPr>
      </w:pPr>
      <w:r>
        <w:rPr>
          <w:rFonts w:hint="eastAsia" w:ascii="宋体" w:hAnsi="宋体" w:eastAsia="宋体"/>
          <w:sz w:val="21"/>
          <w:szCs w:val="24"/>
        </w:rPr>
        <w:t xml:space="preserve">     采购标的及数量（台/套</w:t>
      </w:r>
      <w:r>
        <w:rPr>
          <w:rFonts w:hint="eastAsia" w:ascii="宋体" w:hAnsi="宋体" w:eastAsia="宋体"/>
          <w:sz w:val="21"/>
          <w:szCs w:val="24"/>
          <w:lang w:val="en"/>
        </w:rPr>
        <w:t>/个/架/组等</w:t>
      </w:r>
      <w:r>
        <w:rPr>
          <w:rFonts w:hint="eastAsia" w:ascii="宋体" w:hAnsi="宋体" w:eastAsia="宋体"/>
          <w:sz w:val="21"/>
          <w:szCs w:val="24"/>
        </w:rPr>
        <w:t>）：</w:t>
      </w:r>
      <w:r>
        <w:rPr>
          <w:rFonts w:hint="eastAsia" w:ascii="宋体" w:hAnsi="宋体" w:eastAsia="宋体"/>
          <w:sz w:val="21"/>
          <w:szCs w:val="24"/>
          <w:u w:val="single"/>
        </w:rPr>
        <w:t xml:space="preserve">                       </w:t>
      </w:r>
      <w:r>
        <w:rPr>
          <w:rFonts w:hint="eastAsia" w:ascii="宋体" w:hAnsi="宋体" w:eastAsia="宋体"/>
          <w:sz w:val="21"/>
          <w:szCs w:val="24"/>
        </w:rPr>
        <w:t xml:space="preserve">            </w:t>
      </w:r>
      <w:r>
        <w:rPr>
          <w:rFonts w:hint="eastAsia" w:ascii="宋体" w:hAnsi="宋体" w:eastAsia="宋体"/>
          <w:sz w:val="21"/>
          <w:szCs w:val="24"/>
          <w:u w:val="single"/>
        </w:rPr>
        <w:t xml:space="preserve">                  </w:t>
      </w:r>
      <w:r>
        <w:rPr>
          <w:rFonts w:hint="eastAsia" w:ascii="宋体" w:hAnsi="宋体" w:eastAsia="宋体"/>
          <w:sz w:val="21"/>
          <w:szCs w:val="24"/>
        </w:rPr>
        <w:t xml:space="preserve"> </w:t>
      </w:r>
    </w:p>
    <w:p>
      <w:pPr>
        <w:numPr>
          <w:ilvl w:val="0"/>
          <w:numId w:val="0"/>
        </w:numPr>
        <w:adjustRightInd w:val="0"/>
        <w:snapToGrid w:val="0"/>
        <w:spacing w:afterLines="0" w:line="400" w:lineRule="exact"/>
        <w:ind w:firstLine="420" w:firstLineChars="200"/>
        <w:rPr>
          <w:rFonts w:hint="eastAsia" w:ascii="宋体" w:hAnsi="宋体" w:eastAsia="宋体" w:cs="宋体"/>
          <w:sz w:val="21"/>
          <w:szCs w:val="21"/>
          <w:lang w:val="en"/>
        </w:rPr>
      </w:pPr>
      <w:r>
        <w:rPr>
          <w:rFonts w:hint="eastAsia" w:ascii="宋体" w:hAnsi="宋体" w:eastAsia="宋体"/>
          <w:sz w:val="21"/>
          <w:szCs w:val="24"/>
        </w:rPr>
        <w:t xml:space="preserve">     </w:t>
      </w:r>
      <w:r>
        <w:rPr>
          <w:rFonts w:hint="eastAsia" w:ascii="宋体" w:hAnsi="宋体" w:eastAsia="宋体" w:cs="宋体"/>
          <w:sz w:val="21"/>
          <w:szCs w:val="21"/>
        </w:rPr>
        <w:t>品牌：</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lang w:val="en"/>
        </w:rPr>
        <w:t xml:space="preserve">     </w:t>
      </w:r>
      <w:r>
        <w:rPr>
          <w:rFonts w:hint="eastAsia" w:ascii="宋体" w:hAnsi="宋体" w:eastAsia="宋体" w:cs="宋体"/>
          <w:sz w:val="21"/>
          <w:szCs w:val="21"/>
        </w:rPr>
        <w:t>规格型号：</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
        </w:rPr>
        <w:t xml:space="preserve">   </w:t>
      </w:r>
    </w:p>
    <w:p>
      <w:pPr>
        <w:adjustRightInd w:val="0"/>
        <w:snapToGrid w:val="0"/>
        <w:spacing w:afterLines="0" w:line="400" w:lineRule="exact"/>
        <w:ind w:firstLine="945" w:firstLineChars="450"/>
        <w:rPr>
          <w:rFonts w:hint="eastAsia" w:ascii="宋体" w:hAnsi="宋体" w:eastAsia="宋体"/>
          <w:sz w:val="21"/>
          <w:szCs w:val="24"/>
          <w:u w:val="single"/>
        </w:rPr>
      </w:pPr>
      <w:r>
        <w:rPr>
          <w:rFonts w:hint="eastAsia" w:ascii="宋体" w:hAnsi="宋体" w:eastAsia="宋体"/>
          <w:sz w:val="21"/>
          <w:szCs w:val="24"/>
        </w:rPr>
        <w:t>采购标的的技术要求、商务要求具体见附件。</w:t>
      </w:r>
    </w:p>
    <w:p>
      <w:pPr>
        <w:numPr>
          <w:ilvl w:val="0"/>
          <w:numId w:val="0"/>
        </w:numPr>
        <w:adjustRightInd w:val="0"/>
        <w:snapToGrid w:val="0"/>
        <w:spacing w:afterLines="0" w:line="400" w:lineRule="exact"/>
        <w:ind w:firstLine="945" w:firstLineChars="450"/>
        <w:rPr>
          <w:rFonts w:hint="eastAsia" w:ascii="宋体" w:hAnsi="宋体" w:eastAsia="宋体" w:cs="宋体"/>
          <w:sz w:val="21"/>
          <w:szCs w:val="21"/>
        </w:rPr>
      </w:pPr>
      <w:r>
        <w:rPr>
          <w:rFonts w:hint="default" w:ascii="汉仪书宋二S" w:hAnsi="汉仪书宋二S" w:eastAsia="汉仪书宋二S" w:cs="汉仪书宋二S"/>
          <w:sz w:val="21"/>
          <w:szCs w:val="21"/>
        </w:rPr>
        <w:t>①</w:t>
      </w:r>
      <w:r>
        <w:rPr>
          <w:rFonts w:hint="eastAsia" w:ascii="宋体" w:hAnsi="宋体" w:eastAsia="宋体" w:cs="宋体"/>
          <w:sz w:val="21"/>
          <w:szCs w:val="21"/>
        </w:rPr>
        <w:t>涉及信息类产品，请填写该产品关键部件的品牌、型号：</w:t>
      </w:r>
    </w:p>
    <w:p>
      <w:pPr>
        <w:numPr>
          <w:ilvl w:val="0"/>
          <w:numId w:val="0"/>
        </w:numPr>
        <w:adjustRightInd w:val="0"/>
        <w:snapToGrid w:val="0"/>
        <w:spacing w:afterLines="0" w:line="400" w:lineRule="exact"/>
        <w:ind w:firstLine="420" w:firstLineChars="200"/>
        <w:rPr>
          <w:rFonts w:hint="eastAsia" w:ascii="宋体" w:hAnsi="宋体" w:eastAsia="宋体" w:cs="宋体"/>
          <w:kern w:val="0"/>
          <w:sz w:val="21"/>
          <w:szCs w:val="21"/>
          <w:u w:val="single"/>
        </w:rPr>
      </w:pPr>
      <w:r>
        <w:rPr>
          <w:rFonts w:hint="eastAsia" w:ascii="宋体" w:hAnsi="宋体" w:eastAsia="宋体" w:cs="宋体"/>
          <w:sz w:val="21"/>
          <w:szCs w:val="21"/>
        </w:rPr>
        <w:t xml:space="preserve">     标的名称：</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u w:val="single"/>
          <w:lang w:val="en"/>
        </w:rPr>
        <w:t xml:space="preserve">               </w:t>
      </w:r>
      <w:r>
        <w:rPr>
          <w:rFonts w:hint="eastAsia" w:ascii="宋体" w:hAnsi="宋体" w:eastAsia="宋体" w:cs="宋体"/>
          <w:kern w:val="0"/>
          <w:sz w:val="21"/>
          <w:szCs w:val="21"/>
          <w:u w:val="single"/>
        </w:rPr>
        <w:t xml:space="preserve">    </w:t>
      </w:r>
    </w:p>
    <w:p>
      <w:pPr>
        <w:numPr>
          <w:ilvl w:val="0"/>
          <w:numId w:val="0"/>
        </w:numPr>
        <w:adjustRightInd w:val="0"/>
        <w:snapToGrid w:val="0"/>
        <w:spacing w:afterLines="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关键部件：</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 xml:space="preserve"> </w:t>
      </w:r>
      <w:r>
        <w:rPr>
          <w:rFonts w:hint="eastAsia" w:ascii="宋体" w:hAnsi="宋体" w:eastAsia="宋体" w:cs="宋体"/>
          <w:sz w:val="21"/>
          <w:szCs w:val="21"/>
        </w:rPr>
        <w:t>品牌：</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型号：</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pStyle w:val="2"/>
        <w:spacing w:afterLines="0"/>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kern w:val="2"/>
          <w:sz w:val="21"/>
          <w:szCs w:val="21"/>
        </w:rPr>
        <w:t>关键部件</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品牌：</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型号：</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pStyle w:val="2"/>
        <w:spacing w:afterLines="0"/>
        <w:rPr>
          <w:rFonts w:hint="eastAsia" w:ascii="宋体" w:hAnsi="宋体" w:eastAsia="宋体" w:cs="宋体"/>
          <w:sz w:val="21"/>
          <w:szCs w:val="21"/>
        </w:rPr>
      </w:pPr>
      <w:r>
        <w:rPr>
          <w:rFonts w:hint="eastAsia" w:ascii="宋体" w:hAnsi="宋体" w:eastAsia="宋体" w:cs="宋体"/>
          <w:sz w:val="21"/>
          <w:szCs w:val="21"/>
        </w:rPr>
        <w:t xml:space="preserve">     关键部件：</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品牌：</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型号：</w:t>
      </w:r>
      <w:r>
        <w:rPr>
          <w:rFonts w:hint="eastAsia" w:ascii="宋体" w:hAnsi="宋体" w:eastAsia="宋体" w:cs="宋体"/>
          <w:sz w:val="21"/>
          <w:szCs w:val="21"/>
          <w:u w:val="single"/>
        </w:rPr>
        <w:t xml:space="preserve">       </w:t>
      </w:r>
    </w:p>
    <w:p>
      <w:pPr>
        <w:pStyle w:val="2"/>
        <w:numPr>
          <w:ilvl w:val="0"/>
          <w:numId w:val="0"/>
        </w:numPr>
        <w:snapToGrid w:val="0"/>
        <w:spacing w:afterLines="0"/>
        <w:ind w:firstLine="0" w:firstLineChars="0"/>
        <w:rPr>
          <w:rFonts w:hint="eastAsia" w:ascii="宋体" w:hAnsi="宋体" w:eastAsia="宋体" w:cs="宋体"/>
          <w:sz w:val="21"/>
          <w:szCs w:val="21"/>
        </w:rPr>
      </w:pPr>
      <w:r>
        <w:rPr>
          <w:rFonts w:hint="eastAsia" w:ascii="宋体" w:hAnsi="宋体" w:eastAsia="宋体" w:cs="宋体"/>
          <w:sz w:val="21"/>
          <w:szCs w:val="21"/>
        </w:rPr>
        <w:t xml:space="preserve">   （注：关键部件是指财政部会同有关部门发布的政府采购需求标准规定的需要通过国家有关部门指定的测评机构开展的安全可靠测评的软硬件，如CPU芯片、操作系统、数据库等。）</w:t>
      </w:r>
    </w:p>
    <w:p>
      <w:pPr>
        <w:pStyle w:val="2"/>
        <w:numPr>
          <w:ilvl w:val="0"/>
          <w:numId w:val="0"/>
        </w:numPr>
        <w:snapToGrid w:val="0"/>
        <w:spacing w:afterLines="0"/>
        <w:ind w:firstLine="0" w:firstLineChars="0"/>
        <w:rPr>
          <w:rFonts w:hint="eastAsia" w:ascii="宋体" w:hAnsi="宋体" w:eastAsia="宋体" w:cs="宋体"/>
          <w:sz w:val="21"/>
          <w:szCs w:val="21"/>
        </w:rPr>
      </w:pPr>
      <w:r>
        <w:rPr>
          <w:rFonts w:hint="eastAsia" w:ascii="宋体" w:hAnsi="宋体" w:eastAsia="宋体" w:cs="宋体"/>
          <w:sz w:val="21"/>
          <w:szCs w:val="21"/>
        </w:rPr>
        <w:t xml:space="preserve">         </w:t>
      </w:r>
      <w:r>
        <w:rPr>
          <w:rFonts w:hint="default" w:ascii="汉仪书宋二S" w:hAnsi="汉仪书宋二S" w:eastAsia="汉仪书宋二S" w:cs="汉仪书宋二S"/>
          <w:sz w:val="21"/>
          <w:szCs w:val="21"/>
        </w:rPr>
        <w:t>②</w:t>
      </w:r>
      <w:r>
        <w:rPr>
          <w:rFonts w:hint="eastAsia" w:ascii="宋体" w:hAnsi="宋体" w:eastAsia="宋体" w:cs="宋体"/>
          <w:sz w:val="21"/>
          <w:szCs w:val="21"/>
        </w:rPr>
        <w:t>涉及车辆采购，请填写是否属于新能源汽车：</w:t>
      </w:r>
    </w:p>
    <w:p>
      <w:pPr>
        <w:pStyle w:val="2"/>
        <w:numPr>
          <w:ilvl w:val="0"/>
          <w:numId w:val="0"/>
        </w:numPr>
        <w:snapToGrid w:val="0"/>
        <w:spacing w:afterLines="0"/>
        <w:ind w:firstLine="0" w:firstLineChars="0"/>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rPr>
        <w:t>是，《政府采购品目分类目录》底级品目名称：</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数量：</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金额：</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pStyle w:val="2"/>
        <w:numPr>
          <w:ilvl w:val="0"/>
          <w:numId w:val="0"/>
        </w:numPr>
        <w:snapToGrid w:val="0"/>
        <w:spacing w:afterLines="0"/>
        <w:ind w:firstLine="0" w:firstLineChars="0"/>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rPr>
        <w:t>否</w:t>
      </w:r>
    </w:p>
    <w:p>
      <w:pPr>
        <w:pStyle w:val="2"/>
        <w:numPr>
          <w:ilvl w:val="0"/>
          <w:numId w:val="0"/>
        </w:numPr>
        <w:snapToGrid w:val="0"/>
        <w:spacing w:afterLines="0"/>
        <w:ind w:firstLine="0" w:firstLineChars="0"/>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
        </w:rPr>
        <w:t>4</w:t>
      </w:r>
      <w:r>
        <w:rPr>
          <w:rFonts w:hint="eastAsia" w:ascii="宋体" w:hAnsi="宋体" w:eastAsia="宋体" w:cs="宋体"/>
          <w:sz w:val="21"/>
          <w:szCs w:val="21"/>
        </w:rPr>
        <w:t>）政府采购组织形式：</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政府集中采购  </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部门集中采购  </w:t>
      </w:r>
      <w:r>
        <w:rPr>
          <w:rFonts w:hint="eastAsia" w:ascii="宋体" w:hAnsi="宋体" w:eastAsia="宋体" w:cs="宋体"/>
          <w:sz w:val="21"/>
          <w:szCs w:val="21"/>
        </w:rPr>
        <w:sym w:font="Wingdings" w:char="00A8"/>
      </w:r>
      <w:r>
        <w:rPr>
          <w:rFonts w:hint="eastAsia" w:ascii="宋体" w:hAnsi="宋体" w:eastAsia="宋体" w:cs="宋体"/>
          <w:sz w:val="21"/>
          <w:szCs w:val="21"/>
        </w:rPr>
        <w:t>分散采购</w:t>
      </w:r>
    </w:p>
    <w:p>
      <w:pPr>
        <w:pStyle w:val="2"/>
        <w:numPr>
          <w:ilvl w:val="0"/>
          <w:numId w:val="0"/>
        </w:numPr>
        <w:snapToGrid w:val="0"/>
        <w:spacing w:afterLines="0"/>
        <w:ind w:firstLine="420" w:firstLineChars="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
        </w:rPr>
        <w:t>5</w:t>
      </w:r>
      <w:r>
        <w:rPr>
          <w:rFonts w:hint="eastAsia" w:ascii="宋体" w:hAnsi="宋体" w:eastAsia="宋体" w:cs="宋体"/>
          <w:sz w:val="21"/>
          <w:szCs w:val="21"/>
        </w:rPr>
        <w:t>）政府采购方式：</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公开招标 </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邀请招标 </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竞争性谈判 </w:t>
      </w:r>
      <w:r>
        <w:rPr>
          <w:rFonts w:hint="eastAsia" w:ascii="宋体" w:hAnsi="宋体" w:eastAsia="宋体" w:cs="宋体"/>
          <w:sz w:val="21"/>
          <w:szCs w:val="21"/>
        </w:rPr>
        <w:sym w:font="Wingdings" w:char="00A8"/>
      </w:r>
      <w:r>
        <w:rPr>
          <w:rFonts w:hint="eastAsia" w:ascii="宋体" w:hAnsi="宋体" w:eastAsia="宋体" w:cs="宋体"/>
          <w:sz w:val="21"/>
          <w:szCs w:val="21"/>
        </w:rPr>
        <w:t>竞争性磋商</w:t>
      </w:r>
    </w:p>
    <w:p>
      <w:pPr>
        <w:pStyle w:val="2"/>
        <w:numPr>
          <w:ilvl w:val="0"/>
          <w:numId w:val="0"/>
        </w:numPr>
        <w:snapToGrid w:val="0"/>
        <w:spacing w:afterLines="0"/>
        <w:ind w:firstLine="420" w:firstLineChars="0"/>
        <w:rPr>
          <w:rFonts w:hint="eastAsia" w:ascii="宋体" w:hAnsi="宋体" w:eastAsia="宋体" w:cs="宋体"/>
          <w:sz w:val="21"/>
          <w:szCs w:val="21"/>
          <w:u w:val="single"/>
        </w:rPr>
      </w:pPr>
      <w:r>
        <w:rPr>
          <w:rFonts w:hint="eastAsia" w:ascii="宋体" w:hAnsi="宋体" w:cs="宋体"/>
          <w:sz w:val="22"/>
          <w:szCs w:val="21"/>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询价 </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单一来源 </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框架协议 </w:t>
      </w:r>
      <w:r>
        <w:rPr>
          <w:rFonts w:hint="eastAsia" w:ascii="宋体" w:hAnsi="宋体" w:eastAsia="宋体" w:cs="宋体"/>
          <w:sz w:val="21"/>
          <w:szCs w:val="21"/>
        </w:rPr>
        <w:sym w:font="Wingdings" w:char="00A8"/>
      </w:r>
      <w:r>
        <w:rPr>
          <w:rFonts w:hint="eastAsia" w:ascii="宋体" w:hAnsi="宋体" w:eastAsia="宋体" w:cs="宋体"/>
          <w:sz w:val="21"/>
          <w:szCs w:val="21"/>
        </w:rPr>
        <w:t>其他：</w:t>
      </w:r>
      <w:r>
        <w:rPr>
          <w:rFonts w:hint="eastAsia" w:ascii="宋体" w:hAnsi="宋体" w:eastAsia="宋体" w:cs="宋体"/>
          <w:sz w:val="21"/>
          <w:szCs w:val="21"/>
          <w:u w:val="single"/>
        </w:rPr>
        <w:t xml:space="preserve">          </w:t>
      </w:r>
    </w:p>
    <w:p>
      <w:pPr>
        <w:pStyle w:val="2"/>
        <w:numPr>
          <w:ilvl w:val="0"/>
          <w:numId w:val="0"/>
        </w:numPr>
        <w:snapToGrid w:val="0"/>
        <w:spacing w:afterLines="0"/>
        <w:ind w:firstLine="420" w:firstLineChars="0"/>
        <w:rPr>
          <w:rFonts w:hint="eastAsia" w:ascii="宋体" w:hAnsi="宋体" w:eastAsia="宋体" w:cs="宋体"/>
          <w:sz w:val="21"/>
          <w:szCs w:val="21"/>
        </w:rPr>
      </w:pPr>
      <w:r>
        <w:rPr>
          <w:rFonts w:hint="eastAsia" w:ascii="宋体" w:hAnsi="宋体" w:eastAsia="宋体" w:cs="宋体"/>
          <w:sz w:val="21"/>
          <w:szCs w:val="21"/>
        </w:rPr>
        <w:t>（注：在框架协议采购的第二阶段，可选择使用该合同文本）</w:t>
      </w:r>
    </w:p>
    <w:p>
      <w:pPr>
        <w:pStyle w:val="2"/>
        <w:numPr>
          <w:ilvl w:val="0"/>
          <w:numId w:val="0"/>
        </w:numPr>
        <w:snapToGrid w:val="0"/>
        <w:spacing w:afterLines="0"/>
        <w:ind w:firstLine="220" w:firstLineChars="100"/>
        <w:rPr>
          <w:rFonts w:hint="eastAsia" w:ascii="宋体" w:hAnsi="宋体" w:eastAsia="宋体" w:cs="Times New Roman"/>
          <w:kern w:val="2"/>
          <w:sz w:val="21"/>
          <w:szCs w:val="21"/>
        </w:rPr>
      </w:pPr>
      <w:r>
        <w:rPr>
          <w:rFonts w:hint="eastAsia" w:ascii="宋体" w:hAnsi="宋体"/>
          <w:sz w:val="22"/>
          <w:szCs w:val="21"/>
        </w:rPr>
        <w:t xml:space="preserve"> （</w:t>
      </w:r>
      <w:r>
        <w:rPr>
          <w:rFonts w:hint="eastAsia" w:ascii="宋体" w:hAnsi="宋体" w:eastAsia="宋体"/>
          <w:sz w:val="22"/>
          <w:szCs w:val="21"/>
          <w:lang w:val="en"/>
        </w:rPr>
        <w:t>6</w:t>
      </w:r>
      <w:r>
        <w:rPr>
          <w:rFonts w:hint="eastAsia" w:ascii="宋体" w:hAnsi="宋体"/>
          <w:sz w:val="22"/>
          <w:szCs w:val="21"/>
        </w:rPr>
        <w:t>）</w:t>
      </w:r>
      <w:r>
        <w:rPr>
          <w:rFonts w:hint="eastAsia" w:ascii="宋体" w:hAnsi="宋体" w:eastAsia="宋体" w:cs="Times New Roman"/>
          <w:kern w:val="2"/>
          <w:sz w:val="21"/>
          <w:szCs w:val="21"/>
        </w:rPr>
        <w:t>中标（成交）采购标的制造商是否为中小企业：</w:t>
      </w:r>
      <w:r>
        <w:rPr>
          <w:rFonts w:hint="eastAsia" w:ascii="宋体" w:hAnsi="宋体" w:eastAsia="宋体" w:cs="Times New Roman"/>
          <w:kern w:val="2"/>
          <w:sz w:val="21"/>
          <w:szCs w:val="21"/>
        </w:rPr>
        <w:sym w:font="Wingdings" w:char="00A8"/>
      </w:r>
      <w:r>
        <w:rPr>
          <w:rFonts w:hint="eastAsia" w:ascii="宋体" w:hAnsi="宋体" w:eastAsia="宋体" w:cs="Times New Roman"/>
          <w:kern w:val="2"/>
          <w:sz w:val="21"/>
          <w:szCs w:val="21"/>
        </w:rPr>
        <w:t xml:space="preserve">是      </w:t>
      </w:r>
      <w:r>
        <w:rPr>
          <w:rFonts w:hint="eastAsia" w:ascii="宋体" w:hAnsi="宋体" w:eastAsia="宋体" w:cs="Times New Roman"/>
          <w:kern w:val="2"/>
          <w:sz w:val="21"/>
          <w:szCs w:val="21"/>
        </w:rPr>
        <w:sym w:font="Wingdings" w:char="00A8"/>
      </w:r>
      <w:r>
        <w:rPr>
          <w:rFonts w:hint="eastAsia" w:ascii="宋体" w:hAnsi="宋体" w:eastAsia="宋体" w:cs="Times New Roman"/>
          <w:kern w:val="2"/>
          <w:sz w:val="21"/>
          <w:szCs w:val="21"/>
        </w:rPr>
        <w:t>否</w:t>
      </w:r>
    </w:p>
    <w:p>
      <w:pPr>
        <w:numPr>
          <w:ilvl w:val="0"/>
          <w:numId w:val="0"/>
        </w:numPr>
        <w:adjustRightInd w:val="0"/>
        <w:snapToGrid w:val="0"/>
        <w:spacing w:afterLines="0" w:line="400" w:lineRule="exact"/>
        <w:rPr>
          <w:rFonts w:hint="eastAsia" w:ascii="宋体" w:hAnsi="宋体" w:eastAsia="宋体"/>
          <w:sz w:val="21"/>
          <w:szCs w:val="24"/>
        </w:rPr>
      </w:pPr>
      <w:r>
        <w:rPr>
          <w:rFonts w:hint="eastAsia" w:ascii="宋体" w:hAnsi="宋体" w:eastAsia="宋体"/>
          <w:sz w:val="21"/>
          <w:szCs w:val="24"/>
        </w:rPr>
        <w:t xml:space="preserve">         本合同是否为专门面向中小企业的采购合同（中小企业预留合同）：</w:t>
      </w:r>
      <w:r>
        <w:rPr>
          <w:rFonts w:hint="eastAsia" w:ascii="宋体" w:hAnsi="宋体" w:eastAsia="宋体"/>
          <w:sz w:val="21"/>
          <w:szCs w:val="24"/>
        </w:rPr>
        <w:sym w:font="Wingdings" w:char="00A8"/>
      </w:r>
      <w:r>
        <w:rPr>
          <w:rFonts w:hint="eastAsia" w:ascii="宋体" w:hAnsi="宋体" w:eastAsia="宋体"/>
          <w:sz w:val="21"/>
          <w:szCs w:val="24"/>
        </w:rPr>
        <w:t xml:space="preserve">是    </w:t>
      </w:r>
      <w:r>
        <w:rPr>
          <w:rFonts w:hint="eastAsia" w:ascii="宋体" w:hAnsi="宋体" w:eastAsia="宋体"/>
          <w:sz w:val="21"/>
          <w:szCs w:val="24"/>
        </w:rPr>
        <w:sym w:font="Wingdings" w:char="00A8"/>
      </w:r>
      <w:r>
        <w:rPr>
          <w:rFonts w:hint="eastAsia" w:ascii="宋体" w:hAnsi="宋体" w:eastAsia="宋体"/>
          <w:sz w:val="21"/>
          <w:szCs w:val="24"/>
        </w:rPr>
        <w:t>否</w:t>
      </w:r>
    </w:p>
    <w:p>
      <w:pPr>
        <w:numPr>
          <w:ilvl w:val="0"/>
          <w:numId w:val="0"/>
        </w:numPr>
        <w:adjustRightInd w:val="0"/>
        <w:snapToGrid w:val="0"/>
        <w:spacing w:afterLines="0" w:line="400" w:lineRule="exact"/>
        <w:rPr>
          <w:rFonts w:hint="eastAsia" w:ascii="宋体" w:hAnsi="宋体" w:eastAsia="宋体"/>
          <w:sz w:val="21"/>
          <w:szCs w:val="24"/>
        </w:rPr>
      </w:pPr>
      <w:r>
        <w:rPr>
          <w:rFonts w:hint="default"/>
          <w:sz w:val="21"/>
          <w:szCs w:val="24"/>
        </w:rPr>
        <w:t xml:space="preserve">         </w:t>
      </w:r>
      <w:r>
        <w:rPr>
          <w:rFonts w:hint="eastAsia" w:eastAsia="宋体"/>
          <w:sz w:val="21"/>
          <w:szCs w:val="24"/>
        </w:rPr>
        <w:t>若本项目不专门面向中小企业采购，是否给予小微企业评审优惠：</w:t>
      </w:r>
      <w:r>
        <w:rPr>
          <w:rFonts w:hint="eastAsia" w:ascii="宋体" w:hAnsi="宋体" w:eastAsia="宋体"/>
          <w:sz w:val="21"/>
          <w:szCs w:val="24"/>
        </w:rPr>
        <w:sym w:font="Wingdings" w:char="00A8"/>
      </w:r>
      <w:r>
        <w:rPr>
          <w:rFonts w:hint="eastAsia" w:ascii="宋体" w:hAnsi="宋体" w:eastAsia="宋体"/>
          <w:sz w:val="21"/>
          <w:szCs w:val="24"/>
        </w:rPr>
        <w:t xml:space="preserve">是   </w:t>
      </w:r>
      <w:r>
        <w:rPr>
          <w:rFonts w:hint="eastAsia" w:ascii="宋体" w:hAnsi="宋体" w:eastAsia="宋体"/>
          <w:sz w:val="21"/>
          <w:szCs w:val="24"/>
        </w:rPr>
        <w:sym w:font="Wingdings" w:char="00A8"/>
      </w:r>
      <w:r>
        <w:rPr>
          <w:rFonts w:hint="eastAsia" w:ascii="宋体" w:hAnsi="宋体" w:eastAsia="宋体"/>
          <w:sz w:val="21"/>
          <w:szCs w:val="24"/>
        </w:rPr>
        <w:t>否</w:t>
      </w:r>
    </w:p>
    <w:p>
      <w:pPr>
        <w:numPr>
          <w:ilvl w:val="0"/>
          <w:numId w:val="0"/>
        </w:numPr>
        <w:adjustRightInd w:val="0"/>
        <w:snapToGrid w:val="0"/>
        <w:spacing w:afterLines="0" w:line="400" w:lineRule="exact"/>
        <w:rPr>
          <w:rFonts w:hint="eastAsia" w:ascii="宋体" w:hAnsi="宋体" w:eastAsia="宋体"/>
          <w:sz w:val="21"/>
          <w:szCs w:val="24"/>
        </w:rPr>
      </w:pPr>
      <w:r>
        <w:rPr>
          <w:rFonts w:hint="default"/>
          <w:sz w:val="21"/>
          <w:szCs w:val="24"/>
        </w:rPr>
        <w:t xml:space="preserve">         </w:t>
      </w:r>
      <w:r>
        <w:rPr>
          <w:rFonts w:hint="eastAsia" w:eastAsia="宋体"/>
          <w:sz w:val="21"/>
          <w:szCs w:val="24"/>
        </w:rPr>
        <w:t>中标（成交）采购标的制造商是否为残疾人福利性单位：</w:t>
      </w:r>
      <w:r>
        <w:rPr>
          <w:rFonts w:hint="eastAsia" w:ascii="宋体" w:hAnsi="宋体" w:eastAsia="宋体"/>
          <w:sz w:val="21"/>
          <w:szCs w:val="24"/>
        </w:rPr>
        <w:sym w:font="Wingdings" w:char="00A8"/>
      </w:r>
      <w:r>
        <w:rPr>
          <w:rFonts w:hint="eastAsia" w:ascii="宋体" w:hAnsi="宋体" w:eastAsia="宋体"/>
          <w:sz w:val="21"/>
          <w:szCs w:val="24"/>
        </w:rPr>
        <w:t xml:space="preserve">是   </w:t>
      </w:r>
      <w:r>
        <w:rPr>
          <w:rFonts w:hint="eastAsia" w:ascii="宋体" w:hAnsi="宋体" w:eastAsia="宋体"/>
          <w:sz w:val="21"/>
          <w:szCs w:val="24"/>
        </w:rPr>
        <w:sym w:font="Wingdings" w:char="00A8"/>
      </w:r>
      <w:r>
        <w:rPr>
          <w:rFonts w:hint="eastAsia" w:ascii="宋体" w:hAnsi="宋体" w:eastAsia="宋体"/>
          <w:sz w:val="21"/>
          <w:szCs w:val="24"/>
        </w:rPr>
        <w:t>否</w:t>
      </w:r>
    </w:p>
    <w:p>
      <w:pPr>
        <w:numPr>
          <w:ilvl w:val="0"/>
          <w:numId w:val="0"/>
        </w:numPr>
        <w:snapToGrid w:val="0"/>
        <w:spacing w:afterLines="0" w:line="400" w:lineRule="exact"/>
        <w:rPr>
          <w:rFonts w:hint="default"/>
          <w:sz w:val="21"/>
          <w:szCs w:val="24"/>
        </w:rPr>
      </w:pPr>
      <w:r>
        <w:rPr>
          <w:rFonts w:hint="default"/>
          <w:sz w:val="21"/>
          <w:szCs w:val="24"/>
        </w:rPr>
        <w:t xml:space="preserve">         </w:t>
      </w:r>
      <w:r>
        <w:rPr>
          <w:rFonts w:hint="eastAsia" w:eastAsia="宋体"/>
          <w:sz w:val="21"/>
          <w:szCs w:val="24"/>
        </w:rPr>
        <w:t>中标（成交）采购标的制造商是否为监狱企业：</w:t>
      </w:r>
      <w:r>
        <w:rPr>
          <w:rFonts w:hint="eastAsia" w:ascii="宋体" w:hAnsi="宋体" w:eastAsia="宋体"/>
          <w:sz w:val="21"/>
          <w:szCs w:val="24"/>
        </w:rPr>
        <w:sym w:font="Wingdings" w:char="00A8"/>
      </w:r>
      <w:r>
        <w:rPr>
          <w:rFonts w:hint="eastAsia" w:ascii="宋体" w:hAnsi="宋体" w:eastAsia="宋体"/>
          <w:sz w:val="21"/>
          <w:szCs w:val="24"/>
        </w:rPr>
        <w:t xml:space="preserve">是       </w:t>
      </w:r>
      <w:r>
        <w:rPr>
          <w:rFonts w:hint="eastAsia" w:ascii="宋体" w:hAnsi="宋体" w:eastAsia="宋体"/>
          <w:sz w:val="21"/>
          <w:szCs w:val="24"/>
        </w:rPr>
        <w:sym w:font="Wingdings" w:char="00A8"/>
      </w:r>
      <w:r>
        <w:rPr>
          <w:rFonts w:hint="eastAsia" w:ascii="宋体" w:hAnsi="宋体" w:eastAsia="宋体"/>
          <w:sz w:val="21"/>
          <w:szCs w:val="24"/>
        </w:rPr>
        <w:t>否</w:t>
      </w:r>
    </w:p>
    <w:p>
      <w:pPr>
        <w:adjustRightInd w:val="0"/>
        <w:snapToGrid w:val="0"/>
        <w:spacing w:afterLines="0" w:line="400" w:lineRule="exact"/>
        <w:ind w:firstLine="420" w:firstLineChars="200"/>
        <w:rPr>
          <w:rFonts w:hint="eastAsia" w:ascii="宋体" w:hAnsi="宋体" w:eastAsia="宋体"/>
          <w:sz w:val="21"/>
          <w:szCs w:val="24"/>
        </w:rPr>
      </w:pPr>
      <w:r>
        <w:rPr>
          <w:rFonts w:hint="eastAsia" w:ascii="宋体" w:hAnsi="宋体" w:eastAsia="宋体"/>
          <w:sz w:val="21"/>
          <w:szCs w:val="24"/>
        </w:rPr>
        <w:t>（</w:t>
      </w:r>
      <w:r>
        <w:rPr>
          <w:rFonts w:hint="eastAsia" w:ascii="宋体" w:hAnsi="宋体" w:eastAsia="宋体"/>
          <w:sz w:val="21"/>
          <w:szCs w:val="24"/>
          <w:lang w:val="en"/>
        </w:rPr>
        <w:t>7</w:t>
      </w:r>
      <w:r>
        <w:rPr>
          <w:rFonts w:hint="eastAsia" w:ascii="宋体" w:hAnsi="宋体" w:eastAsia="宋体"/>
          <w:sz w:val="21"/>
          <w:szCs w:val="24"/>
        </w:rPr>
        <w:t>）合同是否分包：</w:t>
      </w:r>
      <w:r>
        <w:rPr>
          <w:rFonts w:hint="eastAsia" w:ascii="宋体" w:hAnsi="宋体" w:eastAsia="宋体"/>
          <w:sz w:val="21"/>
          <w:szCs w:val="24"/>
        </w:rPr>
        <w:sym w:font="Wingdings" w:char="00A8"/>
      </w:r>
      <w:r>
        <w:rPr>
          <w:rFonts w:hint="eastAsia" w:ascii="宋体" w:hAnsi="宋体" w:eastAsia="宋体"/>
          <w:sz w:val="21"/>
          <w:szCs w:val="24"/>
        </w:rPr>
        <w:t xml:space="preserve">是       </w:t>
      </w:r>
      <w:r>
        <w:rPr>
          <w:rFonts w:hint="eastAsia" w:ascii="宋体" w:hAnsi="宋体" w:eastAsia="宋体"/>
          <w:sz w:val="21"/>
          <w:szCs w:val="24"/>
        </w:rPr>
        <w:sym w:font="Wingdings" w:char="00A8"/>
      </w:r>
      <w:r>
        <w:rPr>
          <w:rFonts w:hint="eastAsia" w:ascii="宋体" w:hAnsi="宋体" w:eastAsia="宋体"/>
          <w:sz w:val="21"/>
          <w:szCs w:val="24"/>
        </w:rPr>
        <w:t>否</w:t>
      </w:r>
    </w:p>
    <w:p>
      <w:pPr>
        <w:adjustRightInd w:val="0"/>
        <w:snapToGrid w:val="0"/>
        <w:spacing w:afterLines="0" w:line="400" w:lineRule="exact"/>
        <w:ind w:firstLine="840" w:firstLineChars="400"/>
        <w:rPr>
          <w:rFonts w:hint="eastAsia" w:ascii="宋体" w:hAnsi="宋体" w:eastAsia="宋体"/>
          <w:sz w:val="21"/>
          <w:szCs w:val="24"/>
          <w:u w:val="single"/>
        </w:rPr>
      </w:pPr>
      <w:r>
        <w:rPr>
          <w:rFonts w:hint="eastAsia" w:ascii="宋体" w:hAnsi="宋体" w:eastAsia="宋体"/>
          <w:sz w:val="21"/>
          <w:szCs w:val="24"/>
        </w:rPr>
        <w:t xml:space="preserve"> 分包主要内容：</w:t>
      </w:r>
      <w:r>
        <w:rPr>
          <w:rFonts w:hint="eastAsia" w:ascii="宋体" w:hAnsi="宋体" w:eastAsia="宋体"/>
          <w:sz w:val="21"/>
          <w:szCs w:val="24"/>
          <w:u w:val="single"/>
        </w:rPr>
        <w:t xml:space="preserve">                                            </w:t>
      </w:r>
    </w:p>
    <w:p>
      <w:pPr>
        <w:adjustRightInd w:val="0"/>
        <w:snapToGrid w:val="0"/>
        <w:spacing w:afterLines="0" w:line="400" w:lineRule="exact"/>
        <w:ind w:firstLine="840" w:firstLineChars="400"/>
        <w:rPr>
          <w:rFonts w:hint="eastAsia" w:ascii="宋体" w:hAnsi="宋体" w:eastAsia="宋体"/>
          <w:sz w:val="21"/>
          <w:szCs w:val="24"/>
        </w:rPr>
      </w:pPr>
      <w:r>
        <w:rPr>
          <w:rFonts w:hint="eastAsia" w:ascii="宋体" w:hAnsi="宋体" w:eastAsia="宋体"/>
          <w:sz w:val="21"/>
          <w:szCs w:val="24"/>
        </w:rPr>
        <w:t xml:space="preserve"> 分包供应商/制造商名称（如供应商和制造商不同，请分别填写）：</w:t>
      </w:r>
    </w:p>
    <w:p>
      <w:pPr>
        <w:adjustRightInd w:val="0"/>
        <w:snapToGrid w:val="0"/>
        <w:spacing w:afterLines="0" w:line="400" w:lineRule="exact"/>
        <w:ind w:firstLine="840" w:firstLineChars="400"/>
        <w:rPr>
          <w:rFonts w:hint="eastAsia" w:ascii="宋体" w:hAnsi="宋体" w:eastAsia="宋体"/>
          <w:sz w:val="21"/>
          <w:szCs w:val="24"/>
          <w:u w:val="single"/>
        </w:rPr>
      </w:pPr>
      <w:r>
        <w:rPr>
          <w:rFonts w:hint="eastAsia" w:ascii="宋体" w:hAnsi="宋体" w:eastAsia="宋体"/>
          <w:sz w:val="21"/>
          <w:szCs w:val="24"/>
        </w:rPr>
        <w:t xml:space="preserve"> </w:t>
      </w:r>
      <w:r>
        <w:rPr>
          <w:rFonts w:hint="eastAsia" w:ascii="宋体" w:hAnsi="宋体" w:eastAsia="宋体"/>
          <w:sz w:val="21"/>
          <w:szCs w:val="24"/>
          <w:u w:val="single"/>
        </w:rPr>
        <w:t xml:space="preserve">                                                          </w:t>
      </w:r>
    </w:p>
    <w:p>
      <w:pPr>
        <w:adjustRightInd w:val="0"/>
        <w:snapToGrid w:val="0"/>
        <w:spacing w:afterLines="0" w:line="400" w:lineRule="exact"/>
        <w:ind w:firstLine="840" w:firstLineChars="400"/>
        <w:rPr>
          <w:rFonts w:hint="eastAsia" w:ascii="宋体" w:hAnsi="宋体" w:eastAsia="宋体"/>
          <w:sz w:val="21"/>
          <w:szCs w:val="24"/>
        </w:rPr>
      </w:pPr>
      <w:r>
        <w:rPr>
          <w:rFonts w:hint="eastAsia" w:ascii="宋体" w:hAnsi="宋体" w:eastAsia="宋体"/>
          <w:sz w:val="21"/>
          <w:szCs w:val="24"/>
        </w:rPr>
        <w:t xml:space="preserve"> 分包供应商/制造商类型（如果供应商和制造商不同，只填写制造商类型）：</w:t>
      </w:r>
    </w:p>
    <w:p>
      <w:pPr>
        <w:adjustRightInd w:val="0"/>
        <w:snapToGrid w:val="0"/>
        <w:spacing w:afterLines="0" w:line="400" w:lineRule="exact"/>
        <w:ind w:firstLine="840" w:firstLineChars="400"/>
        <w:rPr>
          <w:rFonts w:hint="eastAsia" w:ascii="宋体" w:hAnsi="宋体" w:eastAsia="宋体"/>
          <w:sz w:val="21"/>
          <w:szCs w:val="24"/>
        </w:rPr>
      </w:pPr>
      <w:r>
        <w:rPr>
          <w:rFonts w:hint="eastAsia" w:ascii="宋体" w:hAnsi="宋体" w:eastAsia="宋体"/>
          <w:sz w:val="21"/>
          <w:szCs w:val="24"/>
        </w:rPr>
        <w:t xml:space="preserve"> </w:t>
      </w:r>
      <w:r>
        <w:rPr>
          <w:rFonts w:hint="eastAsia" w:ascii="宋体" w:hAnsi="宋体" w:eastAsia="宋体"/>
          <w:sz w:val="21"/>
          <w:szCs w:val="24"/>
        </w:rPr>
        <w:sym w:font="Wingdings" w:char="00A8"/>
      </w:r>
      <w:r>
        <w:rPr>
          <w:rFonts w:hint="eastAsia" w:ascii="宋体" w:hAnsi="宋体" w:eastAsia="宋体"/>
          <w:sz w:val="21"/>
          <w:szCs w:val="24"/>
        </w:rPr>
        <w:t xml:space="preserve">大型企业  </w:t>
      </w:r>
      <w:r>
        <w:rPr>
          <w:rFonts w:hint="eastAsia" w:ascii="宋体" w:hAnsi="宋体" w:eastAsia="宋体"/>
          <w:sz w:val="21"/>
          <w:szCs w:val="24"/>
        </w:rPr>
        <w:sym w:font="Wingdings" w:char="00A8"/>
      </w:r>
      <w:r>
        <w:rPr>
          <w:rFonts w:hint="eastAsia" w:ascii="宋体" w:hAnsi="宋体" w:eastAsia="宋体"/>
          <w:sz w:val="21"/>
          <w:szCs w:val="24"/>
        </w:rPr>
        <w:t xml:space="preserve">中型企业  </w:t>
      </w:r>
      <w:r>
        <w:rPr>
          <w:rFonts w:hint="eastAsia" w:ascii="宋体" w:hAnsi="宋体" w:eastAsia="宋体"/>
          <w:sz w:val="21"/>
          <w:szCs w:val="24"/>
        </w:rPr>
        <w:sym w:font="Wingdings" w:char="00A8"/>
      </w:r>
      <w:r>
        <w:rPr>
          <w:rFonts w:hint="eastAsia" w:ascii="宋体" w:hAnsi="宋体" w:eastAsia="宋体"/>
          <w:sz w:val="21"/>
          <w:szCs w:val="24"/>
        </w:rPr>
        <w:t xml:space="preserve">小微型企业  </w:t>
      </w:r>
    </w:p>
    <w:p>
      <w:pPr>
        <w:adjustRightInd w:val="0"/>
        <w:snapToGrid w:val="0"/>
        <w:spacing w:afterLines="0" w:line="400" w:lineRule="exact"/>
        <w:ind w:firstLine="840" w:firstLineChars="400"/>
        <w:rPr>
          <w:rFonts w:hint="default" w:ascii="Times New Roman" w:hAnsi="Times New Roman" w:eastAsia="华文楷体"/>
          <w:sz w:val="21"/>
          <w:szCs w:val="24"/>
        </w:rPr>
      </w:pPr>
      <w:r>
        <w:rPr>
          <w:rFonts w:hint="eastAsia" w:ascii="宋体" w:hAnsi="宋体" w:eastAsia="宋体"/>
          <w:sz w:val="21"/>
          <w:szCs w:val="24"/>
        </w:rPr>
        <w:t xml:space="preserve"> </w:t>
      </w:r>
      <w:r>
        <w:rPr>
          <w:rFonts w:hint="eastAsia" w:ascii="宋体" w:hAnsi="宋体" w:eastAsia="宋体"/>
          <w:sz w:val="21"/>
          <w:szCs w:val="24"/>
        </w:rPr>
        <w:sym w:font="Wingdings" w:char="00A8"/>
      </w:r>
      <w:r>
        <w:rPr>
          <w:rFonts w:hint="eastAsia" w:ascii="宋体" w:hAnsi="宋体" w:eastAsia="宋体"/>
          <w:sz w:val="21"/>
          <w:szCs w:val="24"/>
        </w:rPr>
        <w:t xml:space="preserve">残疾人福利性单位 </w:t>
      </w:r>
      <w:r>
        <w:rPr>
          <w:rFonts w:hint="eastAsia" w:ascii="宋体" w:hAnsi="宋体" w:eastAsia="宋体"/>
          <w:sz w:val="21"/>
          <w:szCs w:val="24"/>
        </w:rPr>
        <w:sym w:font="Wingdings" w:char="00A8"/>
      </w:r>
      <w:r>
        <w:rPr>
          <w:rFonts w:hint="eastAsia" w:ascii="宋体" w:hAnsi="宋体" w:eastAsia="宋体"/>
          <w:sz w:val="21"/>
          <w:szCs w:val="24"/>
        </w:rPr>
        <w:t xml:space="preserve">监狱企业 </w:t>
      </w:r>
      <w:r>
        <w:rPr>
          <w:rFonts w:hint="eastAsia" w:ascii="宋体" w:hAnsi="宋体" w:eastAsia="宋体"/>
          <w:sz w:val="21"/>
          <w:szCs w:val="24"/>
        </w:rPr>
        <w:sym w:font="Wingdings" w:char="00A8"/>
      </w:r>
      <w:r>
        <w:rPr>
          <w:rFonts w:hint="eastAsia" w:ascii="宋体" w:hAnsi="宋体" w:eastAsia="宋体"/>
          <w:sz w:val="21"/>
          <w:szCs w:val="24"/>
        </w:rPr>
        <w:t>其他</w:t>
      </w:r>
    </w:p>
    <w:p>
      <w:pPr>
        <w:numPr>
          <w:ilvl w:val="0"/>
          <w:numId w:val="0"/>
        </w:numPr>
        <w:adjustRightInd w:val="0"/>
        <w:snapToGrid w:val="0"/>
        <w:spacing w:afterLines="0" w:line="400" w:lineRule="exact"/>
        <w:rPr>
          <w:rFonts w:hint="eastAsia" w:ascii="宋体" w:hAnsi="宋体" w:eastAsia="宋体" w:cs="宋体"/>
          <w:sz w:val="21"/>
          <w:szCs w:val="21"/>
        </w:rPr>
      </w:pPr>
      <w:r>
        <w:rPr>
          <w:rFonts w:hint="eastAsia" w:ascii="宋体" w:hAnsi="宋体" w:eastAsia="宋体"/>
          <w:sz w:val="21"/>
          <w:szCs w:val="24"/>
        </w:rPr>
        <w:t xml:space="preserve">    </w:t>
      </w:r>
      <w:r>
        <w:rPr>
          <w:rFonts w:hint="eastAsia" w:ascii="宋体" w:hAnsi="宋体" w:eastAsia="宋体" w:cs="宋体"/>
          <w:sz w:val="21"/>
          <w:szCs w:val="21"/>
        </w:rPr>
        <w:t>（</w:t>
      </w:r>
      <w:r>
        <w:rPr>
          <w:rFonts w:hint="eastAsia" w:ascii="宋体" w:hAnsi="宋体" w:eastAsia="宋体" w:cs="宋体"/>
          <w:sz w:val="21"/>
          <w:szCs w:val="21"/>
          <w:lang w:val="en"/>
        </w:rPr>
        <w:t>8</w:t>
      </w:r>
      <w:r>
        <w:rPr>
          <w:rFonts w:hint="eastAsia" w:ascii="宋体" w:hAnsi="宋体" w:eastAsia="宋体" w:cs="宋体"/>
          <w:sz w:val="21"/>
          <w:szCs w:val="21"/>
        </w:rPr>
        <w:t>）中标（成交）供应商是否为外商投资企业：</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sz w:val="21"/>
          <w:szCs w:val="21"/>
        </w:rPr>
        <w:t>否</w:t>
      </w:r>
    </w:p>
    <w:p>
      <w:pPr>
        <w:pStyle w:val="2"/>
        <w:tabs>
          <w:tab w:val="left" w:pos="1340"/>
        </w:tabs>
        <w:spacing w:afterLines="0"/>
        <w:rPr>
          <w:rFonts w:hint="eastAsia" w:ascii="宋体" w:hAnsi="宋体" w:eastAsia="宋体" w:cs="宋体"/>
          <w:sz w:val="21"/>
          <w:szCs w:val="21"/>
          <w:u w:val="single"/>
        </w:rPr>
      </w:pPr>
      <w:r>
        <w:rPr>
          <w:rFonts w:hint="eastAsia" w:ascii="宋体" w:hAnsi="宋体" w:eastAsia="宋体" w:cs="宋体"/>
          <w:sz w:val="21"/>
          <w:szCs w:val="21"/>
        </w:rPr>
        <w:t xml:space="preserve">     外商投资企业类型：</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全部由外国投资者投资  </w:t>
      </w:r>
      <w:r>
        <w:rPr>
          <w:rFonts w:hint="eastAsia" w:ascii="宋体" w:hAnsi="宋体" w:eastAsia="宋体" w:cs="宋体"/>
          <w:sz w:val="21"/>
          <w:szCs w:val="21"/>
        </w:rPr>
        <w:sym w:font="Wingdings" w:char="00A8"/>
      </w:r>
      <w:r>
        <w:rPr>
          <w:rFonts w:hint="eastAsia" w:ascii="宋体" w:hAnsi="宋体" w:eastAsia="宋体" w:cs="宋体"/>
          <w:sz w:val="21"/>
          <w:szCs w:val="21"/>
        </w:rPr>
        <w:t>部分由外国投资者投资</w:t>
      </w:r>
    </w:p>
    <w:p>
      <w:pPr>
        <w:numPr>
          <w:ilvl w:val="0"/>
          <w:numId w:val="0"/>
        </w:numPr>
        <w:adjustRightInd w:val="0"/>
        <w:snapToGrid w:val="0"/>
        <w:spacing w:afterLines="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
        </w:rPr>
        <w:t>9</w:t>
      </w:r>
      <w:r>
        <w:rPr>
          <w:rFonts w:hint="eastAsia" w:ascii="宋体" w:hAnsi="宋体" w:eastAsia="宋体" w:cs="宋体"/>
          <w:sz w:val="21"/>
          <w:szCs w:val="21"/>
        </w:rPr>
        <w:t>）是否涉及进口产品：</w:t>
      </w:r>
    </w:p>
    <w:p>
      <w:pPr>
        <w:numPr>
          <w:ilvl w:val="0"/>
          <w:numId w:val="0"/>
        </w:numPr>
        <w:adjustRightInd w:val="0"/>
        <w:snapToGrid w:val="0"/>
        <w:spacing w:afterLines="0" w:line="400" w:lineRule="exact"/>
        <w:ind w:firstLine="840" w:firstLineChars="400"/>
        <w:rPr>
          <w:rFonts w:hint="eastAsia" w:ascii="宋体" w:hAnsi="宋体" w:eastAsia="宋体" w:cs="宋体"/>
          <w:sz w:val="21"/>
          <w:szCs w:val="21"/>
          <w:u w:val="single"/>
        </w:rPr>
      </w:pPr>
      <w:r>
        <w:rPr>
          <w:rFonts w:hint="eastAsia" w:ascii="宋体" w:hAnsi="宋体" w:eastAsia="宋体" w:cs="宋体"/>
          <w:sz w:val="21"/>
          <w:szCs w:val="21"/>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rPr>
        <w:t>是，《政府采购品目分类目录》底级品目名称：</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金额：</w:t>
      </w:r>
      <w:r>
        <w:rPr>
          <w:rFonts w:hint="eastAsia" w:ascii="宋体" w:hAnsi="宋体" w:eastAsia="宋体" w:cs="宋体"/>
          <w:sz w:val="21"/>
          <w:szCs w:val="21"/>
          <w:u w:val="single"/>
        </w:rPr>
        <w:t xml:space="preserve">        </w:t>
      </w:r>
    </w:p>
    <w:p>
      <w:pPr>
        <w:numPr>
          <w:ilvl w:val="0"/>
          <w:numId w:val="0"/>
        </w:numPr>
        <w:adjustRightInd w:val="0"/>
        <w:snapToGrid w:val="0"/>
        <w:spacing w:afterLines="0" w:line="400" w:lineRule="exact"/>
        <w:ind w:firstLine="840" w:firstLineChars="400"/>
        <w:rPr>
          <w:rFonts w:hint="eastAsia" w:ascii="宋体" w:hAnsi="宋体" w:eastAsia="宋体"/>
          <w:sz w:val="21"/>
          <w:szCs w:val="24"/>
        </w:rPr>
      </w:pPr>
      <w:r>
        <w:rPr>
          <w:rFonts w:hint="eastAsia" w:ascii="宋体" w:hAnsi="宋体" w:eastAsia="宋体" w:cs="宋体"/>
          <w:sz w:val="21"/>
          <w:szCs w:val="21"/>
        </w:rPr>
        <w:t xml:space="preserve">        国别：</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品牌：</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规格型号：</w:t>
      </w:r>
      <w:r>
        <w:rPr>
          <w:rFonts w:hint="eastAsia" w:ascii="宋体" w:hAnsi="宋体" w:eastAsia="宋体" w:cs="宋体"/>
          <w:sz w:val="21"/>
          <w:szCs w:val="21"/>
          <w:u w:val="single"/>
        </w:rPr>
        <w:t xml:space="preserve">        </w:t>
      </w:r>
      <w:r>
        <w:rPr>
          <w:rFonts w:hint="eastAsia" w:ascii="宋体" w:hAnsi="宋体" w:eastAsia="宋体"/>
          <w:sz w:val="21"/>
          <w:szCs w:val="24"/>
        </w:rPr>
        <w:t xml:space="preserve">      </w:t>
      </w:r>
    </w:p>
    <w:p>
      <w:pPr>
        <w:adjustRightInd w:val="0"/>
        <w:snapToGrid w:val="0"/>
        <w:spacing w:afterLines="0" w:line="400" w:lineRule="exact"/>
        <w:ind w:firstLine="840" w:firstLineChars="400"/>
        <w:rPr>
          <w:rFonts w:hint="eastAsia" w:ascii="宋体" w:hAnsi="宋体" w:eastAsia="宋体"/>
          <w:sz w:val="21"/>
          <w:szCs w:val="24"/>
        </w:rPr>
      </w:pPr>
      <w:r>
        <w:rPr>
          <w:rFonts w:hint="eastAsia" w:ascii="宋体" w:hAnsi="宋体" w:eastAsia="宋体"/>
          <w:sz w:val="21"/>
          <w:szCs w:val="24"/>
        </w:rPr>
        <w:t xml:space="preserve"> </w:t>
      </w:r>
      <w:r>
        <w:rPr>
          <w:rFonts w:hint="eastAsia" w:ascii="宋体" w:hAnsi="宋体" w:eastAsia="宋体"/>
          <w:sz w:val="21"/>
          <w:szCs w:val="24"/>
        </w:rPr>
        <w:sym w:font="Wingdings" w:char="00A8"/>
      </w:r>
      <w:r>
        <w:rPr>
          <w:rFonts w:hint="eastAsia" w:ascii="宋体" w:hAnsi="宋体" w:eastAsia="宋体"/>
          <w:sz w:val="21"/>
          <w:szCs w:val="24"/>
        </w:rPr>
        <w:t>否</w:t>
      </w:r>
    </w:p>
    <w:p>
      <w:pPr>
        <w:numPr>
          <w:ilvl w:val="0"/>
          <w:numId w:val="0"/>
        </w:numPr>
        <w:tabs>
          <w:tab w:val="left" w:pos="740"/>
        </w:tabs>
        <w:adjustRightInd w:val="0"/>
        <w:snapToGrid w:val="0"/>
        <w:spacing w:afterLines="0" w:line="400" w:lineRule="exact"/>
        <w:rPr>
          <w:rFonts w:hint="eastAsia" w:ascii="宋体" w:hAnsi="宋体" w:eastAsia="宋体"/>
          <w:sz w:val="21"/>
          <w:szCs w:val="24"/>
        </w:rPr>
      </w:pPr>
      <w:r>
        <w:rPr>
          <w:rFonts w:hint="eastAsia" w:ascii="宋体" w:hAnsi="宋体" w:eastAsia="宋体"/>
          <w:sz w:val="21"/>
          <w:szCs w:val="24"/>
        </w:rPr>
        <w:t xml:space="preserve">    （1</w:t>
      </w:r>
      <w:r>
        <w:rPr>
          <w:rFonts w:hint="eastAsia" w:ascii="宋体" w:hAnsi="宋体" w:eastAsia="宋体"/>
          <w:sz w:val="21"/>
          <w:szCs w:val="24"/>
          <w:lang w:val="en"/>
        </w:rPr>
        <w:t>0</w:t>
      </w:r>
      <w:r>
        <w:rPr>
          <w:rFonts w:hint="eastAsia" w:ascii="宋体" w:hAnsi="宋体" w:eastAsia="宋体"/>
          <w:sz w:val="21"/>
          <w:szCs w:val="24"/>
        </w:rPr>
        <w:t>）是否涉及节能产品：</w:t>
      </w:r>
    </w:p>
    <w:p>
      <w:pPr>
        <w:numPr>
          <w:ilvl w:val="0"/>
          <w:numId w:val="0"/>
        </w:numPr>
        <w:tabs>
          <w:tab w:val="left" w:pos="740"/>
        </w:tabs>
        <w:adjustRightInd w:val="0"/>
        <w:snapToGrid w:val="0"/>
        <w:spacing w:afterLines="0" w:line="400" w:lineRule="exact"/>
        <w:rPr>
          <w:rFonts w:hint="eastAsia" w:ascii="宋体" w:hAnsi="宋体" w:eastAsia="宋体"/>
          <w:sz w:val="21"/>
          <w:szCs w:val="24"/>
        </w:rPr>
      </w:pPr>
      <w:r>
        <w:rPr>
          <w:rFonts w:hint="eastAsia" w:ascii="宋体" w:hAnsi="宋体" w:eastAsia="宋体"/>
          <w:sz w:val="21"/>
          <w:szCs w:val="24"/>
        </w:rPr>
        <w:t xml:space="preserve">         </w:t>
      </w:r>
      <w:r>
        <w:rPr>
          <w:rFonts w:hint="eastAsia" w:ascii="宋体" w:hAnsi="宋体" w:eastAsia="宋体"/>
          <w:sz w:val="21"/>
          <w:szCs w:val="24"/>
        </w:rPr>
        <w:sym w:font="Wingdings" w:char="00A8"/>
      </w:r>
      <w:r>
        <w:rPr>
          <w:rFonts w:hint="eastAsia" w:ascii="宋体" w:hAnsi="宋体" w:eastAsia="宋体"/>
          <w:sz w:val="21"/>
          <w:szCs w:val="24"/>
        </w:rPr>
        <w:t>是，《节能产品政府采购品目清单》的底级品目名称：</w:t>
      </w:r>
      <w:r>
        <w:rPr>
          <w:rFonts w:hint="eastAsia" w:ascii="宋体" w:hAnsi="宋体" w:eastAsia="宋体"/>
          <w:sz w:val="21"/>
          <w:szCs w:val="24"/>
          <w:u w:val="single"/>
        </w:rPr>
        <w:t xml:space="preserve">         </w:t>
      </w:r>
      <w:r>
        <w:rPr>
          <w:rFonts w:hint="eastAsia" w:ascii="宋体" w:hAnsi="宋体" w:eastAsia="宋体"/>
          <w:sz w:val="21"/>
          <w:szCs w:val="24"/>
        </w:rPr>
        <w:t xml:space="preserve">     </w:t>
      </w:r>
    </w:p>
    <w:p>
      <w:pPr>
        <w:numPr>
          <w:ilvl w:val="0"/>
          <w:numId w:val="0"/>
        </w:numPr>
        <w:tabs>
          <w:tab w:val="left" w:pos="740"/>
        </w:tabs>
        <w:adjustRightInd w:val="0"/>
        <w:snapToGrid w:val="0"/>
        <w:spacing w:afterLines="0" w:line="400" w:lineRule="exact"/>
        <w:rPr>
          <w:rFonts w:hint="eastAsia" w:ascii="宋体" w:hAnsi="宋体" w:eastAsia="宋体"/>
          <w:sz w:val="21"/>
          <w:szCs w:val="24"/>
        </w:rPr>
      </w:pPr>
      <w:r>
        <w:rPr>
          <w:rFonts w:hint="eastAsia" w:ascii="宋体" w:hAnsi="宋体" w:eastAsia="宋体"/>
          <w:sz w:val="21"/>
          <w:szCs w:val="24"/>
        </w:rPr>
        <w:t xml:space="preserve">                </w:t>
      </w:r>
      <w:r>
        <w:rPr>
          <w:rFonts w:hint="eastAsia" w:ascii="宋体" w:hAnsi="宋体" w:eastAsia="宋体"/>
          <w:sz w:val="21"/>
          <w:szCs w:val="24"/>
        </w:rPr>
        <w:sym w:font="Wingdings" w:char="00A8"/>
      </w:r>
      <w:r>
        <w:rPr>
          <w:rFonts w:hint="eastAsia" w:ascii="宋体" w:hAnsi="宋体" w:eastAsia="宋体"/>
          <w:sz w:val="21"/>
          <w:szCs w:val="24"/>
        </w:rPr>
        <w:t xml:space="preserve">强制采购       </w:t>
      </w:r>
      <w:r>
        <w:rPr>
          <w:rFonts w:hint="eastAsia" w:ascii="宋体" w:hAnsi="宋体" w:eastAsia="宋体"/>
          <w:sz w:val="21"/>
          <w:szCs w:val="24"/>
        </w:rPr>
        <w:sym w:font="Wingdings" w:char="00A8"/>
      </w:r>
      <w:r>
        <w:rPr>
          <w:rFonts w:hint="eastAsia" w:ascii="宋体" w:hAnsi="宋体" w:eastAsia="宋体"/>
          <w:sz w:val="21"/>
          <w:szCs w:val="24"/>
        </w:rPr>
        <w:t xml:space="preserve">优先采购    </w:t>
      </w:r>
    </w:p>
    <w:p>
      <w:pPr>
        <w:numPr>
          <w:ilvl w:val="0"/>
          <w:numId w:val="0"/>
        </w:numPr>
        <w:tabs>
          <w:tab w:val="left" w:pos="740"/>
        </w:tabs>
        <w:adjustRightInd w:val="0"/>
        <w:snapToGrid w:val="0"/>
        <w:spacing w:afterLines="0" w:line="400" w:lineRule="exact"/>
        <w:rPr>
          <w:rFonts w:hint="eastAsia" w:ascii="宋体" w:hAnsi="宋体" w:eastAsia="宋体"/>
          <w:sz w:val="21"/>
          <w:szCs w:val="24"/>
        </w:rPr>
      </w:pPr>
      <w:r>
        <w:rPr>
          <w:rFonts w:hint="eastAsia" w:ascii="宋体" w:hAnsi="宋体" w:eastAsia="宋体"/>
          <w:sz w:val="21"/>
          <w:szCs w:val="24"/>
        </w:rPr>
        <w:t xml:space="preserve">         </w:t>
      </w:r>
      <w:r>
        <w:rPr>
          <w:rFonts w:hint="eastAsia" w:ascii="宋体" w:hAnsi="宋体" w:eastAsia="宋体"/>
          <w:sz w:val="21"/>
          <w:szCs w:val="24"/>
        </w:rPr>
        <w:sym w:font="Wingdings" w:char="00A8"/>
      </w:r>
      <w:r>
        <w:rPr>
          <w:rFonts w:hint="eastAsia" w:ascii="宋体" w:hAnsi="宋体" w:eastAsia="宋体"/>
          <w:sz w:val="21"/>
          <w:szCs w:val="24"/>
        </w:rPr>
        <w:t>否</w:t>
      </w:r>
    </w:p>
    <w:p>
      <w:pPr>
        <w:numPr>
          <w:ilvl w:val="0"/>
          <w:numId w:val="0"/>
        </w:numPr>
        <w:tabs>
          <w:tab w:val="left" w:pos="740"/>
        </w:tabs>
        <w:adjustRightInd w:val="0"/>
        <w:snapToGrid w:val="0"/>
        <w:spacing w:afterLines="0" w:line="400" w:lineRule="exact"/>
        <w:rPr>
          <w:rFonts w:hint="eastAsia" w:ascii="宋体" w:hAnsi="宋体" w:eastAsia="宋体"/>
          <w:sz w:val="21"/>
          <w:szCs w:val="24"/>
        </w:rPr>
      </w:pPr>
      <w:r>
        <w:rPr>
          <w:rFonts w:hint="eastAsia" w:ascii="宋体" w:hAnsi="宋体" w:eastAsia="宋体"/>
          <w:sz w:val="21"/>
          <w:szCs w:val="24"/>
        </w:rPr>
        <w:t xml:space="preserve">          是否涉及环境标志产品：</w:t>
      </w:r>
    </w:p>
    <w:p>
      <w:pPr>
        <w:numPr>
          <w:ilvl w:val="0"/>
          <w:numId w:val="0"/>
        </w:numPr>
        <w:tabs>
          <w:tab w:val="left" w:pos="740"/>
        </w:tabs>
        <w:adjustRightInd w:val="0"/>
        <w:snapToGrid w:val="0"/>
        <w:spacing w:afterLines="0" w:line="400" w:lineRule="exact"/>
        <w:rPr>
          <w:rFonts w:hint="eastAsia" w:ascii="宋体" w:hAnsi="宋体" w:eastAsia="宋体"/>
          <w:sz w:val="21"/>
          <w:szCs w:val="24"/>
        </w:rPr>
      </w:pPr>
      <w:r>
        <w:rPr>
          <w:rFonts w:hint="eastAsia" w:ascii="宋体" w:hAnsi="宋体" w:eastAsia="宋体"/>
          <w:sz w:val="21"/>
          <w:szCs w:val="24"/>
        </w:rPr>
        <w:t xml:space="preserve">         </w:t>
      </w:r>
      <w:r>
        <w:rPr>
          <w:rFonts w:hint="eastAsia" w:ascii="宋体" w:hAnsi="宋体" w:eastAsia="宋体"/>
          <w:sz w:val="21"/>
          <w:szCs w:val="24"/>
        </w:rPr>
        <w:sym w:font="Wingdings" w:char="00A8"/>
      </w:r>
      <w:r>
        <w:rPr>
          <w:rFonts w:hint="eastAsia" w:ascii="宋体" w:hAnsi="宋体" w:eastAsia="宋体"/>
          <w:sz w:val="21"/>
          <w:szCs w:val="24"/>
        </w:rPr>
        <w:t>是，《环境标志产品政府采购品目清单》的底级品目名称：</w:t>
      </w:r>
      <w:r>
        <w:rPr>
          <w:rFonts w:hint="eastAsia" w:ascii="宋体" w:hAnsi="宋体" w:eastAsia="宋体"/>
          <w:sz w:val="21"/>
          <w:szCs w:val="24"/>
          <w:u w:val="single"/>
        </w:rPr>
        <w:t xml:space="preserve">         </w:t>
      </w:r>
      <w:r>
        <w:rPr>
          <w:rFonts w:hint="eastAsia" w:ascii="宋体" w:hAnsi="宋体" w:eastAsia="宋体"/>
          <w:sz w:val="21"/>
          <w:szCs w:val="24"/>
        </w:rPr>
        <w:t xml:space="preserve"> </w:t>
      </w:r>
    </w:p>
    <w:p>
      <w:pPr>
        <w:numPr>
          <w:ilvl w:val="0"/>
          <w:numId w:val="0"/>
        </w:numPr>
        <w:tabs>
          <w:tab w:val="left" w:pos="740"/>
        </w:tabs>
        <w:adjustRightInd w:val="0"/>
        <w:snapToGrid w:val="0"/>
        <w:spacing w:afterLines="0" w:line="400" w:lineRule="exact"/>
        <w:rPr>
          <w:rFonts w:hint="eastAsia" w:ascii="宋体" w:hAnsi="宋体" w:eastAsia="宋体"/>
          <w:sz w:val="21"/>
          <w:szCs w:val="24"/>
        </w:rPr>
      </w:pPr>
      <w:r>
        <w:rPr>
          <w:rFonts w:hint="eastAsia" w:ascii="宋体" w:hAnsi="宋体" w:eastAsia="宋体"/>
          <w:sz w:val="21"/>
          <w:szCs w:val="24"/>
        </w:rPr>
        <w:t xml:space="preserve">                </w:t>
      </w:r>
      <w:r>
        <w:rPr>
          <w:rFonts w:hint="eastAsia" w:ascii="宋体" w:hAnsi="宋体" w:eastAsia="宋体"/>
          <w:sz w:val="21"/>
          <w:szCs w:val="24"/>
        </w:rPr>
        <w:sym w:font="Wingdings" w:char="00A8"/>
      </w:r>
      <w:r>
        <w:rPr>
          <w:rFonts w:hint="eastAsia" w:ascii="宋体" w:hAnsi="宋体" w:eastAsia="宋体"/>
          <w:sz w:val="21"/>
          <w:szCs w:val="24"/>
        </w:rPr>
        <w:t xml:space="preserve">强制采购       </w:t>
      </w:r>
      <w:r>
        <w:rPr>
          <w:rFonts w:hint="eastAsia" w:ascii="宋体" w:hAnsi="宋体" w:eastAsia="宋体"/>
          <w:sz w:val="21"/>
          <w:szCs w:val="24"/>
        </w:rPr>
        <w:sym w:font="Wingdings" w:char="00A8"/>
      </w:r>
      <w:r>
        <w:rPr>
          <w:rFonts w:hint="eastAsia" w:ascii="宋体" w:hAnsi="宋体" w:eastAsia="宋体"/>
          <w:sz w:val="21"/>
          <w:szCs w:val="24"/>
        </w:rPr>
        <w:t xml:space="preserve">优先采购    </w:t>
      </w:r>
    </w:p>
    <w:p>
      <w:pPr>
        <w:numPr>
          <w:ilvl w:val="0"/>
          <w:numId w:val="0"/>
        </w:numPr>
        <w:tabs>
          <w:tab w:val="left" w:pos="740"/>
        </w:tabs>
        <w:adjustRightInd w:val="0"/>
        <w:snapToGrid w:val="0"/>
        <w:spacing w:afterLines="0" w:line="400" w:lineRule="exact"/>
        <w:rPr>
          <w:rFonts w:hint="eastAsia" w:ascii="宋体" w:hAnsi="宋体" w:eastAsia="宋体"/>
          <w:sz w:val="21"/>
          <w:szCs w:val="24"/>
        </w:rPr>
      </w:pPr>
      <w:r>
        <w:rPr>
          <w:rFonts w:hint="eastAsia" w:ascii="宋体" w:hAnsi="宋体" w:eastAsia="宋体"/>
          <w:sz w:val="21"/>
          <w:szCs w:val="24"/>
        </w:rPr>
        <w:t xml:space="preserve">         </w:t>
      </w:r>
      <w:r>
        <w:rPr>
          <w:rFonts w:hint="eastAsia" w:ascii="宋体" w:hAnsi="宋体" w:eastAsia="宋体"/>
          <w:sz w:val="21"/>
          <w:szCs w:val="24"/>
        </w:rPr>
        <w:sym w:font="Wingdings" w:char="00A8"/>
      </w:r>
      <w:r>
        <w:rPr>
          <w:rFonts w:hint="eastAsia" w:ascii="宋体" w:hAnsi="宋体" w:eastAsia="宋体"/>
          <w:sz w:val="21"/>
          <w:szCs w:val="24"/>
        </w:rPr>
        <w:t>否</w:t>
      </w:r>
    </w:p>
    <w:p>
      <w:pPr>
        <w:pStyle w:val="2"/>
        <w:numPr>
          <w:ilvl w:val="0"/>
          <w:numId w:val="0"/>
        </w:numPr>
        <w:snapToGrid w:val="0"/>
        <w:spacing w:afterLines="0"/>
        <w:ind w:firstLine="0" w:firstLineChars="0"/>
        <w:rPr>
          <w:rFonts w:hint="eastAsia" w:ascii="宋体" w:hAnsi="宋体" w:eastAsia="宋体" w:cs="Times New Roman"/>
          <w:kern w:val="2"/>
          <w:sz w:val="21"/>
          <w:szCs w:val="21"/>
        </w:rPr>
      </w:pPr>
      <w:r>
        <w:rPr>
          <w:rFonts w:hint="eastAsia" w:ascii="宋体" w:hAnsi="宋体"/>
          <w:sz w:val="21"/>
          <w:szCs w:val="21"/>
        </w:rPr>
        <w:t xml:space="preserve">          </w:t>
      </w:r>
      <w:r>
        <w:rPr>
          <w:rFonts w:hint="eastAsia" w:ascii="宋体" w:hAnsi="宋体" w:eastAsia="宋体" w:cs="Times New Roman"/>
          <w:kern w:val="2"/>
          <w:sz w:val="21"/>
          <w:szCs w:val="21"/>
        </w:rPr>
        <w:t xml:space="preserve">是否涉及绿色产品： </w:t>
      </w:r>
    </w:p>
    <w:p>
      <w:pPr>
        <w:pStyle w:val="2"/>
        <w:spacing w:afterLines="0"/>
        <w:ind w:firstLine="420" w:firstLineChars="0"/>
        <w:rPr>
          <w:rFonts w:hint="eastAsia" w:ascii="宋体" w:hAnsi="宋体" w:eastAsia="宋体"/>
          <w:sz w:val="22"/>
          <w:szCs w:val="21"/>
          <w:u w:val="single"/>
        </w:rPr>
      </w:pPr>
      <w:r>
        <w:rPr>
          <w:rFonts w:hint="eastAsia" w:ascii="宋体" w:hAnsi="宋体" w:eastAsia="宋体" w:cs="Times New Roman"/>
          <w:kern w:val="2"/>
          <w:sz w:val="21"/>
          <w:szCs w:val="21"/>
        </w:rPr>
        <w:t xml:space="preserve">     </w:t>
      </w:r>
      <w:r>
        <w:rPr>
          <w:rFonts w:hint="eastAsia" w:ascii="宋体" w:hAnsi="宋体" w:eastAsia="宋体" w:cs="Times New Roman"/>
          <w:kern w:val="2"/>
          <w:sz w:val="21"/>
          <w:szCs w:val="21"/>
        </w:rPr>
        <w:sym w:font="Wingdings" w:char="00A8"/>
      </w:r>
      <w:r>
        <w:rPr>
          <w:rFonts w:hint="eastAsia" w:ascii="宋体" w:hAnsi="宋体" w:eastAsia="宋体" w:cs="Times New Roman"/>
          <w:kern w:val="2"/>
          <w:sz w:val="21"/>
          <w:szCs w:val="21"/>
        </w:rPr>
        <w:t>是，绿色产品政府采购相关政策确定的底级品目名称：</w:t>
      </w:r>
      <w:r>
        <w:rPr>
          <w:rFonts w:hint="eastAsia" w:ascii="宋体" w:hAnsi="宋体" w:eastAsia="宋体"/>
          <w:sz w:val="22"/>
          <w:szCs w:val="21"/>
          <w:u w:val="single"/>
        </w:rPr>
        <w:t xml:space="preserve">         </w:t>
      </w:r>
    </w:p>
    <w:p>
      <w:pPr>
        <w:numPr>
          <w:ilvl w:val="0"/>
          <w:numId w:val="0"/>
        </w:numPr>
        <w:tabs>
          <w:tab w:val="left" w:pos="740"/>
        </w:tabs>
        <w:adjustRightInd w:val="0"/>
        <w:snapToGrid w:val="0"/>
        <w:spacing w:afterLines="0" w:line="400" w:lineRule="exact"/>
        <w:rPr>
          <w:rFonts w:hint="eastAsia" w:ascii="宋体" w:hAnsi="宋体" w:eastAsia="宋体"/>
          <w:sz w:val="21"/>
          <w:szCs w:val="24"/>
        </w:rPr>
      </w:pPr>
      <w:r>
        <w:rPr>
          <w:rFonts w:hint="eastAsia" w:ascii="宋体" w:hAnsi="宋体" w:eastAsia="宋体"/>
          <w:sz w:val="21"/>
          <w:szCs w:val="24"/>
        </w:rPr>
        <w:t xml:space="preserve">                </w:t>
      </w:r>
      <w:r>
        <w:rPr>
          <w:rFonts w:hint="eastAsia" w:ascii="宋体" w:hAnsi="宋体" w:eastAsia="宋体"/>
          <w:sz w:val="21"/>
          <w:szCs w:val="24"/>
        </w:rPr>
        <w:sym w:font="Wingdings" w:char="00A8"/>
      </w:r>
      <w:r>
        <w:rPr>
          <w:rFonts w:hint="eastAsia" w:ascii="宋体" w:hAnsi="宋体" w:eastAsia="宋体"/>
          <w:sz w:val="21"/>
          <w:szCs w:val="24"/>
        </w:rPr>
        <w:t xml:space="preserve">强制采购       </w:t>
      </w:r>
      <w:r>
        <w:rPr>
          <w:rFonts w:hint="eastAsia" w:ascii="宋体" w:hAnsi="宋体" w:eastAsia="宋体"/>
          <w:sz w:val="21"/>
          <w:szCs w:val="24"/>
        </w:rPr>
        <w:sym w:font="Wingdings" w:char="00A8"/>
      </w:r>
      <w:r>
        <w:rPr>
          <w:rFonts w:hint="eastAsia" w:ascii="宋体" w:hAnsi="宋体" w:eastAsia="宋体"/>
          <w:sz w:val="21"/>
          <w:szCs w:val="24"/>
        </w:rPr>
        <w:t xml:space="preserve">优先采购    </w:t>
      </w:r>
    </w:p>
    <w:p>
      <w:pPr>
        <w:pStyle w:val="2"/>
        <w:spacing w:afterLines="0"/>
        <w:ind w:firstLine="420" w:firstLineChars="0"/>
        <w:rPr>
          <w:rFonts w:hint="eastAsia" w:ascii="宋体" w:hAnsi="宋体"/>
          <w:sz w:val="21"/>
          <w:szCs w:val="21"/>
        </w:rPr>
      </w:pPr>
      <w:r>
        <w:rPr>
          <w:rFonts w:hint="eastAsia" w:ascii="宋体" w:hAnsi="宋体" w:eastAsia="宋体" w:cs="Times New Roman"/>
          <w:kern w:val="2"/>
          <w:sz w:val="21"/>
          <w:szCs w:val="21"/>
        </w:rPr>
        <w:t xml:space="preserve">     </w:t>
      </w:r>
      <w:r>
        <w:rPr>
          <w:rFonts w:hint="eastAsia" w:ascii="宋体" w:hAnsi="宋体" w:eastAsia="宋体" w:cs="Times New Roman"/>
          <w:kern w:val="2"/>
          <w:sz w:val="21"/>
          <w:szCs w:val="21"/>
        </w:rPr>
        <w:sym w:font="Wingdings" w:char="00A8"/>
      </w:r>
      <w:r>
        <w:rPr>
          <w:rFonts w:hint="eastAsia" w:ascii="宋体" w:hAnsi="宋体" w:eastAsia="宋体" w:cs="Times New Roman"/>
          <w:kern w:val="2"/>
          <w:sz w:val="21"/>
          <w:szCs w:val="21"/>
        </w:rPr>
        <w:t>否</w:t>
      </w:r>
    </w:p>
    <w:p>
      <w:pPr>
        <w:numPr>
          <w:ilvl w:val="0"/>
          <w:numId w:val="0"/>
        </w:numPr>
        <w:adjustRightInd w:val="0"/>
        <w:snapToGrid w:val="0"/>
        <w:spacing w:afterLines="0" w:line="400" w:lineRule="exact"/>
        <w:rPr>
          <w:rFonts w:hint="eastAsia" w:ascii="宋体" w:hAnsi="宋体" w:eastAsia="宋体"/>
          <w:sz w:val="21"/>
          <w:szCs w:val="24"/>
        </w:rPr>
      </w:pPr>
      <w:r>
        <w:rPr>
          <w:rFonts w:hint="eastAsia" w:ascii="宋体" w:hAnsi="宋体" w:eastAsia="宋体"/>
          <w:sz w:val="21"/>
          <w:szCs w:val="24"/>
        </w:rPr>
        <w:t xml:space="preserve">    （1</w:t>
      </w:r>
      <w:r>
        <w:rPr>
          <w:rFonts w:hint="eastAsia" w:ascii="宋体" w:hAnsi="宋体" w:eastAsia="宋体"/>
          <w:sz w:val="21"/>
          <w:szCs w:val="24"/>
          <w:lang w:val="en"/>
        </w:rPr>
        <w:t>1</w:t>
      </w:r>
      <w:r>
        <w:rPr>
          <w:rFonts w:hint="eastAsia" w:ascii="宋体" w:hAnsi="宋体" w:eastAsia="宋体"/>
          <w:sz w:val="21"/>
          <w:szCs w:val="24"/>
        </w:rPr>
        <w:t>）涉及商品包装和快递包装的，是否参考《商品包装政府采购需求标准（试行）》《快递包装政府采购需求标准（试行）》明确产品及相关快递服务的具体包装要求：</w:t>
      </w:r>
    </w:p>
    <w:p>
      <w:pPr>
        <w:numPr>
          <w:ilvl w:val="0"/>
          <w:numId w:val="0"/>
        </w:numPr>
        <w:adjustRightInd w:val="0"/>
        <w:snapToGrid w:val="0"/>
        <w:spacing w:afterLines="0" w:line="400" w:lineRule="exact"/>
        <w:ind w:firstLine="840" w:firstLineChars="400"/>
        <w:rPr>
          <w:rFonts w:hint="eastAsia" w:ascii="宋体" w:hAnsi="宋体" w:eastAsia="宋体"/>
          <w:sz w:val="21"/>
          <w:szCs w:val="24"/>
        </w:rPr>
      </w:pPr>
      <w:r>
        <w:rPr>
          <w:rFonts w:hint="eastAsia" w:ascii="宋体" w:hAnsi="宋体" w:eastAsia="宋体"/>
          <w:sz w:val="21"/>
          <w:szCs w:val="24"/>
        </w:rPr>
        <w:sym w:font="Wingdings" w:char="00A8"/>
      </w:r>
      <w:r>
        <w:rPr>
          <w:rFonts w:hint="eastAsia" w:ascii="宋体" w:hAnsi="宋体" w:eastAsia="宋体"/>
          <w:sz w:val="21"/>
          <w:szCs w:val="24"/>
        </w:rPr>
        <w:t xml:space="preserve">是       </w:t>
      </w:r>
      <w:r>
        <w:rPr>
          <w:rFonts w:hint="eastAsia" w:ascii="宋体" w:hAnsi="宋体" w:eastAsia="宋体"/>
          <w:sz w:val="21"/>
          <w:szCs w:val="24"/>
        </w:rPr>
        <w:sym w:font="Wingdings" w:char="00A8"/>
      </w:r>
      <w:r>
        <w:rPr>
          <w:rFonts w:hint="eastAsia" w:ascii="宋体" w:hAnsi="宋体" w:eastAsia="宋体"/>
          <w:sz w:val="21"/>
          <w:szCs w:val="24"/>
        </w:rPr>
        <w:t xml:space="preserve">否      </w:t>
      </w:r>
      <w:r>
        <w:rPr>
          <w:rFonts w:hint="eastAsia" w:ascii="宋体" w:hAnsi="宋体" w:eastAsia="宋体"/>
          <w:sz w:val="21"/>
          <w:szCs w:val="24"/>
        </w:rPr>
        <w:sym w:font="Wingdings" w:char="00A8"/>
      </w:r>
      <w:r>
        <w:rPr>
          <w:rFonts w:hint="eastAsia" w:ascii="宋体" w:hAnsi="宋体" w:eastAsia="宋体"/>
          <w:sz w:val="21"/>
          <w:szCs w:val="24"/>
        </w:rPr>
        <w:t>不涉及</w:t>
      </w:r>
    </w:p>
    <w:p>
      <w:pPr>
        <w:numPr>
          <w:ilvl w:val="0"/>
          <w:numId w:val="2"/>
        </w:numPr>
        <w:adjustRightInd w:val="0"/>
        <w:snapToGrid w:val="0"/>
        <w:spacing w:afterLines="0" w:line="400" w:lineRule="exact"/>
        <w:ind w:firstLine="422" w:firstLineChars="200"/>
        <w:rPr>
          <w:rFonts w:hint="eastAsia" w:ascii="宋体" w:hAnsi="宋体" w:eastAsia="宋体"/>
          <w:b/>
          <w:sz w:val="21"/>
          <w:szCs w:val="24"/>
        </w:rPr>
      </w:pPr>
      <w:r>
        <w:rPr>
          <w:rFonts w:hint="eastAsia" w:ascii="宋体" w:hAnsi="宋体" w:eastAsia="宋体"/>
          <w:b/>
          <w:sz w:val="21"/>
          <w:szCs w:val="24"/>
        </w:rPr>
        <w:t>合同金额</w:t>
      </w:r>
    </w:p>
    <w:p>
      <w:pPr>
        <w:adjustRightInd w:val="0"/>
        <w:snapToGrid w:val="0"/>
        <w:spacing w:afterLines="0" w:line="400" w:lineRule="exact"/>
        <w:ind w:firstLine="420" w:firstLineChars="200"/>
        <w:rPr>
          <w:rFonts w:hint="eastAsia" w:ascii="宋体" w:hAnsi="宋体" w:eastAsia="宋体"/>
          <w:sz w:val="21"/>
          <w:szCs w:val="24"/>
        </w:rPr>
      </w:pPr>
      <w:r>
        <w:rPr>
          <w:rFonts w:hint="eastAsia" w:ascii="宋体" w:hAnsi="宋体" w:eastAsia="宋体"/>
          <w:sz w:val="21"/>
          <w:szCs w:val="24"/>
        </w:rPr>
        <w:t>（1）合同金额小写：</w:t>
      </w:r>
      <w:r>
        <w:rPr>
          <w:rFonts w:hint="eastAsia" w:ascii="宋体" w:hAnsi="宋体" w:eastAsia="宋体"/>
          <w:sz w:val="21"/>
          <w:szCs w:val="24"/>
          <w:u w:val="single"/>
        </w:rPr>
        <w:t xml:space="preserve">                           </w:t>
      </w:r>
    </w:p>
    <w:p>
      <w:pPr>
        <w:adjustRightInd w:val="0"/>
        <w:snapToGrid w:val="0"/>
        <w:spacing w:afterLines="0" w:line="400" w:lineRule="exact"/>
        <w:rPr>
          <w:rFonts w:hint="eastAsia" w:ascii="宋体" w:hAnsi="宋体" w:eastAsia="宋体"/>
          <w:sz w:val="21"/>
          <w:szCs w:val="24"/>
          <w:u w:val="single"/>
        </w:rPr>
      </w:pPr>
      <w:r>
        <w:rPr>
          <w:rFonts w:hint="eastAsia" w:ascii="宋体" w:hAnsi="宋体" w:eastAsia="宋体"/>
          <w:sz w:val="21"/>
          <w:szCs w:val="24"/>
        </w:rPr>
        <w:t xml:space="preserve">                 大写：</w:t>
      </w:r>
      <w:r>
        <w:rPr>
          <w:rFonts w:hint="eastAsia" w:ascii="宋体" w:hAnsi="宋体" w:eastAsia="宋体"/>
          <w:sz w:val="21"/>
          <w:szCs w:val="24"/>
          <w:u w:val="single"/>
        </w:rPr>
        <w:t xml:space="preserve">                           </w:t>
      </w:r>
    </w:p>
    <w:p>
      <w:pPr>
        <w:adjustRightInd w:val="0"/>
        <w:snapToGrid w:val="0"/>
        <w:spacing w:afterLines="0" w:line="400" w:lineRule="exact"/>
        <w:rPr>
          <w:rFonts w:hint="eastAsia" w:ascii="宋体" w:hAnsi="宋体" w:eastAsia="宋体"/>
          <w:sz w:val="21"/>
          <w:szCs w:val="24"/>
        </w:rPr>
      </w:pPr>
      <w:r>
        <w:rPr>
          <w:rFonts w:hint="eastAsia" w:ascii="宋体" w:hAnsi="宋体" w:eastAsia="宋体"/>
          <w:sz w:val="21"/>
          <w:szCs w:val="24"/>
        </w:rPr>
        <w:t xml:space="preserve">         分包金额（如有）小写：</w:t>
      </w:r>
      <w:r>
        <w:rPr>
          <w:rFonts w:hint="eastAsia" w:ascii="宋体" w:hAnsi="宋体" w:eastAsia="宋体"/>
          <w:sz w:val="21"/>
          <w:szCs w:val="24"/>
          <w:u w:val="single"/>
        </w:rPr>
        <w:t xml:space="preserve">                   </w:t>
      </w:r>
    </w:p>
    <w:p>
      <w:pPr>
        <w:adjustRightInd w:val="0"/>
        <w:snapToGrid w:val="0"/>
        <w:spacing w:afterLines="0" w:line="400" w:lineRule="exact"/>
        <w:rPr>
          <w:rFonts w:hint="eastAsia" w:ascii="宋体" w:hAnsi="宋体" w:eastAsia="宋体"/>
          <w:sz w:val="21"/>
          <w:szCs w:val="24"/>
          <w:u w:val="single"/>
        </w:rPr>
      </w:pPr>
      <w:r>
        <w:rPr>
          <w:rFonts w:hint="eastAsia" w:ascii="宋体" w:hAnsi="宋体" w:eastAsia="宋体"/>
          <w:sz w:val="21"/>
          <w:szCs w:val="24"/>
        </w:rPr>
        <w:t xml:space="preserve">                     大写：</w:t>
      </w:r>
      <w:r>
        <w:rPr>
          <w:rFonts w:hint="eastAsia" w:ascii="宋体" w:hAnsi="宋体" w:eastAsia="宋体"/>
          <w:sz w:val="21"/>
          <w:szCs w:val="24"/>
          <w:u w:val="single"/>
        </w:rPr>
        <w:t xml:space="preserve">                       </w:t>
      </w:r>
    </w:p>
    <w:p>
      <w:pPr>
        <w:adjustRightInd w:val="0"/>
        <w:snapToGrid w:val="0"/>
        <w:spacing w:afterLines="0" w:line="400" w:lineRule="exact"/>
        <w:rPr>
          <w:rFonts w:hint="eastAsia" w:ascii="宋体" w:hAnsi="宋体" w:eastAsia="宋体"/>
          <w:sz w:val="21"/>
          <w:szCs w:val="24"/>
        </w:rPr>
      </w:pPr>
      <w:r>
        <w:rPr>
          <w:rFonts w:hint="eastAsia" w:ascii="宋体" w:hAnsi="宋体" w:eastAsia="宋体"/>
          <w:sz w:val="21"/>
          <w:szCs w:val="24"/>
        </w:rPr>
        <w:t xml:space="preserve">    （注：固定单价合同应填写单价和最高限价）</w:t>
      </w:r>
    </w:p>
    <w:p>
      <w:pPr>
        <w:numPr>
          <w:ilvl w:val="0"/>
          <w:numId w:val="0"/>
        </w:numPr>
        <w:adjustRightInd w:val="0"/>
        <w:snapToGrid w:val="0"/>
        <w:spacing w:afterLines="0" w:line="400" w:lineRule="exact"/>
        <w:rPr>
          <w:rFonts w:hint="eastAsia" w:ascii="宋体" w:hAnsi="宋体" w:eastAsia="宋体"/>
          <w:sz w:val="21"/>
          <w:szCs w:val="24"/>
        </w:rPr>
      </w:pPr>
      <w:r>
        <w:rPr>
          <w:rFonts w:hint="eastAsia" w:ascii="宋体" w:hAnsi="宋体" w:eastAsia="宋体"/>
          <w:sz w:val="21"/>
          <w:szCs w:val="24"/>
        </w:rPr>
        <w:t xml:space="preserve">    （2）合同定价方式（采用组合定价方式的，可以勾选多项）：</w:t>
      </w:r>
    </w:p>
    <w:p>
      <w:pPr>
        <w:adjustRightInd w:val="0"/>
        <w:snapToGrid w:val="0"/>
        <w:spacing w:afterLines="0" w:line="400" w:lineRule="exact"/>
        <w:ind w:firstLine="420" w:firstLineChars="200"/>
        <w:rPr>
          <w:rFonts w:hint="eastAsia" w:ascii="宋体" w:hAnsi="宋体" w:eastAsia="宋体"/>
          <w:sz w:val="21"/>
          <w:szCs w:val="24"/>
        </w:rPr>
      </w:pPr>
      <w:r>
        <w:rPr>
          <w:rFonts w:hint="eastAsia" w:ascii="宋体" w:hAnsi="宋体" w:eastAsia="宋体"/>
          <w:sz w:val="21"/>
          <w:szCs w:val="24"/>
        </w:rPr>
        <w:t xml:space="preserve">  </w:t>
      </w:r>
      <w:r>
        <w:rPr>
          <w:rFonts w:hint="eastAsia" w:ascii="宋体" w:hAnsi="宋体" w:eastAsia="宋体"/>
          <w:sz w:val="21"/>
          <w:szCs w:val="24"/>
        </w:rPr>
        <w:sym w:font="Wingdings" w:char="00A8"/>
      </w:r>
      <w:r>
        <w:rPr>
          <w:rFonts w:hint="eastAsia" w:ascii="宋体" w:hAnsi="宋体" w:eastAsia="宋体"/>
          <w:sz w:val="21"/>
          <w:szCs w:val="24"/>
        </w:rPr>
        <w:t xml:space="preserve">固定总价 </w:t>
      </w:r>
      <w:r>
        <w:rPr>
          <w:rFonts w:hint="eastAsia" w:ascii="宋体" w:hAnsi="宋体" w:eastAsia="宋体"/>
          <w:sz w:val="21"/>
          <w:szCs w:val="24"/>
        </w:rPr>
        <w:sym w:font="Wingdings" w:char="00A8"/>
      </w:r>
      <w:r>
        <w:rPr>
          <w:rFonts w:hint="eastAsia" w:ascii="宋体" w:hAnsi="宋体" w:eastAsia="宋体"/>
          <w:sz w:val="21"/>
          <w:szCs w:val="24"/>
        </w:rPr>
        <w:t xml:space="preserve">固定单价 </w:t>
      </w:r>
      <w:r>
        <w:rPr>
          <w:rFonts w:hint="eastAsia" w:ascii="宋体" w:hAnsi="宋体" w:eastAsia="宋体"/>
          <w:sz w:val="21"/>
          <w:szCs w:val="24"/>
        </w:rPr>
        <w:sym w:font="Wingdings" w:char="00A8"/>
      </w:r>
      <w:r>
        <w:rPr>
          <w:rFonts w:hint="eastAsia" w:ascii="宋体" w:hAnsi="宋体" w:eastAsia="宋体"/>
          <w:sz w:val="21"/>
          <w:szCs w:val="24"/>
        </w:rPr>
        <w:t xml:space="preserve">固定费率 </w:t>
      </w:r>
      <w:r>
        <w:rPr>
          <w:rFonts w:hint="eastAsia" w:ascii="宋体" w:hAnsi="宋体" w:eastAsia="宋体"/>
          <w:sz w:val="21"/>
          <w:szCs w:val="24"/>
        </w:rPr>
        <w:sym w:font="Wingdings" w:char="00A8"/>
      </w:r>
      <w:r>
        <w:rPr>
          <w:rFonts w:hint="eastAsia" w:ascii="宋体" w:hAnsi="宋体" w:eastAsia="宋体"/>
          <w:sz w:val="21"/>
          <w:szCs w:val="24"/>
        </w:rPr>
        <w:t xml:space="preserve">成本补偿 </w:t>
      </w:r>
      <w:r>
        <w:rPr>
          <w:rFonts w:hint="eastAsia" w:ascii="宋体" w:hAnsi="宋体" w:eastAsia="宋体"/>
          <w:sz w:val="21"/>
          <w:szCs w:val="24"/>
        </w:rPr>
        <w:sym w:font="Wingdings" w:char="00A8"/>
      </w:r>
      <w:r>
        <w:rPr>
          <w:rFonts w:hint="eastAsia" w:ascii="宋体" w:hAnsi="宋体" w:eastAsia="宋体"/>
          <w:sz w:val="21"/>
          <w:szCs w:val="24"/>
        </w:rPr>
        <w:t xml:space="preserve">绩效激励 </w:t>
      </w:r>
      <w:r>
        <w:rPr>
          <w:rFonts w:hint="eastAsia" w:ascii="宋体" w:hAnsi="宋体" w:eastAsia="宋体"/>
          <w:sz w:val="21"/>
          <w:szCs w:val="24"/>
        </w:rPr>
        <w:sym w:font="Wingdings" w:char="00A8"/>
      </w:r>
      <w:r>
        <w:rPr>
          <w:rFonts w:hint="eastAsia" w:ascii="宋体" w:hAnsi="宋体" w:eastAsia="宋体"/>
          <w:sz w:val="21"/>
          <w:szCs w:val="24"/>
        </w:rPr>
        <w:t>其他</w:t>
      </w:r>
      <w:r>
        <w:rPr>
          <w:rFonts w:hint="eastAsia" w:ascii="宋体" w:hAnsi="宋体" w:eastAsia="宋体"/>
          <w:sz w:val="21"/>
          <w:szCs w:val="24"/>
          <w:u w:val="single"/>
        </w:rPr>
        <w:t xml:space="preserve">       </w:t>
      </w:r>
    </w:p>
    <w:p>
      <w:pPr>
        <w:pStyle w:val="90"/>
        <w:spacing w:afterLines="0" w:line="400" w:lineRule="exact"/>
        <w:rPr>
          <w:rFonts w:hint="default"/>
          <w:sz w:val="21"/>
          <w:szCs w:val="24"/>
        </w:rPr>
      </w:pPr>
      <w:r>
        <w:rPr>
          <w:rFonts w:hint="eastAsia" w:ascii="宋体" w:hAnsi="宋体" w:eastAsia="宋体"/>
          <w:sz w:val="21"/>
          <w:szCs w:val="24"/>
        </w:rPr>
        <w:t>（3）付款方式（按项目实际勾选填写）：</w:t>
      </w:r>
    </w:p>
    <w:p>
      <w:pPr>
        <w:adjustRightInd w:val="0"/>
        <w:snapToGrid w:val="0"/>
        <w:spacing w:afterLines="0" w:line="400" w:lineRule="exact"/>
        <w:ind w:firstLine="630" w:firstLineChars="300"/>
        <w:rPr>
          <w:rFonts w:hint="eastAsia" w:ascii="宋体" w:hAnsi="宋体" w:eastAsia="宋体"/>
          <w:sz w:val="21"/>
          <w:szCs w:val="24"/>
          <w:u w:val="single"/>
        </w:rPr>
      </w:pPr>
      <w:r>
        <w:rPr>
          <w:rFonts w:hint="eastAsia" w:ascii="宋体" w:hAnsi="宋体" w:eastAsia="宋体"/>
          <w:sz w:val="21"/>
          <w:szCs w:val="24"/>
        </w:rPr>
        <w:sym w:font="Wingdings" w:char="00A8"/>
      </w:r>
      <w:r>
        <w:rPr>
          <w:rFonts w:hint="eastAsia" w:ascii="宋体" w:hAnsi="宋体" w:eastAsia="宋体"/>
          <w:sz w:val="21"/>
          <w:szCs w:val="24"/>
        </w:rPr>
        <w:t>全额付款：</w:t>
      </w:r>
      <w:r>
        <w:rPr>
          <w:rFonts w:hint="eastAsia" w:ascii="宋体" w:hAnsi="宋体" w:eastAsia="宋体"/>
          <w:sz w:val="21"/>
          <w:szCs w:val="24"/>
          <w:u w:val="single"/>
        </w:rPr>
        <w:t xml:space="preserve">     （应明确一次性支付合同款项的条件）                    </w:t>
      </w:r>
    </w:p>
    <w:p>
      <w:pPr>
        <w:snapToGrid w:val="0"/>
        <w:spacing w:afterLines="0" w:line="400" w:lineRule="exact"/>
        <w:ind w:firstLine="630" w:firstLineChars="300"/>
        <w:rPr>
          <w:rFonts w:hint="default"/>
          <w:sz w:val="21"/>
          <w:szCs w:val="24"/>
        </w:rPr>
      </w:pPr>
      <w:r>
        <w:rPr>
          <w:rFonts w:hint="eastAsia" w:ascii="宋体" w:hAnsi="宋体" w:eastAsia="宋体"/>
          <w:sz w:val="21"/>
          <w:szCs w:val="24"/>
        </w:rPr>
        <w:sym w:font="Wingdings" w:char="00A8"/>
      </w:r>
      <w:r>
        <w:rPr>
          <w:rFonts w:hint="eastAsia" w:ascii="宋体" w:hAnsi="宋体" w:eastAsia="宋体"/>
          <w:sz w:val="21"/>
          <w:szCs w:val="24"/>
        </w:rPr>
        <w:t>分期付款：</w:t>
      </w:r>
      <w:r>
        <w:rPr>
          <w:rFonts w:hint="eastAsia" w:ascii="宋体" w:hAnsi="宋体" w:eastAsia="宋体"/>
          <w:sz w:val="21"/>
          <w:szCs w:val="24"/>
          <w:u w:val="single"/>
        </w:rPr>
        <w:t xml:space="preserve">  （应明确分期支付合同款项的各期比例和支付条件，各期支付条件应与分期履约验收情况挂钩） </w:t>
      </w:r>
      <w:r>
        <w:rPr>
          <w:rFonts w:hint="eastAsia" w:ascii="宋体" w:hAnsi="宋体" w:eastAsia="宋体"/>
          <w:sz w:val="21"/>
          <w:szCs w:val="24"/>
        </w:rPr>
        <w:t>，其中涉及预付款的：</w:t>
      </w:r>
      <w:r>
        <w:rPr>
          <w:rFonts w:hint="eastAsia" w:ascii="宋体" w:hAnsi="宋体" w:eastAsia="宋体"/>
          <w:sz w:val="21"/>
          <w:szCs w:val="24"/>
          <w:u w:val="single"/>
        </w:rPr>
        <w:t xml:space="preserve"> （应明确预付款的支付比例和支付条件） </w:t>
      </w:r>
    </w:p>
    <w:p>
      <w:pPr>
        <w:adjustRightInd w:val="0"/>
        <w:snapToGrid w:val="0"/>
        <w:spacing w:afterLines="0" w:line="400" w:lineRule="exact"/>
        <w:ind w:firstLine="630" w:firstLineChars="300"/>
        <w:rPr>
          <w:rFonts w:hint="eastAsia" w:ascii="宋体" w:hAnsi="宋体" w:eastAsia="宋体"/>
          <w:sz w:val="21"/>
          <w:szCs w:val="24"/>
          <w:u w:val="single"/>
        </w:rPr>
      </w:pPr>
      <w:r>
        <w:rPr>
          <w:rFonts w:hint="eastAsia" w:ascii="宋体" w:hAnsi="宋体" w:eastAsia="宋体"/>
          <w:sz w:val="21"/>
          <w:szCs w:val="24"/>
        </w:rPr>
        <w:sym w:font="Wingdings" w:char="00A8"/>
      </w:r>
      <w:r>
        <w:rPr>
          <w:rFonts w:hint="eastAsia" w:ascii="宋体" w:hAnsi="宋体" w:eastAsia="宋体"/>
          <w:sz w:val="21"/>
          <w:szCs w:val="24"/>
        </w:rPr>
        <w:t>成本补偿：</w:t>
      </w:r>
      <w:r>
        <w:rPr>
          <w:rFonts w:hint="eastAsia" w:ascii="宋体" w:hAnsi="宋体" w:eastAsia="宋体"/>
          <w:sz w:val="21"/>
          <w:szCs w:val="24"/>
          <w:u w:val="single"/>
        </w:rPr>
        <w:t xml:space="preserve">      （应明确按照成本补偿方式的支付方式和支付条件）   </w:t>
      </w:r>
    </w:p>
    <w:p>
      <w:pPr>
        <w:adjustRightInd w:val="0"/>
        <w:snapToGrid w:val="0"/>
        <w:spacing w:afterLines="0" w:line="400" w:lineRule="exact"/>
        <w:ind w:firstLine="630" w:firstLineChars="300"/>
        <w:rPr>
          <w:rFonts w:hint="eastAsia" w:ascii="宋体" w:hAnsi="宋体" w:eastAsia="宋体"/>
          <w:sz w:val="21"/>
          <w:szCs w:val="24"/>
        </w:rPr>
      </w:pPr>
      <w:r>
        <w:rPr>
          <w:rFonts w:hint="eastAsia" w:ascii="宋体" w:hAnsi="宋体" w:eastAsia="宋体"/>
          <w:sz w:val="21"/>
          <w:szCs w:val="24"/>
        </w:rPr>
        <w:sym w:font="Wingdings" w:char="00A8"/>
      </w:r>
      <w:r>
        <w:rPr>
          <w:rFonts w:hint="eastAsia" w:ascii="宋体" w:hAnsi="宋体" w:eastAsia="宋体"/>
          <w:sz w:val="21"/>
          <w:szCs w:val="24"/>
        </w:rPr>
        <w:t>绩效激励：</w:t>
      </w:r>
      <w:r>
        <w:rPr>
          <w:rFonts w:hint="eastAsia" w:ascii="宋体" w:hAnsi="宋体" w:eastAsia="宋体"/>
          <w:sz w:val="21"/>
          <w:szCs w:val="24"/>
          <w:u w:val="single"/>
        </w:rPr>
        <w:t xml:space="preserve">      （应明确按照绩效激励方式的支付方式和支付条件）   </w:t>
      </w:r>
    </w:p>
    <w:p>
      <w:pPr>
        <w:numPr>
          <w:ilvl w:val="0"/>
          <w:numId w:val="2"/>
        </w:numPr>
        <w:adjustRightInd w:val="0"/>
        <w:snapToGrid w:val="0"/>
        <w:spacing w:afterLines="0" w:line="400" w:lineRule="exact"/>
        <w:ind w:firstLine="422" w:firstLineChars="200"/>
        <w:rPr>
          <w:rFonts w:hint="eastAsia" w:ascii="宋体" w:hAnsi="宋体" w:eastAsia="宋体"/>
          <w:b/>
          <w:sz w:val="21"/>
          <w:szCs w:val="24"/>
          <w:u w:val="single"/>
        </w:rPr>
      </w:pPr>
      <w:r>
        <w:rPr>
          <w:rFonts w:hint="eastAsia" w:ascii="宋体" w:hAnsi="宋体" w:eastAsia="宋体"/>
          <w:b/>
          <w:sz w:val="21"/>
          <w:szCs w:val="24"/>
        </w:rPr>
        <w:t>合同履行</w:t>
      </w:r>
    </w:p>
    <w:p>
      <w:pPr>
        <w:adjustRightInd w:val="0"/>
        <w:snapToGrid w:val="0"/>
        <w:spacing w:afterLines="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（1）起始日期：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日，完成日期：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pPr>
        <w:adjustRightInd w:val="0"/>
        <w:snapToGrid w:val="0"/>
        <w:spacing w:afterLines="0" w:line="40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（2）履约地点：</w:t>
      </w:r>
      <w:r>
        <w:rPr>
          <w:rFonts w:hint="eastAsia" w:ascii="宋体" w:hAnsi="宋体" w:eastAsia="宋体" w:cs="宋体"/>
          <w:sz w:val="21"/>
          <w:szCs w:val="21"/>
          <w:u w:val="single"/>
        </w:rPr>
        <w:t xml:space="preserve">                             </w:t>
      </w:r>
    </w:p>
    <w:p>
      <w:pPr>
        <w:adjustRightInd w:val="0"/>
        <w:snapToGrid w:val="0"/>
        <w:spacing w:afterLines="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（3）履约担保：</w:t>
      </w:r>
      <w:r>
        <w:rPr>
          <w:rFonts w:hint="eastAsia" w:ascii="宋体" w:hAnsi="宋体" w:eastAsia="宋体" w:cs="宋体"/>
          <w:sz w:val="21"/>
          <w:szCs w:val="24"/>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sz w:val="21"/>
          <w:szCs w:val="21"/>
        </w:rPr>
        <w:t>否</w:t>
      </w:r>
    </w:p>
    <w:p>
      <w:pPr>
        <w:pStyle w:val="2"/>
        <w:spacing w:afterLines="0"/>
        <w:rPr>
          <w:rFonts w:hint="eastAsia" w:ascii="宋体" w:hAnsi="宋体" w:eastAsia="宋体" w:cs="宋体"/>
          <w:sz w:val="21"/>
          <w:szCs w:val="21"/>
        </w:rPr>
      </w:pPr>
      <w:r>
        <w:rPr>
          <w:rFonts w:hint="eastAsia" w:ascii="宋体" w:hAnsi="宋体" w:cs="宋体"/>
          <w:sz w:val="22"/>
          <w:szCs w:val="21"/>
        </w:rPr>
        <w:t xml:space="preserve">  </w:t>
      </w:r>
      <w:r>
        <w:rPr>
          <w:rFonts w:hint="eastAsia" w:ascii="宋体" w:hAnsi="宋体" w:eastAsia="宋体" w:cs="宋体"/>
          <w:sz w:val="21"/>
          <w:szCs w:val="21"/>
        </w:rPr>
        <w:t xml:space="preserve">  收取履约保证金形式：</w:t>
      </w:r>
      <w:r>
        <w:rPr>
          <w:rFonts w:hint="eastAsia" w:ascii="宋体" w:hAnsi="宋体" w:eastAsia="宋体" w:cs="宋体"/>
          <w:sz w:val="21"/>
          <w:szCs w:val="21"/>
          <w:u w:val="single"/>
        </w:rPr>
        <w:t xml:space="preserve">                            </w:t>
      </w:r>
    </w:p>
    <w:p>
      <w:pPr>
        <w:pStyle w:val="2"/>
        <w:spacing w:afterLines="0"/>
        <w:rPr>
          <w:rFonts w:hint="eastAsia" w:ascii="宋体" w:hAnsi="宋体" w:eastAsia="宋体" w:cs="宋体"/>
          <w:sz w:val="21"/>
          <w:szCs w:val="21"/>
        </w:rPr>
      </w:pPr>
      <w:r>
        <w:rPr>
          <w:rFonts w:hint="eastAsia" w:ascii="宋体" w:hAnsi="宋体" w:eastAsia="宋体" w:cs="宋体"/>
          <w:sz w:val="21"/>
          <w:szCs w:val="21"/>
        </w:rPr>
        <w:t xml:space="preserve">    收取履约保证金金额：</w:t>
      </w:r>
      <w:r>
        <w:rPr>
          <w:rFonts w:hint="eastAsia" w:ascii="宋体" w:hAnsi="宋体" w:eastAsia="宋体" w:cs="宋体"/>
          <w:sz w:val="21"/>
          <w:szCs w:val="21"/>
          <w:u w:val="single"/>
        </w:rPr>
        <w:t xml:space="preserve">                            </w:t>
      </w:r>
    </w:p>
    <w:p>
      <w:pPr>
        <w:snapToGrid w:val="0"/>
        <w:spacing w:afterLines="0" w:line="400" w:lineRule="exact"/>
        <w:ind w:firstLine="420" w:firstLineChars="200"/>
        <w:rPr>
          <w:rFonts w:hint="eastAsia" w:ascii="宋体" w:hAnsi="宋体" w:eastAsia="宋体" w:cs="宋体"/>
          <w:sz w:val="21"/>
          <w:szCs w:val="24"/>
        </w:rPr>
      </w:pPr>
      <w:r>
        <w:rPr>
          <w:rFonts w:hint="eastAsia" w:ascii="宋体" w:hAnsi="宋体" w:eastAsia="宋体" w:cs="宋体"/>
          <w:sz w:val="21"/>
          <w:szCs w:val="21"/>
        </w:rPr>
        <w:t xml:space="preserve">    履约担保期限：</w:t>
      </w:r>
      <w:r>
        <w:rPr>
          <w:rFonts w:hint="eastAsia" w:ascii="宋体" w:hAnsi="宋体" w:eastAsia="宋体" w:cs="宋体"/>
          <w:sz w:val="21"/>
          <w:szCs w:val="21"/>
          <w:u w:val="single"/>
        </w:rPr>
        <w:t xml:space="preserve">                                  </w:t>
      </w:r>
    </w:p>
    <w:p>
      <w:pPr>
        <w:adjustRightInd w:val="0"/>
        <w:snapToGrid w:val="0"/>
        <w:spacing w:afterLines="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（4）分期履行要求：</w:t>
      </w:r>
      <w:r>
        <w:rPr>
          <w:rFonts w:hint="eastAsia" w:ascii="宋体" w:hAnsi="宋体" w:eastAsia="宋体" w:cs="宋体"/>
          <w:sz w:val="21"/>
          <w:szCs w:val="21"/>
          <w:u w:val="single"/>
        </w:rPr>
        <w:t xml:space="preserve">                                                        </w:t>
      </w:r>
    </w:p>
    <w:p>
      <w:pPr>
        <w:adjustRightInd w:val="0"/>
        <w:snapToGrid w:val="0"/>
        <w:spacing w:afterLines="0" w:line="40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（5）风险处置措施和替代方案：</w:t>
      </w:r>
      <w:r>
        <w:rPr>
          <w:rFonts w:hint="eastAsia" w:ascii="宋体" w:hAnsi="宋体" w:eastAsia="宋体" w:cs="宋体"/>
          <w:color w:val="0000FF"/>
          <w:sz w:val="21"/>
          <w:szCs w:val="21"/>
          <w:u w:val="single"/>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sz w:val="21"/>
          <w:szCs w:val="21"/>
          <w:u w:val="single"/>
        </w:rPr>
        <w:t xml:space="preserve">                                                </w:t>
      </w:r>
    </w:p>
    <w:p>
      <w:pPr>
        <w:numPr>
          <w:ilvl w:val="0"/>
          <w:numId w:val="2"/>
        </w:numPr>
        <w:adjustRightInd w:val="0"/>
        <w:snapToGrid w:val="0"/>
        <w:spacing w:afterLines="0" w:line="400" w:lineRule="exact"/>
        <w:ind w:firstLine="422" w:firstLineChars="200"/>
        <w:rPr>
          <w:rFonts w:hint="eastAsia" w:ascii="宋体" w:hAnsi="宋体" w:eastAsia="宋体"/>
          <w:b/>
          <w:sz w:val="21"/>
          <w:szCs w:val="24"/>
        </w:rPr>
      </w:pPr>
      <w:r>
        <w:rPr>
          <w:rFonts w:hint="eastAsia" w:ascii="宋体" w:hAnsi="宋体" w:eastAsia="宋体"/>
          <w:b/>
          <w:sz w:val="21"/>
          <w:szCs w:val="24"/>
        </w:rPr>
        <w:t>合同验收</w:t>
      </w:r>
    </w:p>
    <w:p>
      <w:pPr>
        <w:numPr>
          <w:ilvl w:val="0"/>
          <w:numId w:val="4"/>
        </w:numPr>
        <w:adjustRightInd w:val="0"/>
        <w:snapToGrid w:val="0"/>
        <w:spacing w:afterLines="0" w:line="400" w:lineRule="exact"/>
        <w:ind w:firstLine="420" w:firstLineChars="200"/>
        <w:rPr>
          <w:rFonts w:hint="eastAsia" w:ascii="宋体" w:hAnsi="宋体" w:eastAsia="宋体"/>
          <w:sz w:val="21"/>
          <w:szCs w:val="24"/>
        </w:rPr>
      </w:pPr>
      <w:r>
        <w:rPr>
          <w:rFonts w:hint="eastAsia" w:ascii="宋体" w:hAnsi="宋体" w:eastAsia="宋体"/>
          <w:sz w:val="21"/>
          <w:szCs w:val="24"/>
        </w:rPr>
        <w:t>验收组织方式：</w:t>
      </w:r>
      <w:r>
        <w:rPr>
          <w:rFonts w:hint="eastAsia" w:ascii="宋体" w:hAnsi="宋体" w:eastAsia="宋体" w:cs="宋体"/>
          <w:sz w:val="21"/>
          <w:szCs w:val="21"/>
        </w:rPr>
        <w:sym w:font="Wingdings" w:char="00A8"/>
      </w:r>
      <w:r>
        <w:rPr>
          <w:rFonts w:hint="eastAsia" w:ascii="宋体" w:hAnsi="宋体" w:eastAsia="宋体"/>
          <w:sz w:val="21"/>
          <w:szCs w:val="24"/>
        </w:rPr>
        <w:t xml:space="preserve">自行组织 </w:t>
      </w:r>
      <w:r>
        <w:rPr>
          <w:rFonts w:hint="eastAsia" w:ascii="宋体" w:hAnsi="宋体" w:eastAsia="宋体" w:cs="宋体"/>
          <w:sz w:val="21"/>
          <w:szCs w:val="21"/>
        </w:rPr>
        <w:sym w:font="Wingdings" w:char="00A8"/>
      </w:r>
      <w:r>
        <w:rPr>
          <w:rFonts w:hint="eastAsia" w:ascii="宋体" w:hAnsi="宋体" w:eastAsia="宋体"/>
          <w:sz w:val="21"/>
          <w:szCs w:val="24"/>
        </w:rPr>
        <w:t>委托第三方组织</w:t>
      </w:r>
    </w:p>
    <w:p>
      <w:pPr>
        <w:numPr>
          <w:ilvl w:val="0"/>
          <w:numId w:val="0"/>
        </w:numPr>
        <w:adjustRightInd w:val="0"/>
        <w:snapToGrid w:val="0"/>
        <w:spacing w:afterLines="0" w:line="400" w:lineRule="exact"/>
        <w:rPr>
          <w:rFonts w:hint="eastAsia" w:ascii="宋体" w:hAnsi="宋体" w:eastAsia="宋体"/>
          <w:sz w:val="21"/>
          <w:szCs w:val="24"/>
        </w:rPr>
      </w:pPr>
      <w:r>
        <w:rPr>
          <w:rFonts w:hint="eastAsia" w:ascii="宋体" w:hAnsi="宋体" w:eastAsia="宋体"/>
          <w:sz w:val="21"/>
          <w:szCs w:val="24"/>
        </w:rPr>
        <w:t xml:space="preserve">         验收主体：</w:t>
      </w:r>
      <w:r>
        <w:rPr>
          <w:rFonts w:hint="eastAsia" w:ascii="宋体" w:hAnsi="宋体" w:eastAsia="宋体"/>
          <w:sz w:val="21"/>
          <w:szCs w:val="24"/>
          <w:u w:val="single"/>
        </w:rPr>
        <w:t xml:space="preserve">                  </w:t>
      </w:r>
    </w:p>
    <w:p>
      <w:pPr>
        <w:adjustRightInd w:val="0"/>
        <w:snapToGrid w:val="0"/>
        <w:spacing w:afterLines="0" w:line="400" w:lineRule="exact"/>
        <w:rPr>
          <w:rFonts w:hint="eastAsia" w:ascii="宋体" w:hAnsi="宋体" w:eastAsia="宋体"/>
          <w:sz w:val="21"/>
          <w:szCs w:val="24"/>
        </w:rPr>
      </w:pPr>
      <w:r>
        <w:rPr>
          <w:rFonts w:hint="eastAsia" w:ascii="宋体" w:hAnsi="宋体" w:eastAsia="宋体"/>
          <w:sz w:val="21"/>
          <w:szCs w:val="24"/>
        </w:rPr>
        <w:t xml:space="preserve">        是否邀请本项目的其他供应商参加验收：</w:t>
      </w:r>
      <w:r>
        <w:rPr>
          <w:rFonts w:hint="eastAsia" w:ascii="宋体" w:hAnsi="宋体" w:eastAsia="宋体" w:cs="宋体"/>
          <w:sz w:val="21"/>
          <w:szCs w:val="21"/>
        </w:rPr>
        <w:sym w:font="Wingdings" w:char="00A8"/>
      </w:r>
      <w:r>
        <w:rPr>
          <w:rFonts w:hint="eastAsia" w:ascii="宋体" w:hAnsi="宋体" w:eastAsia="宋体"/>
          <w:sz w:val="21"/>
          <w:szCs w:val="24"/>
        </w:rPr>
        <w:t xml:space="preserve">是  </w:t>
      </w:r>
      <w:r>
        <w:rPr>
          <w:rFonts w:hint="eastAsia" w:ascii="宋体" w:hAnsi="宋体" w:eastAsia="宋体" w:cs="宋体"/>
          <w:sz w:val="21"/>
          <w:szCs w:val="21"/>
        </w:rPr>
        <w:sym w:font="Wingdings" w:char="00A8"/>
      </w:r>
      <w:r>
        <w:rPr>
          <w:rFonts w:hint="eastAsia" w:ascii="宋体" w:hAnsi="宋体" w:eastAsia="宋体"/>
          <w:sz w:val="21"/>
          <w:szCs w:val="24"/>
        </w:rPr>
        <w:t>否</w:t>
      </w:r>
    </w:p>
    <w:p>
      <w:pPr>
        <w:adjustRightInd w:val="0"/>
        <w:snapToGrid w:val="0"/>
        <w:spacing w:afterLines="0" w:line="400" w:lineRule="exact"/>
        <w:ind w:firstLine="840" w:firstLineChars="400"/>
        <w:rPr>
          <w:rFonts w:hint="eastAsia" w:ascii="宋体" w:hAnsi="宋体" w:eastAsia="宋体"/>
          <w:sz w:val="21"/>
          <w:szCs w:val="24"/>
        </w:rPr>
      </w:pPr>
      <w:r>
        <w:rPr>
          <w:rFonts w:hint="eastAsia" w:ascii="宋体" w:hAnsi="宋体" w:eastAsia="宋体"/>
          <w:sz w:val="21"/>
          <w:szCs w:val="24"/>
        </w:rPr>
        <w:t>是否邀请专家参加验收：</w:t>
      </w:r>
      <w:r>
        <w:rPr>
          <w:rFonts w:hint="eastAsia" w:ascii="宋体" w:hAnsi="宋体" w:eastAsia="宋体" w:cs="宋体"/>
          <w:sz w:val="21"/>
          <w:szCs w:val="21"/>
        </w:rPr>
        <w:sym w:font="Wingdings" w:char="00A8"/>
      </w:r>
      <w:r>
        <w:rPr>
          <w:rFonts w:hint="eastAsia" w:ascii="宋体" w:hAnsi="宋体" w:eastAsia="宋体"/>
          <w:sz w:val="21"/>
          <w:szCs w:val="24"/>
        </w:rPr>
        <w:t xml:space="preserve">是  </w:t>
      </w:r>
      <w:r>
        <w:rPr>
          <w:rFonts w:hint="eastAsia" w:ascii="宋体" w:hAnsi="宋体" w:eastAsia="宋体" w:cs="宋体"/>
          <w:sz w:val="21"/>
          <w:szCs w:val="21"/>
        </w:rPr>
        <w:sym w:font="Wingdings" w:char="00A8"/>
      </w:r>
      <w:r>
        <w:rPr>
          <w:rFonts w:hint="eastAsia" w:ascii="宋体" w:hAnsi="宋体" w:eastAsia="宋体"/>
          <w:sz w:val="21"/>
          <w:szCs w:val="24"/>
        </w:rPr>
        <w:t>否</w:t>
      </w:r>
    </w:p>
    <w:p>
      <w:pPr>
        <w:adjustRightInd w:val="0"/>
        <w:snapToGrid w:val="0"/>
        <w:spacing w:afterLines="0" w:line="400" w:lineRule="exact"/>
        <w:ind w:firstLine="840" w:firstLineChars="400"/>
        <w:rPr>
          <w:rFonts w:hint="eastAsia" w:ascii="宋体" w:hAnsi="宋体" w:eastAsia="宋体"/>
          <w:sz w:val="21"/>
          <w:szCs w:val="24"/>
        </w:rPr>
      </w:pPr>
      <w:r>
        <w:rPr>
          <w:rFonts w:hint="eastAsia" w:ascii="宋体" w:hAnsi="宋体" w:eastAsia="宋体"/>
          <w:sz w:val="21"/>
          <w:szCs w:val="24"/>
        </w:rPr>
        <w:t>是否邀请服务对象参加验收：</w:t>
      </w:r>
      <w:r>
        <w:rPr>
          <w:rFonts w:hint="eastAsia" w:ascii="宋体" w:hAnsi="宋体" w:eastAsia="宋体" w:cs="宋体"/>
          <w:sz w:val="21"/>
          <w:szCs w:val="21"/>
        </w:rPr>
        <w:sym w:font="Wingdings" w:char="00A8"/>
      </w:r>
      <w:r>
        <w:rPr>
          <w:rFonts w:hint="eastAsia" w:ascii="宋体" w:hAnsi="宋体" w:eastAsia="宋体"/>
          <w:sz w:val="21"/>
          <w:szCs w:val="24"/>
        </w:rPr>
        <w:t xml:space="preserve">是  </w:t>
      </w:r>
      <w:r>
        <w:rPr>
          <w:rFonts w:hint="eastAsia" w:ascii="宋体" w:hAnsi="宋体" w:eastAsia="宋体" w:cs="宋体"/>
          <w:sz w:val="21"/>
          <w:szCs w:val="21"/>
        </w:rPr>
        <w:sym w:font="Wingdings" w:char="00A8"/>
      </w:r>
      <w:r>
        <w:rPr>
          <w:rFonts w:hint="eastAsia" w:ascii="宋体" w:hAnsi="宋体" w:eastAsia="宋体"/>
          <w:sz w:val="21"/>
          <w:szCs w:val="24"/>
        </w:rPr>
        <w:t>否</w:t>
      </w:r>
    </w:p>
    <w:p>
      <w:pPr>
        <w:adjustRightInd w:val="0"/>
        <w:snapToGrid w:val="0"/>
        <w:spacing w:afterLines="0" w:line="400" w:lineRule="exact"/>
        <w:ind w:firstLine="840" w:firstLineChars="400"/>
        <w:rPr>
          <w:rFonts w:hint="eastAsia" w:ascii="宋体" w:hAnsi="宋体" w:eastAsia="宋体"/>
          <w:sz w:val="21"/>
          <w:szCs w:val="24"/>
        </w:rPr>
      </w:pPr>
      <w:r>
        <w:rPr>
          <w:rFonts w:hint="eastAsia" w:ascii="宋体" w:hAnsi="宋体" w:eastAsia="宋体"/>
          <w:sz w:val="21"/>
          <w:szCs w:val="24"/>
        </w:rPr>
        <w:t>是否邀请第三方检测机构参加验收：</w:t>
      </w:r>
      <w:r>
        <w:rPr>
          <w:rFonts w:hint="eastAsia" w:ascii="宋体" w:hAnsi="宋体" w:eastAsia="宋体" w:cs="宋体"/>
          <w:sz w:val="21"/>
          <w:szCs w:val="21"/>
        </w:rPr>
        <w:sym w:font="Wingdings" w:char="00A8"/>
      </w:r>
      <w:r>
        <w:rPr>
          <w:rFonts w:hint="eastAsia" w:ascii="宋体" w:hAnsi="宋体" w:eastAsia="宋体"/>
          <w:sz w:val="21"/>
          <w:szCs w:val="24"/>
        </w:rPr>
        <w:t xml:space="preserve">是  </w:t>
      </w:r>
      <w:r>
        <w:rPr>
          <w:rFonts w:hint="eastAsia" w:ascii="宋体" w:hAnsi="宋体" w:eastAsia="宋体" w:cs="宋体"/>
          <w:sz w:val="21"/>
          <w:szCs w:val="21"/>
        </w:rPr>
        <w:sym w:font="Wingdings" w:char="00A8"/>
      </w:r>
      <w:r>
        <w:rPr>
          <w:rFonts w:hint="eastAsia" w:ascii="宋体" w:hAnsi="宋体" w:eastAsia="宋体"/>
          <w:sz w:val="21"/>
          <w:szCs w:val="24"/>
        </w:rPr>
        <w:t>否</w:t>
      </w:r>
    </w:p>
    <w:p>
      <w:pPr>
        <w:adjustRightInd w:val="0"/>
        <w:snapToGrid w:val="0"/>
        <w:spacing w:afterLines="0" w:line="400" w:lineRule="exact"/>
        <w:ind w:firstLine="840" w:firstLineChars="400"/>
        <w:rPr>
          <w:rFonts w:hint="eastAsia" w:ascii="宋体" w:hAnsi="宋体" w:eastAsia="宋体"/>
          <w:sz w:val="21"/>
          <w:szCs w:val="24"/>
        </w:rPr>
      </w:pPr>
      <w:r>
        <w:rPr>
          <w:rFonts w:hint="eastAsia" w:ascii="宋体" w:hAnsi="宋体" w:eastAsia="宋体"/>
          <w:sz w:val="21"/>
          <w:szCs w:val="24"/>
        </w:rPr>
        <w:t>是否进行抽查检测：</w:t>
      </w:r>
      <w:r>
        <w:rPr>
          <w:rFonts w:hint="eastAsia" w:ascii="宋体" w:hAnsi="宋体" w:eastAsia="宋体" w:cs="宋体"/>
          <w:sz w:val="21"/>
          <w:szCs w:val="21"/>
        </w:rPr>
        <w:sym w:font="Wingdings" w:char="00A8"/>
      </w:r>
      <w:r>
        <w:rPr>
          <w:rFonts w:hint="eastAsia" w:ascii="宋体" w:hAnsi="宋体" w:eastAsia="宋体"/>
          <w:sz w:val="21"/>
          <w:szCs w:val="24"/>
        </w:rPr>
        <w:t>是，抽查比例：</w:t>
      </w:r>
      <w:r>
        <w:rPr>
          <w:rFonts w:hint="eastAsia" w:ascii="宋体" w:hAnsi="宋体" w:eastAsia="宋体"/>
          <w:sz w:val="21"/>
          <w:szCs w:val="24"/>
          <w:u w:val="single"/>
        </w:rPr>
        <w:t xml:space="preserve">        </w:t>
      </w:r>
      <w:r>
        <w:rPr>
          <w:rFonts w:hint="eastAsia" w:ascii="宋体" w:hAnsi="宋体" w:eastAsia="宋体"/>
          <w:sz w:val="21"/>
          <w:szCs w:val="24"/>
        </w:rPr>
        <w:t xml:space="preserve"> </w:t>
      </w:r>
      <w:r>
        <w:rPr>
          <w:rFonts w:hint="eastAsia" w:ascii="宋体" w:hAnsi="宋体" w:eastAsia="宋体" w:cs="宋体"/>
          <w:sz w:val="21"/>
          <w:szCs w:val="21"/>
        </w:rPr>
        <w:sym w:font="Wingdings" w:char="00A8"/>
      </w:r>
      <w:r>
        <w:rPr>
          <w:rFonts w:hint="eastAsia" w:ascii="宋体" w:hAnsi="宋体" w:eastAsia="宋体"/>
          <w:sz w:val="21"/>
          <w:szCs w:val="24"/>
        </w:rPr>
        <w:t>否</w:t>
      </w:r>
    </w:p>
    <w:p>
      <w:pPr>
        <w:adjustRightInd w:val="0"/>
        <w:snapToGrid w:val="0"/>
        <w:spacing w:afterLines="0" w:line="400" w:lineRule="exact"/>
        <w:ind w:firstLine="840" w:firstLineChars="400"/>
        <w:rPr>
          <w:rFonts w:hint="eastAsia" w:ascii="宋体" w:hAnsi="宋体" w:eastAsia="宋体"/>
          <w:sz w:val="21"/>
          <w:szCs w:val="24"/>
          <w:u w:val="single"/>
        </w:rPr>
      </w:pPr>
      <w:r>
        <w:rPr>
          <w:rFonts w:hint="eastAsia" w:ascii="宋体" w:hAnsi="宋体" w:eastAsia="宋体"/>
          <w:sz w:val="21"/>
          <w:szCs w:val="24"/>
        </w:rPr>
        <w:t>是否存在破坏性检测：</w:t>
      </w:r>
      <w:r>
        <w:rPr>
          <w:rFonts w:hint="eastAsia" w:ascii="宋体" w:hAnsi="宋体" w:eastAsia="宋体" w:cs="宋体"/>
          <w:sz w:val="21"/>
          <w:szCs w:val="21"/>
        </w:rPr>
        <w:sym w:font="Wingdings" w:char="00A8"/>
      </w:r>
      <w:r>
        <w:rPr>
          <w:rFonts w:hint="eastAsia" w:ascii="宋体" w:hAnsi="宋体" w:eastAsia="宋体"/>
          <w:sz w:val="21"/>
          <w:szCs w:val="24"/>
        </w:rPr>
        <w:t>是，</w:t>
      </w:r>
      <w:r>
        <w:rPr>
          <w:rFonts w:hint="eastAsia" w:ascii="宋体" w:hAnsi="宋体" w:eastAsia="宋体"/>
          <w:sz w:val="21"/>
          <w:szCs w:val="24"/>
          <w:u w:val="single"/>
        </w:rPr>
        <w:t>（应明确对被破坏的检测产品的处理方式）</w:t>
      </w:r>
    </w:p>
    <w:p>
      <w:pPr>
        <w:adjustRightInd w:val="0"/>
        <w:snapToGrid w:val="0"/>
        <w:spacing w:afterLines="0" w:line="400" w:lineRule="exact"/>
        <w:ind w:firstLine="840" w:firstLineChars="400"/>
        <w:rPr>
          <w:rFonts w:hint="eastAsia" w:ascii="宋体" w:hAnsi="宋体" w:eastAsia="宋体"/>
          <w:sz w:val="21"/>
          <w:szCs w:val="24"/>
        </w:rPr>
      </w:pPr>
      <w:r>
        <w:rPr>
          <w:rFonts w:hint="eastAsia" w:ascii="宋体" w:hAnsi="宋体" w:eastAsia="宋体"/>
          <w:sz w:val="21"/>
          <w:szCs w:val="24"/>
        </w:rPr>
        <w:t xml:space="preserve">                    </w:t>
      </w:r>
      <w:r>
        <w:rPr>
          <w:rFonts w:hint="eastAsia" w:ascii="宋体" w:hAnsi="宋体" w:eastAsia="宋体" w:cs="宋体"/>
          <w:sz w:val="21"/>
          <w:szCs w:val="21"/>
        </w:rPr>
        <w:sym w:font="Wingdings" w:char="00A8"/>
      </w:r>
      <w:r>
        <w:rPr>
          <w:rFonts w:hint="eastAsia" w:ascii="宋体" w:hAnsi="宋体" w:eastAsia="宋体"/>
          <w:sz w:val="21"/>
          <w:szCs w:val="24"/>
        </w:rPr>
        <w:t>否</w:t>
      </w:r>
    </w:p>
    <w:p>
      <w:pPr>
        <w:adjustRightInd w:val="0"/>
        <w:snapToGrid w:val="0"/>
        <w:spacing w:afterLines="0" w:line="400" w:lineRule="exact"/>
        <w:ind w:firstLine="840" w:firstLineChars="400"/>
        <w:rPr>
          <w:rFonts w:hint="eastAsia" w:ascii="宋体" w:hAnsi="宋体" w:eastAsia="宋体"/>
          <w:sz w:val="21"/>
          <w:szCs w:val="24"/>
          <w:u w:val="single"/>
        </w:rPr>
      </w:pPr>
      <w:r>
        <w:rPr>
          <w:rFonts w:hint="eastAsia" w:ascii="宋体" w:hAnsi="宋体" w:eastAsia="宋体"/>
          <w:sz w:val="21"/>
          <w:szCs w:val="24"/>
        </w:rPr>
        <w:t>验收组织的其他事项：</w:t>
      </w:r>
      <w:r>
        <w:rPr>
          <w:rFonts w:hint="eastAsia" w:ascii="宋体" w:hAnsi="宋体" w:eastAsia="宋体"/>
          <w:sz w:val="21"/>
          <w:szCs w:val="24"/>
          <w:u w:val="single"/>
        </w:rPr>
        <w:t xml:space="preserve">                </w:t>
      </w:r>
    </w:p>
    <w:p>
      <w:pPr>
        <w:adjustRightInd w:val="0"/>
        <w:snapToGrid w:val="0"/>
        <w:spacing w:afterLines="0" w:line="400" w:lineRule="exact"/>
        <w:ind w:firstLine="420" w:firstLineChars="200"/>
        <w:rPr>
          <w:rFonts w:hint="eastAsia" w:ascii="宋体" w:hAnsi="宋体" w:eastAsia="宋体"/>
          <w:sz w:val="21"/>
          <w:szCs w:val="24"/>
          <w:u w:val="single"/>
        </w:rPr>
      </w:pPr>
      <w:r>
        <w:rPr>
          <w:rFonts w:hint="eastAsia" w:ascii="宋体" w:hAnsi="宋体" w:eastAsia="宋体"/>
          <w:sz w:val="21"/>
          <w:szCs w:val="24"/>
        </w:rPr>
        <w:t>（2）履约验收时间：</w:t>
      </w:r>
      <w:r>
        <w:rPr>
          <w:rFonts w:hint="eastAsia" w:ascii="宋体" w:hAnsi="宋体" w:eastAsia="宋体"/>
          <w:sz w:val="21"/>
          <w:szCs w:val="24"/>
          <w:u w:val="single"/>
        </w:rPr>
        <w:t xml:space="preserve">（计划于何时验收/供应商提出验收申请之日起   日内组织验收） </w:t>
      </w:r>
    </w:p>
    <w:p>
      <w:pPr>
        <w:adjustRightInd w:val="0"/>
        <w:snapToGrid w:val="0"/>
        <w:spacing w:afterLines="0" w:line="400" w:lineRule="exact"/>
        <w:ind w:firstLine="420" w:firstLineChars="200"/>
        <w:rPr>
          <w:rFonts w:hint="eastAsia" w:ascii="宋体" w:hAnsi="宋体" w:eastAsia="宋体"/>
          <w:sz w:val="21"/>
          <w:szCs w:val="24"/>
        </w:rPr>
      </w:pPr>
      <w:r>
        <w:rPr>
          <w:rFonts w:hint="eastAsia" w:ascii="宋体" w:hAnsi="宋体" w:eastAsia="宋体"/>
          <w:sz w:val="21"/>
          <w:szCs w:val="24"/>
        </w:rPr>
        <w:t>（3）履约验收方式：</w:t>
      </w:r>
      <w:r>
        <w:rPr>
          <w:rFonts w:hint="eastAsia" w:ascii="宋体" w:hAnsi="宋体" w:eastAsia="宋体" w:cs="宋体"/>
          <w:sz w:val="21"/>
          <w:szCs w:val="21"/>
        </w:rPr>
        <w:sym w:font="Wingdings" w:char="00A8"/>
      </w:r>
      <w:r>
        <w:rPr>
          <w:rFonts w:hint="eastAsia" w:ascii="宋体" w:hAnsi="宋体" w:eastAsia="宋体"/>
          <w:sz w:val="21"/>
          <w:szCs w:val="24"/>
        </w:rPr>
        <w:t xml:space="preserve">一次性验收         </w:t>
      </w:r>
    </w:p>
    <w:p>
      <w:pPr>
        <w:adjustRightInd w:val="0"/>
        <w:snapToGrid w:val="0"/>
        <w:spacing w:afterLines="0" w:line="400" w:lineRule="exact"/>
        <w:rPr>
          <w:rFonts w:hint="eastAsia" w:ascii="宋体" w:hAnsi="宋体" w:eastAsia="宋体"/>
          <w:sz w:val="21"/>
          <w:szCs w:val="24"/>
        </w:rPr>
      </w:pPr>
      <w:r>
        <w:rPr>
          <w:rFonts w:hint="eastAsia" w:ascii="宋体" w:hAnsi="宋体" w:eastAsia="宋体"/>
          <w:sz w:val="21"/>
          <w:szCs w:val="24"/>
        </w:rPr>
        <w:t xml:space="preserve">                       </w:t>
      </w:r>
      <w:r>
        <w:rPr>
          <w:rFonts w:hint="eastAsia" w:ascii="宋体" w:hAnsi="宋体" w:eastAsia="宋体" w:cs="宋体"/>
          <w:sz w:val="21"/>
          <w:szCs w:val="21"/>
        </w:rPr>
        <w:sym w:font="Wingdings" w:char="00A8"/>
      </w:r>
      <w:r>
        <w:rPr>
          <w:rFonts w:hint="eastAsia" w:ascii="宋体" w:hAnsi="宋体" w:eastAsia="宋体"/>
          <w:sz w:val="21"/>
          <w:szCs w:val="24"/>
        </w:rPr>
        <w:t>分期/分项验收：</w:t>
      </w:r>
      <w:r>
        <w:rPr>
          <w:rFonts w:hint="eastAsia" w:ascii="宋体" w:hAnsi="宋体" w:eastAsia="宋体"/>
          <w:sz w:val="21"/>
          <w:szCs w:val="24"/>
          <w:u w:val="single"/>
        </w:rPr>
        <w:t xml:space="preserve"> （应明确分期</w:t>
      </w:r>
      <w:r>
        <w:rPr>
          <w:rFonts w:hint="eastAsia" w:ascii="宋体" w:hAnsi="宋体" w:eastAsia="宋体"/>
          <w:sz w:val="21"/>
          <w:szCs w:val="24"/>
          <w:u w:val="single"/>
          <w:lang w:val="en"/>
        </w:rPr>
        <w:t>/分项验收的工作安排</w:t>
      </w:r>
      <w:r>
        <w:rPr>
          <w:rFonts w:hint="eastAsia" w:ascii="宋体" w:hAnsi="宋体" w:eastAsia="宋体"/>
          <w:sz w:val="21"/>
          <w:szCs w:val="24"/>
          <w:u w:val="single"/>
        </w:rPr>
        <w:t xml:space="preserve">）  </w:t>
      </w:r>
    </w:p>
    <w:p>
      <w:pPr>
        <w:adjustRightInd w:val="0"/>
        <w:snapToGrid w:val="0"/>
        <w:spacing w:afterLines="0" w:line="400" w:lineRule="exact"/>
        <w:ind w:firstLine="420" w:firstLineChars="200"/>
        <w:rPr>
          <w:rFonts w:hint="eastAsia" w:ascii="宋体" w:hAnsi="宋体" w:eastAsia="宋体"/>
          <w:sz w:val="21"/>
          <w:szCs w:val="24"/>
        </w:rPr>
      </w:pPr>
      <w:r>
        <w:rPr>
          <w:rFonts w:hint="eastAsia" w:ascii="宋体" w:hAnsi="宋体" w:eastAsia="宋体"/>
          <w:sz w:val="21"/>
          <w:szCs w:val="24"/>
        </w:rPr>
        <w:t>（4）履约验收程序：</w:t>
      </w:r>
      <w:r>
        <w:rPr>
          <w:rFonts w:hint="eastAsia" w:ascii="宋体" w:hAnsi="宋体" w:eastAsia="宋体"/>
          <w:sz w:val="21"/>
          <w:szCs w:val="24"/>
          <w:u w:val="single"/>
        </w:rPr>
        <w:t xml:space="preserve">                                         </w:t>
      </w:r>
    </w:p>
    <w:p>
      <w:pPr>
        <w:adjustRightInd w:val="0"/>
        <w:snapToGrid w:val="0"/>
        <w:spacing w:afterLines="0" w:line="400" w:lineRule="exact"/>
        <w:ind w:firstLine="420" w:firstLineChars="200"/>
        <w:rPr>
          <w:rFonts w:hint="eastAsia" w:ascii="宋体" w:hAnsi="宋体" w:eastAsia="宋体"/>
          <w:sz w:val="21"/>
          <w:szCs w:val="24"/>
          <w:u w:val="single"/>
        </w:rPr>
      </w:pPr>
      <w:r>
        <w:rPr>
          <w:rFonts w:hint="eastAsia" w:ascii="宋体" w:hAnsi="宋体" w:eastAsia="宋体"/>
          <w:sz w:val="21"/>
          <w:szCs w:val="24"/>
        </w:rPr>
        <w:t>（5）履约验收的内容：</w:t>
      </w:r>
      <w:r>
        <w:rPr>
          <w:rFonts w:hint="eastAsia" w:ascii="宋体" w:hAnsi="宋体" w:eastAsia="宋体"/>
          <w:sz w:val="21"/>
          <w:szCs w:val="24"/>
          <w:u w:val="single"/>
        </w:rPr>
        <w:t xml:space="preserve"> （应当包括每一项技术和商务要求的履约情况，特别是落实政府采购扶持中小企业，支持绿色发展和乡村振兴等政策情况）                                      </w:t>
      </w:r>
    </w:p>
    <w:p>
      <w:pPr>
        <w:adjustRightInd w:val="0"/>
        <w:snapToGrid w:val="0"/>
        <w:spacing w:afterLines="0" w:line="400" w:lineRule="exact"/>
        <w:ind w:firstLine="420" w:firstLineChars="200"/>
        <w:rPr>
          <w:rFonts w:hint="eastAsia" w:ascii="宋体" w:hAnsi="宋体" w:eastAsia="宋体"/>
          <w:sz w:val="21"/>
          <w:szCs w:val="24"/>
          <w:u w:val="single"/>
        </w:rPr>
      </w:pPr>
      <w:r>
        <w:rPr>
          <w:rFonts w:hint="eastAsia" w:ascii="宋体" w:hAnsi="宋体" w:eastAsia="宋体"/>
          <w:sz w:val="21"/>
          <w:szCs w:val="24"/>
        </w:rPr>
        <w:t>（6）履约验收标准：</w:t>
      </w:r>
      <w:r>
        <w:rPr>
          <w:rFonts w:hint="eastAsia" w:ascii="宋体" w:hAnsi="宋体" w:eastAsia="宋体"/>
          <w:sz w:val="21"/>
          <w:szCs w:val="24"/>
          <w:u w:val="single"/>
        </w:rPr>
        <w:t xml:space="preserve">                                         </w:t>
      </w:r>
    </w:p>
    <w:p>
      <w:pPr>
        <w:pStyle w:val="2"/>
        <w:spacing w:afterLines="0"/>
        <w:rPr>
          <w:rFonts w:hint="eastAsia" w:ascii="宋体" w:hAnsi="宋体" w:eastAsia="宋体" w:cs="宋体"/>
          <w:sz w:val="21"/>
          <w:szCs w:val="21"/>
        </w:rPr>
      </w:pPr>
      <w:r>
        <w:rPr>
          <w:rFonts w:hint="eastAsia" w:ascii="宋体" w:hAnsi="宋体" w:eastAsia="宋体" w:cs="宋体"/>
          <w:sz w:val="21"/>
          <w:szCs w:val="21"/>
        </w:rPr>
        <w:t>（7）是否以采购活动中供应商提供的样品作为参考：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sz w:val="21"/>
          <w:szCs w:val="21"/>
        </w:rPr>
        <w:t>否</w:t>
      </w:r>
    </w:p>
    <w:p>
      <w:pPr>
        <w:adjustRightInd w:val="0"/>
        <w:snapToGrid w:val="0"/>
        <w:spacing w:afterLines="0" w:line="40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（8）履约验收其他事项：</w:t>
      </w:r>
      <w:r>
        <w:rPr>
          <w:rFonts w:hint="eastAsia" w:ascii="宋体" w:hAnsi="宋体" w:eastAsia="宋体" w:cs="宋体"/>
          <w:sz w:val="21"/>
          <w:szCs w:val="21"/>
          <w:u w:val="single"/>
        </w:rPr>
        <w:t xml:space="preserve">      （产权过户登记等）          </w:t>
      </w:r>
    </w:p>
    <w:p>
      <w:pPr>
        <w:numPr>
          <w:ilvl w:val="0"/>
          <w:numId w:val="2"/>
        </w:numPr>
        <w:adjustRightInd w:val="0"/>
        <w:snapToGrid w:val="0"/>
        <w:spacing w:afterLines="0" w:line="400" w:lineRule="exact"/>
        <w:ind w:firstLine="422" w:firstLineChars="200"/>
        <w:rPr>
          <w:rFonts w:hint="eastAsia" w:ascii="宋体" w:hAnsi="宋体" w:eastAsia="宋体"/>
          <w:b/>
          <w:sz w:val="21"/>
          <w:szCs w:val="24"/>
        </w:rPr>
      </w:pPr>
      <w:r>
        <w:rPr>
          <w:rFonts w:hint="eastAsia" w:ascii="宋体" w:hAnsi="宋体" w:eastAsia="宋体"/>
          <w:b/>
          <w:sz w:val="21"/>
          <w:szCs w:val="24"/>
        </w:rPr>
        <w:t>组成合同的文件</w:t>
      </w:r>
    </w:p>
    <w:p>
      <w:pPr>
        <w:adjustRightInd w:val="0"/>
        <w:snapToGrid w:val="0"/>
        <w:spacing w:afterLines="0" w:line="400" w:lineRule="exact"/>
        <w:ind w:firstLine="420" w:firstLineChars="200"/>
        <w:rPr>
          <w:rFonts w:hint="eastAsia" w:ascii="宋体" w:hAnsi="宋体" w:eastAsia="宋体"/>
          <w:sz w:val="21"/>
          <w:szCs w:val="24"/>
        </w:rPr>
      </w:pPr>
      <w:r>
        <w:rPr>
          <w:rFonts w:hint="eastAsia" w:ascii="宋体" w:hAnsi="宋体" w:eastAsia="宋体"/>
          <w:sz w:val="21"/>
          <w:szCs w:val="24"/>
        </w:rPr>
        <w:t>本协议书与下列文件一起构成合同文件，如下述文件之间有任何抵触、矛盾或歧义，应按以下顺序解释：</w:t>
      </w:r>
    </w:p>
    <w:p>
      <w:pPr>
        <w:adjustRightInd w:val="0"/>
        <w:snapToGrid w:val="0"/>
        <w:spacing w:afterLines="0" w:line="400" w:lineRule="exact"/>
        <w:ind w:firstLine="420" w:firstLineChars="200"/>
        <w:rPr>
          <w:rFonts w:hint="eastAsia" w:ascii="宋体" w:hAnsi="宋体" w:eastAsia="宋体"/>
          <w:color w:val="auto"/>
          <w:sz w:val="21"/>
          <w:szCs w:val="24"/>
        </w:rPr>
      </w:pPr>
      <w:r>
        <w:rPr>
          <w:rFonts w:hint="eastAsia" w:ascii="宋体" w:hAnsi="宋体" w:eastAsia="宋体"/>
          <w:color w:val="auto"/>
          <w:sz w:val="21"/>
          <w:szCs w:val="24"/>
        </w:rPr>
        <w:t>（1）政府采购合同协议书及其变更、补充协议</w:t>
      </w:r>
    </w:p>
    <w:p>
      <w:pPr>
        <w:adjustRightInd w:val="0"/>
        <w:snapToGrid w:val="0"/>
        <w:spacing w:afterLines="0" w:line="400" w:lineRule="exact"/>
        <w:ind w:firstLine="420" w:firstLineChars="200"/>
        <w:rPr>
          <w:rFonts w:hint="eastAsia" w:ascii="宋体" w:hAnsi="宋体" w:eastAsia="宋体"/>
          <w:sz w:val="21"/>
          <w:szCs w:val="24"/>
        </w:rPr>
      </w:pPr>
      <w:r>
        <w:rPr>
          <w:rFonts w:hint="eastAsia" w:ascii="宋体" w:hAnsi="宋体" w:eastAsia="宋体"/>
          <w:sz w:val="21"/>
          <w:szCs w:val="24"/>
        </w:rPr>
        <w:t>（2）政府采购合同专用条款</w:t>
      </w:r>
    </w:p>
    <w:p>
      <w:pPr>
        <w:adjustRightInd w:val="0"/>
        <w:snapToGrid w:val="0"/>
        <w:spacing w:afterLines="0" w:line="400" w:lineRule="exact"/>
        <w:ind w:firstLine="420" w:firstLineChars="200"/>
        <w:rPr>
          <w:rFonts w:hint="eastAsia" w:ascii="宋体" w:hAnsi="宋体" w:eastAsia="宋体"/>
          <w:sz w:val="21"/>
          <w:szCs w:val="24"/>
        </w:rPr>
      </w:pPr>
      <w:r>
        <w:rPr>
          <w:rFonts w:hint="eastAsia" w:ascii="宋体" w:hAnsi="宋体" w:eastAsia="宋体"/>
          <w:sz w:val="21"/>
          <w:szCs w:val="24"/>
        </w:rPr>
        <w:t>（3）政府采购合同通用条款</w:t>
      </w:r>
    </w:p>
    <w:p>
      <w:pPr>
        <w:adjustRightInd w:val="0"/>
        <w:snapToGrid w:val="0"/>
        <w:spacing w:afterLines="0" w:line="400" w:lineRule="exact"/>
        <w:ind w:firstLine="420" w:firstLineChars="200"/>
        <w:rPr>
          <w:rFonts w:hint="eastAsia" w:ascii="宋体" w:hAnsi="宋体" w:eastAsia="宋体"/>
          <w:color w:val="auto"/>
          <w:sz w:val="21"/>
          <w:szCs w:val="24"/>
        </w:rPr>
      </w:pPr>
      <w:r>
        <w:rPr>
          <w:rFonts w:hint="eastAsia" w:ascii="宋体" w:hAnsi="宋体" w:eastAsia="宋体"/>
          <w:color w:val="auto"/>
          <w:sz w:val="21"/>
          <w:szCs w:val="24"/>
        </w:rPr>
        <w:t>（4）中标（成交）通知书</w:t>
      </w:r>
    </w:p>
    <w:p>
      <w:pPr>
        <w:adjustRightInd w:val="0"/>
        <w:snapToGrid w:val="0"/>
        <w:spacing w:afterLines="0" w:line="400" w:lineRule="exact"/>
        <w:ind w:firstLine="420" w:firstLineChars="200"/>
        <w:rPr>
          <w:rFonts w:hint="eastAsia" w:ascii="宋体" w:hAnsi="宋体" w:eastAsia="宋体"/>
          <w:sz w:val="21"/>
          <w:szCs w:val="24"/>
        </w:rPr>
      </w:pPr>
      <w:r>
        <w:rPr>
          <w:rFonts w:hint="eastAsia" w:ascii="宋体" w:hAnsi="宋体" w:eastAsia="宋体"/>
          <w:sz w:val="21"/>
          <w:szCs w:val="24"/>
        </w:rPr>
        <w:t>（5）投标（响应）文件</w:t>
      </w:r>
    </w:p>
    <w:p>
      <w:pPr>
        <w:adjustRightInd w:val="0"/>
        <w:snapToGrid w:val="0"/>
        <w:spacing w:afterLines="0" w:line="400" w:lineRule="exact"/>
        <w:ind w:firstLine="420" w:firstLineChars="200"/>
        <w:rPr>
          <w:rFonts w:hint="eastAsia" w:ascii="宋体" w:hAnsi="宋体" w:eastAsia="宋体"/>
          <w:sz w:val="21"/>
          <w:szCs w:val="24"/>
        </w:rPr>
      </w:pPr>
      <w:r>
        <w:rPr>
          <w:rFonts w:hint="eastAsia" w:ascii="宋体" w:hAnsi="宋体" w:eastAsia="宋体"/>
          <w:sz w:val="21"/>
          <w:szCs w:val="24"/>
        </w:rPr>
        <w:t>（6）采购文件</w:t>
      </w:r>
    </w:p>
    <w:p>
      <w:pPr>
        <w:adjustRightInd w:val="0"/>
        <w:snapToGrid w:val="0"/>
        <w:spacing w:afterLines="0" w:line="400" w:lineRule="exact"/>
        <w:ind w:firstLine="420" w:firstLineChars="200"/>
        <w:rPr>
          <w:rFonts w:hint="eastAsia" w:ascii="宋体" w:hAnsi="宋体" w:eastAsia="宋体"/>
          <w:sz w:val="21"/>
          <w:szCs w:val="24"/>
        </w:rPr>
      </w:pPr>
      <w:r>
        <w:rPr>
          <w:rFonts w:hint="eastAsia" w:ascii="宋体" w:hAnsi="宋体" w:eastAsia="宋体"/>
          <w:sz w:val="21"/>
          <w:szCs w:val="24"/>
        </w:rPr>
        <w:t>（7）有关技术文件，图纸</w:t>
      </w:r>
    </w:p>
    <w:p>
      <w:pPr>
        <w:pStyle w:val="2"/>
        <w:spacing w:afterLines="0"/>
        <w:rPr>
          <w:rFonts w:hint="eastAsia" w:ascii="宋体" w:hAnsi="宋体" w:eastAsia="宋体" w:cs="宋体"/>
          <w:kern w:val="2"/>
          <w:sz w:val="21"/>
          <w:szCs w:val="21"/>
        </w:rPr>
      </w:pPr>
      <w:r>
        <w:rPr>
          <w:rFonts w:hint="eastAsia" w:ascii="宋体" w:hAnsi="宋体" w:eastAsia="宋体" w:cs="宋体"/>
          <w:sz w:val="21"/>
          <w:szCs w:val="21"/>
        </w:rPr>
        <w:t>（8）</w:t>
      </w:r>
      <w:r>
        <w:rPr>
          <w:rFonts w:hint="eastAsia" w:ascii="宋体" w:hAnsi="宋体" w:eastAsia="宋体" w:cs="宋体"/>
          <w:color w:val="000000"/>
          <w:kern w:val="2"/>
          <w:sz w:val="21"/>
          <w:szCs w:val="21"/>
        </w:rPr>
        <w:t>国家法律、行政法规和规章制度规定或合同约定的作为合同组成部分的其他文件</w:t>
      </w:r>
    </w:p>
    <w:p>
      <w:pPr>
        <w:numPr>
          <w:ilvl w:val="0"/>
          <w:numId w:val="2"/>
        </w:numPr>
        <w:adjustRightInd w:val="0"/>
        <w:snapToGrid w:val="0"/>
        <w:spacing w:afterLines="0" w:line="400" w:lineRule="exact"/>
        <w:ind w:firstLine="422" w:firstLineChars="200"/>
        <w:rPr>
          <w:rFonts w:hint="eastAsia" w:ascii="宋体" w:hAnsi="宋体" w:eastAsia="宋体"/>
          <w:b/>
          <w:sz w:val="21"/>
          <w:szCs w:val="24"/>
        </w:rPr>
      </w:pPr>
      <w:r>
        <w:rPr>
          <w:rFonts w:hint="eastAsia" w:ascii="宋体" w:hAnsi="宋体" w:eastAsia="宋体"/>
          <w:b/>
          <w:sz w:val="21"/>
          <w:szCs w:val="24"/>
        </w:rPr>
        <w:t>合同生效</w:t>
      </w:r>
    </w:p>
    <w:p>
      <w:pPr>
        <w:adjustRightInd w:val="0"/>
        <w:snapToGrid w:val="0"/>
        <w:spacing w:afterLines="0" w:line="400" w:lineRule="exact"/>
        <w:ind w:firstLine="420" w:firstLineChars="200"/>
        <w:rPr>
          <w:rFonts w:hint="eastAsia" w:ascii="宋体" w:hAnsi="宋体" w:eastAsia="宋体"/>
          <w:sz w:val="21"/>
          <w:szCs w:val="24"/>
        </w:rPr>
      </w:pPr>
      <w:r>
        <w:rPr>
          <w:rFonts w:hint="eastAsia" w:ascii="宋体" w:hAnsi="宋体" w:eastAsia="宋体"/>
          <w:sz w:val="21"/>
          <w:szCs w:val="24"/>
        </w:rPr>
        <w:t>本合同自</w:t>
      </w:r>
      <w:r>
        <w:rPr>
          <w:rFonts w:hint="eastAsia" w:ascii="宋体" w:hAnsi="宋体" w:eastAsia="宋体"/>
          <w:sz w:val="21"/>
          <w:szCs w:val="24"/>
          <w:u w:val="single"/>
        </w:rPr>
        <w:t xml:space="preserve">                             </w:t>
      </w:r>
      <w:r>
        <w:rPr>
          <w:rFonts w:hint="eastAsia" w:ascii="宋体" w:hAnsi="宋体" w:eastAsia="宋体"/>
          <w:sz w:val="21"/>
          <w:szCs w:val="24"/>
        </w:rPr>
        <w:t>生效。</w:t>
      </w:r>
    </w:p>
    <w:p>
      <w:pPr>
        <w:numPr>
          <w:ilvl w:val="0"/>
          <w:numId w:val="2"/>
        </w:numPr>
        <w:adjustRightInd w:val="0"/>
        <w:snapToGrid w:val="0"/>
        <w:spacing w:afterLines="0" w:line="400" w:lineRule="exact"/>
        <w:ind w:firstLine="422" w:firstLineChars="200"/>
        <w:rPr>
          <w:rFonts w:hint="eastAsia" w:ascii="宋体" w:hAnsi="宋体" w:eastAsia="宋体"/>
          <w:b/>
          <w:sz w:val="21"/>
          <w:szCs w:val="24"/>
        </w:rPr>
      </w:pPr>
      <w:r>
        <w:rPr>
          <w:rFonts w:hint="eastAsia" w:ascii="宋体" w:hAnsi="宋体" w:eastAsia="宋体"/>
          <w:b/>
          <w:sz w:val="21"/>
          <w:szCs w:val="24"/>
        </w:rPr>
        <w:t>合同份数</w:t>
      </w:r>
    </w:p>
    <w:p>
      <w:pPr>
        <w:adjustRightInd w:val="0"/>
        <w:snapToGrid w:val="0"/>
        <w:spacing w:afterLines="0" w:line="400" w:lineRule="exact"/>
        <w:ind w:firstLine="420" w:firstLineChars="200"/>
        <w:rPr>
          <w:rFonts w:hint="eastAsia" w:ascii="宋体" w:hAnsi="宋体" w:eastAsia="宋体"/>
          <w:sz w:val="21"/>
          <w:szCs w:val="24"/>
        </w:rPr>
      </w:pPr>
      <w:r>
        <w:rPr>
          <w:rFonts w:hint="eastAsia" w:ascii="宋体" w:hAnsi="宋体" w:eastAsia="宋体"/>
          <w:sz w:val="21"/>
          <w:szCs w:val="24"/>
        </w:rPr>
        <w:t>本合同一式</w:t>
      </w:r>
      <w:r>
        <w:rPr>
          <w:rFonts w:hint="eastAsia" w:ascii="宋体" w:hAnsi="宋体" w:eastAsia="宋体"/>
          <w:sz w:val="21"/>
          <w:szCs w:val="24"/>
          <w:u w:val="single"/>
        </w:rPr>
        <w:t xml:space="preserve">    </w:t>
      </w:r>
      <w:r>
        <w:rPr>
          <w:rFonts w:hint="eastAsia" w:ascii="宋体" w:hAnsi="宋体" w:eastAsia="宋体"/>
          <w:sz w:val="21"/>
          <w:szCs w:val="24"/>
        </w:rPr>
        <w:t>份，甲方执</w:t>
      </w:r>
      <w:r>
        <w:rPr>
          <w:rFonts w:hint="eastAsia" w:ascii="宋体" w:hAnsi="宋体" w:eastAsia="宋体"/>
          <w:sz w:val="21"/>
          <w:szCs w:val="24"/>
          <w:u w:val="single"/>
        </w:rPr>
        <w:t xml:space="preserve">    </w:t>
      </w:r>
      <w:r>
        <w:rPr>
          <w:rFonts w:hint="eastAsia" w:ascii="宋体" w:hAnsi="宋体" w:eastAsia="宋体"/>
          <w:sz w:val="21"/>
          <w:szCs w:val="24"/>
        </w:rPr>
        <w:t>份，乙方执</w:t>
      </w:r>
      <w:r>
        <w:rPr>
          <w:rFonts w:hint="eastAsia" w:ascii="宋体" w:hAnsi="宋体" w:eastAsia="宋体"/>
          <w:sz w:val="21"/>
          <w:szCs w:val="24"/>
          <w:u w:val="single"/>
        </w:rPr>
        <w:t xml:space="preserve">    </w:t>
      </w:r>
      <w:r>
        <w:rPr>
          <w:rFonts w:hint="eastAsia" w:ascii="宋体" w:hAnsi="宋体" w:eastAsia="宋体"/>
          <w:sz w:val="21"/>
          <w:szCs w:val="24"/>
        </w:rPr>
        <w:t>份，均具有同等法律效力。</w:t>
      </w:r>
    </w:p>
    <w:p>
      <w:pPr>
        <w:adjustRightInd w:val="0"/>
        <w:snapToGrid w:val="0"/>
        <w:spacing w:afterLines="0" w:line="400" w:lineRule="exact"/>
        <w:ind w:firstLine="420" w:firstLineChars="200"/>
        <w:rPr>
          <w:rFonts w:hint="eastAsia" w:ascii="宋体" w:hAnsi="宋体" w:eastAsia="宋体"/>
          <w:sz w:val="21"/>
          <w:szCs w:val="24"/>
        </w:rPr>
      </w:pPr>
      <w:r>
        <w:rPr>
          <w:rFonts w:hint="eastAsia" w:ascii="宋体" w:hAnsi="宋体" w:eastAsia="宋体"/>
          <w:sz w:val="21"/>
          <w:szCs w:val="24"/>
        </w:rPr>
        <w:t>合同订立时间：</w:t>
      </w:r>
      <w:r>
        <w:rPr>
          <w:rFonts w:hint="eastAsia" w:ascii="宋体" w:hAnsi="宋体" w:eastAsia="宋体"/>
          <w:sz w:val="21"/>
          <w:szCs w:val="24"/>
          <w:u w:val="single"/>
        </w:rPr>
        <w:t xml:space="preserve">         </w:t>
      </w:r>
      <w:r>
        <w:rPr>
          <w:rFonts w:hint="eastAsia" w:ascii="宋体" w:hAnsi="宋体" w:eastAsia="宋体"/>
          <w:sz w:val="21"/>
          <w:szCs w:val="24"/>
        </w:rPr>
        <w:t>年</w:t>
      </w:r>
      <w:r>
        <w:rPr>
          <w:rFonts w:hint="eastAsia" w:ascii="宋体" w:hAnsi="宋体" w:eastAsia="宋体"/>
          <w:sz w:val="21"/>
          <w:szCs w:val="24"/>
          <w:u w:val="single"/>
        </w:rPr>
        <w:t xml:space="preserve">      </w:t>
      </w:r>
      <w:r>
        <w:rPr>
          <w:rFonts w:hint="eastAsia" w:ascii="宋体" w:hAnsi="宋体" w:eastAsia="宋体"/>
          <w:sz w:val="21"/>
          <w:szCs w:val="24"/>
        </w:rPr>
        <w:t>月</w:t>
      </w:r>
      <w:r>
        <w:rPr>
          <w:rFonts w:hint="eastAsia" w:ascii="宋体" w:hAnsi="宋体" w:eastAsia="宋体"/>
          <w:sz w:val="21"/>
          <w:szCs w:val="24"/>
          <w:u w:val="single"/>
        </w:rPr>
        <w:t xml:space="preserve">      </w:t>
      </w:r>
      <w:r>
        <w:rPr>
          <w:rFonts w:hint="eastAsia" w:ascii="宋体" w:hAnsi="宋体" w:eastAsia="宋体"/>
          <w:sz w:val="21"/>
          <w:szCs w:val="24"/>
        </w:rPr>
        <w:t>日</w:t>
      </w:r>
    </w:p>
    <w:p>
      <w:pPr>
        <w:adjustRightInd w:val="0"/>
        <w:snapToGrid w:val="0"/>
        <w:spacing w:afterLines="0" w:line="400" w:lineRule="exact"/>
        <w:ind w:firstLine="420" w:firstLineChars="200"/>
        <w:rPr>
          <w:rFonts w:hint="eastAsia" w:ascii="宋体" w:hAnsi="宋体" w:eastAsia="宋体"/>
          <w:sz w:val="21"/>
          <w:szCs w:val="24"/>
        </w:rPr>
      </w:pPr>
      <w:r>
        <w:rPr>
          <w:rFonts w:hint="eastAsia" w:ascii="宋体" w:hAnsi="宋体" w:eastAsia="宋体"/>
          <w:sz w:val="21"/>
          <w:szCs w:val="24"/>
        </w:rPr>
        <w:t>合同订立地点：</w:t>
      </w:r>
      <w:r>
        <w:rPr>
          <w:rFonts w:hint="eastAsia" w:ascii="宋体" w:hAnsi="宋体" w:eastAsia="宋体"/>
          <w:sz w:val="21"/>
          <w:szCs w:val="24"/>
          <w:u w:val="single"/>
        </w:rPr>
        <w:t xml:space="preserve">                           </w:t>
      </w:r>
    </w:p>
    <w:p>
      <w:pPr>
        <w:adjustRightInd w:val="0"/>
        <w:snapToGrid w:val="0"/>
        <w:spacing w:afterLines="0" w:line="400" w:lineRule="exact"/>
        <w:ind w:firstLine="420" w:firstLineChars="200"/>
        <w:rPr>
          <w:rFonts w:hint="default"/>
          <w:sz w:val="21"/>
          <w:szCs w:val="24"/>
        </w:rPr>
      </w:pPr>
      <w:r>
        <w:rPr>
          <w:rFonts w:hint="eastAsia" w:ascii="宋体" w:hAnsi="宋体" w:eastAsia="宋体"/>
          <w:sz w:val="21"/>
          <w:szCs w:val="24"/>
        </w:rPr>
        <w:t>附件：具体标的及其技术要求和商务要求、联合协议、分包意向协议等。</w:t>
      </w:r>
    </w:p>
    <w:p>
      <w:pPr>
        <w:pStyle w:val="90"/>
        <w:spacing w:afterLines="0" w:line="400" w:lineRule="exact"/>
        <w:rPr>
          <w:rFonts w:hint="default"/>
          <w:sz w:val="21"/>
          <w:szCs w:val="24"/>
        </w:rPr>
      </w:pPr>
    </w:p>
    <w:p>
      <w:pPr>
        <w:spacing w:afterLines="0" w:line="400" w:lineRule="exact"/>
        <w:rPr>
          <w:rFonts w:hint="eastAsia" w:ascii="宋体" w:hAnsi="宋体" w:eastAsia="宋体" w:cs="Times New Roman"/>
          <w:sz w:val="21"/>
          <w:szCs w:val="21"/>
        </w:rPr>
      </w:pPr>
      <w:r>
        <w:rPr>
          <w:rFonts w:hint="default"/>
          <w:sz w:val="21"/>
          <w:szCs w:val="24"/>
          <w:lang w:val="en"/>
        </w:rPr>
        <w:t xml:space="preserve">   </w:t>
      </w:r>
    </w:p>
    <w:p>
      <w:pPr>
        <w:spacing w:beforeLines="0" w:afterLines="0"/>
        <w:rPr>
          <w:rFonts w:hint="default"/>
          <w:sz w:val="21"/>
          <w:szCs w:val="24"/>
        </w:rPr>
      </w:pPr>
      <w:r>
        <w:rPr>
          <w:rFonts w:hint="default"/>
          <w:sz w:val="21"/>
          <w:szCs w:val="24"/>
        </w:rPr>
        <w:br w:type="page"/>
      </w:r>
    </w:p>
    <w:p>
      <w:pPr>
        <w:pStyle w:val="90"/>
        <w:spacing w:beforeLines="0" w:afterLines="0"/>
        <w:rPr>
          <w:rFonts w:hint="default"/>
          <w:sz w:val="21"/>
          <w:szCs w:val="24"/>
        </w:rPr>
      </w:pPr>
    </w:p>
    <w:tbl>
      <w:tblPr>
        <w:tblStyle w:val="5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24"/>
        <w:gridCol w:w="2708"/>
        <w:gridCol w:w="2222"/>
        <w:gridCol w:w="237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top w:val="single" w:color="auto" w:sz="4" w:space="0"/>
              <w:left w:val="single" w:color="auto" w:sz="4" w:space="0"/>
              <w:bottom w:val="single" w:color="auto" w:sz="2" w:space="0"/>
              <w:right w:val="single" w:color="auto" w:sz="2" w:space="0"/>
              <w:tl2br w:val="nil"/>
              <w:tr2bl w:val="nil"/>
            </w:tcBorders>
            <w:noWrap w:val="0"/>
            <w:vAlign w:val="center"/>
          </w:tcPr>
          <w:p>
            <w:pPr>
              <w:adjustRightInd w:val="0"/>
              <w:snapToGrid w:val="0"/>
              <w:spacing w:beforeLines="0" w:afterLines="0" w:line="300" w:lineRule="exact"/>
              <w:jc w:val="center"/>
              <w:rPr>
                <w:rFonts w:hint="default"/>
                <w:sz w:val="21"/>
                <w:szCs w:val="24"/>
              </w:rPr>
            </w:pPr>
            <w:r>
              <w:rPr>
                <w:rFonts w:hint="eastAsia" w:eastAsia="宋体"/>
                <w:sz w:val="21"/>
                <w:szCs w:val="24"/>
              </w:rPr>
              <w:t>甲方（采购人</w:t>
            </w:r>
            <w:r>
              <w:rPr>
                <w:rFonts w:hint="eastAsia" w:ascii="宋体" w:hAnsi="宋体" w:eastAsia="宋体"/>
                <w:sz w:val="21"/>
                <w:szCs w:val="24"/>
              </w:rPr>
              <w:t>、受采购人委托签订合同的单位或</w:t>
            </w:r>
            <w:r>
              <w:rPr>
                <w:rFonts w:hint="eastAsia" w:eastAsia="宋体"/>
                <w:sz w:val="21"/>
                <w:szCs w:val="24"/>
              </w:rPr>
              <w:t>采购文件约定的合同甲方）</w:t>
            </w:r>
          </w:p>
        </w:tc>
        <w:tc>
          <w:tcPr>
            <w:tcW w:w="2437" w:type="pct"/>
            <w:gridSpan w:val="2"/>
            <w:tcBorders>
              <w:top w:val="single" w:color="auto" w:sz="4" w:space="0"/>
              <w:left w:val="single" w:color="auto" w:sz="2" w:space="0"/>
              <w:bottom w:val="single" w:color="auto" w:sz="2" w:space="0"/>
              <w:right w:val="single" w:color="auto" w:sz="4" w:space="0"/>
              <w:tl2br w:val="nil"/>
              <w:tr2bl w:val="nil"/>
            </w:tcBorders>
            <w:noWrap w:val="0"/>
            <w:vAlign w:val="center"/>
          </w:tcPr>
          <w:p>
            <w:pPr>
              <w:adjustRightInd w:val="0"/>
              <w:snapToGrid w:val="0"/>
              <w:spacing w:beforeLines="0" w:afterLines="0" w:line="300" w:lineRule="exact"/>
              <w:jc w:val="center"/>
              <w:rPr>
                <w:rFonts w:hint="default"/>
                <w:sz w:val="21"/>
                <w:szCs w:val="24"/>
              </w:rPr>
            </w:pPr>
            <w:r>
              <w:rPr>
                <w:rFonts w:hint="eastAsia" w:eastAsia="宋体"/>
                <w:sz w:val="21"/>
                <w:szCs w:val="24"/>
              </w:rPr>
              <w:t>乙方（供应商）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left w:val="single" w:color="auto" w:sz="4" w:space="0"/>
              <w:bottom w:val="single" w:color="auto" w:sz="2" w:space="0"/>
              <w:right w:val="single" w:color="auto" w:sz="2" w:space="0"/>
              <w:tl2br w:val="nil"/>
              <w:tr2bl w:val="nil"/>
            </w:tcBorders>
            <w:noWrap w:val="0"/>
            <w:vAlign w:val="center"/>
          </w:tcPr>
          <w:p>
            <w:pPr>
              <w:adjustRightInd w:val="0"/>
              <w:snapToGrid w:val="0"/>
              <w:spacing w:beforeLines="0" w:afterLines="0" w:line="300" w:lineRule="exact"/>
              <w:jc w:val="center"/>
              <w:rPr>
                <w:rFonts w:hint="default"/>
                <w:sz w:val="21"/>
                <w:szCs w:val="24"/>
              </w:rPr>
            </w:pPr>
            <w:r>
              <w:rPr>
                <w:rFonts w:hint="eastAsia" w:eastAsia="宋体"/>
                <w:sz w:val="21"/>
                <w:szCs w:val="24"/>
              </w:rPr>
              <w:t>单位名称（公章或合同章）</w:t>
            </w:r>
          </w:p>
        </w:tc>
        <w:tc>
          <w:tcPr>
            <w:tcW w:w="1436" w:type="pct"/>
            <w:tcBorders>
              <w:top w:val="single" w:color="auto" w:sz="2" w:space="0"/>
              <w:left w:val="single" w:color="auto" w:sz="2" w:space="0"/>
              <w:bottom w:val="single" w:color="auto" w:sz="2" w:space="0"/>
              <w:right w:val="single" w:color="auto" w:sz="2" w:space="0"/>
              <w:tl2br w:val="nil"/>
              <w:tr2bl w:val="nil"/>
            </w:tcBorders>
            <w:noWrap w:val="0"/>
            <w:vAlign w:val="center"/>
          </w:tcPr>
          <w:p>
            <w:pPr>
              <w:adjustRightInd w:val="0"/>
              <w:snapToGrid w:val="0"/>
              <w:spacing w:beforeLines="0" w:afterLines="0" w:line="300" w:lineRule="exact"/>
              <w:jc w:val="center"/>
              <w:rPr>
                <w:rFonts w:hint="default"/>
                <w:sz w:val="21"/>
                <w:szCs w:val="24"/>
              </w:rPr>
            </w:pPr>
          </w:p>
        </w:tc>
        <w:tc>
          <w:tcPr>
            <w:tcW w:w="1178" w:type="pct"/>
            <w:tcBorders>
              <w:top w:val="single" w:color="auto" w:sz="2" w:space="0"/>
              <w:left w:val="single" w:color="auto" w:sz="2" w:space="0"/>
              <w:bottom w:val="single" w:color="auto" w:sz="2" w:space="0"/>
              <w:right w:val="single" w:color="auto" w:sz="2" w:space="0"/>
              <w:tl2br w:val="nil"/>
              <w:tr2bl w:val="nil"/>
            </w:tcBorders>
            <w:noWrap w:val="0"/>
            <w:vAlign w:val="center"/>
          </w:tcPr>
          <w:p>
            <w:pPr>
              <w:adjustRightInd w:val="0"/>
              <w:snapToGrid w:val="0"/>
              <w:spacing w:beforeLines="0" w:afterLines="0" w:line="300" w:lineRule="exact"/>
              <w:jc w:val="center"/>
              <w:rPr>
                <w:rFonts w:hint="default"/>
                <w:sz w:val="21"/>
                <w:szCs w:val="24"/>
              </w:rPr>
            </w:pPr>
            <w:r>
              <w:rPr>
                <w:rFonts w:hint="eastAsia" w:eastAsia="宋体"/>
                <w:sz w:val="21"/>
                <w:szCs w:val="24"/>
              </w:rPr>
              <w:t>单位名称（公章或合同章）</w:t>
            </w:r>
          </w:p>
        </w:tc>
        <w:tc>
          <w:tcPr>
            <w:tcW w:w="1259" w:type="pct"/>
            <w:tcBorders>
              <w:top w:val="single" w:color="auto" w:sz="2" w:space="0"/>
              <w:left w:val="single" w:color="auto" w:sz="2" w:space="0"/>
              <w:bottom w:val="single" w:color="auto" w:sz="2" w:space="0"/>
              <w:right w:val="single" w:color="auto" w:sz="4" w:space="0"/>
              <w:tl2br w:val="nil"/>
              <w:tr2bl w:val="nil"/>
            </w:tcBorders>
            <w:noWrap w:val="0"/>
            <w:vAlign w:val="center"/>
          </w:tcPr>
          <w:p>
            <w:pPr>
              <w:adjustRightInd w:val="0"/>
              <w:snapToGrid w:val="0"/>
              <w:spacing w:beforeLines="0" w:afterLines="0" w:line="300" w:lineRule="exact"/>
              <w:jc w:val="center"/>
              <w:rPr>
                <w:rFonts w:hint="default"/>
                <w:spacing w:val="20"/>
                <w:sz w:val="21"/>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left w:val="single" w:color="auto" w:sz="4" w:space="0"/>
              <w:bottom w:val="single" w:color="auto" w:sz="2" w:space="0"/>
              <w:right w:val="single" w:color="auto" w:sz="2" w:space="0"/>
              <w:tl2br w:val="nil"/>
              <w:tr2bl w:val="nil"/>
            </w:tcBorders>
            <w:noWrap w:val="0"/>
            <w:vAlign w:val="center"/>
          </w:tcPr>
          <w:p>
            <w:pPr>
              <w:adjustRightInd w:val="0"/>
              <w:snapToGrid w:val="0"/>
              <w:spacing w:beforeLines="0" w:afterLines="0" w:line="300" w:lineRule="exact"/>
              <w:jc w:val="center"/>
              <w:rPr>
                <w:rFonts w:hint="default"/>
                <w:sz w:val="21"/>
                <w:szCs w:val="24"/>
              </w:rPr>
            </w:pPr>
            <w:r>
              <w:rPr>
                <w:rFonts w:hint="eastAsia" w:eastAsia="宋体"/>
                <w:sz w:val="21"/>
                <w:szCs w:val="24"/>
              </w:rPr>
              <w:t>法定代表人</w:t>
            </w:r>
          </w:p>
          <w:p>
            <w:pPr>
              <w:adjustRightInd w:val="0"/>
              <w:snapToGrid w:val="0"/>
              <w:spacing w:beforeLines="0" w:afterLines="0" w:line="300" w:lineRule="exact"/>
              <w:ind w:firstLine="100" w:firstLineChars="48"/>
              <w:jc w:val="center"/>
              <w:rPr>
                <w:rFonts w:hint="default"/>
                <w:sz w:val="21"/>
                <w:szCs w:val="24"/>
              </w:rPr>
            </w:pPr>
            <w:r>
              <w:rPr>
                <w:rFonts w:hint="eastAsia" w:eastAsia="宋体"/>
                <w:sz w:val="21"/>
                <w:szCs w:val="24"/>
              </w:rPr>
              <w:t>或其委托代理人（签章）</w:t>
            </w:r>
          </w:p>
        </w:tc>
        <w:tc>
          <w:tcPr>
            <w:tcW w:w="1436" w:type="pct"/>
            <w:vMerge w:val="restart"/>
            <w:tcBorders>
              <w:top w:val="single" w:color="auto" w:sz="2" w:space="0"/>
              <w:left w:val="single" w:color="auto" w:sz="2" w:space="0"/>
              <w:bottom w:val="single" w:color="auto" w:sz="2" w:space="0"/>
              <w:right w:val="single" w:color="auto" w:sz="2" w:space="0"/>
              <w:tl2br w:val="nil"/>
              <w:tr2bl w:val="nil"/>
            </w:tcBorders>
            <w:noWrap w:val="0"/>
            <w:vAlign w:val="center"/>
          </w:tcPr>
          <w:p>
            <w:pPr>
              <w:adjustRightInd w:val="0"/>
              <w:snapToGrid w:val="0"/>
              <w:spacing w:beforeLines="0" w:afterLines="0" w:line="300" w:lineRule="exact"/>
              <w:jc w:val="center"/>
              <w:rPr>
                <w:rFonts w:hint="default"/>
                <w:sz w:val="21"/>
                <w:szCs w:val="24"/>
              </w:rPr>
            </w:pPr>
          </w:p>
        </w:tc>
        <w:tc>
          <w:tcPr>
            <w:tcW w:w="1178" w:type="pct"/>
            <w:tcBorders>
              <w:top w:val="single" w:color="auto" w:sz="2" w:space="0"/>
              <w:left w:val="single" w:color="auto" w:sz="2" w:space="0"/>
              <w:bottom w:val="single" w:color="auto" w:sz="2" w:space="0"/>
              <w:right w:val="single" w:color="auto" w:sz="2" w:space="0"/>
              <w:tl2br w:val="nil"/>
              <w:tr2bl w:val="nil"/>
            </w:tcBorders>
            <w:noWrap w:val="0"/>
            <w:vAlign w:val="center"/>
          </w:tcPr>
          <w:p>
            <w:pPr>
              <w:adjustRightInd w:val="0"/>
              <w:snapToGrid w:val="0"/>
              <w:spacing w:beforeLines="0" w:afterLines="0" w:line="300" w:lineRule="exact"/>
              <w:jc w:val="center"/>
              <w:rPr>
                <w:rFonts w:hint="default"/>
                <w:sz w:val="21"/>
                <w:szCs w:val="24"/>
              </w:rPr>
            </w:pPr>
            <w:r>
              <w:rPr>
                <w:rFonts w:hint="eastAsia" w:eastAsia="宋体"/>
                <w:sz w:val="21"/>
                <w:szCs w:val="24"/>
              </w:rPr>
              <w:t>法定代表人</w:t>
            </w:r>
          </w:p>
          <w:p>
            <w:pPr>
              <w:adjustRightInd w:val="0"/>
              <w:snapToGrid w:val="0"/>
              <w:spacing w:beforeLines="0" w:afterLines="0" w:line="300" w:lineRule="exact"/>
              <w:jc w:val="center"/>
              <w:rPr>
                <w:rFonts w:hint="default"/>
                <w:sz w:val="21"/>
                <w:szCs w:val="24"/>
              </w:rPr>
            </w:pPr>
            <w:r>
              <w:rPr>
                <w:rFonts w:hint="eastAsia" w:eastAsia="宋体"/>
                <w:sz w:val="21"/>
                <w:szCs w:val="24"/>
              </w:rPr>
              <w:t>或其委托代理人（签章）</w:t>
            </w:r>
          </w:p>
        </w:tc>
        <w:tc>
          <w:tcPr>
            <w:tcW w:w="1259" w:type="pct"/>
            <w:tcBorders>
              <w:top w:val="single" w:color="auto" w:sz="2" w:space="0"/>
              <w:left w:val="single" w:color="auto" w:sz="2" w:space="0"/>
              <w:bottom w:val="single" w:color="auto" w:sz="2" w:space="0"/>
              <w:right w:val="single" w:color="auto" w:sz="4" w:space="0"/>
              <w:tl2br w:val="nil"/>
              <w:tr2bl w:val="nil"/>
            </w:tcBorders>
            <w:noWrap w:val="0"/>
            <w:vAlign w:val="center"/>
          </w:tcPr>
          <w:p>
            <w:pPr>
              <w:adjustRightInd w:val="0"/>
              <w:snapToGrid w:val="0"/>
              <w:spacing w:beforeLines="0" w:afterLines="0" w:line="300" w:lineRule="exact"/>
              <w:jc w:val="center"/>
              <w:rPr>
                <w:rFonts w:hint="default"/>
                <w:sz w:val="21"/>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top w:val="single" w:color="auto" w:sz="2" w:space="0"/>
              <w:left w:val="single" w:color="auto" w:sz="4" w:space="0"/>
              <w:bottom w:val="single" w:color="auto" w:sz="2" w:space="0"/>
              <w:right w:val="single" w:color="auto" w:sz="2" w:space="0"/>
              <w:tl2br w:val="nil"/>
              <w:tr2bl w:val="nil"/>
            </w:tcBorders>
            <w:noWrap w:val="0"/>
            <w:vAlign w:val="center"/>
          </w:tcPr>
          <w:p>
            <w:pPr>
              <w:adjustRightInd w:val="0"/>
              <w:snapToGrid w:val="0"/>
              <w:spacing w:beforeLines="0" w:afterLines="0" w:line="300" w:lineRule="exact"/>
              <w:jc w:val="center"/>
              <w:rPr>
                <w:rFonts w:hint="default"/>
                <w:sz w:val="21"/>
                <w:szCs w:val="24"/>
              </w:rPr>
            </w:pPr>
          </w:p>
        </w:tc>
        <w:tc>
          <w:tcPr>
            <w:tcW w:w="1436" w:type="pct"/>
            <w:vMerge w:val="continue"/>
            <w:tcBorders>
              <w:top w:val="single" w:color="auto" w:sz="2" w:space="0"/>
              <w:left w:val="single" w:color="auto" w:sz="2" w:space="0"/>
              <w:bottom w:val="single" w:color="auto" w:sz="2" w:space="0"/>
              <w:right w:val="single" w:color="auto" w:sz="2" w:space="0"/>
              <w:tl2br w:val="nil"/>
              <w:tr2bl w:val="nil"/>
            </w:tcBorders>
            <w:noWrap w:val="0"/>
            <w:vAlign w:val="center"/>
          </w:tcPr>
          <w:p>
            <w:pPr>
              <w:adjustRightInd w:val="0"/>
              <w:snapToGrid w:val="0"/>
              <w:spacing w:beforeLines="0" w:afterLines="0" w:line="300" w:lineRule="exact"/>
              <w:jc w:val="center"/>
              <w:rPr>
                <w:rFonts w:hint="default"/>
                <w:sz w:val="21"/>
                <w:szCs w:val="24"/>
              </w:rPr>
            </w:pPr>
          </w:p>
        </w:tc>
        <w:tc>
          <w:tcPr>
            <w:tcW w:w="1178" w:type="pct"/>
            <w:tcBorders>
              <w:top w:val="single" w:color="auto" w:sz="2" w:space="0"/>
              <w:left w:val="single" w:color="auto" w:sz="2" w:space="0"/>
              <w:bottom w:val="single" w:color="auto" w:sz="2" w:space="0"/>
              <w:right w:val="single" w:color="auto" w:sz="2" w:space="0"/>
              <w:tl2br w:val="nil"/>
              <w:tr2bl w:val="nil"/>
            </w:tcBorders>
            <w:noWrap w:val="0"/>
            <w:vAlign w:val="center"/>
          </w:tcPr>
          <w:p>
            <w:pPr>
              <w:adjustRightInd w:val="0"/>
              <w:snapToGrid w:val="0"/>
              <w:spacing w:beforeLines="0" w:afterLines="0" w:line="300" w:lineRule="exact"/>
              <w:jc w:val="center"/>
              <w:rPr>
                <w:rFonts w:hint="eastAsia" w:ascii="Times New Roman" w:hAnsi="Times New Roman" w:eastAsia="宋体"/>
                <w:sz w:val="21"/>
                <w:szCs w:val="24"/>
              </w:rPr>
            </w:pPr>
            <w:r>
              <w:rPr>
                <w:rFonts w:hint="eastAsia" w:eastAsia="宋体"/>
                <w:sz w:val="21"/>
                <w:szCs w:val="24"/>
              </w:rPr>
              <w:t>拥有者性别</w:t>
            </w:r>
          </w:p>
        </w:tc>
        <w:tc>
          <w:tcPr>
            <w:tcW w:w="1259" w:type="pct"/>
            <w:tcBorders>
              <w:top w:val="single" w:color="auto" w:sz="2" w:space="0"/>
              <w:left w:val="single" w:color="auto" w:sz="2" w:space="0"/>
              <w:bottom w:val="single" w:color="auto" w:sz="2" w:space="0"/>
              <w:right w:val="single" w:color="auto" w:sz="4" w:space="0"/>
              <w:tl2br w:val="nil"/>
              <w:tr2bl w:val="nil"/>
            </w:tcBorders>
            <w:noWrap w:val="0"/>
            <w:vAlign w:val="center"/>
          </w:tcPr>
          <w:p>
            <w:pPr>
              <w:adjustRightInd w:val="0"/>
              <w:snapToGrid w:val="0"/>
              <w:spacing w:beforeLines="0" w:afterLines="0" w:line="300" w:lineRule="exact"/>
              <w:jc w:val="center"/>
              <w:rPr>
                <w:rFonts w:hint="default"/>
                <w:spacing w:val="20"/>
                <w:sz w:val="21"/>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l2br w:val="nil"/>
              <w:tr2bl w:val="nil"/>
            </w:tcBorders>
            <w:noWrap w:val="0"/>
            <w:vAlign w:val="center"/>
          </w:tcPr>
          <w:p>
            <w:pPr>
              <w:adjustRightInd w:val="0"/>
              <w:snapToGrid w:val="0"/>
              <w:spacing w:beforeLines="0" w:afterLines="0" w:line="300" w:lineRule="exact"/>
              <w:jc w:val="center"/>
              <w:rPr>
                <w:rFonts w:hint="eastAsia" w:ascii="Times New Roman" w:hAnsi="Times New Roman" w:eastAsia="宋体"/>
                <w:sz w:val="21"/>
                <w:szCs w:val="24"/>
              </w:rPr>
            </w:pPr>
            <w:r>
              <w:rPr>
                <w:rFonts w:hint="eastAsia" w:eastAsia="宋体"/>
                <w:sz w:val="21"/>
                <w:szCs w:val="24"/>
              </w:rPr>
              <w:t>住</w:t>
            </w:r>
            <w:r>
              <w:rPr>
                <w:rFonts w:hint="default"/>
                <w:sz w:val="21"/>
                <w:szCs w:val="24"/>
              </w:rPr>
              <w:t xml:space="preserve">  </w:t>
            </w:r>
            <w:r>
              <w:rPr>
                <w:rFonts w:hint="eastAsia" w:eastAsia="宋体"/>
                <w:sz w:val="21"/>
                <w:szCs w:val="24"/>
              </w:rPr>
              <w:t>所</w:t>
            </w:r>
          </w:p>
        </w:tc>
        <w:tc>
          <w:tcPr>
            <w:tcW w:w="1436" w:type="pct"/>
            <w:tcBorders>
              <w:top w:val="single" w:color="auto" w:sz="2" w:space="0"/>
              <w:left w:val="single" w:color="auto" w:sz="2" w:space="0"/>
              <w:bottom w:val="single" w:color="auto" w:sz="2" w:space="0"/>
              <w:right w:val="single" w:color="auto" w:sz="2" w:space="0"/>
              <w:tl2br w:val="nil"/>
              <w:tr2bl w:val="nil"/>
            </w:tcBorders>
            <w:noWrap w:val="0"/>
            <w:vAlign w:val="center"/>
          </w:tcPr>
          <w:p>
            <w:pPr>
              <w:adjustRightInd w:val="0"/>
              <w:snapToGrid w:val="0"/>
              <w:spacing w:beforeLines="0" w:afterLines="0" w:line="300" w:lineRule="exact"/>
              <w:jc w:val="center"/>
              <w:rPr>
                <w:rFonts w:hint="default"/>
                <w:sz w:val="21"/>
                <w:szCs w:val="24"/>
              </w:rPr>
            </w:pPr>
          </w:p>
        </w:tc>
        <w:tc>
          <w:tcPr>
            <w:tcW w:w="1178" w:type="pct"/>
            <w:tcBorders>
              <w:top w:val="single" w:color="auto" w:sz="2" w:space="0"/>
              <w:left w:val="single" w:color="auto" w:sz="2" w:space="0"/>
              <w:bottom w:val="single" w:color="auto" w:sz="2" w:space="0"/>
              <w:right w:val="single" w:color="auto" w:sz="2" w:space="0"/>
              <w:tl2br w:val="nil"/>
              <w:tr2bl w:val="nil"/>
            </w:tcBorders>
            <w:noWrap w:val="0"/>
            <w:vAlign w:val="center"/>
          </w:tcPr>
          <w:p>
            <w:pPr>
              <w:adjustRightInd w:val="0"/>
              <w:snapToGrid w:val="0"/>
              <w:spacing w:beforeLines="0" w:afterLines="0" w:line="300" w:lineRule="exact"/>
              <w:jc w:val="center"/>
              <w:rPr>
                <w:rFonts w:hint="eastAsia" w:ascii="Times New Roman" w:hAnsi="Times New Roman" w:eastAsia="宋体"/>
                <w:sz w:val="21"/>
                <w:szCs w:val="24"/>
              </w:rPr>
            </w:pPr>
            <w:r>
              <w:rPr>
                <w:rFonts w:hint="eastAsia" w:eastAsia="宋体"/>
                <w:sz w:val="21"/>
                <w:szCs w:val="24"/>
              </w:rPr>
              <w:t>住</w:t>
            </w:r>
            <w:r>
              <w:rPr>
                <w:rFonts w:hint="default"/>
                <w:sz w:val="21"/>
                <w:szCs w:val="24"/>
              </w:rPr>
              <w:t xml:space="preserve">  </w:t>
            </w:r>
            <w:r>
              <w:rPr>
                <w:rFonts w:hint="eastAsia" w:eastAsia="宋体"/>
                <w:sz w:val="21"/>
                <w:szCs w:val="24"/>
              </w:rPr>
              <w:t>所</w:t>
            </w:r>
          </w:p>
        </w:tc>
        <w:tc>
          <w:tcPr>
            <w:tcW w:w="1259" w:type="pct"/>
            <w:tcBorders>
              <w:top w:val="single" w:color="auto" w:sz="2" w:space="0"/>
              <w:left w:val="single" w:color="auto" w:sz="2" w:space="0"/>
              <w:bottom w:val="single" w:color="auto" w:sz="2" w:space="0"/>
              <w:right w:val="single" w:color="auto" w:sz="4" w:space="0"/>
              <w:tl2br w:val="nil"/>
              <w:tr2bl w:val="nil"/>
            </w:tcBorders>
            <w:noWrap w:val="0"/>
            <w:vAlign w:val="center"/>
          </w:tcPr>
          <w:p>
            <w:pPr>
              <w:adjustRightInd w:val="0"/>
              <w:snapToGrid w:val="0"/>
              <w:spacing w:beforeLines="0" w:afterLines="0" w:line="300" w:lineRule="exact"/>
              <w:jc w:val="center"/>
              <w:rPr>
                <w:rFonts w:hint="default"/>
                <w:spacing w:val="20"/>
                <w:sz w:val="21"/>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l2br w:val="nil"/>
              <w:tr2bl w:val="nil"/>
            </w:tcBorders>
            <w:noWrap w:val="0"/>
            <w:vAlign w:val="center"/>
          </w:tcPr>
          <w:p>
            <w:pPr>
              <w:adjustRightInd w:val="0"/>
              <w:snapToGrid w:val="0"/>
              <w:spacing w:beforeLines="0" w:afterLines="0" w:line="300" w:lineRule="exact"/>
              <w:jc w:val="center"/>
              <w:rPr>
                <w:rFonts w:hint="default"/>
                <w:sz w:val="21"/>
                <w:szCs w:val="24"/>
              </w:rPr>
            </w:pPr>
            <w:r>
              <w:rPr>
                <w:rFonts w:hint="eastAsia" w:eastAsia="宋体"/>
                <w:sz w:val="21"/>
                <w:szCs w:val="24"/>
              </w:rPr>
              <w:t>联 系 人</w:t>
            </w:r>
          </w:p>
        </w:tc>
        <w:tc>
          <w:tcPr>
            <w:tcW w:w="1436" w:type="pct"/>
            <w:tcBorders>
              <w:top w:val="single" w:color="auto" w:sz="2" w:space="0"/>
              <w:left w:val="single" w:color="auto" w:sz="2" w:space="0"/>
              <w:bottom w:val="single" w:color="auto" w:sz="2" w:space="0"/>
              <w:right w:val="single" w:color="auto" w:sz="2" w:space="0"/>
              <w:tl2br w:val="nil"/>
              <w:tr2bl w:val="nil"/>
            </w:tcBorders>
            <w:noWrap w:val="0"/>
            <w:vAlign w:val="center"/>
          </w:tcPr>
          <w:p>
            <w:pPr>
              <w:adjustRightInd w:val="0"/>
              <w:snapToGrid w:val="0"/>
              <w:spacing w:beforeLines="0" w:afterLines="0" w:line="300" w:lineRule="exact"/>
              <w:jc w:val="center"/>
              <w:rPr>
                <w:rFonts w:hint="default"/>
                <w:sz w:val="21"/>
                <w:szCs w:val="24"/>
              </w:rPr>
            </w:pPr>
          </w:p>
        </w:tc>
        <w:tc>
          <w:tcPr>
            <w:tcW w:w="1178" w:type="pct"/>
            <w:tcBorders>
              <w:top w:val="single" w:color="auto" w:sz="2" w:space="0"/>
              <w:left w:val="single" w:color="auto" w:sz="2" w:space="0"/>
              <w:bottom w:val="single" w:color="auto" w:sz="2" w:space="0"/>
              <w:right w:val="single" w:color="auto" w:sz="2" w:space="0"/>
              <w:tl2br w:val="nil"/>
              <w:tr2bl w:val="nil"/>
            </w:tcBorders>
            <w:noWrap w:val="0"/>
            <w:vAlign w:val="center"/>
          </w:tcPr>
          <w:p>
            <w:pPr>
              <w:adjustRightInd w:val="0"/>
              <w:snapToGrid w:val="0"/>
              <w:spacing w:beforeLines="0" w:afterLines="0" w:line="300" w:lineRule="exact"/>
              <w:jc w:val="center"/>
              <w:rPr>
                <w:rFonts w:hint="default"/>
                <w:sz w:val="21"/>
                <w:szCs w:val="24"/>
              </w:rPr>
            </w:pPr>
            <w:r>
              <w:rPr>
                <w:rFonts w:hint="eastAsia" w:eastAsia="宋体"/>
                <w:sz w:val="21"/>
                <w:szCs w:val="24"/>
              </w:rPr>
              <w:t>联 系 人</w:t>
            </w:r>
          </w:p>
        </w:tc>
        <w:tc>
          <w:tcPr>
            <w:tcW w:w="1259" w:type="pct"/>
            <w:tcBorders>
              <w:top w:val="single" w:color="auto" w:sz="2" w:space="0"/>
              <w:left w:val="single" w:color="auto" w:sz="2" w:space="0"/>
              <w:bottom w:val="single" w:color="auto" w:sz="2" w:space="0"/>
              <w:right w:val="single" w:color="auto" w:sz="4" w:space="0"/>
              <w:tl2br w:val="nil"/>
              <w:tr2bl w:val="nil"/>
            </w:tcBorders>
            <w:noWrap w:val="0"/>
            <w:vAlign w:val="center"/>
          </w:tcPr>
          <w:p>
            <w:pPr>
              <w:adjustRightInd w:val="0"/>
              <w:snapToGrid w:val="0"/>
              <w:spacing w:beforeLines="0" w:afterLines="0" w:line="300" w:lineRule="exact"/>
              <w:jc w:val="center"/>
              <w:rPr>
                <w:rFonts w:hint="default"/>
                <w:spacing w:val="20"/>
                <w:sz w:val="21"/>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l2br w:val="nil"/>
              <w:tr2bl w:val="nil"/>
            </w:tcBorders>
            <w:noWrap w:val="0"/>
            <w:vAlign w:val="center"/>
          </w:tcPr>
          <w:p>
            <w:pPr>
              <w:adjustRightInd w:val="0"/>
              <w:snapToGrid w:val="0"/>
              <w:spacing w:beforeLines="0" w:afterLines="0" w:line="300" w:lineRule="exact"/>
              <w:jc w:val="center"/>
              <w:rPr>
                <w:rFonts w:hint="default"/>
                <w:sz w:val="21"/>
                <w:szCs w:val="24"/>
              </w:rPr>
            </w:pPr>
            <w:r>
              <w:rPr>
                <w:rFonts w:hint="eastAsia" w:eastAsia="宋体"/>
                <w:sz w:val="21"/>
                <w:szCs w:val="24"/>
              </w:rPr>
              <w:t>联系电话</w:t>
            </w:r>
          </w:p>
        </w:tc>
        <w:tc>
          <w:tcPr>
            <w:tcW w:w="1436" w:type="pct"/>
            <w:tcBorders>
              <w:top w:val="single" w:color="auto" w:sz="2" w:space="0"/>
              <w:left w:val="single" w:color="auto" w:sz="2" w:space="0"/>
              <w:bottom w:val="single" w:color="auto" w:sz="2" w:space="0"/>
              <w:right w:val="single" w:color="auto" w:sz="2" w:space="0"/>
              <w:tl2br w:val="nil"/>
              <w:tr2bl w:val="nil"/>
            </w:tcBorders>
            <w:noWrap w:val="0"/>
            <w:vAlign w:val="center"/>
          </w:tcPr>
          <w:p>
            <w:pPr>
              <w:adjustRightInd w:val="0"/>
              <w:snapToGrid w:val="0"/>
              <w:spacing w:beforeLines="0" w:afterLines="0" w:line="300" w:lineRule="exact"/>
              <w:jc w:val="center"/>
              <w:rPr>
                <w:rFonts w:hint="default"/>
                <w:sz w:val="21"/>
                <w:szCs w:val="24"/>
              </w:rPr>
            </w:pPr>
          </w:p>
        </w:tc>
        <w:tc>
          <w:tcPr>
            <w:tcW w:w="1178" w:type="pct"/>
            <w:tcBorders>
              <w:top w:val="single" w:color="auto" w:sz="2" w:space="0"/>
              <w:left w:val="single" w:color="auto" w:sz="2" w:space="0"/>
              <w:bottom w:val="single" w:color="auto" w:sz="2" w:space="0"/>
              <w:right w:val="single" w:color="auto" w:sz="2" w:space="0"/>
              <w:tl2br w:val="nil"/>
              <w:tr2bl w:val="nil"/>
            </w:tcBorders>
            <w:noWrap w:val="0"/>
            <w:vAlign w:val="center"/>
          </w:tcPr>
          <w:p>
            <w:pPr>
              <w:adjustRightInd w:val="0"/>
              <w:snapToGrid w:val="0"/>
              <w:spacing w:beforeLines="0" w:afterLines="0" w:line="300" w:lineRule="exact"/>
              <w:jc w:val="center"/>
              <w:rPr>
                <w:rFonts w:hint="default"/>
                <w:sz w:val="21"/>
                <w:szCs w:val="24"/>
              </w:rPr>
            </w:pPr>
            <w:r>
              <w:rPr>
                <w:rFonts w:hint="eastAsia" w:eastAsia="宋体"/>
                <w:sz w:val="21"/>
                <w:szCs w:val="24"/>
              </w:rPr>
              <w:t>联系电话</w:t>
            </w:r>
          </w:p>
        </w:tc>
        <w:tc>
          <w:tcPr>
            <w:tcW w:w="1259" w:type="pct"/>
            <w:tcBorders>
              <w:top w:val="single" w:color="auto" w:sz="2" w:space="0"/>
              <w:left w:val="single" w:color="auto" w:sz="2" w:space="0"/>
              <w:bottom w:val="single" w:color="auto" w:sz="2" w:space="0"/>
              <w:right w:val="single" w:color="auto" w:sz="4" w:space="0"/>
              <w:tl2br w:val="nil"/>
              <w:tr2bl w:val="nil"/>
            </w:tcBorders>
            <w:noWrap w:val="0"/>
            <w:vAlign w:val="center"/>
          </w:tcPr>
          <w:p>
            <w:pPr>
              <w:adjustRightInd w:val="0"/>
              <w:snapToGrid w:val="0"/>
              <w:spacing w:beforeLines="0" w:afterLines="0" w:line="300" w:lineRule="exact"/>
              <w:jc w:val="center"/>
              <w:rPr>
                <w:rFonts w:hint="default"/>
                <w:spacing w:val="20"/>
                <w:sz w:val="21"/>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l2br w:val="nil"/>
              <w:tr2bl w:val="nil"/>
            </w:tcBorders>
            <w:noWrap w:val="0"/>
            <w:vAlign w:val="center"/>
          </w:tcPr>
          <w:p>
            <w:pPr>
              <w:adjustRightInd w:val="0"/>
              <w:snapToGrid w:val="0"/>
              <w:spacing w:beforeLines="0" w:afterLines="0" w:line="300" w:lineRule="exact"/>
              <w:jc w:val="center"/>
              <w:rPr>
                <w:rFonts w:hint="eastAsia" w:ascii="Times New Roman" w:hAnsi="Times New Roman" w:eastAsia="宋体"/>
                <w:sz w:val="21"/>
                <w:szCs w:val="24"/>
              </w:rPr>
            </w:pPr>
            <w:r>
              <w:rPr>
                <w:rFonts w:hint="eastAsia" w:eastAsia="宋体"/>
                <w:sz w:val="21"/>
                <w:szCs w:val="24"/>
              </w:rPr>
              <w:t>通信地址</w:t>
            </w:r>
          </w:p>
        </w:tc>
        <w:tc>
          <w:tcPr>
            <w:tcW w:w="1436" w:type="pct"/>
            <w:tcBorders>
              <w:top w:val="single" w:color="auto" w:sz="2" w:space="0"/>
              <w:left w:val="single" w:color="auto" w:sz="2" w:space="0"/>
              <w:bottom w:val="single" w:color="auto" w:sz="2" w:space="0"/>
              <w:right w:val="single" w:color="auto" w:sz="2" w:space="0"/>
              <w:tl2br w:val="nil"/>
              <w:tr2bl w:val="nil"/>
            </w:tcBorders>
            <w:noWrap w:val="0"/>
            <w:vAlign w:val="center"/>
          </w:tcPr>
          <w:p>
            <w:pPr>
              <w:adjustRightInd w:val="0"/>
              <w:snapToGrid w:val="0"/>
              <w:spacing w:beforeLines="0" w:afterLines="0" w:line="300" w:lineRule="exact"/>
              <w:jc w:val="center"/>
              <w:rPr>
                <w:rFonts w:hint="default"/>
                <w:sz w:val="21"/>
                <w:szCs w:val="24"/>
              </w:rPr>
            </w:pPr>
          </w:p>
        </w:tc>
        <w:tc>
          <w:tcPr>
            <w:tcW w:w="1178" w:type="pct"/>
            <w:tcBorders>
              <w:top w:val="single" w:color="auto" w:sz="2" w:space="0"/>
              <w:left w:val="single" w:color="auto" w:sz="2" w:space="0"/>
              <w:bottom w:val="single" w:color="auto" w:sz="2" w:space="0"/>
              <w:right w:val="single" w:color="auto" w:sz="2" w:space="0"/>
              <w:tl2br w:val="nil"/>
              <w:tr2bl w:val="nil"/>
            </w:tcBorders>
            <w:noWrap w:val="0"/>
            <w:vAlign w:val="center"/>
          </w:tcPr>
          <w:p>
            <w:pPr>
              <w:adjustRightInd w:val="0"/>
              <w:snapToGrid w:val="0"/>
              <w:spacing w:beforeLines="0" w:afterLines="0" w:line="300" w:lineRule="exact"/>
              <w:jc w:val="center"/>
              <w:rPr>
                <w:rFonts w:hint="default"/>
                <w:sz w:val="21"/>
                <w:szCs w:val="24"/>
              </w:rPr>
            </w:pPr>
            <w:r>
              <w:rPr>
                <w:rFonts w:hint="eastAsia" w:eastAsia="宋体"/>
                <w:sz w:val="21"/>
                <w:szCs w:val="24"/>
              </w:rPr>
              <w:t>通信地址</w:t>
            </w:r>
          </w:p>
        </w:tc>
        <w:tc>
          <w:tcPr>
            <w:tcW w:w="1259" w:type="pct"/>
            <w:tcBorders>
              <w:top w:val="single" w:color="auto" w:sz="2" w:space="0"/>
              <w:left w:val="single" w:color="auto" w:sz="2" w:space="0"/>
              <w:bottom w:val="single" w:color="auto" w:sz="2" w:space="0"/>
              <w:right w:val="single" w:color="auto" w:sz="4" w:space="0"/>
              <w:tl2br w:val="nil"/>
              <w:tr2bl w:val="nil"/>
            </w:tcBorders>
            <w:noWrap w:val="0"/>
            <w:vAlign w:val="center"/>
          </w:tcPr>
          <w:p>
            <w:pPr>
              <w:adjustRightInd w:val="0"/>
              <w:snapToGrid w:val="0"/>
              <w:spacing w:beforeLines="0" w:afterLines="0" w:line="300" w:lineRule="exact"/>
              <w:jc w:val="center"/>
              <w:rPr>
                <w:rFonts w:hint="default"/>
                <w:spacing w:val="20"/>
                <w:sz w:val="21"/>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l2br w:val="nil"/>
              <w:tr2bl w:val="nil"/>
            </w:tcBorders>
            <w:noWrap w:val="0"/>
            <w:vAlign w:val="center"/>
          </w:tcPr>
          <w:p>
            <w:pPr>
              <w:adjustRightInd w:val="0"/>
              <w:snapToGrid w:val="0"/>
              <w:spacing w:beforeLines="0" w:afterLines="0" w:line="300" w:lineRule="exact"/>
              <w:jc w:val="center"/>
              <w:rPr>
                <w:rFonts w:hint="default"/>
                <w:sz w:val="21"/>
                <w:szCs w:val="24"/>
              </w:rPr>
            </w:pPr>
            <w:r>
              <w:rPr>
                <w:rFonts w:hint="eastAsia" w:eastAsia="宋体"/>
                <w:sz w:val="21"/>
                <w:szCs w:val="24"/>
              </w:rPr>
              <w:t>邮政编码</w:t>
            </w:r>
          </w:p>
        </w:tc>
        <w:tc>
          <w:tcPr>
            <w:tcW w:w="1436" w:type="pct"/>
            <w:tcBorders>
              <w:top w:val="single" w:color="auto" w:sz="2" w:space="0"/>
              <w:left w:val="single" w:color="auto" w:sz="2" w:space="0"/>
              <w:bottom w:val="single" w:color="auto" w:sz="2" w:space="0"/>
              <w:right w:val="single" w:color="auto" w:sz="2" w:space="0"/>
              <w:tl2br w:val="nil"/>
              <w:tr2bl w:val="nil"/>
            </w:tcBorders>
            <w:noWrap w:val="0"/>
            <w:vAlign w:val="center"/>
          </w:tcPr>
          <w:p>
            <w:pPr>
              <w:adjustRightInd w:val="0"/>
              <w:snapToGrid w:val="0"/>
              <w:spacing w:beforeLines="0" w:afterLines="0" w:line="300" w:lineRule="exact"/>
              <w:jc w:val="center"/>
              <w:rPr>
                <w:rFonts w:hint="default"/>
                <w:sz w:val="21"/>
                <w:szCs w:val="24"/>
              </w:rPr>
            </w:pPr>
          </w:p>
        </w:tc>
        <w:tc>
          <w:tcPr>
            <w:tcW w:w="1178" w:type="pct"/>
            <w:tcBorders>
              <w:top w:val="single" w:color="auto" w:sz="2" w:space="0"/>
              <w:left w:val="single" w:color="auto" w:sz="2" w:space="0"/>
              <w:bottom w:val="single" w:color="auto" w:sz="2" w:space="0"/>
              <w:right w:val="single" w:color="auto" w:sz="2" w:space="0"/>
              <w:tl2br w:val="nil"/>
              <w:tr2bl w:val="nil"/>
            </w:tcBorders>
            <w:noWrap w:val="0"/>
            <w:vAlign w:val="center"/>
          </w:tcPr>
          <w:p>
            <w:pPr>
              <w:adjustRightInd w:val="0"/>
              <w:snapToGrid w:val="0"/>
              <w:spacing w:beforeLines="0" w:afterLines="0" w:line="300" w:lineRule="exact"/>
              <w:jc w:val="center"/>
              <w:rPr>
                <w:rFonts w:hint="default"/>
                <w:sz w:val="21"/>
                <w:szCs w:val="24"/>
              </w:rPr>
            </w:pPr>
            <w:r>
              <w:rPr>
                <w:rFonts w:hint="eastAsia" w:eastAsia="宋体"/>
                <w:sz w:val="21"/>
                <w:szCs w:val="24"/>
              </w:rPr>
              <w:t>邮政编码</w:t>
            </w:r>
          </w:p>
        </w:tc>
        <w:tc>
          <w:tcPr>
            <w:tcW w:w="1259" w:type="pct"/>
            <w:tcBorders>
              <w:top w:val="single" w:color="auto" w:sz="2" w:space="0"/>
              <w:left w:val="single" w:color="auto" w:sz="2" w:space="0"/>
              <w:bottom w:val="single" w:color="auto" w:sz="2" w:space="0"/>
              <w:right w:val="single" w:color="auto" w:sz="4" w:space="0"/>
              <w:tl2br w:val="nil"/>
              <w:tr2bl w:val="nil"/>
            </w:tcBorders>
            <w:noWrap w:val="0"/>
            <w:vAlign w:val="center"/>
          </w:tcPr>
          <w:p>
            <w:pPr>
              <w:adjustRightInd w:val="0"/>
              <w:snapToGrid w:val="0"/>
              <w:spacing w:beforeLines="0" w:afterLines="0" w:line="300" w:lineRule="exact"/>
              <w:jc w:val="center"/>
              <w:rPr>
                <w:rFonts w:hint="default"/>
                <w:spacing w:val="20"/>
                <w:sz w:val="21"/>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l2br w:val="nil"/>
              <w:tr2bl w:val="nil"/>
            </w:tcBorders>
            <w:noWrap w:val="0"/>
            <w:vAlign w:val="center"/>
          </w:tcPr>
          <w:p>
            <w:pPr>
              <w:adjustRightInd w:val="0"/>
              <w:snapToGrid w:val="0"/>
              <w:spacing w:beforeLines="0" w:afterLines="0" w:line="300" w:lineRule="exact"/>
              <w:jc w:val="center"/>
              <w:rPr>
                <w:rFonts w:hint="default"/>
                <w:sz w:val="21"/>
                <w:szCs w:val="24"/>
              </w:rPr>
            </w:pPr>
            <w:r>
              <w:rPr>
                <w:rFonts w:hint="eastAsia" w:eastAsia="宋体"/>
                <w:sz w:val="21"/>
                <w:szCs w:val="24"/>
              </w:rPr>
              <w:t>电子邮箱</w:t>
            </w:r>
          </w:p>
        </w:tc>
        <w:tc>
          <w:tcPr>
            <w:tcW w:w="1436" w:type="pct"/>
            <w:tcBorders>
              <w:top w:val="single" w:color="auto" w:sz="2" w:space="0"/>
              <w:left w:val="single" w:color="auto" w:sz="2" w:space="0"/>
              <w:bottom w:val="single" w:color="auto" w:sz="2" w:space="0"/>
              <w:right w:val="single" w:color="auto" w:sz="2" w:space="0"/>
              <w:tl2br w:val="nil"/>
              <w:tr2bl w:val="nil"/>
            </w:tcBorders>
            <w:noWrap w:val="0"/>
            <w:vAlign w:val="center"/>
          </w:tcPr>
          <w:p>
            <w:pPr>
              <w:adjustRightInd w:val="0"/>
              <w:snapToGrid w:val="0"/>
              <w:spacing w:beforeLines="0" w:afterLines="0" w:line="300" w:lineRule="exact"/>
              <w:jc w:val="center"/>
              <w:rPr>
                <w:rFonts w:hint="default"/>
                <w:sz w:val="21"/>
                <w:szCs w:val="24"/>
              </w:rPr>
            </w:pPr>
          </w:p>
        </w:tc>
        <w:tc>
          <w:tcPr>
            <w:tcW w:w="1178" w:type="pct"/>
            <w:tcBorders>
              <w:top w:val="single" w:color="auto" w:sz="2" w:space="0"/>
              <w:left w:val="single" w:color="auto" w:sz="2" w:space="0"/>
              <w:bottom w:val="single" w:color="auto" w:sz="2" w:space="0"/>
              <w:right w:val="single" w:color="auto" w:sz="2" w:space="0"/>
              <w:tl2br w:val="nil"/>
              <w:tr2bl w:val="nil"/>
            </w:tcBorders>
            <w:noWrap w:val="0"/>
            <w:vAlign w:val="center"/>
          </w:tcPr>
          <w:p>
            <w:pPr>
              <w:adjustRightInd w:val="0"/>
              <w:snapToGrid w:val="0"/>
              <w:spacing w:beforeLines="0" w:afterLines="0" w:line="300" w:lineRule="exact"/>
              <w:jc w:val="center"/>
              <w:rPr>
                <w:rFonts w:hint="default"/>
                <w:sz w:val="21"/>
                <w:szCs w:val="24"/>
              </w:rPr>
            </w:pPr>
            <w:r>
              <w:rPr>
                <w:rFonts w:hint="eastAsia" w:eastAsia="宋体"/>
                <w:sz w:val="21"/>
                <w:szCs w:val="24"/>
              </w:rPr>
              <w:t>电子邮箱</w:t>
            </w:r>
          </w:p>
        </w:tc>
        <w:tc>
          <w:tcPr>
            <w:tcW w:w="1259" w:type="pct"/>
            <w:tcBorders>
              <w:top w:val="single" w:color="auto" w:sz="2" w:space="0"/>
              <w:left w:val="single" w:color="auto" w:sz="2" w:space="0"/>
              <w:bottom w:val="single" w:color="auto" w:sz="2" w:space="0"/>
              <w:right w:val="single" w:color="auto" w:sz="4" w:space="0"/>
              <w:tl2br w:val="nil"/>
              <w:tr2bl w:val="nil"/>
            </w:tcBorders>
            <w:noWrap w:val="0"/>
            <w:vAlign w:val="center"/>
          </w:tcPr>
          <w:p>
            <w:pPr>
              <w:adjustRightInd w:val="0"/>
              <w:snapToGrid w:val="0"/>
              <w:spacing w:beforeLines="0" w:afterLines="0" w:line="300" w:lineRule="exact"/>
              <w:jc w:val="center"/>
              <w:rPr>
                <w:rFonts w:hint="default"/>
                <w:spacing w:val="20"/>
                <w:sz w:val="21"/>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l2br w:val="nil"/>
              <w:tr2bl w:val="nil"/>
            </w:tcBorders>
            <w:noWrap w:val="0"/>
            <w:vAlign w:val="center"/>
          </w:tcPr>
          <w:p>
            <w:pPr>
              <w:adjustRightInd w:val="0"/>
              <w:snapToGrid w:val="0"/>
              <w:spacing w:beforeLines="0" w:afterLines="0" w:line="300" w:lineRule="exact"/>
              <w:jc w:val="center"/>
              <w:rPr>
                <w:rFonts w:hint="default"/>
                <w:sz w:val="21"/>
                <w:szCs w:val="24"/>
              </w:rPr>
            </w:pPr>
            <w:r>
              <w:rPr>
                <w:rFonts w:hint="eastAsia" w:eastAsia="宋体"/>
                <w:sz w:val="21"/>
                <w:szCs w:val="24"/>
              </w:rPr>
              <w:t>统一社会信用代码</w:t>
            </w:r>
          </w:p>
        </w:tc>
        <w:tc>
          <w:tcPr>
            <w:tcW w:w="1436" w:type="pct"/>
            <w:tcBorders>
              <w:top w:val="single" w:color="auto" w:sz="2" w:space="0"/>
              <w:left w:val="single" w:color="auto" w:sz="2" w:space="0"/>
              <w:bottom w:val="single" w:color="auto" w:sz="2" w:space="0"/>
              <w:right w:val="single" w:color="auto" w:sz="2" w:space="0"/>
              <w:tl2br w:val="nil"/>
              <w:tr2bl w:val="nil"/>
            </w:tcBorders>
            <w:noWrap w:val="0"/>
            <w:vAlign w:val="center"/>
          </w:tcPr>
          <w:p>
            <w:pPr>
              <w:adjustRightInd w:val="0"/>
              <w:snapToGrid w:val="0"/>
              <w:spacing w:beforeLines="0" w:afterLines="0" w:line="300" w:lineRule="exact"/>
              <w:jc w:val="center"/>
              <w:rPr>
                <w:rFonts w:hint="default"/>
                <w:sz w:val="21"/>
                <w:szCs w:val="24"/>
              </w:rPr>
            </w:pPr>
          </w:p>
        </w:tc>
        <w:tc>
          <w:tcPr>
            <w:tcW w:w="1178" w:type="pct"/>
            <w:tcBorders>
              <w:top w:val="single" w:color="auto" w:sz="2" w:space="0"/>
              <w:left w:val="single" w:color="auto" w:sz="2" w:space="0"/>
              <w:bottom w:val="single" w:color="auto" w:sz="2" w:space="0"/>
              <w:right w:val="single" w:color="auto" w:sz="2" w:space="0"/>
              <w:tl2br w:val="nil"/>
              <w:tr2bl w:val="nil"/>
            </w:tcBorders>
            <w:noWrap w:val="0"/>
            <w:vAlign w:val="center"/>
          </w:tcPr>
          <w:p>
            <w:pPr>
              <w:adjustRightInd w:val="0"/>
              <w:snapToGrid w:val="0"/>
              <w:spacing w:beforeLines="0" w:afterLines="0" w:line="300" w:lineRule="exact"/>
              <w:jc w:val="center"/>
              <w:rPr>
                <w:rFonts w:hint="default"/>
                <w:sz w:val="21"/>
                <w:szCs w:val="24"/>
              </w:rPr>
            </w:pPr>
            <w:r>
              <w:rPr>
                <w:rFonts w:hint="eastAsia" w:eastAsia="宋体"/>
                <w:sz w:val="21"/>
                <w:szCs w:val="24"/>
              </w:rPr>
              <w:t>统一社会信用代码</w:t>
            </w:r>
          </w:p>
        </w:tc>
        <w:tc>
          <w:tcPr>
            <w:tcW w:w="1259" w:type="pct"/>
            <w:tcBorders>
              <w:top w:val="single" w:color="auto" w:sz="2" w:space="0"/>
              <w:left w:val="single" w:color="auto" w:sz="2" w:space="0"/>
              <w:bottom w:val="single" w:color="auto" w:sz="2" w:space="0"/>
              <w:right w:val="single" w:color="auto" w:sz="4" w:space="0"/>
              <w:tl2br w:val="nil"/>
              <w:tr2bl w:val="nil"/>
            </w:tcBorders>
            <w:noWrap w:val="0"/>
            <w:vAlign w:val="center"/>
          </w:tcPr>
          <w:p>
            <w:pPr>
              <w:adjustRightInd w:val="0"/>
              <w:snapToGrid w:val="0"/>
              <w:spacing w:beforeLines="0" w:afterLines="0" w:line="300" w:lineRule="exact"/>
              <w:jc w:val="center"/>
              <w:rPr>
                <w:rFonts w:hint="default"/>
                <w:spacing w:val="20"/>
                <w:sz w:val="21"/>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l2br w:val="nil"/>
              <w:tr2bl w:val="nil"/>
            </w:tcBorders>
            <w:noWrap w:val="0"/>
            <w:vAlign w:val="center"/>
          </w:tcPr>
          <w:p>
            <w:pPr>
              <w:adjustRightInd w:val="0"/>
              <w:snapToGrid w:val="0"/>
              <w:spacing w:beforeLines="0" w:afterLines="0" w:line="300" w:lineRule="exact"/>
              <w:jc w:val="center"/>
              <w:rPr>
                <w:rFonts w:hint="default"/>
                <w:sz w:val="21"/>
                <w:szCs w:val="24"/>
              </w:rPr>
            </w:pPr>
          </w:p>
        </w:tc>
        <w:tc>
          <w:tcPr>
            <w:tcW w:w="1436" w:type="pct"/>
            <w:tcBorders>
              <w:top w:val="single" w:color="auto" w:sz="2" w:space="0"/>
              <w:left w:val="single" w:color="auto" w:sz="2" w:space="0"/>
              <w:bottom w:val="single" w:color="auto" w:sz="2" w:space="0"/>
              <w:right w:val="single" w:color="auto" w:sz="2" w:space="0"/>
              <w:tl2br w:val="nil"/>
              <w:tr2bl w:val="nil"/>
            </w:tcBorders>
            <w:noWrap w:val="0"/>
            <w:vAlign w:val="center"/>
          </w:tcPr>
          <w:p>
            <w:pPr>
              <w:adjustRightInd w:val="0"/>
              <w:snapToGrid w:val="0"/>
              <w:spacing w:beforeLines="0" w:afterLines="0" w:line="300" w:lineRule="exact"/>
              <w:jc w:val="center"/>
              <w:rPr>
                <w:rFonts w:hint="default"/>
                <w:sz w:val="21"/>
                <w:szCs w:val="24"/>
              </w:rPr>
            </w:pPr>
          </w:p>
        </w:tc>
        <w:tc>
          <w:tcPr>
            <w:tcW w:w="1178" w:type="pct"/>
            <w:tcBorders>
              <w:top w:val="single" w:color="auto" w:sz="2" w:space="0"/>
              <w:left w:val="single" w:color="auto" w:sz="2" w:space="0"/>
              <w:bottom w:val="single" w:color="auto" w:sz="2" w:space="0"/>
              <w:right w:val="single" w:color="auto" w:sz="2" w:space="0"/>
              <w:tl2br w:val="nil"/>
              <w:tr2bl w:val="nil"/>
            </w:tcBorders>
            <w:noWrap w:val="0"/>
            <w:vAlign w:val="center"/>
          </w:tcPr>
          <w:p>
            <w:pPr>
              <w:adjustRightInd w:val="0"/>
              <w:snapToGrid w:val="0"/>
              <w:spacing w:beforeLines="0" w:afterLines="0" w:line="300" w:lineRule="exact"/>
              <w:jc w:val="center"/>
              <w:rPr>
                <w:rFonts w:hint="default"/>
                <w:sz w:val="21"/>
                <w:szCs w:val="24"/>
              </w:rPr>
            </w:pPr>
            <w:r>
              <w:rPr>
                <w:rFonts w:hint="eastAsia" w:eastAsia="宋体"/>
                <w:sz w:val="21"/>
                <w:szCs w:val="24"/>
              </w:rPr>
              <w:t>开户名称</w:t>
            </w:r>
          </w:p>
        </w:tc>
        <w:tc>
          <w:tcPr>
            <w:tcW w:w="1259" w:type="pct"/>
            <w:tcBorders>
              <w:top w:val="single" w:color="auto" w:sz="2" w:space="0"/>
              <w:left w:val="single" w:color="auto" w:sz="2" w:space="0"/>
              <w:bottom w:val="single" w:color="auto" w:sz="2" w:space="0"/>
              <w:right w:val="single" w:color="auto" w:sz="4" w:space="0"/>
              <w:tl2br w:val="nil"/>
              <w:tr2bl w:val="nil"/>
            </w:tcBorders>
            <w:noWrap w:val="0"/>
            <w:vAlign w:val="center"/>
          </w:tcPr>
          <w:p>
            <w:pPr>
              <w:adjustRightInd w:val="0"/>
              <w:snapToGrid w:val="0"/>
              <w:spacing w:beforeLines="0" w:afterLines="0" w:line="300" w:lineRule="exact"/>
              <w:jc w:val="center"/>
              <w:rPr>
                <w:rFonts w:hint="default"/>
                <w:spacing w:val="20"/>
                <w:sz w:val="21"/>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l2br w:val="nil"/>
              <w:tr2bl w:val="nil"/>
            </w:tcBorders>
            <w:noWrap w:val="0"/>
            <w:vAlign w:val="center"/>
          </w:tcPr>
          <w:p>
            <w:pPr>
              <w:adjustRightInd w:val="0"/>
              <w:snapToGrid w:val="0"/>
              <w:spacing w:beforeLines="0" w:afterLines="0" w:line="300" w:lineRule="exact"/>
              <w:jc w:val="center"/>
              <w:rPr>
                <w:rFonts w:hint="default"/>
                <w:sz w:val="21"/>
                <w:szCs w:val="24"/>
              </w:rPr>
            </w:pPr>
          </w:p>
        </w:tc>
        <w:tc>
          <w:tcPr>
            <w:tcW w:w="1436" w:type="pct"/>
            <w:tcBorders>
              <w:top w:val="single" w:color="auto" w:sz="2" w:space="0"/>
              <w:left w:val="single" w:color="auto" w:sz="2" w:space="0"/>
              <w:bottom w:val="single" w:color="auto" w:sz="2" w:space="0"/>
              <w:right w:val="single" w:color="auto" w:sz="2" w:space="0"/>
              <w:tl2br w:val="nil"/>
              <w:tr2bl w:val="nil"/>
            </w:tcBorders>
            <w:noWrap w:val="0"/>
            <w:vAlign w:val="center"/>
          </w:tcPr>
          <w:p>
            <w:pPr>
              <w:adjustRightInd w:val="0"/>
              <w:snapToGrid w:val="0"/>
              <w:spacing w:beforeLines="0" w:afterLines="0" w:line="300" w:lineRule="exact"/>
              <w:jc w:val="center"/>
              <w:rPr>
                <w:rFonts w:hint="default"/>
                <w:sz w:val="21"/>
                <w:szCs w:val="24"/>
              </w:rPr>
            </w:pPr>
          </w:p>
        </w:tc>
        <w:tc>
          <w:tcPr>
            <w:tcW w:w="1178" w:type="pct"/>
            <w:tcBorders>
              <w:top w:val="single" w:color="auto" w:sz="2" w:space="0"/>
              <w:left w:val="single" w:color="auto" w:sz="2" w:space="0"/>
              <w:bottom w:val="single" w:color="auto" w:sz="2" w:space="0"/>
              <w:right w:val="single" w:color="auto" w:sz="2" w:space="0"/>
              <w:tl2br w:val="nil"/>
              <w:tr2bl w:val="nil"/>
            </w:tcBorders>
            <w:noWrap w:val="0"/>
            <w:vAlign w:val="center"/>
          </w:tcPr>
          <w:p>
            <w:pPr>
              <w:adjustRightInd w:val="0"/>
              <w:snapToGrid w:val="0"/>
              <w:spacing w:beforeLines="0" w:afterLines="0" w:line="300" w:lineRule="exact"/>
              <w:jc w:val="center"/>
              <w:rPr>
                <w:rFonts w:hint="default"/>
                <w:sz w:val="21"/>
                <w:szCs w:val="24"/>
              </w:rPr>
            </w:pPr>
            <w:r>
              <w:rPr>
                <w:rFonts w:hint="eastAsia" w:eastAsia="宋体"/>
                <w:sz w:val="21"/>
                <w:szCs w:val="24"/>
              </w:rPr>
              <w:t>开户银行</w:t>
            </w:r>
          </w:p>
        </w:tc>
        <w:tc>
          <w:tcPr>
            <w:tcW w:w="1259" w:type="pct"/>
            <w:tcBorders>
              <w:top w:val="single" w:color="auto" w:sz="2" w:space="0"/>
              <w:left w:val="single" w:color="auto" w:sz="2" w:space="0"/>
              <w:bottom w:val="single" w:color="auto" w:sz="2" w:space="0"/>
              <w:right w:val="single" w:color="auto" w:sz="4" w:space="0"/>
              <w:tl2br w:val="nil"/>
              <w:tr2bl w:val="nil"/>
            </w:tcBorders>
            <w:noWrap w:val="0"/>
            <w:vAlign w:val="center"/>
          </w:tcPr>
          <w:p>
            <w:pPr>
              <w:adjustRightInd w:val="0"/>
              <w:snapToGrid w:val="0"/>
              <w:spacing w:beforeLines="0" w:afterLines="0" w:line="300" w:lineRule="exact"/>
              <w:jc w:val="center"/>
              <w:rPr>
                <w:rFonts w:hint="default"/>
                <w:spacing w:val="20"/>
                <w:sz w:val="21"/>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l2br w:val="nil"/>
              <w:tr2bl w:val="nil"/>
            </w:tcBorders>
            <w:noWrap w:val="0"/>
            <w:vAlign w:val="center"/>
          </w:tcPr>
          <w:p>
            <w:pPr>
              <w:adjustRightInd w:val="0"/>
              <w:snapToGrid w:val="0"/>
              <w:spacing w:beforeLines="0" w:afterLines="0" w:line="300" w:lineRule="exact"/>
              <w:jc w:val="center"/>
              <w:rPr>
                <w:rFonts w:hint="default"/>
                <w:sz w:val="21"/>
                <w:szCs w:val="24"/>
              </w:rPr>
            </w:pPr>
          </w:p>
        </w:tc>
        <w:tc>
          <w:tcPr>
            <w:tcW w:w="1436" w:type="pct"/>
            <w:tcBorders>
              <w:top w:val="single" w:color="auto" w:sz="2" w:space="0"/>
              <w:left w:val="single" w:color="auto" w:sz="2" w:space="0"/>
              <w:bottom w:val="single" w:color="auto" w:sz="2" w:space="0"/>
              <w:right w:val="single" w:color="auto" w:sz="2" w:space="0"/>
              <w:tl2br w:val="nil"/>
              <w:tr2bl w:val="nil"/>
            </w:tcBorders>
            <w:noWrap w:val="0"/>
            <w:vAlign w:val="center"/>
          </w:tcPr>
          <w:p>
            <w:pPr>
              <w:adjustRightInd w:val="0"/>
              <w:snapToGrid w:val="0"/>
              <w:spacing w:beforeLines="0" w:afterLines="0" w:line="300" w:lineRule="exact"/>
              <w:jc w:val="center"/>
              <w:rPr>
                <w:rFonts w:hint="default"/>
                <w:sz w:val="21"/>
                <w:szCs w:val="24"/>
              </w:rPr>
            </w:pPr>
          </w:p>
        </w:tc>
        <w:tc>
          <w:tcPr>
            <w:tcW w:w="1178" w:type="pct"/>
            <w:tcBorders>
              <w:top w:val="single" w:color="auto" w:sz="2" w:space="0"/>
              <w:left w:val="single" w:color="auto" w:sz="2" w:space="0"/>
              <w:bottom w:val="single" w:color="auto" w:sz="2" w:space="0"/>
              <w:right w:val="single" w:color="auto" w:sz="2" w:space="0"/>
              <w:tl2br w:val="nil"/>
              <w:tr2bl w:val="nil"/>
            </w:tcBorders>
            <w:noWrap w:val="0"/>
            <w:vAlign w:val="center"/>
          </w:tcPr>
          <w:p>
            <w:pPr>
              <w:adjustRightInd w:val="0"/>
              <w:snapToGrid w:val="0"/>
              <w:spacing w:beforeLines="0" w:afterLines="0" w:line="300" w:lineRule="exact"/>
              <w:jc w:val="center"/>
              <w:rPr>
                <w:rFonts w:hint="default"/>
                <w:sz w:val="21"/>
                <w:szCs w:val="24"/>
              </w:rPr>
            </w:pPr>
            <w:r>
              <w:rPr>
                <w:rFonts w:hint="eastAsia" w:eastAsia="宋体"/>
                <w:sz w:val="21"/>
                <w:szCs w:val="24"/>
              </w:rPr>
              <w:t>银行账号</w:t>
            </w:r>
          </w:p>
        </w:tc>
        <w:tc>
          <w:tcPr>
            <w:tcW w:w="1259" w:type="pct"/>
            <w:tcBorders>
              <w:top w:val="single" w:color="auto" w:sz="2" w:space="0"/>
              <w:left w:val="single" w:color="auto" w:sz="2" w:space="0"/>
              <w:bottom w:val="single" w:color="auto" w:sz="2" w:space="0"/>
              <w:right w:val="single" w:color="auto" w:sz="4" w:space="0"/>
              <w:tl2br w:val="nil"/>
              <w:tr2bl w:val="nil"/>
            </w:tcBorders>
            <w:noWrap w:val="0"/>
            <w:vAlign w:val="center"/>
          </w:tcPr>
          <w:p>
            <w:pPr>
              <w:adjustRightInd w:val="0"/>
              <w:snapToGrid w:val="0"/>
              <w:spacing w:beforeLines="0" w:afterLines="0" w:line="300" w:lineRule="exact"/>
              <w:jc w:val="center"/>
              <w:rPr>
                <w:rFonts w:hint="default"/>
                <w:spacing w:val="20"/>
                <w:sz w:val="21"/>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left w:val="single" w:color="auto" w:sz="4" w:space="0"/>
              <w:bottom w:val="single" w:color="auto" w:sz="4" w:space="0"/>
              <w:right w:val="single" w:color="auto" w:sz="4" w:space="0"/>
              <w:tl2br w:val="nil"/>
              <w:tr2bl w:val="nil"/>
            </w:tcBorders>
            <w:noWrap w:val="0"/>
            <w:vAlign w:val="center"/>
          </w:tcPr>
          <w:p>
            <w:pPr>
              <w:pStyle w:val="17"/>
              <w:adjustRightInd w:val="0"/>
              <w:snapToGrid w:val="0"/>
              <w:spacing w:before="156" w:beforeLines="50" w:after="0" w:line="360" w:lineRule="auto"/>
              <w:ind w:left="0" w:leftChars="0"/>
              <w:jc w:val="left"/>
              <w:rPr>
                <w:rFonts w:hint="default"/>
                <w:spacing w:val="20"/>
                <w:sz w:val="21"/>
                <w:szCs w:val="24"/>
              </w:rPr>
            </w:pPr>
            <w:r>
              <w:rPr>
                <w:rFonts w:hint="eastAsia" w:ascii="宋体" w:hAnsi="宋体" w:eastAsia="宋体"/>
                <w:sz w:val="21"/>
                <w:szCs w:val="24"/>
              </w:rPr>
              <w:t>注：涉及联合体或其他合同主体的信息应按上表格式加列。</w:t>
            </w:r>
          </w:p>
        </w:tc>
      </w:tr>
    </w:tbl>
    <w:p>
      <w:pPr>
        <w:pStyle w:val="4"/>
        <w:adjustRightInd w:val="0"/>
        <w:snapToGrid w:val="0"/>
        <w:spacing w:before="156" w:beforeLines="50"/>
        <w:jc w:val="center"/>
        <w:rPr>
          <w:rFonts w:hint="eastAsia" w:ascii="黑体" w:hAnsi="黑体"/>
          <w:sz w:val="28"/>
          <w:szCs w:val="24"/>
        </w:rPr>
      </w:pPr>
      <w:r>
        <w:rPr>
          <w:rFonts w:hint="eastAsia" w:ascii="宋体" w:hAnsi="宋体" w:eastAsia="宋体"/>
          <w:sz w:val="21"/>
          <w:szCs w:val="24"/>
          <w:u w:val="single"/>
        </w:rPr>
        <w:br w:type="page"/>
      </w:r>
      <w:bookmarkStart w:id="101" w:name="_Toc27624"/>
      <w:r>
        <w:rPr>
          <w:rFonts w:hint="eastAsia" w:ascii="黑体" w:hAnsi="黑体"/>
          <w:b w:val="0"/>
          <w:sz w:val="28"/>
          <w:szCs w:val="24"/>
        </w:rPr>
        <w:t>第二节 政府采购合同通用条款</w:t>
      </w:r>
      <w:bookmarkEnd w:id="101"/>
    </w:p>
    <w:p>
      <w:pPr>
        <w:tabs>
          <w:tab w:val="left" w:pos="8820"/>
          <w:tab w:val="left" w:pos="9345"/>
          <w:tab w:val="left" w:pos="9765"/>
        </w:tabs>
        <w:adjustRightInd w:val="0"/>
        <w:snapToGrid w:val="0"/>
        <w:spacing w:beforeLines="0" w:afterLines="0" w:line="400" w:lineRule="exact"/>
        <w:jc w:val="left"/>
        <w:rPr>
          <w:rFonts w:hint="eastAsia" w:ascii="宋体" w:hAnsi="宋体" w:eastAsia="宋体"/>
          <w:b/>
          <w:sz w:val="24"/>
          <w:szCs w:val="24"/>
        </w:rPr>
      </w:pPr>
      <w:r>
        <w:rPr>
          <w:rFonts w:hint="eastAsia" w:ascii="宋体" w:hAnsi="宋体" w:eastAsia="宋体"/>
          <w:b/>
          <w:sz w:val="24"/>
          <w:szCs w:val="24"/>
        </w:rPr>
        <w:t>1. 定义</w:t>
      </w:r>
    </w:p>
    <w:p>
      <w:pPr>
        <w:autoSpaceDE w:val="0"/>
        <w:autoSpaceDN w:val="0"/>
        <w:adjustRightInd w:val="0"/>
        <w:snapToGrid w:val="0"/>
        <w:spacing w:beforeLines="0" w:afterLines="0" w:line="400" w:lineRule="exact"/>
        <w:ind w:firstLine="420" w:firstLineChars="200"/>
        <w:jc w:val="left"/>
        <w:rPr>
          <w:rFonts w:hint="eastAsia" w:ascii="宋体" w:hAnsi="宋体" w:eastAsia="宋体"/>
          <w:color w:val="000000"/>
          <w:sz w:val="21"/>
          <w:szCs w:val="24"/>
        </w:rPr>
      </w:pPr>
      <w:r>
        <w:rPr>
          <w:rFonts w:hint="eastAsia" w:ascii="宋体" w:hAnsi="宋体" w:eastAsia="宋体"/>
          <w:color w:val="000000"/>
          <w:sz w:val="21"/>
          <w:szCs w:val="24"/>
        </w:rPr>
        <w:t>1.1合同当事人</w:t>
      </w:r>
    </w:p>
    <w:p>
      <w:pPr>
        <w:autoSpaceDE w:val="0"/>
        <w:autoSpaceDN w:val="0"/>
        <w:adjustRightInd w:val="0"/>
        <w:snapToGrid w:val="0"/>
        <w:spacing w:beforeLines="0" w:afterLines="0" w:line="400" w:lineRule="exact"/>
        <w:ind w:firstLine="420" w:firstLineChars="200"/>
        <w:jc w:val="left"/>
        <w:rPr>
          <w:rFonts w:hint="eastAsia" w:ascii="宋体" w:hAnsi="宋体" w:eastAsia="宋体"/>
          <w:color w:val="auto"/>
          <w:sz w:val="21"/>
          <w:szCs w:val="24"/>
        </w:rPr>
      </w:pPr>
      <w:r>
        <w:rPr>
          <w:rFonts w:hint="eastAsia" w:ascii="宋体" w:hAnsi="宋体" w:eastAsia="宋体"/>
          <w:color w:val="auto"/>
          <w:sz w:val="21"/>
          <w:szCs w:val="24"/>
        </w:rPr>
        <w:t>（1）采购人（以下称甲方）是指使用财政性资金，通过政府采购方式向供应商购买货物及其相关服务的国家机关、事业单位、团体组织。</w:t>
      </w:r>
    </w:p>
    <w:p>
      <w:pPr>
        <w:autoSpaceDE w:val="0"/>
        <w:autoSpaceDN w:val="0"/>
        <w:adjustRightInd w:val="0"/>
        <w:snapToGrid w:val="0"/>
        <w:spacing w:beforeLines="0" w:afterLines="0" w:line="400" w:lineRule="exact"/>
        <w:ind w:firstLine="420" w:firstLineChars="200"/>
        <w:jc w:val="left"/>
        <w:rPr>
          <w:rFonts w:hint="eastAsia" w:ascii="宋体" w:hAnsi="宋体" w:eastAsia="宋体"/>
          <w:color w:val="auto"/>
          <w:sz w:val="21"/>
          <w:szCs w:val="24"/>
        </w:rPr>
      </w:pPr>
      <w:r>
        <w:rPr>
          <w:rFonts w:hint="eastAsia" w:ascii="宋体" w:hAnsi="宋体" w:eastAsia="宋体"/>
          <w:color w:val="auto"/>
          <w:sz w:val="21"/>
          <w:szCs w:val="24"/>
        </w:rPr>
        <w:t>（2）供应商（以下称乙方）是指参加政府采购活动并且中标（成交），向采购人提供合同约定的货物及其相关服务的法人、非法人组织或者自然人。</w:t>
      </w:r>
    </w:p>
    <w:p>
      <w:pPr>
        <w:autoSpaceDE w:val="0"/>
        <w:autoSpaceDN w:val="0"/>
        <w:adjustRightInd w:val="0"/>
        <w:snapToGrid w:val="0"/>
        <w:spacing w:beforeLines="0" w:afterLines="0" w:line="400" w:lineRule="exact"/>
        <w:ind w:firstLine="420" w:firstLineChars="200"/>
        <w:jc w:val="left"/>
        <w:rPr>
          <w:rFonts w:hint="eastAsia" w:ascii="宋体" w:hAnsi="宋体" w:eastAsia="宋体"/>
          <w:color w:val="auto"/>
          <w:sz w:val="21"/>
          <w:szCs w:val="24"/>
        </w:rPr>
      </w:pPr>
      <w:r>
        <w:rPr>
          <w:rFonts w:hint="eastAsia" w:ascii="宋体" w:hAnsi="宋体" w:eastAsia="宋体"/>
          <w:color w:val="auto"/>
          <w:sz w:val="21"/>
          <w:szCs w:val="24"/>
        </w:rPr>
        <w:t>（3）其他合同主体是指除采购人和供应商以外，</w:t>
      </w:r>
      <w:r>
        <w:rPr>
          <w:rFonts w:hint="eastAsia" w:ascii="宋体" w:hAnsi="宋体" w:eastAsia="宋体" w:cs="宋体"/>
          <w:color w:val="000000"/>
          <w:sz w:val="21"/>
          <w:szCs w:val="21"/>
        </w:rPr>
        <w:t>依法参与合同缔结或履行，享有权利、承担义务的合同当事人</w:t>
      </w:r>
      <w:r>
        <w:rPr>
          <w:rFonts w:hint="eastAsia" w:ascii="宋体" w:hAnsi="宋体" w:eastAsia="宋体"/>
          <w:color w:val="auto"/>
          <w:sz w:val="21"/>
          <w:szCs w:val="24"/>
        </w:rPr>
        <w:t>。</w:t>
      </w:r>
    </w:p>
    <w:p>
      <w:pPr>
        <w:tabs>
          <w:tab w:val="left" w:pos="570"/>
          <w:tab w:val="left" w:pos="9240"/>
          <w:tab w:val="left" w:pos="9555"/>
        </w:tabs>
        <w:adjustRightInd w:val="0"/>
        <w:snapToGrid w:val="0"/>
        <w:spacing w:beforeLines="0" w:afterLines="0" w:line="400" w:lineRule="exact"/>
        <w:ind w:firstLine="420" w:firstLineChars="200"/>
        <w:jc w:val="left"/>
        <w:rPr>
          <w:rFonts w:hint="eastAsia" w:ascii="宋体" w:hAnsi="宋体" w:eastAsia="宋体"/>
          <w:color w:val="auto"/>
          <w:sz w:val="21"/>
          <w:szCs w:val="24"/>
        </w:rPr>
      </w:pPr>
      <w:r>
        <w:rPr>
          <w:rFonts w:hint="eastAsia" w:ascii="宋体" w:hAnsi="宋体" w:eastAsia="宋体"/>
          <w:color w:val="auto"/>
          <w:sz w:val="21"/>
          <w:szCs w:val="24"/>
        </w:rPr>
        <w:t>1.2本合同下列术语应解释为：</w:t>
      </w:r>
    </w:p>
    <w:p>
      <w:pPr>
        <w:adjustRightInd w:val="0"/>
        <w:snapToGrid w:val="0"/>
        <w:spacing w:afterLines="0" w:line="400" w:lineRule="exact"/>
        <w:ind w:firstLine="420" w:firstLineChars="200"/>
        <w:jc w:val="left"/>
        <w:rPr>
          <w:rFonts w:hint="eastAsia" w:ascii="宋体" w:hAnsi="宋体" w:eastAsia="宋体"/>
          <w:color w:val="auto"/>
          <w:sz w:val="21"/>
          <w:szCs w:val="24"/>
        </w:rPr>
      </w:pPr>
      <w:r>
        <w:rPr>
          <w:rFonts w:hint="eastAsia" w:ascii="宋体" w:hAnsi="宋体" w:eastAsia="宋体"/>
          <w:color w:val="auto"/>
          <w:sz w:val="21"/>
          <w:szCs w:val="24"/>
        </w:rPr>
        <w:t>（1）“合同”系指</w:t>
      </w:r>
      <w:r>
        <w:rPr>
          <w:rFonts w:hint="eastAsia" w:ascii="宋体" w:hAnsi="宋体" w:eastAsia="宋体" w:cs="宋体"/>
          <w:color w:val="000000"/>
          <w:sz w:val="21"/>
          <w:szCs w:val="21"/>
        </w:rPr>
        <w:t>合同当事人意思表示达成一致的任何协议，包括签署的</w:t>
      </w:r>
      <w:r>
        <w:rPr>
          <w:rFonts w:hint="eastAsia" w:ascii="宋体" w:hAnsi="宋体" w:eastAsia="宋体"/>
          <w:color w:val="auto"/>
          <w:sz w:val="21"/>
          <w:szCs w:val="24"/>
        </w:rPr>
        <w:t>政府采购合同协议书及其变更、补充协议，</w:t>
      </w:r>
      <w:r>
        <w:rPr>
          <w:rFonts w:hint="eastAsia" w:ascii="宋体" w:hAnsi="宋体" w:eastAsia="宋体"/>
          <w:sz w:val="21"/>
          <w:szCs w:val="24"/>
        </w:rPr>
        <w:t>政府采购合同专用条款，政府采购合同通用条款，</w:t>
      </w:r>
      <w:r>
        <w:rPr>
          <w:rFonts w:hint="eastAsia" w:ascii="宋体" w:hAnsi="宋体" w:eastAsia="宋体"/>
          <w:color w:val="auto"/>
          <w:sz w:val="21"/>
          <w:szCs w:val="24"/>
        </w:rPr>
        <w:t>中标（成交）通知书，</w:t>
      </w:r>
      <w:r>
        <w:rPr>
          <w:rFonts w:hint="eastAsia" w:ascii="宋体" w:hAnsi="宋体" w:eastAsia="宋体"/>
          <w:sz w:val="21"/>
          <w:szCs w:val="24"/>
        </w:rPr>
        <w:t>投标（响应）文件，采购文件，有关技术文件和图纸，以及</w:t>
      </w:r>
      <w:r>
        <w:rPr>
          <w:rFonts w:hint="eastAsia" w:ascii="宋体" w:hAnsi="宋体" w:eastAsia="宋体" w:cs="宋体"/>
          <w:color w:val="000000"/>
          <w:sz w:val="21"/>
          <w:szCs w:val="21"/>
        </w:rPr>
        <w:t>国家法律、行政法规和规章制度规定或合同约定的作为合同组成部分的其他文件</w:t>
      </w:r>
      <w:r>
        <w:rPr>
          <w:rFonts w:hint="eastAsia" w:ascii="宋体" w:hAnsi="宋体" w:eastAsia="宋体"/>
          <w:color w:val="auto"/>
          <w:sz w:val="21"/>
          <w:szCs w:val="24"/>
        </w:rPr>
        <w:t>。</w:t>
      </w:r>
    </w:p>
    <w:p>
      <w:pPr>
        <w:tabs>
          <w:tab w:val="left" w:pos="570"/>
          <w:tab w:val="left" w:pos="9240"/>
          <w:tab w:val="left" w:pos="9555"/>
        </w:tabs>
        <w:adjustRightInd w:val="0"/>
        <w:snapToGrid w:val="0"/>
        <w:spacing w:beforeLines="0" w:afterLines="0" w:line="400" w:lineRule="exact"/>
        <w:ind w:firstLine="420" w:firstLineChars="200"/>
        <w:jc w:val="left"/>
        <w:rPr>
          <w:rFonts w:hint="eastAsia" w:ascii="宋体" w:hAnsi="宋体" w:eastAsia="宋体"/>
          <w:color w:val="auto"/>
          <w:sz w:val="21"/>
          <w:szCs w:val="24"/>
        </w:rPr>
      </w:pPr>
      <w:r>
        <w:rPr>
          <w:rFonts w:hint="eastAsia" w:ascii="宋体" w:hAnsi="宋体" w:eastAsia="宋体"/>
          <w:color w:val="auto"/>
          <w:sz w:val="21"/>
          <w:szCs w:val="24"/>
        </w:rPr>
        <w:t>（2）“合同价款”系指根据本合同规定乙方在全面履行合同义务后甲方应支付给乙方的价款。</w:t>
      </w:r>
    </w:p>
    <w:p>
      <w:pPr>
        <w:tabs>
          <w:tab w:val="left" w:pos="570"/>
          <w:tab w:val="left" w:pos="9240"/>
          <w:tab w:val="left" w:pos="9555"/>
        </w:tabs>
        <w:adjustRightInd w:val="0"/>
        <w:snapToGrid w:val="0"/>
        <w:spacing w:beforeLines="0" w:afterLines="0" w:line="400" w:lineRule="exact"/>
        <w:ind w:firstLine="420" w:firstLineChars="200"/>
        <w:jc w:val="left"/>
        <w:rPr>
          <w:rFonts w:hint="eastAsia" w:ascii="宋体" w:hAnsi="宋体" w:eastAsia="宋体"/>
          <w:color w:val="000000"/>
          <w:sz w:val="21"/>
          <w:szCs w:val="24"/>
        </w:rPr>
      </w:pPr>
      <w:r>
        <w:rPr>
          <w:rFonts w:hint="eastAsia" w:ascii="宋体" w:hAnsi="宋体" w:eastAsia="宋体"/>
          <w:color w:val="auto"/>
          <w:sz w:val="21"/>
          <w:szCs w:val="24"/>
        </w:rPr>
        <w:t>（3）“货物”系指乙方根据本合同规定须向甲方提供的各种形态和种类的物品，包括原材料、设备、产品（</w:t>
      </w:r>
      <w:r>
        <w:rPr>
          <w:rFonts w:hint="eastAsia" w:ascii="宋体" w:hAnsi="宋体" w:eastAsia="宋体"/>
          <w:color w:val="000000"/>
          <w:sz w:val="21"/>
          <w:szCs w:val="24"/>
        </w:rPr>
        <w:t>包括软件）及相关的其备品备件、工具、手册及</w:t>
      </w:r>
      <w:r>
        <w:rPr>
          <w:rFonts w:hint="eastAsia" w:ascii="宋体" w:hAnsi="宋体" w:eastAsia="宋体"/>
          <w:color w:val="000000"/>
          <w:sz w:val="21"/>
          <w:szCs w:val="24"/>
          <w:lang w:val="en"/>
        </w:rPr>
        <w:t>其他</w:t>
      </w:r>
      <w:r>
        <w:rPr>
          <w:rFonts w:hint="eastAsia" w:ascii="宋体" w:hAnsi="宋体" w:eastAsia="宋体"/>
          <w:color w:val="000000"/>
          <w:sz w:val="21"/>
          <w:szCs w:val="24"/>
        </w:rPr>
        <w:t>技术资料和材料等。</w:t>
      </w:r>
    </w:p>
    <w:p>
      <w:pPr>
        <w:adjustRightInd w:val="0"/>
        <w:snapToGrid w:val="0"/>
        <w:spacing w:beforeLines="0" w:afterLines="0" w:line="400" w:lineRule="exact"/>
        <w:ind w:firstLine="420" w:firstLineChars="200"/>
        <w:jc w:val="left"/>
        <w:rPr>
          <w:rFonts w:hint="eastAsia" w:ascii="宋体" w:hAnsi="宋体" w:eastAsia="宋体"/>
          <w:color w:val="000000"/>
          <w:sz w:val="21"/>
          <w:szCs w:val="24"/>
        </w:rPr>
      </w:pPr>
      <w:r>
        <w:rPr>
          <w:rFonts w:hint="eastAsia" w:ascii="宋体" w:hAnsi="宋体" w:eastAsia="宋体"/>
          <w:color w:val="000000"/>
          <w:sz w:val="21"/>
          <w:szCs w:val="24"/>
        </w:rPr>
        <w:t>（4）“</w:t>
      </w:r>
      <w:r>
        <w:rPr>
          <w:rFonts w:hint="eastAsia" w:ascii="宋体" w:hAnsi="宋体" w:eastAsia="宋体"/>
          <w:color w:val="auto"/>
          <w:sz w:val="21"/>
          <w:szCs w:val="24"/>
        </w:rPr>
        <w:t>相关</w:t>
      </w:r>
      <w:r>
        <w:rPr>
          <w:rFonts w:hint="eastAsia" w:ascii="宋体" w:hAnsi="宋体" w:eastAsia="宋体"/>
          <w:color w:val="000000"/>
          <w:sz w:val="21"/>
          <w:szCs w:val="24"/>
        </w:rPr>
        <w:t>服务”系指根据合同规定，乙方应提供的与货物有关的技术、管理和</w:t>
      </w:r>
      <w:r>
        <w:rPr>
          <w:rFonts w:hint="eastAsia" w:ascii="宋体" w:hAnsi="宋体" w:eastAsia="宋体"/>
          <w:color w:val="000000"/>
          <w:sz w:val="21"/>
          <w:szCs w:val="24"/>
          <w:lang w:val="en"/>
        </w:rPr>
        <w:t>其他</w:t>
      </w:r>
      <w:r>
        <w:rPr>
          <w:rFonts w:hint="eastAsia" w:ascii="宋体" w:hAnsi="宋体" w:eastAsia="宋体"/>
          <w:color w:val="000000"/>
          <w:sz w:val="21"/>
          <w:szCs w:val="24"/>
        </w:rPr>
        <w:t>服务，包括但不限于：管理和质量保证、运输、保险、检验、现场准备、安装、集成、调试、培训、维修、废弃处置、技术支持等以及合同中规定乙方应承担的</w:t>
      </w:r>
      <w:r>
        <w:rPr>
          <w:rFonts w:hint="eastAsia" w:ascii="宋体" w:hAnsi="宋体" w:eastAsia="宋体"/>
          <w:color w:val="000000"/>
          <w:sz w:val="21"/>
          <w:szCs w:val="24"/>
          <w:lang w:val="en"/>
        </w:rPr>
        <w:t>其他</w:t>
      </w:r>
      <w:r>
        <w:rPr>
          <w:rFonts w:hint="eastAsia" w:ascii="宋体" w:hAnsi="宋体" w:eastAsia="宋体"/>
          <w:color w:val="000000"/>
          <w:sz w:val="21"/>
          <w:szCs w:val="24"/>
        </w:rPr>
        <w:t>义务。</w:t>
      </w:r>
    </w:p>
    <w:p>
      <w:pPr>
        <w:adjustRightInd w:val="0"/>
        <w:snapToGrid w:val="0"/>
        <w:spacing w:beforeLines="0" w:afterLines="0" w:line="400" w:lineRule="exact"/>
        <w:ind w:firstLine="420" w:firstLineChars="200"/>
        <w:jc w:val="left"/>
        <w:rPr>
          <w:rFonts w:hint="eastAsia" w:ascii="宋体" w:hAnsi="宋体" w:eastAsia="宋体"/>
          <w:color w:val="000000"/>
          <w:sz w:val="21"/>
          <w:szCs w:val="24"/>
        </w:rPr>
      </w:pPr>
      <w:r>
        <w:rPr>
          <w:rFonts w:hint="eastAsia" w:ascii="宋体" w:hAnsi="宋体" w:eastAsia="宋体"/>
          <w:color w:val="000000"/>
          <w:sz w:val="21"/>
          <w:szCs w:val="24"/>
        </w:rPr>
        <w:t>（5）“分包”系指中标（成交）供应商按采购文件、投标（响应）文件的规定，根据分包意向协议，将中标（成交）项目中的部分履约内容，分给具有相应资质条件的供应商履行合同的行为。</w:t>
      </w:r>
    </w:p>
    <w:p>
      <w:pPr>
        <w:tabs>
          <w:tab w:val="left" w:pos="570"/>
          <w:tab w:val="left" w:pos="9240"/>
          <w:tab w:val="left" w:pos="9555"/>
        </w:tabs>
        <w:adjustRightInd w:val="0"/>
        <w:snapToGrid w:val="0"/>
        <w:spacing w:beforeLines="0" w:afterLines="0" w:line="400" w:lineRule="exact"/>
        <w:ind w:firstLine="420" w:firstLineChars="200"/>
        <w:jc w:val="left"/>
        <w:rPr>
          <w:rFonts w:hint="eastAsia" w:ascii="宋体" w:hAnsi="宋体" w:eastAsia="宋体"/>
          <w:color w:val="000000"/>
          <w:sz w:val="21"/>
          <w:szCs w:val="24"/>
        </w:rPr>
      </w:pPr>
      <w:r>
        <w:rPr>
          <w:rFonts w:hint="eastAsia" w:ascii="宋体" w:hAnsi="宋体" w:eastAsia="宋体"/>
          <w:color w:val="000000"/>
          <w:sz w:val="21"/>
          <w:szCs w:val="24"/>
        </w:rPr>
        <w:t>（6）</w:t>
      </w:r>
      <w:r>
        <w:rPr>
          <w:rFonts w:hint="eastAsia" w:ascii="宋体" w:hAnsi="宋体" w:eastAsia="宋体"/>
          <w:sz w:val="21"/>
          <w:szCs w:val="24"/>
        </w:rPr>
        <w:t>“联合体”系指由两个以上的自然人、法人或者非法人组织组成，以一个供应商的身份共同参加政府采购的主体</w:t>
      </w:r>
      <w:r>
        <w:rPr>
          <w:rFonts w:hint="eastAsia" w:ascii="宋体" w:hAnsi="宋体" w:eastAsia="宋体"/>
          <w:color w:val="000000"/>
          <w:sz w:val="21"/>
          <w:szCs w:val="24"/>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b/>
          <w:color w:val="000000"/>
          <w:sz w:val="21"/>
          <w:szCs w:val="24"/>
        </w:rPr>
        <w:t>政府采购合同专用条款</w:t>
      </w:r>
      <w:r>
        <w:rPr>
          <w:rFonts w:hint="eastAsia" w:ascii="宋体" w:hAnsi="宋体" w:eastAsia="宋体"/>
          <w:color w:val="000000"/>
          <w:sz w:val="21"/>
          <w:szCs w:val="24"/>
        </w:rPr>
        <w:t>】。</w:t>
      </w:r>
    </w:p>
    <w:p>
      <w:pPr>
        <w:tabs>
          <w:tab w:val="left" w:pos="570"/>
          <w:tab w:val="left" w:pos="9240"/>
          <w:tab w:val="left" w:pos="9555"/>
        </w:tabs>
        <w:adjustRightInd w:val="0"/>
        <w:snapToGrid w:val="0"/>
        <w:spacing w:beforeLines="0" w:afterLines="0" w:line="400" w:lineRule="exact"/>
        <w:ind w:firstLine="420" w:firstLineChars="200"/>
        <w:jc w:val="left"/>
        <w:rPr>
          <w:rFonts w:hint="eastAsia" w:ascii="宋体" w:hAnsi="宋体" w:eastAsia="宋体"/>
          <w:color w:val="000000"/>
          <w:sz w:val="21"/>
          <w:szCs w:val="24"/>
        </w:rPr>
      </w:pPr>
      <w:r>
        <w:rPr>
          <w:rFonts w:hint="eastAsia" w:ascii="宋体" w:hAnsi="宋体" w:eastAsia="宋体"/>
          <w:color w:val="000000"/>
          <w:sz w:val="21"/>
          <w:szCs w:val="24"/>
        </w:rPr>
        <w:t>（7）其他术语解释，见【</w:t>
      </w:r>
      <w:r>
        <w:rPr>
          <w:rFonts w:hint="eastAsia" w:ascii="宋体" w:hAnsi="宋体" w:eastAsia="宋体"/>
          <w:b/>
          <w:color w:val="000000"/>
          <w:sz w:val="21"/>
          <w:szCs w:val="24"/>
        </w:rPr>
        <w:t>政府采购合同专用条款</w:t>
      </w:r>
      <w:r>
        <w:rPr>
          <w:rFonts w:hint="eastAsia" w:ascii="宋体" w:hAnsi="宋体" w:eastAsia="宋体"/>
          <w:color w:val="000000"/>
          <w:sz w:val="21"/>
          <w:szCs w:val="24"/>
        </w:rPr>
        <w:t>】。</w:t>
      </w:r>
    </w:p>
    <w:p>
      <w:pPr>
        <w:numPr>
          <w:ilvl w:val="0"/>
          <w:numId w:val="5"/>
        </w:numPr>
        <w:autoSpaceDE w:val="0"/>
        <w:autoSpaceDN w:val="0"/>
        <w:adjustRightInd w:val="0"/>
        <w:snapToGrid w:val="0"/>
        <w:spacing w:beforeLines="0" w:afterLines="0" w:line="400" w:lineRule="exact"/>
        <w:jc w:val="left"/>
        <w:rPr>
          <w:rFonts w:hint="eastAsia" w:ascii="宋体" w:hAnsi="宋体" w:eastAsia="宋体"/>
          <w:b/>
          <w:color w:val="000000"/>
          <w:sz w:val="24"/>
          <w:szCs w:val="24"/>
        </w:rPr>
      </w:pPr>
      <w:r>
        <w:rPr>
          <w:rFonts w:hint="eastAsia" w:ascii="宋体" w:hAnsi="宋体" w:eastAsia="宋体"/>
          <w:b/>
          <w:color w:val="000000"/>
          <w:sz w:val="24"/>
          <w:szCs w:val="24"/>
        </w:rPr>
        <w:t>合同标的及金额</w:t>
      </w:r>
    </w:p>
    <w:p>
      <w:pPr>
        <w:autoSpaceDE w:val="0"/>
        <w:autoSpaceDN w:val="0"/>
        <w:adjustRightInd w:val="0"/>
        <w:snapToGrid w:val="0"/>
        <w:spacing w:beforeLines="0" w:afterLines="0" w:line="400" w:lineRule="exact"/>
        <w:ind w:firstLine="420" w:firstLineChars="200"/>
        <w:jc w:val="left"/>
        <w:rPr>
          <w:rFonts w:hint="eastAsia" w:ascii="宋体" w:hAnsi="宋体" w:eastAsia="宋体"/>
          <w:b/>
          <w:i/>
          <w:color w:val="000000"/>
          <w:sz w:val="21"/>
          <w:szCs w:val="24"/>
        </w:rPr>
      </w:pPr>
      <w:r>
        <w:rPr>
          <w:rFonts w:hint="eastAsia" w:ascii="宋体" w:hAnsi="宋体" w:eastAsia="宋体"/>
          <w:color w:val="000000"/>
          <w:sz w:val="21"/>
          <w:szCs w:val="24"/>
        </w:rPr>
        <w:t>2.1 合同标的及金额应与中标（成交）结果一致。乙方为履行本合同而发生的所有费用均应包含在合同价款中，甲方不再另行支付</w:t>
      </w:r>
      <w:r>
        <w:rPr>
          <w:rFonts w:hint="eastAsia" w:ascii="宋体" w:hAnsi="宋体" w:eastAsia="宋体"/>
          <w:color w:val="000000"/>
          <w:sz w:val="21"/>
          <w:szCs w:val="24"/>
          <w:lang w:val="en"/>
        </w:rPr>
        <w:t>其他</w:t>
      </w:r>
      <w:r>
        <w:rPr>
          <w:rFonts w:hint="eastAsia" w:ascii="宋体" w:hAnsi="宋体" w:eastAsia="宋体"/>
          <w:color w:val="000000"/>
          <w:sz w:val="21"/>
          <w:szCs w:val="24"/>
        </w:rPr>
        <w:t>任何费用。</w:t>
      </w:r>
    </w:p>
    <w:p>
      <w:pPr>
        <w:adjustRightInd w:val="0"/>
        <w:snapToGrid w:val="0"/>
        <w:spacing w:beforeLines="0" w:afterLines="0" w:line="400" w:lineRule="exact"/>
        <w:jc w:val="left"/>
        <w:rPr>
          <w:rFonts w:hint="eastAsia" w:ascii="宋体" w:hAnsi="宋体" w:eastAsia="宋体"/>
          <w:b/>
          <w:color w:val="000000"/>
          <w:sz w:val="24"/>
          <w:szCs w:val="24"/>
        </w:rPr>
      </w:pPr>
      <w:r>
        <w:rPr>
          <w:rFonts w:hint="eastAsia" w:ascii="宋体" w:hAnsi="宋体" w:eastAsia="宋体"/>
          <w:b/>
          <w:color w:val="000000"/>
          <w:sz w:val="24"/>
          <w:szCs w:val="24"/>
        </w:rPr>
        <w:t>3. 履行合同的时间、地点和方式</w:t>
      </w:r>
    </w:p>
    <w:p>
      <w:pPr>
        <w:autoSpaceDE w:val="0"/>
        <w:autoSpaceDN w:val="0"/>
        <w:adjustRightInd w:val="0"/>
        <w:snapToGrid w:val="0"/>
        <w:spacing w:beforeLines="0" w:afterLines="0" w:line="400" w:lineRule="exact"/>
        <w:ind w:firstLine="420" w:firstLineChars="200"/>
        <w:jc w:val="left"/>
        <w:rPr>
          <w:rFonts w:hint="eastAsia" w:ascii="宋体" w:hAnsi="宋体" w:eastAsia="宋体"/>
          <w:color w:val="000000"/>
          <w:sz w:val="21"/>
          <w:szCs w:val="24"/>
        </w:rPr>
      </w:pPr>
      <w:r>
        <w:rPr>
          <w:rFonts w:hint="eastAsia" w:ascii="宋体" w:hAnsi="宋体" w:eastAsia="宋体"/>
          <w:color w:val="000000"/>
          <w:sz w:val="21"/>
          <w:szCs w:val="24"/>
        </w:rPr>
        <w:t xml:space="preserve">3.1 </w:t>
      </w:r>
      <w:r>
        <w:rPr>
          <w:rFonts w:hint="eastAsia" w:ascii="宋体" w:hAnsi="宋体" w:eastAsia="宋体" w:cs="宋体"/>
          <w:sz w:val="21"/>
          <w:szCs w:val="21"/>
        </w:rPr>
        <w:t>乙方应当在约定的时间、地点，按照约定方式履行合同。</w:t>
      </w:r>
    </w:p>
    <w:p>
      <w:pPr>
        <w:autoSpaceDE w:val="0"/>
        <w:autoSpaceDN w:val="0"/>
        <w:adjustRightInd w:val="0"/>
        <w:snapToGrid w:val="0"/>
        <w:spacing w:beforeLines="0" w:afterLines="0" w:line="400" w:lineRule="exact"/>
        <w:jc w:val="left"/>
        <w:rPr>
          <w:rFonts w:hint="eastAsia" w:ascii="宋体" w:hAnsi="宋体" w:eastAsia="宋体"/>
          <w:b/>
          <w:color w:val="000000"/>
          <w:sz w:val="24"/>
          <w:szCs w:val="24"/>
        </w:rPr>
      </w:pPr>
      <w:r>
        <w:rPr>
          <w:rFonts w:hint="eastAsia" w:ascii="宋体" w:hAnsi="宋体" w:eastAsia="宋体"/>
          <w:b/>
          <w:color w:val="000000"/>
          <w:sz w:val="24"/>
          <w:szCs w:val="24"/>
        </w:rPr>
        <w:t>4. 甲方的权利和义务</w:t>
      </w:r>
    </w:p>
    <w:p>
      <w:pPr>
        <w:autoSpaceDE w:val="0"/>
        <w:autoSpaceDN w:val="0"/>
        <w:adjustRightInd w:val="0"/>
        <w:snapToGrid w:val="0"/>
        <w:spacing w:beforeLines="0" w:afterLines="0" w:line="400" w:lineRule="exact"/>
        <w:ind w:firstLine="420" w:firstLineChars="200"/>
        <w:jc w:val="left"/>
        <w:rPr>
          <w:rFonts w:hint="eastAsia" w:ascii="宋体" w:hAnsi="宋体" w:eastAsia="宋体"/>
          <w:color w:val="000000"/>
          <w:sz w:val="21"/>
          <w:szCs w:val="24"/>
        </w:rPr>
      </w:pPr>
      <w:r>
        <w:rPr>
          <w:rFonts w:hint="eastAsia" w:ascii="宋体" w:hAnsi="宋体" w:eastAsia="宋体"/>
          <w:color w:val="000000"/>
          <w:sz w:val="21"/>
          <w:szCs w:val="24"/>
        </w:rPr>
        <w:t>4.1 签署合同后，甲方应确定项目负责人（或项目联系人），负责与本合同有关的事务。甲方有权对乙方的履约行为进行检查，并及时确认乙方提交的事项。甲方应当配合乙方完成相关项目实施工作。</w:t>
      </w:r>
    </w:p>
    <w:p>
      <w:pPr>
        <w:autoSpaceDE w:val="0"/>
        <w:autoSpaceDN w:val="0"/>
        <w:adjustRightInd w:val="0"/>
        <w:snapToGrid w:val="0"/>
        <w:spacing w:beforeLines="0" w:afterLines="0" w:line="400" w:lineRule="exact"/>
        <w:ind w:firstLine="420" w:firstLineChars="200"/>
        <w:jc w:val="left"/>
        <w:rPr>
          <w:rFonts w:hint="eastAsia" w:ascii="宋体" w:hAnsi="宋体" w:eastAsia="宋体"/>
          <w:color w:val="000000"/>
          <w:sz w:val="21"/>
          <w:szCs w:val="24"/>
        </w:rPr>
      </w:pPr>
      <w:r>
        <w:rPr>
          <w:rFonts w:hint="eastAsia" w:ascii="宋体" w:hAnsi="宋体" w:eastAsia="宋体"/>
          <w:color w:val="000000"/>
          <w:sz w:val="21"/>
          <w:szCs w:val="24"/>
        </w:rPr>
        <w:t>4.2 甲方有权要求乙方按时提交各阶段有关安排计划，并有权定期核对乙方提供货物数量、规格、质量等内容。甲方有权督促乙方工作并要求乙方更换不符合要求的货物。</w:t>
      </w:r>
    </w:p>
    <w:p>
      <w:pPr>
        <w:autoSpaceDE w:val="0"/>
        <w:autoSpaceDN w:val="0"/>
        <w:adjustRightInd w:val="0"/>
        <w:snapToGrid w:val="0"/>
        <w:spacing w:beforeLines="0" w:afterLines="0" w:line="400" w:lineRule="exact"/>
        <w:ind w:firstLine="420" w:firstLineChars="200"/>
        <w:jc w:val="left"/>
        <w:rPr>
          <w:rFonts w:hint="eastAsia" w:ascii="宋体" w:hAnsi="宋体" w:eastAsia="宋体"/>
          <w:color w:val="000000"/>
          <w:sz w:val="21"/>
          <w:szCs w:val="24"/>
        </w:rPr>
      </w:pPr>
      <w:r>
        <w:rPr>
          <w:rFonts w:hint="eastAsia" w:ascii="宋体" w:hAnsi="宋体" w:eastAsia="宋体"/>
          <w:color w:val="000000"/>
          <w:sz w:val="21"/>
          <w:szCs w:val="24"/>
        </w:rPr>
        <w:t>4.3 甲方有权要求乙方对缺陷部分予以修复，并按合同约定享有货物保修及其他合同约定的权利。</w:t>
      </w:r>
    </w:p>
    <w:p>
      <w:pPr>
        <w:snapToGrid w:val="0"/>
        <w:spacing w:beforeLines="0" w:afterLines="0" w:line="400" w:lineRule="exact"/>
        <w:ind w:firstLine="420" w:firstLineChars="200"/>
        <w:rPr>
          <w:rFonts w:hint="eastAsia" w:ascii="Times New Roman" w:hAnsi="Times New Roman" w:eastAsia="华文楷体"/>
          <w:sz w:val="21"/>
          <w:szCs w:val="24"/>
        </w:rPr>
      </w:pPr>
      <w:r>
        <w:rPr>
          <w:rFonts w:hint="eastAsia" w:ascii="宋体" w:hAnsi="宋体" w:eastAsia="宋体"/>
          <w:color w:val="000000"/>
          <w:sz w:val="21"/>
          <w:szCs w:val="24"/>
        </w:rPr>
        <w:t>4.4 甲方应当按照合同约定及时对交付的货物进行验收，</w:t>
      </w:r>
      <w:r>
        <w:rPr>
          <w:rFonts w:hint="eastAsia" w:ascii="宋体" w:hAnsi="宋体" w:eastAsia="宋体" w:cs="宋体"/>
          <w:sz w:val="21"/>
          <w:szCs w:val="21"/>
        </w:rPr>
        <w:t>未</w:t>
      </w:r>
      <w:r>
        <w:rPr>
          <w:rFonts w:hint="eastAsia" w:ascii="宋体" w:hAnsi="宋体" w:eastAsia="宋体"/>
          <w:color w:val="000000"/>
          <w:sz w:val="21"/>
          <w:szCs w:val="24"/>
        </w:rPr>
        <w:t>在</w:t>
      </w:r>
      <w:r>
        <w:rPr>
          <w:rFonts w:hint="eastAsia" w:ascii="宋体" w:hAnsi="宋体" w:eastAsia="宋体" w:cs="宋体"/>
          <w:b/>
          <w:sz w:val="21"/>
          <w:szCs w:val="21"/>
        </w:rPr>
        <w:t>【政府采购合同专用条款】</w:t>
      </w:r>
      <w:r>
        <w:rPr>
          <w:rFonts w:hint="eastAsia" w:ascii="宋体" w:hAnsi="宋体" w:eastAsia="宋体" w:cs="宋体"/>
          <w:sz w:val="21"/>
          <w:szCs w:val="21"/>
        </w:rPr>
        <w:t>约定的期限内对乙方履约提出任何异议或者向乙方作出任何说明的，</w:t>
      </w:r>
      <w:r>
        <w:rPr>
          <w:rFonts w:hint="eastAsia" w:ascii="宋体" w:hAnsi="宋体" w:eastAsia="宋体"/>
          <w:color w:val="000000"/>
          <w:sz w:val="21"/>
          <w:szCs w:val="24"/>
        </w:rPr>
        <w:t>视为验收通过。</w:t>
      </w:r>
    </w:p>
    <w:p>
      <w:pPr>
        <w:autoSpaceDE w:val="0"/>
        <w:autoSpaceDN w:val="0"/>
        <w:adjustRightInd w:val="0"/>
        <w:snapToGrid w:val="0"/>
        <w:spacing w:beforeLines="0" w:afterLines="0" w:line="400" w:lineRule="exact"/>
        <w:ind w:firstLine="420" w:firstLineChars="200"/>
        <w:jc w:val="left"/>
        <w:rPr>
          <w:rFonts w:hint="eastAsia" w:ascii="宋体" w:hAnsi="宋体" w:eastAsia="宋体"/>
          <w:color w:val="000000"/>
          <w:sz w:val="21"/>
          <w:szCs w:val="24"/>
        </w:rPr>
      </w:pPr>
      <w:r>
        <w:rPr>
          <w:rFonts w:hint="eastAsia" w:ascii="宋体" w:hAnsi="宋体" w:eastAsia="宋体"/>
          <w:color w:val="000000"/>
          <w:sz w:val="21"/>
          <w:szCs w:val="24"/>
        </w:rPr>
        <w:t>4.5 甲方应当根据合同约定及时向乙方支付合同价款，不得以内部人员变更、履行内部付款流程等为由，拒绝或迟延支付。</w:t>
      </w:r>
    </w:p>
    <w:p>
      <w:pPr>
        <w:autoSpaceDE w:val="0"/>
        <w:autoSpaceDN w:val="0"/>
        <w:adjustRightInd w:val="0"/>
        <w:snapToGrid w:val="0"/>
        <w:spacing w:beforeLines="0" w:afterLines="0" w:line="400" w:lineRule="exact"/>
        <w:ind w:firstLine="420" w:firstLineChars="200"/>
        <w:jc w:val="left"/>
        <w:rPr>
          <w:rFonts w:hint="eastAsia" w:ascii="宋体" w:hAnsi="宋体" w:eastAsia="宋体"/>
          <w:color w:val="000000"/>
          <w:sz w:val="21"/>
          <w:szCs w:val="24"/>
        </w:rPr>
      </w:pPr>
      <w:r>
        <w:rPr>
          <w:rFonts w:hint="eastAsia" w:ascii="宋体" w:hAnsi="宋体" w:eastAsia="宋体"/>
          <w:color w:val="000000"/>
          <w:sz w:val="21"/>
          <w:szCs w:val="24"/>
        </w:rPr>
        <w:t>4.6 国家法律法规规定及</w:t>
      </w:r>
      <w:r>
        <w:rPr>
          <w:rFonts w:hint="eastAsia" w:ascii="宋体" w:hAnsi="宋体" w:eastAsia="宋体" w:cs="宋体"/>
          <w:b/>
          <w:sz w:val="21"/>
          <w:szCs w:val="21"/>
        </w:rPr>
        <w:t>【政府采购合同专用条款】</w:t>
      </w:r>
      <w:r>
        <w:rPr>
          <w:rFonts w:hint="eastAsia" w:ascii="宋体" w:hAnsi="宋体" w:eastAsia="宋体"/>
          <w:color w:val="000000"/>
          <w:sz w:val="21"/>
          <w:szCs w:val="24"/>
        </w:rPr>
        <w:t>约定应由甲方承担的其他义务和责任。</w:t>
      </w:r>
    </w:p>
    <w:p>
      <w:pPr>
        <w:autoSpaceDE w:val="0"/>
        <w:autoSpaceDN w:val="0"/>
        <w:adjustRightInd w:val="0"/>
        <w:snapToGrid w:val="0"/>
        <w:spacing w:beforeLines="0" w:afterLines="0" w:line="400" w:lineRule="exact"/>
        <w:jc w:val="left"/>
        <w:rPr>
          <w:rFonts w:hint="eastAsia" w:ascii="宋体" w:hAnsi="宋体" w:eastAsia="宋体"/>
          <w:b/>
          <w:color w:val="000000"/>
          <w:sz w:val="24"/>
          <w:szCs w:val="24"/>
        </w:rPr>
      </w:pPr>
      <w:r>
        <w:rPr>
          <w:rFonts w:hint="eastAsia" w:ascii="宋体" w:hAnsi="宋体" w:eastAsia="宋体"/>
          <w:b/>
          <w:color w:val="000000"/>
          <w:sz w:val="24"/>
          <w:szCs w:val="24"/>
        </w:rPr>
        <w:t>5. 乙方的权利和义务</w:t>
      </w:r>
    </w:p>
    <w:p>
      <w:pPr>
        <w:autoSpaceDE w:val="0"/>
        <w:autoSpaceDN w:val="0"/>
        <w:adjustRightInd w:val="0"/>
        <w:snapToGrid w:val="0"/>
        <w:spacing w:beforeLines="0" w:afterLines="0" w:line="400" w:lineRule="exact"/>
        <w:ind w:firstLine="420" w:firstLineChars="200"/>
        <w:jc w:val="left"/>
        <w:rPr>
          <w:rFonts w:hint="eastAsia" w:ascii="宋体" w:hAnsi="宋体" w:eastAsia="宋体"/>
          <w:color w:val="000000"/>
          <w:sz w:val="21"/>
          <w:szCs w:val="24"/>
        </w:rPr>
      </w:pPr>
      <w:r>
        <w:rPr>
          <w:rFonts w:hint="eastAsia" w:ascii="宋体" w:hAnsi="宋体" w:eastAsia="宋体"/>
          <w:color w:val="000000"/>
          <w:sz w:val="21"/>
          <w:szCs w:val="24"/>
        </w:rPr>
        <w:t>5.1 签署合同后，乙方应确定项目负责人（或项目联系人），负责与本合同有关的事务。</w:t>
      </w:r>
    </w:p>
    <w:p>
      <w:pPr>
        <w:autoSpaceDE w:val="0"/>
        <w:autoSpaceDN w:val="0"/>
        <w:adjustRightInd w:val="0"/>
        <w:snapToGrid w:val="0"/>
        <w:spacing w:beforeLines="0" w:afterLines="0" w:line="400" w:lineRule="exact"/>
        <w:ind w:firstLine="420" w:firstLineChars="200"/>
        <w:jc w:val="left"/>
        <w:rPr>
          <w:rFonts w:hint="eastAsia" w:ascii="宋体" w:hAnsi="宋体" w:eastAsia="宋体" w:cs="Times New Roman"/>
          <w:color w:val="000000"/>
          <w:sz w:val="21"/>
          <w:szCs w:val="24"/>
        </w:rPr>
      </w:pPr>
      <w:r>
        <w:rPr>
          <w:rFonts w:hint="eastAsia" w:ascii="宋体" w:hAnsi="宋体" w:eastAsia="宋体"/>
          <w:color w:val="000000"/>
          <w:sz w:val="21"/>
          <w:szCs w:val="24"/>
        </w:rPr>
        <w:t>5.2 乙方应按照合同要求履约，充分合理安排，确保提供的货物及相关服务符合合同有关要求。接受项目</w:t>
      </w:r>
      <w:r>
        <w:rPr>
          <w:rFonts w:hint="eastAsia" w:ascii="宋体" w:hAnsi="宋体" w:eastAsia="宋体" w:cs="Times New Roman"/>
          <w:color w:val="000000"/>
          <w:sz w:val="21"/>
          <w:szCs w:val="24"/>
        </w:rPr>
        <w:t>行业管理部门及政府有关部门的指导，配合甲方的履约检查及验收，并负责项目实施过程中的所有协调工作。</w:t>
      </w:r>
    </w:p>
    <w:p>
      <w:pPr>
        <w:autoSpaceDE w:val="0"/>
        <w:autoSpaceDN w:val="0"/>
        <w:adjustRightInd w:val="0"/>
        <w:snapToGrid w:val="0"/>
        <w:spacing w:beforeLines="0" w:afterLines="0" w:line="400" w:lineRule="exact"/>
        <w:ind w:firstLine="420" w:firstLineChars="200"/>
        <w:jc w:val="left"/>
        <w:rPr>
          <w:rFonts w:hint="eastAsia" w:ascii="宋体" w:hAnsi="宋体" w:eastAsia="宋体" w:cs="Times New Roman"/>
          <w:color w:val="000000"/>
          <w:sz w:val="21"/>
          <w:szCs w:val="24"/>
        </w:rPr>
      </w:pPr>
      <w:r>
        <w:rPr>
          <w:rFonts w:hint="eastAsia" w:ascii="宋体" w:hAnsi="宋体" w:eastAsia="宋体" w:cs="Times New Roman"/>
          <w:color w:val="000000"/>
          <w:sz w:val="21"/>
          <w:szCs w:val="24"/>
        </w:rPr>
        <w:t>5.3乙方有权根据合同约定向甲方收取合同价款。</w:t>
      </w:r>
    </w:p>
    <w:p>
      <w:pPr>
        <w:autoSpaceDE w:val="0"/>
        <w:autoSpaceDN w:val="0"/>
        <w:adjustRightInd w:val="0"/>
        <w:snapToGrid w:val="0"/>
        <w:spacing w:beforeLines="0" w:afterLines="0" w:line="400" w:lineRule="exact"/>
        <w:ind w:firstLine="420" w:firstLineChars="200"/>
        <w:jc w:val="left"/>
        <w:rPr>
          <w:rFonts w:hint="eastAsia" w:ascii="宋体" w:hAnsi="宋体" w:eastAsia="宋体" w:cs="Times New Roman"/>
          <w:color w:val="000000"/>
          <w:sz w:val="21"/>
          <w:szCs w:val="24"/>
        </w:rPr>
      </w:pPr>
      <w:r>
        <w:rPr>
          <w:rFonts w:hint="eastAsia" w:ascii="宋体" w:hAnsi="宋体" w:eastAsia="宋体" w:cs="Times New Roman"/>
          <w:color w:val="000000"/>
          <w:sz w:val="21"/>
          <w:szCs w:val="24"/>
        </w:rPr>
        <w:t>5.4国家法律法规规定及【政府采购合同专用条款】约定应由乙方承担的其他义务和</w:t>
      </w:r>
    </w:p>
    <w:p>
      <w:pPr>
        <w:autoSpaceDE w:val="0"/>
        <w:autoSpaceDN w:val="0"/>
        <w:adjustRightInd w:val="0"/>
        <w:snapToGrid w:val="0"/>
        <w:spacing w:beforeLines="0" w:afterLines="0" w:line="400" w:lineRule="exact"/>
        <w:ind w:firstLine="420" w:firstLineChars="200"/>
        <w:jc w:val="left"/>
        <w:rPr>
          <w:rFonts w:hint="eastAsia" w:ascii="宋体" w:hAnsi="宋体" w:eastAsia="宋体" w:cs="Times New Roman"/>
          <w:color w:val="000000"/>
          <w:sz w:val="21"/>
          <w:szCs w:val="24"/>
        </w:rPr>
      </w:pPr>
      <w:r>
        <w:rPr>
          <w:rFonts w:hint="eastAsia" w:ascii="宋体" w:hAnsi="宋体" w:eastAsia="宋体" w:cs="Times New Roman"/>
          <w:color w:val="000000"/>
          <w:sz w:val="21"/>
          <w:szCs w:val="24"/>
        </w:rPr>
        <w:t>责任。</w:t>
      </w:r>
    </w:p>
    <w:p>
      <w:pPr>
        <w:numPr>
          <w:ilvl w:val="0"/>
          <w:numId w:val="6"/>
        </w:numPr>
        <w:autoSpaceDE w:val="0"/>
        <w:autoSpaceDN w:val="0"/>
        <w:adjustRightInd w:val="0"/>
        <w:snapToGrid w:val="0"/>
        <w:spacing w:beforeLines="0" w:afterLines="0" w:line="400" w:lineRule="exact"/>
        <w:jc w:val="left"/>
        <w:rPr>
          <w:rFonts w:hint="eastAsia" w:ascii="宋体" w:hAnsi="宋体" w:eastAsia="宋体"/>
          <w:b/>
          <w:color w:val="000000"/>
          <w:sz w:val="24"/>
          <w:szCs w:val="24"/>
        </w:rPr>
      </w:pPr>
      <w:r>
        <w:rPr>
          <w:rFonts w:hint="eastAsia" w:ascii="宋体" w:hAnsi="宋体" w:eastAsia="宋体"/>
          <w:b/>
          <w:color w:val="000000"/>
          <w:sz w:val="24"/>
          <w:szCs w:val="24"/>
        </w:rPr>
        <w:t>合同履行</w:t>
      </w:r>
    </w:p>
    <w:p>
      <w:pPr>
        <w:autoSpaceDE w:val="0"/>
        <w:autoSpaceDN w:val="0"/>
        <w:adjustRightInd w:val="0"/>
        <w:snapToGrid w:val="0"/>
        <w:spacing w:beforeLines="0" w:afterLines="0" w:line="400" w:lineRule="exact"/>
        <w:ind w:firstLine="420" w:firstLineChars="200"/>
        <w:jc w:val="left"/>
        <w:rPr>
          <w:rFonts w:hint="eastAsia" w:ascii="宋体" w:hAnsi="宋体" w:eastAsia="宋体"/>
          <w:color w:val="000000"/>
          <w:sz w:val="21"/>
          <w:szCs w:val="24"/>
        </w:rPr>
      </w:pPr>
      <w:r>
        <w:rPr>
          <w:rFonts w:hint="eastAsia" w:ascii="宋体" w:hAnsi="宋体" w:eastAsia="宋体"/>
          <w:color w:val="000000"/>
          <w:sz w:val="21"/>
          <w:szCs w:val="24"/>
        </w:rPr>
        <w:t>6.1 甲乙双方应当按照</w:t>
      </w:r>
      <w:r>
        <w:rPr>
          <w:rFonts w:hint="eastAsia" w:ascii="宋体" w:hAnsi="宋体" w:eastAsia="宋体" w:cs="宋体"/>
          <w:b/>
          <w:sz w:val="21"/>
          <w:szCs w:val="21"/>
        </w:rPr>
        <w:t>【政府采购合同专用条款】</w:t>
      </w:r>
      <w:r>
        <w:rPr>
          <w:rFonts w:hint="eastAsia" w:ascii="宋体" w:hAnsi="宋体" w:eastAsia="宋体"/>
          <w:color w:val="000000"/>
          <w:sz w:val="21"/>
          <w:szCs w:val="24"/>
        </w:rPr>
        <w:t>约定顺序履行合同义务；如果没有先后顺序的，应当同时履行。</w:t>
      </w:r>
    </w:p>
    <w:p>
      <w:pPr>
        <w:autoSpaceDE w:val="0"/>
        <w:autoSpaceDN w:val="0"/>
        <w:adjustRightInd w:val="0"/>
        <w:snapToGrid w:val="0"/>
        <w:spacing w:beforeLines="0" w:afterLines="0" w:line="400" w:lineRule="exact"/>
        <w:ind w:firstLine="420" w:firstLineChars="200"/>
        <w:jc w:val="left"/>
        <w:rPr>
          <w:rFonts w:hint="default"/>
          <w:sz w:val="21"/>
          <w:szCs w:val="24"/>
        </w:rPr>
      </w:pPr>
      <w:r>
        <w:rPr>
          <w:rFonts w:hint="eastAsia" w:ascii="宋体" w:hAnsi="宋体" w:eastAsia="宋体"/>
          <w:color w:val="000000"/>
          <w:sz w:val="21"/>
          <w:szCs w:val="24"/>
        </w:rPr>
        <w:t>6.2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beforeLines="0" w:afterLines="0" w:line="400" w:lineRule="exact"/>
        <w:jc w:val="left"/>
        <w:rPr>
          <w:rFonts w:hint="eastAsia" w:ascii="宋体" w:hAnsi="宋体" w:eastAsia="宋体"/>
          <w:b/>
          <w:color w:val="000000"/>
          <w:sz w:val="24"/>
          <w:szCs w:val="24"/>
        </w:rPr>
      </w:pPr>
      <w:r>
        <w:rPr>
          <w:rFonts w:hint="eastAsia" w:ascii="宋体" w:hAnsi="宋体" w:eastAsia="宋体"/>
          <w:b/>
          <w:color w:val="000000"/>
          <w:sz w:val="24"/>
          <w:szCs w:val="24"/>
        </w:rPr>
        <w:t>7. 货物包装、运输、保险和交付要求</w:t>
      </w:r>
    </w:p>
    <w:p>
      <w:pPr>
        <w:autoSpaceDE w:val="0"/>
        <w:autoSpaceDN w:val="0"/>
        <w:adjustRightInd w:val="0"/>
        <w:snapToGrid w:val="0"/>
        <w:spacing w:beforeLines="0" w:afterLines="0" w:line="400" w:lineRule="exact"/>
        <w:ind w:firstLine="420" w:firstLineChars="200"/>
        <w:jc w:val="left"/>
        <w:rPr>
          <w:rFonts w:hint="eastAsia" w:ascii="宋体" w:hAnsi="宋体" w:eastAsia="宋体"/>
          <w:color w:val="000000"/>
          <w:sz w:val="21"/>
          <w:szCs w:val="24"/>
        </w:rPr>
      </w:pPr>
      <w:r>
        <w:rPr>
          <w:rFonts w:hint="eastAsia" w:ascii="宋体" w:hAnsi="宋体" w:eastAsia="宋体"/>
          <w:color w:val="000000"/>
          <w:sz w:val="21"/>
          <w:szCs w:val="24"/>
        </w:rPr>
        <w:t>7.1 本合同涉及商品包装、快递包装的，除</w:t>
      </w:r>
      <w:r>
        <w:rPr>
          <w:rFonts w:hint="eastAsia" w:ascii="宋体" w:hAnsi="宋体" w:eastAsia="宋体"/>
          <w:b/>
          <w:color w:val="000000"/>
          <w:sz w:val="21"/>
          <w:szCs w:val="24"/>
        </w:rPr>
        <w:t>【政府采购合同专用条款】</w:t>
      </w:r>
      <w:r>
        <w:rPr>
          <w:rFonts w:hint="eastAsia" w:ascii="宋体" w:hAnsi="宋体" w:eastAsia="宋体"/>
          <w:color w:val="000000"/>
          <w:sz w:val="21"/>
          <w:szCs w:val="24"/>
        </w:rPr>
        <w:t>另有约定外，包装应适应远距离运输、防潮、防震、防锈和防野蛮装卸等要求，确保货物安全无损地运抵</w:t>
      </w:r>
      <w:r>
        <w:rPr>
          <w:rFonts w:hint="eastAsia" w:ascii="宋体" w:hAnsi="宋体" w:eastAsia="宋体"/>
          <w:b/>
          <w:color w:val="000000"/>
          <w:sz w:val="21"/>
          <w:szCs w:val="24"/>
        </w:rPr>
        <w:t>【政府采购合同专用条款】</w:t>
      </w:r>
      <w:r>
        <w:rPr>
          <w:rFonts w:hint="eastAsia" w:ascii="宋体" w:hAnsi="宋体" w:eastAsia="宋体"/>
          <w:color w:val="000000"/>
          <w:sz w:val="21"/>
          <w:szCs w:val="24"/>
        </w:rPr>
        <w:t>约定的指定现场。</w:t>
      </w:r>
    </w:p>
    <w:p>
      <w:pPr>
        <w:adjustRightInd w:val="0"/>
        <w:snapToGrid w:val="0"/>
        <w:spacing w:beforeLines="0" w:afterLines="0" w:line="400" w:lineRule="exact"/>
        <w:ind w:firstLine="420" w:firstLineChars="200"/>
        <w:jc w:val="left"/>
        <w:rPr>
          <w:rFonts w:hint="eastAsia" w:ascii="宋体" w:hAnsi="宋体" w:eastAsia="宋体"/>
          <w:color w:val="000000"/>
          <w:sz w:val="21"/>
          <w:szCs w:val="24"/>
        </w:rPr>
      </w:pPr>
      <w:r>
        <w:rPr>
          <w:rFonts w:hint="eastAsia" w:ascii="宋体" w:hAnsi="宋体" w:eastAsia="宋体"/>
          <w:color w:val="000000"/>
          <w:sz w:val="21"/>
          <w:szCs w:val="24"/>
        </w:rPr>
        <w:t>7.2 除</w:t>
      </w:r>
      <w:r>
        <w:rPr>
          <w:rFonts w:hint="eastAsia" w:ascii="宋体" w:hAnsi="宋体" w:eastAsia="宋体"/>
          <w:b/>
          <w:color w:val="000000"/>
          <w:sz w:val="21"/>
          <w:szCs w:val="24"/>
        </w:rPr>
        <w:t>【政府采购合同专用条款】</w:t>
      </w:r>
      <w:r>
        <w:rPr>
          <w:rFonts w:hint="eastAsia" w:ascii="宋体" w:hAnsi="宋体" w:eastAsia="宋体"/>
          <w:color w:val="000000"/>
          <w:sz w:val="21"/>
          <w:szCs w:val="24"/>
        </w:rPr>
        <w:t>另有约定外，乙方负责办理将货物运抵本合同规定的交货地点，并装卸、交付至甲方的一切运输事项，相关费用应包含在合同价款中。</w:t>
      </w:r>
    </w:p>
    <w:p>
      <w:pPr>
        <w:adjustRightInd w:val="0"/>
        <w:snapToGrid w:val="0"/>
        <w:spacing w:beforeLines="0" w:afterLines="0" w:line="400" w:lineRule="exact"/>
        <w:ind w:firstLine="420" w:firstLineChars="200"/>
        <w:jc w:val="left"/>
        <w:rPr>
          <w:rFonts w:hint="eastAsia" w:ascii="宋体" w:hAnsi="宋体" w:eastAsia="宋体"/>
          <w:color w:val="000000"/>
          <w:sz w:val="21"/>
          <w:szCs w:val="24"/>
        </w:rPr>
      </w:pPr>
      <w:r>
        <w:rPr>
          <w:rFonts w:hint="eastAsia" w:ascii="宋体" w:hAnsi="宋体" w:eastAsia="宋体"/>
          <w:color w:val="000000"/>
          <w:sz w:val="21"/>
          <w:szCs w:val="24"/>
        </w:rPr>
        <w:t>7.3 货物保险要求按</w:t>
      </w:r>
      <w:r>
        <w:rPr>
          <w:rFonts w:hint="eastAsia" w:ascii="宋体" w:hAnsi="宋体" w:eastAsia="宋体"/>
          <w:b/>
          <w:color w:val="000000"/>
          <w:sz w:val="21"/>
          <w:szCs w:val="24"/>
        </w:rPr>
        <w:t>【政府采购合同专用条款】</w:t>
      </w:r>
      <w:r>
        <w:rPr>
          <w:rFonts w:hint="eastAsia" w:ascii="宋体" w:hAnsi="宋体" w:eastAsia="宋体"/>
          <w:color w:val="000000"/>
          <w:sz w:val="21"/>
          <w:szCs w:val="24"/>
        </w:rPr>
        <w:t>规定执行。</w:t>
      </w:r>
    </w:p>
    <w:p>
      <w:pPr>
        <w:autoSpaceDE w:val="0"/>
        <w:autoSpaceDN w:val="0"/>
        <w:adjustRightInd w:val="0"/>
        <w:snapToGrid w:val="0"/>
        <w:spacing w:beforeLines="0" w:afterLines="0" w:line="400" w:lineRule="exact"/>
        <w:ind w:firstLine="420" w:firstLineChars="200"/>
        <w:jc w:val="left"/>
        <w:rPr>
          <w:rFonts w:hint="eastAsia" w:ascii="宋体" w:hAnsi="宋体" w:eastAsia="宋体"/>
          <w:color w:val="000000"/>
          <w:sz w:val="21"/>
          <w:szCs w:val="24"/>
        </w:rPr>
      </w:pPr>
      <w:r>
        <w:rPr>
          <w:rFonts w:hint="eastAsia" w:ascii="宋体" w:hAnsi="宋体" w:eastAsia="宋体"/>
          <w:color w:val="000000"/>
          <w:sz w:val="21"/>
          <w:szCs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autoSpaceDE w:val="0"/>
        <w:autoSpaceDN w:val="0"/>
        <w:adjustRightInd w:val="0"/>
        <w:snapToGrid w:val="0"/>
        <w:spacing w:beforeLines="0" w:afterLines="0" w:line="400" w:lineRule="exact"/>
        <w:ind w:firstLine="420" w:firstLineChars="200"/>
        <w:jc w:val="left"/>
        <w:rPr>
          <w:rFonts w:hint="eastAsia" w:ascii="宋体" w:hAnsi="宋体" w:eastAsia="宋体"/>
          <w:color w:val="000000"/>
          <w:sz w:val="21"/>
          <w:szCs w:val="24"/>
        </w:rPr>
      </w:pPr>
      <w:r>
        <w:rPr>
          <w:rFonts w:hint="eastAsia" w:ascii="宋体" w:hAnsi="宋体" w:eastAsia="宋体"/>
          <w:color w:val="000000"/>
          <w:sz w:val="21"/>
          <w:szCs w:val="24"/>
        </w:rPr>
        <w:t xml:space="preserve">7.5 </w:t>
      </w:r>
      <w:r>
        <w:rPr>
          <w:rFonts w:hint="eastAsia" w:ascii="宋体" w:hAnsi="宋体" w:eastAsia="宋体" w:cs="宋体"/>
          <w:color w:val="000000"/>
          <w:sz w:val="21"/>
          <w:szCs w:val="21"/>
        </w:rPr>
        <w:t>乙方在运输到达之前应提前通知甲方，并提示货物运输装卸的注意事项，甲方配合乙方做好货物的接收工作。</w:t>
      </w:r>
    </w:p>
    <w:p>
      <w:pPr>
        <w:pStyle w:val="2"/>
        <w:spacing w:beforeLines="0" w:afterLines="0"/>
        <w:rPr>
          <w:rFonts w:hint="eastAsia"/>
          <w:sz w:val="21"/>
          <w:szCs w:val="21"/>
        </w:rPr>
      </w:pPr>
      <w:r>
        <w:rPr>
          <w:rFonts w:hint="eastAsia" w:ascii="宋体" w:hAnsi="宋体" w:eastAsia="宋体" w:cs="Times New Roman"/>
          <w:color w:val="000000"/>
          <w:kern w:val="2"/>
          <w:sz w:val="21"/>
          <w:szCs w:val="21"/>
        </w:rPr>
        <w:t>7.6 如因包装、运输问题导致货物损毁、丢失或者品质下降，甲方有权要求降价、换货、拒收部分或整批货物，由此产生的费用和损失，均由乙方承担。</w:t>
      </w:r>
    </w:p>
    <w:p>
      <w:pPr>
        <w:adjustRightInd w:val="0"/>
        <w:snapToGrid w:val="0"/>
        <w:spacing w:beforeLines="0" w:afterLines="0" w:line="400" w:lineRule="exact"/>
        <w:jc w:val="left"/>
        <w:rPr>
          <w:rFonts w:hint="eastAsia" w:ascii="宋体" w:hAnsi="宋体" w:eastAsia="宋体"/>
          <w:b/>
          <w:color w:val="auto"/>
          <w:sz w:val="24"/>
          <w:szCs w:val="24"/>
        </w:rPr>
      </w:pPr>
      <w:r>
        <w:rPr>
          <w:rFonts w:hint="eastAsia" w:ascii="宋体" w:hAnsi="宋体" w:eastAsia="宋体"/>
          <w:b/>
          <w:color w:val="000000"/>
          <w:sz w:val="24"/>
          <w:szCs w:val="24"/>
        </w:rPr>
        <w:t xml:space="preserve">8. </w:t>
      </w:r>
      <w:r>
        <w:rPr>
          <w:rFonts w:hint="eastAsia" w:ascii="宋体" w:hAnsi="宋体" w:eastAsia="宋体"/>
          <w:b/>
          <w:color w:val="auto"/>
          <w:sz w:val="24"/>
          <w:szCs w:val="24"/>
        </w:rPr>
        <w:t>质量标准和保证</w:t>
      </w:r>
    </w:p>
    <w:p>
      <w:pPr>
        <w:pStyle w:val="26"/>
        <w:adjustRightInd w:val="0"/>
        <w:snapToGrid w:val="0"/>
        <w:spacing w:beforeLines="0" w:afterLines="0" w:line="400" w:lineRule="exact"/>
        <w:ind w:firstLine="420" w:firstLineChars="200"/>
        <w:jc w:val="left"/>
        <w:rPr>
          <w:rFonts w:hint="eastAsia" w:hAnsi="宋体"/>
          <w:b/>
          <w:color w:val="auto"/>
          <w:sz w:val="21"/>
          <w:szCs w:val="24"/>
        </w:rPr>
      </w:pPr>
      <w:r>
        <w:rPr>
          <w:rFonts w:hint="eastAsia" w:hAnsi="宋体"/>
          <w:color w:val="auto"/>
          <w:sz w:val="21"/>
          <w:szCs w:val="24"/>
        </w:rPr>
        <w:t>8.1 质量标准</w:t>
      </w:r>
    </w:p>
    <w:p>
      <w:pPr>
        <w:autoSpaceDE w:val="0"/>
        <w:autoSpaceDN w:val="0"/>
        <w:adjustRightInd w:val="0"/>
        <w:snapToGrid w:val="0"/>
        <w:spacing w:beforeLines="0" w:afterLines="0" w:line="400" w:lineRule="exact"/>
        <w:ind w:firstLine="420" w:firstLineChars="200"/>
        <w:jc w:val="left"/>
        <w:rPr>
          <w:rFonts w:hint="eastAsia" w:ascii="宋体" w:hAnsi="宋体" w:eastAsia="宋体"/>
          <w:color w:val="auto"/>
          <w:sz w:val="21"/>
          <w:szCs w:val="24"/>
        </w:rPr>
      </w:pPr>
      <w:r>
        <w:rPr>
          <w:rFonts w:hint="eastAsia" w:ascii="宋体" w:hAnsi="宋体" w:eastAsia="宋体"/>
          <w:color w:val="auto"/>
          <w:sz w:val="21"/>
          <w:szCs w:val="24"/>
        </w:rPr>
        <w:t>（1）本合同下提供的货物应符合合同</w:t>
      </w:r>
      <w:r>
        <w:rPr>
          <w:rFonts w:hint="eastAsia" w:ascii="宋体" w:hAnsi="宋体" w:eastAsia="宋体" w:cs="宋体"/>
          <w:color w:val="000000"/>
          <w:sz w:val="21"/>
          <w:szCs w:val="21"/>
        </w:rPr>
        <w:t>约定的</w:t>
      </w:r>
      <w:r>
        <w:rPr>
          <w:rFonts w:hint="eastAsia" w:ascii="宋体" w:hAnsi="宋体" w:eastAsia="宋体" w:cs="宋体"/>
          <w:sz w:val="21"/>
          <w:szCs w:val="21"/>
        </w:rPr>
        <w:t>品牌、规格型号、技术性能、配置、质量、数量等要求。</w:t>
      </w:r>
      <w:r>
        <w:rPr>
          <w:rFonts w:hint="eastAsia" w:ascii="宋体" w:hAnsi="宋体" w:eastAsia="宋体"/>
          <w:color w:val="auto"/>
          <w:sz w:val="21"/>
          <w:szCs w:val="24"/>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26"/>
        <w:adjustRightInd w:val="0"/>
        <w:snapToGrid w:val="0"/>
        <w:spacing w:beforeLines="0" w:afterLines="0" w:line="400" w:lineRule="exact"/>
        <w:ind w:firstLine="420" w:firstLineChars="200"/>
        <w:jc w:val="left"/>
        <w:rPr>
          <w:rFonts w:hint="eastAsia" w:hAnsi="宋体"/>
          <w:color w:val="auto"/>
          <w:sz w:val="21"/>
          <w:szCs w:val="24"/>
        </w:rPr>
      </w:pPr>
      <w:r>
        <w:rPr>
          <w:rFonts w:hint="eastAsia" w:hAnsi="宋体"/>
          <w:color w:val="auto"/>
          <w:sz w:val="21"/>
          <w:szCs w:val="24"/>
        </w:rPr>
        <w:t>（2）采用中华人民共和国法定计量单位。</w:t>
      </w:r>
    </w:p>
    <w:p>
      <w:pPr>
        <w:autoSpaceDE w:val="0"/>
        <w:autoSpaceDN w:val="0"/>
        <w:adjustRightInd w:val="0"/>
        <w:snapToGrid w:val="0"/>
        <w:spacing w:beforeLines="0" w:afterLines="0" w:line="400" w:lineRule="exact"/>
        <w:ind w:firstLine="420" w:firstLineChars="200"/>
        <w:jc w:val="left"/>
        <w:rPr>
          <w:rFonts w:hint="eastAsia" w:ascii="宋体" w:hAnsi="宋体" w:eastAsia="宋体"/>
          <w:color w:val="auto"/>
          <w:sz w:val="21"/>
          <w:szCs w:val="24"/>
        </w:rPr>
      </w:pPr>
      <w:r>
        <w:rPr>
          <w:rFonts w:hint="eastAsia" w:ascii="宋体" w:hAnsi="宋体" w:eastAsia="宋体"/>
          <w:color w:val="auto"/>
          <w:sz w:val="21"/>
          <w:szCs w:val="24"/>
        </w:rPr>
        <w:t>（3）乙方所提供的货物应符合国家有关安全、环保、卫生的规定。</w:t>
      </w:r>
    </w:p>
    <w:p>
      <w:pPr>
        <w:autoSpaceDE w:val="0"/>
        <w:autoSpaceDN w:val="0"/>
        <w:adjustRightInd w:val="0"/>
        <w:snapToGrid w:val="0"/>
        <w:spacing w:beforeLines="0" w:afterLines="0" w:line="400" w:lineRule="exact"/>
        <w:ind w:firstLine="420" w:firstLineChars="200"/>
        <w:jc w:val="left"/>
        <w:rPr>
          <w:rFonts w:hint="eastAsia" w:ascii="宋体" w:hAnsi="宋体" w:eastAsia="宋体"/>
          <w:color w:val="auto"/>
          <w:sz w:val="21"/>
          <w:szCs w:val="24"/>
        </w:rPr>
      </w:pPr>
      <w:r>
        <w:rPr>
          <w:rFonts w:hint="eastAsia" w:ascii="宋体" w:hAnsi="宋体" w:eastAsia="宋体"/>
          <w:color w:val="auto"/>
          <w:sz w:val="21"/>
          <w:szCs w:val="24"/>
        </w:rPr>
        <w:t>（4）乙方应向甲方提交所提供货物的技术文件，包括相应的中文技术文件，如：产品目录、图纸、操作手册、使用说明、维护手册或服务指南等。上述文件应包装好随货物一同发运。</w:t>
      </w:r>
    </w:p>
    <w:p>
      <w:pPr>
        <w:autoSpaceDE w:val="0"/>
        <w:autoSpaceDN w:val="0"/>
        <w:adjustRightInd w:val="0"/>
        <w:snapToGrid w:val="0"/>
        <w:spacing w:beforeLines="0" w:afterLines="0" w:line="400" w:lineRule="exact"/>
        <w:ind w:firstLine="420" w:firstLineChars="200"/>
        <w:jc w:val="left"/>
        <w:rPr>
          <w:rFonts w:hint="eastAsia" w:ascii="宋体" w:hAnsi="宋体" w:eastAsia="宋体"/>
          <w:color w:val="auto"/>
          <w:sz w:val="21"/>
          <w:szCs w:val="24"/>
        </w:rPr>
      </w:pPr>
      <w:r>
        <w:rPr>
          <w:rFonts w:hint="eastAsia" w:ascii="宋体" w:hAnsi="宋体" w:eastAsia="宋体"/>
          <w:color w:val="auto"/>
          <w:sz w:val="21"/>
          <w:szCs w:val="24"/>
        </w:rPr>
        <w:t>8.2 保证</w:t>
      </w:r>
    </w:p>
    <w:p>
      <w:pPr>
        <w:autoSpaceDE w:val="0"/>
        <w:autoSpaceDN w:val="0"/>
        <w:adjustRightInd w:val="0"/>
        <w:snapToGrid w:val="0"/>
        <w:spacing w:beforeLines="0" w:afterLines="0" w:line="400" w:lineRule="exact"/>
        <w:ind w:firstLine="420" w:firstLineChars="200"/>
        <w:jc w:val="left"/>
        <w:rPr>
          <w:rFonts w:hint="eastAsia" w:ascii="宋体" w:hAnsi="宋体" w:eastAsia="宋体"/>
          <w:color w:val="auto"/>
          <w:sz w:val="21"/>
          <w:szCs w:val="24"/>
        </w:rPr>
      </w:pPr>
      <w:r>
        <w:rPr>
          <w:rFonts w:hint="eastAsia" w:ascii="宋体" w:hAnsi="宋体" w:eastAsia="宋体"/>
          <w:color w:val="auto"/>
          <w:sz w:val="21"/>
          <w:szCs w:val="24"/>
        </w:rPr>
        <w:t>（1）乙方应保证提供的货物完全符合合同规定的质量、规格和性能要求。乙方应保证货物在正确安装、正常使用和保养条件下，</w:t>
      </w:r>
      <w:r>
        <w:rPr>
          <w:rFonts w:hint="eastAsia" w:ascii="宋体" w:hAnsi="宋体" w:eastAsia="宋体" w:cs="宋体"/>
          <w:sz w:val="21"/>
          <w:szCs w:val="21"/>
        </w:rPr>
        <w:t>在其使用寿命期内具备合同约定的性能</w:t>
      </w:r>
      <w:r>
        <w:rPr>
          <w:rFonts w:hint="eastAsia" w:ascii="宋体" w:hAnsi="宋体" w:eastAsia="宋体"/>
          <w:color w:val="auto"/>
          <w:sz w:val="21"/>
          <w:szCs w:val="24"/>
        </w:rPr>
        <w:t>。存在质量保证期的，货物最终交付验收合格后在</w:t>
      </w:r>
      <w:r>
        <w:rPr>
          <w:rFonts w:hint="eastAsia" w:ascii="宋体" w:hAnsi="宋体" w:eastAsia="宋体"/>
          <w:b/>
          <w:color w:val="auto"/>
          <w:sz w:val="21"/>
          <w:szCs w:val="24"/>
        </w:rPr>
        <w:t>【政府采购合同专用条款】</w:t>
      </w:r>
      <w:r>
        <w:rPr>
          <w:rFonts w:hint="eastAsia" w:ascii="宋体" w:hAnsi="宋体" w:eastAsia="宋体"/>
          <w:color w:val="auto"/>
          <w:sz w:val="21"/>
          <w:szCs w:val="24"/>
        </w:rPr>
        <w:t>规定或乙方书面承诺（两者以较长的为准）的质量保证期内，本保证保持有效。</w:t>
      </w:r>
    </w:p>
    <w:p>
      <w:pPr>
        <w:autoSpaceDE w:val="0"/>
        <w:autoSpaceDN w:val="0"/>
        <w:adjustRightInd w:val="0"/>
        <w:snapToGrid w:val="0"/>
        <w:spacing w:beforeLines="0" w:afterLines="0" w:line="400" w:lineRule="exact"/>
        <w:ind w:firstLine="420" w:firstLineChars="200"/>
        <w:jc w:val="left"/>
        <w:rPr>
          <w:rFonts w:hint="eastAsia" w:ascii="宋体" w:hAnsi="宋体" w:eastAsia="宋体"/>
          <w:color w:val="auto"/>
          <w:sz w:val="21"/>
          <w:szCs w:val="24"/>
        </w:rPr>
      </w:pPr>
      <w:r>
        <w:rPr>
          <w:rFonts w:hint="eastAsia" w:ascii="宋体" w:hAnsi="宋体" w:eastAsia="宋体"/>
          <w:color w:val="auto"/>
          <w:sz w:val="21"/>
          <w:szCs w:val="24"/>
        </w:rPr>
        <w:t>（2）在质量保证期内所发现的缺陷，甲方应尽快以书面形式通知乙方。</w:t>
      </w:r>
    </w:p>
    <w:p>
      <w:pPr>
        <w:autoSpaceDE w:val="0"/>
        <w:autoSpaceDN w:val="0"/>
        <w:adjustRightInd w:val="0"/>
        <w:snapToGrid w:val="0"/>
        <w:spacing w:beforeLines="0" w:afterLines="0" w:line="400" w:lineRule="exact"/>
        <w:ind w:firstLine="420" w:firstLineChars="200"/>
        <w:jc w:val="left"/>
        <w:rPr>
          <w:rFonts w:hint="eastAsia" w:ascii="宋体" w:hAnsi="宋体" w:eastAsia="宋体"/>
          <w:color w:val="auto"/>
          <w:sz w:val="21"/>
          <w:szCs w:val="24"/>
        </w:rPr>
      </w:pPr>
      <w:r>
        <w:rPr>
          <w:rFonts w:hint="eastAsia" w:ascii="宋体" w:hAnsi="宋体" w:eastAsia="宋体"/>
          <w:color w:val="auto"/>
          <w:sz w:val="21"/>
          <w:szCs w:val="24"/>
        </w:rPr>
        <w:t>（3）乙方收到通知后，应在</w:t>
      </w:r>
      <w:r>
        <w:rPr>
          <w:rFonts w:hint="eastAsia" w:ascii="宋体" w:hAnsi="宋体" w:eastAsia="宋体"/>
          <w:b/>
          <w:color w:val="auto"/>
          <w:sz w:val="21"/>
          <w:szCs w:val="24"/>
        </w:rPr>
        <w:t>【政府采购合同专用条款】</w:t>
      </w:r>
      <w:r>
        <w:rPr>
          <w:rFonts w:hint="eastAsia" w:ascii="宋体" w:hAnsi="宋体" w:eastAsia="宋体"/>
          <w:color w:val="auto"/>
          <w:sz w:val="21"/>
          <w:szCs w:val="24"/>
        </w:rPr>
        <w:t>规定的响应时间内以合理的速度免费维修或更换有缺陷的货物或部件。</w:t>
      </w:r>
    </w:p>
    <w:p>
      <w:pPr>
        <w:autoSpaceDE w:val="0"/>
        <w:autoSpaceDN w:val="0"/>
        <w:adjustRightInd w:val="0"/>
        <w:snapToGrid w:val="0"/>
        <w:spacing w:beforeLines="0" w:afterLines="0" w:line="400" w:lineRule="exact"/>
        <w:ind w:firstLine="420" w:firstLineChars="200"/>
        <w:jc w:val="left"/>
        <w:rPr>
          <w:rFonts w:hint="eastAsia" w:ascii="宋体" w:hAnsi="宋体" w:eastAsia="宋体"/>
          <w:color w:val="auto"/>
          <w:sz w:val="21"/>
          <w:szCs w:val="24"/>
        </w:rPr>
      </w:pPr>
      <w:r>
        <w:rPr>
          <w:rFonts w:hint="eastAsia" w:ascii="宋体" w:hAnsi="宋体" w:eastAsia="宋体"/>
          <w:color w:val="auto"/>
          <w:sz w:val="21"/>
          <w:szCs w:val="24"/>
        </w:rPr>
        <w:t>（4）在质量保证期内，如果货物的质量或规格与合同不符，或证实货物是有缺陷的，包括潜在的缺陷或使用不符合要求的材料等，甲方可以根据本合同第1</w:t>
      </w:r>
      <w:r>
        <w:rPr>
          <w:rFonts w:hint="eastAsia" w:ascii="宋体" w:hAnsi="宋体" w:eastAsia="宋体"/>
          <w:color w:val="000000"/>
          <w:sz w:val="21"/>
          <w:szCs w:val="24"/>
        </w:rPr>
        <w:t>5</w:t>
      </w:r>
      <w:r>
        <w:rPr>
          <w:rFonts w:hint="eastAsia" w:ascii="宋体" w:hAnsi="宋体" w:eastAsia="宋体"/>
          <w:color w:val="auto"/>
          <w:sz w:val="21"/>
          <w:szCs w:val="24"/>
        </w:rPr>
        <w:t>.1条规定以书面形式</w:t>
      </w:r>
      <w:r>
        <w:rPr>
          <w:rFonts w:hint="eastAsia" w:ascii="宋体" w:hAnsi="宋体" w:eastAsia="宋体"/>
          <w:color w:val="000000"/>
          <w:sz w:val="21"/>
          <w:szCs w:val="24"/>
        </w:rPr>
        <w:t>追究</w:t>
      </w:r>
      <w:r>
        <w:rPr>
          <w:rFonts w:hint="eastAsia" w:ascii="宋体" w:hAnsi="宋体" w:eastAsia="宋体"/>
          <w:color w:val="auto"/>
          <w:sz w:val="21"/>
          <w:szCs w:val="24"/>
        </w:rPr>
        <w:t>乙方</w:t>
      </w:r>
      <w:r>
        <w:rPr>
          <w:rFonts w:hint="eastAsia" w:ascii="宋体" w:hAnsi="宋体" w:eastAsia="宋体"/>
          <w:color w:val="000000"/>
          <w:sz w:val="21"/>
          <w:szCs w:val="24"/>
        </w:rPr>
        <w:t>的违约责任</w:t>
      </w:r>
      <w:r>
        <w:rPr>
          <w:rFonts w:hint="eastAsia" w:ascii="宋体" w:hAnsi="宋体" w:eastAsia="宋体"/>
          <w:color w:val="auto"/>
          <w:sz w:val="21"/>
          <w:szCs w:val="24"/>
        </w:rPr>
        <w:t>。</w:t>
      </w:r>
    </w:p>
    <w:p>
      <w:pPr>
        <w:adjustRightInd w:val="0"/>
        <w:snapToGrid w:val="0"/>
        <w:spacing w:beforeLines="0" w:afterLines="0" w:line="400" w:lineRule="exact"/>
        <w:ind w:firstLine="420" w:firstLineChars="200"/>
        <w:jc w:val="left"/>
        <w:rPr>
          <w:rFonts w:hint="default"/>
          <w:color w:val="auto"/>
          <w:sz w:val="21"/>
          <w:szCs w:val="24"/>
        </w:rPr>
      </w:pPr>
      <w:r>
        <w:rPr>
          <w:rFonts w:hint="eastAsia" w:ascii="宋体" w:hAnsi="宋体" w:eastAsia="宋体"/>
          <w:color w:val="auto"/>
          <w:sz w:val="21"/>
          <w:szCs w:val="24"/>
        </w:rPr>
        <w:t>（5）乙方在约定的时间内未能弥补缺陷，甲方可采取必要的补救措施，但其风险和费用将由乙方承担，甲方根据合同约定对乙方行使的其他权利不受影响。</w:t>
      </w:r>
    </w:p>
    <w:p>
      <w:pPr>
        <w:adjustRightInd w:val="0"/>
        <w:snapToGrid w:val="0"/>
        <w:spacing w:beforeLines="0" w:afterLines="0" w:line="400" w:lineRule="exact"/>
        <w:jc w:val="left"/>
        <w:rPr>
          <w:rFonts w:hint="eastAsia" w:ascii="宋体" w:hAnsi="宋体" w:eastAsia="宋体"/>
          <w:b/>
          <w:color w:val="auto"/>
          <w:sz w:val="24"/>
          <w:szCs w:val="24"/>
        </w:rPr>
      </w:pPr>
      <w:r>
        <w:rPr>
          <w:rFonts w:hint="eastAsia" w:ascii="宋体" w:hAnsi="宋体" w:eastAsia="宋体"/>
          <w:b/>
          <w:color w:val="000000"/>
          <w:sz w:val="24"/>
          <w:szCs w:val="24"/>
        </w:rPr>
        <w:t>9</w:t>
      </w:r>
      <w:r>
        <w:rPr>
          <w:rFonts w:hint="eastAsia" w:ascii="宋体" w:hAnsi="宋体" w:eastAsia="宋体"/>
          <w:b/>
          <w:color w:val="auto"/>
          <w:sz w:val="24"/>
          <w:szCs w:val="24"/>
        </w:rPr>
        <w:t>.</w:t>
      </w:r>
      <w:r>
        <w:rPr>
          <w:rFonts w:hint="eastAsia" w:ascii="宋体" w:hAnsi="宋体" w:eastAsia="宋体"/>
          <w:b/>
          <w:color w:val="000000"/>
          <w:sz w:val="24"/>
          <w:szCs w:val="24"/>
        </w:rPr>
        <w:t xml:space="preserve"> </w:t>
      </w:r>
      <w:r>
        <w:rPr>
          <w:rFonts w:hint="eastAsia" w:ascii="宋体" w:hAnsi="宋体" w:eastAsia="宋体"/>
          <w:b/>
          <w:color w:val="auto"/>
          <w:sz w:val="24"/>
          <w:szCs w:val="24"/>
        </w:rPr>
        <w:t>权利瑕疵担保</w:t>
      </w:r>
    </w:p>
    <w:p>
      <w:pPr>
        <w:autoSpaceDE w:val="0"/>
        <w:autoSpaceDN w:val="0"/>
        <w:adjustRightInd w:val="0"/>
        <w:snapToGrid w:val="0"/>
        <w:spacing w:beforeLines="0" w:afterLines="0" w:line="400" w:lineRule="exact"/>
        <w:ind w:firstLine="420" w:firstLineChars="200"/>
        <w:jc w:val="left"/>
        <w:rPr>
          <w:rFonts w:hint="eastAsia" w:ascii="宋体" w:hAnsi="宋体" w:eastAsia="宋体"/>
          <w:color w:val="000000"/>
          <w:sz w:val="21"/>
          <w:szCs w:val="24"/>
        </w:rPr>
      </w:pPr>
      <w:r>
        <w:rPr>
          <w:rFonts w:hint="eastAsia" w:ascii="宋体" w:hAnsi="宋体" w:eastAsia="宋体"/>
          <w:color w:val="000000"/>
          <w:sz w:val="21"/>
          <w:szCs w:val="24"/>
        </w:rPr>
        <w:t>9.1 乙方保证对其出售的货物享有合法的权利。</w:t>
      </w:r>
    </w:p>
    <w:p>
      <w:pPr>
        <w:autoSpaceDE w:val="0"/>
        <w:autoSpaceDN w:val="0"/>
        <w:adjustRightInd w:val="0"/>
        <w:snapToGrid w:val="0"/>
        <w:spacing w:beforeLines="0" w:afterLines="0" w:line="400" w:lineRule="exact"/>
        <w:ind w:firstLine="420" w:firstLineChars="200"/>
        <w:jc w:val="left"/>
        <w:rPr>
          <w:rFonts w:hint="eastAsia" w:ascii="宋体" w:hAnsi="宋体" w:eastAsia="宋体"/>
          <w:color w:val="000000"/>
          <w:sz w:val="21"/>
          <w:szCs w:val="24"/>
        </w:rPr>
      </w:pPr>
      <w:r>
        <w:rPr>
          <w:rFonts w:hint="eastAsia" w:ascii="宋体" w:hAnsi="宋体" w:eastAsia="宋体"/>
          <w:color w:val="000000"/>
          <w:sz w:val="21"/>
          <w:szCs w:val="24"/>
        </w:rPr>
        <w:t xml:space="preserve">9.2 </w:t>
      </w:r>
      <w:r>
        <w:rPr>
          <w:rFonts w:hint="eastAsia" w:ascii="宋体" w:hAnsi="宋体" w:eastAsia="宋体" w:cs="宋体"/>
          <w:sz w:val="21"/>
          <w:szCs w:val="15"/>
        </w:rPr>
        <w:t>乙方保证在交付的货物上不存在抵押权等担保物权。</w:t>
      </w:r>
    </w:p>
    <w:p>
      <w:pPr>
        <w:autoSpaceDE w:val="0"/>
        <w:autoSpaceDN w:val="0"/>
        <w:adjustRightInd w:val="0"/>
        <w:snapToGrid w:val="0"/>
        <w:spacing w:beforeLines="0" w:afterLines="0" w:line="400" w:lineRule="exact"/>
        <w:ind w:firstLine="420" w:firstLineChars="200"/>
        <w:jc w:val="left"/>
        <w:rPr>
          <w:rFonts w:hint="eastAsia" w:ascii="宋体" w:hAnsi="宋体" w:eastAsia="宋体"/>
          <w:color w:val="000000"/>
          <w:sz w:val="21"/>
          <w:szCs w:val="24"/>
        </w:rPr>
      </w:pPr>
      <w:r>
        <w:rPr>
          <w:rFonts w:hint="eastAsia" w:ascii="宋体" w:hAnsi="宋体" w:eastAsia="宋体"/>
          <w:color w:val="000000"/>
          <w:sz w:val="21"/>
          <w:szCs w:val="24"/>
        </w:rPr>
        <w:t>9.3 如甲方使用上述货物构成对第三人侵权的，则由乙方承担全部责任。</w:t>
      </w:r>
    </w:p>
    <w:p>
      <w:pPr>
        <w:autoSpaceDE w:val="0"/>
        <w:autoSpaceDN w:val="0"/>
        <w:adjustRightInd w:val="0"/>
        <w:snapToGrid w:val="0"/>
        <w:spacing w:beforeLines="0" w:afterLines="0" w:line="400" w:lineRule="exact"/>
        <w:jc w:val="left"/>
        <w:rPr>
          <w:rFonts w:hint="eastAsia" w:ascii="宋体" w:hAnsi="宋体" w:eastAsia="宋体"/>
          <w:b/>
          <w:color w:val="000000"/>
          <w:sz w:val="24"/>
          <w:szCs w:val="24"/>
        </w:rPr>
      </w:pPr>
      <w:r>
        <w:rPr>
          <w:rFonts w:hint="eastAsia" w:ascii="宋体" w:hAnsi="宋体" w:eastAsia="宋体"/>
          <w:b/>
          <w:color w:val="000000"/>
          <w:sz w:val="24"/>
          <w:szCs w:val="24"/>
        </w:rPr>
        <w:t>10. 知识产权保护</w:t>
      </w:r>
    </w:p>
    <w:p>
      <w:pPr>
        <w:autoSpaceDE w:val="0"/>
        <w:autoSpaceDN w:val="0"/>
        <w:adjustRightInd w:val="0"/>
        <w:snapToGrid w:val="0"/>
        <w:spacing w:beforeLines="0" w:afterLines="0" w:line="400" w:lineRule="exact"/>
        <w:ind w:firstLine="420" w:firstLineChars="200"/>
        <w:jc w:val="left"/>
        <w:rPr>
          <w:rFonts w:hint="eastAsia" w:ascii="宋体" w:hAnsi="宋体" w:eastAsia="宋体"/>
          <w:color w:val="auto"/>
          <w:sz w:val="21"/>
          <w:szCs w:val="24"/>
        </w:rPr>
      </w:pPr>
      <w:r>
        <w:rPr>
          <w:rFonts w:hint="eastAsia" w:ascii="宋体" w:hAnsi="宋体" w:eastAsia="宋体"/>
          <w:color w:val="000000"/>
          <w:sz w:val="21"/>
          <w:szCs w:val="24"/>
        </w:rPr>
        <w:t>10.1 乙方对其所销售的货物应当享有知识产权或经权利人合法授权，保证没有侵犯任</w:t>
      </w:r>
      <w:r>
        <w:rPr>
          <w:rFonts w:hint="eastAsia" w:ascii="宋体" w:hAnsi="宋体" w:eastAsia="宋体"/>
          <w:color w:val="auto"/>
          <w:sz w:val="21"/>
          <w:szCs w:val="24"/>
        </w:rPr>
        <w:t>何第三人的知识产权等权利。</w:t>
      </w:r>
      <w:bookmarkStart w:id="102" w:name="_Hlk163047038"/>
      <w:r>
        <w:rPr>
          <w:rFonts w:hint="eastAsia" w:ascii="宋体" w:hAnsi="宋体" w:eastAsia="宋体" w:cs="宋体"/>
          <w:sz w:val="21"/>
          <w:szCs w:val="15"/>
        </w:rPr>
        <w:t>因违反前述约定对第三人构成侵权的，应当由乙方向第三人承担法律责任；甲方依法向第三人赔偿后，有权向乙方追偿。甲方有其他损失的，乙方应当赔偿</w:t>
      </w:r>
      <w:bookmarkEnd w:id="102"/>
      <w:r>
        <w:rPr>
          <w:rFonts w:hint="eastAsia" w:ascii="宋体" w:hAnsi="宋体" w:eastAsia="宋体"/>
          <w:color w:val="auto"/>
          <w:sz w:val="21"/>
          <w:szCs w:val="24"/>
        </w:rPr>
        <w:t>。</w:t>
      </w:r>
    </w:p>
    <w:p>
      <w:pPr>
        <w:autoSpaceDE w:val="0"/>
        <w:autoSpaceDN w:val="0"/>
        <w:adjustRightInd w:val="0"/>
        <w:snapToGrid w:val="0"/>
        <w:spacing w:beforeLines="0" w:afterLines="0" w:line="400" w:lineRule="exact"/>
        <w:jc w:val="left"/>
        <w:rPr>
          <w:rFonts w:hint="eastAsia" w:ascii="宋体" w:hAnsi="宋体" w:eastAsia="宋体"/>
          <w:b/>
          <w:color w:val="auto"/>
          <w:sz w:val="24"/>
          <w:szCs w:val="24"/>
        </w:rPr>
      </w:pPr>
      <w:r>
        <w:rPr>
          <w:rFonts w:hint="eastAsia" w:ascii="宋体" w:hAnsi="宋体" w:eastAsia="宋体"/>
          <w:b/>
          <w:color w:val="auto"/>
          <w:sz w:val="24"/>
          <w:szCs w:val="24"/>
        </w:rPr>
        <w:t>11. 保密义务</w:t>
      </w:r>
    </w:p>
    <w:p>
      <w:pPr>
        <w:autoSpaceDE w:val="0"/>
        <w:autoSpaceDN w:val="0"/>
        <w:adjustRightInd w:val="0"/>
        <w:snapToGrid w:val="0"/>
        <w:spacing w:beforeLines="0" w:afterLines="0" w:line="400" w:lineRule="exact"/>
        <w:ind w:firstLine="420" w:firstLineChars="200"/>
        <w:jc w:val="left"/>
        <w:rPr>
          <w:rFonts w:hint="eastAsia" w:ascii="宋体" w:hAnsi="宋体" w:eastAsia="宋体" w:cs="宋体"/>
          <w:sz w:val="21"/>
          <w:szCs w:val="15"/>
        </w:rPr>
      </w:pPr>
      <w:r>
        <w:rPr>
          <w:rFonts w:hint="eastAsia" w:ascii="宋体" w:hAnsi="宋体" w:eastAsia="宋体" w:cs="宋体"/>
          <w:sz w:val="21"/>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sz w:val="21"/>
          <w:szCs w:val="15"/>
        </w:rPr>
        <w:t>【政府采购合同专用条款】</w:t>
      </w:r>
      <w:r>
        <w:rPr>
          <w:rFonts w:hint="eastAsia" w:ascii="宋体" w:hAnsi="宋体" w:eastAsia="宋体" w:cs="宋体"/>
          <w:sz w:val="21"/>
          <w:szCs w:val="15"/>
        </w:rPr>
        <w:t>中约定。</w:t>
      </w:r>
    </w:p>
    <w:p>
      <w:pPr>
        <w:autoSpaceDE w:val="0"/>
        <w:autoSpaceDN w:val="0"/>
        <w:adjustRightInd w:val="0"/>
        <w:snapToGrid w:val="0"/>
        <w:spacing w:beforeLines="0" w:afterLines="0" w:line="400" w:lineRule="exact"/>
        <w:jc w:val="left"/>
        <w:rPr>
          <w:rFonts w:hint="eastAsia" w:ascii="宋体" w:hAnsi="宋体" w:eastAsia="宋体"/>
          <w:b/>
          <w:color w:val="auto"/>
          <w:sz w:val="24"/>
          <w:szCs w:val="24"/>
        </w:rPr>
      </w:pPr>
      <w:r>
        <w:rPr>
          <w:rFonts w:hint="eastAsia" w:ascii="宋体" w:hAnsi="宋体" w:eastAsia="宋体"/>
          <w:b/>
          <w:color w:val="auto"/>
          <w:sz w:val="24"/>
          <w:szCs w:val="24"/>
        </w:rPr>
        <w:t>12. 合同价款支付</w:t>
      </w:r>
    </w:p>
    <w:p>
      <w:pPr>
        <w:adjustRightInd w:val="0"/>
        <w:snapToGrid w:val="0"/>
        <w:spacing w:beforeLines="0" w:afterLines="0" w:line="400" w:lineRule="exact"/>
        <w:ind w:firstLine="420" w:firstLineChars="200"/>
        <w:jc w:val="left"/>
        <w:rPr>
          <w:rFonts w:hint="eastAsia" w:ascii="宋体" w:hAnsi="宋体" w:eastAsia="宋体"/>
          <w:color w:val="auto"/>
          <w:sz w:val="21"/>
          <w:szCs w:val="24"/>
        </w:rPr>
      </w:pPr>
      <w:r>
        <w:rPr>
          <w:rFonts w:hint="eastAsia" w:ascii="宋体" w:hAnsi="宋体" w:eastAsia="宋体"/>
          <w:color w:val="auto"/>
          <w:sz w:val="21"/>
          <w:szCs w:val="24"/>
        </w:rPr>
        <w:t>12.1 合同价款支付按照国库集中支付制度及财政管理相关规定执行。</w:t>
      </w:r>
    </w:p>
    <w:p>
      <w:pPr>
        <w:spacing w:beforeLines="0" w:afterLines="0" w:line="400" w:lineRule="exact"/>
        <w:ind w:firstLine="420" w:firstLineChars="200"/>
        <w:rPr>
          <w:rFonts w:hint="eastAsia" w:ascii="Times New Roman" w:hAnsi="Times New Roman" w:eastAsia="宋体"/>
          <w:color w:val="auto"/>
          <w:sz w:val="21"/>
          <w:szCs w:val="24"/>
        </w:rPr>
      </w:pPr>
      <w:r>
        <w:rPr>
          <w:rFonts w:hint="eastAsia" w:ascii="宋体" w:hAnsi="宋体" w:eastAsia="宋体" w:cs="Times New Roman"/>
          <w:color w:val="auto"/>
          <w:sz w:val="21"/>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Times New Roman"/>
          <w:b/>
          <w:color w:val="auto"/>
          <w:sz w:val="21"/>
          <w:szCs w:val="21"/>
        </w:rPr>
        <w:t>政府采购合同专用条款</w:t>
      </w:r>
      <w:r>
        <w:rPr>
          <w:rFonts w:hint="eastAsia" w:ascii="宋体" w:hAnsi="宋体" w:eastAsia="宋体" w:cs="Times New Roman"/>
          <w:color w:val="auto"/>
          <w:sz w:val="21"/>
          <w:szCs w:val="21"/>
        </w:rPr>
        <w:t>】中约定。</w:t>
      </w:r>
    </w:p>
    <w:p>
      <w:pPr>
        <w:pStyle w:val="22"/>
        <w:spacing w:beforeLines="0" w:afterLines="0" w:line="400" w:lineRule="exact"/>
        <w:jc w:val="both"/>
        <w:rPr>
          <w:rFonts w:hint="eastAsia" w:ascii="宋体" w:hAnsi="宋体" w:eastAsia="宋体"/>
          <w:b/>
          <w:bCs w:val="0"/>
          <w:color w:val="auto"/>
          <w:sz w:val="24"/>
          <w:szCs w:val="24"/>
        </w:rPr>
      </w:pPr>
      <w:r>
        <w:rPr>
          <w:rFonts w:hint="eastAsia" w:ascii="宋体" w:hAnsi="宋体" w:eastAsia="宋体"/>
          <w:b/>
          <w:bCs w:val="0"/>
          <w:color w:val="auto"/>
          <w:sz w:val="24"/>
          <w:szCs w:val="24"/>
        </w:rPr>
        <w:t>13. 履约保证金</w:t>
      </w:r>
    </w:p>
    <w:p>
      <w:pPr>
        <w:adjustRightInd w:val="0"/>
        <w:snapToGrid w:val="0"/>
        <w:spacing w:beforeLines="0" w:afterLines="0" w:line="400" w:lineRule="exact"/>
        <w:ind w:firstLine="420" w:firstLineChars="200"/>
        <w:jc w:val="left"/>
        <w:rPr>
          <w:rFonts w:hint="eastAsia" w:ascii="宋体" w:hAnsi="宋体" w:eastAsia="宋体"/>
          <w:color w:val="auto"/>
          <w:sz w:val="21"/>
          <w:szCs w:val="24"/>
        </w:rPr>
      </w:pPr>
      <w:r>
        <w:rPr>
          <w:rFonts w:hint="eastAsia" w:ascii="宋体" w:hAnsi="宋体" w:eastAsia="宋体"/>
          <w:color w:val="auto"/>
          <w:sz w:val="21"/>
          <w:szCs w:val="24"/>
        </w:rPr>
        <w:t xml:space="preserve">13.1 </w:t>
      </w:r>
      <w:r>
        <w:rPr>
          <w:rFonts w:hint="eastAsia" w:ascii="宋体" w:hAnsi="宋体" w:eastAsia="宋体" w:cs="宋体"/>
          <w:sz w:val="21"/>
          <w:szCs w:val="15"/>
        </w:rPr>
        <w:t>乙方应当以支票、汇票、本票或者金融机构、担保机构出具的保函等非现金形式提交。</w:t>
      </w:r>
    </w:p>
    <w:p>
      <w:pPr>
        <w:adjustRightInd w:val="0"/>
        <w:snapToGrid w:val="0"/>
        <w:spacing w:beforeLines="0" w:afterLines="0" w:line="400" w:lineRule="exact"/>
        <w:ind w:firstLine="420" w:firstLineChars="200"/>
        <w:jc w:val="left"/>
        <w:rPr>
          <w:rFonts w:hint="eastAsia" w:ascii="宋体" w:hAnsi="宋体" w:eastAsia="宋体"/>
          <w:color w:val="auto"/>
          <w:sz w:val="21"/>
          <w:szCs w:val="24"/>
        </w:rPr>
      </w:pPr>
      <w:r>
        <w:rPr>
          <w:rFonts w:hint="eastAsia" w:ascii="宋体" w:hAnsi="宋体" w:eastAsia="宋体"/>
          <w:color w:val="auto"/>
          <w:sz w:val="21"/>
          <w:szCs w:val="24"/>
        </w:rPr>
        <w:t>13.2 如果乙方出现</w:t>
      </w:r>
      <w:r>
        <w:rPr>
          <w:rFonts w:hint="eastAsia" w:ascii="宋体" w:hAnsi="宋体" w:eastAsia="宋体" w:cs="宋体"/>
          <w:b/>
          <w:sz w:val="21"/>
          <w:szCs w:val="15"/>
        </w:rPr>
        <w:t>【政府采购合同专用条款】</w:t>
      </w:r>
      <w:r>
        <w:rPr>
          <w:rFonts w:hint="eastAsia" w:ascii="宋体" w:hAnsi="宋体" w:eastAsia="宋体" w:cs="宋体"/>
          <w:sz w:val="21"/>
          <w:szCs w:val="15"/>
        </w:rPr>
        <w:t>约定情形的</w:t>
      </w:r>
      <w:r>
        <w:rPr>
          <w:rFonts w:hint="eastAsia" w:ascii="宋体" w:hAnsi="宋体" w:eastAsia="宋体"/>
          <w:color w:val="auto"/>
          <w:sz w:val="21"/>
          <w:szCs w:val="24"/>
        </w:rPr>
        <w:t>，履约保证金不予退还；如果乙方未能按合同约定全面履行义务，甲方有权从履约保证金中取得补偿或赔偿，且不影响甲方要求乙方承担合同约定的超过履约保证金的违约责任的权利。</w:t>
      </w:r>
    </w:p>
    <w:p>
      <w:pPr>
        <w:spacing w:beforeLines="0" w:afterLines="0" w:line="400" w:lineRule="exact"/>
        <w:ind w:firstLine="420"/>
        <w:rPr>
          <w:rFonts w:hint="default"/>
          <w:color w:val="auto"/>
          <w:sz w:val="21"/>
          <w:szCs w:val="24"/>
        </w:rPr>
      </w:pPr>
      <w:r>
        <w:rPr>
          <w:rFonts w:hint="eastAsia" w:ascii="宋体" w:hAnsi="宋体" w:eastAsia="宋体"/>
          <w:color w:val="auto"/>
          <w:sz w:val="21"/>
          <w:szCs w:val="24"/>
        </w:rPr>
        <w:t>13.3 甲方在项目通过验收后按照</w:t>
      </w:r>
      <w:r>
        <w:rPr>
          <w:rFonts w:hint="eastAsia" w:ascii="宋体" w:hAnsi="宋体" w:eastAsia="宋体"/>
          <w:b/>
          <w:color w:val="auto"/>
          <w:sz w:val="21"/>
          <w:szCs w:val="24"/>
        </w:rPr>
        <w:t>【政府采购合同专用条款】</w:t>
      </w:r>
      <w:r>
        <w:rPr>
          <w:rFonts w:hint="eastAsia" w:ascii="宋体" w:hAnsi="宋体" w:eastAsia="宋体"/>
          <w:color w:val="auto"/>
          <w:sz w:val="21"/>
          <w:szCs w:val="24"/>
        </w:rPr>
        <w:t>规定的时间内将履约保证金退还乙方；逾期退还的，乙方可要求甲方支付违约金，违约金按照</w:t>
      </w:r>
      <w:r>
        <w:rPr>
          <w:rFonts w:hint="eastAsia" w:ascii="宋体" w:hAnsi="宋体" w:eastAsia="宋体"/>
          <w:b/>
          <w:color w:val="auto"/>
          <w:sz w:val="21"/>
          <w:szCs w:val="24"/>
        </w:rPr>
        <w:t>【政府采购合同专用条款】</w:t>
      </w:r>
      <w:r>
        <w:rPr>
          <w:rFonts w:hint="eastAsia" w:ascii="宋体" w:hAnsi="宋体" w:eastAsia="宋体"/>
          <w:color w:val="auto"/>
          <w:sz w:val="21"/>
          <w:szCs w:val="24"/>
        </w:rPr>
        <w:t>规定支付。</w:t>
      </w:r>
    </w:p>
    <w:p>
      <w:pPr>
        <w:autoSpaceDE w:val="0"/>
        <w:autoSpaceDN w:val="0"/>
        <w:adjustRightInd w:val="0"/>
        <w:snapToGrid w:val="0"/>
        <w:spacing w:beforeLines="0" w:afterLines="0" w:line="400" w:lineRule="exact"/>
        <w:jc w:val="left"/>
        <w:rPr>
          <w:rFonts w:hint="eastAsia" w:ascii="宋体" w:hAnsi="宋体" w:eastAsia="宋体"/>
          <w:b/>
          <w:color w:val="auto"/>
          <w:sz w:val="24"/>
          <w:szCs w:val="24"/>
        </w:rPr>
      </w:pPr>
      <w:r>
        <w:rPr>
          <w:rFonts w:hint="eastAsia" w:ascii="宋体" w:hAnsi="宋体" w:eastAsia="宋体"/>
          <w:b/>
          <w:color w:val="auto"/>
          <w:sz w:val="24"/>
          <w:szCs w:val="24"/>
        </w:rPr>
        <w:t xml:space="preserve">14. </w:t>
      </w:r>
      <w:r>
        <w:rPr>
          <w:rFonts w:hint="eastAsia" w:eastAsia="宋体"/>
          <w:b/>
          <w:color w:val="auto"/>
          <w:sz w:val="24"/>
          <w:szCs w:val="24"/>
        </w:rPr>
        <w:t>售后</w:t>
      </w:r>
      <w:r>
        <w:rPr>
          <w:rFonts w:hint="eastAsia" w:ascii="宋体" w:hAnsi="宋体" w:eastAsia="宋体"/>
          <w:b/>
          <w:color w:val="auto"/>
          <w:sz w:val="24"/>
          <w:szCs w:val="24"/>
        </w:rPr>
        <w:t>服务</w:t>
      </w:r>
    </w:p>
    <w:p>
      <w:pPr>
        <w:autoSpaceDE w:val="0"/>
        <w:autoSpaceDN w:val="0"/>
        <w:adjustRightInd w:val="0"/>
        <w:snapToGrid w:val="0"/>
        <w:spacing w:beforeLines="0" w:afterLines="0" w:line="400" w:lineRule="exact"/>
        <w:ind w:firstLine="420" w:firstLineChars="200"/>
        <w:jc w:val="left"/>
        <w:rPr>
          <w:rFonts w:hint="eastAsia" w:ascii="宋体" w:hAnsi="宋体" w:eastAsia="宋体"/>
          <w:color w:val="auto"/>
          <w:sz w:val="21"/>
          <w:szCs w:val="24"/>
        </w:rPr>
      </w:pPr>
      <w:r>
        <w:rPr>
          <w:rFonts w:hint="eastAsia" w:ascii="宋体" w:hAnsi="宋体" w:eastAsia="宋体"/>
          <w:color w:val="auto"/>
          <w:sz w:val="21"/>
          <w:szCs w:val="24"/>
        </w:rPr>
        <w:t>14.1 除项目不涉及或采购活动中明确约定无须承担外，乙方还应提供下列服务：</w:t>
      </w:r>
    </w:p>
    <w:p>
      <w:pPr>
        <w:autoSpaceDE w:val="0"/>
        <w:autoSpaceDN w:val="0"/>
        <w:adjustRightInd w:val="0"/>
        <w:snapToGrid w:val="0"/>
        <w:spacing w:beforeLines="0" w:afterLines="0" w:line="400" w:lineRule="exact"/>
        <w:ind w:firstLine="420" w:firstLineChars="200"/>
        <w:jc w:val="left"/>
        <w:rPr>
          <w:rFonts w:hint="eastAsia" w:ascii="宋体" w:hAnsi="宋体" w:eastAsia="宋体"/>
          <w:color w:val="auto"/>
          <w:sz w:val="21"/>
          <w:szCs w:val="24"/>
        </w:rPr>
      </w:pPr>
      <w:r>
        <w:rPr>
          <w:rFonts w:hint="eastAsia" w:ascii="宋体" w:hAnsi="宋体" w:eastAsia="宋体"/>
          <w:color w:val="auto"/>
          <w:sz w:val="21"/>
          <w:szCs w:val="24"/>
        </w:rPr>
        <w:t>（1）货物的现场移动、安装、调试、启动监督及技术支持；</w:t>
      </w:r>
    </w:p>
    <w:p>
      <w:pPr>
        <w:autoSpaceDE w:val="0"/>
        <w:autoSpaceDN w:val="0"/>
        <w:adjustRightInd w:val="0"/>
        <w:snapToGrid w:val="0"/>
        <w:spacing w:beforeLines="0" w:afterLines="0" w:line="400" w:lineRule="exact"/>
        <w:ind w:firstLine="420" w:firstLineChars="200"/>
        <w:jc w:val="left"/>
        <w:rPr>
          <w:rFonts w:hint="eastAsia" w:ascii="宋体" w:hAnsi="宋体" w:eastAsia="宋体"/>
          <w:color w:val="auto"/>
          <w:sz w:val="21"/>
          <w:szCs w:val="24"/>
        </w:rPr>
      </w:pPr>
      <w:r>
        <w:rPr>
          <w:rFonts w:hint="eastAsia" w:ascii="宋体" w:hAnsi="宋体" w:eastAsia="宋体"/>
          <w:color w:val="auto"/>
          <w:sz w:val="21"/>
          <w:szCs w:val="24"/>
        </w:rPr>
        <w:t>（2）提供货物组装和维修所需的专用工具和辅助材料；</w:t>
      </w:r>
    </w:p>
    <w:p>
      <w:pPr>
        <w:autoSpaceDE w:val="0"/>
        <w:autoSpaceDN w:val="0"/>
        <w:adjustRightInd w:val="0"/>
        <w:snapToGrid w:val="0"/>
        <w:spacing w:beforeLines="0" w:afterLines="0" w:line="400" w:lineRule="exact"/>
        <w:ind w:firstLine="420" w:firstLineChars="200"/>
        <w:jc w:val="left"/>
        <w:rPr>
          <w:rFonts w:hint="eastAsia" w:ascii="宋体" w:hAnsi="宋体" w:eastAsia="宋体"/>
          <w:color w:val="auto"/>
          <w:sz w:val="21"/>
          <w:szCs w:val="24"/>
        </w:rPr>
      </w:pPr>
      <w:r>
        <w:rPr>
          <w:rFonts w:hint="eastAsia" w:ascii="宋体" w:hAnsi="宋体" w:eastAsia="宋体"/>
          <w:color w:val="auto"/>
          <w:sz w:val="21"/>
          <w:szCs w:val="24"/>
        </w:rPr>
        <w:t>（3）在</w:t>
      </w:r>
      <w:r>
        <w:rPr>
          <w:rFonts w:hint="eastAsia" w:ascii="宋体" w:hAnsi="宋体" w:eastAsia="宋体" w:cs="宋体"/>
          <w:b/>
          <w:sz w:val="21"/>
          <w:szCs w:val="15"/>
        </w:rPr>
        <w:t>【政府采购合同专用条款】</w:t>
      </w:r>
      <w:r>
        <w:rPr>
          <w:rFonts w:hint="eastAsia" w:ascii="宋体" w:hAnsi="宋体" w:eastAsia="宋体"/>
          <w:color w:val="auto"/>
          <w:sz w:val="21"/>
          <w:szCs w:val="24"/>
        </w:rPr>
        <w:t>约定的期限内对所有的货物实施运行监督、维修，但前提条件是该服务并不能免除乙方在质量保证期内所承担的义务；</w:t>
      </w:r>
    </w:p>
    <w:p>
      <w:pPr>
        <w:autoSpaceDE w:val="0"/>
        <w:autoSpaceDN w:val="0"/>
        <w:adjustRightInd w:val="0"/>
        <w:snapToGrid w:val="0"/>
        <w:spacing w:beforeLines="0" w:afterLines="0" w:line="400" w:lineRule="exact"/>
        <w:ind w:firstLine="420" w:firstLineChars="200"/>
        <w:jc w:val="left"/>
        <w:rPr>
          <w:rFonts w:hint="eastAsia" w:ascii="宋体" w:hAnsi="宋体" w:eastAsia="宋体"/>
          <w:color w:val="auto"/>
          <w:sz w:val="21"/>
          <w:szCs w:val="24"/>
        </w:rPr>
      </w:pPr>
      <w:r>
        <w:rPr>
          <w:rFonts w:hint="eastAsia" w:ascii="宋体" w:hAnsi="宋体" w:eastAsia="宋体"/>
          <w:color w:val="auto"/>
          <w:sz w:val="21"/>
          <w:szCs w:val="24"/>
        </w:rPr>
        <w:t>（4）在制造商所在地或指定现场就货物的安装、启动、运营、维护、废弃处置等对甲方操作人员进行培训</w:t>
      </w:r>
      <w:r>
        <w:rPr>
          <w:rFonts w:hint="eastAsia" w:ascii="宋体" w:hAnsi="宋体" w:eastAsia="宋体" w:cs="宋体"/>
          <w:sz w:val="21"/>
          <w:szCs w:val="15"/>
        </w:rPr>
        <w:t>；</w:t>
      </w:r>
    </w:p>
    <w:p>
      <w:pPr>
        <w:pStyle w:val="2"/>
        <w:spacing w:beforeLines="0" w:afterLines="0"/>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pPr>
        <w:autoSpaceDE w:val="0"/>
        <w:autoSpaceDN w:val="0"/>
        <w:adjustRightInd w:val="0"/>
        <w:snapToGrid w:val="0"/>
        <w:spacing w:beforeLines="0" w:afterLines="0" w:line="400" w:lineRule="exact"/>
        <w:ind w:firstLine="420" w:firstLineChars="200"/>
        <w:jc w:val="left"/>
        <w:rPr>
          <w:rFonts w:hint="eastAsia" w:ascii="宋体" w:hAnsi="宋体" w:eastAsia="宋体"/>
          <w:color w:val="auto"/>
          <w:sz w:val="21"/>
          <w:szCs w:val="24"/>
        </w:rPr>
      </w:pPr>
      <w:r>
        <w:rPr>
          <w:rFonts w:hint="eastAsia" w:ascii="宋体" w:hAnsi="宋体" w:eastAsia="宋体"/>
          <w:color w:val="auto"/>
          <w:sz w:val="21"/>
          <w:szCs w:val="24"/>
        </w:rPr>
        <w:t>（6）</w:t>
      </w:r>
      <w:r>
        <w:rPr>
          <w:rFonts w:hint="eastAsia" w:ascii="宋体" w:hAnsi="宋体" w:eastAsia="宋体"/>
          <w:b/>
          <w:color w:val="auto"/>
          <w:sz w:val="21"/>
          <w:szCs w:val="24"/>
        </w:rPr>
        <w:t>【政府采购合同专用条款】</w:t>
      </w:r>
      <w:r>
        <w:rPr>
          <w:rFonts w:hint="eastAsia" w:ascii="宋体" w:hAnsi="宋体" w:eastAsia="宋体"/>
          <w:color w:val="auto"/>
          <w:sz w:val="21"/>
          <w:szCs w:val="24"/>
        </w:rPr>
        <w:t>规定由乙方提供的其他服务。</w:t>
      </w:r>
    </w:p>
    <w:p>
      <w:pPr>
        <w:autoSpaceDE w:val="0"/>
        <w:autoSpaceDN w:val="0"/>
        <w:adjustRightInd w:val="0"/>
        <w:snapToGrid w:val="0"/>
        <w:spacing w:beforeLines="0" w:afterLines="0" w:line="400" w:lineRule="exact"/>
        <w:ind w:firstLine="420" w:firstLineChars="200"/>
        <w:jc w:val="left"/>
        <w:rPr>
          <w:rFonts w:hint="eastAsia" w:ascii="宋体" w:hAnsi="宋体" w:eastAsia="宋体"/>
          <w:color w:val="auto"/>
          <w:sz w:val="21"/>
          <w:szCs w:val="24"/>
        </w:rPr>
      </w:pPr>
      <w:r>
        <w:rPr>
          <w:rFonts w:hint="eastAsia" w:ascii="宋体" w:hAnsi="宋体" w:eastAsia="宋体"/>
          <w:color w:val="auto"/>
          <w:sz w:val="21"/>
          <w:szCs w:val="24"/>
        </w:rPr>
        <w:t>14.2 乙方提供的售后服务的费用已包含在合同价款中，甲方不再另行支付。</w:t>
      </w:r>
    </w:p>
    <w:p>
      <w:pPr>
        <w:adjustRightInd w:val="0"/>
        <w:snapToGrid w:val="0"/>
        <w:spacing w:beforeLines="0" w:afterLines="0" w:line="400" w:lineRule="exact"/>
        <w:jc w:val="left"/>
        <w:rPr>
          <w:rFonts w:hint="eastAsia" w:ascii="宋体" w:hAnsi="宋体" w:eastAsia="宋体"/>
          <w:b/>
          <w:color w:val="auto"/>
          <w:sz w:val="24"/>
          <w:szCs w:val="24"/>
        </w:rPr>
      </w:pPr>
      <w:r>
        <w:rPr>
          <w:rFonts w:hint="eastAsia" w:ascii="宋体" w:hAnsi="宋体" w:eastAsia="宋体"/>
          <w:b/>
          <w:color w:val="auto"/>
          <w:sz w:val="24"/>
          <w:szCs w:val="24"/>
        </w:rPr>
        <w:t>15. 违约责任</w:t>
      </w:r>
    </w:p>
    <w:p>
      <w:pPr>
        <w:adjustRightInd w:val="0"/>
        <w:snapToGrid w:val="0"/>
        <w:spacing w:beforeLines="0" w:afterLines="0" w:line="400" w:lineRule="exact"/>
        <w:ind w:firstLine="420" w:firstLineChars="200"/>
        <w:jc w:val="left"/>
        <w:rPr>
          <w:rFonts w:hint="eastAsia" w:ascii="宋体" w:hAnsi="宋体" w:eastAsia="宋体"/>
          <w:color w:val="auto"/>
          <w:sz w:val="21"/>
          <w:szCs w:val="24"/>
        </w:rPr>
      </w:pPr>
      <w:r>
        <w:rPr>
          <w:rFonts w:hint="eastAsia" w:ascii="宋体" w:hAnsi="宋体" w:eastAsia="宋体"/>
          <w:color w:val="auto"/>
          <w:sz w:val="21"/>
          <w:szCs w:val="24"/>
        </w:rPr>
        <w:t>15.1质量瑕疵的违约责任</w:t>
      </w:r>
    </w:p>
    <w:p>
      <w:pPr>
        <w:autoSpaceDE w:val="0"/>
        <w:autoSpaceDN w:val="0"/>
        <w:adjustRightInd w:val="0"/>
        <w:snapToGrid w:val="0"/>
        <w:spacing w:beforeLines="0" w:afterLines="0" w:line="400" w:lineRule="exact"/>
        <w:ind w:firstLine="420" w:firstLineChars="200"/>
        <w:jc w:val="left"/>
        <w:rPr>
          <w:rFonts w:hint="eastAsia" w:ascii="宋体" w:hAnsi="宋体" w:eastAsia="宋体"/>
          <w:color w:val="auto"/>
          <w:sz w:val="21"/>
          <w:szCs w:val="24"/>
        </w:rPr>
      </w:pPr>
      <w:r>
        <w:rPr>
          <w:rFonts w:hint="eastAsia" w:ascii="宋体" w:hAnsi="宋体" w:eastAsia="宋体"/>
          <w:color w:val="auto"/>
          <w:sz w:val="21"/>
          <w:szCs w:val="24"/>
        </w:rPr>
        <w:t>乙方提供的产品不符合合同约定的质量标准或存在产品质量缺陷，甲方有权要求乙方根据</w:t>
      </w:r>
      <w:r>
        <w:rPr>
          <w:rFonts w:hint="eastAsia" w:ascii="宋体" w:hAnsi="宋体" w:eastAsia="宋体"/>
          <w:b/>
          <w:color w:val="auto"/>
          <w:sz w:val="21"/>
          <w:szCs w:val="24"/>
        </w:rPr>
        <w:t>【政府采购合同专用条款】</w:t>
      </w:r>
      <w:r>
        <w:rPr>
          <w:rFonts w:hint="eastAsia" w:ascii="宋体" w:hAnsi="宋体" w:eastAsia="宋体"/>
          <w:color w:val="auto"/>
          <w:sz w:val="21"/>
          <w:szCs w:val="24"/>
        </w:rPr>
        <w:t>要求及时修理、重作、更换，并承担由此给甲方造成的损失。</w:t>
      </w:r>
    </w:p>
    <w:p>
      <w:pPr>
        <w:autoSpaceDE w:val="0"/>
        <w:autoSpaceDN w:val="0"/>
        <w:adjustRightInd w:val="0"/>
        <w:snapToGrid w:val="0"/>
        <w:spacing w:beforeLines="0" w:afterLines="0" w:line="400" w:lineRule="exact"/>
        <w:ind w:firstLine="420" w:firstLineChars="200"/>
        <w:jc w:val="left"/>
        <w:rPr>
          <w:rFonts w:hint="eastAsia" w:ascii="宋体" w:hAnsi="宋体" w:eastAsia="宋体"/>
          <w:color w:val="auto"/>
          <w:sz w:val="21"/>
          <w:szCs w:val="24"/>
        </w:rPr>
      </w:pPr>
      <w:r>
        <w:rPr>
          <w:rFonts w:hint="eastAsia" w:ascii="宋体" w:hAnsi="宋体" w:eastAsia="宋体"/>
          <w:color w:val="auto"/>
          <w:sz w:val="21"/>
          <w:szCs w:val="24"/>
        </w:rPr>
        <w:t>15.2 迟延交货的违约责任</w:t>
      </w:r>
    </w:p>
    <w:p>
      <w:pPr>
        <w:autoSpaceDE w:val="0"/>
        <w:autoSpaceDN w:val="0"/>
        <w:adjustRightInd w:val="0"/>
        <w:snapToGrid w:val="0"/>
        <w:spacing w:beforeLines="0" w:afterLines="0" w:line="400" w:lineRule="exact"/>
        <w:ind w:firstLine="420" w:firstLineChars="200"/>
        <w:jc w:val="left"/>
        <w:rPr>
          <w:rFonts w:hint="eastAsia" w:ascii="宋体" w:hAnsi="宋体" w:eastAsia="宋体"/>
          <w:color w:val="auto"/>
          <w:sz w:val="21"/>
          <w:szCs w:val="24"/>
        </w:rPr>
      </w:pPr>
      <w:r>
        <w:rPr>
          <w:rFonts w:hint="eastAsia" w:ascii="宋体" w:hAnsi="宋体" w:eastAsia="宋体"/>
          <w:color w:val="auto"/>
          <w:sz w:val="21"/>
          <w:szCs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autoSpaceDE w:val="0"/>
        <w:autoSpaceDN w:val="0"/>
        <w:adjustRightInd w:val="0"/>
        <w:snapToGrid w:val="0"/>
        <w:spacing w:beforeLines="0" w:afterLines="0" w:line="400" w:lineRule="exact"/>
        <w:ind w:firstLine="420" w:firstLineChars="200"/>
        <w:jc w:val="left"/>
        <w:rPr>
          <w:rFonts w:hint="eastAsia" w:ascii="宋体" w:hAnsi="宋体" w:eastAsia="宋体"/>
          <w:color w:val="auto"/>
          <w:sz w:val="21"/>
          <w:szCs w:val="24"/>
        </w:rPr>
      </w:pPr>
      <w:r>
        <w:rPr>
          <w:rFonts w:hint="eastAsia" w:ascii="宋体" w:hAnsi="宋体" w:eastAsia="宋体"/>
          <w:color w:val="auto"/>
          <w:sz w:val="21"/>
          <w:szCs w:val="24"/>
        </w:rPr>
        <w:t>（2）如果乙方没有按照合同规定的时间交货和提供相关服务，甲方有权从货款中扣除误期赔偿费而不影响合同项下的其他补救方法，赔偿费按</w:t>
      </w:r>
      <w:r>
        <w:rPr>
          <w:rFonts w:hint="eastAsia" w:ascii="宋体" w:hAnsi="宋体" w:eastAsia="宋体"/>
          <w:b/>
          <w:color w:val="auto"/>
          <w:sz w:val="21"/>
          <w:szCs w:val="24"/>
        </w:rPr>
        <w:t>【政府采购合同专用条款】</w:t>
      </w:r>
      <w:r>
        <w:rPr>
          <w:rFonts w:hint="eastAsia" w:ascii="宋体" w:hAnsi="宋体" w:eastAsia="宋体"/>
          <w:color w:val="auto"/>
          <w:sz w:val="21"/>
          <w:szCs w:val="24"/>
        </w:rPr>
        <w:t>规定执行。如果涉及公共利益，且赔偿金额无法弥补公共利益损失，甲方可要求继续履行或者采取其他补救措施。</w:t>
      </w:r>
    </w:p>
    <w:p>
      <w:pPr>
        <w:autoSpaceDE w:val="0"/>
        <w:autoSpaceDN w:val="0"/>
        <w:adjustRightInd w:val="0"/>
        <w:snapToGrid w:val="0"/>
        <w:spacing w:beforeLines="0" w:afterLines="0" w:line="400" w:lineRule="exact"/>
        <w:ind w:firstLine="420" w:firstLineChars="200"/>
        <w:jc w:val="left"/>
        <w:rPr>
          <w:rFonts w:hint="eastAsia" w:ascii="宋体" w:hAnsi="宋体" w:eastAsia="宋体"/>
          <w:color w:val="auto"/>
          <w:sz w:val="21"/>
          <w:szCs w:val="24"/>
        </w:rPr>
      </w:pPr>
      <w:r>
        <w:rPr>
          <w:rFonts w:hint="eastAsia" w:ascii="宋体" w:hAnsi="宋体" w:eastAsia="宋体"/>
          <w:color w:val="auto"/>
          <w:sz w:val="21"/>
          <w:szCs w:val="24"/>
        </w:rPr>
        <w:t>15.3 迟延支付的违约责任</w:t>
      </w:r>
    </w:p>
    <w:p>
      <w:pPr>
        <w:autoSpaceDE w:val="0"/>
        <w:autoSpaceDN w:val="0"/>
        <w:adjustRightInd w:val="0"/>
        <w:snapToGrid w:val="0"/>
        <w:spacing w:beforeLines="0" w:afterLines="0" w:line="400" w:lineRule="exact"/>
        <w:ind w:firstLine="420" w:firstLineChars="200"/>
        <w:jc w:val="left"/>
        <w:rPr>
          <w:rFonts w:hint="eastAsia" w:ascii="宋体" w:hAnsi="宋体" w:eastAsia="宋体"/>
          <w:color w:val="auto"/>
          <w:sz w:val="21"/>
          <w:szCs w:val="24"/>
        </w:rPr>
      </w:pPr>
      <w:r>
        <w:rPr>
          <w:rFonts w:hint="eastAsia" w:ascii="宋体" w:hAnsi="宋体" w:eastAsia="宋体"/>
          <w:color w:val="auto"/>
          <w:sz w:val="21"/>
          <w:szCs w:val="24"/>
        </w:rPr>
        <w:t>甲方存在迟延支付乙方合同款项的，应当承担</w:t>
      </w:r>
      <w:r>
        <w:rPr>
          <w:rFonts w:hint="eastAsia" w:ascii="宋体" w:hAnsi="宋体" w:eastAsia="宋体"/>
          <w:b/>
          <w:color w:val="auto"/>
          <w:sz w:val="21"/>
          <w:szCs w:val="24"/>
        </w:rPr>
        <w:t>【政府采购合同专用条款】</w:t>
      </w:r>
      <w:r>
        <w:rPr>
          <w:rFonts w:hint="eastAsia" w:ascii="宋体" w:hAnsi="宋体" w:eastAsia="宋体"/>
          <w:color w:val="auto"/>
          <w:sz w:val="21"/>
          <w:szCs w:val="24"/>
        </w:rPr>
        <w:t>规定的逾期付款利息。</w:t>
      </w:r>
    </w:p>
    <w:p>
      <w:pPr>
        <w:adjustRightInd w:val="0"/>
        <w:snapToGrid w:val="0"/>
        <w:spacing w:beforeLines="0" w:afterLines="0" w:line="400" w:lineRule="exact"/>
        <w:ind w:firstLine="420" w:firstLineChars="200"/>
        <w:jc w:val="left"/>
        <w:rPr>
          <w:rFonts w:hint="eastAsia" w:ascii="宋体" w:hAnsi="宋体" w:eastAsia="宋体"/>
          <w:color w:val="auto"/>
          <w:sz w:val="21"/>
          <w:szCs w:val="24"/>
        </w:rPr>
      </w:pPr>
      <w:r>
        <w:rPr>
          <w:rFonts w:hint="eastAsia" w:ascii="宋体" w:hAnsi="宋体" w:eastAsia="宋体"/>
          <w:color w:val="auto"/>
          <w:sz w:val="21"/>
          <w:szCs w:val="24"/>
        </w:rPr>
        <w:t>15.4其他违约责任根据项目实际需要按</w:t>
      </w:r>
      <w:r>
        <w:rPr>
          <w:rFonts w:hint="eastAsia" w:ascii="宋体" w:hAnsi="宋体" w:eastAsia="宋体"/>
          <w:b/>
          <w:color w:val="auto"/>
          <w:sz w:val="21"/>
          <w:szCs w:val="24"/>
        </w:rPr>
        <w:t>【政府采购合同专用条款】</w:t>
      </w:r>
      <w:r>
        <w:rPr>
          <w:rFonts w:hint="eastAsia" w:ascii="宋体" w:hAnsi="宋体" w:eastAsia="宋体"/>
          <w:color w:val="auto"/>
          <w:sz w:val="21"/>
          <w:szCs w:val="24"/>
        </w:rPr>
        <w:t>规定执行。</w:t>
      </w:r>
    </w:p>
    <w:p>
      <w:pPr>
        <w:numPr>
          <w:ilvl w:val="0"/>
          <w:numId w:val="7"/>
        </w:numPr>
        <w:autoSpaceDE w:val="0"/>
        <w:autoSpaceDN w:val="0"/>
        <w:adjustRightInd w:val="0"/>
        <w:snapToGrid w:val="0"/>
        <w:spacing w:beforeLines="0" w:afterLines="0" w:line="400" w:lineRule="exact"/>
        <w:jc w:val="left"/>
        <w:rPr>
          <w:rFonts w:hint="eastAsia" w:ascii="宋体" w:hAnsi="宋体" w:eastAsia="宋体"/>
          <w:b/>
          <w:color w:val="auto"/>
          <w:sz w:val="24"/>
          <w:szCs w:val="24"/>
        </w:rPr>
      </w:pPr>
      <w:r>
        <w:rPr>
          <w:rFonts w:hint="eastAsia" w:ascii="宋体" w:hAnsi="宋体" w:eastAsia="宋体"/>
          <w:b/>
          <w:color w:val="auto"/>
          <w:sz w:val="24"/>
          <w:szCs w:val="24"/>
        </w:rPr>
        <w:t>合同变更、中止与终止</w:t>
      </w:r>
    </w:p>
    <w:p>
      <w:pPr>
        <w:adjustRightInd w:val="0"/>
        <w:snapToGrid w:val="0"/>
        <w:spacing w:beforeLines="0" w:afterLines="0" w:line="400" w:lineRule="exact"/>
        <w:jc w:val="left"/>
        <w:rPr>
          <w:rFonts w:hint="eastAsia" w:ascii="宋体" w:hAnsi="宋体" w:eastAsia="宋体"/>
          <w:color w:val="auto"/>
          <w:sz w:val="21"/>
          <w:szCs w:val="24"/>
        </w:rPr>
      </w:pPr>
      <w:r>
        <w:rPr>
          <w:rFonts w:hint="eastAsia" w:ascii="宋体" w:hAnsi="宋体" w:eastAsia="宋体"/>
          <w:color w:val="auto"/>
          <w:sz w:val="21"/>
          <w:szCs w:val="24"/>
        </w:rPr>
        <w:t xml:space="preserve">    16.1合同的变更</w:t>
      </w:r>
    </w:p>
    <w:p>
      <w:pPr>
        <w:autoSpaceDE w:val="0"/>
        <w:autoSpaceDN w:val="0"/>
        <w:adjustRightInd w:val="0"/>
        <w:snapToGrid w:val="0"/>
        <w:spacing w:beforeLines="0" w:afterLines="0" w:line="400" w:lineRule="exact"/>
        <w:ind w:firstLine="420" w:firstLineChars="200"/>
        <w:jc w:val="left"/>
        <w:rPr>
          <w:rFonts w:hint="eastAsia" w:ascii="宋体" w:hAnsi="宋体" w:eastAsia="宋体"/>
          <w:color w:val="auto"/>
          <w:sz w:val="21"/>
          <w:szCs w:val="24"/>
        </w:rPr>
      </w:pPr>
      <w:r>
        <w:rPr>
          <w:rFonts w:hint="eastAsia" w:ascii="宋体" w:hAnsi="宋体" w:eastAsia="宋体"/>
          <w:color w:val="auto"/>
          <w:sz w:val="21"/>
          <w:szCs w:val="24"/>
        </w:rPr>
        <w:t>政府采购合同履行中，在不改变合同其他条款的前提下，甲方可以在合同价款10%的范围内追加与合同标的相同的货物，并就此与乙方协商一致后签订补充协议。</w:t>
      </w:r>
    </w:p>
    <w:p>
      <w:pPr>
        <w:adjustRightInd w:val="0"/>
        <w:snapToGrid w:val="0"/>
        <w:spacing w:beforeLines="0" w:afterLines="0" w:line="400" w:lineRule="exact"/>
        <w:ind w:firstLine="420" w:firstLineChars="200"/>
        <w:jc w:val="left"/>
        <w:rPr>
          <w:rFonts w:hint="eastAsia" w:ascii="宋体" w:hAnsi="宋体" w:eastAsia="宋体"/>
          <w:color w:val="auto"/>
          <w:sz w:val="21"/>
          <w:szCs w:val="24"/>
        </w:rPr>
      </w:pPr>
      <w:r>
        <w:rPr>
          <w:rFonts w:hint="eastAsia" w:ascii="宋体" w:hAnsi="宋体" w:eastAsia="宋体"/>
          <w:color w:val="auto"/>
          <w:sz w:val="21"/>
          <w:szCs w:val="24"/>
        </w:rPr>
        <w:t>16.2合同的中止</w:t>
      </w:r>
    </w:p>
    <w:p>
      <w:pPr>
        <w:autoSpaceDE w:val="0"/>
        <w:autoSpaceDN w:val="0"/>
        <w:adjustRightInd w:val="0"/>
        <w:snapToGrid w:val="0"/>
        <w:spacing w:beforeLines="0" w:afterLines="0" w:line="400" w:lineRule="exact"/>
        <w:ind w:firstLine="420" w:firstLineChars="200"/>
        <w:jc w:val="left"/>
        <w:rPr>
          <w:rFonts w:hint="eastAsia" w:ascii="宋体" w:hAnsi="宋体" w:eastAsia="宋体"/>
          <w:color w:val="auto"/>
          <w:sz w:val="21"/>
          <w:szCs w:val="24"/>
        </w:rPr>
      </w:pPr>
      <w:r>
        <w:rPr>
          <w:rFonts w:hint="eastAsia" w:ascii="宋体" w:hAnsi="宋体" w:eastAsia="宋体"/>
          <w:color w:val="auto"/>
          <w:sz w:val="21"/>
          <w:szCs w:val="24"/>
        </w:rPr>
        <w:t>（1）合同履行过程中因供应商就采购文件、采购过程或结果提起投诉的，甲方认为有必要的，可以中止合同的履行。</w:t>
      </w:r>
    </w:p>
    <w:p>
      <w:pPr>
        <w:autoSpaceDE w:val="0"/>
        <w:autoSpaceDN w:val="0"/>
        <w:adjustRightInd w:val="0"/>
        <w:snapToGrid w:val="0"/>
        <w:spacing w:beforeLines="0" w:afterLines="0" w:line="400" w:lineRule="exact"/>
        <w:ind w:firstLine="420" w:firstLineChars="200"/>
        <w:jc w:val="left"/>
        <w:rPr>
          <w:rFonts w:hint="eastAsia" w:ascii="宋体" w:hAnsi="宋体" w:eastAsia="宋体"/>
          <w:color w:val="auto"/>
          <w:sz w:val="21"/>
          <w:szCs w:val="24"/>
        </w:rPr>
      </w:pPr>
      <w:r>
        <w:rPr>
          <w:rFonts w:hint="eastAsia" w:ascii="宋体" w:hAnsi="宋体" w:eastAsia="宋体"/>
          <w:color w:val="auto"/>
          <w:sz w:val="21"/>
          <w:szCs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pStyle w:val="2"/>
        <w:spacing w:beforeLines="0" w:afterLines="0"/>
        <w:jc w:val="both"/>
        <w:rPr>
          <w:rFonts w:hint="eastAsia"/>
          <w:sz w:val="21"/>
          <w:szCs w:val="21"/>
        </w:rPr>
      </w:pPr>
      <w:r>
        <w:rPr>
          <w:rFonts w:hint="eastAsia" w:ascii="宋体" w:hAnsi="宋体" w:eastAsia="宋体" w:cs="宋体"/>
          <w:sz w:val="21"/>
          <w:szCs w:val="21"/>
        </w:rPr>
        <w:t>（3）乙方分立、合并或者变更住所的，应当及时以书面形式告知甲方。乙方没有及时告知甲方，致使合同履行发生困难的，甲方可以中止合同履行并要求乙方承担由此给甲方造成的损失。</w:t>
      </w:r>
    </w:p>
    <w:p>
      <w:pPr>
        <w:snapToGrid w:val="0"/>
        <w:spacing w:beforeLines="0" w:afterLines="0" w:line="400" w:lineRule="exact"/>
        <w:ind w:firstLine="420" w:firstLineChars="200"/>
        <w:jc w:val="left"/>
        <w:rPr>
          <w:rFonts w:hint="default"/>
          <w:sz w:val="21"/>
          <w:szCs w:val="24"/>
        </w:rPr>
      </w:pPr>
      <w:r>
        <w:rPr>
          <w:rFonts w:hint="eastAsia" w:ascii="宋体" w:hAnsi="宋体" w:eastAsia="宋体"/>
          <w:color w:val="auto"/>
          <w:sz w:val="21"/>
          <w:szCs w:val="24"/>
        </w:rPr>
        <w:t>（4）甲方不得以行政区划调整、政府换届、机构或者职能调整以及相关责任人更替为由中止合同。</w:t>
      </w:r>
    </w:p>
    <w:p>
      <w:pPr>
        <w:adjustRightInd w:val="0"/>
        <w:snapToGrid w:val="0"/>
        <w:spacing w:beforeLines="0" w:afterLines="0" w:line="400" w:lineRule="exact"/>
        <w:ind w:firstLine="420" w:firstLineChars="200"/>
        <w:jc w:val="left"/>
        <w:rPr>
          <w:rFonts w:hint="eastAsia" w:ascii="宋体" w:hAnsi="宋体" w:eastAsia="宋体"/>
          <w:color w:val="auto"/>
          <w:sz w:val="21"/>
          <w:szCs w:val="24"/>
        </w:rPr>
      </w:pPr>
      <w:r>
        <w:rPr>
          <w:rFonts w:hint="eastAsia" w:ascii="宋体" w:hAnsi="宋体" w:eastAsia="宋体"/>
          <w:color w:val="auto"/>
          <w:sz w:val="21"/>
          <w:szCs w:val="24"/>
        </w:rPr>
        <w:t>16.3合同的终止</w:t>
      </w:r>
    </w:p>
    <w:p>
      <w:pPr>
        <w:autoSpaceDE w:val="0"/>
        <w:autoSpaceDN w:val="0"/>
        <w:adjustRightInd w:val="0"/>
        <w:snapToGrid w:val="0"/>
        <w:spacing w:beforeLines="0" w:afterLines="0" w:line="400" w:lineRule="exact"/>
        <w:ind w:firstLine="420" w:firstLineChars="200"/>
        <w:jc w:val="left"/>
        <w:rPr>
          <w:rFonts w:hint="eastAsia" w:ascii="宋体" w:hAnsi="宋体" w:eastAsia="宋体"/>
          <w:color w:val="auto"/>
          <w:sz w:val="21"/>
          <w:szCs w:val="24"/>
        </w:rPr>
      </w:pPr>
      <w:r>
        <w:rPr>
          <w:rFonts w:hint="eastAsia" w:ascii="宋体" w:hAnsi="宋体" w:eastAsia="宋体"/>
          <w:color w:val="auto"/>
          <w:sz w:val="21"/>
          <w:szCs w:val="24"/>
        </w:rPr>
        <w:t>（1）合同因有效期限届满而终止；</w:t>
      </w:r>
    </w:p>
    <w:p>
      <w:pPr>
        <w:snapToGrid w:val="0"/>
        <w:spacing w:beforeLines="0" w:afterLines="0" w:line="400" w:lineRule="exact"/>
        <w:ind w:firstLine="420" w:firstLineChars="200"/>
        <w:rPr>
          <w:rFonts w:hint="eastAsia" w:ascii="宋体" w:hAnsi="宋体" w:eastAsia="宋体" w:cs="宋体"/>
          <w:sz w:val="21"/>
          <w:szCs w:val="21"/>
        </w:rPr>
      </w:pPr>
      <w:r>
        <w:rPr>
          <w:rFonts w:hint="eastAsia" w:ascii="宋体" w:hAnsi="宋体" w:eastAsia="宋体"/>
          <w:color w:val="auto"/>
          <w:sz w:val="21"/>
          <w:szCs w:val="24"/>
        </w:rPr>
        <w:t>（2）乙方未按合同约定履行，构成根本性违约的，甲方有权终止合同，</w:t>
      </w:r>
      <w:r>
        <w:rPr>
          <w:rFonts w:hint="eastAsia" w:ascii="宋体" w:hAnsi="宋体" w:eastAsia="宋体" w:cs="宋体"/>
          <w:sz w:val="21"/>
          <w:szCs w:val="21"/>
        </w:rPr>
        <w:t>并追究乙方的违约责任</w:t>
      </w:r>
      <w:r>
        <w:rPr>
          <w:rFonts w:hint="eastAsia" w:ascii="宋体" w:hAnsi="宋体" w:eastAsia="宋体"/>
          <w:color w:val="auto"/>
          <w:sz w:val="21"/>
          <w:szCs w:val="24"/>
        </w:rPr>
        <w:t>。</w:t>
      </w:r>
    </w:p>
    <w:p>
      <w:pPr>
        <w:pStyle w:val="2"/>
        <w:spacing w:beforeLines="0" w:afterLines="0"/>
        <w:rPr>
          <w:rFonts w:hint="eastAsia" w:ascii="宋体" w:hAnsi="宋体"/>
          <w:color w:val="auto"/>
          <w:sz w:val="22"/>
          <w:szCs w:val="21"/>
        </w:rPr>
      </w:pPr>
      <w:r>
        <w:rPr>
          <w:rFonts w:hint="eastAsia" w:ascii="宋体" w:hAnsi="宋体"/>
          <w:color w:val="auto"/>
          <w:sz w:val="22"/>
          <w:szCs w:val="21"/>
        </w:rPr>
        <w:t xml:space="preserve">16.4 </w:t>
      </w:r>
      <w:r>
        <w:rPr>
          <w:rFonts w:hint="eastAsia" w:ascii="宋体" w:hAnsi="宋体" w:eastAsia="宋体" w:cs="Times New Roman"/>
          <w:color w:val="auto"/>
          <w:kern w:val="2"/>
          <w:sz w:val="21"/>
          <w:szCs w:val="21"/>
        </w:rPr>
        <w:t>涉及国家利益、社会公共利益的情形</w:t>
      </w:r>
    </w:p>
    <w:p>
      <w:pPr>
        <w:pStyle w:val="2"/>
        <w:spacing w:beforeLines="0" w:afterLines="0"/>
        <w:jc w:val="both"/>
        <w:rPr>
          <w:rFonts w:hint="eastAsia"/>
          <w:sz w:val="21"/>
          <w:szCs w:val="21"/>
        </w:rPr>
      </w:pPr>
      <w:r>
        <w:rPr>
          <w:rFonts w:hint="eastAsia" w:ascii="宋体" w:hAnsi="宋体" w:eastAsia="宋体" w:cs="宋体"/>
          <w:sz w:val="21"/>
          <w:szCs w:val="21"/>
        </w:rPr>
        <w:t>政府采购合同继续履行将损害国家利益和社会公共利益的，双方当事人应当变更、中止或者终止合同。有过错的一方应当承担赔偿责任，双方都有过错的，各自承担相应的责任。</w:t>
      </w:r>
    </w:p>
    <w:p>
      <w:pPr>
        <w:autoSpaceDE w:val="0"/>
        <w:autoSpaceDN w:val="0"/>
        <w:adjustRightInd w:val="0"/>
        <w:snapToGrid w:val="0"/>
        <w:spacing w:beforeLines="0" w:afterLines="0" w:line="400" w:lineRule="exact"/>
        <w:jc w:val="left"/>
        <w:rPr>
          <w:rFonts w:hint="eastAsia" w:ascii="宋体" w:hAnsi="宋体" w:eastAsia="宋体"/>
          <w:b/>
          <w:color w:val="auto"/>
          <w:sz w:val="24"/>
          <w:szCs w:val="24"/>
        </w:rPr>
      </w:pPr>
      <w:r>
        <w:rPr>
          <w:rFonts w:hint="eastAsia" w:ascii="宋体" w:hAnsi="宋体" w:eastAsia="宋体"/>
          <w:b/>
          <w:color w:val="auto"/>
          <w:sz w:val="24"/>
          <w:szCs w:val="24"/>
        </w:rPr>
        <w:t>17. 合同分包</w:t>
      </w:r>
    </w:p>
    <w:p>
      <w:pPr>
        <w:autoSpaceDE w:val="0"/>
        <w:autoSpaceDN w:val="0"/>
        <w:adjustRightInd w:val="0"/>
        <w:snapToGrid w:val="0"/>
        <w:spacing w:beforeLines="0" w:afterLines="0" w:line="400" w:lineRule="exact"/>
        <w:ind w:firstLine="420" w:firstLineChars="200"/>
        <w:jc w:val="left"/>
        <w:rPr>
          <w:rFonts w:hint="eastAsia" w:ascii="宋体" w:hAnsi="宋体" w:eastAsia="宋体"/>
          <w:color w:val="auto"/>
          <w:sz w:val="21"/>
          <w:szCs w:val="24"/>
        </w:rPr>
      </w:pPr>
      <w:r>
        <w:rPr>
          <w:rFonts w:hint="eastAsia" w:ascii="宋体" w:hAnsi="宋体" w:eastAsia="宋体"/>
          <w:color w:val="auto"/>
          <w:sz w:val="21"/>
          <w:szCs w:val="24"/>
        </w:rPr>
        <w:t>17.1 乙方不得将合同转包给其他供应商。涉及合同分包的，乙方应根据采购文件和投标（响应）文件规定进行合同分包。</w:t>
      </w:r>
    </w:p>
    <w:p>
      <w:pPr>
        <w:autoSpaceDE w:val="0"/>
        <w:autoSpaceDN w:val="0"/>
        <w:adjustRightInd w:val="0"/>
        <w:snapToGrid w:val="0"/>
        <w:spacing w:beforeLines="0" w:afterLines="0" w:line="400" w:lineRule="exact"/>
        <w:ind w:firstLine="420" w:firstLineChars="200"/>
        <w:jc w:val="left"/>
        <w:rPr>
          <w:rFonts w:hint="eastAsia" w:ascii="宋体" w:hAnsi="宋体" w:eastAsia="宋体"/>
          <w:color w:val="auto"/>
          <w:sz w:val="21"/>
          <w:szCs w:val="24"/>
        </w:rPr>
      </w:pPr>
      <w:r>
        <w:rPr>
          <w:rFonts w:hint="eastAsia" w:ascii="宋体" w:hAnsi="宋体" w:eastAsia="宋体"/>
          <w:color w:val="auto"/>
          <w:sz w:val="21"/>
          <w:szCs w:val="24"/>
        </w:rPr>
        <w:t>17.2 乙方执行政府采购政策向中小企业依法分包的，乙方应当按采购文件和投标（响应）文件签订分包意向协议，分包意向协议属于本合同组成部分。</w:t>
      </w:r>
    </w:p>
    <w:p>
      <w:pPr>
        <w:autoSpaceDE w:val="0"/>
        <w:autoSpaceDN w:val="0"/>
        <w:adjustRightInd w:val="0"/>
        <w:snapToGrid w:val="0"/>
        <w:spacing w:beforeLines="0" w:afterLines="0" w:line="400" w:lineRule="exact"/>
        <w:jc w:val="left"/>
        <w:rPr>
          <w:rFonts w:hint="eastAsia" w:ascii="宋体" w:hAnsi="宋体" w:eastAsia="宋体"/>
          <w:b/>
          <w:color w:val="auto"/>
          <w:sz w:val="24"/>
          <w:szCs w:val="24"/>
        </w:rPr>
      </w:pPr>
      <w:r>
        <w:rPr>
          <w:rFonts w:hint="eastAsia" w:ascii="宋体" w:hAnsi="宋体" w:eastAsia="宋体"/>
          <w:b/>
          <w:color w:val="auto"/>
          <w:sz w:val="24"/>
          <w:szCs w:val="24"/>
        </w:rPr>
        <w:t>18. 不可抗力</w:t>
      </w:r>
    </w:p>
    <w:p>
      <w:pPr>
        <w:autoSpaceDE w:val="0"/>
        <w:autoSpaceDN w:val="0"/>
        <w:adjustRightInd w:val="0"/>
        <w:snapToGrid w:val="0"/>
        <w:spacing w:beforeLines="0" w:afterLines="0" w:line="400" w:lineRule="exact"/>
        <w:ind w:firstLine="420" w:firstLineChars="200"/>
        <w:jc w:val="left"/>
        <w:rPr>
          <w:rFonts w:hint="eastAsia" w:ascii="宋体" w:hAnsi="宋体" w:eastAsia="宋体"/>
          <w:color w:val="auto"/>
          <w:sz w:val="21"/>
          <w:szCs w:val="24"/>
        </w:rPr>
      </w:pPr>
      <w:r>
        <w:rPr>
          <w:rFonts w:hint="eastAsia" w:ascii="宋体" w:hAnsi="宋体" w:eastAsia="宋体"/>
          <w:color w:val="auto"/>
          <w:sz w:val="21"/>
          <w:szCs w:val="24"/>
        </w:rPr>
        <w:t>18.1 不可抗力是指合同双方不能预见、不能避免且不能克服的客观情况。</w:t>
      </w:r>
    </w:p>
    <w:p>
      <w:pPr>
        <w:autoSpaceDE w:val="0"/>
        <w:autoSpaceDN w:val="0"/>
        <w:adjustRightInd w:val="0"/>
        <w:snapToGrid w:val="0"/>
        <w:spacing w:beforeLines="0" w:afterLines="0" w:line="400" w:lineRule="exact"/>
        <w:ind w:firstLine="420" w:firstLineChars="200"/>
        <w:jc w:val="left"/>
        <w:rPr>
          <w:rFonts w:hint="eastAsia" w:ascii="宋体" w:hAnsi="宋体" w:eastAsia="宋体"/>
          <w:color w:val="auto"/>
          <w:sz w:val="21"/>
          <w:szCs w:val="24"/>
        </w:rPr>
      </w:pPr>
      <w:r>
        <w:rPr>
          <w:rFonts w:hint="eastAsia" w:ascii="宋体" w:hAnsi="宋体" w:eastAsia="宋体"/>
          <w:color w:val="auto"/>
          <w:sz w:val="21"/>
          <w:szCs w:val="24"/>
        </w:rPr>
        <w:t>18.2 任何一方对由于不可抗力造成的部分或全部不能履行合同不承担违约责任。但迟延履行后发生不可抗力的，不能免除责任。</w:t>
      </w:r>
    </w:p>
    <w:p>
      <w:pPr>
        <w:autoSpaceDE w:val="0"/>
        <w:autoSpaceDN w:val="0"/>
        <w:adjustRightInd w:val="0"/>
        <w:snapToGrid w:val="0"/>
        <w:spacing w:beforeLines="0" w:afterLines="0" w:line="400" w:lineRule="exact"/>
        <w:ind w:firstLine="420" w:firstLineChars="200"/>
        <w:jc w:val="left"/>
        <w:rPr>
          <w:rFonts w:hint="eastAsia" w:ascii="宋体" w:hAnsi="宋体" w:eastAsia="宋体"/>
          <w:color w:val="auto"/>
          <w:sz w:val="21"/>
          <w:szCs w:val="24"/>
        </w:rPr>
      </w:pPr>
      <w:r>
        <w:rPr>
          <w:rFonts w:hint="eastAsia" w:ascii="宋体" w:hAnsi="宋体" w:eastAsia="宋体"/>
          <w:color w:val="auto"/>
          <w:sz w:val="21"/>
          <w:szCs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autoSpaceDE w:val="0"/>
        <w:autoSpaceDN w:val="0"/>
        <w:adjustRightInd w:val="0"/>
        <w:snapToGrid w:val="0"/>
        <w:spacing w:beforeLines="0" w:afterLines="0" w:line="400" w:lineRule="exact"/>
        <w:jc w:val="left"/>
        <w:rPr>
          <w:rFonts w:hint="eastAsia" w:ascii="宋体" w:hAnsi="宋体" w:eastAsia="宋体"/>
          <w:b/>
          <w:color w:val="auto"/>
          <w:sz w:val="24"/>
          <w:szCs w:val="24"/>
        </w:rPr>
      </w:pPr>
      <w:r>
        <w:rPr>
          <w:rFonts w:hint="eastAsia" w:ascii="宋体" w:hAnsi="宋体" w:eastAsia="宋体"/>
          <w:b/>
          <w:color w:val="auto"/>
          <w:sz w:val="24"/>
          <w:szCs w:val="24"/>
        </w:rPr>
        <w:t>19. 解决争议的方法</w:t>
      </w:r>
    </w:p>
    <w:p>
      <w:pPr>
        <w:pStyle w:val="2"/>
        <w:spacing w:beforeLines="0" w:afterLines="0"/>
        <w:jc w:val="both"/>
        <w:rPr>
          <w:rFonts w:hint="eastAsia" w:ascii="宋体" w:hAnsi="宋体" w:eastAsia="宋体" w:cs="宋体"/>
          <w:sz w:val="21"/>
          <w:szCs w:val="21"/>
        </w:rPr>
      </w:pPr>
      <w:r>
        <w:rPr>
          <w:rFonts w:hint="eastAsia" w:ascii="宋体" w:hAnsi="宋体" w:eastAsia="宋体" w:cs="宋体"/>
          <w:sz w:val="21"/>
          <w:szCs w:val="21"/>
        </w:rPr>
        <w:t>19.1 因本合同及合同有关事项发生的争议，由甲乙双方友好协商解决。协商不成时，可以向有关组织申请调解。合同一方或双方不愿调解或调解不成的，可以通过仲裁或诉讼的方式解决争议。</w:t>
      </w:r>
    </w:p>
    <w:p>
      <w:pPr>
        <w:pStyle w:val="2"/>
        <w:spacing w:beforeLines="0" w:afterLines="0"/>
        <w:jc w:val="both"/>
        <w:rPr>
          <w:rFonts w:hint="eastAsia" w:ascii="宋体" w:hAnsi="宋体" w:eastAsia="宋体" w:cs="宋体"/>
          <w:sz w:val="21"/>
          <w:szCs w:val="21"/>
        </w:rPr>
      </w:pPr>
      <w:r>
        <w:rPr>
          <w:rFonts w:hint="eastAsia" w:ascii="宋体" w:hAnsi="宋体" w:eastAsia="宋体" w:cs="宋体"/>
          <w:sz w:val="21"/>
          <w:szCs w:val="21"/>
        </w:rPr>
        <w:t>19.2 选择仲裁的，应在</w:t>
      </w:r>
      <w:r>
        <w:rPr>
          <w:rFonts w:hint="eastAsia" w:ascii="宋体" w:hAnsi="宋体" w:eastAsia="宋体" w:cs="宋体"/>
          <w:b/>
          <w:color w:val="auto"/>
          <w:sz w:val="21"/>
          <w:szCs w:val="21"/>
        </w:rPr>
        <w:t>【政府采购合同专用条款】</w:t>
      </w:r>
      <w:r>
        <w:rPr>
          <w:rFonts w:hint="eastAsia" w:ascii="宋体" w:hAnsi="宋体" w:eastAsia="宋体" w:cs="宋体"/>
          <w:sz w:val="21"/>
          <w:szCs w:val="21"/>
        </w:rPr>
        <w:t>中明确仲裁机构及仲裁地；通过诉讼方式解决的，可以在</w:t>
      </w:r>
      <w:r>
        <w:rPr>
          <w:rFonts w:hint="eastAsia" w:ascii="宋体" w:hAnsi="宋体" w:eastAsia="宋体" w:cs="宋体"/>
          <w:b/>
          <w:color w:val="auto"/>
          <w:sz w:val="21"/>
          <w:szCs w:val="21"/>
        </w:rPr>
        <w:t>【政府采购合同专用条款】</w:t>
      </w:r>
      <w:r>
        <w:rPr>
          <w:rFonts w:hint="eastAsia" w:ascii="宋体" w:hAnsi="宋体" w:eastAsia="宋体" w:cs="宋体"/>
          <w:sz w:val="21"/>
          <w:szCs w:val="21"/>
        </w:rPr>
        <w:t>中进一步约定选择与争议有实际联系的地点的人民法院管辖，但管辖法院的约定不得违反级别管辖和专属管辖的规定。</w:t>
      </w:r>
    </w:p>
    <w:p>
      <w:pPr>
        <w:pStyle w:val="2"/>
        <w:spacing w:beforeLines="0" w:afterLines="0"/>
        <w:jc w:val="both"/>
        <w:rPr>
          <w:rFonts w:hint="eastAsia" w:ascii="宋体" w:hAnsi="宋体" w:eastAsia="宋体" w:cs="宋体"/>
          <w:sz w:val="21"/>
          <w:szCs w:val="21"/>
        </w:rPr>
      </w:pPr>
      <w:r>
        <w:rPr>
          <w:rFonts w:hint="eastAsia" w:ascii="宋体" w:hAnsi="宋体" w:eastAsia="宋体" w:cs="宋体"/>
          <w:sz w:val="21"/>
          <w:szCs w:val="21"/>
        </w:rPr>
        <w:t>19.3 如甲乙双方有争议的事项不影响合同其他部分的履行，在争议解决期间，合同其他部分应当继续履行。</w:t>
      </w:r>
    </w:p>
    <w:p>
      <w:pPr>
        <w:autoSpaceDE w:val="0"/>
        <w:autoSpaceDN w:val="0"/>
        <w:adjustRightInd w:val="0"/>
        <w:snapToGrid w:val="0"/>
        <w:spacing w:beforeLines="0" w:afterLines="0" w:line="400" w:lineRule="exact"/>
        <w:jc w:val="left"/>
        <w:rPr>
          <w:rFonts w:hint="eastAsia" w:ascii="宋体" w:hAnsi="宋体" w:eastAsia="宋体"/>
          <w:color w:val="auto"/>
          <w:sz w:val="24"/>
          <w:szCs w:val="24"/>
        </w:rPr>
      </w:pPr>
      <w:r>
        <w:rPr>
          <w:rFonts w:hint="eastAsia" w:ascii="宋体" w:hAnsi="宋体" w:eastAsia="宋体"/>
          <w:b/>
          <w:color w:val="auto"/>
          <w:sz w:val="24"/>
          <w:szCs w:val="24"/>
        </w:rPr>
        <w:t>20. 政府采购政策</w:t>
      </w:r>
    </w:p>
    <w:p>
      <w:pPr>
        <w:autoSpaceDE w:val="0"/>
        <w:autoSpaceDN w:val="0"/>
        <w:adjustRightInd w:val="0"/>
        <w:snapToGrid w:val="0"/>
        <w:spacing w:beforeLines="0" w:afterLines="0" w:line="400" w:lineRule="exact"/>
        <w:ind w:firstLine="420" w:firstLineChars="200"/>
        <w:jc w:val="left"/>
        <w:rPr>
          <w:rFonts w:hint="eastAsia" w:ascii="宋体" w:hAnsi="宋体" w:eastAsia="宋体"/>
          <w:color w:val="auto"/>
          <w:sz w:val="21"/>
          <w:szCs w:val="24"/>
        </w:rPr>
      </w:pPr>
      <w:r>
        <w:rPr>
          <w:rFonts w:hint="eastAsia" w:ascii="宋体" w:hAnsi="宋体" w:eastAsia="宋体"/>
          <w:color w:val="auto"/>
          <w:sz w:val="21"/>
          <w:szCs w:val="24"/>
        </w:rPr>
        <w:t xml:space="preserve">20.1 </w:t>
      </w:r>
      <w:r>
        <w:rPr>
          <w:rFonts w:hint="eastAsia" w:ascii="宋体" w:hAnsi="宋体" w:eastAsia="宋体" w:cs="宋体"/>
          <w:sz w:val="21"/>
          <w:szCs w:val="24"/>
          <w:lang w:val="en-GB"/>
        </w:rPr>
        <w:t>本合同应当按照规定执行政府采购政策。</w:t>
      </w:r>
    </w:p>
    <w:p>
      <w:pPr>
        <w:autoSpaceDE w:val="0"/>
        <w:autoSpaceDN w:val="0"/>
        <w:adjustRightInd w:val="0"/>
        <w:snapToGrid w:val="0"/>
        <w:spacing w:beforeLines="0" w:afterLines="0" w:line="400" w:lineRule="exact"/>
        <w:ind w:firstLine="420" w:firstLineChars="200"/>
        <w:jc w:val="left"/>
        <w:rPr>
          <w:rFonts w:hint="eastAsia" w:ascii="宋体" w:hAnsi="宋体" w:eastAsia="宋体" w:cs="Times New Roman"/>
          <w:color w:val="auto"/>
          <w:sz w:val="21"/>
          <w:szCs w:val="24"/>
        </w:rPr>
      </w:pPr>
      <w:r>
        <w:rPr>
          <w:rFonts w:hint="eastAsia" w:ascii="宋体" w:hAnsi="宋体" w:eastAsia="宋体"/>
          <w:color w:val="auto"/>
          <w:sz w:val="21"/>
          <w:szCs w:val="24"/>
        </w:rPr>
        <w:t>20.2 本合同依法执行政府采购政策的方式和内容，属于合同履约验收的范围。</w:t>
      </w:r>
      <w:r>
        <w:rPr>
          <w:rFonts w:hint="eastAsia" w:ascii="宋体" w:hAnsi="宋体" w:eastAsia="宋体" w:cs="宋体"/>
          <w:sz w:val="21"/>
          <w:szCs w:val="24"/>
        </w:rPr>
        <w:t>甲乙双方</w:t>
      </w:r>
      <w:r>
        <w:rPr>
          <w:rFonts w:hint="eastAsia" w:ascii="宋体" w:hAnsi="宋体" w:eastAsia="宋体" w:cs="宋体"/>
          <w:sz w:val="21"/>
          <w:szCs w:val="24"/>
          <w:lang w:val="en-GB"/>
        </w:rPr>
        <w:t>未按规定要求执</w:t>
      </w:r>
      <w:r>
        <w:rPr>
          <w:rFonts w:hint="eastAsia" w:ascii="宋体" w:hAnsi="宋体" w:eastAsia="宋体" w:cs="Times New Roman"/>
          <w:color w:val="auto"/>
          <w:sz w:val="21"/>
          <w:szCs w:val="24"/>
          <w:lang w:val="en-GB"/>
        </w:rPr>
        <w:t>行政府采购政策造成损失的</w:t>
      </w:r>
      <w:r>
        <w:rPr>
          <w:rFonts w:hint="eastAsia" w:ascii="宋体" w:hAnsi="宋体" w:eastAsia="宋体" w:cs="Times New Roman"/>
          <w:color w:val="auto"/>
          <w:sz w:val="21"/>
          <w:szCs w:val="24"/>
        </w:rPr>
        <w:t>，有过错的一方应当承担赔偿责任，双方都有过错的，各自承担相应的责任。</w:t>
      </w:r>
    </w:p>
    <w:p>
      <w:pPr>
        <w:autoSpaceDE w:val="0"/>
        <w:autoSpaceDN w:val="0"/>
        <w:adjustRightInd w:val="0"/>
        <w:snapToGrid w:val="0"/>
        <w:spacing w:beforeLines="0" w:afterLines="0" w:line="400" w:lineRule="exact"/>
        <w:ind w:firstLine="420" w:firstLineChars="200"/>
        <w:jc w:val="left"/>
        <w:rPr>
          <w:rFonts w:hint="default"/>
          <w:color w:val="auto"/>
          <w:w w:val="90"/>
          <w:sz w:val="24"/>
          <w:szCs w:val="24"/>
        </w:rPr>
      </w:pPr>
      <w:r>
        <w:rPr>
          <w:rFonts w:hint="eastAsia" w:ascii="宋体" w:hAnsi="宋体" w:eastAsia="宋体" w:cs="Times New Roman"/>
          <w:color w:val="auto"/>
          <w:sz w:val="21"/>
          <w:szCs w:val="24"/>
        </w:rPr>
        <w:t xml:space="preserve">20.3 </w:t>
      </w:r>
      <w:r>
        <w:rPr>
          <w:rFonts w:hint="eastAsia" w:ascii="宋体" w:hAnsi="宋体" w:eastAsia="宋体" w:cs="Times New Roman"/>
          <w:color w:val="auto"/>
          <w:w w:val="90"/>
          <w:sz w:val="21"/>
          <w:szCs w:val="24"/>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beforeLines="0" w:afterLines="0" w:line="400" w:lineRule="exact"/>
        <w:jc w:val="left"/>
        <w:rPr>
          <w:rFonts w:hint="eastAsia" w:ascii="宋体" w:hAnsi="宋体" w:eastAsia="宋体"/>
          <w:b/>
          <w:color w:val="auto"/>
          <w:sz w:val="24"/>
          <w:szCs w:val="24"/>
        </w:rPr>
      </w:pPr>
      <w:r>
        <w:rPr>
          <w:rFonts w:hint="eastAsia" w:ascii="宋体" w:hAnsi="宋体" w:eastAsia="宋体"/>
          <w:b/>
          <w:color w:val="auto"/>
          <w:sz w:val="24"/>
          <w:szCs w:val="24"/>
        </w:rPr>
        <w:t>21. 法律适用</w:t>
      </w:r>
    </w:p>
    <w:p>
      <w:pPr>
        <w:pStyle w:val="2"/>
        <w:spacing w:beforeLines="0" w:afterLines="0"/>
        <w:jc w:val="both"/>
        <w:rPr>
          <w:rFonts w:hint="eastAsia" w:ascii="宋体" w:hAnsi="宋体" w:eastAsia="宋体" w:cs="宋体"/>
          <w:sz w:val="21"/>
          <w:szCs w:val="21"/>
        </w:rPr>
      </w:pPr>
      <w:r>
        <w:rPr>
          <w:rFonts w:hint="eastAsia" w:ascii="宋体" w:hAnsi="宋体" w:eastAsia="宋体" w:cs="宋体"/>
          <w:sz w:val="21"/>
          <w:szCs w:val="21"/>
        </w:rPr>
        <w:t>21.1 本合同的订立、生效、解释、履行及与本合同有关的争议解决，均适用法律、行政法规。</w:t>
      </w:r>
    </w:p>
    <w:p>
      <w:pPr>
        <w:pStyle w:val="2"/>
        <w:spacing w:beforeLines="0" w:afterLines="0"/>
        <w:jc w:val="both"/>
        <w:rPr>
          <w:rFonts w:hint="eastAsia" w:ascii="宋体" w:hAnsi="宋体" w:eastAsia="宋体" w:cs="宋体"/>
          <w:sz w:val="21"/>
          <w:szCs w:val="21"/>
        </w:rPr>
      </w:pPr>
      <w:r>
        <w:rPr>
          <w:rFonts w:hint="eastAsia" w:ascii="宋体" w:hAnsi="宋体" w:eastAsia="宋体" w:cs="宋体"/>
          <w:sz w:val="21"/>
          <w:szCs w:val="21"/>
        </w:rPr>
        <w:t>21.2 本合同条款与法律、行政法规的强制性规定不一致的，双方当事人应按照法律、行政法规的强制性规定修改本合同的相关条款。</w:t>
      </w:r>
    </w:p>
    <w:p>
      <w:pPr>
        <w:numPr>
          <w:ilvl w:val="0"/>
          <w:numId w:val="0"/>
        </w:numPr>
        <w:autoSpaceDE w:val="0"/>
        <w:autoSpaceDN w:val="0"/>
        <w:adjustRightInd w:val="0"/>
        <w:snapToGrid w:val="0"/>
        <w:spacing w:beforeLines="0" w:afterLines="0" w:line="400" w:lineRule="exact"/>
        <w:jc w:val="left"/>
        <w:rPr>
          <w:rFonts w:hint="eastAsia" w:ascii="宋体" w:hAnsi="宋体" w:eastAsia="宋体"/>
          <w:b/>
          <w:color w:val="auto"/>
          <w:sz w:val="24"/>
          <w:szCs w:val="24"/>
        </w:rPr>
      </w:pPr>
      <w:r>
        <w:rPr>
          <w:rFonts w:hint="eastAsia" w:ascii="宋体" w:hAnsi="宋体" w:eastAsia="宋体"/>
          <w:b/>
          <w:color w:val="auto"/>
          <w:sz w:val="24"/>
          <w:szCs w:val="24"/>
        </w:rPr>
        <w:t>22. 通知</w:t>
      </w:r>
    </w:p>
    <w:p>
      <w:pPr>
        <w:pStyle w:val="2"/>
        <w:spacing w:beforeLines="0" w:afterLines="0"/>
        <w:jc w:val="both"/>
        <w:rPr>
          <w:rFonts w:hint="eastAsia" w:ascii="宋体" w:hAnsi="宋体" w:eastAsia="宋体" w:cs="宋体"/>
          <w:sz w:val="21"/>
          <w:szCs w:val="21"/>
        </w:rPr>
      </w:pPr>
      <w:r>
        <w:rPr>
          <w:rFonts w:hint="eastAsia" w:ascii="宋体" w:hAnsi="宋体" w:eastAsia="宋体" w:cs="宋体"/>
          <w:sz w:val="21"/>
          <w:szCs w:val="21"/>
        </w:rPr>
        <w:t>22.1 本合同任何一方向对方发出的通知、信件、数据电文等，应当发送至本合同第一部分《政府采购合同协议书》所约定的通讯地址、联系人、联系电话或电子邮箱。</w:t>
      </w:r>
    </w:p>
    <w:p>
      <w:pPr>
        <w:pStyle w:val="2"/>
        <w:spacing w:beforeLines="0" w:afterLines="0"/>
        <w:ind w:firstLine="0" w:firstLineChars="0"/>
        <w:jc w:val="both"/>
        <w:rPr>
          <w:rFonts w:hint="eastAsia"/>
          <w:sz w:val="21"/>
          <w:szCs w:val="21"/>
        </w:rPr>
      </w:pPr>
      <w:r>
        <w:rPr>
          <w:rFonts w:hint="eastAsia" w:ascii="宋体" w:hAnsi="宋体" w:eastAsia="宋体" w:cs="宋体"/>
          <w:sz w:val="21"/>
          <w:szCs w:val="21"/>
        </w:rPr>
        <w:t xml:space="preserve">    22.2 一方当事人变更名称、住所、联系人、联系电话或电子邮箱等信息的，应当在变更后3日内及时书面通知对方，对方实际收到变更通知前的送达仍为有效送达。</w:t>
      </w:r>
    </w:p>
    <w:p>
      <w:pPr>
        <w:adjustRightInd w:val="0"/>
        <w:snapToGrid w:val="0"/>
        <w:spacing w:beforeLines="0" w:afterLines="0" w:line="400" w:lineRule="exact"/>
        <w:ind w:firstLine="420" w:firstLineChars="200"/>
        <w:jc w:val="left"/>
        <w:rPr>
          <w:rFonts w:hint="eastAsia" w:ascii="宋体" w:hAnsi="宋体" w:eastAsia="宋体"/>
          <w:color w:val="auto"/>
          <w:sz w:val="21"/>
          <w:szCs w:val="24"/>
        </w:rPr>
      </w:pPr>
      <w:r>
        <w:rPr>
          <w:rFonts w:hint="eastAsia" w:ascii="宋体" w:hAnsi="宋体" w:eastAsia="宋体"/>
          <w:color w:val="auto"/>
          <w:sz w:val="21"/>
          <w:szCs w:val="24"/>
        </w:rPr>
        <w:t>22.3本合同一方给另一方的通知均应采用书面形式，传真或快递送到本合同中规定的对方的地址和办理签收手续。</w:t>
      </w:r>
    </w:p>
    <w:p>
      <w:pPr>
        <w:adjustRightInd w:val="0"/>
        <w:snapToGrid w:val="0"/>
        <w:spacing w:beforeLines="0" w:afterLines="0" w:line="400" w:lineRule="exact"/>
        <w:ind w:firstLine="420" w:firstLineChars="200"/>
        <w:jc w:val="left"/>
        <w:rPr>
          <w:rFonts w:hint="eastAsia" w:ascii="宋体" w:hAnsi="宋体" w:eastAsia="宋体"/>
          <w:color w:val="auto"/>
          <w:sz w:val="21"/>
          <w:szCs w:val="24"/>
        </w:rPr>
      </w:pPr>
      <w:r>
        <w:rPr>
          <w:rFonts w:hint="eastAsia" w:ascii="宋体" w:hAnsi="宋体" w:eastAsia="宋体"/>
          <w:color w:val="auto"/>
          <w:sz w:val="21"/>
          <w:szCs w:val="24"/>
        </w:rPr>
        <w:t>22.4通知以送达之日或通知书中规定的生效之日起生效，两者中以较迟之日为准。</w:t>
      </w:r>
    </w:p>
    <w:p>
      <w:pPr>
        <w:numPr>
          <w:ilvl w:val="0"/>
          <w:numId w:val="8"/>
        </w:numPr>
        <w:adjustRightInd w:val="0"/>
        <w:snapToGrid w:val="0"/>
        <w:spacing w:beforeLines="0" w:afterLines="0" w:line="400" w:lineRule="exact"/>
        <w:jc w:val="left"/>
        <w:rPr>
          <w:rFonts w:hint="eastAsia" w:ascii="宋体" w:hAnsi="宋体" w:eastAsia="宋体"/>
          <w:b/>
          <w:color w:val="auto"/>
          <w:sz w:val="24"/>
          <w:szCs w:val="24"/>
        </w:rPr>
      </w:pPr>
      <w:r>
        <w:rPr>
          <w:rFonts w:hint="eastAsia" w:ascii="宋体" w:hAnsi="宋体" w:eastAsia="宋体"/>
          <w:b/>
          <w:color w:val="auto"/>
          <w:sz w:val="24"/>
          <w:szCs w:val="24"/>
        </w:rPr>
        <w:t>合同未尽事项</w:t>
      </w:r>
    </w:p>
    <w:p>
      <w:pPr>
        <w:adjustRightInd w:val="0"/>
        <w:snapToGrid w:val="0"/>
        <w:spacing w:beforeLines="0" w:afterLines="0" w:line="400" w:lineRule="exact"/>
        <w:ind w:firstLine="420" w:firstLineChars="200"/>
        <w:jc w:val="left"/>
        <w:rPr>
          <w:rFonts w:hint="eastAsia" w:ascii="宋体" w:hAnsi="宋体" w:eastAsia="宋体"/>
          <w:color w:val="auto"/>
          <w:sz w:val="21"/>
          <w:szCs w:val="24"/>
        </w:rPr>
      </w:pPr>
      <w:r>
        <w:rPr>
          <w:rFonts w:hint="eastAsia" w:ascii="宋体" w:hAnsi="宋体" w:eastAsia="宋体"/>
          <w:color w:val="auto"/>
          <w:sz w:val="21"/>
          <w:szCs w:val="24"/>
        </w:rPr>
        <w:t>23.1合同未尽事项见</w:t>
      </w:r>
      <w:r>
        <w:rPr>
          <w:rFonts w:hint="eastAsia" w:ascii="宋体" w:hAnsi="宋体" w:eastAsia="宋体"/>
          <w:b/>
          <w:color w:val="auto"/>
          <w:sz w:val="21"/>
          <w:szCs w:val="24"/>
        </w:rPr>
        <w:t>【政府采购合同专用条款】</w:t>
      </w:r>
      <w:r>
        <w:rPr>
          <w:rFonts w:hint="eastAsia" w:ascii="宋体" w:hAnsi="宋体" w:eastAsia="宋体"/>
          <w:color w:val="auto"/>
          <w:sz w:val="21"/>
          <w:szCs w:val="24"/>
        </w:rPr>
        <w:t>。</w:t>
      </w:r>
    </w:p>
    <w:p>
      <w:pPr>
        <w:adjustRightInd w:val="0"/>
        <w:snapToGrid w:val="0"/>
        <w:spacing w:beforeLines="0" w:afterLines="0" w:line="400" w:lineRule="exact"/>
        <w:jc w:val="left"/>
        <w:rPr>
          <w:rFonts w:hint="eastAsia" w:ascii="黑体" w:hAnsi="华文中宋" w:eastAsia="黑体"/>
          <w:color w:val="auto"/>
          <w:sz w:val="28"/>
          <w:szCs w:val="24"/>
        </w:rPr>
      </w:pPr>
      <w:r>
        <w:rPr>
          <w:rFonts w:hint="eastAsia" w:ascii="宋体" w:hAnsi="宋体" w:eastAsia="宋体"/>
          <w:color w:val="auto"/>
          <w:sz w:val="21"/>
          <w:szCs w:val="24"/>
        </w:rPr>
        <w:t xml:space="preserve">    23.2 合同附件与合同正文具有同等的法律效力。</w:t>
      </w:r>
      <w:bookmarkStart w:id="103" w:name="_Toc20313"/>
    </w:p>
    <w:p>
      <w:pPr>
        <w:adjustRightInd w:val="0"/>
        <w:snapToGrid w:val="0"/>
        <w:spacing w:beforeLines="0" w:afterLines="0"/>
        <w:jc w:val="center"/>
        <w:outlineLvl w:val="1"/>
        <w:rPr>
          <w:rFonts w:hint="eastAsia" w:ascii="黑体" w:hAnsi="华文中宋" w:eastAsia="黑体"/>
          <w:sz w:val="28"/>
          <w:szCs w:val="24"/>
        </w:rPr>
      </w:pPr>
      <w:r>
        <w:rPr>
          <w:rFonts w:hint="eastAsia" w:ascii="黑体" w:hAnsi="华文中宋" w:eastAsia="黑体"/>
          <w:sz w:val="28"/>
          <w:szCs w:val="24"/>
        </w:rPr>
        <w:br w:type="page"/>
      </w:r>
      <w:r>
        <w:rPr>
          <w:rFonts w:hint="eastAsia" w:ascii="黑体" w:hAnsi="华文中宋" w:eastAsia="黑体"/>
          <w:sz w:val="28"/>
          <w:szCs w:val="24"/>
        </w:rPr>
        <w:t>第三节 政府采购合同专用条款</w:t>
      </w:r>
      <w:bookmarkEnd w:id="103"/>
    </w:p>
    <w:tbl>
      <w:tblPr>
        <w:tblStyle w:val="5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double" w:color="auto" w:sz="4" w:space="0"/>
              <w:left w:val="double" w:color="auto" w:sz="4" w:space="0"/>
              <w:bottom w:val="single" w:color="auto" w:sz="6" w:space="0"/>
              <w:right w:val="single" w:color="auto" w:sz="6" w:space="0"/>
              <w:tl2br w:val="nil"/>
              <w:tr2bl w:val="nil"/>
            </w:tcBorders>
            <w:noWrap w:val="0"/>
            <w:vAlign w:val="center"/>
          </w:tcPr>
          <w:p>
            <w:pPr>
              <w:adjustRightInd w:val="0"/>
              <w:snapToGrid w:val="0"/>
              <w:spacing w:beforeLines="0" w:afterLines="0"/>
              <w:jc w:val="center"/>
              <w:rPr>
                <w:rFonts w:hint="eastAsia" w:ascii="宋体" w:hAnsi="宋体" w:eastAsia="宋体"/>
                <w:sz w:val="21"/>
                <w:szCs w:val="24"/>
              </w:rPr>
            </w:pPr>
            <w:r>
              <w:rPr>
                <w:rFonts w:hint="eastAsia" w:ascii="宋体" w:hAnsi="宋体" w:eastAsia="宋体"/>
                <w:sz w:val="21"/>
                <w:szCs w:val="24"/>
              </w:rPr>
              <w:t>第二节</w:t>
            </w:r>
          </w:p>
          <w:p>
            <w:pPr>
              <w:adjustRightInd w:val="0"/>
              <w:snapToGrid w:val="0"/>
              <w:spacing w:beforeLines="0" w:afterLines="0"/>
              <w:jc w:val="center"/>
              <w:rPr>
                <w:rFonts w:hint="eastAsia" w:ascii="宋体" w:hAnsi="宋体" w:eastAsia="宋体"/>
                <w:sz w:val="21"/>
                <w:szCs w:val="24"/>
              </w:rPr>
            </w:pPr>
            <w:r>
              <w:rPr>
                <w:rFonts w:hint="eastAsia" w:ascii="宋体" w:hAnsi="宋体" w:eastAsia="宋体"/>
                <w:sz w:val="21"/>
                <w:szCs w:val="24"/>
              </w:rPr>
              <w:t>第1.2（6）项</w:t>
            </w:r>
          </w:p>
        </w:tc>
        <w:tc>
          <w:tcPr>
            <w:tcW w:w="1742" w:type="dxa"/>
            <w:tcBorders>
              <w:top w:val="double" w:color="auto" w:sz="4" w:space="0"/>
              <w:left w:val="single" w:color="auto" w:sz="6" w:space="0"/>
              <w:bottom w:val="single" w:color="auto" w:sz="6" w:space="0"/>
              <w:right w:val="single" w:color="auto" w:sz="6" w:space="0"/>
              <w:tl2br w:val="nil"/>
              <w:tr2bl w:val="nil"/>
            </w:tcBorders>
            <w:noWrap w:val="0"/>
            <w:vAlign w:val="center"/>
          </w:tcPr>
          <w:p>
            <w:pPr>
              <w:adjustRightInd w:val="0"/>
              <w:snapToGrid w:val="0"/>
              <w:spacing w:beforeLines="0" w:afterLines="0"/>
              <w:jc w:val="left"/>
              <w:rPr>
                <w:rFonts w:hint="eastAsia" w:ascii="宋体" w:hAnsi="宋体" w:eastAsia="宋体"/>
                <w:sz w:val="21"/>
                <w:szCs w:val="24"/>
              </w:rPr>
            </w:pPr>
            <w:r>
              <w:rPr>
                <w:rFonts w:hint="eastAsia" w:ascii="宋体" w:hAnsi="宋体" w:eastAsia="宋体"/>
                <w:sz w:val="21"/>
                <w:szCs w:val="24"/>
              </w:rPr>
              <w:t>联合体具体要求</w:t>
            </w:r>
          </w:p>
        </w:tc>
        <w:tc>
          <w:tcPr>
            <w:tcW w:w="5170" w:type="dxa"/>
            <w:tcBorders>
              <w:top w:val="double" w:color="auto" w:sz="4" w:space="0"/>
              <w:left w:val="single" w:color="auto" w:sz="6" w:space="0"/>
              <w:bottom w:val="single" w:color="auto" w:sz="6" w:space="0"/>
              <w:right w:val="double" w:color="auto" w:sz="4" w:space="0"/>
              <w:tl2br w:val="nil"/>
              <w:tr2bl w:val="nil"/>
            </w:tcBorders>
            <w:noWrap w:val="0"/>
            <w:vAlign w:val="center"/>
          </w:tcPr>
          <w:p>
            <w:pPr>
              <w:adjustRightInd w:val="0"/>
              <w:snapToGrid w:val="0"/>
              <w:spacing w:beforeLines="0" w:afterLines="0"/>
              <w:jc w:val="left"/>
              <w:rPr>
                <w:rFonts w:hint="eastAsia" w:ascii="宋体" w:hAnsi="宋体" w:eastAsia="宋体"/>
                <w:sz w:val="21"/>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tcBorders>
              <w:top w:val="single" w:color="auto" w:sz="6" w:space="0"/>
              <w:left w:val="double" w:color="auto" w:sz="4" w:space="0"/>
              <w:bottom w:val="single" w:color="auto" w:sz="6" w:space="0"/>
              <w:right w:val="single" w:color="auto" w:sz="6" w:space="0"/>
              <w:tl2br w:val="nil"/>
              <w:tr2bl w:val="nil"/>
            </w:tcBorders>
            <w:noWrap w:val="0"/>
            <w:vAlign w:val="center"/>
          </w:tcPr>
          <w:p>
            <w:pPr>
              <w:adjustRightInd w:val="0"/>
              <w:snapToGrid w:val="0"/>
              <w:spacing w:beforeLines="0" w:afterLines="0"/>
              <w:jc w:val="center"/>
              <w:rPr>
                <w:rFonts w:hint="eastAsia" w:ascii="宋体" w:hAnsi="宋体" w:eastAsia="宋体"/>
                <w:sz w:val="21"/>
                <w:szCs w:val="24"/>
              </w:rPr>
            </w:pPr>
            <w:r>
              <w:rPr>
                <w:rFonts w:hint="eastAsia" w:ascii="宋体" w:hAnsi="宋体" w:eastAsia="宋体"/>
                <w:sz w:val="21"/>
                <w:szCs w:val="24"/>
              </w:rPr>
              <w:t>第二节</w:t>
            </w:r>
          </w:p>
          <w:p>
            <w:pPr>
              <w:adjustRightInd w:val="0"/>
              <w:snapToGrid w:val="0"/>
              <w:spacing w:beforeLines="0" w:afterLines="0"/>
              <w:jc w:val="center"/>
              <w:rPr>
                <w:rFonts w:hint="eastAsia" w:ascii="宋体" w:hAnsi="宋体" w:eastAsia="宋体" w:cs="Times New Roman"/>
                <w:sz w:val="21"/>
                <w:szCs w:val="21"/>
              </w:rPr>
            </w:pPr>
            <w:r>
              <w:rPr>
                <w:rFonts w:hint="eastAsia" w:ascii="宋体" w:hAnsi="宋体" w:eastAsia="宋体"/>
                <w:sz w:val="21"/>
                <w:szCs w:val="24"/>
              </w:rPr>
              <w:t>第1.2（7）项</w:t>
            </w:r>
          </w:p>
        </w:tc>
        <w:tc>
          <w:tcPr>
            <w:tcW w:w="1742" w:type="dxa"/>
            <w:tcBorders>
              <w:top w:val="single" w:color="auto" w:sz="6" w:space="0"/>
              <w:left w:val="single" w:color="auto" w:sz="6" w:space="0"/>
              <w:bottom w:val="single" w:color="auto" w:sz="6" w:space="0"/>
              <w:right w:val="single" w:color="auto" w:sz="6" w:space="0"/>
              <w:tl2br w:val="nil"/>
              <w:tr2bl w:val="nil"/>
            </w:tcBorders>
            <w:noWrap w:val="0"/>
            <w:vAlign w:val="center"/>
          </w:tcPr>
          <w:p>
            <w:pPr>
              <w:adjustRightInd w:val="0"/>
              <w:snapToGrid w:val="0"/>
              <w:spacing w:beforeLines="0" w:afterLines="0"/>
              <w:jc w:val="left"/>
              <w:rPr>
                <w:rFonts w:hint="eastAsia" w:ascii="宋体" w:hAnsi="宋体" w:eastAsia="宋体" w:cs="Times New Roman"/>
                <w:sz w:val="21"/>
                <w:szCs w:val="21"/>
              </w:rPr>
            </w:pPr>
            <w:r>
              <w:rPr>
                <w:rFonts w:hint="eastAsia" w:ascii="宋体" w:hAnsi="宋体" w:eastAsia="宋体"/>
                <w:sz w:val="21"/>
                <w:szCs w:val="24"/>
              </w:rPr>
              <w:t>其他术语解释</w:t>
            </w:r>
          </w:p>
        </w:tc>
        <w:tc>
          <w:tcPr>
            <w:tcW w:w="5170" w:type="dxa"/>
            <w:tcBorders>
              <w:top w:val="single" w:color="auto" w:sz="6" w:space="0"/>
              <w:left w:val="single" w:color="auto" w:sz="6" w:space="0"/>
              <w:bottom w:val="single" w:color="auto" w:sz="6" w:space="0"/>
              <w:right w:val="double" w:color="auto" w:sz="4" w:space="0"/>
              <w:tl2br w:val="nil"/>
              <w:tr2bl w:val="nil"/>
            </w:tcBorders>
            <w:noWrap w:val="0"/>
            <w:vAlign w:val="center"/>
          </w:tcPr>
          <w:p>
            <w:pPr>
              <w:adjustRightInd w:val="0"/>
              <w:snapToGrid w:val="0"/>
              <w:spacing w:beforeLines="0" w:afterLines="0"/>
              <w:jc w:val="left"/>
              <w:rPr>
                <w:rFonts w:hint="eastAsia" w:ascii="宋体" w:hAnsi="宋体" w:eastAsia="宋体" w:cs="Times New Roman"/>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l2br w:val="nil"/>
              <w:tr2bl w:val="nil"/>
            </w:tcBorders>
            <w:noWrap w:val="0"/>
            <w:vAlign w:val="center"/>
          </w:tcPr>
          <w:p>
            <w:pPr>
              <w:adjustRightInd w:val="0"/>
              <w:snapToGrid w:val="0"/>
              <w:spacing w:beforeLines="0" w:afterLines="0"/>
              <w:jc w:val="center"/>
              <w:rPr>
                <w:rFonts w:hint="eastAsia" w:ascii="宋体" w:hAnsi="宋体" w:eastAsia="宋体"/>
                <w:sz w:val="21"/>
                <w:szCs w:val="24"/>
              </w:rPr>
            </w:pPr>
            <w:r>
              <w:rPr>
                <w:rFonts w:hint="eastAsia" w:ascii="宋体" w:hAnsi="宋体" w:eastAsia="宋体"/>
                <w:sz w:val="21"/>
                <w:szCs w:val="24"/>
              </w:rPr>
              <w:t>第二节</w:t>
            </w:r>
          </w:p>
          <w:p>
            <w:pPr>
              <w:adjustRightInd w:val="0"/>
              <w:snapToGrid w:val="0"/>
              <w:spacing w:beforeLines="0" w:afterLines="0"/>
              <w:jc w:val="center"/>
              <w:rPr>
                <w:rFonts w:hint="eastAsia" w:ascii="宋体" w:hAnsi="宋体" w:eastAsia="宋体"/>
                <w:sz w:val="21"/>
                <w:szCs w:val="24"/>
              </w:rPr>
            </w:pPr>
            <w:r>
              <w:rPr>
                <w:rFonts w:hint="eastAsia" w:ascii="宋体" w:hAnsi="宋体" w:eastAsia="宋体"/>
                <w:sz w:val="21"/>
                <w:szCs w:val="24"/>
              </w:rPr>
              <w:t>第4.4款</w:t>
            </w:r>
          </w:p>
        </w:tc>
        <w:tc>
          <w:tcPr>
            <w:tcW w:w="1742" w:type="dxa"/>
            <w:tcBorders>
              <w:top w:val="single" w:color="auto" w:sz="6" w:space="0"/>
              <w:left w:val="single" w:color="auto" w:sz="6" w:space="0"/>
              <w:bottom w:val="single" w:color="auto" w:sz="6" w:space="0"/>
              <w:right w:val="single" w:color="auto" w:sz="6" w:space="0"/>
              <w:tl2br w:val="nil"/>
              <w:tr2bl w:val="nil"/>
            </w:tcBorders>
            <w:noWrap w:val="0"/>
            <w:vAlign w:val="center"/>
          </w:tcPr>
          <w:p>
            <w:pPr>
              <w:adjustRightInd w:val="0"/>
              <w:snapToGrid w:val="0"/>
              <w:spacing w:beforeLines="0" w:afterLines="0"/>
              <w:jc w:val="left"/>
              <w:rPr>
                <w:rFonts w:hint="eastAsia" w:ascii="宋体" w:hAnsi="宋体" w:eastAsia="宋体"/>
                <w:sz w:val="21"/>
                <w:szCs w:val="24"/>
              </w:rPr>
            </w:pPr>
            <w:r>
              <w:rPr>
                <w:rFonts w:hint="eastAsia" w:ascii="宋体" w:hAnsi="宋体" w:eastAsia="宋体"/>
                <w:sz w:val="21"/>
                <w:szCs w:val="24"/>
              </w:rPr>
              <w:t>履约验收中甲方提出异议或作出说明的期限</w:t>
            </w:r>
          </w:p>
        </w:tc>
        <w:tc>
          <w:tcPr>
            <w:tcW w:w="5170" w:type="dxa"/>
            <w:tcBorders>
              <w:top w:val="single" w:color="auto" w:sz="6" w:space="0"/>
              <w:left w:val="single" w:color="auto" w:sz="6" w:space="0"/>
              <w:bottom w:val="single" w:color="auto" w:sz="6" w:space="0"/>
              <w:right w:val="double" w:color="auto" w:sz="4" w:space="0"/>
              <w:tl2br w:val="nil"/>
              <w:tr2bl w:val="nil"/>
            </w:tcBorders>
            <w:noWrap w:val="0"/>
            <w:vAlign w:val="center"/>
          </w:tcPr>
          <w:p>
            <w:pPr>
              <w:adjustRightInd w:val="0"/>
              <w:snapToGrid w:val="0"/>
              <w:spacing w:beforeLines="0" w:afterLines="0"/>
              <w:jc w:val="left"/>
              <w:rPr>
                <w:rFonts w:hint="eastAsia" w:ascii="宋体" w:hAnsi="宋体" w:eastAsia="宋体" w:cs="Times New Roman"/>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l2br w:val="nil"/>
              <w:tr2bl w:val="nil"/>
            </w:tcBorders>
            <w:noWrap w:val="0"/>
            <w:vAlign w:val="center"/>
          </w:tcPr>
          <w:p>
            <w:pPr>
              <w:adjustRightInd w:val="0"/>
              <w:snapToGrid w:val="0"/>
              <w:spacing w:beforeLines="0" w:afterLines="0"/>
              <w:jc w:val="center"/>
              <w:rPr>
                <w:rFonts w:hint="eastAsia" w:ascii="宋体" w:hAnsi="宋体" w:eastAsia="宋体"/>
                <w:sz w:val="21"/>
                <w:szCs w:val="24"/>
              </w:rPr>
            </w:pPr>
            <w:r>
              <w:rPr>
                <w:rFonts w:hint="eastAsia" w:ascii="宋体" w:hAnsi="宋体" w:eastAsia="宋体"/>
                <w:sz w:val="21"/>
                <w:szCs w:val="24"/>
              </w:rPr>
              <w:t>第二节</w:t>
            </w:r>
          </w:p>
          <w:p>
            <w:pPr>
              <w:adjustRightInd w:val="0"/>
              <w:snapToGrid w:val="0"/>
              <w:spacing w:beforeLines="0" w:afterLines="0"/>
              <w:jc w:val="center"/>
              <w:rPr>
                <w:rFonts w:hint="eastAsia" w:ascii="宋体" w:hAnsi="宋体" w:eastAsia="宋体"/>
                <w:sz w:val="21"/>
                <w:szCs w:val="24"/>
              </w:rPr>
            </w:pPr>
            <w:r>
              <w:rPr>
                <w:rFonts w:hint="eastAsia" w:ascii="宋体" w:hAnsi="宋体" w:eastAsia="宋体"/>
                <w:sz w:val="21"/>
                <w:szCs w:val="24"/>
              </w:rPr>
              <w:t>第4.6款</w:t>
            </w:r>
          </w:p>
        </w:tc>
        <w:tc>
          <w:tcPr>
            <w:tcW w:w="1742" w:type="dxa"/>
            <w:tcBorders>
              <w:top w:val="single" w:color="auto" w:sz="6" w:space="0"/>
              <w:left w:val="single" w:color="auto" w:sz="6" w:space="0"/>
              <w:bottom w:val="single" w:color="auto" w:sz="6" w:space="0"/>
              <w:right w:val="single" w:color="auto" w:sz="6" w:space="0"/>
              <w:tl2br w:val="nil"/>
              <w:tr2bl w:val="nil"/>
            </w:tcBorders>
            <w:noWrap w:val="0"/>
            <w:vAlign w:val="center"/>
          </w:tcPr>
          <w:p>
            <w:pPr>
              <w:adjustRightInd w:val="0"/>
              <w:snapToGrid w:val="0"/>
              <w:spacing w:beforeLines="0" w:afterLines="0"/>
              <w:jc w:val="left"/>
              <w:rPr>
                <w:rFonts w:hint="eastAsia" w:ascii="宋体" w:hAnsi="宋体" w:eastAsia="宋体"/>
                <w:sz w:val="21"/>
                <w:szCs w:val="24"/>
              </w:rPr>
            </w:pPr>
            <w:r>
              <w:rPr>
                <w:rFonts w:hint="eastAsia" w:ascii="宋体" w:hAnsi="宋体" w:eastAsia="宋体"/>
                <w:sz w:val="21"/>
                <w:szCs w:val="24"/>
              </w:rPr>
              <w:t>约定甲方承担的其他义务和责任</w:t>
            </w:r>
          </w:p>
        </w:tc>
        <w:tc>
          <w:tcPr>
            <w:tcW w:w="5170" w:type="dxa"/>
            <w:tcBorders>
              <w:top w:val="single" w:color="auto" w:sz="6" w:space="0"/>
              <w:left w:val="single" w:color="auto" w:sz="6" w:space="0"/>
              <w:bottom w:val="single" w:color="auto" w:sz="6" w:space="0"/>
              <w:right w:val="double" w:color="auto" w:sz="4" w:space="0"/>
              <w:tl2br w:val="nil"/>
              <w:tr2bl w:val="nil"/>
            </w:tcBorders>
            <w:noWrap w:val="0"/>
            <w:vAlign w:val="center"/>
          </w:tcPr>
          <w:p>
            <w:pPr>
              <w:adjustRightInd w:val="0"/>
              <w:snapToGrid w:val="0"/>
              <w:spacing w:beforeLines="0" w:afterLines="0"/>
              <w:jc w:val="left"/>
              <w:rPr>
                <w:rFonts w:hint="eastAsia" w:ascii="宋体" w:hAnsi="宋体" w:eastAsia="宋体" w:cs="Times New Roman"/>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l2br w:val="nil"/>
              <w:tr2bl w:val="nil"/>
            </w:tcBorders>
            <w:noWrap w:val="0"/>
            <w:vAlign w:val="center"/>
          </w:tcPr>
          <w:p>
            <w:pPr>
              <w:adjustRightInd w:val="0"/>
              <w:snapToGrid w:val="0"/>
              <w:spacing w:beforeLines="0" w:afterLines="0"/>
              <w:jc w:val="center"/>
              <w:rPr>
                <w:rFonts w:hint="eastAsia" w:ascii="宋体" w:hAnsi="宋体" w:eastAsia="宋体"/>
                <w:sz w:val="21"/>
                <w:szCs w:val="24"/>
              </w:rPr>
            </w:pPr>
            <w:r>
              <w:rPr>
                <w:rFonts w:hint="eastAsia" w:ascii="宋体" w:hAnsi="宋体" w:eastAsia="宋体"/>
                <w:sz w:val="21"/>
                <w:szCs w:val="24"/>
              </w:rPr>
              <w:t>第二节</w:t>
            </w:r>
          </w:p>
          <w:p>
            <w:pPr>
              <w:snapToGrid w:val="0"/>
              <w:spacing w:beforeLines="0" w:afterLines="0"/>
              <w:jc w:val="center"/>
              <w:rPr>
                <w:rFonts w:hint="default"/>
                <w:sz w:val="21"/>
                <w:szCs w:val="24"/>
              </w:rPr>
            </w:pPr>
            <w:r>
              <w:rPr>
                <w:rFonts w:hint="eastAsia" w:ascii="宋体" w:hAnsi="宋体" w:eastAsia="宋体"/>
                <w:sz w:val="21"/>
                <w:szCs w:val="24"/>
              </w:rPr>
              <w:t>第5.4款</w:t>
            </w:r>
          </w:p>
        </w:tc>
        <w:tc>
          <w:tcPr>
            <w:tcW w:w="1742" w:type="dxa"/>
            <w:tcBorders>
              <w:top w:val="single" w:color="auto" w:sz="6" w:space="0"/>
              <w:left w:val="single" w:color="auto" w:sz="6" w:space="0"/>
              <w:bottom w:val="single" w:color="auto" w:sz="6" w:space="0"/>
              <w:right w:val="single" w:color="auto" w:sz="6" w:space="0"/>
              <w:tl2br w:val="nil"/>
              <w:tr2bl w:val="nil"/>
            </w:tcBorders>
            <w:noWrap w:val="0"/>
            <w:vAlign w:val="center"/>
          </w:tcPr>
          <w:p>
            <w:pPr>
              <w:adjustRightInd w:val="0"/>
              <w:snapToGrid w:val="0"/>
              <w:spacing w:beforeLines="0" w:afterLines="0"/>
              <w:jc w:val="left"/>
              <w:rPr>
                <w:rFonts w:hint="eastAsia" w:ascii="宋体" w:hAnsi="宋体" w:eastAsia="宋体"/>
                <w:sz w:val="21"/>
                <w:szCs w:val="24"/>
              </w:rPr>
            </w:pPr>
            <w:r>
              <w:rPr>
                <w:rFonts w:hint="eastAsia" w:ascii="宋体" w:hAnsi="宋体" w:eastAsia="宋体"/>
                <w:sz w:val="21"/>
                <w:szCs w:val="24"/>
              </w:rPr>
              <w:t>约定乙方承担的其他义务和责任</w:t>
            </w:r>
          </w:p>
        </w:tc>
        <w:tc>
          <w:tcPr>
            <w:tcW w:w="5170" w:type="dxa"/>
            <w:tcBorders>
              <w:top w:val="single" w:color="auto" w:sz="6" w:space="0"/>
              <w:left w:val="single" w:color="auto" w:sz="6" w:space="0"/>
              <w:bottom w:val="single" w:color="auto" w:sz="6" w:space="0"/>
              <w:right w:val="double" w:color="auto" w:sz="4" w:space="0"/>
              <w:tl2br w:val="nil"/>
              <w:tr2bl w:val="nil"/>
            </w:tcBorders>
            <w:noWrap w:val="0"/>
            <w:vAlign w:val="center"/>
          </w:tcPr>
          <w:p>
            <w:pPr>
              <w:adjustRightInd w:val="0"/>
              <w:snapToGrid w:val="0"/>
              <w:spacing w:beforeLines="0" w:afterLines="0"/>
              <w:jc w:val="left"/>
              <w:rPr>
                <w:rFonts w:hint="eastAsia" w:ascii="宋体" w:hAnsi="宋体" w:eastAsia="宋体" w:cs="Times New Roman"/>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l2br w:val="nil"/>
              <w:tr2bl w:val="nil"/>
            </w:tcBorders>
            <w:noWrap w:val="0"/>
            <w:vAlign w:val="center"/>
          </w:tcPr>
          <w:p>
            <w:pPr>
              <w:adjustRightInd w:val="0"/>
              <w:snapToGrid w:val="0"/>
              <w:spacing w:beforeLines="0" w:afterLines="0"/>
              <w:jc w:val="center"/>
              <w:rPr>
                <w:rFonts w:hint="eastAsia" w:ascii="宋体" w:hAnsi="宋体" w:eastAsia="宋体"/>
                <w:sz w:val="21"/>
                <w:szCs w:val="24"/>
              </w:rPr>
            </w:pPr>
            <w:r>
              <w:rPr>
                <w:rFonts w:hint="eastAsia" w:ascii="宋体" w:hAnsi="宋体" w:eastAsia="宋体"/>
                <w:sz w:val="21"/>
                <w:szCs w:val="24"/>
              </w:rPr>
              <w:t>第二节</w:t>
            </w:r>
          </w:p>
          <w:p>
            <w:pPr>
              <w:snapToGrid w:val="0"/>
              <w:spacing w:beforeLines="0" w:afterLines="0"/>
              <w:jc w:val="center"/>
              <w:rPr>
                <w:rFonts w:hint="eastAsia" w:ascii="宋体" w:hAnsi="宋体" w:eastAsia="宋体"/>
                <w:sz w:val="21"/>
                <w:szCs w:val="24"/>
              </w:rPr>
            </w:pPr>
            <w:r>
              <w:rPr>
                <w:rFonts w:hint="eastAsia" w:ascii="宋体" w:hAnsi="宋体" w:eastAsia="宋体"/>
                <w:sz w:val="21"/>
                <w:szCs w:val="24"/>
              </w:rPr>
              <w:t>第6.1款</w:t>
            </w:r>
          </w:p>
        </w:tc>
        <w:tc>
          <w:tcPr>
            <w:tcW w:w="1742" w:type="dxa"/>
            <w:tcBorders>
              <w:top w:val="single" w:color="auto" w:sz="6" w:space="0"/>
              <w:left w:val="single" w:color="auto" w:sz="6" w:space="0"/>
              <w:bottom w:val="single" w:color="auto" w:sz="6" w:space="0"/>
              <w:right w:val="single" w:color="auto" w:sz="6" w:space="0"/>
              <w:tl2br w:val="nil"/>
              <w:tr2bl w:val="nil"/>
            </w:tcBorders>
            <w:noWrap w:val="0"/>
            <w:vAlign w:val="center"/>
          </w:tcPr>
          <w:p>
            <w:pPr>
              <w:adjustRightInd w:val="0"/>
              <w:snapToGrid w:val="0"/>
              <w:spacing w:beforeLines="0" w:afterLines="0"/>
              <w:jc w:val="left"/>
              <w:rPr>
                <w:rFonts w:hint="eastAsia" w:ascii="宋体" w:hAnsi="宋体" w:eastAsia="宋体"/>
                <w:sz w:val="21"/>
                <w:szCs w:val="24"/>
              </w:rPr>
            </w:pPr>
            <w:r>
              <w:rPr>
                <w:rFonts w:hint="eastAsia" w:ascii="宋体" w:hAnsi="宋体" w:eastAsia="宋体"/>
                <w:sz w:val="21"/>
                <w:szCs w:val="24"/>
              </w:rPr>
              <w:t>履行合同义务的顺序</w:t>
            </w:r>
          </w:p>
        </w:tc>
        <w:tc>
          <w:tcPr>
            <w:tcW w:w="5170" w:type="dxa"/>
            <w:tcBorders>
              <w:top w:val="single" w:color="auto" w:sz="6" w:space="0"/>
              <w:left w:val="single" w:color="auto" w:sz="6" w:space="0"/>
              <w:bottom w:val="single" w:color="auto" w:sz="6" w:space="0"/>
              <w:right w:val="double" w:color="auto" w:sz="4" w:space="0"/>
              <w:tl2br w:val="nil"/>
              <w:tr2bl w:val="nil"/>
            </w:tcBorders>
            <w:noWrap w:val="0"/>
            <w:vAlign w:val="center"/>
          </w:tcPr>
          <w:p>
            <w:pPr>
              <w:adjustRightInd w:val="0"/>
              <w:snapToGrid w:val="0"/>
              <w:spacing w:beforeLines="0" w:afterLines="0"/>
              <w:jc w:val="left"/>
              <w:rPr>
                <w:rFonts w:hint="eastAsia" w:ascii="宋体" w:hAnsi="宋体" w:eastAsia="宋体" w:cs="Times New Roman"/>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tcBorders>
              <w:top w:val="single" w:color="auto" w:sz="6" w:space="0"/>
              <w:left w:val="double" w:color="auto" w:sz="4" w:space="0"/>
              <w:bottom w:val="single" w:color="auto" w:sz="6" w:space="0"/>
              <w:right w:val="single" w:color="auto" w:sz="6" w:space="0"/>
              <w:tl2br w:val="nil"/>
              <w:tr2bl w:val="nil"/>
            </w:tcBorders>
            <w:noWrap w:val="0"/>
            <w:vAlign w:val="center"/>
          </w:tcPr>
          <w:p>
            <w:pPr>
              <w:adjustRightInd w:val="0"/>
              <w:snapToGrid w:val="0"/>
              <w:spacing w:beforeLines="0" w:afterLines="0"/>
              <w:jc w:val="center"/>
              <w:rPr>
                <w:rFonts w:hint="eastAsia" w:ascii="宋体" w:hAnsi="宋体" w:eastAsia="宋体"/>
                <w:sz w:val="21"/>
                <w:szCs w:val="24"/>
              </w:rPr>
            </w:pPr>
            <w:r>
              <w:rPr>
                <w:rFonts w:hint="eastAsia" w:ascii="宋体" w:hAnsi="宋体" w:eastAsia="宋体"/>
                <w:sz w:val="21"/>
                <w:szCs w:val="24"/>
              </w:rPr>
              <w:t>第二节</w:t>
            </w:r>
          </w:p>
          <w:p>
            <w:pPr>
              <w:adjustRightInd w:val="0"/>
              <w:snapToGrid w:val="0"/>
              <w:spacing w:beforeLines="0" w:afterLines="0"/>
              <w:jc w:val="center"/>
              <w:rPr>
                <w:rFonts w:hint="eastAsia" w:ascii="宋体" w:hAnsi="宋体" w:eastAsia="宋体"/>
                <w:sz w:val="21"/>
                <w:szCs w:val="24"/>
              </w:rPr>
            </w:pPr>
            <w:r>
              <w:rPr>
                <w:rFonts w:hint="eastAsia" w:ascii="宋体" w:hAnsi="宋体" w:eastAsia="宋体"/>
                <w:sz w:val="21"/>
                <w:szCs w:val="24"/>
              </w:rPr>
              <w:t>第7.1款</w:t>
            </w:r>
          </w:p>
        </w:tc>
        <w:tc>
          <w:tcPr>
            <w:tcW w:w="1742" w:type="dxa"/>
            <w:tcBorders>
              <w:top w:val="single" w:color="auto" w:sz="6" w:space="0"/>
              <w:left w:val="single" w:color="auto" w:sz="6" w:space="0"/>
              <w:bottom w:val="single" w:color="auto" w:sz="6" w:space="0"/>
              <w:right w:val="single" w:color="auto" w:sz="6" w:space="0"/>
              <w:tl2br w:val="nil"/>
              <w:tr2bl w:val="nil"/>
            </w:tcBorders>
            <w:noWrap w:val="0"/>
            <w:vAlign w:val="center"/>
          </w:tcPr>
          <w:p>
            <w:pPr>
              <w:adjustRightInd w:val="0"/>
              <w:snapToGrid w:val="0"/>
              <w:spacing w:beforeLines="0" w:afterLines="0"/>
              <w:jc w:val="left"/>
              <w:rPr>
                <w:rFonts w:hint="eastAsia" w:ascii="宋体" w:hAnsi="宋体" w:eastAsia="宋体"/>
                <w:sz w:val="21"/>
                <w:szCs w:val="24"/>
              </w:rPr>
            </w:pPr>
            <w:r>
              <w:rPr>
                <w:rFonts w:hint="eastAsia" w:ascii="宋体" w:hAnsi="宋体" w:eastAsia="宋体"/>
                <w:sz w:val="21"/>
                <w:szCs w:val="24"/>
              </w:rPr>
              <w:t>包装特殊要求</w:t>
            </w:r>
          </w:p>
        </w:tc>
        <w:tc>
          <w:tcPr>
            <w:tcW w:w="5170" w:type="dxa"/>
            <w:tcBorders>
              <w:top w:val="single" w:color="auto" w:sz="6" w:space="0"/>
              <w:left w:val="single" w:color="auto" w:sz="6" w:space="0"/>
              <w:bottom w:val="single" w:color="auto" w:sz="6" w:space="0"/>
              <w:right w:val="double" w:color="auto" w:sz="4" w:space="0"/>
              <w:tl2br w:val="nil"/>
              <w:tr2bl w:val="nil"/>
            </w:tcBorders>
            <w:noWrap w:val="0"/>
            <w:vAlign w:val="center"/>
          </w:tcPr>
          <w:p>
            <w:pPr>
              <w:spacing w:beforeLines="0" w:afterLines="0"/>
              <w:rPr>
                <w:rFonts w:hint="default"/>
                <w:sz w:val="21"/>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tcBorders>
              <w:top w:val="single" w:color="auto" w:sz="6" w:space="0"/>
              <w:left w:val="double" w:color="auto" w:sz="4" w:space="0"/>
              <w:bottom w:val="single" w:color="auto" w:sz="6" w:space="0"/>
              <w:right w:val="single" w:color="auto" w:sz="6" w:space="0"/>
              <w:tl2br w:val="nil"/>
              <w:tr2bl w:val="nil"/>
            </w:tcBorders>
            <w:noWrap w:val="0"/>
            <w:vAlign w:val="center"/>
          </w:tcPr>
          <w:p>
            <w:pPr>
              <w:adjustRightInd w:val="0"/>
              <w:snapToGrid w:val="0"/>
              <w:spacing w:beforeLines="0" w:afterLines="0"/>
              <w:jc w:val="center"/>
              <w:rPr>
                <w:rFonts w:hint="eastAsia" w:ascii="宋体" w:hAnsi="宋体" w:eastAsia="宋体"/>
                <w:sz w:val="21"/>
                <w:szCs w:val="24"/>
              </w:rPr>
            </w:pPr>
          </w:p>
        </w:tc>
        <w:tc>
          <w:tcPr>
            <w:tcW w:w="1742" w:type="dxa"/>
            <w:tcBorders>
              <w:top w:val="single" w:color="auto" w:sz="6" w:space="0"/>
              <w:left w:val="single" w:color="auto" w:sz="6" w:space="0"/>
              <w:bottom w:val="single" w:color="auto" w:sz="6" w:space="0"/>
              <w:right w:val="single" w:color="auto" w:sz="6" w:space="0"/>
              <w:tl2br w:val="nil"/>
              <w:tr2bl w:val="nil"/>
            </w:tcBorders>
            <w:noWrap w:val="0"/>
            <w:vAlign w:val="center"/>
          </w:tcPr>
          <w:p>
            <w:pPr>
              <w:adjustRightInd w:val="0"/>
              <w:snapToGrid w:val="0"/>
              <w:spacing w:beforeLines="0" w:afterLines="0"/>
              <w:jc w:val="left"/>
              <w:rPr>
                <w:rFonts w:hint="eastAsia" w:ascii="宋体" w:hAnsi="宋体" w:eastAsia="宋体"/>
                <w:sz w:val="21"/>
                <w:szCs w:val="24"/>
              </w:rPr>
            </w:pPr>
            <w:r>
              <w:rPr>
                <w:rFonts w:hint="eastAsia" w:ascii="宋体" w:hAnsi="宋体" w:eastAsia="宋体"/>
                <w:sz w:val="21"/>
                <w:szCs w:val="24"/>
              </w:rPr>
              <w:t>指定现场</w:t>
            </w:r>
          </w:p>
        </w:tc>
        <w:tc>
          <w:tcPr>
            <w:tcW w:w="5170" w:type="dxa"/>
            <w:tcBorders>
              <w:top w:val="single" w:color="auto" w:sz="6" w:space="0"/>
              <w:left w:val="single" w:color="auto" w:sz="6" w:space="0"/>
              <w:bottom w:val="single" w:color="auto" w:sz="6" w:space="0"/>
              <w:right w:val="double" w:color="auto" w:sz="4" w:space="0"/>
              <w:tl2br w:val="nil"/>
              <w:tr2bl w:val="nil"/>
            </w:tcBorders>
            <w:noWrap w:val="0"/>
            <w:vAlign w:val="center"/>
          </w:tcPr>
          <w:p>
            <w:pPr>
              <w:spacing w:beforeLines="0" w:afterLines="0"/>
              <w:rPr>
                <w:rFonts w:hint="default"/>
                <w:sz w:val="21"/>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tcBorders>
              <w:top w:val="single" w:color="auto" w:sz="6" w:space="0"/>
              <w:left w:val="double" w:color="auto" w:sz="4" w:space="0"/>
              <w:bottom w:val="single" w:color="auto" w:sz="6" w:space="0"/>
              <w:right w:val="single" w:color="auto" w:sz="6" w:space="0"/>
              <w:tl2br w:val="nil"/>
              <w:tr2bl w:val="nil"/>
            </w:tcBorders>
            <w:noWrap w:val="0"/>
            <w:vAlign w:val="center"/>
          </w:tcPr>
          <w:p>
            <w:pPr>
              <w:adjustRightInd w:val="0"/>
              <w:snapToGrid w:val="0"/>
              <w:spacing w:beforeLines="0" w:afterLines="0"/>
              <w:jc w:val="center"/>
              <w:rPr>
                <w:rFonts w:hint="eastAsia" w:ascii="宋体" w:hAnsi="宋体" w:eastAsia="宋体"/>
                <w:sz w:val="21"/>
                <w:szCs w:val="24"/>
              </w:rPr>
            </w:pPr>
            <w:r>
              <w:rPr>
                <w:rFonts w:hint="eastAsia" w:ascii="宋体" w:hAnsi="宋体" w:eastAsia="宋体"/>
                <w:sz w:val="21"/>
                <w:szCs w:val="24"/>
              </w:rPr>
              <w:t>第二节</w:t>
            </w:r>
          </w:p>
          <w:p>
            <w:pPr>
              <w:adjustRightInd w:val="0"/>
              <w:snapToGrid w:val="0"/>
              <w:spacing w:beforeLines="0" w:afterLines="0"/>
              <w:jc w:val="center"/>
              <w:rPr>
                <w:rFonts w:hint="eastAsia" w:ascii="宋体" w:hAnsi="宋体" w:eastAsia="宋体"/>
                <w:sz w:val="21"/>
                <w:szCs w:val="24"/>
              </w:rPr>
            </w:pPr>
            <w:r>
              <w:rPr>
                <w:rFonts w:hint="eastAsia" w:ascii="宋体" w:hAnsi="宋体" w:eastAsia="宋体"/>
                <w:sz w:val="21"/>
                <w:szCs w:val="24"/>
              </w:rPr>
              <w:t>第7.2款</w:t>
            </w:r>
          </w:p>
        </w:tc>
        <w:tc>
          <w:tcPr>
            <w:tcW w:w="1742" w:type="dxa"/>
            <w:tcBorders>
              <w:top w:val="single" w:color="auto" w:sz="6" w:space="0"/>
              <w:left w:val="single" w:color="auto" w:sz="6" w:space="0"/>
              <w:bottom w:val="single" w:color="auto" w:sz="6" w:space="0"/>
              <w:right w:val="single" w:color="auto" w:sz="6" w:space="0"/>
              <w:tl2br w:val="nil"/>
              <w:tr2bl w:val="nil"/>
            </w:tcBorders>
            <w:noWrap w:val="0"/>
            <w:vAlign w:val="center"/>
          </w:tcPr>
          <w:p>
            <w:pPr>
              <w:adjustRightInd w:val="0"/>
              <w:snapToGrid w:val="0"/>
              <w:spacing w:beforeLines="0" w:afterLines="0"/>
              <w:jc w:val="left"/>
              <w:rPr>
                <w:rFonts w:hint="eastAsia" w:ascii="宋体" w:hAnsi="宋体" w:eastAsia="宋体"/>
                <w:sz w:val="21"/>
                <w:szCs w:val="24"/>
              </w:rPr>
            </w:pPr>
            <w:r>
              <w:rPr>
                <w:rFonts w:hint="eastAsia" w:ascii="宋体" w:hAnsi="宋体" w:eastAsia="宋体"/>
                <w:sz w:val="21"/>
                <w:szCs w:val="24"/>
              </w:rPr>
              <w:t>运输特殊要求</w:t>
            </w:r>
          </w:p>
        </w:tc>
        <w:tc>
          <w:tcPr>
            <w:tcW w:w="5170" w:type="dxa"/>
            <w:tcBorders>
              <w:top w:val="single" w:color="auto" w:sz="6" w:space="0"/>
              <w:left w:val="single" w:color="auto" w:sz="6" w:space="0"/>
              <w:bottom w:val="single" w:color="auto" w:sz="6" w:space="0"/>
              <w:right w:val="double" w:color="auto" w:sz="4" w:space="0"/>
              <w:tl2br w:val="nil"/>
              <w:tr2bl w:val="nil"/>
            </w:tcBorders>
            <w:noWrap w:val="0"/>
            <w:vAlign w:val="center"/>
          </w:tcPr>
          <w:p>
            <w:pPr>
              <w:spacing w:beforeLines="0" w:afterLines="0"/>
              <w:rPr>
                <w:rFonts w:hint="default"/>
                <w:sz w:val="21"/>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tcBorders>
              <w:top w:val="single" w:color="auto" w:sz="6" w:space="0"/>
              <w:left w:val="double" w:color="auto" w:sz="4" w:space="0"/>
              <w:bottom w:val="single" w:color="auto" w:sz="6" w:space="0"/>
              <w:right w:val="single" w:color="auto" w:sz="6" w:space="0"/>
              <w:tl2br w:val="nil"/>
              <w:tr2bl w:val="nil"/>
            </w:tcBorders>
            <w:noWrap w:val="0"/>
            <w:vAlign w:val="center"/>
          </w:tcPr>
          <w:p>
            <w:pPr>
              <w:adjustRightInd w:val="0"/>
              <w:snapToGrid w:val="0"/>
              <w:spacing w:beforeLines="0" w:afterLines="0"/>
              <w:jc w:val="center"/>
              <w:rPr>
                <w:rFonts w:hint="eastAsia" w:ascii="宋体" w:hAnsi="宋体" w:eastAsia="宋体"/>
                <w:sz w:val="21"/>
                <w:szCs w:val="24"/>
              </w:rPr>
            </w:pPr>
            <w:r>
              <w:rPr>
                <w:rFonts w:hint="eastAsia" w:ascii="宋体" w:hAnsi="宋体" w:eastAsia="宋体"/>
                <w:sz w:val="21"/>
                <w:szCs w:val="24"/>
              </w:rPr>
              <w:t>第二节</w:t>
            </w:r>
          </w:p>
          <w:p>
            <w:pPr>
              <w:adjustRightInd w:val="0"/>
              <w:snapToGrid w:val="0"/>
              <w:spacing w:beforeLines="0" w:afterLines="0"/>
              <w:jc w:val="center"/>
              <w:rPr>
                <w:rFonts w:hint="eastAsia" w:ascii="宋体" w:hAnsi="宋体" w:eastAsia="宋体"/>
                <w:sz w:val="21"/>
                <w:szCs w:val="24"/>
              </w:rPr>
            </w:pPr>
            <w:r>
              <w:rPr>
                <w:rFonts w:hint="eastAsia" w:ascii="宋体" w:hAnsi="宋体" w:eastAsia="宋体"/>
                <w:sz w:val="21"/>
                <w:szCs w:val="24"/>
              </w:rPr>
              <w:t>第7.3款</w:t>
            </w:r>
          </w:p>
        </w:tc>
        <w:tc>
          <w:tcPr>
            <w:tcW w:w="1742" w:type="dxa"/>
            <w:tcBorders>
              <w:top w:val="single" w:color="auto" w:sz="6" w:space="0"/>
              <w:left w:val="single" w:color="auto" w:sz="6" w:space="0"/>
              <w:bottom w:val="single" w:color="auto" w:sz="6" w:space="0"/>
              <w:right w:val="single" w:color="auto" w:sz="6" w:space="0"/>
              <w:tl2br w:val="nil"/>
              <w:tr2bl w:val="nil"/>
            </w:tcBorders>
            <w:noWrap w:val="0"/>
            <w:vAlign w:val="center"/>
          </w:tcPr>
          <w:p>
            <w:pPr>
              <w:adjustRightInd w:val="0"/>
              <w:snapToGrid w:val="0"/>
              <w:spacing w:beforeLines="0" w:afterLines="0"/>
              <w:jc w:val="left"/>
              <w:rPr>
                <w:rFonts w:hint="eastAsia" w:ascii="宋体" w:hAnsi="宋体" w:eastAsia="宋体"/>
                <w:sz w:val="21"/>
                <w:szCs w:val="24"/>
              </w:rPr>
            </w:pPr>
            <w:r>
              <w:rPr>
                <w:rFonts w:hint="eastAsia" w:ascii="宋体" w:hAnsi="宋体" w:eastAsia="宋体"/>
                <w:sz w:val="21"/>
                <w:szCs w:val="24"/>
              </w:rPr>
              <w:t>保险要求</w:t>
            </w:r>
          </w:p>
        </w:tc>
        <w:tc>
          <w:tcPr>
            <w:tcW w:w="5170" w:type="dxa"/>
            <w:tcBorders>
              <w:top w:val="single" w:color="auto" w:sz="6" w:space="0"/>
              <w:left w:val="single" w:color="auto" w:sz="6" w:space="0"/>
              <w:bottom w:val="single" w:color="auto" w:sz="6" w:space="0"/>
              <w:right w:val="double" w:color="auto" w:sz="4" w:space="0"/>
              <w:tl2br w:val="nil"/>
              <w:tr2bl w:val="nil"/>
            </w:tcBorders>
            <w:noWrap w:val="0"/>
            <w:vAlign w:val="center"/>
          </w:tcPr>
          <w:p>
            <w:pPr>
              <w:spacing w:beforeLines="0" w:afterLines="0"/>
              <w:rPr>
                <w:rFonts w:hint="default"/>
                <w:sz w:val="21"/>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l2br w:val="nil"/>
              <w:tr2bl w:val="nil"/>
            </w:tcBorders>
            <w:noWrap w:val="0"/>
            <w:vAlign w:val="center"/>
          </w:tcPr>
          <w:p>
            <w:pPr>
              <w:adjustRightInd w:val="0"/>
              <w:snapToGrid w:val="0"/>
              <w:spacing w:beforeLines="0" w:afterLines="0"/>
              <w:jc w:val="center"/>
              <w:rPr>
                <w:rFonts w:hint="eastAsia" w:ascii="宋体" w:hAnsi="宋体" w:eastAsia="宋体"/>
                <w:sz w:val="21"/>
                <w:szCs w:val="24"/>
              </w:rPr>
            </w:pPr>
            <w:r>
              <w:rPr>
                <w:rFonts w:hint="eastAsia" w:ascii="宋体" w:hAnsi="宋体" w:eastAsia="宋体"/>
                <w:sz w:val="21"/>
                <w:szCs w:val="24"/>
              </w:rPr>
              <w:t>第二节</w:t>
            </w:r>
          </w:p>
          <w:p>
            <w:pPr>
              <w:adjustRightInd w:val="0"/>
              <w:snapToGrid w:val="0"/>
              <w:spacing w:beforeLines="0" w:afterLines="0"/>
              <w:jc w:val="center"/>
              <w:rPr>
                <w:rFonts w:hint="eastAsia" w:ascii="宋体" w:hAnsi="宋体" w:eastAsia="宋体"/>
                <w:sz w:val="21"/>
                <w:szCs w:val="24"/>
              </w:rPr>
            </w:pPr>
            <w:r>
              <w:rPr>
                <w:rFonts w:hint="eastAsia" w:ascii="宋体" w:hAnsi="宋体" w:eastAsia="宋体"/>
                <w:sz w:val="21"/>
                <w:szCs w:val="24"/>
              </w:rPr>
              <w:t>第8.2（1）项</w:t>
            </w:r>
          </w:p>
        </w:tc>
        <w:tc>
          <w:tcPr>
            <w:tcW w:w="1742" w:type="dxa"/>
            <w:tcBorders>
              <w:top w:val="single" w:color="auto" w:sz="6" w:space="0"/>
              <w:left w:val="single" w:color="auto" w:sz="6" w:space="0"/>
              <w:bottom w:val="single" w:color="auto" w:sz="6" w:space="0"/>
              <w:right w:val="single" w:color="auto" w:sz="6" w:space="0"/>
              <w:tl2br w:val="nil"/>
              <w:tr2bl w:val="nil"/>
            </w:tcBorders>
            <w:noWrap w:val="0"/>
            <w:vAlign w:val="center"/>
          </w:tcPr>
          <w:p>
            <w:pPr>
              <w:adjustRightInd w:val="0"/>
              <w:snapToGrid w:val="0"/>
              <w:spacing w:beforeLines="0" w:afterLines="0"/>
              <w:jc w:val="left"/>
              <w:rPr>
                <w:rFonts w:hint="eastAsia" w:ascii="宋体" w:hAnsi="宋体" w:eastAsia="宋体"/>
                <w:sz w:val="21"/>
                <w:szCs w:val="24"/>
              </w:rPr>
            </w:pPr>
            <w:r>
              <w:rPr>
                <w:rFonts w:hint="eastAsia" w:ascii="宋体" w:hAnsi="宋体" w:eastAsia="宋体"/>
                <w:sz w:val="21"/>
                <w:szCs w:val="24"/>
              </w:rPr>
              <w:t>质量保证期</w:t>
            </w:r>
          </w:p>
        </w:tc>
        <w:tc>
          <w:tcPr>
            <w:tcW w:w="5170" w:type="dxa"/>
            <w:tcBorders>
              <w:top w:val="single" w:color="auto" w:sz="6" w:space="0"/>
              <w:left w:val="single" w:color="auto" w:sz="6" w:space="0"/>
              <w:bottom w:val="single" w:color="auto" w:sz="6" w:space="0"/>
              <w:right w:val="double" w:color="auto" w:sz="4" w:space="0"/>
              <w:tl2br w:val="nil"/>
              <w:tr2bl w:val="nil"/>
            </w:tcBorders>
            <w:noWrap w:val="0"/>
            <w:vAlign w:val="center"/>
          </w:tcPr>
          <w:p>
            <w:pPr>
              <w:autoSpaceDE w:val="0"/>
              <w:autoSpaceDN w:val="0"/>
              <w:adjustRightInd w:val="0"/>
              <w:snapToGrid w:val="0"/>
              <w:spacing w:beforeLines="0" w:afterLines="0"/>
              <w:ind w:firstLine="420" w:firstLineChars="200"/>
              <w:jc w:val="left"/>
              <w:rPr>
                <w:rFonts w:hint="eastAsia" w:ascii="宋体" w:hAnsi="宋体" w:eastAsia="宋体"/>
                <w:sz w:val="21"/>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l2br w:val="nil"/>
              <w:tr2bl w:val="nil"/>
            </w:tcBorders>
            <w:noWrap w:val="0"/>
            <w:vAlign w:val="center"/>
          </w:tcPr>
          <w:p>
            <w:pPr>
              <w:adjustRightInd w:val="0"/>
              <w:snapToGrid w:val="0"/>
              <w:spacing w:beforeLines="0" w:afterLines="0"/>
              <w:jc w:val="center"/>
              <w:rPr>
                <w:rFonts w:hint="eastAsia" w:ascii="宋体" w:hAnsi="宋体" w:eastAsia="宋体"/>
                <w:sz w:val="21"/>
                <w:szCs w:val="24"/>
              </w:rPr>
            </w:pPr>
            <w:r>
              <w:rPr>
                <w:rFonts w:hint="eastAsia" w:ascii="宋体" w:hAnsi="宋体" w:eastAsia="宋体"/>
                <w:sz w:val="21"/>
                <w:szCs w:val="24"/>
              </w:rPr>
              <w:t>第二节</w:t>
            </w:r>
          </w:p>
          <w:p>
            <w:pPr>
              <w:adjustRightInd w:val="0"/>
              <w:snapToGrid w:val="0"/>
              <w:spacing w:beforeLines="0" w:afterLines="0"/>
              <w:jc w:val="center"/>
              <w:rPr>
                <w:rFonts w:hint="eastAsia" w:ascii="宋体" w:hAnsi="宋体" w:eastAsia="宋体"/>
                <w:sz w:val="21"/>
                <w:szCs w:val="24"/>
              </w:rPr>
            </w:pPr>
            <w:r>
              <w:rPr>
                <w:rFonts w:hint="eastAsia" w:ascii="宋体" w:hAnsi="宋体" w:eastAsia="宋体"/>
                <w:sz w:val="21"/>
                <w:szCs w:val="24"/>
              </w:rPr>
              <w:t>第8.2（3）项</w:t>
            </w:r>
          </w:p>
        </w:tc>
        <w:tc>
          <w:tcPr>
            <w:tcW w:w="1742" w:type="dxa"/>
            <w:tcBorders>
              <w:top w:val="single" w:color="auto" w:sz="6" w:space="0"/>
              <w:left w:val="single" w:color="auto" w:sz="6" w:space="0"/>
              <w:bottom w:val="single" w:color="auto" w:sz="6" w:space="0"/>
              <w:right w:val="single" w:color="auto" w:sz="6" w:space="0"/>
              <w:tl2br w:val="nil"/>
              <w:tr2bl w:val="nil"/>
            </w:tcBorders>
            <w:noWrap w:val="0"/>
            <w:vAlign w:val="center"/>
          </w:tcPr>
          <w:p>
            <w:pPr>
              <w:adjustRightInd w:val="0"/>
              <w:snapToGrid w:val="0"/>
              <w:spacing w:beforeLines="0" w:afterLines="0"/>
              <w:jc w:val="left"/>
              <w:rPr>
                <w:rFonts w:hint="eastAsia" w:ascii="宋体" w:hAnsi="宋体" w:eastAsia="宋体"/>
                <w:sz w:val="21"/>
                <w:szCs w:val="24"/>
              </w:rPr>
            </w:pPr>
            <w:r>
              <w:rPr>
                <w:rFonts w:hint="eastAsia" w:ascii="宋体" w:hAnsi="宋体" w:eastAsia="宋体"/>
                <w:sz w:val="21"/>
                <w:szCs w:val="24"/>
              </w:rPr>
              <w:t>货物质量缺陷</w:t>
            </w:r>
          </w:p>
          <w:p>
            <w:pPr>
              <w:adjustRightInd w:val="0"/>
              <w:snapToGrid w:val="0"/>
              <w:spacing w:beforeLines="0" w:afterLines="0"/>
              <w:jc w:val="left"/>
              <w:rPr>
                <w:rFonts w:hint="eastAsia" w:ascii="宋体" w:hAnsi="宋体" w:eastAsia="宋体"/>
                <w:sz w:val="21"/>
                <w:szCs w:val="24"/>
              </w:rPr>
            </w:pPr>
            <w:r>
              <w:rPr>
                <w:rFonts w:hint="eastAsia" w:ascii="宋体" w:hAnsi="宋体" w:eastAsia="宋体"/>
                <w:sz w:val="21"/>
                <w:szCs w:val="24"/>
              </w:rPr>
              <w:t>响应时间</w:t>
            </w:r>
          </w:p>
        </w:tc>
        <w:tc>
          <w:tcPr>
            <w:tcW w:w="5170" w:type="dxa"/>
            <w:tcBorders>
              <w:top w:val="single" w:color="auto" w:sz="6" w:space="0"/>
              <w:left w:val="single" w:color="auto" w:sz="6" w:space="0"/>
              <w:bottom w:val="single" w:color="auto" w:sz="6" w:space="0"/>
              <w:right w:val="double" w:color="auto" w:sz="4" w:space="0"/>
              <w:tl2br w:val="nil"/>
              <w:tr2bl w:val="nil"/>
            </w:tcBorders>
            <w:noWrap w:val="0"/>
            <w:vAlign w:val="center"/>
          </w:tcPr>
          <w:p>
            <w:pPr>
              <w:adjustRightInd w:val="0"/>
              <w:snapToGrid w:val="0"/>
              <w:spacing w:beforeLines="0" w:afterLines="0"/>
              <w:jc w:val="left"/>
              <w:rPr>
                <w:rFonts w:hint="eastAsia" w:ascii="宋体" w:hAnsi="宋体" w:eastAsia="宋体"/>
                <w:sz w:val="21"/>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l2br w:val="nil"/>
              <w:tr2bl w:val="nil"/>
            </w:tcBorders>
            <w:noWrap w:val="0"/>
            <w:vAlign w:val="center"/>
          </w:tcPr>
          <w:p>
            <w:pPr>
              <w:snapToGrid w:val="0"/>
              <w:spacing w:beforeLines="0" w:afterLines="0"/>
              <w:jc w:val="center"/>
              <w:rPr>
                <w:rFonts w:hint="eastAsia" w:ascii="宋体" w:hAnsi="宋体" w:eastAsia="宋体" w:cs="宋体"/>
                <w:sz w:val="21"/>
                <w:szCs w:val="21"/>
              </w:rPr>
            </w:pPr>
            <w:r>
              <w:rPr>
                <w:rFonts w:hint="eastAsia" w:ascii="宋体" w:hAnsi="宋体" w:eastAsia="宋体" w:cs="宋体"/>
                <w:sz w:val="21"/>
                <w:szCs w:val="21"/>
              </w:rPr>
              <w:t>第二节</w:t>
            </w:r>
          </w:p>
          <w:p>
            <w:pPr>
              <w:pStyle w:val="2"/>
              <w:spacing w:beforeLines="0" w:afterLines="0"/>
              <w:ind w:firstLine="0" w:firstLineChars="0"/>
              <w:jc w:val="center"/>
              <w:rPr>
                <w:rFonts w:hint="eastAsia"/>
                <w:sz w:val="22"/>
                <w:szCs w:val="21"/>
              </w:rPr>
            </w:pPr>
            <w:r>
              <w:rPr>
                <w:rFonts w:hint="eastAsia" w:ascii="宋体" w:hAnsi="宋体" w:eastAsia="宋体" w:cs="宋体"/>
                <w:sz w:val="22"/>
                <w:szCs w:val="21"/>
              </w:rPr>
              <w:t>第11.1款</w:t>
            </w:r>
          </w:p>
        </w:tc>
        <w:tc>
          <w:tcPr>
            <w:tcW w:w="1742" w:type="dxa"/>
            <w:tcBorders>
              <w:top w:val="single" w:color="auto" w:sz="6" w:space="0"/>
              <w:left w:val="single" w:color="auto" w:sz="6" w:space="0"/>
              <w:bottom w:val="single" w:color="auto" w:sz="6" w:space="0"/>
              <w:right w:val="single" w:color="auto" w:sz="6" w:space="0"/>
              <w:tl2br w:val="nil"/>
              <w:tr2bl w:val="nil"/>
            </w:tcBorders>
            <w:noWrap w:val="0"/>
            <w:vAlign w:val="center"/>
          </w:tcPr>
          <w:p>
            <w:pPr>
              <w:adjustRightInd w:val="0"/>
              <w:snapToGrid w:val="0"/>
              <w:spacing w:beforeLines="0" w:afterLines="0"/>
              <w:rPr>
                <w:rFonts w:hint="eastAsia" w:ascii="宋体" w:hAnsi="宋体" w:eastAsia="宋体"/>
                <w:sz w:val="21"/>
                <w:szCs w:val="24"/>
              </w:rPr>
            </w:pPr>
            <w:r>
              <w:rPr>
                <w:rFonts w:hint="eastAsia" w:ascii="宋体" w:hAnsi="宋体" w:eastAsia="宋体"/>
                <w:sz w:val="21"/>
                <w:szCs w:val="24"/>
              </w:rPr>
              <w:t>其他应当保密的信息</w:t>
            </w:r>
          </w:p>
        </w:tc>
        <w:tc>
          <w:tcPr>
            <w:tcW w:w="5170" w:type="dxa"/>
            <w:tcBorders>
              <w:top w:val="single" w:color="auto" w:sz="6" w:space="0"/>
              <w:left w:val="single" w:color="auto" w:sz="6" w:space="0"/>
              <w:bottom w:val="single" w:color="auto" w:sz="6" w:space="0"/>
              <w:right w:val="double" w:color="auto" w:sz="4" w:space="0"/>
              <w:tl2br w:val="nil"/>
              <w:tr2bl w:val="nil"/>
            </w:tcBorders>
            <w:noWrap w:val="0"/>
            <w:vAlign w:val="center"/>
          </w:tcPr>
          <w:p>
            <w:pPr>
              <w:adjustRightInd w:val="0"/>
              <w:snapToGrid w:val="0"/>
              <w:spacing w:beforeLines="0" w:afterLines="0"/>
              <w:jc w:val="left"/>
              <w:rPr>
                <w:rFonts w:hint="eastAsia" w:ascii="宋体" w:hAnsi="宋体" w:eastAsia="宋体"/>
                <w:sz w:val="21"/>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l2br w:val="nil"/>
              <w:tr2bl w:val="nil"/>
            </w:tcBorders>
            <w:noWrap w:val="0"/>
            <w:vAlign w:val="center"/>
          </w:tcPr>
          <w:p>
            <w:pPr>
              <w:adjustRightInd w:val="0"/>
              <w:snapToGrid w:val="0"/>
              <w:spacing w:beforeLines="0" w:afterLines="0"/>
              <w:jc w:val="center"/>
              <w:rPr>
                <w:rFonts w:hint="eastAsia" w:ascii="宋体" w:hAnsi="宋体" w:eastAsia="宋体"/>
                <w:sz w:val="21"/>
                <w:szCs w:val="24"/>
              </w:rPr>
            </w:pPr>
            <w:r>
              <w:rPr>
                <w:rFonts w:hint="eastAsia" w:ascii="宋体" w:hAnsi="宋体" w:eastAsia="宋体"/>
                <w:sz w:val="21"/>
                <w:szCs w:val="24"/>
              </w:rPr>
              <w:t>第二节</w:t>
            </w:r>
          </w:p>
          <w:p>
            <w:pPr>
              <w:adjustRightInd w:val="0"/>
              <w:snapToGrid w:val="0"/>
              <w:spacing w:beforeLines="0" w:afterLines="0"/>
              <w:jc w:val="center"/>
              <w:rPr>
                <w:rFonts w:hint="eastAsia" w:ascii="宋体" w:hAnsi="宋体" w:eastAsia="宋体"/>
                <w:sz w:val="21"/>
                <w:szCs w:val="24"/>
              </w:rPr>
            </w:pPr>
            <w:r>
              <w:rPr>
                <w:rFonts w:hint="eastAsia" w:ascii="宋体" w:hAnsi="宋体" w:eastAsia="宋体"/>
                <w:sz w:val="21"/>
                <w:szCs w:val="24"/>
              </w:rPr>
              <w:t>第12.2款</w:t>
            </w:r>
          </w:p>
        </w:tc>
        <w:tc>
          <w:tcPr>
            <w:tcW w:w="1742" w:type="dxa"/>
            <w:tcBorders>
              <w:top w:val="single" w:color="auto" w:sz="6" w:space="0"/>
              <w:left w:val="single" w:color="auto" w:sz="6" w:space="0"/>
              <w:bottom w:val="single" w:color="auto" w:sz="6" w:space="0"/>
              <w:right w:val="single" w:color="auto" w:sz="6" w:space="0"/>
              <w:tl2br w:val="nil"/>
              <w:tr2bl w:val="nil"/>
            </w:tcBorders>
            <w:noWrap w:val="0"/>
            <w:vAlign w:val="center"/>
          </w:tcPr>
          <w:p>
            <w:pPr>
              <w:adjustRightInd w:val="0"/>
              <w:snapToGrid w:val="0"/>
              <w:spacing w:beforeLines="0" w:afterLines="0"/>
              <w:jc w:val="left"/>
              <w:rPr>
                <w:rFonts w:hint="eastAsia" w:ascii="宋体" w:hAnsi="宋体" w:eastAsia="宋体"/>
                <w:sz w:val="21"/>
                <w:szCs w:val="24"/>
              </w:rPr>
            </w:pPr>
            <w:r>
              <w:rPr>
                <w:rFonts w:hint="eastAsia" w:ascii="宋体" w:hAnsi="宋体" w:eastAsia="宋体"/>
                <w:sz w:val="21"/>
                <w:szCs w:val="24"/>
              </w:rPr>
              <w:t>合同价款支付时间</w:t>
            </w:r>
          </w:p>
        </w:tc>
        <w:tc>
          <w:tcPr>
            <w:tcW w:w="5170" w:type="dxa"/>
            <w:tcBorders>
              <w:top w:val="single" w:color="auto" w:sz="6" w:space="0"/>
              <w:left w:val="single" w:color="auto" w:sz="6" w:space="0"/>
              <w:bottom w:val="single" w:color="auto" w:sz="6" w:space="0"/>
              <w:right w:val="double" w:color="auto" w:sz="4" w:space="0"/>
              <w:tl2br w:val="nil"/>
              <w:tr2bl w:val="nil"/>
            </w:tcBorders>
            <w:noWrap w:val="0"/>
            <w:vAlign w:val="center"/>
          </w:tcPr>
          <w:p>
            <w:pPr>
              <w:adjustRightInd w:val="0"/>
              <w:snapToGrid w:val="0"/>
              <w:spacing w:beforeLines="0" w:afterLines="0"/>
              <w:jc w:val="left"/>
              <w:rPr>
                <w:rFonts w:hint="eastAsia" w:ascii="宋体" w:hAnsi="宋体" w:eastAsia="宋体"/>
                <w:sz w:val="21"/>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l2br w:val="nil"/>
              <w:tr2bl w:val="nil"/>
            </w:tcBorders>
            <w:noWrap w:val="0"/>
            <w:vAlign w:val="center"/>
          </w:tcPr>
          <w:p>
            <w:pPr>
              <w:adjustRightInd w:val="0"/>
              <w:snapToGrid w:val="0"/>
              <w:spacing w:beforeLines="0" w:afterLines="0"/>
              <w:jc w:val="center"/>
              <w:rPr>
                <w:rFonts w:hint="eastAsia" w:ascii="宋体" w:hAnsi="宋体" w:eastAsia="宋体"/>
                <w:sz w:val="21"/>
                <w:szCs w:val="24"/>
              </w:rPr>
            </w:pPr>
            <w:r>
              <w:rPr>
                <w:rFonts w:hint="eastAsia" w:ascii="宋体" w:hAnsi="宋体" w:eastAsia="宋体"/>
                <w:sz w:val="21"/>
                <w:szCs w:val="24"/>
              </w:rPr>
              <w:t>第二节</w:t>
            </w:r>
          </w:p>
          <w:p>
            <w:pPr>
              <w:adjustRightInd w:val="0"/>
              <w:snapToGrid w:val="0"/>
              <w:spacing w:beforeLines="0" w:afterLines="0"/>
              <w:jc w:val="center"/>
              <w:rPr>
                <w:rFonts w:hint="eastAsia" w:ascii="宋体" w:hAnsi="宋体" w:eastAsia="宋体"/>
                <w:sz w:val="21"/>
                <w:szCs w:val="24"/>
              </w:rPr>
            </w:pPr>
            <w:r>
              <w:rPr>
                <w:rFonts w:hint="eastAsia" w:ascii="宋体" w:hAnsi="宋体" w:eastAsia="宋体"/>
                <w:sz w:val="21"/>
                <w:szCs w:val="24"/>
              </w:rPr>
              <w:t>第13.2款</w:t>
            </w:r>
          </w:p>
        </w:tc>
        <w:tc>
          <w:tcPr>
            <w:tcW w:w="1742" w:type="dxa"/>
            <w:tcBorders>
              <w:top w:val="single" w:color="auto" w:sz="6" w:space="0"/>
              <w:left w:val="single" w:color="auto" w:sz="6" w:space="0"/>
              <w:bottom w:val="single" w:color="auto" w:sz="6" w:space="0"/>
              <w:right w:val="single" w:color="auto" w:sz="6" w:space="0"/>
              <w:tl2br w:val="nil"/>
              <w:tr2bl w:val="nil"/>
            </w:tcBorders>
            <w:noWrap w:val="0"/>
            <w:vAlign w:val="center"/>
          </w:tcPr>
          <w:p>
            <w:pPr>
              <w:adjustRightInd w:val="0"/>
              <w:snapToGrid w:val="0"/>
              <w:spacing w:beforeLines="0" w:afterLines="0"/>
              <w:jc w:val="left"/>
              <w:rPr>
                <w:rFonts w:hint="eastAsia" w:ascii="宋体" w:hAnsi="宋体" w:eastAsia="宋体"/>
                <w:sz w:val="21"/>
                <w:szCs w:val="24"/>
              </w:rPr>
            </w:pPr>
            <w:r>
              <w:rPr>
                <w:rFonts w:hint="eastAsia" w:ascii="宋体" w:hAnsi="宋体" w:eastAsia="宋体"/>
                <w:sz w:val="21"/>
                <w:szCs w:val="24"/>
              </w:rPr>
              <w:t>履约保证金不予退还的情形</w:t>
            </w:r>
          </w:p>
        </w:tc>
        <w:tc>
          <w:tcPr>
            <w:tcW w:w="5170" w:type="dxa"/>
            <w:tcBorders>
              <w:top w:val="single" w:color="auto" w:sz="6" w:space="0"/>
              <w:left w:val="single" w:color="auto" w:sz="6" w:space="0"/>
              <w:bottom w:val="single" w:color="auto" w:sz="6" w:space="0"/>
              <w:right w:val="double" w:color="auto" w:sz="4" w:space="0"/>
              <w:tl2br w:val="nil"/>
              <w:tr2bl w:val="nil"/>
            </w:tcBorders>
            <w:noWrap w:val="0"/>
            <w:vAlign w:val="center"/>
          </w:tcPr>
          <w:p>
            <w:pPr>
              <w:adjustRightInd w:val="0"/>
              <w:snapToGrid w:val="0"/>
              <w:spacing w:beforeLines="0" w:afterLines="0"/>
              <w:jc w:val="left"/>
              <w:rPr>
                <w:rFonts w:hint="eastAsia" w:ascii="宋体" w:hAnsi="宋体" w:eastAsia="宋体"/>
                <w:sz w:val="21"/>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l2br w:val="nil"/>
              <w:tr2bl w:val="nil"/>
            </w:tcBorders>
            <w:noWrap w:val="0"/>
            <w:vAlign w:val="center"/>
          </w:tcPr>
          <w:p>
            <w:pPr>
              <w:adjustRightInd w:val="0"/>
              <w:snapToGrid w:val="0"/>
              <w:spacing w:beforeLines="0" w:afterLines="0"/>
              <w:jc w:val="center"/>
              <w:rPr>
                <w:rFonts w:hint="eastAsia" w:ascii="宋体" w:hAnsi="宋体" w:eastAsia="宋体"/>
                <w:sz w:val="21"/>
                <w:szCs w:val="24"/>
              </w:rPr>
            </w:pPr>
            <w:r>
              <w:rPr>
                <w:rFonts w:hint="eastAsia" w:ascii="宋体" w:hAnsi="宋体" w:eastAsia="宋体"/>
                <w:sz w:val="21"/>
                <w:szCs w:val="24"/>
              </w:rPr>
              <w:t>第二节</w:t>
            </w:r>
          </w:p>
          <w:p>
            <w:pPr>
              <w:adjustRightInd w:val="0"/>
              <w:snapToGrid w:val="0"/>
              <w:spacing w:beforeLines="0" w:afterLines="0"/>
              <w:jc w:val="center"/>
              <w:rPr>
                <w:rFonts w:hint="eastAsia" w:ascii="宋体" w:hAnsi="宋体" w:eastAsia="宋体"/>
                <w:sz w:val="21"/>
                <w:szCs w:val="24"/>
              </w:rPr>
            </w:pPr>
            <w:r>
              <w:rPr>
                <w:rFonts w:hint="eastAsia" w:ascii="宋体" w:hAnsi="宋体" w:eastAsia="宋体"/>
                <w:sz w:val="21"/>
                <w:szCs w:val="24"/>
              </w:rPr>
              <w:t>第13.3款</w:t>
            </w:r>
          </w:p>
        </w:tc>
        <w:tc>
          <w:tcPr>
            <w:tcW w:w="1742" w:type="dxa"/>
            <w:tcBorders>
              <w:top w:val="single" w:color="auto" w:sz="6" w:space="0"/>
              <w:left w:val="single" w:color="auto" w:sz="6" w:space="0"/>
              <w:bottom w:val="single" w:color="auto" w:sz="6" w:space="0"/>
              <w:right w:val="single" w:color="auto" w:sz="6" w:space="0"/>
              <w:tl2br w:val="nil"/>
              <w:tr2bl w:val="nil"/>
            </w:tcBorders>
            <w:noWrap w:val="0"/>
            <w:vAlign w:val="center"/>
          </w:tcPr>
          <w:p>
            <w:pPr>
              <w:adjustRightInd w:val="0"/>
              <w:snapToGrid w:val="0"/>
              <w:spacing w:beforeLines="0" w:afterLines="0"/>
              <w:jc w:val="left"/>
              <w:rPr>
                <w:rFonts w:hint="eastAsia" w:ascii="宋体" w:hAnsi="宋体" w:eastAsia="宋体"/>
                <w:sz w:val="21"/>
                <w:szCs w:val="24"/>
              </w:rPr>
            </w:pPr>
            <w:r>
              <w:rPr>
                <w:rFonts w:hint="eastAsia" w:ascii="宋体" w:hAnsi="宋体" w:eastAsia="宋体"/>
                <w:sz w:val="21"/>
                <w:szCs w:val="24"/>
              </w:rPr>
              <w:t>履约保证金退还时间及逾期退还的违约金</w:t>
            </w:r>
          </w:p>
        </w:tc>
        <w:tc>
          <w:tcPr>
            <w:tcW w:w="5170" w:type="dxa"/>
            <w:tcBorders>
              <w:top w:val="single" w:color="auto" w:sz="6" w:space="0"/>
              <w:left w:val="single" w:color="auto" w:sz="6" w:space="0"/>
              <w:bottom w:val="single" w:color="auto" w:sz="6" w:space="0"/>
              <w:right w:val="double" w:color="auto" w:sz="4" w:space="0"/>
              <w:tl2br w:val="nil"/>
              <w:tr2bl w:val="nil"/>
            </w:tcBorders>
            <w:noWrap w:val="0"/>
            <w:vAlign w:val="center"/>
          </w:tcPr>
          <w:p>
            <w:pPr>
              <w:adjustRightInd w:val="0"/>
              <w:snapToGrid w:val="0"/>
              <w:spacing w:beforeLines="0" w:afterLines="0"/>
              <w:jc w:val="left"/>
              <w:rPr>
                <w:rFonts w:hint="eastAsia" w:ascii="宋体" w:hAnsi="宋体" w:eastAsia="宋体"/>
                <w:sz w:val="21"/>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l2br w:val="nil"/>
              <w:tr2bl w:val="nil"/>
            </w:tcBorders>
            <w:noWrap w:val="0"/>
            <w:vAlign w:val="center"/>
          </w:tcPr>
          <w:p>
            <w:pPr>
              <w:adjustRightInd w:val="0"/>
              <w:snapToGrid w:val="0"/>
              <w:spacing w:beforeLines="0" w:afterLines="0"/>
              <w:jc w:val="center"/>
              <w:rPr>
                <w:rFonts w:hint="eastAsia" w:ascii="宋体" w:hAnsi="宋体" w:eastAsia="宋体"/>
                <w:sz w:val="21"/>
                <w:szCs w:val="24"/>
              </w:rPr>
            </w:pPr>
            <w:r>
              <w:rPr>
                <w:rFonts w:hint="eastAsia" w:ascii="宋体" w:hAnsi="宋体" w:eastAsia="宋体"/>
                <w:sz w:val="21"/>
                <w:szCs w:val="24"/>
              </w:rPr>
              <w:t>第二节</w:t>
            </w:r>
          </w:p>
          <w:p>
            <w:pPr>
              <w:adjustRightInd w:val="0"/>
              <w:snapToGrid w:val="0"/>
              <w:spacing w:beforeLines="0" w:afterLines="0"/>
              <w:jc w:val="center"/>
              <w:rPr>
                <w:rFonts w:hint="eastAsia" w:ascii="宋体" w:hAnsi="宋体" w:eastAsia="宋体"/>
                <w:sz w:val="21"/>
                <w:szCs w:val="24"/>
              </w:rPr>
            </w:pPr>
            <w:r>
              <w:rPr>
                <w:rFonts w:hint="eastAsia" w:ascii="宋体" w:hAnsi="宋体" w:eastAsia="宋体"/>
                <w:sz w:val="21"/>
                <w:szCs w:val="24"/>
              </w:rPr>
              <w:t>第14.1（3）项</w:t>
            </w:r>
          </w:p>
        </w:tc>
        <w:tc>
          <w:tcPr>
            <w:tcW w:w="1742" w:type="dxa"/>
            <w:tcBorders>
              <w:top w:val="single" w:color="auto" w:sz="6" w:space="0"/>
              <w:left w:val="single" w:color="auto" w:sz="6" w:space="0"/>
              <w:bottom w:val="single" w:color="auto" w:sz="6" w:space="0"/>
              <w:right w:val="single" w:color="auto" w:sz="6" w:space="0"/>
              <w:tl2br w:val="nil"/>
              <w:tr2bl w:val="nil"/>
            </w:tcBorders>
            <w:noWrap w:val="0"/>
            <w:vAlign w:val="center"/>
          </w:tcPr>
          <w:p>
            <w:pPr>
              <w:adjustRightInd w:val="0"/>
              <w:snapToGrid w:val="0"/>
              <w:spacing w:beforeLines="0" w:afterLines="0"/>
              <w:jc w:val="left"/>
              <w:rPr>
                <w:rFonts w:hint="eastAsia" w:ascii="宋体" w:hAnsi="宋体" w:eastAsia="宋体"/>
                <w:sz w:val="21"/>
                <w:szCs w:val="24"/>
              </w:rPr>
            </w:pPr>
            <w:r>
              <w:rPr>
                <w:rFonts w:hint="eastAsia" w:ascii="宋体" w:hAnsi="宋体" w:eastAsia="宋体"/>
                <w:sz w:val="21"/>
                <w:szCs w:val="24"/>
              </w:rPr>
              <w:t>运行监督、维修期限</w:t>
            </w:r>
          </w:p>
        </w:tc>
        <w:tc>
          <w:tcPr>
            <w:tcW w:w="5170" w:type="dxa"/>
            <w:tcBorders>
              <w:top w:val="single" w:color="auto" w:sz="6" w:space="0"/>
              <w:left w:val="single" w:color="auto" w:sz="6" w:space="0"/>
              <w:bottom w:val="single" w:color="auto" w:sz="6" w:space="0"/>
              <w:right w:val="double" w:color="auto" w:sz="4" w:space="0"/>
              <w:tl2br w:val="nil"/>
              <w:tr2bl w:val="nil"/>
            </w:tcBorders>
            <w:noWrap w:val="0"/>
            <w:vAlign w:val="center"/>
          </w:tcPr>
          <w:p>
            <w:pPr>
              <w:adjustRightInd w:val="0"/>
              <w:snapToGrid w:val="0"/>
              <w:spacing w:beforeLines="0" w:afterLines="0"/>
              <w:jc w:val="left"/>
              <w:rPr>
                <w:rFonts w:hint="eastAsia" w:ascii="宋体" w:hAnsi="宋体" w:eastAsia="宋体"/>
                <w:sz w:val="21"/>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l2br w:val="nil"/>
              <w:tr2bl w:val="nil"/>
            </w:tcBorders>
            <w:noWrap w:val="0"/>
            <w:vAlign w:val="center"/>
          </w:tcPr>
          <w:p>
            <w:pPr>
              <w:adjustRightInd w:val="0"/>
              <w:snapToGrid w:val="0"/>
              <w:spacing w:beforeLines="0" w:afterLines="0"/>
              <w:jc w:val="center"/>
              <w:rPr>
                <w:rFonts w:hint="eastAsia" w:ascii="宋体" w:hAnsi="宋体" w:eastAsia="宋体"/>
                <w:sz w:val="21"/>
                <w:szCs w:val="24"/>
              </w:rPr>
            </w:pPr>
            <w:r>
              <w:rPr>
                <w:rFonts w:hint="eastAsia" w:ascii="宋体" w:hAnsi="宋体" w:eastAsia="宋体"/>
                <w:sz w:val="21"/>
                <w:szCs w:val="24"/>
              </w:rPr>
              <w:t>第二节</w:t>
            </w:r>
          </w:p>
          <w:p>
            <w:pPr>
              <w:adjustRightInd w:val="0"/>
              <w:snapToGrid w:val="0"/>
              <w:spacing w:beforeLines="0" w:afterLines="0"/>
              <w:jc w:val="center"/>
              <w:rPr>
                <w:rFonts w:hint="eastAsia" w:ascii="宋体" w:hAnsi="宋体" w:eastAsia="宋体"/>
                <w:sz w:val="21"/>
                <w:szCs w:val="24"/>
              </w:rPr>
            </w:pPr>
            <w:r>
              <w:rPr>
                <w:rFonts w:hint="eastAsia" w:ascii="宋体" w:hAnsi="宋体" w:eastAsia="宋体"/>
                <w:sz w:val="21"/>
                <w:szCs w:val="24"/>
              </w:rPr>
              <w:t>第14.1（5）项</w:t>
            </w:r>
          </w:p>
        </w:tc>
        <w:tc>
          <w:tcPr>
            <w:tcW w:w="1742" w:type="dxa"/>
            <w:tcBorders>
              <w:top w:val="single" w:color="auto" w:sz="6" w:space="0"/>
              <w:left w:val="single" w:color="auto" w:sz="6" w:space="0"/>
              <w:bottom w:val="single" w:color="auto" w:sz="6" w:space="0"/>
              <w:right w:val="single" w:color="auto" w:sz="6" w:space="0"/>
              <w:tl2br w:val="nil"/>
              <w:tr2bl w:val="nil"/>
            </w:tcBorders>
            <w:noWrap w:val="0"/>
            <w:vAlign w:val="center"/>
          </w:tcPr>
          <w:p>
            <w:pPr>
              <w:adjustRightInd w:val="0"/>
              <w:snapToGrid w:val="0"/>
              <w:spacing w:beforeLines="0" w:afterLines="0"/>
              <w:jc w:val="left"/>
              <w:rPr>
                <w:rFonts w:hint="eastAsia" w:ascii="宋体" w:hAnsi="宋体" w:eastAsia="宋体"/>
                <w:sz w:val="21"/>
                <w:szCs w:val="24"/>
              </w:rPr>
            </w:pPr>
            <w:r>
              <w:rPr>
                <w:rFonts w:hint="eastAsia" w:ascii="宋体" w:hAnsi="宋体" w:eastAsia="宋体"/>
                <w:sz w:val="21"/>
                <w:szCs w:val="24"/>
              </w:rPr>
              <w:t>货物回收的约定</w:t>
            </w:r>
          </w:p>
        </w:tc>
        <w:tc>
          <w:tcPr>
            <w:tcW w:w="5170" w:type="dxa"/>
            <w:tcBorders>
              <w:top w:val="single" w:color="auto" w:sz="6" w:space="0"/>
              <w:left w:val="single" w:color="auto" w:sz="6" w:space="0"/>
              <w:bottom w:val="single" w:color="auto" w:sz="6" w:space="0"/>
              <w:right w:val="double" w:color="auto" w:sz="4" w:space="0"/>
              <w:tl2br w:val="nil"/>
              <w:tr2bl w:val="nil"/>
            </w:tcBorders>
            <w:noWrap w:val="0"/>
            <w:vAlign w:val="center"/>
          </w:tcPr>
          <w:p>
            <w:pPr>
              <w:adjustRightInd w:val="0"/>
              <w:snapToGrid w:val="0"/>
              <w:spacing w:beforeLines="0" w:afterLines="0"/>
              <w:jc w:val="left"/>
              <w:rPr>
                <w:rFonts w:hint="eastAsia" w:ascii="宋体" w:hAnsi="宋体" w:eastAsia="宋体"/>
                <w:sz w:val="21"/>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l2br w:val="nil"/>
              <w:tr2bl w:val="nil"/>
            </w:tcBorders>
            <w:noWrap w:val="0"/>
            <w:vAlign w:val="center"/>
          </w:tcPr>
          <w:p>
            <w:pPr>
              <w:adjustRightInd w:val="0"/>
              <w:snapToGrid w:val="0"/>
              <w:spacing w:beforeLines="0" w:afterLines="0"/>
              <w:jc w:val="center"/>
              <w:rPr>
                <w:rFonts w:hint="eastAsia" w:ascii="宋体" w:hAnsi="宋体" w:eastAsia="宋体"/>
                <w:sz w:val="21"/>
                <w:szCs w:val="24"/>
              </w:rPr>
            </w:pPr>
            <w:r>
              <w:rPr>
                <w:rFonts w:hint="eastAsia" w:ascii="宋体" w:hAnsi="宋体" w:eastAsia="宋体"/>
                <w:sz w:val="21"/>
                <w:szCs w:val="24"/>
              </w:rPr>
              <w:t>第二节</w:t>
            </w:r>
          </w:p>
          <w:p>
            <w:pPr>
              <w:adjustRightInd w:val="0"/>
              <w:snapToGrid w:val="0"/>
              <w:spacing w:beforeLines="0" w:afterLines="0"/>
              <w:jc w:val="center"/>
              <w:rPr>
                <w:rFonts w:hint="eastAsia" w:ascii="宋体" w:hAnsi="宋体" w:eastAsia="宋体"/>
                <w:sz w:val="21"/>
                <w:szCs w:val="24"/>
              </w:rPr>
            </w:pPr>
            <w:r>
              <w:rPr>
                <w:rFonts w:hint="eastAsia" w:ascii="宋体" w:hAnsi="宋体" w:eastAsia="宋体"/>
                <w:sz w:val="21"/>
                <w:szCs w:val="24"/>
              </w:rPr>
              <w:t>第14.1（6）项</w:t>
            </w:r>
          </w:p>
        </w:tc>
        <w:tc>
          <w:tcPr>
            <w:tcW w:w="1742" w:type="dxa"/>
            <w:tcBorders>
              <w:top w:val="single" w:color="auto" w:sz="6" w:space="0"/>
              <w:left w:val="single" w:color="auto" w:sz="6" w:space="0"/>
              <w:bottom w:val="single" w:color="auto" w:sz="6" w:space="0"/>
              <w:right w:val="single" w:color="auto" w:sz="6" w:space="0"/>
              <w:tl2br w:val="nil"/>
              <w:tr2bl w:val="nil"/>
            </w:tcBorders>
            <w:noWrap w:val="0"/>
            <w:vAlign w:val="center"/>
          </w:tcPr>
          <w:p>
            <w:pPr>
              <w:adjustRightInd w:val="0"/>
              <w:snapToGrid w:val="0"/>
              <w:spacing w:beforeLines="0" w:afterLines="0"/>
              <w:jc w:val="left"/>
              <w:rPr>
                <w:rFonts w:hint="eastAsia" w:ascii="宋体" w:hAnsi="宋体" w:eastAsia="宋体"/>
                <w:sz w:val="21"/>
                <w:szCs w:val="24"/>
              </w:rPr>
            </w:pPr>
            <w:r>
              <w:rPr>
                <w:rFonts w:hint="eastAsia" w:ascii="宋体" w:hAnsi="宋体" w:eastAsia="宋体"/>
                <w:sz w:val="21"/>
                <w:szCs w:val="24"/>
              </w:rPr>
              <w:t>乙方提供的其他服务</w:t>
            </w:r>
          </w:p>
        </w:tc>
        <w:tc>
          <w:tcPr>
            <w:tcW w:w="5170" w:type="dxa"/>
            <w:tcBorders>
              <w:top w:val="single" w:color="auto" w:sz="6" w:space="0"/>
              <w:left w:val="single" w:color="auto" w:sz="6" w:space="0"/>
              <w:bottom w:val="single" w:color="auto" w:sz="6" w:space="0"/>
              <w:right w:val="double" w:color="auto" w:sz="4" w:space="0"/>
              <w:tl2br w:val="nil"/>
              <w:tr2bl w:val="nil"/>
            </w:tcBorders>
            <w:noWrap w:val="0"/>
            <w:vAlign w:val="center"/>
          </w:tcPr>
          <w:p>
            <w:pPr>
              <w:adjustRightInd w:val="0"/>
              <w:snapToGrid w:val="0"/>
              <w:spacing w:beforeLines="0" w:afterLines="0"/>
              <w:jc w:val="left"/>
              <w:rPr>
                <w:rFonts w:hint="eastAsia" w:ascii="宋体" w:hAnsi="宋体" w:eastAsia="宋体"/>
                <w:sz w:val="21"/>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l2br w:val="nil"/>
              <w:tr2bl w:val="nil"/>
            </w:tcBorders>
            <w:noWrap w:val="0"/>
            <w:vAlign w:val="center"/>
          </w:tcPr>
          <w:p>
            <w:pPr>
              <w:adjustRightInd w:val="0"/>
              <w:snapToGrid w:val="0"/>
              <w:spacing w:beforeLines="0" w:afterLines="0"/>
              <w:jc w:val="center"/>
              <w:rPr>
                <w:rFonts w:hint="eastAsia" w:ascii="宋体" w:hAnsi="宋体" w:eastAsia="宋体"/>
                <w:sz w:val="21"/>
                <w:szCs w:val="24"/>
              </w:rPr>
            </w:pPr>
            <w:r>
              <w:rPr>
                <w:rFonts w:hint="eastAsia" w:ascii="宋体" w:hAnsi="宋体" w:eastAsia="宋体"/>
                <w:sz w:val="21"/>
                <w:szCs w:val="24"/>
              </w:rPr>
              <w:t>第二节</w:t>
            </w:r>
          </w:p>
          <w:p>
            <w:pPr>
              <w:adjustRightInd w:val="0"/>
              <w:snapToGrid w:val="0"/>
              <w:spacing w:beforeLines="0" w:afterLines="0"/>
              <w:jc w:val="center"/>
              <w:rPr>
                <w:rFonts w:hint="eastAsia" w:ascii="宋体" w:hAnsi="宋体" w:eastAsia="宋体"/>
                <w:sz w:val="21"/>
                <w:szCs w:val="24"/>
              </w:rPr>
            </w:pPr>
            <w:r>
              <w:rPr>
                <w:rFonts w:hint="eastAsia" w:ascii="宋体" w:hAnsi="宋体" w:eastAsia="宋体"/>
                <w:sz w:val="21"/>
                <w:szCs w:val="24"/>
              </w:rPr>
              <w:t>第15.1款</w:t>
            </w:r>
          </w:p>
        </w:tc>
        <w:tc>
          <w:tcPr>
            <w:tcW w:w="1742" w:type="dxa"/>
            <w:tcBorders>
              <w:top w:val="single" w:color="auto" w:sz="6" w:space="0"/>
              <w:left w:val="single" w:color="auto" w:sz="6" w:space="0"/>
              <w:bottom w:val="single" w:color="auto" w:sz="6" w:space="0"/>
              <w:right w:val="single" w:color="auto" w:sz="6" w:space="0"/>
              <w:tl2br w:val="nil"/>
              <w:tr2bl w:val="nil"/>
            </w:tcBorders>
            <w:noWrap w:val="0"/>
            <w:vAlign w:val="center"/>
          </w:tcPr>
          <w:p>
            <w:pPr>
              <w:adjustRightInd w:val="0"/>
              <w:snapToGrid w:val="0"/>
              <w:spacing w:beforeLines="0" w:afterLines="0"/>
              <w:jc w:val="left"/>
              <w:rPr>
                <w:rFonts w:hint="eastAsia" w:ascii="宋体" w:hAnsi="宋体" w:eastAsia="宋体"/>
                <w:sz w:val="21"/>
                <w:szCs w:val="24"/>
              </w:rPr>
            </w:pPr>
            <w:r>
              <w:rPr>
                <w:rFonts w:hint="eastAsia" w:ascii="宋体" w:hAnsi="宋体" w:eastAsia="宋体"/>
                <w:color w:val="auto"/>
                <w:sz w:val="21"/>
                <w:szCs w:val="24"/>
              </w:rPr>
              <w:t>修理、重做、更换相关具体规定</w:t>
            </w:r>
          </w:p>
        </w:tc>
        <w:tc>
          <w:tcPr>
            <w:tcW w:w="5170" w:type="dxa"/>
            <w:tcBorders>
              <w:top w:val="single" w:color="auto" w:sz="6" w:space="0"/>
              <w:left w:val="single" w:color="auto" w:sz="6" w:space="0"/>
              <w:bottom w:val="single" w:color="auto" w:sz="6" w:space="0"/>
              <w:right w:val="double" w:color="auto" w:sz="4" w:space="0"/>
              <w:tl2br w:val="nil"/>
              <w:tr2bl w:val="nil"/>
            </w:tcBorders>
            <w:noWrap w:val="0"/>
            <w:vAlign w:val="center"/>
          </w:tcPr>
          <w:p>
            <w:pPr>
              <w:adjustRightInd w:val="0"/>
              <w:snapToGrid w:val="0"/>
              <w:spacing w:beforeLines="0" w:afterLines="0"/>
              <w:jc w:val="left"/>
              <w:rPr>
                <w:rFonts w:hint="eastAsia" w:ascii="宋体" w:hAnsi="宋体" w:eastAsia="宋体"/>
                <w:sz w:val="21"/>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l2br w:val="nil"/>
              <w:tr2bl w:val="nil"/>
            </w:tcBorders>
            <w:noWrap w:val="0"/>
            <w:vAlign w:val="center"/>
          </w:tcPr>
          <w:p>
            <w:pPr>
              <w:adjustRightInd w:val="0"/>
              <w:snapToGrid w:val="0"/>
              <w:spacing w:beforeLines="0" w:afterLines="0"/>
              <w:jc w:val="center"/>
              <w:rPr>
                <w:rFonts w:hint="eastAsia" w:ascii="宋体" w:hAnsi="宋体" w:eastAsia="宋体"/>
                <w:sz w:val="21"/>
                <w:szCs w:val="24"/>
              </w:rPr>
            </w:pPr>
            <w:r>
              <w:rPr>
                <w:rFonts w:hint="eastAsia" w:ascii="宋体" w:hAnsi="宋体" w:eastAsia="宋体"/>
                <w:sz w:val="21"/>
                <w:szCs w:val="24"/>
              </w:rPr>
              <w:t>第二节</w:t>
            </w:r>
          </w:p>
          <w:p>
            <w:pPr>
              <w:adjustRightInd w:val="0"/>
              <w:snapToGrid w:val="0"/>
              <w:spacing w:beforeLines="0" w:afterLines="0"/>
              <w:jc w:val="center"/>
              <w:rPr>
                <w:rFonts w:hint="eastAsia" w:ascii="宋体" w:hAnsi="宋体" w:eastAsia="宋体"/>
                <w:sz w:val="21"/>
                <w:szCs w:val="24"/>
              </w:rPr>
            </w:pPr>
            <w:r>
              <w:rPr>
                <w:rFonts w:hint="eastAsia" w:ascii="宋体" w:hAnsi="宋体" w:eastAsia="宋体"/>
                <w:sz w:val="21"/>
                <w:szCs w:val="24"/>
              </w:rPr>
              <w:t>第15.2（2）项</w:t>
            </w:r>
          </w:p>
        </w:tc>
        <w:tc>
          <w:tcPr>
            <w:tcW w:w="1742" w:type="dxa"/>
            <w:tcBorders>
              <w:top w:val="single" w:color="auto" w:sz="6" w:space="0"/>
              <w:left w:val="single" w:color="auto" w:sz="6" w:space="0"/>
              <w:bottom w:val="single" w:color="auto" w:sz="6" w:space="0"/>
              <w:right w:val="single" w:color="auto" w:sz="6" w:space="0"/>
              <w:tl2br w:val="nil"/>
              <w:tr2bl w:val="nil"/>
            </w:tcBorders>
            <w:noWrap w:val="0"/>
            <w:vAlign w:val="center"/>
          </w:tcPr>
          <w:p>
            <w:pPr>
              <w:adjustRightInd w:val="0"/>
              <w:snapToGrid w:val="0"/>
              <w:spacing w:beforeLines="0" w:afterLines="0"/>
              <w:jc w:val="left"/>
              <w:rPr>
                <w:rFonts w:hint="eastAsia" w:ascii="宋体" w:hAnsi="宋体" w:eastAsia="宋体"/>
                <w:sz w:val="21"/>
                <w:szCs w:val="24"/>
              </w:rPr>
            </w:pPr>
            <w:r>
              <w:rPr>
                <w:rFonts w:hint="eastAsia" w:ascii="宋体" w:hAnsi="宋体" w:eastAsia="宋体"/>
                <w:sz w:val="21"/>
                <w:szCs w:val="24"/>
              </w:rPr>
              <w:t>迟延交货赔偿费</w:t>
            </w:r>
          </w:p>
        </w:tc>
        <w:tc>
          <w:tcPr>
            <w:tcW w:w="5170" w:type="dxa"/>
            <w:tcBorders>
              <w:top w:val="single" w:color="auto" w:sz="6" w:space="0"/>
              <w:left w:val="single" w:color="auto" w:sz="6" w:space="0"/>
              <w:bottom w:val="single" w:color="auto" w:sz="6" w:space="0"/>
              <w:right w:val="double" w:color="auto" w:sz="4" w:space="0"/>
              <w:tl2br w:val="nil"/>
              <w:tr2bl w:val="nil"/>
            </w:tcBorders>
            <w:noWrap w:val="0"/>
            <w:vAlign w:val="center"/>
          </w:tcPr>
          <w:p>
            <w:pPr>
              <w:adjustRightInd w:val="0"/>
              <w:snapToGrid w:val="0"/>
              <w:spacing w:beforeLines="0" w:afterLines="0"/>
              <w:jc w:val="left"/>
              <w:rPr>
                <w:rFonts w:hint="eastAsia" w:ascii="宋体" w:hAnsi="宋体" w:eastAsia="宋体"/>
                <w:sz w:val="21"/>
                <w:szCs w:val="24"/>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l2br w:val="nil"/>
              <w:tr2bl w:val="nil"/>
            </w:tcBorders>
            <w:noWrap w:val="0"/>
            <w:vAlign w:val="center"/>
          </w:tcPr>
          <w:p>
            <w:pPr>
              <w:adjustRightInd w:val="0"/>
              <w:snapToGrid w:val="0"/>
              <w:spacing w:beforeLines="0" w:afterLines="0"/>
              <w:jc w:val="center"/>
              <w:rPr>
                <w:rFonts w:hint="eastAsia" w:ascii="宋体" w:hAnsi="宋体" w:eastAsia="宋体"/>
                <w:sz w:val="21"/>
                <w:szCs w:val="24"/>
              </w:rPr>
            </w:pPr>
            <w:r>
              <w:rPr>
                <w:rFonts w:hint="eastAsia" w:ascii="宋体" w:hAnsi="宋体" w:eastAsia="宋体"/>
                <w:sz w:val="21"/>
                <w:szCs w:val="24"/>
              </w:rPr>
              <w:t>第二节</w:t>
            </w:r>
          </w:p>
          <w:p>
            <w:pPr>
              <w:adjustRightInd w:val="0"/>
              <w:snapToGrid w:val="0"/>
              <w:spacing w:beforeLines="0" w:afterLines="0"/>
              <w:jc w:val="center"/>
              <w:rPr>
                <w:rFonts w:hint="eastAsia" w:ascii="宋体" w:hAnsi="宋体" w:eastAsia="宋体"/>
                <w:sz w:val="21"/>
                <w:szCs w:val="24"/>
              </w:rPr>
            </w:pPr>
            <w:r>
              <w:rPr>
                <w:rFonts w:hint="eastAsia" w:ascii="宋体" w:hAnsi="宋体" w:eastAsia="宋体"/>
                <w:sz w:val="21"/>
                <w:szCs w:val="24"/>
              </w:rPr>
              <w:t>第15.3款</w:t>
            </w:r>
          </w:p>
        </w:tc>
        <w:tc>
          <w:tcPr>
            <w:tcW w:w="1742" w:type="dxa"/>
            <w:tcBorders>
              <w:top w:val="single" w:color="auto" w:sz="6" w:space="0"/>
              <w:left w:val="single" w:color="auto" w:sz="6" w:space="0"/>
              <w:bottom w:val="single" w:color="auto" w:sz="6" w:space="0"/>
              <w:right w:val="single" w:color="auto" w:sz="6" w:space="0"/>
              <w:tl2br w:val="nil"/>
              <w:tr2bl w:val="nil"/>
            </w:tcBorders>
            <w:noWrap w:val="0"/>
            <w:vAlign w:val="center"/>
          </w:tcPr>
          <w:p>
            <w:pPr>
              <w:adjustRightInd w:val="0"/>
              <w:snapToGrid w:val="0"/>
              <w:spacing w:beforeLines="0" w:afterLines="0"/>
              <w:jc w:val="left"/>
              <w:rPr>
                <w:rFonts w:hint="eastAsia" w:ascii="宋体" w:hAnsi="宋体" w:eastAsia="宋体"/>
                <w:sz w:val="21"/>
                <w:szCs w:val="24"/>
              </w:rPr>
            </w:pPr>
            <w:r>
              <w:rPr>
                <w:rFonts w:hint="eastAsia" w:ascii="宋体" w:hAnsi="宋体" w:eastAsia="宋体"/>
                <w:sz w:val="21"/>
                <w:szCs w:val="24"/>
              </w:rPr>
              <w:t>逾期付款利息</w:t>
            </w:r>
          </w:p>
        </w:tc>
        <w:tc>
          <w:tcPr>
            <w:tcW w:w="5170" w:type="dxa"/>
            <w:tcBorders>
              <w:top w:val="single" w:color="auto" w:sz="6" w:space="0"/>
              <w:left w:val="single" w:color="auto" w:sz="6" w:space="0"/>
              <w:bottom w:val="single" w:color="auto" w:sz="6" w:space="0"/>
              <w:right w:val="double" w:color="auto" w:sz="4" w:space="0"/>
              <w:tl2br w:val="nil"/>
              <w:tr2bl w:val="nil"/>
            </w:tcBorders>
            <w:noWrap w:val="0"/>
            <w:vAlign w:val="center"/>
          </w:tcPr>
          <w:p>
            <w:pPr>
              <w:adjustRightInd w:val="0"/>
              <w:snapToGrid w:val="0"/>
              <w:spacing w:beforeLines="0" w:afterLines="0"/>
              <w:jc w:val="left"/>
              <w:rPr>
                <w:rFonts w:hint="eastAsia" w:ascii="宋体" w:hAnsi="宋体" w:eastAsia="宋体"/>
                <w:sz w:val="21"/>
                <w:szCs w:val="24"/>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top w:val="single" w:color="auto" w:sz="6" w:space="0"/>
              <w:left w:val="double" w:color="auto" w:sz="4" w:space="0"/>
              <w:bottom w:val="single" w:color="auto" w:sz="2" w:space="0"/>
              <w:right w:val="single" w:color="auto" w:sz="2" w:space="0"/>
              <w:tl2br w:val="nil"/>
              <w:tr2bl w:val="nil"/>
            </w:tcBorders>
            <w:noWrap w:val="0"/>
            <w:vAlign w:val="center"/>
          </w:tcPr>
          <w:p>
            <w:pPr>
              <w:adjustRightInd w:val="0"/>
              <w:snapToGrid w:val="0"/>
              <w:spacing w:beforeLines="0" w:afterLines="0"/>
              <w:jc w:val="center"/>
              <w:rPr>
                <w:rFonts w:hint="eastAsia" w:ascii="宋体" w:hAnsi="宋体" w:eastAsia="宋体"/>
                <w:sz w:val="21"/>
                <w:szCs w:val="24"/>
              </w:rPr>
            </w:pPr>
            <w:r>
              <w:rPr>
                <w:rFonts w:hint="eastAsia" w:ascii="宋体" w:hAnsi="宋体" w:eastAsia="宋体"/>
                <w:sz w:val="21"/>
                <w:szCs w:val="24"/>
              </w:rPr>
              <w:t>第二节</w:t>
            </w:r>
          </w:p>
          <w:p>
            <w:pPr>
              <w:adjustRightInd w:val="0"/>
              <w:snapToGrid w:val="0"/>
              <w:spacing w:beforeLines="0" w:afterLines="0"/>
              <w:jc w:val="center"/>
              <w:rPr>
                <w:rFonts w:hint="eastAsia" w:ascii="宋体" w:hAnsi="宋体" w:eastAsia="宋体"/>
                <w:sz w:val="21"/>
                <w:szCs w:val="24"/>
              </w:rPr>
            </w:pPr>
            <w:r>
              <w:rPr>
                <w:rFonts w:hint="eastAsia" w:ascii="宋体" w:hAnsi="宋体" w:eastAsia="宋体"/>
                <w:sz w:val="21"/>
                <w:szCs w:val="24"/>
              </w:rPr>
              <w:t>第15.4款</w:t>
            </w:r>
          </w:p>
        </w:tc>
        <w:tc>
          <w:tcPr>
            <w:tcW w:w="1742" w:type="dxa"/>
            <w:tcBorders>
              <w:top w:val="single" w:color="auto" w:sz="6" w:space="0"/>
              <w:left w:val="single" w:color="auto" w:sz="2" w:space="0"/>
              <w:bottom w:val="single" w:color="auto" w:sz="2" w:space="0"/>
              <w:right w:val="single" w:color="auto" w:sz="2" w:space="0"/>
              <w:tl2br w:val="nil"/>
              <w:tr2bl w:val="nil"/>
            </w:tcBorders>
            <w:noWrap w:val="0"/>
            <w:vAlign w:val="center"/>
          </w:tcPr>
          <w:p>
            <w:pPr>
              <w:adjustRightInd w:val="0"/>
              <w:snapToGrid w:val="0"/>
              <w:spacing w:beforeLines="0" w:afterLines="0"/>
              <w:jc w:val="left"/>
              <w:rPr>
                <w:rFonts w:hint="eastAsia" w:ascii="宋体" w:hAnsi="宋体" w:eastAsia="宋体"/>
                <w:sz w:val="21"/>
                <w:szCs w:val="24"/>
              </w:rPr>
            </w:pPr>
            <w:r>
              <w:rPr>
                <w:rFonts w:hint="eastAsia" w:ascii="宋体" w:hAnsi="宋体" w:eastAsia="宋体"/>
                <w:sz w:val="21"/>
                <w:szCs w:val="24"/>
              </w:rPr>
              <w:t>其他违约责任</w:t>
            </w:r>
          </w:p>
        </w:tc>
        <w:tc>
          <w:tcPr>
            <w:tcW w:w="5170" w:type="dxa"/>
            <w:tcBorders>
              <w:top w:val="single" w:color="auto" w:sz="6" w:space="0"/>
              <w:left w:val="single" w:color="auto" w:sz="2" w:space="0"/>
              <w:bottom w:val="single" w:color="auto" w:sz="2" w:space="0"/>
              <w:right w:val="double" w:color="auto" w:sz="4" w:space="0"/>
              <w:tl2br w:val="nil"/>
              <w:tr2bl w:val="nil"/>
            </w:tcBorders>
            <w:noWrap w:val="0"/>
            <w:vAlign w:val="center"/>
          </w:tcPr>
          <w:p>
            <w:pPr>
              <w:adjustRightInd w:val="0"/>
              <w:snapToGrid w:val="0"/>
              <w:spacing w:beforeLines="0" w:afterLines="0"/>
              <w:jc w:val="left"/>
              <w:rPr>
                <w:rFonts w:hint="eastAsia" w:ascii="宋体" w:hAnsi="宋体" w:eastAsia="宋体"/>
                <w:sz w:val="21"/>
                <w:szCs w:val="24"/>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left w:val="double" w:color="auto" w:sz="4" w:space="0"/>
              <w:bottom w:val="single" w:color="auto" w:sz="6" w:space="0"/>
              <w:right w:val="single" w:color="auto" w:sz="2" w:space="0"/>
              <w:tl2br w:val="nil"/>
              <w:tr2bl w:val="nil"/>
            </w:tcBorders>
            <w:noWrap w:val="0"/>
            <w:vAlign w:val="center"/>
          </w:tcPr>
          <w:p>
            <w:pPr>
              <w:adjustRightInd w:val="0"/>
              <w:snapToGrid w:val="0"/>
              <w:spacing w:beforeLines="0" w:afterLines="0"/>
              <w:jc w:val="center"/>
              <w:rPr>
                <w:rFonts w:hint="eastAsia" w:ascii="宋体" w:hAnsi="宋体" w:eastAsia="宋体"/>
                <w:sz w:val="21"/>
                <w:szCs w:val="24"/>
              </w:rPr>
            </w:pPr>
            <w:r>
              <w:rPr>
                <w:rFonts w:hint="eastAsia" w:ascii="宋体" w:hAnsi="宋体" w:eastAsia="宋体"/>
                <w:sz w:val="21"/>
                <w:szCs w:val="24"/>
              </w:rPr>
              <w:t>第二节</w:t>
            </w:r>
          </w:p>
          <w:p>
            <w:pPr>
              <w:adjustRightInd w:val="0"/>
              <w:snapToGrid w:val="0"/>
              <w:spacing w:beforeLines="0" w:afterLines="0"/>
              <w:jc w:val="center"/>
              <w:rPr>
                <w:rFonts w:hint="eastAsia" w:ascii="宋体" w:hAnsi="宋体" w:eastAsia="宋体"/>
                <w:sz w:val="21"/>
                <w:szCs w:val="24"/>
              </w:rPr>
            </w:pPr>
            <w:r>
              <w:rPr>
                <w:rFonts w:hint="eastAsia" w:ascii="宋体" w:hAnsi="宋体" w:eastAsia="宋体"/>
                <w:sz w:val="21"/>
                <w:szCs w:val="24"/>
              </w:rPr>
              <w:t>第19.2款</w:t>
            </w:r>
          </w:p>
        </w:tc>
        <w:tc>
          <w:tcPr>
            <w:tcW w:w="1742" w:type="dxa"/>
            <w:tcBorders>
              <w:top w:val="single" w:color="auto" w:sz="2" w:space="0"/>
              <w:left w:val="single" w:color="auto" w:sz="2" w:space="0"/>
              <w:bottom w:val="single" w:color="auto" w:sz="6" w:space="0"/>
              <w:right w:val="single" w:color="auto" w:sz="2" w:space="0"/>
              <w:tl2br w:val="nil"/>
              <w:tr2bl w:val="nil"/>
            </w:tcBorders>
            <w:noWrap w:val="0"/>
            <w:vAlign w:val="center"/>
          </w:tcPr>
          <w:p>
            <w:pPr>
              <w:adjustRightInd w:val="0"/>
              <w:snapToGrid w:val="0"/>
              <w:spacing w:beforeLines="0" w:afterLines="0"/>
              <w:jc w:val="left"/>
              <w:rPr>
                <w:rFonts w:hint="eastAsia" w:ascii="宋体" w:hAnsi="宋体" w:eastAsia="宋体"/>
                <w:sz w:val="21"/>
                <w:szCs w:val="24"/>
              </w:rPr>
            </w:pPr>
            <w:r>
              <w:rPr>
                <w:rFonts w:hint="eastAsia" w:ascii="宋体" w:hAnsi="宋体" w:eastAsia="宋体"/>
                <w:sz w:val="21"/>
                <w:szCs w:val="24"/>
              </w:rPr>
              <w:t>解决争议的方法</w:t>
            </w:r>
          </w:p>
        </w:tc>
        <w:tc>
          <w:tcPr>
            <w:tcW w:w="5170" w:type="dxa"/>
            <w:tcBorders>
              <w:top w:val="single" w:color="auto" w:sz="2" w:space="0"/>
              <w:left w:val="single" w:color="auto" w:sz="2" w:space="0"/>
              <w:bottom w:val="single" w:color="auto" w:sz="6" w:space="0"/>
              <w:right w:val="double" w:color="auto" w:sz="4" w:space="0"/>
              <w:tl2br w:val="nil"/>
              <w:tr2bl w:val="nil"/>
            </w:tcBorders>
            <w:noWrap w:val="0"/>
            <w:vAlign w:val="center"/>
          </w:tcPr>
          <w:p>
            <w:pPr>
              <w:autoSpaceDE w:val="0"/>
              <w:autoSpaceDN w:val="0"/>
              <w:adjustRightInd w:val="0"/>
              <w:snapToGrid w:val="0"/>
              <w:spacing w:beforeLines="0" w:afterLines="0" w:line="400" w:lineRule="exact"/>
              <w:jc w:val="left"/>
              <w:rPr>
                <w:rFonts w:hint="eastAsia" w:ascii="宋体" w:hAnsi="宋体" w:eastAsia="宋体" w:cs="宋体"/>
                <w:sz w:val="21"/>
                <w:szCs w:val="21"/>
              </w:rPr>
            </w:pPr>
            <w:r>
              <w:rPr>
                <w:rFonts w:hint="eastAsia" w:ascii="宋体" w:hAnsi="宋体" w:eastAsia="宋体" w:cs="宋体"/>
                <w:sz w:val="21"/>
                <w:szCs w:val="21"/>
              </w:rPr>
              <w:t>因本合同及合同有关事项发生的争议，按下列第</w:t>
            </w:r>
            <w:r>
              <w:rPr>
                <w:rFonts w:hint="eastAsia" w:ascii="宋体" w:hAnsi="宋体" w:eastAsia="宋体" w:cs="宋体"/>
                <w:sz w:val="21"/>
                <w:szCs w:val="21"/>
                <w:u w:val="single"/>
              </w:rPr>
              <w:t xml:space="preserve">   </w:t>
            </w:r>
            <w:r>
              <w:rPr>
                <w:rFonts w:hint="eastAsia" w:ascii="宋体" w:hAnsi="宋体" w:eastAsia="宋体" w:cs="宋体"/>
                <w:sz w:val="21"/>
                <w:szCs w:val="21"/>
              </w:rPr>
              <w:t>种方式解决：</w:t>
            </w:r>
          </w:p>
          <w:p>
            <w:pPr>
              <w:autoSpaceDE w:val="0"/>
              <w:autoSpaceDN w:val="0"/>
              <w:adjustRightInd w:val="0"/>
              <w:snapToGrid w:val="0"/>
              <w:spacing w:beforeLines="0" w:afterLines="0" w:line="400" w:lineRule="exact"/>
              <w:jc w:val="left"/>
              <w:rPr>
                <w:rFonts w:hint="eastAsia" w:ascii="宋体" w:hAnsi="宋体" w:eastAsia="宋体" w:cs="宋体"/>
                <w:sz w:val="21"/>
                <w:szCs w:val="21"/>
              </w:rPr>
            </w:pPr>
            <w:r>
              <w:rPr>
                <w:rFonts w:hint="eastAsia" w:ascii="宋体" w:hAnsi="宋体" w:eastAsia="宋体" w:cs="宋体"/>
                <w:sz w:val="21"/>
                <w:szCs w:val="21"/>
              </w:rPr>
              <w:t>（1）向</w:t>
            </w:r>
            <w:r>
              <w:rPr>
                <w:rFonts w:hint="eastAsia" w:ascii="宋体" w:hAnsi="宋体" w:eastAsia="宋体" w:cs="宋体"/>
                <w:sz w:val="21"/>
                <w:szCs w:val="21"/>
                <w:u w:val="single"/>
              </w:rPr>
              <w:t xml:space="preserve">                    </w:t>
            </w:r>
            <w:r>
              <w:rPr>
                <w:rFonts w:hint="eastAsia" w:ascii="宋体" w:hAnsi="宋体" w:eastAsia="宋体" w:cs="宋体"/>
                <w:sz w:val="21"/>
                <w:szCs w:val="21"/>
              </w:rPr>
              <w:t>仲裁委员会申请仲裁，仲裁地点为</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adjustRightInd w:val="0"/>
              <w:snapToGrid w:val="0"/>
              <w:spacing w:beforeLines="0" w:afterLines="0"/>
              <w:jc w:val="left"/>
              <w:rPr>
                <w:rFonts w:hint="eastAsia" w:ascii="宋体" w:hAnsi="宋体" w:eastAsia="宋体"/>
                <w:sz w:val="21"/>
                <w:szCs w:val="24"/>
                <w:u w:val="single"/>
              </w:rPr>
            </w:pPr>
            <w:r>
              <w:rPr>
                <w:rFonts w:hint="eastAsia" w:ascii="宋体" w:hAnsi="宋体" w:eastAsia="宋体" w:cs="宋体"/>
                <w:sz w:val="21"/>
                <w:szCs w:val="21"/>
              </w:rPr>
              <w:t>（2）向</w:t>
            </w:r>
            <w:r>
              <w:rPr>
                <w:rFonts w:hint="eastAsia" w:ascii="宋体" w:hAnsi="宋体" w:eastAsia="宋体" w:cs="宋体"/>
                <w:sz w:val="21"/>
                <w:szCs w:val="21"/>
                <w:u w:val="single"/>
              </w:rPr>
              <w:t xml:space="preserve">                    </w:t>
            </w:r>
            <w:r>
              <w:rPr>
                <w:rFonts w:hint="eastAsia" w:ascii="宋体" w:hAnsi="宋体" w:eastAsia="宋体" w:cs="宋体"/>
                <w:sz w:val="21"/>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tcBorders>
              <w:top w:val="single" w:color="auto" w:sz="6" w:space="0"/>
              <w:left w:val="double" w:color="auto" w:sz="4" w:space="0"/>
              <w:bottom w:val="double" w:color="auto" w:sz="4" w:space="0"/>
              <w:right w:val="single" w:color="auto" w:sz="6" w:space="0"/>
              <w:tl2br w:val="nil"/>
              <w:tr2bl w:val="nil"/>
            </w:tcBorders>
            <w:noWrap w:val="0"/>
            <w:vAlign w:val="center"/>
          </w:tcPr>
          <w:p>
            <w:pPr>
              <w:adjustRightInd w:val="0"/>
              <w:snapToGrid w:val="0"/>
              <w:spacing w:beforeLines="0" w:afterLines="0"/>
              <w:jc w:val="center"/>
              <w:rPr>
                <w:rFonts w:hint="eastAsia" w:ascii="宋体" w:hAnsi="宋体" w:eastAsia="宋体"/>
                <w:sz w:val="21"/>
                <w:szCs w:val="24"/>
              </w:rPr>
            </w:pPr>
            <w:r>
              <w:rPr>
                <w:rFonts w:hint="eastAsia" w:ascii="宋体" w:hAnsi="宋体" w:eastAsia="宋体"/>
                <w:sz w:val="21"/>
                <w:szCs w:val="24"/>
              </w:rPr>
              <w:t>第二节</w:t>
            </w:r>
          </w:p>
          <w:p>
            <w:pPr>
              <w:adjustRightInd w:val="0"/>
              <w:snapToGrid w:val="0"/>
              <w:spacing w:beforeLines="0" w:afterLines="0"/>
              <w:jc w:val="center"/>
              <w:rPr>
                <w:rFonts w:hint="eastAsia" w:ascii="宋体" w:hAnsi="宋体" w:eastAsia="宋体"/>
                <w:sz w:val="21"/>
                <w:szCs w:val="24"/>
              </w:rPr>
            </w:pPr>
            <w:r>
              <w:rPr>
                <w:rFonts w:hint="eastAsia" w:ascii="宋体" w:hAnsi="宋体" w:eastAsia="宋体"/>
                <w:sz w:val="21"/>
                <w:szCs w:val="24"/>
              </w:rPr>
              <w:t>第23.1款</w:t>
            </w:r>
          </w:p>
        </w:tc>
        <w:tc>
          <w:tcPr>
            <w:tcW w:w="1742" w:type="dxa"/>
            <w:tcBorders>
              <w:top w:val="single" w:color="auto" w:sz="6" w:space="0"/>
              <w:left w:val="single" w:color="auto" w:sz="6" w:space="0"/>
              <w:bottom w:val="double" w:color="auto" w:sz="4" w:space="0"/>
              <w:right w:val="single" w:color="auto" w:sz="6" w:space="0"/>
              <w:tl2br w:val="nil"/>
              <w:tr2bl w:val="nil"/>
            </w:tcBorders>
            <w:noWrap w:val="0"/>
            <w:vAlign w:val="center"/>
          </w:tcPr>
          <w:p>
            <w:pPr>
              <w:adjustRightInd w:val="0"/>
              <w:snapToGrid w:val="0"/>
              <w:spacing w:beforeLines="0" w:afterLines="0"/>
              <w:jc w:val="left"/>
              <w:rPr>
                <w:rFonts w:hint="eastAsia" w:ascii="宋体" w:hAnsi="宋体" w:eastAsia="宋体"/>
                <w:sz w:val="21"/>
                <w:szCs w:val="24"/>
              </w:rPr>
            </w:pPr>
            <w:r>
              <w:rPr>
                <w:rFonts w:hint="eastAsia" w:ascii="宋体" w:hAnsi="宋体" w:eastAsia="宋体"/>
                <w:color w:val="auto"/>
                <w:sz w:val="21"/>
                <w:szCs w:val="24"/>
              </w:rPr>
              <w:t>其他专用条款</w:t>
            </w:r>
          </w:p>
        </w:tc>
        <w:tc>
          <w:tcPr>
            <w:tcW w:w="5170" w:type="dxa"/>
            <w:tcBorders>
              <w:top w:val="single" w:color="auto" w:sz="6" w:space="0"/>
              <w:left w:val="single" w:color="auto" w:sz="6" w:space="0"/>
              <w:bottom w:val="double" w:color="auto" w:sz="4" w:space="0"/>
              <w:right w:val="double" w:color="auto" w:sz="4" w:space="0"/>
              <w:tl2br w:val="nil"/>
              <w:tr2bl w:val="nil"/>
            </w:tcBorders>
            <w:noWrap w:val="0"/>
            <w:vAlign w:val="center"/>
          </w:tcPr>
          <w:p>
            <w:pPr>
              <w:adjustRightInd w:val="0"/>
              <w:snapToGrid w:val="0"/>
              <w:spacing w:beforeLines="0" w:afterLines="0"/>
              <w:jc w:val="left"/>
              <w:rPr>
                <w:rFonts w:hint="eastAsia" w:ascii="宋体" w:hAnsi="宋体" w:eastAsia="宋体"/>
                <w:sz w:val="21"/>
                <w:szCs w:val="24"/>
              </w:rPr>
            </w:pPr>
          </w:p>
        </w:tc>
      </w:tr>
    </w:tbl>
    <w:p>
      <w:pPr>
        <w:pStyle w:val="2"/>
        <w:rPr>
          <w:rFonts w:ascii="宋体" w:hAnsi="宋体" w:cs="宋体"/>
          <w:b/>
          <w:bCs/>
          <w:spacing w:val="-20"/>
          <w:kern w:val="44"/>
          <w:sz w:val="40"/>
          <w:szCs w:val="40"/>
        </w:rPr>
      </w:pPr>
    </w:p>
    <w:p>
      <w:pPr>
        <w:widowControl/>
        <w:spacing w:line="360" w:lineRule="auto"/>
        <w:ind w:firstLine="482" w:firstLineChars="200"/>
        <w:jc w:val="center"/>
        <w:rPr>
          <w:rFonts w:ascii="新宋体" w:hAnsi="新宋体" w:eastAsia="新宋体" w:cs="Arial"/>
          <w:b/>
          <w:kern w:val="0"/>
          <w:sz w:val="24"/>
        </w:rPr>
      </w:pPr>
    </w:p>
    <w:p>
      <w:pPr>
        <w:pStyle w:val="3"/>
        <w:jc w:val="center"/>
        <w:rPr>
          <w:rFonts w:hint="eastAsia" w:ascii="新宋体" w:hAnsi="新宋体" w:eastAsia="新宋体"/>
          <w:sz w:val="36"/>
          <w:szCs w:val="36"/>
        </w:rPr>
      </w:pPr>
      <w:bookmarkStart w:id="104" w:name="_Toc20613"/>
      <w:bookmarkStart w:id="105" w:name="_Toc453144920"/>
    </w:p>
    <w:p>
      <w:pPr>
        <w:rPr>
          <w:rFonts w:hint="eastAsia" w:ascii="新宋体" w:hAnsi="新宋体" w:eastAsia="新宋体"/>
          <w:sz w:val="36"/>
          <w:szCs w:val="36"/>
        </w:rPr>
      </w:pPr>
    </w:p>
    <w:p>
      <w:pPr>
        <w:pStyle w:val="2"/>
        <w:rPr>
          <w:rFonts w:hint="eastAsia"/>
        </w:rPr>
      </w:pPr>
    </w:p>
    <w:p>
      <w:pPr>
        <w:pStyle w:val="3"/>
        <w:jc w:val="both"/>
        <w:rPr>
          <w:rFonts w:hint="eastAsia" w:ascii="新宋体" w:hAnsi="新宋体" w:eastAsia="新宋体"/>
          <w:sz w:val="36"/>
          <w:szCs w:val="36"/>
        </w:rPr>
      </w:pPr>
    </w:p>
    <w:p>
      <w:pPr>
        <w:rPr>
          <w:rFonts w:hint="eastAsia"/>
        </w:rPr>
      </w:pPr>
    </w:p>
    <w:p>
      <w:pPr>
        <w:pStyle w:val="2"/>
        <w:rPr>
          <w:rFonts w:hint="eastAsia"/>
        </w:rPr>
      </w:pPr>
    </w:p>
    <w:p>
      <w:pPr>
        <w:pStyle w:val="2"/>
        <w:rPr>
          <w:rFonts w:hint="eastAsia"/>
        </w:rPr>
      </w:pPr>
    </w:p>
    <w:p>
      <w:pPr>
        <w:pStyle w:val="3"/>
        <w:jc w:val="center"/>
        <w:rPr>
          <w:rFonts w:ascii="新宋体" w:hAnsi="新宋体" w:eastAsia="新宋体"/>
          <w:sz w:val="36"/>
          <w:szCs w:val="36"/>
        </w:rPr>
      </w:pPr>
      <w:r>
        <w:rPr>
          <w:rFonts w:hint="eastAsia" w:ascii="新宋体" w:hAnsi="新宋体" w:eastAsia="新宋体"/>
          <w:sz w:val="36"/>
          <w:szCs w:val="36"/>
        </w:rPr>
        <w:t>第八章 投标文件部分格式</w:t>
      </w:r>
      <w:bookmarkEnd w:id="104"/>
    </w:p>
    <w:p>
      <w:pPr>
        <w:pStyle w:val="34"/>
        <w:rPr>
          <w:rFonts w:ascii="新宋体" w:hAnsi="新宋体" w:eastAsia="新宋体"/>
          <w:color w:val="auto"/>
        </w:rPr>
      </w:pPr>
      <w:r>
        <w:rPr>
          <w:rFonts w:hint="eastAsia" w:ascii="新宋体" w:hAnsi="新宋体" w:eastAsia="新宋体"/>
          <w:color w:val="auto"/>
        </w:rPr>
        <w:t>一、资格响应文件部分格式：</w:t>
      </w:r>
    </w:p>
    <w:p>
      <w:pPr>
        <w:spacing w:line="400" w:lineRule="exact"/>
        <w:ind w:firstLine="720" w:firstLineChars="300"/>
        <w:rPr>
          <w:rFonts w:ascii="新宋体" w:hAnsi="新宋体" w:eastAsia="新宋体"/>
          <w:sz w:val="24"/>
        </w:rPr>
      </w:pPr>
      <w:r>
        <w:rPr>
          <w:rFonts w:hint="eastAsia" w:ascii="新宋体" w:hAnsi="新宋体" w:eastAsia="新宋体"/>
          <w:sz w:val="24"/>
        </w:rPr>
        <w:t>1.义乌市政府采购项目投标承诺书</w:t>
      </w:r>
    </w:p>
    <w:p>
      <w:pPr>
        <w:spacing w:line="400" w:lineRule="exact"/>
        <w:ind w:firstLine="720" w:firstLineChars="300"/>
        <w:rPr>
          <w:rFonts w:ascii="新宋体" w:hAnsi="新宋体" w:eastAsia="新宋体"/>
          <w:sz w:val="24"/>
        </w:rPr>
      </w:pPr>
      <w:r>
        <w:rPr>
          <w:rFonts w:hint="eastAsia" w:ascii="新宋体" w:hAnsi="新宋体" w:eastAsia="新宋体"/>
          <w:sz w:val="24"/>
        </w:rPr>
        <w:t>2.中小企业声明函</w:t>
      </w:r>
    </w:p>
    <w:p>
      <w:pPr>
        <w:ind w:firstLine="720"/>
      </w:pPr>
      <w:r>
        <w:rPr>
          <w:rFonts w:hint="eastAsia" w:ascii="新宋体" w:hAnsi="新宋体" w:eastAsia="新宋体"/>
          <w:sz w:val="24"/>
        </w:rPr>
        <w:t>3.残疾人福利性单位声明函</w:t>
      </w:r>
    </w:p>
    <w:p>
      <w:pPr>
        <w:pStyle w:val="34"/>
        <w:rPr>
          <w:rFonts w:ascii="新宋体" w:hAnsi="新宋体" w:eastAsia="新宋体"/>
          <w:color w:val="auto"/>
        </w:rPr>
      </w:pPr>
      <w:r>
        <w:rPr>
          <w:rFonts w:hint="eastAsia" w:ascii="新宋体" w:hAnsi="新宋体" w:eastAsia="新宋体"/>
          <w:color w:val="auto"/>
        </w:rPr>
        <w:t>二、商务技术响应文件部分格式：</w:t>
      </w:r>
    </w:p>
    <w:p>
      <w:pPr>
        <w:spacing w:line="400" w:lineRule="exact"/>
        <w:ind w:firstLine="720" w:firstLineChars="300"/>
        <w:rPr>
          <w:rFonts w:ascii="新宋体" w:hAnsi="新宋体" w:eastAsia="新宋体"/>
          <w:sz w:val="24"/>
        </w:rPr>
      </w:pPr>
      <w:r>
        <w:rPr>
          <w:rFonts w:hint="eastAsia" w:ascii="新宋体" w:hAnsi="新宋体" w:eastAsia="新宋体"/>
          <w:sz w:val="24"/>
        </w:rPr>
        <w:t>4.所投设备（软件）说明一览表</w:t>
      </w:r>
    </w:p>
    <w:p>
      <w:pPr>
        <w:spacing w:line="400" w:lineRule="exact"/>
        <w:ind w:firstLine="720" w:firstLineChars="300"/>
        <w:rPr>
          <w:rFonts w:ascii="新宋体" w:hAnsi="新宋体" w:eastAsia="新宋体"/>
          <w:sz w:val="24"/>
        </w:rPr>
      </w:pPr>
      <w:r>
        <w:rPr>
          <w:rFonts w:hint="eastAsia" w:ascii="新宋体" w:hAnsi="新宋体" w:eastAsia="新宋体"/>
          <w:sz w:val="24"/>
        </w:rPr>
        <w:t>5.规范偏离表</w:t>
      </w:r>
    </w:p>
    <w:p>
      <w:pPr>
        <w:spacing w:line="400" w:lineRule="exact"/>
        <w:ind w:firstLine="720" w:firstLineChars="300"/>
        <w:rPr>
          <w:rFonts w:ascii="新宋体" w:hAnsi="新宋体" w:eastAsia="新宋体"/>
          <w:sz w:val="24"/>
        </w:rPr>
      </w:pPr>
      <w:r>
        <w:rPr>
          <w:rFonts w:hint="eastAsia" w:ascii="新宋体" w:hAnsi="新宋体" w:eastAsia="新宋体"/>
          <w:sz w:val="24"/>
        </w:rPr>
        <w:t>6.产品质量保证及售后服务承诺书</w:t>
      </w:r>
    </w:p>
    <w:p>
      <w:pPr>
        <w:spacing w:line="400" w:lineRule="exact"/>
        <w:ind w:firstLine="720" w:firstLineChars="300"/>
        <w:rPr>
          <w:rFonts w:ascii="新宋体" w:hAnsi="新宋体" w:eastAsia="新宋体"/>
          <w:sz w:val="24"/>
        </w:rPr>
      </w:pPr>
      <w:r>
        <w:rPr>
          <w:rFonts w:hint="eastAsia" w:ascii="新宋体" w:hAnsi="新宋体" w:eastAsia="新宋体"/>
          <w:sz w:val="24"/>
        </w:rPr>
        <w:t>7.备品备件及专用工具清单表</w:t>
      </w:r>
    </w:p>
    <w:p>
      <w:pPr>
        <w:spacing w:line="400" w:lineRule="exact"/>
        <w:ind w:firstLine="720" w:firstLineChars="300"/>
        <w:rPr>
          <w:rFonts w:ascii="新宋体" w:hAnsi="新宋体" w:eastAsia="新宋体"/>
          <w:sz w:val="24"/>
        </w:rPr>
      </w:pPr>
      <w:r>
        <w:rPr>
          <w:rFonts w:hint="eastAsia" w:ascii="新宋体" w:hAnsi="新宋体" w:eastAsia="新宋体"/>
          <w:sz w:val="24"/>
        </w:rPr>
        <w:t>8.项目组成人员表</w:t>
      </w:r>
    </w:p>
    <w:p>
      <w:pPr>
        <w:pStyle w:val="34"/>
        <w:rPr>
          <w:rFonts w:ascii="新宋体" w:hAnsi="新宋体" w:eastAsia="新宋体"/>
          <w:color w:val="auto"/>
        </w:rPr>
      </w:pPr>
      <w:r>
        <w:rPr>
          <w:rFonts w:hint="eastAsia" w:ascii="新宋体" w:hAnsi="新宋体" w:eastAsia="新宋体"/>
          <w:color w:val="auto"/>
        </w:rPr>
        <w:t>三、报价响应文件部分格式：</w:t>
      </w:r>
    </w:p>
    <w:p>
      <w:pPr>
        <w:spacing w:line="400" w:lineRule="exact"/>
        <w:ind w:firstLine="720" w:firstLineChars="300"/>
        <w:rPr>
          <w:rFonts w:ascii="新宋体" w:hAnsi="新宋体" w:eastAsia="新宋体"/>
          <w:sz w:val="24"/>
        </w:rPr>
      </w:pPr>
      <w:r>
        <w:rPr>
          <w:rFonts w:hint="eastAsia" w:ascii="新宋体" w:hAnsi="新宋体" w:eastAsia="新宋体"/>
          <w:sz w:val="24"/>
        </w:rPr>
        <w:t>9. 开标一览表</w:t>
      </w:r>
    </w:p>
    <w:p>
      <w:pPr>
        <w:spacing w:line="400" w:lineRule="exact"/>
        <w:ind w:firstLine="720" w:firstLineChars="300"/>
        <w:rPr>
          <w:rFonts w:ascii="新宋体" w:hAnsi="新宋体" w:eastAsia="新宋体"/>
          <w:sz w:val="24"/>
        </w:rPr>
      </w:pPr>
      <w:r>
        <w:rPr>
          <w:rFonts w:hint="eastAsia" w:ascii="新宋体" w:hAnsi="新宋体" w:eastAsia="新宋体"/>
          <w:sz w:val="24"/>
        </w:rPr>
        <w:t>10.投标人自报成本价表</w:t>
      </w:r>
    </w:p>
    <w:p>
      <w:pPr>
        <w:pStyle w:val="34"/>
        <w:rPr>
          <w:rFonts w:ascii="新宋体" w:hAnsi="新宋体" w:eastAsia="新宋体"/>
          <w:color w:val="auto"/>
        </w:rPr>
      </w:pPr>
      <w:r>
        <w:rPr>
          <w:rFonts w:hint="eastAsia" w:ascii="新宋体" w:hAnsi="新宋体" w:eastAsia="新宋体"/>
          <w:color w:val="auto"/>
        </w:rPr>
        <w:t>四、质疑函范本</w:t>
      </w:r>
      <w:r>
        <w:rPr>
          <w:rFonts w:ascii="新宋体" w:hAnsi="新宋体" w:eastAsia="新宋体"/>
          <w:color w:val="auto"/>
        </w:rPr>
        <w:t>、</w:t>
      </w:r>
      <w:r>
        <w:rPr>
          <w:rFonts w:hint="eastAsia" w:ascii="新宋体" w:hAnsi="新宋体" w:eastAsia="新宋体"/>
          <w:color w:val="auto"/>
        </w:rPr>
        <w:t>投诉书范本</w:t>
      </w:r>
      <w:r>
        <w:rPr>
          <w:rFonts w:ascii="新宋体" w:hAnsi="新宋体" w:eastAsia="新宋体"/>
          <w:color w:val="auto"/>
        </w:rPr>
        <w:t>请到浙江政府采购网下载专区下载。</w:t>
      </w:r>
    </w:p>
    <w:p/>
    <w:p>
      <w:pPr>
        <w:tabs>
          <w:tab w:val="left" w:pos="1080"/>
        </w:tabs>
        <w:spacing w:line="520" w:lineRule="exact"/>
        <w:ind w:left="528"/>
        <w:rPr>
          <w:rFonts w:ascii="新宋体" w:hAnsi="新宋体" w:eastAsia="新宋体"/>
          <w:sz w:val="24"/>
        </w:rPr>
      </w:pPr>
    </w:p>
    <w:p>
      <w:pPr>
        <w:rPr>
          <w:rFonts w:ascii="新宋体" w:hAnsi="新宋体" w:eastAsia="新宋体"/>
          <w:sz w:val="30"/>
        </w:rPr>
      </w:pPr>
    </w:p>
    <w:p>
      <w:pPr>
        <w:pStyle w:val="26"/>
        <w:spacing w:line="420" w:lineRule="exact"/>
        <w:jc w:val="left"/>
        <w:rPr>
          <w:rFonts w:ascii="新宋体" w:hAnsi="新宋体" w:eastAsia="新宋体" w:cs="Times New Roman"/>
          <w:b/>
          <w:bCs/>
          <w:sz w:val="36"/>
          <w:szCs w:val="24"/>
        </w:rPr>
      </w:pPr>
      <w:r>
        <w:rPr>
          <w:rFonts w:ascii="新宋体" w:hAnsi="新宋体" w:eastAsia="新宋体" w:cs="Times New Roman"/>
          <w:b/>
          <w:bCs/>
          <w:sz w:val="36"/>
          <w:szCs w:val="24"/>
        </w:rPr>
        <w:br w:type="page"/>
      </w:r>
      <w:r>
        <w:rPr>
          <w:rFonts w:hint="eastAsia" w:ascii="新宋体" w:hAnsi="新宋体" w:eastAsia="新宋体" w:cs="Times New Roman"/>
          <w:b/>
          <w:bCs/>
          <w:sz w:val="36"/>
          <w:szCs w:val="24"/>
        </w:rPr>
        <w:t>1.</w:t>
      </w:r>
    </w:p>
    <w:p>
      <w:pPr>
        <w:pStyle w:val="26"/>
        <w:spacing w:line="420" w:lineRule="exact"/>
        <w:jc w:val="center"/>
        <w:rPr>
          <w:rFonts w:ascii="新宋体" w:hAnsi="新宋体" w:eastAsia="新宋体"/>
          <w:sz w:val="32"/>
          <w:szCs w:val="32"/>
        </w:rPr>
      </w:pPr>
      <w:r>
        <w:rPr>
          <w:rFonts w:hint="eastAsia" w:ascii="新宋体" w:hAnsi="新宋体" w:eastAsia="新宋体"/>
          <w:b/>
          <w:bCs/>
          <w:sz w:val="36"/>
          <w:szCs w:val="36"/>
        </w:rPr>
        <w:t>义乌市政府采购项目投标承诺书（格式）</w:t>
      </w:r>
    </w:p>
    <w:p>
      <w:pPr>
        <w:pStyle w:val="26"/>
        <w:spacing w:line="400" w:lineRule="exact"/>
        <w:rPr>
          <w:rFonts w:ascii="新宋体" w:hAnsi="新宋体" w:eastAsia="新宋体"/>
          <w:sz w:val="24"/>
          <w:u w:val="single"/>
        </w:rPr>
      </w:pPr>
      <w:r>
        <w:rPr>
          <w:rFonts w:hint="eastAsia" w:ascii="新宋体" w:hAnsi="新宋体" w:eastAsia="新宋体"/>
          <w:sz w:val="24"/>
        </w:rPr>
        <w:t>致：</w:t>
      </w:r>
      <w:r>
        <w:rPr>
          <w:rFonts w:hint="eastAsia" w:ascii="新宋体" w:hAnsi="新宋体" w:eastAsia="新宋体"/>
          <w:sz w:val="24"/>
          <w:u w:val="single"/>
          <w:lang w:eastAsia="zh-CN"/>
        </w:rPr>
        <w:t>义乌市教育研修院</w:t>
      </w:r>
      <w:r>
        <w:rPr>
          <w:rFonts w:hint="eastAsia" w:ascii="新宋体" w:hAnsi="新宋体" w:eastAsia="新宋体"/>
          <w:sz w:val="24"/>
          <w:u w:val="single"/>
        </w:rPr>
        <w:t>和义乌市政府采购中心</w:t>
      </w:r>
    </w:p>
    <w:p>
      <w:pPr>
        <w:tabs>
          <w:tab w:val="left" w:pos="8820"/>
        </w:tabs>
        <w:spacing w:line="360" w:lineRule="exact"/>
        <w:ind w:firstLine="420" w:firstLineChars="200"/>
        <w:rPr>
          <w:rFonts w:ascii="新宋体" w:hAnsi="新宋体" w:eastAsia="新宋体"/>
        </w:rPr>
      </w:pPr>
      <w:r>
        <w:rPr>
          <w:rFonts w:hint="eastAsia" w:ascii="新宋体" w:hAnsi="新宋体" w:eastAsia="新宋体"/>
          <w:szCs w:val="21"/>
        </w:rPr>
        <w:t>1.我单位已认真阅读了</w:t>
      </w:r>
      <w:r>
        <w:rPr>
          <w:rFonts w:hint="eastAsia" w:ascii="新宋体" w:hAnsi="新宋体" w:eastAsia="新宋体"/>
          <w:szCs w:val="21"/>
          <w:lang w:eastAsia="zh-CN"/>
        </w:rPr>
        <w:t>义乌市教育研修院</w:t>
      </w:r>
      <w:r>
        <w:rPr>
          <w:rFonts w:hint="eastAsia" w:ascii="新宋体" w:hAnsi="新宋体" w:eastAsia="新宋体" w:cs="Courier New"/>
          <w:szCs w:val="21"/>
          <w:u w:val="single"/>
          <w:lang w:eastAsia="zh-CN"/>
        </w:rPr>
        <w:t>多媒体触控一体机</w:t>
      </w:r>
      <w:r>
        <w:rPr>
          <w:rFonts w:hint="eastAsia" w:ascii="新宋体" w:hAnsi="新宋体" w:eastAsia="新宋体" w:cs="Courier New"/>
          <w:szCs w:val="21"/>
          <w:u w:val="single"/>
        </w:rPr>
        <w:t>采购</w:t>
      </w:r>
      <w:r>
        <w:rPr>
          <w:rFonts w:hint="eastAsia" w:ascii="新宋体" w:hAnsi="新宋体" w:eastAsia="新宋体"/>
          <w:szCs w:val="21"/>
        </w:rPr>
        <w:t>项目(</w:t>
      </w:r>
      <w:r>
        <w:rPr>
          <w:rFonts w:hint="eastAsia" w:ascii="新宋体" w:hAnsi="新宋体" w:eastAsia="新宋体"/>
          <w:szCs w:val="21"/>
          <w:lang w:eastAsia="zh-CN"/>
        </w:rPr>
        <w:t>YWCG2024013GK</w:t>
      </w:r>
      <w:r>
        <w:rPr>
          <w:rFonts w:hint="eastAsia" w:ascii="新宋体" w:hAnsi="新宋体" w:eastAsia="新宋体"/>
          <w:szCs w:val="21"/>
        </w:rPr>
        <w:t>)的招标文件、技术要求、图纸、招标补充（答疑）文件及相关资料，对其全部内容和要求有实质性了解，并对这些内容表示理解且无任何异议，接受其全部内容及要求，承诺本单位的投标文件已经完全响应并符合其全部条件和要求，愿意参加投标并愿意中标。如招标文件出现不同的解释时，承诺以招标方的解释为准。</w:t>
      </w:r>
    </w:p>
    <w:p>
      <w:pPr>
        <w:tabs>
          <w:tab w:val="left" w:pos="8820"/>
        </w:tabs>
        <w:spacing w:line="360" w:lineRule="exact"/>
        <w:ind w:firstLine="420" w:firstLineChars="200"/>
        <w:rPr>
          <w:rFonts w:ascii="新宋体" w:hAnsi="新宋体" w:eastAsia="新宋体" w:cs="宋体"/>
          <w:kern w:val="0"/>
          <w:szCs w:val="21"/>
        </w:rPr>
      </w:pPr>
      <w:r>
        <w:rPr>
          <w:rFonts w:hint="eastAsia" w:ascii="新宋体" w:hAnsi="新宋体" w:eastAsia="新宋体" w:cs="宋体"/>
          <w:kern w:val="0"/>
          <w:szCs w:val="21"/>
        </w:rPr>
        <w:t>2.</w:t>
      </w:r>
      <w:r>
        <w:rPr>
          <w:rFonts w:ascii="新宋体" w:hAnsi="新宋体" w:eastAsia="新宋体" w:cs="宋体"/>
          <w:kern w:val="0"/>
          <w:szCs w:val="21"/>
        </w:rPr>
        <w:t>我单位承诺参与本次投标的资格符合</w:t>
      </w:r>
      <w:r>
        <w:rPr>
          <w:rFonts w:hint="eastAsia" w:ascii="新宋体" w:hAnsi="新宋体" w:eastAsia="新宋体" w:cs="宋体"/>
          <w:kern w:val="0"/>
          <w:szCs w:val="21"/>
        </w:rPr>
        <w:t>本招标文件对供应商的资格要求，并承诺具备履行本项目合同所必需的设备和专业技术能力；我单位承诺如中标，不转包或未按双方约定分包本项目。</w:t>
      </w:r>
    </w:p>
    <w:p>
      <w:pPr>
        <w:tabs>
          <w:tab w:val="left" w:pos="8820"/>
        </w:tabs>
        <w:spacing w:line="360" w:lineRule="exact"/>
        <w:ind w:firstLine="420" w:firstLineChars="200"/>
        <w:rPr>
          <w:rFonts w:ascii="新宋体" w:hAnsi="新宋体" w:eastAsia="新宋体" w:cs="宋体"/>
          <w:kern w:val="0"/>
          <w:szCs w:val="21"/>
        </w:rPr>
      </w:pPr>
      <w:r>
        <w:rPr>
          <w:rFonts w:hint="eastAsia" w:ascii="新宋体" w:hAnsi="新宋体" w:eastAsia="新宋体" w:cs="宋体"/>
          <w:kern w:val="0"/>
          <w:szCs w:val="21"/>
        </w:rPr>
        <w:t>3.自愿接受义乌市财政局的管理，并严格遵守义乌市财政局制定的政府采购管理制度、规范和纪律。</w:t>
      </w:r>
    </w:p>
    <w:p>
      <w:pPr>
        <w:tabs>
          <w:tab w:val="left" w:pos="8820"/>
        </w:tabs>
        <w:spacing w:line="360" w:lineRule="exact"/>
        <w:ind w:firstLine="420" w:firstLineChars="200"/>
        <w:rPr>
          <w:rFonts w:ascii="新宋体" w:hAnsi="新宋体" w:eastAsia="新宋体"/>
          <w:szCs w:val="21"/>
        </w:rPr>
      </w:pPr>
      <w:r>
        <w:rPr>
          <w:rFonts w:hint="eastAsia" w:ascii="新宋体" w:hAnsi="新宋体" w:eastAsia="新宋体"/>
          <w:szCs w:val="21"/>
        </w:rPr>
        <w:t>4.积极主动配合义乌市财政局的调查。及时、如实、全面地回答义乌市财政局提出的问题，并在调查笔录中签字确认。如拒绝签字确认的，则视为我单位及有关工作人员认可调查笔录中的全部内容，并对最终的调查结果无任何异议，且自愿放弃一切救济途径。</w:t>
      </w:r>
    </w:p>
    <w:p>
      <w:pPr>
        <w:tabs>
          <w:tab w:val="left" w:pos="8820"/>
        </w:tabs>
        <w:spacing w:line="360" w:lineRule="exact"/>
        <w:ind w:firstLine="420" w:firstLineChars="200"/>
        <w:rPr>
          <w:rFonts w:ascii="新宋体" w:hAnsi="新宋体" w:eastAsia="新宋体"/>
          <w:szCs w:val="21"/>
        </w:rPr>
      </w:pPr>
      <w:r>
        <w:rPr>
          <w:rFonts w:hint="eastAsia" w:ascii="新宋体" w:hAnsi="新宋体" w:eastAsia="新宋体"/>
          <w:szCs w:val="21"/>
        </w:rPr>
        <w:t>5.不转让、出借、涂改、伪造资质（资格）证书或者以其他方式允许其他单位（个人）以我单位（本人）名义承接业务。</w:t>
      </w:r>
    </w:p>
    <w:p>
      <w:pPr>
        <w:tabs>
          <w:tab w:val="left" w:pos="8820"/>
        </w:tabs>
        <w:spacing w:line="360" w:lineRule="exact"/>
        <w:ind w:firstLine="420" w:firstLineChars="200"/>
        <w:rPr>
          <w:rFonts w:ascii="新宋体" w:hAnsi="新宋体" w:eastAsia="新宋体"/>
          <w:szCs w:val="21"/>
        </w:rPr>
      </w:pPr>
      <w:r>
        <w:rPr>
          <w:rFonts w:hint="eastAsia" w:ascii="新宋体" w:hAnsi="新宋体" w:eastAsia="新宋体"/>
          <w:szCs w:val="21"/>
        </w:rPr>
        <w:t>6.不与采购人或者其他投标人相互串通投标，围标，不以行贿等不正当手段谋取中标。</w:t>
      </w:r>
    </w:p>
    <w:p>
      <w:pPr>
        <w:tabs>
          <w:tab w:val="left" w:pos="8820"/>
        </w:tabs>
        <w:spacing w:line="360" w:lineRule="exact"/>
        <w:ind w:firstLine="420" w:firstLineChars="200"/>
        <w:rPr>
          <w:rFonts w:ascii="新宋体" w:hAnsi="新宋体" w:eastAsia="新宋体"/>
          <w:szCs w:val="21"/>
        </w:rPr>
      </w:pPr>
      <w:r>
        <w:rPr>
          <w:rFonts w:hint="eastAsia" w:ascii="新宋体" w:hAnsi="新宋体" w:eastAsia="新宋体"/>
          <w:szCs w:val="21"/>
        </w:rPr>
        <w:t>7.在招标、投标、开标、评标、询标、中标、签订合同等招投标预备和进行的全过程中提供的资料均真实、有效，不弄虚作假。</w:t>
      </w:r>
    </w:p>
    <w:p>
      <w:pPr>
        <w:tabs>
          <w:tab w:val="left" w:pos="8820"/>
        </w:tabs>
        <w:spacing w:line="360" w:lineRule="exact"/>
        <w:ind w:firstLine="420" w:firstLineChars="200"/>
        <w:rPr>
          <w:rFonts w:ascii="新宋体" w:hAnsi="新宋体" w:eastAsia="新宋体"/>
          <w:szCs w:val="21"/>
        </w:rPr>
      </w:pPr>
      <w:r>
        <w:rPr>
          <w:rFonts w:hint="eastAsia" w:ascii="新宋体" w:hAnsi="新宋体" w:eastAsia="新宋体"/>
          <w:szCs w:val="21"/>
        </w:rPr>
        <w:t>8.我单位已详细审核全部招标文件，包括更正文件(如果有的话)，及有关附件，我方同意放弃提出含糊不清或误解的权力。</w:t>
      </w:r>
    </w:p>
    <w:p>
      <w:pPr>
        <w:tabs>
          <w:tab w:val="left" w:pos="8820"/>
        </w:tabs>
        <w:spacing w:line="360" w:lineRule="exact"/>
        <w:ind w:firstLine="420" w:firstLineChars="200"/>
        <w:rPr>
          <w:rFonts w:ascii="新宋体" w:hAnsi="新宋体" w:eastAsia="新宋体"/>
          <w:szCs w:val="21"/>
        </w:rPr>
      </w:pPr>
      <w:r>
        <w:rPr>
          <w:rFonts w:hint="eastAsia" w:ascii="新宋体" w:hAnsi="新宋体" w:eastAsia="新宋体"/>
          <w:szCs w:val="21"/>
        </w:rPr>
        <w:t>9.投标文件中未明确的内容一律按招标文件规定执行。</w:t>
      </w:r>
    </w:p>
    <w:p>
      <w:pPr>
        <w:tabs>
          <w:tab w:val="left" w:pos="8820"/>
        </w:tabs>
        <w:spacing w:line="360" w:lineRule="exact"/>
        <w:ind w:firstLine="420" w:firstLineChars="200"/>
        <w:rPr>
          <w:rFonts w:ascii="新宋体" w:hAnsi="新宋体" w:eastAsia="新宋体"/>
          <w:szCs w:val="21"/>
        </w:rPr>
      </w:pPr>
      <w:r>
        <w:rPr>
          <w:rFonts w:hint="eastAsia" w:ascii="新宋体" w:hAnsi="新宋体" w:eastAsia="新宋体"/>
          <w:szCs w:val="21"/>
        </w:rPr>
        <w:t>10.我单位同意招标文件要求的投标有效期，如我方中标，我方将受此约束。</w:t>
      </w:r>
    </w:p>
    <w:p>
      <w:pPr>
        <w:tabs>
          <w:tab w:val="left" w:pos="8820"/>
        </w:tabs>
        <w:spacing w:line="360" w:lineRule="exact"/>
        <w:ind w:firstLine="420" w:firstLineChars="200"/>
        <w:rPr>
          <w:rFonts w:ascii="新宋体" w:hAnsi="新宋体" w:eastAsia="新宋体"/>
          <w:szCs w:val="21"/>
        </w:rPr>
      </w:pPr>
      <w:r>
        <w:rPr>
          <w:rFonts w:hint="eastAsia" w:ascii="新宋体" w:hAnsi="新宋体" w:eastAsia="新宋体"/>
          <w:szCs w:val="21"/>
        </w:rPr>
        <w:t>11.我单位相信贵方的招标结果是公正、合法的，无论我单位中标还是落标，我方将接受这一结果。</w:t>
      </w:r>
    </w:p>
    <w:p>
      <w:pPr>
        <w:tabs>
          <w:tab w:val="left" w:pos="8820"/>
        </w:tabs>
        <w:spacing w:line="360" w:lineRule="exact"/>
        <w:ind w:firstLine="420" w:firstLineChars="200"/>
        <w:rPr>
          <w:rFonts w:ascii="新宋体" w:hAnsi="新宋体" w:eastAsia="新宋体"/>
          <w:szCs w:val="21"/>
        </w:rPr>
      </w:pPr>
      <w:r>
        <w:rPr>
          <w:rFonts w:hint="eastAsia" w:ascii="新宋体" w:hAnsi="新宋体" w:eastAsia="新宋体"/>
          <w:szCs w:val="21"/>
        </w:rPr>
        <w:t>12.一旦我单位中标，我单位将严格依照招标文件和投标文件的规定与采购人签订合同。</w:t>
      </w:r>
    </w:p>
    <w:p>
      <w:pPr>
        <w:tabs>
          <w:tab w:val="left" w:pos="8820"/>
        </w:tabs>
        <w:spacing w:line="360" w:lineRule="exact"/>
        <w:ind w:firstLine="420" w:firstLineChars="200"/>
        <w:rPr>
          <w:rFonts w:ascii="新宋体" w:hAnsi="新宋体" w:eastAsia="新宋体"/>
          <w:szCs w:val="21"/>
        </w:rPr>
      </w:pPr>
      <w:r>
        <w:rPr>
          <w:rFonts w:hint="eastAsia" w:ascii="新宋体" w:hAnsi="新宋体" w:eastAsia="新宋体"/>
          <w:szCs w:val="21"/>
        </w:rPr>
        <w:t>13.不低于企业成本价投标，不恶意过高报价，不扰乱招投标的正常秩序。</w:t>
      </w:r>
    </w:p>
    <w:p>
      <w:pPr>
        <w:tabs>
          <w:tab w:val="left" w:pos="8820"/>
        </w:tabs>
        <w:spacing w:line="360" w:lineRule="exact"/>
        <w:ind w:firstLine="420" w:firstLineChars="200"/>
        <w:rPr>
          <w:rFonts w:ascii="新宋体" w:hAnsi="新宋体" w:eastAsia="新宋体"/>
          <w:szCs w:val="21"/>
        </w:rPr>
      </w:pPr>
      <w:r>
        <w:rPr>
          <w:rFonts w:hint="eastAsia" w:ascii="新宋体" w:hAnsi="新宋体" w:eastAsia="新宋体"/>
          <w:szCs w:val="21"/>
        </w:rPr>
        <w:t>14.严格遵守开标纪律，不在开标现场吵闹、滋事，服从工作人员指挥。</w:t>
      </w:r>
    </w:p>
    <w:p>
      <w:pPr>
        <w:tabs>
          <w:tab w:val="left" w:pos="8820"/>
        </w:tabs>
        <w:spacing w:line="360" w:lineRule="exact"/>
        <w:ind w:firstLine="420" w:firstLineChars="200"/>
        <w:rPr>
          <w:rFonts w:ascii="新宋体" w:hAnsi="新宋体" w:eastAsia="新宋体"/>
          <w:szCs w:val="21"/>
        </w:rPr>
      </w:pPr>
      <w:r>
        <w:rPr>
          <w:rFonts w:hint="eastAsia" w:ascii="新宋体" w:hAnsi="新宋体" w:eastAsia="新宋体"/>
          <w:szCs w:val="21"/>
        </w:rPr>
        <w:t>15.按照法律法规和本项目招标文件规定的程序和方式进行异议和投诉，不越级投诉，不无理投诉。如捏造事实、伪造材料或者以非法手段取得材料进行投诉，给他人造成损失的，依法承担赔偿责任。</w:t>
      </w:r>
    </w:p>
    <w:p>
      <w:pPr>
        <w:tabs>
          <w:tab w:val="left" w:pos="8820"/>
        </w:tabs>
        <w:spacing w:line="360" w:lineRule="exact"/>
        <w:ind w:firstLine="420" w:firstLineChars="200"/>
        <w:rPr>
          <w:rFonts w:ascii="新宋体" w:hAnsi="新宋体" w:eastAsia="新宋体"/>
          <w:szCs w:val="21"/>
        </w:rPr>
      </w:pPr>
      <w:r>
        <w:rPr>
          <w:rFonts w:hint="eastAsia" w:ascii="新宋体" w:hAnsi="新宋体" w:eastAsia="新宋体"/>
          <w:szCs w:val="21"/>
        </w:rPr>
        <w:t>16.指定我单位人员(姓名: _____________ 身份证号码：___________联系电话：_____________)全权代表我方联系和协调处理投标过程中的有关事项。</w:t>
      </w:r>
    </w:p>
    <w:p>
      <w:pPr>
        <w:tabs>
          <w:tab w:val="left" w:pos="8820"/>
        </w:tabs>
        <w:spacing w:line="360" w:lineRule="exact"/>
        <w:ind w:firstLine="420" w:firstLineChars="200"/>
        <w:rPr>
          <w:rFonts w:ascii="新宋体" w:hAnsi="新宋体" w:eastAsia="新宋体"/>
          <w:szCs w:val="21"/>
        </w:rPr>
      </w:pPr>
      <w:r>
        <w:rPr>
          <w:rFonts w:hint="eastAsia" w:ascii="新宋体" w:hAnsi="新宋体" w:eastAsia="新宋体"/>
          <w:szCs w:val="21"/>
        </w:rPr>
        <w:t>上述承诺事项已认真逐项核对，均表达我单位真实意见，愿承担任何责任。若有任何弄虚作假内容或未遵守上述约定的，经查实后，愿意放弃投标及中标资格，如由此给采购人造成损失的，我方愿意承担赔偿责任。如我单位违反上述承诺事项，无条件接受义乌市财政局或相关监管部门作出的任何管理和处理决定，并自愿承担一切不利的后果。</w:t>
      </w:r>
    </w:p>
    <w:p>
      <w:pPr>
        <w:spacing w:line="360" w:lineRule="exact"/>
        <w:rPr>
          <w:rFonts w:ascii="新宋体" w:hAnsi="新宋体" w:eastAsia="新宋体"/>
          <w:szCs w:val="21"/>
        </w:rPr>
      </w:pPr>
    </w:p>
    <w:p>
      <w:pPr>
        <w:spacing w:line="360" w:lineRule="exact"/>
        <w:rPr>
          <w:rFonts w:ascii="新宋体" w:hAnsi="新宋体" w:eastAsia="新宋体"/>
          <w:szCs w:val="21"/>
        </w:rPr>
      </w:pPr>
      <w:r>
        <w:rPr>
          <w:rFonts w:hint="eastAsia" w:ascii="新宋体" w:hAnsi="新宋体" w:eastAsia="新宋体"/>
          <w:szCs w:val="21"/>
        </w:rPr>
        <w:t>投标人（盖章）：</w:t>
      </w:r>
      <w:r>
        <w:rPr>
          <w:rFonts w:ascii="新宋体" w:hAnsi="新宋体" w:eastAsia="新宋体"/>
          <w:szCs w:val="21"/>
        </w:rPr>
        <w:t xml:space="preserve">_______ </w:t>
      </w:r>
      <w:r>
        <w:rPr>
          <w:rFonts w:hint="eastAsia" w:ascii="新宋体" w:hAnsi="新宋体" w:eastAsia="新宋体"/>
          <w:szCs w:val="21"/>
        </w:rPr>
        <w:t xml:space="preserve">                       年 </w:t>
      </w:r>
      <w:r>
        <w:rPr>
          <w:rFonts w:ascii="新宋体" w:hAnsi="新宋体" w:eastAsia="新宋体"/>
          <w:szCs w:val="21"/>
        </w:rPr>
        <w:t xml:space="preserve">  </w:t>
      </w:r>
      <w:r>
        <w:rPr>
          <w:rFonts w:hint="eastAsia" w:ascii="新宋体" w:hAnsi="新宋体" w:eastAsia="新宋体"/>
          <w:szCs w:val="21"/>
        </w:rPr>
        <w:t>月</w:t>
      </w:r>
      <w:r>
        <w:rPr>
          <w:rFonts w:ascii="新宋体" w:hAnsi="新宋体" w:eastAsia="新宋体"/>
          <w:szCs w:val="21"/>
        </w:rPr>
        <w:t xml:space="preserve"> </w:t>
      </w:r>
      <w:r>
        <w:rPr>
          <w:rFonts w:hint="eastAsia" w:ascii="新宋体" w:hAnsi="新宋体" w:eastAsia="新宋体"/>
          <w:szCs w:val="21"/>
        </w:rPr>
        <w:t xml:space="preserve"> </w:t>
      </w:r>
      <w:r>
        <w:rPr>
          <w:rFonts w:ascii="新宋体" w:hAnsi="新宋体" w:eastAsia="新宋体"/>
          <w:szCs w:val="21"/>
        </w:rPr>
        <w:t xml:space="preserve"> </w:t>
      </w:r>
      <w:r>
        <w:rPr>
          <w:rFonts w:hint="eastAsia" w:ascii="新宋体" w:hAnsi="新宋体" w:eastAsia="新宋体"/>
          <w:szCs w:val="21"/>
        </w:rPr>
        <w:t>日</w:t>
      </w:r>
    </w:p>
    <w:p>
      <w:pPr>
        <w:snapToGrid w:val="0"/>
        <w:spacing w:before="50" w:after="50"/>
        <w:rPr>
          <w:rFonts w:ascii="新宋体" w:hAnsi="新宋体" w:eastAsia="新宋体"/>
          <w:b/>
          <w:bCs/>
          <w:sz w:val="36"/>
        </w:rPr>
      </w:pPr>
      <w:r>
        <w:rPr>
          <w:rFonts w:ascii="新宋体" w:hAnsi="新宋体" w:eastAsia="新宋体"/>
          <w:b/>
          <w:bCs/>
          <w:sz w:val="36"/>
        </w:rPr>
        <w:br w:type="page"/>
      </w:r>
      <w:r>
        <w:rPr>
          <w:rFonts w:hint="eastAsia" w:ascii="新宋体" w:hAnsi="新宋体" w:eastAsia="新宋体"/>
          <w:b/>
          <w:bCs/>
          <w:sz w:val="36"/>
        </w:rPr>
        <w:t>2.</w:t>
      </w:r>
    </w:p>
    <w:p>
      <w:pPr>
        <w:snapToGrid w:val="0"/>
        <w:spacing w:before="50" w:after="50"/>
        <w:jc w:val="center"/>
        <w:rPr>
          <w:rFonts w:ascii="新宋体" w:hAnsi="新宋体" w:eastAsia="新宋体"/>
          <w:b/>
          <w:sz w:val="36"/>
          <w:szCs w:val="36"/>
        </w:rPr>
      </w:pPr>
      <w:r>
        <w:rPr>
          <w:rFonts w:hint="eastAsia" w:ascii="新宋体" w:hAnsi="新宋体" w:eastAsia="新宋体"/>
          <w:b/>
          <w:sz w:val="36"/>
          <w:szCs w:val="36"/>
        </w:rPr>
        <w:t>中小企业声明函（货物）</w:t>
      </w:r>
    </w:p>
    <w:p>
      <w:pPr>
        <w:snapToGrid w:val="0"/>
        <w:spacing w:line="360" w:lineRule="auto"/>
        <w:ind w:firstLine="560" w:firstLineChars="200"/>
        <w:rPr>
          <w:rFonts w:ascii="新宋体" w:hAnsi="新宋体" w:eastAsia="新宋体"/>
          <w:sz w:val="28"/>
          <w:szCs w:val="28"/>
        </w:rPr>
      </w:pPr>
      <w:r>
        <w:rPr>
          <w:rFonts w:hint="eastAsia" w:ascii="新宋体" w:hAnsi="新宋体" w:eastAsia="新宋体"/>
          <w:sz w:val="28"/>
          <w:szCs w:val="28"/>
        </w:rPr>
        <w:t>本公司（联合体）郑重声明，根据《政府采购促进中小企业发展管理办法》（财库﹝2020﹞46号）的规定，本公司（联合体）参加</w:t>
      </w:r>
      <w:r>
        <w:rPr>
          <w:rFonts w:hint="eastAsia" w:ascii="新宋体" w:hAnsi="新宋体" w:eastAsia="新宋体"/>
          <w:i/>
          <w:iCs/>
          <w:sz w:val="28"/>
          <w:szCs w:val="28"/>
          <w:u w:val="single"/>
        </w:rPr>
        <w:t>（单位名称）</w:t>
      </w:r>
      <w:r>
        <w:rPr>
          <w:rFonts w:hint="eastAsia" w:ascii="新宋体" w:hAnsi="新宋体" w:eastAsia="新宋体"/>
          <w:sz w:val="28"/>
          <w:szCs w:val="28"/>
        </w:rPr>
        <w:t>的</w:t>
      </w:r>
      <w:r>
        <w:rPr>
          <w:rFonts w:hint="eastAsia" w:ascii="新宋体" w:hAnsi="新宋体" w:eastAsia="新宋体"/>
          <w:i/>
          <w:iCs/>
          <w:sz w:val="28"/>
          <w:szCs w:val="28"/>
          <w:u w:val="single"/>
        </w:rPr>
        <w:t>（项目名称）</w:t>
      </w:r>
      <w:r>
        <w:rPr>
          <w:rFonts w:hint="eastAsia" w:ascii="新宋体" w:hAnsi="新宋体" w:eastAsia="新宋体"/>
          <w:sz w:val="28"/>
          <w:szCs w:val="28"/>
        </w:rPr>
        <w:t>采购活动，提供的货物全部由符合政策要求的中小企业制造。相关企业（含联合体中的中小企业、签订分包意向协议的中小企业）的具体情况如下：</w:t>
      </w:r>
    </w:p>
    <w:p>
      <w:pPr>
        <w:snapToGrid w:val="0"/>
        <w:spacing w:line="360" w:lineRule="auto"/>
        <w:ind w:firstLine="560" w:firstLineChars="200"/>
        <w:rPr>
          <w:rFonts w:ascii="新宋体" w:hAnsi="新宋体" w:eastAsia="新宋体"/>
          <w:sz w:val="28"/>
          <w:szCs w:val="28"/>
        </w:rPr>
      </w:pPr>
      <w:r>
        <w:rPr>
          <w:rFonts w:hint="eastAsia" w:ascii="新宋体" w:hAnsi="新宋体" w:eastAsia="新宋体"/>
          <w:sz w:val="28"/>
          <w:szCs w:val="28"/>
        </w:rPr>
        <w:t>1.</w:t>
      </w:r>
      <w:r>
        <w:rPr>
          <w:rFonts w:hint="eastAsia" w:ascii="新宋体" w:hAnsi="新宋体" w:eastAsia="新宋体"/>
          <w:i/>
          <w:iCs/>
          <w:sz w:val="28"/>
          <w:szCs w:val="28"/>
          <w:u w:val="single"/>
        </w:rPr>
        <w:t>（标的名称）</w:t>
      </w:r>
      <w:r>
        <w:rPr>
          <w:rFonts w:hint="eastAsia" w:ascii="新宋体" w:hAnsi="新宋体" w:eastAsia="新宋体"/>
          <w:sz w:val="28"/>
          <w:szCs w:val="28"/>
        </w:rPr>
        <w:t>，属于</w:t>
      </w:r>
      <w:r>
        <w:rPr>
          <w:rFonts w:hint="eastAsia" w:ascii="新宋体" w:hAnsi="新宋体" w:eastAsia="新宋体"/>
          <w:i/>
          <w:iCs/>
          <w:sz w:val="28"/>
          <w:szCs w:val="28"/>
          <w:u w:val="single"/>
        </w:rPr>
        <w:t>（采购文件中明确的所属行业）</w:t>
      </w:r>
      <w:r>
        <w:rPr>
          <w:rFonts w:hint="eastAsia" w:ascii="新宋体" w:hAnsi="新宋体" w:eastAsia="新宋体"/>
          <w:sz w:val="28"/>
          <w:szCs w:val="28"/>
        </w:rPr>
        <w:t>行业；制造商为</w:t>
      </w:r>
      <w:r>
        <w:rPr>
          <w:rFonts w:hint="eastAsia" w:ascii="新宋体" w:hAnsi="新宋体" w:eastAsia="新宋体"/>
          <w:i/>
          <w:iCs/>
          <w:sz w:val="28"/>
          <w:szCs w:val="28"/>
          <w:u w:val="single"/>
        </w:rPr>
        <w:t>（企业名称）</w:t>
      </w:r>
      <w:r>
        <w:rPr>
          <w:rFonts w:hint="eastAsia" w:ascii="新宋体" w:hAnsi="新宋体" w:eastAsia="新宋体"/>
          <w:sz w:val="28"/>
          <w:szCs w:val="28"/>
        </w:rPr>
        <w:t>，从业人员</w:t>
      </w:r>
      <w:r>
        <w:rPr>
          <w:rFonts w:ascii="新宋体" w:hAnsi="新宋体" w:eastAsia="新宋体"/>
          <w:sz w:val="28"/>
          <w:szCs w:val="28"/>
        </w:rPr>
        <w:t>______</w:t>
      </w:r>
      <w:r>
        <w:rPr>
          <w:rFonts w:hint="eastAsia" w:ascii="新宋体" w:hAnsi="新宋体" w:eastAsia="新宋体"/>
          <w:sz w:val="28"/>
          <w:szCs w:val="28"/>
        </w:rPr>
        <w:t>人，营业收入为</w:t>
      </w:r>
      <w:r>
        <w:rPr>
          <w:rFonts w:ascii="新宋体" w:hAnsi="新宋体" w:eastAsia="新宋体"/>
          <w:sz w:val="28"/>
          <w:szCs w:val="28"/>
        </w:rPr>
        <w:t>________</w:t>
      </w:r>
      <w:r>
        <w:rPr>
          <w:rFonts w:hint="eastAsia" w:ascii="新宋体" w:hAnsi="新宋体" w:eastAsia="新宋体"/>
          <w:sz w:val="28"/>
          <w:szCs w:val="28"/>
        </w:rPr>
        <w:t>万元，资产总额为</w:t>
      </w:r>
      <w:r>
        <w:rPr>
          <w:rFonts w:ascii="新宋体" w:hAnsi="新宋体" w:eastAsia="新宋体"/>
          <w:sz w:val="28"/>
          <w:szCs w:val="28"/>
        </w:rPr>
        <w:t>_________</w:t>
      </w:r>
      <w:r>
        <w:rPr>
          <w:rFonts w:hint="eastAsia" w:ascii="新宋体" w:hAnsi="新宋体" w:eastAsia="新宋体"/>
          <w:sz w:val="28"/>
          <w:szCs w:val="28"/>
        </w:rPr>
        <w:t>万元，属于</w:t>
      </w:r>
      <w:r>
        <w:rPr>
          <w:rFonts w:hint="eastAsia" w:ascii="新宋体" w:hAnsi="新宋体" w:eastAsia="新宋体"/>
          <w:i/>
          <w:iCs/>
          <w:sz w:val="28"/>
          <w:szCs w:val="28"/>
          <w:u w:val="single"/>
        </w:rPr>
        <w:t>（中型企业、小型企业、微型企业）</w:t>
      </w:r>
      <w:r>
        <w:rPr>
          <w:rFonts w:hint="eastAsia" w:ascii="新宋体" w:hAnsi="新宋体" w:eastAsia="新宋体"/>
          <w:sz w:val="28"/>
          <w:szCs w:val="28"/>
        </w:rPr>
        <w:t>；</w:t>
      </w:r>
    </w:p>
    <w:p>
      <w:pPr>
        <w:snapToGrid w:val="0"/>
        <w:spacing w:line="360" w:lineRule="auto"/>
        <w:ind w:firstLine="560" w:firstLineChars="200"/>
        <w:rPr>
          <w:rFonts w:ascii="仿宋" w:hAnsi="仿宋" w:eastAsia="仿宋" w:cs="仿宋"/>
          <w:kern w:val="0"/>
          <w:sz w:val="31"/>
          <w:szCs w:val="31"/>
        </w:rPr>
      </w:pPr>
      <w:r>
        <w:rPr>
          <w:rFonts w:hint="eastAsia" w:ascii="新宋体" w:hAnsi="新宋体" w:eastAsia="新宋体"/>
          <w:sz w:val="28"/>
          <w:szCs w:val="28"/>
        </w:rPr>
        <w:t>2.</w:t>
      </w:r>
      <w:r>
        <w:rPr>
          <w:rFonts w:hint="eastAsia" w:ascii="新宋体" w:hAnsi="新宋体" w:eastAsia="新宋体"/>
          <w:i/>
          <w:iCs/>
          <w:sz w:val="28"/>
          <w:szCs w:val="28"/>
          <w:u w:val="single"/>
        </w:rPr>
        <w:t>（标的名称）</w:t>
      </w:r>
      <w:r>
        <w:rPr>
          <w:rFonts w:hint="eastAsia" w:ascii="新宋体" w:hAnsi="新宋体" w:eastAsia="新宋体"/>
          <w:sz w:val="28"/>
          <w:szCs w:val="28"/>
        </w:rPr>
        <w:t>，属于</w:t>
      </w:r>
      <w:r>
        <w:rPr>
          <w:rFonts w:hint="eastAsia" w:ascii="新宋体" w:hAnsi="新宋体" w:eastAsia="新宋体"/>
          <w:i/>
          <w:iCs/>
          <w:sz w:val="28"/>
          <w:szCs w:val="28"/>
          <w:u w:val="single"/>
        </w:rPr>
        <w:t>（采购文件中明确的所属行业）</w:t>
      </w:r>
      <w:r>
        <w:rPr>
          <w:rFonts w:hint="eastAsia" w:ascii="新宋体" w:hAnsi="新宋体" w:eastAsia="新宋体"/>
          <w:sz w:val="28"/>
          <w:szCs w:val="28"/>
        </w:rPr>
        <w:t>行业；制造商为</w:t>
      </w:r>
      <w:r>
        <w:rPr>
          <w:rFonts w:hint="eastAsia" w:ascii="新宋体" w:hAnsi="新宋体" w:eastAsia="新宋体"/>
          <w:i/>
          <w:iCs/>
          <w:sz w:val="28"/>
          <w:szCs w:val="28"/>
          <w:u w:val="single"/>
        </w:rPr>
        <w:t>（企业名称）</w:t>
      </w:r>
      <w:r>
        <w:rPr>
          <w:rFonts w:hint="eastAsia" w:ascii="新宋体" w:hAnsi="新宋体" w:eastAsia="新宋体"/>
          <w:sz w:val="28"/>
          <w:szCs w:val="28"/>
        </w:rPr>
        <w:t>，从业人员</w:t>
      </w:r>
      <w:r>
        <w:rPr>
          <w:rFonts w:ascii="新宋体" w:hAnsi="新宋体" w:eastAsia="新宋体"/>
          <w:sz w:val="28"/>
          <w:szCs w:val="28"/>
        </w:rPr>
        <w:t>______</w:t>
      </w:r>
      <w:r>
        <w:rPr>
          <w:rFonts w:hint="eastAsia" w:ascii="新宋体" w:hAnsi="新宋体" w:eastAsia="新宋体"/>
          <w:sz w:val="28"/>
          <w:szCs w:val="28"/>
        </w:rPr>
        <w:t>人，营业收入为</w:t>
      </w:r>
      <w:r>
        <w:rPr>
          <w:rFonts w:ascii="新宋体" w:hAnsi="新宋体" w:eastAsia="新宋体"/>
          <w:sz w:val="28"/>
          <w:szCs w:val="28"/>
        </w:rPr>
        <w:t>________</w:t>
      </w:r>
      <w:r>
        <w:rPr>
          <w:rFonts w:hint="eastAsia" w:ascii="新宋体" w:hAnsi="新宋体" w:eastAsia="新宋体"/>
          <w:sz w:val="28"/>
          <w:szCs w:val="28"/>
        </w:rPr>
        <w:t>万元，资产总额为</w:t>
      </w:r>
      <w:r>
        <w:rPr>
          <w:rFonts w:ascii="新宋体" w:hAnsi="新宋体" w:eastAsia="新宋体"/>
          <w:sz w:val="28"/>
          <w:szCs w:val="28"/>
        </w:rPr>
        <w:t>_________</w:t>
      </w:r>
      <w:r>
        <w:rPr>
          <w:rFonts w:hint="eastAsia" w:ascii="新宋体" w:hAnsi="新宋体" w:eastAsia="新宋体"/>
          <w:sz w:val="28"/>
          <w:szCs w:val="28"/>
        </w:rPr>
        <w:t>万元，属于</w:t>
      </w:r>
      <w:r>
        <w:rPr>
          <w:rFonts w:hint="eastAsia" w:ascii="新宋体" w:hAnsi="新宋体" w:eastAsia="新宋体"/>
          <w:i/>
          <w:iCs/>
          <w:sz w:val="28"/>
          <w:szCs w:val="28"/>
          <w:u w:val="single"/>
        </w:rPr>
        <w:t>（中型企业、小型企业、微型企业）</w:t>
      </w:r>
      <w:r>
        <w:rPr>
          <w:rFonts w:hint="eastAsia" w:ascii="新宋体" w:hAnsi="新宋体" w:eastAsia="新宋体"/>
          <w:sz w:val="28"/>
          <w:szCs w:val="28"/>
        </w:rPr>
        <w:t>；</w:t>
      </w:r>
    </w:p>
    <w:p>
      <w:pPr>
        <w:snapToGrid w:val="0"/>
        <w:spacing w:line="360" w:lineRule="auto"/>
        <w:ind w:firstLine="560" w:firstLineChars="200"/>
        <w:rPr>
          <w:rFonts w:ascii="新宋体" w:hAnsi="新宋体" w:eastAsia="新宋体"/>
          <w:sz w:val="28"/>
          <w:szCs w:val="28"/>
        </w:rPr>
      </w:pPr>
      <w:r>
        <w:rPr>
          <w:rFonts w:hint="eastAsia" w:ascii="新宋体" w:hAnsi="新宋体" w:eastAsia="新宋体"/>
          <w:sz w:val="28"/>
          <w:szCs w:val="28"/>
        </w:rPr>
        <w:t>……</w:t>
      </w:r>
    </w:p>
    <w:p>
      <w:pPr>
        <w:snapToGrid w:val="0"/>
        <w:spacing w:line="360" w:lineRule="auto"/>
        <w:ind w:firstLine="560" w:firstLineChars="200"/>
        <w:rPr>
          <w:rFonts w:ascii="新宋体" w:hAnsi="新宋体" w:eastAsia="新宋体"/>
          <w:sz w:val="28"/>
          <w:szCs w:val="28"/>
        </w:rPr>
      </w:pPr>
      <w:r>
        <w:rPr>
          <w:rFonts w:hint="eastAsia" w:ascii="新宋体" w:hAnsi="新宋体" w:eastAsia="新宋体"/>
          <w:sz w:val="28"/>
          <w:szCs w:val="28"/>
        </w:rPr>
        <w:t>以上企业，不属于大企业的分支机构，不存在控股股东为大企业的情形，也不存在与大企业的负责人为同一人的情形。</w:t>
      </w:r>
    </w:p>
    <w:p>
      <w:pPr>
        <w:snapToGrid w:val="0"/>
        <w:spacing w:line="360" w:lineRule="auto"/>
        <w:ind w:firstLine="560" w:firstLineChars="200"/>
        <w:rPr>
          <w:rFonts w:ascii="新宋体" w:hAnsi="新宋体" w:eastAsia="新宋体"/>
          <w:sz w:val="28"/>
          <w:szCs w:val="28"/>
        </w:rPr>
      </w:pPr>
      <w:r>
        <w:rPr>
          <w:rFonts w:hint="eastAsia" w:ascii="新宋体" w:hAnsi="新宋体" w:eastAsia="新宋体"/>
          <w:sz w:val="28"/>
          <w:szCs w:val="28"/>
        </w:rPr>
        <w:t>本企业对上述声明内容的真实性负责。如有虚假，将依法承担相应责任。</w:t>
      </w:r>
    </w:p>
    <w:p>
      <w:pPr>
        <w:snapToGrid w:val="0"/>
        <w:spacing w:line="360" w:lineRule="auto"/>
        <w:ind w:firstLine="3080" w:firstLineChars="1100"/>
        <w:rPr>
          <w:rFonts w:ascii="新宋体" w:hAnsi="新宋体" w:eastAsia="新宋体"/>
          <w:sz w:val="28"/>
          <w:szCs w:val="28"/>
        </w:rPr>
      </w:pPr>
      <w:r>
        <w:rPr>
          <w:rFonts w:hint="eastAsia" w:ascii="新宋体" w:hAnsi="新宋体" w:eastAsia="新宋体"/>
          <w:sz w:val="28"/>
          <w:szCs w:val="28"/>
        </w:rPr>
        <w:t>企业（投标人）名称（盖章）：</w:t>
      </w:r>
      <w:r>
        <w:rPr>
          <w:rFonts w:ascii="新宋体" w:hAnsi="新宋体" w:eastAsia="新宋体"/>
          <w:sz w:val="28"/>
          <w:szCs w:val="28"/>
        </w:rPr>
        <w:t>_______</w:t>
      </w:r>
    </w:p>
    <w:p>
      <w:pPr>
        <w:snapToGrid w:val="0"/>
        <w:spacing w:line="360" w:lineRule="auto"/>
        <w:ind w:firstLine="5880" w:firstLineChars="2100"/>
        <w:rPr>
          <w:rFonts w:ascii="新宋体" w:hAnsi="新宋体" w:eastAsia="新宋体"/>
          <w:sz w:val="28"/>
          <w:szCs w:val="28"/>
        </w:rPr>
      </w:pPr>
      <w:r>
        <w:rPr>
          <w:rFonts w:hint="eastAsia" w:ascii="新宋体" w:hAnsi="新宋体" w:eastAsia="新宋体"/>
          <w:sz w:val="28"/>
          <w:szCs w:val="28"/>
        </w:rPr>
        <w:t>日 期：</w:t>
      </w:r>
      <w:r>
        <w:rPr>
          <w:rFonts w:ascii="新宋体" w:hAnsi="新宋体" w:eastAsia="新宋体"/>
          <w:sz w:val="28"/>
          <w:szCs w:val="28"/>
        </w:rPr>
        <w:t>_______</w:t>
      </w:r>
    </w:p>
    <w:p>
      <w:pPr>
        <w:snapToGrid w:val="0"/>
        <w:spacing w:line="360" w:lineRule="auto"/>
        <w:ind w:firstLine="4760" w:firstLineChars="1700"/>
        <w:rPr>
          <w:rFonts w:ascii="新宋体" w:hAnsi="新宋体" w:eastAsia="新宋体"/>
          <w:sz w:val="28"/>
          <w:szCs w:val="28"/>
        </w:rPr>
      </w:pPr>
    </w:p>
    <w:p>
      <w:pPr>
        <w:snapToGrid w:val="0"/>
        <w:spacing w:line="360" w:lineRule="auto"/>
        <w:rPr>
          <w:rFonts w:ascii="新宋体" w:hAnsi="新宋体" w:eastAsia="新宋体"/>
          <w:b/>
          <w:sz w:val="24"/>
        </w:rPr>
      </w:pPr>
      <w:r>
        <w:rPr>
          <w:rFonts w:hint="eastAsia" w:ascii="新宋体" w:hAnsi="新宋体" w:eastAsia="新宋体"/>
          <w:b/>
          <w:sz w:val="24"/>
        </w:rPr>
        <w:t>备注说明：</w:t>
      </w:r>
    </w:p>
    <w:p>
      <w:pPr>
        <w:snapToGrid w:val="0"/>
        <w:spacing w:line="360" w:lineRule="auto"/>
        <w:ind w:firstLine="480" w:firstLineChars="200"/>
        <w:rPr>
          <w:rFonts w:ascii="新宋体" w:hAnsi="新宋体" w:eastAsia="新宋体"/>
          <w:sz w:val="24"/>
        </w:rPr>
      </w:pPr>
      <w:r>
        <w:rPr>
          <w:rFonts w:hint="eastAsia" w:ascii="新宋体" w:hAnsi="新宋体" w:eastAsia="新宋体"/>
          <w:sz w:val="24"/>
        </w:rPr>
        <w:t>1.从业人员、营业收入、资产总额填报上一年度数据，无上一年度数据的新成立企业可不填报。</w:t>
      </w:r>
    </w:p>
    <w:p>
      <w:pPr>
        <w:snapToGrid w:val="0"/>
        <w:spacing w:line="360" w:lineRule="auto"/>
        <w:ind w:firstLine="480" w:firstLineChars="200"/>
        <w:rPr>
          <w:rFonts w:ascii="新宋体" w:hAnsi="新宋体" w:eastAsia="新宋体"/>
          <w:sz w:val="24"/>
        </w:rPr>
      </w:pPr>
      <w:r>
        <w:rPr>
          <w:rFonts w:hint="eastAsia" w:ascii="新宋体" w:hAnsi="新宋体" w:eastAsia="新宋体"/>
          <w:sz w:val="24"/>
        </w:rPr>
        <w:t>2.本项目</w:t>
      </w:r>
      <w:r>
        <w:rPr>
          <w:rFonts w:hint="eastAsia" w:ascii="新宋体" w:hAnsi="新宋体" w:eastAsia="新宋体" w:cs="新宋体"/>
          <w:sz w:val="24"/>
        </w:rPr>
        <w:t>采购标的（具体内容见第三章的技术要求及采购货物一览表，即填写到本表中的“标的名称”内容）</w:t>
      </w:r>
      <w:r>
        <w:rPr>
          <w:rFonts w:hint="eastAsia" w:ascii="新宋体" w:hAnsi="新宋体" w:eastAsia="新宋体"/>
          <w:sz w:val="24"/>
        </w:rPr>
        <w:t>所属行业:</w:t>
      </w:r>
      <w:r>
        <w:rPr>
          <w:rFonts w:hint="eastAsia" w:ascii="新宋体" w:hAnsi="新宋体" w:eastAsia="新宋体" w:cs="新宋体"/>
          <w:i/>
          <w:iCs/>
          <w:sz w:val="24"/>
        </w:rPr>
        <w:t>工业</w:t>
      </w:r>
      <w:r>
        <w:rPr>
          <w:rFonts w:hint="eastAsia" w:ascii="新宋体" w:hAnsi="新宋体" w:eastAsia="新宋体"/>
          <w:sz w:val="24"/>
        </w:rPr>
        <w:t>。</w:t>
      </w:r>
    </w:p>
    <w:p>
      <w:pPr>
        <w:rPr>
          <w:rFonts w:ascii="新宋体" w:hAnsi="新宋体" w:eastAsia="新宋体"/>
        </w:rPr>
      </w:pPr>
      <w:r>
        <w:rPr>
          <w:rFonts w:ascii="新宋体" w:hAnsi="新宋体" w:eastAsia="新宋体"/>
          <w:sz w:val="30"/>
          <w:szCs w:val="30"/>
        </w:rPr>
        <w:br w:type="page"/>
      </w:r>
      <w:r>
        <w:rPr>
          <w:rFonts w:hint="eastAsia" w:ascii="新宋体" w:hAnsi="新宋体" w:eastAsia="新宋体"/>
          <w:b/>
          <w:bCs/>
          <w:sz w:val="36"/>
          <w:szCs w:val="36"/>
        </w:rPr>
        <w:t>3.</w:t>
      </w:r>
    </w:p>
    <w:p>
      <w:pPr>
        <w:rPr>
          <w:rFonts w:ascii="新宋体" w:hAnsi="新宋体" w:eastAsia="新宋体"/>
        </w:rPr>
      </w:pPr>
    </w:p>
    <w:p>
      <w:pPr>
        <w:spacing w:line="588" w:lineRule="exact"/>
        <w:jc w:val="center"/>
        <w:rPr>
          <w:rFonts w:ascii="新宋体" w:hAnsi="新宋体" w:eastAsia="新宋体"/>
          <w:b/>
          <w:spacing w:val="6"/>
          <w:sz w:val="32"/>
          <w:szCs w:val="32"/>
        </w:rPr>
      </w:pPr>
      <w:r>
        <w:rPr>
          <w:rFonts w:hint="eastAsia" w:ascii="新宋体" w:hAnsi="新宋体" w:eastAsia="新宋体"/>
          <w:b/>
          <w:spacing w:val="6"/>
          <w:sz w:val="32"/>
          <w:szCs w:val="32"/>
        </w:rPr>
        <w:t>残疾人福利性单位声明函</w:t>
      </w:r>
    </w:p>
    <w:p>
      <w:pPr>
        <w:spacing w:line="588" w:lineRule="exact"/>
        <w:rPr>
          <w:rFonts w:ascii="新宋体" w:hAnsi="新宋体" w:eastAsia="新宋体"/>
          <w:b/>
          <w:spacing w:val="6"/>
          <w:sz w:val="30"/>
          <w:szCs w:val="30"/>
        </w:rPr>
      </w:pPr>
    </w:p>
    <w:p>
      <w:pPr>
        <w:snapToGrid w:val="0"/>
        <w:spacing w:line="360" w:lineRule="auto"/>
        <w:ind w:firstLine="560" w:firstLineChars="200"/>
        <w:rPr>
          <w:rFonts w:ascii="新宋体" w:hAnsi="新宋体" w:eastAsia="新宋体"/>
          <w:sz w:val="28"/>
          <w:szCs w:val="28"/>
        </w:rPr>
      </w:pPr>
      <w:r>
        <w:rPr>
          <w:rFonts w:hint="eastAsia" w:ascii="新宋体" w:hAnsi="新宋体" w:eastAsia="新宋体"/>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新宋体" w:hAnsi="新宋体" w:eastAsia="新宋体"/>
          <w:sz w:val="28"/>
          <w:szCs w:val="28"/>
        </w:rPr>
      </w:pPr>
      <w:r>
        <w:rPr>
          <w:rFonts w:hint="eastAsia" w:ascii="新宋体" w:hAnsi="新宋体" w:eastAsia="新宋体"/>
          <w:sz w:val="28"/>
          <w:szCs w:val="28"/>
        </w:rPr>
        <w:t>本单位对上述声明的真实性负责。如有虚假，将依法承担相应责任。</w:t>
      </w:r>
    </w:p>
    <w:p>
      <w:pPr>
        <w:jc w:val="right"/>
        <w:rPr>
          <w:rFonts w:ascii="新宋体" w:hAnsi="新宋体" w:eastAsia="新宋体"/>
          <w:sz w:val="24"/>
        </w:rPr>
      </w:pPr>
    </w:p>
    <w:p>
      <w:pPr>
        <w:jc w:val="right"/>
        <w:rPr>
          <w:rFonts w:ascii="新宋体" w:hAnsi="新宋体" w:eastAsia="新宋体"/>
          <w:sz w:val="24"/>
        </w:rPr>
      </w:pPr>
    </w:p>
    <w:p>
      <w:pPr>
        <w:jc w:val="right"/>
        <w:rPr>
          <w:rFonts w:ascii="新宋体" w:hAnsi="新宋体" w:eastAsia="新宋体"/>
          <w:sz w:val="24"/>
        </w:rPr>
      </w:pPr>
    </w:p>
    <w:p>
      <w:pPr>
        <w:jc w:val="right"/>
        <w:rPr>
          <w:rFonts w:ascii="新宋体" w:hAnsi="新宋体" w:eastAsia="新宋体"/>
          <w:sz w:val="24"/>
        </w:rPr>
      </w:pPr>
    </w:p>
    <w:p>
      <w:pPr>
        <w:jc w:val="right"/>
        <w:rPr>
          <w:rFonts w:ascii="新宋体" w:hAnsi="新宋体" w:eastAsia="新宋体"/>
          <w:sz w:val="24"/>
        </w:rPr>
      </w:pPr>
      <w:r>
        <w:rPr>
          <w:rFonts w:hint="eastAsia" w:ascii="新宋体" w:hAnsi="新宋体" w:eastAsia="新宋体"/>
          <w:sz w:val="24"/>
        </w:rPr>
        <w:t>投标人名称（盖章）：</w:t>
      </w:r>
      <w:r>
        <w:rPr>
          <w:rFonts w:ascii="新宋体" w:hAnsi="新宋体" w:eastAsia="新宋体"/>
          <w:sz w:val="28"/>
          <w:szCs w:val="28"/>
        </w:rPr>
        <w:t>_____________</w:t>
      </w:r>
      <w:r>
        <w:rPr>
          <w:rFonts w:hint="eastAsia" w:ascii="新宋体" w:hAnsi="新宋体" w:eastAsia="新宋体"/>
          <w:sz w:val="24"/>
        </w:rPr>
        <w:t xml:space="preserve"> </w:t>
      </w:r>
    </w:p>
    <w:p>
      <w:pPr>
        <w:snapToGrid w:val="0"/>
        <w:spacing w:line="360" w:lineRule="auto"/>
        <w:jc w:val="right"/>
        <w:rPr>
          <w:rFonts w:ascii="新宋体" w:hAnsi="新宋体" w:eastAsia="新宋体"/>
          <w:sz w:val="28"/>
          <w:szCs w:val="28"/>
        </w:rPr>
      </w:pPr>
      <w:r>
        <w:rPr>
          <w:rFonts w:hint="eastAsia" w:ascii="新宋体" w:hAnsi="新宋体" w:eastAsia="新宋体"/>
          <w:sz w:val="24"/>
        </w:rPr>
        <w:t>日 期：</w:t>
      </w:r>
      <w:r>
        <w:rPr>
          <w:rFonts w:ascii="新宋体" w:hAnsi="新宋体" w:eastAsia="新宋体"/>
          <w:sz w:val="28"/>
          <w:szCs w:val="28"/>
        </w:rPr>
        <w:t>_________</w:t>
      </w:r>
    </w:p>
    <w:p>
      <w:pPr>
        <w:spacing w:line="588" w:lineRule="exact"/>
        <w:ind w:firstLine="624" w:firstLineChars="200"/>
        <w:rPr>
          <w:rFonts w:ascii="新宋体" w:hAnsi="新宋体" w:eastAsia="新宋体"/>
          <w:spacing w:val="6"/>
          <w:sz w:val="30"/>
          <w:szCs w:val="30"/>
        </w:rPr>
      </w:pPr>
    </w:p>
    <w:p>
      <w:pPr>
        <w:pStyle w:val="50"/>
        <w:ind w:firstLine="211"/>
      </w:pPr>
    </w:p>
    <w:p>
      <w:pPr>
        <w:pStyle w:val="26"/>
        <w:spacing w:line="460" w:lineRule="exact"/>
        <w:jc w:val="left"/>
        <w:rPr>
          <w:rFonts w:ascii="新宋体" w:hAnsi="新宋体" w:eastAsia="新宋体" w:cs="Times New Roman"/>
          <w:b/>
          <w:bCs/>
          <w:sz w:val="36"/>
          <w:szCs w:val="24"/>
        </w:rPr>
      </w:pPr>
    </w:p>
    <w:p/>
    <w:p>
      <w:pPr>
        <w:spacing w:line="400" w:lineRule="exact"/>
        <w:rPr>
          <w:rFonts w:ascii="新宋体" w:hAnsi="新宋体" w:eastAsia="新宋体"/>
          <w:b/>
          <w:bCs/>
          <w:sz w:val="36"/>
          <w:szCs w:val="36"/>
        </w:rPr>
      </w:pPr>
      <w:r>
        <w:rPr>
          <w:rFonts w:ascii="新宋体" w:hAnsi="新宋体" w:eastAsia="新宋体"/>
          <w:b/>
          <w:bCs/>
          <w:sz w:val="36"/>
          <w:szCs w:val="36"/>
        </w:rPr>
        <w:br w:type="page"/>
      </w:r>
      <w:r>
        <w:rPr>
          <w:rFonts w:hint="eastAsia" w:ascii="新宋体" w:hAnsi="新宋体" w:eastAsia="新宋体"/>
          <w:b/>
          <w:bCs/>
          <w:sz w:val="36"/>
          <w:szCs w:val="36"/>
        </w:rPr>
        <w:t>4.</w:t>
      </w:r>
    </w:p>
    <w:p>
      <w:pPr>
        <w:spacing w:line="360" w:lineRule="auto"/>
        <w:jc w:val="center"/>
        <w:rPr>
          <w:rFonts w:ascii="新宋体" w:hAnsi="新宋体" w:eastAsia="新宋体"/>
          <w:b/>
          <w:bCs/>
          <w:sz w:val="36"/>
          <w:szCs w:val="36"/>
        </w:rPr>
      </w:pPr>
      <w:r>
        <w:rPr>
          <w:rFonts w:hint="eastAsia" w:ascii="新宋体" w:hAnsi="新宋体" w:eastAsia="新宋体"/>
          <w:b/>
          <w:bCs/>
          <w:sz w:val="36"/>
          <w:szCs w:val="36"/>
        </w:rPr>
        <w:t>所投设备（软件）说明一览表（格式）</w:t>
      </w:r>
    </w:p>
    <w:p>
      <w:pPr>
        <w:rPr>
          <w:rFonts w:hint="eastAsia" w:ascii="新宋体" w:hAnsi="新宋体" w:eastAsia="新宋体"/>
          <w:sz w:val="24"/>
          <w:lang w:eastAsia="zh-CN"/>
        </w:rPr>
      </w:pPr>
      <w:r>
        <w:rPr>
          <w:rFonts w:hint="eastAsia" w:ascii="新宋体" w:hAnsi="新宋体" w:eastAsia="新宋体"/>
          <w:sz w:val="24"/>
        </w:rPr>
        <w:t>采购编号：</w:t>
      </w:r>
      <w:r>
        <w:rPr>
          <w:rFonts w:hint="eastAsia" w:ascii="新宋体" w:hAnsi="新宋体" w:eastAsia="新宋体"/>
          <w:sz w:val="24"/>
          <w:lang w:eastAsia="zh-CN"/>
        </w:rPr>
        <w:t>YWCG2024013GK</w:t>
      </w:r>
    </w:p>
    <w:tbl>
      <w:tblPr>
        <w:tblStyle w:val="52"/>
        <w:tblW w:w="54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3564"/>
        <w:gridCol w:w="739"/>
        <w:gridCol w:w="955"/>
        <w:gridCol w:w="1788"/>
        <w:gridCol w:w="2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61" w:type="pct"/>
            <w:vAlign w:val="center"/>
          </w:tcPr>
          <w:p>
            <w:pPr>
              <w:spacing w:line="340" w:lineRule="exact"/>
              <w:jc w:val="center"/>
              <w:rPr>
                <w:rFonts w:ascii="新宋体" w:hAnsi="新宋体" w:eastAsia="新宋体"/>
                <w:sz w:val="24"/>
              </w:rPr>
            </w:pPr>
            <w:r>
              <w:rPr>
                <w:rFonts w:hint="eastAsia" w:ascii="新宋体" w:hAnsi="新宋体" w:eastAsia="新宋体"/>
                <w:sz w:val="24"/>
              </w:rPr>
              <w:t>序号</w:t>
            </w:r>
          </w:p>
        </w:tc>
        <w:tc>
          <w:tcPr>
            <w:tcW w:w="1698" w:type="pct"/>
            <w:vAlign w:val="center"/>
          </w:tcPr>
          <w:p>
            <w:pPr>
              <w:jc w:val="center"/>
              <w:textAlignment w:val="center"/>
              <w:rPr>
                <w:rFonts w:ascii="宋体" w:hAnsi="宋体" w:cs="仿宋"/>
                <w:b/>
                <w:bCs/>
                <w:sz w:val="24"/>
              </w:rPr>
            </w:pPr>
            <w:r>
              <w:rPr>
                <w:rFonts w:hint="eastAsia" w:ascii="宋体" w:hAnsi="宋体" w:cs="仿宋"/>
                <w:b/>
                <w:bCs/>
                <w:sz w:val="24"/>
              </w:rPr>
              <w:t>产品名称</w:t>
            </w:r>
          </w:p>
        </w:tc>
        <w:tc>
          <w:tcPr>
            <w:tcW w:w="352" w:type="pct"/>
            <w:vAlign w:val="center"/>
          </w:tcPr>
          <w:p>
            <w:pPr>
              <w:jc w:val="center"/>
              <w:textAlignment w:val="center"/>
              <w:rPr>
                <w:rFonts w:ascii="宋体" w:hAnsi="宋体" w:cs="仿宋"/>
                <w:b/>
                <w:bCs/>
                <w:sz w:val="24"/>
              </w:rPr>
            </w:pPr>
            <w:r>
              <w:rPr>
                <w:rFonts w:hint="eastAsia" w:ascii="宋体" w:hAnsi="宋体" w:cs="仿宋"/>
                <w:b/>
                <w:bCs/>
                <w:sz w:val="24"/>
              </w:rPr>
              <w:t>单位</w:t>
            </w:r>
          </w:p>
        </w:tc>
        <w:tc>
          <w:tcPr>
            <w:tcW w:w="455" w:type="pct"/>
            <w:vAlign w:val="center"/>
          </w:tcPr>
          <w:p>
            <w:pPr>
              <w:jc w:val="center"/>
              <w:textAlignment w:val="center"/>
              <w:rPr>
                <w:rFonts w:ascii="宋体" w:hAnsi="宋体" w:cs="仿宋"/>
                <w:b/>
                <w:bCs/>
                <w:sz w:val="24"/>
              </w:rPr>
            </w:pPr>
            <w:r>
              <w:rPr>
                <w:rFonts w:hint="eastAsia" w:ascii="宋体" w:hAnsi="宋体" w:cs="仿宋"/>
                <w:b/>
                <w:bCs/>
                <w:sz w:val="24"/>
              </w:rPr>
              <w:t>数量</w:t>
            </w:r>
          </w:p>
        </w:tc>
        <w:tc>
          <w:tcPr>
            <w:tcW w:w="852" w:type="pct"/>
            <w:vAlign w:val="center"/>
          </w:tcPr>
          <w:p>
            <w:pPr>
              <w:spacing w:line="340" w:lineRule="exact"/>
              <w:jc w:val="center"/>
              <w:rPr>
                <w:rFonts w:ascii="新宋体" w:hAnsi="新宋体" w:eastAsia="新宋体"/>
                <w:sz w:val="24"/>
              </w:rPr>
            </w:pPr>
            <w:r>
              <w:rPr>
                <w:rFonts w:hint="eastAsia" w:ascii="新宋体" w:hAnsi="新宋体" w:eastAsia="新宋体"/>
                <w:sz w:val="24"/>
              </w:rPr>
              <w:t>品牌型号</w:t>
            </w:r>
          </w:p>
        </w:tc>
        <w:tc>
          <w:tcPr>
            <w:tcW w:w="1279" w:type="pct"/>
            <w:vAlign w:val="center"/>
          </w:tcPr>
          <w:p>
            <w:pPr>
              <w:spacing w:line="340" w:lineRule="exact"/>
              <w:jc w:val="center"/>
              <w:rPr>
                <w:rFonts w:ascii="新宋体" w:hAnsi="新宋体" w:eastAsia="新宋体"/>
                <w:sz w:val="24"/>
              </w:rPr>
            </w:pPr>
            <w:r>
              <w:rPr>
                <w:rFonts w:hint="eastAsia" w:ascii="新宋体" w:hAnsi="新宋体" w:eastAsia="新宋体"/>
                <w:sz w:val="24"/>
              </w:rPr>
              <w:t>规格（如有）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361" w:type="pct"/>
            <w:vAlign w:val="center"/>
          </w:tcPr>
          <w:p>
            <w:pPr>
              <w:pStyle w:val="26"/>
              <w:adjustRightInd w:val="0"/>
              <w:snapToGrid w:val="0"/>
              <w:spacing w:line="400" w:lineRule="exact"/>
              <w:jc w:val="center"/>
              <w:rPr>
                <w:rFonts w:ascii="新宋体" w:hAnsi="新宋体" w:eastAsia="新宋体"/>
                <w:sz w:val="24"/>
                <w:szCs w:val="24"/>
              </w:rPr>
            </w:pPr>
            <w:r>
              <w:rPr>
                <w:rFonts w:hint="eastAsia" w:ascii="新宋体" w:hAnsi="新宋体" w:eastAsia="新宋体"/>
                <w:sz w:val="24"/>
                <w:szCs w:val="24"/>
              </w:rPr>
              <w:t>1</w:t>
            </w:r>
          </w:p>
        </w:tc>
        <w:tc>
          <w:tcPr>
            <w:tcW w:w="1698" w:type="pct"/>
            <w:vAlign w:val="center"/>
          </w:tcPr>
          <w:p>
            <w:pPr>
              <w:pStyle w:val="26"/>
              <w:adjustRightInd w:val="0"/>
              <w:spacing w:line="312" w:lineRule="auto"/>
              <w:jc w:val="center"/>
              <w:rPr>
                <w:rFonts w:ascii="宋体" w:hAnsi="宋体"/>
                <w:sz w:val="24"/>
              </w:rPr>
            </w:pPr>
            <w:r>
              <w:rPr>
                <w:rFonts w:ascii="Times New Roman" w:hAnsi="Times New Roman" w:eastAsia="宋体" w:cs="Times New Roman"/>
                <w:sz w:val="24"/>
                <w:szCs w:val="24"/>
              </w:rPr>
              <w:t>多媒体触控一体机</w:t>
            </w:r>
          </w:p>
        </w:tc>
        <w:tc>
          <w:tcPr>
            <w:tcW w:w="352" w:type="pct"/>
            <w:vAlign w:val="center"/>
          </w:tcPr>
          <w:p>
            <w:pPr>
              <w:pStyle w:val="26"/>
              <w:adjustRightInd w:val="0"/>
              <w:spacing w:line="312" w:lineRule="auto"/>
              <w:jc w:val="center"/>
              <w:rPr>
                <w:rFonts w:ascii="宋体" w:hAnsi="宋体"/>
                <w:sz w:val="24"/>
              </w:rPr>
            </w:pPr>
            <w:r>
              <w:rPr>
                <w:rFonts w:ascii="Times New Roman" w:hAnsi="Times New Roman" w:cs="Times New Roman"/>
                <w:sz w:val="24"/>
                <w:szCs w:val="24"/>
              </w:rPr>
              <w:t>台</w:t>
            </w:r>
          </w:p>
        </w:tc>
        <w:tc>
          <w:tcPr>
            <w:tcW w:w="455" w:type="pct"/>
            <w:vAlign w:val="center"/>
          </w:tcPr>
          <w:p>
            <w:pPr>
              <w:jc w:val="center"/>
              <w:rPr>
                <w:rFonts w:hint="default" w:ascii="宋体" w:hAnsi="宋体" w:eastAsia="宋体"/>
                <w:sz w:val="24"/>
                <w:lang w:val="en-US" w:eastAsia="zh-CN"/>
              </w:rPr>
            </w:pPr>
            <w:r>
              <w:rPr>
                <w:rFonts w:hint="eastAsia" w:ascii="宋体" w:hAnsi="宋体"/>
                <w:sz w:val="24"/>
                <w:lang w:val="en-US" w:eastAsia="zh-CN"/>
              </w:rPr>
              <w:t>358</w:t>
            </w:r>
          </w:p>
        </w:tc>
        <w:tc>
          <w:tcPr>
            <w:tcW w:w="852" w:type="pct"/>
            <w:vAlign w:val="center"/>
          </w:tcPr>
          <w:p>
            <w:pPr>
              <w:widowControl/>
              <w:jc w:val="center"/>
              <w:textAlignment w:val="center"/>
              <w:rPr>
                <w:rFonts w:ascii="新宋体" w:hAnsi="新宋体" w:eastAsia="新宋体" w:cs="新宋体"/>
                <w:kern w:val="0"/>
                <w:sz w:val="24"/>
              </w:rPr>
            </w:pPr>
          </w:p>
        </w:tc>
        <w:tc>
          <w:tcPr>
            <w:tcW w:w="1279" w:type="pct"/>
            <w:vAlign w:val="center"/>
          </w:tcPr>
          <w:p>
            <w:pPr>
              <w:spacing w:line="340" w:lineRule="exact"/>
              <w:rPr>
                <w:rFonts w:ascii="新宋体" w:hAnsi="新宋体" w:eastAsia="新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361" w:type="pct"/>
            <w:vAlign w:val="center"/>
          </w:tcPr>
          <w:p>
            <w:pPr>
              <w:pStyle w:val="26"/>
              <w:adjustRightInd w:val="0"/>
              <w:snapToGrid w:val="0"/>
              <w:spacing w:line="400" w:lineRule="exact"/>
              <w:jc w:val="center"/>
              <w:rPr>
                <w:rFonts w:ascii="新宋体" w:hAnsi="新宋体" w:eastAsia="新宋体"/>
                <w:sz w:val="24"/>
                <w:szCs w:val="24"/>
              </w:rPr>
            </w:pPr>
            <w:r>
              <w:rPr>
                <w:rFonts w:hint="eastAsia" w:ascii="新宋体" w:hAnsi="新宋体" w:eastAsia="新宋体"/>
                <w:sz w:val="24"/>
                <w:szCs w:val="24"/>
              </w:rPr>
              <w:t>2</w:t>
            </w:r>
          </w:p>
        </w:tc>
        <w:tc>
          <w:tcPr>
            <w:tcW w:w="1698" w:type="pct"/>
            <w:vAlign w:val="center"/>
          </w:tcPr>
          <w:p>
            <w:pPr>
              <w:pStyle w:val="26"/>
              <w:adjustRightInd w:val="0"/>
              <w:spacing w:line="312" w:lineRule="auto"/>
              <w:jc w:val="center"/>
              <w:rPr>
                <w:rFonts w:ascii="宋体" w:hAnsi="宋体"/>
                <w:sz w:val="24"/>
              </w:rPr>
            </w:pPr>
            <w:r>
              <w:rPr>
                <w:rFonts w:ascii="Times New Roman" w:hAnsi="Times New Roman" w:eastAsia="宋体" w:cs="Times New Roman"/>
                <w:sz w:val="24"/>
                <w:szCs w:val="24"/>
              </w:rPr>
              <w:t>智能笔</w:t>
            </w:r>
          </w:p>
        </w:tc>
        <w:tc>
          <w:tcPr>
            <w:tcW w:w="352" w:type="pct"/>
            <w:vAlign w:val="center"/>
          </w:tcPr>
          <w:p>
            <w:pPr>
              <w:pStyle w:val="26"/>
              <w:adjustRightInd w:val="0"/>
              <w:spacing w:line="312" w:lineRule="auto"/>
              <w:jc w:val="center"/>
              <w:rPr>
                <w:rFonts w:ascii="宋体" w:hAnsi="宋体"/>
                <w:sz w:val="24"/>
              </w:rPr>
            </w:pPr>
            <w:r>
              <w:rPr>
                <w:rFonts w:hint="eastAsia" w:ascii="Times New Roman" w:hAnsi="Times New Roman" w:cs="Times New Roman"/>
                <w:sz w:val="24"/>
                <w:szCs w:val="24"/>
                <w:lang w:val="en-US" w:eastAsia="zh-CN"/>
              </w:rPr>
              <w:t>支</w:t>
            </w:r>
          </w:p>
        </w:tc>
        <w:tc>
          <w:tcPr>
            <w:tcW w:w="455" w:type="pct"/>
            <w:vAlign w:val="center"/>
          </w:tcPr>
          <w:p>
            <w:pPr>
              <w:jc w:val="center"/>
              <w:rPr>
                <w:rFonts w:hint="default" w:ascii="宋体" w:hAnsi="宋体" w:eastAsia="宋体"/>
                <w:sz w:val="24"/>
                <w:lang w:val="en-US" w:eastAsia="zh-CN"/>
              </w:rPr>
            </w:pPr>
            <w:r>
              <w:rPr>
                <w:rFonts w:hint="eastAsia" w:ascii="宋体" w:hAnsi="宋体"/>
                <w:sz w:val="24"/>
                <w:lang w:val="en-US" w:eastAsia="zh-CN"/>
              </w:rPr>
              <w:t>358</w:t>
            </w:r>
          </w:p>
        </w:tc>
        <w:tc>
          <w:tcPr>
            <w:tcW w:w="852" w:type="pct"/>
            <w:vAlign w:val="center"/>
          </w:tcPr>
          <w:p>
            <w:pPr>
              <w:widowControl/>
              <w:jc w:val="center"/>
              <w:textAlignment w:val="center"/>
              <w:rPr>
                <w:rFonts w:ascii="新宋体" w:hAnsi="新宋体" w:eastAsia="新宋体" w:cs="新宋体"/>
                <w:kern w:val="0"/>
                <w:sz w:val="24"/>
              </w:rPr>
            </w:pPr>
          </w:p>
        </w:tc>
        <w:tc>
          <w:tcPr>
            <w:tcW w:w="1279" w:type="pct"/>
            <w:vAlign w:val="center"/>
          </w:tcPr>
          <w:p>
            <w:pPr>
              <w:spacing w:line="340" w:lineRule="exact"/>
              <w:rPr>
                <w:rFonts w:ascii="新宋体" w:hAnsi="新宋体" w:eastAsia="新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361" w:type="pct"/>
            <w:vAlign w:val="center"/>
          </w:tcPr>
          <w:p>
            <w:pPr>
              <w:pStyle w:val="26"/>
              <w:adjustRightInd w:val="0"/>
              <w:snapToGrid w:val="0"/>
              <w:spacing w:line="400" w:lineRule="exact"/>
              <w:jc w:val="center"/>
              <w:rPr>
                <w:rFonts w:ascii="新宋体" w:hAnsi="新宋体" w:eastAsia="新宋体"/>
                <w:sz w:val="24"/>
                <w:szCs w:val="24"/>
              </w:rPr>
            </w:pPr>
            <w:r>
              <w:rPr>
                <w:rFonts w:hint="eastAsia" w:ascii="新宋体" w:hAnsi="新宋体" w:eastAsia="新宋体"/>
                <w:sz w:val="24"/>
                <w:szCs w:val="24"/>
              </w:rPr>
              <w:t>3</w:t>
            </w:r>
          </w:p>
        </w:tc>
        <w:tc>
          <w:tcPr>
            <w:tcW w:w="1698" w:type="pct"/>
            <w:vAlign w:val="center"/>
          </w:tcPr>
          <w:p>
            <w:pPr>
              <w:pStyle w:val="26"/>
              <w:adjustRightInd w:val="0"/>
              <w:spacing w:line="312" w:lineRule="auto"/>
              <w:jc w:val="center"/>
              <w:rPr>
                <w:rFonts w:ascii="宋体" w:hAnsi="宋体"/>
                <w:sz w:val="24"/>
              </w:rPr>
            </w:pPr>
            <w:r>
              <w:rPr>
                <w:rFonts w:ascii="Times New Roman" w:hAnsi="Times New Roman" w:eastAsia="宋体" w:cs="Times New Roman"/>
                <w:sz w:val="24"/>
                <w:szCs w:val="24"/>
              </w:rPr>
              <w:t>壁挂高清展台</w:t>
            </w:r>
          </w:p>
        </w:tc>
        <w:tc>
          <w:tcPr>
            <w:tcW w:w="352" w:type="pct"/>
            <w:vAlign w:val="center"/>
          </w:tcPr>
          <w:p>
            <w:pPr>
              <w:pStyle w:val="26"/>
              <w:adjustRightInd w:val="0"/>
              <w:spacing w:line="312" w:lineRule="auto"/>
              <w:jc w:val="center"/>
              <w:rPr>
                <w:rFonts w:ascii="宋体" w:hAnsi="宋体"/>
                <w:sz w:val="24"/>
              </w:rPr>
            </w:pPr>
            <w:r>
              <w:rPr>
                <w:rFonts w:hint="eastAsia" w:ascii="Times New Roman" w:hAnsi="Times New Roman" w:cs="Times New Roman"/>
                <w:sz w:val="24"/>
                <w:szCs w:val="24"/>
                <w:lang w:eastAsia="zh-CN"/>
              </w:rPr>
              <w:t>套</w:t>
            </w:r>
          </w:p>
        </w:tc>
        <w:tc>
          <w:tcPr>
            <w:tcW w:w="455" w:type="pct"/>
            <w:vAlign w:val="center"/>
          </w:tcPr>
          <w:p>
            <w:pPr>
              <w:jc w:val="center"/>
              <w:rPr>
                <w:rFonts w:ascii="宋体" w:hAnsi="宋体"/>
                <w:sz w:val="24"/>
              </w:rPr>
            </w:pPr>
            <w:r>
              <w:rPr>
                <w:rFonts w:hint="eastAsia" w:ascii="宋体" w:hAnsi="宋体"/>
                <w:sz w:val="24"/>
                <w:lang w:val="en-US" w:eastAsia="zh-CN"/>
              </w:rPr>
              <w:t>358</w:t>
            </w:r>
          </w:p>
        </w:tc>
        <w:tc>
          <w:tcPr>
            <w:tcW w:w="852" w:type="pct"/>
            <w:vAlign w:val="center"/>
          </w:tcPr>
          <w:p>
            <w:pPr>
              <w:widowControl/>
              <w:jc w:val="center"/>
              <w:textAlignment w:val="center"/>
              <w:rPr>
                <w:rFonts w:ascii="新宋体" w:hAnsi="新宋体" w:eastAsia="新宋体" w:cs="新宋体"/>
                <w:kern w:val="0"/>
                <w:sz w:val="24"/>
              </w:rPr>
            </w:pPr>
          </w:p>
        </w:tc>
        <w:tc>
          <w:tcPr>
            <w:tcW w:w="1279" w:type="pct"/>
            <w:vAlign w:val="center"/>
          </w:tcPr>
          <w:p>
            <w:pPr>
              <w:spacing w:line="340" w:lineRule="exact"/>
              <w:rPr>
                <w:rFonts w:ascii="新宋体" w:hAnsi="新宋体" w:eastAsia="新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361" w:type="pct"/>
            <w:vAlign w:val="center"/>
          </w:tcPr>
          <w:p>
            <w:pPr>
              <w:pStyle w:val="26"/>
              <w:adjustRightInd w:val="0"/>
              <w:snapToGrid w:val="0"/>
              <w:spacing w:line="400" w:lineRule="exact"/>
              <w:jc w:val="center"/>
              <w:rPr>
                <w:rFonts w:ascii="新宋体" w:hAnsi="新宋体" w:eastAsia="新宋体"/>
                <w:sz w:val="24"/>
                <w:szCs w:val="24"/>
              </w:rPr>
            </w:pPr>
            <w:r>
              <w:rPr>
                <w:rFonts w:hint="eastAsia" w:ascii="新宋体" w:hAnsi="新宋体" w:eastAsia="新宋体"/>
                <w:sz w:val="24"/>
                <w:szCs w:val="24"/>
              </w:rPr>
              <w:t>4</w:t>
            </w:r>
          </w:p>
        </w:tc>
        <w:tc>
          <w:tcPr>
            <w:tcW w:w="1698" w:type="pct"/>
            <w:vAlign w:val="center"/>
          </w:tcPr>
          <w:p>
            <w:pPr>
              <w:pStyle w:val="26"/>
              <w:adjustRightInd w:val="0"/>
              <w:spacing w:line="312" w:lineRule="auto"/>
              <w:jc w:val="center"/>
              <w:rPr>
                <w:rFonts w:ascii="宋体" w:hAnsi="宋体"/>
                <w:sz w:val="24"/>
              </w:rPr>
            </w:pPr>
            <w:r>
              <w:rPr>
                <w:rFonts w:ascii="Times New Roman" w:hAnsi="Times New Roman" w:eastAsia="宋体" w:cs="Times New Roman"/>
                <w:sz w:val="24"/>
                <w:szCs w:val="24"/>
              </w:rPr>
              <w:t>双层推拉式黑板</w:t>
            </w:r>
          </w:p>
        </w:tc>
        <w:tc>
          <w:tcPr>
            <w:tcW w:w="352" w:type="pct"/>
            <w:vAlign w:val="center"/>
          </w:tcPr>
          <w:p>
            <w:pPr>
              <w:pStyle w:val="26"/>
              <w:adjustRightInd w:val="0"/>
              <w:spacing w:line="312" w:lineRule="auto"/>
              <w:jc w:val="center"/>
              <w:rPr>
                <w:rFonts w:ascii="宋体" w:hAnsi="宋体"/>
                <w:sz w:val="24"/>
              </w:rPr>
            </w:pPr>
            <w:r>
              <w:rPr>
                <w:rFonts w:ascii="Times New Roman" w:hAnsi="Times New Roman" w:cs="Times New Roman"/>
                <w:sz w:val="24"/>
                <w:szCs w:val="24"/>
              </w:rPr>
              <w:t>套</w:t>
            </w:r>
          </w:p>
        </w:tc>
        <w:tc>
          <w:tcPr>
            <w:tcW w:w="455" w:type="pct"/>
            <w:vAlign w:val="center"/>
          </w:tcPr>
          <w:p>
            <w:pPr>
              <w:jc w:val="center"/>
              <w:rPr>
                <w:rFonts w:ascii="宋体" w:hAnsi="宋体"/>
                <w:sz w:val="24"/>
              </w:rPr>
            </w:pPr>
            <w:r>
              <w:rPr>
                <w:rFonts w:hint="eastAsia" w:ascii="宋体" w:hAnsi="宋体"/>
                <w:sz w:val="24"/>
                <w:lang w:val="en-US" w:eastAsia="zh-CN"/>
              </w:rPr>
              <w:t>358</w:t>
            </w:r>
          </w:p>
        </w:tc>
        <w:tc>
          <w:tcPr>
            <w:tcW w:w="852" w:type="pct"/>
            <w:vAlign w:val="center"/>
          </w:tcPr>
          <w:p>
            <w:pPr>
              <w:widowControl/>
              <w:jc w:val="center"/>
              <w:textAlignment w:val="center"/>
              <w:rPr>
                <w:rFonts w:ascii="新宋体" w:hAnsi="新宋体" w:eastAsia="新宋体" w:cs="新宋体"/>
                <w:kern w:val="0"/>
                <w:sz w:val="24"/>
              </w:rPr>
            </w:pPr>
          </w:p>
        </w:tc>
        <w:tc>
          <w:tcPr>
            <w:tcW w:w="1279" w:type="pct"/>
            <w:vAlign w:val="center"/>
          </w:tcPr>
          <w:p>
            <w:pPr>
              <w:spacing w:line="340" w:lineRule="exact"/>
              <w:rPr>
                <w:rFonts w:ascii="新宋体" w:hAnsi="新宋体" w:eastAsia="新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361" w:type="pct"/>
            <w:vAlign w:val="center"/>
          </w:tcPr>
          <w:p>
            <w:pPr>
              <w:pStyle w:val="26"/>
              <w:adjustRightInd w:val="0"/>
              <w:snapToGrid w:val="0"/>
              <w:spacing w:line="400" w:lineRule="exact"/>
              <w:jc w:val="center"/>
              <w:rPr>
                <w:rFonts w:ascii="新宋体" w:hAnsi="新宋体" w:eastAsia="新宋体"/>
                <w:sz w:val="24"/>
                <w:szCs w:val="24"/>
              </w:rPr>
            </w:pPr>
            <w:r>
              <w:rPr>
                <w:rFonts w:hint="eastAsia" w:ascii="新宋体" w:hAnsi="新宋体" w:eastAsia="新宋体"/>
                <w:sz w:val="24"/>
                <w:szCs w:val="24"/>
              </w:rPr>
              <w:t>5</w:t>
            </w:r>
          </w:p>
        </w:tc>
        <w:tc>
          <w:tcPr>
            <w:tcW w:w="1698" w:type="pct"/>
            <w:vAlign w:val="center"/>
          </w:tcPr>
          <w:p>
            <w:pPr>
              <w:pStyle w:val="26"/>
              <w:adjustRightInd w:val="0"/>
              <w:spacing w:line="312" w:lineRule="auto"/>
              <w:jc w:val="center"/>
              <w:rPr>
                <w:rFonts w:ascii="宋体" w:hAnsi="宋体"/>
                <w:sz w:val="24"/>
              </w:rPr>
            </w:pPr>
            <w:r>
              <w:rPr>
                <w:rFonts w:ascii="Times New Roman" w:hAnsi="Times New Roman" w:eastAsia="宋体" w:cs="Times New Roman"/>
                <w:sz w:val="24"/>
                <w:szCs w:val="24"/>
              </w:rPr>
              <w:t>漏电保护器</w:t>
            </w:r>
          </w:p>
        </w:tc>
        <w:tc>
          <w:tcPr>
            <w:tcW w:w="352" w:type="pct"/>
            <w:vAlign w:val="center"/>
          </w:tcPr>
          <w:p>
            <w:pPr>
              <w:pStyle w:val="26"/>
              <w:adjustRightInd w:val="0"/>
              <w:spacing w:line="312" w:lineRule="auto"/>
              <w:jc w:val="center"/>
              <w:rPr>
                <w:rFonts w:ascii="宋体" w:hAnsi="宋体"/>
                <w:sz w:val="24"/>
              </w:rPr>
            </w:pPr>
            <w:r>
              <w:rPr>
                <w:rFonts w:hint="eastAsia" w:ascii="Times New Roman" w:hAnsi="Times New Roman" w:cs="Times New Roman"/>
                <w:sz w:val="24"/>
                <w:szCs w:val="24"/>
                <w:lang w:eastAsia="zh-CN"/>
              </w:rPr>
              <w:t>个</w:t>
            </w:r>
          </w:p>
        </w:tc>
        <w:tc>
          <w:tcPr>
            <w:tcW w:w="455" w:type="pct"/>
            <w:vAlign w:val="center"/>
          </w:tcPr>
          <w:p>
            <w:pPr>
              <w:jc w:val="center"/>
              <w:rPr>
                <w:rFonts w:ascii="宋体" w:hAnsi="宋体"/>
                <w:sz w:val="24"/>
              </w:rPr>
            </w:pPr>
            <w:r>
              <w:rPr>
                <w:rFonts w:hint="eastAsia" w:ascii="宋体" w:hAnsi="宋体"/>
                <w:sz w:val="24"/>
                <w:lang w:val="en-US" w:eastAsia="zh-CN"/>
              </w:rPr>
              <w:t>358</w:t>
            </w:r>
          </w:p>
        </w:tc>
        <w:tc>
          <w:tcPr>
            <w:tcW w:w="852" w:type="pct"/>
            <w:vAlign w:val="center"/>
          </w:tcPr>
          <w:p>
            <w:pPr>
              <w:widowControl/>
              <w:jc w:val="center"/>
              <w:textAlignment w:val="center"/>
              <w:rPr>
                <w:rFonts w:ascii="新宋体" w:hAnsi="新宋体" w:eastAsia="新宋体" w:cs="新宋体"/>
                <w:kern w:val="0"/>
                <w:sz w:val="24"/>
              </w:rPr>
            </w:pPr>
          </w:p>
        </w:tc>
        <w:tc>
          <w:tcPr>
            <w:tcW w:w="1279" w:type="pct"/>
            <w:vAlign w:val="center"/>
          </w:tcPr>
          <w:p>
            <w:pPr>
              <w:spacing w:line="340" w:lineRule="exact"/>
              <w:rPr>
                <w:rFonts w:ascii="新宋体" w:hAnsi="新宋体" w:eastAsia="新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361" w:type="pct"/>
            <w:vAlign w:val="center"/>
          </w:tcPr>
          <w:p>
            <w:pPr>
              <w:pStyle w:val="26"/>
              <w:adjustRightInd w:val="0"/>
              <w:snapToGrid w:val="0"/>
              <w:spacing w:line="400" w:lineRule="exact"/>
              <w:jc w:val="center"/>
              <w:rPr>
                <w:rFonts w:ascii="新宋体" w:hAnsi="新宋体" w:eastAsia="新宋体"/>
                <w:sz w:val="24"/>
                <w:szCs w:val="24"/>
              </w:rPr>
            </w:pPr>
            <w:r>
              <w:rPr>
                <w:rFonts w:hint="eastAsia" w:ascii="新宋体" w:hAnsi="新宋体" w:eastAsia="新宋体"/>
                <w:sz w:val="24"/>
                <w:szCs w:val="24"/>
              </w:rPr>
              <w:t>6</w:t>
            </w:r>
          </w:p>
        </w:tc>
        <w:tc>
          <w:tcPr>
            <w:tcW w:w="1698" w:type="pct"/>
            <w:vAlign w:val="center"/>
          </w:tcPr>
          <w:p>
            <w:pPr>
              <w:pStyle w:val="26"/>
              <w:adjustRightInd w:val="0"/>
              <w:spacing w:line="312" w:lineRule="auto"/>
              <w:jc w:val="center"/>
              <w:rPr>
                <w:rFonts w:ascii="宋体" w:hAnsi="宋体"/>
                <w:sz w:val="24"/>
              </w:rPr>
            </w:pPr>
            <w:r>
              <w:rPr>
                <w:rFonts w:ascii="Times New Roman" w:hAnsi="Times New Roman" w:eastAsia="宋体" w:cs="Times New Roman"/>
                <w:sz w:val="24"/>
                <w:szCs w:val="24"/>
              </w:rPr>
              <w:t>附件</w:t>
            </w:r>
          </w:p>
        </w:tc>
        <w:tc>
          <w:tcPr>
            <w:tcW w:w="352" w:type="pct"/>
            <w:vAlign w:val="center"/>
          </w:tcPr>
          <w:p>
            <w:pPr>
              <w:pStyle w:val="26"/>
              <w:adjustRightInd w:val="0"/>
              <w:spacing w:line="312" w:lineRule="auto"/>
              <w:jc w:val="center"/>
              <w:rPr>
                <w:rFonts w:ascii="宋体" w:hAnsi="宋体"/>
                <w:sz w:val="24"/>
              </w:rPr>
            </w:pPr>
            <w:r>
              <w:rPr>
                <w:rFonts w:hint="eastAsia" w:ascii="Times New Roman" w:hAnsi="Times New Roman" w:cs="Times New Roman"/>
                <w:sz w:val="24"/>
                <w:szCs w:val="24"/>
                <w:lang w:eastAsia="zh-CN"/>
              </w:rPr>
              <w:t>项</w:t>
            </w:r>
          </w:p>
        </w:tc>
        <w:tc>
          <w:tcPr>
            <w:tcW w:w="455" w:type="pct"/>
            <w:vAlign w:val="center"/>
          </w:tcPr>
          <w:p>
            <w:pPr>
              <w:jc w:val="center"/>
              <w:rPr>
                <w:rFonts w:ascii="宋体" w:hAnsi="宋体"/>
                <w:sz w:val="24"/>
              </w:rPr>
            </w:pPr>
            <w:r>
              <w:rPr>
                <w:rFonts w:hint="eastAsia" w:ascii="宋体" w:hAnsi="宋体"/>
                <w:sz w:val="24"/>
                <w:lang w:val="en-US" w:eastAsia="zh-CN"/>
              </w:rPr>
              <w:t>358</w:t>
            </w:r>
          </w:p>
        </w:tc>
        <w:tc>
          <w:tcPr>
            <w:tcW w:w="852" w:type="pct"/>
            <w:vAlign w:val="center"/>
          </w:tcPr>
          <w:p>
            <w:pPr>
              <w:widowControl/>
              <w:jc w:val="center"/>
              <w:textAlignment w:val="center"/>
              <w:rPr>
                <w:rFonts w:ascii="新宋体" w:hAnsi="新宋体" w:eastAsia="新宋体" w:cs="新宋体"/>
                <w:kern w:val="0"/>
                <w:sz w:val="24"/>
              </w:rPr>
            </w:pPr>
          </w:p>
        </w:tc>
        <w:tc>
          <w:tcPr>
            <w:tcW w:w="1279" w:type="pct"/>
            <w:vAlign w:val="center"/>
          </w:tcPr>
          <w:p>
            <w:pPr>
              <w:spacing w:line="340" w:lineRule="exact"/>
              <w:rPr>
                <w:rFonts w:ascii="新宋体" w:hAnsi="新宋体" w:eastAsia="新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361" w:type="pct"/>
            <w:vAlign w:val="center"/>
          </w:tcPr>
          <w:p>
            <w:pPr>
              <w:pStyle w:val="26"/>
              <w:adjustRightInd w:val="0"/>
              <w:snapToGrid w:val="0"/>
              <w:spacing w:line="400" w:lineRule="exact"/>
              <w:jc w:val="center"/>
              <w:rPr>
                <w:rFonts w:ascii="新宋体" w:hAnsi="新宋体" w:eastAsia="新宋体"/>
                <w:sz w:val="24"/>
                <w:szCs w:val="24"/>
              </w:rPr>
            </w:pPr>
          </w:p>
        </w:tc>
        <w:tc>
          <w:tcPr>
            <w:tcW w:w="1698" w:type="pct"/>
          </w:tcPr>
          <w:p>
            <w:pPr>
              <w:jc w:val="center"/>
              <w:rPr>
                <w:rFonts w:ascii="宋体" w:hAnsi="宋体"/>
                <w:sz w:val="24"/>
              </w:rPr>
            </w:pPr>
          </w:p>
        </w:tc>
        <w:tc>
          <w:tcPr>
            <w:tcW w:w="352" w:type="pct"/>
            <w:vAlign w:val="center"/>
          </w:tcPr>
          <w:p>
            <w:pPr>
              <w:jc w:val="center"/>
              <w:rPr>
                <w:rFonts w:ascii="宋体" w:hAnsi="宋体"/>
                <w:sz w:val="24"/>
              </w:rPr>
            </w:pPr>
          </w:p>
        </w:tc>
        <w:tc>
          <w:tcPr>
            <w:tcW w:w="455" w:type="pct"/>
            <w:vAlign w:val="center"/>
          </w:tcPr>
          <w:p>
            <w:pPr>
              <w:jc w:val="center"/>
              <w:rPr>
                <w:rFonts w:ascii="宋体" w:hAnsi="宋体"/>
                <w:sz w:val="24"/>
              </w:rPr>
            </w:pPr>
          </w:p>
        </w:tc>
        <w:tc>
          <w:tcPr>
            <w:tcW w:w="852" w:type="pct"/>
            <w:vAlign w:val="center"/>
          </w:tcPr>
          <w:p>
            <w:pPr>
              <w:widowControl/>
              <w:jc w:val="center"/>
              <w:textAlignment w:val="center"/>
              <w:rPr>
                <w:rFonts w:ascii="新宋体" w:hAnsi="新宋体" w:eastAsia="新宋体" w:cs="新宋体"/>
                <w:kern w:val="0"/>
                <w:sz w:val="24"/>
              </w:rPr>
            </w:pPr>
          </w:p>
        </w:tc>
        <w:tc>
          <w:tcPr>
            <w:tcW w:w="0" w:type="auto"/>
          </w:tcPr>
          <w:p>
            <w:pPr>
              <w:spacing w:line="340" w:lineRule="exact"/>
              <w:rPr>
                <w:rFonts w:ascii="新宋体" w:hAnsi="新宋体" w:eastAsia="新宋体"/>
                <w:sz w:val="24"/>
                <w:szCs w:val="20"/>
              </w:rPr>
            </w:pPr>
          </w:p>
        </w:tc>
      </w:tr>
    </w:tbl>
    <w:p>
      <w:pPr>
        <w:spacing w:line="360" w:lineRule="auto"/>
        <w:rPr>
          <w:rFonts w:ascii="新宋体" w:hAnsi="新宋体" w:eastAsia="新宋体"/>
          <w:sz w:val="24"/>
        </w:rPr>
      </w:pPr>
      <w:r>
        <w:rPr>
          <w:rFonts w:hint="eastAsia" w:ascii="新宋体" w:hAnsi="新宋体" w:eastAsia="新宋体"/>
          <w:sz w:val="24"/>
        </w:rPr>
        <w:t>投标人名称（电子签章）：</w:t>
      </w:r>
      <w:r>
        <w:rPr>
          <w:rFonts w:ascii="新宋体" w:hAnsi="新宋体" w:eastAsia="新宋体"/>
          <w:sz w:val="28"/>
          <w:szCs w:val="28"/>
        </w:rPr>
        <w:t>______________</w:t>
      </w:r>
      <w:r>
        <w:rPr>
          <w:rFonts w:ascii="新宋体" w:hAnsi="新宋体" w:eastAsia="新宋体"/>
          <w:sz w:val="24"/>
        </w:rPr>
        <w:t xml:space="preserve"> </w:t>
      </w:r>
    </w:p>
    <w:p>
      <w:pPr>
        <w:spacing w:line="360" w:lineRule="auto"/>
        <w:rPr>
          <w:rFonts w:ascii="新宋体" w:hAnsi="新宋体" w:eastAsia="新宋体"/>
          <w:sz w:val="24"/>
        </w:rPr>
      </w:pPr>
      <w:r>
        <w:rPr>
          <w:rFonts w:hint="eastAsia" w:ascii="新宋体" w:hAnsi="新宋体" w:eastAsia="新宋体"/>
          <w:sz w:val="24"/>
        </w:rPr>
        <w:t>日</w:t>
      </w:r>
      <w:r>
        <w:rPr>
          <w:rFonts w:ascii="新宋体" w:hAnsi="新宋体" w:eastAsia="新宋体"/>
          <w:sz w:val="24"/>
        </w:rPr>
        <w:t xml:space="preserve"> </w:t>
      </w:r>
      <w:r>
        <w:rPr>
          <w:rFonts w:hint="eastAsia" w:ascii="新宋体" w:hAnsi="新宋体" w:eastAsia="新宋体"/>
          <w:sz w:val="24"/>
        </w:rPr>
        <w:t>期：</w:t>
      </w:r>
      <w:r>
        <w:rPr>
          <w:rFonts w:ascii="新宋体" w:hAnsi="新宋体" w:eastAsia="新宋体"/>
          <w:sz w:val="24"/>
        </w:rPr>
        <w:t xml:space="preserve">      </w:t>
      </w:r>
      <w:r>
        <w:rPr>
          <w:rFonts w:hint="eastAsia" w:ascii="新宋体" w:hAnsi="新宋体" w:eastAsia="新宋体"/>
          <w:sz w:val="24"/>
        </w:rPr>
        <w:t>年</w:t>
      </w:r>
      <w:r>
        <w:rPr>
          <w:rFonts w:ascii="新宋体" w:hAnsi="新宋体" w:eastAsia="新宋体"/>
          <w:sz w:val="24"/>
        </w:rPr>
        <w:t xml:space="preserve">    </w:t>
      </w:r>
      <w:r>
        <w:rPr>
          <w:rFonts w:hint="eastAsia" w:ascii="新宋体" w:hAnsi="新宋体" w:eastAsia="新宋体"/>
          <w:sz w:val="24"/>
        </w:rPr>
        <w:t>月</w:t>
      </w:r>
      <w:r>
        <w:rPr>
          <w:rFonts w:ascii="新宋体" w:hAnsi="新宋体" w:eastAsia="新宋体"/>
          <w:sz w:val="24"/>
        </w:rPr>
        <w:t xml:space="preserve">      </w:t>
      </w:r>
      <w:r>
        <w:rPr>
          <w:rFonts w:hint="eastAsia" w:ascii="新宋体" w:hAnsi="新宋体" w:eastAsia="新宋体"/>
          <w:sz w:val="24"/>
        </w:rPr>
        <w:t>日</w:t>
      </w:r>
    </w:p>
    <w:p>
      <w:pPr>
        <w:rPr>
          <w:rFonts w:ascii="新宋体" w:hAnsi="新宋体" w:eastAsia="新宋体"/>
          <w:bCs/>
          <w:sz w:val="24"/>
        </w:rPr>
      </w:pPr>
      <w:r>
        <w:rPr>
          <w:rFonts w:hint="eastAsia" w:ascii="新宋体" w:hAnsi="新宋体" w:eastAsia="新宋体"/>
          <w:bCs/>
          <w:sz w:val="24"/>
        </w:rPr>
        <w:t>备注：1.</w:t>
      </w:r>
      <w:r>
        <w:rPr>
          <w:rFonts w:hint="eastAsia" w:ascii="新宋体" w:hAnsi="新宋体" w:eastAsia="新宋体"/>
          <w:sz w:val="24"/>
        </w:rPr>
        <w:t>此表在不改变格式内容的情况下，可自行制作。</w:t>
      </w:r>
    </w:p>
    <w:p>
      <w:pPr>
        <w:spacing w:line="480" w:lineRule="auto"/>
        <w:rPr>
          <w:rFonts w:ascii="新宋体" w:hAnsi="新宋体" w:eastAsia="新宋体"/>
          <w:b/>
          <w:bCs/>
          <w:sz w:val="36"/>
          <w:szCs w:val="36"/>
        </w:rPr>
      </w:pPr>
    </w:p>
    <w:p>
      <w:pPr>
        <w:rPr>
          <w:rFonts w:ascii="新宋体" w:hAnsi="新宋体" w:eastAsia="新宋体"/>
          <w:b/>
          <w:bCs/>
          <w:sz w:val="36"/>
          <w:szCs w:val="36"/>
        </w:rPr>
      </w:pPr>
    </w:p>
    <w:p>
      <w:pPr>
        <w:spacing w:line="480" w:lineRule="auto"/>
        <w:rPr>
          <w:rFonts w:ascii="新宋体" w:hAnsi="新宋体" w:eastAsia="新宋体"/>
          <w:b/>
          <w:bCs/>
          <w:sz w:val="36"/>
          <w:szCs w:val="36"/>
        </w:rPr>
      </w:pPr>
      <w:r>
        <w:rPr>
          <w:rFonts w:hint="eastAsia" w:ascii="新宋体" w:hAnsi="新宋体" w:eastAsia="新宋体"/>
          <w:b/>
          <w:bCs/>
          <w:sz w:val="36"/>
          <w:szCs w:val="36"/>
        </w:rPr>
        <w:br w:type="page"/>
      </w:r>
      <w:r>
        <w:rPr>
          <w:rFonts w:hint="eastAsia" w:ascii="新宋体" w:hAnsi="新宋体" w:eastAsia="新宋体"/>
          <w:b/>
          <w:bCs/>
          <w:sz w:val="36"/>
          <w:szCs w:val="36"/>
        </w:rPr>
        <w:t>5.</w:t>
      </w:r>
    </w:p>
    <w:p>
      <w:pPr>
        <w:jc w:val="center"/>
        <w:rPr>
          <w:rFonts w:ascii="新宋体" w:hAnsi="新宋体" w:eastAsia="新宋体"/>
          <w:sz w:val="24"/>
        </w:rPr>
      </w:pPr>
      <w:r>
        <w:rPr>
          <w:rFonts w:hint="eastAsia" w:ascii="新宋体" w:hAnsi="新宋体" w:eastAsia="新宋体"/>
          <w:b/>
          <w:bCs/>
          <w:sz w:val="36"/>
        </w:rPr>
        <w:t>规范偏离表</w:t>
      </w:r>
      <w:r>
        <w:rPr>
          <w:rFonts w:hint="eastAsia" w:ascii="新宋体" w:hAnsi="新宋体" w:eastAsia="新宋体"/>
          <w:b/>
          <w:bCs/>
          <w:sz w:val="36"/>
          <w:szCs w:val="36"/>
        </w:rPr>
        <w:t>（格式）</w:t>
      </w:r>
    </w:p>
    <w:p>
      <w:pPr>
        <w:rPr>
          <w:rFonts w:hint="eastAsia" w:ascii="新宋体" w:hAnsi="新宋体" w:eastAsia="新宋体"/>
          <w:sz w:val="24"/>
          <w:lang w:eastAsia="zh-CN"/>
        </w:rPr>
      </w:pPr>
      <w:r>
        <w:rPr>
          <w:rFonts w:hint="eastAsia" w:ascii="新宋体" w:hAnsi="新宋体" w:eastAsia="新宋体"/>
          <w:sz w:val="24"/>
        </w:rPr>
        <w:t>采购编号：</w:t>
      </w:r>
      <w:r>
        <w:rPr>
          <w:rFonts w:hint="eastAsia" w:ascii="新宋体" w:hAnsi="新宋体" w:eastAsia="新宋体"/>
          <w:sz w:val="24"/>
          <w:lang w:eastAsia="zh-CN"/>
        </w:rPr>
        <w:t>YWCG2024013GK</w:t>
      </w:r>
    </w:p>
    <w:tbl>
      <w:tblPr>
        <w:tblStyle w:val="52"/>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2101"/>
        <w:gridCol w:w="2291"/>
        <w:gridCol w:w="2101"/>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4"/>
              </w:rPr>
            </w:pPr>
            <w:r>
              <w:rPr>
                <w:rFonts w:hint="eastAsia" w:ascii="新宋体" w:hAnsi="新宋体" w:eastAsia="新宋体"/>
                <w:sz w:val="24"/>
              </w:rPr>
              <w:t>序号</w:t>
            </w:r>
          </w:p>
        </w:tc>
        <w:tc>
          <w:tcPr>
            <w:tcW w:w="2101"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新宋体" w:hAnsi="新宋体" w:eastAsia="新宋体"/>
                <w:sz w:val="24"/>
              </w:rPr>
            </w:pPr>
            <w:r>
              <w:rPr>
                <w:rFonts w:hint="eastAsia" w:ascii="新宋体" w:hAnsi="新宋体" w:eastAsia="新宋体"/>
                <w:sz w:val="24"/>
              </w:rPr>
              <w:t>内</w:t>
            </w:r>
            <w:r>
              <w:rPr>
                <w:rFonts w:ascii="新宋体" w:hAnsi="新宋体" w:eastAsia="新宋体"/>
                <w:sz w:val="24"/>
              </w:rPr>
              <w:t xml:space="preserve">  </w:t>
            </w:r>
            <w:r>
              <w:rPr>
                <w:rFonts w:hint="eastAsia" w:ascii="新宋体" w:hAnsi="新宋体" w:eastAsia="新宋体"/>
                <w:sz w:val="24"/>
              </w:rPr>
              <w:t>容</w:t>
            </w:r>
          </w:p>
        </w:tc>
        <w:tc>
          <w:tcPr>
            <w:tcW w:w="2291"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4"/>
              </w:rPr>
            </w:pPr>
            <w:r>
              <w:rPr>
                <w:rFonts w:hint="eastAsia" w:ascii="新宋体" w:hAnsi="新宋体" w:eastAsia="新宋体"/>
                <w:sz w:val="24"/>
              </w:rPr>
              <w:t>招标文件</w:t>
            </w:r>
          </w:p>
          <w:p>
            <w:pPr>
              <w:jc w:val="center"/>
              <w:rPr>
                <w:rFonts w:ascii="新宋体" w:hAnsi="新宋体" w:eastAsia="新宋体"/>
                <w:sz w:val="24"/>
              </w:rPr>
            </w:pPr>
            <w:r>
              <w:rPr>
                <w:rFonts w:hint="eastAsia" w:ascii="新宋体" w:hAnsi="新宋体" w:eastAsia="新宋体"/>
                <w:sz w:val="24"/>
              </w:rPr>
              <w:t>规范要求</w:t>
            </w:r>
          </w:p>
        </w:tc>
        <w:tc>
          <w:tcPr>
            <w:tcW w:w="2101"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24"/>
              </w:rPr>
            </w:pPr>
            <w:r>
              <w:rPr>
                <w:rFonts w:hint="eastAsia" w:ascii="新宋体" w:hAnsi="新宋体" w:eastAsia="新宋体"/>
                <w:sz w:val="24"/>
              </w:rPr>
              <w:t>投标文件</w:t>
            </w:r>
          </w:p>
          <w:p>
            <w:pPr>
              <w:jc w:val="center"/>
              <w:rPr>
                <w:rFonts w:ascii="新宋体" w:hAnsi="新宋体" w:eastAsia="新宋体"/>
                <w:sz w:val="24"/>
              </w:rPr>
            </w:pPr>
            <w:r>
              <w:rPr>
                <w:rFonts w:hint="eastAsia" w:ascii="新宋体" w:hAnsi="新宋体" w:eastAsia="新宋体"/>
                <w:sz w:val="24"/>
              </w:rPr>
              <w:t>对应规范</w:t>
            </w:r>
          </w:p>
        </w:tc>
        <w:tc>
          <w:tcPr>
            <w:tcW w:w="2106"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新宋体" w:hAnsi="新宋体" w:eastAsia="新宋体"/>
                <w:sz w:val="24"/>
              </w:rPr>
            </w:pPr>
            <w:r>
              <w:rPr>
                <w:rFonts w:hint="eastAsia" w:ascii="新宋体" w:hAnsi="新宋体" w:eastAsia="新宋体"/>
                <w:sz w:val="24"/>
              </w:rPr>
              <w:t>偏离情况</w:t>
            </w:r>
          </w:p>
          <w:p>
            <w:pPr>
              <w:spacing w:line="480" w:lineRule="auto"/>
              <w:jc w:val="center"/>
              <w:rPr>
                <w:rFonts w:ascii="新宋体" w:hAnsi="新宋体" w:eastAsia="新宋体"/>
                <w:sz w:val="24"/>
              </w:rPr>
            </w:pPr>
            <w:r>
              <w:rPr>
                <w:rFonts w:hint="eastAsia" w:ascii="新宋体" w:hAnsi="新宋体" w:eastAsia="新宋体"/>
                <w:sz w:val="24"/>
              </w:rPr>
              <w:t>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sz w:val="24"/>
              </w:rPr>
            </w:pPr>
          </w:p>
        </w:tc>
        <w:tc>
          <w:tcPr>
            <w:tcW w:w="2101"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rPr>
            </w:pPr>
          </w:p>
        </w:tc>
        <w:tc>
          <w:tcPr>
            <w:tcW w:w="2291"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rPr>
            </w:pPr>
          </w:p>
        </w:tc>
        <w:tc>
          <w:tcPr>
            <w:tcW w:w="2101"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rPr>
            </w:pPr>
          </w:p>
        </w:tc>
        <w:tc>
          <w:tcPr>
            <w:tcW w:w="210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sz w:val="24"/>
              </w:rPr>
            </w:pPr>
          </w:p>
        </w:tc>
        <w:tc>
          <w:tcPr>
            <w:tcW w:w="2101"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rPr>
            </w:pPr>
          </w:p>
        </w:tc>
        <w:tc>
          <w:tcPr>
            <w:tcW w:w="2291"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rPr>
            </w:pPr>
          </w:p>
        </w:tc>
        <w:tc>
          <w:tcPr>
            <w:tcW w:w="2101"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rPr>
            </w:pPr>
          </w:p>
        </w:tc>
        <w:tc>
          <w:tcPr>
            <w:tcW w:w="210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sz w:val="24"/>
              </w:rPr>
            </w:pPr>
          </w:p>
        </w:tc>
        <w:tc>
          <w:tcPr>
            <w:tcW w:w="2101"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rPr>
            </w:pPr>
          </w:p>
        </w:tc>
        <w:tc>
          <w:tcPr>
            <w:tcW w:w="2291"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rPr>
            </w:pPr>
          </w:p>
        </w:tc>
        <w:tc>
          <w:tcPr>
            <w:tcW w:w="2101"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rPr>
            </w:pPr>
          </w:p>
        </w:tc>
        <w:tc>
          <w:tcPr>
            <w:tcW w:w="210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sz w:val="24"/>
              </w:rPr>
            </w:pPr>
          </w:p>
        </w:tc>
        <w:tc>
          <w:tcPr>
            <w:tcW w:w="2101"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rPr>
            </w:pPr>
          </w:p>
        </w:tc>
        <w:tc>
          <w:tcPr>
            <w:tcW w:w="2291"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rPr>
            </w:pPr>
          </w:p>
        </w:tc>
        <w:tc>
          <w:tcPr>
            <w:tcW w:w="2101"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rPr>
            </w:pPr>
          </w:p>
        </w:tc>
        <w:tc>
          <w:tcPr>
            <w:tcW w:w="210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sz w:val="24"/>
              </w:rPr>
            </w:pPr>
          </w:p>
        </w:tc>
        <w:tc>
          <w:tcPr>
            <w:tcW w:w="2101"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rPr>
            </w:pPr>
          </w:p>
        </w:tc>
        <w:tc>
          <w:tcPr>
            <w:tcW w:w="2291"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rPr>
            </w:pPr>
          </w:p>
        </w:tc>
        <w:tc>
          <w:tcPr>
            <w:tcW w:w="2101"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rPr>
            </w:pPr>
          </w:p>
        </w:tc>
        <w:tc>
          <w:tcPr>
            <w:tcW w:w="210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sz w:val="24"/>
              </w:rPr>
            </w:pPr>
          </w:p>
        </w:tc>
        <w:tc>
          <w:tcPr>
            <w:tcW w:w="2101"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rPr>
            </w:pPr>
          </w:p>
        </w:tc>
        <w:tc>
          <w:tcPr>
            <w:tcW w:w="2291"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rPr>
            </w:pPr>
          </w:p>
        </w:tc>
        <w:tc>
          <w:tcPr>
            <w:tcW w:w="2101"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rPr>
            </w:pPr>
          </w:p>
        </w:tc>
        <w:tc>
          <w:tcPr>
            <w:tcW w:w="210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sz w:val="24"/>
              </w:rPr>
            </w:pPr>
          </w:p>
        </w:tc>
        <w:tc>
          <w:tcPr>
            <w:tcW w:w="2101"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rPr>
            </w:pPr>
          </w:p>
        </w:tc>
        <w:tc>
          <w:tcPr>
            <w:tcW w:w="2291"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rPr>
            </w:pPr>
          </w:p>
        </w:tc>
        <w:tc>
          <w:tcPr>
            <w:tcW w:w="2101"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rPr>
            </w:pPr>
          </w:p>
        </w:tc>
        <w:tc>
          <w:tcPr>
            <w:tcW w:w="210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sz w:val="24"/>
              </w:rPr>
            </w:pPr>
          </w:p>
        </w:tc>
        <w:tc>
          <w:tcPr>
            <w:tcW w:w="2101"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rPr>
            </w:pPr>
          </w:p>
        </w:tc>
        <w:tc>
          <w:tcPr>
            <w:tcW w:w="2291"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rPr>
            </w:pPr>
          </w:p>
        </w:tc>
        <w:tc>
          <w:tcPr>
            <w:tcW w:w="2101"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rPr>
            </w:pPr>
          </w:p>
        </w:tc>
        <w:tc>
          <w:tcPr>
            <w:tcW w:w="210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sz w:val="24"/>
              </w:rPr>
            </w:pPr>
          </w:p>
        </w:tc>
        <w:tc>
          <w:tcPr>
            <w:tcW w:w="2101"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rPr>
            </w:pPr>
          </w:p>
        </w:tc>
        <w:tc>
          <w:tcPr>
            <w:tcW w:w="2291"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rPr>
            </w:pPr>
          </w:p>
        </w:tc>
        <w:tc>
          <w:tcPr>
            <w:tcW w:w="2101"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rPr>
            </w:pPr>
          </w:p>
        </w:tc>
        <w:tc>
          <w:tcPr>
            <w:tcW w:w="210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sz w:val="24"/>
              </w:rPr>
            </w:pPr>
          </w:p>
        </w:tc>
        <w:tc>
          <w:tcPr>
            <w:tcW w:w="2101"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rPr>
            </w:pPr>
          </w:p>
        </w:tc>
        <w:tc>
          <w:tcPr>
            <w:tcW w:w="2291"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rPr>
            </w:pPr>
          </w:p>
        </w:tc>
        <w:tc>
          <w:tcPr>
            <w:tcW w:w="2101"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rPr>
            </w:pPr>
          </w:p>
        </w:tc>
        <w:tc>
          <w:tcPr>
            <w:tcW w:w="210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sz w:val="24"/>
              </w:rPr>
            </w:pPr>
          </w:p>
        </w:tc>
        <w:tc>
          <w:tcPr>
            <w:tcW w:w="2101"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rPr>
            </w:pPr>
          </w:p>
        </w:tc>
        <w:tc>
          <w:tcPr>
            <w:tcW w:w="2291"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rPr>
            </w:pPr>
          </w:p>
        </w:tc>
        <w:tc>
          <w:tcPr>
            <w:tcW w:w="2101"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rPr>
            </w:pPr>
          </w:p>
        </w:tc>
        <w:tc>
          <w:tcPr>
            <w:tcW w:w="210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sz w:val="24"/>
              </w:rPr>
            </w:pPr>
          </w:p>
        </w:tc>
        <w:tc>
          <w:tcPr>
            <w:tcW w:w="2101"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rPr>
            </w:pPr>
          </w:p>
        </w:tc>
        <w:tc>
          <w:tcPr>
            <w:tcW w:w="2291"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rPr>
            </w:pPr>
          </w:p>
        </w:tc>
        <w:tc>
          <w:tcPr>
            <w:tcW w:w="2101"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rPr>
            </w:pPr>
          </w:p>
        </w:tc>
        <w:tc>
          <w:tcPr>
            <w:tcW w:w="210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sz w:val="24"/>
              </w:rPr>
            </w:pPr>
          </w:p>
        </w:tc>
        <w:tc>
          <w:tcPr>
            <w:tcW w:w="2101"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rPr>
            </w:pPr>
          </w:p>
        </w:tc>
        <w:tc>
          <w:tcPr>
            <w:tcW w:w="2291"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rPr>
            </w:pPr>
          </w:p>
        </w:tc>
        <w:tc>
          <w:tcPr>
            <w:tcW w:w="2101"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rPr>
            </w:pPr>
          </w:p>
        </w:tc>
        <w:tc>
          <w:tcPr>
            <w:tcW w:w="210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sz w:val="24"/>
              </w:rPr>
            </w:pPr>
          </w:p>
        </w:tc>
        <w:tc>
          <w:tcPr>
            <w:tcW w:w="2101"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rPr>
            </w:pPr>
          </w:p>
        </w:tc>
        <w:tc>
          <w:tcPr>
            <w:tcW w:w="2291"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rPr>
            </w:pPr>
          </w:p>
        </w:tc>
        <w:tc>
          <w:tcPr>
            <w:tcW w:w="2101"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rPr>
            </w:pPr>
          </w:p>
        </w:tc>
        <w:tc>
          <w:tcPr>
            <w:tcW w:w="210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rPr>
            </w:pPr>
          </w:p>
        </w:tc>
      </w:tr>
    </w:tbl>
    <w:p>
      <w:pPr>
        <w:spacing w:line="360" w:lineRule="auto"/>
        <w:rPr>
          <w:rFonts w:ascii="新宋体" w:hAnsi="新宋体" w:eastAsia="新宋体"/>
          <w:sz w:val="24"/>
        </w:rPr>
      </w:pPr>
      <w:r>
        <w:rPr>
          <w:rFonts w:hint="eastAsia" w:ascii="新宋体" w:hAnsi="新宋体" w:eastAsia="新宋体"/>
          <w:sz w:val="24"/>
        </w:rPr>
        <w:t>投标人名称（电子签章）：</w:t>
      </w:r>
      <w:r>
        <w:rPr>
          <w:rFonts w:ascii="新宋体" w:hAnsi="新宋体" w:eastAsia="新宋体"/>
          <w:sz w:val="28"/>
          <w:szCs w:val="28"/>
        </w:rPr>
        <w:t>______________</w:t>
      </w:r>
    </w:p>
    <w:p>
      <w:pPr>
        <w:spacing w:line="360" w:lineRule="auto"/>
        <w:rPr>
          <w:rFonts w:ascii="新宋体" w:hAnsi="新宋体" w:eastAsia="新宋体"/>
          <w:sz w:val="24"/>
        </w:rPr>
      </w:pPr>
      <w:r>
        <w:rPr>
          <w:rFonts w:hint="eastAsia" w:ascii="新宋体" w:hAnsi="新宋体" w:eastAsia="新宋体"/>
          <w:sz w:val="24"/>
        </w:rPr>
        <w:t>日</w:t>
      </w:r>
      <w:r>
        <w:rPr>
          <w:rFonts w:ascii="新宋体" w:hAnsi="新宋体" w:eastAsia="新宋体"/>
          <w:sz w:val="24"/>
        </w:rPr>
        <w:t xml:space="preserve"> </w:t>
      </w:r>
      <w:r>
        <w:rPr>
          <w:rFonts w:hint="eastAsia" w:ascii="新宋体" w:hAnsi="新宋体" w:eastAsia="新宋体"/>
          <w:sz w:val="24"/>
        </w:rPr>
        <w:t>期：</w:t>
      </w:r>
      <w:r>
        <w:rPr>
          <w:rFonts w:ascii="新宋体" w:hAnsi="新宋体" w:eastAsia="新宋体"/>
          <w:sz w:val="24"/>
        </w:rPr>
        <w:t xml:space="preserve"> </w:t>
      </w:r>
      <w:r>
        <w:rPr>
          <w:rFonts w:ascii="新宋体" w:hAnsi="新宋体" w:eastAsia="新宋体"/>
          <w:sz w:val="24"/>
          <w:u w:val="single"/>
        </w:rPr>
        <w:t xml:space="preserve">    </w:t>
      </w:r>
      <w:r>
        <w:rPr>
          <w:rFonts w:hint="eastAsia" w:ascii="新宋体" w:hAnsi="新宋体" w:eastAsia="新宋体"/>
          <w:sz w:val="24"/>
        </w:rPr>
        <w:t>年</w:t>
      </w:r>
      <w:r>
        <w:rPr>
          <w:rFonts w:ascii="新宋体" w:hAnsi="新宋体" w:eastAsia="新宋体"/>
          <w:sz w:val="24"/>
          <w:u w:val="single"/>
        </w:rPr>
        <w:t xml:space="preserve">    </w:t>
      </w:r>
      <w:r>
        <w:rPr>
          <w:rFonts w:hint="eastAsia" w:ascii="新宋体" w:hAnsi="新宋体" w:eastAsia="新宋体"/>
          <w:sz w:val="24"/>
        </w:rPr>
        <w:t>月</w:t>
      </w:r>
      <w:r>
        <w:rPr>
          <w:rFonts w:ascii="新宋体" w:hAnsi="新宋体" w:eastAsia="新宋体"/>
          <w:sz w:val="24"/>
          <w:u w:val="single"/>
        </w:rPr>
        <w:t xml:space="preserve">    </w:t>
      </w:r>
      <w:r>
        <w:rPr>
          <w:rFonts w:hint="eastAsia" w:ascii="新宋体" w:hAnsi="新宋体" w:eastAsia="新宋体"/>
          <w:sz w:val="24"/>
        </w:rPr>
        <w:t>日</w:t>
      </w:r>
    </w:p>
    <w:p>
      <w:pPr>
        <w:spacing w:line="400" w:lineRule="exact"/>
        <w:rPr>
          <w:rFonts w:ascii="新宋体" w:hAnsi="新宋体" w:eastAsia="新宋体"/>
          <w:szCs w:val="21"/>
        </w:rPr>
      </w:pPr>
      <w:r>
        <w:rPr>
          <w:rFonts w:hint="eastAsia" w:ascii="新宋体" w:hAnsi="新宋体" w:eastAsia="新宋体"/>
          <w:szCs w:val="21"/>
        </w:rPr>
        <w:t>注：</w:t>
      </w:r>
      <w:r>
        <w:rPr>
          <w:rFonts w:ascii="新宋体" w:hAnsi="新宋体" w:eastAsia="新宋体"/>
          <w:szCs w:val="21"/>
        </w:rPr>
        <w:t>1</w:t>
      </w:r>
      <w:r>
        <w:rPr>
          <w:rFonts w:hint="eastAsia" w:ascii="新宋体" w:hAnsi="新宋体" w:eastAsia="新宋体"/>
          <w:szCs w:val="21"/>
        </w:rPr>
        <w:t>.投标人应仔细对第三章招标项目要求进行逐条分析，对于投标内容与招标文件内容有不一致的条款，则须在上表中列明并详细填写。</w:t>
      </w:r>
    </w:p>
    <w:p>
      <w:pPr>
        <w:spacing w:line="400" w:lineRule="exact"/>
        <w:ind w:firstLine="420" w:firstLineChars="200"/>
        <w:rPr>
          <w:rFonts w:ascii="新宋体" w:hAnsi="新宋体" w:eastAsia="新宋体"/>
          <w:szCs w:val="21"/>
        </w:rPr>
      </w:pPr>
      <w:r>
        <w:rPr>
          <w:rFonts w:ascii="新宋体" w:hAnsi="新宋体" w:eastAsia="新宋体"/>
          <w:szCs w:val="21"/>
        </w:rPr>
        <w:t>2</w:t>
      </w:r>
      <w:r>
        <w:rPr>
          <w:rFonts w:hint="eastAsia" w:ascii="新宋体" w:hAnsi="新宋体" w:eastAsia="新宋体"/>
          <w:szCs w:val="21"/>
        </w:rPr>
        <w:t>.如招标文件内容与投标文件内容都一致的，则本表可以在相关的盖章后，不需要填写其它内容或在“偏离情况详细说明”栏内只填写一个“无”字。</w:t>
      </w:r>
    </w:p>
    <w:p>
      <w:pPr>
        <w:spacing w:line="400" w:lineRule="exact"/>
        <w:ind w:firstLine="420" w:firstLineChars="200"/>
        <w:rPr>
          <w:rFonts w:ascii="新宋体" w:hAnsi="新宋体" w:eastAsia="新宋体"/>
          <w:szCs w:val="21"/>
        </w:rPr>
      </w:pPr>
      <w:r>
        <w:rPr>
          <w:rFonts w:ascii="新宋体" w:hAnsi="新宋体" w:eastAsia="新宋体"/>
          <w:szCs w:val="21"/>
        </w:rPr>
        <w:t>3</w:t>
      </w:r>
      <w:r>
        <w:rPr>
          <w:rFonts w:hint="eastAsia" w:ascii="新宋体" w:hAnsi="新宋体" w:eastAsia="新宋体"/>
          <w:szCs w:val="21"/>
        </w:rPr>
        <w:t>.此表在不改变格式内容的情况下，可自行制作。</w:t>
      </w:r>
    </w:p>
    <w:p>
      <w:pPr>
        <w:spacing w:line="480" w:lineRule="auto"/>
        <w:rPr>
          <w:rFonts w:ascii="新宋体" w:hAnsi="新宋体" w:eastAsia="新宋体"/>
          <w:b/>
          <w:bCs/>
          <w:sz w:val="36"/>
          <w:szCs w:val="36"/>
        </w:rPr>
      </w:pPr>
      <w:r>
        <w:rPr>
          <w:rFonts w:hint="eastAsia" w:ascii="新宋体" w:hAnsi="新宋体" w:eastAsia="新宋体"/>
          <w:b/>
          <w:bCs/>
          <w:sz w:val="36"/>
          <w:szCs w:val="36"/>
        </w:rPr>
        <w:br w:type="page"/>
      </w:r>
      <w:r>
        <w:rPr>
          <w:rFonts w:hint="eastAsia" w:ascii="新宋体" w:hAnsi="新宋体" w:eastAsia="新宋体"/>
          <w:b/>
          <w:bCs/>
          <w:sz w:val="36"/>
          <w:szCs w:val="36"/>
        </w:rPr>
        <w:t>6.</w:t>
      </w:r>
    </w:p>
    <w:p>
      <w:pPr>
        <w:spacing w:line="480" w:lineRule="auto"/>
        <w:jc w:val="center"/>
        <w:rPr>
          <w:rFonts w:ascii="新宋体" w:hAnsi="新宋体" w:eastAsia="新宋体"/>
          <w:b/>
          <w:bCs/>
          <w:sz w:val="52"/>
          <w:szCs w:val="36"/>
        </w:rPr>
      </w:pPr>
      <w:r>
        <w:rPr>
          <w:rFonts w:hint="eastAsia" w:ascii="新宋体" w:hAnsi="新宋体" w:eastAsia="新宋体"/>
          <w:b/>
          <w:bCs/>
          <w:sz w:val="36"/>
          <w:szCs w:val="36"/>
        </w:rPr>
        <w:t>产品质量保证及售后服务承诺书（格式）</w:t>
      </w:r>
    </w:p>
    <w:p>
      <w:pPr>
        <w:spacing w:line="360" w:lineRule="auto"/>
        <w:rPr>
          <w:rFonts w:hint="eastAsia" w:ascii="新宋体" w:hAnsi="新宋体" w:eastAsia="新宋体"/>
          <w:b/>
          <w:sz w:val="24"/>
          <w:lang w:eastAsia="zh-CN"/>
        </w:rPr>
      </w:pPr>
      <w:r>
        <w:rPr>
          <w:rFonts w:hint="eastAsia" w:ascii="新宋体" w:hAnsi="新宋体" w:eastAsia="新宋体"/>
          <w:sz w:val="24"/>
        </w:rPr>
        <w:t>采购编号：</w:t>
      </w:r>
      <w:r>
        <w:rPr>
          <w:rFonts w:hint="eastAsia" w:ascii="新宋体" w:hAnsi="新宋体" w:eastAsia="新宋体"/>
          <w:sz w:val="24"/>
          <w:lang w:eastAsia="zh-CN"/>
        </w:rPr>
        <w:t>YWCG2024013GK</w:t>
      </w:r>
    </w:p>
    <w:p>
      <w:pPr>
        <w:spacing w:line="360" w:lineRule="auto"/>
        <w:ind w:firstLine="480" w:firstLineChars="200"/>
        <w:rPr>
          <w:rFonts w:ascii="新宋体" w:hAnsi="新宋体" w:eastAsia="新宋体"/>
          <w:bCs/>
        </w:rPr>
      </w:pPr>
      <w:r>
        <w:rPr>
          <w:rFonts w:ascii="新宋体" w:hAnsi="新宋体" w:eastAsia="新宋体"/>
          <w:bCs/>
          <w:sz w:val="24"/>
        </w:rPr>
        <w:t>根据贵方为</w:t>
      </w:r>
      <w:r>
        <w:rPr>
          <w:rFonts w:hint="eastAsia" w:ascii="新宋体" w:hAnsi="新宋体" w:eastAsia="新宋体"/>
          <w:bCs/>
          <w:sz w:val="24"/>
        </w:rPr>
        <w:t xml:space="preserve">      </w:t>
      </w:r>
      <w:r>
        <w:rPr>
          <w:rFonts w:ascii="新宋体" w:hAnsi="新宋体" w:eastAsia="新宋体"/>
          <w:bCs/>
          <w:sz w:val="24"/>
        </w:rPr>
        <w:t>年</w:t>
      </w:r>
      <w:r>
        <w:rPr>
          <w:rFonts w:hint="eastAsia" w:ascii="新宋体" w:hAnsi="新宋体" w:eastAsia="新宋体"/>
          <w:bCs/>
          <w:sz w:val="24"/>
        </w:rPr>
        <w:t xml:space="preserve">    </w:t>
      </w:r>
      <w:r>
        <w:rPr>
          <w:rFonts w:ascii="新宋体" w:hAnsi="新宋体" w:eastAsia="新宋体"/>
          <w:bCs/>
          <w:sz w:val="24"/>
        </w:rPr>
        <w:t>月</w:t>
      </w:r>
      <w:r>
        <w:rPr>
          <w:rFonts w:hint="eastAsia" w:ascii="新宋体" w:hAnsi="新宋体" w:eastAsia="新宋体"/>
          <w:bCs/>
          <w:sz w:val="24"/>
        </w:rPr>
        <w:t xml:space="preserve">   日YWCG          </w:t>
      </w:r>
      <w:r>
        <w:rPr>
          <w:rFonts w:ascii="新宋体" w:hAnsi="新宋体" w:eastAsia="新宋体"/>
          <w:bCs/>
          <w:sz w:val="24"/>
        </w:rPr>
        <w:t>（采购编号）招标项目的投标邀请，我</w:t>
      </w:r>
      <w:r>
        <w:rPr>
          <w:rFonts w:hint="eastAsia" w:ascii="新宋体" w:hAnsi="新宋体" w:eastAsia="新宋体"/>
          <w:bCs/>
          <w:sz w:val="24"/>
        </w:rPr>
        <w:t>方</w:t>
      </w:r>
      <w:r>
        <w:rPr>
          <w:rFonts w:ascii="新宋体" w:hAnsi="新宋体" w:eastAsia="新宋体"/>
          <w:bCs/>
          <w:sz w:val="24"/>
        </w:rPr>
        <w:t>对该项目做出如下</w:t>
      </w:r>
      <w:r>
        <w:rPr>
          <w:rFonts w:hint="eastAsia" w:ascii="新宋体" w:hAnsi="新宋体" w:eastAsia="新宋体"/>
          <w:bCs/>
          <w:sz w:val="24"/>
        </w:rPr>
        <w:t>产品质量</w:t>
      </w:r>
      <w:r>
        <w:rPr>
          <w:rFonts w:ascii="新宋体" w:hAnsi="新宋体" w:eastAsia="新宋体"/>
          <w:bCs/>
          <w:sz w:val="24"/>
        </w:rPr>
        <w:t>承诺</w:t>
      </w:r>
      <w:r>
        <w:rPr>
          <w:rFonts w:ascii="新宋体" w:hAnsi="新宋体" w:eastAsia="新宋体"/>
          <w:bCs/>
        </w:rPr>
        <w:t>：</w:t>
      </w:r>
    </w:p>
    <w:p>
      <w:pPr>
        <w:spacing w:line="360" w:lineRule="auto"/>
        <w:ind w:left="480"/>
        <w:rPr>
          <w:rFonts w:ascii="新宋体" w:hAnsi="新宋体" w:eastAsia="新宋体"/>
          <w:sz w:val="24"/>
        </w:rPr>
      </w:pPr>
      <w:r>
        <w:rPr>
          <w:rFonts w:hint="eastAsia" w:ascii="新宋体" w:hAnsi="新宋体" w:eastAsia="新宋体"/>
          <w:sz w:val="24"/>
        </w:rPr>
        <w:t>1.技术规范及相关产品标准：</w:t>
      </w:r>
    </w:p>
    <w:p>
      <w:pPr>
        <w:spacing w:line="360" w:lineRule="auto"/>
        <w:rPr>
          <w:rFonts w:ascii="新宋体" w:hAnsi="新宋体" w:eastAsia="新宋体"/>
          <w:bCs/>
          <w:sz w:val="24"/>
        </w:rPr>
      </w:pPr>
    </w:p>
    <w:p>
      <w:pPr>
        <w:spacing w:line="360" w:lineRule="auto"/>
        <w:rPr>
          <w:rFonts w:ascii="新宋体" w:hAnsi="新宋体" w:eastAsia="新宋体"/>
          <w:bCs/>
          <w:sz w:val="24"/>
        </w:rPr>
      </w:pPr>
    </w:p>
    <w:p>
      <w:pPr>
        <w:spacing w:line="360" w:lineRule="auto"/>
        <w:ind w:left="480"/>
        <w:rPr>
          <w:rFonts w:ascii="新宋体" w:hAnsi="新宋体" w:eastAsia="新宋体"/>
          <w:sz w:val="24"/>
        </w:rPr>
      </w:pPr>
      <w:r>
        <w:rPr>
          <w:rFonts w:hint="eastAsia" w:ascii="新宋体" w:hAnsi="新宋体" w:eastAsia="新宋体"/>
          <w:sz w:val="24"/>
        </w:rPr>
        <w:t>2.</w:t>
      </w:r>
      <w:r>
        <w:rPr>
          <w:rFonts w:ascii="新宋体" w:hAnsi="新宋体" w:eastAsia="新宋体"/>
          <w:sz w:val="24"/>
        </w:rPr>
        <w:t>产品都属于厂家原装正品产品</w:t>
      </w:r>
      <w:r>
        <w:rPr>
          <w:rFonts w:hint="eastAsia" w:ascii="新宋体" w:hAnsi="新宋体" w:eastAsia="新宋体"/>
          <w:sz w:val="24"/>
        </w:rPr>
        <w:t>：</w:t>
      </w:r>
    </w:p>
    <w:p>
      <w:pPr>
        <w:spacing w:line="360" w:lineRule="auto"/>
        <w:rPr>
          <w:rFonts w:ascii="新宋体" w:hAnsi="新宋体" w:eastAsia="新宋体"/>
          <w:bCs/>
          <w:sz w:val="24"/>
        </w:rPr>
      </w:pPr>
    </w:p>
    <w:p>
      <w:pPr>
        <w:spacing w:line="360" w:lineRule="auto"/>
        <w:rPr>
          <w:rFonts w:ascii="新宋体" w:hAnsi="新宋体" w:eastAsia="新宋体"/>
          <w:bCs/>
          <w:sz w:val="24"/>
        </w:rPr>
      </w:pPr>
    </w:p>
    <w:p>
      <w:pPr>
        <w:spacing w:line="360" w:lineRule="auto"/>
        <w:ind w:firstLine="480" w:firstLineChars="200"/>
        <w:rPr>
          <w:rFonts w:ascii="新宋体" w:hAnsi="新宋体" w:eastAsia="新宋体"/>
          <w:sz w:val="24"/>
        </w:rPr>
      </w:pPr>
      <w:r>
        <w:rPr>
          <w:rFonts w:hint="eastAsia" w:ascii="新宋体" w:hAnsi="新宋体" w:eastAsia="新宋体"/>
          <w:sz w:val="24"/>
        </w:rPr>
        <w:t>3.质保年限、范围、质保条件</w:t>
      </w:r>
    </w:p>
    <w:p>
      <w:pPr>
        <w:spacing w:line="360" w:lineRule="auto"/>
        <w:rPr>
          <w:rFonts w:ascii="新宋体" w:hAnsi="新宋体" w:eastAsia="新宋体"/>
          <w:bCs/>
          <w:sz w:val="24"/>
        </w:rPr>
      </w:pPr>
    </w:p>
    <w:p>
      <w:pPr>
        <w:spacing w:line="360" w:lineRule="auto"/>
        <w:rPr>
          <w:rFonts w:ascii="新宋体" w:hAnsi="新宋体" w:eastAsia="新宋体"/>
          <w:bCs/>
          <w:sz w:val="24"/>
        </w:rPr>
      </w:pPr>
    </w:p>
    <w:p>
      <w:pPr>
        <w:spacing w:line="360" w:lineRule="auto"/>
        <w:ind w:left="480"/>
        <w:rPr>
          <w:rFonts w:ascii="新宋体" w:hAnsi="新宋体" w:eastAsia="新宋体"/>
          <w:bCs/>
          <w:sz w:val="24"/>
        </w:rPr>
      </w:pPr>
      <w:r>
        <w:rPr>
          <w:rFonts w:hint="eastAsia" w:ascii="新宋体" w:hAnsi="新宋体" w:eastAsia="新宋体"/>
          <w:bCs/>
          <w:sz w:val="24"/>
        </w:rPr>
        <w:t>4.质量问题及投诉的处理、解决问题的响应时间及方式：</w:t>
      </w:r>
    </w:p>
    <w:p>
      <w:pPr>
        <w:spacing w:line="360" w:lineRule="auto"/>
        <w:rPr>
          <w:rFonts w:ascii="新宋体" w:hAnsi="新宋体" w:eastAsia="新宋体"/>
          <w:bCs/>
          <w:sz w:val="24"/>
        </w:rPr>
      </w:pPr>
    </w:p>
    <w:p>
      <w:pPr>
        <w:spacing w:line="360" w:lineRule="auto"/>
        <w:rPr>
          <w:rFonts w:ascii="新宋体" w:hAnsi="新宋体" w:eastAsia="新宋体"/>
          <w:bCs/>
          <w:sz w:val="24"/>
        </w:rPr>
      </w:pPr>
    </w:p>
    <w:p>
      <w:pPr>
        <w:spacing w:line="360" w:lineRule="auto"/>
        <w:ind w:left="480"/>
        <w:rPr>
          <w:rFonts w:ascii="新宋体" w:hAnsi="新宋体" w:eastAsia="新宋体"/>
          <w:bCs/>
          <w:sz w:val="24"/>
        </w:rPr>
      </w:pPr>
      <w:r>
        <w:rPr>
          <w:rFonts w:hint="eastAsia" w:ascii="新宋体" w:hAnsi="新宋体" w:eastAsia="新宋体"/>
          <w:bCs/>
          <w:sz w:val="24"/>
        </w:rPr>
        <w:t>5.售后服务的联系人及联系方式：</w:t>
      </w:r>
    </w:p>
    <w:p>
      <w:pPr>
        <w:spacing w:line="360" w:lineRule="auto"/>
        <w:jc w:val="center"/>
        <w:rPr>
          <w:rFonts w:ascii="新宋体" w:hAnsi="新宋体" w:eastAsia="新宋体"/>
          <w:b/>
          <w:sz w:val="24"/>
        </w:rPr>
      </w:pPr>
    </w:p>
    <w:p>
      <w:pPr>
        <w:spacing w:line="360" w:lineRule="auto"/>
        <w:jc w:val="center"/>
        <w:rPr>
          <w:rFonts w:ascii="新宋体" w:hAnsi="新宋体" w:eastAsia="新宋体"/>
          <w:b/>
          <w:sz w:val="24"/>
        </w:rPr>
      </w:pPr>
    </w:p>
    <w:p>
      <w:pPr>
        <w:spacing w:line="360" w:lineRule="auto"/>
        <w:ind w:left="480"/>
        <w:rPr>
          <w:rFonts w:ascii="新宋体" w:hAnsi="新宋体" w:eastAsia="新宋体"/>
          <w:bCs/>
          <w:sz w:val="24"/>
        </w:rPr>
      </w:pPr>
      <w:r>
        <w:rPr>
          <w:rFonts w:hint="eastAsia" w:ascii="新宋体" w:hAnsi="新宋体" w:eastAsia="新宋体"/>
          <w:bCs/>
          <w:sz w:val="24"/>
        </w:rPr>
        <w:t>6.其它售后服务承诺内容：</w:t>
      </w:r>
    </w:p>
    <w:p>
      <w:pPr>
        <w:spacing w:line="360" w:lineRule="auto"/>
        <w:jc w:val="center"/>
        <w:rPr>
          <w:rFonts w:ascii="新宋体" w:hAnsi="新宋体" w:eastAsia="新宋体"/>
          <w:b/>
          <w:sz w:val="44"/>
        </w:rPr>
      </w:pPr>
    </w:p>
    <w:p>
      <w:pPr>
        <w:spacing w:line="360" w:lineRule="auto"/>
        <w:jc w:val="center"/>
        <w:rPr>
          <w:rFonts w:ascii="新宋体" w:hAnsi="新宋体" w:eastAsia="新宋体"/>
          <w:b/>
          <w:sz w:val="44"/>
        </w:rPr>
      </w:pPr>
    </w:p>
    <w:p>
      <w:pPr>
        <w:jc w:val="right"/>
        <w:rPr>
          <w:rFonts w:ascii="新宋体" w:hAnsi="新宋体" w:eastAsia="新宋体"/>
          <w:sz w:val="24"/>
        </w:rPr>
      </w:pPr>
      <w:r>
        <w:rPr>
          <w:rFonts w:hint="eastAsia" w:ascii="新宋体" w:hAnsi="新宋体" w:eastAsia="新宋体"/>
          <w:sz w:val="24"/>
        </w:rPr>
        <w:t>投标人名称（电子签章）:_____________________</w:t>
      </w:r>
    </w:p>
    <w:p>
      <w:pPr>
        <w:ind w:right="480"/>
        <w:jc w:val="center"/>
        <w:rPr>
          <w:rFonts w:ascii="新宋体" w:hAnsi="新宋体" w:eastAsia="新宋体"/>
          <w:sz w:val="24"/>
        </w:rPr>
      </w:pPr>
    </w:p>
    <w:p>
      <w:pPr>
        <w:jc w:val="right"/>
        <w:rPr>
          <w:rFonts w:ascii="新宋体" w:hAnsi="新宋体" w:eastAsia="新宋体"/>
          <w:sz w:val="24"/>
        </w:rPr>
      </w:pPr>
      <w:r>
        <w:rPr>
          <w:rFonts w:hint="eastAsia" w:ascii="新宋体" w:hAnsi="新宋体" w:eastAsia="新宋体"/>
          <w:sz w:val="24"/>
        </w:rPr>
        <w:t>年        月        日</w:t>
      </w:r>
    </w:p>
    <w:p>
      <w:pPr>
        <w:spacing w:line="480" w:lineRule="auto"/>
        <w:rPr>
          <w:rFonts w:ascii="新宋体" w:hAnsi="新宋体" w:eastAsia="新宋体"/>
          <w:b/>
          <w:bCs/>
          <w:sz w:val="36"/>
        </w:rPr>
      </w:pPr>
    </w:p>
    <w:p>
      <w:pPr>
        <w:spacing w:line="480" w:lineRule="auto"/>
        <w:rPr>
          <w:rFonts w:ascii="新宋体" w:hAnsi="新宋体" w:eastAsia="新宋体"/>
          <w:b/>
          <w:bCs/>
          <w:sz w:val="36"/>
          <w:szCs w:val="36"/>
        </w:rPr>
      </w:pPr>
      <w:r>
        <w:rPr>
          <w:rFonts w:hint="eastAsia" w:ascii="新宋体" w:hAnsi="新宋体" w:eastAsia="新宋体"/>
          <w:b/>
          <w:bCs/>
          <w:sz w:val="36"/>
        </w:rPr>
        <w:br w:type="page"/>
      </w:r>
      <w:r>
        <w:rPr>
          <w:rFonts w:hint="eastAsia" w:ascii="新宋体" w:hAnsi="新宋体" w:eastAsia="新宋体"/>
          <w:b/>
          <w:bCs/>
          <w:sz w:val="36"/>
          <w:szCs w:val="36"/>
        </w:rPr>
        <w:t>7.</w:t>
      </w:r>
    </w:p>
    <w:p>
      <w:pPr>
        <w:spacing w:line="480" w:lineRule="auto"/>
        <w:jc w:val="center"/>
        <w:rPr>
          <w:rFonts w:ascii="新宋体" w:hAnsi="新宋体" w:eastAsia="新宋体"/>
          <w:b/>
          <w:bCs/>
          <w:sz w:val="36"/>
          <w:szCs w:val="36"/>
        </w:rPr>
      </w:pPr>
      <w:r>
        <w:rPr>
          <w:rFonts w:hint="eastAsia" w:ascii="新宋体" w:hAnsi="新宋体" w:eastAsia="新宋体"/>
          <w:b/>
          <w:bCs/>
          <w:sz w:val="36"/>
          <w:szCs w:val="36"/>
        </w:rPr>
        <w:t>备品备件及专用工具清单表（格式）</w:t>
      </w:r>
    </w:p>
    <w:p>
      <w:pPr>
        <w:rPr>
          <w:rFonts w:hint="eastAsia" w:ascii="新宋体" w:hAnsi="新宋体" w:eastAsia="新宋体"/>
          <w:sz w:val="24"/>
          <w:lang w:eastAsia="zh-CN"/>
        </w:rPr>
      </w:pPr>
      <w:r>
        <w:rPr>
          <w:rFonts w:hint="eastAsia" w:ascii="新宋体" w:hAnsi="新宋体" w:eastAsia="新宋体"/>
          <w:sz w:val="24"/>
        </w:rPr>
        <w:t>采购编号：</w:t>
      </w:r>
      <w:r>
        <w:rPr>
          <w:rFonts w:hint="eastAsia" w:ascii="新宋体" w:hAnsi="新宋体" w:eastAsia="新宋体"/>
          <w:sz w:val="24"/>
          <w:lang w:eastAsia="zh-CN"/>
        </w:rPr>
        <w:t>YWCG2024013GK</w:t>
      </w:r>
    </w:p>
    <w:tbl>
      <w:tblPr>
        <w:tblStyle w:val="52"/>
        <w:tblW w:w="5078" w:type="pct"/>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882"/>
        <w:gridCol w:w="1593"/>
        <w:gridCol w:w="2159"/>
        <w:gridCol w:w="3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29" w:type="pct"/>
          </w:tcPr>
          <w:p>
            <w:pPr>
              <w:spacing w:line="360" w:lineRule="auto"/>
              <w:rPr>
                <w:rFonts w:ascii="新宋体" w:hAnsi="新宋体" w:eastAsia="新宋体"/>
                <w:sz w:val="24"/>
              </w:rPr>
            </w:pPr>
            <w:r>
              <w:rPr>
                <w:rFonts w:hint="eastAsia" w:ascii="新宋体" w:hAnsi="新宋体" w:eastAsia="新宋体"/>
                <w:sz w:val="24"/>
              </w:rPr>
              <w:t>序号</w:t>
            </w:r>
          </w:p>
        </w:tc>
        <w:tc>
          <w:tcPr>
            <w:tcW w:w="968" w:type="pct"/>
          </w:tcPr>
          <w:p>
            <w:pPr>
              <w:spacing w:line="360" w:lineRule="auto"/>
              <w:rPr>
                <w:rFonts w:ascii="新宋体" w:hAnsi="新宋体" w:eastAsia="新宋体"/>
                <w:sz w:val="24"/>
              </w:rPr>
            </w:pPr>
            <w:r>
              <w:rPr>
                <w:rFonts w:hint="eastAsia" w:ascii="新宋体" w:hAnsi="新宋体" w:eastAsia="新宋体"/>
                <w:sz w:val="24"/>
              </w:rPr>
              <w:t>名称</w:t>
            </w:r>
          </w:p>
        </w:tc>
        <w:tc>
          <w:tcPr>
            <w:tcW w:w="819" w:type="pct"/>
          </w:tcPr>
          <w:p>
            <w:pPr>
              <w:spacing w:line="360" w:lineRule="auto"/>
              <w:rPr>
                <w:rFonts w:ascii="新宋体" w:hAnsi="新宋体" w:eastAsia="新宋体"/>
                <w:sz w:val="24"/>
              </w:rPr>
            </w:pPr>
            <w:r>
              <w:rPr>
                <w:rFonts w:hint="eastAsia" w:ascii="新宋体" w:hAnsi="新宋体" w:eastAsia="新宋体"/>
                <w:sz w:val="24"/>
              </w:rPr>
              <w:t>品牌型号</w:t>
            </w:r>
          </w:p>
        </w:tc>
        <w:tc>
          <w:tcPr>
            <w:tcW w:w="1110" w:type="pct"/>
          </w:tcPr>
          <w:p>
            <w:pPr>
              <w:spacing w:line="360" w:lineRule="auto"/>
              <w:rPr>
                <w:rFonts w:ascii="新宋体" w:hAnsi="新宋体" w:eastAsia="新宋体"/>
                <w:sz w:val="24"/>
              </w:rPr>
            </w:pPr>
            <w:r>
              <w:rPr>
                <w:rFonts w:hint="eastAsia" w:ascii="新宋体" w:hAnsi="新宋体" w:eastAsia="新宋体"/>
                <w:sz w:val="24"/>
              </w:rPr>
              <w:t>预计使用周期（更换时间）</w:t>
            </w:r>
          </w:p>
        </w:tc>
        <w:tc>
          <w:tcPr>
            <w:tcW w:w="1672" w:type="pct"/>
          </w:tcPr>
          <w:p>
            <w:pPr>
              <w:spacing w:line="360" w:lineRule="auto"/>
              <w:jc w:val="center"/>
              <w:rPr>
                <w:rFonts w:ascii="新宋体" w:hAnsi="新宋体" w:eastAsia="新宋体"/>
                <w:sz w:val="24"/>
              </w:rPr>
            </w:pPr>
            <w:r>
              <w:rPr>
                <w:rFonts w:hint="eastAsia" w:ascii="新宋体" w:hAnsi="新宋体" w:eastAsia="新宋体"/>
                <w:sz w:val="24"/>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29" w:type="pct"/>
          </w:tcPr>
          <w:p>
            <w:pPr>
              <w:spacing w:line="360" w:lineRule="auto"/>
              <w:rPr>
                <w:rFonts w:ascii="新宋体" w:hAnsi="新宋体" w:eastAsia="新宋体"/>
                <w:sz w:val="24"/>
              </w:rPr>
            </w:pPr>
          </w:p>
        </w:tc>
        <w:tc>
          <w:tcPr>
            <w:tcW w:w="968" w:type="pct"/>
          </w:tcPr>
          <w:p>
            <w:pPr>
              <w:spacing w:line="360" w:lineRule="auto"/>
              <w:rPr>
                <w:rFonts w:ascii="新宋体" w:hAnsi="新宋体" w:eastAsia="新宋体"/>
                <w:sz w:val="24"/>
              </w:rPr>
            </w:pPr>
          </w:p>
        </w:tc>
        <w:tc>
          <w:tcPr>
            <w:tcW w:w="819" w:type="pct"/>
          </w:tcPr>
          <w:p>
            <w:pPr>
              <w:spacing w:line="360" w:lineRule="auto"/>
              <w:rPr>
                <w:rFonts w:ascii="新宋体" w:hAnsi="新宋体" w:eastAsia="新宋体"/>
                <w:sz w:val="24"/>
              </w:rPr>
            </w:pPr>
          </w:p>
        </w:tc>
        <w:tc>
          <w:tcPr>
            <w:tcW w:w="1110" w:type="pct"/>
          </w:tcPr>
          <w:p>
            <w:pPr>
              <w:spacing w:line="360" w:lineRule="auto"/>
              <w:rPr>
                <w:rFonts w:ascii="新宋体" w:hAnsi="新宋体" w:eastAsia="新宋体"/>
                <w:sz w:val="24"/>
              </w:rPr>
            </w:pPr>
          </w:p>
        </w:tc>
        <w:tc>
          <w:tcPr>
            <w:tcW w:w="1672" w:type="pct"/>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29" w:type="pct"/>
          </w:tcPr>
          <w:p>
            <w:pPr>
              <w:spacing w:line="360" w:lineRule="auto"/>
              <w:rPr>
                <w:rFonts w:ascii="新宋体" w:hAnsi="新宋体" w:eastAsia="新宋体"/>
                <w:sz w:val="24"/>
              </w:rPr>
            </w:pPr>
          </w:p>
        </w:tc>
        <w:tc>
          <w:tcPr>
            <w:tcW w:w="968" w:type="pct"/>
          </w:tcPr>
          <w:p>
            <w:pPr>
              <w:spacing w:line="360" w:lineRule="auto"/>
              <w:rPr>
                <w:rFonts w:ascii="新宋体" w:hAnsi="新宋体" w:eastAsia="新宋体"/>
                <w:sz w:val="24"/>
              </w:rPr>
            </w:pPr>
          </w:p>
        </w:tc>
        <w:tc>
          <w:tcPr>
            <w:tcW w:w="819" w:type="pct"/>
          </w:tcPr>
          <w:p>
            <w:pPr>
              <w:spacing w:line="360" w:lineRule="auto"/>
              <w:rPr>
                <w:rFonts w:ascii="新宋体" w:hAnsi="新宋体" w:eastAsia="新宋体"/>
                <w:sz w:val="24"/>
              </w:rPr>
            </w:pPr>
          </w:p>
        </w:tc>
        <w:tc>
          <w:tcPr>
            <w:tcW w:w="1110" w:type="pct"/>
          </w:tcPr>
          <w:p>
            <w:pPr>
              <w:spacing w:line="360" w:lineRule="auto"/>
              <w:rPr>
                <w:rFonts w:ascii="新宋体" w:hAnsi="新宋体" w:eastAsia="新宋体"/>
                <w:sz w:val="24"/>
              </w:rPr>
            </w:pPr>
          </w:p>
        </w:tc>
        <w:tc>
          <w:tcPr>
            <w:tcW w:w="1672" w:type="pct"/>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29" w:type="pct"/>
          </w:tcPr>
          <w:p>
            <w:pPr>
              <w:spacing w:line="360" w:lineRule="auto"/>
              <w:rPr>
                <w:rFonts w:ascii="新宋体" w:hAnsi="新宋体" w:eastAsia="新宋体"/>
                <w:sz w:val="24"/>
              </w:rPr>
            </w:pPr>
          </w:p>
        </w:tc>
        <w:tc>
          <w:tcPr>
            <w:tcW w:w="968" w:type="pct"/>
          </w:tcPr>
          <w:p>
            <w:pPr>
              <w:spacing w:line="360" w:lineRule="auto"/>
              <w:rPr>
                <w:rFonts w:ascii="新宋体" w:hAnsi="新宋体" w:eastAsia="新宋体"/>
                <w:sz w:val="24"/>
              </w:rPr>
            </w:pPr>
          </w:p>
        </w:tc>
        <w:tc>
          <w:tcPr>
            <w:tcW w:w="819" w:type="pct"/>
          </w:tcPr>
          <w:p>
            <w:pPr>
              <w:spacing w:line="360" w:lineRule="auto"/>
              <w:rPr>
                <w:rFonts w:ascii="新宋体" w:hAnsi="新宋体" w:eastAsia="新宋体"/>
                <w:sz w:val="24"/>
              </w:rPr>
            </w:pPr>
          </w:p>
        </w:tc>
        <w:tc>
          <w:tcPr>
            <w:tcW w:w="1110" w:type="pct"/>
          </w:tcPr>
          <w:p>
            <w:pPr>
              <w:spacing w:line="360" w:lineRule="auto"/>
              <w:rPr>
                <w:rFonts w:ascii="新宋体" w:hAnsi="新宋体" w:eastAsia="新宋体"/>
                <w:sz w:val="24"/>
              </w:rPr>
            </w:pPr>
          </w:p>
        </w:tc>
        <w:tc>
          <w:tcPr>
            <w:tcW w:w="1672" w:type="pct"/>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29" w:type="pct"/>
          </w:tcPr>
          <w:p>
            <w:pPr>
              <w:spacing w:line="360" w:lineRule="auto"/>
              <w:rPr>
                <w:rFonts w:ascii="新宋体" w:hAnsi="新宋体" w:eastAsia="新宋体"/>
                <w:sz w:val="24"/>
              </w:rPr>
            </w:pPr>
          </w:p>
        </w:tc>
        <w:tc>
          <w:tcPr>
            <w:tcW w:w="968" w:type="pct"/>
          </w:tcPr>
          <w:p>
            <w:pPr>
              <w:spacing w:line="360" w:lineRule="auto"/>
              <w:rPr>
                <w:rFonts w:ascii="新宋体" w:hAnsi="新宋体" w:eastAsia="新宋体"/>
                <w:sz w:val="24"/>
              </w:rPr>
            </w:pPr>
          </w:p>
        </w:tc>
        <w:tc>
          <w:tcPr>
            <w:tcW w:w="819" w:type="pct"/>
          </w:tcPr>
          <w:p>
            <w:pPr>
              <w:spacing w:line="360" w:lineRule="auto"/>
              <w:rPr>
                <w:rFonts w:ascii="新宋体" w:hAnsi="新宋体" w:eastAsia="新宋体"/>
                <w:sz w:val="24"/>
              </w:rPr>
            </w:pPr>
          </w:p>
        </w:tc>
        <w:tc>
          <w:tcPr>
            <w:tcW w:w="1110" w:type="pct"/>
          </w:tcPr>
          <w:p>
            <w:pPr>
              <w:spacing w:line="360" w:lineRule="auto"/>
              <w:rPr>
                <w:rFonts w:ascii="新宋体" w:hAnsi="新宋体" w:eastAsia="新宋体"/>
                <w:sz w:val="24"/>
              </w:rPr>
            </w:pPr>
          </w:p>
        </w:tc>
        <w:tc>
          <w:tcPr>
            <w:tcW w:w="1672" w:type="pct"/>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29" w:type="pct"/>
          </w:tcPr>
          <w:p>
            <w:pPr>
              <w:spacing w:line="360" w:lineRule="auto"/>
              <w:rPr>
                <w:rFonts w:ascii="新宋体" w:hAnsi="新宋体" w:eastAsia="新宋体"/>
                <w:sz w:val="24"/>
              </w:rPr>
            </w:pPr>
          </w:p>
        </w:tc>
        <w:tc>
          <w:tcPr>
            <w:tcW w:w="968" w:type="pct"/>
          </w:tcPr>
          <w:p>
            <w:pPr>
              <w:spacing w:line="360" w:lineRule="auto"/>
              <w:rPr>
                <w:rFonts w:ascii="新宋体" w:hAnsi="新宋体" w:eastAsia="新宋体"/>
                <w:sz w:val="24"/>
              </w:rPr>
            </w:pPr>
          </w:p>
        </w:tc>
        <w:tc>
          <w:tcPr>
            <w:tcW w:w="819" w:type="pct"/>
          </w:tcPr>
          <w:p>
            <w:pPr>
              <w:spacing w:line="360" w:lineRule="auto"/>
              <w:rPr>
                <w:rFonts w:ascii="新宋体" w:hAnsi="新宋体" w:eastAsia="新宋体"/>
                <w:sz w:val="24"/>
              </w:rPr>
            </w:pPr>
          </w:p>
        </w:tc>
        <w:tc>
          <w:tcPr>
            <w:tcW w:w="1110" w:type="pct"/>
          </w:tcPr>
          <w:p>
            <w:pPr>
              <w:spacing w:line="360" w:lineRule="auto"/>
              <w:rPr>
                <w:rFonts w:ascii="新宋体" w:hAnsi="新宋体" w:eastAsia="新宋体"/>
                <w:sz w:val="24"/>
              </w:rPr>
            </w:pPr>
          </w:p>
        </w:tc>
        <w:tc>
          <w:tcPr>
            <w:tcW w:w="1672" w:type="pct"/>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29" w:type="pct"/>
          </w:tcPr>
          <w:p>
            <w:pPr>
              <w:spacing w:line="360" w:lineRule="auto"/>
              <w:rPr>
                <w:rFonts w:ascii="新宋体" w:hAnsi="新宋体" w:eastAsia="新宋体"/>
                <w:sz w:val="24"/>
              </w:rPr>
            </w:pPr>
          </w:p>
        </w:tc>
        <w:tc>
          <w:tcPr>
            <w:tcW w:w="968" w:type="pct"/>
          </w:tcPr>
          <w:p>
            <w:pPr>
              <w:spacing w:line="360" w:lineRule="auto"/>
              <w:rPr>
                <w:rFonts w:ascii="新宋体" w:hAnsi="新宋体" w:eastAsia="新宋体"/>
                <w:sz w:val="24"/>
              </w:rPr>
            </w:pPr>
          </w:p>
        </w:tc>
        <w:tc>
          <w:tcPr>
            <w:tcW w:w="819" w:type="pct"/>
          </w:tcPr>
          <w:p>
            <w:pPr>
              <w:spacing w:line="360" w:lineRule="auto"/>
              <w:rPr>
                <w:rFonts w:ascii="新宋体" w:hAnsi="新宋体" w:eastAsia="新宋体"/>
                <w:sz w:val="24"/>
              </w:rPr>
            </w:pPr>
          </w:p>
        </w:tc>
        <w:tc>
          <w:tcPr>
            <w:tcW w:w="1110" w:type="pct"/>
          </w:tcPr>
          <w:p>
            <w:pPr>
              <w:spacing w:line="360" w:lineRule="auto"/>
              <w:rPr>
                <w:rFonts w:ascii="新宋体" w:hAnsi="新宋体" w:eastAsia="新宋体"/>
                <w:sz w:val="24"/>
              </w:rPr>
            </w:pPr>
          </w:p>
        </w:tc>
        <w:tc>
          <w:tcPr>
            <w:tcW w:w="1672" w:type="pct"/>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29" w:type="pct"/>
          </w:tcPr>
          <w:p>
            <w:pPr>
              <w:spacing w:line="360" w:lineRule="auto"/>
              <w:rPr>
                <w:rFonts w:ascii="新宋体" w:hAnsi="新宋体" w:eastAsia="新宋体"/>
                <w:sz w:val="24"/>
              </w:rPr>
            </w:pPr>
          </w:p>
        </w:tc>
        <w:tc>
          <w:tcPr>
            <w:tcW w:w="968" w:type="pct"/>
          </w:tcPr>
          <w:p>
            <w:pPr>
              <w:spacing w:line="360" w:lineRule="auto"/>
              <w:rPr>
                <w:rFonts w:ascii="新宋体" w:hAnsi="新宋体" w:eastAsia="新宋体"/>
                <w:sz w:val="24"/>
              </w:rPr>
            </w:pPr>
          </w:p>
        </w:tc>
        <w:tc>
          <w:tcPr>
            <w:tcW w:w="819" w:type="pct"/>
          </w:tcPr>
          <w:p>
            <w:pPr>
              <w:spacing w:line="360" w:lineRule="auto"/>
              <w:rPr>
                <w:rFonts w:ascii="新宋体" w:hAnsi="新宋体" w:eastAsia="新宋体"/>
                <w:sz w:val="24"/>
              </w:rPr>
            </w:pPr>
          </w:p>
        </w:tc>
        <w:tc>
          <w:tcPr>
            <w:tcW w:w="1110" w:type="pct"/>
          </w:tcPr>
          <w:p>
            <w:pPr>
              <w:spacing w:line="360" w:lineRule="auto"/>
              <w:rPr>
                <w:rFonts w:ascii="新宋体" w:hAnsi="新宋体" w:eastAsia="新宋体"/>
                <w:sz w:val="24"/>
              </w:rPr>
            </w:pPr>
          </w:p>
        </w:tc>
        <w:tc>
          <w:tcPr>
            <w:tcW w:w="1672" w:type="pct"/>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29" w:type="pct"/>
          </w:tcPr>
          <w:p>
            <w:pPr>
              <w:spacing w:line="360" w:lineRule="auto"/>
              <w:rPr>
                <w:rFonts w:ascii="新宋体" w:hAnsi="新宋体" w:eastAsia="新宋体"/>
                <w:sz w:val="24"/>
              </w:rPr>
            </w:pPr>
          </w:p>
        </w:tc>
        <w:tc>
          <w:tcPr>
            <w:tcW w:w="968" w:type="pct"/>
          </w:tcPr>
          <w:p>
            <w:pPr>
              <w:spacing w:line="360" w:lineRule="auto"/>
              <w:rPr>
                <w:rFonts w:ascii="新宋体" w:hAnsi="新宋体" w:eastAsia="新宋体"/>
                <w:sz w:val="24"/>
              </w:rPr>
            </w:pPr>
          </w:p>
        </w:tc>
        <w:tc>
          <w:tcPr>
            <w:tcW w:w="819" w:type="pct"/>
          </w:tcPr>
          <w:p>
            <w:pPr>
              <w:spacing w:line="360" w:lineRule="auto"/>
              <w:rPr>
                <w:rFonts w:ascii="新宋体" w:hAnsi="新宋体" w:eastAsia="新宋体"/>
                <w:sz w:val="24"/>
              </w:rPr>
            </w:pPr>
          </w:p>
        </w:tc>
        <w:tc>
          <w:tcPr>
            <w:tcW w:w="1110" w:type="pct"/>
          </w:tcPr>
          <w:p>
            <w:pPr>
              <w:spacing w:line="360" w:lineRule="auto"/>
              <w:rPr>
                <w:rFonts w:ascii="新宋体" w:hAnsi="新宋体" w:eastAsia="新宋体"/>
                <w:sz w:val="24"/>
              </w:rPr>
            </w:pPr>
          </w:p>
        </w:tc>
        <w:tc>
          <w:tcPr>
            <w:tcW w:w="1672" w:type="pct"/>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29" w:type="pct"/>
          </w:tcPr>
          <w:p>
            <w:pPr>
              <w:spacing w:line="360" w:lineRule="auto"/>
              <w:rPr>
                <w:rFonts w:ascii="新宋体" w:hAnsi="新宋体" w:eastAsia="新宋体"/>
                <w:sz w:val="24"/>
              </w:rPr>
            </w:pPr>
          </w:p>
        </w:tc>
        <w:tc>
          <w:tcPr>
            <w:tcW w:w="968" w:type="pct"/>
          </w:tcPr>
          <w:p>
            <w:pPr>
              <w:spacing w:line="360" w:lineRule="auto"/>
              <w:rPr>
                <w:rFonts w:ascii="新宋体" w:hAnsi="新宋体" w:eastAsia="新宋体"/>
                <w:sz w:val="24"/>
              </w:rPr>
            </w:pPr>
          </w:p>
        </w:tc>
        <w:tc>
          <w:tcPr>
            <w:tcW w:w="819" w:type="pct"/>
          </w:tcPr>
          <w:p>
            <w:pPr>
              <w:spacing w:line="360" w:lineRule="auto"/>
              <w:rPr>
                <w:rFonts w:ascii="新宋体" w:hAnsi="新宋体" w:eastAsia="新宋体"/>
                <w:sz w:val="24"/>
              </w:rPr>
            </w:pPr>
          </w:p>
        </w:tc>
        <w:tc>
          <w:tcPr>
            <w:tcW w:w="1110" w:type="pct"/>
          </w:tcPr>
          <w:p>
            <w:pPr>
              <w:spacing w:line="360" w:lineRule="auto"/>
              <w:rPr>
                <w:rFonts w:ascii="新宋体" w:hAnsi="新宋体" w:eastAsia="新宋体"/>
                <w:sz w:val="24"/>
              </w:rPr>
            </w:pPr>
          </w:p>
        </w:tc>
        <w:tc>
          <w:tcPr>
            <w:tcW w:w="1672" w:type="pct"/>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29" w:type="pct"/>
          </w:tcPr>
          <w:p>
            <w:pPr>
              <w:spacing w:line="360" w:lineRule="auto"/>
              <w:rPr>
                <w:rFonts w:ascii="新宋体" w:hAnsi="新宋体" w:eastAsia="新宋体"/>
                <w:sz w:val="24"/>
              </w:rPr>
            </w:pPr>
          </w:p>
        </w:tc>
        <w:tc>
          <w:tcPr>
            <w:tcW w:w="968" w:type="pct"/>
          </w:tcPr>
          <w:p>
            <w:pPr>
              <w:spacing w:line="360" w:lineRule="auto"/>
              <w:rPr>
                <w:rFonts w:ascii="新宋体" w:hAnsi="新宋体" w:eastAsia="新宋体"/>
                <w:sz w:val="24"/>
              </w:rPr>
            </w:pPr>
          </w:p>
        </w:tc>
        <w:tc>
          <w:tcPr>
            <w:tcW w:w="819" w:type="pct"/>
          </w:tcPr>
          <w:p>
            <w:pPr>
              <w:spacing w:line="360" w:lineRule="auto"/>
              <w:rPr>
                <w:rFonts w:ascii="新宋体" w:hAnsi="新宋体" w:eastAsia="新宋体"/>
                <w:sz w:val="24"/>
              </w:rPr>
            </w:pPr>
          </w:p>
        </w:tc>
        <w:tc>
          <w:tcPr>
            <w:tcW w:w="1110" w:type="pct"/>
          </w:tcPr>
          <w:p>
            <w:pPr>
              <w:spacing w:line="360" w:lineRule="auto"/>
              <w:rPr>
                <w:rFonts w:ascii="新宋体" w:hAnsi="新宋体" w:eastAsia="新宋体"/>
                <w:sz w:val="24"/>
              </w:rPr>
            </w:pPr>
          </w:p>
        </w:tc>
        <w:tc>
          <w:tcPr>
            <w:tcW w:w="1672" w:type="pct"/>
          </w:tcPr>
          <w:p>
            <w:pPr>
              <w:spacing w:line="360" w:lineRule="auto"/>
              <w:rPr>
                <w:rFonts w:ascii="新宋体" w:hAnsi="新宋体" w:eastAsia="新宋体"/>
                <w:sz w:val="24"/>
              </w:rPr>
            </w:pPr>
          </w:p>
        </w:tc>
      </w:tr>
    </w:tbl>
    <w:p>
      <w:pPr>
        <w:spacing w:line="360" w:lineRule="auto"/>
        <w:rPr>
          <w:rFonts w:ascii="新宋体" w:hAnsi="新宋体" w:eastAsia="新宋体"/>
          <w:sz w:val="24"/>
        </w:rPr>
      </w:pPr>
    </w:p>
    <w:p>
      <w:pPr>
        <w:spacing w:line="360" w:lineRule="auto"/>
        <w:rPr>
          <w:rFonts w:ascii="新宋体" w:hAnsi="新宋体" w:eastAsia="新宋体"/>
          <w:sz w:val="24"/>
        </w:rPr>
      </w:pPr>
      <w:r>
        <w:rPr>
          <w:rFonts w:hint="eastAsia" w:ascii="新宋体" w:hAnsi="新宋体" w:eastAsia="新宋体"/>
          <w:sz w:val="24"/>
        </w:rPr>
        <w:t>投标人名称（电子签章）：</w:t>
      </w:r>
      <w:r>
        <w:rPr>
          <w:rFonts w:ascii="新宋体" w:hAnsi="新宋体" w:eastAsia="新宋体"/>
          <w:sz w:val="28"/>
          <w:szCs w:val="28"/>
        </w:rPr>
        <w:t>______________</w:t>
      </w:r>
    </w:p>
    <w:p>
      <w:pPr>
        <w:spacing w:line="360" w:lineRule="auto"/>
        <w:rPr>
          <w:rFonts w:ascii="新宋体" w:hAnsi="新宋体" w:eastAsia="新宋体"/>
          <w:sz w:val="24"/>
        </w:rPr>
      </w:pPr>
      <w:r>
        <w:rPr>
          <w:rFonts w:hint="eastAsia" w:ascii="新宋体" w:hAnsi="新宋体" w:eastAsia="新宋体"/>
          <w:sz w:val="24"/>
        </w:rPr>
        <w:t>日</w:t>
      </w:r>
      <w:r>
        <w:rPr>
          <w:rFonts w:ascii="新宋体" w:hAnsi="新宋体" w:eastAsia="新宋体"/>
          <w:sz w:val="24"/>
        </w:rPr>
        <w:t xml:space="preserve"> </w:t>
      </w:r>
      <w:r>
        <w:rPr>
          <w:rFonts w:hint="eastAsia" w:ascii="新宋体" w:hAnsi="新宋体" w:eastAsia="新宋体"/>
          <w:sz w:val="24"/>
        </w:rPr>
        <w:t>期：</w:t>
      </w:r>
      <w:r>
        <w:rPr>
          <w:rFonts w:ascii="新宋体" w:hAnsi="新宋体" w:eastAsia="新宋体"/>
          <w:sz w:val="24"/>
        </w:rPr>
        <w:t xml:space="preserve">      </w:t>
      </w:r>
      <w:r>
        <w:rPr>
          <w:rFonts w:hint="eastAsia" w:ascii="新宋体" w:hAnsi="新宋体" w:eastAsia="新宋体"/>
          <w:sz w:val="24"/>
        </w:rPr>
        <w:t>年</w:t>
      </w:r>
      <w:r>
        <w:rPr>
          <w:rFonts w:ascii="新宋体" w:hAnsi="新宋体" w:eastAsia="新宋体"/>
          <w:sz w:val="24"/>
        </w:rPr>
        <w:t xml:space="preserve">    </w:t>
      </w:r>
      <w:r>
        <w:rPr>
          <w:rFonts w:hint="eastAsia" w:ascii="新宋体" w:hAnsi="新宋体" w:eastAsia="新宋体"/>
          <w:sz w:val="24"/>
        </w:rPr>
        <w:t>月</w:t>
      </w:r>
      <w:r>
        <w:rPr>
          <w:rFonts w:ascii="新宋体" w:hAnsi="新宋体" w:eastAsia="新宋体"/>
          <w:sz w:val="24"/>
        </w:rPr>
        <w:t xml:space="preserve">      </w:t>
      </w:r>
      <w:r>
        <w:rPr>
          <w:rFonts w:hint="eastAsia" w:ascii="新宋体" w:hAnsi="新宋体" w:eastAsia="新宋体"/>
          <w:sz w:val="24"/>
        </w:rPr>
        <w:t>日</w:t>
      </w:r>
    </w:p>
    <w:p>
      <w:pPr>
        <w:spacing w:line="360" w:lineRule="auto"/>
        <w:ind w:left="1199" w:leftChars="228" w:hanging="720" w:hangingChars="300"/>
        <w:rPr>
          <w:rFonts w:ascii="新宋体" w:hAnsi="新宋体" w:eastAsia="新宋体"/>
          <w:sz w:val="24"/>
        </w:rPr>
      </w:pPr>
      <w:r>
        <w:rPr>
          <w:rFonts w:hint="eastAsia" w:ascii="新宋体" w:hAnsi="新宋体" w:eastAsia="新宋体"/>
          <w:sz w:val="24"/>
        </w:rPr>
        <w:t>备注：1.“备品备件及专用工具清单”指的是易损耗品及其它需要备用的零部件和专用工具。质保期满后供采购人采购选购使用，中标人须按照不高于该价格提供。</w:t>
      </w:r>
    </w:p>
    <w:p>
      <w:pPr>
        <w:spacing w:line="360" w:lineRule="auto"/>
        <w:ind w:left="1197" w:leftChars="570"/>
        <w:rPr>
          <w:rFonts w:ascii="新宋体" w:hAnsi="新宋体" w:eastAsia="新宋体"/>
          <w:sz w:val="24"/>
        </w:rPr>
      </w:pPr>
      <w:r>
        <w:rPr>
          <w:rFonts w:hint="eastAsia" w:ascii="新宋体" w:hAnsi="新宋体" w:eastAsia="新宋体"/>
          <w:sz w:val="24"/>
        </w:rPr>
        <w:t>2.此表在不改变格式内容的情况下，可自行制作。</w:t>
      </w:r>
    </w:p>
    <w:p>
      <w:pPr>
        <w:rPr>
          <w:rFonts w:ascii="新宋体" w:hAnsi="新宋体" w:eastAsia="新宋体"/>
          <w:b/>
          <w:bCs/>
          <w:sz w:val="24"/>
        </w:rPr>
      </w:pPr>
    </w:p>
    <w:p>
      <w:pPr>
        <w:spacing w:line="400" w:lineRule="exact"/>
        <w:rPr>
          <w:rFonts w:ascii="新宋体" w:hAnsi="新宋体" w:eastAsia="新宋体"/>
          <w:b/>
          <w:bCs/>
          <w:sz w:val="36"/>
          <w:szCs w:val="36"/>
        </w:rPr>
      </w:pPr>
      <w:r>
        <w:rPr>
          <w:rFonts w:hint="eastAsia" w:ascii="新宋体" w:hAnsi="新宋体" w:eastAsia="新宋体"/>
          <w:b/>
          <w:bCs/>
          <w:sz w:val="24"/>
        </w:rPr>
        <w:br w:type="page"/>
      </w:r>
      <w:r>
        <w:rPr>
          <w:rFonts w:hint="eastAsia" w:ascii="新宋体" w:hAnsi="新宋体" w:eastAsia="新宋体"/>
          <w:b/>
          <w:bCs/>
          <w:sz w:val="36"/>
          <w:szCs w:val="36"/>
        </w:rPr>
        <w:t xml:space="preserve">8.             </w:t>
      </w:r>
      <w:r>
        <w:rPr>
          <w:rFonts w:hint="eastAsia" w:ascii="新宋体" w:hAnsi="新宋体" w:eastAsia="新宋体" w:cs="新宋体"/>
          <w:b/>
          <w:bCs/>
          <w:sz w:val="36"/>
        </w:rPr>
        <w:t>项目组成人员表</w:t>
      </w:r>
      <w:r>
        <w:rPr>
          <w:rFonts w:hint="eastAsia" w:ascii="新宋体" w:hAnsi="新宋体" w:eastAsia="新宋体" w:cs="新宋体"/>
          <w:b/>
          <w:bCs/>
          <w:sz w:val="36"/>
          <w:szCs w:val="36"/>
        </w:rPr>
        <w:t>（格式）</w:t>
      </w:r>
    </w:p>
    <w:p>
      <w:pPr>
        <w:spacing w:line="400" w:lineRule="exact"/>
        <w:jc w:val="center"/>
        <w:rPr>
          <w:rFonts w:ascii="新宋体" w:hAnsi="新宋体" w:eastAsia="新宋体" w:cs="新宋体"/>
          <w:b/>
          <w:bCs/>
          <w:sz w:val="36"/>
          <w:szCs w:val="36"/>
        </w:rPr>
      </w:pPr>
      <w:r>
        <w:rPr>
          <w:rFonts w:hint="eastAsia" w:ascii="新宋体" w:hAnsi="新宋体" w:eastAsia="新宋体" w:cs="新宋体"/>
          <w:b/>
          <w:bCs/>
          <w:sz w:val="36"/>
          <w:szCs w:val="36"/>
        </w:rPr>
        <w:t>项目负责人简历表</w:t>
      </w:r>
    </w:p>
    <w:p>
      <w:pPr>
        <w:rPr>
          <w:rFonts w:hint="eastAsia" w:ascii="新宋体" w:hAnsi="新宋体" w:eastAsia="新宋体" w:cs="新宋体"/>
          <w:b/>
          <w:szCs w:val="21"/>
          <w:lang w:eastAsia="zh-CN"/>
        </w:rPr>
      </w:pPr>
      <w:r>
        <w:rPr>
          <w:rFonts w:hint="eastAsia" w:ascii="新宋体" w:hAnsi="新宋体" w:eastAsia="新宋体" w:cs="新宋体"/>
          <w:b/>
          <w:szCs w:val="21"/>
        </w:rPr>
        <w:t>投标人：（电子签章）_________________</w:t>
      </w:r>
      <w:r>
        <w:rPr>
          <w:rFonts w:hint="eastAsia" w:ascii="新宋体" w:hAnsi="新宋体" w:eastAsia="新宋体" w:cs="新宋体"/>
          <w:sz w:val="24"/>
        </w:rPr>
        <w:t>采购编号：</w:t>
      </w:r>
      <w:r>
        <w:rPr>
          <w:rFonts w:hint="eastAsia" w:ascii="新宋体" w:hAnsi="新宋体" w:eastAsia="新宋体" w:cs="新宋体"/>
          <w:sz w:val="24"/>
          <w:lang w:eastAsia="zh-CN"/>
        </w:rPr>
        <w:t>YWCG2024013GK</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318"/>
        <w:gridCol w:w="1242"/>
        <w:gridCol w:w="231"/>
        <w:gridCol w:w="433"/>
        <w:gridCol w:w="702"/>
        <w:gridCol w:w="101"/>
        <w:gridCol w:w="386"/>
        <w:gridCol w:w="191"/>
        <w:gridCol w:w="535"/>
        <w:gridCol w:w="127"/>
        <w:gridCol w:w="225"/>
        <w:gridCol w:w="589"/>
        <w:gridCol w:w="148"/>
        <w:gridCol w:w="366"/>
        <w:gridCol w:w="448"/>
        <w:gridCol w:w="609"/>
        <w:gridCol w:w="966"/>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9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r>
              <w:rPr>
                <w:rFonts w:hint="eastAsia" w:ascii="新宋体" w:hAnsi="新宋体" w:eastAsia="新宋体" w:cs="新宋体"/>
                <w:szCs w:val="21"/>
              </w:rPr>
              <w:t>姓名</w:t>
            </w:r>
          </w:p>
        </w:tc>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p>
        </w:tc>
        <w:tc>
          <w:tcPr>
            <w:tcW w:w="6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r>
              <w:rPr>
                <w:rFonts w:hint="eastAsia" w:ascii="新宋体" w:hAnsi="新宋体" w:eastAsia="新宋体" w:cs="新宋体"/>
                <w:szCs w:val="21"/>
              </w:rPr>
              <w:t>性别</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p>
        </w:tc>
        <w:tc>
          <w:tcPr>
            <w:tcW w:w="67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r>
              <w:rPr>
                <w:rFonts w:hint="eastAsia" w:ascii="新宋体" w:hAnsi="新宋体" w:eastAsia="新宋体" w:cs="新宋体"/>
                <w:szCs w:val="21"/>
              </w:rPr>
              <w:t>年龄</w:t>
            </w:r>
          </w:p>
        </w:tc>
        <w:tc>
          <w:tcPr>
            <w:tcW w:w="53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p>
        </w:tc>
        <w:tc>
          <w:tcPr>
            <w:tcW w:w="352" w:type="dxa"/>
            <w:gridSpan w:val="2"/>
            <w:tcBorders>
              <w:top w:val="single" w:color="auto" w:sz="4" w:space="0"/>
              <w:left w:val="single" w:color="auto" w:sz="4" w:space="0"/>
              <w:bottom w:val="single" w:color="auto" w:sz="4" w:space="0"/>
              <w:right w:val="single" w:color="auto" w:sz="4" w:space="0"/>
            </w:tcBorders>
            <w:vAlign w:val="center"/>
          </w:tcPr>
          <w:p>
            <w:pPr>
              <w:ind w:right="-97" w:rightChars="-46"/>
              <w:jc w:val="center"/>
              <w:rPr>
                <w:rFonts w:ascii="新宋体" w:hAnsi="新宋体" w:eastAsia="新宋体" w:cs="新宋体"/>
                <w:szCs w:val="21"/>
              </w:rPr>
            </w:pPr>
            <w:r>
              <w:rPr>
                <w:rFonts w:hint="eastAsia" w:ascii="新宋体" w:hAnsi="新宋体" w:eastAsia="新宋体" w:cs="新宋体"/>
                <w:szCs w:val="21"/>
              </w:rPr>
              <w:t>学历</w:t>
            </w:r>
          </w:p>
        </w:tc>
        <w:tc>
          <w:tcPr>
            <w:tcW w:w="7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p>
        </w:tc>
        <w:tc>
          <w:tcPr>
            <w:tcW w:w="8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r>
              <w:rPr>
                <w:rFonts w:hint="eastAsia" w:ascii="新宋体" w:hAnsi="新宋体" w:eastAsia="新宋体" w:cs="新宋体"/>
                <w:szCs w:val="21"/>
              </w:rPr>
              <w:t>职称</w:t>
            </w:r>
          </w:p>
        </w:tc>
        <w:tc>
          <w:tcPr>
            <w:tcW w:w="276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79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r>
              <w:rPr>
                <w:rFonts w:hint="eastAsia" w:ascii="新宋体" w:hAnsi="新宋体" w:eastAsia="新宋体" w:cs="新宋体"/>
                <w:szCs w:val="21"/>
              </w:rPr>
              <w:t>职务</w:t>
            </w:r>
          </w:p>
        </w:tc>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p>
        </w:tc>
        <w:tc>
          <w:tcPr>
            <w:tcW w:w="136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r>
              <w:rPr>
                <w:rFonts w:hint="eastAsia" w:ascii="新宋体" w:hAnsi="新宋体" w:eastAsia="新宋体" w:cs="新宋体"/>
                <w:szCs w:val="21"/>
              </w:rPr>
              <w:t>参加工作</w:t>
            </w:r>
          </w:p>
          <w:p>
            <w:pPr>
              <w:jc w:val="center"/>
              <w:rPr>
                <w:rFonts w:ascii="新宋体" w:hAnsi="新宋体" w:eastAsia="新宋体" w:cs="新宋体"/>
                <w:szCs w:val="21"/>
              </w:rPr>
            </w:pPr>
            <w:r>
              <w:rPr>
                <w:rFonts w:hint="eastAsia" w:ascii="新宋体" w:hAnsi="新宋体" w:eastAsia="新宋体" w:cs="新宋体"/>
                <w:szCs w:val="21"/>
              </w:rPr>
              <w:t>时间</w:t>
            </w:r>
          </w:p>
        </w:tc>
        <w:tc>
          <w:tcPr>
            <w:tcW w:w="487" w:type="dxa"/>
            <w:gridSpan w:val="2"/>
            <w:tcBorders>
              <w:top w:val="single" w:color="auto" w:sz="4" w:space="0"/>
              <w:left w:val="single" w:color="auto" w:sz="4" w:space="0"/>
              <w:bottom w:val="single" w:color="auto" w:sz="4" w:space="0"/>
              <w:right w:val="single" w:color="auto" w:sz="4" w:space="0"/>
            </w:tcBorders>
          </w:tcPr>
          <w:p>
            <w:pPr>
              <w:tabs>
                <w:tab w:val="left" w:pos="632"/>
              </w:tabs>
              <w:jc w:val="center"/>
              <w:rPr>
                <w:rFonts w:ascii="新宋体" w:hAnsi="新宋体" w:eastAsia="新宋体" w:cs="新宋体"/>
                <w:szCs w:val="21"/>
              </w:rPr>
            </w:pPr>
            <w:r>
              <w:rPr>
                <w:rFonts w:hint="eastAsia" w:ascii="新宋体" w:hAnsi="新宋体" w:eastAsia="新宋体" w:cs="新宋体"/>
                <w:szCs w:val="21"/>
              </w:rPr>
              <w:t>年  月  日</w:t>
            </w:r>
          </w:p>
        </w:tc>
        <w:tc>
          <w:tcPr>
            <w:tcW w:w="1667"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r>
              <w:rPr>
                <w:rFonts w:hint="eastAsia" w:ascii="新宋体" w:hAnsi="新宋体" w:eastAsia="新宋体" w:cs="新宋体"/>
                <w:szCs w:val="21"/>
              </w:rPr>
              <w:t>从事类似</w:t>
            </w:r>
          </w:p>
          <w:p>
            <w:pPr>
              <w:jc w:val="center"/>
              <w:rPr>
                <w:rFonts w:ascii="新宋体" w:hAnsi="新宋体" w:eastAsia="新宋体" w:cs="新宋体"/>
                <w:szCs w:val="21"/>
              </w:rPr>
            </w:pPr>
            <w:r>
              <w:rPr>
                <w:rFonts w:hint="eastAsia" w:ascii="新宋体" w:hAnsi="新宋体" w:eastAsia="新宋体" w:cs="新宋体"/>
                <w:szCs w:val="21"/>
              </w:rPr>
              <w:t>工作年限</w:t>
            </w:r>
          </w:p>
        </w:tc>
        <w:tc>
          <w:tcPr>
            <w:tcW w:w="3731"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9288" w:type="dxa"/>
            <w:gridSpan w:val="19"/>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r>
              <w:rPr>
                <w:rFonts w:hint="eastAsia" w:ascii="新宋体" w:hAnsi="新宋体" w:eastAsia="新宋体" w:cs="新宋体"/>
                <w:szCs w:val="21"/>
              </w:rPr>
              <w:t>近三年负责完成的类似主要项目情况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47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r>
              <w:rPr>
                <w:rFonts w:hint="eastAsia" w:ascii="新宋体" w:hAnsi="新宋体" w:eastAsia="新宋体" w:cs="新宋体"/>
                <w:szCs w:val="21"/>
              </w:rPr>
              <w:t>序号</w:t>
            </w:r>
          </w:p>
        </w:tc>
        <w:tc>
          <w:tcPr>
            <w:tcW w:w="179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r>
              <w:rPr>
                <w:rFonts w:hint="eastAsia" w:ascii="新宋体" w:hAnsi="新宋体" w:eastAsia="新宋体" w:cs="新宋体"/>
                <w:szCs w:val="21"/>
              </w:rPr>
              <w:t>业主单位</w:t>
            </w:r>
          </w:p>
        </w:tc>
        <w:tc>
          <w:tcPr>
            <w:tcW w:w="12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r>
              <w:rPr>
                <w:rFonts w:hint="eastAsia" w:ascii="新宋体" w:hAnsi="新宋体" w:eastAsia="新宋体" w:cs="新宋体"/>
                <w:szCs w:val="21"/>
              </w:rPr>
              <w:t>项目名称</w:t>
            </w:r>
          </w:p>
        </w:tc>
        <w:tc>
          <w:tcPr>
            <w:tcW w:w="123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r>
              <w:rPr>
                <w:rFonts w:hint="eastAsia" w:ascii="新宋体" w:hAnsi="新宋体" w:eastAsia="新宋体" w:cs="新宋体"/>
                <w:szCs w:val="21"/>
              </w:rPr>
              <w:t>项目内容</w:t>
            </w:r>
          </w:p>
        </w:tc>
        <w:tc>
          <w:tcPr>
            <w:tcW w:w="132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r>
              <w:rPr>
                <w:rFonts w:hint="eastAsia" w:ascii="新宋体" w:hAnsi="新宋体" w:eastAsia="新宋体" w:cs="新宋体"/>
                <w:szCs w:val="21"/>
              </w:rPr>
              <w:t>委托日期</w:t>
            </w:r>
          </w:p>
        </w:tc>
        <w:tc>
          <w:tcPr>
            <w:tcW w:w="1057" w:type="dxa"/>
            <w:gridSpan w:val="2"/>
            <w:tcBorders>
              <w:top w:val="single" w:color="auto" w:sz="4" w:space="0"/>
              <w:left w:val="single" w:color="auto" w:sz="4" w:space="0"/>
              <w:right w:val="single" w:color="auto" w:sz="4" w:space="0"/>
            </w:tcBorders>
            <w:vAlign w:val="center"/>
          </w:tcPr>
          <w:p>
            <w:pPr>
              <w:jc w:val="center"/>
              <w:rPr>
                <w:rFonts w:ascii="新宋体" w:hAnsi="新宋体" w:eastAsia="新宋体" w:cs="新宋体"/>
                <w:szCs w:val="21"/>
              </w:rPr>
            </w:pPr>
            <w:r>
              <w:rPr>
                <w:rFonts w:hint="eastAsia" w:ascii="新宋体" w:hAnsi="新宋体" w:eastAsia="新宋体" w:cs="新宋体"/>
                <w:szCs w:val="21"/>
              </w:rPr>
              <w:t>项目评估金额</w:t>
            </w:r>
          </w:p>
        </w:tc>
        <w:tc>
          <w:tcPr>
            <w:tcW w:w="966" w:type="dxa"/>
            <w:tcBorders>
              <w:top w:val="single" w:color="auto" w:sz="4" w:space="0"/>
              <w:left w:val="single" w:color="auto" w:sz="4" w:space="0"/>
              <w:right w:val="single" w:color="auto" w:sz="4" w:space="0"/>
            </w:tcBorders>
            <w:vAlign w:val="center"/>
          </w:tcPr>
          <w:p>
            <w:pPr>
              <w:jc w:val="center"/>
              <w:rPr>
                <w:rFonts w:ascii="新宋体" w:hAnsi="新宋体" w:eastAsia="新宋体" w:cs="新宋体"/>
                <w:szCs w:val="21"/>
              </w:rPr>
            </w:pPr>
            <w:r>
              <w:rPr>
                <w:rFonts w:hint="eastAsia" w:ascii="新宋体" w:hAnsi="新宋体" w:eastAsia="新宋体" w:cs="新宋体"/>
                <w:szCs w:val="21"/>
              </w:rPr>
              <w:t>联系人</w:t>
            </w:r>
          </w:p>
        </w:tc>
        <w:tc>
          <w:tcPr>
            <w:tcW w:w="1194" w:type="dxa"/>
            <w:tcBorders>
              <w:top w:val="single" w:color="auto" w:sz="4" w:space="0"/>
              <w:left w:val="single" w:color="auto" w:sz="4" w:space="0"/>
              <w:right w:val="single" w:color="auto" w:sz="4" w:space="0"/>
            </w:tcBorders>
            <w:vAlign w:val="center"/>
          </w:tcPr>
          <w:p>
            <w:pPr>
              <w:jc w:val="center"/>
              <w:rPr>
                <w:rFonts w:ascii="新宋体" w:hAnsi="新宋体" w:eastAsia="新宋体" w:cs="新宋体"/>
                <w:szCs w:val="21"/>
              </w:rPr>
            </w:pPr>
            <w:r>
              <w:rPr>
                <w:rFonts w:hint="eastAsia" w:ascii="新宋体" w:hAnsi="新宋体" w:eastAsia="新宋体" w:cs="新宋体"/>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exact"/>
        </w:trPr>
        <w:tc>
          <w:tcPr>
            <w:tcW w:w="47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r>
              <w:rPr>
                <w:rFonts w:hint="eastAsia" w:ascii="新宋体" w:hAnsi="新宋体" w:eastAsia="新宋体" w:cs="新宋体"/>
                <w:szCs w:val="21"/>
              </w:rPr>
              <w:t>1</w:t>
            </w:r>
          </w:p>
        </w:tc>
        <w:tc>
          <w:tcPr>
            <w:tcW w:w="179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p>
        </w:tc>
        <w:tc>
          <w:tcPr>
            <w:tcW w:w="12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p>
        </w:tc>
        <w:tc>
          <w:tcPr>
            <w:tcW w:w="123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p>
        </w:tc>
        <w:tc>
          <w:tcPr>
            <w:tcW w:w="132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p>
        </w:tc>
        <w:tc>
          <w:tcPr>
            <w:tcW w:w="1057" w:type="dxa"/>
            <w:gridSpan w:val="2"/>
            <w:tcBorders>
              <w:left w:val="single" w:color="auto" w:sz="4" w:space="0"/>
              <w:right w:val="single" w:color="auto" w:sz="4" w:space="0"/>
            </w:tcBorders>
            <w:vAlign w:val="center"/>
          </w:tcPr>
          <w:p>
            <w:pPr>
              <w:jc w:val="center"/>
              <w:rPr>
                <w:rFonts w:ascii="新宋体" w:hAnsi="新宋体" w:eastAsia="新宋体" w:cs="新宋体"/>
                <w:szCs w:val="21"/>
              </w:rPr>
            </w:pPr>
          </w:p>
        </w:tc>
        <w:tc>
          <w:tcPr>
            <w:tcW w:w="966" w:type="dxa"/>
            <w:tcBorders>
              <w:left w:val="single" w:color="auto" w:sz="4" w:space="0"/>
              <w:right w:val="single" w:color="auto" w:sz="4" w:space="0"/>
            </w:tcBorders>
            <w:vAlign w:val="center"/>
          </w:tcPr>
          <w:p>
            <w:pPr>
              <w:jc w:val="center"/>
              <w:rPr>
                <w:rFonts w:ascii="新宋体" w:hAnsi="新宋体" w:eastAsia="新宋体" w:cs="新宋体"/>
                <w:szCs w:val="21"/>
              </w:rPr>
            </w:pPr>
          </w:p>
        </w:tc>
        <w:tc>
          <w:tcPr>
            <w:tcW w:w="1194" w:type="dxa"/>
            <w:tcBorders>
              <w:left w:val="single" w:color="auto" w:sz="4" w:space="0"/>
              <w:right w:val="single" w:color="auto" w:sz="4" w:space="0"/>
            </w:tcBorders>
            <w:vAlign w:val="center"/>
          </w:tcPr>
          <w:p>
            <w:pPr>
              <w:jc w:val="center"/>
              <w:rPr>
                <w:rFonts w:ascii="新宋体" w:hAnsi="新宋体" w:eastAsia="新宋体" w:cs="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trPr>
        <w:tc>
          <w:tcPr>
            <w:tcW w:w="47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r>
              <w:rPr>
                <w:rFonts w:hint="eastAsia" w:ascii="新宋体" w:hAnsi="新宋体" w:eastAsia="新宋体" w:cs="新宋体"/>
                <w:szCs w:val="21"/>
              </w:rPr>
              <w:t>2</w:t>
            </w:r>
          </w:p>
        </w:tc>
        <w:tc>
          <w:tcPr>
            <w:tcW w:w="179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p>
        </w:tc>
        <w:tc>
          <w:tcPr>
            <w:tcW w:w="12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p>
        </w:tc>
        <w:tc>
          <w:tcPr>
            <w:tcW w:w="123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p>
        </w:tc>
        <w:tc>
          <w:tcPr>
            <w:tcW w:w="132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p>
        </w:tc>
        <w:tc>
          <w:tcPr>
            <w:tcW w:w="1057" w:type="dxa"/>
            <w:gridSpan w:val="2"/>
            <w:tcBorders>
              <w:left w:val="single" w:color="auto" w:sz="4" w:space="0"/>
              <w:right w:val="single" w:color="auto" w:sz="4" w:space="0"/>
            </w:tcBorders>
            <w:vAlign w:val="center"/>
          </w:tcPr>
          <w:p>
            <w:pPr>
              <w:jc w:val="center"/>
              <w:rPr>
                <w:rFonts w:ascii="新宋体" w:hAnsi="新宋体" w:eastAsia="新宋体" w:cs="新宋体"/>
                <w:szCs w:val="21"/>
              </w:rPr>
            </w:pPr>
          </w:p>
        </w:tc>
        <w:tc>
          <w:tcPr>
            <w:tcW w:w="966" w:type="dxa"/>
            <w:tcBorders>
              <w:left w:val="single" w:color="auto" w:sz="4" w:space="0"/>
              <w:right w:val="single" w:color="auto" w:sz="4" w:space="0"/>
            </w:tcBorders>
            <w:vAlign w:val="center"/>
          </w:tcPr>
          <w:p>
            <w:pPr>
              <w:jc w:val="center"/>
              <w:rPr>
                <w:rFonts w:ascii="新宋体" w:hAnsi="新宋体" w:eastAsia="新宋体" w:cs="新宋体"/>
                <w:szCs w:val="21"/>
              </w:rPr>
            </w:pPr>
          </w:p>
        </w:tc>
        <w:tc>
          <w:tcPr>
            <w:tcW w:w="1194" w:type="dxa"/>
            <w:tcBorders>
              <w:left w:val="single" w:color="auto" w:sz="4" w:space="0"/>
              <w:right w:val="single" w:color="auto" w:sz="4" w:space="0"/>
            </w:tcBorders>
            <w:vAlign w:val="center"/>
          </w:tcPr>
          <w:p>
            <w:pPr>
              <w:jc w:val="center"/>
              <w:rPr>
                <w:rFonts w:ascii="新宋体" w:hAnsi="新宋体" w:eastAsia="新宋体" w:cs="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trPr>
        <w:tc>
          <w:tcPr>
            <w:tcW w:w="47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r>
              <w:rPr>
                <w:rFonts w:hint="eastAsia" w:ascii="新宋体" w:hAnsi="新宋体" w:eastAsia="新宋体" w:cs="新宋体"/>
                <w:szCs w:val="21"/>
              </w:rPr>
              <w:t>3</w:t>
            </w:r>
          </w:p>
        </w:tc>
        <w:tc>
          <w:tcPr>
            <w:tcW w:w="179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p>
        </w:tc>
        <w:tc>
          <w:tcPr>
            <w:tcW w:w="12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p>
        </w:tc>
        <w:tc>
          <w:tcPr>
            <w:tcW w:w="123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p>
        </w:tc>
        <w:tc>
          <w:tcPr>
            <w:tcW w:w="132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p>
        </w:tc>
        <w:tc>
          <w:tcPr>
            <w:tcW w:w="1057" w:type="dxa"/>
            <w:gridSpan w:val="2"/>
            <w:tcBorders>
              <w:left w:val="single" w:color="auto" w:sz="4" w:space="0"/>
              <w:right w:val="single" w:color="auto" w:sz="4" w:space="0"/>
            </w:tcBorders>
            <w:vAlign w:val="center"/>
          </w:tcPr>
          <w:p>
            <w:pPr>
              <w:jc w:val="center"/>
              <w:rPr>
                <w:rFonts w:ascii="新宋体" w:hAnsi="新宋体" w:eastAsia="新宋体" w:cs="新宋体"/>
                <w:szCs w:val="21"/>
              </w:rPr>
            </w:pPr>
          </w:p>
        </w:tc>
        <w:tc>
          <w:tcPr>
            <w:tcW w:w="966" w:type="dxa"/>
            <w:tcBorders>
              <w:left w:val="single" w:color="auto" w:sz="4" w:space="0"/>
              <w:right w:val="single" w:color="auto" w:sz="4" w:space="0"/>
            </w:tcBorders>
            <w:vAlign w:val="center"/>
          </w:tcPr>
          <w:p>
            <w:pPr>
              <w:jc w:val="center"/>
              <w:rPr>
                <w:rFonts w:ascii="新宋体" w:hAnsi="新宋体" w:eastAsia="新宋体" w:cs="新宋体"/>
                <w:szCs w:val="21"/>
              </w:rPr>
            </w:pPr>
          </w:p>
        </w:tc>
        <w:tc>
          <w:tcPr>
            <w:tcW w:w="1194" w:type="dxa"/>
            <w:tcBorders>
              <w:left w:val="single" w:color="auto" w:sz="4" w:space="0"/>
              <w:right w:val="single" w:color="auto" w:sz="4" w:space="0"/>
            </w:tcBorders>
            <w:vAlign w:val="center"/>
          </w:tcPr>
          <w:p>
            <w:pPr>
              <w:jc w:val="center"/>
              <w:rPr>
                <w:rFonts w:ascii="新宋体" w:hAnsi="新宋体" w:eastAsia="新宋体" w:cs="新宋体"/>
                <w:szCs w:val="21"/>
              </w:rPr>
            </w:pPr>
          </w:p>
        </w:tc>
      </w:tr>
    </w:tbl>
    <w:p>
      <w:pPr>
        <w:pStyle w:val="26"/>
        <w:rPr>
          <w:rFonts w:ascii="新宋体" w:hAnsi="新宋体" w:eastAsia="新宋体" w:cs="新宋体"/>
          <w:b/>
        </w:rPr>
      </w:pPr>
      <w:r>
        <w:rPr>
          <w:rFonts w:hint="eastAsia" w:ascii="新宋体" w:hAnsi="新宋体" w:eastAsia="新宋体" w:cs="新宋体"/>
          <w:b/>
        </w:rPr>
        <w:t>注：1.如有技术等级或职称证书，需将证书扫描件附于表后；</w:t>
      </w:r>
    </w:p>
    <w:p>
      <w:pPr>
        <w:pStyle w:val="26"/>
        <w:rPr>
          <w:rFonts w:ascii="新宋体" w:hAnsi="新宋体" w:eastAsia="新宋体" w:cs="新宋体"/>
          <w:b/>
        </w:rPr>
      </w:pPr>
      <w:r>
        <w:rPr>
          <w:rFonts w:hint="eastAsia" w:ascii="新宋体" w:hAnsi="新宋体" w:eastAsia="新宋体" w:cs="新宋体"/>
          <w:b/>
        </w:rPr>
        <w:t xml:space="preserve">    2.在投标文件中需提供相关证书扫描件和个人社保缴费清单（社保缴费清单要求是持证人员近三个月的在投标人任职的个人社保缴费清单，如投标人新成立不足三个月的，按实际缴纳情况提供持证人员在该单位的社保缴费清单，社保缴费清单需加盖缴费当地社保机构公章或业务章。近三个月指的是从202</w:t>
      </w:r>
      <w:r>
        <w:rPr>
          <w:rFonts w:hint="eastAsia" w:ascii="新宋体" w:hAnsi="新宋体" w:eastAsia="新宋体" w:cs="新宋体"/>
          <w:b/>
          <w:lang w:val="en-US" w:eastAsia="zh-CN"/>
        </w:rPr>
        <w:t>4</w:t>
      </w:r>
      <w:r>
        <w:rPr>
          <w:rFonts w:hint="eastAsia" w:ascii="新宋体" w:hAnsi="新宋体" w:eastAsia="新宋体" w:cs="新宋体"/>
          <w:b/>
        </w:rPr>
        <w:t>年</w:t>
      </w:r>
      <w:r>
        <w:rPr>
          <w:rFonts w:hint="eastAsia" w:ascii="新宋体" w:hAnsi="新宋体" w:eastAsia="新宋体" w:cs="新宋体"/>
          <w:b/>
          <w:lang w:val="en-US" w:eastAsia="zh-CN"/>
        </w:rPr>
        <w:t>01</w:t>
      </w:r>
      <w:r>
        <w:rPr>
          <w:rFonts w:hint="eastAsia" w:ascii="新宋体" w:hAnsi="新宋体" w:eastAsia="新宋体" w:cs="新宋体"/>
          <w:b/>
        </w:rPr>
        <w:t>月01日至投标截止时止期间中任何一个连续3个月）。</w:t>
      </w:r>
    </w:p>
    <w:p>
      <w:pPr>
        <w:pStyle w:val="26"/>
        <w:ind w:firstLine="422" w:firstLineChars="200"/>
        <w:rPr>
          <w:rFonts w:ascii="新宋体" w:hAnsi="新宋体" w:eastAsia="新宋体" w:cs="新宋体"/>
          <w:b/>
        </w:rPr>
      </w:pPr>
      <w:r>
        <w:rPr>
          <w:rFonts w:hint="eastAsia" w:ascii="新宋体" w:hAnsi="新宋体" w:eastAsia="新宋体" w:cs="新宋体"/>
          <w:b/>
        </w:rPr>
        <w:t>3.此表在不改变格式内容的情况下，可自行制作。</w:t>
      </w:r>
    </w:p>
    <w:p>
      <w:pPr>
        <w:pStyle w:val="26"/>
        <w:ind w:firstLine="723" w:firstLineChars="200"/>
        <w:jc w:val="center"/>
        <w:rPr>
          <w:rFonts w:ascii="新宋体" w:hAnsi="新宋体" w:eastAsia="新宋体" w:cs="新宋体"/>
          <w:b/>
          <w:bCs/>
          <w:sz w:val="36"/>
          <w:szCs w:val="36"/>
        </w:rPr>
      </w:pPr>
      <w:r>
        <w:rPr>
          <w:rFonts w:hint="eastAsia" w:ascii="新宋体" w:hAnsi="新宋体" w:eastAsia="新宋体" w:cs="新宋体"/>
          <w:b/>
          <w:bCs/>
          <w:sz w:val="36"/>
          <w:szCs w:val="36"/>
        </w:rPr>
        <w:t>项目组成主要成员表</w:t>
      </w:r>
    </w:p>
    <w:p>
      <w:pPr>
        <w:rPr>
          <w:rFonts w:hint="eastAsia" w:ascii="新宋体" w:hAnsi="新宋体" w:eastAsia="新宋体" w:cs="新宋体"/>
          <w:szCs w:val="21"/>
          <w:lang w:eastAsia="zh-CN"/>
        </w:rPr>
      </w:pPr>
      <w:r>
        <w:rPr>
          <w:rFonts w:hint="eastAsia" w:ascii="新宋体" w:hAnsi="新宋体" w:eastAsia="新宋体" w:cs="新宋体"/>
          <w:b/>
          <w:szCs w:val="21"/>
        </w:rPr>
        <w:t>投标人：（电子签章）_________________</w:t>
      </w:r>
      <w:r>
        <w:rPr>
          <w:rFonts w:hint="eastAsia" w:ascii="新宋体" w:hAnsi="新宋体" w:eastAsia="新宋体" w:cs="新宋体"/>
          <w:sz w:val="24"/>
        </w:rPr>
        <w:t>采购编号：</w:t>
      </w:r>
      <w:r>
        <w:rPr>
          <w:rFonts w:hint="eastAsia" w:ascii="新宋体" w:hAnsi="新宋体" w:eastAsia="新宋体" w:cs="新宋体"/>
          <w:sz w:val="24"/>
          <w:lang w:eastAsia="zh-CN"/>
        </w:rPr>
        <w:t>YWCG2024013GK</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332"/>
        <w:gridCol w:w="933"/>
        <w:gridCol w:w="1177"/>
        <w:gridCol w:w="1081"/>
        <w:gridCol w:w="1773"/>
        <w:gridCol w:w="1399"/>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序号</w:t>
            </w:r>
          </w:p>
        </w:tc>
        <w:tc>
          <w:tcPr>
            <w:tcW w:w="1332"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姓名</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性别</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技术等级或职称</w:t>
            </w: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岗位</w:t>
            </w:r>
          </w:p>
        </w:tc>
        <w:tc>
          <w:tcPr>
            <w:tcW w:w="1773"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从事该岗位时间</w:t>
            </w:r>
          </w:p>
        </w:tc>
        <w:tc>
          <w:tcPr>
            <w:tcW w:w="1399"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Cs w:val="21"/>
              </w:rPr>
            </w:pPr>
            <w:r>
              <w:rPr>
                <w:rFonts w:hint="eastAsia" w:ascii="新宋体" w:hAnsi="新宋体" w:eastAsia="新宋体" w:cs="新宋体"/>
                <w:b/>
                <w:szCs w:val="21"/>
              </w:rPr>
              <w:t>从事过类似主要项目</w:t>
            </w:r>
          </w:p>
        </w:tc>
        <w:tc>
          <w:tcPr>
            <w:tcW w:w="1399" w:type="dxa"/>
            <w:tcBorders>
              <w:top w:val="single" w:color="auto" w:sz="4" w:space="0"/>
              <w:left w:val="single" w:color="auto" w:sz="4" w:space="0"/>
              <w:bottom w:val="single" w:color="auto" w:sz="4" w:space="0"/>
              <w:right w:val="single" w:color="auto" w:sz="4" w:space="0"/>
            </w:tcBorders>
            <w:vAlign w:val="center"/>
          </w:tcPr>
          <w:p>
            <w:pPr>
              <w:tabs>
                <w:tab w:val="left" w:pos="510"/>
              </w:tabs>
              <w:jc w:val="center"/>
              <w:rPr>
                <w:rFonts w:ascii="新宋体" w:hAnsi="新宋体" w:eastAsia="新宋体" w:cs="新宋体"/>
                <w:b/>
                <w:szCs w:val="21"/>
              </w:rPr>
            </w:pPr>
            <w:r>
              <w:rPr>
                <w:rFonts w:hint="eastAsia" w:ascii="新宋体" w:hAnsi="新宋体" w:eastAsia="新宋体" w:cs="新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p>
        </w:tc>
        <w:tc>
          <w:tcPr>
            <w:tcW w:w="1332"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p>
        </w:tc>
        <w:tc>
          <w:tcPr>
            <w:tcW w:w="1773"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p>
        </w:tc>
        <w:tc>
          <w:tcPr>
            <w:tcW w:w="1399"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p>
        </w:tc>
        <w:tc>
          <w:tcPr>
            <w:tcW w:w="1399" w:type="dxa"/>
            <w:vMerge w:val="restart"/>
            <w:tcBorders>
              <w:top w:val="single" w:color="auto" w:sz="4" w:space="0"/>
              <w:left w:val="single" w:color="auto" w:sz="4" w:space="0"/>
              <w:right w:val="single" w:color="auto" w:sz="4" w:space="0"/>
            </w:tcBorders>
            <w:vAlign w:val="center"/>
          </w:tcPr>
          <w:p>
            <w:pPr>
              <w:jc w:val="center"/>
              <w:rPr>
                <w:rFonts w:ascii="新宋体" w:hAnsi="新宋体" w:eastAsia="新宋体" w:cs="新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p>
        </w:tc>
        <w:tc>
          <w:tcPr>
            <w:tcW w:w="1332"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p>
        </w:tc>
        <w:tc>
          <w:tcPr>
            <w:tcW w:w="1773"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p>
        </w:tc>
        <w:tc>
          <w:tcPr>
            <w:tcW w:w="1399"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p>
        </w:tc>
        <w:tc>
          <w:tcPr>
            <w:tcW w:w="1399" w:type="dxa"/>
            <w:vMerge w:val="continue"/>
            <w:tcBorders>
              <w:left w:val="single" w:color="auto" w:sz="4" w:space="0"/>
              <w:right w:val="single" w:color="auto" w:sz="4" w:space="0"/>
            </w:tcBorders>
            <w:vAlign w:val="center"/>
          </w:tcPr>
          <w:p>
            <w:pPr>
              <w:jc w:val="center"/>
              <w:rPr>
                <w:rFonts w:ascii="新宋体" w:hAnsi="新宋体" w:eastAsia="新宋体" w:cs="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p>
        </w:tc>
        <w:tc>
          <w:tcPr>
            <w:tcW w:w="1332"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p>
        </w:tc>
        <w:tc>
          <w:tcPr>
            <w:tcW w:w="1773"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p>
        </w:tc>
        <w:tc>
          <w:tcPr>
            <w:tcW w:w="1399"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p>
        </w:tc>
        <w:tc>
          <w:tcPr>
            <w:tcW w:w="1399" w:type="dxa"/>
            <w:vMerge w:val="continue"/>
            <w:tcBorders>
              <w:left w:val="single" w:color="auto" w:sz="4" w:space="0"/>
              <w:right w:val="single" w:color="auto" w:sz="4" w:space="0"/>
            </w:tcBorders>
            <w:vAlign w:val="center"/>
          </w:tcPr>
          <w:p>
            <w:pPr>
              <w:jc w:val="center"/>
              <w:rPr>
                <w:rFonts w:ascii="新宋体" w:hAnsi="新宋体" w:eastAsia="新宋体" w:cs="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p>
        </w:tc>
        <w:tc>
          <w:tcPr>
            <w:tcW w:w="1332"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p>
        </w:tc>
        <w:tc>
          <w:tcPr>
            <w:tcW w:w="1773"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p>
        </w:tc>
        <w:tc>
          <w:tcPr>
            <w:tcW w:w="1399"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p>
        </w:tc>
        <w:tc>
          <w:tcPr>
            <w:tcW w:w="1399" w:type="dxa"/>
            <w:vMerge w:val="continue"/>
            <w:tcBorders>
              <w:left w:val="single" w:color="auto" w:sz="4" w:space="0"/>
              <w:right w:val="single" w:color="auto" w:sz="4" w:space="0"/>
            </w:tcBorders>
            <w:vAlign w:val="center"/>
          </w:tcPr>
          <w:p>
            <w:pPr>
              <w:jc w:val="center"/>
              <w:rPr>
                <w:rFonts w:ascii="新宋体" w:hAnsi="新宋体" w:eastAsia="新宋体" w:cs="新宋体"/>
                <w:szCs w:val="21"/>
              </w:rPr>
            </w:pPr>
          </w:p>
        </w:tc>
      </w:tr>
    </w:tbl>
    <w:p>
      <w:pPr>
        <w:pStyle w:val="26"/>
        <w:wordWrap w:val="0"/>
        <w:ind w:firstLine="422" w:firstLineChars="200"/>
        <w:rPr>
          <w:rFonts w:ascii="新宋体" w:hAnsi="新宋体" w:eastAsia="新宋体" w:cs="新宋体"/>
          <w:b/>
        </w:rPr>
      </w:pPr>
      <w:r>
        <w:rPr>
          <w:rFonts w:hint="eastAsia" w:ascii="新宋体" w:hAnsi="新宋体" w:eastAsia="新宋体" w:cs="新宋体"/>
          <w:b/>
        </w:rPr>
        <w:t>注：1.如有技术等级或职称证书，需将证书扫描件附于表后；</w:t>
      </w:r>
    </w:p>
    <w:p>
      <w:pPr>
        <w:pStyle w:val="26"/>
        <w:wordWrap w:val="0"/>
        <w:ind w:firstLine="422" w:firstLineChars="200"/>
        <w:rPr>
          <w:rFonts w:ascii="新宋体" w:hAnsi="新宋体" w:eastAsia="新宋体" w:cs="新宋体"/>
          <w:b/>
        </w:rPr>
      </w:pPr>
      <w:r>
        <w:rPr>
          <w:rFonts w:hint="eastAsia" w:ascii="新宋体" w:hAnsi="新宋体" w:eastAsia="新宋体" w:cs="新宋体"/>
          <w:b/>
        </w:rPr>
        <w:t>2.在投标文件中需提供相关证书扫描件和个人社保缴费清单（社保缴费清单要求是持证人员近三个月的在投标人任职的个人社保缴费清单，如投标人新成立不足三个月的，按实际缴纳情况提供持证人员在该单位的社保缴费清单，社保缴费清单需加盖缴费当地社保机构公章或业务章。近三个月指的是从202</w:t>
      </w:r>
      <w:r>
        <w:rPr>
          <w:rFonts w:hint="eastAsia" w:ascii="新宋体" w:hAnsi="新宋体" w:eastAsia="新宋体" w:cs="新宋体"/>
          <w:b/>
          <w:lang w:val="en-US" w:eastAsia="zh-CN"/>
        </w:rPr>
        <w:t>4</w:t>
      </w:r>
      <w:r>
        <w:rPr>
          <w:rFonts w:hint="eastAsia" w:ascii="新宋体" w:hAnsi="新宋体" w:eastAsia="新宋体" w:cs="新宋体"/>
          <w:b/>
        </w:rPr>
        <w:t>年</w:t>
      </w:r>
      <w:r>
        <w:rPr>
          <w:rFonts w:hint="eastAsia" w:ascii="新宋体" w:hAnsi="新宋体" w:eastAsia="新宋体" w:cs="新宋体"/>
          <w:b/>
          <w:lang w:val="en-US" w:eastAsia="zh-CN"/>
        </w:rPr>
        <w:t>01</w:t>
      </w:r>
      <w:r>
        <w:rPr>
          <w:rFonts w:hint="eastAsia" w:ascii="新宋体" w:hAnsi="新宋体" w:eastAsia="新宋体" w:cs="新宋体"/>
          <w:b/>
        </w:rPr>
        <w:t>月01日至投标截止时止期间中任何一个连续3个月）。</w:t>
      </w:r>
    </w:p>
    <w:p>
      <w:pPr>
        <w:pStyle w:val="26"/>
        <w:wordWrap w:val="0"/>
        <w:ind w:firstLine="422" w:firstLineChars="200"/>
        <w:rPr>
          <w:rFonts w:ascii="新宋体" w:hAnsi="新宋体" w:eastAsia="新宋体" w:cs="新宋体"/>
          <w:b/>
        </w:rPr>
      </w:pPr>
      <w:r>
        <w:rPr>
          <w:rFonts w:hint="eastAsia" w:ascii="新宋体" w:hAnsi="新宋体" w:eastAsia="新宋体" w:cs="新宋体"/>
          <w:b/>
        </w:rPr>
        <w:t>3.“从事过类主要项目”栏中注明每个参与的项目名称、内容、金额、参与项目的时间、业主联系人、联系人的联系电话、手机等内容</w:t>
      </w:r>
    </w:p>
    <w:p>
      <w:pPr>
        <w:pStyle w:val="26"/>
        <w:wordWrap w:val="0"/>
        <w:ind w:firstLine="422" w:firstLineChars="200"/>
        <w:rPr>
          <w:rFonts w:ascii="新宋体" w:hAnsi="新宋体" w:eastAsia="新宋体" w:cs="新宋体"/>
          <w:b/>
        </w:rPr>
      </w:pPr>
      <w:r>
        <w:rPr>
          <w:rFonts w:hint="eastAsia" w:ascii="新宋体" w:hAnsi="新宋体" w:eastAsia="新宋体" w:cs="新宋体"/>
          <w:b/>
        </w:rPr>
        <w:t>4.此表在不改变格式内容的情况下，可自行制作。</w:t>
      </w:r>
    </w:p>
    <w:p>
      <w:pPr>
        <w:pStyle w:val="26"/>
        <w:wordWrap w:val="0"/>
        <w:ind w:firstLine="422" w:firstLineChars="200"/>
        <w:rPr>
          <w:rFonts w:ascii="新宋体" w:hAnsi="新宋体" w:eastAsia="新宋体" w:cs="新宋体"/>
          <w:b/>
        </w:rPr>
      </w:pPr>
    </w:p>
    <w:p>
      <w:pPr>
        <w:spacing w:line="480" w:lineRule="auto"/>
        <w:rPr>
          <w:rFonts w:ascii="新宋体" w:hAnsi="新宋体" w:eastAsia="新宋体"/>
          <w:b/>
          <w:bCs/>
          <w:sz w:val="36"/>
          <w:szCs w:val="36"/>
        </w:rPr>
      </w:pPr>
      <w:r>
        <w:rPr>
          <w:rFonts w:hint="eastAsia" w:ascii="新宋体" w:hAnsi="新宋体" w:eastAsia="新宋体"/>
          <w:b/>
          <w:bCs/>
          <w:sz w:val="36"/>
          <w:szCs w:val="36"/>
        </w:rPr>
        <w:t>9.</w:t>
      </w:r>
    </w:p>
    <w:p>
      <w:pPr>
        <w:spacing w:line="480" w:lineRule="auto"/>
        <w:jc w:val="center"/>
        <w:rPr>
          <w:rFonts w:ascii="新宋体" w:hAnsi="新宋体" w:eastAsia="新宋体"/>
          <w:b/>
          <w:bCs/>
          <w:sz w:val="36"/>
          <w:szCs w:val="36"/>
        </w:rPr>
      </w:pPr>
      <w:r>
        <w:rPr>
          <w:rFonts w:hint="eastAsia" w:ascii="新宋体" w:hAnsi="新宋体" w:eastAsia="新宋体"/>
          <w:b/>
          <w:bCs/>
          <w:sz w:val="36"/>
          <w:szCs w:val="36"/>
        </w:rPr>
        <w:t>开标一览表（格式）</w:t>
      </w:r>
    </w:p>
    <w:p>
      <w:pPr>
        <w:rPr>
          <w:rFonts w:hint="eastAsia" w:ascii="新宋体" w:hAnsi="新宋体" w:eastAsia="新宋体"/>
          <w:sz w:val="24"/>
          <w:lang w:eastAsia="zh-CN"/>
        </w:rPr>
      </w:pPr>
      <w:r>
        <w:rPr>
          <w:rFonts w:hint="eastAsia" w:ascii="新宋体" w:hAnsi="新宋体" w:eastAsia="新宋体"/>
          <w:sz w:val="24"/>
        </w:rPr>
        <w:t>采购编号：</w:t>
      </w:r>
      <w:r>
        <w:rPr>
          <w:rFonts w:hint="eastAsia" w:ascii="新宋体" w:hAnsi="新宋体" w:eastAsia="新宋体"/>
          <w:sz w:val="24"/>
          <w:lang w:eastAsia="zh-CN"/>
        </w:rPr>
        <w:t>YWCG2024013GK</w:t>
      </w:r>
    </w:p>
    <w:tbl>
      <w:tblPr>
        <w:tblStyle w:val="5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726"/>
        <w:gridCol w:w="812"/>
        <w:gridCol w:w="972"/>
        <w:gridCol w:w="1116"/>
        <w:gridCol w:w="1390"/>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09" w:type="pct"/>
            <w:vAlign w:val="center"/>
          </w:tcPr>
          <w:p>
            <w:pPr>
              <w:spacing w:line="360" w:lineRule="exact"/>
              <w:jc w:val="center"/>
              <w:rPr>
                <w:rFonts w:ascii="新宋体" w:hAnsi="新宋体" w:eastAsia="新宋体"/>
                <w:b/>
                <w:sz w:val="24"/>
                <w:szCs w:val="21"/>
              </w:rPr>
            </w:pPr>
            <w:r>
              <w:rPr>
                <w:rFonts w:hint="eastAsia" w:ascii="新宋体" w:hAnsi="新宋体" w:eastAsia="新宋体"/>
                <w:b/>
                <w:sz w:val="24"/>
                <w:szCs w:val="21"/>
              </w:rPr>
              <w:t>序号</w:t>
            </w:r>
          </w:p>
        </w:tc>
        <w:tc>
          <w:tcPr>
            <w:tcW w:w="1424" w:type="pct"/>
            <w:vAlign w:val="center"/>
          </w:tcPr>
          <w:p>
            <w:pPr>
              <w:spacing w:line="360" w:lineRule="exact"/>
              <w:jc w:val="center"/>
              <w:rPr>
                <w:rFonts w:ascii="新宋体" w:hAnsi="新宋体" w:eastAsia="新宋体"/>
                <w:b/>
                <w:sz w:val="24"/>
                <w:szCs w:val="21"/>
              </w:rPr>
            </w:pPr>
            <w:r>
              <w:rPr>
                <w:rFonts w:hint="eastAsia" w:ascii="新宋体" w:hAnsi="新宋体" w:eastAsia="新宋体"/>
                <w:b/>
                <w:sz w:val="24"/>
                <w:szCs w:val="21"/>
              </w:rPr>
              <w:t>采购名称</w:t>
            </w:r>
          </w:p>
        </w:tc>
        <w:tc>
          <w:tcPr>
            <w:tcW w:w="424" w:type="pct"/>
            <w:vAlign w:val="center"/>
          </w:tcPr>
          <w:p>
            <w:pPr>
              <w:spacing w:line="360" w:lineRule="exact"/>
              <w:jc w:val="center"/>
              <w:rPr>
                <w:rFonts w:ascii="新宋体" w:hAnsi="新宋体" w:eastAsia="新宋体"/>
                <w:b/>
                <w:sz w:val="24"/>
                <w:szCs w:val="21"/>
              </w:rPr>
            </w:pPr>
            <w:r>
              <w:rPr>
                <w:rFonts w:hint="eastAsia" w:ascii="新宋体" w:hAnsi="新宋体" w:eastAsia="新宋体"/>
                <w:b/>
                <w:sz w:val="24"/>
                <w:szCs w:val="21"/>
              </w:rPr>
              <w:t>单位</w:t>
            </w:r>
          </w:p>
        </w:tc>
        <w:tc>
          <w:tcPr>
            <w:tcW w:w="508" w:type="pct"/>
            <w:vAlign w:val="center"/>
          </w:tcPr>
          <w:p>
            <w:pPr>
              <w:spacing w:line="360" w:lineRule="exact"/>
              <w:jc w:val="center"/>
              <w:rPr>
                <w:rFonts w:ascii="新宋体" w:hAnsi="新宋体" w:eastAsia="新宋体"/>
                <w:b/>
                <w:sz w:val="24"/>
                <w:szCs w:val="21"/>
              </w:rPr>
            </w:pPr>
            <w:r>
              <w:rPr>
                <w:rFonts w:hint="eastAsia" w:ascii="新宋体" w:hAnsi="新宋体" w:eastAsia="新宋体"/>
                <w:b/>
                <w:sz w:val="24"/>
                <w:szCs w:val="21"/>
              </w:rPr>
              <w:t>数量</w:t>
            </w:r>
          </w:p>
        </w:tc>
        <w:tc>
          <w:tcPr>
            <w:tcW w:w="583" w:type="pct"/>
            <w:vAlign w:val="center"/>
          </w:tcPr>
          <w:p>
            <w:pPr>
              <w:spacing w:line="360" w:lineRule="exact"/>
              <w:jc w:val="center"/>
              <w:rPr>
                <w:rFonts w:ascii="新宋体" w:hAnsi="新宋体" w:eastAsia="新宋体"/>
                <w:b/>
                <w:sz w:val="24"/>
                <w:szCs w:val="21"/>
              </w:rPr>
            </w:pPr>
            <w:r>
              <w:rPr>
                <w:rFonts w:hint="eastAsia" w:ascii="新宋体" w:hAnsi="新宋体" w:eastAsia="新宋体"/>
                <w:b/>
                <w:sz w:val="24"/>
                <w:szCs w:val="21"/>
              </w:rPr>
              <w:t>单价</w:t>
            </w:r>
          </w:p>
        </w:tc>
        <w:tc>
          <w:tcPr>
            <w:tcW w:w="726" w:type="pct"/>
            <w:vAlign w:val="center"/>
          </w:tcPr>
          <w:p>
            <w:pPr>
              <w:spacing w:line="360" w:lineRule="exact"/>
              <w:jc w:val="center"/>
              <w:rPr>
                <w:rFonts w:ascii="新宋体" w:hAnsi="新宋体" w:eastAsia="新宋体"/>
                <w:b/>
                <w:sz w:val="24"/>
                <w:szCs w:val="21"/>
              </w:rPr>
            </w:pPr>
            <w:r>
              <w:rPr>
                <w:rFonts w:hint="eastAsia" w:ascii="新宋体" w:hAnsi="新宋体" w:eastAsia="新宋体"/>
                <w:b/>
                <w:sz w:val="24"/>
                <w:szCs w:val="21"/>
              </w:rPr>
              <w:t>总价</w:t>
            </w:r>
          </w:p>
        </w:tc>
        <w:tc>
          <w:tcPr>
            <w:tcW w:w="923" w:type="pct"/>
            <w:vAlign w:val="center"/>
          </w:tcPr>
          <w:p>
            <w:pPr>
              <w:spacing w:line="360" w:lineRule="exact"/>
              <w:jc w:val="center"/>
              <w:rPr>
                <w:rFonts w:ascii="新宋体" w:hAnsi="新宋体" w:eastAsia="新宋体"/>
                <w:b/>
                <w:sz w:val="24"/>
                <w:szCs w:val="21"/>
              </w:rPr>
            </w:pPr>
            <w:r>
              <w:rPr>
                <w:rFonts w:hint="eastAsia" w:ascii="新宋体" w:hAnsi="新宋体" w:eastAsia="新宋体"/>
                <w:b/>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09" w:type="pct"/>
            <w:vAlign w:val="center"/>
          </w:tcPr>
          <w:p>
            <w:pPr>
              <w:pStyle w:val="26"/>
              <w:adjustRightInd w:val="0"/>
              <w:snapToGrid w:val="0"/>
              <w:spacing w:line="400" w:lineRule="exact"/>
              <w:jc w:val="center"/>
              <w:rPr>
                <w:rFonts w:ascii="新宋体" w:hAnsi="新宋体" w:eastAsia="新宋体"/>
                <w:sz w:val="24"/>
                <w:szCs w:val="24"/>
              </w:rPr>
            </w:pPr>
            <w:r>
              <w:rPr>
                <w:rFonts w:hint="eastAsia" w:ascii="新宋体" w:hAnsi="新宋体" w:eastAsia="新宋体"/>
                <w:sz w:val="24"/>
                <w:szCs w:val="24"/>
              </w:rPr>
              <w:t>1</w:t>
            </w:r>
          </w:p>
        </w:tc>
        <w:tc>
          <w:tcPr>
            <w:tcW w:w="1424" w:type="pct"/>
            <w:vAlign w:val="center"/>
          </w:tcPr>
          <w:p>
            <w:pPr>
              <w:pStyle w:val="26"/>
              <w:adjustRightInd w:val="0"/>
              <w:spacing w:line="312" w:lineRule="auto"/>
              <w:jc w:val="center"/>
              <w:rPr>
                <w:rFonts w:ascii="宋体" w:hAnsi="宋体"/>
                <w:sz w:val="24"/>
              </w:rPr>
            </w:pPr>
            <w:r>
              <w:rPr>
                <w:rFonts w:ascii="Times New Roman" w:hAnsi="Times New Roman" w:eastAsia="宋体" w:cs="Times New Roman"/>
                <w:sz w:val="24"/>
                <w:szCs w:val="24"/>
              </w:rPr>
              <w:t>多媒体触控一体机</w:t>
            </w:r>
          </w:p>
        </w:tc>
        <w:tc>
          <w:tcPr>
            <w:tcW w:w="424" w:type="pct"/>
            <w:vAlign w:val="center"/>
          </w:tcPr>
          <w:p>
            <w:pPr>
              <w:pStyle w:val="26"/>
              <w:adjustRightInd w:val="0"/>
              <w:spacing w:line="312" w:lineRule="auto"/>
              <w:jc w:val="center"/>
              <w:rPr>
                <w:rFonts w:ascii="宋体" w:hAnsi="宋体"/>
                <w:sz w:val="24"/>
              </w:rPr>
            </w:pPr>
            <w:r>
              <w:rPr>
                <w:rFonts w:ascii="Times New Roman" w:hAnsi="Times New Roman" w:cs="Times New Roman"/>
                <w:sz w:val="24"/>
                <w:szCs w:val="24"/>
              </w:rPr>
              <w:t>台</w:t>
            </w:r>
          </w:p>
        </w:tc>
        <w:tc>
          <w:tcPr>
            <w:tcW w:w="508" w:type="pct"/>
            <w:vAlign w:val="center"/>
          </w:tcPr>
          <w:p>
            <w:pPr>
              <w:jc w:val="center"/>
              <w:rPr>
                <w:rFonts w:ascii="宋体" w:hAnsi="宋体"/>
                <w:sz w:val="24"/>
              </w:rPr>
            </w:pPr>
            <w:r>
              <w:rPr>
                <w:rFonts w:hint="eastAsia" w:ascii="宋体" w:hAnsi="宋体"/>
                <w:sz w:val="24"/>
                <w:lang w:val="en-US" w:eastAsia="zh-CN"/>
              </w:rPr>
              <w:t>358</w:t>
            </w:r>
          </w:p>
        </w:tc>
        <w:tc>
          <w:tcPr>
            <w:tcW w:w="583" w:type="pct"/>
            <w:vAlign w:val="center"/>
          </w:tcPr>
          <w:p>
            <w:pPr>
              <w:pStyle w:val="26"/>
              <w:adjustRightInd w:val="0"/>
              <w:snapToGrid w:val="0"/>
              <w:spacing w:line="400" w:lineRule="exact"/>
              <w:jc w:val="center"/>
              <w:rPr>
                <w:rFonts w:ascii="新宋体" w:hAnsi="新宋体" w:eastAsia="新宋体"/>
                <w:sz w:val="24"/>
                <w:szCs w:val="24"/>
              </w:rPr>
            </w:pPr>
          </w:p>
        </w:tc>
        <w:tc>
          <w:tcPr>
            <w:tcW w:w="726" w:type="pct"/>
            <w:vAlign w:val="center"/>
          </w:tcPr>
          <w:p>
            <w:pPr>
              <w:spacing w:line="400" w:lineRule="exact"/>
            </w:pPr>
          </w:p>
        </w:tc>
        <w:tc>
          <w:tcPr>
            <w:tcW w:w="923" w:type="pct"/>
            <w:vAlign w:val="center"/>
          </w:tcPr>
          <w:p>
            <w:pPr>
              <w:spacing w:line="400" w:lineRule="exact"/>
              <w:rPr>
                <w:rFonts w:ascii="新宋体" w:hAnsi="新宋体" w:eastAsia="新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409" w:type="pct"/>
            <w:vAlign w:val="center"/>
          </w:tcPr>
          <w:p>
            <w:pPr>
              <w:pStyle w:val="26"/>
              <w:adjustRightInd w:val="0"/>
              <w:snapToGrid w:val="0"/>
              <w:spacing w:line="400" w:lineRule="exact"/>
              <w:jc w:val="center"/>
              <w:rPr>
                <w:rFonts w:ascii="新宋体" w:hAnsi="新宋体" w:eastAsia="新宋体"/>
                <w:sz w:val="24"/>
                <w:szCs w:val="24"/>
              </w:rPr>
            </w:pPr>
            <w:r>
              <w:rPr>
                <w:rFonts w:hint="eastAsia" w:ascii="新宋体" w:hAnsi="新宋体" w:eastAsia="新宋体"/>
                <w:sz w:val="24"/>
                <w:szCs w:val="24"/>
              </w:rPr>
              <w:t>2</w:t>
            </w:r>
          </w:p>
        </w:tc>
        <w:tc>
          <w:tcPr>
            <w:tcW w:w="1424" w:type="pct"/>
            <w:vAlign w:val="center"/>
          </w:tcPr>
          <w:p>
            <w:pPr>
              <w:pStyle w:val="26"/>
              <w:adjustRightInd w:val="0"/>
              <w:spacing w:line="312" w:lineRule="auto"/>
              <w:jc w:val="center"/>
              <w:rPr>
                <w:rFonts w:ascii="宋体" w:hAnsi="宋体"/>
                <w:sz w:val="24"/>
              </w:rPr>
            </w:pPr>
            <w:r>
              <w:rPr>
                <w:rFonts w:ascii="Times New Roman" w:hAnsi="Times New Roman" w:eastAsia="宋体" w:cs="Times New Roman"/>
                <w:sz w:val="24"/>
                <w:szCs w:val="24"/>
              </w:rPr>
              <w:t>智能笔</w:t>
            </w:r>
          </w:p>
        </w:tc>
        <w:tc>
          <w:tcPr>
            <w:tcW w:w="424" w:type="pct"/>
            <w:vAlign w:val="center"/>
          </w:tcPr>
          <w:p>
            <w:pPr>
              <w:pStyle w:val="26"/>
              <w:adjustRightInd w:val="0"/>
              <w:spacing w:line="312" w:lineRule="auto"/>
              <w:jc w:val="center"/>
              <w:rPr>
                <w:rFonts w:ascii="宋体" w:hAnsi="宋体"/>
                <w:sz w:val="24"/>
              </w:rPr>
            </w:pPr>
            <w:r>
              <w:rPr>
                <w:rFonts w:hint="eastAsia" w:ascii="Times New Roman" w:hAnsi="Times New Roman" w:cs="Times New Roman"/>
                <w:sz w:val="24"/>
                <w:szCs w:val="24"/>
                <w:lang w:val="en-US" w:eastAsia="zh-CN"/>
              </w:rPr>
              <w:t>支</w:t>
            </w:r>
          </w:p>
        </w:tc>
        <w:tc>
          <w:tcPr>
            <w:tcW w:w="508" w:type="pct"/>
            <w:vAlign w:val="center"/>
          </w:tcPr>
          <w:p>
            <w:pPr>
              <w:jc w:val="center"/>
              <w:rPr>
                <w:rFonts w:ascii="宋体" w:hAnsi="宋体"/>
                <w:sz w:val="24"/>
              </w:rPr>
            </w:pPr>
            <w:r>
              <w:rPr>
                <w:rFonts w:hint="eastAsia" w:ascii="宋体" w:hAnsi="宋体"/>
                <w:sz w:val="24"/>
                <w:lang w:val="en-US" w:eastAsia="zh-CN"/>
              </w:rPr>
              <w:t>358</w:t>
            </w:r>
          </w:p>
        </w:tc>
        <w:tc>
          <w:tcPr>
            <w:tcW w:w="583" w:type="pct"/>
            <w:vAlign w:val="center"/>
          </w:tcPr>
          <w:p>
            <w:pPr>
              <w:pStyle w:val="26"/>
              <w:adjustRightInd w:val="0"/>
              <w:snapToGrid w:val="0"/>
              <w:spacing w:line="400" w:lineRule="exact"/>
              <w:jc w:val="center"/>
              <w:rPr>
                <w:rFonts w:ascii="新宋体" w:hAnsi="新宋体" w:eastAsia="新宋体"/>
                <w:sz w:val="24"/>
                <w:szCs w:val="24"/>
              </w:rPr>
            </w:pPr>
          </w:p>
        </w:tc>
        <w:tc>
          <w:tcPr>
            <w:tcW w:w="726" w:type="pct"/>
            <w:vAlign w:val="center"/>
          </w:tcPr>
          <w:p>
            <w:pPr>
              <w:spacing w:line="400" w:lineRule="exact"/>
              <w:rPr>
                <w:rFonts w:ascii="新宋体" w:hAnsi="新宋体" w:eastAsia="新宋体"/>
                <w:sz w:val="24"/>
                <w:szCs w:val="21"/>
              </w:rPr>
            </w:pPr>
          </w:p>
        </w:tc>
        <w:tc>
          <w:tcPr>
            <w:tcW w:w="923" w:type="pct"/>
            <w:vAlign w:val="center"/>
          </w:tcPr>
          <w:p>
            <w:pPr>
              <w:spacing w:line="400" w:lineRule="exact"/>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09" w:type="pct"/>
            <w:vAlign w:val="center"/>
          </w:tcPr>
          <w:p>
            <w:pPr>
              <w:pStyle w:val="26"/>
              <w:adjustRightInd w:val="0"/>
              <w:snapToGrid w:val="0"/>
              <w:spacing w:line="400" w:lineRule="exact"/>
              <w:jc w:val="center"/>
              <w:rPr>
                <w:rFonts w:ascii="新宋体" w:hAnsi="新宋体" w:eastAsia="新宋体"/>
                <w:sz w:val="24"/>
                <w:szCs w:val="24"/>
              </w:rPr>
            </w:pPr>
            <w:r>
              <w:rPr>
                <w:rFonts w:hint="eastAsia" w:ascii="新宋体" w:hAnsi="新宋体" w:eastAsia="新宋体"/>
                <w:sz w:val="24"/>
                <w:szCs w:val="24"/>
              </w:rPr>
              <w:t>3</w:t>
            </w:r>
          </w:p>
        </w:tc>
        <w:tc>
          <w:tcPr>
            <w:tcW w:w="1424" w:type="pct"/>
            <w:vAlign w:val="center"/>
          </w:tcPr>
          <w:p>
            <w:pPr>
              <w:pStyle w:val="26"/>
              <w:adjustRightInd w:val="0"/>
              <w:spacing w:line="312" w:lineRule="auto"/>
              <w:jc w:val="center"/>
              <w:rPr>
                <w:rFonts w:ascii="宋体" w:hAnsi="宋体"/>
                <w:sz w:val="24"/>
              </w:rPr>
            </w:pPr>
            <w:r>
              <w:rPr>
                <w:rFonts w:ascii="Times New Roman" w:hAnsi="Times New Roman" w:eastAsia="宋体" w:cs="Times New Roman"/>
                <w:sz w:val="24"/>
                <w:szCs w:val="24"/>
              </w:rPr>
              <w:t>壁挂高清展台</w:t>
            </w:r>
          </w:p>
        </w:tc>
        <w:tc>
          <w:tcPr>
            <w:tcW w:w="424" w:type="pct"/>
            <w:vAlign w:val="center"/>
          </w:tcPr>
          <w:p>
            <w:pPr>
              <w:pStyle w:val="26"/>
              <w:adjustRightInd w:val="0"/>
              <w:spacing w:line="312" w:lineRule="auto"/>
              <w:jc w:val="center"/>
              <w:rPr>
                <w:rFonts w:ascii="宋体" w:hAnsi="宋体"/>
                <w:sz w:val="24"/>
              </w:rPr>
            </w:pPr>
            <w:r>
              <w:rPr>
                <w:rFonts w:hint="eastAsia" w:ascii="Times New Roman" w:hAnsi="Times New Roman" w:cs="Times New Roman"/>
                <w:sz w:val="24"/>
                <w:szCs w:val="24"/>
                <w:lang w:eastAsia="zh-CN"/>
              </w:rPr>
              <w:t>套</w:t>
            </w:r>
          </w:p>
        </w:tc>
        <w:tc>
          <w:tcPr>
            <w:tcW w:w="508" w:type="pct"/>
            <w:vAlign w:val="center"/>
          </w:tcPr>
          <w:p>
            <w:pPr>
              <w:jc w:val="center"/>
              <w:rPr>
                <w:rFonts w:ascii="宋体" w:hAnsi="宋体"/>
                <w:sz w:val="24"/>
              </w:rPr>
            </w:pPr>
            <w:r>
              <w:rPr>
                <w:rFonts w:hint="eastAsia" w:ascii="宋体" w:hAnsi="宋体"/>
                <w:sz w:val="24"/>
                <w:lang w:val="en-US" w:eastAsia="zh-CN"/>
              </w:rPr>
              <w:t>358</w:t>
            </w:r>
          </w:p>
        </w:tc>
        <w:tc>
          <w:tcPr>
            <w:tcW w:w="583" w:type="pct"/>
            <w:vAlign w:val="center"/>
          </w:tcPr>
          <w:p>
            <w:pPr>
              <w:pStyle w:val="26"/>
              <w:adjustRightInd w:val="0"/>
              <w:snapToGrid w:val="0"/>
              <w:spacing w:line="400" w:lineRule="exact"/>
              <w:jc w:val="center"/>
              <w:rPr>
                <w:rFonts w:ascii="新宋体" w:hAnsi="新宋体" w:eastAsia="新宋体"/>
                <w:sz w:val="24"/>
                <w:szCs w:val="24"/>
              </w:rPr>
            </w:pPr>
          </w:p>
        </w:tc>
        <w:tc>
          <w:tcPr>
            <w:tcW w:w="726" w:type="pct"/>
            <w:vAlign w:val="center"/>
          </w:tcPr>
          <w:p>
            <w:pPr>
              <w:spacing w:line="400" w:lineRule="exact"/>
              <w:rPr>
                <w:rFonts w:ascii="新宋体" w:hAnsi="新宋体" w:eastAsia="新宋体"/>
                <w:sz w:val="24"/>
                <w:szCs w:val="21"/>
              </w:rPr>
            </w:pPr>
          </w:p>
        </w:tc>
        <w:tc>
          <w:tcPr>
            <w:tcW w:w="923" w:type="pct"/>
            <w:vAlign w:val="center"/>
          </w:tcPr>
          <w:p>
            <w:pPr>
              <w:spacing w:line="400" w:lineRule="exact"/>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09" w:type="pct"/>
            <w:vAlign w:val="center"/>
          </w:tcPr>
          <w:p>
            <w:pPr>
              <w:pStyle w:val="26"/>
              <w:adjustRightInd w:val="0"/>
              <w:snapToGrid w:val="0"/>
              <w:spacing w:line="400" w:lineRule="exact"/>
              <w:jc w:val="center"/>
              <w:rPr>
                <w:rFonts w:ascii="新宋体" w:hAnsi="新宋体" w:eastAsia="新宋体"/>
                <w:sz w:val="24"/>
                <w:szCs w:val="24"/>
              </w:rPr>
            </w:pPr>
            <w:r>
              <w:rPr>
                <w:rFonts w:hint="eastAsia" w:ascii="新宋体" w:hAnsi="新宋体" w:eastAsia="新宋体"/>
                <w:sz w:val="24"/>
                <w:szCs w:val="24"/>
              </w:rPr>
              <w:t>4</w:t>
            </w:r>
          </w:p>
        </w:tc>
        <w:tc>
          <w:tcPr>
            <w:tcW w:w="1424" w:type="pct"/>
            <w:vAlign w:val="center"/>
          </w:tcPr>
          <w:p>
            <w:pPr>
              <w:pStyle w:val="26"/>
              <w:adjustRightInd w:val="0"/>
              <w:spacing w:line="312" w:lineRule="auto"/>
              <w:jc w:val="center"/>
              <w:rPr>
                <w:rFonts w:ascii="宋体" w:hAnsi="宋体"/>
                <w:sz w:val="24"/>
              </w:rPr>
            </w:pPr>
            <w:r>
              <w:rPr>
                <w:rFonts w:ascii="Times New Roman" w:hAnsi="Times New Roman" w:eastAsia="宋体" w:cs="Times New Roman"/>
                <w:sz w:val="24"/>
                <w:szCs w:val="24"/>
              </w:rPr>
              <w:t>双层推拉式黑板</w:t>
            </w:r>
          </w:p>
        </w:tc>
        <w:tc>
          <w:tcPr>
            <w:tcW w:w="424" w:type="pct"/>
            <w:vAlign w:val="center"/>
          </w:tcPr>
          <w:p>
            <w:pPr>
              <w:pStyle w:val="26"/>
              <w:adjustRightInd w:val="0"/>
              <w:spacing w:line="312" w:lineRule="auto"/>
              <w:jc w:val="center"/>
              <w:rPr>
                <w:rFonts w:ascii="宋体" w:hAnsi="宋体"/>
                <w:sz w:val="24"/>
              </w:rPr>
            </w:pPr>
            <w:r>
              <w:rPr>
                <w:rFonts w:ascii="Times New Roman" w:hAnsi="Times New Roman" w:cs="Times New Roman"/>
                <w:sz w:val="24"/>
                <w:szCs w:val="24"/>
              </w:rPr>
              <w:t>套</w:t>
            </w:r>
          </w:p>
        </w:tc>
        <w:tc>
          <w:tcPr>
            <w:tcW w:w="508" w:type="pct"/>
            <w:vAlign w:val="center"/>
          </w:tcPr>
          <w:p>
            <w:pPr>
              <w:jc w:val="center"/>
              <w:rPr>
                <w:rFonts w:ascii="宋体" w:hAnsi="宋体"/>
                <w:sz w:val="24"/>
              </w:rPr>
            </w:pPr>
            <w:r>
              <w:rPr>
                <w:rFonts w:hint="eastAsia" w:ascii="宋体" w:hAnsi="宋体"/>
                <w:sz w:val="24"/>
                <w:lang w:val="en-US" w:eastAsia="zh-CN"/>
              </w:rPr>
              <w:t>358</w:t>
            </w:r>
          </w:p>
        </w:tc>
        <w:tc>
          <w:tcPr>
            <w:tcW w:w="583" w:type="pct"/>
            <w:vAlign w:val="center"/>
          </w:tcPr>
          <w:p>
            <w:pPr>
              <w:pStyle w:val="26"/>
              <w:adjustRightInd w:val="0"/>
              <w:snapToGrid w:val="0"/>
              <w:spacing w:line="400" w:lineRule="exact"/>
              <w:jc w:val="center"/>
              <w:rPr>
                <w:rFonts w:ascii="新宋体" w:hAnsi="新宋体" w:eastAsia="新宋体"/>
                <w:sz w:val="24"/>
                <w:szCs w:val="24"/>
              </w:rPr>
            </w:pPr>
          </w:p>
        </w:tc>
        <w:tc>
          <w:tcPr>
            <w:tcW w:w="726" w:type="pct"/>
            <w:vAlign w:val="center"/>
          </w:tcPr>
          <w:p>
            <w:pPr>
              <w:spacing w:line="400" w:lineRule="exact"/>
              <w:rPr>
                <w:rFonts w:ascii="新宋体" w:hAnsi="新宋体" w:eastAsia="新宋体"/>
                <w:sz w:val="24"/>
                <w:szCs w:val="21"/>
              </w:rPr>
            </w:pPr>
          </w:p>
        </w:tc>
        <w:tc>
          <w:tcPr>
            <w:tcW w:w="923" w:type="pct"/>
            <w:vAlign w:val="center"/>
          </w:tcPr>
          <w:p>
            <w:pPr>
              <w:spacing w:line="400" w:lineRule="exact"/>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09" w:type="pct"/>
            <w:vAlign w:val="center"/>
          </w:tcPr>
          <w:p>
            <w:pPr>
              <w:pStyle w:val="26"/>
              <w:adjustRightInd w:val="0"/>
              <w:snapToGrid w:val="0"/>
              <w:spacing w:line="400" w:lineRule="exact"/>
              <w:jc w:val="center"/>
              <w:rPr>
                <w:rFonts w:ascii="新宋体" w:hAnsi="新宋体" w:eastAsia="新宋体"/>
                <w:sz w:val="24"/>
                <w:szCs w:val="24"/>
              </w:rPr>
            </w:pPr>
            <w:r>
              <w:rPr>
                <w:rFonts w:hint="eastAsia" w:ascii="新宋体" w:hAnsi="新宋体" w:eastAsia="新宋体"/>
                <w:sz w:val="24"/>
                <w:szCs w:val="24"/>
              </w:rPr>
              <w:t>5</w:t>
            </w:r>
          </w:p>
        </w:tc>
        <w:tc>
          <w:tcPr>
            <w:tcW w:w="1424" w:type="pct"/>
            <w:vAlign w:val="center"/>
          </w:tcPr>
          <w:p>
            <w:pPr>
              <w:pStyle w:val="26"/>
              <w:adjustRightInd w:val="0"/>
              <w:spacing w:line="312" w:lineRule="auto"/>
              <w:jc w:val="center"/>
              <w:rPr>
                <w:rFonts w:ascii="宋体" w:hAnsi="宋体"/>
                <w:sz w:val="24"/>
              </w:rPr>
            </w:pPr>
            <w:r>
              <w:rPr>
                <w:rFonts w:ascii="Times New Roman" w:hAnsi="Times New Roman" w:eastAsia="宋体" w:cs="Times New Roman"/>
                <w:sz w:val="24"/>
                <w:szCs w:val="24"/>
              </w:rPr>
              <w:t>漏电保护器</w:t>
            </w:r>
          </w:p>
        </w:tc>
        <w:tc>
          <w:tcPr>
            <w:tcW w:w="424" w:type="pct"/>
            <w:vAlign w:val="center"/>
          </w:tcPr>
          <w:p>
            <w:pPr>
              <w:pStyle w:val="26"/>
              <w:adjustRightInd w:val="0"/>
              <w:spacing w:line="312" w:lineRule="auto"/>
              <w:jc w:val="center"/>
              <w:rPr>
                <w:rFonts w:ascii="宋体" w:hAnsi="宋体"/>
                <w:sz w:val="24"/>
              </w:rPr>
            </w:pPr>
            <w:r>
              <w:rPr>
                <w:rFonts w:hint="eastAsia" w:ascii="Times New Roman" w:hAnsi="Times New Roman" w:cs="Times New Roman"/>
                <w:sz w:val="24"/>
                <w:szCs w:val="24"/>
                <w:lang w:eastAsia="zh-CN"/>
              </w:rPr>
              <w:t>个</w:t>
            </w:r>
          </w:p>
        </w:tc>
        <w:tc>
          <w:tcPr>
            <w:tcW w:w="508" w:type="pct"/>
            <w:vAlign w:val="center"/>
          </w:tcPr>
          <w:p>
            <w:pPr>
              <w:jc w:val="center"/>
              <w:rPr>
                <w:rFonts w:ascii="宋体" w:hAnsi="宋体"/>
                <w:sz w:val="24"/>
              </w:rPr>
            </w:pPr>
            <w:r>
              <w:rPr>
                <w:rFonts w:hint="eastAsia" w:ascii="宋体" w:hAnsi="宋体"/>
                <w:sz w:val="24"/>
                <w:lang w:val="en-US" w:eastAsia="zh-CN"/>
              </w:rPr>
              <w:t>358</w:t>
            </w:r>
          </w:p>
        </w:tc>
        <w:tc>
          <w:tcPr>
            <w:tcW w:w="583" w:type="pct"/>
            <w:vAlign w:val="center"/>
          </w:tcPr>
          <w:p>
            <w:pPr>
              <w:pStyle w:val="26"/>
              <w:adjustRightInd w:val="0"/>
              <w:snapToGrid w:val="0"/>
              <w:spacing w:line="400" w:lineRule="exact"/>
              <w:jc w:val="center"/>
              <w:rPr>
                <w:rFonts w:ascii="新宋体" w:hAnsi="新宋体" w:eastAsia="新宋体"/>
                <w:sz w:val="24"/>
                <w:szCs w:val="24"/>
              </w:rPr>
            </w:pPr>
          </w:p>
        </w:tc>
        <w:tc>
          <w:tcPr>
            <w:tcW w:w="726" w:type="pct"/>
            <w:vAlign w:val="center"/>
          </w:tcPr>
          <w:p>
            <w:pPr>
              <w:spacing w:line="400" w:lineRule="exact"/>
              <w:rPr>
                <w:rFonts w:ascii="新宋体" w:hAnsi="新宋体" w:eastAsia="新宋体"/>
                <w:sz w:val="24"/>
                <w:szCs w:val="21"/>
              </w:rPr>
            </w:pPr>
          </w:p>
        </w:tc>
        <w:tc>
          <w:tcPr>
            <w:tcW w:w="923" w:type="pct"/>
            <w:vAlign w:val="center"/>
          </w:tcPr>
          <w:p>
            <w:pPr>
              <w:spacing w:line="400" w:lineRule="exact"/>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09" w:type="pct"/>
            <w:vAlign w:val="center"/>
          </w:tcPr>
          <w:p>
            <w:pPr>
              <w:pStyle w:val="26"/>
              <w:adjustRightInd w:val="0"/>
              <w:snapToGrid w:val="0"/>
              <w:spacing w:line="400" w:lineRule="exact"/>
              <w:jc w:val="center"/>
              <w:rPr>
                <w:rFonts w:ascii="新宋体" w:hAnsi="新宋体" w:eastAsia="新宋体"/>
                <w:sz w:val="24"/>
                <w:szCs w:val="24"/>
              </w:rPr>
            </w:pPr>
            <w:r>
              <w:rPr>
                <w:rFonts w:hint="eastAsia" w:ascii="新宋体" w:hAnsi="新宋体" w:eastAsia="新宋体"/>
                <w:sz w:val="24"/>
                <w:szCs w:val="24"/>
              </w:rPr>
              <w:t>6</w:t>
            </w:r>
          </w:p>
        </w:tc>
        <w:tc>
          <w:tcPr>
            <w:tcW w:w="1424" w:type="pct"/>
            <w:vAlign w:val="center"/>
          </w:tcPr>
          <w:p>
            <w:pPr>
              <w:pStyle w:val="26"/>
              <w:adjustRightInd w:val="0"/>
              <w:spacing w:line="312" w:lineRule="auto"/>
              <w:jc w:val="center"/>
              <w:rPr>
                <w:rFonts w:ascii="宋体" w:hAnsi="宋体"/>
                <w:sz w:val="24"/>
              </w:rPr>
            </w:pPr>
            <w:r>
              <w:rPr>
                <w:rFonts w:ascii="Times New Roman" w:hAnsi="Times New Roman" w:eastAsia="宋体" w:cs="Times New Roman"/>
                <w:sz w:val="24"/>
                <w:szCs w:val="24"/>
              </w:rPr>
              <w:t>附件</w:t>
            </w:r>
          </w:p>
        </w:tc>
        <w:tc>
          <w:tcPr>
            <w:tcW w:w="424" w:type="pct"/>
            <w:vAlign w:val="center"/>
          </w:tcPr>
          <w:p>
            <w:pPr>
              <w:pStyle w:val="26"/>
              <w:adjustRightInd w:val="0"/>
              <w:spacing w:line="312" w:lineRule="auto"/>
              <w:jc w:val="center"/>
              <w:rPr>
                <w:rFonts w:ascii="宋体" w:hAnsi="宋体"/>
                <w:sz w:val="24"/>
              </w:rPr>
            </w:pPr>
            <w:r>
              <w:rPr>
                <w:rFonts w:hint="eastAsia" w:ascii="Times New Roman" w:hAnsi="Times New Roman" w:cs="Times New Roman"/>
                <w:sz w:val="24"/>
                <w:szCs w:val="24"/>
                <w:lang w:eastAsia="zh-CN"/>
              </w:rPr>
              <w:t>项</w:t>
            </w:r>
          </w:p>
        </w:tc>
        <w:tc>
          <w:tcPr>
            <w:tcW w:w="508" w:type="pct"/>
            <w:vAlign w:val="center"/>
          </w:tcPr>
          <w:p>
            <w:pPr>
              <w:jc w:val="center"/>
              <w:rPr>
                <w:rFonts w:ascii="宋体" w:hAnsi="宋体"/>
                <w:sz w:val="24"/>
              </w:rPr>
            </w:pPr>
            <w:r>
              <w:rPr>
                <w:rFonts w:hint="eastAsia" w:ascii="宋体" w:hAnsi="宋体"/>
                <w:sz w:val="24"/>
                <w:lang w:val="en-US" w:eastAsia="zh-CN"/>
              </w:rPr>
              <w:t>358</w:t>
            </w:r>
          </w:p>
        </w:tc>
        <w:tc>
          <w:tcPr>
            <w:tcW w:w="583" w:type="pct"/>
          </w:tcPr>
          <w:p>
            <w:pPr>
              <w:pStyle w:val="26"/>
              <w:adjustRightInd w:val="0"/>
              <w:snapToGrid w:val="0"/>
              <w:spacing w:line="400" w:lineRule="exact"/>
              <w:jc w:val="center"/>
              <w:rPr>
                <w:rFonts w:ascii="新宋体" w:hAnsi="新宋体" w:eastAsia="新宋体"/>
                <w:sz w:val="24"/>
                <w:szCs w:val="24"/>
              </w:rPr>
            </w:pPr>
          </w:p>
        </w:tc>
        <w:tc>
          <w:tcPr>
            <w:tcW w:w="726" w:type="pct"/>
          </w:tcPr>
          <w:p>
            <w:pPr>
              <w:spacing w:line="400" w:lineRule="exact"/>
              <w:rPr>
                <w:rFonts w:ascii="新宋体" w:hAnsi="新宋体" w:eastAsia="新宋体"/>
                <w:sz w:val="24"/>
                <w:szCs w:val="21"/>
              </w:rPr>
            </w:pPr>
          </w:p>
        </w:tc>
        <w:tc>
          <w:tcPr>
            <w:tcW w:w="923" w:type="pct"/>
          </w:tcPr>
          <w:p>
            <w:pPr>
              <w:spacing w:line="400" w:lineRule="exact"/>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09" w:type="pct"/>
            <w:vAlign w:val="center"/>
          </w:tcPr>
          <w:p>
            <w:pPr>
              <w:pStyle w:val="26"/>
              <w:adjustRightInd w:val="0"/>
              <w:snapToGrid w:val="0"/>
              <w:spacing w:line="400" w:lineRule="exact"/>
              <w:jc w:val="center"/>
              <w:rPr>
                <w:rFonts w:ascii="新宋体" w:hAnsi="新宋体" w:eastAsia="新宋体"/>
                <w:sz w:val="24"/>
                <w:szCs w:val="24"/>
              </w:rPr>
            </w:pPr>
          </w:p>
        </w:tc>
        <w:tc>
          <w:tcPr>
            <w:tcW w:w="1424" w:type="pct"/>
          </w:tcPr>
          <w:p>
            <w:pPr>
              <w:jc w:val="center"/>
              <w:rPr>
                <w:rFonts w:ascii="宋体" w:hAnsi="宋体"/>
                <w:sz w:val="24"/>
              </w:rPr>
            </w:pPr>
          </w:p>
        </w:tc>
        <w:tc>
          <w:tcPr>
            <w:tcW w:w="424" w:type="pct"/>
            <w:vAlign w:val="center"/>
          </w:tcPr>
          <w:p>
            <w:pPr>
              <w:jc w:val="center"/>
              <w:rPr>
                <w:rFonts w:ascii="宋体" w:hAnsi="宋体"/>
                <w:sz w:val="24"/>
              </w:rPr>
            </w:pPr>
          </w:p>
        </w:tc>
        <w:tc>
          <w:tcPr>
            <w:tcW w:w="508" w:type="pct"/>
            <w:vAlign w:val="center"/>
          </w:tcPr>
          <w:p>
            <w:pPr>
              <w:jc w:val="center"/>
              <w:rPr>
                <w:rFonts w:ascii="宋体" w:hAnsi="宋体"/>
                <w:sz w:val="24"/>
              </w:rPr>
            </w:pPr>
          </w:p>
        </w:tc>
        <w:tc>
          <w:tcPr>
            <w:tcW w:w="583" w:type="pct"/>
          </w:tcPr>
          <w:p>
            <w:pPr>
              <w:pStyle w:val="26"/>
              <w:adjustRightInd w:val="0"/>
              <w:snapToGrid w:val="0"/>
              <w:spacing w:line="400" w:lineRule="exact"/>
              <w:jc w:val="center"/>
              <w:rPr>
                <w:rFonts w:ascii="新宋体" w:hAnsi="新宋体" w:eastAsia="新宋体"/>
                <w:sz w:val="24"/>
                <w:szCs w:val="24"/>
              </w:rPr>
            </w:pPr>
          </w:p>
        </w:tc>
        <w:tc>
          <w:tcPr>
            <w:tcW w:w="726" w:type="pct"/>
          </w:tcPr>
          <w:p>
            <w:pPr>
              <w:spacing w:line="400" w:lineRule="exact"/>
              <w:rPr>
                <w:rFonts w:ascii="新宋体" w:hAnsi="新宋体" w:eastAsia="新宋体"/>
                <w:sz w:val="24"/>
                <w:szCs w:val="21"/>
              </w:rPr>
            </w:pPr>
          </w:p>
        </w:tc>
        <w:tc>
          <w:tcPr>
            <w:tcW w:w="923" w:type="pct"/>
          </w:tcPr>
          <w:p>
            <w:pPr>
              <w:spacing w:line="400" w:lineRule="exact"/>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000" w:type="pct"/>
            <w:gridSpan w:val="7"/>
            <w:vAlign w:val="center"/>
          </w:tcPr>
          <w:p>
            <w:pPr>
              <w:spacing w:line="400" w:lineRule="exact"/>
              <w:jc w:val="left"/>
              <w:rPr>
                <w:rFonts w:ascii="新宋体" w:hAnsi="新宋体" w:eastAsia="新宋体"/>
                <w:sz w:val="24"/>
                <w:szCs w:val="21"/>
              </w:rPr>
            </w:pPr>
            <w:r>
              <w:rPr>
                <w:rFonts w:hint="eastAsia" w:ascii="新宋体" w:hAnsi="新宋体" w:eastAsia="新宋体"/>
                <w:sz w:val="24"/>
                <w:szCs w:val="21"/>
              </w:rPr>
              <w:t>合计：小写：</w:t>
            </w:r>
            <w:r>
              <w:rPr>
                <w:sz w:val="24"/>
                <w:u w:val="single"/>
                <w:shd w:val="clear" w:color="auto" w:fill="FFFFFF"/>
              </w:rPr>
              <w:t>¥</w:t>
            </w:r>
            <w:r>
              <w:rPr>
                <w:rFonts w:hint="eastAsia" w:ascii="新宋体" w:hAnsi="新宋体" w:eastAsia="新宋体"/>
                <w:sz w:val="24"/>
                <w:szCs w:val="21"/>
              </w:rPr>
              <w:t>_____________</w:t>
            </w:r>
          </w:p>
          <w:p>
            <w:pPr>
              <w:spacing w:line="360" w:lineRule="exact"/>
              <w:jc w:val="left"/>
              <w:rPr>
                <w:rFonts w:ascii="新宋体" w:hAnsi="新宋体" w:eastAsia="新宋体"/>
                <w:b/>
                <w:sz w:val="24"/>
                <w:szCs w:val="21"/>
              </w:rPr>
            </w:pPr>
            <w:r>
              <w:rPr>
                <w:rFonts w:hint="eastAsia" w:ascii="新宋体" w:hAnsi="新宋体" w:eastAsia="新宋体"/>
                <w:sz w:val="24"/>
                <w:szCs w:val="21"/>
              </w:rPr>
              <w:t>大写：______________</w:t>
            </w:r>
          </w:p>
        </w:tc>
      </w:tr>
    </w:tbl>
    <w:p>
      <w:pPr>
        <w:jc w:val="right"/>
        <w:rPr>
          <w:rFonts w:ascii="新宋体" w:hAnsi="新宋体" w:eastAsia="新宋体"/>
          <w:sz w:val="24"/>
        </w:rPr>
      </w:pPr>
      <w:r>
        <w:rPr>
          <w:rFonts w:hint="eastAsia" w:ascii="新宋体" w:hAnsi="新宋体" w:eastAsia="新宋体"/>
          <w:sz w:val="24"/>
        </w:rPr>
        <w:t>投标人名称（电子签章）：</w:t>
      </w:r>
      <w:r>
        <w:rPr>
          <w:rFonts w:ascii="新宋体" w:hAnsi="新宋体" w:eastAsia="新宋体"/>
          <w:sz w:val="28"/>
          <w:szCs w:val="28"/>
        </w:rPr>
        <w:t>______________</w:t>
      </w:r>
      <w:r>
        <w:rPr>
          <w:rFonts w:hint="eastAsia" w:ascii="新宋体" w:hAnsi="新宋体" w:eastAsia="新宋体"/>
          <w:sz w:val="24"/>
        </w:rPr>
        <w:t xml:space="preserve"> </w:t>
      </w:r>
    </w:p>
    <w:p>
      <w:pPr>
        <w:spacing w:line="500" w:lineRule="exact"/>
        <w:jc w:val="right"/>
        <w:rPr>
          <w:rFonts w:ascii="新宋体" w:hAnsi="新宋体" w:eastAsia="新宋体"/>
          <w:sz w:val="24"/>
        </w:rPr>
      </w:pPr>
      <w:r>
        <w:rPr>
          <w:rFonts w:hint="eastAsia" w:ascii="新宋体" w:hAnsi="新宋体" w:eastAsia="新宋体"/>
          <w:sz w:val="24"/>
        </w:rPr>
        <w:t>日 期：</w:t>
      </w:r>
      <w:r>
        <w:rPr>
          <w:rFonts w:ascii="新宋体" w:hAnsi="新宋体" w:eastAsia="新宋体"/>
          <w:sz w:val="28"/>
          <w:szCs w:val="28"/>
        </w:rPr>
        <w:t>______________</w:t>
      </w:r>
      <w:r>
        <w:rPr>
          <w:rFonts w:hint="eastAsia" w:ascii="新宋体" w:hAnsi="新宋体" w:eastAsia="新宋体"/>
          <w:sz w:val="24"/>
        </w:rPr>
        <w:t xml:space="preserve"> </w:t>
      </w:r>
    </w:p>
    <w:p>
      <w:pPr>
        <w:spacing w:line="400" w:lineRule="exact"/>
        <w:ind w:left="480" w:hanging="480" w:hangingChars="200"/>
        <w:rPr>
          <w:rFonts w:ascii="新宋体" w:hAnsi="新宋体" w:eastAsia="新宋体"/>
          <w:sz w:val="24"/>
        </w:rPr>
      </w:pPr>
      <w:r>
        <w:rPr>
          <w:rFonts w:hint="eastAsia" w:ascii="新宋体" w:hAnsi="新宋体" w:eastAsia="新宋体"/>
          <w:sz w:val="24"/>
        </w:rPr>
        <w:t>注：</w:t>
      </w:r>
    </w:p>
    <w:p>
      <w:pPr>
        <w:pStyle w:val="26"/>
        <w:adjustRightInd w:val="0"/>
        <w:snapToGrid w:val="0"/>
        <w:spacing w:line="400" w:lineRule="exact"/>
        <w:ind w:firstLine="480" w:firstLineChars="200"/>
        <w:rPr>
          <w:rFonts w:hint="eastAsia" w:ascii="新宋体" w:hAnsi="新宋体" w:eastAsia="新宋体"/>
          <w:b/>
          <w:color w:val="auto"/>
          <w:sz w:val="24"/>
          <w:highlight w:val="none"/>
        </w:rPr>
      </w:pPr>
      <w:r>
        <w:rPr>
          <w:rFonts w:ascii="新宋体" w:hAnsi="新宋体" w:eastAsia="新宋体"/>
          <w:color w:val="auto"/>
          <w:sz w:val="24"/>
          <w:szCs w:val="24"/>
          <w:highlight w:val="none"/>
        </w:rPr>
        <w:t>1</w:t>
      </w:r>
      <w:r>
        <w:rPr>
          <w:rFonts w:hint="eastAsia" w:ascii="新宋体" w:hAnsi="新宋体" w:eastAsia="新宋体"/>
          <w:color w:val="auto"/>
          <w:sz w:val="24"/>
          <w:szCs w:val="24"/>
          <w:highlight w:val="none"/>
        </w:rPr>
        <w:t>.</w:t>
      </w:r>
      <w:r>
        <w:rPr>
          <w:rFonts w:ascii="Times New Roman" w:hAnsi="Times New Roman" w:cs="Times New Roman"/>
          <w:sz w:val="24"/>
          <w:szCs w:val="24"/>
        </w:rPr>
        <w:t>投标人应根据国家的有关规定和招标文件要求并结合企业的实际情况进行投标报价。投标报价以人民币为结算货币，</w:t>
      </w:r>
      <w:r>
        <w:rPr>
          <w:rFonts w:hint="eastAsia" w:hAnsi="宋体"/>
          <w:b/>
          <w:sz w:val="24"/>
          <w:szCs w:val="24"/>
        </w:rPr>
        <w:t>投标报价须包括</w:t>
      </w:r>
      <w:r>
        <w:rPr>
          <w:rFonts w:hint="eastAsia" w:ascii="新宋体" w:hAnsi="新宋体" w:eastAsia="新宋体" w:cs="新宋体"/>
          <w:b/>
          <w:sz w:val="24"/>
        </w:rPr>
        <w:t>货物价款、所必须配备的附件、途中运输费、装卸费、安装调试费、</w:t>
      </w:r>
      <w:r>
        <w:rPr>
          <w:rFonts w:hint="eastAsia" w:hAnsi="宋体"/>
          <w:b/>
          <w:sz w:val="24"/>
          <w:szCs w:val="24"/>
        </w:rPr>
        <w:t>税费、完成本项目的其它费用和政策性文件规定及合同包含的所有风险、责任等所有费用，即按采购人要求提供货物到现场并安装完毕的价格。</w:t>
      </w:r>
      <w:r>
        <w:rPr>
          <w:rFonts w:ascii="Times New Roman" w:hAnsi="Times New Roman" w:cs="Times New Roman"/>
          <w:sz w:val="24"/>
          <w:szCs w:val="24"/>
        </w:rPr>
        <w:t>如有漏项，视同已包含在其总项目中，合同</w:t>
      </w:r>
      <w:r>
        <w:rPr>
          <w:rFonts w:hint="eastAsia" w:ascii="Times New Roman" w:hAnsi="Times New Roman" w:cs="Times New Roman"/>
          <w:sz w:val="24"/>
          <w:szCs w:val="24"/>
        </w:rPr>
        <w:t>单价及</w:t>
      </w:r>
      <w:r>
        <w:rPr>
          <w:rFonts w:ascii="Times New Roman" w:hAnsi="Times New Roman" w:cs="Times New Roman"/>
          <w:sz w:val="24"/>
          <w:szCs w:val="24"/>
        </w:rPr>
        <w:t>总价不予调整。</w:t>
      </w:r>
    </w:p>
    <w:p>
      <w:pPr>
        <w:pStyle w:val="26"/>
        <w:adjustRightInd w:val="0"/>
        <w:snapToGrid w:val="0"/>
        <w:spacing w:line="400" w:lineRule="exact"/>
        <w:ind w:firstLine="480" w:firstLineChars="200"/>
        <w:rPr>
          <w:rFonts w:hint="eastAsia" w:ascii="新宋体" w:hAnsi="新宋体" w:eastAsia="新宋体"/>
          <w:color w:val="auto"/>
          <w:sz w:val="24"/>
          <w:highlight w:val="none"/>
        </w:rPr>
      </w:pPr>
      <w:r>
        <w:rPr>
          <w:rFonts w:hint="eastAsia" w:ascii="新宋体" w:hAnsi="新宋体" w:eastAsia="新宋体"/>
          <w:i/>
          <w:color w:val="auto"/>
          <w:sz w:val="24"/>
          <w:highlight w:val="none"/>
        </w:rPr>
        <w:t>2.</w:t>
      </w:r>
      <w:r>
        <w:rPr>
          <w:rFonts w:hint="eastAsia" w:ascii="新宋体" w:hAnsi="新宋体" w:eastAsia="新宋体"/>
          <w:color w:val="auto"/>
          <w:sz w:val="24"/>
          <w:highlight w:val="none"/>
        </w:rPr>
        <w:t>总价超过预算价的投标将作无效标处理。</w:t>
      </w:r>
    </w:p>
    <w:p>
      <w:pPr>
        <w:pStyle w:val="26"/>
        <w:adjustRightInd w:val="0"/>
        <w:snapToGrid w:val="0"/>
        <w:spacing w:line="400" w:lineRule="exact"/>
        <w:ind w:firstLine="480" w:firstLineChars="200"/>
        <w:rPr>
          <w:rFonts w:ascii="新宋体" w:hAnsi="新宋体" w:eastAsia="新宋体"/>
          <w:color w:val="auto"/>
          <w:sz w:val="24"/>
          <w:highlight w:val="none"/>
        </w:rPr>
      </w:pPr>
      <w:r>
        <w:rPr>
          <w:rFonts w:hint="eastAsia" w:ascii="新宋体" w:hAnsi="新宋体" w:eastAsia="新宋体"/>
          <w:color w:val="auto"/>
          <w:sz w:val="24"/>
          <w:highlight w:val="none"/>
          <w:lang w:val="en-US" w:eastAsia="zh-CN"/>
        </w:rPr>
        <w:t>3</w:t>
      </w:r>
      <w:r>
        <w:rPr>
          <w:rFonts w:hint="eastAsia" w:ascii="新宋体" w:hAnsi="新宋体" w:eastAsia="新宋体"/>
          <w:color w:val="auto"/>
          <w:sz w:val="24"/>
          <w:highlight w:val="none"/>
        </w:rPr>
        <w:t>.此表中的品牌型号须与“</w:t>
      </w:r>
      <w:r>
        <w:rPr>
          <w:rFonts w:hint="eastAsia" w:ascii="新宋体" w:hAnsi="新宋体" w:eastAsia="新宋体"/>
          <w:color w:val="auto"/>
          <w:sz w:val="24"/>
          <w:highlight w:val="none"/>
          <w:lang w:eastAsia="zh-CN"/>
        </w:rPr>
        <w:t>参投货物说明一览表</w:t>
      </w:r>
      <w:r>
        <w:rPr>
          <w:rFonts w:hint="eastAsia" w:ascii="新宋体" w:hAnsi="新宋体" w:eastAsia="新宋体"/>
          <w:color w:val="auto"/>
          <w:sz w:val="24"/>
          <w:highlight w:val="none"/>
        </w:rPr>
        <w:t>”中的品牌型号一致。</w:t>
      </w:r>
    </w:p>
    <w:p>
      <w:pPr>
        <w:pStyle w:val="26"/>
        <w:adjustRightInd w:val="0"/>
        <w:snapToGrid w:val="0"/>
        <w:spacing w:line="400" w:lineRule="exact"/>
        <w:ind w:firstLine="480" w:firstLineChars="200"/>
        <w:rPr>
          <w:rFonts w:hint="eastAsia" w:ascii="新宋体" w:hAnsi="新宋体" w:eastAsia="新宋体"/>
          <w:color w:val="auto"/>
          <w:sz w:val="24"/>
          <w:highlight w:val="none"/>
          <w:lang w:val="en-US" w:eastAsia="zh-CN"/>
        </w:rPr>
      </w:pPr>
      <w:r>
        <w:rPr>
          <w:rFonts w:hint="eastAsia" w:ascii="新宋体" w:hAnsi="新宋体" w:eastAsia="新宋体"/>
          <w:color w:val="auto"/>
          <w:sz w:val="24"/>
          <w:highlight w:val="none"/>
          <w:lang w:val="en-US" w:eastAsia="zh-CN"/>
        </w:rPr>
        <w:t>4</w:t>
      </w:r>
      <w:r>
        <w:rPr>
          <w:rFonts w:hint="eastAsia" w:ascii="新宋体" w:hAnsi="新宋体" w:eastAsia="新宋体"/>
          <w:color w:val="auto"/>
          <w:sz w:val="24"/>
          <w:highlight w:val="none"/>
        </w:rPr>
        <w:t>.此表在不改变格式内容的情况下，可自行制作</w:t>
      </w:r>
      <w:r>
        <w:rPr>
          <w:rFonts w:hint="eastAsia" w:ascii="新宋体" w:hAnsi="新宋体" w:eastAsia="新宋体"/>
          <w:color w:val="auto"/>
          <w:sz w:val="24"/>
          <w:highlight w:val="none"/>
          <w:lang w:eastAsia="zh-CN"/>
        </w:rPr>
        <w:t>。</w:t>
      </w:r>
    </w:p>
    <w:p>
      <w:pPr>
        <w:spacing w:line="480" w:lineRule="auto"/>
        <w:rPr>
          <w:rFonts w:ascii="新宋体" w:hAnsi="新宋体" w:eastAsia="新宋体"/>
          <w:b/>
          <w:bCs/>
          <w:sz w:val="36"/>
          <w:szCs w:val="36"/>
        </w:rPr>
      </w:pPr>
      <w:r>
        <w:rPr>
          <w:rFonts w:hint="eastAsia" w:ascii="新宋体" w:hAnsi="新宋体" w:eastAsia="新宋体"/>
          <w:b/>
          <w:bCs/>
          <w:sz w:val="36"/>
          <w:szCs w:val="36"/>
        </w:rPr>
        <w:br w:type="page"/>
      </w:r>
      <w:r>
        <w:rPr>
          <w:rFonts w:hint="eastAsia" w:ascii="新宋体" w:hAnsi="新宋体" w:eastAsia="新宋体"/>
          <w:b/>
          <w:bCs/>
          <w:sz w:val="36"/>
          <w:szCs w:val="36"/>
        </w:rPr>
        <w:t>10.</w:t>
      </w:r>
    </w:p>
    <w:p>
      <w:pPr>
        <w:spacing w:line="480" w:lineRule="auto"/>
        <w:jc w:val="center"/>
        <w:rPr>
          <w:rFonts w:ascii="新宋体" w:hAnsi="新宋体" w:eastAsia="新宋体"/>
          <w:b/>
          <w:bCs/>
          <w:sz w:val="36"/>
          <w:szCs w:val="36"/>
        </w:rPr>
      </w:pPr>
      <w:r>
        <w:rPr>
          <w:rFonts w:hint="eastAsia" w:ascii="新宋体" w:hAnsi="新宋体" w:eastAsia="新宋体"/>
          <w:b/>
          <w:bCs/>
          <w:sz w:val="36"/>
          <w:szCs w:val="36"/>
        </w:rPr>
        <w:t>投标人自报成本价表（格式）</w:t>
      </w:r>
    </w:p>
    <w:p>
      <w:pPr>
        <w:pStyle w:val="26"/>
        <w:spacing w:line="360" w:lineRule="auto"/>
        <w:ind w:firstLine="472" w:firstLineChars="197"/>
        <w:rPr>
          <w:rFonts w:ascii="新宋体" w:hAnsi="新宋体" w:eastAsia="新宋体"/>
          <w:sz w:val="24"/>
        </w:rPr>
      </w:pPr>
    </w:p>
    <w:p>
      <w:pPr>
        <w:pStyle w:val="26"/>
        <w:spacing w:line="360" w:lineRule="auto"/>
        <w:ind w:firstLine="480" w:firstLineChars="200"/>
        <w:rPr>
          <w:rFonts w:hint="eastAsia" w:ascii="新宋体" w:hAnsi="新宋体" w:eastAsia="新宋体"/>
          <w:b/>
          <w:sz w:val="24"/>
          <w:lang w:eastAsia="zh-CN"/>
        </w:rPr>
      </w:pPr>
      <w:r>
        <w:rPr>
          <w:rFonts w:hint="eastAsia" w:ascii="新宋体" w:hAnsi="新宋体" w:eastAsia="新宋体"/>
          <w:sz w:val="24"/>
        </w:rPr>
        <w:t>采购编号：</w:t>
      </w:r>
      <w:r>
        <w:rPr>
          <w:rFonts w:hint="eastAsia" w:ascii="新宋体" w:hAnsi="新宋体" w:eastAsia="新宋体"/>
          <w:sz w:val="24"/>
          <w:lang w:eastAsia="zh-CN"/>
        </w:rPr>
        <w:t>YWCG2024013GK</w:t>
      </w:r>
    </w:p>
    <w:tbl>
      <w:tblPr>
        <w:tblStyle w:val="52"/>
        <w:tblW w:w="7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3"/>
        <w:gridCol w:w="4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3183" w:type="dxa"/>
            <w:vAlign w:val="center"/>
          </w:tcPr>
          <w:p>
            <w:pPr>
              <w:rPr>
                <w:rFonts w:ascii="新宋体" w:hAnsi="新宋体" w:eastAsia="新宋体" w:cs="Courier New"/>
                <w:sz w:val="24"/>
                <w:szCs w:val="21"/>
              </w:rPr>
            </w:pPr>
            <w:r>
              <w:rPr>
                <w:rFonts w:hint="eastAsia" w:ascii="新宋体" w:hAnsi="新宋体" w:eastAsia="新宋体" w:cs="Courier New"/>
                <w:sz w:val="24"/>
                <w:szCs w:val="21"/>
              </w:rPr>
              <w:t>项目名称</w:t>
            </w:r>
          </w:p>
        </w:tc>
        <w:tc>
          <w:tcPr>
            <w:tcW w:w="4206" w:type="dxa"/>
            <w:vAlign w:val="center"/>
          </w:tcPr>
          <w:p>
            <w:pPr>
              <w:jc w:val="center"/>
              <w:rPr>
                <w:rFonts w:ascii="新宋体" w:hAnsi="新宋体" w:eastAsia="新宋体" w:cs="Courier New"/>
                <w:sz w:val="24"/>
                <w:szCs w:val="21"/>
              </w:rPr>
            </w:pPr>
            <w:r>
              <w:rPr>
                <w:rFonts w:ascii="新宋体" w:hAnsi="新宋体" w:eastAsia="新宋体" w:cs="Courier New"/>
                <w:sz w:val="24"/>
                <w:szCs w:val="21"/>
              </w:rPr>
              <w:t>项目成本总价</w:t>
            </w:r>
            <w:r>
              <w:rPr>
                <w:rFonts w:hint="eastAsia" w:ascii="新宋体" w:hAnsi="新宋体" w:eastAsia="新宋体" w:cs="Courier New"/>
                <w:sz w:val="24"/>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9" w:hRule="atLeast"/>
          <w:jc w:val="center"/>
        </w:trPr>
        <w:tc>
          <w:tcPr>
            <w:tcW w:w="3183" w:type="dxa"/>
            <w:vAlign w:val="center"/>
          </w:tcPr>
          <w:p>
            <w:pPr>
              <w:jc w:val="center"/>
              <w:rPr>
                <w:rFonts w:ascii="新宋体" w:hAnsi="新宋体" w:eastAsia="新宋体" w:cs="Courier New"/>
                <w:sz w:val="24"/>
                <w:szCs w:val="21"/>
              </w:rPr>
            </w:pPr>
            <w:r>
              <w:rPr>
                <w:rFonts w:hint="eastAsia" w:ascii="新宋体" w:hAnsi="新宋体" w:eastAsia="新宋体" w:cs="Courier New"/>
                <w:sz w:val="24"/>
                <w:lang w:eastAsia="zh-CN"/>
              </w:rPr>
              <w:t>义乌市教育研修院多媒体触控一体机</w:t>
            </w:r>
            <w:r>
              <w:rPr>
                <w:rFonts w:hint="eastAsia" w:ascii="新宋体" w:hAnsi="新宋体" w:eastAsia="新宋体"/>
                <w:sz w:val="24"/>
                <w:szCs w:val="20"/>
              </w:rPr>
              <w:t>采购项目</w:t>
            </w:r>
          </w:p>
        </w:tc>
        <w:tc>
          <w:tcPr>
            <w:tcW w:w="4206" w:type="dxa"/>
            <w:vAlign w:val="center"/>
          </w:tcPr>
          <w:p>
            <w:pPr>
              <w:rPr>
                <w:rFonts w:ascii="新宋体" w:hAnsi="新宋体" w:eastAsia="新宋体"/>
                <w:sz w:val="24"/>
                <w:u w:val="single"/>
              </w:rPr>
            </w:pPr>
            <w:r>
              <w:rPr>
                <w:rFonts w:hint="eastAsia" w:ascii="新宋体" w:hAnsi="新宋体" w:eastAsia="新宋体"/>
                <w:sz w:val="24"/>
                <w:szCs w:val="21"/>
              </w:rPr>
              <w:t>小写：</w:t>
            </w:r>
            <w:r>
              <w:rPr>
                <w:sz w:val="24"/>
                <w:u w:val="single"/>
                <w:shd w:val="clear" w:color="auto" w:fill="FFFFFF"/>
              </w:rPr>
              <w:t>¥</w:t>
            </w:r>
            <w:r>
              <w:rPr>
                <w:rFonts w:hint="eastAsia" w:ascii="新宋体" w:hAnsi="新宋体" w:eastAsia="新宋体"/>
                <w:sz w:val="24"/>
                <w:szCs w:val="21"/>
              </w:rPr>
              <w:t>_____________</w:t>
            </w:r>
          </w:p>
          <w:p>
            <w:pPr>
              <w:spacing w:line="360" w:lineRule="auto"/>
              <w:rPr>
                <w:rFonts w:ascii="新宋体" w:hAnsi="新宋体" w:eastAsia="新宋体" w:cs="Courier New"/>
                <w:sz w:val="24"/>
                <w:szCs w:val="21"/>
              </w:rPr>
            </w:pPr>
            <w:r>
              <w:rPr>
                <w:rFonts w:hint="eastAsia" w:ascii="新宋体" w:hAnsi="新宋体" w:eastAsia="新宋体"/>
                <w:sz w:val="24"/>
              </w:rPr>
              <w:t>大写：</w:t>
            </w:r>
            <w:r>
              <w:rPr>
                <w:rFonts w:ascii="新宋体" w:hAnsi="新宋体" w:eastAsia="新宋体"/>
                <w:sz w:val="28"/>
                <w:szCs w:val="28"/>
              </w:rPr>
              <w:t>_____________</w:t>
            </w:r>
          </w:p>
        </w:tc>
      </w:tr>
    </w:tbl>
    <w:p>
      <w:pPr>
        <w:rPr>
          <w:rFonts w:ascii="新宋体" w:hAnsi="新宋体" w:eastAsia="新宋体"/>
          <w:sz w:val="28"/>
          <w:szCs w:val="28"/>
        </w:rPr>
      </w:pPr>
    </w:p>
    <w:p>
      <w:pPr>
        <w:rPr>
          <w:rFonts w:ascii="新宋体" w:hAnsi="新宋体" w:eastAsia="新宋体"/>
          <w:sz w:val="28"/>
          <w:szCs w:val="28"/>
        </w:rPr>
      </w:pPr>
    </w:p>
    <w:p>
      <w:pPr>
        <w:rPr>
          <w:rFonts w:ascii="新宋体" w:hAnsi="新宋体" w:eastAsia="新宋体"/>
          <w:sz w:val="28"/>
          <w:szCs w:val="28"/>
        </w:rPr>
      </w:pPr>
    </w:p>
    <w:p>
      <w:pPr>
        <w:jc w:val="right"/>
        <w:rPr>
          <w:rFonts w:ascii="新宋体" w:hAnsi="新宋体" w:eastAsia="新宋体"/>
          <w:b/>
          <w:bCs/>
          <w:sz w:val="28"/>
          <w:szCs w:val="28"/>
        </w:rPr>
      </w:pPr>
      <w:r>
        <w:rPr>
          <w:rFonts w:hint="eastAsia" w:ascii="新宋体" w:hAnsi="新宋体" w:eastAsia="新宋体"/>
          <w:sz w:val="28"/>
          <w:szCs w:val="28"/>
        </w:rPr>
        <w:t>投标人名称（电子签章）：</w:t>
      </w:r>
      <w:r>
        <w:rPr>
          <w:rFonts w:ascii="新宋体" w:hAnsi="新宋体" w:eastAsia="新宋体"/>
          <w:sz w:val="28"/>
          <w:szCs w:val="28"/>
        </w:rPr>
        <w:t xml:space="preserve"> _______________</w:t>
      </w:r>
    </w:p>
    <w:p>
      <w:pPr>
        <w:spacing w:line="360" w:lineRule="auto"/>
        <w:ind w:firstLine="420" w:firstLineChars="150"/>
        <w:jc w:val="right"/>
        <w:rPr>
          <w:rFonts w:ascii="新宋体" w:hAnsi="新宋体" w:eastAsia="新宋体"/>
          <w:sz w:val="28"/>
          <w:szCs w:val="28"/>
        </w:rPr>
      </w:pPr>
      <w:r>
        <w:rPr>
          <w:rFonts w:hint="eastAsia" w:ascii="新宋体" w:hAnsi="新宋体" w:eastAsia="新宋体"/>
          <w:sz w:val="28"/>
          <w:szCs w:val="28"/>
        </w:rPr>
        <w:t>日</w:t>
      </w:r>
      <w:r>
        <w:rPr>
          <w:rFonts w:ascii="新宋体" w:hAnsi="新宋体" w:eastAsia="新宋体"/>
          <w:sz w:val="28"/>
          <w:szCs w:val="28"/>
        </w:rPr>
        <w:t xml:space="preserve">  </w:t>
      </w:r>
      <w:r>
        <w:rPr>
          <w:rFonts w:hint="eastAsia" w:ascii="新宋体" w:hAnsi="新宋体" w:eastAsia="新宋体"/>
          <w:sz w:val="28"/>
          <w:szCs w:val="28"/>
        </w:rPr>
        <w:t>期</w:t>
      </w:r>
      <w:r>
        <w:rPr>
          <w:rFonts w:ascii="新宋体" w:hAnsi="新宋体" w:eastAsia="新宋体"/>
          <w:sz w:val="28"/>
          <w:szCs w:val="28"/>
        </w:rPr>
        <w:t>:________________</w:t>
      </w:r>
    </w:p>
    <w:p>
      <w:pPr>
        <w:pStyle w:val="22"/>
        <w:spacing w:line="360" w:lineRule="exact"/>
        <w:ind w:firstLine="1440" w:firstLineChars="200"/>
        <w:rPr>
          <w:rFonts w:ascii="新宋体" w:hAnsi="新宋体" w:eastAsia="新宋体"/>
          <w:b w:val="0"/>
          <w:bCs w:val="0"/>
          <w:color w:val="auto"/>
        </w:rPr>
      </w:pPr>
    </w:p>
    <w:p>
      <w:pPr>
        <w:pStyle w:val="26"/>
        <w:spacing w:line="460" w:lineRule="exact"/>
        <w:rPr>
          <w:rFonts w:ascii="新宋体" w:hAnsi="新宋体" w:eastAsia="新宋体"/>
          <w:sz w:val="24"/>
        </w:rPr>
      </w:pPr>
    </w:p>
    <w:p>
      <w:pPr>
        <w:pStyle w:val="26"/>
        <w:spacing w:line="460" w:lineRule="exact"/>
        <w:rPr>
          <w:rFonts w:ascii="新宋体" w:hAnsi="新宋体" w:eastAsia="新宋体"/>
          <w:sz w:val="24"/>
        </w:rPr>
      </w:pPr>
    </w:p>
    <w:p>
      <w:pPr>
        <w:pStyle w:val="26"/>
        <w:spacing w:line="460" w:lineRule="exact"/>
        <w:rPr>
          <w:rFonts w:ascii="新宋体" w:hAnsi="新宋体" w:eastAsia="新宋体"/>
          <w:sz w:val="24"/>
        </w:rPr>
      </w:pPr>
    </w:p>
    <w:p>
      <w:pPr>
        <w:pStyle w:val="26"/>
        <w:spacing w:line="460" w:lineRule="exact"/>
        <w:rPr>
          <w:rFonts w:ascii="新宋体" w:hAnsi="新宋体" w:eastAsia="新宋体"/>
          <w:sz w:val="24"/>
        </w:rPr>
      </w:pPr>
    </w:p>
    <w:p>
      <w:pPr>
        <w:pStyle w:val="26"/>
        <w:spacing w:line="460" w:lineRule="exact"/>
        <w:rPr>
          <w:rFonts w:ascii="新宋体" w:hAnsi="新宋体" w:eastAsia="新宋体"/>
          <w:sz w:val="24"/>
        </w:rPr>
      </w:pPr>
    </w:p>
    <w:p>
      <w:pPr>
        <w:pStyle w:val="26"/>
        <w:spacing w:line="460" w:lineRule="exact"/>
        <w:rPr>
          <w:rFonts w:ascii="新宋体" w:hAnsi="新宋体" w:eastAsia="新宋体"/>
          <w:sz w:val="24"/>
        </w:rPr>
      </w:pPr>
      <w:r>
        <w:rPr>
          <w:rFonts w:hint="eastAsia" w:ascii="新宋体" w:hAnsi="新宋体" w:eastAsia="新宋体"/>
          <w:sz w:val="24"/>
        </w:rPr>
        <w:t>备注：</w:t>
      </w:r>
    </w:p>
    <w:p>
      <w:pPr>
        <w:pStyle w:val="26"/>
        <w:spacing w:line="460" w:lineRule="exact"/>
        <w:rPr>
          <w:rFonts w:ascii="新宋体" w:hAnsi="新宋体" w:eastAsia="新宋体"/>
          <w:sz w:val="24"/>
        </w:rPr>
      </w:pPr>
      <w:r>
        <w:rPr>
          <w:rFonts w:ascii="新宋体" w:hAnsi="新宋体" w:eastAsia="新宋体"/>
          <w:sz w:val="24"/>
        </w:rPr>
        <w:t>1</w:t>
      </w:r>
      <w:r>
        <w:rPr>
          <w:rFonts w:hint="eastAsia" w:ascii="新宋体" w:hAnsi="新宋体" w:eastAsia="新宋体"/>
          <w:sz w:val="24"/>
        </w:rPr>
        <w:t>该报价表为投标人投入本项目的成本价。</w:t>
      </w:r>
    </w:p>
    <w:p>
      <w:pPr>
        <w:pStyle w:val="26"/>
        <w:spacing w:line="460" w:lineRule="exact"/>
        <w:rPr>
          <w:rFonts w:ascii="新宋体" w:hAnsi="新宋体" w:eastAsia="新宋体"/>
          <w:sz w:val="24"/>
        </w:rPr>
      </w:pPr>
      <w:r>
        <w:rPr>
          <w:rFonts w:hint="eastAsia" w:ascii="新宋体" w:hAnsi="新宋体" w:eastAsia="新宋体"/>
          <w:sz w:val="24"/>
        </w:rPr>
        <w:t>2.</w:t>
      </w:r>
      <w:r>
        <w:rPr>
          <w:rFonts w:hint="eastAsia" w:ascii="新宋体" w:hAnsi="新宋体" w:eastAsia="新宋体"/>
          <w:i/>
          <w:iCs/>
          <w:sz w:val="24"/>
        </w:rPr>
        <w:t>投标报价低于投标人的企业成本价的投标将作无效标处理</w:t>
      </w:r>
      <w:r>
        <w:rPr>
          <w:rFonts w:hint="eastAsia" w:ascii="新宋体" w:hAnsi="新宋体" w:eastAsia="新宋体"/>
          <w:i/>
          <w:sz w:val="24"/>
        </w:rPr>
        <w:t>。</w:t>
      </w:r>
    </w:p>
    <w:p>
      <w:pPr>
        <w:pStyle w:val="26"/>
        <w:spacing w:line="460" w:lineRule="exact"/>
        <w:rPr>
          <w:rFonts w:ascii="新宋体" w:hAnsi="新宋体" w:eastAsia="新宋体"/>
          <w:sz w:val="24"/>
        </w:rPr>
      </w:pPr>
      <w:r>
        <w:rPr>
          <w:rFonts w:hint="eastAsia" w:ascii="新宋体" w:hAnsi="新宋体" w:eastAsia="新宋体"/>
          <w:sz w:val="24"/>
        </w:rPr>
        <w:t>3此表在不改变格式内容的情况下，可自行制作。</w:t>
      </w:r>
      <w:bookmarkEnd w:id="105"/>
    </w:p>
    <w:sectPr>
      <w:headerReference r:id="rId3" w:type="default"/>
      <w:footerReference r:id="rId4" w:type="default"/>
      <w:pgSz w:w="11906" w:h="16838"/>
      <w:pgMar w:top="1247" w:right="1134" w:bottom="1440" w:left="1418" w:header="851" w:footer="992" w:gutter="0"/>
      <w:pgNumType w:start="0"/>
      <w:cols w:space="720" w:num="1"/>
      <w:titlePg/>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Helvetica">
    <w:panose1 w:val="020B0504020202030204"/>
    <w:charset w:val="00"/>
    <w:family w:val="swiss"/>
    <w:pitch w:val="default"/>
    <w:sig w:usb0="00000007" w:usb1="00000000" w:usb2="00000000" w:usb3="00000000" w:csb0="00000093"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kern w:val="0"/>
        <w:szCs w:val="21"/>
      </w:rP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30</w:t>
    </w:r>
    <w:r>
      <w:rPr>
        <w:kern w:val="0"/>
        <w:szCs w:val="21"/>
      </w:rPr>
      <w:fldChar w:fldCharType="end"/>
    </w:r>
    <w:r>
      <w:rPr>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105" w:firstLineChars="50"/>
      <w:jc w:val="both"/>
      <w:rPr>
        <w:rFonts w:hint="eastAsia" w:ascii="新宋体" w:hAnsi="新宋体" w:eastAsia="新宋体"/>
        <w:sz w:val="21"/>
        <w:szCs w:val="21"/>
        <w:lang w:eastAsia="zh-CN"/>
      </w:rPr>
    </w:pPr>
    <w:r>
      <w:rPr>
        <w:rFonts w:hint="eastAsia" w:ascii="新宋体" w:hAnsi="新宋体" w:eastAsia="新宋体"/>
        <w:sz w:val="21"/>
        <w:szCs w:val="21"/>
      </w:rPr>
      <w:t>YWCG202</w:t>
    </w:r>
    <w:r>
      <w:rPr>
        <w:rFonts w:hint="eastAsia" w:ascii="新宋体" w:hAnsi="新宋体" w:eastAsia="新宋体"/>
        <w:sz w:val="21"/>
        <w:szCs w:val="21"/>
        <w:lang w:val="en-US" w:eastAsia="zh-CN"/>
      </w:rPr>
      <w:t>4013</w:t>
    </w:r>
    <w:r>
      <w:rPr>
        <w:rFonts w:hint="eastAsia" w:ascii="新宋体" w:hAnsi="新宋体" w:eastAsia="新宋体"/>
        <w:sz w:val="21"/>
        <w:szCs w:val="21"/>
      </w:rPr>
      <w:t>GK</w:t>
    </w:r>
    <w:r>
      <w:rPr>
        <w:rFonts w:hint="eastAsia" w:ascii="新宋体" w:hAnsi="新宋体" w:eastAsia="新宋体"/>
        <w:sz w:val="21"/>
        <w:szCs w:val="21"/>
        <w:lang w:eastAsia="zh-CN"/>
      </w:rPr>
      <w:t>义乌市教育研修院多媒体触控一体机采购项目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multilevel"/>
    <w:tmpl w:val="BF6BC116"/>
    <w:lvl w:ilvl="0" w:tentative="0">
      <w:start w:val="16"/>
      <w:numFmt w:val="decimal"/>
      <w:suff w:val="space"/>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CFE7C3F8"/>
    <w:multiLevelType w:val="multilevel"/>
    <w:tmpl w:val="CFE7C3F8"/>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DDECD3BC"/>
    <w:multiLevelType w:val="multilevel"/>
    <w:tmpl w:val="DDECD3BC"/>
    <w:lvl w:ilvl="0" w:tentative="0">
      <w:start w:val="6"/>
      <w:numFmt w:val="decimal"/>
      <w:suff w:val="space"/>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DE759F4B"/>
    <w:multiLevelType w:val="multilevel"/>
    <w:tmpl w:val="DE759F4B"/>
    <w:lvl w:ilvl="0" w:tentative="0">
      <w:start w:val="2"/>
      <w:numFmt w:val="decimal"/>
      <w:suff w:val="space"/>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DEABE1DB"/>
    <w:multiLevelType w:val="multilevel"/>
    <w:tmpl w:val="DEABE1DB"/>
    <w:lvl w:ilvl="0" w:tentative="0">
      <w:start w:val="23"/>
      <w:numFmt w:val="decimal"/>
      <w:suff w:val="space"/>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
    <w:nsid w:val="FFEFC674"/>
    <w:multiLevelType w:val="multilevel"/>
    <w:tmpl w:val="FFEFC674"/>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
    <w:nsid w:val="19E1E1A5"/>
    <w:multiLevelType w:val="singleLevel"/>
    <w:tmpl w:val="19E1E1A5"/>
    <w:lvl w:ilvl="0" w:tentative="0">
      <w:start w:val="1"/>
      <w:numFmt w:val="chineseCounting"/>
      <w:suff w:val="nothing"/>
      <w:lvlText w:val="%1、"/>
      <w:lvlJc w:val="left"/>
      <w:rPr>
        <w:rFonts w:hint="eastAsia"/>
      </w:rPr>
    </w:lvl>
  </w:abstractNum>
  <w:abstractNum w:abstractNumId="7">
    <w:nsid w:val="7A0F6431"/>
    <w:multiLevelType w:val="multilevel"/>
    <w:tmpl w:val="7A0F6431"/>
    <w:lvl w:ilvl="0" w:tentative="0">
      <w:start w:val="1"/>
      <w:numFmt w:val="decimal"/>
      <w:suff w:val="space"/>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6"/>
  </w:num>
  <w:num w:numId="2">
    <w:abstractNumId w:val="7"/>
  </w:num>
  <w:num w:numId="3">
    <w:abstractNumId w:val="1"/>
  </w:num>
  <w:num w:numId="4">
    <w:abstractNumId w:val="5"/>
  </w:num>
  <w:num w:numId="5">
    <w:abstractNumId w:val="3"/>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iNDNmYzRkYzAwMjc1OTIwNWMwM2RmMGE3NWEyMjIifQ=="/>
  </w:docVars>
  <w:rsids>
    <w:rsidRoot w:val="00172A27"/>
    <w:rsid w:val="00000087"/>
    <w:rsid w:val="00000172"/>
    <w:rsid w:val="000003B9"/>
    <w:rsid w:val="000007E5"/>
    <w:rsid w:val="00000D10"/>
    <w:rsid w:val="00001942"/>
    <w:rsid w:val="000019B8"/>
    <w:rsid w:val="00001BEE"/>
    <w:rsid w:val="00002493"/>
    <w:rsid w:val="000027B9"/>
    <w:rsid w:val="00002C9E"/>
    <w:rsid w:val="0000310F"/>
    <w:rsid w:val="0000338D"/>
    <w:rsid w:val="00003CB5"/>
    <w:rsid w:val="0000419C"/>
    <w:rsid w:val="000047F8"/>
    <w:rsid w:val="000051F0"/>
    <w:rsid w:val="0000532D"/>
    <w:rsid w:val="000053EF"/>
    <w:rsid w:val="000056EC"/>
    <w:rsid w:val="00005B4B"/>
    <w:rsid w:val="00006DD7"/>
    <w:rsid w:val="00006F01"/>
    <w:rsid w:val="00007868"/>
    <w:rsid w:val="00007C8F"/>
    <w:rsid w:val="00007FF8"/>
    <w:rsid w:val="0001062D"/>
    <w:rsid w:val="00010C10"/>
    <w:rsid w:val="00010D8E"/>
    <w:rsid w:val="00010E58"/>
    <w:rsid w:val="00011B0D"/>
    <w:rsid w:val="00011C4A"/>
    <w:rsid w:val="00011D32"/>
    <w:rsid w:val="00011E53"/>
    <w:rsid w:val="00011F4D"/>
    <w:rsid w:val="000123C8"/>
    <w:rsid w:val="00012692"/>
    <w:rsid w:val="00012AA4"/>
    <w:rsid w:val="00012C0A"/>
    <w:rsid w:val="00012CDC"/>
    <w:rsid w:val="000133ED"/>
    <w:rsid w:val="00013946"/>
    <w:rsid w:val="0001399C"/>
    <w:rsid w:val="000139D3"/>
    <w:rsid w:val="00013CDF"/>
    <w:rsid w:val="00013D1B"/>
    <w:rsid w:val="00014146"/>
    <w:rsid w:val="00014EF5"/>
    <w:rsid w:val="00014FC4"/>
    <w:rsid w:val="0001504F"/>
    <w:rsid w:val="00015173"/>
    <w:rsid w:val="0001551B"/>
    <w:rsid w:val="000155B0"/>
    <w:rsid w:val="000156FE"/>
    <w:rsid w:val="00015795"/>
    <w:rsid w:val="00015DA3"/>
    <w:rsid w:val="00015F93"/>
    <w:rsid w:val="000160F9"/>
    <w:rsid w:val="00016E24"/>
    <w:rsid w:val="0001706C"/>
    <w:rsid w:val="000177DC"/>
    <w:rsid w:val="00017DCC"/>
    <w:rsid w:val="00017FAA"/>
    <w:rsid w:val="0002056C"/>
    <w:rsid w:val="0002077F"/>
    <w:rsid w:val="00020907"/>
    <w:rsid w:val="00020E28"/>
    <w:rsid w:val="00020ED6"/>
    <w:rsid w:val="000211E4"/>
    <w:rsid w:val="00021A6E"/>
    <w:rsid w:val="00021BCE"/>
    <w:rsid w:val="00022034"/>
    <w:rsid w:val="00022037"/>
    <w:rsid w:val="000222C2"/>
    <w:rsid w:val="000223B4"/>
    <w:rsid w:val="0002251F"/>
    <w:rsid w:val="0002269E"/>
    <w:rsid w:val="00022D8C"/>
    <w:rsid w:val="00022F69"/>
    <w:rsid w:val="0002339D"/>
    <w:rsid w:val="0002369F"/>
    <w:rsid w:val="000240F3"/>
    <w:rsid w:val="0002414E"/>
    <w:rsid w:val="000241D5"/>
    <w:rsid w:val="00024D19"/>
    <w:rsid w:val="000255BF"/>
    <w:rsid w:val="0002575F"/>
    <w:rsid w:val="00025EC1"/>
    <w:rsid w:val="00026D1B"/>
    <w:rsid w:val="000274C8"/>
    <w:rsid w:val="000277B7"/>
    <w:rsid w:val="000277D0"/>
    <w:rsid w:val="00027F50"/>
    <w:rsid w:val="00027F93"/>
    <w:rsid w:val="000303B5"/>
    <w:rsid w:val="00030F95"/>
    <w:rsid w:val="000310AA"/>
    <w:rsid w:val="000318C6"/>
    <w:rsid w:val="00031A6E"/>
    <w:rsid w:val="00031D9C"/>
    <w:rsid w:val="00032283"/>
    <w:rsid w:val="00032C85"/>
    <w:rsid w:val="00033339"/>
    <w:rsid w:val="00033727"/>
    <w:rsid w:val="000339F9"/>
    <w:rsid w:val="0003465B"/>
    <w:rsid w:val="00034946"/>
    <w:rsid w:val="00034977"/>
    <w:rsid w:val="000349BA"/>
    <w:rsid w:val="00034AAD"/>
    <w:rsid w:val="00034EA9"/>
    <w:rsid w:val="00035957"/>
    <w:rsid w:val="00035C3A"/>
    <w:rsid w:val="00035CAD"/>
    <w:rsid w:val="000360D3"/>
    <w:rsid w:val="00036331"/>
    <w:rsid w:val="00036F8F"/>
    <w:rsid w:val="00037414"/>
    <w:rsid w:val="0004060F"/>
    <w:rsid w:val="00040ACF"/>
    <w:rsid w:val="00040F1A"/>
    <w:rsid w:val="00041706"/>
    <w:rsid w:val="00041A8A"/>
    <w:rsid w:val="00041C69"/>
    <w:rsid w:val="000420C7"/>
    <w:rsid w:val="000422B6"/>
    <w:rsid w:val="000422CE"/>
    <w:rsid w:val="000423E4"/>
    <w:rsid w:val="00042783"/>
    <w:rsid w:val="00042BC0"/>
    <w:rsid w:val="00042F56"/>
    <w:rsid w:val="0004320D"/>
    <w:rsid w:val="000433D6"/>
    <w:rsid w:val="00043433"/>
    <w:rsid w:val="00043807"/>
    <w:rsid w:val="00043822"/>
    <w:rsid w:val="00043BE0"/>
    <w:rsid w:val="00044070"/>
    <w:rsid w:val="00044209"/>
    <w:rsid w:val="00044A5A"/>
    <w:rsid w:val="00044B6A"/>
    <w:rsid w:val="00044E2B"/>
    <w:rsid w:val="00046244"/>
    <w:rsid w:val="000462CA"/>
    <w:rsid w:val="00046678"/>
    <w:rsid w:val="000471CF"/>
    <w:rsid w:val="0004746A"/>
    <w:rsid w:val="000474B0"/>
    <w:rsid w:val="00047B23"/>
    <w:rsid w:val="00047B8E"/>
    <w:rsid w:val="00047FAD"/>
    <w:rsid w:val="00050350"/>
    <w:rsid w:val="00050469"/>
    <w:rsid w:val="000505AD"/>
    <w:rsid w:val="0005060C"/>
    <w:rsid w:val="00050E57"/>
    <w:rsid w:val="00050E79"/>
    <w:rsid w:val="00050FE3"/>
    <w:rsid w:val="00051071"/>
    <w:rsid w:val="00051700"/>
    <w:rsid w:val="000522F3"/>
    <w:rsid w:val="00052597"/>
    <w:rsid w:val="00054078"/>
    <w:rsid w:val="000540D8"/>
    <w:rsid w:val="0005481E"/>
    <w:rsid w:val="00054980"/>
    <w:rsid w:val="000549C0"/>
    <w:rsid w:val="00055122"/>
    <w:rsid w:val="0005553F"/>
    <w:rsid w:val="0005560C"/>
    <w:rsid w:val="000557FC"/>
    <w:rsid w:val="00055891"/>
    <w:rsid w:val="00055A57"/>
    <w:rsid w:val="00056B22"/>
    <w:rsid w:val="00056BAA"/>
    <w:rsid w:val="00056C4A"/>
    <w:rsid w:val="00056D7E"/>
    <w:rsid w:val="0005788C"/>
    <w:rsid w:val="00057C3A"/>
    <w:rsid w:val="000600F7"/>
    <w:rsid w:val="00060B19"/>
    <w:rsid w:val="00060CF7"/>
    <w:rsid w:val="00060DF4"/>
    <w:rsid w:val="0006120A"/>
    <w:rsid w:val="000612F5"/>
    <w:rsid w:val="00061365"/>
    <w:rsid w:val="000616F2"/>
    <w:rsid w:val="000619BE"/>
    <w:rsid w:val="00061ADA"/>
    <w:rsid w:val="00061C40"/>
    <w:rsid w:val="00061CF3"/>
    <w:rsid w:val="00061F08"/>
    <w:rsid w:val="000624CF"/>
    <w:rsid w:val="00062539"/>
    <w:rsid w:val="00062EA5"/>
    <w:rsid w:val="0006332E"/>
    <w:rsid w:val="0006359D"/>
    <w:rsid w:val="00063707"/>
    <w:rsid w:val="000639B6"/>
    <w:rsid w:val="00063B97"/>
    <w:rsid w:val="000649A6"/>
    <w:rsid w:val="00064D94"/>
    <w:rsid w:val="000650B0"/>
    <w:rsid w:val="000651E5"/>
    <w:rsid w:val="00065569"/>
    <w:rsid w:val="000657CD"/>
    <w:rsid w:val="000658B9"/>
    <w:rsid w:val="000660C3"/>
    <w:rsid w:val="0006613B"/>
    <w:rsid w:val="000661C7"/>
    <w:rsid w:val="00066294"/>
    <w:rsid w:val="000662AA"/>
    <w:rsid w:val="0006631B"/>
    <w:rsid w:val="0006641E"/>
    <w:rsid w:val="0006677A"/>
    <w:rsid w:val="00066B8C"/>
    <w:rsid w:val="000673EE"/>
    <w:rsid w:val="0006789C"/>
    <w:rsid w:val="0007037D"/>
    <w:rsid w:val="000713C9"/>
    <w:rsid w:val="00071921"/>
    <w:rsid w:val="00071AEC"/>
    <w:rsid w:val="000727B2"/>
    <w:rsid w:val="00072AF5"/>
    <w:rsid w:val="00073ED9"/>
    <w:rsid w:val="0007409D"/>
    <w:rsid w:val="0007456C"/>
    <w:rsid w:val="00074BB0"/>
    <w:rsid w:val="00074F39"/>
    <w:rsid w:val="0007581F"/>
    <w:rsid w:val="0007585C"/>
    <w:rsid w:val="00075D7F"/>
    <w:rsid w:val="00075E31"/>
    <w:rsid w:val="00076008"/>
    <w:rsid w:val="00076461"/>
    <w:rsid w:val="00076826"/>
    <w:rsid w:val="00076952"/>
    <w:rsid w:val="0007699D"/>
    <w:rsid w:val="00076D2F"/>
    <w:rsid w:val="00076DAA"/>
    <w:rsid w:val="000770D1"/>
    <w:rsid w:val="000776BC"/>
    <w:rsid w:val="0007784A"/>
    <w:rsid w:val="00077DE0"/>
    <w:rsid w:val="00077FC8"/>
    <w:rsid w:val="0008039C"/>
    <w:rsid w:val="0008055F"/>
    <w:rsid w:val="00080CFC"/>
    <w:rsid w:val="000813BA"/>
    <w:rsid w:val="000814FE"/>
    <w:rsid w:val="00081544"/>
    <w:rsid w:val="000816A9"/>
    <w:rsid w:val="00081B24"/>
    <w:rsid w:val="00081FBD"/>
    <w:rsid w:val="00082086"/>
    <w:rsid w:val="000822A7"/>
    <w:rsid w:val="0008260B"/>
    <w:rsid w:val="000831BC"/>
    <w:rsid w:val="00083227"/>
    <w:rsid w:val="000833F9"/>
    <w:rsid w:val="000836A5"/>
    <w:rsid w:val="0008479C"/>
    <w:rsid w:val="00084BB5"/>
    <w:rsid w:val="000856E5"/>
    <w:rsid w:val="0008572F"/>
    <w:rsid w:val="0008584A"/>
    <w:rsid w:val="0008599C"/>
    <w:rsid w:val="00085EC9"/>
    <w:rsid w:val="000861BB"/>
    <w:rsid w:val="00086246"/>
    <w:rsid w:val="00086632"/>
    <w:rsid w:val="00086D9C"/>
    <w:rsid w:val="00086F71"/>
    <w:rsid w:val="00086FAA"/>
    <w:rsid w:val="00087690"/>
    <w:rsid w:val="00087741"/>
    <w:rsid w:val="00087C77"/>
    <w:rsid w:val="00087D48"/>
    <w:rsid w:val="000900DA"/>
    <w:rsid w:val="00090A05"/>
    <w:rsid w:val="00090A15"/>
    <w:rsid w:val="00091A28"/>
    <w:rsid w:val="00091C26"/>
    <w:rsid w:val="00091C8F"/>
    <w:rsid w:val="0009210B"/>
    <w:rsid w:val="0009233B"/>
    <w:rsid w:val="00092759"/>
    <w:rsid w:val="0009312A"/>
    <w:rsid w:val="000933BE"/>
    <w:rsid w:val="0009356C"/>
    <w:rsid w:val="000938C9"/>
    <w:rsid w:val="000945A0"/>
    <w:rsid w:val="00094672"/>
    <w:rsid w:val="0009469C"/>
    <w:rsid w:val="00094DEC"/>
    <w:rsid w:val="00094E0A"/>
    <w:rsid w:val="00095226"/>
    <w:rsid w:val="00095557"/>
    <w:rsid w:val="00095947"/>
    <w:rsid w:val="00095F80"/>
    <w:rsid w:val="000963AD"/>
    <w:rsid w:val="000964BA"/>
    <w:rsid w:val="00097689"/>
    <w:rsid w:val="00097748"/>
    <w:rsid w:val="00097C09"/>
    <w:rsid w:val="000A0049"/>
    <w:rsid w:val="000A0065"/>
    <w:rsid w:val="000A01BE"/>
    <w:rsid w:val="000A053A"/>
    <w:rsid w:val="000A0DE4"/>
    <w:rsid w:val="000A162A"/>
    <w:rsid w:val="000A19DA"/>
    <w:rsid w:val="000A19E1"/>
    <w:rsid w:val="000A1B6C"/>
    <w:rsid w:val="000A28C6"/>
    <w:rsid w:val="000A2CAD"/>
    <w:rsid w:val="000A2E24"/>
    <w:rsid w:val="000A334A"/>
    <w:rsid w:val="000A347C"/>
    <w:rsid w:val="000A364C"/>
    <w:rsid w:val="000A3E57"/>
    <w:rsid w:val="000A4B7E"/>
    <w:rsid w:val="000A4C6C"/>
    <w:rsid w:val="000A54C7"/>
    <w:rsid w:val="000A5CEA"/>
    <w:rsid w:val="000A5D41"/>
    <w:rsid w:val="000A5FAC"/>
    <w:rsid w:val="000A6734"/>
    <w:rsid w:val="000A6A6F"/>
    <w:rsid w:val="000A6CFC"/>
    <w:rsid w:val="000A7538"/>
    <w:rsid w:val="000A7A64"/>
    <w:rsid w:val="000A7E72"/>
    <w:rsid w:val="000B01EC"/>
    <w:rsid w:val="000B05CE"/>
    <w:rsid w:val="000B09E2"/>
    <w:rsid w:val="000B0C45"/>
    <w:rsid w:val="000B110C"/>
    <w:rsid w:val="000B1398"/>
    <w:rsid w:val="000B145F"/>
    <w:rsid w:val="000B15C9"/>
    <w:rsid w:val="000B16FA"/>
    <w:rsid w:val="000B1F91"/>
    <w:rsid w:val="000B2353"/>
    <w:rsid w:val="000B24E0"/>
    <w:rsid w:val="000B2CA0"/>
    <w:rsid w:val="000B3009"/>
    <w:rsid w:val="000B423C"/>
    <w:rsid w:val="000B44C8"/>
    <w:rsid w:val="000B45B8"/>
    <w:rsid w:val="000B460C"/>
    <w:rsid w:val="000B4785"/>
    <w:rsid w:val="000B4936"/>
    <w:rsid w:val="000B5202"/>
    <w:rsid w:val="000B521F"/>
    <w:rsid w:val="000B5FDE"/>
    <w:rsid w:val="000B6034"/>
    <w:rsid w:val="000B64CC"/>
    <w:rsid w:val="000B665F"/>
    <w:rsid w:val="000B66AA"/>
    <w:rsid w:val="000B7230"/>
    <w:rsid w:val="000B785A"/>
    <w:rsid w:val="000B7C8F"/>
    <w:rsid w:val="000C061B"/>
    <w:rsid w:val="000C063C"/>
    <w:rsid w:val="000C0659"/>
    <w:rsid w:val="000C0B4F"/>
    <w:rsid w:val="000C0C2D"/>
    <w:rsid w:val="000C0E4C"/>
    <w:rsid w:val="000C14AA"/>
    <w:rsid w:val="000C15A0"/>
    <w:rsid w:val="000C1681"/>
    <w:rsid w:val="000C18DE"/>
    <w:rsid w:val="000C2268"/>
    <w:rsid w:val="000C2ADE"/>
    <w:rsid w:val="000C30E3"/>
    <w:rsid w:val="000C33E4"/>
    <w:rsid w:val="000C36C0"/>
    <w:rsid w:val="000C3767"/>
    <w:rsid w:val="000C3E81"/>
    <w:rsid w:val="000C3F50"/>
    <w:rsid w:val="000C4800"/>
    <w:rsid w:val="000C4D07"/>
    <w:rsid w:val="000C5A02"/>
    <w:rsid w:val="000C709E"/>
    <w:rsid w:val="000C79E0"/>
    <w:rsid w:val="000C7E4A"/>
    <w:rsid w:val="000C7EA0"/>
    <w:rsid w:val="000D01CA"/>
    <w:rsid w:val="000D0F50"/>
    <w:rsid w:val="000D12BE"/>
    <w:rsid w:val="000D1A04"/>
    <w:rsid w:val="000D1B66"/>
    <w:rsid w:val="000D25C1"/>
    <w:rsid w:val="000D2CBA"/>
    <w:rsid w:val="000D2D39"/>
    <w:rsid w:val="000D3021"/>
    <w:rsid w:val="000D33B7"/>
    <w:rsid w:val="000D47DF"/>
    <w:rsid w:val="000D536C"/>
    <w:rsid w:val="000D6C9E"/>
    <w:rsid w:val="000D6D54"/>
    <w:rsid w:val="000D6D6A"/>
    <w:rsid w:val="000D6E4E"/>
    <w:rsid w:val="000D790D"/>
    <w:rsid w:val="000D7EDC"/>
    <w:rsid w:val="000E0961"/>
    <w:rsid w:val="000E0DFB"/>
    <w:rsid w:val="000E0F3C"/>
    <w:rsid w:val="000E1483"/>
    <w:rsid w:val="000E14BF"/>
    <w:rsid w:val="000E1C08"/>
    <w:rsid w:val="000E1D48"/>
    <w:rsid w:val="000E32C8"/>
    <w:rsid w:val="000E48B3"/>
    <w:rsid w:val="000E4CBF"/>
    <w:rsid w:val="000E4E44"/>
    <w:rsid w:val="000E512A"/>
    <w:rsid w:val="000E54D0"/>
    <w:rsid w:val="000E5731"/>
    <w:rsid w:val="000E6752"/>
    <w:rsid w:val="000E6D5C"/>
    <w:rsid w:val="000E7D23"/>
    <w:rsid w:val="000F0E6C"/>
    <w:rsid w:val="000F0E74"/>
    <w:rsid w:val="000F0E96"/>
    <w:rsid w:val="000F0F8E"/>
    <w:rsid w:val="000F16E2"/>
    <w:rsid w:val="000F1943"/>
    <w:rsid w:val="000F1CE1"/>
    <w:rsid w:val="000F1E87"/>
    <w:rsid w:val="000F1F26"/>
    <w:rsid w:val="000F22EA"/>
    <w:rsid w:val="000F279D"/>
    <w:rsid w:val="000F29A5"/>
    <w:rsid w:val="000F35BD"/>
    <w:rsid w:val="000F3792"/>
    <w:rsid w:val="000F3B82"/>
    <w:rsid w:val="000F3E4C"/>
    <w:rsid w:val="000F4068"/>
    <w:rsid w:val="000F45CA"/>
    <w:rsid w:val="000F4D76"/>
    <w:rsid w:val="000F4FE7"/>
    <w:rsid w:val="000F5144"/>
    <w:rsid w:val="000F5F76"/>
    <w:rsid w:val="000F61F0"/>
    <w:rsid w:val="000F6205"/>
    <w:rsid w:val="000F6612"/>
    <w:rsid w:val="000F7514"/>
    <w:rsid w:val="000F7538"/>
    <w:rsid w:val="000F7924"/>
    <w:rsid w:val="00100013"/>
    <w:rsid w:val="001002C4"/>
    <w:rsid w:val="0010086F"/>
    <w:rsid w:val="00101066"/>
    <w:rsid w:val="001011BE"/>
    <w:rsid w:val="00101A4A"/>
    <w:rsid w:val="00101B8A"/>
    <w:rsid w:val="001022CF"/>
    <w:rsid w:val="00102527"/>
    <w:rsid w:val="00103797"/>
    <w:rsid w:val="00103ABA"/>
    <w:rsid w:val="00103EAD"/>
    <w:rsid w:val="00103FB1"/>
    <w:rsid w:val="001043AB"/>
    <w:rsid w:val="001046B4"/>
    <w:rsid w:val="00104C94"/>
    <w:rsid w:val="00104EBF"/>
    <w:rsid w:val="00105009"/>
    <w:rsid w:val="001055F3"/>
    <w:rsid w:val="00105823"/>
    <w:rsid w:val="001059C5"/>
    <w:rsid w:val="00105CF8"/>
    <w:rsid w:val="00105D17"/>
    <w:rsid w:val="00105F45"/>
    <w:rsid w:val="00106049"/>
    <w:rsid w:val="00106296"/>
    <w:rsid w:val="00106386"/>
    <w:rsid w:val="00106488"/>
    <w:rsid w:val="0010685F"/>
    <w:rsid w:val="00106EBA"/>
    <w:rsid w:val="00107A7E"/>
    <w:rsid w:val="00110291"/>
    <w:rsid w:val="001104DD"/>
    <w:rsid w:val="001107F0"/>
    <w:rsid w:val="00110B7D"/>
    <w:rsid w:val="00110CB0"/>
    <w:rsid w:val="001112E8"/>
    <w:rsid w:val="001115E9"/>
    <w:rsid w:val="00111FC8"/>
    <w:rsid w:val="001125D5"/>
    <w:rsid w:val="0011299A"/>
    <w:rsid w:val="00112AAD"/>
    <w:rsid w:val="001133E0"/>
    <w:rsid w:val="0011381C"/>
    <w:rsid w:val="00113E98"/>
    <w:rsid w:val="00114363"/>
    <w:rsid w:val="001144DA"/>
    <w:rsid w:val="001149FD"/>
    <w:rsid w:val="00114F75"/>
    <w:rsid w:val="00115078"/>
    <w:rsid w:val="00115977"/>
    <w:rsid w:val="00115A7C"/>
    <w:rsid w:val="00115A7D"/>
    <w:rsid w:val="00115FE4"/>
    <w:rsid w:val="0011614D"/>
    <w:rsid w:val="00116B6C"/>
    <w:rsid w:val="00116BA2"/>
    <w:rsid w:val="00116C20"/>
    <w:rsid w:val="0011747E"/>
    <w:rsid w:val="00117661"/>
    <w:rsid w:val="00117746"/>
    <w:rsid w:val="00117A6F"/>
    <w:rsid w:val="00120EF7"/>
    <w:rsid w:val="00121CA0"/>
    <w:rsid w:val="00121CF5"/>
    <w:rsid w:val="00121D0C"/>
    <w:rsid w:val="00121EAB"/>
    <w:rsid w:val="001223EB"/>
    <w:rsid w:val="0012300B"/>
    <w:rsid w:val="00123271"/>
    <w:rsid w:val="0012353D"/>
    <w:rsid w:val="00124552"/>
    <w:rsid w:val="001246DE"/>
    <w:rsid w:val="00125155"/>
    <w:rsid w:val="001252FE"/>
    <w:rsid w:val="0012555B"/>
    <w:rsid w:val="00125726"/>
    <w:rsid w:val="00125F4F"/>
    <w:rsid w:val="001261C4"/>
    <w:rsid w:val="00126625"/>
    <w:rsid w:val="00126A26"/>
    <w:rsid w:val="00126D6E"/>
    <w:rsid w:val="00126E51"/>
    <w:rsid w:val="00127420"/>
    <w:rsid w:val="00127569"/>
    <w:rsid w:val="00127611"/>
    <w:rsid w:val="00127B1E"/>
    <w:rsid w:val="001301DD"/>
    <w:rsid w:val="00130350"/>
    <w:rsid w:val="001304D2"/>
    <w:rsid w:val="0013104B"/>
    <w:rsid w:val="00131284"/>
    <w:rsid w:val="00131861"/>
    <w:rsid w:val="0013198E"/>
    <w:rsid w:val="00131C83"/>
    <w:rsid w:val="00132190"/>
    <w:rsid w:val="0013224B"/>
    <w:rsid w:val="00132BF2"/>
    <w:rsid w:val="00132C87"/>
    <w:rsid w:val="0013359B"/>
    <w:rsid w:val="00133BA0"/>
    <w:rsid w:val="00133BBE"/>
    <w:rsid w:val="001341B5"/>
    <w:rsid w:val="00134BE9"/>
    <w:rsid w:val="00134F61"/>
    <w:rsid w:val="001353B5"/>
    <w:rsid w:val="00135C24"/>
    <w:rsid w:val="00136E6C"/>
    <w:rsid w:val="00136E74"/>
    <w:rsid w:val="00137199"/>
    <w:rsid w:val="001374E2"/>
    <w:rsid w:val="001375D9"/>
    <w:rsid w:val="00137D2C"/>
    <w:rsid w:val="00137DF2"/>
    <w:rsid w:val="001403EF"/>
    <w:rsid w:val="00140755"/>
    <w:rsid w:val="00140EF1"/>
    <w:rsid w:val="001414A6"/>
    <w:rsid w:val="00141587"/>
    <w:rsid w:val="001418EF"/>
    <w:rsid w:val="00141EFA"/>
    <w:rsid w:val="00141EFF"/>
    <w:rsid w:val="00142AC9"/>
    <w:rsid w:val="00142BFD"/>
    <w:rsid w:val="0014306A"/>
    <w:rsid w:val="00143195"/>
    <w:rsid w:val="00143853"/>
    <w:rsid w:val="00143FF1"/>
    <w:rsid w:val="0014440A"/>
    <w:rsid w:val="00144621"/>
    <w:rsid w:val="00144F69"/>
    <w:rsid w:val="001460B3"/>
    <w:rsid w:val="00146B9F"/>
    <w:rsid w:val="00146CA2"/>
    <w:rsid w:val="00146D63"/>
    <w:rsid w:val="00146E61"/>
    <w:rsid w:val="0014714B"/>
    <w:rsid w:val="00150218"/>
    <w:rsid w:val="00150406"/>
    <w:rsid w:val="0015040D"/>
    <w:rsid w:val="0015061A"/>
    <w:rsid w:val="001509BA"/>
    <w:rsid w:val="00150CEF"/>
    <w:rsid w:val="00150FA8"/>
    <w:rsid w:val="00151371"/>
    <w:rsid w:val="00151A0F"/>
    <w:rsid w:val="0015247F"/>
    <w:rsid w:val="00152519"/>
    <w:rsid w:val="00152E9C"/>
    <w:rsid w:val="0015312B"/>
    <w:rsid w:val="001533B5"/>
    <w:rsid w:val="00153F4A"/>
    <w:rsid w:val="001545D2"/>
    <w:rsid w:val="001547BB"/>
    <w:rsid w:val="00154C8F"/>
    <w:rsid w:val="0015539D"/>
    <w:rsid w:val="00155732"/>
    <w:rsid w:val="001559CA"/>
    <w:rsid w:val="00155C47"/>
    <w:rsid w:val="00156DD2"/>
    <w:rsid w:val="00156E12"/>
    <w:rsid w:val="0015743E"/>
    <w:rsid w:val="0015754B"/>
    <w:rsid w:val="001575E9"/>
    <w:rsid w:val="001577B6"/>
    <w:rsid w:val="00157D9A"/>
    <w:rsid w:val="00157E98"/>
    <w:rsid w:val="00160850"/>
    <w:rsid w:val="00161325"/>
    <w:rsid w:val="00161AD4"/>
    <w:rsid w:val="00162718"/>
    <w:rsid w:val="001631FC"/>
    <w:rsid w:val="0016335A"/>
    <w:rsid w:val="0016396D"/>
    <w:rsid w:val="001639A4"/>
    <w:rsid w:val="00163A74"/>
    <w:rsid w:val="00163DA6"/>
    <w:rsid w:val="00164719"/>
    <w:rsid w:val="00164BCA"/>
    <w:rsid w:val="00164CA2"/>
    <w:rsid w:val="0016519F"/>
    <w:rsid w:val="00165482"/>
    <w:rsid w:val="0016618B"/>
    <w:rsid w:val="00166210"/>
    <w:rsid w:val="00166223"/>
    <w:rsid w:val="001663AF"/>
    <w:rsid w:val="001664A2"/>
    <w:rsid w:val="00166D4B"/>
    <w:rsid w:val="001670E7"/>
    <w:rsid w:val="00167409"/>
    <w:rsid w:val="001679AA"/>
    <w:rsid w:val="00167C0B"/>
    <w:rsid w:val="00167CEA"/>
    <w:rsid w:val="00167F38"/>
    <w:rsid w:val="00170217"/>
    <w:rsid w:val="001703D6"/>
    <w:rsid w:val="00170916"/>
    <w:rsid w:val="00170BBE"/>
    <w:rsid w:val="00172222"/>
    <w:rsid w:val="001723F0"/>
    <w:rsid w:val="00172823"/>
    <w:rsid w:val="00173988"/>
    <w:rsid w:val="0017434D"/>
    <w:rsid w:val="00174387"/>
    <w:rsid w:val="00174967"/>
    <w:rsid w:val="00174F60"/>
    <w:rsid w:val="001755C8"/>
    <w:rsid w:val="00175E6C"/>
    <w:rsid w:val="001768F0"/>
    <w:rsid w:val="00176DF8"/>
    <w:rsid w:val="00176F04"/>
    <w:rsid w:val="00177256"/>
    <w:rsid w:val="0017747E"/>
    <w:rsid w:val="001775C3"/>
    <w:rsid w:val="001775FE"/>
    <w:rsid w:val="00177799"/>
    <w:rsid w:val="00177BBB"/>
    <w:rsid w:val="00177C3F"/>
    <w:rsid w:val="001803DD"/>
    <w:rsid w:val="00180597"/>
    <w:rsid w:val="00180614"/>
    <w:rsid w:val="001813D2"/>
    <w:rsid w:val="00181558"/>
    <w:rsid w:val="001817F0"/>
    <w:rsid w:val="001820A8"/>
    <w:rsid w:val="0018340C"/>
    <w:rsid w:val="00183899"/>
    <w:rsid w:val="0018493E"/>
    <w:rsid w:val="0018501C"/>
    <w:rsid w:val="00185589"/>
    <w:rsid w:val="00185648"/>
    <w:rsid w:val="0018565C"/>
    <w:rsid w:val="00185846"/>
    <w:rsid w:val="00186348"/>
    <w:rsid w:val="0018687D"/>
    <w:rsid w:val="00186E5D"/>
    <w:rsid w:val="00187298"/>
    <w:rsid w:val="00187449"/>
    <w:rsid w:val="00187941"/>
    <w:rsid w:val="00187E97"/>
    <w:rsid w:val="0019003B"/>
    <w:rsid w:val="001900DF"/>
    <w:rsid w:val="00190125"/>
    <w:rsid w:val="001904BA"/>
    <w:rsid w:val="001905BC"/>
    <w:rsid w:val="001907BC"/>
    <w:rsid w:val="0019093E"/>
    <w:rsid w:val="00190B55"/>
    <w:rsid w:val="00190D1E"/>
    <w:rsid w:val="00190E4B"/>
    <w:rsid w:val="0019215A"/>
    <w:rsid w:val="00192CFC"/>
    <w:rsid w:val="0019330C"/>
    <w:rsid w:val="00193F2E"/>
    <w:rsid w:val="00194B51"/>
    <w:rsid w:val="00194DB3"/>
    <w:rsid w:val="001962E6"/>
    <w:rsid w:val="001968EA"/>
    <w:rsid w:val="00197447"/>
    <w:rsid w:val="0019764E"/>
    <w:rsid w:val="001A08B2"/>
    <w:rsid w:val="001A1911"/>
    <w:rsid w:val="001A24BC"/>
    <w:rsid w:val="001A26D2"/>
    <w:rsid w:val="001A287C"/>
    <w:rsid w:val="001A2C81"/>
    <w:rsid w:val="001A2F53"/>
    <w:rsid w:val="001A363B"/>
    <w:rsid w:val="001A3744"/>
    <w:rsid w:val="001A39C5"/>
    <w:rsid w:val="001A4128"/>
    <w:rsid w:val="001A41AA"/>
    <w:rsid w:val="001A43BF"/>
    <w:rsid w:val="001A4BF7"/>
    <w:rsid w:val="001A53D7"/>
    <w:rsid w:val="001A5DC0"/>
    <w:rsid w:val="001A5FB4"/>
    <w:rsid w:val="001A6682"/>
    <w:rsid w:val="001A678E"/>
    <w:rsid w:val="001A6A7E"/>
    <w:rsid w:val="001A6CB8"/>
    <w:rsid w:val="001A7202"/>
    <w:rsid w:val="001A7D93"/>
    <w:rsid w:val="001B102B"/>
    <w:rsid w:val="001B127F"/>
    <w:rsid w:val="001B12BD"/>
    <w:rsid w:val="001B171D"/>
    <w:rsid w:val="001B21E8"/>
    <w:rsid w:val="001B22CD"/>
    <w:rsid w:val="001B294E"/>
    <w:rsid w:val="001B29CA"/>
    <w:rsid w:val="001B2B93"/>
    <w:rsid w:val="001B2FD9"/>
    <w:rsid w:val="001B3954"/>
    <w:rsid w:val="001B4262"/>
    <w:rsid w:val="001B4400"/>
    <w:rsid w:val="001B4E76"/>
    <w:rsid w:val="001B561C"/>
    <w:rsid w:val="001B600E"/>
    <w:rsid w:val="001B6526"/>
    <w:rsid w:val="001B661C"/>
    <w:rsid w:val="001B6945"/>
    <w:rsid w:val="001B6A23"/>
    <w:rsid w:val="001B6B7A"/>
    <w:rsid w:val="001B6D65"/>
    <w:rsid w:val="001B72E5"/>
    <w:rsid w:val="001B7D78"/>
    <w:rsid w:val="001C05C1"/>
    <w:rsid w:val="001C0614"/>
    <w:rsid w:val="001C1373"/>
    <w:rsid w:val="001C2FBA"/>
    <w:rsid w:val="001C30D1"/>
    <w:rsid w:val="001C32F3"/>
    <w:rsid w:val="001C3FFD"/>
    <w:rsid w:val="001C46E8"/>
    <w:rsid w:val="001C4A39"/>
    <w:rsid w:val="001C4F10"/>
    <w:rsid w:val="001C522B"/>
    <w:rsid w:val="001C5812"/>
    <w:rsid w:val="001C59E2"/>
    <w:rsid w:val="001C6700"/>
    <w:rsid w:val="001C69E6"/>
    <w:rsid w:val="001C6A27"/>
    <w:rsid w:val="001D017D"/>
    <w:rsid w:val="001D068D"/>
    <w:rsid w:val="001D0828"/>
    <w:rsid w:val="001D117D"/>
    <w:rsid w:val="001D13B1"/>
    <w:rsid w:val="001D16E8"/>
    <w:rsid w:val="001D1B9C"/>
    <w:rsid w:val="001D1D6F"/>
    <w:rsid w:val="001D272A"/>
    <w:rsid w:val="001D28AA"/>
    <w:rsid w:val="001D2957"/>
    <w:rsid w:val="001D2AA5"/>
    <w:rsid w:val="001D2F1B"/>
    <w:rsid w:val="001D30A4"/>
    <w:rsid w:val="001D354F"/>
    <w:rsid w:val="001D39FF"/>
    <w:rsid w:val="001D4028"/>
    <w:rsid w:val="001D4455"/>
    <w:rsid w:val="001D59A5"/>
    <w:rsid w:val="001D6002"/>
    <w:rsid w:val="001D6100"/>
    <w:rsid w:val="001D6A65"/>
    <w:rsid w:val="001D6CF4"/>
    <w:rsid w:val="001D6E35"/>
    <w:rsid w:val="001D72A4"/>
    <w:rsid w:val="001D7EB8"/>
    <w:rsid w:val="001E0AC6"/>
    <w:rsid w:val="001E0CFE"/>
    <w:rsid w:val="001E0D9A"/>
    <w:rsid w:val="001E0F54"/>
    <w:rsid w:val="001E0FCC"/>
    <w:rsid w:val="001E15AF"/>
    <w:rsid w:val="001E1684"/>
    <w:rsid w:val="001E1E65"/>
    <w:rsid w:val="001E208B"/>
    <w:rsid w:val="001E21A6"/>
    <w:rsid w:val="001E2B49"/>
    <w:rsid w:val="001E2CF9"/>
    <w:rsid w:val="001E3605"/>
    <w:rsid w:val="001E36F9"/>
    <w:rsid w:val="001E37B3"/>
    <w:rsid w:val="001E47CB"/>
    <w:rsid w:val="001E47CE"/>
    <w:rsid w:val="001E4BC2"/>
    <w:rsid w:val="001E4C01"/>
    <w:rsid w:val="001E4FD0"/>
    <w:rsid w:val="001E55CE"/>
    <w:rsid w:val="001E5FB7"/>
    <w:rsid w:val="001E5FF6"/>
    <w:rsid w:val="001E61E5"/>
    <w:rsid w:val="001E62F1"/>
    <w:rsid w:val="001E6600"/>
    <w:rsid w:val="001E66AA"/>
    <w:rsid w:val="001E6B89"/>
    <w:rsid w:val="001E6C1B"/>
    <w:rsid w:val="001E7811"/>
    <w:rsid w:val="001E7B6E"/>
    <w:rsid w:val="001E7C25"/>
    <w:rsid w:val="001F002B"/>
    <w:rsid w:val="001F006C"/>
    <w:rsid w:val="001F01A5"/>
    <w:rsid w:val="001F0552"/>
    <w:rsid w:val="001F0E7F"/>
    <w:rsid w:val="001F0FF4"/>
    <w:rsid w:val="001F105B"/>
    <w:rsid w:val="001F18F4"/>
    <w:rsid w:val="001F198E"/>
    <w:rsid w:val="001F2E2A"/>
    <w:rsid w:val="001F3157"/>
    <w:rsid w:val="001F40B4"/>
    <w:rsid w:val="001F4153"/>
    <w:rsid w:val="001F4929"/>
    <w:rsid w:val="001F596F"/>
    <w:rsid w:val="001F60ED"/>
    <w:rsid w:val="001F63AB"/>
    <w:rsid w:val="001F658A"/>
    <w:rsid w:val="001F6696"/>
    <w:rsid w:val="001F6E37"/>
    <w:rsid w:val="001F7337"/>
    <w:rsid w:val="001F746A"/>
    <w:rsid w:val="001F78A5"/>
    <w:rsid w:val="001F7B82"/>
    <w:rsid w:val="001F7B8D"/>
    <w:rsid w:val="00200CAB"/>
    <w:rsid w:val="00200D89"/>
    <w:rsid w:val="00200F43"/>
    <w:rsid w:val="0020176C"/>
    <w:rsid w:val="00201CE6"/>
    <w:rsid w:val="0020286A"/>
    <w:rsid w:val="00202B9A"/>
    <w:rsid w:val="00203021"/>
    <w:rsid w:val="0020378B"/>
    <w:rsid w:val="00204BAB"/>
    <w:rsid w:val="00204CC9"/>
    <w:rsid w:val="00204F68"/>
    <w:rsid w:val="002050CC"/>
    <w:rsid w:val="002052AA"/>
    <w:rsid w:val="0020559B"/>
    <w:rsid w:val="0020565A"/>
    <w:rsid w:val="00205A20"/>
    <w:rsid w:val="00205D7D"/>
    <w:rsid w:val="00206093"/>
    <w:rsid w:val="00206198"/>
    <w:rsid w:val="0020687B"/>
    <w:rsid w:val="00206EC5"/>
    <w:rsid w:val="00207EC6"/>
    <w:rsid w:val="00210337"/>
    <w:rsid w:val="00210B47"/>
    <w:rsid w:val="002116BA"/>
    <w:rsid w:val="00212337"/>
    <w:rsid w:val="0021276A"/>
    <w:rsid w:val="00212C59"/>
    <w:rsid w:val="002131A8"/>
    <w:rsid w:val="0021323C"/>
    <w:rsid w:val="00213353"/>
    <w:rsid w:val="00213810"/>
    <w:rsid w:val="00214706"/>
    <w:rsid w:val="00214773"/>
    <w:rsid w:val="00214A6B"/>
    <w:rsid w:val="00214BAA"/>
    <w:rsid w:val="00214C3E"/>
    <w:rsid w:val="002152CC"/>
    <w:rsid w:val="0021568E"/>
    <w:rsid w:val="002156C5"/>
    <w:rsid w:val="0021580C"/>
    <w:rsid w:val="00215BBC"/>
    <w:rsid w:val="00216074"/>
    <w:rsid w:val="00216644"/>
    <w:rsid w:val="0021791C"/>
    <w:rsid w:val="00217EF8"/>
    <w:rsid w:val="00220047"/>
    <w:rsid w:val="0022027C"/>
    <w:rsid w:val="00220686"/>
    <w:rsid w:val="002209C4"/>
    <w:rsid w:val="00220E26"/>
    <w:rsid w:val="002211E3"/>
    <w:rsid w:val="002212E1"/>
    <w:rsid w:val="00221A16"/>
    <w:rsid w:val="00221C6F"/>
    <w:rsid w:val="002222FE"/>
    <w:rsid w:val="002224DC"/>
    <w:rsid w:val="00222601"/>
    <w:rsid w:val="002228A1"/>
    <w:rsid w:val="00222961"/>
    <w:rsid w:val="00222A11"/>
    <w:rsid w:val="00222C37"/>
    <w:rsid w:val="00222DB6"/>
    <w:rsid w:val="0022314C"/>
    <w:rsid w:val="00223188"/>
    <w:rsid w:val="00223447"/>
    <w:rsid w:val="002236E7"/>
    <w:rsid w:val="00223A11"/>
    <w:rsid w:val="002246D5"/>
    <w:rsid w:val="00224D70"/>
    <w:rsid w:val="002256CE"/>
    <w:rsid w:val="002257A8"/>
    <w:rsid w:val="002261F1"/>
    <w:rsid w:val="002300FD"/>
    <w:rsid w:val="00230482"/>
    <w:rsid w:val="00230C0A"/>
    <w:rsid w:val="002314A6"/>
    <w:rsid w:val="00231771"/>
    <w:rsid w:val="002318AF"/>
    <w:rsid w:val="002318F5"/>
    <w:rsid w:val="00231DE6"/>
    <w:rsid w:val="002328E6"/>
    <w:rsid w:val="0023319C"/>
    <w:rsid w:val="002333BC"/>
    <w:rsid w:val="00233BC5"/>
    <w:rsid w:val="00233FE5"/>
    <w:rsid w:val="00234FBC"/>
    <w:rsid w:val="002352DA"/>
    <w:rsid w:val="0023583F"/>
    <w:rsid w:val="00235846"/>
    <w:rsid w:val="00235B8C"/>
    <w:rsid w:val="00235CF4"/>
    <w:rsid w:val="00236304"/>
    <w:rsid w:val="00236496"/>
    <w:rsid w:val="00236671"/>
    <w:rsid w:val="00237EF1"/>
    <w:rsid w:val="002403F7"/>
    <w:rsid w:val="0024136B"/>
    <w:rsid w:val="002420E5"/>
    <w:rsid w:val="0024212F"/>
    <w:rsid w:val="00242333"/>
    <w:rsid w:val="002424DA"/>
    <w:rsid w:val="00242A16"/>
    <w:rsid w:val="00242C7B"/>
    <w:rsid w:val="0024366E"/>
    <w:rsid w:val="002439D4"/>
    <w:rsid w:val="00243B42"/>
    <w:rsid w:val="00243B63"/>
    <w:rsid w:val="0024481B"/>
    <w:rsid w:val="00244F33"/>
    <w:rsid w:val="00245848"/>
    <w:rsid w:val="00245C84"/>
    <w:rsid w:val="00245F57"/>
    <w:rsid w:val="00246851"/>
    <w:rsid w:val="00246F89"/>
    <w:rsid w:val="00247513"/>
    <w:rsid w:val="00247BF4"/>
    <w:rsid w:val="00250036"/>
    <w:rsid w:val="00250767"/>
    <w:rsid w:val="002510B9"/>
    <w:rsid w:val="0025135D"/>
    <w:rsid w:val="00251436"/>
    <w:rsid w:val="00251A06"/>
    <w:rsid w:val="00251C48"/>
    <w:rsid w:val="00252468"/>
    <w:rsid w:val="00252920"/>
    <w:rsid w:val="00252C08"/>
    <w:rsid w:val="00252C2A"/>
    <w:rsid w:val="00252F40"/>
    <w:rsid w:val="002534BD"/>
    <w:rsid w:val="002539A5"/>
    <w:rsid w:val="00253D6B"/>
    <w:rsid w:val="00253E28"/>
    <w:rsid w:val="00253EFD"/>
    <w:rsid w:val="00253F18"/>
    <w:rsid w:val="0025441D"/>
    <w:rsid w:val="002545C5"/>
    <w:rsid w:val="00254A55"/>
    <w:rsid w:val="00254F16"/>
    <w:rsid w:val="0025506F"/>
    <w:rsid w:val="00255225"/>
    <w:rsid w:val="00255B33"/>
    <w:rsid w:val="002567EA"/>
    <w:rsid w:val="0025730E"/>
    <w:rsid w:val="0025763D"/>
    <w:rsid w:val="00257F38"/>
    <w:rsid w:val="0026013A"/>
    <w:rsid w:val="002606B8"/>
    <w:rsid w:val="002609DB"/>
    <w:rsid w:val="00261663"/>
    <w:rsid w:val="00261B4C"/>
    <w:rsid w:val="00261C15"/>
    <w:rsid w:val="00261C7A"/>
    <w:rsid w:val="00261E87"/>
    <w:rsid w:val="002622C7"/>
    <w:rsid w:val="0026250C"/>
    <w:rsid w:val="00262C6A"/>
    <w:rsid w:val="00264B40"/>
    <w:rsid w:val="002659C8"/>
    <w:rsid w:val="00265CB5"/>
    <w:rsid w:val="00265EC4"/>
    <w:rsid w:val="00265EC8"/>
    <w:rsid w:val="00266834"/>
    <w:rsid w:val="00267010"/>
    <w:rsid w:val="00267874"/>
    <w:rsid w:val="0026788C"/>
    <w:rsid w:val="00267F70"/>
    <w:rsid w:val="0027058E"/>
    <w:rsid w:val="00270BF9"/>
    <w:rsid w:val="002710D3"/>
    <w:rsid w:val="002712C2"/>
    <w:rsid w:val="00271515"/>
    <w:rsid w:val="0027164E"/>
    <w:rsid w:val="00271C86"/>
    <w:rsid w:val="00272682"/>
    <w:rsid w:val="0027277B"/>
    <w:rsid w:val="002734B7"/>
    <w:rsid w:val="00273A14"/>
    <w:rsid w:val="0027475A"/>
    <w:rsid w:val="002748B2"/>
    <w:rsid w:val="00275832"/>
    <w:rsid w:val="0027593F"/>
    <w:rsid w:val="002759F0"/>
    <w:rsid w:val="00275E42"/>
    <w:rsid w:val="00275F4F"/>
    <w:rsid w:val="002768AC"/>
    <w:rsid w:val="00276C61"/>
    <w:rsid w:val="00276F6B"/>
    <w:rsid w:val="002774AC"/>
    <w:rsid w:val="00280062"/>
    <w:rsid w:val="00280241"/>
    <w:rsid w:val="00280CAE"/>
    <w:rsid w:val="00280DE1"/>
    <w:rsid w:val="00280FE2"/>
    <w:rsid w:val="00281167"/>
    <w:rsid w:val="0028186E"/>
    <w:rsid w:val="00281BF3"/>
    <w:rsid w:val="002821A0"/>
    <w:rsid w:val="0028275C"/>
    <w:rsid w:val="00283048"/>
    <w:rsid w:val="00283509"/>
    <w:rsid w:val="002837CE"/>
    <w:rsid w:val="00283AF6"/>
    <w:rsid w:val="0028461E"/>
    <w:rsid w:val="002847CB"/>
    <w:rsid w:val="00284BFB"/>
    <w:rsid w:val="002855E9"/>
    <w:rsid w:val="00285604"/>
    <w:rsid w:val="00285CE5"/>
    <w:rsid w:val="00286688"/>
    <w:rsid w:val="00286AD7"/>
    <w:rsid w:val="00286B20"/>
    <w:rsid w:val="002872A8"/>
    <w:rsid w:val="00287362"/>
    <w:rsid w:val="002874BF"/>
    <w:rsid w:val="00287504"/>
    <w:rsid w:val="00287890"/>
    <w:rsid w:val="00287B94"/>
    <w:rsid w:val="002901C2"/>
    <w:rsid w:val="00290C9E"/>
    <w:rsid w:val="00291069"/>
    <w:rsid w:val="00291B9E"/>
    <w:rsid w:val="00291F60"/>
    <w:rsid w:val="0029216A"/>
    <w:rsid w:val="0029259D"/>
    <w:rsid w:val="00292D95"/>
    <w:rsid w:val="00293213"/>
    <w:rsid w:val="00293428"/>
    <w:rsid w:val="002935D8"/>
    <w:rsid w:val="00293607"/>
    <w:rsid w:val="00293B3A"/>
    <w:rsid w:val="00293CF1"/>
    <w:rsid w:val="0029406B"/>
    <w:rsid w:val="00294C87"/>
    <w:rsid w:val="002953D0"/>
    <w:rsid w:val="002958B8"/>
    <w:rsid w:val="00296126"/>
    <w:rsid w:val="002966C0"/>
    <w:rsid w:val="00296707"/>
    <w:rsid w:val="002971AB"/>
    <w:rsid w:val="0029783F"/>
    <w:rsid w:val="00297D27"/>
    <w:rsid w:val="00297F42"/>
    <w:rsid w:val="002A0225"/>
    <w:rsid w:val="002A036F"/>
    <w:rsid w:val="002A0493"/>
    <w:rsid w:val="002A06E4"/>
    <w:rsid w:val="002A0BE1"/>
    <w:rsid w:val="002A17FB"/>
    <w:rsid w:val="002A2259"/>
    <w:rsid w:val="002A27FB"/>
    <w:rsid w:val="002A2930"/>
    <w:rsid w:val="002A2B1A"/>
    <w:rsid w:val="002A2EC0"/>
    <w:rsid w:val="002A321C"/>
    <w:rsid w:val="002A346B"/>
    <w:rsid w:val="002A352D"/>
    <w:rsid w:val="002A3705"/>
    <w:rsid w:val="002A3CE2"/>
    <w:rsid w:val="002A4B61"/>
    <w:rsid w:val="002A57FC"/>
    <w:rsid w:val="002A5BCD"/>
    <w:rsid w:val="002A661D"/>
    <w:rsid w:val="002A66B6"/>
    <w:rsid w:val="002A6780"/>
    <w:rsid w:val="002A6807"/>
    <w:rsid w:val="002A7210"/>
    <w:rsid w:val="002A7E12"/>
    <w:rsid w:val="002A7FEA"/>
    <w:rsid w:val="002B0481"/>
    <w:rsid w:val="002B0F3A"/>
    <w:rsid w:val="002B2FA4"/>
    <w:rsid w:val="002B33BA"/>
    <w:rsid w:val="002B3D34"/>
    <w:rsid w:val="002B3F5D"/>
    <w:rsid w:val="002B4499"/>
    <w:rsid w:val="002B502F"/>
    <w:rsid w:val="002B56AD"/>
    <w:rsid w:val="002B5CDA"/>
    <w:rsid w:val="002B6466"/>
    <w:rsid w:val="002B71C1"/>
    <w:rsid w:val="002B74AA"/>
    <w:rsid w:val="002B7712"/>
    <w:rsid w:val="002B7890"/>
    <w:rsid w:val="002B7A94"/>
    <w:rsid w:val="002C010D"/>
    <w:rsid w:val="002C01F8"/>
    <w:rsid w:val="002C05E8"/>
    <w:rsid w:val="002C05F8"/>
    <w:rsid w:val="002C1992"/>
    <w:rsid w:val="002C1D8A"/>
    <w:rsid w:val="002C1FDE"/>
    <w:rsid w:val="002C2851"/>
    <w:rsid w:val="002C2D1F"/>
    <w:rsid w:val="002C2EFD"/>
    <w:rsid w:val="002C3215"/>
    <w:rsid w:val="002C333D"/>
    <w:rsid w:val="002C3B8B"/>
    <w:rsid w:val="002C4ADC"/>
    <w:rsid w:val="002C4B70"/>
    <w:rsid w:val="002C4EC9"/>
    <w:rsid w:val="002C5014"/>
    <w:rsid w:val="002C5FFC"/>
    <w:rsid w:val="002C6778"/>
    <w:rsid w:val="002C7145"/>
    <w:rsid w:val="002C71F2"/>
    <w:rsid w:val="002C72FD"/>
    <w:rsid w:val="002C7524"/>
    <w:rsid w:val="002C77D0"/>
    <w:rsid w:val="002C7948"/>
    <w:rsid w:val="002C7B00"/>
    <w:rsid w:val="002C7CB8"/>
    <w:rsid w:val="002C7DD9"/>
    <w:rsid w:val="002D0358"/>
    <w:rsid w:val="002D069F"/>
    <w:rsid w:val="002D0B5E"/>
    <w:rsid w:val="002D0C86"/>
    <w:rsid w:val="002D0FCD"/>
    <w:rsid w:val="002D11AA"/>
    <w:rsid w:val="002D19C5"/>
    <w:rsid w:val="002D1D6D"/>
    <w:rsid w:val="002D2073"/>
    <w:rsid w:val="002D20E2"/>
    <w:rsid w:val="002D28DA"/>
    <w:rsid w:val="002D298D"/>
    <w:rsid w:val="002D30F0"/>
    <w:rsid w:val="002D31AC"/>
    <w:rsid w:val="002D31DE"/>
    <w:rsid w:val="002D382D"/>
    <w:rsid w:val="002D411D"/>
    <w:rsid w:val="002D420F"/>
    <w:rsid w:val="002D455F"/>
    <w:rsid w:val="002D4D88"/>
    <w:rsid w:val="002D5038"/>
    <w:rsid w:val="002D53BE"/>
    <w:rsid w:val="002D5587"/>
    <w:rsid w:val="002D577A"/>
    <w:rsid w:val="002D5E11"/>
    <w:rsid w:val="002D609C"/>
    <w:rsid w:val="002D6629"/>
    <w:rsid w:val="002D688E"/>
    <w:rsid w:val="002D7234"/>
    <w:rsid w:val="002D72B2"/>
    <w:rsid w:val="002D74A6"/>
    <w:rsid w:val="002D7A98"/>
    <w:rsid w:val="002E08E7"/>
    <w:rsid w:val="002E0E59"/>
    <w:rsid w:val="002E182B"/>
    <w:rsid w:val="002E1884"/>
    <w:rsid w:val="002E18ED"/>
    <w:rsid w:val="002E1A78"/>
    <w:rsid w:val="002E1E9C"/>
    <w:rsid w:val="002E20FE"/>
    <w:rsid w:val="002E218A"/>
    <w:rsid w:val="002E2669"/>
    <w:rsid w:val="002E2D55"/>
    <w:rsid w:val="002E2DFD"/>
    <w:rsid w:val="002E304B"/>
    <w:rsid w:val="002E351B"/>
    <w:rsid w:val="002E371C"/>
    <w:rsid w:val="002E3DF1"/>
    <w:rsid w:val="002E425B"/>
    <w:rsid w:val="002E4504"/>
    <w:rsid w:val="002E452F"/>
    <w:rsid w:val="002E4C45"/>
    <w:rsid w:val="002E5073"/>
    <w:rsid w:val="002E52BA"/>
    <w:rsid w:val="002E5C0C"/>
    <w:rsid w:val="002E5F0E"/>
    <w:rsid w:val="002E68A0"/>
    <w:rsid w:val="002E6E3E"/>
    <w:rsid w:val="002E7A85"/>
    <w:rsid w:val="002E7B20"/>
    <w:rsid w:val="002F1139"/>
    <w:rsid w:val="002F1B13"/>
    <w:rsid w:val="002F1CF9"/>
    <w:rsid w:val="002F2273"/>
    <w:rsid w:val="002F291E"/>
    <w:rsid w:val="002F2952"/>
    <w:rsid w:val="002F2A5D"/>
    <w:rsid w:val="002F2B00"/>
    <w:rsid w:val="002F2B1A"/>
    <w:rsid w:val="002F3356"/>
    <w:rsid w:val="002F3559"/>
    <w:rsid w:val="002F3AEF"/>
    <w:rsid w:val="002F3BA2"/>
    <w:rsid w:val="002F43CA"/>
    <w:rsid w:val="002F4465"/>
    <w:rsid w:val="002F453A"/>
    <w:rsid w:val="002F46D2"/>
    <w:rsid w:val="002F4E80"/>
    <w:rsid w:val="002F4E92"/>
    <w:rsid w:val="002F5526"/>
    <w:rsid w:val="002F556E"/>
    <w:rsid w:val="002F596D"/>
    <w:rsid w:val="002F5B8F"/>
    <w:rsid w:val="002F5C6C"/>
    <w:rsid w:val="002F6054"/>
    <w:rsid w:val="002F6268"/>
    <w:rsid w:val="002F6C34"/>
    <w:rsid w:val="002F75A6"/>
    <w:rsid w:val="003002D5"/>
    <w:rsid w:val="00300599"/>
    <w:rsid w:val="00300700"/>
    <w:rsid w:val="003007EE"/>
    <w:rsid w:val="00300BF0"/>
    <w:rsid w:val="0030121C"/>
    <w:rsid w:val="003013BA"/>
    <w:rsid w:val="00301835"/>
    <w:rsid w:val="0030187F"/>
    <w:rsid w:val="00301E6C"/>
    <w:rsid w:val="0030203D"/>
    <w:rsid w:val="00302565"/>
    <w:rsid w:val="00302814"/>
    <w:rsid w:val="0030288C"/>
    <w:rsid w:val="003028B3"/>
    <w:rsid w:val="00302DD6"/>
    <w:rsid w:val="003036C5"/>
    <w:rsid w:val="003036FE"/>
    <w:rsid w:val="00303A52"/>
    <w:rsid w:val="00303B59"/>
    <w:rsid w:val="00303DF9"/>
    <w:rsid w:val="00305C3E"/>
    <w:rsid w:val="00305D99"/>
    <w:rsid w:val="00305E05"/>
    <w:rsid w:val="003063CC"/>
    <w:rsid w:val="003073CF"/>
    <w:rsid w:val="00307887"/>
    <w:rsid w:val="003102E7"/>
    <w:rsid w:val="0031036F"/>
    <w:rsid w:val="00310D77"/>
    <w:rsid w:val="0031108A"/>
    <w:rsid w:val="003111AA"/>
    <w:rsid w:val="00311F40"/>
    <w:rsid w:val="00311F74"/>
    <w:rsid w:val="00312CF8"/>
    <w:rsid w:val="00312E4F"/>
    <w:rsid w:val="003136D9"/>
    <w:rsid w:val="00313D4D"/>
    <w:rsid w:val="00313F8C"/>
    <w:rsid w:val="00314424"/>
    <w:rsid w:val="00314D92"/>
    <w:rsid w:val="0031510F"/>
    <w:rsid w:val="003151FE"/>
    <w:rsid w:val="0031522A"/>
    <w:rsid w:val="0031629E"/>
    <w:rsid w:val="003162B7"/>
    <w:rsid w:val="003166C7"/>
    <w:rsid w:val="0031698E"/>
    <w:rsid w:val="00316A9D"/>
    <w:rsid w:val="00317612"/>
    <w:rsid w:val="003178CF"/>
    <w:rsid w:val="00320431"/>
    <w:rsid w:val="0032085D"/>
    <w:rsid w:val="00320A89"/>
    <w:rsid w:val="0032168B"/>
    <w:rsid w:val="003218FC"/>
    <w:rsid w:val="00321DA1"/>
    <w:rsid w:val="003220DB"/>
    <w:rsid w:val="00322236"/>
    <w:rsid w:val="003225C9"/>
    <w:rsid w:val="00322649"/>
    <w:rsid w:val="00322730"/>
    <w:rsid w:val="00322784"/>
    <w:rsid w:val="00322E98"/>
    <w:rsid w:val="003230E0"/>
    <w:rsid w:val="00323469"/>
    <w:rsid w:val="003236B5"/>
    <w:rsid w:val="0032452D"/>
    <w:rsid w:val="0032478A"/>
    <w:rsid w:val="00324932"/>
    <w:rsid w:val="00324D6E"/>
    <w:rsid w:val="00325354"/>
    <w:rsid w:val="00325ED1"/>
    <w:rsid w:val="0032629E"/>
    <w:rsid w:val="0032642A"/>
    <w:rsid w:val="003267EB"/>
    <w:rsid w:val="00327ACA"/>
    <w:rsid w:val="00327BBE"/>
    <w:rsid w:val="00327C61"/>
    <w:rsid w:val="00330097"/>
    <w:rsid w:val="003301DE"/>
    <w:rsid w:val="00330351"/>
    <w:rsid w:val="003303A8"/>
    <w:rsid w:val="00330A69"/>
    <w:rsid w:val="0033157E"/>
    <w:rsid w:val="00331D6E"/>
    <w:rsid w:val="00331E5C"/>
    <w:rsid w:val="00332B6E"/>
    <w:rsid w:val="00332BC0"/>
    <w:rsid w:val="00332BC2"/>
    <w:rsid w:val="00332BFD"/>
    <w:rsid w:val="00332FF1"/>
    <w:rsid w:val="00333076"/>
    <w:rsid w:val="00334BF8"/>
    <w:rsid w:val="00334DA6"/>
    <w:rsid w:val="00334F5F"/>
    <w:rsid w:val="003357AA"/>
    <w:rsid w:val="00335992"/>
    <w:rsid w:val="00335A64"/>
    <w:rsid w:val="00335E77"/>
    <w:rsid w:val="003362FB"/>
    <w:rsid w:val="00336408"/>
    <w:rsid w:val="0033689B"/>
    <w:rsid w:val="003370A5"/>
    <w:rsid w:val="00337219"/>
    <w:rsid w:val="00337462"/>
    <w:rsid w:val="00337506"/>
    <w:rsid w:val="00337F0D"/>
    <w:rsid w:val="00337FE4"/>
    <w:rsid w:val="00340251"/>
    <w:rsid w:val="00340AB2"/>
    <w:rsid w:val="00340CEC"/>
    <w:rsid w:val="0034106D"/>
    <w:rsid w:val="00342AD5"/>
    <w:rsid w:val="00342D76"/>
    <w:rsid w:val="00343236"/>
    <w:rsid w:val="003432F9"/>
    <w:rsid w:val="00343D4B"/>
    <w:rsid w:val="0034400F"/>
    <w:rsid w:val="00344C8F"/>
    <w:rsid w:val="00344CBA"/>
    <w:rsid w:val="00345204"/>
    <w:rsid w:val="00345865"/>
    <w:rsid w:val="00345E0A"/>
    <w:rsid w:val="00345E82"/>
    <w:rsid w:val="00345EC7"/>
    <w:rsid w:val="003460FB"/>
    <w:rsid w:val="0034631D"/>
    <w:rsid w:val="00346F0A"/>
    <w:rsid w:val="0034706C"/>
    <w:rsid w:val="003476CA"/>
    <w:rsid w:val="00347958"/>
    <w:rsid w:val="00347A13"/>
    <w:rsid w:val="00347CB5"/>
    <w:rsid w:val="00347FA1"/>
    <w:rsid w:val="00350331"/>
    <w:rsid w:val="003503DC"/>
    <w:rsid w:val="003507DC"/>
    <w:rsid w:val="0035082E"/>
    <w:rsid w:val="003508DB"/>
    <w:rsid w:val="0035093D"/>
    <w:rsid w:val="0035095B"/>
    <w:rsid w:val="00350CA7"/>
    <w:rsid w:val="00350ED5"/>
    <w:rsid w:val="00351062"/>
    <w:rsid w:val="00352836"/>
    <w:rsid w:val="00352844"/>
    <w:rsid w:val="00352AC1"/>
    <w:rsid w:val="00352C81"/>
    <w:rsid w:val="00352F7B"/>
    <w:rsid w:val="003530EC"/>
    <w:rsid w:val="0035423E"/>
    <w:rsid w:val="00354401"/>
    <w:rsid w:val="00354D0F"/>
    <w:rsid w:val="003556C5"/>
    <w:rsid w:val="00355C6B"/>
    <w:rsid w:val="00356239"/>
    <w:rsid w:val="00356662"/>
    <w:rsid w:val="00356BBF"/>
    <w:rsid w:val="00356F38"/>
    <w:rsid w:val="003575B7"/>
    <w:rsid w:val="003575CD"/>
    <w:rsid w:val="00360000"/>
    <w:rsid w:val="003607A0"/>
    <w:rsid w:val="00360951"/>
    <w:rsid w:val="00360EA8"/>
    <w:rsid w:val="00361885"/>
    <w:rsid w:val="0036189E"/>
    <w:rsid w:val="00361DE2"/>
    <w:rsid w:val="00361ECF"/>
    <w:rsid w:val="003622BB"/>
    <w:rsid w:val="00362422"/>
    <w:rsid w:val="00362E17"/>
    <w:rsid w:val="003635C0"/>
    <w:rsid w:val="00363C5B"/>
    <w:rsid w:val="003647E2"/>
    <w:rsid w:val="00364BF5"/>
    <w:rsid w:val="00364E3F"/>
    <w:rsid w:val="00365064"/>
    <w:rsid w:val="0036534D"/>
    <w:rsid w:val="00366BCA"/>
    <w:rsid w:val="00366EED"/>
    <w:rsid w:val="003701E3"/>
    <w:rsid w:val="0037058D"/>
    <w:rsid w:val="00370896"/>
    <w:rsid w:val="003708E0"/>
    <w:rsid w:val="003709A9"/>
    <w:rsid w:val="00370FDA"/>
    <w:rsid w:val="00371445"/>
    <w:rsid w:val="0037150F"/>
    <w:rsid w:val="00371A4B"/>
    <w:rsid w:val="00372517"/>
    <w:rsid w:val="003728E0"/>
    <w:rsid w:val="00372988"/>
    <w:rsid w:val="00372B37"/>
    <w:rsid w:val="00372E10"/>
    <w:rsid w:val="00372E96"/>
    <w:rsid w:val="00372F54"/>
    <w:rsid w:val="0037333F"/>
    <w:rsid w:val="00373479"/>
    <w:rsid w:val="00374601"/>
    <w:rsid w:val="003748C8"/>
    <w:rsid w:val="00374BA4"/>
    <w:rsid w:val="00374C56"/>
    <w:rsid w:val="0037520F"/>
    <w:rsid w:val="00376A5A"/>
    <w:rsid w:val="00376D2D"/>
    <w:rsid w:val="00376DB5"/>
    <w:rsid w:val="00376F88"/>
    <w:rsid w:val="00377062"/>
    <w:rsid w:val="003775FF"/>
    <w:rsid w:val="00377FED"/>
    <w:rsid w:val="0038010F"/>
    <w:rsid w:val="0038047A"/>
    <w:rsid w:val="0038057A"/>
    <w:rsid w:val="00380833"/>
    <w:rsid w:val="00380F89"/>
    <w:rsid w:val="0038151E"/>
    <w:rsid w:val="00381693"/>
    <w:rsid w:val="0038192C"/>
    <w:rsid w:val="00381AD3"/>
    <w:rsid w:val="00382A7C"/>
    <w:rsid w:val="00382B79"/>
    <w:rsid w:val="00383554"/>
    <w:rsid w:val="003837BC"/>
    <w:rsid w:val="003838E8"/>
    <w:rsid w:val="00383E67"/>
    <w:rsid w:val="0038416A"/>
    <w:rsid w:val="003841FD"/>
    <w:rsid w:val="00384202"/>
    <w:rsid w:val="003843EC"/>
    <w:rsid w:val="00384431"/>
    <w:rsid w:val="00384AC0"/>
    <w:rsid w:val="00385999"/>
    <w:rsid w:val="00385A17"/>
    <w:rsid w:val="00385BB8"/>
    <w:rsid w:val="00385EFA"/>
    <w:rsid w:val="00386206"/>
    <w:rsid w:val="003862BB"/>
    <w:rsid w:val="003864FE"/>
    <w:rsid w:val="00386E75"/>
    <w:rsid w:val="00386F77"/>
    <w:rsid w:val="00387D0B"/>
    <w:rsid w:val="0039016C"/>
    <w:rsid w:val="00390284"/>
    <w:rsid w:val="00390C14"/>
    <w:rsid w:val="003910AC"/>
    <w:rsid w:val="00391191"/>
    <w:rsid w:val="00391A93"/>
    <w:rsid w:val="00392910"/>
    <w:rsid w:val="00393110"/>
    <w:rsid w:val="00393563"/>
    <w:rsid w:val="0039390D"/>
    <w:rsid w:val="00393F8C"/>
    <w:rsid w:val="00394973"/>
    <w:rsid w:val="00394D8E"/>
    <w:rsid w:val="00395817"/>
    <w:rsid w:val="0039592E"/>
    <w:rsid w:val="003960D4"/>
    <w:rsid w:val="003964E1"/>
    <w:rsid w:val="0039681B"/>
    <w:rsid w:val="003969C7"/>
    <w:rsid w:val="00396D89"/>
    <w:rsid w:val="003976AA"/>
    <w:rsid w:val="003979D8"/>
    <w:rsid w:val="00397DE5"/>
    <w:rsid w:val="003A06D4"/>
    <w:rsid w:val="003A0FB7"/>
    <w:rsid w:val="003A127C"/>
    <w:rsid w:val="003A1419"/>
    <w:rsid w:val="003A153C"/>
    <w:rsid w:val="003A15C4"/>
    <w:rsid w:val="003A1C36"/>
    <w:rsid w:val="003A2841"/>
    <w:rsid w:val="003A2BA6"/>
    <w:rsid w:val="003A345C"/>
    <w:rsid w:val="003A34A0"/>
    <w:rsid w:val="003A3612"/>
    <w:rsid w:val="003A36CD"/>
    <w:rsid w:val="003A36E8"/>
    <w:rsid w:val="003A4F4F"/>
    <w:rsid w:val="003A57DA"/>
    <w:rsid w:val="003A58AF"/>
    <w:rsid w:val="003A5920"/>
    <w:rsid w:val="003A5FAD"/>
    <w:rsid w:val="003A646D"/>
    <w:rsid w:val="003A67B4"/>
    <w:rsid w:val="003A6860"/>
    <w:rsid w:val="003A700A"/>
    <w:rsid w:val="003A71A0"/>
    <w:rsid w:val="003A79ED"/>
    <w:rsid w:val="003A7D7A"/>
    <w:rsid w:val="003B066F"/>
    <w:rsid w:val="003B06B4"/>
    <w:rsid w:val="003B06CD"/>
    <w:rsid w:val="003B09E8"/>
    <w:rsid w:val="003B0F8D"/>
    <w:rsid w:val="003B12AF"/>
    <w:rsid w:val="003B12B5"/>
    <w:rsid w:val="003B145F"/>
    <w:rsid w:val="003B162B"/>
    <w:rsid w:val="003B20EC"/>
    <w:rsid w:val="003B24E8"/>
    <w:rsid w:val="003B27B1"/>
    <w:rsid w:val="003B2B70"/>
    <w:rsid w:val="003B30AD"/>
    <w:rsid w:val="003B342A"/>
    <w:rsid w:val="003B35D8"/>
    <w:rsid w:val="003B360F"/>
    <w:rsid w:val="003B3903"/>
    <w:rsid w:val="003B3983"/>
    <w:rsid w:val="003B435A"/>
    <w:rsid w:val="003B444F"/>
    <w:rsid w:val="003B4CF4"/>
    <w:rsid w:val="003B4F62"/>
    <w:rsid w:val="003B534E"/>
    <w:rsid w:val="003B5C38"/>
    <w:rsid w:val="003B65F7"/>
    <w:rsid w:val="003B766E"/>
    <w:rsid w:val="003B76A4"/>
    <w:rsid w:val="003B76CE"/>
    <w:rsid w:val="003B78B3"/>
    <w:rsid w:val="003C06B7"/>
    <w:rsid w:val="003C0D71"/>
    <w:rsid w:val="003C0E66"/>
    <w:rsid w:val="003C11C6"/>
    <w:rsid w:val="003C1953"/>
    <w:rsid w:val="003C26CB"/>
    <w:rsid w:val="003C2A04"/>
    <w:rsid w:val="003C353D"/>
    <w:rsid w:val="003C36E5"/>
    <w:rsid w:val="003C3FAE"/>
    <w:rsid w:val="003C44D5"/>
    <w:rsid w:val="003C459A"/>
    <w:rsid w:val="003C4A64"/>
    <w:rsid w:val="003C4CF3"/>
    <w:rsid w:val="003C4E9D"/>
    <w:rsid w:val="003C5FA6"/>
    <w:rsid w:val="003C633D"/>
    <w:rsid w:val="003C6418"/>
    <w:rsid w:val="003C643B"/>
    <w:rsid w:val="003C65A6"/>
    <w:rsid w:val="003C7A98"/>
    <w:rsid w:val="003C7B28"/>
    <w:rsid w:val="003C7C25"/>
    <w:rsid w:val="003C7D6A"/>
    <w:rsid w:val="003D00FC"/>
    <w:rsid w:val="003D03B2"/>
    <w:rsid w:val="003D04FE"/>
    <w:rsid w:val="003D0562"/>
    <w:rsid w:val="003D0787"/>
    <w:rsid w:val="003D0C53"/>
    <w:rsid w:val="003D14A8"/>
    <w:rsid w:val="003D1E34"/>
    <w:rsid w:val="003D23C2"/>
    <w:rsid w:val="003D27ED"/>
    <w:rsid w:val="003D38BE"/>
    <w:rsid w:val="003D54FF"/>
    <w:rsid w:val="003D5922"/>
    <w:rsid w:val="003D5A1C"/>
    <w:rsid w:val="003D600C"/>
    <w:rsid w:val="003D617A"/>
    <w:rsid w:val="003D64BC"/>
    <w:rsid w:val="003D69F9"/>
    <w:rsid w:val="003D6C37"/>
    <w:rsid w:val="003D7366"/>
    <w:rsid w:val="003E0524"/>
    <w:rsid w:val="003E1118"/>
    <w:rsid w:val="003E151E"/>
    <w:rsid w:val="003E1E73"/>
    <w:rsid w:val="003E258A"/>
    <w:rsid w:val="003E2B2E"/>
    <w:rsid w:val="003E3441"/>
    <w:rsid w:val="003E3711"/>
    <w:rsid w:val="003E3E24"/>
    <w:rsid w:val="003E40C8"/>
    <w:rsid w:val="003E4210"/>
    <w:rsid w:val="003E442C"/>
    <w:rsid w:val="003E4EEB"/>
    <w:rsid w:val="003E5262"/>
    <w:rsid w:val="003E57C6"/>
    <w:rsid w:val="003E5839"/>
    <w:rsid w:val="003E5C4E"/>
    <w:rsid w:val="003E62DA"/>
    <w:rsid w:val="003E669B"/>
    <w:rsid w:val="003E6C10"/>
    <w:rsid w:val="003E723E"/>
    <w:rsid w:val="003E7578"/>
    <w:rsid w:val="003E7874"/>
    <w:rsid w:val="003E7B6C"/>
    <w:rsid w:val="003E7DC2"/>
    <w:rsid w:val="003E7E41"/>
    <w:rsid w:val="003E7F53"/>
    <w:rsid w:val="003F08F8"/>
    <w:rsid w:val="003F0B98"/>
    <w:rsid w:val="003F111A"/>
    <w:rsid w:val="003F1BDE"/>
    <w:rsid w:val="003F1DFB"/>
    <w:rsid w:val="003F214B"/>
    <w:rsid w:val="003F2FEE"/>
    <w:rsid w:val="003F321E"/>
    <w:rsid w:val="003F37D4"/>
    <w:rsid w:val="003F37E5"/>
    <w:rsid w:val="003F3C92"/>
    <w:rsid w:val="003F4796"/>
    <w:rsid w:val="003F49F8"/>
    <w:rsid w:val="003F4C09"/>
    <w:rsid w:val="003F50AC"/>
    <w:rsid w:val="003F5157"/>
    <w:rsid w:val="003F54E2"/>
    <w:rsid w:val="003F54F7"/>
    <w:rsid w:val="003F55A4"/>
    <w:rsid w:val="003F6A5C"/>
    <w:rsid w:val="003F6ED9"/>
    <w:rsid w:val="003F7040"/>
    <w:rsid w:val="003F79EB"/>
    <w:rsid w:val="003F7BBA"/>
    <w:rsid w:val="004006AA"/>
    <w:rsid w:val="00400A37"/>
    <w:rsid w:val="00400C9C"/>
    <w:rsid w:val="004013D0"/>
    <w:rsid w:val="004019CE"/>
    <w:rsid w:val="00401A8C"/>
    <w:rsid w:val="004023F7"/>
    <w:rsid w:val="00402907"/>
    <w:rsid w:val="00402CCC"/>
    <w:rsid w:val="004032D1"/>
    <w:rsid w:val="004034F3"/>
    <w:rsid w:val="0040399B"/>
    <w:rsid w:val="00403B9B"/>
    <w:rsid w:val="00403FB4"/>
    <w:rsid w:val="0040424E"/>
    <w:rsid w:val="0040433B"/>
    <w:rsid w:val="00404AF6"/>
    <w:rsid w:val="004054D5"/>
    <w:rsid w:val="00406027"/>
    <w:rsid w:val="00406705"/>
    <w:rsid w:val="00406981"/>
    <w:rsid w:val="004074B2"/>
    <w:rsid w:val="0040754F"/>
    <w:rsid w:val="00407D72"/>
    <w:rsid w:val="00407D89"/>
    <w:rsid w:val="00410A95"/>
    <w:rsid w:val="00410B89"/>
    <w:rsid w:val="00410B94"/>
    <w:rsid w:val="00410C05"/>
    <w:rsid w:val="004110EE"/>
    <w:rsid w:val="0041253E"/>
    <w:rsid w:val="00412E34"/>
    <w:rsid w:val="004136D0"/>
    <w:rsid w:val="00413AC4"/>
    <w:rsid w:val="004146B9"/>
    <w:rsid w:val="004147EE"/>
    <w:rsid w:val="00414A07"/>
    <w:rsid w:val="00414AA8"/>
    <w:rsid w:val="00415534"/>
    <w:rsid w:val="004156D9"/>
    <w:rsid w:val="00415F03"/>
    <w:rsid w:val="0041673A"/>
    <w:rsid w:val="00416C05"/>
    <w:rsid w:val="004176F6"/>
    <w:rsid w:val="0041784D"/>
    <w:rsid w:val="00417D55"/>
    <w:rsid w:val="0042019F"/>
    <w:rsid w:val="00420227"/>
    <w:rsid w:val="00420666"/>
    <w:rsid w:val="00420B24"/>
    <w:rsid w:val="00421EE4"/>
    <w:rsid w:val="00421FA1"/>
    <w:rsid w:val="004227F9"/>
    <w:rsid w:val="00424372"/>
    <w:rsid w:val="00424906"/>
    <w:rsid w:val="0042491D"/>
    <w:rsid w:val="00424ADF"/>
    <w:rsid w:val="00425288"/>
    <w:rsid w:val="004254A6"/>
    <w:rsid w:val="0042558C"/>
    <w:rsid w:val="00425814"/>
    <w:rsid w:val="004258FC"/>
    <w:rsid w:val="004262D3"/>
    <w:rsid w:val="00426798"/>
    <w:rsid w:val="00426B56"/>
    <w:rsid w:val="00426D37"/>
    <w:rsid w:val="00426F4A"/>
    <w:rsid w:val="00427236"/>
    <w:rsid w:val="0043020C"/>
    <w:rsid w:val="00430672"/>
    <w:rsid w:val="0043077C"/>
    <w:rsid w:val="00430BAD"/>
    <w:rsid w:val="004310C3"/>
    <w:rsid w:val="00431133"/>
    <w:rsid w:val="004319BA"/>
    <w:rsid w:val="00431B14"/>
    <w:rsid w:val="00431C9A"/>
    <w:rsid w:val="0043381B"/>
    <w:rsid w:val="00434F3C"/>
    <w:rsid w:val="004356C0"/>
    <w:rsid w:val="0043583C"/>
    <w:rsid w:val="00435AD4"/>
    <w:rsid w:val="00436477"/>
    <w:rsid w:val="00436729"/>
    <w:rsid w:val="00436887"/>
    <w:rsid w:val="00436B77"/>
    <w:rsid w:val="00437144"/>
    <w:rsid w:val="004372AC"/>
    <w:rsid w:val="004374D4"/>
    <w:rsid w:val="0044044A"/>
    <w:rsid w:val="004404B9"/>
    <w:rsid w:val="00440B65"/>
    <w:rsid w:val="00440F4D"/>
    <w:rsid w:val="00441565"/>
    <w:rsid w:val="004417B1"/>
    <w:rsid w:val="00441BDB"/>
    <w:rsid w:val="00441CA0"/>
    <w:rsid w:val="00441F93"/>
    <w:rsid w:val="004422AC"/>
    <w:rsid w:val="004423B2"/>
    <w:rsid w:val="004423B9"/>
    <w:rsid w:val="00442A37"/>
    <w:rsid w:val="00443036"/>
    <w:rsid w:val="00444007"/>
    <w:rsid w:val="00444294"/>
    <w:rsid w:val="00444513"/>
    <w:rsid w:val="00444897"/>
    <w:rsid w:val="00444B39"/>
    <w:rsid w:val="00444CD5"/>
    <w:rsid w:val="004452D8"/>
    <w:rsid w:val="00445AE5"/>
    <w:rsid w:val="004465EC"/>
    <w:rsid w:val="00446A3F"/>
    <w:rsid w:val="00446B48"/>
    <w:rsid w:val="00446B4A"/>
    <w:rsid w:val="00446B85"/>
    <w:rsid w:val="00446CB5"/>
    <w:rsid w:val="00446E02"/>
    <w:rsid w:val="00447336"/>
    <w:rsid w:val="00447F04"/>
    <w:rsid w:val="00450459"/>
    <w:rsid w:val="00450540"/>
    <w:rsid w:val="0045177C"/>
    <w:rsid w:val="0045233C"/>
    <w:rsid w:val="004528A0"/>
    <w:rsid w:val="00452BD4"/>
    <w:rsid w:val="00453512"/>
    <w:rsid w:val="00454F31"/>
    <w:rsid w:val="00455689"/>
    <w:rsid w:val="00455690"/>
    <w:rsid w:val="00455BF5"/>
    <w:rsid w:val="00455D3B"/>
    <w:rsid w:val="00455F0A"/>
    <w:rsid w:val="0045626A"/>
    <w:rsid w:val="004562C0"/>
    <w:rsid w:val="00456A72"/>
    <w:rsid w:val="00456E86"/>
    <w:rsid w:val="0045795A"/>
    <w:rsid w:val="00457D3B"/>
    <w:rsid w:val="004607D5"/>
    <w:rsid w:val="004614B0"/>
    <w:rsid w:val="0046188D"/>
    <w:rsid w:val="00461ABE"/>
    <w:rsid w:val="00461B9A"/>
    <w:rsid w:val="00462BEC"/>
    <w:rsid w:val="00463A74"/>
    <w:rsid w:val="00463B64"/>
    <w:rsid w:val="00463E4B"/>
    <w:rsid w:val="004644C3"/>
    <w:rsid w:val="004644F7"/>
    <w:rsid w:val="004645BB"/>
    <w:rsid w:val="004652D8"/>
    <w:rsid w:val="0046543F"/>
    <w:rsid w:val="00465722"/>
    <w:rsid w:val="00465B3D"/>
    <w:rsid w:val="00465DA3"/>
    <w:rsid w:val="004664BF"/>
    <w:rsid w:val="00466879"/>
    <w:rsid w:val="00466C35"/>
    <w:rsid w:val="00466E3A"/>
    <w:rsid w:val="0046718D"/>
    <w:rsid w:val="00467541"/>
    <w:rsid w:val="00467605"/>
    <w:rsid w:val="004679EE"/>
    <w:rsid w:val="00467A1B"/>
    <w:rsid w:val="00470B00"/>
    <w:rsid w:val="00470CE5"/>
    <w:rsid w:val="00471203"/>
    <w:rsid w:val="00471D56"/>
    <w:rsid w:val="0047218B"/>
    <w:rsid w:val="00472ADB"/>
    <w:rsid w:val="00472B81"/>
    <w:rsid w:val="004730F8"/>
    <w:rsid w:val="0047356F"/>
    <w:rsid w:val="004739C6"/>
    <w:rsid w:val="00473AB9"/>
    <w:rsid w:val="00474786"/>
    <w:rsid w:val="00475329"/>
    <w:rsid w:val="00475854"/>
    <w:rsid w:val="00475892"/>
    <w:rsid w:val="00475DA9"/>
    <w:rsid w:val="004767E7"/>
    <w:rsid w:val="004767EC"/>
    <w:rsid w:val="0047696D"/>
    <w:rsid w:val="00476B99"/>
    <w:rsid w:val="004774C5"/>
    <w:rsid w:val="00477C25"/>
    <w:rsid w:val="00477DD6"/>
    <w:rsid w:val="00477FD2"/>
    <w:rsid w:val="00480082"/>
    <w:rsid w:val="00481174"/>
    <w:rsid w:val="00481406"/>
    <w:rsid w:val="004815C6"/>
    <w:rsid w:val="004823DA"/>
    <w:rsid w:val="00482909"/>
    <w:rsid w:val="00482971"/>
    <w:rsid w:val="00482C28"/>
    <w:rsid w:val="00482DDE"/>
    <w:rsid w:val="00482E2A"/>
    <w:rsid w:val="00483AEA"/>
    <w:rsid w:val="0048409E"/>
    <w:rsid w:val="00484396"/>
    <w:rsid w:val="0048463F"/>
    <w:rsid w:val="00484C9B"/>
    <w:rsid w:val="0048543D"/>
    <w:rsid w:val="00485625"/>
    <w:rsid w:val="00485C6F"/>
    <w:rsid w:val="004861E6"/>
    <w:rsid w:val="00486597"/>
    <w:rsid w:val="0048692B"/>
    <w:rsid w:val="0048692F"/>
    <w:rsid w:val="00486DF1"/>
    <w:rsid w:val="00487223"/>
    <w:rsid w:val="00487325"/>
    <w:rsid w:val="00487DB1"/>
    <w:rsid w:val="00487E66"/>
    <w:rsid w:val="004919C7"/>
    <w:rsid w:val="00492D6E"/>
    <w:rsid w:val="00494114"/>
    <w:rsid w:val="0049454D"/>
    <w:rsid w:val="00494A7D"/>
    <w:rsid w:val="00494D26"/>
    <w:rsid w:val="00495A6C"/>
    <w:rsid w:val="00496A59"/>
    <w:rsid w:val="00496CFB"/>
    <w:rsid w:val="00496DF2"/>
    <w:rsid w:val="00497560"/>
    <w:rsid w:val="00497673"/>
    <w:rsid w:val="004A0863"/>
    <w:rsid w:val="004A08E6"/>
    <w:rsid w:val="004A0DEB"/>
    <w:rsid w:val="004A0EBC"/>
    <w:rsid w:val="004A0FC9"/>
    <w:rsid w:val="004A120C"/>
    <w:rsid w:val="004A123B"/>
    <w:rsid w:val="004A125A"/>
    <w:rsid w:val="004A1370"/>
    <w:rsid w:val="004A15D2"/>
    <w:rsid w:val="004A1609"/>
    <w:rsid w:val="004A1A51"/>
    <w:rsid w:val="004A26FB"/>
    <w:rsid w:val="004A2BEE"/>
    <w:rsid w:val="004A2E0C"/>
    <w:rsid w:val="004A2EA0"/>
    <w:rsid w:val="004A3772"/>
    <w:rsid w:val="004A3BDA"/>
    <w:rsid w:val="004A41A6"/>
    <w:rsid w:val="004A427A"/>
    <w:rsid w:val="004A43E8"/>
    <w:rsid w:val="004A49A4"/>
    <w:rsid w:val="004A4ED7"/>
    <w:rsid w:val="004A5937"/>
    <w:rsid w:val="004A5C2D"/>
    <w:rsid w:val="004A5DB6"/>
    <w:rsid w:val="004A5E47"/>
    <w:rsid w:val="004A601A"/>
    <w:rsid w:val="004A67C2"/>
    <w:rsid w:val="004A6985"/>
    <w:rsid w:val="004A6A36"/>
    <w:rsid w:val="004A6B4E"/>
    <w:rsid w:val="004A750F"/>
    <w:rsid w:val="004A7546"/>
    <w:rsid w:val="004A77AE"/>
    <w:rsid w:val="004B03FA"/>
    <w:rsid w:val="004B0609"/>
    <w:rsid w:val="004B1808"/>
    <w:rsid w:val="004B1A34"/>
    <w:rsid w:val="004B2F80"/>
    <w:rsid w:val="004B34A7"/>
    <w:rsid w:val="004B39E8"/>
    <w:rsid w:val="004B3B82"/>
    <w:rsid w:val="004B40C8"/>
    <w:rsid w:val="004B46FC"/>
    <w:rsid w:val="004B49BB"/>
    <w:rsid w:val="004B4B07"/>
    <w:rsid w:val="004B5079"/>
    <w:rsid w:val="004B516E"/>
    <w:rsid w:val="004B5202"/>
    <w:rsid w:val="004B561E"/>
    <w:rsid w:val="004B5E8A"/>
    <w:rsid w:val="004B624A"/>
    <w:rsid w:val="004B69B7"/>
    <w:rsid w:val="004B6A30"/>
    <w:rsid w:val="004B6C19"/>
    <w:rsid w:val="004B727B"/>
    <w:rsid w:val="004B7828"/>
    <w:rsid w:val="004B7844"/>
    <w:rsid w:val="004B7E7B"/>
    <w:rsid w:val="004C0097"/>
    <w:rsid w:val="004C027C"/>
    <w:rsid w:val="004C0438"/>
    <w:rsid w:val="004C104E"/>
    <w:rsid w:val="004C10D7"/>
    <w:rsid w:val="004C16F9"/>
    <w:rsid w:val="004C1CCC"/>
    <w:rsid w:val="004C23D9"/>
    <w:rsid w:val="004C3A17"/>
    <w:rsid w:val="004C3D33"/>
    <w:rsid w:val="004C3E7F"/>
    <w:rsid w:val="004C467A"/>
    <w:rsid w:val="004C4AE9"/>
    <w:rsid w:val="004C4F6F"/>
    <w:rsid w:val="004C533C"/>
    <w:rsid w:val="004C5433"/>
    <w:rsid w:val="004C580D"/>
    <w:rsid w:val="004C5978"/>
    <w:rsid w:val="004C5DDD"/>
    <w:rsid w:val="004C77A9"/>
    <w:rsid w:val="004C7A57"/>
    <w:rsid w:val="004C7A7B"/>
    <w:rsid w:val="004C7E6D"/>
    <w:rsid w:val="004C7F96"/>
    <w:rsid w:val="004D0347"/>
    <w:rsid w:val="004D0407"/>
    <w:rsid w:val="004D08C5"/>
    <w:rsid w:val="004D0A03"/>
    <w:rsid w:val="004D0A2B"/>
    <w:rsid w:val="004D0BB1"/>
    <w:rsid w:val="004D12A2"/>
    <w:rsid w:val="004D19B6"/>
    <w:rsid w:val="004D1D3A"/>
    <w:rsid w:val="004D1EFF"/>
    <w:rsid w:val="004D202B"/>
    <w:rsid w:val="004D235E"/>
    <w:rsid w:val="004D266B"/>
    <w:rsid w:val="004D2E3E"/>
    <w:rsid w:val="004D2FC9"/>
    <w:rsid w:val="004D3521"/>
    <w:rsid w:val="004D39C1"/>
    <w:rsid w:val="004D3ACC"/>
    <w:rsid w:val="004D3CE6"/>
    <w:rsid w:val="004D4A62"/>
    <w:rsid w:val="004D4F32"/>
    <w:rsid w:val="004D5019"/>
    <w:rsid w:val="004D54C1"/>
    <w:rsid w:val="004D5540"/>
    <w:rsid w:val="004D555A"/>
    <w:rsid w:val="004D6072"/>
    <w:rsid w:val="004D6D64"/>
    <w:rsid w:val="004D7723"/>
    <w:rsid w:val="004D7763"/>
    <w:rsid w:val="004D79FA"/>
    <w:rsid w:val="004D7ECE"/>
    <w:rsid w:val="004E0052"/>
    <w:rsid w:val="004E0073"/>
    <w:rsid w:val="004E011D"/>
    <w:rsid w:val="004E0313"/>
    <w:rsid w:val="004E0CD0"/>
    <w:rsid w:val="004E1E22"/>
    <w:rsid w:val="004E2604"/>
    <w:rsid w:val="004E2749"/>
    <w:rsid w:val="004E2A06"/>
    <w:rsid w:val="004E2BCD"/>
    <w:rsid w:val="004E2C98"/>
    <w:rsid w:val="004E2DD1"/>
    <w:rsid w:val="004E316C"/>
    <w:rsid w:val="004E3571"/>
    <w:rsid w:val="004E3DD6"/>
    <w:rsid w:val="004E3E6D"/>
    <w:rsid w:val="004E426D"/>
    <w:rsid w:val="004E43B1"/>
    <w:rsid w:val="004E4A17"/>
    <w:rsid w:val="004E4B5C"/>
    <w:rsid w:val="004E4EC8"/>
    <w:rsid w:val="004E508C"/>
    <w:rsid w:val="004E5C93"/>
    <w:rsid w:val="004E5D79"/>
    <w:rsid w:val="004E60BA"/>
    <w:rsid w:val="004E61D5"/>
    <w:rsid w:val="004E64AE"/>
    <w:rsid w:val="004E6D6B"/>
    <w:rsid w:val="004E6EF1"/>
    <w:rsid w:val="004E7113"/>
    <w:rsid w:val="004E7969"/>
    <w:rsid w:val="004E79CF"/>
    <w:rsid w:val="004E7ABA"/>
    <w:rsid w:val="004E7B65"/>
    <w:rsid w:val="004E7CDA"/>
    <w:rsid w:val="004F00C7"/>
    <w:rsid w:val="004F03CD"/>
    <w:rsid w:val="004F09B7"/>
    <w:rsid w:val="004F0ED9"/>
    <w:rsid w:val="004F0FC7"/>
    <w:rsid w:val="004F1305"/>
    <w:rsid w:val="004F23D5"/>
    <w:rsid w:val="004F3232"/>
    <w:rsid w:val="004F3259"/>
    <w:rsid w:val="004F3547"/>
    <w:rsid w:val="004F3DEC"/>
    <w:rsid w:val="004F4443"/>
    <w:rsid w:val="004F4AFD"/>
    <w:rsid w:val="004F4F2C"/>
    <w:rsid w:val="004F518E"/>
    <w:rsid w:val="004F52B3"/>
    <w:rsid w:val="004F543B"/>
    <w:rsid w:val="004F57A3"/>
    <w:rsid w:val="004F57FA"/>
    <w:rsid w:val="004F66E4"/>
    <w:rsid w:val="004F68D7"/>
    <w:rsid w:val="004F6932"/>
    <w:rsid w:val="004F6AF6"/>
    <w:rsid w:val="00500449"/>
    <w:rsid w:val="00500A63"/>
    <w:rsid w:val="00500D65"/>
    <w:rsid w:val="0050147F"/>
    <w:rsid w:val="0050188B"/>
    <w:rsid w:val="005018EE"/>
    <w:rsid w:val="00501923"/>
    <w:rsid w:val="00501E2A"/>
    <w:rsid w:val="00502714"/>
    <w:rsid w:val="00502C9A"/>
    <w:rsid w:val="00502DA7"/>
    <w:rsid w:val="005046D9"/>
    <w:rsid w:val="00505926"/>
    <w:rsid w:val="00505959"/>
    <w:rsid w:val="0050598E"/>
    <w:rsid w:val="00505A1D"/>
    <w:rsid w:val="00505D87"/>
    <w:rsid w:val="00506643"/>
    <w:rsid w:val="005066B7"/>
    <w:rsid w:val="00506B25"/>
    <w:rsid w:val="00506B4F"/>
    <w:rsid w:val="00506D14"/>
    <w:rsid w:val="005071A1"/>
    <w:rsid w:val="005074A6"/>
    <w:rsid w:val="00507B38"/>
    <w:rsid w:val="00507E60"/>
    <w:rsid w:val="00510681"/>
    <w:rsid w:val="00510704"/>
    <w:rsid w:val="00510AAF"/>
    <w:rsid w:val="00510B1D"/>
    <w:rsid w:val="00510D87"/>
    <w:rsid w:val="0051183C"/>
    <w:rsid w:val="00511F0B"/>
    <w:rsid w:val="00512C85"/>
    <w:rsid w:val="005136C4"/>
    <w:rsid w:val="00513D3E"/>
    <w:rsid w:val="00513F49"/>
    <w:rsid w:val="00514268"/>
    <w:rsid w:val="0051434B"/>
    <w:rsid w:val="005144F7"/>
    <w:rsid w:val="005147DE"/>
    <w:rsid w:val="00514B8C"/>
    <w:rsid w:val="00514E1A"/>
    <w:rsid w:val="005158B6"/>
    <w:rsid w:val="00515A07"/>
    <w:rsid w:val="00515A24"/>
    <w:rsid w:val="00515B87"/>
    <w:rsid w:val="00515F8D"/>
    <w:rsid w:val="00516168"/>
    <w:rsid w:val="005165A7"/>
    <w:rsid w:val="005165E3"/>
    <w:rsid w:val="0051683C"/>
    <w:rsid w:val="005178FA"/>
    <w:rsid w:val="00517AF9"/>
    <w:rsid w:val="005203ED"/>
    <w:rsid w:val="005205C7"/>
    <w:rsid w:val="005216A1"/>
    <w:rsid w:val="00521D17"/>
    <w:rsid w:val="00521FFE"/>
    <w:rsid w:val="005223F9"/>
    <w:rsid w:val="005227E4"/>
    <w:rsid w:val="00522BEB"/>
    <w:rsid w:val="00523626"/>
    <w:rsid w:val="00523858"/>
    <w:rsid w:val="005239BF"/>
    <w:rsid w:val="00523C73"/>
    <w:rsid w:val="00523E37"/>
    <w:rsid w:val="0052457D"/>
    <w:rsid w:val="00524C58"/>
    <w:rsid w:val="00524E81"/>
    <w:rsid w:val="005250E8"/>
    <w:rsid w:val="005254F1"/>
    <w:rsid w:val="00525663"/>
    <w:rsid w:val="005256D7"/>
    <w:rsid w:val="005256E6"/>
    <w:rsid w:val="005257A1"/>
    <w:rsid w:val="005258BE"/>
    <w:rsid w:val="0052594F"/>
    <w:rsid w:val="0052641E"/>
    <w:rsid w:val="00526BA3"/>
    <w:rsid w:val="00526E14"/>
    <w:rsid w:val="005272FB"/>
    <w:rsid w:val="00527663"/>
    <w:rsid w:val="005276CD"/>
    <w:rsid w:val="00527870"/>
    <w:rsid w:val="00527A36"/>
    <w:rsid w:val="00527B94"/>
    <w:rsid w:val="005305B9"/>
    <w:rsid w:val="00530CD7"/>
    <w:rsid w:val="005310C4"/>
    <w:rsid w:val="0053151A"/>
    <w:rsid w:val="00531BD4"/>
    <w:rsid w:val="00531CE0"/>
    <w:rsid w:val="005320AA"/>
    <w:rsid w:val="005322EB"/>
    <w:rsid w:val="0053265E"/>
    <w:rsid w:val="005326EE"/>
    <w:rsid w:val="005333B9"/>
    <w:rsid w:val="00533601"/>
    <w:rsid w:val="005338C9"/>
    <w:rsid w:val="0053399F"/>
    <w:rsid w:val="00534FBF"/>
    <w:rsid w:val="005351FE"/>
    <w:rsid w:val="00536745"/>
    <w:rsid w:val="005369CC"/>
    <w:rsid w:val="00536C3A"/>
    <w:rsid w:val="0053743F"/>
    <w:rsid w:val="0053758A"/>
    <w:rsid w:val="00537A28"/>
    <w:rsid w:val="00537F59"/>
    <w:rsid w:val="00540EC2"/>
    <w:rsid w:val="00541104"/>
    <w:rsid w:val="00541145"/>
    <w:rsid w:val="00541D30"/>
    <w:rsid w:val="00541F0C"/>
    <w:rsid w:val="0054286C"/>
    <w:rsid w:val="00543112"/>
    <w:rsid w:val="00543510"/>
    <w:rsid w:val="0054381B"/>
    <w:rsid w:val="00543BD3"/>
    <w:rsid w:val="00543CDC"/>
    <w:rsid w:val="00545D15"/>
    <w:rsid w:val="00546259"/>
    <w:rsid w:val="00547022"/>
    <w:rsid w:val="00547273"/>
    <w:rsid w:val="0054742D"/>
    <w:rsid w:val="00547E76"/>
    <w:rsid w:val="005502B1"/>
    <w:rsid w:val="00550674"/>
    <w:rsid w:val="00550B10"/>
    <w:rsid w:val="005517ED"/>
    <w:rsid w:val="00551A92"/>
    <w:rsid w:val="00552211"/>
    <w:rsid w:val="00552EEA"/>
    <w:rsid w:val="00552FA5"/>
    <w:rsid w:val="00553AF8"/>
    <w:rsid w:val="00553E61"/>
    <w:rsid w:val="00554478"/>
    <w:rsid w:val="00554804"/>
    <w:rsid w:val="00554CAF"/>
    <w:rsid w:val="00554ED3"/>
    <w:rsid w:val="00555012"/>
    <w:rsid w:val="00555958"/>
    <w:rsid w:val="00555B4B"/>
    <w:rsid w:val="00555C5A"/>
    <w:rsid w:val="00556302"/>
    <w:rsid w:val="0055657E"/>
    <w:rsid w:val="00556974"/>
    <w:rsid w:val="00556F49"/>
    <w:rsid w:val="0055706F"/>
    <w:rsid w:val="005576AE"/>
    <w:rsid w:val="00557B1C"/>
    <w:rsid w:val="00557DDE"/>
    <w:rsid w:val="00557F8D"/>
    <w:rsid w:val="00560479"/>
    <w:rsid w:val="005604E9"/>
    <w:rsid w:val="005605DC"/>
    <w:rsid w:val="00560BED"/>
    <w:rsid w:val="00561873"/>
    <w:rsid w:val="00561B25"/>
    <w:rsid w:val="00561C6E"/>
    <w:rsid w:val="005621E8"/>
    <w:rsid w:val="00562648"/>
    <w:rsid w:val="005629EE"/>
    <w:rsid w:val="00562BC3"/>
    <w:rsid w:val="00562D2F"/>
    <w:rsid w:val="00563B2C"/>
    <w:rsid w:val="00564564"/>
    <w:rsid w:val="005645B3"/>
    <w:rsid w:val="005648B2"/>
    <w:rsid w:val="00564FFB"/>
    <w:rsid w:val="00565657"/>
    <w:rsid w:val="005659DD"/>
    <w:rsid w:val="00565C4C"/>
    <w:rsid w:val="0056617D"/>
    <w:rsid w:val="00566A43"/>
    <w:rsid w:val="00566C27"/>
    <w:rsid w:val="00567EA2"/>
    <w:rsid w:val="0057075D"/>
    <w:rsid w:val="005707D1"/>
    <w:rsid w:val="0057090E"/>
    <w:rsid w:val="0057149F"/>
    <w:rsid w:val="00571589"/>
    <w:rsid w:val="005716BF"/>
    <w:rsid w:val="00571775"/>
    <w:rsid w:val="005719FA"/>
    <w:rsid w:val="00571EBE"/>
    <w:rsid w:val="00572D5C"/>
    <w:rsid w:val="00572EC4"/>
    <w:rsid w:val="00573084"/>
    <w:rsid w:val="00573717"/>
    <w:rsid w:val="00574DA2"/>
    <w:rsid w:val="0057563F"/>
    <w:rsid w:val="005765DE"/>
    <w:rsid w:val="00576921"/>
    <w:rsid w:val="00576C29"/>
    <w:rsid w:val="00576C97"/>
    <w:rsid w:val="00576DE1"/>
    <w:rsid w:val="0057721F"/>
    <w:rsid w:val="00577FCF"/>
    <w:rsid w:val="00580A8A"/>
    <w:rsid w:val="00580B92"/>
    <w:rsid w:val="00580BE8"/>
    <w:rsid w:val="00581A11"/>
    <w:rsid w:val="00581FB6"/>
    <w:rsid w:val="0058225B"/>
    <w:rsid w:val="005823BC"/>
    <w:rsid w:val="00582AEF"/>
    <w:rsid w:val="00582C37"/>
    <w:rsid w:val="005830F7"/>
    <w:rsid w:val="0058393D"/>
    <w:rsid w:val="005846F7"/>
    <w:rsid w:val="005848CF"/>
    <w:rsid w:val="00584951"/>
    <w:rsid w:val="00584C45"/>
    <w:rsid w:val="005853E2"/>
    <w:rsid w:val="0058574F"/>
    <w:rsid w:val="005857AC"/>
    <w:rsid w:val="0058703E"/>
    <w:rsid w:val="00587082"/>
    <w:rsid w:val="005870FB"/>
    <w:rsid w:val="0058735A"/>
    <w:rsid w:val="0058770E"/>
    <w:rsid w:val="005879E5"/>
    <w:rsid w:val="00590EBE"/>
    <w:rsid w:val="005913C2"/>
    <w:rsid w:val="0059239E"/>
    <w:rsid w:val="0059278A"/>
    <w:rsid w:val="00592F46"/>
    <w:rsid w:val="005931BC"/>
    <w:rsid w:val="005934F7"/>
    <w:rsid w:val="00593A79"/>
    <w:rsid w:val="00593B2E"/>
    <w:rsid w:val="0059437D"/>
    <w:rsid w:val="00594700"/>
    <w:rsid w:val="0059514D"/>
    <w:rsid w:val="00595616"/>
    <w:rsid w:val="00595C4F"/>
    <w:rsid w:val="00596789"/>
    <w:rsid w:val="00597C4C"/>
    <w:rsid w:val="00597FE1"/>
    <w:rsid w:val="005A0370"/>
    <w:rsid w:val="005A084A"/>
    <w:rsid w:val="005A093A"/>
    <w:rsid w:val="005A0B57"/>
    <w:rsid w:val="005A10AD"/>
    <w:rsid w:val="005A1D7E"/>
    <w:rsid w:val="005A1E33"/>
    <w:rsid w:val="005A1F30"/>
    <w:rsid w:val="005A20D8"/>
    <w:rsid w:val="005A2394"/>
    <w:rsid w:val="005A2E38"/>
    <w:rsid w:val="005A349F"/>
    <w:rsid w:val="005A37F6"/>
    <w:rsid w:val="005A39F8"/>
    <w:rsid w:val="005A3DA8"/>
    <w:rsid w:val="005A40D5"/>
    <w:rsid w:val="005A4FDD"/>
    <w:rsid w:val="005A50E2"/>
    <w:rsid w:val="005A535B"/>
    <w:rsid w:val="005A547E"/>
    <w:rsid w:val="005A5CDF"/>
    <w:rsid w:val="005A5CFB"/>
    <w:rsid w:val="005A63E4"/>
    <w:rsid w:val="005A658E"/>
    <w:rsid w:val="005A708A"/>
    <w:rsid w:val="005A754B"/>
    <w:rsid w:val="005A7838"/>
    <w:rsid w:val="005A7846"/>
    <w:rsid w:val="005A7B11"/>
    <w:rsid w:val="005A7CC3"/>
    <w:rsid w:val="005A7D19"/>
    <w:rsid w:val="005B099E"/>
    <w:rsid w:val="005B116A"/>
    <w:rsid w:val="005B1567"/>
    <w:rsid w:val="005B1C3C"/>
    <w:rsid w:val="005B21ED"/>
    <w:rsid w:val="005B264C"/>
    <w:rsid w:val="005B2C1D"/>
    <w:rsid w:val="005B2E23"/>
    <w:rsid w:val="005B2FE7"/>
    <w:rsid w:val="005B3996"/>
    <w:rsid w:val="005B3F3D"/>
    <w:rsid w:val="005B46D2"/>
    <w:rsid w:val="005B4E27"/>
    <w:rsid w:val="005B62B0"/>
    <w:rsid w:val="005B6914"/>
    <w:rsid w:val="005B6BB6"/>
    <w:rsid w:val="005B6BFE"/>
    <w:rsid w:val="005B6DF5"/>
    <w:rsid w:val="005B7241"/>
    <w:rsid w:val="005B73ED"/>
    <w:rsid w:val="005B757C"/>
    <w:rsid w:val="005B7AB4"/>
    <w:rsid w:val="005B7E15"/>
    <w:rsid w:val="005C1055"/>
    <w:rsid w:val="005C13E8"/>
    <w:rsid w:val="005C1817"/>
    <w:rsid w:val="005C1D00"/>
    <w:rsid w:val="005C2192"/>
    <w:rsid w:val="005C22DC"/>
    <w:rsid w:val="005C264E"/>
    <w:rsid w:val="005C27F4"/>
    <w:rsid w:val="005C2B16"/>
    <w:rsid w:val="005C2D72"/>
    <w:rsid w:val="005C2FEA"/>
    <w:rsid w:val="005C3578"/>
    <w:rsid w:val="005C3965"/>
    <w:rsid w:val="005C3982"/>
    <w:rsid w:val="005C43B1"/>
    <w:rsid w:val="005C47A7"/>
    <w:rsid w:val="005C4EC9"/>
    <w:rsid w:val="005C4FD2"/>
    <w:rsid w:val="005C5916"/>
    <w:rsid w:val="005C59D0"/>
    <w:rsid w:val="005C5F11"/>
    <w:rsid w:val="005C6038"/>
    <w:rsid w:val="005C655E"/>
    <w:rsid w:val="005C712E"/>
    <w:rsid w:val="005C7366"/>
    <w:rsid w:val="005D02E5"/>
    <w:rsid w:val="005D07EB"/>
    <w:rsid w:val="005D07EE"/>
    <w:rsid w:val="005D0949"/>
    <w:rsid w:val="005D09CC"/>
    <w:rsid w:val="005D0E6E"/>
    <w:rsid w:val="005D1BDC"/>
    <w:rsid w:val="005D1C50"/>
    <w:rsid w:val="005D1DA7"/>
    <w:rsid w:val="005D277B"/>
    <w:rsid w:val="005D2882"/>
    <w:rsid w:val="005D2E4B"/>
    <w:rsid w:val="005D2FB3"/>
    <w:rsid w:val="005D359F"/>
    <w:rsid w:val="005D3C32"/>
    <w:rsid w:val="005D4288"/>
    <w:rsid w:val="005D4565"/>
    <w:rsid w:val="005D45C9"/>
    <w:rsid w:val="005D573E"/>
    <w:rsid w:val="005D5F44"/>
    <w:rsid w:val="005D618C"/>
    <w:rsid w:val="005D6AE6"/>
    <w:rsid w:val="005D6E5E"/>
    <w:rsid w:val="005D79C3"/>
    <w:rsid w:val="005D7B9B"/>
    <w:rsid w:val="005D7D3B"/>
    <w:rsid w:val="005E0C3C"/>
    <w:rsid w:val="005E0DB0"/>
    <w:rsid w:val="005E159F"/>
    <w:rsid w:val="005E229F"/>
    <w:rsid w:val="005E22F0"/>
    <w:rsid w:val="005E23B6"/>
    <w:rsid w:val="005E2A89"/>
    <w:rsid w:val="005E33D8"/>
    <w:rsid w:val="005E3467"/>
    <w:rsid w:val="005E378E"/>
    <w:rsid w:val="005E4330"/>
    <w:rsid w:val="005E4402"/>
    <w:rsid w:val="005E4898"/>
    <w:rsid w:val="005E4960"/>
    <w:rsid w:val="005E4999"/>
    <w:rsid w:val="005E5695"/>
    <w:rsid w:val="005E5948"/>
    <w:rsid w:val="005E6427"/>
    <w:rsid w:val="005E6DDE"/>
    <w:rsid w:val="005E70FE"/>
    <w:rsid w:val="005E78DA"/>
    <w:rsid w:val="005E7D64"/>
    <w:rsid w:val="005E7DD4"/>
    <w:rsid w:val="005F004B"/>
    <w:rsid w:val="005F0806"/>
    <w:rsid w:val="005F080C"/>
    <w:rsid w:val="005F0DB4"/>
    <w:rsid w:val="005F0EB9"/>
    <w:rsid w:val="005F12E6"/>
    <w:rsid w:val="005F2276"/>
    <w:rsid w:val="005F2718"/>
    <w:rsid w:val="005F2743"/>
    <w:rsid w:val="005F2E29"/>
    <w:rsid w:val="005F3020"/>
    <w:rsid w:val="005F311A"/>
    <w:rsid w:val="005F3287"/>
    <w:rsid w:val="005F4091"/>
    <w:rsid w:val="005F4170"/>
    <w:rsid w:val="005F4682"/>
    <w:rsid w:val="005F51E6"/>
    <w:rsid w:val="005F5E97"/>
    <w:rsid w:val="005F619E"/>
    <w:rsid w:val="005F738F"/>
    <w:rsid w:val="005F73D0"/>
    <w:rsid w:val="005F7B96"/>
    <w:rsid w:val="005F7C74"/>
    <w:rsid w:val="005F7DEB"/>
    <w:rsid w:val="00601226"/>
    <w:rsid w:val="006017A8"/>
    <w:rsid w:val="00601A68"/>
    <w:rsid w:val="00601D66"/>
    <w:rsid w:val="006029A9"/>
    <w:rsid w:val="006029BF"/>
    <w:rsid w:val="006034B4"/>
    <w:rsid w:val="00603596"/>
    <w:rsid w:val="00603F43"/>
    <w:rsid w:val="00604565"/>
    <w:rsid w:val="0060484B"/>
    <w:rsid w:val="00604960"/>
    <w:rsid w:val="00605235"/>
    <w:rsid w:val="0060569C"/>
    <w:rsid w:val="00605960"/>
    <w:rsid w:val="00606129"/>
    <w:rsid w:val="0060677C"/>
    <w:rsid w:val="006069E0"/>
    <w:rsid w:val="00606C1A"/>
    <w:rsid w:val="006074AA"/>
    <w:rsid w:val="006075D5"/>
    <w:rsid w:val="00607F7F"/>
    <w:rsid w:val="00610174"/>
    <w:rsid w:val="00610370"/>
    <w:rsid w:val="006103D5"/>
    <w:rsid w:val="00610710"/>
    <w:rsid w:val="00610D59"/>
    <w:rsid w:val="00610FDE"/>
    <w:rsid w:val="0061140C"/>
    <w:rsid w:val="00611448"/>
    <w:rsid w:val="006118FD"/>
    <w:rsid w:val="00611DD9"/>
    <w:rsid w:val="00612378"/>
    <w:rsid w:val="00612A11"/>
    <w:rsid w:val="00612B94"/>
    <w:rsid w:val="00612DC1"/>
    <w:rsid w:val="00613505"/>
    <w:rsid w:val="00613926"/>
    <w:rsid w:val="00613A9D"/>
    <w:rsid w:val="00613E87"/>
    <w:rsid w:val="006142C6"/>
    <w:rsid w:val="00614A80"/>
    <w:rsid w:val="00615301"/>
    <w:rsid w:val="0061545D"/>
    <w:rsid w:val="00615E0B"/>
    <w:rsid w:val="00616911"/>
    <w:rsid w:val="00616AB9"/>
    <w:rsid w:val="00616AFF"/>
    <w:rsid w:val="00616B80"/>
    <w:rsid w:val="006172B6"/>
    <w:rsid w:val="00617386"/>
    <w:rsid w:val="0061741B"/>
    <w:rsid w:val="00620394"/>
    <w:rsid w:val="006203CB"/>
    <w:rsid w:val="00620C95"/>
    <w:rsid w:val="00620D6B"/>
    <w:rsid w:val="00620F6C"/>
    <w:rsid w:val="00620FAD"/>
    <w:rsid w:val="006213DB"/>
    <w:rsid w:val="00621732"/>
    <w:rsid w:val="00621738"/>
    <w:rsid w:val="00621EEC"/>
    <w:rsid w:val="0062289B"/>
    <w:rsid w:val="00622B8C"/>
    <w:rsid w:val="00623143"/>
    <w:rsid w:val="006248DF"/>
    <w:rsid w:val="00624D99"/>
    <w:rsid w:val="00624FCA"/>
    <w:rsid w:val="006251BB"/>
    <w:rsid w:val="0062527A"/>
    <w:rsid w:val="006252C4"/>
    <w:rsid w:val="006253B5"/>
    <w:rsid w:val="006253EB"/>
    <w:rsid w:val="00625851"/>
    <w:rsid w:val="00625994"/>
    <w:rsid w:val="00626757"/>
    <w:rsid w:val="00626775"/>
    <w:rsid w:val="00626CA6"/>
    <w:rsid w:val="00626CD2"/>
    <w:rsid w:val="00626D29"/>
    <w:rsid w:val="00626F51"/>
    <w:rsid w:val="00627159"/>
    <w:rsid w:val="00627185"/>
    <w:rsid w:val="006273B7"/>
    <w:rsid w:val="006275AE"/>
    <w:rsid w:val="00627A51"/>
    <w:rsid w:val="00630793"/>
    <w:rsid w:val="00630E37"/>
    <w:rsid w:val="0063111C"/>
    <w:rsid w:val="00631386"/>
    <w:rsid w:val="006318DC"/>
    <w:rsid w:val="0063192E"/>
    <w:rsid w:val="00631C0A"/>
    <w:rsid w:val="00632735"/>
    <w:rsid w:val="006328DF"/>
    <w:rsid w:val="0063359F"/>
    <w:rsid w:val="006335E1"/>
    <w:rsid w:val="006335FF"/>
    <w:rsid w:val="00633ABF"/>
    <w:rsid w:val="00633B67"/>
    <w:rsid w:val="0063435A"/>
    <w:rsid w:val="006357CC"/>
    <w:rsid w:val="00635BA0"/>
    <w:rsid w:val="00636218"/>
    <w:rsid w:val="00637985"/>
    <w:rsid w:val="00637A5E"/>
    <w:rsid w:val="00637B24"/>
    <w:rsid w:val="00637DB0"/>
    <w:rsid w:val="0064044A"/>
    <w:rsid w:val="006404D1"/>
    <w:rsid w:val="006405D8"/>
    <w:rsid w:val="00640640"/>
    <w:rsid w:val="00640833"/>
    <w:rsid w:val="00640A7D"/>
    <w:rsid w:val="00640BEC"/>
    <w:rsid w:val="00641EDB"/>
    <w:rsid w:val="00642003"/>
    <w:rsid w:val="00642774"/>
    <w:rsid w:val="0064299A"/>
    <w:rsid w:val="00642A41"/>
    <w:rsid w:val="0064302E"/>
    <w:rsid w:val="006431CD"/>
    <w:rsid w:val="00643482"/>
    <w:rsid w:val="00643E26"/>
    <w:rsid w:val="006448C5"/>
    <w:rsid w:val="00644C3C"/>
    <w:rsid w:val="00645083"/>
    <w:rsid w:val="00645676"/>
    <w:rsid w:val="00645A1D"/>
    <w:rsid w:val="00645DCF"/>
    <w:rsid w:val="006461E6"/>
    <w:rsid w:val="0064679C"/>
    <w:rsid w:val="00646BF7"/>
    <w:rsid w:val="006471B7"/>
    <w:rsid w:val="006479F0"/>
    <w:rsid w:val="006503E2"/>
    <w:rsid w:val="00651481"/>
    <w:rsid w:val="006516B5"/>
    <w:rsid w:val="006516D0"/>
    <w:rsid w:val="00651905"/>
    <w:rsid w:val="00652062"/>
    <w:rsid w:val="0065245E"/>
    <w:rsid w:val="0065273D"/>
    <w:rsid w:val="0065308A"/>
    <w:rsid w:val="00653BC6"/>
    <w:rsid w:val="00654019"/>
    <w:rsid w:val="00654972"/>
    <w:rsid w:val="00654A6E"/>
    <w:rsid w:val="00654B7A"/>
    <w:rsid w:val="00654CA2"/>
    <w:rsid w:val="00654D45"/>
    <w:rsid w:val="00654F8B"/>
    <w:rsid w:val="0065519F"/>
    <w:rsid w:val="006556BE"/>
    <w:rsid w:val="006558C4"/>
    <w:rsid w:val="00655963"/>
    <w:rsid w:val="00656031"/>
    <w:rsid w:val="00656236"/>
    <w:rsid w:val="0065645D"/>
    <w:rsid w:val="00656B9B"/>
    <w:rsid w:val="00656CE0"/>
    <w:rsid w:val="00656F45"/>
    <w:rsid w:val="0065715A"/>
    <w:rsid w:val="006577DA"/>
    <w:rsid w:val="00657A86"/>
    <w:rsid w:val="00657C31"/>
    <w:rsid w:val="00657F1C"/>
    <w:rsid w:val="0066016B"/>
    <w:rsid w:val="0066024C"/>
    <w:rsid w:val="00660DDE"/>
    <w:rsid w:val="0066137E"/>
    <w:rsid w:val="0066177E"/>
    <w:rsid w:val="00661E04"/>
    <w:rsid w:val="00662812"/>
    <w:rsid w:val="00662A2C"/>
    <w:rsid w:val="00662E34"/>
    <w:rsid w:val="006631DF"/>
    <w:rsid w:val="00663B4A"/>
    <w:rsid w:val="00663CFC"/>
    <w:rsid w:val="00663FC1"/>
    <w:rsid w:val="00664138"/>
    <w:rsid w:val="0066470C"/>
    <w:rsid w:val="00664721"/>
    <w:rsid w:val="006649F3"/>
    <w:rsid w:val="00664B9D"/>
    <w:rsid w:val="00665711"/>
    <w:rsid w:val="006663A2"/>
    <w:rsid w:val="006669B5"/>
    <w:rsid w:val="006669EA"/>
    <w:rsid w:val="0067012E"/>
    <w:rsid w:val="00670A21"/>
    <w:rsid w:val="00670B2B"/>
    <w:rsid w:val="0067188D"/>
    <w:rsid w:val="00671B12"/>
    <w:rsid w:val="00671D34"/>
    <w:rsid w:val="00672232"/>
    <w:rsid w:val="0067335A"/>
    <w:rsid w:val="00673BD4"/>
    <w:rsid w:val="00673CB7"/>
    <w:rsid w:val="006740C6"/>
    <w:rsid w:val="0067444B"/>
    <w:rsid w:val="006744FD"/>
    <w:rsid w:val="0067483F"/>
    <w:rsid w:val="0067510F"/>
    <w:rsid w:val="006756F1"/>
    <w:rsid w:val="0067585F"/>
    <w:rsid w:val="00675D35"/>
    <w:rsid w:val="00676495"/>
    <w:rsid w:val="00676AD3"/>
    <w:rsid w:val="00676CDC"/>
    <w:rsid w:val="00676E4C"/>
    <w:rsid w:val="00677161"/>
    <w:rsid w:val="006776FD"/>
    <w:rsid w:val="006778E8"/>
    <w:rsid w:val="00677D74"/>
    <w:rsid w:val="00677E43"/>
    <w:rsid w:val="00677F2D"/>
    <w:rsid w:val="00680007"/>
    <w:rsid w:val="006809A8"/>
    <w:rsid w:val="00680A6F"/>
    <w:rsid w:val="00681035"/>
    <w:rsid w:val="00681565"/>
    <w:rsid w:val="0068160A"/>
    <w:rsid w:val="0068169D"/>
    <w:rsid w:val="0068190E"/>
    <w:rsid w:val="00681B49"/>
    <w:rsid w:val="00681BC9"/>
    <w:rsid w:val="00681DBB"/>
    <w:rsid w:val="00681F87"/>
    <w:rsid w:val="0068261E"/>
    <w:rsid w:val="00682B70"/>
    <w:rsid w:val="00682C92"/>
    <w:rsid w:val="006830B7"/>
    <w:rsid w:val="00683FAA"/>
    <w:rsid w:val="0068427C"/>
    <w:rsid w:val="006844BD"/>
    <w:rsid w:val="0068491E"/>
    <w:rsid w:val="00685177"/>
    <w:rsid w:val="0068581E"/>
    <w:rsid w:val="00685B92"/>
    <w:rsid w:val="00685FEF"/>
    <w:rsid w:val="00686160"/>
    <w:rsid w:val="00686511"/>
    <w:rsid w:val="00686520"/>
    <w:rsid w:val="00686C60"/>
    <w:rsid w:val="0068764B"/>
    <w:rsid w:val="006903CA"/>
    <w:rsid w:val="00690723"/>
    <w:rsid w:val="00690745"/>
    <w:rsid w:val="00690ED6"/>
    <w:rsid w:val="006911FD"/>
    <w:rsid w:val="0069166A"/>
    <w:rsid w:val="006919E9"/>
    <w:rsid w:val="00691ADA"/>
    <w:rsid w:val="00691DC4"/>
    <w:rsid w:val="00693054"/>
    <w:rsid w:val="006930D7"/>
    <w:rsid w:val="006931B7"/>
    <w:rsid w:val="006934B9"/>
    <w:rsid w:val="00693A16"/>
    <w:rsid w:val="00693D8F"/>
    <w:rsid w:val="00693F6C"/>
    <w:rsid w:val="00694625"/>
    <w:rsid w:val="00694B6B"/>
    <w:rsid w:val="00694BB7"/>
    <w:rsid w:val="00694C9D"/>
    <w:rsid w:val="00694FFE"/>
    <w:rsid w:val="0069524C"/>
    <w:rsid w:val="00695537"/>
    <w:rsid w:val="00695610"/>
    <w:rsid w:val="00695F83"/>
    <w:rsid w:val="00696296"/>
    <w:rsid w:val="006963F2"/>
    <w:rsid w:val="00696BF5"/>
    <w:rsid w:val="006971E0"/>
    <w:rsid w:val="0069742F"/>
    <w:rsid w:val="006A05A9"/>
    <w:rsid w:val="006A1AA9"/>
    <w:rsid w:val="006A1B18"/>
    <w:rsid w:val="006A2214"/>
    <w:rsid w:val="006A277C"/>
    <w:rsid w:val="006A2A9C"/>
    <w:rsid w:val="006A32EB"/>
    <w:rsid w:val="006A3ACE"/>
    <w:rsid w:val="006A3D6F"/>
    <w:rsid w:val="006A3EF8"/>
    <w:rsid w:val="006A4130"/>
    <w:rsid w:val="006A4417"/>
    <w:rsid w:val="006A564A"/>
    <w:rsid w:val="006A5DE6"/>
    <w:rsid w:val="006A6A0F"/>
    <w:rsid w:val="006A6A5C"/>
    <w:rsid w:val="006A6A8C"/>
    <w:rsid w:val="006A6BC1"/>
    <w:rsid w:val="006A6FAF"/>
    <w:rsid w:val="006A70F5"/>
    <w:rsid w:val="006A7297"/>
    <w:rsid w:val="006A768D"/>
    <w:rsid w:val="006A790B"/>
    <w:rsid w:val="006A7B21"/>
    <w:rsid w:val="006A7BE3"/>
    <w:rsid w:val="006A7C51"/>
    <w:rsid w:val="006B0B93"/>
    <w:rsid w:val="006B0BC7"/>
    <w:rsid w:val="006B127D"/>
    <w:rsid w:val="006B14F6"/>
    <w:rsid w:val="006B1654"/>
    <w:rsid w:val="006B184B"/>
    <w:rsid w:val="006B2FF5"/>
    <w:rsid w:val="006B33CB"/>
    <w:rsid w:val="006B3CB6"/>
    <w:rsid w:val="006B43EB"/>
    <w:rsid w:val="006B50F7"/>
    <w:rsid w:val="006B5147"/>
    <w:rsid w:val="006B5635"/>
    <w:rsid w:val="006B58C0"/>
    <w:rsid w:val="006B5A4D"/>
    <w:rsid w:val="006B6B13"/>
    <w:rsid w:val="006B6E6A"/>
    <w:rsid w:val="006B73A2"/>
    <w:rsid w:val="006C001C"/>
    <w:rsid w:val="006C0127"/>
    <w:rsid w:val="006C1421"/>
    <w:rsid w:val="006C15B9"/>
    <w:rsid w:val="006C15C4"/>
    <w:rsid w:val="006C201A"/>
    <w:rsid w:val="006C211E"/>
    <w:rsid w:val="006C221D"/>
    <w:rsid w:val="006C2531"/>
    <w:rsid w:val="006C28DD"/>
    <w:rsid w:val="006C2AFD"/>
    <w:rsid w:val="006C4419"/>
    <w:rsid w:val="006C468C"/>
    <w:rsid w:val="006C4D75"/>
    <w:rsid w:val="006C4E7A"/>
    <w:rsid w:val="006C5267"/>
    <w:rsid w:val="006C533A"/>
    <w:rsid w:val="006C549A"/>
    <w:rsid w:val="006C5638"/>
    <w:rsid w:val="006C5C5E"/>
    <w:rsid w:val="006C5F5F"/>
    <w:rsid w:val="006C61E4"/>
    <w:rsid w:val="006C6598"/>
    <w:rsid w:val="006C6951"/>
    <w:rsid w:val="006D06DF"/>
    <w:rsid w:val="006D0923"/>
    <w:rsid w:val="006D0AE7"/>
    <w:rsid w:val="006D139D"/>
    <w:rsid w:val="006D13A3"/>
    <w:rsid w:val="006D223D"/>
    <w:rsid w:val="006D23EE"/>
    <w:rsid w:val="006D24EE"/>
    <w:rsid w:val="006D2598"/>
    <w:rsid w:val="006D285D"/>
    <w:rsid w:val="006D2C57"/>
    <w:rsid w:val="006D3402"/>
    <w:rsid w:val="006D3D2B"/>
    <w:rsid w:val="006D40D1"/>
    <w:rsid w:val="006D4200"/>
    <w:rsid w:val="006D4293"/>
    <w:rsid w:val="006D436C"/>
    <w:rsid w:val="006D43B1"/>
    <w:rsid w:val="006D4539"/>
    <w:rsid w:val="006D47AF"/>
    <w:rsid w:val="006D4CAA"/>
    <w:rsid w:val="006D51ED"/>
    <w:rsid w:val="006D57B3"/>
    <w:rsid w:val="006D5912"/>
    <w:rsid w:val="006D5B9B"/>
    <w:rsid w:val="006D6298"/>
    <w:rsid w:val="006D64F8"/>
    <w:rsid w:val="006D6B10"/>
    <w:rsid w:val="006D72B9"/>
    <w:rsid w:val="006D75E9"/>
    <w:rsid w:val="006D7835"/>
    <w:rsid w:val="006D7F13"/>
    <w:rsid w:val="006E008A"/>
    <w:rsid w:val="006E0502"/>
    <w:rsid w:val="006E083D"/>
    <w:rsid w:val="006E0BF7"/>
    <w:rsid w:val="006E15BE"/>
    <w:rsid w:val="006E20A1"/>
    <w:rsid w:val="006E21DB"/>
    <w:rsid w:val="006E28C2"/>
    <w:rsid w:val="006E2AA5"/>
    <w:rsid w:val="006E2AB1"/>
    <w:rsid w:val="006E304E"/>
    <w:rsid w:val="006E3818"/>
    <w:rsid w:val="006E3C11"/>
    <w:rsid w:val="006E3F1C"/>
    <w:rsid w:val="006E43C1"/>
    <w:rsid w:val="006E46FE"/>
    <w:rsid w:val="006E48FC"/>
    <w:rsid w:val="006E491A"/>
    <w:rsid w:val="006E4B70"/>
    <w:rsid w:val="006E4E1C"/>
    <w:rsid w:val="006E4F4E"/>
    <w:rsid w:val="006E5162"/>
    <w:rsid w:val="006E5879"/>
    <w:rsid w:val="006E5B5F"/>
    <w:rsid w:val="006E62D6"/>
    <w:rsid w:val="006E6392"/>
    <w:rsid w:val="006E6973"/>
    <w:rsid w:val="006E69D5"/>
    <w:rsid w:val="006E6C8E"/>
    <w:rsid w:val="006E78DE"/>
    <w:rsid w:val="006E793F"/>
    <w:rsid w:val="006E7DF1"/>
    <w:rsid w:val="006E7FCB"/>
    <w:rsid w:val="006F00DE"/>
    <w:rsid w:val="006F0CCA"/>
    <w:rsid w:val="006F101B"/>
    <w:rsid w:val="006F135E"/>
    <w:rsid w:val="006F17E6"/>
    <w:rsid w:val="006F1B25"/>
    <w:rsid w:val="006F1DC0"/>
    <w:rsid w:val="006F21C0"/>
    <w:rsid w:val="006F23AE"/>
    <w:rsid w:val="006F24E8"/>
    <w:rsid w:val="006F26EC"/>
    <w:rsid w:val="006F27CD"/>
    <w:rsid w:val="006F3483"/>
    <w:rsid w:val="006F3896"/>
    <w:rsid w:val="006F3A3B"/>
    <w:rsid w:val="006F46FC"/>
    <w:rsid w:val="006F54C1"/>
    <w:rsid w:val="006F579B"/>
    <w:rsid w:val="006F60F8"/>
    <w:rsid w:val="006F62D9"/>
    <w:rsid w:val="006F63E3"/>
    <w:rsid w:val="006F6E13"/>
    <w:rsid w:val="006F6EB0"/>
    <w:rsid w:val="006F740E"/>
    <w:rsid w:val="006F7915"/>
    <w:rsid w:val="006F7ACB"/>
    <w:rsid w:val="006F7FA5"/>
    <w:rsid w:val="00701919"/>
    <w:rsid w:val="007026C9"/>
    <w:rsid w:val="00702879"/>
    <w:rsid w:val="00703379"/>
    <w:rsid w:val="00703BE8"/>
    <w:rsid w:val="007043AE"/>
    <w:rsid w:val="00704E5B"/>
    <w:rsid w:val="007050E0"/>
    <w:rsid w:val="00705B78"/>
    <w:rsid w:val="00705C87"/>
    <w:rsid w:val="007061DD"/>
    <w:rsid w:val="0070742C"/>
    <w:rsid w:val="00707536"/>
    <w:rsid w:val="00707CC8"/>
    <w:rsid w:val="007104B1"/>
    <w:rsid w:val="007105AE"/>
    <w:rsid w:val="00710D12"/>
    <w:rsid w:val="00711358"/>
    <w:rsid w:val="00711638"/>
    <w:rsid w:val="00711788"/>
    <w:rsid w:val="0071358A"/>
    <w:rsid w:val="007135E1"/>
    <w:rsid w:val="007139C4"/>
    <w:rsid w:val="00713CA6"/>
    <w:rsid w:val="0071406D"/>
    <w:rsid w:val="0071413A"/>
    <w:rsid w:val="00714A50"/>
    <w:rsid w:val="00715D40"/>
    <w:rsid w:val="00715FAF"/>
    <w:rsid w:val="007161B2"/>
    <w:rsid w:val="007165A2"/>
    <w:rsid w:val="0071678E"/>
    <w:rsid w:val="00716E12"/>
    <w:rsid w:val="00716F1E"/>
    <w:rsid w:val="00716F2A"/>
    <w:rsid w:val="00716F39"/>
    <w:rsid w:val="007179B7"/>
    <w:rsid w:val="00717A56"/>
    <w:rsid w:val="00717A63"/>
    <w:rsid w:val="00717FBE"/>
    <w:rsid w:val="007203A5"/>
    <w:rsid w:val="00720404"/>
    <w:rsid w:val="00720470"/>
    <w:rsid w:val="00720ED5"/>
    <w:rsid w:val="00720F19"/>
    <w:rsid w:val="00721C2E"/>
    <w:rsid w:val="00721D21"/>
    <w:rsid w:val="00721DC9"/>
    <w:rsid w:val="007220D1"/>
    <w:rsid w:val="00722455"/>
    <w:rsid w:val="00722575"/>
    <w:rsid w:val="00722DDF"/>
    <w:rsid w:val="00722EF8"/>
    <w:rsid w:val="007230BE"/>
    <w:rsid w:val="00723601"/>
    <w:rsid w:val="00723A4D"/>
    <w:rsid w:val="007241CF"/>
    <w:rsid w:val="00724C45"/>
    <w:rsid w:val="00724D3E"/>
    <w:rsid w:val="00724EF0"/>
    <w:rsid w:val="00725495"/>
    <w:rsid w:val="00726469"/>
    <w:rsid w:val="00726A82"/>
    <w:rsid w:val="00726B18"/>
    <w:rsid w:val="00727016"/>
    <w:rsid w:val="00727FA8"/>
    <w:rsid w:val="0073031F"/>
    <w:rsid w:val="0073046A"/>
    <w:rsid w:val="007308C5"/>
    <w:rsid w:val="00730E9F"/>
    <w:rsid w:val="00730EE3"/>
    <w:rsid w:val="00731193"/>
    <w:rsid w:val="00731254"/>
    <w:rsid w:val="00731867"/>
    <w:rsid w:val="00732423"/>
    <w:rsid w:val="00732F70"/>
    <w:rsid w:val="007334A7"/>
    <w:rsid w:val="0073366F"/>
    <w:rsid w:val="0073402C"/>
    <w:rsid w:val="007340DA"/>
    <w:rsid w:val="00734B3C"/>
    <w:rsid w:val="007353F1"/>
    <w:rsid w:val="0073587A"/>
    <w:rsid w:val="00735ABA"/>
    <w:rsid w:val="00735FD8"/>
    <w:rsid w:val="0073651D"/>
    <w:rsid w:val="00736A3A"/>
    <w:rsid w:val="007375E3"/>
    <w:rsid w:val="00737772"/>
    <w:rsid w:val="0073790F"/>
    <w:rsid w:val="00737FE7"/>
    <w:rsid w:val="007407B4"/>
    <w:rsid w:val="00740AAA"/>
    <w:rsid w:val="00740BA0"/>
    <w:rsid w:val="0074164F"/>
    <w:rsid w:val="00741780"/>
    <w:rsid w:val="00741BA8"/>
    <w:rsid w:val="007429E2"/>
    <w:rsid w:val="007436B7"/>
    <w:rsid w:val="00743771"/>
    <w:rsid w:val="00743AD9"/>
    <w:rsid w:val="00743D3F"/>
    <w:rsid w:val="0074428E"/>
    <w:rsid w:val="007442E5"/>
    <w:rsid w:val="007449CD"/>
    <w:rsid w:val="00744DE9"/>
    <w:rsid w:val="00744EC4"/>
    <w:rsid w:val="00745090"/>
    <w:rsid w:val="0074555F"/>
    <w:rsid w:val="00745BA9"/>
    <w:rsid w:val="007465EB"/>
    <w:rsid w:val="007466CA"/>
    <w:rsid w:val="00746EDD"/>
    <w:rsid w:val="007470DF"/>
    <w:rsid w:val="00747410"/>
    <w:rsid w:val="00747737"/>
    <w:rsid w:val="00747FE2"/>
    <w:rsid w:val="007500FA"/>
    <w:rsid w:val="0075030F"/>
    <w:rsid w:val="00750808"/>
    <w:rsid w:val="00750B78"/>
    <w:rsid w:val="00750C2B"/>
    <w:rsid w:val="00751620"/>
    <w:rsid w:val="00751710"/>
    <w:rsid w:val="0075173F"/>
    <w:rsid w:val="00751BE2"/>
    <w:rsid w:val="00751EC2"/>
    <w:rsid w:val="007521EB"/>
    <w:rsid w:val="007525E2"/>
    <w:rsid w:val="007528CA"/>
    <w:rsid w:val="00753542"/>
    <w:rsid w:val="00753959"/>
    <w:rsid w:val="00753EB5"/>
    <w:rsid w:val="0075468E"/>
    <w:rsid w:val="00754849"/>
    <w:rsid w:val="0075497D"/>
    <w:rsid w:val="00754F35"/>
    <w:rsid w:val="007551BB"/>
    <w:rsid w:val="00755631"/>
    <w:rsid w:val="00755ABF"/>
    <w:rsid w:val="0075651E"/>
    <w:rsid w:val="00756616"/>
    <w:rsid w:val="00756736"/>
    <w:rsid w:val="007568CE"/>
    <w:rsid w:val="00756BE6"/>
    <w:rsid w:val="00756DF8"/>
    <w:rsid w:val="00757229"/>
    <w:rsid w:val="00757586"/>
    <w:rsid w:val="00757CDF"/>
    <w:rsid w:val="00760260"/>
    <w:rsid w:val="00760B9A"/>
    <w:rsid w:val="00761FBD"/>
    <w:rsid w:val="007620CA"/>
    <w:rsid w:val="007620D4"/>
    <w:rsid w:val="00762210"/>
    <w:rsid w:val="00762580"/>
    <w:rsid w:val="00762D6D"/>
    <w:rsid w:val="007631BD"/>
    <w:rsid w:val="00763A5F"/>
    <w:rsid w:val="00763FFC"/>
    <w:rsid w:val="00764103"/>
    <w:rsid w:val="00764246"/>
    <w:rsid w:val="0076432D"/>
    <w:rsid w:val="00764732"/>
    <w:rsid w:val="00764B07"/>
    <w:rsid w:val="007650EA"/>
    <w:rsid w:val="00765822"/>
    <w:rsid w:val="0076589E"/>
    <w:rsid w:val="0076612F"/>
    <w:rsid w:val="007663A7"/>
    <w:rsid w:val="007664D7"/>
    <w:rsid w:val="007665D1"/>
    <w:rsid w:val="00766EC4"/>
    <w:rsid w:val="007670E1"/>
    <w:rsid w:val="00767396"/>
    <w:rsid w:val="007677B5"/>
    <w:rsid w:val="00767A42"/>
    <w:rsid w:val="00767B17"/>
    <w:rsid w:val="00770AEB"/>
    <w:rsid w:val="00770F32"/>
    <w:rsid w:val="007714B3"/>
    <w:rsid w:val="007717E0"/>
    <w:rsid w:val="00771859"/>
    <w:rsid w:val="007720ED"/>
    <w:rsid w:val="0077246E"/>
    <w:rsid w:val="00772D53"/>
    <w:rsid w:val="00773861"/>
    <w:rsid w:val="0077432B"/>
    <w:rsid w:val="00774C0F"/>
    <w:rsid w:val="00774C58"/>
    <w:rsid w:val="00775665"/>
    <w:rsid w:val="007757D5"/>
    <w:rsid w:val="007758B1"/>
    <w:rsid w:val="00775AFC"/>
    <w:rsid w:val="00775C9F"/>
    <w:rsid w:val="00775D88"/>
    <w:rsid w:val="007760F0"/>
    <w:rsid w:val="007764B4"/>
    <w:rsid w:val="007764DD"/>
    <w:rsid w:val="00776684"/>
    <w:rsid w:val="007766BC"/>
    <w:rsid w:val="00776C9A"/>
    <w:rsid w:val="00776DCF"/>
    <w:rsid w:val="00777B07"/>
    <w:rsid w:val="007802B3"/>
    <w:rsid w:val="00780BEB"/>
    <w:rsid w:val="00780DCC"/>
    <w:rsid w:val="00780F31"/>
    <w:rsid w:val="00780FC2"/>
    <w:rsid w:val="007810E9"/>
    <w:rsid w:val="00781334"/>
    <w:rsid w:val="00781523"/>
    <w:rsid w:val="00781ADA"/>
    <w:rsid w:val="00781ADC"/>
    <w:rsid w:val="00781B4D"/>
    <w:rsid w:val="00781BB8"/>
    <w:rsid w:val="00781DBB"/>
    <w:rsid w:val="007822AC"/>
    <w:rsid w:val="00782427"/>
    <w:rsid w:val="007829E9"/>
    <w:rsid w:val="00782B72"/>
    <w:rsid w:val="00783078"/>
    <w:rsid w:val="007830BF"/>
    <w:rsid w:val="007831E0"/>
    <w:rsid w:val="00783301"/>
    <w:rsid w:val="0078353F"/>
    <w:rsid w:val="0078355A"/>
    <w:rsid w:val="0078375A"/>
    <w:rsid w:val="007840AE"/>
    <w:rsid w:val="00784332"/>
    <w:rsid w:val="00784F4B"/>
    <w:rsid w:val="0078524F"/>
    <w:rsid w:val="0078599D"/>
    <w:rsid w:val="00785FE6"/>
    <w:rsid w:val="0078669B"/>
    <w:rsid w:val="007868A9"/>
    <w:rsid w:val="00786F66"/>
    <w:rsid w:val="007873CC"/>
    <w:rsid w:val="00787D13"/>
    <w:rsid w:val="00787D55"/>
    <w:rsid w:val="0079005F"/>
    <w:rsid w:val="00791923"/>
    <w:rsid w:val="00792235"/>
    <w:rsid w:val="00792517"/>
    <w:rsid w:val="0079257A"/>
    <w:rsid w:val="00792A51"/>
    <w:rsid w:val="00792C34"/>
    <w:rsid w:val="00792D39"/>
    <w:rsid w:val="0079388D"/>
    <w:rsid w:val="00793951"/>
    <w:rsid w:val="00793B27"/>
    <w:rsid w:val="00793E98"/>
    <w:rsid w:val="007940D2"/>
    <w:rsid w:val="007940F4"/>
    <w:rsid w:val="00794117"/>
    <w:rsid w:val="007946D5"/>
    <w:rsid w:val="007948C6"/>
    <w:rsid w:val="00794B1B"/>
    <w:rsid w:val="00794F37"/>
    <w:rsid w:val="007954A5"/>
    <w:rsid w:val="00795505"/>
    <w:rsid w:val="00795A6A"/>
    <w:rsid w:val="0079671C"/>
    <w:rsid w:val="00797937"/>
    <w:rsid w:val="007A04C9"/>
    <w:rsid w:val="007A0650"/>
    <w:rsid w:val="007A1B34"/>
    <w:rsid w:val="007A2068"/>
    <w:rsid w:val="007A222B"/>
    <w:rsid w:val="007A26D9"/>
    <w:rsid w:val="007A2B10"/>
    <w:rsid w:val="007A2C4A"/>
    <w:rsid w:val="007A2E55"/>
    <w:rsid w:val="007A32D2"/>
    <w:rsid w:val="007A4A52"/>
    <w:rsid w:val="007A4A8C"/>
    <w:rsid w:val="007A4A9B"/>
    <w:rsid w:val="007A4DF7"/>
    <w:rsid w:val="007A5058"/>
    <w:rsid w:val="007A52A3"/>
    <w:rsid w:val="007A531C"/>
    <w:rsid w:val="007A5662"/>
    <w:rsid w:val="007A5E5B"/>
    <w:rsid w:val="007A6206"/>
    <w:rsid w:val="007A6305"/>
    <w:rsid w:val="007A6553"/>
    <w:rsid w:val="007A6EE7"/>
    <w:rsid w:val="007A6F64"/>
    <w:rsid w:val="007A6FC4"/>
    <w:rsid w:val="007A74B9"/>
    <w:rsid w:val="007A7541"/>
    <w:rsid w:val="007A75AA"/>
    <w:rsid w:val="007A764D"/>
    <w:rsid w:val="007A767F"/>
    <w:rsid w:val="007A7858"/>
    <w:rsid w:val="007A7C33"/>
    <w:rsid w:val="007A7DA7"/>
    <w:rsid w:val="007B064C"/>
    <w:rsid w:val="007B065D"/>
    <w:rsid w:val="007B072C"/>
    <w:rsid w:val="007B08E2"/>
    <w:rsid w:val="007B11A3"/>
    <w:rsid w:val="007B1DFC"/>
    <w:rsid w:val="007B3A61"/>
    <w:rsid w:val="007B4AA9"/>
    <w:rsid w:val="007B5442"/>
    <w:rsid w:val="007B638C"/>
    <w:rsid w:val="007B63EC"/>
    <w:rsid w:val="007B6427"/>
    <w:rsid w:val="007B6A7D"/>
    <w:rsid w:val="007B7BEC"/>
    <w:rsid w:val="007B7FE1"/>
    <w:rsid w:val="007C0128"/>
    <w:rsid w:val="007C0D9D"/>
    <w:rsid w:val="007C13E7"/>
    <w:rsid w:val="007C17B2"/>
    <w:rsid w:val="007C1DD1"/>
    <w:rsid w:val="007C1E90"/>
    <w:rsid w:val="007C26CE"/>
    <w:rsid w:val="007C27DC"/>
    <w:rsid w:val="007C2D7F"/>
    <w:rsid w:val="007C3227"/>
    <w:rsid w:val="007C3326"/>
    <w:rsid w:val="007C3A49"/>
    <w:rsid w:val="007C42EC"/>
    <w:rsid w:val="007C46DB"/>
    <w:rsid w:val="007C4706"/>
    <w:rsid w:val="007C485C"/>
    <w:rsid w:val="007C4DE6"/>
    <w:rsid w:val="007C4E0F"/>
    <w:rsid w:val="007C5A67"/>
    <w:rsid w:val="007C6292"/>
    <w:rsid w:val="007C66F1"/>
    <w:rsid w:val="007C6D42"/>
    <w:rsid w:val="007C759B"/>
    <w:rsid w:val="007C77E1"/>
    <w:rsid w:val="007C79D9"/>
    <w:rsid w:val="007C7B1F"/>
    <w:rsid w:val="007C7B3D"/>
    <w:rsid w:val="007C7D58"/>
    <w:rsid w:val="007D033B"/>
    <w:rsid w:val="007D03E0"/>
    <w:rsid w:val="007D050A"/>
    <w:rsid w:val="007D0A80"/>
    <w:rsid w:val="007D1050"/>
    <w:rsid w:val="007D1917"/>
    <w:rsid w:val="007D1C2D"/>
    <w:rsid w:val="007D26A2"/>
    <w:rsid w:val="007D2DFF"/>
    <w:rsid w:val="007D2EDE"/>
    <w:rsid w:val="007D303E"/>
    <w:rsid w:val="007D3749"/>
    <w:rsid w:val="007D3AC6"/>
    <w:rsid w:val="007D3CBF"/>
    <w:rsid w:val="007D3D9C"/>
    <w:rsid w:val="007D4294"/>
    <w:rsid w:val="007D4640"/>
    <w:rsid w:val="007D4CFB"/>
    <w:rsid w:val="007D4FDD"/>
    <w:rsid w:val="007D51C3"/>
    <w:rsid w:val="007D52E1"/>
    <w:rsid w:val="007D5400"/>
    <w:rsid w:val="007D61F1"/>
    <w:rsid w:val="007D61F7"/>
    <w:rsid w:val="007D638D"/>
    <w:rsid w:val="007D639B"/>
    <w:rsid w:val="007D66D0"/>
    <w:rsid w:val="007D671E"/>
    <w:rsid w:val="007D717B"/>
    <w:rsid w:val="007D763A"/>
    <w:rsid w:val="007E0014"/>
    <w:rsid w:val="007E02F7"/>
    <w:rsid w:val="007E0A6E"/>
    <w:rsid w:val="007E0E99"/>
    <w:rsid w:val="007E0FB7"/>
    <w:rsid w:val="007E1540"/>
    <w:rsid w:val="007E1FED"/>
    <w:rsid w:val="007E202F"/>
    <w:rsid w:val="007E22F9"/>
    <w:rsid w:val="007E284F"/>
    <w:rsid w:val="007E2D1B"/>
    <w:rsid w:val="007E2DD7"/>
    <w:rsid w:val="007E2EF3"/>
    <w:rsid w:val="007E3072"/>
    <w:rsid w:val="007E31BE"/>
    <w:rsid w:val="007E3D46"/>
    <w:rsid w:val="007E3EA5"/>
    <w:rsid w:val="007E408A"/>
    <w:rsid w:val="007E4328"/>
    <w:rsid w:val="007E4751"/>
    <w:rsid w:val="007E4888"/>
    <w:rsid w:val="007E5274"/>
    <w:rsid w:val="007E595B"/>
    <w:rsid w:val="007E5DB3"/>
    <w:rsid w:val="007E62B3"/>
    <w:rsid w:val="007E7353"/>
    <w:rsid w:val="007E792E"/>
    <w:rsid w:val="007E7CA5"/>
    <w:rsid w:val="007E7F09"/>
    <w:rsid w:val="007F045C"/>
    <w:rsid w:val="007F14A9"/>
    <w:rsid w:val="007F1B66"/>
    <w:rsid w:val="007F1CEC"/>
    <w:rsid w:val="007F1F20"/>
    <w:rsid w:val="007F1F9E"/>
    <w:rsid w:val="007F2831"/>
    <w:rsid w:val="007F28AB"/>
    <w:rsid w:val="007F34D6"/>
    <w:rsid w:val="007F3598"/>
    <w:rsid w:val="007F3D46"/>
    <w:rsid w:val="007F3F47"/>
    <w:rsid w:val="007F3F83"/>
    <w:rsid w:val="007F4077"/>
    <w:rsid w:val="007F448F"/>
    <w:rsid w:val="007F4804"/>
    <w:rsid w:val="007F48CA"/>
    <w:rsid w:val="007F5AF0"/>
    <w:rsid w:val="007F5D48"/>
    <w:rsid w:val="007F5E0B"/>
    <w:rsid w:val="007F69C5"/>
    <w:rsid w:val="007F6FB4"/>
    <w:rsid w:val="007F707F"/>
    <w:rsid w:val="007F79C5"/>
    <w:rsid w:val="008001C7"/>
    <w:rsid w:val="00800644"/>
    <w:rsid w:val="00800E54"/>
    <w:rsid w:val="00801788"/>
    <w:rsid w:val="00801809"/>
    <w:rsid w:val="00801E46"/>
    <w:rsid w:val="008024B4"/>
    <w:rsid w:val="0080282F"/>
    <w:rsid w:val="00802BF8"/>
    <w:rsid w:val="00802C53"/>
    <w:rsid w:val="00803665"/>
    <w:rsid w:val="008036C2"/>
    <w:rsid w:val="00804088"/>
    <w:rsid w:val="0080443B"/>
    <w:rsid w:val="008048CD"/>
    <w:rsid w:val="00804CEC"/>
    <w:rsid w:val="00804E2C"/>
    <w:rsid w:val="00805AA6"/>
    <w:rsid w:val="00805B98"/>
    <w:rsid w:val="00806170"/>
    <w:rsid w:val="008068E8"/>
    <w:rsid w:val="00806935"/>
    <w:rsid w:val="00806A49"/>
    <w:rsid w:val="00807134"/>
    <w:rsid w:val="00807169"/>
    <w:rsid w:val="00807870"/>
    <w:rsid w:val="00807CA0"/>
    <w:rsid w:val="0081130E"/>
    <w:rsid w:val="00811417"/>
    <w:rsid w:val="008120D5"/>
    <w:rsid w:val="0081270F"/>
    <w:rsid w:val="00812A0C"/>
    <w:rsid w:val="008137B3"/>
    <w:rsid w:val="00813886"/>
    <w:rsid w:val="00813C02"/>
    <w:rsid w:val="008142D9"/>
    <w:rsid w:val="00814F7E"/>
    <w:rsid w:val="0081540D"/>
    <w:rsid w:val="008156E0"/>
    <w:rsid w:val="0081573B"/>
    <w:rsid w:val="008158FC"/>
    <w:rsid w:val="008162AE"/>
    <w:rsid w:val="0081655C"/>
    <w:rsid w:val="008179C3"/>
    <w:rsid w:val="00817D17"/>
    <w:rsid w:val="00817FE8"/>
    <w:rsid w:val="00820389"/>
    <w:rsid w:val="0082045E"/>
    <w:rsid w:val="00820859"/>
    <w:rsid w:val="00820A88"/>
    <w:rsid w:val="00820ADE"/>
    <w:rsid w:val="00821370"/>
    <w:rsid w:val="008213C6"/>
    <w:rsid w:val="00822164"/>
    <w:rsid w:val="008222E6"/>
    <w:rsid w:val="0082297E"/>
    <w:rsid w:val="00822BDA"/>
    <w:rsid w:val="00823B95"/>
    <w:rsid w:val="00823C36"/>
    <w:rsid w:val="00823EB1"/>
    <w:rsid w:val="00824833"/>
    <w:rsid w:val="00824CE0"/>
    <w:rsid w:val="00824D84"/>
    <w:rsid w:val="008257D2"/>
    <w:rsid w:val="00825D89"/>
    <w:rsid w:val="008261FD"/>
    <w:rsid w:val="00826A2C"/>
    <w:rsid w:val="008275EE"/>
    <w:rsid w:val="0082798E"/>
    <w:rsid w:val="008302BE"/>
    <w:rsid w:val="0083073B"/>
    <w:rsid w:val="00830AD3"/>
    <w:rsid w:val="00830E1E"/>
    <w:rsid w:val="008311EC"/>
    <w:rsid w:val="00831587"/>
    <w:rsid w:val="008316EB"/>
    <w:rsid w:val="00831997"/>
    <w:rsid w:val="00831E78"/>
    <w:rsid w:val="0083203B"/>
    <w:rsid w:val="0083261B"/>
    <w:rsid w:val="00832675"/>
    <w:rsid w:val="008333BE"/>
    <w:rsid w:val="0083350C"/>
    <w:rsid w:val="00833B24"/>
    <w:rsid w:val="00833CD6"/>
    <w:rsid w:val="00834027"/>
    <w:rsid w:val="008342E9"/>
    <w:rsid w:val="00834362"/>
    <w:rsid w:val="0083479F"/>
    <w:rsid w:val="00835235"/>
    <w:rsid w:val="008355B3"/>
    <w:rsid w:val="0083696A"/>
    <w:rsid w:val="00836B8C"/>
    <w:rsid w:val="00836F0F"/>
    <w:rsid w:val="00836F1B"/>
    <w:rsid w:val="0083704B"/>
    <w:rsid w:val="0083711B"/>
    <w:rsid w:val="00837198"/>
    <w:rsid w:val="008372E8"/>
    <w:rsid w:val="00837464"/>
    <w:rsid w:val="00837577"/>
    <w:rsid w:val="008379B7"/>
    <w:rsid w:val="00837C41"/>
    <w:rsid w:val="00840A65"/>
    <w:rsid w:val="00840AAF"/>
    <w:rsid w:val="00840CC5"/>
    <w:rsid w:val="008414E5"/>
    <w:rsid w:val="0084156D"/>
    <w:rsid w:val="0084160A"/>
    <w:rsid w:val="00841756"/>
    <w:rsid w:val="00841AB6"/>
    <w:rsid w:val="00841BD5"/>
    <w:rsid w:val="00841CD9"/>
    <w:rsid w:val="00841EA4"/>
    <w:rsid w:val="00841EB2"/>
    <w:rsid w:val="00842393"/>
    <w:rsid w:val="0084255B"/>
    <w:rsid w:val="00842D71"/>
    <w:rsid w:val="00842E46"/>
    <w:rsid w:val="00843249"/>
    <w:rsid w:val="0084427E"/>
    <w:rsid w:val="008446BA"/>
    <w:rsid w:val="00845038"/>
    <w:rsid w:val="008450F4"/>
    <w:rsid w:val="00845DD2"/>
    <w:rsid w:val="0084689C"/>
    <w:rsid w:val="00846AA5"/>
    <w:rsid w:val="00846CB3"/>
    <w:rsid w:val="0084716F"/>
    <w:rsid w:val="00847209"/>
    <w:rsid w:val="00847A80"/>
    <w:rsid w:val="00847AA4"/>
    <w:rsid w:val="00850928"/>
    <w:rsid w:val="0085101D"/>
    <w:rsid w:val="008512B6"/>
    <w:rsid w:val="00851886"/>
    <w:rsid w:val="00851F39"/>
    <w:rsid w:val="008520CF"/>
    <w:rsid w:val="00852E33"/>
    <w:rsid w:val="008533CD"/>
    <w:rsid w:val="00853AED"/>
    <w:rsid w:val="00853E11"/>
    <w:rsid w:val="00853FB0"/>
    <w:rsid w:val="00854A5D"/>
    <w:rsid w:val="00854CED"/>
    <w:rsid w:val="0085514A"/>
    <w:rsid w:val="008553A9"/>
    <w:rsid w:val="008560AB"/>
    <w:rsid w:val="008563A8"/>
    <w:rsid w:val="008564CF"/>
    <w:rsid w:val="00856532"/>
    <w:rsid w:val="00856924"/>
    <w:rsid w:val="0085711F"/>
    <w:rsid w:val="00857881"/>
    <w:rsid w:val="00857C2B"/>
    <w:rsid w:val="00857C9A"/>
    <w:rsid w:val="00860D6C"/>
    <w:rsid w:val="00860F13"/>
    <w:rsid w:val="00860F37"/>
    <w:rsid w:val="008618DE"/>
    <w:rsid w:val="00861A79"/>
    <w:rsid w:val="00861B02"/>
    <w:rsid w:val="00861B14"/>
    <w:rsid w:val="00861D6A"/>
    <w:rsid w:val="00862058"/>
    <w:rsid w:val="008623B7"/>
    <w:rsid w:val="0086244E"/>
    <w:rsid w:val="00862630"/>
    <w:rsid w:val="00862857"/>
    <w:rsid w:val="00862C53"/>
    <w:rsid w:val="00862EF5"/>
    <w:rsid w:val="00863235"/>
    <w:rsid w:val="008632BA"/>
    <w:rsid w:val="008638E9"/>
    <w:rsid w:val="00863C82"/>
    <w:rsid w:val="0086430D"/>
    <w:rsid w:val="008645D7"/>
    <w:rsid w:val="00864649"/>
    <w:rsid w:val="008648BF"/>
    <w:rsid w:val="00865205"/>
    <w:rsid w:val="00865473"/>
    <w:rsid w:val="0086618C"/>
    <w:rsid w:val="00866B0F"/>
    <w:rsid w:val="00866BE1"/>
    <w:rsid w:val="0086711E"/>
    <w:rsid w:val="008676A4"/>
    <w:rsid w:val="00870CC0"/>
    <w:rsid w:val="00870F07"/>
    <w:rsid w:val="00871794"/>
    <w:rsid w:val="0087216E"/>
    <w:rsid w:val="008731FC"/>
    <w:rsid w:val="00873452"/>
    <w:rsid w:val="008737DB"/>
    <w:rsid w:val="008738B2"/>
    <w:rsid w:val="00873CB6"/>
    <w:rsid w:val="00873D82"/>
    <w:rsid w:val="00874263"/>
    <w:rsid w:val="0087429D"/>
    <w:rsid w:val="00874576"/>
    <w:rsid w:val="00874C96"/>
    <w:rsid w:val="00874F6E"/>
    <w:rsid w:val="00875087"/>
    <w:rsid w:val="00875844"/>
    <w:rsid w:val="00875C6E"/>
    <w:rsid w:val="00875F41"/>
    <w:rsid w:val="00876516"/>
    <w:rsid w:val="008769AE"/>
    <w:rsid w:val="00876E31"/>
    <w:rsid w:val="0087754A"/>
    <w:rsid w:val="00877668"/>
    <w:rsid w:val="00877873"/>
    <w:rsid w:val="008779BF"/>
    <w:rsid w:val="00877E61"/>
    <w:rsid w:val="0088032D"/>
    <w:rsid w:val="008803CB"/>
    <w:rsid w:val="00880842"/>
    <w:rsid w:val="00880E17"/>
    <w:rsid w:val="008814C5"/>
    <w:rsid w:val="0088165F"/>
    <w:rsid w:val="008816EB"/>
    <w:rsid w:val="0088191D"/>
    <w:rsid w:val="00881C98"/>
    <w:rsid w:val="00882B01"/>
    <w:rsid w:val="00882B15"/>
    <w:rsid w:val="00883B50"/>
    <w:rsid w:val="00883C4D"/>
    <w:rsid w:val="008845BB"/>
    <w:rsid w:val="00884D48"/>
    <w:rsid w:val="00884EFF"/>
    <w:rsid w:val="008851E2"/>
    <w:rsid w:val="008851EA"/>
    <w:rsid w:val="0088543A"/>
    <w:rsid w:val="00885455"/>
    <w:rsid w:val="008854E7"/>
    <w:rsid w:val="00885903"/>
    <w:rsid w:val="00885D9C"/>
    <w:rsid w:val="00885DE5"/>
    <w:rsid w:val="00885E9D"/>
    <w:rsid w:val="008868D3"/>
    <w:rsid w:val="00886A32"/>
    <w:rsid w:val="00886ACA"/>
    <w:rsid w:val="0088718E"/>
    <w:rsid w:val="008871A9"/>
    <w:rsid w:val="0088782B"/>
    <w:rsid w:val="00887BB9"/>
    <w:rsid w:val="00887DCF"/>
    <w:rsid w:val="0089009E"/>
    <w:rsid w:val="008906B8"/>
    <w:rsid w:val="00890999"/>
    <w:rsid w:val="00891167"/>
    <w:rsid w:val="00891DA2"/>
    <w:rsid w:val="0089206F"/>
    <w:rsid w:val="00892191"/>
    <w:rsid w:val="00892B10"/>
    <w:rsid w:val="00892DAE"/>
    <w:rsid w:val="00892FB8"/>
    <w:rsid w:val="008934AC"/>
    <w:rsid w:val="00893A2C"/>
    <w:rsid w:val="00893A62"/>
    <w:rsid w:val="00893D59"/>
    <w:rsid w:val="008943EB"/>
    <w:rsid w:val="0089458D"/>
    <w:rsid w:val="00894D95"/>
    <w:rsid w:val="0089509D"/>
    <w:rsid w:val="0089523F"/>
    <w:rsid w:val="00895C7E"/>
    <w:rsid w:val="008963EC"/>
    <w:rsid w:val="0089654E"/>
    <w:rsid w:val="00897450"/>
    <w:rsid w:val="008979A5"/>
    <w:rsid w:val="008A0418"/>
    <w:rsid w:val="008A09A9"/>
    <w:rsid w:val="008A0ECC"/>
    <w:rsid w:val="008A0FE2"/>
    <w:rsid w:val="008A1271"/>
    <w:rsid w:val="008A160B"/>
    <w:rsid w:val="008A1800"/>
    <w:rsid w:val="008A19F5"/>
    <w:rsid w:val="008A1E0E"/>
    <w:rsid w:val="008A20E9"/>
    <w:rsid w:val="008A21D0"/>
    <w:rsid w:val="008A315C"/>
    <w:rsid w:val="008A33C4"/>
    <w:rsid w:val="008A3506"/>
    <w:rsid w:val="008A3AB5"/>
    <w:rsid w:val="008A3C49"/>
    <w:rsid w:val="008A3F4E"/>
    <w:rsid w:val="008A3FDD"/>
    <w:rsid w:val="008A43A1"/>
    <w:rsid w:val="008A44AB"/>
    <w:rsid w:val="008A4FBD"/>
    <w:rsid w:val="008A5A3A"/>
    <w:rsid w:val="008A5C8E"/>
    <w:rsid w:val="008A5DEF"/>
    <w:rsid w:val="008A603E"/>
    <w:rsid w:val="008A64E9"/>
    <w:rsid w:val="008A66B7"/>
    <w:rsid w:val="008A6954"/>
    <w:rsid w:val="008A69C2"/>
    <w:rsid w:val="008A6DAC"/>
    <w:rsid w:val="008A7296"/>
    <w:rsid w:val="008A74F8"/>
    <w:rsid w:val="008B0215"/>
    <w:rsid w:val="008B034C"/>
    <w:rsid w:val="008B035C"/>
    <w:rsid w:val="008B0681"/>
    <w:rsid w:val="008B08CF"/>
    <w:rsid w:val="008B174B"/>
    <w:rsid w:val="008B20ED"/>
    <w:rsid w:val="008B224F"/>
    <w:rsid w:val="008B228C"/>
    <w:rsid w:val="008B2BB2"/>
    <w:rsid w:val="008B2C64"/>
    <w:rsid w:val="008B38CC"/>
    <w:rsid w:val="008B3A38"/>
    <w:rsid w:val="008B3B0D"/>
    <w:rsid w:val="008B3D49"/>
    <w:rsid w:val="008B3EF0"/>
    <w:rsid w:val="008B42A8"/>
    <w:rsid w:val="008B453F"/>
    <w:rsid w:val="008B4762"/>
    <w:rsid w:val="008B4858"/>
    <w:rsid w:val="008B4B73"/>
    <w:rsid w:val="008B53C7"/>
    <w:rsid w:val="008B601D"/>
    <w:rsid w:val="008B65A4"/>
    <w:rsid w:val="008B68EB"/>
    <w:rsid w:val="008B6C3C"/>
    <w:rsid w:val="008B6D6E"/>
    <w:rsid w:val="008B74F7"/>
    <w:rsid w:val="008B7C3B"/>
    <w:rsid w:val="008B7F91"/>
    <w:rsid w:val="008C0288"/>
    <w:rsid w:val="008C059C"/>
    <w:rsid w:val="008C1252"/>
    <w:rsid w:val="008C139A"/>
    <w:rsid w:val="008C14E1"/>
    <w:rsid w:val="008C190D"/>
    <w:rsid w:val="008C1BA2"/>
    <w:rsid w:val="008C22B9"/>
    <w:rsid w:val="008C234B"/>
    <w:rsid w:val="008C23D5"/>
    <w:rsid w:val="008C2764"/>
    <w:rsid w:val="008C2A2D"/>
    <w:rsid w:val="008C2B18"/>
    <w:rsid w:val="008C2C89"/>
    <w:rsid w:val="008C30ED"/>
    <w:rsid w:val="008C3597"/>
    <w:rsid w:val="008C3D9A"/>
    <w:rsid w:val="008C52C6"/>
    <w:rsid w:val="008C54C6"/>
    <w:rsid w:val="008C5523"/>
    <w:rsid w:val="008C5D7C"/>
    <w:rsid w:val="008C60E7"/>
    <w:rsid w:val="008C6287"/>
    <w:rsid w:val="008C6713"/>
    <w:rsid w:val="008C6E59"/>
    <w:rsid w:val="008C6FC2"/>
    <w:rsid w:val="008C730A"/>
    <w:rsid w:val="008C75B0"/>
    <w:rsid w:val="008D00DD"/>
    <w:rsid w:val="008D0198"/>
    <w:rsid w:val="008D01D8"/>
    <w:rsid w:val="008D04AB"/>
    <w:rsid w:val="008D04AC"/>
    <w:rsid w:val="008D0974"/>
    <w:rsid w:val="008D1130"/>
    <w:rsid w:val="008D18D9"/>
    <w:rsid w:val="008D24BD"/>
    <w:rsid w:val="008D2839"/>
    <w:rsid w:val="008D3059"/>
    <w:rsid w:val="008D326F"/>
    <w:rsid w:val="008D34E3"/>
    <w:rsid w:val="008D360F"/>
    <w:rsid w:val="008D361C"/>
    <w:rsid w:val="008D3BA0"/>
    <w:rsid w:val="008D3E6E"/>
    <w:rsid w:val="008D4196"/>
    <w:rsid w:val="008D48BD"/>
    <w:rsid w:val="008D49C5"/>
    <w:rsid w:val="008D4CD4"/>
    <w:rsid w:val="008D4D08"/>
    <w:rsid w:val="008D4F10"/>
    <w:rsid w:val="008D5872"/>
    <w:rsid w:val="008D6153"/>
    <w:rsid w:val="008D621E"/>
    <w:rsid w:val="008D63FB"/>
    <w:rsid w:val="008D6865"/>
    <w:rsid w:val="008D6C77"/>
    <w:rsid w:val="008D6FB9"/>
    <w:rsid w:val="008D70E2"/>
    <w:rsid w:val="008D7214"/>
    <w:rsid w:val="008D75F6"/>
    <w:rsid w:val="008D7912"/>
    <w:rsid w:val="008D7DA6"/>
    <w:rsid w:val="008E0048"/>
    <w:rsid w:val="008E0334"/>
    <w:rsid w:val="008E05FE"/>
    <w:rsid w:val="008E0C01"/>
    <w:rsid w:val="008E0CDB"/>
    <w:rsid w:val="008E1250"/>
    <w:rsid w:val="008E14CA"/>
    <w:rsid w:val="008E19E0"/>
    <w:rsid w:val="008E1CD8"/>
    <w:rsid w:val="008E1FA4"/>
    <w:rsid w:val="008E1FF7"/>
    <w:rsid w:val="008E21A7"/>
    <w:rsid w:val="008E328E"/>
    <w:rsid w:val="008E32FE"/>
    <w:rsid w:val="008E3770"/>
    <w:rsid w:val="008E37DB"/>
    <w:rsid w:val="008E38C1"/>
    <w:rsid w:val="008E3B9C"/>
    <w:rsid w:val="008E3DDF"/>
    <w:rsid w:val="008E3F1F"/>
    <w:rsid w:val="008E4238"/>
    <w:rsid w:val="008E426B"/>
    <w:rsid w:val="008E4282"/>
    <w:rsid w:val="008E5190"/>
    <w:rsid w:val="008E5218"/>
    <w:rsid w:val="008E5A84"/>
    <w:rsid w:val="008E5C53"/>
    <w:rsid w:val="008E7159"/>
    <w:rsid w:val="008F093C"/>
    <w:rsid w:val="008F0C33"/>
    <w:rsid w:val="008F0E77"/>
    <w:rsid w:val="008F1090"/>
    <w:rsid w:val="008F15DA"/>
    <w:rsid w:val="008F1FA1"/>
    <w:rsid w:val="008F248F"/>
    <w:rsid w:val="008F27A5"/>
    <w:rsid w:val="008F2973"/>
    <w:rsid w:val="008F2B7A"/>
    <w:rsid w:val="008F3ABB"/>
    <w:rsid w:val="008F3B4C"/>
    <w:rsid w:val="008F405C"/>
    <w:rsid w:val="008F45C9"/>
    <w:rsid w:val="008F45D7"/>
    <w:rsid w:val="008F49A3"/>
    <w:rsid w:val="008F4B3E"/>
    <w:rsid w:val="008F5752"/>
    <w:rsid w:val="008F57C6"/>
    <w:rsid w:val="008F5835"/>
    <w:rsid w:val="008F5955"/>
    <w:rsid w:val="008F5A4F"/>
    <w:rsid w:val="008F5B5D"/>
    <w:rsid w:val="008F5D53"/>
    <w:rsid w:val="008F5F59"/>
    <w:rsid w:val="008F603C"/>
    <w:rsid w:val="008F66C3"/>
    <w:rsid w:val="008F6CA0"/>
    <w:rsid w:val="008F723C"/>
    <w:rsid w:val="008F74FE"/>
    <w:rsid w:val="008F7A3F"/>
    <w:rsid w:val="008F7FE1"/>
    <w:rsid w:val="0090029D"/>
    <w:rsid w:val="0090042F"/>
    <w:rsid w:val="0090084E"/>
    <w:rsid w:val="0090088E"/>
    <w:rsid w:val="00900B27"/>
    <w:rsid w:val="00900C27"/>
    <w:rsid w:val="00900F5A"/>
    <w:rsid w:val="009014FE"/>
    <w:rsid w:val="00901907"/>
    <w:rsid w:val="00901C68"/>
    <w:rsid w:val="009021D6"/>
    <w:rsid w:val="00902730"/>
    <w:rsid w:val="0090285E"/>
    <w:rsid w:val="00902970"/>
    <w:rsid w:val="00903623"/>
    <w:rsid w:val="00903C09"/>
    <w:rsid w:val="00904013"/>
    <w:rsid w:val="00904E9F"/>
    <w:rsid w:val="0090596A"/>
    <w:rsid w:val="009066E6"/>
    <w:rsid w:val="0090758E"/>
    <w:rsid w:val="009078AA"/>
    <w:rsid w:val="00907F90"/>
    <w:rsid w:val="00907FA2"/>
    <w:rsid w:val="0091046A"/>
    <w:rsid w:val="009104AF"/>
    <w:rsid w:val="0091062F"/>
    <w:rsid w:val="009106DE"/>
    <w:rsid w:val="00910717"/>
    <w:rsid w:val="0091091F"/>
    <w:rsid w:val="00910D43"/>
    <w:rsid w:val="00910EBA"/>
    <w:rsid w:val="00910F4E"/>
    <w:rsid w:val="0091121A"/>
    <w:rsid w:val="00912054"/>
    <w:rsid w:val="00912470"/>
    <w:rsid w:val="00912B1B"/>
    <w:rsid w:val="00912C8D"/>
    <w:rsid w:val="00912CBA"/>
    <w:rsid w:val="00912DB9"/>
    <w:rsid w:val="00912ED4"/>
    <w:rsid w:val="009134B5"/>
    <w:rsid w:val="00913596"/>
    <w:rsid w:val="0091364F"/>
    <w:rsid w:val="00913D9C"/>
    <w:rsid w:val="00913E55"/>
    <w:rsid w:val="00913F5A"/>
    <w:rsid w:val="0091475B"/>
    <w:rsid w:val="0091529E"/>
    <w:rsid w:val="00915637"/>
    <w:rsid w:val="00915AF2"/>
    <w:rsid w:val="00915C76"/>
    <w:rsid w:val="0091637E"/>
    <w:rsid w:val="0091651E"/>
    <w:rsid w:val="0091679E"/>
    <w:rsid w:val="009168F6"/>
    <w:rsid w:val="009171EC"/>
    <w:rsid w:val="0091752C"/>
    <w:rsid w:val="0091789C"/>
    <w:rsid w:val="009209B1"/>
    <w:rsid w:val="00920B53"/>
    <w:rsid w:val="00920D34"/>
    <w:rsid w:val="009210D7"/>
    <w:rsid w:val="0092138D"/>
    <w:rsid w:val="0092174E"/>
    <w:rsid w:val="0092177C"/>
    <w:rsid w:val="00921AD3"/>
    <w:rsid w:val="00922274"/>
    <w:rsid w:val="009224D0"/>
    <w:rsid w:val="00922688"/>
    <w:rsid w:val="00922828"/>
    <w:rsid w:val="009228F5"/>
    <w:rsid w:val="00923000"/>
    <w:rsid w:val="00923475"/>
    <w:rsid w:val="009237DD"/>
    <w:rsid w:val="00923BD1"/>
    <w:rsid w:val="00923BF8"/>
    <w:rsid w:val="00925049"/>
    <w:rsid w:val="00925182"/>
    <w:rsid w:val="009253EC"/>
    <w:rsid w:val="00925400"/>
    <w:rsid w:val="00925812"/>
    <w:rsid w:val="009261A4"/>
    <w:rsid w:val="00926C40"/>
    <w:rsid w:val="00926EFB"/>
    <w:rsid w:val="00927176"/>
    <w:rsid w:val="00927536"/>
    <w:rsid w:val="00927A7D"/>
    <w:rsid w:val="00927BB5"/>
    <w:rsid w:val="00927CA0"/>
    <w:rsid w:val="00927D51"/>
    <w:rsid w:val="00927D71"/>
    <w:rsid w:val="00927E33"/>
    <w:rsid w:val="009302A5"/>
    <w:rsid w:val="00930F50"/>
    <w:rsid w:val="00931988"/>
    <w:rsid w:val="00931CD3"/>
    <w:rsid w:val="00931DF8"/>
    <w:rsid w:val="00933025"/>
    <w:rsid w:val="009331C9"/>
    <w:rsid w:val="009333F2"/>
    <w:rsid w:val="0093376B"/>
    <w:rsid w:val="00933BF1"/>
    <w:rsid w:val="00933CD2"/>
    <w:rsid w:val="00934AFC"/>
    <w:rsid w:val="00934B05"/>
    <w:rsid w:val="00935607"/>
    <w:rsid w:val="00935A6D"/>
    <w:rsid w:val="00935A9E"/>
    <w:rsid w:val="00935CBF"/>
    <w:rsid w:val="0093628A"/>
    <w:rsid w:val="009363BB"/>
    <w:rsid w:val="0093653A"/>
    <w:rsid w:val="00936957"/>
    <w:rsid w:val="009373DC"/>
    <w:rsid w:val="00937650"/>
    <w:rsid w:val="00937E35"/>
    <w:rsid w:val="00940007"/>
    <w:rsid w:val="00940704"/>
    <w:rsid w:val="009407DB"/>
    <w:rsid w:val="00940F5E"/>
    <w:rsid w:val="00941445"/>
    <w:rsid w:val="00941BCE"/>
    <w:rsid w:val="00941F7E"/>
    <w:rsid w:val="0094235A"/>
    <w:rsid w:val="009423F4"/>
    <w:rsid w:val="009424AC"/>
    <w:rsid w:val="009424F3"/>
    <w:rsid w:val="00942A56"/>
    <w:rsid w:val="00943227"/>
    <w:rsid w:val="0094369D"/>
    <w:rsid w:val="00943A97"/>
    <w:rsid w:val="00943DB4"/>
    <w:rsid w:val="00945125"/>
    <w:rsid w:val="00946396"/>
    <w:rsid w:val="00946E98"/>
    <w:rsid w:val="009475B2"/>
    <w:rsid w:val="00947875"/>
    <w:rsid w:val="00947CE8"/>
    <w:rsid w:val="00950569"/>
    <w:rsid w:val="00950736"/>
    <w:rsid w:val="00950906"/>
    <w:rsid w:val="009509DA"/>
    <w:rsid w:val="00950E93"/>
    <w:rsid w:val="009516FF"/>
    <w:rsid w:val="009517C7"/>
    <w:rsid w:val="00951D90"/>
    <w:rsid w:val="00951F8F"/>
    <w:rsid w:val="009520C1"/>
    <w:rsid w:val="009520F7"/>
    <w:rsid w:val="00952379"/>
    <w:rsid w:val="00952464"/>
    <w:rsid w:val="00952537"/>
    <w:rsid w:val="00952CB6"/>
    <w:rsid w:val="00953BA4"/>
    <w:rsid w:val="00953EC4"/>
    <w:rsid w:val="009543AC"/>
    <w:rsid w:val="009548FA"/>
    <w:rsid w:val="00955383"/>
    <w:rsid w:val="0095568D"/>
    <w:rsid w:val="00955A23"/>
    <w:rsid w:val="00955B54"/>
    <w:rsid w:val="009560EF"/>
    <w:rsid w:val="0095610C"/>
    <w:rsid w:val="009563A2"/>
    <w:rsid w:val="0095737B"/>
    <w:rsid w:val="009606E3"/>
    <w:rsid w:val="00961CAE"/>
    <w:rsid w:val="00961D9E"/>
    <w:rsid w:val="009621CB"/>
    <w:rsid w:val="009623D3"/>
    <w:rsid w:val="0096283C"/>
    <w:rsid w:val="00962A33"/>
    <w:rsid w:val="0096305E"/>
    <w:rsid w:val="009630E5"/>
    <w:rsid w:val="0096327A"/>
    <w:rsid w:val="009633CD"/>
    <w:rsid w:val="009638DD"/>
    <w:rsid w:val="00963920"/>
    <w:rsid w:val="00963AD8"/>
    <w:rsid w:val="0096415F"/>
    <w:rsid w:val="00964F6F"/>
    <w:rsid w:val="00965123"/>
    <w:rsid w:val="009652FE"/>
    <w:rsid w:val="0096574C"/>
    <w:rsid w:val="00965858"/>
    <w:rsid w:val="00965B94"/>
    <w:rsid w:val="00966219"/>
    <w:rsid w:val="00966323"/>
    <w:rsid w:val="00966875"/>
    <w:rsid w:val="00966E91"/>
    <w:rsid w:val="009676C5"/>
    <w:rsid w:val="00967B09"/>
    <w:rsid w:val="00967CEF"/>
    <w:rsid w:val="00970331"/>
    <w:rsid w:val="009703EE"/>
    <w:rsid w:val="00970847"/>
    <w:rsid w:val="009708C1"/>
    <w:rsid w:val="00970DFC"/>
    <w:rsid w:val="00970FC6"/>
    <w:rsid w:val="0097136C"/>
    <w:rsid w:val="00971AE9"/>
    <w:rsid w:val="00971BEC"/>
    <w:rsid w:val="00971D9A"/>
    <w:rsid w:val="00971F76"/>
    <w:rsid w:val="00972BC0"/>
    <w:rsid w:val="00972D2B"/>
    <w:rsid w:val="00972E62"/>
    <w:rsid w:val="00973094"/>
    <w:rsid w:val="00973247"/>
    <w:rsid w:val="009737D1"/>
    <w:rsid w:val="00973991"/>
    <w:rsid w:val="00973A1A"/>
    <w:rsid w:val="00973EE0"/>
    <w:rsid w:val="00973F70"/>
    <w:rsid w:val="009746B9"/>
    <w:rsid w:val="0097512A"/>
    <w:rsid w:val="0097553F"/>
    <w:rsid w:val="009758D7"/>
    <w:rsid w:val="00975901"/>
    <w:rsid w:val="00975AD0"/>
    <w:rsid w:val="0097608C"/>
    <w:rsid w:val="00976533"/>
    <w:rsid w:val="009765AA"/>
    <w:rsid w:val="00976A11"/>
    <w:rsid w:val="00976C46"/>
    <w:rsid w:val="00976DE3"/>
    <w:rsid w:val="00977719"/>
    <w:rsid w:val="00977755"/>
    <w:rsid w:val="009806A6"/>
    <w:rsid w:val="00980C94"/>
    <w:rsid w:val="009817C1"/>
    <w:rsid w:val="00981D91"/>
    <w:rsid w:val="00982528"/>
    <w:rsid w:val="00982E7A"/>
    <w:rsid w:val="0098346D"/>
    <w:rsid w:val="0098399F"/>
    <w:rsid w:val="00983D8B"/>
    <w:rsid w:val="009845B3"/>
    <w:rsid w:val="00984732"/>
    <w:rsid w:val="00984EDF"/>
    <w:rsid w:val="0098537C"/>
    <w:rsid w:val="009853DF"/>
    <w:rsid w:val="009859D8"/>
    <w:rsid w:val="00986F9E"/>
    <w:rsid w:val="0098714E"/>
    <w:rsid w:val="0098759F"/>
    <w:rsid w:val="00987839"/>
    <w:rsid w:val="00987CD7"/>
    <w:rsid w:val="00987D9E"/>
    <w:rsid w:val="009910A5"/>
    <w:rsid w:val="009911CD"/>
    <w:rsid w:val="009912D6"/>
    <w:rsid w:val="009915F7"/>
    <w:rsid w:val="00991AAF"/>
    <w:rsid w:val="00992AF7"/>
    <w:rsid w:val="00992C5B"/>
    <w:rsid w:val="00992D00"/>
    <w:rsid w:val="00992E84"/>
    <w:rsid w:val="0099357F"/>
    <w:rsid w:val="009935C2"/>
    <w:rsid w:val="009935F5"/>
    <w:rsid w:val="0099374A"/>
    <w:rsid w:val="00993F93"/>
    <w:rsid w:val="00994D1A"/>
    <w:rsid w:val="00994D58"/>
    <w:rsid w:val="0099549D"/>
    <w:rsid w:val="009965EE"/>
    <w:rsid w:val="009966D3"/>
    <w:rsid w:val="00996865"/>
    <w:rsid w:val="00996C1A"/>
    <w:rsid w:val="009979DA"/>
    <w:rsid w:val="00997F4B"/>
    <w:rsid w:val="009A03E8"/>
    <w:rsid w:val="009A076B"/>
    <w:rsid w:val="009A07BA"/>
    <w:rsid w:val="009A087D"/>
    <w:rsid w:val="009A08CA"/>
    <w:rsid w:val="009A0F5C"/>
    <w:rsid w:val="009A113A"/>
    <w:rsid w:val="009A1DCD"/>
    <w:rsid w:val="009A1F26"/>
    <w:rsid w:val="009A2034"/>
    <w:rsid w:val="009A20AB"/>
    <w:rsid w:val="009A212E"/>
    <w:rsid w:val="009A2289"/>
    <w:rsid w:val="009A242D"/>
    <w:rsid w:val="009A256B"/>
    <w:rsid w:val="009A25C6"/>
    <w:rsid w:val="009A2E88"/>
    <w:rsid w:val="009A302E"/>
    <w:rsid w:val="009A3746"/>
    <w:rsid w:val="009A3865"/>
    <w:rsid w:val="009A4ECD"/>
    <w:rsid w:val="009A5475"/>
    <w:rsid w:val="009A54B4"/>
    <w:rsid w:val="009A5705"/>
    <w:rsid w:val="009A61F2"/>
    <w:rsid w:val="009A758C"/>
    <w:rsid w:val="009A79B9"/>
    <w:rsid w:val="009A7BE6"/>
    <w:rsid w:val="009B0065"/>
    <w:rsid w:val="009B0180"/>
    <w:rsid w:val="009B0C4F"/>
    <w:rsid w:val="009B115D"/>
    <w:rsid w:val="009B19D9"/>
    <w:rsid w:val="009B1D6D"/>
    <w:rsid w:val="009B25DC"/>
    <w:rsid w:val="009B2CD8"/>
    <w:rsid w:val="009B2D90"/>
    <w:rsid w:val="009B2EFA"/>
    <w:rsid w:val="009B3BA5"/>
    <w:rsid w:val="009B3C51"/>
    <w:rsid w:val="009B3D99"/>
    <w:rsid w:val="009B400E"/>
    <w:rsid w:val="009B422B"/>
    <w:rsid w:val="009B55F5"/>
    <w:rsid w:val="009B574F"/>
    <w:rsid w:val="009B62EB"/>
    <w:rsid w:val="009B6752"/>
    <w:rsid w:val="009B6CBB"/>
    <w:rsid w:val="009B6EF7"/>
    <w:rsid w:val="009B6F79"/>
    <w:rsid w:val="009B72CD"/>
    <w:rsid w:val="009B7738"/>
    <w:rsid w:val="009B7E50"/>
    <w:rsid w:val="009C0259"/>
    <w:rsid w:val="009C097D"/>
    <w:rsid w:val="009C0DDD"/>
    <w:rsid w:val="009C0E19"/>
    <w:rsid w:val="009C170E"/>
    <w:rsid w:val="009C1811"/>
    <w:rsid w:val="009C1D09"/>
    <w:rsid w:val="009C24D3"/>
    <w:rsid w:val="009C2559"/>
    <w:rsid w:val="009C2882"/>
    <w:rsid w:val="009C297F"/>
    <w:rsid w:val="009C2D84"/>
    <w:rsid w:val="009C2FAB"/>
    <w:rsid w:val="009C37A8"/>
    <w:rsid w:val="009C3F1B"/>
    <w:rsid w:val="009C460F"/>
    <w:rsid w:val="009C5340"/>
    <w:rsid w:val="009C665F"/>
    <w:rsid w:val="009C6A70"/>
    <w:rsid w:val="009C6BF5"/>
    <w:rsid w:val="009C6DAA"/>
    <w:rsid w:val="009C6E8F"/>
    <w:rsid w:val="009C707C"/>
    <w:rsid w:val="009C7573"/>
    <w:rsid w:val="009C7EBA"/>
    <w:rsid w:val="009D027C"/>
    <w:rsid w:val="009D04F5"/>
    <w:rsid w:val="009D0650"/>
    <w:rsid w:val="009D09AE"/>
    <w:rsid w:val="009D0B5E"/>
    <w:rsid w:val="009D0BBA"/>
    <w:rsid w:val="009D0F1F"/>
    <w:rsid w:val="009D13A2"/>
    <w:rsid w:val="009D2268"/>
    <w:rsid w:val="009D23A1"/>
    <w:rsid w:val="009D23FA"/>
    <w:rsid w:val="009D4196"/>
    <w:rsid w:val="009D5139"/>
    <w:rsid w:val="009D51FE"/>
    <w:rsid w:val="009D5E58"/>
    <w:rsid w:val="009D5F49"/>
    <w:rsid w:val="009D63E8"/>
    <w:rsid w:val="009D6695"/>
    <w:rsid w:val="009D6A6E"/>
    <w:rsid w:val="009D6C99"/>
    <w:rsid w:val="009D7381"/>
    <w:rsid w:val="009D7413"/>
    <w:rsid w:val="009D777B"/>
    <w:rsid w:val="009E02F9"/>
    <w:rsid w:val="009E0B1C"/>
    <w:rsid w:val="009E0D24"/>
    <w:rsid w:val="009E0E97"/>
    <w:rsid w:val="009E0F5E"/>
    <w:rsid w:val="009E1977"/>
    <w:rsid w:val="009E1C29"/>
    <w:rsid w:val="009E2EBF"/>
    <w:rsid w:val="009E3445"/>
    <w:rsid w:val="009E3861"/>
    <w:rsid w:val="009E3BED"/>
    <w:rsid w:val="009E3D6B"/>
    <w:rsid w:val="009E3F2F"/>
    <w:rsid w:val="009E41DC"/>
    <w:rsid w:val="009E43FC"/>
    <w:rsid w:val="009E4737"/>
    <w:rsid w:val="009E4B89"/>
    <w:rsid w:val="009E5269"/>
    <w:rsid w:val="009E57A7"/>
    <w:rsid w:val="009E5C54"/>
    <w:rsid w:val="009E5DBA"/>
    <w:rsid w:val="009E5EA6"/>
    <w:rsid w:val="009E6929"/>
    <w:rsid w:val="009E6C62"/>
    <w:rsid w:val="009E7058"/>
    <w:rsid w:val="009E73E5"/>
    <w:rsid w:val="009E7BBC"/>
    <w:rsid w:val="009E7C02"/>
    <w:rsid w:val="009F04B2"/>
    <w:rsid w:val="009F0FA7"/>
    <w:rsid w:val="009F16A9"/>
    <w:rsid w:val="009F1C6A"/>
    <w:rsid w:val="009F2575"/>
    <w:rsid w:val="009F3919"/>
    <w:rsid w:val="009F3C76"/>
    <w:rsid w:val="009F3D97"/>
    <w:rsid w:val="009F3DF0"/>
    <w:rsid w:val="009F44C1"/>
    <w:rsid w:val="009F4761"/>
    <w:rsid w:val="009F49DB"/>
    <w:rsid w:val="009F4C3A"/>
    <w:rsid w:val="009F4C88"/>
    <w:rsid w:val="009F4E2D"/>
    <w:rsid w:val="009F5014"/>
    <w:rsid w:val="009F5613"/>
    <w:rsid w:val="009F5D5E"/>
    <w:rsid w:val="009F5E15"/>
    <w:rsid w:val="009F624F"/>
    <w:rsid w:val="009F6430"/>
    <w:rsid w:val="009F6550"/>
    <w:rsid w:val="009F6F39"/>
    <w:rsid w:val="009F700D"/>
    <w:rsid w:val="009F7347"/>
    <w:rsid w:val="009F7352"/>
    <w:rsid w:val="009F7830"/>
    <w:rsid w:val="009F78F9"/>
    <w:rsid w:val="009F7FE4"/>
    <w:rsid w:val="00A00260"/>
    <w:rsid w:val="00A003FD"/>
    <w:rsid w:val="00A004E4"/>
    <w:rsid w:val="00A014E2"/>
    <w:rsid w:val="00A01892"/>
    <w:rsid w:val="00A01968"/>
    <w:rsid w:val="00A02317"/>
    <w:rsid w:val="00A02541"/>
    <w:rsid w:val="00A0274F"/>
    <w:rsid w:val="00A0286A"/>
    <w:rsid w:val="00A029E3"/>
    <w:rsid w:val="00A02F3F"/>
    <w:rsid w:val="00A0315B"/>
    <w:rsid w:val="00A037C2"/>
    <w:rsid w:val="00A03868"/>
    <w:rsid w:val="00A03958"/>
    <w:rsid w:val="00A04773"/>
    <w:rsid w:val="00A04D7F"/>
    <w:rsid w:val="00A04E8D"/>
    <w:rsid w:val="00A04ECC"/>
    <w:rsid w:val="00A0538C"/>
    <w:rsid w:val="00A054FF"/>
    <w:rsid w:val="00A056FB"/>
    <w:rsid w:val="00A057BA"/>
    <w:rsid w:val="00A05C7F"/>
    <w:rsid w:val="00A05CB8"/>
    <w:rsid w:val="00A06A93"/>
    <w:rsid w:val="00A07081"/>
    <w:rsid w:val="00A071EE"/>
    <w:rsid w:val="00A074F0"/>
    <w:rsid w:val="00A07E5D"/>
    <w:rsid w:val="00A107BA"/>
    <w:rsid w:val="00A10C89"/>
    <w:rsid w:val="00A10C96"/>
    <w:rsid w:val="00A10DD0"/>
    <w:rsid w:val="00A11194"/>
    <w:rsid w:val="00A1137B"/>
    <w:rsid w:val="00A11C33"/>
    <w:rsid w:val="00A12625"/>
    <w:rsid w:val="00A12BDE"/>
    <w:rsid w:val="00A12C01"/>
    <w:rsid w:val="00A130EE"/>
    <w:rsid w:val="00A13BCA"/>
    <w:rsid w:val="00A14607"/>
    <w:rsid w:val="00A14806"/>
    <w:rsid w:val="00A14F2D"/>
    <w:rsid w:val="00A15108"/>
    <w:rsid w:val="00A15632"/>
    <w:rsid w:val="00A15FF1"/>
    <w:rsid w:val="00A167ED"/>
    <w:rsid w:val="00A16D6C"/>
    <w:rsid w:val="00A170F1"/>
    <w:rsid w:val="00A1764B"/>
    <w:rsid w:val="00A176E5"/>
    <w:rsid w:val="00A1779C"/>
    <w:rsid w:val="00A17C06"/>
    <w:rsid w:val="00A17D66"/>
    <w:rsid w:val="00A17DFF"/>
    <w:rsid w:val="00A17FEA"/>
    <w:rsid w:val="00A209B2"/>
    <w:rsid w:val="00A2101A"/>
    <w:rsid w:val="00A2126A"/>
    <w:rsid w:val="00A2177F"/>
    <w:rsid w:val="00A21A8A"/>
    <w:rsid w:val="00A21EFA"/>
    <w:rsid w:val="00A22173"/>
    <w:rsid w:val="00A223C7"/>
    <w:rsid w:val="00A22859"/>
    <w:rsid w:val="00A23233"/>
    <w:rsid w:val="00A2330B"/>
    <w:rsid w:val="00A238E1"/>
    <w:rsid w:val="00A23911"/>
    <w:rsid w:val="00A2418C"/>
    <w:rsid w:val="00A241D3"/>
    <w:rsid w:val="00A24A53"/>
    <w:rsid w:val="00A254F6"/>
    <w:rsid w:val="00A25A99"/>
    <w:rsid w:val="00A25AB4"/>
    <w:rsid w:val="00A25E04"/>
    <w:rsid w:val="00A261ED"/>
    <w:rsid w:val="00A26FF6"/>
    <w:rsid w:val="00A27826"/>
    <w:rsid w:val="00A278DE"/>
    <w:rsid w:val="00A27BA0"/>
    <w:rsid w:val="00A27FE0"/>
    <w:rsid w:val="00A311EA"/>
    <w:rsid w:val="00A3231E"/>
    <w:rsid w:val="00A3259B"/>
    <w:rsid w:val="00A3268A"/>
    <w:rsid w:val="00A33508"/>
    <w:rsid w:val="00A33EE0"/>
    <w:rsid w:val="00A349DA"/>
    <w:rsid w:val="00A34AB0"/>
    <w:rsid w:val="00A34E15"/>
    <w:rsid w:val="00A3575A"/>
    <w:rsid w:val="00A358CE"/>
    <w:rsid w:val="00A35B1B"/>
    <w:rsid w:val="00A35DE9"/>
    <w:rsid w:val="00A35F2C"/>
    <w:rsid w:val="00A36AD0"/>
    <w:rsid w:val="00A37530"/>
    <w:rsid w:val="00A40128"/>
    <w:rsid w:val="00A4042F"/>
    <w:rsid w:val="00A413B6"/>
    <w:rsid w:val="00A415AE"/>
    <w:rsid w:val="00A41BE7"/>
    <w:rsid w:val="00A41C15"/>
    <w:rsid w:val="00A41D3C"/>
    <w:rsid w:val="00A41F4A"/>
    <w:rsid w:val="00A4239E"/>
    <w:rsid w:val="00A431F7"/>
    <w:rsid w:val="00A435B0"/>
    <w:rsid w:val="00A43A32"/>
    <w:rsid w:val="00A43A4C"/>
    <w:rsid w:val="00A43DDB"/>
    <w:rsid w:val="00A446E0"/>
    <w:rsid w:val="00A44977"/>
    <w:rsid w:val="00A4651C"/>
    <w:rsid w:val="00A4655D"/>
    <w:rsid w:val="00A4691F"/>
    <w:rsid w:val="00A46F40"/>
    <w:rsid w:val="00A4757F"/>
    <w:rsid w:val="00A4786F"/>
    <w:rsid w:val="00A5085E"/>
    <w:rsid w:val="00A50DE5"/>
    <w:rsid w:val="00A512C9"/>
    <w:rsid w:val="00A512FC"/>
    <w:rsid w:val="00A51B31"/>
    <w:rsid w:val="00A51FB5"/>
    <w:rsid w:val="00A52119"/>
    <w:rsid w:val="00A5222B"/>
    <w:rsid w:val="00A52274"/>
    <w:rsid w:val="00A528D3"/>
    <w:rsid w:val="00A52C45"/>
    <w:rsid w:val="00A53617"/>
    <w:rsid w:val="00A53945"/>
    <w:rsid w:val="00A541E1"/>
    <w:rsid w:val="00A545A9"/>
    <w:rsid w:val="00A54841"/>
    <w:rsid w:val="00A54A10"/>
    <w:rsid w:val="00A54D80"/>
    <w:rsid w:val="00A54FA3"/>
    <w:rsid w:val="00A55185"/>
    <w:rsid w:val="00A5527B"/>
    <w:rsid w:val="00A553F3"/>
    <w:rsid w:val="00A555AA"/>
    <w:rsid w:val="00A555E7"/>
    <w:rsid w:val="00A557F1"/>
    <w:rsid w:val="00A55C57"/>
    <w:rsid w:val="00A55D37"/>
    <w:rsid w:val="00A55D82"/>
    <w:rsid w:val="00A55F5F"/>
    <w:rsid w:val="00A56033"/>
    <w:rsid w:val="00A56331"/>
    <w:rsid w:val="00A56AFB"/>
    <w:rsid w:val="00A56E5E"/>
    <w:rsid w:val="00A5703A"/>
    <w:rsid w:val="00A5738A"/>
    <w:rsid w:val="00A57E82"/>
    <w:rsid w:val="00A600E9"/>
    <w:rsid w:val="00A602F5"/>
    <w:rsid w:val="00A607E5"/>
    <w:rsid w:val="00A6165B"/>
    <w:rsid w:val="00A61953"/>
    <w:rsid w:val="00A621CC"/>
    <w:rsid w:val="00A62C9E"/>
    <w:rsid w:val="00A6392B"/>
    <w:rsid w:val="00A639FD"/>
    <w:rsid w:val="00A64853"/>
    <w:rsid w:val="00A64894"/>
    <w:rsid w:val="00A64A18"/>
    <w:rsid w:val="00A64B4E"/>
    <w:rsid w:val="00A6563D"/>
    <w:rsid w:val="00A6587D"/>
    <w:rsid w:val="00A65B94"/>
    <w:rsid w:val="00A65BA0"/>
    <w:rsid w:val="00A65C7A"/>
    <w:rsid w:val="00A66009"/>
    <w:rsid w:val="00A661D2"/>
    <w:rsid w:val="00A66390"/>
    <w:rsid w:val="00A66394"/>
    <w:rsid w:val="00A664B5"/>
    <w:rsid w:val="00A66766"/>
    <w:rsid w:val="00A66BB9"/>
    <w:rsid w:val="00A67095"/>
    <w:rsid w:val="00A671EF"/>
    <w:rsid w:val="00A678C0"/>
    <w:rsid w:val="00A679DC"/>
    <w:rsid w:val="00A679E5"/>
    <w:rsid w:val="00A67FDA"/>
    <w:rsid w:val="00A703E6"/>
    <w:rsid w:val="00A7048E"/>
    <w:rsid w:val="00A707B6"/>
    <w:rsid w:val="00A70A27"/>
    <w:rsid w:val="00A70FF4"/>
    <w:rsid w:val="00A71337"/>
    <w:rsid w:val="00A718EE"/>
    <w:rsid w:val="00A720F3"/>
    <w:rsid w:val="00A72136"/>
    <w:rsid w:val="00A721C9"/>
    <w:rsid w:val="00A7284B"/>
    <w:rsid w:val="00A729F2"/>
    <w:rsid w:val="00A72CF3"/>
    <w:rsid w:val="00A746E4"/>
    <w:rsid w:val="00A747FD"/>
    <w:rsid w:val="00A751D7"/>
    <w:rsid w:val="00A7531E"/>
    <w:rsid w:val="00A7551F"/>
    <w:rsid w:val="00A76610"/>
    <w:rsid w:val="00A767E8"/>
    <w:rsid w:val="00A76B42"/>
    <w:rsid w:val="00A771B3"/>
    <w:rsid w:val="00A77546"/>
    <w:rsid w:val="00A776C3"/>
    <w:rsid w:val="00A809DA"/>
    <w:rsid w:val="00A80AFC"/>
    <w:rsid w:val="00A80B08"/>
    <w:rsid w:val="00A80B13"/>
    <w:rsid w:val="00A80DC2"/>
    <w:rsid w:val="00A81480"/>
    <w:rsid w:val="00A81506"/>
    <w:rsid w:val="00A81D43"/>
    <w:rsid w:val="00A82C04"/>
    <w:rsid w:val="00A82D60"/>
    <w:rsid w:val="00A82D96"/>
    <w:rsid w:val="00A83129"/>
    <w:rsid w:val="00A83B20"/>
    <w:rsid w:val="00A83ED9"/>
    <w:rsid w:val="00A84B72"/>
    <w:rsid w:val="00A84D27"/>
    <w:rsid w:val="00A84F81"/>
    <w:rsid w:val="00A856D2"/>
    <w:rsid w:val="00A85791"/>
    <w:rsid w:val="00A8595A"/>
    <w:rsid w:val="00A8664D"/>
    <w:rsid w:val="00A86951"/>
    <w:rsid w:val="00A86F94"/>
    <w:rsid w:val="00A875F1"/>
    <w:rsid w:val="00A8778A"/>
    <w:rsid w:val="00A8789B"/>
    <w:rsid w:val="00A901FE"/>
    <w:rsid w:val="00A90AA4"/>
    <w:rsid w:val="00A9185F"/>
    <w:rsid w:val="00A91AAC"/>
    <w:rsid w:val="00A91FB1"/>
    <w:rsid w:val="00A92006"/>
    <w:rsid w:val="00A9268C"/>
    <w:rsid w:val="00A9285B"/>
    <w:rsid w:val="00A92D3D"/>
    <w:rsid w:val="00A92D92"/>
    <w:rsid w:val="00A93397"/>
    <w:rsid w:val="00A9340D"/>
    <w:rsid w:val="00A94098"/>
    <w:rsid w:val="00A94110"/>
    <w:rsid w:val="00A947FE"/>
    <w:rsid w:val="00A94847"/>
    <w:rsid w:val="00A94885"/>
    <w:rsid w:val="00A9495B"/>
    <w:rsid w:val="00A94B7F"/>
    <w:rsid w:val="00A94D08"/>
    <w:rsid w:val="00A95546"/>
    <w:rsid w:val="00A956DE"/>
    <w:rsid w:val="00A95C26"/>
    <w:rsid w:val="00A960B7"/>
    <w:rsid w:val="00A96381"/>
    <w:rsid w:val="00A963DA"/>
    <w:rsid w:val="00A96CBF"/>
    <w:rsid w:val="00A971AA"/>
    <w:rsid w:val="00A9762C"/>
    <w:rsid w:val="00A9775F"/>
    <w:rsid w:val="00A978D7"/>
    <w:rsid w:val="00A97AC5"/>
    <w:rsid w:val="00AA01EE"/>
    <w:rsid w:val="00AA02A6"/>
    <w:rsid w:val="00AA0747"/>
    <w:rsid w:val="00AA0E46"/>
    <w:rsid w:val="00AA18E0"/>
    <w:rsid w:val="00AA1C48"/>
    <w:rsid w:val="00AA20CD"/>
    <w:rsid w:val="00AA22F0"/>
    <w:rsid w:val="00AA233E"/>
    <w:rsid w:val="00AA2358"/>
    <w:rsid w:val="00AA3172"/>
    <w:rsid w:val="00AA361B"/>
    <w:rsid w:val="00AA36FE"/>
    <w:rsid w:val="00AA3786"/>
    <w:rsid w:val="00AA3AD7"/>
    <w:rsid w:val="00AA487A"/>
    <w:rsid w:val="00AA52E8"/>
    <w:rsid w:val="00AA52FE"/>
    <w:rsid w:val="00AA5E43"/>
    <w:rsid w:val="00AA5EB5"/>
    <w:rsid w:val="00AA6183"/>
    <w:rsid w:val="00AA66D3"/>
    <w:rsid w:val="00AA6814"/>
    <w:rsid w:val="00AA6B38"/>
    <w:rsid w:val="00AA71B9"/>
    <w:rsid w:val="00AA78EE"/>
    <w:rsid w:val="00AA7C2E"/>
    <w:rsid w:val="00AA7CF2"/>
    <w:rsid w:val="00AB0051"/>
    <w:rsid w:val="00AB01A0"/>
    <w:rsid w:val="00AB0C51"/>
    <w:rsid w:val="00AB1024"/>
    <w:rsid w:val="00AB10FB"/>
    <w:rsid w:val="00AB147E"/>
    <w:rsid w:val="00AB15AB"/>
    <w:rsid w:val="00AB1C7C"/>
    <w:rsid w:val="00AB21D1"/>
    <w:rsid w:val="00AB285B"/>
    <w:rsid w:val="00AB2FFC"/>
    <w:rsid w:val="00AB312A"/>
    <w:rsid w:val="00AB32C2"/>
    <w:rsid w:val="00AB3D82"/>
    <w:rsid w:val="00AB40A1"/>
    <w:rsid w:val="00AB40FC"/>
    <w:rsid w:val="00AB496C"/>
    <w:rsid w:val="00AB4C0D"/>
    <w:rsid w:val="00AB4E5C"/>
    <w:rsid w:val="00AB5557"/>
    <w:rsid w:val="00AB5793"/>
    <w:rsid w:val="00AB586E"/>
    <w:rsid w:val="00AB5DE7"/>
    <w:rsid w:val="00AB61D5"/>
    <w:rsid w:val="00AB64F8"/>
    <w:rsid w:val="00AB6A52"/>
    <w:rsid w:val="00AB6D09"/>
    <w:rsid w:val="00AB6DD0"/>
    <w:rsid w:val="00AB6DD9"/>
    <w:rsid w:val="00AB7525"/>
    <w:rsid w:val="00AB764D"/>
    <w:rsid w:val="00AB7B96"/>
    <w:rsid w:val="00AB7F44"/>
    <w:rsid w:val="00AC02F5"/>
    <w:rsid w:val="00AC091F"/>
    <w:rsid w:val="00AC229E"/>
    <w:rsid w:val="00AC27B3"/>
    <w:rsid w:val="00AC295A"/>
    <w:rsid w:val="00AC2EEE"/>
    <w:rsid w:val="00AC31CC"/>
    <w:rsid w:val="00AC353D"/>
    <w:rsid w:val="00AC386D"/>
    <w:rsid w:val="00AC3B39"/>
    <w:rsid w:val="00AC3CE1"/>
    <w:rsid w:val="00AC3D8B"/>
    <w:rsid w:val="00AC42D1"/>
    <w:rsid w:val="00AC45AB"/>
    <w:rsid w:val="00AC4FCB"/>
    <w:rsid w:val="00AC5467"/>
    <w:rsid w:val="00AC587F"/>
    <w:rsid w:val="00AC58BD"/>
    <w:rsid w:val="00AC5BA7"/>
    <w:rsid w:val="00AC5D4C"/>
    <w:rsid w:val="00AC6052"/>
    <w:rsid w:val="00AC6DA9"/>
    <w:rsid w:val="00AC72FA"/>
    <w:rsid w:val="00AC765D"/>
    <w:rsid w:val="00AC7884"/>
    <w:rsid w:val="00AD024F"/>
    <w:rsid w:val="00AD0D82"/>
    <w:rsid w:val="00AD1672"/>
    <w:rsid w:val="00AD199B"/>
    <w:rsid w:val="00AD1BCA"/>
    <w:rsid w:val="00AD224E"/>
    <w:rsid w:val="00AD2617"/>
    <w:rsid w:val="00AD2FC3"/>
    <w:rsid w:val="00AD3524"/>
    <w:rsid w:val="00AD376B"/>
    <w:rsid w:val="00AD3D59"/>
    <w:rsid w:val="00AD3EB3"/>
    <w:rsid w:val="00AD3F33"/>
    <w:rsid w:val="00AD49C8"/>
    <w:rsid w:val="00AD49E9"/>
    <w:rsid w:val="00AD5F54"/>
    <w:rsid w:val="00AD6021"/>
    <w:rsid w:val="00AD6237"/>
    <w:rsid w:val="00AD6B92"/>
    <w:rsid w:val="00AD6C8F"/>
    <w:rsid w:val="00AD6ED0"/>
    <w:rsid w:val="00AD6FA1"/>
    <w:rsid w:val="00AD722B"/>
    <w:rsid w:val="00AD7311"/>
    <w:rsid w:val="00AD7416"/>
    <w:rsid w:val="00AD7758"/>
    <w:rsid w:val="00AE0697"/>
    <w:rsid w:val="00AE146A"/>
    <w:rsid w:val="00AE189C"/>
    <w:rsid w:val="00AE1BED"/>
    <w:rsid w:val="00AE1CA2"/>
    <w:rsid w:val="00AE2055"/>
    <w:rsid w:val="00AE20C9"/>
    <w:rsid w:val="00AE20D8"/>
    <w:rsid w:val="00AE3259"/>
    <w:rsid w:val="00AE3457"/>
    <w:rsid w:val="00AE42DE"/>
    <w:rsid w:val="00AE4C35"/>
    <w:rsid w:val="00AE4C85"/>
    <w:rsid w:val="00AE5542"/>
    <w:rsid w:val="00AE570D"/>
    <w:rsid w:val="00AE6090"/>
    <w:rsid w:val="00AE63FB"/>
    <w:rsid w:val="00AE65F0"/>
    <w:rsid w:val="00AE65FA"/>
    <w:rsid w:val="00AE6631"/>
    <w:rsid w:val="00AE682A"/>
    <w:rsid w:val="00AE6B9B"/>
    <w:rsid w:val="00AE6E2C"/>
    <w:rsid w:val="00AF0070"/>
    <w:rsid w:val="00AF00BB"/>
    <w:rsid w:val="00AF0909"/>
    <w:rsid w:val="00AF0B8B"/>
    <w:rsid w:val="00AF0E08"/>
    <w:rsid w:val="00AF0EF8"/>
    <w:rsid w:val="00AF111B"/>
    <w:rsid w:val="00AF12BA"/>
    <w:rsid w:val="00AF16D3"/>
    <w:rsid w:val="00AF1840"/>
    <w:rsid w:val="00AF1F6D"/>
    <w:rsid w:val="00AF2613"/>
    <w:rsid w:val="00AF3516"/>
    <w:rsid w:val="00AF37B9"/>
    <w:rsid w:val="00AF3812"/>
    <w:rsid w:val="00AF3A05"/>
    <w:rsid w:val="00AF3B62"/>
    <w:rsid w:val="00AF3BB0"/>
    <w:rsid w:val="00AF410B"/>
    <w:rsid w:val="00AF43C3"/>
    <w:rsid w:val="00AF4E35"/>
    <w:rsid w:val="00AF559C"/>
    <w:rsid w:val="00AF5B81"/>
    <w:rsid w:val="00AF5F13"/>
    <w:rsid w:val="00AF616D"/>
    <w:rsid w:val="00AF629E"/>
    <w:rsid w:val="00AF65D4"/>
    <w:rsid w:val="00AF681E"/>
    <w:rsid w:val="00AF6A02"/>
    <w:rsid w:val="00AF6A27"/>
    <w:rsid w:val="00AF77D4"/>
    <w:rsid w:val="00AF7C51"/>
    <w:rsid w:val="00AF7CC3"/>
    <w:rsid w:val="00B0012B"/>
    <w:rsid w:val="00B0027F"/>
    <w:rsid w:val="00B009EC"/>
    <w:rsid w:val="00B00A32"/>
    <w:rsid w:val="00B00DCA"/>
    <w:rsid w:val="00B0113A"/>
    <w:rsid w:val="00B011D2"/>
    <w:rsid w:val="00B01AA9"/>
    <w:rsid w:val="00B01C44"/>
    <w:rsid w:val="00B01D95"/>
    <w:rsid w:val="00B021D0"/>
    <w:rsid w:val="00B02477"/>
    <w:rsid w:val="00B02CCF"/>
    <w:rsid w:val="00B03DEC"/>
    <w:rsid w:val="00B03F5C"/>
    <w:rsid w:val="00B0407B"/>
    <w:rsid w:val="00B04289"/>
    <w:rsid w:val="00B046C0"/>
    <w:rsid w:val="00B0487A"/>
    <w:rsid w:val="00B04EEE"/>
    <w:rsid w:val="00B05197"/>
    <w:rsid w:val="00B052D3"/>
    <w:rsid w:val="00B05451"/>
    <w:rsid w:val="00B055C4"/>
    <w:rsid w:val="00B05A99"/>
    <w:rsid w:val="00B05C8B"/>
    <w:rsid w:val="00B05EDF"/>
    <w:rsid w:val="00B06964"/>
    <w:rsid w:val="00B06C58"/>
    <w:rsid w:val="00B07827"/>
    <w:rsid w:val="00B07A7F"/>
    <w:rsid w:val="00B07FCF"/>
    <w:rsid w:val="00B10140"/>
    <w:rsid w:val="00B10214"/>
    <w:rsid w:val="00B1030A"/>
    <w:rsid w:val="00B107A4"/>
    <w:rsid w:val="00B10851"/>
    <w:rsid w:val="00B108A3"/>
    <w:rsid w:val="00B11170"/>
    <w:rsid w:val="00B111CB"/>
    <w:rsid w:val="00B11596"/>
    <w:rsid w:val="00B11CDB"/>
    <w:rsid w:val="00B127AB"/>
    <w:rsid w:val="00B12B1D"/>
    <w:rsid w:val="00B12CA2"/>
    <w:rsid w:val="00B12E96"/>
    <w:rsid w:val="00B13499"/>
    <w:rsid w:val="00B13513"/>
    <w:rsid w:val="00B13BAA"/>
    <w:rsid w:val="00B13FF5"/>
    <w:rsid w:val="00B15E9F"/>
    <w:rsid w:val="00B15F74"/>
    <w:rsid w:val="00B16019"/>
    <w:rsid w:val="00B16350"/>
    <w:rsid w:val="00B167EE"/>
    <w:rsid w:val="00B16D3A"/>
    <w:rsid w:val="00B17146"/>
    <w:rsid w:val="00B175D3"/>
    <w:rsid w:val="00B1768A"/>
    <w:rsid w:val="00B176B7"/>
    <w:rsid w:val="00B17707"/>
    <w:rsid w:val="00B17737"/>
    <w:rsid w:val="00B177BD"/>
    <w:rsid w:val="00B200A1"/>
    <w:rsid w:val="00B2080B"/>
    <w:rsid w:val="00B2087E"/>
    <w:rsid w:val="00B21ABE"/>
    <w:rsid w:val="00B21BB8"/>
    <w:rsid w:val="00B21DB6"/>
    <w:rsid w:val="00B21DC9"/>
    <w:rsid w:val="00B222FD"/>
    <w:rsid w:val="00B229DC"/>
    <w:rsid w:val="00B23533"/>
    <w:rsid w:val="00B23543"/>
    <w:rsid w:val="00B23A60"/>
    <w:rsid w:val="00B23A86"/>
    <w:rsid w:val="00B23C08"/>
    <w:rsid w:val="00B23EEE"/>
    <w:rsid w:val="00B24468"/>
    <w:rsid w:val="00B2472B"/>
    <w:rsid w:val="00B2492D"/>
    <w:rsid w:val="00B2508F"/>
    <w:rsid w:val="00B258F5"/>
    <w:rsid w:val="00B25D4E"/>
    <w:rsid w:val="00B25E16"/>
    <w:rsid w:val="00B2628F"/>
    <w:rsid w:val="00B26760"/>
    <w:rsid w:val="00B26E8C"/>
    <w:rsid w:val="00B27C36"/>
    <w:rsid w:val="00B27F91"/>
    <w:rsid w:val="00B30595"/>
    <w:rsid w:val="00B30A80"/>
    <w:rsid w:val="00B31C4B"/>
    <w:rsid w:val="00B321B8"/>
    <w:rsid w:val="00B32DC0"/>
    <w:rsid w:val="00B3338A"/>
    <w:rsid w:val="00B33546"/>
    <w:rsid w:val="00B3367A"/>
    <w:rsid w:val="00B33CBC"/>
    <w:rsid w:val="00B34172"/>
    <w:rsid w:val="00B34318"/>
    <w:rsid w:val="00B34A98"/>
    <w:rsid w:val="00B352DA"/>
    <w:rsid w:val="00B357B9"/>
    <w:rsid w:val="00B35AFF"/>
    <w:rsid w:val="00B35D3F"/>
    <w:rsid w:val="00B36067"/>
    <w:rsid w:val="00B3641C"/>
    <w:rsid w:val="00B364CD"/>
    <w:rsid w:val="00B369FD"/>
    <w:rsid w:val="00B36AC0"/>
    <w:rsid w:val="00B37750"/>
    <w:rsid w:val="00B40A29"/>
    <w:rsid w:val="00B40BA4"/>
    <w:rsid w:val="00B40BA8"/>
    <w:rsid w:val="00B40D3E"/>
    <w:rsid w:val="00B40DD1"/>
    <w:rsid w:val="00B4156E"/>
    <w:rsid w:val="00B416BF"/>
    <w:rsid w:val="00B41A92"/>
    <w:rsid w:val="00B41E41"/>
    <w:rsid w:val="00B41E84"/>
    <w:rsid w:val="00B42565"/>
    <w:rsid w:val="00B425B7"/>
    <w:rsid w:val="00B426A0"/>
    <w:rsid w:val="00B42F34"/>
    <w:rsid w:val="00B42F57"/>
    <w:rsid w:val="00B43711"/>
    <w:rsid w:val="00B4399A"/>
    <w:rsid w:val="00B441E3"/>
    <w:rsid w:val="00B44A26"/>
    <w:rsid w:val="00B44B61"/>
    <w:rsid w:val="00B44BA2"/>
    <w:rsid w:val="00B45274"/>
    <w:rsid w:val="00B45334"/>
    <w:rsid w:val="00B45416"/>
    <w:rsid w:val="00B4596F"/>
    <w:rsid w:val="00B4598A"/>
    <w:rsid w:val="00B459A5"/>
    <w:rsid w:val="00B45E31"/>
    <w:rsid w:val="00B45E8E"/>
    <w:rsid w:val="00B46213"/>
    <w:rsid w:val="00B4663D"/>
    <w:rsid w:val="00B46853"/>
    <w:rsid w:val="00B46997"/>
    <w:rsid w:val="00B46B9F"/>
    <w:rsid w:val="00B46DC6"/>
    <w:rsid w:val="00B46FCA"/>
    <w:rsid w:val="00B47358"/>
    <w:rsid w:val="00B4753E"/>
    <w:rsid w:val="00B504A2"/>
    <w:rsid w:val="00B50815"/>
    <w:rsid w:val="00B50D79"/>
    <w:rsid w:val="00B50E7C"/>
    <w:rsid w:val="00B5124B"/>
    <w:rsid w:val="00B51E45"/>
    <w:rsid w:val="00B51EA0"/>
    <w:rsid w:val="00B524CD"/>
    <w:rsid w:val="00B52848"/>
    <w:rsid w:val="00B530FF"/>
    <w:rsid w:val="00B532EF"/>
    <w:rsid w:val="00B53A3C"/>
    <w:rsid w:val="00B53E78"/>
    <w:rsid w:val="00B54866"/>
    <w:rsid w:val="00B54DC9"/>
    <w:rsid w:val="00B54E2E"/>
    <w:rsid w:val="00B5519D"/>
    <w:rsid w:val="00B553A9"/>
    <w:rsid w:val="00B55602"/>
    <w:rsid w:val="00B55739"/>
    <w:rsid w:val="00B55825"/>
    <w:rsid w:val="00B55907"/>
    <w:rsid w:val="00B55A0E"/>
    <w:rsid w:val="00B55CE4"/>
    <w:rsid w:val="00B55D58"/>
    <w:rsid w:val="00B55E51"/>
    <w:rsid w:val="00B5653E"/>
    <w:rsid w:val="00B569AC"/>
    <w:rsid w:val="00B571DE"/>
    <w:rsid w:val="00B572CD"/>
    <w:rsid w:val="00B57841"/>
    <w:rsid w:val="00B57857"/>
    <w:rsid w:val="00B601C3"/>
    <w:rsid w:val="00B609EB"/>
    <w:rsid w:val="00B60A53"/>
    <w:rsid w:val="00B6126C"/>
    <w:rsid w:val="00B616CB"/>
    <w:rsid w:val="00B618A3"/>
    <w:rsid w:val="00B61B57"/>
    <w:rsid w:val="00B623A1"/>
    <w:rsid w:val="00B62DFC"/>
    <w:rsid w:val="00B63177"/>
    <w:rsid w:val="00B631C2"/>
    <w:rsid w:val="00B634D2"/>
    <w:rsid w:val="00B63FB9"/>
    <w:rsid w:val="00B64008"/>
    <w:rsid w:val="00B64523"/>
    <w:rsid w:val="00B64998"/>
    <w:rsid w:val="00B65091"/>
    <w:rsid w:val="00B6516C"/>
    <w:rsid w:val="00B65A18"/>
    <w:rsid w:val="00B65E0E"/>
    <w:rsid w:val="00B67173"/>
    <w:rsid w:val="00B67438"/>
    <w:rsid w:val="00B675DE"/>
    <w:rsid w:val="00B67981"/>
    <w:rsid w:val="00B67C99"/>
    <w:rsid w:val="00B67D60"/>
    <w:rsid w:val="00B67F75"/>
    <w:rsid w:val="00B70D74"/>
    <w:rsid w:val="00B70F82"/>
    <w:rsid w:val="00B71281"/>
    <w:rsid w:val="00B71A03"/>
    <w:rsid w:val="00B71ABE"/>
    <w:rsid w:val="00B72028"/>
    <w:rsid w:val="00B722B6"/>
    <w:rsid w:val="00B722FC"/>
    <w:rsid w:val="00B725D3"/>
    <w:rsid w:val="00B72D6C"/>
    <w:rsid w:val="00B72E80"/>
    <w:rsid w:val="00B733A0"/>
    <w:rsid w:val="00B7358C"/>
    <w:rsid w:val="00B7412C"/>
    <w:rsid w:val="00B74B2B"/>
    <w:rsid w:val="00B74BB7"/>
    <w:rsid w:val="00B757AF"/>
    <w:rsid w:val="00B75976"/>
    <w:rsid w:val="00B75FC5"/>
    <w:rsid w:val="00B761B7"/>
    <w:rsid w:val="00B76232"/>
    <w:rsid w:val="00B76501"/>
    <w:rsid w:val="00B766B7"/>
    <w:rsid w:val="00B76962"/>
    <w:rsid w:val="00B76D55"/>
    <w:rsid w:val="00B7703D"/>
    <w:rsid w:val="00B776EB"/>
    <w:rsid w:val="00B801BF"/>
    <w:rsid w:val="00B80AB8"/>
    <w:rsid w:val="00B8127D"/>
    <w:rsid w:val="00B83112"/>
    <w:rsid w:val="00B83391"/>
    <w:rsid w:val="00B837D0"/>
    <w:rsid w:val="00B839D0"/>
    <w:rsid w:val="00B83CF1"/>
    <w:rsid w:val="00B84698"/>
    <w:rsid w:val="00B85889"/>
    <w:rsid w:val="00B85A12"/>
    <w:rsid w:val="00B86195"/>
    <w:rsid w:val="00B8628D"/>
    <w:rsid w:val="00B86A96"/>
    <w:rsid w:val="00B86C85"/>
    <w:rsid w:val="00B86CAB"/>
    <w:rsid w:val="00B86D06"/>
    <w:rsid w:val="00B86D1B"/>
    <w:rsid w:val="00B871C0"/>
    <w:rsid w:val="00B87427"/>
    <w:rsid w:val="00B8749B"/>
    <w:rsid w:val="00B87570"/>
    <w:rsid w:val="00B87CBF"/>
    <w:rsid w:val="00B87E39"/>
    <w:rsid w:val="00B90B07"/>
    <w:rsid w:val="00B90C89"/>
    <w:rsid w:val="00B9146E"/>
    <w:rsid w:val="00B91E06"/>
    <w:rsid w:val="00B91FCC"/>
    <w:rsid w:val="00B9258D"/>
    <w:rsid w:val="00B927D3"/>
    <w:rsid w:val="00B93007"/>
    <w:rsid w:val="00B9330E"/>
    <w:rsid w:val="00B93A30"/>
    <w:rsid w:val="00B946D6"/>
    <w:rsid w:val="00B94AE1"/>
    <w:rsid w:val="00B950A8"/>
    <w:rsid w:val="00B96498"/>
    <w:rsid w:val="00B967CB"/>
    <w:rsid w:val="00B96A8E"/>
    <w:rsid w:val="00B96A90"/>
    <w:rsid w:val="00B97351"/>
    <w:rsid w:val="00B97621"/>
    <w:rsid w:val="00B977B8"/>
    <w:rsid w:val="00B978AF"/>
    <w:rsid w:val="00B97B45"/>
    <w:rsid w:val="00BA0403"/>
    <w:rsid w:val="00BA05BE"/>
    <w:rsid w:val="00BA0943"/>
    <w:rsid w:val="00BA0A10"/>
    <w:rsid w:val="00BA168F"/>
    <w:rsid w:val="00BA16DE"/>
    <w:rsid w:val="00BA2527"/>
    <w:rsid w:val="00BA2796"/>
    <w:rsid w:val="00BA2E42"/>
    <w:rsid w:val="00BA2ED0"/>
    <w:rsid w:val="00BA2FEC"/>
    <w:rsid w:val="00BA50A6"/>
    <w:rsid w:val="00BA5688"/>
    <w:rsid w:val="00BA5827"/>
    <w:rsid w:val="00BA5938"/>
    <w:rsid w:val="00BA5AE7"/>
    <w:rsid w:val="00BA5D0B"/>
    <w:rsid w:val="00BA5F74"/>
    <w:rsid w:val="00BA5FDC"/>
    <w:rsid w:val="00BA670B"/>
    <w:rsid w:val="00BA6CB1"/>
    <w:rsid w:val="00BA7018"/>
    <w:rsid w:val="00BA7588"/>
    <w:rsid w:val="00BA77A0"/>
    <w:rsid w:val="00BA796D"/>
    <w:rsid w:val="00BB0740"/>
    <w:rsid w:val="00BB10AA"/>
    <w:rsid w:val="00BB1A0B"/>
    <w:rsid w:val="00BB1C0C"/>
    <w:rsid w:val="00BB22BC"/>
    <w:rsid w:val="00BB29D7"/>
    <w:rsid w:val="00BB34CA"/>
    <w:rsid w:val="00BB3591"/>
    <w:rsid w:val="00BB3707"/>
    <w:rsid w:val="00BB3C3B"/>
    <w:rsid w:val="00BB4498"/>
    <w:rsid w:val="00BB49FA"/>
    <w:rsid w:val="00BB4D44"/>
    <w:rsid w:val="00BB50C4"/>
    <w:rsid w:val="00BB5156"/>
    <w:rsid w:val="00BB5E49"/>
    <w:rsid w:val="00BB5E5A"/>
    <w:rsid w:val="00BB65E4"/>
    <w:rsid w:val="00BB6C90"/>
    <w:rsid w:val="00BB7FA9"/>
    <w:rsid w:val="00BC029D"/>
    <w:rsid w:val="00BC06B5"/>
    <w:rsid w:val="00BC0C24"/>
    <w:rsid w:val="00BC0E7E"/>
    <w:rsid w:val="00BC0E8E"/>
    <w:rsid w:val="00BC106C"/>
    <w:rsid w:val="00BC1361"/>
    <w:rsid w:val="00BC1EE1"/>
    <w:rsid w:val="00BC2687"/>
    <w:rsid w:val="00BC2D67"/>
    <w:rsid w:val="00BC3E19"/>
    <w:rsid w:val="00BC5492"/>
    <w:rsid w:val="00BC56F9"/>
    <w:rsid w:val="00BC62EC"/>
    <w:rsid w:val="00BC63A9"/>
    <w:rsid w:val="00BC6BD0"/>
    <w:rsid w:val="00BC6D75"/>
    <w:rsid w:val="00BC72DC"/>
    <w:rsid w:val="00BC7DE9"/>
    <w:rsid w:val="00BC7E29"/>
    <w:rsid w:val="00BC7E6A"/>
    <w:rsid w:val="00BC7FBD"/>
    <w:rsid w:val="00BC7FF3"/>
    <w:rsid w:val="00BD0514"/>
    <w:rsid w:val="00BD0D55"/>
    <w:rsid w:val="00BD12DE"/>
    <w:rsid w:val="00BD1565"/>
    <w:rsid w:val="00BD17F1"/>
    <w:rsid w:val="00BD1AF0"/>
    <w:rsid w:val="00BD20DE"/>
    <w:rsid w:val="00BD288E"/>
    <w:rsid w:val="00BD28C1"/>
    <w:rsid w:val="00BD305B"/>
    <w:rsid w:val="00BD37BE"/>
    <w:rsid w:val="00BD3840"/>
    <w:rsid w:val="00BD3ABD"/>
    <w:rsid w:val="00BD408B"/>
    <w:rsid w:val="00BD424C"/>
    <w:rsid w:val="00BD461D"/>
    <w:rsid w:val="00BD5089"/>
    <w:rsid w:val="00BD5111"/>
    <w:rsid w:val="00BD620B"/>
    <w:rsid w:val="00BD62AC"/>
    <w:rsid w:val="00BD68FB"/>
    <w:rsid w:val="00BD6FD4"/>
    <w:rsid w:val="00BD7129"/>
    <w:rsid w:val="00BD72CB"/>
    <w:rsid w:val="00BD76AF"/>
    <w:rsid w:val="00BD7A0F"/>
    <w:rsid w:val="00BD7B5A"/>
    <w:rsid w:val="00BD7CA8"/>
    <w:rsid w:val="00BE0899"/>
    <w:rsid w:val="00BE1127"/>
    <w:rsid w:val="00BE1529"/>
    <w:rsid w:val="00BE15C6"/>
    <w:rsid w:val="00BE1C01"/>
    <w:rsid w:val="00BE2B08"/>
    <w:rsid w:val="00BE30FB"/>
    <w:rsid w:val="00BE36FB"/>
    <w:rsid w:val="00BE387F"/>
    <w:rsid w:val="00BE3AA7"/>
    <w:rsid w:val="00BE3C6F"/>
    <w:rsid w:val="00BE41CE"/>
    <w:rsid w:val="00BE41ED"/>
    <w:rsid w:val="00BE485F"/>
    <w:rsid w:val="00BE494D"/>
    <w:rsid w:val="00BE4D0E"/>
    <w:rsid w:val="00BE51F1"/>
    <w:rsid w:val="00BE525A"/>
    <w:rsid w:val="00BE589A"/>
    <w:rsid w:val="00BE5BE4"/>
    <w:rsid w:val="00BE6087"/>
    <w:rsid w:val="00BE6FB1"/>
    <w:rsid w:val="00BE7085"/>
    <w:rsid w:val="00BE7818"/>
    <w:rsid w:val="00BE7889"/>
    <w:rsid w:val="00BF067F"/>
    <w:rsid w:val="00BF07DD"/>
    <w:rsid w:val="00BF1021"/>
    <w:rsid w:val="00BF11F6"/>
    <w:rsid w:val="00BF1688"/>
    <w:rsid w:val="00BF1F5B"/>
    <w:rsid w:val="00BF1FAB"/>
    <w:rsid w:val="00BF2113"/>
    <w:rsid w:val="00BF2CAC"/>
    <w:rsid w:val="00BF311C"/>
    <w:rsid w:val="00BF3E2E"/>
    <w:rsid w:val="00BF4106"/>
    <w:rsid w:val="00BF4195"/>
    <w:rsid w:val="00BF42A3"/>
    <w:rsid w:val="00BF4305"/>
    <w:rsid w:val="00BF519A"/>
    <w:rsid w:val="00BF523A"/>
    <w:rsid w:val="00BF562A"/>
    <w:rsid w:val="00BF58CB"/>
    <w:rsid w:val="00BF6019"/>
    <w:rsid w:val="00BF61E0"/>
    <w:rsid w:val="00BF6E8F"/>
    <w:rsid w:val="00BF7007"/>
    <w:rsid w:val="00BF72F7"/>
    <w:rsid w:val="00BF75C1"/>
    <w:rsid w:val="00BF79E2"/>
    <w:rsid w:val="00BF7B95"/>
    <w:rsid w:val="00BF7EB7"/>
    <w:rsid w:val="00C00113"/>
    <w:rsid w:val="00C002F5"/>
    <w:rsid w:val="00C00900"/>
    <w:rsid w:val="00C00B0E"/>
    <w:rsid w:val="00C00B86"/>
    <w:rsid w:val="00C01437"/>
    <w:rsid w:val="00C019BB"/>
    <w:rsid w:val="00C01C4F"/>
    <w:rsid w:val="00C02A4B"/>
    <w:rsid w:val="00C03926"/>
    <w:rsid w:val="00C03CA6"/>
    <w:rsid w:val="00C03E62"/>
    <w:rsid w:val="00C042A8"/>
    <w:rsid w:val="00C04CC3"/>
    <w:rsid w:val="00C04D61"/>
    <w:rsid w:val="00C057AA"/>
    <w:rsid w:val="00C05B35"/>
    <w:rsid w:val="00C05C07"/>
    <w:rsid w:val="00C05DE1"/>
    <w:rsid w:val="00C0627E"/>
    <w:rsid w:val="00C072F7"/>
    <w:rsid w:val="00C0744F"/>
    <w:rsid w:val="00C079CD"/>
    <w:rsid w:val="00C102EB"/>
    <w:rsid w:val="00C10448"/>
    <w:rsid w:val="00C10FD4"/>
    <w:rsid w:val="00C115BE"/>
    <w:rsid w:val="00C115C4"/>
    <w:rsid w:val="00C11604"/>
    <w:rsid w:val="00C12466"/>
    <w:rsid w:val="00C13146"/>
    <w:rsid w:val="00C133D5"/>
    <w:rsid w:val="00C13675"/>
    <w:rsid w:val="00C13986"/>
    <w:rsid w:val="00C13D66"/>
    <w:rsid w:val="00C14784"/>
    <w:rsid w:val="00C148BE"/>
    <w:rsid w:val="00C14937"/>
    <w:rsid w:val="00C149F4"/>
    <w:rsid w:val="00C14A11"/>
    <w:rsid w:val="00C14ED6"/>
    <w:rsid w:val="00C15334"/>
    <w:rsid w:val="00C153BA"/>
    <w:rsid w:val="00C154E2"/>
    <w:rsid w:val="00C1584A"/>
    <w:rsid w:val="00C1598D"/>
    <w:rsid w:val="00C15AF5"/>
    <w:rsid w:val="00C1616C"/>
    <w:rsid w:val="00C16377"/>
    <w:rsid w:val="00C164E0"/>
    <w:rsid w:val="00C165C5"/>
    <w:rsid w:val="00C17967"/>
    <w:rsid w:val="00C17D09"/>
    <w:rsid w:val="00C17EFC"/>
    <w:rsid w:val="00C2087B"/>
    <w:rsid w:val="00C20D29"/>
    <w:rsid w:val="00C20DF6"/>
    <w:rsid w:val="00C215E1"/>
    <w:rsid w:val="00C21A8E"/>
    <w:rsid w:val="00C222E2"/>
    <w:rsid w:val="00C22E67"/>
    <w:rsid w:val="00C230FC"/>
    <w:rsid w:val="00C23250"/>
    <w:rsid w:val="00C239CD"/>
    <w:rsid w:val="00C23AD0"/>
    <w:rsid w:val="00C23E36"/>
    <w:rsid w:val="00C23FAB"/>
    <w:rsid w:val="00C24DF2"/>
    <w:rsid w:val="00C24E39"/>
    <w:rsid w:val="00C262CF"/>
    <w:rsid w:val="00C266B1"/>
    <w:rsid w:val="00C267CA"/>
    <w:rsid w:val="00C26BE1"/>
    <w:rsid w:val="00C26D41"/>
    <w:rsid w:val="00C26E2F"/>
    <w:rsid w:val="00C2726B"/>
    <w:rsid w:val="00C273A6"/>
    <w:rsid w:val="00C275EE"/>
    <w:rsid w:val="00C27A8F"/>
    <w:rsid w:val="00C27FC5"/>
    <w:rsid w:val="00C27FD0"/>
    <w:rsid w:val="00C3043B"/>
    <w:rsid w:val="00C30AAA"/>
    <w:rsid w:val="00C30AEA"/>
    <w:rsid w:val="00C30FE5"/>
    <w:rsid w:val="00C31168"/>
    <w:rsid w:val="00C311D1"/>
    <w:rsid w:val="00C31C03"/>
    <w:rsid w:val="00C32107"/>
    <w:rsid w:val="00C3293C"/>
    <w:rsid w:val="00C32D9E"/>
    <w:rsid w:val="00C3332F"/>
    <w:rsid w:val="00C33710"/>
    <w:rsid w:val="00C33897"/>
    <w:rsid w:val="00C3392D"/>
    <w:rsid w:val="00C33DFA"/>
    <w:rsid w:val="00C34085"/>
    <w:rsid w:val="00C3549C"/>
    <w:rsid w:val="00C35D89"/>
    <w:rsid w:val="00C35E71"/>
    <w:rsid w:val="00C35F58"/>
    <w:rsid w:val="00C36681"/>
    <w:rsid w:val="00C367B4"/>
    <w:rsid w:val="00C36AB7"/>
    <w:rsid w:val="00C36E3D"/>
    <w:rsid w:val="00C36FCF"/>
    <w:rsid w:val="00C373A1"/>
    <w:rsid w:val="00C377F2"/>
    <w:rsid w:val="00C37813"/>
    <w:rsid w:val="00C37E6E"/>
    <w:rsid w:val="00C40352"/>
    <w:rsid w:val="00C40899"/>
    <w:rsid w:val="00C4099D"/>
    <w:rsid w:val="00C41C62"/>
    <w:rsid w:val="00C41DBB"/>
    <w:rsid w:val="00C42201"/>
    <w:rsid w:val="00C4233E"/>
    <w:rsid w:val="00C42511"/>
    <w:rsid w:val="00C4285E"/>
    <w:rsid w:val="00C42DA6"/>
    <w:rsid w:val="00C43CE6"/>
    <w:rsid w:val="00C43DF4"/>
    <w:rsid w:val="00C44833"/>
    <w:rsid w:val="00C44DAD"/>
    <w:rsid w:val="00C44E8C"/>
    <w:rsid w:val="00C4533E"/>
    <w:rsid w:val="00C4623F"/>
    <w:rsid w:val="00C463D4"/>
    <w:rsid w:val="00C46550"/>
    <w:rsid w:val="00C473C9"/>
    <w:rsid w:val="00C475AB"/>
    <w:rsid w:val="00C47819"/>
    <w:rsid w:val="00C478B3"/>
    <w:rsid w:val="00C47989"/>
    <w:rsid w:val="00C47A48"/>
    <w:rsid w:val="00C50416"/>
    <w:rsid w:val="00C50687"/>
    <w:rsid w:val="00C50CD1"/>
    <w:rsid w:val="00C511F5"/>
    <w:rsid w:val="00C516F4"/>
    <w:rsid w:val="00C52256"/>
    <w:rsid w:val="00C524F2"/>
    <w:rsid w:val="00C525E4"/>
    <w:rsid w:val="00C52D96"/>
    <w:rsid w:val="00C535CA"/>
    <w:rsid w:val="00C5417D"/>
    <w:rsid w:val="00C54760"/>
    <w:rsid w:val="00C547AA"/>
    <w:rsid w:val="00C54CFB"/>
    <w:rsid w:val="00C55772"/>
    <w:rsid w:val="00C55FBF"/>
    <w:rsid w:val="00C5655E"/>
    <w:rsid w:val="00C56625"/>
    <w:rsid w:val="00C56B19"/>
    <w:rsid w:val="00C56E92"/>
    <w:rsid w:val="00C573B7"/>
    <w:rsid w:val="00C605C6"/>
    <w:rsid w:val="00C606AC"/>
    <w:rsid w:val="00C60934"/>
    <w:rsid w:val="00C60A2D"/>
    <w:rsid w:val="00C60BF8"/>
    <w:rsid w:val="00C60C69"/>
    <w:rsid w:val="00C61465"/>
    <w:rsid w:val="00C616AD"/>
    <w:rsid w:val="00C618A5"/>
    <w:rsid w:val="00C61900"/>
    <w:rsid w:val="00C619E4"/>
    <w:rsid w:val="00C621B2"/>
    <w:rsid w:val="00C62352"/>
    <w:rsid w:val="00C62964"/>
    <w:rsid w:val="00C632B0"/>
    <w:rsid w:val="00C6435B"/>
    <w:rsid w:val="00C64430"/>
    <w:rsid w:val="00C6481F"/>
    <w:rsid w:val="00C64AEA"/>
    <w:rsid w:val="00C64DED"/>
    <w:rsid w:val="00C65061"/>
    <w:rsid w:val="00C65376"/>
    <w:rsid w:val="00C653A0"/>
    <w:rsid w:val="00C654D9"/>
    <w:rsid w:val="00C65B01"/>
    <w:rsid w:val="00C65EA7"/>
    <w:rsid w:val="00C66076"/>
    <w:rsid w:val="00C66235"/>
    <w:rsid w:val="00C6655B"/>
    <w:rsid w:val="00C6667E"/>
    <w:rsid w:val="00C6670B"/>
    <w:rsid w:val="00C66D91"/>
    <w:rsid w:val="00C66ED5"/>
    <w:rsid w:val="00C67285"/>
    <w:rsid w:val="00C6775C"/>
    <w:rsid w:val="00C67B54"/>
    <w:rsid w:val="00C707F6"/>
    <w:rsid w:val="00C7081B"/>
    <w:rsid w:val="00C70AAA"/>
    <w:rsid w:val="00C714F2"/>
    <w:rsid w:val="00C71ABA"/>
    <w:rsid w:val="00C71CB2"/>
    <w:rsid w:val="00C71F9D"/>
    <w:rsid w:val="00C72012"/>
    <w:rsid w:val="00C724C1"/>
    <w:rsid w:val="00C727D2"/>
    <w:rsid w:val="00C74086"/>
    <w:rsid w:val="00C744B6"/>
    <w:rsid w:val="00C74B58"/>
    <w:rsid w:val="00C74C48"/>
    <w:rsid w:val="00C75B39"/>
    <w:rsid w:val="00C765FB"/>
    <w:rsid w:val="00C76816"/>
    <w:rsid w:val="00C76895"/>
    <w:rsid w:val="00C76FD8"/>
    <w:rsid w:val="00C80326"/>
    <w:rsid w:val="00C80790"/>
    <w:rsid w:val="00C80A69"/>
    <w:rsid w:val="00C80FAE"/>
    <w:rsid w:val="00C81086"/>
    <w:rsid w:val="00C8115F"/>
    <w:rsid w:val="00C82018"/>
    <w:rsid w:val="00C82282"/>
    <w:rsid w:val="00C82796"/>
    <w:rsid w:val="00C8282B"/>
    <w:rsid w:val="00C83445"/>
    <w:rsid w:val="00C84923"/>
    <w:rsid w:val="00C849F3"/>
    <w:rsid w:val="00C85592"/>
    <w:rsid w:val="00C856BA"/>
    <w:rsid w:val="00C85810"/>
    <w:rsid w:val="00C8611B"/>
    <w:rsid w:val="00C866C7"/>
    <w:rsid w:val="00C867EF"/>
    <w:rsid w:val="00C86B19"/>
    <w:rsid w:val="00C86EED"/>
    <w:rsid w:val="00C879F5"/>
    <w:rsid w:val="00C87C39"/>
    <w:rsid w:val="00C9013C"/>
    <w:rsid w:val="00C90555"/>
    <w:rsid w:val="00C91018"/>
    <w:rsid w:val="00C915C4"/>
    <w:rsid w:val="00C91EF6"/>
    <w:rsid w:val="00C92083"/>
    <w:rsid w:val="00C92187"/>
    <w:rsid w:val="00C922D5"/>
    <w:rsid w:val="00C92F12"/>
    <w:rsid w:val="00C93622"/>
    <w:rsid w:val="00C93722"/>
    <w:rsid w:val="00C9383F"/>
    <w:rsid w:val="00C93B15"/>
    <w:rsid w:val="00C94930"/>
    <w:rsid w:val="00C94A21"/>
    <w:rsid w:val="00C94CCF"/>
    <w:rsid w:val="00C94F13"/>
    <w:rsid w:val="00C94FC6"/>
    <w:rsid w:val="00C9514B"/>
    <w:rsid w:val="00C9568D"/>
    <w:rsid w:val="00C95A16"/>
    <w:rsid w:val="00C95F23"/>
    <w:rsid w:val="00C96B4A"/>
    <w:rsid w:val="00C96C32"/>
    <w:rsid w:val="00C96DF4"/>
    <w:rsid w:val="00C97233"/>
    <w:rsid w:val="00C97E5F"/>
    <w:rsid w:val="00C97F0A"/>
    <w:rsid w:val="00CA11C0"/>
    <w:rsid w:val="00CA141C"/>
    <w:rsid w:val="00CA1A22"/>
    <w:rsid w:val="00CA22C4"/>
    <w:rsid w:val="00CA2693"/>
    <w:rsid w:val="00CA2871"/>
    <w:rsid w:val="00CA28B4"/>
    <w:rsid w:val="00CA290A"/>
    <w:rsid w:val="00CA2A4F"/>
    <w:rsid w:val="00CA2B6B"/>
    <w:rsid w:val="00CA33CB"/>
    <w:rsid w:val="00CA35E9"/>
    <w:rsid w:val="00CA4187"/>
    <w:rsid w:val="00CA45DD"/>
    <w:rsid w:val="00CA4C43"/>
    <w:rsid w:val="00CA50B0"/>
    <w:rsid w:val="00CA555B"/>
    <w:rsid w:val="00CA5D2C"/>
    <w:rsid w:val="00CA64C6"/>
    <w:rsid w:val="00CA696D"/>
    <w:rsid w:val="00CA6AD5"/>
    <w:rsid w:val="00CA6EB3"/>
    <w:rsid w:val="00CA7183"/>
    <w:rsid w:val="00CA7394"/>
    <w:rsid w:val="00CA7506"/>
    <w:rsid w:val="00CA7AA5"/>
    <w:rsid w:val="00CB0258"/>
    <w:rsid w:val="00CB093E"/>
    <w:rsid w:val="00CB0BC0"/>
    <w:rsid w:val="00CB0D18"/>
    <w:rsid w:val="00CB1181"/>
    <w:rsid w:val="00CB1455"/>
    <w:rsid w:val="00CB1625"/>
    <w:rsid w:val="00CB1D19"/>
    <w:rsid w:val="00CB1F82"/>
    <w:rsid w:val="00CB2652"/>
    <w:rsid w:val="00CB2CD0"/>
    <w:rsid w:val="00CB378F"/>
    <w:rsid w:val="00CB39F6"/>
    <w:rsid w:val="00CB3B2D"/>
    <w:rsid w:val="00CB3B39"/>
    <w:rsid w:val="00CB4077"/>
    <w:rsid w:val="00CB455B"/>
    <w:rsid w:val="00CB4830"/>
    <w:rsid w:val="00CB49E0"/>
    <w:rsid w:val="00CB50A7"/>
    <w:rsid w:val="00CB57B3"/>
    <w:rsid w:val="00CB5CEF"/>
    <w:rsid w:val="00CB5F3F"/>
    <w:rsid w:val="00CB625A"/>
    <w:rsid w:val="00CB655D"/>
    <w:rsid w:val="00CB6D0A"/>
    <w:rsid w:val="00CB71AF"/>
    <w:rsid w:val="00CB775F"/>
    <w:rsid w:val="00CB79C5"/>
    <w:rsid w:val="00CB7A89"/>
    <w:rsid w:val="00CC0005"/>
    <w:rsid w:val="00CC0440"/>
    <w:rsid w:val="00CC06EA"/>
    <w:rsid w:val="00CC0D48"/>
    <w:rsid w:val="00CC0E23"/>
    <w:rsid w:val="00CC0ED7"/>
    <w:rsid w:val="00CC11D6"/>
    <w:rsid w:val="00CC15FC"/>
    <w:rsid w:val="00CC1FE6"/>
    <w:rsid w:val="00CC2124"/>
    <w:rsid w:val="00CC2609"/>
    <w:rsid w:val="00CC2904"/>
    <w:rsid w:val="00CC31F7"/>
    <w:rsid w:val="00CC495E"/>
    <w:rsid w:val="00CC56FF"/>
    <w:rsid w:val="00CC581B"/>
    <w:rsid w:val="00CC5E21"/>
    <w:rsid w:val="00CC601D"/>
    <w:rsid w:val="00CC66A8"/>
    <w:rsid w:val="00CC678F"/>
    <w:rsid w:val="00CC7042"/>
    <w:rsid w:val="00CC72C9"/>
    <w:rsid w:val="00CC775C"/>
    <w:rsid w:val="00CC77F2"/>
    <w:rsid w:val="00CD0662"/>
    <w:rsid w:val="00CD08BD"/>
    <w:rsid w:val="00CD130B"/>
    <w:rsid w:val="00CD1952"/>
    <w:rsid w:val="00CD1B0A"/>
    <w:rsid w:val="00CD2602"/>
    <w:rsid w:val="00CD2E75"/>
    <w:rsid w:val="00CD301E"/>
    <w:rsid w:val="00CD44A8"/>
    <w:rsid w:val="00CD5366"/>
    <w:rsid w:val="00CD59BE"/>
    <w:rsid w:val="00CD5C84"/>
    <w:rsid w:val="00CD69FB"/>
    <w:rsid w:val="00CD6B8E"/>
    <w:rsid w:val="00CD70AB"/>
    <w:rsid w:val="00CD713C"/>
    <w:rsid w:val="00CD7CD4"/>
    <w:rsid w:val="00CE00AC"/>
    <w:rsid w:val="00CE0328"/>
    <w:rsid w:val="00CE03C7"/>
    <w:rsid w:val="00CE0F39"/>
    <w:rsid w:val="00CE0F95"/>
    <w:rsid w:val="00CE12E3"/>
    <w:rsid w:val="00CE14C9"/>
    <w:rsid w:val="00CE19CB"/>
    <w:rsid w:val="00CE1BE3"/>
    <w:rsid w:val="00CE1EDF"/>
    <w:rsid w:val="00CE2710"/>
    <w:rsid w:val="00CE28A1"/>
    <w:rsid w:val="00CE2A3E"/>
    <w:rsid w:val="00CE33A8"/>
    <w:rsid w:val="00CE3962"/>
    <w:rsid w:val="00CE3C53"/>
    <w:rsid w:val="00CE4A80"/>
    <w:rsid w:val="00CE5012"/>
    <w:rsid w:val="00CE58DF"/>
    <w:rsid w:val="00CE5DA5"/>
    <w:rsid w:val="00CE5E14"/>
    <w:rsid w:val="00CE65DA"/>
    <w:rsid w:val="00CE65E2"/>
    <w:rsid w:val="00CE7194"/>
    <w:rsid w:val="00CE73CC"/>
    <w:rsid w:val="00CE772F"/>
    <w:rsid w:val="00CE793E"/>
    <w:rsid w:val="00CF03B0"/>
    <w:rsid w:val="00CF0988"/>
    <w:rsid w:val="00CF0E9B"/>
    <w:rsid w:val="00CF13D3"/>
    <w:rsid w:val="00CF1744"/>
    <w:rsid w:val="00CF1F61"/>
    <w:rsid w:val="00CF1F68"/>
    <w:rsid w:val="00CF1FB3"/>
    <w:rsid w:val="00CF21D9"/>
    <w:rsid w:val="00CF2546"/>
    <w:rsid w:val="00CF285B"/>
    <w:rsid w:val="00CF2DBF"/>
    <w:rsid w:val="00CF2DCE"/>
    <w:rsid w:val="00CF2FCF"/>
    <w:rsid w:val="00CF3113"/>
    <w:rsid w:val="00CF486D"/>
    <w:rsid w:val="00CF4A0C"/>
    <w:rsid w:val="00CF4DC6"/>
    <w:rsid w:val="00CF59EE"/>
    <w:rsid w:val="00CF5D42"/>
    <w:rsid w:val="00CF6676"/>
    <w:rsid w:val="00CF707B"/>
    <w:rsid w:val="00CF70E7"/>
    <w:rsid w:val="00CF70F6"/>
    <w:rsid w:val="00CF713C"/>
    <w:rsid w:val="00CF7CC6"/>
    <w:rsid w:val="00D00444"/>
    <w:rsid w:val="00D00917"/>
    <w:rsid w:val="00D00C0F"/>
    <w:rsid w:val="00D01565"/>
    <w:rsid w:val="00D0196F"/>
    <w:rsid w:val="00D01A8C"/>
    <w:rsid w:val="00D01BC6"/>
    <w:rsid w:val="00D01F01"/>
    <w:rsid w:val="00D025B4"/>
    <w:rsid w:val="00D028E3"/>
    <w:rsid w:val="00D02A57"/>
    <w:rsid w:val="00D02C58"/>
    <w:rsid w:val="00D03524"/>
    <w:rsid w:val="00D03633"/>
    <w:rsid w:val="00D03729"/>
    <w:rsid w:val="00D0381E"/>
    <w:rsid w:val="00D03F21"/>
    <w:rsid w:val="00D0401C"/>
    <w:rsid w:val="00D04689"/>
    <w:rsid w:val="00D04B06"/>
    <w:rsid w:val="00D04CCE"/>
    <w:rsid w:val="00D05264"/>
    <w:rsid w:val="00D05A28"/>
    <w:rsid w:val="00D061D2"/>
    <w:rsid w:val="00D072D0"/>
    <w:rsid w:val="00D0792A"/>
    <w:rsid w:val="00D07AF4"/>
    <w:rsid w:val="00D10C03"/>
    <w:rsid w:val="00D10EF0"/>
    <w:rsid w:val="00D1191D"/>
    <w:rsid w:val="00D11B45"/>
    <w:rsid w:val="00D11B68"/>
    <w:rsid w:val="00D11E10"/>
    <w:rsid w:val="00D12A23"/>
    <w:rsid w:val="00D12B29"/>
    <w:rsid w:val="00D12DCF"/>
    <w:rsid w:val="00D130B5"/>
    <w:rsid w:val="00D13170"/>
    <w:rsid w:val="00D13777"/>
    <w:rsid w:val="00D138E4"/>
    <w:rsid w:val="00D13AD4"/>
    <w:rsid w:val="00D13C45"/>
    <w:rsid w:val="00D13F7A"/>
    <w:rsid w:val="00D141F1"/>
    <w:rsid w:val="00D14281"/>
    <w:rsid w:val="00D14453"/>
    <w:rsid w:val="00D145A2"/>
    <w:rsid w:val="00D1482A"/>
    <w:rsid w:val="00D14BE8"/>
    <w:rsid w:val="00D15268"/>
    <w:rsid w:val="00D15C44"/>
    <w:rsid w:val="00D16625"/>
    <w:rsid w:val="00D173D1"/>
    <w:rsid w:val="00D17919"/>
    <w:rsid w:val="00D17BBB"/>
    <w:rsid w:val="00D20349"/>
    <w:rsid w:val="00D20476"/>
    <w:rsid w:val="00D208B1"/>
    <w:rsid w:val="00D20E94"/>
    <w:rsid w:val="00D20EB3"/>
    <w:rsid w:val="00D20FE7"/>
    <w:rsid w:val="00D210BF"/>
    <w:rsid w:val="00D21418"/>
    <w:rsid w:val="00D21A9D"/>
    <w:rsid w:val="00D21AE5"/>
    <w:rsid w:val="00D21E9B"/>
    <w:rsid w:val="00D21EBC"/>
    <w:rsid w:val="00D220A6"/>
    <w:rsid w:val="00D22190"/>
    <w:rsid w:val="00D22849"/>
    <w:rsid w:val="00D22C1E"/>
    <w:rsid w:val="00D22CB0"/>
    <w:rsid w:val="00D2305D"/>
    <w:rsid w:val="00D235A1"/>
    <w:rsid w:val="00D23A6E"/>
    <w:rsid w:val="00D23B43"/>
    <w:rsid w:val="00D2482F"/>
    <w:rsid w:val="00D24D23"/>
    <w:rsid w:val="00D24F3A"/>
    <w:rsid w:val="00D251DF"/>
    <w:rsid w:val="00D252D6"/>
    <w:rsid w:val="00D256F3"/>
    <w:rsid w:val="00D25AC1"/>
    <w:rsid w:val="00D25F42"/>
    <w:rsid w:val="00D26251"/>
    <w:rsid w:val="00D268BD"/>
    <w:rsid w:val="00D2690B"/>
    <w:rsid w:val="00D26DAB"/>
    <w:rsid w:val="00D26FBC"/>
    <w:rsid w:val="00D270C0"/>
    <w:rsid w:val="00D272C2"/>
    <w:rsid w:val="00D279C9"/>
    <w:rsid w:val="00D27BA1"/>
    <w:rsid w:val="00D27CB1"/>
    <w:rsid w:val="00D27FA9"/>
    <w:rsid w:val="00D31045"/>
    <w:rsid w:val="00D31140"/>
    <w:rsid w:val="00D3169E"/>
    <w:rsid w:val="00D31F11"/>
    <w:rsid w:val="00D3209E"/>
    <w:rsid w:val="00D323A2"/>
    <w:rsid w:val="00D325AD"/>
    <w:rsid w:val="00D3274A"/>
    <w:rsid w:val="00D3286E"/>
    <w:rsid w:val="00D32958"/>
    <w:rsid w:val="00D32B1A"/>
    <w:rsid w:val="00D32C05"/>
    <w:rsid w:val="00D33547"/>
    <w:rsid w:val="00D33619"/>
    <w:rsid w:val="00D33D6F"/>
    <w:rsid w:val="00D33FBF"/>
    <w:rsid w:val="00D340D7"/>
    <w:rsid w:val="00D34254"/>
    <w:rsid w:val="00D35007"/>
    <w:rsid w:val="00D35D3F"/>
    <w:rsid w:val="00D362DF"/>
    <w:rsid w:val="00D36447"/>
    <w:rsid w:val="00D36468"/>
    <w:rsid w:val="00D36CF8"/>
    <w:rsid w:val="00D36FCB"/>
    <w:rsid w:val="00D37112"/>
    <w:rsid w:val="00D37185"/>
    <w:rsid w:val="00D37676"/>
    <w:rsid w:val="00D37AF4"/>
    <w:rsid w:val="00D40679"/>
    <w:rsid w:val="00D42337"/>
    <w:rsid w:val="00D42E9A"/>
    <w:rsid w:val="00D431F8"/>
    <w:rsid w:val="00D43C45"/>
    <w:rsid w:val="00D45D2D"/>
    <w:rsid w:val="00D463F0"/>
    <w:rsid w:val="00D46839"/>
    <w:rsid w:val="00D4684F"/>
    <w:rsid w:val="00D46A88"/>
    <w:rsid w:val="00D46DE0"/>
    <w:rsid w:val="00D46DFB"/>
    <w:rsid w:val="00D46FE5"/>
    <w:rsid w:val="00D4701A"/>
    <w:rsid w:val="00D47117"/>
    <w:rsid w:val="00D479BE"/>
    <w:rsid w:val="00D47C74"/>
    <w:rsid w:val="00D50055"/>
    <w:rsid w:val="00D50CBC"/>
    <w:rsid w:val="00D50D2A"/>
    <w:rsid w:val="00D516A2"/>
    <w:rsid w:val="00D5198A"/>
    <w:rsid w:val="00D52979"/>
    <w:rsid w:val="00D52A0D"/>
    <w:rsid w:val="00D52D15"/>
    <w:rsid w:val="00D530FE"/>
    <w:rsid w:val="00D53371"/>
    <w:rsid w:val="00D53A61"/>
    <w:rsid w:val="00D53A68"/>
    <w:rsid w:val="00D53BB4"/>
    <w:rsid w:val="00D545B0"/>
    <w:rsid w:val="00D54928"/>
    <w:rsid w:val="00D54D31"/>
    <w:rsid w:val="00D556D5"/>
    <w:rsid w:val="00D55729"/>
    <w:rsid w:val="00D5579B"/>
    <w:rsid w:val="00D55BE4"/>
    <w:rsid w:val="00D5663A"/>
    <w:rsid w:val="00D56A38"/>
    <w:rsid w:val="00D570A0"/>
    <w:rsid w:val="00D571C5"/>
    <w:rsid w:val="00D572CF"/>
    <w:rsid w:val="00D57ADA"/>
    <w:rsid w:val="00D603C5"/>
    <w:rsid w:val="00D6067E"/>
    <w:rsid w:val="00D607D4"/>
    <w:rsid w:val="00D6091B"/>
    <w:rsid w:val="00D60980"/>
    <w:rsid w:val="00D61290"/>
    <w:rsid w:val="00D61798"/>
    <w:rsid w:val="00D61983"/>
    <w:rsid w:val="00D61A50"/>
    <w:rsid w:val="00D61E20"/>
    <w:rsid w:val="00D61EBE"/>
    <w:rsid w:val="00D623FD"/>
    <w:rsid w:val="00D628E1"/>
    <w:rsid w:val="00D62FDE"/>
    <w:rsid w:val="00D64734"/>
    <w:rsid w:val="00D647F9"/>
    <w:rsid w:val="00D64BAB"/>
    <w:rsid w:val="00D64E97"/>
    <w:rsid w:val="00D650C0"/>
    <w:rsid w:val="00D6600C"/>
    <w:rsid w:val="00D66187"/>
    <w:rsid w:val="00D66440"/>
    <w:rsid w:val="00D66D63"/>
    <w:rsid w:val="00D67DB6"/>
    <w:rsid w:val="00D705AD"/>
    <w:rsid w:val="00D70E30"/>
    <w:rsid w:val="00D70F6D"/>
    <w:rsid w:val="00D7177D"/>
    <w:rsid w:val="00D719C6"/>
    <w:rsid w:val="00D71E63"/>
    <w:rsid w:val="00D72829"/>
    <w:rsid w:val="00D72BEE"/>
    <w:rsid w:val="00D72D26"/>
    <w:rsid w:val="00D72F9E"/>
    <w:rsid w:val="00D735F1"/>
    <w:rsid w:val="00D7399A"/>
    <w:rsid w:val="00D74DC4"/>
    <w:rsid w:val="00D75470"/>
    <w:rsid w:val="00D75D4D"/>
    <w:rsid w:val="00D75E40"/>
    <w:rsid w:val="00D75EE7"/>
    <w:rsid w:val="00D76243"/>
    <w:rsid w:val="00D765C6"/>
    <w:rsid w:val="00D76641"/>
    <w:rsid w:val="00D76EC2"/>
    <w:rsid w:val="00D76F11"/>
    <w:rsid w:val="00D76F23"/>
    <w:rsid w:val="00D76F27"/>
    <w:rsid w:val="00D771A7"/>
    <w:rsid w:val="00D77348"/>
    <w:rsid w:val="00D774DE"/>
    <w:rsid w:val="00D77746"/>
    <w:rsid w:val="00D77865"/>
    <w:rsid w:val="00D77D1C"/>
    <w:rsid w:val="00D77D3A"/>
    <w:rsid w:val="00D803A6"/>
    <w:rsid w:val="00D80855"/>
    <w:rsid w:val="00D8103D"/>
    <w:rsid w:val="00D8112F"/>
    <w:rsid w:val="00D81241"/>
    <w:rsid w:val="00D81569"/>
    <w:rsid w:val="00D820E6"/>
    <w:rsid w:val="00D82859"/>
    <w:rsid w:val="00D83294"/>
    <w:rsid w:val="00D8335F"/>
    <w:rsid w:val="00D8354D"/>
    <w:rsid w:val="00D838EC"/>
    <w:rsid w:val="00D844FD"/>
    <w:rsid w:val="00D849B1"/>
    <w:rsid w:val="00D854DD"/>
    <w:rsid w:val="00D85823"/>
    <w:rsid w:val="00D85FAB"/>
    <w:rsid w:val="00D8653F"/>
    <w:rsid w:val="00D86623"/>
    <w:rsid w:val="00D86A7E"/>
    <w:rsid w:val="00D8704F"/>
    <w:rsid w:val="00D87742"/>
    <w:rsid w:val="00D87AA7"/>
    <w:rsid w:val="00D87B3E"/>
    <w:rsid w:val="00D87B61"/>
    <w:rsid w:val="00D90200"/>
    <w:rsid w:val="00D90C30"/>
    <w:rsid w:val="00D90F9B"/>
    <w:rsid w:val="00D91306"/>
    <w:rsid w:val="00D917EB"/>
    <w:rsid w:val="00D919C5"/>
    <w:rsid w:val="00D92D72"/>
    <w:rsid w:val="00D932FF"/>
    <w:rsid w:val="00D93321"/>
    <w:rsid w:val="00D9355A"/>
    <w:rsid w:val="00D93AD3"/>
    <w:rsid w:val="00D941CC"/>
    <w:rsid w:val="00D94D7F"/>
    <w:rsid w:val="00D95423"/>
    <w:rsid w:val="00D95829"/>
    <w:rsid w:val="00D95D49"/>
    <w:rsid w:val="00D95E56"/>
    <w:rsid w:val="00D95EE5"/>
    <w:rsid w:val="00D95FF9"/>
    <w:rsid w:val="00D973D0"/>
    <w:rsid w:val="00D974AE"/>
    <w:rsid w:val="00D974B3"/>
    <w:rsid w:val="00D974E9"/>
    <w:rsid w:val="00D9755C"/>
    <w:rsid w:val="00D97748"/>
    <w:rsid w:val="00DA02DB"/>
    <w:rsid w:val="00DA0A39"/>
    <w:rsid w:val="00DA0B93"/>
    <w:rsid w:val="00DA0BDE"/>
    <w:rsid w:val="00DA0DC2"/>
    <w:rsid w:val="00DA1323"/>
    <w:rsid w:val="00DA160E"/>
    <w:rsid w:val="00DA277B"/>
    <w:rsid w:val="00DA302A"/>
    <w:rsid w:val="00DA305F"/>
    <w:rsid w:val="00DA3DD0"/>
    <w:rsid w:val="00DA4098"/>
    <w:rsid w:val="00DA420D"/>
    <w:rsid w:val="00DA4481"/>
    <w:rsid w:val="00DA45DD"/>
    <w:rsid w:val="00DA5004"/>
    <w:rsid w:val="00DA5392"/>
    <w:rsid w:val="00DA54A3"/>
    <w:rsid w:val="00DA58AB"/>
    <w:rsid w:val="00DA6111"/>
    <w:rsid w:val="00DA633A"/>
    <w:rsid w:val="00DA6843"/>
    <w:rsid w:val="00DA687F"/>
    <w:rsid w:val="00DA6D78"/>
    <w:rsid w:val="00DA77DC"/>
    <w:rsid w:val="00DA78B3"/>
    <w:rsid w:val="00DA7A13"/>
    <w:rsid w:val="00DA7F2B"/>
    <w:rsid w:val="00DB02CA"/>
    <w:rsid w:val="00DB02F6"/>
    <w:rsid w:val="00DB04B9"/>
    <w:rsid w:val="00DB10CD"/>
    <w:rsid w:val="00DB1364"/>
    <w:rsid w:val="00DB170B"/>
    <w:rsid w:val="00DB1D3F"/>
    <w:rsid w:val="00DB2355"/>
    <w:rsid w:val="00DB23C7"/>
    <w:rsid w:val="00DB246F"/>
    <w:rsid w:val="00DB28CE"/>
    <w:rsid w:val="00DB2CA2"/>
    <w:rsid w:val="00DB34F0"/>
    <w:rsid w:val="00DB3A3B"/>
    <w:rsid w:val="00DB3E0B"/>
    <w:rsid w:val="00DB4A6A"/>
    <w:rsid w:val="00DB4A6C"/>
    <w:rsid w:val="00DB5122"/>
    <w:rsid w:val="00DB57EC"/>
    <w:rsid w:val="00DB5A7C"/>
    <w:rsid w:val="00DB5A95"/>
    <w:rsid w:val="00DB6149"/>
    <w:rsid w:val="00DB6E1F"/>
    <w:rsid w:val="00DB6EA4"/>
    <w:rsid w:val="00DB70A8"/>
    <w:rsid w:val="00DB70D5"/>
    <w:rsid w:val="00DB756D"/>
    <w:rsid w:val="00DB771B"/>
    <w:rsid w:val="00DB77CF"/>
    <w:rsid w:val="00DB7872"/>
    <w:rsid w:val="00DC0088"/>
    <w:rsid w:val="00DC036C"/>
    <w:rsid w:val="00DC0428"/>
    <w:rsid w:val="00DC08D5"/>
    <w:rsid w:val="00DC0E52"/>
    <w:rsid w:val="00DC0F68"/>
    <w:rsid w:val="00DC14BC"/>
    <w:rsid w:val="00DC17B2"/>
    <w:rsid w:val="00DC213E"/>
    <w:rsid w:val="00DC2660"/>
    <w:rsid w:val="00DC2913"/>
    <w:rsid w:val="00DC38FA"/>
    <w:rsid w:val="00DC5086"/>
    <w:rsid w:val="00DC53C6"/>
    <w:rsid w:val="00DC5FF8"/>
    <w:rsid w:val="00DC67EE"/>
    <w:rsid w:val="00DC6DDC"/>
    <w:rsid w:val="00DC73FC"/>
    <w:rsid w:val="00DC7454"/>
    <w:rsid w:val="00DC792E"/>
    <w:rsid w:val="00DC7BF1"/>
    <w:rsid w:val="00DC7E43"/>
    <w:rsid w:val="00DC7FAD"/>
    <w:rsid w:val="00DD03ED"/>
    <w:rsid w:val="00DD05D3"/>
    <w:rsid w:val="00DD063C"/>
    <w:rsid w:val="00DD0824"/>
    <w:rsid w:val="00DD0AA6"/>
    <w:rsid w:val="00DD0BC9"/>
    <w:rsid w:val="00DD106C"/>
    <w:rsid w:val="00DD1337"/>
    <w:rsid w:val="00DD1FC6"/>
    <w:rsid w:val="00DD21F7"/>
    <w:rsid w:val="00DD23A2"/>
    <w:rsid w:val="00DD2C17"/>
    <w:rsid w:val="00DD2E15"/>
    <w:rsid w:val="00DD2F13"/>
    <w:rsid w:val="00DD3669"/>
    <w:rsid w:val="00DD36B7"/>
    <w:rsid w:val="00DD3B5F"/>
    <w:rsid w:val="00DD3FAA"/>
    <w:rsid w:val="00DD4296"/>
    <w:rsid w:val="00DD43B8"/>
    <w:rsid w:val="00DD442D"/>
    <w:rsid w:val="00DD4503"/>
    <w:rsid w:val="00DD48D6"/>
    <w:rsid w:val="00DD4914"/>
    <w:rsid w:val="00DD4921"/>
    <w:rsid w:val="00DD4EC6"/>
    <w:rsid w:val="00DD4FC7"/>
    <w:rsid w:val="00DD5339"/>
    <w:rsid w:val="00DD5420"/>
    <w:rsid w:val="00DD5CD7"/>
    <w:rsid w:val="00DD5DB9"/>
    <w:rsid w:val="00DD64F9"/>
    <w:rsid w:val="00DD659B"/>
    <w:rsid w:val="00DD6928"/>
    <w:rsid w:val="00DD6FAB"/>
    <w:rsid w:val="00DD77EA"/>
    <w:rsid w:val="00DE0007"/>
    <w:rsid w:val="00DE02FA"/>
    <w:rsid w:val="00DE0D77"/>
    <w:rsid w:val="00DE0E74"/>
    <w:rsid w:val="00DE1033"/>
    <w:rsid w:val="00DE1535"/>
    <w:rsid w:val="00DE1932"/>
    <w:rsid w:val="00DE1D84"/>
    <w:rsid w:val="00DE21B1"/>
    <w:rsid w:val="00DE2B2E"/>
    <w:rsid w:val="00DE2D56"/>
    <w:rsid w:val="00DE31BC"/>
    <w:rsid w:val="00DE36C1"/>
    <w:rsid w:val="00DE3849"/>
    <w:rsid w:val="00DE3AD7"/>
    <w:rsid w:val="00DE3BB3"/>
    <w:rsid w:val="00DE3E3F"/>
    <w:rsid w:val="00DE4007"/>
    <w:rsid w:val="00DE4B76"/>
    <w:rsid w:val="00DE4B95"/>
    <w:rsid w:val="00DE4C1F"/>
    <w:rsid w:val="00DE55E8"/>
    <w:rsid w:val="00DE5751"/>
    <w:rsid w:val="00DE5C0D"/>
    <w:rsid w:val="00DE5CEC"/>
    <w:rsid w:val="00DE63ED"/>
    <w:rsid w:val="00DE6ABB"/>
    <w:rsid w:val="00DE6B95"/>
    <w:rsid w:val="00DE6C1A"/>
    <w:rsid w:val="00DE6EF8"/>
    <w:rsid w:val="00DE6F00"/>
    <w:rsid w:val="00DE7204"/>
    <w:rsid w:val="00DE733D"/>
    <w:rsid w:val="00DE75AE"/>
    <w:rsid w:val="00DF004A"/>
    <w:rsid w:val="00DF06C0"/>
    <w:rsid w:val="00DF1697"/>
    <w:rsid w:val="00DF1940"/>
    <w:rsid w:val="00DF195B"/>
    <w:rsid w:val="00DF284A"/>
    <w:rsid w:val="00DF2C63"/>
    <w:rsid w:val="00DF39AB"/>
    <w:rsid w:val="00DF3BBA"/>
    <w:rsid w:val="00DF3D04"/>
    <w:rsid w:val="00DF4415"/>
    <w:rsid w:val="00DF4609"/>
    <w:rsid w:val="00DF4E70"/>
    <w:rsid w:val="00DF55BA"/>
    <w:rsid w:val="00DF58FA"/>
    <w:rsid w:val="00DF5A87"/>
    <w:rsid w:val="00DF6012"/>
    <w:rsid w:val="00DF657E"/>
    <w:rsid w:val="00DF71C6"/>
    <w:rsid w:val="00DF7239"/>
    <w:rsid w:val="00DF78BE"/>
    <w:rsid w:val="00E00612"/>
    <w:rsid w:val="00E00A66"/>
    <w:rsid w:val="00E01307"/>
    <w:rsid w:val="00E01387"/>
    <w:rsid w:val="00E01413"/>
    <w:rsid w:val="00E017CF"/>
    <w:rsid w:val="00E01F2F"/>
    <w:rsid w:val="00E025A7"/>
    <w:rsid w:val="00E02785"/>
    <w:rsid w:val="00E0286E"/>
    <w:rsid w:val="00E02B4E"/>
    <w:rsid w:val="00E02B6B"/>
    <w:rsid w:val="00E032B9"/>
    <w:rsid w:val="00E033BB"/>
    <w:rsid w:val="00E039CF"/>
    <w:rsid w:val="00E03B74"/>
    <w:rsid w:val="00E03C99"/>
    <w:rsid w:val="00E0424D"/>
    <w:rsid w:val="00E048A5"/>
    <w:rsid w:val="00E04FE7"/>
    <w:rsid w:val="00E05165"/>
    <w:rsid w:val="00E05AF0"/>
    <w:rsid w:val="00E05D8B"/>
    <w:rsid w:val="00E05DB1"/>
    <w:rsid w:val="00E061EF"/>
    <w:rsid w:val="00E068EB"/>
    <w:rsid w:val="00E06C3E"/>
    <w:rsid w:val="00E06CF8"/>
    <w:rsid w:val="00E06FD7"/>
    <w:rsid w:val="00E07003"/>
    <w:rsid w:val="00E07B8C"/>
    <w:rsid w:val="00E10084"/>
    <w:rsid w:val="00E1016C"/>
    <w:rsid w:val="00E10273"/>
    <w:rsid w:val="00E104CC"/>
    <w:rsid w:val="00E10F5B"/>
    <w:rsid w:val="00E113F9"/>
    <w:rsid w:val="00E11A10"/>
    <w:rsid w:val="00E11DED"/>
    <w:rsid w:val="00E122C5"/>
    <w:rsid w:val="00E126AC"/>
    <w:rsid w:val="00E1356F"/>
    <w:rsid w:val="00E13735"/>
    <w:rsid w:val="00E13F4A"/>
    <w:rsid w:val="00E13FB1"/>
    <w:rsid w:val="00E14107"/>
    <w:rsid w:val="00E1420F"/>
    <w:rsid w:val="00E1458E"/>
    <w:rsid w:val="00E15796"/>
    <w:rsid w:val="00E15CEF"/>
    <w:rsid w:val="00E15F01"/>
    <w:rsid w:val="00E16546"/>
    <w:rsid w:val="00E16577"/>
    <w:rsid w:val="00E1664B"/>
    <w:rsid w:val="00E171B0"/>
    <w:rsid w:val="00E1754A"/>
    <w:rsid w:val="00E17766"/>
    <w:rsid w:val="00E17891"/>
    <w:rsid w:val="00E178B3"/>
    <w:rsid w:val="00E20151"/>
    <w:rsid w:val="00E20159"/>
    <w:rsid w:val="00E211C9"/>
    <w:rsid w:val="00E213A1"/>
    <w:rsid w:val="00E223E1"/>
    <w:rsid w:val="00E232BB"/>
    <w:rsid w:val="00E237AC"/>
    <w:rsid w:val="00E23C2F"/>
    <w:rsid w:val="00E243FD"/>
    <w:rsid w:val="00E244BF"/>
    <w:rsid w:val="00E24828"/>
    <w:rsid w:val="00E25C35"/>
    <w:rsid w:val="00E25F33"/>
    <w:rsid w:val="00E26067"/>
    <w:rsid w:val="00E26180"/>
    <w:rsid w:val="00E2701F"/>
    <w:rsid w:val="00E27193"/>
    <w:rsid w:val="00E2773A"/>
    <w:rsid w:val="00E279EB"/>
    <w:rsid w:val="00E30328"/>
    <w:rsid w:val="00E307E3"/>
    <w:rsid w:val="00E32305"/>
    <w:rsid w:val="00E32306"/>
    <w:rsid w:val="00E32A2B"/>
    <w:rsid w:val="00E32C50"/>
    <w:rsid w:val="00E32D7F"/>
    <w:rsid w:val="00E33005"/>
    <w:rsid w:val="00E33757"/>
    <w:rsid w:val="00E33830"/>
    <w:rsid w:val="00E33AB0"/>
    <w:rsid w:val="00E33AB7"/>
    <w:rsid w:val="00E33E02"/>
    <w:rsid w:val="00E33E07"/>
    <w:rsid w:val="00E34C94"/>
    <w:rsid w:val="00E35844"/>
    <w:rsid w:val="00E35ADA"/>
    <w:rsid w:val="00E36189"/>
    <w:rsid w:val="00E361A2"/>
    <w:rsid w:val="00E36822"/>
    <w:rsid w:val="00E36F36"/>
    <w:rsid w:val="00E37612"/>
    <w:rsid w:val="00E37F80"/>
    <w:rsid w:val="00E40086"/>
    <w:rsid w:val="00E407E4"/>
    <w:rsid w:val="00E40D01"/>
    <w:rsid w:val="00E41146"/>
    <w:rsid w:val="00E4178C"/>
    <w:rsid w:val="00E41CDA"/>
    <w:rsid w:val="00E41FD4"/>
    <w:rsid w:val="00E42281"/>
    <w:rsid w:val="00E42A3F"/>
    <w:rsid w:val="00E4300E"/>
    <w:rsid w:val="00E434A4"/>
    <w:rsid w:val="00E434BD"/>
    <w:rsid w:val="00E43B61"/>
    <w:rsid w:val="00E44016"/>
    <w:rsid w:val="00E44154"/>
    <w:rsid w:val="00E44374"/>
    <w:rsid w:val="00E446F5"/>
    <w:rsid w:val="00E4477A"/>
    <w:rsid w:val="00E44981"/>
    <w:rsid w:val="00E4514C"/>
    <w:rsid w:val="00E4563E"/>
    <w:rsid w:val="00E45E87"/>
    <w:rsid w:val="00E464F0"/>
    <w:rsid w:val="00E46837"/>
    <w:rsid w:val="00E470CA"/>
    <w:rsid w:val="00E47583"/>
    <w:rsid w:val="00E4799B"/>
    <w:rsid w:val="00E50A7B"/>
    <w:rsid w:val="00E50B9B"/>
    <w:rsid w:val="00E51AFD"/>
    <w:rsid w:val="00E51DAC"/>
    <w:rsid w:val="00E521A8"/>
    <w:rsid w:val="00E527A5"/>
    <w:rsid w:val="00E52844"/>
    <w:rsid w:val="00E52CFF"/>
    <w:rsid w:val="00E5371C"/>
    <w:rsid w:val="00E537C0"/>
    <w:rsid w:val="00E5382E"/>
    <w:rsid w:val="00E53950"/>
    <w:rsid w:val="00E546CB"/>
    <w:rsid w:val="00E54D12"/>
    <w:rsid w:val="00E551BC"/>
    <w:rsid w:val="00E553DB"/>
    <w:rsid w:val="00E554FF"/>
    <w:rsid w:val="00E5558A"/>
    <w:rsid w:val="00E559C8"/>
    <w:rsid w:val="00E55DCF"/>
    <w:rsid w:val="00E5620F"/>
    <w:rsid w:val="00E565A8"/>
    <w:rsid w:val="00E565D1"/>
    <w:rsid w:val="00E57003"/>
    <w:rsid w:val="00E5712E"/>
    <w:rsid w:val="00E57647"/>
    <w:rsid w:val="00E57795"/>
    <w:rsid w:val="00E578E3"/>
    <w:rsid w:val="00E57966"/>
    <w:rsid w:val="00E60383"/>
    <w:rsid w:val="00E60743"/>
    <w:rsid w:val="00E60A80"/>
    <w:rsid w:val="00E610E8"/>
    <w:rsid w:val="00E614E9"/>
    <w:rsid w:val="00E6158D"/>
    <w:rsid w:val="00E61630"/>
    <w:rsid w:val="00E61BCF"/>
    <w:rsid w:val="00E61E95"/>
    <w:rsid w:val="00E6209A"/>
    <w:rsid w:val="00E62B97"/>
    <w:rsid w:val="00E62C0C"/>
    <w:rsid w:val="00E62E3D"/>
    <w:rsid w:val="00E63086"/>
    <w:rsid w:val="00E63E2E"/>
    <w:rsid w:val="00E63F8A"/>
    <w:rsid w:val="00E64010"/>
    <w:rsid w:val="00E64091"/>
    <w:rsid w:val="00E641AE"/>
    <w:rsid w:val="00E643DE"/>
    <w:rsid w:val="00E6480A"/>
    <w:rsid w:val="00E648B4"/>
    <w:rsid w:val="00E64CFF"/>
    <w:rsid w:val="00E64E35"/>
    <w:rsid w:val="00E64EF4"/>
    <w:rsid w:val="00E650CE"/>
    <w:rsid w:val="00E65805"/>
    <w:rsid w:val="00E65A71"/>
    <w:rsid w:val="00E65ECB"/>
    <w:rsid w:val="00E65F41"/>
    <w:rsid w:val="00E660F6"/>
    <w:rsid w:val="00E66141"/>
    <w:rsid w:val="00E661BD"/>
    <w:rsid w:val="00E6695B"/>
    <w:rsid w:val="00E6734D"/>
    <w:rsid w:val="00E67755"/>
    <w:rsid w:val="00E70746"/>
    <w:rsid w:val="00E70FED"/>
    <w:rsid w:val="00E7148D"/>
    <w:rsid w:val="00E7251D"/>
    <w:rsid w:val="00E72976"/>
    <w:rsid w:val="00E72C2C"/>
    <w:rsid w:val="00E7357C"/>
    <w:rsid w:val="00E7365F"/>
    <w:rsid w:val="00E736B9"/>
    <w:rsid w:val="00E7398A"/>
    <w:rsid w:val="00E73AEB"/>
    <w:rsid w:val="00E74063"/>
    <w:rsid w:val="00E7421B"/>
    <w:rsid w:val="00E74C0F"/>
    <w:rsid w:val="00E75E7D"/>
    <w:rsid w:val="00E7624E"/>
    <w:rsid w:val="00E763C0"/>
    <w:rsid w:val="00E765C2"/>
    <w:rsid w:val="00E76845"/>
    <w:rsid w:val="00E76E33"/>
    <w:rsid w:val="00E7711E"/>
    <w:rsid w:val="00E77A87"/>
    <w:rsid w:val="00E77B8D"/>
    <w:rsid w:val="00E77ECD"/>
    <w:rsid w:val="00E808B7"/>
    <w:rsid w:val="00E80A98"/>
    <w:rsid w:val="00E81178"/>
    <w:rsid w:val="00E8122D"/>
    <w:rsid w:val="00E82098"/>
    <w:rsid w:val="00E8276C"/>
    <w:rsid w:val="00E827AD"/>
    <w:rsid w:val="00E82DE9"/>
    <w:rsid w:val="00E8313F"/>
    <w:rsid w:val="00E83206"/>
    <w:rsid w:val="00E834C8"/>
    <w:rsid w:val="00E83BAE"/>
    <w:rsid w:val="00E83D54"/>
    <w:rsid w:val="00E83EE3"/>
    <w:rsid w:val="00E8425B"/>
    <w:rsid w:val="00E84B93"/>
    <w:rsid w:val="00E84EF1"/>
    <w:rsid w:val="00E84F90"/>
    <w:rsid w:val="00E854E3"/>
    <w:rsid w:val="00E85819"/>
    <w:rsid w:val="00E85922"/>
    <w:rsid w:val="00E8592E"/>
    <w:rsid w:val="00E86389"/>
    <w:rsid w:val="00E868F4"/>
    <w:rsid w:val="00E8702D"/>
    <w:rsid w:val="00E87983"/>
    <w:rsid w:val="00E87B49"/>
    <w:rsid w:val="00E90203"/>
    <w:rsid w:val="00E9028F"/>
    <w:rsid w:val="00E90870"/>
    <w:rsid w:val="00E90996"/>
    <w:rsid w:val="00E90AF1"/>
    <w:rsid w:val="00E90BE4"/>
    <w:rsid w:val="00E91F76"/>
    <w:rsid w:val="00E926A8"/>
    <w:rsid w:val="00E926B5"/>
    <w:rsid w:val="00E932E3"/>
    <w:rsid w:val="00E9392D"/>
    <w:rsid w:val="00E93E91"/>
    <w:rsid w:val="00E93F80"/>
    <w:rsid w:val="00E9524C"/>
    <w:rsid w:val="00E955BF"/>
    <w:rsid w:val="00E958BB"/>
    <w:rsid w:val="00E95AF3"/>
    <w:rsid w:val="00E96450"/>
    <w:rsid w:val="00E96669"/>
    <w:rsid w:val="00E9721D"/>
    <w:rsid w:val="00E9724E"/>
    <w:rsid w:val="00E9763A"/>
    <w:rsid w:val="00E977B4"/>
    <w:rsid w:val="00E97AF7"/>
    <w:rsid w:val="00EA0028"/>
    <w:rsid w:val="00EA0048"/>
    <w:rsid w:val="00EA00CD"/>
    <w:rsid w:val="00EA0270"/>
    <w:rsid w:val="00EA03EE"/>
    <w:rsid w:val="00EA04D9"/>
    <w:rsid w:val="00EA081E"/>
    <w:rsid w:val="00EA08DB"/>
    <w:rsid w:val="00EA0906"/>
    <w:rsid w:val="00EA181F"/>
    <w:rsid w:val="00EA2053"/>
    <w:rsid w:val="00EA2371"/>
    <w:rsid w:val="00EA2689"/>
    <w:rsid w:val="00EA2BD0"/>
    <w:rsid w:val="00EA36BE"/>
    <w:rsid w:val="00EA3B58"/>
    <w:rsid w:val="00EA3C41"/>
    <w:rsid w:val="00EA3E63"/>
    <w:rsid w:val="00EA4397"/>
    <w:rsid w:val="00EA43A0"/>
    <w:rsid w:val="00EA44DB"/>
    <w:rsid w:val="00EA4782"/>
    <w:rsid w:val="00EA47D8"/>
    <w:rsid w:val="00EA4913"/>
    <w:rsid w:val="00EA495A"/>
    <w:rsid w:val="00EA4EE6"/>
    <w:rsid w:val="00EA4F00"/>
    <w:rsid w:val="00EA4F24"/>
    <w:rsid w:val="00EA5089"/>
    <w:rsid w:val="00EA510F"/>
    <w:rsid w:val="00EA5208"/>
    <w:rsid w:val="00EA5581"/>
    <w:rsid w:val="00EA5785"/>
    <w:rsid w:val="00EA5A57"/>
    <w:rsid w:val="00EA5AB8"/>
    <w:rsid w:val="00EA6230"/>
    <w:rsid w:val="00EA6753"/>
    <w:rsid w:val="00EA6FFB"/>
    <w:rsid w:val="00EA7058"/>
    <w:rsid w:val="00EA7E52"/>
    <w:rsid w:val="00EA7F00"/>
    <w:rsid w:val="00EB0061"/>
    <w:rsid w:val="00EB01A3"/>
    <w:rsid w:val="00EB18FD"/>
    <w:rsid w:val="00EB1CF3"/>
    <w:rsid w:val="00EB2033"/>
    <w:rsid w:val="00EB261D"/>
    <w:rsid w:val="00EB2695"/>
    <w:rsid w:val="00EB2842"/>
    <w:rsid w:val="00EB28EE"/>
    <w:rsid w:val="00EB2B88"/>
    <w:rsid w:val="00EB390D"/>
    <w:rsid w:val="00EB3A4A"/>
    <w:rsid w:val="00EB3F5E"/>
    <w:rsid w:val="00EB4A0E"/>
    <w:rsid w:val="00EB5627"/>
    <w:rsid w:val="00EB59FE"/>
    <w:rsid w:val="00EB5CD4"/>
    <w:rsid w:val="00EB61A7"/>
    <w:rsid w:val="00EB7268"/>
    <w:rsid w:val="00EB767D"/>
    <w:rsid w:val="00EB76FB"/>
    <w:rsid w:val="00EB790D"/>
    <w:rsid w:val="00EB7C6B"/>
    <w:rsid w:val="00EC023C"/>
    <w:rsid w:val="00EC083F"/>
    <w:rsid w:val="00EC0FA5"/>
    <w:rsid w:val="00EC1277"/>
    <w:rsid w:val="00EC1912"/>
    <w:rsid w:val="00EC22F0"/>
    <w:rsid w:val="00EC2680"/>
    <w:rsid w:val="00EC2E85"/>
    <w:rsid w:val="00EC338D"/>
    <w:rsid w:val="00EC35CB"/>
    <w:rsid w:val="00EC360E"/>
    <w:rsid w:val="00EC3F56"/>
    <w:rsid w:val="00EC4BB6"/>
    <w:rsid w:val="00EC4D0C"/>
    <w:rsid w:val="00EC4D6F"/>
    <w:rsid w:val="00EC5897"/>
    <w:rsid w:val="00EC6460"/>
    <w:rsid w:val="00EC64B0"/>
    <w:rsid w:val="00EC6B2A"/>
    <w:rsid w:val="00EC6BD4"/>
    <w:rsid w:val="00EC6EBC"/>
    <w:rsid w:val="00EC724C"/>
    <w:rsid w:val="00EC761F"/>
    <w:rsid w:val="00EC77AC"/>
    <w:rsid w:val="00EC7E1C"/>
    <w:rsid w:val="00ED027F"/>
    <w:rsid w:val="00ED0F7A"/>
    <w:rsid w:val="00ED1229"/>
    <w:rsid w:val="00ED13ED"/>
    <w:rsid w:val="00ED14F0"/>
    <w:rsid w:val="00ED1BFF"/>
    <w:rsid w:val="00ED1D87"/>
    <w:rsid w:val="00ED1E1A"/>
    <w:rsid w:val="00ED22E5"/>
    <w:rsid w:val="00ED2440"/>
    <w:rsid w:val="00ED2959"/>
    <w:rsid w:val="00ED2C8E"/>
    <w:rsid w:val="00ED2D14"/>
    <w:rsid w:val="00ED2DCA"/>
    <w:rsid w:val="00ED2F39"/>
    <w:rsid w:val="00ED34A0"/>
    <w:rsid w:val="00ED3505"/>
    <w:rsid w:val="00ED37BD"/>
    <w:rsid w:val="00ED3C8C"/>
    <w:rsid w:val="00ED3D74"/>
    <w:rsid w:val="00ED427B"/>
    <w:rsid w:val="00ED481B"/>
    <w:rsid w:val="00ED534E"/>
    <w:rsid w:val="00ED55BA"/>
    <w:rsid w:val="00ED715D"/>
    <w:rsid w:val="00ED7D7C"/>
    <w:rsid w:val="00EE0526"/>
    <w:rsid w:val="00EE06AE"/>
    <w:rsid w:val="00EE06C4"/>
    <w:rsid w:val="00EE06E6"/>
    <w:rsid w:val="00EE0FF9"/>
    <w:rsid w:val="00EE16E6"/>
    <w:rsid w:val="00EE19C8"/>
    <w:rsid w:val="00EE2641"/>
    <w:rsid w:val="00EE281D"/>
    <w:rsid w:val="00EE2A45"/>
    <w:rsid w:val="00EE2AC8"/>
    <w:rsid w:val="00EE32EB"/>
    <w:rsid w:val="00EE33C9"/>
    <w:rsid w:val="00EE398B"/>
    <w:rsid w:val="00EE3B4F"/>
    <w:rsid w:val="00EE4885"/>
    <w:rsid w:val="00EE4E41"/>
    <w:rsid w:val="00EE5447"/>
    <w:rsid w:val="00EE5B62"/>
    <w:rsid w:val="00EE6079"/>
    <w:rsid w:val="00EE61C4"/>
    <w:rsid w:val="00EE61EC"/>
    <w:rsid w:val="00EE63CB"/>
    <w:rsid w:val="00EE668E"/>
    <w:rsid w:val="00EE6932"/>
    <w:rsid w:val="00EE7674"/>
    <w:rsid w:val="00EE7B99"/>
    <w:rsid w:val="00EE7CE6"/>
    <w:rsid w:val="00EE7DC5"/>
    <w:rsid w:val="00EF024C"/>
    <w:rsid w:val="00EF0517"/>
    <w:rsid w:val="00EF0B5F"/>
    <w:rsid w:val="00EF0C89"/>
    <w:rsid w:val="00EF10D6"/>
    <w:rsid w:val="00EF170B"/>
    <w:rsid w:val="00EF2047"/>
    <w:rsid w:val="00EF2148"/>
    <w:rsid w:val="00EF2164"/>
    <w:rsid w:val="00EF2208"/>
    <w:rsid w:val="00EF2F0C"/>
    <w:rsid w:val="00EF31C4"/>
    <w:rsid w:val="00EF3A1D"/>
    <w:rsid w:val="00EF3D0E"/>
    <w:rsid w:val="00EF3D63"/>
    <w:rsid w:val="00EF5413"/>
    <w:rsid w:val="00EF546B"/>
    <w:rsid w:val="00EF5690"/>
    <w:rsid w:val="00EF59E8"/>
    <w:rsid w:val="00EF6843"/>
    <w:rsid w:val="00EF6929"/>
    <w:rsid w:val="00EF6CE4"/>
    <w:rsid w:val="00EF7D5D"/>
    <w:rsid w:val="00EF7F6F"/>
    <w:rsid w:val="00F00475"/>
    <w:rsid w:val="00F00927"/>
    <w:rsid w:val="00F01059"/>
    <w:rsid w:val="00F0143E"/>
    <w:rsid w:val="00F01F8A"/>
    <w:rsid w:val="00F032A8"/>
    <w:rsid w:val="00F03F09"/>
    <w:rsid w:val="00F04579"/>
    <w:rsid w:val="00F048CD"/>
    <w:rsid w:val="00F04D24"/>
    <w:rsid w:val="00F0536B"/>
    <w:rsid w:val="00F058DD"/>
    <w:rsid w:val="00F05A17"/>
    <w:rsid w:val="00F05E62"/>
    <w:rsid w:val="00F070E7"/>
    <w:rsid w:val="00F071D5"/>
    <w:rsid w:val="00F07B61"/>
    <w:rsid w:val="00F07EFD"/>
    <w:rsid w:val="00F10A9F"/>
    <w:rsid w:val="00F10B71"/>
    <w:rsid w:val="00F1119D"/>
    <w:rsid w:val="00F113C9"/>
    <w:rsid w:val="00F11E36"/>
    <w:rsid w:val="00F121B4"/>
    <w:rsid w:val="00F12607"/>
    <w:rsid w:val="00F127F4"/>
    <w:rsid w:val="00F12CFA"/>
    <w:rsid w:val="00F133CE"/>
    <w:rsid w:val="00F1347F"/>
    <w:rsid w:val="00F13827"/>
    <w:rsid w:val="00F14A8A"/>
    <w:rsid w:val="00F14ADF"/>
    <w:rsid w:val="00F14B8B"/>
    <w:rsid w:val="00F156A6"/>
    <w:rsid w:val="00F162AE"/>
    <w:rsid w:val="00F162C1"/>
    <w:rsid w:val="00F1635E"/>
    <w:rsid w:val="00F16839"/>
    <w:rsid w:val="00F1683F"/>
    <w:rsid w:val="00F16A92"/>
    <w:rsid w:val="00F16AB8"/>
    <w:rsid w:val="00F16FDD"/>
    <w:rsid w:val="00F173CB"/>
    <w:rsid w:val="00F17D36"/>
    <w:rsid w:val="00F17E65"/>
    <w:rsid w:val="00F202AA"/>
    <w:rsid w:val="00F204A8"/>
    <w:rsid w:val="00F20921"/>
    <w:rsid w:val="00F20F24"/>
    <w:rsid w:val="00F2150A"/>
    <w:rsid w:val="00F221EB"/>
    <w:rsid w:val="00F224E6"/>
    <w:rsid w:val="00F22A8B"/>
    <w:rsid w:val="00F22C19"/>
    <w:rsid w:val="00F23306"/>
    <w:rsid w:val="00F23630"/>
    <w:rsid w:val="00F23793"/>
    <w:rsid w:val="00F237B8"/>
    <w:rsid w:val="00F2384F"/>
    <w:rsid w:val="00F23DD4"/>
    <w:rsid w:val="00F24359"/>
    <w:rsid w:val="00F246AB"/>
    <w:rsid w:val="00F24B49"/>
    <w:rsid w:val="00F24D95"/>
    <w:rsid w:val="00F252D3"/>
    <w:rsid w:val="00F253AE"/>
    <w:rsid w:val="00F2553B"/>
    <w:rsid w:val="00F2562D"/>
    <w:rsid w:val="00F25BFE"/>
    <w:rsid w:val="00F25EEF"/>
    <w:rsid w:val="00F2669D"/>
    <w:rsid w:val="00F26B38"/>
    <w:rsid w:val="00F26BAC"/>
    <w:rsid w:val="00F26DAE"/>
    <w:rsid w:val="00F27D2D"/>
    <w:rsid w:val="00F30236"/>
    <w:rsid w:val="00F30BE7"/>
    <w:rsid w:val="00F30C33"/>
    <w:rsid w:val="00F313B9"/>
    <w:rsid w:val="00F31E10"/>
    <w:rsid w:val="00F31FF8"/>
    <w:rsid w:val="00F324D9"/>
    <w:rsid w:val="00F32B60"/>
    <w:rsid w:val="00F32CC4"/>
    <w:rsid w:val="00F33313"/>
    <w:rsid w:val="00F33645"/>
    <w:rsid w:val="00F339AD"/>
    <w:rsid w:val="00F33A2C"/>
    <w:rsid w:val="00F33C63"/>
    <w:rsid w:val="00F34C5F"/>
    <w:rsid w:val="00F352EB"/>
    <w:rsid w:val="00F365A3"/>
    <w:rsid w:val="00F366AF"/>
    <w:rsid w:val="00F36C72"/>
    <w:rsid w:val="00F36E32"/>
    <w:rsid w:val="00F36E9C"/>
    <w:rsid w:val="00F36F24"/>
    <w:rsid w:val="00F373AC"/>
    <w:rsid w:val="00F37515"/>
    <w:rsid w:val="00F37B68"/>
    <w:rsid w:val="00F37C01"/>
    <w:rsid w:val="00F40037"/>
    <w:rsid w:val="00F40059"/>
    <w:rsid w:val="00F404E8"/>
    <w:rsid w:val="00F4060C"/>
    <w:rsid w:val="00F41253"/>
    <w:rsid w:val="00F41BF4"/>
    <w:rsid w:val="00F41E59"/>
    <w:rsid w:val="00F41E9C"/>
    <w:rsid w:val="00F427FC"/>
    <w:rsid w:val="00F428E4"/>
    <w:rsid w:val="00F4424C"/>
    <w:rsid w:val="00F44E6B"/>
    <w:rsid w:val="00F44F5A"/>
    <w:rsid w:val="00F45253"/>
    <w:rsid w:val="00F452B1"/>
    <w:rsid w:val="00F45E2D"/>
    <w:rsid w:val="00F46795"/>
    <w:rsid w:val="00F46FCA"/>
    <w:rsid w:val="00F4707C"/>
    <w:rsid w:val="00F475DD"/>
    <w:rsid w:val="00F476AD"/>
    <w:rsid w:val="00F47825"/>
    <w:rsid w:val="00F5062D"/>
    <w:rsid w:val="00F50C91"/>
    <w:rsid w:val="00F50DC1"/>
    <w:rsid w:val="00F50E6C"/>
    <w:rsid w:val="00F5102B"/>
    <w:rsid w:val="00F510E4"/>
    <w:rsid w:val="00F51420"/>
    <w:rsid w:val="00F519D0"/>
    <w:rsid w:val="00F5222C"/>
    <w:rsid w:val="00F52534"/>
    <w:rsid w:val="00F52690"/>
    <w:rsid w:val="00F527DB"/>
    <w:rsid w:val="00F52A54"/>
    <w:rsid w:val="00F52D62"/>
    <w:rsid w:val="00F53123"/>
    <w:rsid w:val="00F53BB3"/>
    <w:rsid w:val="00F53FC7"/>
    <w:rsid w:val="00F543E8"/>
    <w:rsid w:val="00F544BD"/>
    <w:rsid w:val="00F54755"/>
    <w:rsid w:val="00F54971"/>
    <w:rsid w:val="00F55091"/>
    <w:rsid w:val="00F550CB"/>
    <w:rsid w:val="00F558B1"/>
    <w:rsid w:val="00F56194"/>
    <w:rsid w:val="00F56CB1"/>
    <w:rsid w:val="00F57790"/>
    <w:rsid w:val="00F57AFC"/>
    <w:rsid w:val="00F57CE9"/>
    <w:rsid w:val="00F57D5E"/>
    <w:rsid w:val="00F57D8C"/>
    <w:rsid w:val="00F57ED0"/>
    <w:rsid w:val="00F603DA"/>
    <w:rsid w:val="00F60577"/>
    <w:rsid w:val="00F60B66"/>
    <w:rsid w:val="00F61722"/>
    <w:rsid w:val="00F61724"/>
    <w:rsid w:val="00F61862"/>
    <w:rsid w:val="00F61A66"/>
    <w:rsid w:val="00F61D65"/>
    <w:rsid w:val="00F62124"/>
    <w:rsid w:val="00F627CA"/>
    <w:rsid w:val="00F62ADD"/>
    <w:rsid w:val="00F62BDD"/>
    <w:rsid w:val="00F62C04"/>
    <w:rsid w:val="00F6304B"/>
    <w:rsid w:val="00F63316"/>
    <w:rsid w:val="00F639D6"/>
    <w:rsid w:val="00F63C82"/>
    <w:rsid w:val="00F63FE6"/>
    <w:rsid w:val="00F63FEB"/>
    <w:rsid w:val="00F640FF"/>
    <w:rsid w:val="00F64451"/>
    <w:rsid w:val="00F65431"/>
    <w:rsid w:val="00F65452"/>
    <w:rsid w:val="00F654F0"/>
    <w:rsid w:val="00F6575A"/>
    <w:rsid w:val="00F65C06"/>
    <w:rsid w:val="00F65EB8"/>
    <w:rsid w:val="00F664B8"/>
    <w:rsid w:val="00F66FBE"/>
    <w:rsid w:val="00F677D1"/>
    <w:rsid w:val="00F67AA9"/>
    <w:rsid w:val="00F67D0E"/>
    <w:rsid w:val="00F701D7"/>
    <w:rsid w:val="00F70480"/>
    <w:rsid w:val="00F71762"/>
    <w:rsid w:val="00F7176A"/>
    <w:rsid w:val="00F736E5"/>
    <w:rsid w:val="00F73F35"/>
    <w:rsid w:val="00F745DD"/>
    <w:rsid w:val="00F747F3"/>
    <w:rsid w:val="00F750E7"/>
    <w:rsid w:val="00F755CC"/>
    <w:rsid w:val="00F757CC"/>
    <w:rsid w:val="00F75B70"/>
    <w:rsid w:val="00F761B8"/>
    <w:rsid w:val="00F7655C"/>
    <w:rsid w:val="00F76BD7"/>
    <w:rsid w:val="00F76DA6"/>
    <w:rsid w:val="00F76E33"/>
    <w:rsid w:val="00F7707C"/>
    <w:rsid w:val="00F77DB8"/>
    <w:rsid w:val="00F77E7C"/>
    <w:rsid w:val="00F77FB0"/>
    <w:rsid w:val="00F802D5"/>
    <w:rsid w:val="00F804F8"/>
    <w:rsid w:val="00F807D2"/>
    <w:rsid w:val="00F80C86"/>
    <w:rsid w:val="00F80CC1"/>
    <w:rsid w:val="00F81206"/>
    <w:rsid w:val="00F818F2"/>
    <w:rsid w:val="00F819EA"/>
    <w:rsid w:val="00F82A38"/>
    <w:rsid w:val="00F82A6F"/>
    <w:rsid w:val="00F82EB6"/>
    <w:rsid w:val="00F8406C"/>
    <w:rsid w:val="00F84194"/>
    <w:rsid w:val="00F851AB"/>
    <w:rsid w:val="00F85448"/>
    <w:rsid w:val="00F86390"/>
    <w:rsid w:val="00F86B77"/>
    <w:rsid w:val="00F86BAF"/>
    <w:rsid w:val="00F86EC8"/>
    <w:rsid w:val="00F879BD"/>
    <w:rsid w:val="00F87BC4"/>
    <w:rsid w:val="00F90415"/>
    <w:rsid w:val="00F90848"/>
    <w:rsid w:val="00F90A02"/>
    <w:rsid w:val="00F90C39"/>
    <w:rsid w:val="00F90FF5"/>
    <w:rsid w:val="00F91158"/>
    <w:rsid w:val="00F91579"/>
    <w:rsid w:val="00F9172E"/>
    <w:rsid w:val="00F91A58"/>
    <w:rsid w:val="00F91F84"/>
    <w:rsid w:val="00F9325D"/>
    <w:rsid w:val="00F93CB4"/>
    <w:rsid w:val="00F93D1C"/>
    <w:rsid w:val="00F93E0F"/>
    <w:rsid w:val="00F94657"/>
    <w:rsid w:val="00F94815"/>
    <w:rsid w:val="00F948FE"/>
    <w:rsid w:val="00F94DFC"/>
    <w:rsid w:val="00F95F8E"/>
    <w:rsid w:val="00F96251"/>
    <w:rsid w:val="00F978CE"/>
    <w:rsid w:val="00F97F4D"/>
    <w:rsid w:val="00FA00E8"/>
    <w:rsid w:val="00FA00EF"/>
    <w:rsid w:val="00FA025A"/>
    <w:rsid w:val="00FA0B0E"/>
    <w:rsid w:val="00FA10C9"/>
    <w:rsid w:val="00FA1274"/>
    <w:rsid w:val="00FA13BC"/>
    <w:rsid w:val="00FA13D6"/>
    <w:rsid w:val="00FA18CB"/>
    <w:rsid w:val="00FA1BEE"/>
    <w:rsid w:val="00FA1EA0"/>
    <w:rsid w:val="00FA207D"/>
    <w:rsid w:val="00FA239F"/>
    <w:rsid w:val="00FA2586"/>
    <w:rsid w:val="00FA28D6"/>
    <w:rsid w:val="00FA28F6"/>
    <w:rsid w:val="00FA296D"/>
    <w:rsid w:val="00FA2F5F"/>
    <w:rsid w:val="00FA3946"/>
    <w:rsid w:val="00FA3DBA"/>
    <w:rsid w:val="00FA45F5"/>
    <w:rsid w:val="00FA50A7"/>
    <w:rsid w:val="00FA51D8"/>
    <w:rsid w:val="00FA5431"/>
    <w:rsid w:val="00FA5494"/>
    <w:rsid w:val="00FA56C7"/>
    <w:rsid w:val="00FA5757"/>
    <w:rsid w:val="00FA5DF4"/>
    <w:rsid w:val="00FA6A71"/>
    <w:rsid w:val="00FA7907"/>
    <w:rsid w:val="00FB0332"/>
    <w:rsid w:val="00FB0FDD"/>
    <w:rsid w:val="00FB1458"/>
    <w:rsid w:val="00FB1537"/>
    <w:rsid w:val="00FB15F4"/>
    <w:rsid w:val="00FB28A0"/>
    <w:rsid w:val="00FB2A6E"/>
    <w:rsid w:val="00FB2E98"/>
    <w:rsid w:val="00FB3250"/>
    <w:rsid w:val="00FB32B3"/>
    <w:rsid w:val="00FB40DA"/>
    <w:rsid w:val="00FB43A2"/>
    <w:rsid w:val="00FB4442"/>
    <w:rsid w:val="00FB4708"/>
    <w:rsid w:val="00FB5305"/>
    <w:rsid w:val="00FB6027"/>
    <w:rsid w:val="00FB6062"/>
    <w:rsid w:val="00FB6E49"/>
    <w:rsid w:val="00FB6ED8"/>
    <w:rsid w:val="00FB70DD"/>
    <w:rsid w:val="00FB767D"/>
    <w:rsid w:val="00FC010A"/>
    <w:rsid w:val="00FC0255"/>
    <w:rsid w:val="00FC0B9B"/>
    <w:rsid w:val="00FC1465"/>
    <w:rsid w:val="00FC1519"/>
    <w:rsid w:val="00FC1546"/>
    <w:rsid w:val="00FC17C8"/>
    <w:rsid w:val="00FC222F"/>
    <w:rsid w:val="00FC2681"/>
    <w:rsid w:val="00FC2796"/>
    <w:rsid w:val="00FC2A0E"/>
    <w:rsid w:val="00FC310D"/>
    <w:rsid w:val="00FC4057"/>
    <w:rsid w:val="00FC4205"/>
    <w:rsid w:val="00FC4592"/>
    <w:rsid w:val="00FC4DF4"/>
    <w:rsid w:val="00FC515F"/>
    <w:rsid w:val="00FC520D"/>
    <w:rsid w:val="00FC546A"/>
    <w:rsid w:val="00FC5AB0"/>
    <w:rsid w:val="00FC5C2D"/>
    <w:rsid w:val="00FC61EC"/>
    <w:rsid w:val="00FC6F92"/>
    <w:rsid w:val="00FC71F9"/>
    <w:rsid w:val="00FC787D"/>
    <w:rsid w:val="00FC794F"/>
    <w:rsid w:val="00FD0317"/>
    <w:rsid w:val="00FD1361"/>
    <w:rsid w:val="00FD1580"/>
    <w:rsid w:val="00FD1738"/>
    <w:rsid w:val="00FD177E"/>
    <w:rsid w:val="00FD1DD4"/>
    <w:rsid w:val="00FD1FC7"/>
    <w:rsid w:val="00FD1FDE"/>
    <w:rsid w:val="00FD2651"/>
    <w:rsid w:val="00FD2878"/>
    <w:rsid w:val="00FD3231"/>
    <w:rsid w:val="00FD39B9"/>
    <w:rsid w:val="00FD4616"/>
    <w:rsid w:val="00FD4CCE"/>
    <w:rsid w:val="00FD4F2B"/>
    <w:rsid w:val="00FD52D2"/>
    <w:rsid w:val="00FD534E"/>
    <w:rsid w:val="00FD6D5B"/>
    <w:rsid w:val="00FD6DF0"/>
    <w:rsid w:val="00FD7013"/>
    <w:rsid w:val="00FD7A37"/>
    <w:rsid w:val="00FD7AD1"/>
    <w:rsid w:val="00FE089D"/>
    <w:rsid w:val="00FE1B1E"/>
    <w:rsid w:val="00FE1F09"/>
    <w:rsid w:val="00FE2BDE"/>
    <w:rsid w:val="00FE2FAC"/>
    <w:rsid w:val="00FE332B"/>
    <w:rsid w:val="00FE41D8"/>
    <w:rsid w:val="00FE423E"/>
    <w:rsid w:val="00FE4478"/>
    <w:rsid w:val="00FE4873"/>
    <w:rsid w:val="00FE494A"/>
    <w:rsid w:val="00FE4AAF"/>
    <w:rsid w:val="00FE4CCD"/>
    <w:rsid w:val="00FE4ED2"/>
    <w:rsid w:val="00FE4F03"/>
    <w:rsid w:val="00FE5384"/>
    <w:rsid w:val="00FE6172"/>
    <w:rsid w:val="00FE62BD"/>
    <w:rsid w:val="00FE6611"/>
    <w:rsid w:val="00FE6B15"/>
    <w:rsid w:val="00FE6D80"/>
    <w:rsid w:val="00FE7550"/>
    <w:rsid w:val="00FE78F4"/>
    <w:rsid w:val="00FE7A4D"/>
    <w:rsid w:val="00FE7AB6"/>
    <w:rsid w:val="00FE7CAD"/>
    <w:rsid w:val="00FE7CF8"/>
    <w:rsid w:val="00FF00ED"/>
    <w:rsid w:val="00FF05A8"/>
    <w:rsid w:val="00FF07B2"/>
    <w:rsid w:val="00FF0972"/>
    <w:rsid w:val="00FF0A93"/>
    <w:rsid w:val="00FF0D5E"/>
    <w:rsid w:val="00FF151D"/>
    <w:rsid w:val="00FF1575"/>
    <w:rsid w:val="00FF1FA0"/>
    <w:rsid w:val="00FF20A9"/>
    <w:rsid w:val="00FF26D3"/>
    <w:rsid w:val="00FF26F3"/>
    <w:rsid w:val="00FF2E2F"/>
    <w:rsid w:val="00FF36A2"/>
    <w:rsid w:val="00FF39EE"/>
    <w:rsid w:val="00FF3FF7"/>
    <w:rsid w:val="00FF402D"/>
    <w:rsid w:val="00FF4150"/>
    <w:rsid w:val="00FF4A1A"/>
    <w:rsid w:val="00FF4C21"/>
    <w:rsid w:val="00FF524F"/>
    <w:rsid w:val="00FF53FE"/>
    <w:rsid w:val="00FF5401"/>
    <w:rsid w:val="00FF5DAE"/>
    <w:rsid w:val="00FF698F"/>
    <w:rsid w:val="00FF6B86"/>
    <w:rsid w:val="00FF7289"/>
    <w:rsid w:val="00FF766E"/>
    <w:rsid w:val="00FF7798"/>
    <w:rsid w:val="00FF7E5F"/>
    <w:rsid w:val="01711EAE"/>
    <w:rsid w:val="01B322AE"/>
    <w:rsid w:val="01B8392D"/>
    <w:rsid w:val="01DE719D"/>
    <w:rsid w:val="02570C49"/>
    <w:rsid w:val="0259193F"/>
    <w:rsid w:val="02CF1A73"/>
    <w:rsid w:val="02D66DC1"/>
    <w:rsid w:val="02D76BA2"/>
    <w:rsid w:val="02F23D20"/>
    <w:rsid w:val="033A1837"/>
    <w:rsid w:val="035148F2"/>
    <w:rsid w:val="036523A7"/>
    <w:rsid w:val="0382186E"/>
    <w:rsid w:val="03890544"/>
    <w:rsid w:val="039A13B7"/>
    <w:rsid w:val="03F93FAA"/>
    <w:rsid w:val="04596DF4"/>
    <w:rsid w:val="04A96068"/>
    <w:rsid w:val="04FD3622"/>
    <w:rsid w:val="051C65C5"/>
    <w:rsid w:val="0528723D"/>
    <w:rsid w:val="05847474"/>
    <w:rsid w:val="05AB1741"/>
    <w:rsid w:val="05B60CC6"/>
    <w:rsid w:val="05BA3F44"/>
    <w:rsid w:val="05F11A75"/>
    <w:rsid w:val="063B562B"/>
    <w:rsid w:val="06705232"/>
    <w:rsid w:val="067D59FE"/>
    <w:rsid w:val="06DF16DE"/>
    <w:rsid w:val="06DF3FC3"/>
    <w:rsid w:val="06FC6923"/>
    <w:rsid w:val="07460A84"/>
    <w:rsid w:val="074B3407"/>
    <w:rsid w:val="074E0354"/>
    <w:rsid w:val="07683972"/>
    <w:rsid w:val="07805D4A"/>
    <w:rsid w:val="07C20931"/>
    <w:rsid w:val="07D14828"/>
    <w:rsid w:val="07F8078B"/>
    <w:rsid w:val="082E47FF"/>
    <w:rsid w:val="08451A8C"/>
    <w:rsid w:val="08732325"/>
    <w:rsid w:val="089330AE"/>
    <w:rsid w:val="08CB0654"/>
    <w:rsid w:val="08EB6C4F"/>
    <w:rsid w:val="09063216"/>
    <w:rsid w:val="09070849"/>
    <w:rsid w:val="094E4CAC"/>
    <w:rsid w:val="09663B37"/>
    <w:rsid w:val="096A2E91"/>
    <w:rsid w:val="0A9E430B"/>
    <w:rsid w:val="0AA20EC7"/>
    <w:rsid w:val="0AA5353C"/>
    <w:rsid w:val="0AB16AB4"/>
    <w:rsid w:val="0AB84FF7"/>
    <w:rsid w:val="0AE135F0"/>
    <w:rsid w:val="0B16542F"/>
    <w:rsid w:val="0B5E2333"/>
    <w:rsid w:val="0B5F1CB6"/>
    <w:rsid w:val="0B8443C7"/>
    <w:rsid w:val="0BA91446"/>
    <w:rsid w:val="0BD73B71"/>
    <w:rsid w:val="0C231258"/>
    <w:rsid w:val="0C4F390D"/>
    <w:rsid w:val="0CCA1657"/>
    <w:rsid w:val="0D150166"/>
    <w:rsid w:val="0D2E2BDA"/>
    <w:rsid w:val="0D8C1364"/>
    <w:rsid w:val="0DB521FF"/>
    <w:rsid w:val="0DDA1EAA"/>
    <w:rsid w:val="0ED511AA"/>
    <w:rsid w:val="0EF64ECE"/>
    <w:rsid w:val="0EF97BEC"/>
    <w:rsid w:val="0EFB1BB6"/>
    <w:rsid w:val="0F2A38B2"/>
    <w:rsid w:val="0FC30AE0"/>
    <w:rsid w:val="10197033"/>
    <w:rsid w:val="104823C2"/>
    <w:rsid w:val="10815030"/>
    <w:rsid w:val="10A97C6C"/>
    <w:rsid w:val="10AB466E"/>
    <w:rsid w:val="10D0353C"/>
    <w:rsid w:val="10FD2B6E"/>
    <w:rsid w:val="11691133"/>
    <w:rsid w:val="11744B2C"/>
    <w:rsid w:val="11744C56"/>
    <w:rsid w:val="1178761E"/>
    <w:rsid w:val="119B0193"/>
    <w:rsid w:val="11CC0C5D"/>
    <w:rsid w:val="11D4169F"/>
    <w:rsid w:val="11F950BC"/>
    <w:rsid w:val="12013FEF"/>
    <w:rsid w:val="125C653E"/>
    <w:rsid w:val="126E7B06"/>
    <w:rsid w:val="128C0794"/>
    <w:rsid w:val="12BF363B"/>
    <w:rsid w:val="12D76493"/>
    <w:rsid w:val="130C6ECC"/>
    <w:rsid w:val="13622204"/>
    <w:rsid w:val="136A6610"/>
    <w:rsid w:val="1382056F"/>
    <w:rsid w:val="138E5D43"/>
    <w:rsid w:val="13E319BF"/>
    <w:rsid w:val="140B58E3"/>
    <w:rsid w:val="141B7529"/>
    <w:rsid w:val="1424737B"/>
    <w:rsid w:val="142B0848"/>
    <w:rsid w:val="145C0893"/>
    <w:rsid w:val="14655443"/>
    <w:rsid w:val="146E43DF"/>
    <w:rsid w:val="148172FF"/>
    <w:rsid w:val="14DC1B42"/>
    <w:rsid w:val="151F7EA5"/>
    <w:rsid w:val="15411C84"/>
    <w:rsid w:val="15641653"/>
    <w:rsid w:val="156A3E75"/>
    <w:rsid w:val="15714059"/>
    <w:rsid w:val="157224A6"/>
    <w:rsid w:val="157F21D3"/>
    <w:rsid w:val="15B052C7"/>
    <w:rsid w:val="15D324C8"/>
    <w:rsid w:val="15F06E35"/>
    <w:rsid w:val="16402431"/>
    <w:rsid w:val="166167A3"/>
    <w:rsid w:val="166E2C6E"/>
    <w:rsid w:val="168328BF"/>
    <w:rsid w:val="169D3FF2"/>
    <w:rsid w:val="16B559FE"/>
    <w:rsid w:val="16BB48E7"/>
    <w:rsid w:val="16C3120C"/>
    <w:rsid w:val="16EB4602"/>
    <w:rsid w:val="1769332F"/>
    <w:rsid w:val="17736471"/>
    <w:rsid w:val="17763CB7"/>
    <w:rsid w:val="17D70C85"/>
    <w:rsid w:val="17DB34B8"/>
    <w:rsid w:val="17EE2F5E"/>
    <w:rsid w:val="18247715"/>
    <w:rsid w:val="183D341F"/>
    <w:rsid w:val="18501E83"/>
    <w:rsid w:val="1872115B"/>
    <w:rsid w:val="18763D66"/>
    <w:rsid w:val="1884595B"/>
    <w:rsid w:val="192B4389"/>
    <w:rsid w:val="1933123E"/>
    <w:rsid w:val="19A62B7D"/>
    <w:rsid w:val="19AF3DBE"/>
    <w:rsid w:val="19C86B39"/>
    <w:rsid w:val="19DE635C"/>
    <w:rsid w:val="19F47DE3"/>
    <w:rsid w:val="1A1226D9"/>
    <w:rsid w:val="1A7E26F8"/>
    <w:rsid w:val="1AD0380E"/>
    <w:rsid w:val="1AF92681"/>
    <w:rsid w:val="1B41658E"/>
    <w:rsid w:val="1B701236"/>
    <w:rsid w:val="1BA92AC2"/>
    <w:rsid w:val="1C22489F"/>
    <w:rsid w:val="1C5B5A42"/>
    <w:rsid w:val="1C5D67E2"/>
    <w:rsid w:val="1CDF48C5"/>
    <w:rsid w:val="1CF56ACD"/>
    <w:rsid w:val="1D011931"/>
    <w:rsid w:val="1D0A1573"/>
    <w:rsid w:val="1DAC73EB"/>
    <w:rsid w:val="1DBF45C0"/>
    <w:rsid w:val="1DE657E0"/>
    <w:rsid w:val="1DF36BBF"/>
    <w:rsid w:val="1E2111CA"/>
    <w:rsid w:val="1E3A0B39"/>
    <w:rsid w:val="1E4912B9"/>
    <w:rsid w:val="1ECD0214"/>
    <w:rsid w:val="1ED65854"/>
    <w:rsid w:val="1EDA0B29"/>
    <w:rsid w:val="1EFA026E"/>
    <w:rsid w:val="1F4A3163"/>
    <w:rsid w:val="1FC34021"/>
    <w:rsid w:val="1FD91088"/>
    <w:rsid w:val="20190227"/>
    <w:rsid w:val="202A6813"/>
    <w:rsid w:val="203B663B"/>
    <w:rsid w:val="204601D8"/>
    <w:rsid w:val="204A63B2"/>
    <w:rsid w:val="207361E5"/>
    <w:rsid w:val="20C50311"/>
    <w:rsid w:val="21254838"/>
    <w:rsid w:val="21B01C03"/>
    <w:rsid w:val="21D90C51"/>
    <w:rsid w:val="22610894"/>
    <w:rsid w:val="2277010E"/>
    <w:rsid w:val="227F7641"/>
    <w:rsid w:val="22855B39"/>
    <w:rsid w:val="22B10CB3"/>
    <w:rsid w:val="22B7763E"/>
    <w:rsid w:val="23055545"/>
    <w:rsid w:val="234659B6"/>
    <w:rsid w:val="236B3DC1"/>
    <w:rsid w:val="23841CA2"/>
    <w:rsid w:val="23A8167E"/>
    <w:rsid w:val="23DE09B4"/>
    <w:rsid w:val="2424106E"/>
    <w:rsid w:val="242E34C6"/>
    <w:rsid w:val="24493238"/>
    <w:rsid w:val="246465D6"/>
    <w:rsid w:val="246C7D6D"/>
    <w:rsid w:val="24995DF3"/>
    <w:rsid w:val="249F16A9"/>
    <w:rsid w:val="24A365B5"/>
    <w:rsid w:val="24BF3602"/>
    <w:rsid w:val="24F829C8"/>
    <w:rsid w:val="25280627"/>
    <w:rsid w:val="254A627F"/>
    <w:rsid w:val="255D21B2"/>
    <w:rsid w:val="258E4D49"/>
    <w:rsid w:val="25977540"/>
    <w:rsid w:val="25B24B88"/>
    <w:rsid w:val="25E7762D"/>
    <w:rsid w:val="2630283F"/>
    <w:rsid w:val="265E2CFF"/>
    <w:rsid w:val="27214CC0"/>
    <w:rsid w:val="2723487C"/>
    <w:rsid w:val="27264494"/>
    <w:rsid w:val="273A6BEC"/>
    <w:rsid w:val="278D7ECA"/>
    <w:rsid w:val="278E2A9C"/>
    <w:rsid w:val="27AE5E5A"/>
    <w:rsid w:val="27E96E49"/>
    <w:rsid w:val="281E7896"/>
    <w:rsid w:val="283E6FA7"/>
    <w:rsid w:val="28445F24"/>
    <w:rsid w:val="28940C24"/>
    <w:rsid w:val="2899001E"/>
    <w:rsid w:val="28D24AB2"/>
    <w:rsid w:val="292617F4"/>
    <w:rsid w:val="29495502"/>
    <w:rsid w:val="29780B10"/>
    <w:rsid w:val="29A33DBF"/>
    <w:rsid w:val="29BD6CBA"/>
    <w:rsid w:val="29D43770"/>
    <w:rsid w:val="2A1B2899"/>
    <w:rsid w:val="2A587230"/>
    <w:rsid w:val="2A9270C5"/>
    <w:rsid w:val="2AD70079"/>
    <w:rsid w:val="2AE4056D"/>
    <w:rsid w:val="2AEA32C5"/>
    <w:rsid w:val="2B173172"/>
    <w:rsid w:val="2B18309C"/>
    <w:rsid w:val="2B743542"/>
    <w:rsid w:val="2B8666B2"/>
    <w:rsid w:val="2B9A07F5"/>
    <w:rsid w:val="2BA94A1C"/>
    <w:rsid w:val="2BD90EB0"/>
    <w:rsid w:val="2BF53501"/>
    <w:rsid w:val="2C6614A1"/>
    <w:rsid w:val="2CB93B07"/>
    <w:rsid w:val="2CDE06F5"/>
    <w:rsid w:val="2D0F0B69"/>
    <w:rsid w:val="2D154518"/>
    <w:rsid w:val="2DB65067"/>
    <w:rsid w:val="2E224612"/>
    <w:rsid w:val="2E57039C"/>
    <w:rsid w:val="2E666A75"/>
    <w:rsid w:val="2E694B0E"/>
    <w:rsid w:val="2E7E0F8B"/>
    <w:rsid w:val="2EC7237D"/>
    <w:rsid w:val="2F036F90"/>
    <w:rsid w:val="2F1C4D39"/>
    <w:rsid w:val="2F682D28"/>
    <w:rsid w:val="2F7458C5"/>
    <w:rsid w:val="2F8048B5"/>
    <w:rsid w:val="2FA859EE"/>
    <w:rsid w:val="2FBA1CBA"/>
    <w:rsid w:val="2FD45DE0"/>
    <w:rsid w:val="30197C97"/>
    <w:rsid w:val="305F1801"/>
    <w:rsid w:val="30662A25"/>
    <w:rsid w:val="31415DE3"/>
    <w:rsid w:val="31AB383D"/>
    <w:rsid w:val="31BD62B4"/>
    <w:rsid w:val="31BE28A4"/>
    <w:rsid w:val="324C72AC"/>
    <w:rsid w:val="32592253"/>
    <w:rsid w:val="325C4545"/>
    <w:rsid w:val="325E6D23"/>
    <w:rsid w:val="32767B9B"/>
    <w:rsid w:val="32D23A87"/>
    <w:rsid w:val="32E533FD"/>
    <w:rsid w:val="32FE2493"/>
    <w:rsid w:val="33355AEF"/>
    <w:rsid w:val="334853F8"/>
    <w:rsid w:val="33491352"/>
    <w:rsid w:val="33593703"/>
    <w:rsid w:val="3371160C"/>
    <w:rsid w:val="33743E63"/>
    <w:rsid w:val="3386174C"/>
    <w:rsid w:val="33AC5879"/>
    <w:rsid w:val="342E1F62"/>
    <w:rsid w:val="34666D30"/>
    <w:rsid w:val="348E48C2"/>
    <w:rsid w:val="34EF504B"/>
    <w:rsid w:val="352D4551"/>
    <w:rsid w:val="35304F7B"/>
    <w:rsid w:val="35341ECE"/>
    <w:rsid w:val="35496928"/>
    <w:rsid w:val="357F2C54"/>
    <w:rsid w:val="361A653A"/>
    <w:rsid w:val="36434482"/>
    <w:rsid w:val="36581079"/>
    <w:rsid w:val="365E5B56"/>
    <w:rsid w:val="369338FF"/>
    <w:rsid w:val="36A24542"/>
    <w:rsid w:val="37266B41"/>
    <w:rsid w:val="374E4EEC"/>
    <w:rsid w:val="378A6A5C"/>
    <w:rsid w:val="37AD0256"/>
    <w:rsid w:val="37DD587C"/>
    <w:rsid w:val="37DF383B"/>
    <w:rsid w:val="37E66CE8"/>
    <w:rsid w:val="37E746EF"/>
    <w:rsid w:val="37F13DD8"/>
    <w:rsid w:val="380367F7"/>
    <w:rsid w:val="38132D5A"/>
    <w:rsid w:val="383D6974"/>
    <w:rsid w:val="384B77B8"/>
    <w:rsid w:val="38895467"/>
    <w:rsid w:val="38A20D21"/>
    <w:rsid w:val="38E057F5"/>
    <w:rsid w:val="38EA3760"/>
    <w:rsid w:val="394531CA"/>
    <w:rsid w:val="396711E1"/>
    <w:rsid w:val="396E7383"/>
    <w:rsid w:val="39A37A78"/>
    <w:rsid w:val="39A4356C"/>
    <w:rsid w:val="39B47DB2"/>
    <w:rsid w:val="3A164490"/>
    <w:rsid w:val="3A1A7739"/>
    <w:rsid w:val="3AF96284"/>
    <w:rsid w:val="3B125A5C"/>
    <w:rsid w:val="3B211F34"/>
    <w:rsid w:val="3B2A665C"/>
    <w:rsid w:val="3B2B4393"/>
    <w:rsid w:val="3B3442CE"/>
    <w:rsid w:val="3B605F9E"/>
    <w:rsid w:val="3B6F0B55"/>
    <w:rsid w:val="3B706570"/>
    <w:rsid w:val="3B7103EA"/>
    <w:rsid w:val="3BA2600B"/>
    <w:rsid w:val="3BB4068B"/>
    <w:rsid w:val="3BC818F4"/>
    <w:rsid w:val="3BF319F0"/>
    <w:rsid w:val="3C791031"/>
    <w:rsid w:val="3C7E0650"/>
    <w:rsid w:val="3CA25F23"/>
    <w:rsid w:val="3CAC51AD"/>
    <w:rsid w:val="3CD627C6"/>
    <w:rsid w:val="3CE138EA"/>
    <w:rsid w:val="3D143CBF"/>
    <w:rsid w:val="3D1D4E1D"/>
    <w:rsid w:val="3D3A5EA1"/>
    <w:rsid w:val="3D4D2D00"/>
    <w:rsid w:val="3D58408D"/>
    <w:rsid w:val="3D7A1A9D"/>
    <w:rsid w:val="3DB93EE3"/>
    <w:rsid w:val="3DF33C99"/>
    <w:rsid w:val="3DFE4A98"/>
    <w:rsid w:val="3E053081"/>
    <w:rsid w:val="3E2A36D4"/>
    <w:rsid w:val="3E3537B3"/>
    <w:rsid w:val="3F8965F4"/>
    <w:rsid w:val="3FCA00D3"/>
    <w:rsid w:val="3FF13EBD"/>
    <w:rsid w:val="402047A8"/>
    <w:rsid w:val="40471332"/>
    <w:rsid w:val="40777396"/>
    <w:rsid w:val="40A07983"/>
    <w:rsid w:val="40AD69B8"/>
    <w:rsid w:val="40B00D74"/>
    <w:rsid w:val="40CC36E2"/>
    <w:rsid w:val="41151DB4"/>
    <w:rsid w:val="414C7ECC"/>
    <w:rsid w:val="419B6FE5"/>
    <w:rsid w:val="41EA6ECF"/>
    <w:rsid w:val="41EB2F61"/>
    <w:rsid w:val="421107CE"/>
    <w:rsid w:val="422064CF"/>
    <w:rsid w:val="422C11F6"/>
    <w:rsid w:val="426E4F1C"/>
    <w:rsid w:val="428E648B"/>
    <w:rsid w:val="42964B25"/>
    <w:rsid w:val="432879C3"/>
    <w:rsid w:val="433C148F"/>
    <w:rsid w:val="43731CBF"/>
    <w:rsid w:val="43993D23"/>
    <w:rsid w:val="439C1DBC"/>
    <w:rsid w:val="439E30EC"/>
    <w:rsid w:val="43FE5913"/>
    <w:rsid w:val="444906F3"/>
    <w:rsid w:val="447877E0"/>
    <w:rsid w:val="44A02EF4"/>
    <w:rsid w:val="44AF173A"/>
    <w:rsid w:val="44D67ED5"/>
    <w:rsid w:val="45611C43"/>
    <w:rsid w:val="458C3B8B"/>
    <w:rsid w:val="459D1975"/>
    <w:rsid w:val="45DB7E3C"/>
    <w:rsid w:val="45F02A8C"/>
    <w:rsid w:val="46071964"/>
    <w:rsid w:val="460B31D8"/>
    <w:rsid w:val="46230380"/>
    <w:rsid w:val="46344A96"/>
    <w:rsid w:val="463F11F4"/>
    <w:rsid w:val="466F292F"/>
    <w:rsid w:val="46736FF8"/>
    <w:rsid w:val="468633F9"/>
    <w:rsid w:val="46D77B10"/>
    <w:rsid w:val="473E5555"/>
    <w:rsid w:val="47400CFA"/>
    <w:rsid w:val="4768676B"/>
    <w:rsid w:val="477D2736"/>
    <w:rsid w:val="47B733EC"/>
    <w:rsid w:val="47C875A2"/>
    <w:rsid w:val="47D55C4B"/>
    <w:rsid w:val="48005295"/>
    <w:rsid w:val="481144FC"/>
    <w:rsid w:val="48722B00"/>
    <w:rsid w:val="487F742E"/>
    <w:rsid w:val="489932BB"/>
    <w:rsid w:val="48CC3DF7"/>
    <w:rsid w:val="491A3111"/>
    <w:rsid w:val="49792868"/>
    <w:rsid w:val="499C2655"/>
    <w:rsid w:val="4A4C6F76"/>
    <w:rsid w:val="4A4D4749"/>
    <w:rsid w:val="4A632520"/>
    <w:rsid w:val="4ABE1985"/>
    <w:rsid w:val="4AC86F3E"/>
    <w:rsid w:val="4AD730B2"/>
    <w:rsid w:val="4AD81099"/>
    <w:rsid w:val="4AEF6820"/>
    <w:rsid w:val="4B0B3AEE"/>
    <w:rsid w:val="4B387CDB"/>
    <w:rsid w:val="4B3C61BA"/>
    <w:rsid w:val="4B512393"/>
    <w:rsid w:val="4B77746D"/>
    <w:rsid w:val="4B7D1518"/>
    <w:rsid w:val="4BAD2D97"/>
    <w:rsid w:val="4BEE6B7C"/>
    <w:rsid w:val="4BFC429C"/>
    <w:rsid w:val="4C2B78BB"/>
    <w:rsid w:val="4C426D08"/>
    <w:rsid w:val="4C7671C4"/>
    <w:rsid w:val="4CAA4C60"/>
    <w:rsid w:val="4CE44F30"/>
    <w:rsid w:val="4D3A32CE"/>
    <w:rsid w:val="4D4D76A6"/>
    <w:rsid w:val="4D5362FA"/>
    <w:rsid w:val="4D587760"/>
    <w:rsid w:val="4D8B04DC"/>
    <w:rsid w:val="4DBF151E"/>
    <w:rsid w:val="4E66216D"/>
    <w:rsid w:val="4E8F2BD7"/>
    <w:rsid w:val="4E9525AE"/>
    <w:rsid w:val="4EF31CC7"/>
    <w:rsid w:val="4F17423C"/>
    <w:rsid w:val="4F390EBD"/>
    <w:rsid w:val="4F6671D4"/>
    <w:rsid w:val="4FAA7870"/>
    <w:rsid w:val="4FC2512E"/>
    <w:rsid w:val="4FDD7570"/>
    <w:rsid w:val="4FDF3A15"/>
    <w:rsid w:val="4FFB45DD"/>
    <w:rsid w:val="500C1563"/>
    <w:rsid w:val="500E22F0"/>
    <w:rsid w:val="502B4F5E"/>
    <w:rsid w:val="50346ECE"/>
    <w:rsid w:val="503C6B1B"/>
    <w:rsid w:val="50616E69"/>
    <w:rsid w:val="508109D3"/>
    <w:rsid w:val="509467CD"/>
    <w:rsid w:val="50992B12"/>
    <w:rsid w:val="50C47184"/>
    <w:rsid w:val="51416DAD"/>
    <w:rsid w:val="515B3C1A"/>
    <w:rsid w:val="51DD247A"/>
    <w:rsid w:val="51DE3F91"/>
    <w:rsid w:val="52293D20"/>
    <w:rsid w:val="523F74DC"/>
    <w:rsid w:val="525853BF"/>
    <w:rsid w:val="526273B5"/>
    <w:rsid w:val="52807D2B"/>
    <w:rsid w:val="52C8312A"/>
    <w:rsid w:val="52DA5E20"/>
    <w:rsid w:val="533C6372"/>
    <w:rsid w:val="535B0A78"/>
    <w:rsid w:val="535E50E9"/>
    <w:rsid w:val="538057B3"/>
    <w:rsid w:val="53834616"/>
    <w:rsid w:val="54030C72"/>
    <w:rsid w:val="54110F95"/>
    <w:rsid w:val="542C2E06"/>
    <w:rsid w:val="543330D4"/>
    <w:rsid w:val="545B39C8"/>
    <w:rsid w:val="5461275F"/>
    <w:rsid w:val="548846CD"/>
    <w:rsid w:val="549C13B8"/>
    <w:rsid w:val="54F221A8"/>
    <w:rsid w:val="552C1279"/>
    <w:rsid w:val="55502FF3"/>
    <w:rsid w:val="55594E10"/>
    <w:rsid w:val="55647885"/>
    <w:rsid w:val="5569252E"/>
    <w:rsid w:val="558C0DF3"/>
    <w:rsid w:val="559B4B26"/>
    <w:rsid w:val="55BD710C"/>
    <w:rsid w:val="55CF10F9"/>
    <w:rsid w:val="564F60BD"/>
    <w:rsid w:val="56BB57E8"/>
    <w:rsid w:val="56C10806"/>
    <w:rsid w:val="56E25D69"/>
    <w:rsid w:val="56FA6B3B"/>
    <w:rsid w:val="57357345"/>
    <w:rsid w:val="577F59BF"/>
    <w:rsid w:val="57AA3DFA"/>
    <w:rsid w:val="57DF729E"/>
    <w:rsid w:val="57F30695"/>
    <w:rsid w:val="58007540"/>
    <w:rsid w:val="58075FFB"/>
    <w:rsid w:val="5823727D"/>
    <w:rsid w:val="582476D3"/>
    <w:rsid w:val="582718BC"/>
    <w:rsid w:val="58462BB8"/>
    <w:rsid w:val="58DA48AE"/>
    <w:rsid w:val="59012C1F"/>
    <w:rsid w:val="592E53B9"/>
    <w:rsid w:val="59520AC7"/>
    <w:rsid w:val="59570D64"/>
    <w:rsid w:val="597748AA"/>
    <w:rsid w:val="599A057D"/>
    <w:rsid w:val="59D22CCF"/>
    <w:rsid w:val="59E64147"/>
    <w:rsid w:val="59F635CD"/>
    <w:rsid w:val="59F82547"/>
    <w:rsid w:val="5A043B4E"/>
    <w:rsid w:val="5A1F4695"/>
    <w:rsid w:val="5A2E40F9"/>
    <w:rsid w:val="5A4C2191"/>
    <w:rsid w:val="5A501061"/>
    <w:rsid w:val="5A915E38"/>
    <w:rsid w:val="5B4618D4"/>
    <w:rsid w:val="5B7426FB"/>
    <w:rsid w:val="5B9121C9"/>
    <w:rsid w:val="5B97384C"/>
    <w:rsid w:val="5BD72552"/>
    <w:rsid w:val="5C080658"/>
    <w:rsid w:val="5C4C07B0"/>
    <w:rsid w:val="5C6403F6"/>
    <w:rsid w:val="5C805F61"/>
    <w:rsid w:val="5CC3274F"/>
    <w:rsid w:val="5CC52CEB"/>
    <w:rsid w:val="5D0E4D3A"/>
    <w:rsid w:val="5D3F543B"/>
    <w:rsid w:val="5DA8115E"/>
    <w:rsid w:val="5DD80566"/>
    <w:rsid w:val="5E0370C3"/>
    <w:rsid w:val="5E167C9F"/>
    <w:rsid w:val="5E241912"/>
    <w:rsid w:val="5E44714E"/>
    <w:rsid w:val="5E664946"/>
    <w:rsid w:val="5E8E0ACD"/>
    <w:rsid w:val="5EA52572"/>
    <w:rsid w:val="5EA628FE"/>
    <w:rsid w:val="5EAA5159"/>
    <w:rsid w:val="5EBA6DCA"/>
    <w:rsid w:val="5ECD2C3C"/>
    <w:rsid w:val="5ED7309E"/>
    <w:rsid w:val="5EE4288F"/>
    <w:rsid w:val="5EE92DED"/>
    <w:rsid w:val="5EEB4428"/>
    <w:rsid w:val="5EFF135C"/>
    <w:rsid w:val="5F0D0843"/>
    <w:rsid w:val="5F1518F7"/>
    <w:rsid w:val="5F2140AA"/>
    <w:rsid w:val="5F3A715E"/>
    <w:rsid w:val="5F4F4D25"/>
    <w:rsid w:val="5F685A79"/>
    <w:rsid w:val="5F7B3CF1"/>
    <w:rsid w:val="5F7E59B9"/>
    <w:rsid w:val="5F8324C6"/>
    <w:rsid w:val="5FAB3BB8"/>
    <w:rsid w:val="5FDC33FC"/>
    <w:rsid w:val="600969EC"/>
    <w:rsid w:val="602159B0"/>
    <w:rsid w:val="609178F7"/>
    <w:rsid w:val="60B93A5D"/>
    <w:rsid w:val="60C20733"/>
    <w:rsid w:val="60E1452E"/>
    <w:rsid w:val="60EF4DC8"/>
    <w:rsid w:val="611D2893"/>
    <w:rsid w:val="613C754D"/>
    <w:rsid w:val="615472BD"/>
    <w:rsid w:val="61552B97"/>
    <w:rsid w:val="617050B9"/>
    <w:rsid w:val="61A30287"/>
    <w:rsid w:val="61B17E43"/>
    <w:rsid w:val="620A6E3F"/>
    <w:rsid w:val="6243794E"/>
    <w:rsid w:val="626A5EC5"/>
    <w:rsid w:val="626B7139"/>
    <w:rsid w:val="626D5FB8"/>
    <w:rsid w:val="627C062B"/>
    <w:rsid w:val="63106897"/>
    <w:rsid w:val="635740A3"/>
    <w:rsid w:val="635E2C34"/>
    <w:rsid w:val="63CC5F9B"/>
    <w:rsid w:val="640B2423"/>
    <w:rsid w:val="648E2028"/>
    <w:rsid w:val="64B10DAC"/>
    <w:rsid w:val="65172D1D"/>
    <w:rsid w:val="655B1D6D"/>
    <w:rsid w:val="655C7259"/>
    <w:rsid w:val="65666975"/>
    <w:rsid w:val="65832C02"/>
    <w:rsid w:val="65C869D2"/>
    <w:rsid w:val="65DF2241"/>
    <w:rsid w:val="66056EC1"/>
    <w:rsid w:val="66D17A02"/>
    <w:rsid w:val="674C7DA7"/>
    <w:rsid w:val="675F23E0"/>
    <w:rsid w:val="67611400"/>
    <w:rsid w:val="67927EAB"/>
    <w:rsid w:val="67942280"/>
    <w:rsid w:val="679D3D6D"/>
    <w:rsid w:val="68081B75"/>
    <w:rsid w:val="683E0C7E"/>
    <w:rsid w:val="683F37CC"/>
    <w:rsid w:val="68AE32BC"/>
    <w:rsid w:val="69180921"/>
    <w:rsid w:val="69193D19"/>
    <w:rsid w:val="69270562"/>
    <w:rsid w:val="69670452"/>
    <w:rsid w:val="69687AE7"/>
    <w:rsid w:val="69860560"/>
    <w:rsid w:val="699A597D"/>
    <w:rsid w:val="6A0212FA"/>
    <w:rsid w:val="6A1B08BA"/>
    <w:rsid w:val="6A343E5B"/>
    <w:rsid w:val="6A3B1810"/>
    <w:rsid w:val="6A4554AC"/>
    <w:rsid w:val="6AAA03AA"/>
    <w:rsid w:val="6AAF0229"/>
    <w:rsid w:val="6B250CC2"/>
    <w:rsid w:val="6B2C7638"/>
    <w:rsid w:val="6B8F4205"/>
    <w:rsid w:val="6BCA776B"/>
    <w:rsid w:val="6BEE723E"/>
    <w:rsid w:val="6C8A1CCB"/>
    <w:rsid w:val="6CC92CAC"/>
    <w:rsid w:val="6CD921A6"/>
    <w:rsid w:val="6D371A8D"/>
    <w:rsid w:val="6D385435"/>
    <w:rsid w:val="6D392803"/>
    <w:rsid w:val="6D5D4286"/>
    <w:rsid w:val="6D6123F6"/>
    <w:rsid w:val="6D954759"/>
    <w:rsid w:val="6DBD0EEF"/>
    <w:rsid w:val="6E0E6184"/>
    <w:rsid w:val="6E2748B0"/>
    <w:rsid w:val="6E490DD3"/>
    <w:rsid w:val="6EFC61DE"/>
    <w:rsid w:val="6F051DA9"/>
    <w:rsid w:val="6F066F76"/>
    <w:rsid w:val="6F1E2519"/>
    <w:rsid w:val="6F3900B5"/>
    <w:rsid w:val="6F3F22A5"/>
    <w:rsid w:val="6FC839A2"/>
    <w:rsid w:val="6FC95ECE"/>
    <w:rsid w:val="704F316D"/>
    <w:rsid w:val="705C1E53"/>
    <w:rsid w:val="706F0977"/>
    <w:rsid w:val="70A648F5"/>
    <w:rsid w:val="70C74174"/>
    <w:rsid w:val="70C74F39"/>
    <w:rsid w:val="70C82B68"/>
    <w:rsid w:val="70E52B9D"/>
    <w:rsid w:val="712B2C54"/>
    <w:rsid w:val="712F2686"/>
    <w:rsid w:val="7138470A"/>
    <w:rsid w:val="71456D31"/>
    <w:rsid w:val="714645FB"/>
    <w:rsid w:val="716E50E3"/>
    <w:rsid w:val="71762EE2"/>
    <w:rsid w:val="718020F4"/>
    <w:rsid w:val="71B6019B"/>
    <w:rsid w:val="71B903B6"/>
    <w:rsid w:val="71C86C37"/>
    <w:rsid w:val="71F90613"/>
    <w:rsid w:val="72087ED0"/>
    <w:rsid w:val="723B5108"/>
    <w:rsid w:val="726A0A8C"/>
    <w:rsid w:val="72B4610E"/>
    <w:rsid w:val="73A0126C"/>
    <w:rsid w:val="73A777A7"/>
    <w:rsid w:val="73BA4BA7"/>
    <w:rsid w:val="73BB1E0D"/>
    <w:rsid w:val="73D03BDD"/>
    <w:rsid w:val="73D13799"/>
    <w:rsid w:val="73E9306F"/>
    <w:rsid w:val="73EC406D"/>
    <w:rsid w:val="74397B10"/>
    <w:rsid w:val="749F1AE5"/>
    <w:rsid w:val="74A54C22"/>
    <w:rsid w:val="74A9194D"/>
    <w:rsid w:val="74BB0F85"/>
    <w:rsid w:val="74F26373"/>
    <w:rsid w:val="752868E9"/>
    <w:rsid w:val="75B966E0"/>
    <w:rsid w:val="75DD3027"/>
    <w:rsid w:val="76234881"/>
    <w:rsid w:val="763D5100"/>
    <w:rsid w:val="7658768A"/>
    <w:rsid w:val="765E32DA"/>
    <w:rsid w:val="766A7ED1"/>
    <w:rsid w:val="766D3745"/>
    <w:rsid w:val="76890145"/>
    <w:rsid w:val="76A948A7"/>
    <w:rsid w:val="76EF2966"/>
    <w:rsid w:val="76F0294B"/>
    <w:rsid w:val="76F40B32"/>
    <w:rsid w:val="77080D30"/>
    <w:rsid w:val="774218CA"/>
    <w:rsid w:val="78020128"/>
    <w:rsid w:val="78656BA2"/>
    <w:rsid w:val="786E2EB5"/>
    <w:rsid w:val="788E1FEC"/>
    <w:rsid w:val="7895039E"/>
    <w:rsid w:val="78AE1423"/>
    <w:rsid w:val="78B2575A"/>
    <w:rsid w:val="78C31E92"/>
    <w:rsid w:val="78C51668"/>
    <w:rsid w:val="78DC2E08"/>
    <w:rsid w:val="78DE4B7B"/>
    <w:rsid w:val="790E6E7B"/>
    <w:rsid w:val="791F299E"/>
    <w:rsid w:val="798B2A58"/>
    <w:rsid w:val="799105F2"/>
    <w:rsid w:val="7994493C"/>
    <w:rsid w:val="79C97D0A"/>
    <w:rsid w:val="79EF3E84"/>
    <w:rsid w:val="7A543372"/>
    <w:rsid w:val="7ABE6A3D"/>
    <w:rsid w:val="7AFC5A54"/>
    <w:rsid w:val="7B2368A0"/>
    <w:rsid w:val="7B51152C"/>
    <w:rsid w:val="7B5A6887"/>
    <w:rsid w:val="7BE5101A"/>
    <w:rsid w:val="7C2702A2"/>
    <w:rsid w:val="7C2D6F2D"/>
    <w:rsid w:val="7C32333B"/>
    <w:rsid w:val="7C370855"/>
    <w:rsid w:val="7C3A2E07"/>
    <w:rsid w:val="7C3C5E6C"/>
    <w:rsid w:val="7CB475B9"/>
    <w:rsid w:val="7CE27BFE"/>
    <w:rsid w:val="7D5B0573"/>
    <w:rsid w:val="7D662E61"/>
    <w:rsid w:val="7D6E40EF"/>
    <w:rsid w:val="7D920530"/>
    <w:rsid w:val="7D9D1940"/>
    <w:rsid w:val="7DCF6F41"/>
    <w:rsid w:val="7DF94F27"/>
    <w:rsid w:val="7DF97E55"/>
    <w:rsid w:val="7E1F4967"/>
    <w:rsid w:val="7E325CC2"/>
    <w:rsid w:val="7E522C2F"/>
    <w:rsid w:val="7EBB6239"/>
    <w:rsid w:val="7EE47071"/>
    <w:rsid w:val="7F02444D"/>
    <w:rsid w:val="7F140456"/>
    <w:rsid w:val="7F4255F4"/>
    <w:rsid w:val="7F4546CC"/>
    <w:rsid w:val="7F7446B9"/>
    <w:rsid w:val="7F914B4E"/>
    <w:rsid w:val="7F9708F3"/>
    <w:rsid w:val="7FF072C3"/>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0"/>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6"/>
    <w:autoRedefine/>
    <w:qFormat/>
    <w:uiPriority w:val="0"/>
    <w:pPr>
      <w:keepNext/>
      <w:keepLines/>
      <w:spacing w:before="260" w:after="260" w:line="416" w:lineRule="auto"/>
      <w:outlineLvl w:val="2"/>
    </w:pPr>
    <w:rPr>
      <w:b/>
      <w:bCs/>
      <w:sz w:val="32"/>
      <w:szCs w:val="32"/>
    </w:rPr>
  </w:style>
  <w:style w:type="paragraph" w:styleId="7">
    <w:name w:val="heading 4"/>
    <w:basedOn w:val="1"/>
    <w:next w:val="6"/>
    <w:autoRedefine/>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autoRedefine/>
    <w:qFormat/>
    <w:uiPriority w:val="0"/>
    <w:pPr>
      <w:keepNext/>
      <w:keepLines/>
      <w:spacing w:before="280" w:after="290" w:line="376" w:lineRule="auto"/>
      <w:outlineLvl w:val="4"/>
    </w:pPr>
    <w:rPr>
      <w:b/>
      <w:bCs/>
      <w:sz w:val="28"/>
      <w:szCs w:val="28"/>
    </w:rPr>
  </w:style>
  <w:style w:type="paragraph" w:styleId="9">
    <w:name w:val="heading 6"/>
    <w:basedOn w:val="1"/>
    <w:next w:val="1"/>
    <w:autoRedefine/>
    <w:qFormat/>
    <w:uiPriority w:val="0"/>
    <w:pPr>
      <w:keepNext/>
      <w:keepLines/>
      <w:spacing w:before="240" w:after="64" w:line="320" w:lineRule="auto"/>
      <w:outlineLvl w:val="5"/>
    </w:pPr>
    <w:rPr>
      <w:rFonts w:ascii="Arial" w:hAnsi="Arial" w:eastAsia="黑体"/>
      <w:b/>
      <w:bCs/>
      <w:sz w:val="24"/>
    </w:rPr>
  </w:style>
  <w:style w:type="paragraph" w:styleId="10">
    <w:name w:val="heading 7"/>
    <w:basedOn w:val="1"/>
    <w:next w:val="1"/>
    <w:autoRedefine/>
    <w:qFormat/>
    <w:uiPriority w:val="0"/>
    <w:pPr>
      <w:keepNext/>
      <w:keepLines/>
      <w:spacing w:before="240" w:after="64" w:line="320" w:lineRule="auto"/>
      <w:outlineLvl w:val="6"/>
    </w:pPr>
    <w:rPr>
      <w:b/>
      <w:bCs/>
      <w:sz w:val="24"/>
    </w:rPr>
  </w:style>
  <w:style w:type="paragraph" w:styleId="11">
    <w:name w:val="heading 8"/>
    <w:basedOn w:val="1"/>
    <w:next w:val="1"/>
    <w:autoRedefine/>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1"/>
    <w:autoRedefine/>
    <w:qFormat/>
    <w:uiPriority w:val="0"/>
    <w:pPr>
      <w:keepNext/>
      <w:keepLines/>
      <w:spacing w:before="240" w:after="64" w:line="320" w:lineRule="auto"/>
      <w:outlineLvl w:val="8"/>
    </w:pPr>
    <w:rPr>
      <w:rFonts w:ascii="Arial" w:hAnsi="Arial" w:eastAsia="黑体"/>
      <w:szCs w:val="21"/>
    </w:rPr>
  </w:style>
  <w:style w:type="character" w:default="1" w:styleId="54">
    <w:name w:val="Default Paragraph Font"/>
    <w:autoRedefine/>
    <w:semiHidden/>
    <w:unhideWhenUsed/>
    <w:qFormat/>
    <w:uiPriority w:val="1"/>
  </w:style>
  <w:style w:type="table" w:default="1" w:styleId="52">
    <w:name w:val="Normal Table"/>
    <w:autoRedefine/>
    <w:semiHidden/>
    <w:unhideWhenUsed/>
    <w:qFormat/>
    <w:uiPriority w:val="99"/>
    <w:tblPr>
      <w:tblCellMar>
        <w:top w:w="0" w:type="dxa"/>
        <w:left w:w="108" w:type="dxa"/>
        <w:bottom w:w="0" w:type="dxa"/>
        <w:right w:w="108" w:type="dxa"/>
      </w:tblCellMar>
    </w:tblPr>
  </w:style>
  <w:style w:type="paragraph" w:customStyle="1" w:styleId="2">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
    <w:name w:val="Body"/>
    <w:basedOn w:val="1"/>
    <w:autoRedefine/>
    <w:qFormat/>
    <w:uiPriority w:val="0"/>
    <w:pPr>
      <w:widowControl/>
      <w:tabs>
        <w:tab w:val="left" w:pos="1247"/>
      </w:tabs>
      <w:spacing w:before="120" w:line="288" w:lineRule="auto"/>
      <w:ind w:left="1247"/>
    </w:pPr>
    <w:rPr>
      <w:rFonts w:ascii="Arial" w:hAnsi="Arial"/>
      <w:kern w:val="0"/>
      <w:szCs w:val="21"/>
      <w:lang w:eastAsia="en-US"/>
    </w:rPr>
  </w:style>
  <w:style w:type="paragraph" w:styleId="13">
    <w:name w:val="toc 7"/>
    <w:basedOn w:val="1"/>
    <w:next w:val="1"/>
    <w:autoRedefine/>
    <w:semiHidden/>
    <w:qFormat/>
    <w:uiPriority w:val="0"/>
    <w:pPr>
      <w:ind w:left="2520" w:leftChars="1200"/>
    </w:pPr>
  </w:style>
  <w:style w:type="paragraph" w:styleId="14">
    <w:name w:val="index 8"/>
    <w:basedOn w:val="1"/>
    <w:next w:val="1"/>
    <w:autoRedefine/>
    <w:semiHidden/>
    <w:qFormat/>
    <w:uiPriority w:val="0"/>
    <w:pPr>
      <w:ind w:left="1400" w:leftChars="1400"/>
    </w:pPr>
  </w:style>
  <w:style w:type="paragraph" w:styleId="15">
    <w:name w:val="List Number"/>
    <w:basedOn w:val="1"/>
    <w:autoRedefine/>
    <w:qFormat/>
    <w:uiPriority w:val="0"/>
    <w:pPr>
      <w:tabs>
        <w:tab w:val="left" w:pos="360"/>
      </w:tabs>
      <w:ind w:left="360" w:hanging="360" w:hangingChars="200"/>
    </w:pPr>
  </w:style>
  <w:style w:type="paragraph" w:styleId="16">
    <w:name w:val="Normal Indent"/>
    <w:basedOn w:val="1"/>
    <w:next w:val="17"/>
    <w:link w:val="61"/>
    <w:autoRedefine/>
    <w:qFormat/>
    <w:uiPriority w:val="0"/>
    <w:pPr>
      <w:ind w:firstLine="420" w:firstLineChars="200"/>
    </w:pPr>
    <w:rPr>
      <w:sz w:val="28"/>
      <w:szCs w:val="20"/>
    </w:rPr>
  </w:style>
  <w:style w:type="paragraph" w:styleId="17">
    <w:name w:val="Body Text Indent"/>
    <w:basedOn w:val="1"/>
    <w:next w:val="16"/>
    <w:autoRedefine/>
    <w:qFormat/>
    <w:uiPriority w:val="0"/>
    <w:pPr>
      <w:spacing w:line="460" w:lineRule="exact"/>
      <w:ind w:firstLine="482" w:firstLineChars="200"/>
    </w:pPr>
    <w:rPr>
      <w:b/>
      <w:bCs/>
      <w:sz w:val="24"/>
      <w:shd w:val="clear" w:color="auto" w:fill="CCCCCC"/>
    </w:rPr>
  </w:style>
  <w:style w:type="paragraph" w:styleId="18">
    <w:name w:val="index 5"/>
    <w:basedOn w:val="1"/>
    <w:next w:val="1"/>
    <w:autoRedefine/>
    <w:semiHidden/>
    <w:qFormat/>
    <w:uiPriority w:val="0"/>
    <w:pPr>
      <w:ind w:left="800" w:leftChars="800"/>
    </w:pPr>
  </w:style>
  <w:style w:type="paragraph" w:styleId="19">
    <w:name w:val="Document Map"/>
    <w:basedOn w:val="1"/>
    <w:link w:val="129"/>
    <w:autoRedefine/>
    <w:qFormat/>
    <w:uiPriority w:val="99"/>
    <w:pPr>
      <w:shd w:val="clear" w:color="auto" w:fill="000080"/>
    </w:pPr>
  </w:style>
  <w:style w:type="paragraph" w:styleId="20">
    <w:name w:val="annotation text"/>
    <w:basedOn w:val="1"/>
    <w:autoRedefine/>
    <w:semiHidden/>
    <w:qFormat/>
    <w:uiPriority w:val="0"/>
    <w:pPr>
      <w:jc w:val="left"/>
    </w:pPr>
  </w:style>
  <w:style w:type="paragraph" w:styleId="21">
    <w:name w:val="index 6"/>
    <w:basedOn w:val="1"/>
    <w:next w:val="1"/>
    <w:autoRedefine/>
    <w:semiHidden/>
    <w:qFormat/>
    <w:uiPriority w:val="0"/>
    <w:pPr>
      <w:ind w:left="1000" w:leftChars="1000"/>
    </w:pPr>
  </w:style>
  <w:style w:type="paragraph" w:styleId="22">
    <w:name w:val="Body Text"/>
    <w:basedOn w:val="1"/>
    <w:next w:val="1"/>
    <w:autoRedefine/>
    <w:qFormat/>
    <w:uiPriority w:val="0"/>
    <w:pPr>
      <w:jc w:val="center"/>
    </w:pPr>
    <w:rPr>
      <w:rFonts w:ascii="宋体" w:hAnsi="宋体"/>
      <w:b/>
      <w:bCs/>
      <w:color w:val="000000"/>
      <w:sz w:val="72"/>
      <w:szCs w:val="20"/>
    </w:rPr>
  </w:style>
  <w:style w:type="paragraph" w:styleId="23">
    <w:name w:val="index 4"/>
    <w:basedOn w:val="1"/>
    <w:next w:val="1"/>
    <w:autoRedefine/>
    <w:semiHidden/>
    <w:qFormat/>
    <w:uiPriority w:val="0"/>
    <w:pPr>
      <w:ind w:left="600" w:leftChars="600"/>
    </w:pPr>
  </w:style>
  <w:style w:type="paragraph" w:styleId="24">
    <w:name w:val="toc 5"/>
    <w:basedOn w:val="1"/>
    <w:next w:val="1"/>
    <w:autoRedefine/>
    <w:semiHidden/>
    <w:qFormat/>
    <w:uiPriority w:val="0"/>
    <w:pPr>
      <w:ind w:left="1680" w:leftChars="800"/>
    </w:pPr>
  </w:style>
  <w:style w:type="paragraph" w:styleId="25">
    <w:name w:val="toc 3"/>
    <w:basedOn w:val="1"/>
    <w:next w:val="1"/>
    <w:autoRedefine/>
    <w:semiHidden/>
    <w:qFormat/>
    <w:uiPriority w:val="0"/>
    <w:pPr>
      <w:ind w:left="840" w:leftChars="400"/>
    </w:pPr>
  </w:style>
  <w:style w:type="paragraph" w:styleId="26">
    <w:name w:val="Plain Text"/>
    <w:basedOn w:val="1"/>
    <w:next w:val="1"/>
    <w:link w:val="62"/>
    <w:autoRedefine/>
    <w:qFormat/>
    <w:uiPriority w:val="0"/>
    <w:rPr>
      <w:rFonts w:ascii="宋体" w:hAnsi="Courier New" w:cs="Courier New"/>
      <w:szCs w:val="21"/>
    </w:rPr>
  </w:style>
  <w:style w:type="paragraph" w:styleId="27">
    <w:name w:val="toc 8"/>
    <w:basedOn w:val="1"/>
    <w:next w:val="1"/>
    <w:autoRedefine/>
    <w:semiHidden/>
    <w:qFormat/>
    <w:uiPriority w:val="0"/>
    <w:pPr>
      <w:ind w:left="2940" w:leftChars="1400"/>
    </w:pPr>
  </w:style>
  <w:style w:type="paragraph" w:styleId="28">
    <w:name w:val="index 3"/>
    <w:basedOn w:val="1"/>
    <w:next w:val="1"/>
    <w:autoRedefine/>
    <w:semiHidden/>
    <w:qFormat/>
    <w:uiPriority w:val="0"/>
    <w:pPr>
      <w:ind w:left="400" w:leftChars="400"/>
    </w:pPr>
  </w:style>
  <w:style w:type="paragraph" w:styleId="29">
    <w:name w:val="Date"/>
    <w:basedOn w:val="1"/>
    <w:next w:val="1"/>
    <w:autoRedefine/>
    <w:qFormat/>
    <w:uiPriority w:val="0"/>
    <w:pPr>
      <w:ind w:left="100" w:leftChars="2500"/>
    </w:pPr>
  </w:style>
  <w:style w:type="paragraph" w:styleId="30">
    <w:name w:val="Body Text Indent 2"/>
    <w:basedOn w:val="1"/>
    <w:autoRedefine/>
    <w:qFormat/>
    <w:uiPriority w:val="0"/>
    <w:pPr>
      <w:spacing w:line="360" w:lineRule="auto"/>
      <w:ind w:firstLine="480"/>
    </w:pPr>
    <w:rPr>
      <w:rFonts w:hint="eastAsia" w:ascii="宋体" w:eastAsia="新宋体"/>
      <w:sz w:val="24"/>
      <w:szCs w:val="20"/>
    </w:rPr>
  </w:style>
  <w:style w:type="paragraph" w:styleId="31">
    <w:name w:val="Balloon Text"/>
    <w:basedOn w:val="1"/>
    <w:link w:val="63"/>
    <w:autoRedefine/>
    <w:semiHidden/>
    <w:qFormat/>
    <w:uiPriority w:val="0"/>
    <w:rPr>
      <w:sz w:val="18"/>
      <w:szCs w:val="18"/>
    </w:rPr>
  </w:style>
  <w:style w:type="paragraph" w:styleId="32">
    <w:name w:val="footer"/>
    <w:basedOn w:val="1"/>
    <w:link w:val="64"/>
    <w:autoRedefine/>
    <w:qFormat/>
    <w:uiPriority w:val="0"/>
    <w:pPr>
      <w:tabs>
        <w:tab w:val="center" w:pos="4153"/>
        <w:tab w:val="right" w:pos="8306"/>
      </w:tabs>
      <w:snapToGrid w:val="0"/>
      <w:jc w:val="left"/>
    </w:pPr>
    <w:rPr>
      <w:sz w:val="18"/>
      <w:szCs w:val="18"/>
    </w:rPr>
  </w:style>
  <w:style w:type="paragraph" w:styleId="33">
    <w:name w:val="header"/>
    <w:basedOn w:val="1"/>
    <w:link w:val="65"/>
    <w:autoRedefine/>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autoRedefine/>
    <w:qFormat/>
    <w:uiPriority w:val="39"/>
    <w:pPr>
      <w:tabs>
        <w:tab w:val="right" w:leader="dot" w:pos="9344"/>
      </w:tabs>
      <w:spacing w:line="460" w:lineRule="exact"/>
    </w:pPr>
    <w:rPr>
      <w:rFonts w:ascii="宋体" w:hAnsi="宋体"/>
      <w:b/>
      <w:bCs/>
      <w:color w:val="000000"/>
      <w:sz w:val="28"/>
      <w:szCs w:val="30"/>
    </w:rPr>
  </w:style>
  <w:style w:type="paragraph" w:styleId="35">
    <w:name w:val="toc 4"/>
    <w:basedOn w:val="1"/>
    <w:next w:val="1"/>
    <w:autoRedefine/>
    <w:semiHidden/>
    <w:qFormat/>
    <w:uiPriority w:val="0"/>
    <w:pPr>
      <w:ind w:left="1260" w:leftChars="600"/>
    </w:pPr>
  </w:style>
  <w:style w:type="paragraph" w:styleId="36">
    <w:name w:val="index heading"/>
    <w:basedOn w:val="1"/>
    <w:next w:val="37"/>
    <w:autoRedefine/>
    <w:semiHidden/>
    <w:qFormat/>
    <w:uiPriority w:val="0"/>
  </w:style>
  <w:style w:type="paragraph" w:styleId="37">
    <w:name w:val="index 1"/>
    <w:basedOn w:val="1"/>
    <w:next w:val="1"/>
    <w:autoRedefine/>
    <w:semiHidden/>
    <w:qFormat/>
    <w:uiPriority w:val="0"/>
    <w:pPr>
      <w:spacing w:line="560" w:lineRule="exact"/>
    </w:pPr>
    <w:rPr>
      <w:sz w:val="28"/>
    </w:rPr>
  </w:style>
  <w:style w:type="paragraph" w:styleId="38">
    <w:name w:val="toc 6"/>
    <w:basedOn w:val="1"/>
    <w:next w:val="1"/>
    <w:autoRedefine/>
    <w:semiHidden/>
    <w:qFormat/>
    <w:uiPriority w:val="0"/>
    <w:pPr>
      <w:ind w:left="2100" w:leftChars="1000"/>
    </w:pPr>
  </w:style>
  <w:style w:type="paragraph" w:styleId="39">
    <w:name w:val="Body Text Indent 3"/>
    <w:basedOn w:val="1"/>
    <w:link w:val="66"/>
    <w:autoRedefine/>
    <w:qFormat/>
    <w:uiPriority w:val="0"/>
    <w:pPr>
      <w:spacing w:after="120"/>
      <w:ind w:left="420" w:leftChars="200"/>
    </w:pPr>
    <w:rPr>
      <w:sz w:val="16"/>
      <w:szCs w:val="16"/>
    </w:rPr>
  </w:style>
  <w:style w:type="paragraph" w:styleId="40">
    <w:name w:val="index 7"/>
    <w:basedOn w:val="1"/>
    <w:next w:val="1"/>
    <w:autoRedefine/>
    <w:semiHidden/>
    <w:qFormat/>
    <w:uiPriority w:val="0"/>
    <w:pPr>
      <w:ind w:left="1200" w:leftChars="1200"/>
    </w:pPr>
  </w:style>
  <w:style w:type="paragraph" w:styleId="41">
    <w:name w:val="index 9"/>
    <w:basedOn w:val="1"/>
    <w:next w:val="1"/>
    <w:autoRedefine/>
    <w:semiHidden/>
    <w:qFormat/>
    <w:uiPriority w:val="0"/>
    <w:pPr>
      <w:ind w:left="1600" w:leftChars="1600"/>
    </w:pPr>
  </w:style>
  <w:style w:type="paragraph" w:styleId="42">
    <w:name w:val="table of figures"/>
    <w:basedOn w:val="1"/>
    <w:next w:val="1"/>
    <w:autoRedefine/>
    <w:semiHidden/>
    <w:qFormat/>
    <w:uiPriority w:val="0"/>
    <w:pPr>
      <w:spacing w:line="560" w:lineRule="exact"/>
    </w:pPr>
    <w:rPr>
      <w:b/>
      <w:sz w:val="28"/>
    </w:rPr>
  </w:style>
  <w:style w:type="paragraph" w:styleId="43">
    <w:name w:val="toc 2"/>
    <w:basedOn w:val="1"/>
    <w:next w:val="1"/>
    <w:autoRedefine/>
    <w:qFormat/>
    <w:uiPriority w:val="39"/>
    <w:pPr>
      <w:spacing w:line="400" w:lineRule="exact"/>
      <w:ind w:left="200" w:leftChars="200"/>
    </w:pPr>
    <w:rPr>
      <w:sz w:val="24"/>
    </w:rPr>
  </w:style>
  <w:style w:type="paragraph" w:styleId="44">
    <w:name w:val="toc 9"/>
    <w:basedOn w:val="1"/>
    <w:next w:val="1"/>
    <w:autoRedefine/>
    <w:semiHidden/>
    <w:qFormat/>
    <w:uiPriority w:val="0"/>
    <w:pPr>
      <w:ind w:left="3360" w:leftChars="1600"/>
    </w:pPr>
  </w:style>
  <w:style w:type="paragraph" w:styleId="45">
    <w:name w:val="Body Text 2"/>
    <w:basedOn w:val="1"/>
    <w:autoRedefine/>
    <w:qFormat/>
    <w:uiPriority w:val="0"/>
    <w:pPr>
      <w:spacing w:after="120" w:line="480" w:lineRule="auto"/>
    </w:pPr>
  </w:style>
  <w:style w:type="paragraph" w:styleId="46">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47">
    <w:name w:val="Normal (Web)"/>
    <w:basedOn w:val="1"/>
    <w:autoRedefine/>
    <w:qFormat/>
    <w:uiPriority w:val="0"/>
    <w:rPr>
      <w:sz w:val="24"/>
    </w:rPr>
  </w:style>
  <w:style w:type="paragraph" w:styleId="48">
    <w:name w:val="index 2"/>
    <w:basedOn w:val="1"/>
    <w:next w:val="1"/>
    <w:autoRedefine/>
    <w:semiHidden/>
    <w:qFormat/>
    <w:uiPriority w:val="0"/>
    <w:pPr>
      <w:spacing w:line="560" w:lineRule="exact"/>
      <w:ind w:left="200" w:leftChars="200"/>
    </w:pPr>
    <w:rPr>
      <w:sz w:val="28"/>
    </w:rPr>
  </w:style>
  <w:style w:type="paragraph" w:styleId="49">
    <w:name w:val="annotation subject"/>
    <w:basedOn w:val="20"/>
    <w:next w:val="20"/>
    <w:autoRedefine/>
    <w:semiHidden/>
    <w:qFormat/>
    <w:uiPriority w:val="0"/>
    <w:rPr>
      <w:b/>
      <w:bCs/>
    </w:rPr>
  </w:style>
  <w:style w:type="paragraph" w:styleId="50">
    <w:name w:val="Body Text First Indent"/>
    <w:basedOn w:val="22"/>
    <w:autoRedefine/>
    <w:qFormat/>
    <w:uiPriority w:val="0"/>
    <w:pPr>
      <w:spacing w:after="120"/>
      <w:ind w:firstLine="420" w:firstLineChars="100"/>
    </w:pPr>
    <w:rPr>
      <w:rFonts w:ascii="Times New Roman"/>
      <w:sz w:val="21"/>
    </w:rPr>
  </w:style>
  <w:style w:type="paragraph" w:styleId="51">
    <w:name w:val="Body Text First Indent 2"/>
    <w:basedOn w:val="17"/>
    <w:autoRedefine/>
    <w:qFormat/>
    <w:uiPriority w:val="0"/>
    <w:pPr>
      <w:spacing w:after="120" w:line="240" w:lineRule="auto"/>
      <w:ind w:left="420" w:leftChars="200" w:firstLine="420"/>
    </w:pPr>
    <w:rPr>
      <w:b w:val="0"/>
      <w:bCs w:val="0"/>
      <w:shd w:val="clear" w:color="auto" w:fill="auto"/>
    </w:rPr>
  </w:style>
  <w:style w:type="table" w:styleId="53">
    <w:name w:val="Table Grid"/>
    <w:basedOn w:val="5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page number"/>
    <w:basedOn w:val="54"/>
    <w:autoRedefine/>
    <w:qFormat/>
    <w:uiPriority w:val="0"/>
  </w:style>
  <w:style w:type="character" w:styleId="56">
    <w:name w:val="FollowedHyperlink"/>
    <w:autoRedefine/>
    <w:qFormat/>
    <w:uiPriority w:val="0"/>
    <w:rPr>
      <w:color w:val="800080"/>
      <w:u w:val="single"/>
    </w:rPr>
  </w:style>
  <w:style w:type="character" w:styleId="57">
    <w:name w:val="Emphasis"/>
    <w:autoRedefine/>
    <w:qFormat/>
    <w:uiPriority w:val="0"/>
    <w:rPr>
      <w:rFonts w:cs="Times New Roman"/>
      <w:i/>
      <w:iCs/>
    </w:rPr>
  </w:style>
  <w:style w:type="character" w:styleId="58">
    <w:name w:val="Hyperlink"/>
    <w:autoRedefine/>
    <w:qFormat/>
    <w:uiPriority w:val="99"/>
    <w:rPr>
      <w:color w:val="0000FF"/>
      <w:u w:val="single"/>
    </w:rPr>
  </w:style>
  <w:style w:type="character" w:styleId="59">
    <w:name w:val="annotation reference"/>
    <w:basedOn w:val="54"/>
    <w:autoRedefine/>
    <w:semiHidden/>
    <w:qFormat/>
    <w:uiPriority w:val="0"/>
    <w:rPr>
      <w:sz w:val="21"/>
      <w:szCs w:val="21"/>
    </w:rPr>
  </w:style>
  <w:style w:type="character" w:customStyle="1" w:styleId="60">
    <w:name w:val="标题 2 Char"/>
    <w:basedOn w:val="54"/>
    <w:link w:val="4"/>
    <w:autoRedefine/>
    <w:qFormat/>
    <w:uiPriority w:val="0"/>
    <w:rPr>
      <w:rFonts w:ascii="Arial" w:hAnsi="Arial" w:eastAsia="黑体"/>
      <w:b/>
      <w:bCs/>
      <w:kern w:val="2"/>
      <w:sz w:val="32"/>
      <w:szCs w:val="32"/>
    </w:rPr>
  </w:style>
  <w:style w:type="character" w:customStyle="1" w:styleId="61">
    <w:name w:val="正文缩进 Char"/>
    <w:link w:val="16"/>
    <w:autoRedefine/>
    <w:qFormat/>
    <w:uiPriority w:val="0"/>
    <w:rPr>
      <w:rFonts w:eastAsia="宋体"/>
      <w:kern w:val="2"/>
      <w:sz w:val="28"/>
      <w:lang w:val="en-US" w:eastAsia="zh-CN" w:bidi="ar-SA"/>
    </w:rPr>
  </w:style>
  <w:style w:type="character" w:customStyle="1" w:styleId="62">
    <w:name w:val="纯文本 Char"/>
    <w:link w:val="26"/>
    <w:autoRedefine/>
    <w:qFormat/>
    <w:uiPriority w:val="0"/>
    <w:rPr>
      <w:rFonts w:ascii="宋体" w:hAnsi="Courier New" w:eastAsia="宋体" w:cs="Courier New"/>
      <w:kern w:val="2"/>
      <w:sz w:val="21"/>
      <w:szCs w:val="21"/>
      <w:lang w:val="en-US" w:eastAsia="zh-CN" w:bidi="ar-SA"/>
    </w:rPr>
  </w:style>
  <w:style w:type="character" w:customStyle="1" w:styleId="63">
    <w:name w:val="批注框文本 Char"/>
    <w:basedOn w:val="54"/>
    <w:link w:val="31"/>
    <w:autoRedefine/>
    <w:semiHidden/>
    <w:qFormat/>
    <w:uiPriority w:val="0"/>
    <w:rPr>
      <w:rFonts w:eastAsia="宋体"/>
      <w:kern w:val="2"/>
      <w:sz w:val="18"/>
      <w:szCs w:val="18"/>
      <w:lang w:val="en-US" w:eastAsia="zh-CN" w:bidi="ar-SA"/>
    </w:rPr>
  </w:style>
  <w:style w:type="character" w:customStyle="1" w:styleId="64">
    <w:name w:val="页脚 Char"/>
    <w:basedOn w:val="54"/>
    <w:link w:val="32"/>
    <w:autoRedefine/>
    <w:qFormat/>
    <w:uiPriority w:val="0"/>
    <w:rPr>
      <w:rFonts w:eastAsia="宋体"/>
      <w:kern w:val="2"/>
      <w:sz w:val="18"/>
      <w:szCs w:val="18"/>
      <w:lang w:val="en-US" w:eastAsia="zh-CN" w:bidi="ar-SA"/>
    </w:rPr>
  </w:style>
  <w:style w:type="character" w:customStyle="1" w:styleId="65">
    <w:name w:val="页眉 Char1"/>
    <w:link w:val="33"/>
    <w:autoRedefine/>
    <w:qFormat/>
    <w:uiPriority w:val="0"/>
    <w:rPr>
      <w:rFonts w:eastAsia="宋体"/>
      <w:kern w:val="2"/>
      <w:sz w:val="18"/>
      <w:szCs w:val="18"/>
      <w:lang w:val="en-US" w:eastAsia="zh-CN" w:bidi="ar-SA"/>
    </w:rPr>
  </w:style>
  <w:style w:type="character" w:customStyle="1" w:styleId="66">
    <w:name w:val="正文文本缩进 3 Char"/>
    <w:basedOn w:val="54"/>
    <w:link w:val="39"/>
    <w:autoRedefine/>
    <w:qFormat/>
    <w:uiPriority w:val="0"/>
    <w:rPr>
      <w:rFonts w:eastAsia="宋体"/>
      <w:kern w:val="2"/>
      <w:sz w:val="16"/>
      <w:szCs w:val="16"/>
      <w:lang w:val="en-US" w:eastAsia="zh-CN" w:bidi="ar-SA"/>
    </w:rPr>
  </w:style>
  <w:style w:type="paragraph" w:customStyle="1" w:styleId="67">
    <w:name w:val="xl53"/>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character" w:customStyle="1" w:styleId="68">
    <w:name w:val="纯文本 Char1"/>
    <w:autoRedefine/>
    <w:qFormat/>
    <w:uiPriority w:val="0"/>
    <w:rPr>
      <w:rFonts w:ascii="宋体" w:hAnsi="Courier New" w:eastAsia="宋体" w:cs="Courier New"/>
      <w:kern w:val="2"/>
      <w:sz w:val="21"/>
      <w:szCs w:val="21"/>
    </w:rPr>
  </w:style>
  <w:style w:type="character" w:customStyle="1" w:styleId="69">
    <w:name w:val="font41"/>
    <w:basedOn w:val="54"/>
    <w:autoRedefine/>
    <w:qFormat/>
    <w:uiPriority w:val="0"/>
    <w:rPr>
      <w:rFonts w:hint="eastAsia" w:ascii="宋体" w:hAnsi="宋体" w:eastAsia="宋体" w:cs="宋体"/>
      <w:color w:val="000000"/>
      <w:sz w:val="22"/>
      <w:szCs w:val="22"/>
      <w:u w:val="none"/>
    </w:rPr>
  </w:style>
  <w:style w:type="character" w:customStyle="1" w:styleId="70">
    <w:name w:val="批注框文本 字符"/>
    <w:autoRedefine/>
    <w:semiHidden/>
    <w:qFormat/>
    <w:uiPriority w:val="0"/>
    <w:rPr>
      <w:rFonts w:ascii="Times New Roman" w:hAnsi="Times New Roman"/>
      <w:sz w:val="18"/>
      <w:szCs w:val="18"/>
    </w:rPr>
  </w:style>
  <w:style w:type="character" w:customStyle="1" w:styleId="71">
    <w:name w:val="正文2 Char"/>
    <w:link w:val="72"/>
    <w:autoRedefine/>
    <w:qFormat/>
    <w:uiPriority w:val="0"/>
    <w:rPr>
      <w:rFonts w:eastAsia="宋体"/>
      <w:kern w:val="2"/>
      <w:sz w:val="24"/>
      <w:lang w:val="en-US" w:eastAsia="zh-CN" w:bidi="ar-SA"/>
    </w:rPr>
  </w:style>
  <w:style w:type="paragraph" w:customStyle="1" w:styleId="72">
    <w:name w:val="正文2"/>
    <w:basedOn w:val="1"/>
    <w:link w:val="71"/>
    <w:autoRedefine/>
    <w:qFormat/>
    <w:uiPriority w:val="0"/>
    <w:pPr>
      <w:spacing w:before="156" w:line="360" w:lineRule="auto"/>
      <w:ind w:firstLine="510" w:firstLineChars="200"/>
    </w:pPr>
    <w:rPr>
      <w:sz w:val="24"/>
      <w:szCs w:val="20"/>
    </w:rPr>
  </w:style>
  <w:style w:type="character" w:customStyle="1" w:styleId="73">
    <w:name w:val="Char Char"/>
    <w:autoRedefine/>
    <w:qFormat/>
    <w:uiPriority w:val="0"/>
    <w:rPr>
      <w:rFonts w:eastAsia="宋体"/>
      <w:kern w:val="2"/>
      <w:sz w:val="28"/>
      <w:lang w:val="en-US" w:eastAsia="zh-CN" w:bidi="ar-SA"/>
    </w:rPr>
  </w:style>
  <w:style w:type="character" w:customStyle="1" w:styleId="74">
    <w:name w:val="标题 2 字符"/>
    <w:basedOn w:val="54"/>
    <w:autoRedefine/>
    <w:qFormat/>
    <w:uiPriority w:val="0"/>
    <w:rPr>
      <w:rFonts w:ascii="Arial" w:hAnsi="Arial" w:eastAsia="黑体" w:cs="Times New Roman"/>
      <w:b/>
      <w:bCs/>
      <w:sz w:val="32"/>
      <w:szCs w:val="32"/>
    </w:rPr>
  </w:style>
  <w:style w:type="character" w:customStyle="1" w:styleId="75">
    <w:name w:val="font111"/>
    <w:basedOn w:val="54"/>
    <w:autoRedefine/>
    <w:qFormat/>
    <w:uiPriority w:val="0"/>
    <w:rPr>
      <w:rFonts w:hint="eastAsia" w:ascii="宋体" w:hAnsi="宋体" w:eastAsia="宋体" w:cs="宋体"/>
      <w:color w:val="000000"/>
      <w:sz w:val="22"/>
      <w:szCs w:val="22"/>
      <w:u w:val="none"/>
    </w:rPr>
  </w:style>
  <w:style w:type="character" w:customStyle="1" w:styleId="76">
    <w:name w:val="普通文字 Char Char2"/>
    <w:autoRedefine/>
    <w:qFormat/>
    <w:uiPriority w:val="0"/>
    <w:rPr>
      <w:rFonts w:ascii="宋体" w:hAnsi="Courier New"/>
      <w:sz w:val="21"/>
    </w:rPr>
  </w:style>
  <w:style w:type="character" w:customStyle="1" w:styleId="77">
    <w:name w:val="Header Char"/>
    <w:basedOn w:val="54"/>
    <w:autoRedefine/>
    <w:semiHidden/>
    <w:qFormat/>
    <w:locked/>
    <w:uiPriority w:val="0"/>
    <w:rPr>
      <w:rFonts w:cs="Times New Roman"/>
      <w:sz w:val="18"/>
      <w:szCs w:val="18"/>
    </w:rPr>
  </w:style>
  <w:style w:type="character" w:customStyle="1" w:styleId="78">
    <w:name w:val="Char Char2"/>
    <w:autoRedefine/>
    <w:qFormat/>
    <w:uiPriority w:val="0"/>
    <w:rPr>
      <w:rFonts w:eastAsia="宋体"/>
      <w:kern w:val="2"/>
      <w:sz w:val="18"/>
      <w:szCs w:val="18"/>
      <w:lang w:val="en-US" w:eastAsia="zh-CN" w:bidi="ar-SA"/>
    </w:rPr>
  </w:style>
  <w:style w:type="character" w:customStyle="1" w:styleId="79">
    <w:name w:val="Char Char3"/>
    <w:autoRedefine/>
    <w:qFormat/>
    <w:uiPriority w:val="0"/>
    <w:rPr>
      <w:rFonts w:eastAsia="宋体"/>
      <w:kern w:val="2"/>
      <w:sz w:val="18"/>
      <w:szCs w:val="18"/>
      <w:lang w:val="en-US" w:eastAsia="zh-CN" w:bidi="ar-SA"/>
    </w:rPr>
  </w:style>
  <w:style w:type="character" w:customStyle="1" w:styleId="80">
    <w:name w:val="正文文本 Char1"/>
    <w:autoRedefine/>
    <w:qFormat/>
    <w:uiPriority w:val="0"/>
    <w:rPr>
      <w:rFonts w:hint="eastAsia" w:ascii="宋体" w:hAnsi="宋体" w:eastAsia="宋体" w:cs="宋体"/>
      <w:b/>
      <w:color w:val="000000"/>
      <w:sz w:val="72"/>
    </w:rPr>
  </w:style>
  <w:style w:type="character" w:customStyle="1" w:styleId="81">
    <w:name w:val="标题 1 Char Char"/>
    <w:autoRedefine/>
    <w:qFormat/>
    <w:uiPriority w:val="0"/>
    <w:rPr>
      <w:rFonts w:eastAsia="宋体"/>
      <w:b/>
      <w:spacing w:val="-2"/>
      <w:sz w:val="24"/>
      <w:lang w:val="en-US" w:eastAsia="zh-CN" w:bidi="ar-SA"/>
    </w:rPr>
  </w:style>
  <w:style w:type="character" w:customStyle="1" w:styleId="82">
    <w:name w:val="short_text"/>
    <w:basedOn w:val="54"/>
    <w:autoRedefine/>
    <w:qFormat/>
    <w:uiPriority w:val="0"/>
  </w:style>
  <w:style w:type="character" w:customStyle="1" w:styleId="83">
    <w:name w:val="纯文本 Char2"/>
    <w:autoRedefine/>
    <w:qFormat/>
    <w:uiPriority w:val="0"/>
    <w:rPr>
      <w:rFonts w:ascii="宋体" w:hAnsi="Courier New" w:eastAsia="宋体" w:cs="Courier New"/>
      <w:szCs w:val="21"/>
    </w:rPr>
  </w:style>
  <w:style w:type="character" w:customStyle="1" w:styleId="84">
    <w:name w:val="页眉 Char"/>
    <w:autoRedefine/>
    <w:qFormat/>
    <w:uiPriority w:val="0"/>
    <w:rPr>
      <w:rFonts w:eastAsia="宋体"/>
      <w:kern w:val="2"/>
      <w:sz w:val="18"/>
      <w:szCs w:val="18"/>
      <w:lang w:val="en-US" w:eastAsia="zh-CN" w:bidi="ar-SA"/>
    </w:rPr>
  </w:style>
  <w:style w:type="character" w:customStyle="1" w:styleId="85">
    <w:name w:val="￥正文 Char"/>
    <w:link w:val="86"/>
    <w:autoRedefine/>
    <w:qFormat/>
    <w:uiPriority w:val="0"/>
    <w:rPr>
      <w:rFonts w:ascii="Calibri" w:hAnsi="Calibri" w:eastAsia="宋体"/>
      <w:sz w:val="24"/>
      <w:lang w:bidi="ar-SA"/>
    </w:rPr>
  </w:style>
  <w:style w:type="paragraph" w:customStyle="1" w:styleId="86">
    <w:name w:val="￥正文"/>
    <w:basedOn w:val="1"/>
    <w:link w:val="85"/>
    <w:autoRedefine/>
    <w:qFormat/>
    <w:uiPriority w:val="0"/>
    <w:pPr>
      <w:spacing w:line="360" w:lineRule="auto"/>
      <w:ind w:firstLine="200" w:firstLineChars="200"/>
    </w:pPr>
    <w:rPr>
      <w:rFonts w:ascii="Calibri" w:hAnsi="Calibri"/>
      <w:kern w:val="0"/>
      <w:sz w:val="24"/>
      <w:szCs w:val="20"/>
    </w:rPr>
  </w:style>
  <w:style w:type="character" w:customStyle="1" w:styleId="87">
    <w:name w:val="纯文本 字符"/>
    <w:autoRedefine/>
    <w:qFormat/>
    <w:uiPriority w:val="0"/>
    <w:rPr>
      <w:rFonts w:ascii="宋体" w:hAnsi="Courier New" w:eastAsia="宋体" w:cs="Courier New"/>
      <w:kern w:val="2"/>
      <w:sz w:val="21"/>
      <w:szCs w:val="21"/>
    </w:rPr>
  </w:style>
  <w:style w:type="paragraph" w:customStyle="1" w:styleId="88">
    <w:name w:val="常规"/>
    <w:basedOn w:val="1"/>
    <w:autoRedefine/>
    <w:qFormat/>
    <w:uiPriority w:val="0"/>
    <w:pPr>
      <w:jc w:val="left"/>
    </w:pPr>
    <w:rPr>
      <w:rFonts w:ascii="Arial" w:hAnsi="Arial" w:eastAsia="Arial"/>
      <w:color w:val="000000"/>
      <w:kern w:val="0"/>
      <w:sz w:val="20"/>
      <w:szCs w:val="20"/>
      <w:lang w:val="zh-CN"/>
    </w:rPr>
  </w:style>
  <w:style w:type="paragraph" w:customStyle="1" w:styleId="89">
    <w:name w:val="_Style 2"/>
    <w:basedOn w:val="1"/>
    <w:autoRedefine/>
    <w:qFormat/>
    <w:uiPriority w:val="0"/>
    <w:pPr>
      <w:ind w:firstLine="420" w:firstLineChars="200"/>
    </w:pPr>
    <w:rPr>
      <w:rFonts w:ascii="Calibri" w:hAnsi="Calibri"/>
    </w:rPr>
  </w:style>
  <w:style w:type="paragraph" w:customStyle="1" w:styleId="90">
    <w:name w:val="列出段落1"/>
    <w:basedOn w:val="1"/>
    <w:autoRedefine/>
    <w:qFormat/>
    <w:uiPriority w:val="0"/>
    <w:pPr>
      <w:ind w:firstLine="420" w:firstLineChars="200"/>
    </w:pPr>
  </w:style>
  <w:style w:type="paragraph" w:customStyle="1" w:styleId="91">
    <w:name w:val="Char Char Char Char Char Char"/>
    <w:basedOn w:val="19"/>
    <w:autoRedefine/>
    <w:qFormat/>
    <w:uiPriority w:val="0"/>
    <w:rPr>
      <w:rFonts w:ascii="Tahoma" w:hAnsi="Tahoma"/>
      <w:sz w:val="24"/>
    </w:rPr>
  </w:style>
  <w:style w:type="paragraph" w:customStyle="1" w:styleId="92">
    <w:name w:val="Char Char Char"/>
    <w:basedOn w:val="1"/>
    <w:autoRedefine/>
    <w:qFormat/>
    <w:uiPriority w:val="0"/>
    <w:rPr>
      <w:rFonts w:ascii="Tahoma" w:hAnsi="Tahoma"/>
      <w:sz w:val="24"/>
      <w:szCs w:val="20"/>
    </w:rPr>
  </w:style>
  <w:style w:type="paragraph" w:customStyle="1" w:styleId="93">
    <w:name w:val="列出段落2"/>
    <w:basedOn w:val="1"/>
    <w:autoRedefine/>
    <w:qFormat/>
    <w:uiPriority w:val="0"/>
    <w:pPr>
      <w:widowControl/>
      <w:spacing w:after="160" w:line="360" w:lineRule="auto"/>
      <w:ind w:left="720"/>
      <w:contextualSpacing/>
      <w:jc w:val="left"/>
    </w:pPr>
    <w:rPr>
      <w:rFonts w:ascii="Calibri" w:hAnsi="Calibri"/>
      <w:szCs w:val="22"/>
    </w:rPr>
  </w:style>
  <w:style w:type="paragraph" w:customStyle="1" w:styleId="94">
    <w:name w:val="标题1"/>
    <w:basedOn w:val="34"/>
    <w:autoRedefine/>
    <w:qFormat/>
    <w:uiPriority w:val="0"/>
    <w:pPr>
      <w:widowControl/>
      <w:overflowPunct w:val="0"/>
      <w:autoSpaceDE w:val="0"/>
      <w:autoSpaceDN w:val="0"/>
      <w:adjustRightInd w:val="0"/>
      <w:spacing w:before="120" w:after="120" w:line="420" w:lineRule="exact"/>
      <w:jc w:val="center"/>
      <w:textAlignment w:val="baseline"/>
    </w:pPr>
    <w:rPr>
      <w:b w:val="0"/>
      <w:bCs w:val="0"/>
      <w:kern w:val="0"/>
      <w:sz w:val="44"/>
      <w:szCs w:val="20"/>
    </w:rPr>
  </w:style>
  <w:style w:type="paragraph" w:customStyle="1" w:styleId="95">
    <w:name w:val="ÕýÎÄ"/>
    <w:autoRedefine/>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96">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97">
    <w:name w:val="Char Char Char Char"/>
    <w:basedOn w:val="19"/>
    <w:autoRedefine/>
    <w:qFormat/>
    <w:uiPriority w:val="0"/>
    <w:rPr>
      <w:rFonts w:ascii="Tahoma" w:hAnsi="Tahoma"/>
      <w:sz w:val="24"/>
    </w:rPr>
  </w:style>
  <w:style w:type="paragraph" w:customStyle="1" w:styleId="98">
    <w:name w:val="标题 7 New"/>
    <w:basedOn w:val="1"/>
    <w:next w:val="1"/>
    <w:autoRedefine/>
    <w:qFormat/>
    <w:uiPriority w:val="0"/>
    <w:pPr>
      <w:keepNext/>
      <w:keepLines/>
      <w:widowControl/>
      <w:tabs>
        <w:tab w:val="left" w:pos="2520"/>
      </w:tabs>
      <w:spacing w:before="240" w:after="64" w:line="317" w:lineRule="auto"/>
      <w:ind w:left="1296" w:hanging="1296"/>
      <w:jc w:val="left"/>
      <w:outlineLvl w:val="6"/>
    </w:pPr>
    <w:rPr>
      <w:b/>
      <w:kern w:val="0"/>
      <w:sz w:val="24"/>
      <w:szCs w:val="20"/>
    </w:rPr>
  </w:style>
  <w:style w:type="paragraph" w:customStyle="1" w:styleId="99">
    <w:name w:val="Char"/>
    <w:basedOn w:val="1"/>
    <w:autoRedefine/>
    <w:qFormat/>
    <w:uiPriority w:val="0"/>
    <w:rPr>
      <w:szCs w:val="20"/>
    </w:rPr>
  </w:style>
  <w:style w:type="paragraph" w:customStyle="1" w:styleId="100">
    <w:name w:val="4"/>
    <w:basedOn w:val="19"/>
    <w:autoRedefine/>
    <w:qFormat/>
    <w:uiPriority w:val="0"/>
    <w:rPr>
      <w:rFonts w:ascii="Tahoma" w:hAnsi="Tahoma"/>
      <w:sz w:val="24"/>
    </w:rPr>
  </w:style>
  <w:style w:type="paragraph" w:styleId="101">
    <w:name w:val="List Paragraph"/>
    <w:basedOn w:val="1"/>
    <w:autoRedefine/>
    <w:qFormat/>
    <w:uiPriority w:val="0"/>
    <w:pPr>
      <w:ind w:firstLine="420" w:firstLineChars="200"/>
    </w:pPr>
    <w:rPr>
      <w:rFonts w:ascii="Calibri" w:hAnsi="Calibri"/>
      <w:szCs w:val="22"/>
    </w:rPr>
  </w:style>
  <w:style w:type="paragraph" w:customStyle="1" w:styleId="102">
    <w:name w:val="Char3"/>
    <w:basedOn w:val="1"/>
    <w:autoRedefine/>
    <w:qFormat/>
    <w:uiPriority w:val="0"/>
    <w:pPr>
      <w:tabs>
        <w:tab w:val="left" w:pos="360"/>
      </w:tabs>
    </w:pPr>
    <w:rPr>
      <w:sz w:val="24"/>
    </w:rPr>
  </w:style>
  <w:style w:type="paragraph" w:customStyle="1" w:styleId="103">
    <w:name w:val="p15"/>
    <w:basedOn w:val="1"/>
    <w:autoRedefine/>
    <w:qFormat/>
    <w:uiPriority w:val="0"/>
    <w:pPr>
      <w:widowControl/>
    </w:pPr>
    <w:rPr>
      <w:rFonts w:ascii="宋体" w:hAnsi="宋体" w:cs="宋体"/>
      <w:kern w:val="0"/>
      <w:szCs w:val="21"/>
    </w:rPr>
  </w:style>
  <w:style w:type="paragraph" w:customStyle="1" w:styleId="104">
    <w:name w:val="．正文"/>
    <w:basedOn w:val="1"/>
    <w:autoRedefine/>
    <w:qFormat/>
    <w:uiPriority w:val="0"/>
    <w:pPr>
      <w:ind w:firstLine="485" w:firstLineChars="202"/>
    </w:pPr>
    <w:rPr>
      <w:rFonts w:ascii="仿宋_GB2312" w:hAnsi="Calibri" w:eastAsia="仿宋_GB2312"/>
    </w:rPr>
  </w:style>
  <w:style w:type="paragraph" w:customStyle="1" w:styleId="105">
    <w:name w:val="Char Char Char Char Char Char1"/>
    <w:basedOn w:val="19"/>
    <w:autoRedefine/>
    <w:qFormat/>
    <w:uiPriority w:val="0"/>
    <w:rPr>
      <w:rFonts w:ascii="Tahoma" w:hAnsi="Tahoma"/>
      <w:sz w:val="24"/>
    </w:rPr>
  </w:style>
  <w:style w:type="paragraph" w:customStyle="1" w:styleId="106">
    <w:name w:val="列出段落111"/>
    <w:basedOn w:val="1"/>
    <w:autoRedefine/>
    <w:qFormat/>
    <w:uiPriority w:val="0"/>
    <w:pPr>
      <w:ind w:firstLine="420" w:firstLineChars="200"/>
    </w:pPr>
    <w:rPr>
      <w:rFonts w:ascii="Calibri" w:hAnsi="Calibri" w:cs="黑体"/>
      <w:szCs w:val="22"/>
    </w:rPr>
  </w:style>
  <w:style w:type="paragraph" w:customStyle="1" w:styleId="107">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8">
    <w:name w:val="List Paragraph1"/>
    <w:basedOn w:val="1"/>
    <w:autoRedefine/>
    <w:qFormat/>
    <w:uiPriority w:val="0"/>
    <w:pPr>
      <w:ind w:firstLine="420" w:firstLineChars="200"/>
    </w:pPr>
  </w:style>
  <w:style w:type="paragraph" w:customStyle="1" w:styleId="109">
    <w:name w:val="xl24"/>
    <w:basedOn w:val="1"/>
    <w:autoRedefine/>
    <w:qFormat/>
    <w:uiPriority w:val="0"/>
    <w:pPr>
      <w:widowControl/>
      <w:spacing w:before="100" w:beforeAutospacing="1" w:after="100" w:afterAutospacing="1"/>
      <w:jc w:val="right"/>
    </w:pPr>
    <w:rPr>
      <w:rFonts w:ascii="宋体" w:hAnsi="宋体"/>
      <w:kern w:val="0"/>
      <w:sz w:val="24"/>
    </w:rPr>
  </w:style>
  <w:style w:type="paragraph" w:customStyle="1" w:styleId="110">
    <w:name w:val="正文1"/>
    <w:autoRedefine/>
    <w:qFormat/>
    <w:uiPriority w:val="0"/>
    <w:pPr>
      <w:jc w:val="both"/>
    </w:pPr>
    <w:rPr>
      <w:rFonts w:ascii="仿宋" w:hAnsi="仿宋" w:eastAsia="宋体" w:cs="宋体"/>
      <w:kern w:val="2"/>
      <w:sz w:val="21"/>
      <w:szCs w:val="21"/>
      <w:lang w:val="en-US" w:eastAsia="zh-CN" w:bidi="ar-SA"/>
    </w:rPr>
  </w:style>
  <w:style w:type="paragraph" w:customStyle="1" w:styleId="111">
    <w:name w:val="首行缩进"/>
    <w:basedOn w:val="1"/>
    <w:autoRedefine/>
    <w:qFormat/>
    <w:uiPriority w:val="0"/>
    <w:pPr>
      <w:spacing w:line="360" w:lineRule="auto"/>
      <w:ind w:firstLine="480" w:firstLineChars="200"/>
    </w:pPr>
    <w:rPr>
      <w:sz w:val="24"/>
      <w:lang w:val="zh-CN"/>
    </w:rPr>
  </w:style>
  <w:style w:type="paragraph" w:customStyle="1" w:styleId="112">
    <w:name w:val="+正文"/>
    <w:basedOn w:val="1"/>
    <w:autoRedefine/>
    <w:qFormat/>
    <w:uiPriority w:val="0"/>
    <w:pPr>
      <w:spacing w:line="360" w:lineRule="auto"/>
      <w:ind w:firstLine="200" w:firstLineChars="200"/>
    </w:pPr>
    <w:rPr>
      <w:sz w:val="24"/>
      <w:szCs w:val="28"/>
    </w:rPr>
  </w:style>
  <w:style w:type="paragraph" w:customStyle="1" w:styleId="113">
    <w:name w:val="正文 New New New New"/>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14">
    <w:name w:val="正文11"/>
    <w:basedOn w:val="25"/>
    <w:next w:val="1"/>
    <w:autoRedefine/>
    <w:qFormat/>
    <w:uiPriority w:val="0"/>
    <w:pPr>
      <w:tabs>
        <w:tab w:val="right" w:leader="dot" w:pos="8268"/>
      </w:tabs>
      <w:ind w:left="0" w:leftChars="0" w:firstLine="480" w:firstLineChars="200"/>
    </w:pPr>
    <w:rPr>
      <w:rFonts w:ascii="仿宋_GB2312" w:hAnsi="Courier New" w:eastAsia="仿宋_GB2312"/>
      <w:kern w:val="28"/>
      <w:sz w:val="24"/>
    </w:rPr>
  </w:style>
  <w:style w:type="character" w:customStyle="1" w:styleId="115">
    <w:name w:val="font61"/>
    <w:basedOn w:val="54"/>
    <w:autoRedefine/>
    <w:qFormat/>
    <w:uiPriority w:val="0"/>
    <w:rPr>
      <w:rFonts w:ascii="Calibri" w:hAnsi="Calibri" w:cs="Calibri"/>
      <w:color w:val="0070C0"/>
      <w:sz w:val="21"/>
      <w:szCs w:val="21"/>
      <w:u w:val="none"/>
    </w:rPr>
  </w:style>
  <w:style w:type="character" w:customStyle="1" w:styleId="116">
    <w:name w:val="font51"/>
    <w:basedOn w:val="54"/>
    <w:autoRedefine/>
    <w:qFormat/>
    <w:uiPriority w:val="0"/>
    <w:rPr>
      <w:rFonts w:hint="eastAsia" w:ascii="宋体" w:hAnsi="宋体" w:eastAsia="宋体" w:cs="宋体"/>
      <w:color w:val="0070C0"/>
      <w:sz w:val="21"/>
      <w:szCs w:val="21"/>
      <w:u w:val="none"/>
    </w:rPr>
  </w:style>
  <w:style w:type="paragraph" w:customStyle="1" w:styleId="117">
    <w:name w:val="_Style 3"/>
    <w:basedOn w:val="1"/>
    <w:autoRedefine/>
    <w:qFormat/>
    <w:uiPriority w:val="0"/>
    <w:pPr>
      <w:ind w:firstLine="420" w:firstLineChars="200"/>
    </w:pPr>
    <w:rPr>
      <w:rFonts w:ascii="Calibri" w:hAnsi="Calibri"/>
    </w:rPr>
  </w:style>
  <w:style w:type="character" w:customStyle="1" w:styleId="118">
    <w:name w:val="16"/>
    <w:autoRedefine/>
    <w:qFormat/>
    <w:uiPriority w:val="0"/>
    <w:rPr>
      <w:rFonts w:hint="default" w:ascii="Calibri" w:hAnsi="Calibri" w:cs="Calibri"/>
      <w:color w:val="0070C0"/>
      <w:sz w:val="21"/>
      <w:szCs w:val="21"/>
    </w:rPr>
  </w:style>
  <w:style w:type="character" w:customStyle="1" w:styleId="119">
    <w:name w:val="15"/>
    <w:autoRedefine/>
    <w:qFormat/>
    <w:uiPriority w:val="0"/>
    <w:rPr>
      <w:rFonts w:hint="eastAsia" w:ascii="宋体" w:hAnsi="宋体" w:eastAsia="宋体"/>
      <w:color w:val="0070C0"/>
      <w:sz w:val="21"/>
      <w:szCs w:val="21"/>
    </w:rPr>
  </w:style>
  <w:style w:type="paragraph" w:customStyle="1" w:styleId="120">
    <w:name w:val="_Style 6"/>
    <w:basedOn w:val="17"/>
    <w:next w:val="51"/>
    <w:autoRedefine/>
    <w:qFormat/>
    <w:uiPriority w:val="0"/>
    <w:pPr>
      <w:ind w:firstLine="420"/>
    </w:pPr>
  </w:style>
  <w:style w:type="paragraph" w:customStyle="1" w:styleId="121">
    <w:name w:val="章正文"/>
    <w:basedOn w:val="1"/>
    <w:autoRedefine/>
    <w:qFormat/>
    <w:uiPriority w:val="0"/>
    <w:pPr>
      <w:spacing w:beforeLines="50" w:after="120" w:line="300" w:lineRule="auto"/>
      <w:ind w:firstLine="480"/>
    </w:pPr>
    <w:rPr>
      <w:rFonts w:ascii="Helvetica" w:hAnsi="Helvetica"/>
      <w:kern w:val="0"/>
    </w:rPr>
  </w:style>
  <w:style w:type="paragraph" w:customStyle="1" w:styleId="122">
    <w:name w:val="_Style 29"/>
    <w:basedOn w:val="1"/>
    <w:next w:val="93"/>
    <w:autoRedefine/>
    <w:qFormat/>
    <w:uiPriority w:val="0"/>
    <w:pPr>
      <w:ind w:firstLine="420" w:firstLineChars="200"/>
    </w:pPr>
    <w:rPr>
      <w:rFonts w:ascii="Calibri" w:hAnsi="Calibri"/>
      <w:lang w:val="zh-CN"/>
    </w:rPr>
  </w:style>
  <w:style w:type="paragraph" w:customStyle="1" w:styleId="123">
    <w:name w:val="*正文"/>
    <w:basedOn w:val="1"/>
    <w:autoRedefine/>
    <w:qFormat/>
    <w:uiPriority w:val="0"/>
    <w:pPr>
      <w:spacing w:line="360" w:lineRule="auto"/>
      <w:ind w:firstLine="200" w:firstLineChars="200"/>
    </w:pPr>
    <w:rPr>
      <w:rFonts w:ascii="宋体" w:hAnsi="宋体"/>
    </w:rPr>
  </w:style>
  <w:style w:type="paragraph" w:customStyle="1" w:styleId="124">
    <w:name w:val="常用段落文字格式"/>
    <w:basedOn w:val="1"/>
    <w:autoRedefine/>
    <w:qFormat/>
    <w:uiPriority w:val="99"/>
    <w:pPr>
      <w:spacing w:line="360" w:lineRule="auto"/>
      <w:ind w:firstLine="480" w:firstLineChars="200"/>
    </w:pPr>
    <w:rPr>
      <w:rFonts w:ascii="宋体" w:hAnsi="宋体"/>
    </w:rPr>
  </w:style>
  <w:style w:type="paragraph" w:customStyle="1" w:styleId="125">
    <w:name w:val="编号，小四"/>
    <w:basedOn w:val="1"/>
    <w:autoRedefine/>
    <w:qFormat/>
    <w:uiPriority w:val="0"/>
    <w:pPr>
      <w:tabs>
        <w:tab w:val="left" w:pos="420"/>
      </w:tabs>
      <w:jc w:val="left"/>
    </w:pPr>
    <w:rPr>
      <w:b/>
    </w:rPr>
  </w:style>
  <w:style w:type="paragraph" w:customStyle="1" w:styleId="126">
    <w:name w:val="0正文"/>
    <w:basedOn w:val="1"/>
    <w:autoRedefine/>
    <w:qFormat/>
    <w:uiPriority w:val="0"/>
    <w:pPr>
      <w:spacing w:line="560" w:lineRule="exact"/>
      <w:ind w:firstLine="200" w:firstLineChars="200"/>
    </w:pPr>
    <w:rPr>
      <w:rFonts w:ascii="Tahoma" w:hAnsi="Tahoma"/>
      <w:sz w:val="24"/>
      <w:szCs w:val="22"/>
    </w:rPr>
  </w:style>
  <w:style w:type="paragraph" w:customStyle="1" w:styleId="127">
    <w:name w:val="列出段落21"/>
    <w:basedOn w:val="1"/>
    <w:autoRedefine/>
    <w:qFormat/>
    <w:uiPriority w:val="0"/>
    <w:pPr>
      <w:ind w:firstLine="420" w:firstLineChars="200"/>
    </w:pPr>
  </w:style>
  <w:style w:type="paragraph" w:customStyle="1" w:styleId="128">
    <w:name w:val="正文（首行缩进2字符）"/>
    <w:basedOn w:val="1"/>
    <w:autoRedefine/>
    <w:qFormat/>
    <w:uiPriority w:val="0"/>
    <w:pPr>
      <w:spacing w:line="360" w:lineRule="auto"/>
      <w:ind w:firstLine="420" w:firstLineChars="200"/>
    </w:pPr>
    <w:rPr>
      <w:szCs w:val="21"/>
    </w:rPr>
  </w:style>
  <w:style w:type="character" w:customStyle="1" w:styleId="129">
    <w:name w:val="文档结构图 Char"/>
    <w:basedOn w:val="54"/>
    <w:link w:val="19"/>
    <w:autoRedefine/>
    <w:qFormat/>
    <w:uiPriority w:val="99"/>
    <w:rPr>
      <w:kern w:val="2"/>
      <w:sz w:val="21"/>
      <w:szCs w:val="24"/>
      <w:shd w:val="clear" w:color="auto" w:fill="00008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59</Pages>
  <Words>5124</Words>
  <Characters>29213</Characters>
  <Lines>243</Lines>
  <Paragraphs>68</Paragraphs>
  <TotalTime>157</TotalTime>
  <ScaleCrop>false</ScaleCrop>
  <LinksUpToDate>false</LinksUpToDate>
  <CharactersWithSpaces>34269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2023-11-24T01:40:00Z</dcterms:created>
  <dc:creator>方敏先生</dc:creator>
  <cp:lastModifiedBy>飞哥</cp:lastModifiedBy>
  <cp:lastPrinted>2024-05-14T08:09:00Z</cp:lastPrinted>
  <dcterms:modified xsi:type="dcterms:W3CDTF">2024-05-15T01:40:57Z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AE6847993C114A4F8B26309BB7A65CFE_13</vt:lpwstr>
  </property>
</Properties>
</file>