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line="840" w:lineRule="exact"/>
        <w:jc w:val="center"/>
        <w:outlineLvl w:val="0"/>
        <w:rPr>
          <w:rFonts w:ascii="Times New Roman" w:hAnsi="Times New Roman" w:cs="Times New Roman"/>
          <w:b/>
          <w:bCs/>
          <w:sz w:val="52"/>
        </w:rPr>
      </w:pPr>
    </w:p>
    <w:p>
      <w:pPr>
        <w:pStyle w:val="30"/>
        <w:spacing w:line="840" w:lineRule="exact"/>
        <w:jc w:val="center"/>
        <w:outlineLvl w:val="0"/>
        <w:rPr>
          <w:rFonts w:ascii="Times New Roman" w:hAnsi="Times New Roman" w:cs="Times New Roman"/>
          <w:b/>
          <w:bCs/>
          <w:sz w:val="52"/>
        </w:rPr>
      </w:pPr>
    </w:p>
    <w:p>
      <w:pPr>
        <w:pStyle w:val="30"/>
        <w:jc w:val="center"/>
        <w:rPr>
          <w:rFonts w:hint="eastAsia" w:ascii="Times New Roman" w:hAnsi="Times New Roman" w:cs="Times New Roman"/>
          <w:b/>
          <w:bCs/>
          <w:sz w:val="52"/>
          <w:szCs w:val="52"/>
        </w:rPr>
      </w:pPr>
      <w:r>
        <w:rPr>
          <w:rFonts w:hint="eastAsia" w:ascii="Times New Roman" w:hAnsi="Times New Roman" w:cs="Times New Roman"/>
          <w:b/>
          <w:bCs/>
          <w:sz w:val="52"/>
          <w:szCs w:val="52"/>
        </w:rPr>
        <w:t>浙江省机电技师学院</w:t>
      </w:r>
    </w:p>
    <w:p>
      <w:pPr>
        <w:pStyle w:val="30"/>
        <w:jc w:val="center"/>
        <w:rPr>
          <w:rFonts w:ascii="Times New Roman" w:hAnsi="Times New Roman" w:cs="Times New Roman"/>
          <w:b/>
          <w:bCs/>
          <w:sz w:val="52"/>
          <w:szCs w:val="52"/>
        </w:rPr>
      </w:pPr>
      <w:r>
        <w:rPr>
          <w:rFonts w:hint="eastAsia" w:ascii="Times New Roman" w:hAnsi="Times New Roman" w:cs="Times New Roman"/>
          <w:b/>
          <w:bCs/>
          <w:sz w:val="52"/>
          <w:szCs w:val="52"/>
        </w:rPr>
        <w:t>智慧物流实训室建设项目</w:t>
      </w:r>
    </w:p>
    <w:p>
      <w:pPr>
        <w:spacing w:line="360" w:lineRule="auto"/>
        <w:jc w:val="center"/>
        <w:rPr>
          <w:sz w:val="72"/>
          <w:szCs w:val="72"/>
        </w:rPr>
      </w:pPr>
    </w:p>
    <w:p>
      <w:pPr>
        <w:spacing w:line="360" w:lineRule="auto"/>
        <w:jc w:val="center"/>
        <w:rPr>
          <w:sz w:val="72"/>
          <w:szCs w:val="72"/>
        </w:rPr>
      </w:pPr>
    </w:p>
    <w:p>
      <w:pPr>
        <w:spacing w:line="360" w:lineRule="auto"/>
        <w:jc w:val="center"/>
        <w:rPr>
          <w:sz w:val="72"/>
          <w:szCs w:val="72"/>
        </w:rPr>
      </w:pPr>
    </w:p>
    <w:p>
      <w:pPr>
        <w:spacing w:line="360" w:lineRule="auto"/>
        <w:jc w:val="center"/>
        <w:rPr>
          <w:sz w:val="84"/>
          <w:szCs w:val="84"/>
        </w:rPr>
      </w:pPr>
      <w:r>
        <w:rPr>
          <w:sz w:val="84"/>
          <w:szCs w:val="84"/>
        </w:rPr>
        <w:t>招标文件</w:t>
      </w:r>
    </w:p>
    <w:p>
      <w:pPr>
        <w:spacing w:line="360" w:lineRule="auto"/>
        <w:jc w:val="center"/>
        <w:rPr>
          <w:sz w:val="72"/>
          <w:szCs w:val="72"/>
        </w:rPr>
      </w:pPr>
    </w:p>
    <w:p>
      <w:pPr>
        <w:pStyle w:val="30"/>
        <w:snapToGrid w:val="0"/>
        <w:spacing w:before="120" w:after="120" w:line="360" w:lineRule="auto"/>
        <w:jc w:val="center"/>
        <w:rPr>
          <w:rFonts w:ascii="Times New Roman" w:hAnsi="Times New Roman" w:cs="Times New Roman"/>
          <w:b/>
          <w:bCs/>
          <w:sz w:val="32"/>
          <w:szCs w:val="32"/>
        </w:rPr>
      </w:pPr>
      <w:r>
        <w:rPr>
          <w:rFonts w:ascii="Times New Roman" w:hAnsi="Times New Roman" w:cs="Times New Roman"/>
          <w:b/>
          <w:bCs/>
          <w:sz w:val="32"/>
          <w:szCs w:val="32"/>
        </w:rPr>
        <w:t>采购编号：</w:t>
      </w:r>
      <w:r>
        <w:rPr>
          <w:rFonts w:hint="eastAsia" w:ascii="Times New Roman" w:hAnsi="Times New Roman" w:cs="Times New Roman"/>
          <w:b/>
          <w:bCs/>
          <w:sz w:val="32"/>
          <w:szCs w:val="32"/>
        </w:rPr>
        <w:t>YWCG2022023GK</w:t>
      </w:r>
    </w:p>
    <w:p>
      <w:pPr>
        <w:pStyle w:val="56"/>
        <w:ind w:left="480" w:firstLine="480"/>
      </w:pPr>
    </w:p>
    <w:p>
      <w:pPr>
        <w:spacing w:line="360" w:lineRule="auto"/>
        <w:jc w:val="center"/>
        <w:rPr>
          <w:sz w:val="72"/>
          <w:szCs w:val="72"/>
        </w:rPr>
      </w:pPr>
    </w:p>
    <w:p>
      <w:pPr>
        <w:pStyle w:val="56"/>
        <w:ind w:left="480" w:firstLine="480"/>
      </w:pPr>
    </w:p>
    <w:p>
      <w:pPr>
        <w:pStyle w:val="30"/>
        <w:jc w:val="center"/>
        <w:rPr>
          <w:rFonts w:ascii="Times New Roman" w:hAnsi="Times New Roman" w:cs="Times New Roman"/>
          <w:b/>
          <w:bCs/>
          <w:sz w:val="32"/>
          <w:szCs w:val="32"/>
        </w:rPr>
      </w:pPr>
      <w:r>
        <w:rPr>
          <w:rFonts w:ascii="Times New Roman" w:hAnsi="Times New Roman" w:cs="Times New Roman"/>
          <w:b/>
          <w:bCs/>
          <w:w w:val="95"/>
          <w:sz w:val="32"/>
          <w:szCs w:val="32"/>
        </w:rPr>
        <w:t xml:space="preserve">    </w:t>
      </w:r>
      <w:r>
        <w:rPr>
          <w:rFonts w:hint="eastAsia" w:ascii="Times New Roman" w:hAnsi="Times New Roman" w:cs="Times New Roman"/>
          <w:b/>
          <w:bCs/>
          <w:w w:val="95"/>
          <w:sz w:val="32"/>
          <w:szCs w:val="32"/>
          <w:lang w:val="en-US" w:eastAsia="zh-CN"/>
        </w:rPr>
        <w:t xml:space="preserve"> </w:t>
      </w:r>
      <w:r>
        <w:rPr>
          <w:rFonts w:ascii="Times New Roman" w:hAnsi="Times New Roman" w:cs="Times New Roman"/>
          <w:b/>
          <w:bCs/>
          <w:w w:val="95"/>
          <w:sz w:val="32"/>
          <w:szCs w:val="32"/>
        </w:rPr>
        <w:t xml:space="preserve"> 采购人：</w:t>
      </w:r>
      <w:r>
        <w:rPr>
          <w:rFonts w:hint="eastAsia" w:ascii="Times New Roman" w:hAnsi="Times New Roman" w:cs="Times New Roman"/>
          <w:b/>
          <w:bCs/>
          <w:sz w:val="32"/>
          <w:szCs w:val="32"/>
          <w:u w:val="single"/>
        </w:rPr>
        <w:t>浙江省机电技师学院</w:t>
      </w:r>
      <w:r>
        <w:rPr>
          <w:rFonts w:ascii="Times New Roman" w:hAnsi="Times New Roman" w:cs="Times New Roman"/>
          <w:b/>
          <w:bCs/>
          <w:sz w:val="32"/>
          <w:szCs w:val="32"/>
        </w:rPr>
        <w:t>（盖章）</w:t>
      </w:r>
    </w:p>
    <w:p>
      <w:pPr>
        <w:pStyle w:val="30"/>
        <w:jc w:val="center"/>
        <w:rPr>
          <w:rFonts w:ascii="Times New Roman" w:hAnsi="Times New Roman" w:cs="Times New Roman"/>
          <w:b/>
          <w:bCs/>
          <w:sz w:val="32"/>
          <w:szCs w:val="32"/>
        </w:rPr>
      </w:pPr>
      <w:r>
        <w:rPr>
          <w:rFonts w:ascii="Times New Roman" w:hAnsi="Times New Roman" w:cs="Times New Roman"/>
          <w:b/>
          <w:bCs/>
          <w:w w:val="95"/>
          <w:sz w:val="32"/>
          <w:szCs w:val="32"/>
        </w:rPr>
        <w:t>采购代理机构：</w:t>
      </w:r>
      <w:r>
        <w:rPr>
          <w:rFonts w:ascii="Times New Roman" w:hAnsi="Times New Roman" w:cs="Times New Roman"/>
          <w:b/>
          <w:bCs/>
          <w:sz w:val="32"/>
          <w:szCs w:val="32"/>
          <w:u w:val="single"/>
        </w:rPr>
        <w:t>义乌市政府采购中心</w:t>
      </w:r>
      <w:r>
        <w:rPr>
          <w:rFonts w:ascii="Times New Roman" w:hAnsi="Times New Roman" w:cs="Times New Roman"/>
          <w:b/>
          <w:bCs/>
          <w:sz w:val="32"/>
          <w:szCs w:val="32"/>
        </w:rPr>
        <w:t>（盖章）</w:t>
      </w:r>
    </w:p>
    <w:p>
      <w:pPr>
        <w:pStyle w:val="30"/>
        <w:snapToGrid w:val="0"/>
        <w:spacing w:before="120" w:after="120" w:line="360" w:lineRule="auto"/>
        <w:ind w:firstLine="2891" w:firstLineChars="900"/>
        <w:jc w:val="both"/>
        <w:rPr>
          <w:rFonts w:ascii="Times New Roman" w:hAnsi="Times New Roman" w:cs="Times New Roman"/>
          <w:b/>
          <w:bCs/>
          <w:sz w:val="32"/>
          <w:szCs w:val="32"/>
        </w:rPr>
      </w:pPr>
      <w:bookmarkStart w:id="109" w:name="_GoBack"/>
      <w:bookmarkEnd w:id="109"/>
      <w:r>
        <w:rPr>
          <w:rFonts w:ascii="Times New Roman" w:hAnsi="Times New Roman" w:cs="Times New Roman"/>
          <w:b/>
          <w:bCs/>
          <w:sz w:val="32"/>
          <w:szCs w:val="32"/>
        </w:rPr>
        <w:t>日期：</w:t>
      </w:r>
      <w:r>
        <w:rPr>
          <w:rFonts w:ascii="Times New Roman" w:hAnsi="Times New Roman" w:cs="Times New Roman"/>
          <w:b/>
          <w:bCs/>
          <w:color w:val="FF0000"/>
          <w:sz w:val="32"/>
          <w:szCs w:val="32"/>
          <w:u w:val="single"/>
        </w:rPr>
        <w:t>2022年</w:t>
      </w:r>
      <w:r>
        <w:rPr>
          <w:rFonts w:hint="eastAsia" w:ascii="Times New Roman" w:hAnsi="Times New Roman" w:cs="Times New Roman"/>
          <w:b/>
          <w:bCs/>
          <w:color w:val="FF0000"/>
          <w:sz w:val="32"/>
          <w:szCs w:val="32"/>
          <w:u w:val="single"/>
          <w:lang w:val="en-US" w:eastAsia="zh-CN"/>
        </w:rPr>
        <w:t>6</w:t>
      </w:r>
      <w:r>
        <w:rPr>
          <w:rFonts w:ascii="Times New Roman" w:hAnsi="Times New Roman" w:cs="Times New Roman"/>
          <w:b/>
          <w:bCs/>
          <w:color w:val="FF0000"/>
          <w:sz w:val="32"/>
          <w:szCs w:val="32"/>
          <w:u w:val="single"/>
        </w:rPr>
        <w:t>月</w:t>
      </w:r>
      <w:r>
        <w:rPr>
          <w:rFonts w:hint="eastAsia" w:ascii="Times New Roman" w:hAnsi="Times New Roman" w:cs="Times New Roman"/>
          <w:b/>
          <w:bCs/>
          <w:color w:val="FF0000"/>
          <w:sz w:val="32"/>
          <w:szCs w:val="32"/>
          <w:u w:val="single"/>
          <w:lang w:val="en-US" w:eastAsia="zh-CN"/>
        </w:rPr>
        <w:t>17</w:t>
      </w:r>
      <w:r>
        <w:rPr>
          <w:rFonts w:ascii="Times New Roman" w:hAnsi="Times New Roman" w:cs="Times New Roman"/>
          <w:b/>
          <w:bCs/>
          <w:color w:val="FF0000"/>
          <w:sz w:val="32"/>
          <w:szCs w:val="32"/>
          <w:u w:val="single"/>
        </w:rPr>
        <w:t>日</w:t>
      </w:r>
    </w:p>
    <w:p>
      <w:pPr>
        <w:pStyle w:val="30"/>
        <w:spacing w:before="120" w:after="120" w:line="360" w:lineRule="auto"/>
        <w:ind w:firstLine="420" w:firstLineChars="200"/>
        <w:jc w:val="center"/>
        <w:rPr>
          <w:rFonts w:ascii="Times New Roman" w:hAnsi="Times New Roman" w:cs="Times New Roman"/>
          <w:b/>
          <w:sz w:val="44"/>
          <w:szCs w:val="44"/>
        </w:rPr>
      </w:pPr>
      <w:r>
        <w:rPr>
          <w:rFonts w:ascii="Times New Roman" w:hAnsi="Times New Roman" w:cs="Times New Roman"/>
        </w:rPr>
        <w:br w:type="page"/>
      </w:r>
      <w:r>
        <w:rPr>
          <w:rFonts w:ascii="Times New Roman" w:hAnsi="Times New Roman" w:cs="Times New Roman"/>
          <w:b/>
          <w:sz w:val="44"/>
          <w:szCs w:val="44"/>
        </w:rPr>
        <w:t>招标文件目录</w:t>
      </w:r>
    </w:p>
    <w:p>
      <w:pPr>
        <w:pStyle w:val="38"/>
        <w:tabs>
          <w:tab w:val="right" w:leader="dot" w:pos="9638"/>
          <w:tab w:val="clear" w:pos="9344"/>
        </w:tabs>
        <w:rPr>
          <w:rFonts w:ascii="Times New Roman" w:hAnsi="Times New Roman"/>
        </w:rPr>
      </w:pPr>
      <w:r>
        <w:rPr>
          <w:rFonts w:ascii="Times New Roman" w:hAnsi="Times New Roman"/>
        </w:rPr>
        <w:fldChar w:fldCharType="begin"/>
      </w:r>
      <w:r>
        <w:rPr>
          <w:rFonts w:ascii="Times New Roman" w:hAnsi="Times New Roman"/>
        </w:rPr>
        <w:instrText xml:space="preserve">TOC \o "1-1" \h \u </w:instrText>
      </w:r>
      <w:r>
        <w:rPr>
          <w:rFonts w:ascii="Times New Roman" w:hAnsi="Times New Roman"/>
        </w:rPr>
        <w:fldChar w:fldCharType="separate"/>
      </w:r>
      <w:r>
        <w:fldChar w:fldCharType="begin"/>
      </w:r>
      <w:r>
        <w:instrText xml:space="preserve"> HYPERLINK \l "_Toc32671" </w:instrText>
      </w:r>
      <w:r>
        <w:fldChar w:fldCharType="separate"/>
      </w:r>
      <w:r>
        <w:rPr>
          <w:rFonts w:ascii="Times New Roman" w:hAnsi="Times New Roman"/>
        </w:rPr>
        <w:t>第一章　采购公告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_Toc32671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38"/>
        <w:tabs>
          <w:tab w:val="right" w:leader="dot" w:pos="9638"/>
          <w:tab w:val="clear" w:pos="9344"/>
        </w:tabs>
        <w:rPr>
          <w:rFonts w:ascii="Times New Roman" w:hAnsi="Times New Roman"/>
        </w:rPr>
      </w:pPr>
      <w:r>
        <w:fldChar w:fldCharType="begin"/>
      </w:r>
      <w:r>
        <w:instrText xml:space="preserve"> HYPERLINK \l "_Toc17086" </w:instrText>
      </w:r>
      <w:r>
        <w:fldChar w:fldCharType="separate"/>
      </w:r>
      <w:r>
        <w:rPr>
          <w:rFonts w:ascii="Times New Roman" w:hAnsi="Times New Roman"/>
        </w:rPr>
        <w:t>第二章　投标须知和投标须知前附表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_Toc17086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8"/>
        <w:tabs>
          <w:tab w:val="right" w:leader="dot" w:pos="9638"/>
          <w:tab w:val="clear" w:pos="9344"/>
        </w:tabs>
        <w:rPr>
          <w:rFonts w:ascii="Times New Roman" w:hAnsi="Times New Roman"/>
        </w:rPr>
      </w:pPr>
      <w:r>
        <w:fldChar w:fldCharType="begin"/>
      </w:r>
      <w:r>
        <w:instrText xml:space="preserve"> HYPERLINK \l "_Toc9111" </w:instrText>
      </w:r>
      <w:r>
        <w:fldChar w:fldCharType="separate"/>
      </w:r>
      <w:r>
        <w:rPr>
          <w:rFonts w:ascii="Times New Roman" w:hAnsi="Times New Roman"/>
        </w:rPr>
        <w:t>第三章 招标项目要求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_Toc9111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38"/>
        <w:tabs>
          <w:tab w:val="right" w:leader="dot" w:pos="9638"/>
          <w:tab w:val="clear" w:pos="9344"/>
        </w:tabs>
        <w:rPr>
          <w:rFonts w:ascii="Times New Roman" w:hAnsi="Times New Roman"/>
        </w:rPr>
      </w:pPr>
      <w:r>
        <w:fldChar w:fldCharType="begin"/>
      </w:r>
      <w:r>
        <w:instrText xml:space="preserve"> HYPERLINK \l "_Toc9757" </w:instrText>
      </w:r>
      <w:r>
        <w:fldChar w:fldCharType="separate"/>
      </w:r>
      <w:r>
        <w:rPr>
          <w:rFonts w:ascii="Times New Roman" w:hAnsi="Times New Roman"/>
        </w:rPr>
        <w:t>第四章 开标、评标和定标须知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_Toc9757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pStyle w:val="38"/>
        <w:tabs>
          <w:tab w:val="right" w:leader="dot" w:pos="9638"/>
          <w:tab w:val="clear" w:pos="9344"/>
        </w:tabs>
        <w:rPr>
          <w:rFonts w:ascii="Times New Roman" w:hAnsi="Times New Roman"/>
        </w:rPr>
      </w:pPr>
      <w:r>
        <w:fldChar w:fldCharType="begin"/>
      </w:r>
      <w:r>
        <w:instrText xml:space="preserve"> HYPERLINK \l "_Toc1097" </w:instrText>
      </w:r>
      <w:r>
        <w:fldChar w:fldCharType="separate"/>
      </w:r>
      <w:r>
        <w:rPr>
          <w:rFonts w:ascii="Times New Roman" w:hAnsi="Times New Roman"/>
        </w:rPr>
        <w:t>第五章 投标文件的无效情形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_Toc1097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pPr>
        <w:pStyle w:val="38"/>
        <w:tabs>
          <w:tab w:val="right" w:leader="dot" w:pos="9638"/>
          <w:tab w:val="clear" w:pos="9344"/>
        </w:tabs>
        <w:rPr>
          <w:rFonts w:ascii="Times New Roman" w:hAnsi="Times New Roman"/>
        </w:rPr>
      </w:pPr>
      <w:r>
        <w:fldChar w:fldCharType="begin"/>
      </w:r>
      <w:r>
        <w:instrText xml:space="preserve"> HYPERLINK \l "_Toc31163" </w:instrText>
      </w:r>
      <w:r>
        <w:fldChar w:fldCharType="separate"/>
      </w:r>
      <w:r>
        <w:rPr>
          <w:rFonts w:ascii="Times New Roman" w:hAnsi="Times New Roman"/>
        </w:rPr>
        <w:t>第六章 评标办法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_Toc31163 \h </w:instrText>
      </w:r>
      <w:r>
        <w:rPr>
          <w:rFonts w:ascii="Times New Roman" w:hAnsi="Times New Roman"/>
        </w:rPr>
        <w:fldChar w:fldCharType="separate"/>
      </w:r>
      <w:r>
        <w:rPr>
          <w:rFonts w:ascii="Times New Roman" w:hAnsi="Times New Roman"/>
        </w:rPr>
        <w:t>36</w:t>
      </w:r>
      <w:r>
        <w:rPr>
          <w:rFonts w:ascii="Times New Roman" w:hAnsi="Times New Roman"/>
        </w:rPr>
        <w:fldChar w:fldCharType="end"/>
      </w:r>
      <w:r>
        <w:rPr>
          <w:rFonts w:ascii="Times New Roman" w:hAnsi="Times New Roman"/>
        </w:rPr>
        <w:fldChar w:fldCharType="end"/>
      </w:r>
    </w:p>
    <w:p>
      <w:pPr>
        <w:pStyle w:val="38"/>
        <w:tabs>
          <w:tab w:val="right" w:leader="dot" w:pos="9638"/>
          <w:tab w:val="clear" w:pos="9344"/>
        </w:tabs>
        <w:rPr>
          <w:rFonts w:ascii="Times New Roman" w:hAnsi="Times New Roman"/>
        </w:rPr>
      </w:pPr>
      <w:r>
        <w:fldChar w:fldCharType="begin"/>
      </w:r>
      <w:r>
        <w:instrText xml:space="preserve"> HYPERLINK \l "_Toc26103" </w:instrText>
      </w:r>
      <w:r>
        <w:fldChar w:fldCharType="separate"/>
      </w:r>
      <w:r>
        <w:rPr>
          <w:rFonts w:ascii="Times New Roman" w:hAnsi="Times New Roman"/>
        </w:rPr>
        <w:t>第七章 义乌市政府采购合同（样本）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_Toc26103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38"/>
        <w:tabs>
          <w:tab w:val="right" w:leader="dot" w:pos="9638"/>
          <w:tab w:val="clear" w:pos="9344"/>
        </w:tabs>
        <w:rPr>
          <w:rFonts w:ascii="Times New Roman" w:hAnsi="Times New Roman"/>
        </w:rPr>
      </w:pPr>
      <w:r>
        <w:fldChar w:fldCharType="begin"/>
      </w:r>
      <w:r>
        <w:instrText xml:space="preserve"> HYPERLINK \l "_Toc1594" </w:instrText>
      </w:r>
      <w:r>
        <w:fldChar w:fldCharType="separate"/>
      </w:r>
      <w:r>
        <w:rPr>
          <w:rFonts w:ascii="Times New Roman" w:hAnsi="Times New Roman"/>
        </w:rPr>
        <w:t>第八章 投标文件部分格式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_Toc1594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r>
        <w:fldChar w:fldCharType="end"/>
      </w:r>
    </w:p>
    <w:p/>
    <w:p/>
    <w:p/>
    <w:p/>
    <w:p/>
    <w:p/>
    <w:p/>
    <w:p/>
    <w:p/>
    <w:p/>
    <w:p/>
    <w:p/>
    <w:p/>
    <w:p/>
    <w:p/>
    <w:p/>
    <w:p/>
    <w:p/>
    <w:p/>
    <w:p/>
    <w:p/>
    <w:p/>
    <w:p/>
    <w:p/>
    <w:p/>
    <w:p/>
    <w:p/>
    <w:p/>
    <w:p/>
    <w:p>
      <w:pPr>
        <w:pStyle w:val="4"/>
        <w:spacing w:before="0" w:after="0" w:line="400" w:lineRule="atLeast"/>
        <w:jc w:val="center"/>
        <w:rPr>
          <w:sz w:val="36"/>
        </w:rPr>
      </w:pPr>
      <w:bookmarkStart w:id="0" w:name="_Toc406413925"/>
      <w:bookmarkStart w:id="1" w:name="_Toc32671"/>
      <w:bookmarkStart w:id="2" w:name="_Toc25119"/>
      <w:bookmarkStart w:id="3" w:name="_Toc20979"/>
      <w:bookmarkStart w:id="4" w:name="_Toc12092"/>
      <w:r>
        <w:rPr>
          <w:sz w:val="36"/>
        </w:rPr>
        <w:t>第一章　采购公告</w:t>
      </w:r>
      <w:bookmarkEnd w:id="0"/>
      <w:bookmarkEnd w:id="1"/>
      <w:bookmarkEnd w:id="2"/>
      <w:bookmarkEnd w:id="3"/>
      <w:bookmarkEnd w:id="4"/>
    </w:p>
    <w:p>
      <w:pPr>
        <w:snapToGrid w:val="0"/>
        <w:spacing w:line="360" w:lineRule="exact"/>
        <w:ind w:firstLine="470" w:firstLineChars="196"/>
        <w:rPr>
          <w:b/>
          <w:bCs/>
        </w:rPr>
      </w:pPr>
      <w:r>
        <w:rPr>
          <w:szCs w:val="21"/>
        </w:rPr>
        <w:t>根据《中华人民共和国政府采购法》等有关规定，义乌市政府采购中心受委托，就</w:t>
      </w:r>
      <w:r>
        <w:rPr>
          <w:rFonts w:hint="eastAsia"/>
          <w:color w:val="FF0000"/>
          <w:szCs w:val="21"/>
        </w:rPr>
        <w:t>浙江省机电技师学院智慧物流实训室建设项目</w:t>
      </w:r>
      <w:r>
        <w:rPr>
          <w:szCs w:val="21"/>
        </w:rPr>
        <w:t>进行公开招标，欢迎国内合格的供应商参加投标。</w:t>
      </w:r>
    </w:p>
    <w:p>
      <w:pPr>
        <w:pStyle w:val="30"/>
        <w:adjustRightInd w:val="0"/>
        <w:snapToGrid w:val="0"/>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一、项目基本情况</w:t>
      </w:r>
    </w:p>
    <w:p>
      <w:pPr>
        <w:snapToGrid w:val="0"/>
        <w:spacing w:line="360" w:lineRule="exact"/>
        <w:ind w:firstLine="470" w:firstLineChars="196"/>
        <w:rPr>
          <w:szCs w:val="21"/>
        </w:rPr>
      </w:pPr>
      <w:r>
        <w:rPr>
          <w:szCs w:val="21"/>
        </w:rPr>
        <w:t>1.采购编号：</w:t>
      </w:r>
      <w:r>
        <w:rPr>
          <w:rFonts w:hint="eastAsia"/>
          <w:bCs/>
          <w:color w:val="FF0000"/>
          <w:szCs w:val="21"/>
        </w:rPr>
        <w:t>YWCG2022023GK</w:t>
      </w:r>
    </w:p>
    <w:p>
      <w:pPr>
        <w:snapToGrid w:val="0"/>
        <w:spacing w:line="360" w:lineRule="exact"/>
        <w:ind w:firstLine="470" w:firstLineChars="196"/>
        <w:rPr>
          <w:bCs/>
          <w:color w:val="FF0000"/>
          <w:szCs w:val="21"/>
        </w:rPr>
      </w:pPr>
      <w:r>
        <w:rPr>
          <w:szCs w:val="21"/>
        </w:rPr>
        <w:t>2.项目名称：</w:t>
      </w:r>
      <w:r>
        <w:rPr>
          <w:rFonts w:hint="eastAsia"/>
          <w:bCs/>
          <w:color w:val="FF0000"/>
          <w:szCs w:val="21"/>
        </w:rPr>
        <w:t>浙江省机电技师学院智慧物流实训室建设项目</w:t>
      </w:r>
    </w:p>
    <w:p>
      <w:pPr>
        <w:snapToGrid w:val="0"/>
        <w:spacing w:line="360" w:lineRule="exact"/>
        <w:ind w:firstLine="470" w:firstLineChars="196"/>
        <w:rPr>
          <w:szCs w:val="21"/>
        </w:rPr>
      </w:pPr>
      <w:r>
        <w:rPr>
          <w:szCs w:val="21"/>
        </w:rPr>
        <w:t>3.项目预算：</w:t>
      </w:r>
      <w:r>
        <w:rPr>
          <w:rFonts w:hint="eastAsia"/>
          <w:color w:val="FF0000"/>
          <w:szCs w:val="21"/>
          <w:lang w:val="en-US" w:eastAsia="zh-CN"/>
        </w:rPr>
        <w:t>172.86</w:t>
      </w:r>
      <w:r>
        <w:rPr>
          <w:color w:val="FF0000"/>
          <w:szCs w:val="21"/>
        </w:rPr>
        <w:t xml:space="preserve">万元 </w:t>
      </w:r>
      <w:r>
        <w:rPr>
          <w:szCs w:val="21"/>
        </w:rPr>
        <w:t xml:space="preserve"> 最高限价：</w:t>
      </w:r>
      <w:r>
        <w:rPr>
          <w:rFonts w:hint="eastAsia"/>
          <w:color w:val="FF0000"/>
          <w:szCs w:val="21"/>
          <w:lang w:val="en-US" w:eastAsia="zh-CN"/>
        </w:rPr>
        <w:t>172.86</w:t>
      </w:r>
      <w:r>
        <w:rPr>
          <w:color w:val="FF0000"/>
          <w:szCs w:val="21"/>
        </w:rPr>
        <w:t>万元</w:t>
      </w:r>
    </w:p>
    <w:p>
      <w:pPr>
        <w:snapToGrid w:val="0"/>
        <w:spacing w:line="360" w:lineRule="exact"/>
        <w:ind w:firstLine="470" w:firstLineChars="196"/>
        <w:rPr>
          <w:szCs w:val="21"/>
        </w:rPr>
      </w:pPr>
      <w:r>
        <w:rPr>
          <w:szCs w:val="21"/>
        </w:rPr>
        <w:t>4.采购需求</w:t>
      </w:r>
    </w:p>
    <w:tbl>
      <w:tblPr>
        <w:tblStyle w:val="5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35"/>
        <w:gridCol w:w="1470"/>
        <w:gridCol w:w="765"/>
        <w:gridCol w:w="1395"/>
        <w:gridCol w:w="141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56"/>
              <w:spacing w:after="0" w:line="360" w:lineRule="exact"/>
              <w:ind w:left="0" w:leftChars="0" w:firstLine="0" w:firstLineChars="0"/>
              <w:jc w:val="center"/>
            </w:pPr>
            <w:r>
              <w:t>序号</w:t>
            </w:r>
          </w:p>
        </w:tc>
        <w:tc>
          <w:tcPr>
            <w:tcW w:w="2435" w:type="dxa"/>
            <w:vAlign w:val="center"/>
          </w:tcPr>
          <w:p>
            <w:pPr>
              <w:pStyle w:val="56"/>
              <w:spacing w:after="0" w:line="360" w:lineRule="exact"/>
              <w:ind w:left="0" w:leftChars="0" w:firstLine="0" w:firstLineChars="0"/>
              <w:jc w:val="center"/>
            </w:pPr>
            <w:r>
              <w:t>项目内容</w:t>
            </w:r>
          </w:p>
        </w:tc>
        <w:tc>
          <w:tcPr>
            <w:tcW w:w="1470" w:type="dxa"/>
            <w:vAlign w:val="center"/>
          </w:tcPr>
          <w:p>
            <w:pPr>
              <w:pStyle w:val="56"/>
              <w:spacing w:after="0" w:line="360" w:lineRule="exact"/>
              <w:ind w:left="0" w:leftChars="0" w:firstLine="0" w:firstLineChars="0"/>
              <w:jc w:val="center"/>
            </w:pPr>
            <w:r>
              <w:t>技术要求</w:t>
            </w:r>
          </w:p>
        </w:tc>
        <w:tc>
          <w:tcPr>
            <w:tcW w:w="765" w:type="dxa"/>
            <w:vAlign w:val="center"/>
          </w:tcPr>
          <w:p>
            <w:pPr>
              <w:pStyle w:val="56"/>
              <w:spacing w:after="0" w:line="360" w:lineRule="exact"/>
              <w:ind w:left="0" w:leftChars="0" w:firstLine="0" w:firstLineChars="0"/>
              <w:jc w:val="center"/>
            </w:pPr>
            <w:r>
              <w:t>数量</w:t>
            </w:r>
          </w:p>
        </w:tc>
        <w:tc>
          <w:tcPr>
            <w:tcW w:w="1395" w:type="dxa"/>
            <w:vAlign w:val="center"/>
          </w:tcPr>
          <w:p>
            <w:pPr>
              <w:pStyle w:val="56"/>
              <w:spacing w:after="0" w:line="360" w:lineRule="exact"/>
              <w:ind w:left="0" w:leftChars="0" w:firstLine="0" w:firstLineChars="0"/>
              <w:jc w:val="center"/>
            </w:pPr>
            <w:r>
              <w:t>项目预算</w:t>
            </w:r>
          </w:p>
        </w:tc>
        <w:tc>
          <w:tcPr>
            <w:tcW w:w="1410" w:type="dxa"/>
            <w:vAlign w:val="center"/>
          </w:tcPr>
          <w:p>
            <w:pPr>
              <w:pStyle w:val="56"/>
              <w:spacing w:after="0" w:line="360" w:lineRule="exact"/>
              <w:ind w:left="0" w:leftChars="0" w:firstLine="0" w:firstLineChars="0"/>
              <w:jc w:val="center"/>
            </w:pPr>
            <w:r>
              <w:t>最高限价</w:t>
            </w:r>
          </w:p>
        </w:tc>
        <w:tc>
          <w:tcPr>
            <w:tcW w:w="1385" w:type="dxa"/>
            <w:vAlign w:val="center"/>
          </w:tcPr>
          <w:p>
            <w:pPr>
              <w:pStyle w:val="56"/>
              <w:spacing w:after="0" w:line="360" w:lineRule="exact"/>
              <w:ind w:left="0" w:leftChars="0" w:firstLine="0" w:firstLineChars="0"/>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56"/>
              <w:spacing w:after="0" w:line="360" w:lineRule="exact"/>
              <w:ind w:left="0" w:leftChars="0" w:firstLine="0" w:firstLineChars="0"/>
              <w:jc w:val="center"/>
            </w:pPr>
            <w:r>
              <w:t>1</w:t>
            </w:r>
          </w:p>
        </w:tc>
        <w:tc>
          <w:tcPr>
            <w:tcW w:w="2435" w:type="dxa"/>
            <w:vAlign w:val="center"/>
          </w:tcPr>
          <w:p>
            <w:pPr>
              <w:widowControl w:val="0"/>
              <w:snapToGrid w:val="0"/>
              <w:spacing w:line="360" w:lineRule="exact"/>
              <w:jc w:val="center"/>
              <w:rPr>
                <w:color w:val="FF0000"/>
                <w:szCs w:val="21"/>
              </w:rPr>
            </w:pPr>
            <w:r>
              <w:rPr>
                <w:rFonts w:hint="eastAsia"/>
                <w:bCs/>
                <w:color w:val="FF0000"/>
                <w:szCs w:val="21"/>
              </w:rPr>
              <w:t>智慧物流实训室建设</w:t>
            </w:r>
          </w:p>
        </w:tc>
        <w:tc>
          <w:tcPr>
            <w:tcW w:w="1470" w:type="dxa"/>
            <w:vAlign w:val="center"/>
          </w:tcPr>
          <w:p>
            <w:pPr>
              <w:pStyle w:val="56"/>
              <w:spacing w:after="0" w:line="360" w:lineRule="exact"/>
              <w:ind w:left="0" w:leftChars="0" w:firstLine="0" w:firstLineChars="0"/>
              <w:jc w:val="center"/>
            </w:pPr>
            <w:r>
              <w:t>详见招标文件第三章</w:t>
            </w:r>
          </w:p>
        </w:tc>
        <w:tc>
          <w:tcPr>
            <w:tcW w:w="765" w:type="dxa"/>
            <w:vAlign w:val="center"/>
          </w:tcPr>
          <w:p>
            <w:pPr>
              <w:pStyle w:val="56"/>
              <w:spacing w:after="0" w:line="360" w:lineRule="exact"/>
              <w:ind w:left="0" w:leftChars="0" w:firstLine="0" w:firstLineChars="0"/>
              <w:jc w:val="center"/>
            </w:pPr>
            <w:r>
              <w:t>一批</w:t>
            </w:r>
          </w:p>
        </w:tc>
        <w:tc>
          <w:tcPr>
            <w:tcW w:w="1395" w:type="dxa"/>
            <w:vAlign w:val="center"/>
          </w:tcPr>
          <w:p>
            <w:pPr>
              <w:pStyle w:val="56"/>
              <w:spacing w:after="0" w:line="360" w:lineRule="exact"/>
              <w:ind w:left="0" w:leftChars="0" w:firstLine="0" w:firstLineChars="0"/>
              <w:jc w:val="center"/>
            </w:pPr>
            <w:r>
              <w:rPr>
                <w:rFonts w:hint="eastAsia"/>
                <w:color w:val="FF0000"/>
                <w:szCs w:val="21"/>
                <w:lang w:val="en-US" w:eastAsia="zh-CN"/>
              </w:rPr>
              <w:t>172.86</w:t>
            </w:r>
            <w:r>
              <w:rPr>
                <w:color w:val="FF0000"/>
                <w:szCs w:val="21"/>
              </w:rPr>
              <w:t>万元</w:t>
            </w:r>
          </w:p>
        </w:tc>
        <w:tc>
          <w:tcPr>
            <w:tcW w:w="1410" w:type="dxa"/>
            <w:vAlign w:val="center"/>
          </w:tcPr>
          <w:p>
            <w:pPr>
              <w:pStyle w:val="56"/>
              <w:spacing w:after="0" w:line="360" w:lineRule="exact"/>
              <w:ind w:left="0" w:leftChars="0" w:firstLine="0" w:firstLineChars="0"/>
              <w:jc w:val="center"/>
              <w:rPr>
                <w:color w:val="FF0000"/>
              </w:rPr>
            </w:pPr>
            <w:r>
              <w:rPr>
                <w:rFonts w:hint="eastAsia"/>
                <w:color w:val="FF0000"/>
                <w:szCs w:val="21"/>
                <w:lang w:val="en-US" w:eastAsia="zh-CN"/>
              </w:rPr>
              <w:t>172.86</w:t>
            </w:r>
            <w:r>
              <w:rPr>
                <w:color w:val="FF0000"/>
                <w:szCs w:val="21"/>
              </w:rPr>
              <w:t>万元</w:t>
            </w:r>
          </w:p>
        </w:tc>
        <w:tc>
          <w:tcPr>
            <w:tcW w:w="1385" w:type="dxa"/>
            <w:vAlign w:val="center"/>
          </w:tcPr>
          <w:p>
            <w:pPr>
              <w:pStyle w:val="56"/>
              <w:spacing w:after="0" w:line="360" w:lineRule="exact"/>
              <w:ind w:left="0" w:leftChars="0" w:firstLine="0" w:firstLineChars="0"/>
              <w:jc w:val="center"/>
            </w:pPr>
          </w:p>
        </w:tc>
      </w:tr>
    </w:tbl>
    <w:p>
      <w:pPr>
        <w:pStyle w:val="30"/>
        <w:adjustRightInd w:val="0"/>
        <w:snapToGrid w:val="0"/>
        <w:spacing w:line="360" w:lineRule="exact"/>
        <w:ind w:firstLine="470" w:firstLineChars="196"/>
        <w:rPr>
          <w:rFonts w:ascii="Times New Roman" w:hAnsi="Times New Roman" w:cs="Times New Roman"/>
          <w:kern w:val="0"/>
          <w:sz w:val="24"/>
        </w:rPr>
      </w:pPr>
      <w:r>
        <w:rPr>
          <w:rFonts w:ascii="Times New Roman" w:hAnsi="Times New Roman" w:cs="Times New Roman"/>
          <w:kern w:val="0"/>
          <w:sz w:val="24"/>
        </w:rPr>
        <w:t>5.合同履约期限：详见招标文件第三章。</w:t>
      </w:r>
    </w:p>
    <w:p>
      <w:pPr>
        <w:pStyle w:val="30"/>
        <w:adjustRightInd w:val="0"/>
        <w:snapToGrid w:val="0"/>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二、投标人的资格要求，须同时满足以下条件：</w:t>
      </w:r>
    </w:p>
    <w:p>
      <w:pPr>
        <w:snapToGrid w:val="0"/>
        <w:spacing w:line="360" w:lineRule="exact"/>
        <w:ind w:firstLine="480" w:firstLineChars="200"/>
      </w:pPr>
      <w:r>
        <w:t>1.符合《中华人民共和国政府采购法》第二十二条供应商应当具备的条件</w:t>
      </w:r>
      <w:r>
        <w:rPr>
          <w:szCs w:val="21"/>
        </w:rPr>
        <w:t>或符合浙财采监【2013】24号《关于规范政府采购供应商资格设定及资格审查的通知》第六条规定的供应商</w:t>
      </w:r>
      <w:r>
        <w:t>；</w:t>
      </w:r>
    </w:p>
    <w:p>
      <w:pPr>
        <w:snapToGrid w:val="0"/>
        <w:spacing w:line="360" w:lineRule="exact"/>
        <w:ind w:firstLine="480" w:firstLineChars="200"/>
      </w:pPr>
      <w: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napToGrid w:val="0"/>
        <w:spacing w:line="360" w:lineRule="exact"/>
        <w:ind w:firstLine="480" w:firstLineChars="200"/>
      </w:pPr>
      <w:r>
        <w:t>3.投标人自2019年01月01日起到中标公告期结束前无行贿犯罪记录；</w:t>
      </w:r>
    </w:p>
    <w:p>
      <w:pPr>
        <w:snapToGrid w:val="0"/>
        <w:spacing w:line="360" w:lineRule="exact"/>
        <w:ind w:firstLine="480" w:firstLineChars="200"/>
      </w:pPr>
      <w:r>
        <w:t>4.根据《关于在全市公共资源交易活动中应用信用报告的通知》（义行服管〔2017〕17号）的规定，综合信用报告评级不属于D类或E类的（无信用评价供应商不受此项条件限制，查询结果以网站页面显示内容为准）；</w:t>
      </w:r>
    </w:p>
    <w:p>
      <w:pPr>
        <w:snapToGrid w:val="0"/>
        <w:spacing w:line="360" w:lineRule="exact"/>
        <w:ind w:firstLine="480" w:firstLineChars="200"/>
      </w:pPr>
      <w:r>
        <w:t>5.单位负责人为同一人或者存在直接控股、管理关系的不同供应商，不得参加同一合同项（同一标项）下的政府采购活动；</w:t>
      </w:r>
    </w:p>
    <w:p>
      <w:pPr>
        <w:snapToGrid w:val="0"/>
        <w:spacing w:line="360" w:lineRule="exact"/>
        <w:ind w:firstLine="480" w:firstLineChars="200"/>
      </w:pPr>
      <w:r>
        <w:t>6.为采购项目提供整体设计、规范编制或者项目管理、监理、检测等服务的供应商，不得再参加该采购项目的其他采购活动；</w:t>
      </w:r>
    </w:p>
    <w:p>
      <w:pPr>
        <w:snapToGrid w:val="0"/>
        <w:spacing w:line="360" w:lineRule="exact"/>
        <w:ind w:firstLine="480" w:firstLineChars="200"/>
      </w:pPr>
      <w:r>
        <w:t>7.公益一类事业单位不属于政府购买服务的承接主体，不得参与承接购买服务采购项目；</w:t>
      </w:r>
    </w:p>
    <w:p>
      <w:pPr>
        <w:snapToGrid w:val="0"/>
        <w:spacing w:line="360" w:lineRule="exact"/>
        <w:ind w:firstLine="480" w:firstLineChars="200"/>
      </w:pPr>
      <w:r>
        <w:t>8.本项目不接受联合体参与投标。</w:t>
      </w:r>
    </w:p>
    <w:p>
      <w:pPr>
        <w:pStyle w:val="30"/>
        <w:adjustRightInd w:val="0"/>
        <w:snapToGrid w:val="0"/>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三、采购文件（即招标文件，下同）获取时间、地点及方式：</w:t>
      </w:r>
    </w:p>
    <w:p>
      <w:pPr>
        <w:snapToGrid w:val="0"/>
        <w:spacing w:line="360" w:lineRule="exact"/>
        <w:ind w:firstLine="480" w:firstLineChars="200"/>
      </w:pPr>
      <w:r>
        <w:t>1.时间：公告发布时间起至投标截止时间止。</w:t>
      </w:r>
    </w:p>
    <w:p>
      <w:pPr>
        <w:snapToGrid w:val="0"/>
        <w:spacing w:line="360" w:lineRule="exact"/>
        <w:ind w:firstLine="480" w:firstLineChars="200"/>
      </w:pPr>
      <w:r>
        <w:t>2.地点：浙江政府采购网（http://zfcg.czt.zj.gov.cn/）。</w:t>
      </w:r>
    </w:p>
    <w:p>
      <w:pPr>
        <w:snapToGrid w:val="0"/>
        <w:spacing w:line="360" w:lineRule="exact"/>
        <w:ind w:firstLine="480" w:firstLineChars="200"/>
      </w:pPr>
      <w:r>
        <w:t>3.方式：潜在供应商应按照浙江省政府采购网上所提示的方式免费获取采购文件。</w:t>
      </w:r>
    </w:p>
    <w:p>
      <w:pPr>
        <w:snapToGrid w:val="0"/>
        <w:spacing w:line="360" w:lineRule="exact"/>
        <w:ind w:firstLine="480" w:firstLineChars="200"/>
      </w:pPr>
      <w:r>
        <w:t>潜在供应商未在规定的期限内按照上述方式获取招标文件的，采购人、采购代理机构可以不予受理其所提出的对招标文件的质疑。</w:t>
      </w:r>
    </w:p>
    <w:p>
      <w:pPr>
        <w:pStyle w:val="30"/>
        <w:adjustRightInd w:val="0"/>
        <w:snapToGrid w:val="0"/>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四、投标截止时间及地点：</w:t>
      </w:r>
    </w:p>
    <w:p>
      <w:pPr>
        <w:snapToGrid w:val="0"/>
        <w:spacing w:line="360" w:lineRule="exact"/>
        <w:ind w:firstLine="480" w:firstLineChars="200"/>
      </w:pPr>
      <w:r>
        <w:t>1.提交投标文件截止时间：</w:t>
      </w:r>
      <w:r>
        <w:rPr>
          <w:color w:val="FF0000"/>
        </w:rPr>
        <w:t>2022年</w:t>
      </w:r>
      <w:r>
        <w:rPr>
          <w:rFonts w:hint="default" w:ascii="Times New Roman" w:hAnsi="Times New Roman" w:cs="Times New Roman"/>
          <w:color w:val="FF0000"/>
          <w:lang w:val="en-US" w:eastAsia="zh-CN"/>
        </w:rPr>
        <w:t>7</w:t>
      </w:r>
      <w:r>
        <w:rPr>
          <w:rFonts w:hint="default" w:ascii="Times New Roman" w:hAnsi="Times New Roman" w:cs="Times New Roman"/>
          <w:color w:val="FF0000"/>
        </w:rPr>
        <w:t>月</w:t>
      </w:r>
      <w:r>
        <w:rPr>
          <w:rFonts w:hint="default" w:ascii="Times New Roman" w:hAnsi="Times New Roman" w:cs="Times New Roman"/>
          <w:color w:val="FF0000"/>
          <w:lang w:val="en-US" w:eastAsia="zh-CN"/>
        </w:rPr>
        <w:t>14</w:t>
      </w:r>
      <w:r>
        <w:rPr>
          <w:rFonts w:hint="default" w:ascii="Times New Roman" w:hAnsi="Times New Roman" w:cs="Times New Roman"/>
          <w:color w:val="FF0000"/>
        </w:rPr>
        <w:t>日</w:t>
      </w:r>
      <w:r>
        <w:rPr>
          <w:rFonts w:hint="default" w:ascii="Times New Roman" w:hAnsi="Times New Roman" w:cs="Times New Roman"/>
        </w:rPr>
        <w:t xml:space="preserve"> </w:t>
      </w:r>
      <w:r>
        <w:t>09:30（北京时间）</w:t>
      </w:r>
    </w:p>
    <w:p>
      <w:pPr>
        <w:snapToGrid w:val="0"/>
        <w:spacing w:line="360" w:lineRule="exact"/>
        <w:ind w:firstLine="480" w:firstLineChars="200"/>
      </w:pPr>
      <w:r>
        <w:t>2.投标地点：用帐号登录政府采购云平台（简称“政采云”下同，https://www.zcygov.cn/），上传电子加密标书至“政采云”，逾期或未上传成功的将导致无法投标或投标无效。</w:t>
      </w:r>
    </w:p>
    <w:p>
      <w:pPr>
        <w:snapToGrid w:val="0"/>
        <w:spacing w:line="360" w:lineRule="exact"/>
        <w:ind w:firstLine="480" w:firstLineChars="200"/>
      </w:pPr>
      <w:r>
        <w:t>3.开标时间：</w:t>
      </w:r>
      <w:r>
        <w:rPr>
          <w:color w:val="FF0000"/>
        </w:rPr>
        <w:t>2022年</w:t>
      </w:r>
      <w:r>
        <w:rPr>
          <w:rFonts w:hint="default" w:ascii="Times New Roman" w:hAnsi="Times New Roman" w:cs="Times New Roman"/>
          <w:color w:val="FF0000"/>
          <w:lang w:val="en-US" w:eastAsia="zh-CN"/>
        </w:rPr>
        <w:t>7</w:t>
      </w:r>
      <w:r>
        <w:rPr>
          <w:rFonts w:hint="default" w:ascii="Times New Roman" w:hAnsi="Times New Roman" w:cs="Times New Roman"/>
          <w:color w:val="FF0000"/>
        </w:rPr>
        <w:t>月</w:t>
      </w:r>
      <w:r>
        <w:rPr>
          <w:rFonts w:hint="default" w:ascii="Times New Roman" w:hAnsi="Times New Roman" w:cs="Times New Roman"/>
          <w:color w:val="FF0000"/>
          <w:lang w:val="en-US" w:eastAsia="zh-CN"/>
        </w:rPr>
        <w:t>14</w:t>
      </w:r>
      <w:r>
        <w:rPr>
          <w:rFonts w:hint="default" w:ascii="Times New Roman" w:hAnsi="Times New Roman" w:cs="Times New Roman"/>
          <w:color w:val="FF0000"/>
        </w:rPr>
        <w:t>日</w:t>
      </w:r>
      <w:r>
        <w:rPr>
          <w:rFonts w:hint="default" w:ascii="Times New Roman" w:hAnsi="Times New Roman" w:cs="Times New Roman"/>
        </w:rPr>
        <w:t xml:space="preserve"> </w:t>
      </w:r>
      <w:r>
        <w:t>09:30 </w:t>
      </w:r>
    </w:p>
    <w:p>
      <w:pPr>
        <w:snapToGrid w:val="0"/>
        <w:spacing w:line="360" w:lineRule="exact"/>
        <w:ind w:firstLine="480" w:firstLineChars="200"/>
      </w:pPr>
      <w:r>
        <w:t>4.开标地点：“政采云”（https://www.zcygov.cn/）</w:t>
      </w:r>
    </w:p>
    <w:p>
      <w:pPr>
        <w:pStyle w:val="30"/>
        <w:adjustRightInd w:val="0"/>
        <w:snapToGrid w:val="0"/>
        <w:spacing w:line="360" w:lineRule="exact"/>
        <w:ind w:firstLine="472" w:firstLineChars="196"/>
        <w:rPr>
          <w:rFonts w:ascii="Times New Roman" w:hAnsi="Times New Roman" w:cs="Times New Roman"/>
          <w:b/>
          <w:kern w:val="0"/>
          <w:sz w:val="24"/>
          <w:szCs w:val="24"/>
        </w:rPr>
      </w:pPr>
      <w:r>
        <w:rPr>
          <w:rFonts w:ascii="Times New Roman" w:hAnsi="Times New Roman" w:cs="Times New Roman"/>
          <w:b/>
          <w:kern w:val="0"/>
          <w:sz w:val="24"/>
          <w:szCs w:val="24"/>
        </w:rPr>
        <w:t>五、公告期限：</w:t>
      </w:r>
    </w:p>
    <w:p>
      <w:pPr>
        <w:pStyle w:val="30"/>
        <w:adjustRightInd w:val="0"/>
        <w:snapToGrid w:val="0"/>
        <w:spacing w:line="360" w:lineRule="exact"/>
        <w:ind w:firstLine="470" w:firstLineChars="196"/>
        <w:rPr>
          <w:rFonts w:ascii="Times New Roman" w:hAnsi="Times New Roman" w:cs="Times New Roman"/>
          <w:kern w:val="0"/>
          <w:sz w:val="24"/>
        </w:rPr>
      </w:pPr>
      <w:r>
        <w:rPr>
          <w:rFonts w:ascii="Times New Roman" w:hAnsi="Times New Roman" w:cs="Times New Roman"/>
          <w:kern w:val="0"/>
          <w:sz w:val="24"/>
        </w:rPr>
        <w:t>自本公告发布之日起5个工作日。</w:t>
      </w:r>
    </w:p>
    <w:p>
      <w:pPr>
        <w:pStyle w:val="30"/>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六、其他补充事宜</w:t>
      </w:r>
    </w:p>
    <w:p>
      <w:pPr>
        <w:pStyle w:val="30"/>
        <w:spacing w:line="360" w:lineRule="exact"/>
        <w:ind w:firstLine="470" w:firstLineChars="196"/>
        <w:rPr>
          <w:rFonts w:ascii="Times New Roman" w:hAnsi="Times New Roman" w:cs="Times New Roman"/>
          <w:kern w:val="0"/>
          <w:sz w:val="24"/>
        </w:rPr>
      </w:pPr>
      <w:r>
        <w:rPr>
          <w:rFonts w:ascii="Times New Roman" w:hAnsi="Times New Roman" w:cs="Times New Roman"/>
          <w:kern w:val="0"/>
          <w:sz w:val="24"/>
        </w:rPr>
        <w:t>1. 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0"/>
        <w:spacing w:line="360" w:lineRule="exact"/>
        <w:ind w:firstLine="470" w:firstLineChars="196"/>
        <w:rPr>
          <w:rFonts w:ascii="Times New Roman" w:hAnsi="Times New Roman" w:cs="Times New Roman"/>
          <w:sz w:val="24"/>
          <w:szCs w:val="24"/>
        </w:rPr>
      </w:pPr>
      <w:r>
        <w:rPr>
          <w:rFonts w:ascii="Times New Roman" w:hAnsi="Times New Roman" w:cs="Times New Roman"/>
          <w:sz w:val="24"/>
          <w:szCs w:val="24"/>
        </w:rPr>
        <w:t>2.投标保证金：无</w:t>
      </w:r>
    </w:p>
    <w:p>
      <w:pPr>
        <w:snapToGrid w:val="0"/>
        <w:spacing w:line="360" w:lineRule="exact"/>
        <w:ind w:firstLine="480" w:firstLineChars="200"/>
      </w:pPr>
      <w:r>
        <w:t>3.投标与开标注意事项：</w:t>
      </w:r>
    </w:p>
    <w:p>
      <w:pPr>
        <w:snapToGrid w:val="0"/>
        <w:spacing w:line="360" w:lineRule="exact"/>
        <w:ind w:firstLine="480" w:firstLineChars="200"/>
      </w:pPr>
      <w:r>
        <w:t>①标前准备：本项目通过“政采云”实行在线投标（电子投标），各供应商在投标前应确保成为浙江政府采购网正式注册入库供应商，并完成CA数字证书办理。【办理流程详见电子投标工具链接：（</w:t>
      </w:r>
      <w:r>
        <w:fldChar w:fldCharType="begin"/>
      </w:r>
      <w:r>
        <w:instrText xml:space="preserve"> HYPERLINK "file:///C:\\Users\\Administrator\\AppData\\Roaming\\Microsoft\\Word\\CA申领操作指南.pdf" </w:instrText>
      </w:r>
      <w:r>
        <w:fldChar w:fldCharType="separate"/>
      </w:r>
      <w:r>
        <w:t>目前“政采云”仅支持浙江汇信或天谷CA锁，个体工商户投标仅支持浙江汇信CA锁）申领操作流程</w:t>
      </w:r>
      <w:r>
        <w:fldChar w:fldCharType="end"/>
      </w:r>
      <w:r>
        <w:t>”】。因未注册入库、未办理CA数字证书等原因造成无法投标或投标失败等后果由供应商自行承担。</w:t>
      </w:r>
    </w:p>
    <w:p>
      <w:pPr>
        <w:snapToGrid w:val="0"/>
        <w:spacing w:line="360" w:lineRule="exact"/>
        <w:ind w:firstLine="480" w:firstLineChars="200"/>
      </w:pPr>
      <w:r>
        <w:t>②投标文件制作：投标人通过“政采云”电子投标工具制作投标文件，电子投标工具请供应商自行前往浙江省政府采购网(https://zfcg.czt.zj.gov.cn/)下载并安装，投标文件制作具体流程详见“政采云”供应商项目采购-电子招投标操作指南”（请投标供应商登录“政采云”政府采购电子卖场后，点击链接https://edu.zcygov.cn/luban/e-biding）以获取最新操作指南。</w:t>
      </w:r>
    </w:p>
    <w:p>
      <w:pPr>
        <w:pStyle w:val="30"/>
        <w:adjustRightInd w:val="0"/>
        <w:snapToGrid w:val="0"/>
        <w:spacing w:line="360" w:lineRule="exact"/>
        <w:ind w:firstLine="480" w:firstLineChars="200"/>
        <w:rPr>
          <w:rFonts w:ascii="Times New Roman" w:hAnsi="Times New Roman" w:cs="Times New Roman"/>
          <w:b/>
        </w:rPr>
      </w:pPr>
      <w:r>
        <w:rPr>
          <w:rFonts w:ascii="Times New Roman" w:hAnsi="Times New Roman" w:cs="Times New Roman"/>
          <w:kern w:val="0"/>
          <w:sz w:val="24"/>
          <w:szCs w:val="24"/>
        </w:rPr>
        <w:t>③投标文件上传：投标人应在投标截止时间（</w:t>
      </w:r>
      <w:r>
        <w:rPr>
          <w:rFonts w:ascii="Times New Roman" w:hAnsi="Times New Roman" w:cs="Times New Roman"/>
          <w:color w:val="FF0000"/>
          <w:sz w:val="24"/>
          <w:szCs w:val="24"/>
        </w:rPr>
        <w:t>2022年</w:t>
      </w:r>
      <w:r>
        <w:rPr>
          <w:rFonts w:hint="default" w:ascii="Times New Roman" w:hAnsi="Times New Roman" w:cs="Times New Roman"/>
          <w:color w:val="FF0000"/>
          <w:sz w:val="24"/>
          <w:szCs w:val="24"/>
          <w:lang w:val="en-US" w:eastAsia="zh-CN"/>
        </w:rPr>
        <w:t>7</w:t>
      </w:r>
      <w:r>
        <w:rPr>
          <w:rFonts w:hint="default" w:ascii="Times New Roman" w:hAnsi="Times New Roman" w:cs="Times New Roman"/>
          <w:color w:val="FF0000"/>
          <w:sz w:val="24"/>
          <w:szCs w:val="24"/>
        </w:rPr>
        <w:t>月</w:t>
      </w:r>
      <w:r>
        <w:rPr>
          <w:rFonts w:hint="default" w:ascii="Times New Roman" w:hAnsi="Times New Roman" w:cs="Times New Roman"/>
          <w:color w:val="FF0000"/>
          <w:sz w:val="24"/>
          <w:szCs w:val="24"/>
          <w:lang w:val="en-US" w:eastAsia="zh-CN"/>
        </w:rPr>
        <w:t>14</w:t>
      </w:r>
      <w:r>
        <w:rPr>
          <w:rFonts w:hint="default" w:ascii="Times New Roman" w:hAnsi="Times New Roman" w:cs="Times New Roman"/>
          <w:color w:val="FF0000"/>
          <w:sz w:val="24"/>
          <w:szCs w:val="24"/>
        </w:rPr>
        <w:t>日</w:t>
      </w:r>
      <w:r>
        <w:rPr>
          <w:rFonts w:ascii="Times New Roman" w:hAnsi="Times New Roman" w:cs="Times New Roman"/>
          <w:sz w:val="24"/>
          <w:szCs w:val="24"/>
        </w:rPr>
        <w:t>0</w:t>
      </w:r>
      <w:r>
        <w:rPr>
          <w:rFonts w:ascii="Times New Roman" w:hAnsi="Times New Roman" w:cs="Times New Roman"/>
          <w:kern w:val="0"/>
          <w:sz w:val="24"/>
          <w:szCs w:val="24"/>
        </w:rPr>
        <w:t>9:30）之前上传投标文件，同时，投标人可在投标截止时间前将在 “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ascii="Times New Roman" w:hAnsi="Times New Roman" w:cs="Times New Roman"/>
          <w:b/>
          <w:sz w:val="24"/>
          <w:szCs w:val="24"/>
        </w:rPr>
        <w:t>投标供应商仅递交备份投标文件的，投标无效。</w:t>
      </w:r>
    </w:p>
    <w:p>
      <w:pPr>
        <w:snapToGrid w:val="0"/>
        <w:spacing w:line="360" w:lineRule="exact"/>
        <w:ind w:firstLine="470" w:firstLineChars="196"/>
        <w:rPr>
          <w:szCs w:val="21"/>
        </w:rPr>
      </w:pPr>
      <w:r>
        <w:t>④开标与投标文件解密：</w:t>
      </w:r>
      <w:r>
        <w:rPr>
          <w:szCs w:val="21"/>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360" w:lineRule="exact"/>
        <w:ind w:firstLine="480" w:firstLineChars="200"/>
      </w:pPr>
      <w:r>
        <w:t>如“政采云”上投标文件在规定时间内出现解密失败的，投标人可按照自身意愿确认同意提供加密密码，启用备份文件，并由采购中心把备份文件上传至“政采云”。如投标人未按照规定时间（</w:t>
      </w:r>
      <w:r>
        <w:rPr>
          <w:color w:val="FF0000"/>
        </w:rPr>
        <w:t>2022年</w:t>
      </w:r>
      <w:r>
        <w:rPr>
          <w:rFonts w:hint="default" w:ascii="Times New Roman" w:hAnsi="Times New Roman" w:cs="Times New Roman"/>
          <w:color w:val="FF0000"/>
          <w:lang w:val="en-US" w:eastAsia="zh-CN"/>
        </w:rPr>
        <w:t>7</w:t>
      </w:r>
      <w:r>
        <w:rPr>
          <w:rFonts w:hint="default" w:ascii="Times New Roman" w:hAnsi="Times New Roman" w:cs="Times New Roman"/>
          <w:color w:val="FF0000"/>
        </w:rPr>
        <w:t>月</w:t>
      </w:r>
      <w:r>
        <w:rPr>
          <w:rFonts w:hint="default" w:ascii="Times New Roman" w:hAnsi="Times New Roman" w:cs="Times New Roman"/>
          <w:color w:val="FF0000"/>
          <w:lang w:val="en-US" w:eastAsia="zh-CN"/>
        </w:rPr>
        <w:t>14</w:t>
      </w:r>
      <w:r>
        <w:rPr>
          <w:rFonts w:hint="default" w:ascii="Times New Roman" w:hAnsi="Times New Roman" w:cs="Times New Roman"/>
          <w:color w:val="FF0000"/>
        </w:rPr>
        <w:t>日</w:t>
      </w:r>
      <w:r>
        <w:t>上午9:30前）及要求提供有效备份标书，同时政采云上投标文件解密失败的，将导致投标无效。</w:t>
      </w:r>
    </w:p>
    <w:p>
      <w:pPr>
        <w:pStyle w:val="30"/>
        <w:adjustRightInd w:val="0"/>
        <w:snapToGrid w:val="0"/>
        <w:spacing w:line="360" w:lineRule="exact"/>
        <w:ind w:firstLine="480" w:firstLineChars="200"/>
        <w:rPr>
          <w:rFonts w:ascii="Times New Roman" w:hAnsi="Times New Roman" w:cs="Times New Roman"/>
          <w:b/>
        </w:rPr>
      </w:pPr>
      <w:r>
        <w:rPr>
          <w:rFonts w:ascii="Times New Roman" w:hAnsi="Times New Roman" w:cs="Times New Roman"/>
          <w:kern w:val="0"/>
          <w:sz w:val="24"/>
          <w:szCs w:val="24"/>
        </w:rPr>
        <w:t>如果投标人发送两份以上备份文件的，以最后收到的那一份为准，</w:t>
      </w:r>
      <w:r>
        <w:rPr>
          <w:rFonts w:ascii="Times New Roman" w:hAnsi="Times New Roman" w:cs="Times New Roman"/>
          <w:sz w:val="24"/>
          <w:szCs w:val="24"/>
        </w:rPr>
        <w:t>通过</w:t>
      </w:r>
      <w:r>
        <w:rPr>
          <w:rFonts w:ascii="Times New Roman" w:hAnsi="Times New Roman" w:cs="Times New Roman"/>
          <w:kern w:val="0"/>
          <w:sz w:val="24"/>
          <w:szCs w:val="24"/>
        </w:rPr>
        <w:t>“政采云”上</w:t>
      </w:r>
      <w:r>
        <w:rPr>
          <w:rFonts w:ascii="Times New Roman" w:hAnsi="Times New Roman" w:cs="Times New Roman"/>
          <w:sz w:val="24"/>
          <w:szCs w:val="24"/>
        </w:rPr>
        <w:t>传递交的“加密投标文件”已按时解密的，“备份投标文件”自动失效。</w:t>
      </w:r>
    </w:p>
    <w:p>
      <w:pPr>
        <w:snapToGrid w:val="0"/>
        <w:spacing w:line="360" w:lineRule="exact"/>
        <w:ind w:firstLine="470" w:firstLineChars="196"/>
      </w:pPr>
      <w:r>
        <w:t>4. 参与在线投标时如遇平台技术问题详询400-881-7190，电子投标制作问题详询傅先生0579－85583800。</w:t>
      </w:r>
    </w:p>
    <w:p>
      <w:pPr>
        <w:pStyle w:val="30"/>
        <w:adjustRightInd w:val="0"/>
        <w:snapToGrid w:val="0"/>
        <w:spacing w:line="360" w:lineRule="exact"/>
        <w:ind w:firstLine="472" w:firstLineChars="196"/>
        <w:rPr>
          <w:rFonts w:ascii="Times New Roman" w:hAnsi="Times New Roman" w:cs="Times New Roman"/>
          <w:b/>
          <w:kern w:val="0"/>
          <w:sz w:val="24"/>
          <w:szCs w:val="24"/>
        </w:rPr>
      </w:pPr>
      <w:r>
        <w:rPr>
          <w:rFonts w:ascii="Times New Roman" w:hAnsi="Times New Roman" w:cs="Times New Roman"/>
          <w:b/>
          <w:kern w:val="0"/>
          <w:sz w:val="24"/>
          <w:szCs w:val="24"/>
        </w:rPr>
        <w:t>七、对本次招标提出询问、质疑、投诉，请按以下方式联系。</w:t>
      </w:r>
    </w:p>
    <w:p>
      <w:pPr>
        <w:pStyle w:val="30"/>
        <w:adjustRightInd w:val="0"/>
        <w:snapToGrid w:val="0"/>
        <w:spacing w:line="360" w:lineRule="exact"/>
        <w:ind w:firstLine="482" w:firstLineChars="200"/>
        <w:rPr>
          <w:rFonts w:ascii="Times New Roman" w:hAnsi="Times New Roman" w:cs="Times New Roman"/>
          <w:b/>
          <w:kern w:val="0"/>
          <w:sz w:val="24"/>
          <w:szCs w:val="24"/>
        </w:rPr>
      </w:pPr>
      <w:r>
        <w:rPr>
          <w:rFonts w:ascii="Times New Roman" w:hAnsi="Times New Roman" w:cs="Times New Roman"/>
          <w:b/>
          <w:kern w:val="0"/>
          <w:sz w:val="24"/>
          <w:szCs w:val="24"/>
        </w:rPr>
        <w:t>1.采购人信息</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名  称：</w:t>
      </w:r>
      <w:r>
        <w:rPr>
          <w:rFonts w:hint="eastAsia" w:ascii="Times New Roman" w:hAnsi="Times New Roman" w:cs="Times New Roman"/>
          <w:color w:val="FF0000"/>
          <w:kern w:val="0"/>
          <w:sz w:val="24"/>
          <w:szCs w:val="24"/>
        </w:rPr>
        <w:t>浙江省机电技师学院</w:t>
      </w:r>
    </w:p>
    <w:p>
      <w:pPr>
        <w:pStyle w:val="30"/>
        <w:adjustRightInd w:val="0"/>
        <w:snapToGrid w:val="0"/>
        <w:spacing w:line="360" w:lineRule="exact"/>
        <w:ind w:firstLine="480" w:firstLineChars="200"/>
        <w:rPr>
          <w:rFonts w:hint="default" w:ascii="Times New Roman" w:hAnsi="Times New Roman" w:eastAsia="宋体" w:cs="Times New Roman"/>
          <w:kern w:val="0"/>
          <w:sz w:val="24"/>
          <w:szCs w:val="24"/>
          <w:lang w:val="en-US" w:eastAsia="zh-CN"/>
        </w:rPr>
      </w:pPr>
      <w:r>
        <w:rPr>
          <w:rFonts w:ascii="Times New Roman" w:hAnsi="Times New Roman" w:cs="Times New Roman"/>
          <w:kern w:val="0"/>
          <w:sz w:val="24"/>
          <w:szCs w:val="24"/>
        </w:rPr>
        <w:t>地  址：</w:t>
      </w:r>
      <w:r>
        <w:rPr>
          <w:rFonts w:ascii="Times New Roman" w:hAnsi="Times New Roman" w:cs="Times New Roman"/>
          <w:color w:val="FF0000"/>
          <w:kern w:val="0"/>
          <w:sz w:val="24"/>
          <w:szCs w:val="24"/>
        </w:rPr>
        <w:t>义乌市</w:t>
      </w:r>
      <w:r>
        <w:rPr>
          <w:rFonts w:hint="eastAsia" w:ascii="Times New Roman" w:hAnsi="Times New Roman" w:cs="Times New Roman"/>
          <w:color w:val="FF0000"/>
          <w:kern w:val="0"/>
          <w:sz w:val="24"/>
          <w:szCs w:val="24"/>
          <w:lang w:eastAsia="zh-CN"/>
        </w:rPr>
        <w:t>城北路</w:t>
      </w:r>
      <w:r>
        <w:rPr>
          <w:rFonts w:hint="eastAsia" w:ascii="Times New Roman" w:hAnsi="Times New Roman" w:cs="Times New Roman"/>
          <w:color w:val="FF0000"/>
          <w:kern w:val="0"/>
          <w:sz w:val="24"/>
          <w:szCs w:val="24"/>
          <w:lang w:val="en-US" w:eastAsia="zh-CN"/>
        </w:rPr>
        <w:t>60号</w:t>
      </w:r>
    </w:p>
    <w:p>
      <w:pPr>
        <w:pStyle w:val="30"/>
        <w:adjustRightInd w:val="0"/>
        <w:snapToGrid w:val="0"/>
        <w:spacing w:line="360" w:lineRule="exact"/>
        <w:ind w:firstLine="480" w:firstLineChars="200"/>
        <w:rPr>
          <w:rFonts w:hint="eastAsia" w:ascii="Times New Roman" w:hAnsi="Times New Roman" w:eastAsia="宋体" w:cs="Times New Roman"/>
          <w:kern w:val="0"/>
          <w:sz w:val="24"/>
          <w:szCs w:val="24"/>
          <w:highlight w:val="none"/>
          <w:lang w:eastAsia="zh-CN"/>
        </w:rPr>
      </w:pPr>
      <w:r>
        <w:rPr>
          <w:rFonts w:ascii="Times New Roman" w:hAnsi="Times New Roman" w:cs="Times New Roman"/>
          <w:kern w:val="0"/>
          <w:sz w:val="24"/>
          <w:szCs w:val="24"/>
          <w:highlight w:val="none"/>
        </w:rPr>
        <w:t>项目联系人：</w:t>
      </w:r>
      <w:r>
        <w:rPr>
          <w:rFonts w:hint="eastAsia" w:ascii="Times New Roman" w:hAnsi="Times New Roman" w:cs="Times New Roman"/>
          <w:color w:val="FF0000"/>
          <w:kern w:val="0"/>
          <w:sz w:val="24"/>
          <w:szCs w:val="24"/>
          <w:highlight w:val="none"/>
          <w:lang w:eastAsia="zh-CN"/>
        </w:rPr>
        <w:t>蔡老师</w:t>
      </w:r>
    </w:p>
    <w:p>
      <w:pPr>
        <w:pStyle w:val="30"/>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ascii="Times New Roman" w:hAnsi="Times New Roman" w:cs="Times New Roman"/>
          <w:kern w:val="0"/>
          <w:sz w:val="24"/>
          <w:szCs w:val="24"/>
          <w:highlight w:val="none"/>
        </w:rPr>
        <w:t>项目联系方式：</w:t>
      </w:r>
      <w:r>
        <w:rPr>
          <w:rFonts w:hint="eastAsia" w:ascii="Times New Roman" w:hAnsi="Times New Roman" w:cs="Times New Roman"/>
          <w:color w:val="FF0000"/>
          <w:kern w:val="0"/>
          <w:sz w:val="24"/>
          <w:szCs w:val="24"/>
          <w:highlight w:val="none"/>
          <w:lang w:val="en-US" w:eastAsia="zh-CN"/>
        </w:rPr>
        <w:t>13732400513</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质疑联系人：</w:t>
      </w:r>
      <w:r>
        <w:rPr>
          <w:rFonts w:hint="eastAsia" w:ascii="Times New Roman" w:hAnsi="Times New Roman" w:cs="Times New Roman"/>
          <w:color w:val="FF0000"/>
          <w:kern w:val="0"/>
          <w:sz w:val="24"/>
          <w:szCs w:val="24"/>
          <w:lang w:eastAsia="zh-CN"/>
        </w:rPr>
        <w:t>毛老师</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质疑联系方式：</w:t>
      </w:r>
      <w:r>
        <w:rPr>
          <w:rFonts w:ascii="Times New Roman" w:hAnsi="Times New Roman" w:cs="Times New Roman"/>
          <w:color w:val="FF0000"/>
          <w:kern w:val="0"/>
          <w:sz w:val="24"/>
          <w:szCs w:val="24"/>
        </w:rPr>
        <w:t xml:space="preserve"> 0579-</w:t>
      </w:r>
      <w:r>
        <w:rPr>
          <w:rFonts w:hint="eastAsia" w:ascii="Times New Roman" w:hAnsi="Times New Roman" w:cs="Times New Roman"/>
          <w:color w:val="FF0000"/>
          <w:kern w:val="0"/>
          <w:sz w:val="24"/>
          <w:szCs w:val="24"/>
          <w:lang w:val="en-US" w:eastAsia="zh-CN"/>
        </w:rPr>
        <w:t>85411619</w:t>
      </w:r>
    </w:p>
    <w:p>
      <w:pPr>
        <w:pStyle w:val="30"/>
        <w:adjustRightInd w:val="0"/>
        <w:snapToGrid w:val="0"/>
        <w:spacing w:line="360" w:lineRule="exact"/>
        <w:ind w:firstLine="482" w:firstLineChars="200"/>
        <w:rPr>
          <w:rFonts w:ascii="Times New Roman" w:hAnsi="Times New Roman" w:cs="Times New Roman"/>
          <w:b/>
          <w:kern w:val="0"/>
          <w:sz w:val="24"/>
          <w:szCs w:val="24"/>
        </w:rPr>
      </w:pPr>
      <w:r>
        <w:rPr>
          <w:rFonts w:ascii="Times New Roman" w:hAnsi="Times New Roman" w:cs="Times New Roman"/>
          <w:b/>
          <w:kern w:val="0"/>
          <w:sz w:val="24"/>
          <w:szCs w:val="24"/>
        </w:rPr>
        <w:t>2.采购代理机构信息</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名  称：义乌市政府采购中心</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地  址：义乌市望道路300号4楼</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传   真：0579-85570067</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项目联系人：方先生</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项目联系方式：0579-85583802</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质疑联系人：洪艳 </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质疑联系方式：0579-85232979　</w:t>
      </w:r>
    </w:p>
    <w:p>
      <w:pPr>
        <w:pStyle w:val="30"/>
        <w:adjustRightInd w:val="0"/>
        <w:snapToGrid w:val="0"/>
        <w:spacing w:line="360" w:lineRule="exact"/>
        <w:ind w:firstLine="482" w:firstLineChars="200"/>
        <w:rPr>
          <w:rFonts w:ascii="Times New Roman" w:hAnsi="Times New Roman" w:cs="Times New Roman"/>
          <w:b/>
          <w:kern w:val="0"/>
          <w:sz w:val="24"/>
          <w:szCs w:val="24"/>
        </w:rPr>
      </w:pPr>
      <w:r>
        <w:rPr>
          <w:rFonts w:ascii="Times New Roman" w:hAnsi="Times New Roman" w:cs="Times New Roman"/>
          <w:b/>
          <w:kern w:val="0"/>
          <w:sz w:val="24"/>
          <w:szCs w:val="24"/>
        </w:rPr>
        <w:t>3.同级政府采购监督管理部门</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名  称：义乌市财政局</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地  址：义乌市望道路300号5楼</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联系人 ：骆女士</w:t>
      </w:r>
    </w:p>
    <w:p>
      <w:pPr>
        <w:pStyle w:val="30"/>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监督投诉电话：0579-89915066</w:t>
      </w:r>
    </w:p>
    <w:p/>
    <w:p>
      <w:pPr>
        <w:pStyle w:val="30"/>
        <w:adjustRightInd w:val="0"/>
        <w:snapToGrid w:val="0"/>
        <w:spacing w:line="360" w:lineRule="exact"/>
        <w:ind w:firstLine="480" w:firstLineChars="200"/>
        <w:rPr>
          <w:rFonts w:ascii="Times New Roman" w:hAnsi="Times New Roman" w:cs="Times New Roman"/>
          <w:kern w:val="0"/>
          <w:sz w:val="24"/>
          <w:szCs w:val="24"/>
        </w:rPr>
      </w:pPr>
    </w:p>
    <w:p>
      <w:pPr>
        <w:pStyle w:val="30"/>
        <w:adjustRightInd w:val="0"/>
        <w:snapToGrid w:val="0"/>
        <w:spacing w:line="360" w:lineRule="exact"/>
        <w:ind w:firstLine="480" w:firstLineChars="200"/>
        <w:jc w:val="right"/>
        <w:rPr>
          <w:rFonts w:hint="eastAsia" w:ascii="Times New Roman" w:hAnsi="Times New Roman" w:cs="Times New Roman"/>
          <w:color w:val="FF0000"/>
          <w:kern w:val="0"/>
          <w:sz w:val="24"/>
          <w:szCs w:val="24"/>
        </w:rPr>
      </w:pPr>
      <w:r>
        <w:rPr>
          <w:rFonts w:hint="eastAsia" w:ascii="Times New Roman" w:hAnsi="Times New Roman" w:cs="Times New Roman"/>
          <w:color w:val="FF0000"/>
          <w:kern w:val="0"/>
          <w:sz w:val="24"/>
          <w:szCs w:val="24"/>
        </w:rPr>
        <w:t>浙江省机电技师学院</w:t>
      </w:r>
    </w:p>
    <w:p>
      <w:pPr>
        <w:pStyle w:val="30"/>
        <w:adjustRightInd w:val="0"/>
        <w:snapToGrid w:val="0"/>
        <w:spacing w:line="360" w:lineRule="exact"/>
        <w:ind w:firstLine="480" w:firstLineChars="200"/>
        <w:jc w:val="right"/>
        <w:rPr>
          <w:rFonts w:ascii="Times New Roman" w:hAnsi="Times New Roman" w:cs="Times New Roman"/>
          <w:kern w:val="0"/>
          <w:sz w:val="24"/>
          <w:szCs w:val="24"/>
        </w:rPr>
      </w:pPr>
      <w:r>
        <w:rPr>
          <w:rFonts w:ascii="Times New Roman" w:hAnsi="Times New Roman" w:cs="Times New Roman"/>
          <w:kern w:val="0"/>
          <w:sz w:val="24"/>
          <w:szCs w:val="24"/>
        </w:rPr>
        <w:t>义乌市政府采购中心</w:t>
      </w:r>
    </w:p>
    <w:p>
      <w:pPr>
        <w:pStyle w:val="30"/>
        <w:adjustRightInd w:val="0"/>
        <w:snapToGrid w:val="0"/>
        <w:spacing w:line="360" w:lineRule="exact"/>
        <w:ind w:firstLine="480" w:firstLineChars="200"/>
        <w:jc w:val="right"/>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2022年</w:t>
      </w:r>
      <w:r>
        <w:rPr>
          <w:rFonts w:hint="eastAsia" w:ascii="Times New Roman" w:hAnsi="Times New Roman" w:cs="Times New Roman"/>
          <w:color w:val="FF0000"/>
          <w:kern w:val="0"/>
          <w:sz w:val="24"/>
          <w:szCs w:val="24"/>
          <w:lang w:val="en-US" w:eastAsia="zh-CN"/>
        </w:rPr>
        <w:t>6</w:t>
      </w:r>
      <w:r>
        <w:rPr>
          <w:rFonts w:ascii="Times New Roman" w:hAnsi="Times New Roman" w:cs="Times New Roman"/>
          <w:color w:val="FF0000"/>
          <w:kern w:val="0"/>
          <w:sz w:val="24"/>
          <w:szCs w:val="24"/>
        </w:rPr>
        <w:t>月</w:t>
      </w:r>
      <w:r>
        <w:rPr>
          <w:rFonts w:hint="eastAsia" w:ascii="Times New Roman" w:hAnsi="Times New Roman" w:cs="Times New Roman"/>
          <w:color w:val="FF0000"/>
          <w:kern w:val="0"/>
          <w:sz w:val="24"/>
          <w:szCs w:val="24"/>
          <w:lang w:val="en-US" w:eastAsia="zh-CN"/>
        </w:rPr>
        <w:t>23</w:t>
      </w:r>
      <w:r>
        <w:rPr>
          <w:rFonts w:ascii="Times New Roman" w:hAnsi="Times New Roman" w:cs="Times New Roman"/>
          <w:color w:val="FF0000"/>
          <w:kern w:val="0"/>
          <w:sz w:val="24"/>
          <w:szCs w:val="24"/>
        </w:rPr>
        <w:t>日</w:t>
      </w:r>
    </w:p>
    <w:p>
      <w:pPr>
        <w:pStyle w:val="4"/>
        <w:spacing w:before="0" w:after="0" w:line="400" w:lineRule="atLeast"/>
        <w:jc w:val="center"/>
        <w:rPr>
          <w:sz w:val="36"/>
        </w:rPr>
      </w:pPr>
      <w:r>
        <w:rPr>
          <w:sz w:val="24"/>
          <w:szCs w:val="24"/>
        </w:rPr>
        <w:br w:type="page"/>
      </w:r>
      <w:bookmarkStart w:id="5" w:name="_Toc640"/>
      <w:bookmarkStart w:id="6" w:name="_Toc20028"/>
      <w:bookmarkStart w:id="7" w:name="_Toc406413926"/>
      <w:bookmarkStart w:id="8" w:name="_Toc17086"/>
      <w:bookmarkStart w:id="9" w:name="_Toc3656"/>
      <w:r>
        <w:rPr>
          <w:sz w:val="36"/>
        </w:rPr>
        <w:t>第二章　投标须知和投标须知前附表</w:t>
      </w:r>
      <w:bookmarkEnd w:id="5"/>
      <w:bookmarkEnd w:id="6"/>
      <w:bookmarkEnd w:id="7"/>
      <w:bookmarkEnd w:id="8"/>
      <w:bookmarkEnd w:id="9"/>
    </w:p>
    <w:p>
      <w:pPr>
        <w:spacing w:line="360" w:lineRule="auto"/>
        <w:ind w:firstLine="643" w:firstLineChars="200"/>
        <w:jc w:val="center"/>
        <w:rPr>
          <w:b/>
          <w:sz w:val="32"/>
          <w:szCs w:val="32"/>
        </w:rPr>
      </w:pPr>
      <w:r>
        <w:rPr>
          <w:b/>
          <w:sz w:val="32"/>
          <w:szCs w:val="32"/>
        </w:rPr>
        <w:t>投标须知前附表</w:t>
      </w:r>
    </w:p>
    <w:tbl>
      <w:tblPr>
        <w:tblStyle w:val="57"/>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6"/>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b/>
              </w:rPr>
            </w:pPr>
            <w:r>
              <w:rPr>
                <w:b/>
              </w:rPr>
              <w:t>序号</w:t>
            </w:r>
          </w:p>
        </w:tc>
        <w:tc>
          <w:tcPr>
            <w:tcW w:w="9554" w:type="dxa"/>
            <w:gridSpan w:val="2"/>
            <w:vAlign w:val="center"/>
          </w:tcPr>
          <w:p>
            <w:pPr>
              <w:spacing w:line="400" w:lineRule="exact"/>
              <w:jc w:val="center"/>
              <w:rPr>
                <w:b/>
              </w:rPr>
            </w:pPr>
            <w:r>
              <w:rPr>
                <w:b/>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ind w:firstLine="240" w:firstLineChars="100"/>
            </w:pPr>
            <w:r>
              <w:t>1</w:t>
            </w:r>
          </w:p>
        </w:tc>
        <w:tc>
          <w:tcPr>
            <w:tcW w:w="1956" w:type="dxa"/>
            <w:vAlign w:val="center"/>
          </w:tcPr>
          <w:p>
            <w:pPr>
              <w:spacing w:line="400" w:lineRule="exact"/>
              <w:jc w:val="center"/>
            </w:pPr>
            <w:r>
              <w:t>项目综合</w:t>
            </w:r>
          </w:p>
          <w:p>
            <w:pPr>
              <w:spacing w:line="400" w:lineRule="exact"/>
              <w:jc w:val="center"/>
            </w:pPr>
            <w:r>
              <w:t>说明</w:t>
            </w:r>
          </w:p>
        </w:tc>
        <w:tc>
          <w:tcPr>
            <w:tcW w:w="7598" w:type="dxa"/>
            <w:vAlign w:val="center"/>
          </w:tcPr>
          <w:p>
            <w:pPr>
              <w:spacing w:line="400" w:lineRule="exact"/>
            </w:pPr>
            <w:r>
              <w:t>项目名称：</w:t>
            </w:r>
            <w:r>
              <w:rPr>
                <w:rFonts w:hint="eastAsia"/>
                <w:b/>
                <w:bCs/>
                <w:color w:val="FF0000"/>
                <w:szCs w:val="21"/>
              </w:rPr>
              <w:t>浙江省机电技师学院智慧物流实训室建设项目</w:t>
            </w:r>
            <w:r>
              <w:t>，采购内容及数量:具体详见《第三章招标项目要求》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2</w:t>
            </w:r>
          </w:p>
        </w:tc>
        <w:tc>
          <w:tcPr>
            <w:tcW w:w="1956" w:type="dxa"/>
            <w:vAlign w:val="center"/>
          </w:tcPr>
          <w:p>
            <w:pPr>
              <w:spacing w:line="400" w:lineRule="exact"/>
              <w:jc w:val="center"/>
            </w:pPr>
            <w:r>
              <w:t>招标方式</w:t>
            </w:r>
          </w:p>
        </w:tc>
        <w:tc>
          <w:tcPr>
            <w:tcW w:w="7598" w:type="dxa"/>
            <w:vAlign w:val="center"/>
          </w:tcPr>
          <w:p>
            <w:pPr>
              <w:spacing w:line="400" w:lineRule="exact"/>
            </w:pPr>
            <w: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3</w:t>
            </w:r>
          </w:p>
        </w:tc>
        <w:tc>
          <w:tcPr>
            <w:tcW w:w="1956" w:type="dxa"/>
            <w:vAlign w:val="center"/>
          </w:tcPr>
          <w:p>
            <w:pPr>
              <w:spacing w:line="400" w:lineRule="exact"/>
              <w:jc w:val="center"/>
            </w:pPr>
            <w:r>
              <w:t>投标单位资格</w:t>
            </w:r>
          </w:p>
          <w:p>
            <w:pPr>
              <w:spacing w:line="400" w:lineRule="exact"/>
              <w:jc w:val="center"/>
            </w:pPr>
            <w:r>
              <w:t>要求</w:t>
            </w:r>
          </w:p>
        </w:tc>
        <w:tc>
          <w:tcPr>
            <w:tcW w:w="7598" w:type="dxa"/>
            <w:vAlign w:val="center"/>
          </w:tcPr>
          <w:p>
            <w:pPr>
              <w:spacing w:line="400" w:lineRule="exact"/>
            </w:pPr>
            <w: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4</w:t>
            </w:r>
          </w:p>
        </w:tc>
        <w:tc>
          <w:tcPr>
            <w:tcW w:w="1956" w:type="dxa"/>
            <w:vAlign w:val="center"/>
          </w:tcPr>
          <w:p>
            <w:pPr>
              <w:spacing w:line="400" w:lineRule="exact"/>
              <w:jc w:val="center"/>
            </w:pPr>
            <w:r>
              <w:t>合同履约期限</w:t>
            </w:r>
          </w:p>
        </w:tc>
        <w:tc>
          <w:tcPr>
            <w:tcW w:w="7598" w:type="dxa"/>
            <w:vAlign w:val="center"/>
          </w:tcPr>
          <w:p>
            <w:pPr>
              <w:spacing w:line="400" w:lineRule="exact"/>
            </w:pPr>
            <w: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5</w:t>
            </w:r>
          </w:p>
        </w:tc>
        <w:tc>
          <w:tcPr>
            <w:tcW w:w="1956" w:type="dxa"/>
            <w:vAlign w:val="center"/>
          </w:tcPr>
          <w:p>
            <w:pPr>
              <w:spacing w:line="400" w:lineRule="exact"/>
              <w:jc w:val="center"/>
            </w:pPr>
            <w:r>
              <w:t>招标文件获取时间、地点及方式</w:t>
            </w:r>
          </w:p>
        </w:tc>
        <w:tc>
          <w:tcPr>
            <w:tcW w:w="7598" w:type="dxa"/>
            <w:vAlign w:val="center"/>
          </w:tcPr>
          <w:p>
            <w:pPr>
              <w:spacing w:line="400" w:lineRule="exact"/>
            </w:pPr>
            <w: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0" w:type="dxa"/>
            <w:vAlign w:val="center"/>
          </w:tcPr>
          <w:p>
            <w:pPr>
              <w:spacing w:line="400" w:lineRule="exact"/>
              <w:jc w:val="center"/>
            </w:pPr>
            <w:r>
              <w:t>6</w:t>
            </w:r>
          </w:p>
        </w:tc>
        <w:tc>
          <w:tcPr>
            <w:tcW w:w="1956" w:type="dxa"/>
            <w:vAlign w:val="center"/>
          </w:tcPr>
          <w:p>
            <w:pPr>
              <w:spacing w:line="400" w:lineRule="exact"/>
              <w:jc w:val="center"/>
            </w:pPr>
            <w:r>
              <w:t>现场踏勘时间</w:t>
            </w:r>
          </w:p>
        </w:tc>
        <w:tc>
          <w:tcPr>
            <w:tcW w:w="7598" w:type="dxa"/>
            <w:vAlign w:val="center"/>
          </w:tcPr>
          <w:p>
            <w:pPr>
              <w:spacing w:line="400" w:lineRule="exact"/>
              <w:ind w:firstLine="480" w:firstLineChars="200"/>
            </w:pPr>
            <w:r>
              <w:t>采购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720" w:type="dxa"/>
            <w:vAlign w:val="center"/>
          </w:tcPr>
          <w:p>
            <w:pPr>
              <w:spacing w:line="400" w:lineRule="exact"/>
              <w:jc w:val="center"/>
            </w:pPr>
            <w:r>
              <w:t>7</w:t>
            </w:r>
          </w:p>
        </w:tc>
        <w:tc>
          <w:tcPr>
            <w:tcW w:w="1956" w:type="dxa"/>
            <w:vAlign w:val="center"/>
          </w:tcPr>
          <w:p>
            <w:pPr>
              <w:spacing w:line="400" w:lineRule="exact"/>
              <w:jc w:val="center"/>
            </w:pPr>
            <w:r>
              <w:t>招标答疑</w:t>
            </w:r>
          </w:p>
        </w:tc>
        <w:tc>
          <w:tcPr>
            <w:tcW w:w="7598" w:type="dxa"/>
          </w:tcPr>
          <w:p>
            <w:pPr>
              <w:spacing w:line="400" w:lineRule="exact"/>
              <w:ind w:firstLine="480" w:firstLineChars="200"/>
              <w:jc w:val="both"/>
            </w:pPr>
            <w:r>
              <w:t>本项目不组织答疑会；招标方的答疑内容、书面澄清文件是招标文件的组成部份，招标方的书面澄清（更正）文件会在浙江政府采购网上发布公告，同时“政采云”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8</w:t>
            </w:r>
          </w:p>
        </w:tc>
        <w:tc>
          <w:tcPr>
            <w:tcW w:w="1956" w:type="dxa"/>
            <w:vAlign w:val="center"/>
          </w:tcPr>
          <w:p>
            <w:pPr>
              <w:spacing w:line="400" w:lineRule="exact"/>
              <w:jc w:val="center"/>
            </w:pPr>
            <w:r>
              <w:t>投标有效期</w:t>
            </w:r>
          </w:p>
        </w:tc>
        <w:tc>
          <w:tcPr>
            <w:tcW w:w="7598" w:type="dxa"/>
            <w:vAlign w:val="center"/>
          </w:tcPr>
          <w:p>
            <w:pPr>
              <w:spacing w:line="400" w:lineRule="exact"/>
            </w:pPr>
            <w: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9</w:t>
            </w:r>
          </w:p>
        </w:tc>
        <w:tc>
          <w:tcPr>
            <w:tcW w:w="1956" w:type="dxa"/>
            <w:vAlign w:val="center"/>
          </w:tcPr>
          <w:p>
            <w:pPr>
              <w:spacing w:line="400" w:lineRule="exact"/>
              <w:jc w:val="center"/>
            </w:pPr>
            <w:r>
              <w:t>上传电子投标文件时间</w:t>
            </w:r>
          </w:p>
        </w:tc>
        <w:tc>
          <w:tcPr>
            <w:tcW w:w="7598" w:type="dxa"/>
            <w:vAlign w:val="center"/>
          </w:tcPr>
          <w:p>
            <w:pPr>
              <w:pStyle w:val="30"/>
              <w:adjustRightInd w:val="0"/>
              <w:snapToGrid w:val="0"/>
              <w:spacing w:line="360" w:lineRule="exact"/>
              <w:ind w:firstLine="480" w:firstLineChars="200"/>
              <w:rPr>
                <w:rFonts w:ascii="Times New Roman" w:hAnsi="Times New Roman" w:cs="Times New Roman"/>
                <w:b/>
              </w:rPr>
            </w:pPr>
            <w:r>
              <w:rPr>
                <w:rFonts w:ascii="Times New Roman" w:hAnsi="Times New Roman" w:cs="Times New Roman"/>
                <w:kern w:val="0"/>
                <w:sz w:val="24"/>
                <w:szCs w:val="24"/>
              </w:rPr>
              <w:t>投标人应在投标截止时间（2022年</w:t>
            </w:r>
            <w:r>
              <w:rPr>
                <w:rFonts w:hint="default" w:ascii="Times New Roman" w:hAnsi="Times New Roman" w:cs="Times New Roman"/>
                <w:color w:val="FF0000"/>
                <w:sz w:val="24"/>
                <w:szCs w:val="24"/>
                <w:lang w:val="en-US" w:eastAsia="zh-CN"/>
              </w:rPr>
              <w:t>7</w:t>
            </w:r>
            <w:r>
              <w:rPr>
                <w:rFonts w:hint="default" w:ascii="Times New Roman" w:hAnsi="Times New Roman" w:cs="Times New Roman"/>
                <w:color w:val="FF0000"/>
                <w:sz w:val="24"/>
                <w:szCs w:val="24"/>
              </w:rPr>
              <w:t>月</w:t>
            </w:r>
            <w:r>
              <w:rPr>
                <w:rFonts w:hint="default" w:ascii="Times New Roman" w:hAnsi="Times New Roman" w:cs="Times New Roman"/>
                <w:color w:val="FF0000"/>
                <w:sz w:val="24"/>
                <w:szCs w:val="24"/>
                <w:lang w:val="en-US" w:eastAsia="zh-CN"/>
              </w:rPr>
              <w:t>14</w:t>
            </w:r>
            <w:r>
              <w:rPr>
                <w:rFonts w:hint="default" w:ascii="Times New Roman" w:hAnsi="Times New Roman" w:cs="Times New Roman"/>
                <w:color w:val="FF0000"/>
                <w:sz w:val="24"/>
                <w:szCs w:val="24"/>
              </w:rPr>
              <w:t>日</w:t>
            </w:r>
            <w:r>
              <w:rPr>
                <w:rFonts w:ascii="Times New Roman" w:hAnsi="Times New Roman" w:cs="Times New Roman"/>
                <w:kern w:val="0"/>
                <w:sz w:val="24"/>
                <w:szCs w:val="24"/>
              </w:rPr>
              <w:t>09:30）之前上传投标文件，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ascii="Times New Roman" w:hAnsi="Times New Roman" w:cs="Times New Roman"/>
                <w:b/>
                <w:sz w:val="24"/>
                <w:szCs w:val="24"/>
              </w:rPr>
              <w:t>投标供应商仅递交备份投标文件的，投标无效。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0" w:type="dxa"/>
            <w:vAlign w:val="center"/>
          </w:tcPr>
          <w:p>
            <w:pPr>
              <w:spacing w:line="400" w:lineRule="exact"/>
              <w:jc w:val="center"/>
            </w:pPr>
            <w:r>
              <w:t>10</w:t>
            </w:r>
          </w:p>
        </w:tc>
        <w:tc>
          <w:tcPr>
            <w:tcW w:w="1956" w:type="dxa"/>
            <w:vAlign w:val="center"/>
          </w:tcPr>
          <w:p>
            <w:pPr>
              <w:spacing w:line="400" w:lineRule="exact"/>
              <w:jc w:val="center"/>
            </w:pPr>
            <w:r>
              <w:t>履约保证金</w:t>
            </w:r>
          </w:p>
        </w:tc>
        <w:tc>
          <w:tcPr>
            <w:tcW w:w="7598" w:type="dxa"/>
            <w:vAlign w:val="center"/>
          </w:tcPr>
          <w:p>
            <w:pPr>
              <w:spacing w:line="400" w:lineRule="exact"/>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720" w:type="dxa"/>
            <w:vAlign w:val="center"/>
          </w:tcPr>
          <w:p>
            <w:pPr>
              <w:spacing w:line="400" w:lineRule="exact"/>
              <w:jc w:val="center"/>
            </w:pPr>
            <w:r>
              <w:t>11</w:t>
            </w:r>
          </w:p>
        </w:tc>
        <w:tc>
          <w:tcPr>
            <w:tcW w:w="1956" w:type="dxa"/>
            <w:vAlign w:val="center"/>
          </w:tcPr>
          <w:p>
            <w:pPr>
              <w:spacing w:line="400" w:lineRule="exact"/>
              <w:jc w:val="center"/>
            </w:pPr>
            <w:r>
              <w:t>开标时间、地点及电子投标文件解密</w:t>
            </w:r>
          </w:p>
        </w:tc>
        <w:tc>
          <w:tcPr>
            <w:tcW w:w="7598" w:type="dxa"/>
            <w:vAlign w:val="center"/>
          </w:tcPr>
          <w:p>
            <w:pPr>
              <w:spacing w:line="400" w:lineRule="exact"/>
              <w:ind w:firstLine="480" w:firstLineChars="200"/>
            </w:pPr>
            <w:r>
              <w:t>开标时间：2022年</w:t>
            </w:r>
            <w:r>
              <w:rPr>
                <w:rFonts w:hint="default" w:ascii="Times New Roman" w:hAnsi="Times New Roman" w:cs="Times New Roman"/>
                <w:color w:val="FF0000"/>
                <w:lang w:val="en-US" w:eastAsia="zh-CN"/>
              </w:rPr>
              <w:t>7</w:t>
            </w:r>
            <w:r>
              <w:rPr>
                <w:rFonts w:hint="default" w:ascii="Times New Roman" w:hAnsi="Times New Roman" w:cs="Times New Roman"/>
                <w:color w:val="FF0000"/>
              </w:rPr>
              <w:t>月</w:t>
            </w:r>
            <w:r>
              <w:rPr>
                <w:rFonts w:hint="default" w:ascii="Times New Roman" w:hAnsi="Times New Roman" w:cs="Times New Roman"/>
                <w:color w:val="FF0000"/>
                <w:lang w:val="en-US" w:eastAsia="zh-CN"/>
              </w:rPr>
              <w:t>14</w:t>
            </w:r>
            <w:r>
              <w:rPr>
                <w:rFonts w:hint="default" w:ascii="Times New Roman" w:hAnsi="Times New Roman" w:cs="Times New Roman"/>
                <w:color w:val="FF0000"/>
              </w:rPr>
              <w:t>日</w:t>
            </w:r>
            <w:r>
              <w:t>上午9:30</w:t>
            </w:r>
          </w:p>
          <w:p>
            <w:pPr>
              <w:spacing w:line="400" w:lineRule="exact"/>
              <w:ind w:firstLine="480" w:firstLineChars="200"/>
              <w:rPr>
                <w:szCs w:val="21"/>
              </w:rPr>
            </w:pPr>
            <w:r>
              <w:t>开标地点：</w:t>
            </w:r>
            <w:r>
              <w:rPr>
                <w:szCs w:val="21"/>
              </w:rPr>
              <w:t>“政采云”（</w:t>
            </w:r>
            <w:r>
              <w:fldChar w:fldCharType="begin"/>
            </w:r>
            <w:r>
              <w:instrText xml:space="preserve"> HYPERLINK "https://www.zcygov.cn/" </w:instrText>
            </w:r>
            <w:r>
              <w:fldChar w:fldCharType="separate"/>
            </w:r>
            <w:r>
              <w:rPr>
                <w:rStyle w:val="63"/>
                <w:color w:val="auto"/>
                <w:szCs w:val="21"/>
              </w:rPr>
              <w:t>https://www.zcygov.cn/</w:t>
            </w:r>
            <w:r>
              <w:rPr>
                <w:rStyle w:val="63"/>
                <w:color w:val="auto"/>
                <w:szCs w:val="21"/>
              </w:rPr>
              <w:fldChar w:fldCharType="end"/>
            </w:r>
            <w:r>
              <w:rPr>
                <w:szCs w:val="21"/>
              </w:rPr>
              <w:t>）</w:t>
            </w:r>
          </w:p>
          <w:p>
            <w:pPr>
              <w:snapToGrid w:val="0"/>
              <w:spacing w:line="400" w:lineRule="exact"/>
              <w:ind w:firstLine="470" w:firstLineChars="196"/>
              <w:rPr>
                <w:szCs w:val="21"/>
              </w:rPr>
            </w:pPr>
            <w:r>
              <w:rPr>
                <w:szCs w:val="21"/>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400" w:lineRule="exact"/>
              <w:ind w:firstLine="480" w:firstLineChars="200"/>
            </w:pPr>
            <w:r>
              <w:t>如政采云上投标文件在规定时间内出现解密失败的，投标人可按照自身意愿确认同意提供加密密码，启用备份文件，并由采购中心把备份文件上传至政采云。如投标人未按照规定时间（2022年</w:t>
            </w:r>
            <w:r>
              <w:rPr>
                <w:rFonts w:hint="default" w:ascii="Times New Roman" w:hAnsi="Times New Roman" w:cs="Times New Roman"/>
                <w:color w:val="FF0000"/>
                <w:lang w:val="en-US" w:eastAsia="zh-CN"/>
              </w:rPr>
              <w:t>7</w:t>
            </w:r>
            <w:r>
              <w:rPr>
                <w:rFonts w:hint="default" w:ascii="Times New Roman" w:hAnsi="Times New Roman" w:cs="Times New Roman"/>
                <w:color w:val="FF0000"/>
              </w:rPr>
              <w:t>月</w:t>
            </w:r>
            <w:r>
              <w:rPr>
                <w:rFonts w:hint="default" w:ascii="Times New Roman" w:hAnsi="Times New Roman" w:cs="Times New Roman"/>
                <w:color w:val="FF0000"/>
                <w:lang w:val="en-US" w:eastAsia="zh-CN"/>
              </w:rPr>
              <w:t>14</w:t>
            </w:r>
            <w:r>
              <w:rPr>
                <w:rFonts w:hint="default" w:ascii="Times New Roman" w:hAnsi="Times New Roman" w:cs="Times New Roman"/>
                <w:color w:val="FF0000"/>
              </w:rPr>
              <w:t>日</w:t>
            </w:r>
            <w:r>
              <w:t>上午9:30前）及要求提供有效备份标书，同时政采云上投标文件解密失败的，将导致投标无效。</w:t>
            </w:r>
          </w:p>
          <w:p>
            <w:pPr>
              <w:pStyle w:val="30"/>
              <w:adjustRightInd w:val="0"/>
              <w:snapToGrid w:val="0"/>
              <w:spacing w:line="360" w:lineRule="exact"/>
              <w:ind w:firstLine="480" w:firstLineChars="200"/>
              <w:rPr>
                <w:rFonts w:ascii="Times New Roman" w:hAnsi="Times New Roman" w:cs="Times New Roman"/>
                <w:b/>
              </w:rPr>
            </w:pPr>
            <w:r>
              <w:rPr>
                <w:rFonts w:ascii="Times New Roman" w:hAnsi="Times New Roman" w:cs="Times New Roman"/>
                <w:kern w:val="0"/>
                <w:sz w:val="24"/>
                <w:szCs w:val="24"/>
              </w:rPr>
              <w:t>如果投标人发送两份以上备份文件的，以最后收到的那一份为准，</w:t>
            </w:r>
            <w:r>
              <w:rPr>
                <w:rFonts w:ascii="Times New Roman" w:hAnsi="Times New Roman" w:cs="Times New Roman"/>
                <w:sz w:val="24"/>
                <w:szCs w:val="24"/>
              </w:rPr>
              <w:t>通过</w:t>
            </w:r>
            <w:r>
              <w:rPr>
                <w:rFonts w:ascii="Times New Roman" w:hAnsi="Times New Roman" w:cs="Times New Roman"/>
                <w:kern w:val="0"/>
                <w:sz w:val="24"/>
                <w:szCs w:val="24"/>
              </w:rPr>
              <w:t>“政采云”</w:t>
            </w:r>
            <w:r>
              <w:rPr>
                <w:rFonts w:ascii="Times New Roman" w:hAnsi="Times New Roman" w:cs="Times New Roman"/>
                <w:sz w:val="24"/>
                <w:szCs w:val="24"/>
              </w:rPr>
              <w:t>上传递交的“加密投标文件”已按时解密的，“备份投标文件”自动失效。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12</w:t>
            </w:r>
          </w:p>
        </w:tc>
        <w:tc>
          <w:tcPr>
            <w:tcW w:w="1956" w:type="dxa"/>
            <w:vAlign w:val="center"/>
          </w:tcPr>
          <w:p>
            <w:pPr>
              <w:spacing w:line="400" w:lineRule="exact"/>
              <w:jc w:val="center"/>
            </w:pPr>
            <w:r>
              <w:t>评标办法</w:t>
            </w:r>
          </w:p>
        </w:tc>
        <w:tc>
          <w:tcPr>
            <w:tcW w:w="7598" w:type="dxa"/>
            <w:vAlign w:val="center"/>
          </w:tcPr>
          <w:p>
            <w:pPr>
              <w:spacing w:line="400" w:lineRule="exact"/>
            </w:pPr>
            <w: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13</w:t>
            </w:r>
          </w:p>
        </w:tc>
        <w:tc>
          <w:tcPr>
            <w:tcW w:w="1956" w:type="dxa"/>
            <w:vAlign w:val="center"/>
          </w:tcPr>
          <w:p>
            <w:pPr>
              <w:spacing w:line="400" w:lineRule="exact"/>
              <w:jc w:val="center"/>
            </w:pPr>
            <w:r>
              <w:t>付款方式</w:t>
            </w:r>
          </w:p>
        </w:tc>
        <w:tc>
          <w:tcPr>
            <w:tcW w:w="7598" w:type="dxa"/>
            <w:vAlign w:val="center"/>
          </w:tcPr>
          <w:p>
            <w:pPr>
              <w:spacing w:line="400" w:lineRule="exact"/>
              <w:rPr>
                <w:spacing w:val="-8"/>
              </w:rPr>
            </w:pPr>
            <w:r>
              <w:rPr>
                <w:spacing w:val="-8"/>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pPr>
            <w:r>
              <w:t>14</w:t>
            </w:r>
          </w:p>
        </w:tc>
        <w:tc>
          <w:tcPr>
            <w:tcW w:w="1956" w:type="dxa"/>
            <w:vAlign w:val="center"/>
          </w:tcPr>
          <w:p>
            <w:pPr>
              <w:snapToGrid w:val="0"/>
              <w:spacing w:line="360" w:lineRule="exact"/>
              <w:jc w:val="center"/>
            </w:pPr>
            <w:r>
              <w:t>不良行为记录</w:t>
            </w:r>
          </w:p>
        </w:tc>
        <w:tc>
          <w:tcPr>
            <w:tcW w:w="7598" w:type="dxa"/>
            <w:vAlign w:val="center"/>
          </w:tcPr>
          <w:p>
            <w:pPr>
              <w:spacing w:line="360" w:lineRule="exact"/>
              <w:ind w:firstLine="480" w:firstLineChars="200"/>
            </w:pPr>
            <w:r>
              <w:rPr>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t>或被“信用中国”（www.creditchina.gov.cn）、中国政府采购网（www.ccgp.gov.cn）列入失信被执行人、重大税收违法案件当事人名单、政府采购严重违法失信行为记录名单的，其投标将作无效标处理。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pPr>
            <w:r>
              <w:t>15</w:t>
            </w:r>
          </w:p>
        </w:tc>
        <w:tc>
          <w:tcPr>
            <w:tcW w:w="1956" w:type="dxa"/>
            <w:vAlign w:val="center"/>
          </w:tcPr>
          <w:p>
            <w:pPr>
              <w:snapToGrid w:val="0"/>
              <w:spacing w:line="360" w:lineRule="exact"/>
            </w:pPr>
            <w:r>
              <w:t>政府采购节能环保产品</w:t>
            </w:r>
          </w:p>
        </w:tc>
        <w:tc>
          <w:tcPr>
            <w:tcW w:w="7598" w:type="dxa"/>
            <w:vAlign w:val="center"/>
          </w:tcPr>
          <w:p>
            <w:r>
              <w:t>1、根据财政部、发展改革委、生态环境部、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w:t>
            </w:r>
            <w:r>
              <w:br w:type="textWrapping"/>
            </w:r>
            <w:r>
              <w:t xml:space="preserve">中可查询到。 </w:t>
            </w:r>
          </w:p>
          <w:p>
            <w:pPr>
              <w:snapToGrid w:val="0"/>
            </w:pPr>
            <w:r>
              <w:rPr>
                <w:bCs/>
              </w:rPr>
              <w:t>★2、招标需求中要求提供的产品属于节能产品</w:t>
            </w:r>
            <w:r>
              <w:t>政府采购品目</w:t>
            </w:r>
            <w:r>
              <w:rPr>
                <w:bCs/>
              </w:rPr>
              <w:t>清单中强制采购的，</w:t>
            </w:r>
            <w: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pPr>
            <w:r>
              <w:t>16</w:t>
            </w:r>
          </w:p>
        </w:tc>
        <w:tc>
          <w:tcPr>
            <w:tcW w:w="1956" w:type="dxa"/>
            <w:vAlign w:val="center"/>
          </w:tcPr>
          <w:p>
            <w:pPr>
              <w:snapToGrid w:val="0"/>
              <w:spacing w:line="360" w:lineRule="exact"/>
            </w:pPr>
            <w:r>
              <w:t>中小微企业有关政策</w:t>
            </w:r>
          </w:p>
        </w:tc>
        <w:tc>
          <w:tcPr>
            <w:tcW w:w="7598" w:type="dxa"/>
            <w:vAlign w:val="center"/>
          </w:tcPr>
          <w:p>
            <w:pPr>
              <w:rPr>
                <w:highlight w:val="none"/>
              </w:rPr>
            </w:pPr>
            <w:r>
              <w:rPr>
                <w:highlight w:val="none"/>
              </w:rPr>
              <w:t>1.根据财库[2020]46号《政府采购促进中小企业发展管理办法》</w:t>
            </w:r>
            <w:r>
              <w:rPr>
                <w:rFonts w:hint="eastAsia"/>
                <w:highlight w:val="none"/>
              </w:rPr>
              <w:t>和浙财采监[2022]3号《浙江省财政厅关于进一步发挥政府采购政策功能全力推动经济稳进提质的通知》的</w:t>
            </w:r>
            <w:r>
              <w:rPr>
                <w:highlight w:val="none"/>
              </w:rPr>
              <w:t>的相关规定，在评审时对符合该办法规定的小微企业的投标报价给予10%的扣除，取扣除后的价格作为评审投标报价（此评审投标报价仅在评标时使用）。享受相关中小企业扶持政策的投标人，必须在投标文件中提供《中小企业声明函》。</w:t>
            </w:r>
          </w:p>
          <w:p>
            <w: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r>
              <w:t>4.同一投标人，小微企业、监狱企业、残疾人福利性单位价格扣除优惠只享受一次，不得重复享受。</w:t>
            </w:r>
          </w:p>
          <w:p>
            <w:pPr>
              <w:rPr>
                <w:rFonts w:hint="eastAsia" w:ascii="Times New Roman" w:hAnsi="Times New Roman" w:cs="Times New Roman"/>
              </w:rPr>
            </w:pPr>
            <w:r>
              <w:rPr>
                <w:rFonts w:hint="eastAsia" w:ascii="Times New Roman" w:hAnsi="Times New Roman" w:cs="Times New Roman"/>
              </w:rPr>
              <w:t>5.本项目采购标的所属行业为：</w:t>
            </w:r>
            <w:r>
              <w:rPr>
                <w:rFonts w:hint="eastAsia" w:ascii="Times New Roman" w:hAnsi="Times New Roman" w:cs="Times New Roman"/>
                <w:color w:val="FF0000"/>
                <w:lang w:eastAsia="zh-CN"/>
              </w:rPr>
              <w:t>工业</w:t>
            </w:r>
            <w:r>
              <w:rPr>
                <w:rFonts w:hint="eastAsia" w:ascii="Times New Roman" w:hAnsi="Times New Roman" w:cs="Times New Roman"/>
              </w:rPr>
              <w:t>。</w:t>
            </w:r>
          </w:p>
          <w:p>
            <w:pPr>
              <w:snapToGrid w:val="0"/>
              <w:spacing w:line="360" w:lineRule="exact"/>
              <w:rPr>
                <w:b/>
                <w:bCs/>
              </w:rPr>
            </w:pPr>
            <w: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pPr>
            <w:r>
              <w:t>17</w:t>
            </w:r>
          </w:p>
        </w:tc>
        <w:tc>
          <w:tcPr>
            <w:tcW w:w="1956" w:type="dxa"/>
            <w:vAlign w:val="center"/>
          </w:tcPr>
          <w:p>
            <w:pPr>
              <w:snapToGrid w:val="0"/>
              <w:spacing w:line="360" w:lineRule="exact"/>
            </w:pPr>
            <w:r>
              <w:t>政采贷</w:t>
            </w:r>
          </w:p>
        </w:tc>
        <w:tc>
          <w:tcPr>
            <w:tcW w:w="7598" w:type="dxa"/>
            <w:vAlign w:val="center"/>
          </w:tcPr>
          <w:p>
            <w:pPr>
              <w:snapToGrid w:val="0"/>
              <w:spacing w:line="360" w:lineRule="exact"/>
              <w:ind w:firstLine="480" w:firstLineChars="200"/>
            </w:pPr>
            <w:r>
              <w:t>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pPr>
            <w:r>
              <w:t>18</w:t>
            </w:r>
          </w:p>
        </w:tc>
        <w:tc>
          <w:tcPr>
            <w:tcW w:w="1956" w:type="dxa"/>
            <w:vAlign w:val="center"/>
          </w:tcPr>
          <w:p>
            <w:pPr>
              <w:snapToGrid w:val="0"/>
              <w:spacing w:line="360" w:lineRule="exact"/>
            </w:pPr>
            <w:r>
              <w:t>失信行为处理</w:t>
            </w:r>
          </w:p>
        </w:tc>
        <w:tc>
          <w:tcPr>
            <w:tcW w:w="7598" w:type="dxa"/>
            <w:vAlign w:val="center"/>
          </w:tcPr>
          <w:p>
            <w:pPr>
              <w:snapToGrid w:val="0"/>
              <w:spacing w:line="360" w:lineRule="exact"/>
            </w:pPr>
            <w:r>
              <w:t>投标人发生下列情况之一时，除严格依法依规进行处理外，还将通报市信用管理部门，列入严重失信名单：</w:t>
            </w:r>
          </w:p>
          <w:p>
            <w:pPr>
              <w:snapToGrid w:val="0"/>
              <w:spacing w:line="360" w:lineRule="exact"/>
            </w:pPr>
            <w:r>
              <w:t>（1）投标人在规定的投标有效期内撤回投标或放弃中标的；</w:t>
            </w:r>
          </w:p>
          <w:p>
            <w:pPr>
              <w:snapToGrid w:val="0"/>
              <w:spacing w:line="360" w:lineRule="exact"/>
            </w:pPr>
            <w:r>
              <w:t>（2）有意串标或提供虚假材料的；</w:t>
            </w:r>
          </w:p>
          <w:p>
            <w:pPr>
              <w:snapToGrid w:val="0"/>
              <w:spacing w:line="360" w:lineRule="exact"/>
            </w:pPr>
            <w:r>
              <w:t>（3）中标人在收到中标通知书后，因自身原因不能在投标有效期内和采购人签订合同。</w:t>
            </w:r>
          </w:p>
          <w:p>
            <w:pPr>
              <w:snapToGrid w:val="0"/>
              <w:spacing w:line="360" w:lineRule="exact"/>
            </w:pPr>
            <w:r>
              <w:t>（4）中标供应商在标后履约过程中未按合同约定的期限和要求履约的。</w:t>
            </w:r>
          </w:p>
          <w:p>
            <w:pPr>
              <w:snapToGrid w:val="0"/>
              <w:spacing w:line="360" w:lineRule="exact"/>
            </w:pPr>
            <w:r>
              <w:t>（5）因中标供应商原因在标后履约过程中擅自终止合同的。</w:t>
            </w:r>
          </w:p>
          <w:p>
            <w:pPr>
              <w:snapToGrid w:val="0"/>
              <w:spacing w:line="360" w:lineRule="exact"/>
            </w:pPr>
            <w: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pPr>
            <w:r>
              <w:t>19</w:t>
            </w:r>
          </w:p>
        </w:tc>
        <w:tc>
          <w:tcPr>
            <w:tcW w:w="1956" w:type="dxa"/>
            <w:vAlign w:val="center"/>
          </w:tcPr>
          <w:p>
            <w:pPr>
              <w:spacing w:line="400" w:lineRule="exact"/>
              <w:jc w:val="center"/>
            </w:pPr>
            <w:r>
              <w:t>质疑与投诉：</w:t>
            </w:r>
          </w:p>
        </w:tc>
        <w:tc>
          <w:tcPr>
            <w:tcW w:w="7598" w:type="dxa"/>
            <w:vAlign w:val="center"/>
          </w:tcPr>
          <w:p>
            <w:pPr>
              <w:pStyle w:val="30"/>
              <w:spacing w:line="360" w:lineRule="exact"/>
              <w:rPr>
                <w:rFonts w:ascii="Times New Roman" w:hAnsi="Times New Roman" w:cs="Times New Roman"/>
                <w:kern w:val="0"/>
                <w:sz w:val="24"/>
              </w:rPr>
            </w:pPr>
            <w:r>
              <w:rPr>
                <w:rFonts w:ascii="Times New Roman" w:hAnsi="Times New Roman" w:cs="Times New Roman"/>
                <w:kern w:val="0"/>
                <w:sz w:val="24"/>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6"/>
              <w:spacing w:after="0" w:line="360" w:lineRule="exact"/>
              <w:ind w:left="0" w:leftChars="0" w:firstLine="0" w:firstLineChars="0"/>
            </w:pPr>
            <w:r>
              <w:t>2.供应商应在法定质疑期内一次性提出针对同一采购程序环节的质疑。</w:t>
            </w:r>
          </w:p>
          <w:p>
            <w:pPr>
              <w:pStyle w:val="56"/>
              <w:spacing w:after="0" w:line="360" w:lineRule="exact"/>
              <w:ind w:left="0" w:leftChars="0" w:firstLine="0" w:firstLineChars="0"/>
            </w:pPr>
            <w:r>
              <w:t>3.提出质疑的供应商应当是参与所质疑项目采购活动的供应商。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pPr>
            <w:r>
              <w:t>20</w:t>
            </w:r>
          </w:p>
        </w:tc>
        <w:tc>
          <w:tcPr>
            <w:tcW w:w="1956" w:type="dxa"/>
            <w:vAlign w:val="center"/>
          </w:tcPr>
          <w:p>
            <w:pPr>
              <w:spacing w:line="400" w:lineRule="exact"/>
              <w:jc w:val="center"/>
            </w:pPr>
            <w:r>
              <w:t>其他</w:t>
            </w:r>
          </w:p>
        </w:tc>
        <w:tc>
          <w:tcPr>
            <w:tcW w:w="7598" w:type="dxa"/>
            <w:vAlign w:val="center"/>
          </w:tcPr>
          <w:p>
            <w:pPr>
              <w:spacing w:line="400" w:lineRule="exact"/>
            </w:pPr>
            <w:r>
              <w:rPr>
                <w:bCs/>
              </w:rPr>
              <w:t>1.</w:t>
            </w:r>
            <w:r>
              <w:t>投标报价超过预算价或最高限价的，其投标为无效标。</w:t>
            </w:r>
          </w:p>
          <w:p>
            <w:pPr>
              <w:spacing w:line="400" w:lineRule="exact"/>
            </w:pPr>
            <w:r>
              <w:t>2</w:t>
            </w:r>
            <w:r>
              <w:rPr>
                <w:b/>
                <w:bCs/>
              </w:rPr>
              <w:t>.</w:t>
            </w:r>
            <w:r>
              <w:t>招标文件中要求投标人在制作投标文件时，提供的证明文件件必须根据评审细则对评审的内容要求完整、清晰可辨，否则在评审时以最不利于投标人原则评审。</w:t>
            </w:r>
          </w:p>
        </w:tc>
      </w:tr>
    </w:tbl>
    <w:p>
      <w:pPr>
        <w:spacing w:line="360" w:lineRule="auto"/>
        <w:jc w:val="center"/>
        <w:rPr>
          <w:sz w:val="36"/>
          <w:szCs w:val="36"/>
        </w:rPr>
      </w:pPr>
      <w:r>
        <w:rPr>
          <w:b/>
        </w:rPr>
        <w:t>注：投标人须知前附表内容与本招标文件后述内容不一致的，以投标须知前附表为准。</w:t>
      </w:r>
      <w:bookmarkStart w:id="10" w:name="_Toc362250686"/>
      <w:bookmarkStart w:id="11" w:name="_Toc274303228"/>
      <w:r>
        <w:rPr>
          <w:sz w:val="36"/>
          <w:szCs w:val="36"/>
        </w:rPr>
        <w:br w:type="page"/>
      </w:r>
      <w:bookmarkStart w:id="12" w:name="_Toc406413927"/>
      <w:r>
        <w:rPr>
          <w:b/>
          <w:sz w:val="32"/>
          <w:szCs w:val="32"/>
        </w:rPr>
        <w:t>投标须知</w:t>
      </w:r>
      <w:bookmarkEnd w:id="10"/>
      <w:bookmarkEnd w:id="11"/>
      <w:bookmarkEnd w:id="12"/>
    </w:p>
    <w:p>
      <w:pPr>
        <w:pStyle w:val="5"/>
        <w:spacing w:before="0" w:after="0" w:line="240" w:lineRule="exact"/>
        <w:rPr>
          <w:rFonts w:ascii="Times New Roman" w:hAnsi="Times New Roman" w:eastAsia="宋体"/>
          <w:sz w:val="24"/>
          <w:szCs w:val="24"/>
        </w:rPr>
      </w:pPr>
      <w:bookmarkStart w:id="13" w:name="_Toc406413928"/>
      <w:bookmarkStart w:id="14" w:name="_Toc1189"/>
      <w:bookmarkStart w:id="15" w:name="_Toc274303229"/>
      <w:bookmarkStart w:id="16" w:name="_Toc362250687"/>
      <w:r>
        <w:rPr>
          <w:rFonts w:ascii="Times New Roman" w:hAnsi="Times New Roman" w:eastAsia="宋体"/>
          <w:sz w:val="24"/>
          <w:szCs w:val="24"/>
        </w:rPr>
        <w:t>一、说明</w:t>
      </w:r>
      <w:bookmarkEnd w:id="13"/>
      <w:bookmarkEnd w:id="14"/>
      <w:bookmarkEnd w:id="15"/>
      <w:bookmarkEnd w:id="16"/>
    </w:p>
    <w:p>
      <w:pPr>
        <w:pStyle w:val="2"/>
        <w:adjustRightInd w:val="0"/>
        <w:snapToGrid w:val="0"/>
        <w:spacing w:line="400" w:lineRule="exact"/>
        <w:ind w:firstLine="482" w:firstLineChars="200"/>
        <w:jc w:val="both"/>
        <w:rPr>
          <w:rFonts w:ascii="Times New Roman" w:hAnsi="Times New Roman"/>
          <w:color w:val="auto"/>
          <w:sz w:val="24"/>
          <w:szCs w:val="24"/>
        </w:rPr>
      </w:pPr>
      <w:r>
        <w:rPr>
          <w:rFonts w:ascii="Times New Roman" w:hAnsi="Times New Roman"/>
          <w:color w:val="auto"/>
          <w:sz w:val="24"/>
          <w:szCs w:val="24"/>
        </w:rPr>
        <w:t>1.适用范围</w:t>
      </w:r>
    </w:p>
    <w:p>
      <w:pPr>
        <w:pStyle w:val="2"/>
        <w:adjustRightInd w:val="0"/>
        <w:snapToGrid w:val="0"/>
        <w:spacing w:line="400" w:lineRule="exact"/>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1.1本招标文件仅适用于本次招标采购所叙述的货物和服务项目。</w:t>
      </w:r>
    </w:p>
    <w:p>
      <w:pPr>
        <w:pStyle w:val="2"/>
        <w:adjustRightInd w:val="0"/>
        <w:snapToGrid w:val="0"/>
        <w:spacing w:line="400" w:lineRule="exact"/>
        <w:ind w:firstLine="482" w:firstLineChars="200"/>
        <w:jc w:val="both"/>
        <w:rPr>
          <w:rFonts w:ascii="Times New Roman" w:hAnsi="Times New Roman"/>
          <w:color w:val="auto"/>
          <w:sz w:val="24"/>
          <w:szCs w:val="24"/>
        </w:rPr>
      </w:pPr>
      <w:r>
        <w:rPr>
          <w:rFonts w:ascii="Times New Roman" w:hAnsi="Times New Roman"/>
          <w:color w:val="auto"/>
          <w:sz w:val="24"/>
          <w:szCs w:val="24"/>
        </w:rPr>
        <w:t>2.定义</w:t>
      </w:r>
    </w:p>
    <w:p>
      <w:pPr>
        <w:pStyle w:val="30"/>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2.1招标方：系指的是采购人和采购代理机构</w:t>
      </w:r>
    </w:p>
    <w:p>
      <w:pPr>
        <w:pStyle w:val="30"/>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2.2采购人：</w:t>
      </w:r>
      <w:r>
        <w:rPr>
          <w:rFonts w:hint="eastAsia" w:ascii="Times New Roman" w:hAnsi="Times New Roman" w:cs="Times New Roman"/>
          <w:color w:val="FF0000"/>
          <w:sz w:val="24"/>
          <w:szCs w:val="24"/>
        </w:rPr>
        <w:t>浙江省机电技师学院</w:t>
      </w:r>
    </w:p>
    <w:p>
      <w:pPr>
        <w:pStyle w:val="30"/>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采购（招标）代理机构：系指义乌市政府采购中心。</w:t>
      </w:r>
    </w:p>
    <w:p>
      <w:pPr>
        <w:pStyle w:val="30"/>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2.3投标人：系指响应招标、参加投标竞争的供应商。</w:t>
      </w:r>
    </w:p>
    <w:p>
      <w:pPr>
        <w:pStyle w:val="2"/>
        <w:adjustRightInd w:val="0"/>
        <w:snapToGrid w:val="0"/>
        <w:spacing w:line="400" w:lineRule="exact"/>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2.4服务：系指</w:t>
      </w:r>
      <w:r>
        <w:rPr>
          <w:rFonts w:ascii="Times New Roman" w:hAnsi="Times New Roman"/>
          <w:b w:val="0"/>
          <w:color w:val="auto"/>
          <w:sz w:val="24"/>
          <w:szCs w:val="24"/>
        </w:rPr>
        <w:t>招标文件规定投标人须承担的劳务及其它类似的服务</w:t>
      </w:r>
      <w:r>
        <w:rPr>
          <w:rFonts w:ascii="Times New Roman" w:hAnsi="Times New Roman"/>
          <w:b w:val="0"/>
          <w:bCs w:val="0"/>
          <w:color w:val="auto"/>
          <w:sz w:val="24"/>
          <w:szCs w:val="24"/>
        </w:rPr>
        <w:t>。</w:t>
      </w:r>
    </w:p>
    <w:p>
      <w:pPr>
        <w:pStyle w:val="34"/>
        <w:adjustRightInd w:val="0"/>
        <w:snapToGrid w:val="0"/>
        <w:spacing w:line="400" w:lineRule="exact"/>
        <w:ind w:firstLineChars="200"/>
        <w:rPr>
          <w:rFonts w:hint="default" w:ascii="Times New Roman" w:eastAsia="宋体"/>
          <w:szCs w:val="24"/>
        </w:rPr>
      </w:pPr>
      <w:r>
        <w:rPr>
          <w:rFonts w:hint="default" w:ascii="Times New Roman" w:eastAsia="宋体"/>
          <w:szCs w:val="24"/>
        </w:rPr>
        <w:t>2.5货物：系指按招标文件规定投标人须向采购人提供的设备及附件等。</w:t>
      </w:r>
    </w:p>
    <w:p>
      <w:pPr>
        <w:pStyle w:val="2"/>
        <w:spacing w:line="400" w:lineRule="exact"/>
        <w:ind w:firstLine="480" w:firstLineChars="200"/>
        <w:jc w:val="both"/>
        <w:rPr>
          <w:rFonts w:ascii="Times New Roman" w:hAnsi="Times New Roman"/>
          <w:b w:val="0"/>
          <w:color w:val="auto"/>
          <w:sz w:val="24"/>
          <w:szCs w:val="24"/>
        </w:rPr>
      </w:pPr>
      <w:r>
        <w:rPr>
          <w:rFonts w:ascii="Times New Roman" w:hAnsi="Times New Roman"/>
          <w:b w:val="0"/>
          <w:color w:val="auto"/>
          <w:sz w:val="24"/>
          <w:szCs w:val="24"/>
        </w:rPr>
        <w:t>2.6需方：即采购人，在招投标阶段称为采购人，在签订和执行合同阶段称为需方。</w:t>
      </w:r>
    </w:p>
    <w:p>
      <w:pPr>
        <w:pStyle w:val="2"/>
        <w:spacing w:line="400" w:lineRule="exact"/>
        <w:ind w:firstLine="480" w:firstLineChars="200"/>
        <w:jc w:val="both"/>
        <w:rPr>
          <w:rFonts w:ascii="Times New Roman" w:hAnsi="Times New Roman"/>
          <w:color w:val="auto"/>
          <w:sz w:val="24"/>
          <w:szCs w:val="24"/>
        </w:rPr>
      </w:pPr>
      <w:r>
        <w:rPr>
          <w:rFonts w:ascii="Times New Roman" w:hAnsi="Times New Roman"/>
          <w:b w:val="0"/>
          <w:color w:val="auto"/>
          <w:sz w:val="24"/>
          <w:szCs w:val="24"/>
        </w:rPr>
        <w:t>2.7供方：在招投标阶段称为投标人，中标后在签订和执行合同阶段称为供方。</w:t>
      </w:r>
    </w:p>
    <w:p>
      <w:pPr>
        <w:pStyle w:val="34"/>
        <w:adjustRightInd w:val="0"/>
        <w:snapToGrid w:val="0"/>
        <w:spacing w:line="400" w:lineRule="exact"/>
        <w:ind w:firstLineChars="200"/>
        <w:rPr>
          <w:rFonts w:hint="default" w:ascii="Times New Roman" w:eastAsia="宋体"/>
          <w:szCs w:val="24"/>
        </w:rPr>
      </w:pPr>
      <w:r>
        <w:rPr>
          <w:rFonts w:hint="default" w:ascii="Times New Roman" w:eastAsia="宋体"/>
          <w:szCs w:val="24"/>
        </w:rPr>
        <w:t>2.8“原产地”是指货物开采、生长或生产、或提供有关服务的来源地。</w:t>
      </w:r>
    </w:p>
    <w:p>
      <w:pPr>
        <w:pStyle w:val="34"/>
        <w:adjustRightInd w:val="0"/>
        <w:snapToGrid w:val="0"/>
        <w:spacing w:line="400" w:lineRule="exact"/>
        <w:ind w:firstLineChars="200"/>
        <w:rPr>
          <w:rFonts w:hint="default" w:ascii="Times New Roman" w:eastAsia="宋体"/>
          <w:szCs w:val="24"/>
        </w:rPr>
      </w:pPr>
      <w:r>
        <w:rPr>
          <w:rFonts w:hint="default" w:ascii="Times New Roman" w:eastAsia="宋体"/>
          <w:szCs w:val="24"/>
        </w:rPr>
        <w:t>2.9“★”标记系指必须满足不能负偏离或必须应答的条款。</w:t>
      </w:r>
    </w:p>
    <w:p>
      <w:pPr>
        <w:pStyle w:val="2"/>
        <w:adjustRightInd w:val="0"/>
        <w:snapToGrid w:val="0"/>
        <w:spacing w:line="400" w:lineRule="exact"/>
        <w:ind w:firstLine="482" w:firstLineChars="200"/>
        <w:jc w:val="both"/>
        <w:rPr>
          <w:rFonts w:ascii="Times New Roman" w:hAnsi="Times New Roman"/>
          <w:color w:val="auto"/>
          <w:sz w:val="24"/>
          <w:szCs w:val="24"/>
        </w:rPr>
      </w:pPr>
      <w:r>
        <w:rPr>
          <w:rFonts w:ascii="Times New Roman" w:hAnsi="Times New Roman"/>
          <w:color w:val="auto"/>
          <w:sz w:val="24"/>
          <w:szCs w:val="24"/>
        </w:rPr>
        <w:t>3.合格的投标人</w:t>
      </w:r>
    </w:p>
    <w:p>
      <w:pPr>
        <w:pStyle w:val="2"/>
        <w:adjustRightInd w:val="0"/>
        <w:snapToGrid w:val="0"/>
        <w:spacing w:line="400" w:lineRule="exact"/>
        <w:ind w:firstLine="480" w:firstLineChars="200"/>
        <w:jc w:val="both"/>
        <w:rPr>
          <w:rFonts w:ascii="Times New Roman" w:hAnsi="Times New Roman"/>
          <w:color w:val="auto"/>
          <w:sz w:val="24"/>
          <w:szCs w:val="24"/>
        </w:rPr>
      </w:pPr>
      <w:r>
        <w:rPr>
          <w:rFonts w:ascii="Times New Roman" w:hAnsi="Times New Roman"/>
          <w:b w:val="0"/>
          <w:bCs w:val="0"/>
          <w:color w:val="auto"/>
          <w:sz w:val="24"/>
          <w:szCs w:val="24"/>
        </w:rPr>
        <w:t>符合第一章采购公告中关于“投标人资格条件”规定的投标人。</w:t>
      </w:r>
    </w:p>
    <w:p>
      <w:pPr>
        <w:pStyle w:val="30"/>
        <w:spacing w:line="400" w:lineRule="exact"/>
        <w:ind w:firstLine="482" w:firstLineChars="200"/>
        <w:rPr>
          <w:rFonts w:ascii="Times New Roman" w:hAnsi="Times New Roman" w:cs="Times New Roman"/>
          <w:sz w:val="24"/>
          <w:szCs w:val="24"/>
        </w:rPr>
      </w:pPr>
      <w:r>
        <w:rPr>
          <w:rFonts w:ascii="Times New Roman" w:hAnsi="Times New Roman" w:cs="Times New Roman"/>
          <w:b/>
          <w:sz w:val="24"/>
          <w:szCs w:val="24"/>
        </w:rPr>
        <w:t>4.保证</w:t>
      </w:r>
    </w:p>
    <w:p>
      <w:pPr>
        <w:pStyle w:val="3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投标单位应保证所提交给采购代理机构和采购人的资料和数据是真实、有效的。</w:t>
      </w:r>
    </w:p>
    <w:p>
      <w:pPr>
        <w:pStyle w:val="30"/>
        <w:spacing w:line="40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5.投标费用</w:t>
      </w:r>
    </w:p>
    <w:p>
      <w:pPr>
        <w:pStyle w:val="30"/>
        <w:spacing w:line="400" w:lineRule="exact"/>
        <w:ind w:firstLine="480" w:firstLineChars="200"/>
        <w:rPr>
          <w:rFonts w:ascii="Times New Roman" w:hAnsi="Times New Roman" w:cs="Times New Roman"/>
          <w:b/>
          <w:sz w:val="24"/>
          <w:szCs w:val="24"/>
        </w:rPr>
      </w:pPr>
      <w:r>
        <w:rPr>
          <w:rFonts w:ascii="Times New Roman" w:hAnsi="Times New Roman" w:cs="Times New Roman"/>
          <w:sz w:val="24"/>
          <w:szCs w:val="24"/>
        </w:rPr>
        <w:t>不论投标过程中的作法和结果如何，投标人应承担所有与投标有关的全部费用。采购人和采购代理机构在任何情况下均无义务和责任承担上述这些费用。</w:t>
      </w:r>
    </w:p>
    <w:p>
      <w:pPr>
        <w:adjustRightInd w:val="0"/>
        <w:snapToGrid w:val="0"/>
        <w:spacing w:line="400" w:lineRule="exact"/>
        <w:ind w:firstLine="482" w:firstLineChars="200"/>
        <w:rPr>
          <w:b/>
        </w:rPr>
      </w:pPr>
      <w:r>
        <w:rPr>
          <w:b/>
        </w:rPr>
        <w:t>6.转包及分包</w:t>
      </w:r>
    </w:p>
    <w:p>
      <w:pPr>
        <w:adjustRightInd w:val="0"/>
        <w:snapToGrid w:val="0"/>
        <w:spacing w:line="400" w:lineRule="exact"/>
        <w:ind w:firstLine="480" w:firstLineChars="200"/>
      </w:pPr>
      <w:r>
        <w:t>本项目不接受转包及分包。</w:t>
      </w:r>
    </w:p>
    <w:p>
      <w:pPr>
        <w:pStyle w:val="5"/>
        <w:spacing w:before="120" w:after="120" w:line="400" w:lineRule="exact"/>
        <w:rPr>
          <w:rFonts w:ascii="Times New Roman" w:hAnsi="Times New Roman" w:eastAsia="宋体"/>
          <w:sz w:val="24"/>
          <w:szCs w:val="24"/>
        </w:rPr>
      </w:pPr>
      <w:bookmarkStart w:id="17" w:name="_Toc274303230"/>
      <w:bookmarkStart w:id="18" w:name="_Toc406413929"/>
      <w:bookmarkStart w:id="19" w:name="_Toc362250688"/>
      <w:bookmarkStart w:id="20" w:name="_Toc219"/>
      <w:r>
        <w:rPr>
          <w:rFonts w:ascii="Times New Roman" w:hAnsi="Times New Roman" w:eastAsia="宋体"/>
          <w:sz w:val="24"/>
          <w:szCs w:val="24"/>
        </w:rPr>
        <w:t>二、招标文件</w:t>
      </w:r>
      <w:bookmarkEnd w:id="17"/>
      <w:bookmarkEnd w:id="18"/>
      <w:bookmarkEnd w:id="19"/>
      <w:bookmarkEnd w:id="20"/>
    </w:p>
    <w:p>
      <w:pPr>
        <w:adjustRightInd w:val="0"/>
        <w:snapToGrid w:val="0"/>
        <w:spacing w:before="50" w:after="50" w:line="400" w:lineRule="exact"/>
        <w:ind w:firstLine="482" w:firstLineChars="200"/>
        <w:rPr>
          <w:b/>
          <w:bCs/>
        </w:rPr>
      </w:pPr>
      <w:r>
        <w:rPr>
          <w:b/>
          <w:bCs/>
        </w:rPr>
        <w:t>7.招标文件的组成</w:t>
      </w:r>
    </w:p>
    <w:p>
      <w:pPr>
        <w:adjustRightInd w:val="0"/>
        <w:snapToGrid w:val="0"/>
        <w:spacing w:before="50" w:after="50" w:line="400" w:lineRule="exact"/>
        <w:ind w:firstLine="480" w:firstLineChars="200"/>
      </w:pPr>
      <w:r>
        <w:t>7.1招标文件包括下列内容：</w:t>
      </w:r>
    </w:p>
    <w:p>
      <w:pPr>
        <w:adjustRightInd w:val="0"/>
        <w:snapToGrid w:val="0"/>
        <w:spacing w:before="50" w:after="50" w:line="400" w:lineRule="exact"/>
        <w:ind w:firstLine="480" w:firstLineChars="200"/>
      </w:pPr>
      <w:r>
        <w:t>第一章采购公告</w:t>
      </w:r>
    </w:p>
    <w:p>
      <w:pPr>
        <w:adjustRightInd w:val="0"/>
        <w:snapToGrid w:val="0"/>
        <w:spacing w:before="50" w:after="50" w:line="400" w:lineRule="exact"/>
        <w:ind w:firstLine="480" w:firstLineChars="200"/>
      </w:pPr>
      <w:r>
        <w:t>第二章投标须知和投标须知前附表</w:t>
      </w:r>
    </w:p>
    <w:p>
      <w:pPr>
        <w:adjustRightInd w:val="0"/>
        <w:snapToGrid w:val="0"/>
        <w:spacing w:before="50" w:after="50" w:line="400" w:lineRule="exact"/>
        <w:ind w:firstLine="480" w:firstLineChars="200"/>
      </w:pPr>
      <w:r>
        <w:t>第三章招标项目要求</w:t>
      </w:r>
    </w:p>
    <w:p>
      <w:pPr>
        <w:adjustRightInd w:val="0"/>
        <w:snapToGrid w:val="0"/>
        <w:spacing w:before="50" w:after="50" w:line="400" w:lineRule="exact"/>
        <w:ind w:firstLine="480" w:firstLineChars="200"/>
      </w:pPr>
      <w:r>
        <w:t>第四章开标、评标和定标须知</w:t>
      </w:r>
    </w:p>
    <w:p>
      <w:pPr>
        <w:adjustRightInd w:val="0"/>
        <w:snapToGrid w:val="0"/>
        <w:spacing w:before="50" w:after="50" w:line="400" w:lineRule="exact"/>
        <w:ind w:firstLine="480" w:firstLineChars="200"/>
      </w:pPr>
      <w:r>
        <w:t>第五章投标文件的无效情形</w:t>
      </w:r>
    </w:p>
    <w:p>
      <w:pPr>
        <w:adjustRightInd w:val="0"/>
        <w:snapToGrid w:val="0"/>
        <w:spacing w:before="50" w:after="50" w:line="400" w:lineRule="exact"/>
        <w:ind w:firstLine="480" w:firstLineChars="200"/>
      </w:pPr>
      <w:r>
        <w:t>第六章评标办法</w:t>
      </w:r>
    </w:p>
    <w:p>
      <w:pPr>
        <w:adjustRightInd w:val="0"/>
        <w:snapToGrid w:val="0"/>
        <w:spacing w:before="50" w:after="50" w:line="400" w:lineRule="exact"/>
        <w:ind w:firstLine="480" w:firstLineChars="200"/>
      </w:pPr>
      <w:r>
        <w:t>第七章合同主要条款</w:t>
      </w:r>
    </w:p>
    <w:p>
      <w:pPr>
        <w:adjustRightInd w:val="0"/>
        <w:snapToGrid w:val="0"/>
        <w:spacing w:before="50" w:after="50" w:line="400" w:lineRule="exact"/>
        <w:ind w:firstLine="480" w:firstLineChars="200"/>
      </w:pPr>
      <w:r>
        <w:t>第八章投标文件部分格式</w:t>
      </w:r>
    </w:p>
    <w:p>
      <w:pPr>
        <w:adjustRightInd w:val="0"/>
        <w:snapToGrid w:val="0"/>
        <w:spacing w:before="50" w:after="50" w:line="400" w:lineRule="exact"/>
        <w:ind w:firstLine="480" w:firstLineChars="200"/>
      </w:pPr>
      <w:r>
        <w:t>7.2除7.1内容外，招标人在投标文件递交截止日前以公告形式发出的对招标文件的澄清或修改内容，均为招标文件的组成部分，对招标方和投标人起约束作用。</w:t>
      </w:r>
    </w:p>
    <w:p>
      <w:pPr>
        <w:adjustRightInd w:val="0"/>
        <w:snapToGrid w:val="0"/>
        <w:spacing w:before="50" w:after="50" w:line="400" w:lineRule="exact"/>
        <w:ind w:firstLine="480" w:firstLineChars="200"/>
      </w:pPr>
      <w:r>
        <w:t>7.3上述所列7.1及7.2条内容均以公告内容为准，招标方的任何工作人员对投标人所作的任何口头解释、介绍、答复，对招标方和投标人无任何约束力。</w:t>
      </w:r>
    </w:p>
    <w:p>
      <w:pPr>
        <w:adjustRightInd w:val="0"/>
        <w:snapToGrid w:val="0"/>
        <w:spacing w:before="50" w:after="50" w:line="400" w:lineRule="exact"/>
        <w:ind w:firstLine="480" w:firstLineChars="200"/>
      </w:pPr>
      <w:r>
        <w:t>7.4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00" w:lineRule="exact"/>
        <w:ind w:firstLine="482" w:firstLineChars="200"/>
        <w:rPr>
          <w:b/>
          <w:bCs/>
        </w:rPr>
      </w:pPr>
      <w:r>
        <w:rPr>
          <w:b/>
          <w:bCs/>
        </w:rPr>
        <w:t>7.5招标方在“政采云”上设定的内容与招标文件的内容如有不一致的，以招标文件为准。</w:t>
      </w:r>
    </w:p>
    <w:p>
      <w:pPr>
        <w:adjustRightInd w:val="0"/>
        <w:snapToGrid w:val="0"/>
        <w:spacing w:before="50" w:after="50" w:line="400" w:lineRule="exact"/>
        <w:ind w:firstLine="482" w:firstLineChars="200"/>
        <w:rPr>
          <w:b/>
          <w:bCs/>
        </w:rPr>
      </w:pPr>
      <w:r>
        <w:rPr>
          <w:b/>
          <w:bCs/>
        </w:rPr>
        <w:t>8.招标文件的澄清</w:t>
      </w:r>
    </w:p>
    <w:p>
      <w:pPr>
        <w:adjustRightInd w:val="0"/>
        <w:snapToGrid w:val="0"/>
        <w:spacing w:before="50" w:after="50" w:line="400" w:lineRule="exact"/>
        <w:ind w:firstLine="480" w:firstLineChars="200"/>
      </w:pPr>
      <w:bookmarkStart w:id="21" w:name="_Toc274303231"/>
      <w:bookmarkStart w:id="22" w:name="_Toc362250689"/>
      <w:bookmarkStart w:id="23" w:name="_Toc406413930"/>
      <w:r>
        <w:t>8.1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adjustRightInd w:val="0"/>
        <w:snapToGrid w:val="0"/>
        <w:spacing w:before="50" w:after="50" w:line="400" w:lineRule="exact"/>
        <w:ind w:firstLine="480" w:firstLineChars="200"/>
      </w:pPr>
      <w:r>
        <w:t>8.2无论是招标方根据需要主动对招标文件进行必要澄清，或是根据投标人的要求对招标文件做出澄清，招标方的书面澄清（更正）文件会在浙江省政府网上发布公告，同时“政采云”会向所有已按招标文件规定方式获取招标文件的潜在供应商发送更正提醒信息，潜在供应商请自行到浙江省政府采购网上下载澄清（更正）文件，在收到该澄清（更正）文件后应于1日内，以书面或传真形式（签署意见并加盖公章）向招标代理机构回函给予确认。过期未回复的，视为默认接受。</w:t>
      </w:r>
    </w:p>
    <w:p>
      <w:pPr>
        <w:adjustRightInd w:val="0"/>
        <w:snapToGrid w:val="0"/>
        <w:spacing w:before="50" w:after="50" w:line="400" w:lineRule="exact"/>
        <w:ind w:firstLine="480" w:firstLineChars="200"/>
      </w:pPr>
      <w:r>
        <w:t>8.3投标人在前附表规定时间未提交疑问或质疑的，视作默认对本次招标过程中招标文件无异议，招标方对其提出的问题可以不予受理。</w:t>
      </w:r>
    </w:p>
    <w:p>
      <w:pPr>
        <w:adjustRightInd w:val="0"/>
        <w:snapToGrid w:val="0"/>
        <w:spacing w:before="50" w:after="50" w:line="400" w:lineRule="exact"/>
        <w:ind w:firstLine="480" w:firstLineChars="200"/>
      </w:pPr>
      <w:r>
        <w:t>8.4招标文件澄清、变更、补充等内容均以浙江政府采购网公示的内容为准。当招标文件、招标文件的澄清、变更、补充等在同一内容的表述上不一致时，以最后在浙江政府采购网发出的公示内容为准。</w:t>
      </w:r>
    </w:p>
    <w:p>
      <w:pPr>
        <w:pStyle w:val="5"/>
        <w:spacing w:before="120" w:after="120" w:line="400" w:lineRule="exact"/>
        <w:rPr>
          <w:rFonts w:ascii="Times New Roman" w:hAnsi="Times New Roman" w:eastAsia="宋体"/>
          <w:sz w:val="24"/>
          <w:szCs w:val="24"/>
        </w:rPr>
      </w:pPr>
      <w:bookmarkStart w:id="24" w:name="_Toc24794"/>
      <w:r>
        <w:rPr>
          <w:rFonts w:ascii="Times New Roman" w:hAnsi="Times New Roman" w:eastAsia="宋体"/>
          <w:sz w:val="24"/>
          <w:szCs w:val="24"/>
        </w:rPr>
        <w:t>三、投标文件</w:t>
      </w:r>
      <w:bookmarkEnd w:id="21"/>
      <w:bookmarkEnd w:id="22"/>
      <w:bookmarkEnd w:id="23"/>
      <w:bookmarkEnd w:id="24"/>
    </w:p>
    <w:p>
      <w:pPr>
        <w:spacing w:line="400" w:lineRule="exact"/>
        <w:ind w:firstLine="480"/>
        <w:rPr>
          <w:b/>
          <w:bCs/>
        </w:rPr>
      </w:pPr>
      <w:r>
        <w:rPr>
          <w:b/>
          <w:bCs/>
        </w:rPr>
        <w:t>9.投标文件的组成</w:t>
      </w:r>
    </w:p>
    <w:p>
      <w:pPr>
        <w:adjustRightInd w:val="0"/>
        <w:snapToGrid w:val="0"/>
        <w:spacing w:line="460" w:lineRule="exact"/>
        <w:ind w:firstLine="463" w:firstLineChars="192"/>
        <w:rPr>
          <w:b/>
          <w:szCs w:val="21"/>
          <w:u w:val="single"/>
        </w:rPr>
      </w:pPr>
      <w:r>
        <w:rPr>
          <w:b/>
          <w:szCs w:val="21"/>
        </w:rPr>
        <w:t>9.1</w:t>
      </w:r>
      <w:r>
        <w:rPr>
          <w:szCs w:val="21"/>
        </w:rPr>
        <w:t>投标文件由</w:t>
      </w:r>
      <w:r>
        <w:rPr>
          <w:b/>
          <w:szCs w:val="21"/>
        </w:rPr>
        <w:t>资格响应文件</w:t>
      </w:r>
      <w:r>
        <w:rPr>
          <w:szCs w:val="21"/>
        </w:rPr>
        <w:t>、</w:t>
      </w:r>
      <w:r>
        <w:rPr>
          <w:b/>
          <w:szCs w:val="21"/>
        </w:rPr>
        <w:t>商务技术响应文件</w:t>
      </w:r>
      <w:r>
        <w:rPr>
          <w:szCs w:val="21"/>
        </w:rPr>
        <w:t>和</w:t>
      </w:r>
      <w:r>
        <w:rPr>
          <w:b/>
          <w:szCs w:val="21"/>
        </w:rPr>
        <w:t>报价响应文件</w:t>
      </w:r>
      <w:r>
        <w:rPr>
          <w:szCs w:val="21"/>
        </w:rPr>
        <w:t>组成，以下的“格式”，指的是第八章投标文件格式中的表格；</w:t>
      </w:r>
    </w:p>
    <w:p>
      <w:pPr>
        <w:adjustRightInd w:val="0"/>
        <w:snapToGrid w:val="0"/>
        <w:spacing w:before="50" w:after="50" w:line="400" w:lineRule="exact"/>
        <w:ind w:firstLine="482" w:firstLineChars="200"/>
        <w:rPr>
          <w:b/>
          <w:bCs/>
        </w:rPr>
      </w:pPr>
      <w:r>
        <w:rPr>
          <w:b/>
          <w:bCs/>
        </w:rPr>
        <w:t>9.1.1资格响应文件：包含以下内容</w:t>
      </w:r>
    </w:p>
    <w:p>
      <w:pPr>
        <w:adjustRightInd w:val="0"/>
        <w:snapToGrid w:val="0"/>
        <w:spacing w:before="50" w:after="50" w:line="400" w:lineRule="exact"/>
        <w:ind w:firstLine="480" w:firstLineChars="200"/>
      </w:pPr>
      <w:r>
        <w:t>★①单位营业执照副本等经营资格证明文件扫描件（加盖电子签章）</w:t>
      </w:r>
    </w:p>
    <w:p>
      <w:pPr>
        <w:adjustRightInd w:val="0"/>
        <w:snapToGrid w:val="0"/>
        <w:spacing w:before="50" w:after="50" w:line="400" w:lineRule="exact"/>
        <w:ind w:firstLine="480" w:firstLineChars="200"/>
      </w:pPr>
      <w:r>
        <w:t>★②义乌市政府采购项目投标承诺书（见格式）</w:t>
      </w:r>
    </w:p>
    <w:p>
      <w:pPr>
        <w:adjustRightInd w:val="0"/>
        <w:snapToGrid w:val="0"/>
        <w:spacing w:before="50" w:after="50" w:line="400" w:lineRule="exact"/>
        <w:ind w:firstLine="480" w:firstLineChars="200"/>
      </w:pPr>
      <w:r>
        <w:t>③投标人实力与资信情况介绍或投标人认为需要提供的其他文件、说明等</w:t>
      </w:r>
    </w:p>
    <w:p>
      <w:pPr>
        <w:adjustRightInd w:val="0"/>
        <w:snapToGrid w:val="0"/>
        <w:spacing w:before="50" w:after="50" w:line="400" w:lineRule="exact"/>
        <w:ind w:firstLine="482" w:firstLineChars="200"/>
        <w:rPr>
          <w:b/>
          <w:bCs/>
        </w:rPr>
      </w:pPr>
      <w:r>
        <w:rPr>
          <w:b/>
          <w:bCs/>
        </w:rPr>
        <w:t>9.1.2商务技术响应文件：包含以下内容</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★①参投货物说明一览表（见格式）</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★②项目组成人员表（见格式）</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★③产品质量保证及售后服务承诺书（见格式）</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★④规范偏离表（见格式）</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⑤产品的主要技术、结构、性能、特点和质量水平的详细描述，其中，多媒体触控一体机须提供含详细技术参数的原厂商彩色宣传页（官方网站的彩色打印页无效），以图片格式上传，并加盖投标人电子签章。</w:t>
      </w:r>
    </w:p>
    <w:p>
      <w:pPr>
        <w:adjustRightInd w:val="0"/>
        <w:snapToGrid w:val="0"/>
        <w:spacing w:before="50" w:after="50" w:line="400" w:lineRule="exact"/>
        <w:ind w:firstLine="480" w:firstLineChars="200"/>
        <w:rPr>
          <w:rFonts w:ascii="Times New Roman" w:hAnsi="Times New Roman" w:cs="Times New Roman"/>
        </w:rPr>
      </w:pPr>
      <w:r>
        <w:rPr>
          <w:rFonts w:hint="eastAsia" w:ascii="Times New Roman" w:hAnsi="Times New Roman" w:cs="Times New Roman"/>
        </w:rPr>
        <w:t>⑥</w:t>
      </w:r>
      <w:r>
        <w:rPr>
          <w:rFonts w:ascii="Times New Roman" w:hAnsi="Times New Roman" w:cs="Times New Roman"/>
        </w:rPr>
        <w:t>根据评审需要、招标文件要求等,投标人自行考虑需提供的资料</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9.1.3报价响应文件：包含下列内容</w:t>
      </w:r>
    </w:p>
    <w:p>
      <w:pPr>
        <w:adjustRightInd w:val="0"/>
        <w:snapToGrid w:val="0"/>
        <w:spacing w:before="50" w:after="50" w:line="400" w:lineRule="exact"/>
        <w:ind w:firstLine="480" w:firstLineChars="200"/>
      </w:pPr>
      <w:r>
        <w:t>★①开标一览表（见格式）</w:t>
      </w:r>
    </w:p>
    <w:p>
      <w:pPr>
        <w:adjustRightInd w:val="0"/>
        <w:snapToGrid w:val="0"/>
        <w:spacing w:before="50" w:after="50" w:line="400" w:lineRule="exact"/>
        <w:ind w:firstLine="480" w:firstLineChars="200"/>
      </w:pPr>
      <w:r>
        <w:t>★②项目成本报价表（见格式）</w:t>
      </w:r>
    </w:p>
    <w:p>
      <w:pPr>
        <w:adjustRightInd w:val="0"/>
        <w:snapToGrid w:val="0"/>
        <w:spacing w:before="50" w:after="50" w:line="400" w:lineRule="exact"/>
        <w:ind w:firstLine="480" w:firstLineChars="200"/>
      </w:pPr>
      <w:r>
        <w:t>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adjustRightInd w:val="0"/>
        <w:snapToGrid w:val="0"/>
        <w:spacing w:before="50" w:after="50" w:line="400" w:lineRule="exact"/>
        <w:ind w:firstLine="480" w:firstLineChars="200"/>
      </w:pPr>
      <w:r>
        <w:t>④残疾人福利性单位声明函（见格式）（符合残疾人福利性单位有关政策的投标人需提供本项材料）</w:t>
      </w:r>
    </w:p>
    <w:p>
      <w:pPr>
        <w:adjustRightInd w:val="0"/>
        <w:snapToGrid w:val="0"/>
        <w:spacing w:before="50" w:after="50" w:line="400" w:lineRule="exact"/>
        <w:ind w:firstLine="480" w:firstLineChars="200"/>
      </w:pPr>
      <w:r>
        <w:t>⑤省级及以上监狱管理局、戒毒管理局（含新疆生产建设兵团）出具的属于监狱企业的文件扫描件加盖电子签章（符合监狱企业有关政策的投标人需提供本项材料）</w:t>
      </w:r>
    </w:p>
    <w:p>
      <w:pPr>
        <w:pStyle w:val="30"/>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10.投标文件编制要求</w:t>
      </w:r>
    </w:p>
    <w:p>
      <w:pPr>
        <w:pStyle w:val="50"/>
        <w:spacing w:after="0" w:line="400" w:lineRule="exact"/>
        <w:ind w:firstLine="480" w:firstLineChars="200"/>
        <w:textAlignment w:val="baseline"/>
      </w:pPr>
      <w:r>
        <w:t>10.1投标人应仔细阅读招标文件，了解招标文件的要求，在完全了解招标项目的技术要求和商务要求后，编制投标文件。</w:t>
      </w:r>
    </w:p>
    <w:p>
      <w:pPr>
        <w:pStyle w:val="50"/>
        <w:spacing w:after="0" w:line="400" w:lineRule="exact"/>
        <w:ind w:firstLine="480" w:firstLineChars="200"/>
        <w:textAlignment w:val="baseline"/>
      </w:pPr>
      <w:r>
        <w:t>10.2在招标文件对技术要求中，投标人必须充分应答和满足用户的强制性的需求，如“★”等，否则将导致无效标。</w:t>
      </w:r>
    </w:p>
    <w:p>
      <w:pPr>
        <w:spacing w:line="400" w:lineRule="exact"/>
        <w:ind w:firstLine="480" w:firstLineChars="200"/>
      </w:pPr>
      <w:r>
        <w:t>10.3编制的投标文件对招标文件中有关条款未提出异议的，均被视为接受和同意。</w:t>
      </w:r>
    </w:p>
    <w:p>
      <w:pPr>
        <w:spacing w:line="400" w:lineRule="exact"/>
        <w:ind w:firstLine="480" w:firstLineChars="200"/>
      </w:pPr>
      <w:r>
        <w:t>10.4投标人应根据电子投标操作指南按本招标文件规定的格式和顺序编制电子投标文件并进行关联定位。</w:t>
      </w:r>
    </w:p>
    <w:p>
      <w:pPr>
        <w:spacing w:line="400" w:lineRule="exact"/>
        <w:ind w:firstLine="480" w:firstLineChars="200"/>
      </w:pPr>
      <w:r>
        <w:t>10.5由于未按招标文件的规定要求编制投标文件，导致评审小组作出的对投标人的误判，责任由投标人自己承担。</w:t>
      </w:r>
    </w:p>
    <w:p>
      <w:pPr>
        <w:adjustRightInd w:val="0"/>
        <w:snapToGrid w:val="0"/>
        <w:spacing w:line="400" w:lineRule="exact"/>
        <w:ind w:firstLine="480"/>
      </w:pPr>
      <w:r>
        <w:rPr>
          <w:b/>
        </w:rPr>
        <w:t>11.</w:t>
      </w:r>
      <w:r>
        <w:rPr>
          <w:b/>
          <w:bCs/>
        </w:rPr>
        <w:t>投标文件的语言及度量衡单位</w:t>
      </w:r>
    </w:p>
    <w:p>
      <w:pPr>
        <w:adjustRightInd w:val="0"/>
        <w:snapToGrid w:val="0"/>
        <w:spacing w:line="400" w:lineRule="exact"/>
        <w:ind w:firstLine="480" w:firstLineChars="200"/>
      </w:pPr>
      <w:r>
        <w:t>11.1投标文件和与投标有关的所有文件均应使用中文简体字。</w:t>
      </w:r>
    </w:p>
    <w:p>
      <w:pPr>
        <w:pStyle w:val="142"/>
        <w:spacing w:line="400" w:lineRule="exact"/>
        <w:ind w:firstLine="240" w:firstLineChars="100"/>
        <w:jc w:val="both"/>
        <w:rPr>
          <w:rFonts w:ascii="Times New Roman" w:hAnsi="Times New Roman" w:cs="Times New Roman"/>
        </w:rPr>
      </w:pPr>
      <w:r>
        <w:rPr>
          <w:rFonts w:ascii="Times New Roman" w:hAnsi="Times New Roman" w:cs="Times New Roman"/>
          <w:szCs w:val="24"/>
        </w:rPr>
        <w:t>11.2</w:t>
      </w:r>
      <w:r>
        <w:rPr>
          <w:rFonts w:ascii="Times New Roman" w:hAnsi="Times New Roman" w:cs="Times New Roman"/>
        </w:rPr>
        <w:t>原版为外文的证书类文件，以及由外国人作出的本人签名、外国公司的名称或外国印章等可以是外文，但应当提供中文翻译文件并加盖电子签章。</w:t>
      </w:r>
    </w:p>
    <w:p>
      <w:pPr>
        <w:pStyle w:val="3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11.3除工程规范另有规定外，投标文件使用的度量衡单位，均采用中华人民共和国法定计量单位。</w:t>
      </w:r>
    </w:p>
    <w:p>
      <w:pPr>
        <w:pStyle w:val="30"/>
        <w:spacing w:line="400" w:lineRule="exact"/>
        <w:ind w:firstLine="472" w:firstLineChars="196"/>
        <w:rPr>
          <w:rFonts w:ascii="Times New Roman" w:hAnsi="Times New Roman" w:cs="Times New Roman"/>
          <w:b/>
          <w:bCs/>
          <w:sz w:val="24"/>
          <w:szCs w:val="24"/>
        </w:rPr>
      </w:pPr>
      <w:r>
        <w:rPr>
          <w:rFonts w:ascii="Times New Roman" w:hAnsi="Times New Roman" w:cs="Times New Roman"/>
          <w:b/>
          <w:bCs/>
          <w:sz w:val="24"/>
          <w:szCs w:val="24"/>
        </w:rPr>
        <w:t>12.投标报价</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12.1投标人应根据国家的有关规定和招标文件要求并结合企业的实际情况进行投标报价。投标报价以人民币为结算货币，</w:t>
      </w:r>
      <w:r>
        <w:rPr>
          <w:rFonts w:hint="eastAsia" w:hAnsi="宋体"/>
          <w:b/>
          <w:sz w:val="24"/>
          <w:szCs w:val="24"/>
        </w:rPr>
        <w:t>投标报价须包括货物价款、所必须配备的附件、途中运输费、装卸费、安装调试（系统集成）费、辅料费、维护费、培训费、税费、完成本项目的其它费用和政策性文件规定及合同包含的所有风险、责任等所有费用，即按采购人要求提供货物到现场并安装完毕的价格。</w:t>
      </w:r>
      <w:r>
        <w:rPr>
          <w:rFonts w:ascii="Times New Roman" w:hAnsi="Times New Roman" w:cs="Times New Roman"/>
          <w:sz w:val="24"/>
          <w:szCs w:val="24"/>
        </w:rPr>
        <w:t>如有漏项，视同已包含在其总项目中，合同</w:t>
      </w:r>
      <w:r>
        <w:rPr>
          <w:rFonts w:hint="eastAsia" w:ascii="Times New Roman" w:hAnsi="Times New Roman" w:cs="Times New Roman"/>
          <w:sz w:val="24"/>
          <w:szCs w:val="24"/>
        </w:rPr>
        <w:t>单价及</w:t>
      </w:r>
      <w:r>
        <w:rPr>
          <w:rFonts w:ascii="Times New Roman" w:hAnsi="Times New Roman" w:cs="Times New Roman"/>
          <w:sz w:val="24"/>
          <w:szCs w:val="24"/>
        </w:rPr>
        <w:t>总价不予调整。</w:t>
      </w:r>
    </w:p>
    <w:p>
      <w:pPr>
        <w:pStyle w:val="3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12.2投标人应在投标文件的《开标一览表》上写明投标报价项目的</w:t>
      </w:r>
      <w:r>
        <w:rPr>
          <w:rFonts w:hint="eastAsia" w:ascii="Times New Roman" w:hAnsi="Times New Roman" w:cs="Times New Roman"/>
          <w:sz w:val="24"/>
          <w:szCs w:val="24"/>
        </w:rPr>
        <w:t>单价及</w:t>
      </w:r>
      <w:r>
        <w:rPr>
          <w:rFonts w:ascii="Times New Roman" w:hAnsi="Times New Roman" w:cs="Times New Roman"/>
          <w:sz w:val="24"/>
          <w:szCs w:val="24"/>
        </w:rPr>
        <w:t>总价。</w:t>
      </w:r>
    </w:p>
    <w:p>
      <w:pPr>
        <w:pStyle w:val="3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12.3中标后，中标人所填写的报价在合同实施期间不因市场变化因素而变动，投标人在计算报价时应考虑一定的风险系数。</w:t>
      </w:r>
    </w:p>
    <w:p>
      <w:pPr>
        <w:pStyle w:val="3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12.4投标人应按招标文件规定的报价格式进行投标报价。投标人对每种货物只允许有一个报价，招标方不接受任何有选择性的报价。</w:t>
      </w:r>
    </w:p>
    <w:p>
      <w:pPr>
        <w:pStyle w:val="3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pacing w:val="-8"/>
          <w:sz w:val="24"/>
          <w:szCs w:val="24"/>
        </w:rPr>
        <w:t>招标方不接受低于成本的投标报价。</w:t>
      </w:r>
    </w:p>
    <w:p>
      <w:pPr>
        <w:pStyle w:val="3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12.6投标人按照上述要求编制投标报价。一旦确认某一投标人中标，除合同规定的可调整内容外，中标人不得要求追加任何费用。</w:t>
      </w:r>
    </w:p>
    <w:p>
      <w:pPr>
        <w:pStyle w:val="3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12.7须由中标单位开具正式发票。</w:t>
      </w:r>
    </w:p>
    <w:p>
      <w:pPr>
        <w:spacing w:line="400" w:lineRule="exact"/>
        <w:ind w:firstLine="480" w:firstLineChars="200"/>
      </w:pPr>
      <w:r>
        <w:t>12.8招标文件中规定由投标单位承担并支付的相关费用在投标报价时应一并考虑。</w:t>
      </w:r>
    </w:p>
    <w:p>
      <w:pPr>
        <w:adjustRightInd w:val="0"/>
        <w:snapToGrid w:val="0"/>
        <w:spacing w:line="400" w:lineRule="exact"/>
        <w:ind w:firstLine="482" w:firstLineChars="200"/>
        <w:rPr>
          <w:b/>
          <w:bCs/>
        </w:rPr>
      </w:pPr>
      <w:r>
        <w:rPr>
          <w:b/>
          <w:bCs/>
        </w:rPr>
        <w:t>13.投标文件格式</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30"/>
        <w:spacing w:line="36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14.履约保证金：</w:t>
      </w:r>
      <w:r>
        <w:rPr>
          <w:rFonts w:ascii="Times New Roman" w:hAnsi="Times New Roman" w:cs="Times New Roman"/>
          <w:bCs/>
          <w:sz w:val="24"/>
          <w:szCs w:val="24"/>
        </w:rPr>
        <w:t>无</w:t>
      </w:r>
    </w:p>
    <w:p>
      <w:pPr>
        <w:spacing w:line="400" w:lineRule="exact"/>
        <w:ind w:firstLine="482" w:firstLineChars="200"/>
        <w:rPr>
          <w:b/>
          <w:bCs/>
        </w:rPr>
      </w:pPr>
      <w:r>
        <w:rPr>
          <w:b/>
          <w:bCs/>
        </w:rPr>
        <w:t>15.投标有效期</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15.1投标文件从开标之日起，投标有效期为90天。</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15.2特殊情况下，在原投标有效期截止之前，采购人可要求投标人同意延长有效期，这种要求与答复均应以书面形式提交。投标人可拒绝这种要求，接受延长投标有效期的投标人将不会被要求和允许修正其投标。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5"/>
        <w:spacing w:before="0" w:after="0" w:line="400" w:lineRule="exact"/>
        <w:rPr>
          <w:rFonts w:ascii="Times New Roman" w:hAnsi="Times New Roman" w:eastAsia="宋体"/>
          <w:sz w:val="24"/>
          <w:szCs w:val="24"/>
        </w:rPr>
      </w:pPr>
      <w:bookmarkStart w:id="25" w:name="_Toc406413931"/>
      <w:bookmarkStart w:id="26" w:name="_Toc362250690"/>
      <w:bookmarkStart w:id="27" w:name="_Toc27181"/>
      <w:bookmarkStart w:id="28" w:name="_Toc274303232"/>
      <w:r>
        <w:rPr>
          <w:rFonts w:ascii="Times New Roman" w:hAnsi="Times New Roman" w:eastAsia="宋体"/>
          <w:sz w:val="24"/>
          <w:szCs w:val="24"/>
        </w:rPr>
        <w:t>四、投标文件的递交</w:t>
      </w:r>
      <w:bookmarkEnd w:id="25"/>
      <w:bookmarkEnd w:id="26"/>
      <w:bookmarkEnd w:id="27"/>
      <w:bookmarkEnd w:id="28"/>
    </w:p>
    <w:p>
      <w:pPr>
        <w:tabs>
          <w:tab w:val="left" w:pos="315"/>
        </w:tabs>
        <w:adjustRightInd w:val="0"/>
        <w:snapToGrid w:val="0"/>
        <w:spacing w:line="400" w:lineRule="exact"/>
        <w:ind w:firstLine="482" w:firstLineChars="200"/>
        <w:rPr>
          <w:b/>
          <w:bCs/>
        </w:rPr>
      </w:pPr>
      <w:r>
        <w:rPr>
          <w:b/>
          <w:bCs/>
        </w:rPr>
        <w:t>16.电子投标文件上传的地点和截止时间</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投标人应在投标截止时间（2022</w:t>
      </w:r>
      <w:r>
        <w:rPr>
          <w:rFonts w:hint="default" w:ascii="Times New Roman" w:hAnsi="Times New Roman" w:cs="Times New Roman"/>
          <w:color w:val="auto"/>
          <w:sz w:val="24"/>
          <w:szCs w:val="24"/>
        </w:rPr>
        <w:t>年</w:t>
      </w:r>
      <w:r>
        <w:rPr>
          <w:rFonts w:hint="default" w:ascii="Times New Roman" w:hAnsi="Times New Roman" w:cs="Times New Roman"/>
          <w:color w:val="FF0000"/>
          <w:sz w:val="24"/>
          <w:szCs w:val="24"/>
          <w:lang w:val="en-US" w:eastAsia="zh-CN"/>
        </w:rPr>
        <w:t>7</w:t>
      </w:r>
      <w:r>
        <w:rPr>
          <w:rFonts w:hint="default" w:ascii="Times New Roman" w:hAnsi="Times New Roman" w:cs="Times New Roman"/>
          <w:color w:val="FF0000"/>
          <w:sz w:val="24"/>
          <w:szCs w:val="24"/>
        </w:rPr>
        <w:t>月</w:t>
      </w:r>
      <w:r>
        <w:rPr>
          <w:rFonts w:hint="default" w:ascii="Times New Roman" w:hAnsi="Times New Roman" w:cs="Times New Roman"/>
          <w:color w:val="FF0000"/>
          <w:sz w:val="24"/>
          <w:szCs w:val="24"/>
          <w:lang w:val="en-US" w:eastAsia="zh-CN"/>
        </w:rPr>
        <w:t>14</w:t>
      </w:r>
      <w:r>
        <w:rPr>
          <w:rFonts w:hint="default" w:ascii="Times New Roman" w:hAnsi="Times New Roman" w:cs="Times New Roman"/>
          <w:color w:val="FF0000"/>
          <w:sz w:val="24"/>
          <w:szCs w:val="24"/>
        </w:rPr>
        <w:t>日</w:t>
      </w:r>
      <w:r>
        <w:rPr>
          <w:rFonts w:ascii="Times New Roman" w:hAnsi="Times New Roman" w:cs="Times New Roman"/>
          <w:sz w:val="24"/>
          <w:szCs w:val="24"/>
        </w:rPr>
        <w:t>09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ascii="Times New Roman" w:hAnsi="Times New Roman" w:cs="Times New Roman"/>
          <w:b/>
          <w:bCs/>
          <w:sz w:val="24"/>
          <w:szCs w:val="24"/>
        </w:rPr>
        <w:t>投标供应商仅递交备份投标文件的，投标无效。</w:t>
      </w:r>
    </w:p>
    <w:p>
      <w:pPr>
        <w:tabs>
          <w:tab w:val="left" w:pos="315"/>
        </w:tabs>
        <w:adjustRightInd w:val="0"/>
        <w:snapToGrid w:val="0"/>
        <w:spacing w:line="400" w:lineRule="exact"/>
        <w:ind w:firstLine="482" w:firstLineChars="200"/>
        <w:rPr>
          <w:b/>
          <w:bCs/>
        </w:rPr>
      </w:pPr>
      <w:r>
        <w:rPr>
          <w:b/>
        </w:rPr>
        <w:t>17.</w:t>
      </w:r>
      <w:r>
        <w:rPr>
          <w:b/>
          <w:bCs/>
        </w:rPr>
        <w:t>投标文件的补充、修改与撤回</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17.1投标人在“政采云”上提交投标文件以后，在规定的投标截止时间之前，可以重新补充修改或撤回已上传的投标文件，补充、修改的内容为投标文件的组成部分。</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17.2在投标截止时间之后，投标人不得对其投标做任何修改。</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17.3从投标截止时间至投标人在投标书格式中确定的投标有效期期满这段时间内，投标人不得撤回其投标。</w:t>
      </w:r>
    </w:p>
    <w:p>
      <w:pPr>
        <w:spacing w:line="400" w:lineRule="exact"/>
        <w:ind w:firstLine="482" w:firstLineChars="200"/>
        <w:rPr>
          <w:b/>
        </w:rPr>
      </w:pPr>
      <w:r>
        <w:rPr>
          <w:b/>
        </w:rPr>
        <w:t>18.投标文件解密</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本项目采用线上开标，供应商无需到开标现场，但应准时在线参加。开标时间后采购中心开启解密。开启解密后的1小时内，供应商应当登录“政采云”，用“项目采购-开标评标”功能解密投标文件。</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如政采云上投标文件在规定时间内出现解密失败的，投标人可按照自身意愿确认同意提供加密密码，启用备份文件，并由采购中心把备份文件上传至“政采云”。如投标人未按照规定时间（202</w:t>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年</w:t>
      </w:r>
      <w:r>
        <w:rPr>
          <w:rFonts w:hint="default" w:ascii="Times New Roman" w:hAnsi="Times New Roman" w:cs="Times New Roman"/>
          <w:color w:val="FF0000"/>
          <w:sz w:val="24"/>
          <w:szCs w:val="24"/>
          <w:lang w:val="en-US" w:eastAsia="zh-CN"/>
        </w:rPr>
        <w:t>7月14日</w:t>
      </w:r>
      <w:r>
        <w:rPr>
          <w:rFonts w:hint="default" w:ascii="Times New Roman" w:hAnsi="Times New Roman" w:cs="Times New Roman"/>
          <w:sz w:val="24"/>
          <w:szCs w:val="24"/>
        </w:rPr>
        <w:t>上</w:t>
      </w:r>
      <w:r>
        <w:rPr>
          <w:rFonts w:ascii="Times New Roman" w:hAnsi="Times New Roman" w:cs="Times New Roman"/>
          <w:sz w:val="24"/>
          <w:szCs w:val="24"/>
        </w:rPr>
        <w:t>午09:30前）及要求提供有效备份标书，同时政采云上投标文件解密失败的，将导致投标无效。</w:t>
      </w:r>
    </w:p>
    <w:p>
      <w:pPr>
        <w:pStyle w:val="3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如果投标人发送两份以上备份文件的，以最后收到的那一份为准，通过“政采云”上传递交的“加密投标文件”已按时解密的，“备份投标文件”自动失效。</w:t>
      </w:r>
    </w:p>
    <w:p>
      <w:pPr>
        <w:pStyle w:val="5"/>
        <w:numPr>
          <w:ilvl w:val="0"/>
          <w:numId w:val="0"/>
        </w:numPr>
        <w:spacing w:before="120" w:after="120" w:line="400" w:lineRule="exact"/>
        <w:rPr>
          <w:rFonts w:ascii="Times New Roman" w:hAnsi="Times New Roman" w:eastAsia="宋体"/>
          <w:sz w:val="24"/>
          <w:szCs w:val="24"/>
        </w:rPr>
      </w:pPr>
      <w:bookmarkStart w:id="29" w:name="_Toc274303233"/>
      <w:bookmarkStart w:id="30" w:name="_Toc362250691"/>
      <w:bookmarkStart w:id="31" w:name="_Toc406413932"/>
      <w:bookmarkStart w:id="32" w:name="_Toc7348"/>
      <w:r>
        <w:rPr>
          <w:rFonts w:ascii="Times New Roman" w:hAnsi="Times New Roman" w:eastAsia="宋体"/>
          <w:sz w:val="24"/>
          <w:szCs w:val="24"/>
        </w:rPr>
        <w:t>五、</w:t>
      </w:r>
      <w:bookmarkEnd w:id="29"/>
      <w:bookmarkEnd w:id="30"/>
      <w:bookmarkEnd w:id="31"/>
      <w:r>
        <w:rPr>
          <w:rFonts w:ascii="Times New Roman" w:hAnsi="Times New Roman" w:eastAsia="宋体"/>
          <w:sz w:val="24"/>
          <w:szCs w:val="24"/>
        </w:rPr>
        <w:t>其它</w:t>
      </w:r>
      <w:bookmarkEnd w:id="32"/>
    </w:p>
    <w:p>
      <w:pPr>
        <w:spacing w:line="400" w:lineRule="exact"/>
        <w:ind w:firstLine="482" w:firstLineChars="200"/>
        <w:rPr>
          <w:b/>
          <w:bCs/>
        </w:rPr>
      </w:pPr>
      <w:r>
        <w:rPr>
          <w:b/>
          <w:bCs/>
        </w:rPr>
        <w:t>19.本招标文件解释权归“招标方”。</w:t>
      </w: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4"/>
        <w:spacing w:before="0" w:after="0" w:line="400" w:lineRule="atLeast"/>
        <w:jc w:val="center"/>
        <w:rPr>
          <w:rFonts w:ascii="宋体" w:hAnsi="宋体" w:cs="宋体"/>
          <w:sz w:val="36"/>
        </w:rPr>
      </w:pPr>
      <w:bookmarkStart w:id="33" w:name="_Toc31308"/>
      <w:bookmarkStart w:id="34" w:name="_Toc24741"/>
      <w:bookmarkStart w:id="35" w:name="_Toc406413933"/>
      <w:bookmarkStart w:id="36" w:name="_Toc27734"/>
      <w:bookmarkStart w:id="37" w:name="_Toc274303234"/>
      <w:bookmarkStart w:id="38" w:name="_Toc9111"/>
      <w:r>
        <w:rPr>
          <w:rFonts w:hint="eastAsia" w:ascii="宋体" w:hAnsi="宋体" w:cs="宋体"/>
          <w:sz w:val="36"/>
        </w:rPr>
        <w:t>第三章 招标项目要求</w:t>
      </w:r>
      <w:bookmarkEnd w:id="33"/>
      <w:bookmarkEnd w:id="34"/>
      <w:bookmarkEnd w:id="35"/>
      <w:bookmarkEnd w:id="36"/>
      <w:bookmarkEnd w:id="37"/>
      <w:bookmarkEnd w:id="38"/>
      <w:bookmarkStart w:id="39" w:name="_Toc274303251"/>
      <w:bookmarkStart w:id="40" w:name="_Toc226973000"/>
      <w:bookmarkStart w:id="41" w:name="_Toc406413936"/>
    </w:p>
    <w:p>
      <w:pPr>
        <w:pStyle w:val="5"/>
        <w:widowControl w:val="0"/>
        <w:spacing w:before="120" w:after="120" w:line="312" w:lineRule="auto"/>
        <w:jc w:val="both"/>
        <w:rPr>
          <w:rFonts w:ascii="Times New Roman" w:hAnsi="Times New Roman" w:eastAsia="宋体"/>
          <w:bCs w:val="0"/>
          <w:sz w:val="24"/>
          <w:szCs w:val="24"/>
          <w:highlight w:val="none"/>
        </w:rPr>
      </w:pPr>
      <w:bookmarkStart w:id="42" w:name="_Toc521403320"/>
      <w:bookmarkStart w:id="43" w:name="_Toc37951771"/>
      <w:bookmarkStart w:id="44" w:name="_Toc11061"/>
      <w:bookmarkStart w:id="45" w:name="_Toc74063753"/>
      <w:bookmarkStart w:id="46" w:name="_Toc90042290"/>
      <w:r>
        <w:rPr>
          <w:rFonts w:ascii="Times New Roman" w:hAnsi="Times New Roman" w:eastAsia="宋体"/>
          <w:bCs w:val="0"/>
          <w:sz w:val="24"/>
          <w:szCs w:val="24"/>
          <w:highlight w:val="none"/>
        </w:rPr>
        <w:t>一、</w:t>
      </w:r>
      <w:bookmarkEnd w:id="42"/>
      <w:bookmarkEnd w:id="43"/>
      <w:r>
        <w:rPr>
          <w:rFonts w:ascii="Times New Roman" w:hAnsi="Times New Roman" w:eastAsia="宋体"/>
          <w:bCs w:val="0"/>
          <w:sz w:val="24"/>
          <w:szCs w:val="24"/>
          <w:highlight w:val="none"/>
        </w:rPr>
        <w:t>采购货物一览表</w:t>
      </w:r>
    </w:p>
    <w:tbl>
      <w:tblPr>
        <w:tblStyle w:val="57"/>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4980"/>
        <w:gridCol w:w="112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5" w:type="pct"/>
            <w:vAlign w:val="center"/>
          </w:tcPr>
          <w:p>
            <w:pPr>
              <w:pStyle w:val="30"/>
              <w:adjustRightInd w:val="0"/>
              <w:spacing w:line="31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2533" w:type="pct"/>
            <w:vAlign w:val="center"/>
          </w:tcPr>
          <w:p>
            <w:pPr>
              <w:pStyle w:val="30"/>
              <w:adjustRightInd w:val="0"/>
              <w:spacing w:line="31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货物名称（采购标的）</w:t>
            </w:r>
          </w:p>
        </w:tc>
        <w:tc>
          <w:tcPr>
            <w:tcW w:w="572" w:type="pct"/>
            <w:vAlign w:val="center"/>
          </w:tcPr>
          <w:p>
            <w:pPr>
              <w:pStyle w:val="30"/>
              <w:adjustRightInd w:val="0"/>
              <w:spacing w:line="31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1538" w:type="pct"/>
            <w:vAlign w:val="center"/>
          </w:tcPr>
          <w:p>
            <w:pPr>
              <w:pStyle w:val="30"/>
              <w:adjustRightInd w:val="0"/>
              <w:spacing w:line="312"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智慧物流方案设计与实施VR虚拟仿真软件</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restart"/>
            <w:vAlign w:val="center"/>
          </w:tcPr>
          <w:p>
            <w:pPr>
              <w:pStyle w:val="30"/>
              <w:numPr>
                <w:ilvl w:val="0"/>
                <w:numId w:val="2"/>
              </w:numPr>
              <w:adjustRightInd w:val="0"/>
              <w:spacing w:line="31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具体要求参见</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二、详细技术</w:t>
            </w:r>
            <w:r>
              <w:rPr>
                <w:rFonts w:hint="eastAsia" w:ascii="Times New Roman" w:hAnsi="Times New Roman" w:eastAsia="宋体" w:cs="Times New Roman"/>
                <w:sz w:val="24"/>
                <w:szCs w:val="24"/>
                <w:lang w:eastAsia="zh-CN"/>
              </w:rPr>
              <w:t>参数</w:t>
            </w:r>
            <w:r>
              <w:rPr>
                <w:rFonts w:hint="default" w:ascii="Times New Roman" w:hAnsi="Times New Roman" w:eastAsia="宋体" w:cs="Times New Roman"/>
                <w:sz w:val="24"/>
                <w:szCs w:val="24"/>
              </w:rPr>
              <w:t>要求</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pPr>
              <w:pStyle w:val="30"/>
              <w:numPr>
                <w:ilvl w:val="0"/>
                <w:numId w:val="0"/>
              </w:numPr>
              <w:adjustRightInd w:val="0"/>
              <w:spacing w:line="312" w:lineRule="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2、</w:t>
            </w:r>
            <w:r>
              <w:rPr>
                <w:rFonts w:hint="eastAsia" w:ascii="Times New Roman" w:hAnsi="Times New Roman" w:eastAsia="宋体" w:cs="Times New Roman"/>
                <w:sz w:val="24"/>
                <w:szCs w:val="24"/>
              </w:rPr>
              <w:t>本项目采购标的所属行业为：</w:t>
            </w:r>
            <w:r>
              <w:rPr>
                <w:rFonts w:hint="eastAsia" w:ascii="Times New Roman" w:hAnsi="Times New Roman" w:eastAsia="宋体" w:cs="Times New Roman"/>
                <w:sz w:val="24"/>
                <w:szCs w:val="24"/>
                <w:lang w:eastAsia="zh-CN"/>
              </w:rPr>
              <w:t>工业</w:t>
            </w:r>
            <w:r>
              <w:rPr>
                <w:rFonts w:hint="eastAsia"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AR实训台</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1张</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仓储布局规划仿真软件</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智能物流设备AR软件</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快递运营职业技能实训平台</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智能物流教学资源管理模块</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VR中控机</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VR显示屏</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PC端VR头式操作设备</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头戴式显示设备</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台式电脑</w:t>
            </w:r>
            <w:r>
              <w:rPr>
                <w:rFonts w:hint="eastAsia" w:cs="Times New Roman"/>
                <w:i w:val="0"/>
                <w:iCs w:val="0"/>
                <w:color w:val="000000"/>
                <w:kern w:val="0"/>
                <w:sz w:val="24"/>
                <w:szCs w:val="24"/>
                <w:highlight w:val="none"/>
                <w:u w:val="none"/>
                <w:lang w:val="en-US" w:eastAsia="zh-CN" w:bidi="ar"/>
              </w:rPr>
              <w:t>1</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2台</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投影仪</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智能教学管理设备</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企业级千兆路由</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1个</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多媒体设备</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交换机</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1台</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网络机柜</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1台</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教师桌椅</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学生桌椅</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48套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文件柜</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2个</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物流考证管理系统</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物流考证教学资源（中级工、高级工）</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物流考证题库</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20套</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物流考证教材</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2本</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台式电脑</w:t>
            </w:r>
            <w:r>
              <w:rPr>
                <w:rFonts w:hint="eastAsia" w:cs="Times New Roman"/>
                <w:i w:val="0"/>
                <w:iCs w:val="0"/>
                <w:color w:val="000000"/>
                <w:kern w:val="0"/>
                <w:sz w:val="24"/>
                <w:szCs w:val="24"/>
                <w:highlight w:val="none"/>
                <w:u w:val="none"/>
                <w:lang w:val="en-US" w:eastAsia="zh-CN" w:bidi="ar"/>
              </w:rPr>
              <w:t>2</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98台</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文件柜</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4个</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53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雨伞收纳柜</w:t>
            </w:r>
          </w:p>
        </w:tc>
        <w:tc>
          <w:tcPr>
            <w:tcW w:w="57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2个</w:t>
            </w:r>
          </w:p>
        </w:tc>
        <w:tc>
          <w:tcPr>
            <w:tcW w:w="1538" w:type="pct"/>
            <w:vMerge w:val="continue"/>
            <w:vAlign w:val="center"/>
          </w:tcPr>
          <w:p>
            <w:pPr>
              <w:pStyle w:val="30"/>
              <w:adjustRightInd w:val="0"/>
              <w:spacing w:line="312" w:lineRule="auto"/>
              <w:jc w:val="center"/>
              <w:rPr>
                <w:rFonts w:hint="default" w:ascii="Times New Roman" w:hAnsi="Times New Roman" w:eastAsia="宋体" w:cs="Times New Roman"/>
                <w:sz w:val="24"/>
                <w:szCs w:val="24"/>
              </w:rPr>
            </w:pPr>
          </w:p>
        </w:tc>
      </w:tr>
      <w:bookmarkEnd w:id="44"/>
    </w:tbl>
    <w:p>
      <w:pPr>
        <w:pStyle w:val="5"/>
        <w:widowControl w:val="0"/>
        <w:spacing w:before="120" w:after="120" w:line="312" w:lineRule="auto"/>
        <w:jc w:val="both"/>
        <w:rPr>
          <w:rFonts w:ascii="Times New Roman" w:hAnsi="Times New Roman" w:eastAsia="宋体"/>
          <w:bCs w:val="0"/>
          <w:sz w:val="24"/>
          <w:szCs w:val="24"/>
        </w:rPr>
      </w:pPr>
      <w:bookmarkStart w:id="47" w:name="_Toc37951772"/>
      <w:bookmarkStart w:id="48" w:name="_Toc511291243"/>
      <w:bookmarkStart w:id="49" w:name="_Toc519089551"/>
      <w:bookmarkStart w:id="50" w:name="_Toc12525"/>
      <w:r>
        <w:rPr>
          <w:rFonts w:ascii="Times New Roman" w:hAnsi="Times New Roman" w:eastAsia="宋体"/>
          <w:bCs w:val="0"/>
          <w:sz w:val="24"/>
          <w:szCs w:val="24"/>
        </w:rPr>
        <w:t>二、</w:t>
      </w:r>
      <w:bookmarkEnd w:id="47"/>
      <w:bookmarkEnd w:id="48"/>
      <w:bookmarkEnd w:id="49"/>
      <w:r>
        <w:rPr>
          <w:rFonts w:ascii="Times New Roman" w:hAnsi="Times New Roman" w:eastAsia="宋体"/>
          <w:bCs w:val="0"/>
          <w:sz w:val="24"/>
          <w:szCs w:val="24"/>
        </w:rPr>
        <w:t>详细技术</w:t>
      </w:r>
      <w:r>
        <w:rPr>
          <w:rFonts w:hint="eastAsia" w:ascii="Times New Roman" w:hAnsi="Times New Roman" w:eastAsia="宋体"/>
          <w:bCs w:val="0"/>
          <w:sz w:val="24"/>
          <w:szCs w:val="24"/>
          <w:lang w:eastAsia="zh-CN"/>
        </w:rPr>
        <w:t>参数</w:t>
      </w:r>
      <w:r>
        <w:rPr>
          <w:rFonts w:ascii="Times New Roman" w:hAnsi="Times New Roman" w:eastAsia="宋体"/>
          <w:bCs w:val="0"/>
          <w:sz w:val="24"/>
          <w:szCs w:val="24"/>
        </w:rPr>
        <w:t>要求</w:t>
      </w:r>
      <w:bookmarkEnd w:id="50"/>
    </w:p>
    <w:tbl>
      <w:tblPr>
        <w:tblStyle w:val="57"/>
        <w:tblW w:w="997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05"/>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1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705" w:type="dxa"/>
            <w:vAlign w:val="center"/>
          </w:tcPr>
          <w:p>
            <w:pPr>
              <w:spacing w:line="31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tc>
        <w:tc>
          <w:tcPr>
            <w:tcW w:w="8535" w:type="dxa"/>
            <w:vAlign w:val="center"/>
          </w:tcPr>
          <w:p>
            <w:pPr>
              <w:spacing w:line="312"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技术参数</w:t>
            </w:r>
            <w:r>
              <w:rPr>
                <w:rFonts w:hint="default" w:ascii="Times New Roman" w:hAnsi="Times New Roman" w:eastAsia="宋体" w:cs="Times New Roman"/>
                <w:sz w:val="24"/>
                <w:szCs w:val="24"/>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i w:val="0"/>
                <w:iCs w:val="0"/>
                <w:color w:val="FF0000"/>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智慧物流方案设计与实施VR虚拟仿真软件</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一、产品概述</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智慧物流方案设计与实施VR虚拟仿真软件采用VR虚拟仿真技术，针对物流作业方案设计与实施特定场景进行全方位、多角度逼真呈现，系统结合场景认知、设备认知以及实训流程介绍，采用趣味性教学的方式，让学生在学习的同时能身临其境体验真实情境，培养学生完成工作任务的核心能力，支持核心能力的专业理论知识、专业技能、职业素养，以及其他非专业能力，从而辅助开展智慧仓储与配送作业设计与实施的课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二、产品特点</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1、系统调用底层接口实现和外部硬件设备的数据传输，实现光学传感器的追踪定位、手柄交互数据的处理。</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2、支持多种屏幕比例自适应，支持UI动画。采用专业的3dmax图形烘焙技术，展示了逼真的3D效果和光影效果。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3、与主流V</w:t>
            </w:r>
            <w:r>
              <w:rPr>
                <w:rFonts w:hint="default" w:cs="Times New Roman"/>
                <w:i w:val="0"/>
                <w:iCs w:val="0"/>
                <w:color w:val="000000"/>
                <w:kern w:val="0"/>
                <w:sz w:val="24"/>
                <w:szCs w:val="24"/>
                <w:u w:val="none"/>
                <w:lang w:val="en-US" w:eastAsia="zh-CN" w:bidi="ar"/>
              </w:rPr>
              <w:t>R头显设备</w:t>
            </w:r>
            <w:r>
              <w:rPr>
                <w:rFonts w:hint="eastAsia" w:cs="Times New Roman"/>
                <w:i w:val="0"/>
                <w:iCs w:val="0"/>
                <w:color w:val="000000"/>
                <w:kern w:val="0"/>
                <w:sz w:val="24"/>
                <w:szCs w:val="24"/>
                <w:u w:val="none"/>
                <w:lang w:val="en-US" w:eastAsia="zh-CN" w:bidi="ar"/>
              </w:rPr>
              <w:t>可兼容，流畅稳定运行</w:t>
            </w:r>
            <w:r>
              <w:rPr>
                <w:rFonts w:hint="default" w:cs="Times New Roman"/>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4、全景沉浸式展示真实智慧仓储与配送作业设计与实施场景。</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5、前端采用Unity3D游戏引擎组件化开发架构，后台采用J2EE架构开发，整个软件采C/S架构部署、支持自定义服务器。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三、产品功能</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1、后端：提供加密服务及用户管理服务。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2、前端：用户使用方式智能化，用户通过VR外部硬件，佩戴VR智能头盔可以在软件内移动、触发、浏览、操作，用户沉浸式体验、学习，增加软件的趣味性和体验感。</w:t>
            </w:r>
          </w:p>
          <w:p>
            <w:pPr>
              <w:keepNext w:val="0"/>
              <w:keepLines w:val="0"/>
              <w:widowControl/>
              <w:suppressLineNumbers w:val="0"/>
              <w:jc w:val="left"/>
              <w:textAlignment w:val="center"/>
              <w:rPr>
                <w:rFonts w:hint="eastAsia"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3、投标演示：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、VR智慧物流作业方案设计与实施系统场景：1:1真实模拟的智慧仓储与配送作业设计与实施场景包括：</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eastAsia"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模拟真实大小65m*25m共计1600多平方米的VR智慧物流作业方案设计与实施系统场景区域，包含1楼作业区、2楼周边通道区。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eastAsia"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场景包含可同时供四组参赛队伍比赛的作业区包含通道闸机、录入打印区、参观及作业通道、Kiva机器人、电子播种墙、VR虚拟配送设备4套、AR智能拣选、阁楼货架（阁楼平面设计承重300KG/平米，钢材表面处理：除锈、磷化、环氧化脂、静电喷塑，含护栏、扶手及楼梯）、重型货架、巷道立体仓库（含两排货架，每排货架15列8层共120个货位，两排货架共240个货位）、四分拣口分拣系统、电子显示屏、模拟配送车等。</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eastAsia"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智慧仓储与配送作业设计与实施重点设备介绍：漫游到指定设备区域，会对设备进行介绍包含电子播种墙、Kiva机器人、VR设备、AR拣货设备、智能穿戴设备、自动化利库、阁楼货架、配送车。</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3.2</w:t>
            </w:r>
            <w:r>
              <w:rPr>
                <w:rFonts w:hint="default" w:ascii="Times New Roman" w:hAnsi="Times New Roman" w:eastAsia="宋体" w:cs="Times New Roman"/>
                <w:i w:val="0"/>
                <w:iCs w:val="0"/>
                <w:color w:val="000000"/>
                <w:kern w:val="0"/>
                <w:sz w:val="24"/>
                <w:szCs w:val="24"/>
                <w:u w:val="none"/>
                <w:lang w:val="en-US" w:eastAsia="zh-CN" w:bidi="ar"/>
              </w:rPr>
              <w:t>、结合智慧仓储与配送作业设计与实施场景身临其境展作业流程：通过VR头显设备及手柄控制器沉浸式操作体验智慧仓储与配送作业设计与实施流程，系统会定点提示流程内容并且指示相应作业区域，让更好的了解熟悉掌握赛程要点。</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eastAsia"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检录、赛前准备：VR智慧物流作业方案设计与实施系统场景区域熟悉、设备检测、方案修改打印、裁判宣布开始。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eastAsia"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入库：货物检验、组托、上架。</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eastAsia"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出库：制作出库单；出货区分为：电子标签立库区、重型货架区、电子播种墙；设备包含：拣选台车、周转箱、拆板箱等。</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eastAsia"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装车配送：根据装车配载原则进行装车、线路优化配送。</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eastAsia" w:ascii="宋体" w:hAnsi="宋体" w:cs="宋体"/>
                <w:szCs w:val="21"/>
              </w:rPr>
              <w:t>▲</w:t>
            </w:r>
            <w:r>
              <w:rPr>
                <w:rFonts w:hint="eastAsia"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模拟无人机配送。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AR实训台</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AR台桌面尺寸 40寸 （910mm x 1160mm x 670mm）</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屏幕分辨率 全高清（1920 x 1080）</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图像捕捉 高速摄像模组 120FPS</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AR工作站 CPU Intel i5 四核</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内存4GB DDR3</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显示卡：NVIDIA GTX1060 6G</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硬盘500G无线键鼠电源800w</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投影机 亮度3500 ANSI流明</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对比度：2000：1</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带宽：170MHz（模拟RGB）</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165兆像素/秒（HDVI/DVI）</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灯泡类型：2 x 465 W UHP灯</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计算机兼容：高达1920 x 1200</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色温：用户选择范围5400K-9300K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仓储布局规划仿真软件</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一、产品概述</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利用创新型交互标签（Marker）控制虚拟模型多元化交互方式，操作屏与拓展屏同步，使二维平面设计与三维场景还原无缝衔接并实时呈现，每个Marker代表仓储布局中不同元素并且可实现对相应元素的多维交互，提供仓储规划布局、仓储设施设备学习、作业动线、设计效果评估、模拟角色进行出入库作业等操作内容，软件分为PC端和AR台端，PC端主要进行交互编辑以及自主规划设计，AR端进行相关标准仓库案例展示、知识点呈现以及学生设计内容三维交互展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二、</w:t>
            </w:r>
            <w:r>
              <w:rPr>
                <w:rFonts w:hint="eastAsia" w:cs="Times New Roman"/>
                <w:i w:val="0"/>
                <w:iCs w:val="0"/>
                <w:color w:val="000000"/>
                <w:kern w:val="0"/>
                <w:sz w:val="24"/>
                <w:szCs w:val="24"/>
                <w:u w:val="none"/>
                <w:lang w:val="en-US" w:eastAsia="zh-CN" w:bidi="ar"/>
              </w:rPr>
              <w:t>投标演示：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产品功能</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default" w:ascii="Times New Roman" w:hAnsi="Times New Roman" w:eastAsia="宋体" w:cs="Times New Roman"/>
                <w:i w:val="0"/>
                <w:iCs w:val="0"/>
                <w:color w:val="000000"/>
                <w:kern w:val="0"/>
                <w:sz w:val="24"/>
                <w:szCs w:val="24"/>
                <w:u w:val="none"/>
                <w:lang w:val="en-US" w:eastAsia="zh-CN" w:bidi="ar"/>
              </w:rPr>
              <w:t>1、软件提供多个案例要求，PC端软件提供包含整体仓库平面视图，对仓库平面视图的自主化编辑，背包包含区域线、设备；区域线工具包括直线、虚线、实线区域框、虚线区域框、区域块等编辑工具，在编辑的过程中会实时显示线、块度、宽度，并且通过鼠标右键快捷操作对相应编辑内容进行删除、属性编辑、重置、顺时针逆时针旋转和复制。工具设备选择框中有不低于20种仓储常用设备包括叉车、电子标签货架、笼车、堆垛机、重型货架、轻型货架、封口机、打包机等，通过挑选背包中的设备进行编辑组合，达到案例要求的编辑内容。</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default" w:ascii="Times New Roman" w:hAnsi="Times New Roman" w:eastAsia="宋体" w:cs="Times New Roman"/>
                <w:i w:val="0"/>
                <w:iCs w:val="0"/>
                <w:color w:val="000000"/>
                <w:kern w:val="0"/>
                <w:sz w:val="24"/>
                <w:szCs w:val="24"/>
                <w:u w:val="none"/>
                <w:lang w:val="en-US" w:eastAsia="zh-CN" w:bidi="ar"/>
              </w:rPr>
              <w:t>2、使用背包内编辑工具并且按照布局规划原则（储存的物品及作业人员运动距离最小化、面积和空间利用率最大化、方便作业，有利于提高作业效率、有利于作业时间的充分利用和作业环节的有机衔接、有利于充分发挥设备的效能、有利于人员、设备的安全）等相关设计规范，学生按照仓库布局规划案例要求进行仓储布局规划，学生对储存、工具存放、入库、理货、拣货、发货、退货暂存等区域调整区域面积大小、位置和方向，软件包含场景数据管理，可以对编辑的模所有区域、设备的大小、坐标等信息进行保存和上传，并且可以实时调取已保存的数据内容，进行再次编辑。</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default" w:ascii="Times New Roman" w:hAnsi="Times New Roman" w:eastAsia="宋体" w:cs="Times New Roman"/>
                <w:i w:val="0"/>
                <w:iCs w:val="0"/>
                <w:color w:val="000000"/>
                <w:kern w:val="0"/>
                <w:sz w:val="24"/>
                <w:szCs w:val="24"/>
                <w:u w:val="none"/>
                <w:lang w:val="en-US" w:eastAsia="zh-CN" w:bidi="ar"/>
              </w:rPr>
              <w:t>3、AR台通过获取PC端操作布局数据进行对场景的立体还原呈现，通过交互Marker可以从各角度查看学生提交的编辑场景；下屏控制软件提供标准仓库顶视图并结合仓储作业动线、立库出库等动画表现，识别动态Marker。</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default" w:ascii="Times New Roman" w:hAnsi="Times New Roman" w:eastAsia="宋体" w:cs="Times New Roman"/>
                <w:i w:val="0"/>
                <w:iCs w:val="0"/>
                <w:color w:val="000000"/>
                <w:kern w:val="0"/>
                <w:sz w:val="24"/>
                <w:szCs w:val="24"/>
                <w:u w:val="none"/>
                <w:lang w:val="en-US" w:eastAsia="zh-CN" w:bidi="ar"/>
              </w:rPr>
              <w:t>4、AR台端提供标准仓库学习案例，通过交互Marker学生可以对仓库布局、仓库设备、仓库角色、出入库知识点、作业单据等进行多角度交互呈现，软件提供正反交错式组托视频介绍不低于1分25秒，重叠式组托视频不低于1分30秒、纵横交错式组托视频不低于1分20秒；播种分拣介绍视频不低于2分40秒，摘果分拣出库视频不低于55秒；车辆配载视频不低于1分25秒；提供模拟堆垛机上下架控制动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default" w:ascii="Times New Roman" w:hAnsi="Times New Roman" w:eastAsia="宋体" w:cs="Times New Roman"/>
                <w:i w:val="0"/>
                <w:iCs w:val="0"/>
                <w:color w:val="000000"/>
                <w:kern w:val="0"/>
                <w:sz w:val="24"/>
                <w:szCs w:val="24"/>
                <w:u w:val="none"/>
                <w:lang w:val="en-US" w:eastAsia="zh-CN" w:bidi="ar"/>
              </w:rPr>
              <w:t>5、软件通过文字展示、语音介绍等方式对仓库主管、仓管员、拣货员、理货员、搬运工、信息员等相关角色岗位介绍。</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cs="宋体"/>
                <w:szCs w:val="21"/>
              </w:rPr>
              <w:t>▲</w:t>
            </w:r>
            <w:r>
              <w:rPr>
                <w:rFonts w:hint="default" w:ascii="Times New Roman" w:hAnsi="Times New Roman" w:eastAsia="宋体" w:cs="Times New Roman"/>
                <w:i w:val="0"/>
                <w:iCs w:val="0"/>
                <w:color w:val="000000"/>
                <w:kern w:val="0"/>
                <w:sz w:val="24"/>
                <w:szCs w:val="24"/>
                <w:u w:val="none"/>
                <w:lang w:val="en-US" w:eastAsia="zh-CN" w:bidi="ar"/>
              </w:rPr>
              <w:t>6、软件提供入库单、储位分配单、拣货单、出库单、移库单、盘点单、退货申请单等相关单据，并结合出作业流程模拟单据流转。</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eastAsia" w:ascii="宋体" w:hAnsi="宋体" w:cs="宋体"/>
                <w:szCs w:val="21"/>
              </w:rPr>
              <w:t>▲</w:t>
            </w:r>
            <w:r>
              <w:rPr>
                <w:rFonts w:hint="default" w:ascii="Times New Roman" w:hAnsi="Times New Roman" w:eastAsia="宋体" w:cs="Times New Roman"/>
                <w:i w:val="0"/>
                <w:iCs w:val="0"/>
                <w:color w:val="000000"/>
                <w:kern w:val="0"/>
                <w:sz w:val="24"/>
                <w:szCs w:val="24"/>
                <w:u w:val="none"/>
                <w:lang w:val="en-US" w:eastAsia="zh-CN" w:bidi="ar"/>
              </w:rPr>
              <w:t>7、软件包含供管理员和老师登录的后台管理页面，管理员可以新增、导入老师信息，且提供模板支持批量导入；老师可以对班级和学生进行管理，支持新增、删除、查询、批量导入和独立编辑。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智能物流设备AR软件</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一、软件要求</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智能物流设备AR图册是用于智能物流设备APP扫描的实体图书，内容紧贴物流教育前沿技术详细介绍了目前物流领域先进设施设备，每种设备包括设备介绍及特点，通过智能物流设备APP扫描呈现相应资源。</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二、功能要求</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（一）、智能物流设备AR图册</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智能物流设备内容大纲：</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1、Kiva机器人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2、堆垛机器人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3、分拣机器人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4、密集库+穿梭车</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5、自动化分拣线</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6、激光引导叉车</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7、电子拣选台车</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8、物流重量体积测量设备</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9、图像识别</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10、电子货架标签</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11、电子播种墙</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12、智能穿戴</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13、AR智能拣选</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14、VR设备</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15、无人机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16、无人配送车</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17、智能快递柜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18、智慧仓储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（二）、智能物流设备移动APP</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智能物流设备APP是AR资源载体，依托智能终端、图像识别等技术把物流领域最新设备通过高仿真虚拟模型以及动态视频展示主要有一下内容：</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1、软件基于纸质书籍扫描，移动端叠加在纸质书籍上实时呈现数字内容，包括三维模型、视频、三维动画等。</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2、智能物流设备APP包含发现、AR扫描以及个人中心，全方位指引操作。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3、实时交互性：浏览智能物流设备AR图册可以对电子资源进行实时交互操作，包括视频资源的播放与暂停、三维资源交互。</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4、软件支持离线操作，手机移出所扫描的图册可以继续进行相应操作。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5、投标演示：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软件包含各智能设备以及智慧仓储介绍视频每个视频不少于时长：Kiva机器人45秒、堆垛机器人1分45秒、分拣机器人1分43秒、密集库+穿梭车52秒、交叉带分拣线40秒、滑块分拣线1分10秒、激光引导叉车2分30秒、图像识别1分30秒、电子播种墙1分33秒、自动测量体积重量设备3分20秒、智能穿戴50秒、电子货架标签1分10秒、电子拣选台车5分10秒、Hololens介绍视频2分51秒、无人机14秒、无人配送车2分28秒、智能快递柜2分53秒、菜鸟配送中心2分33秒、京东配送中心4分10秒。</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软件包含所有智能设备扫描呈现三维立体模型，包含堆垛机器人、分拣机器人、密集库+穿梭车、自动化分拣线、电子播种墙、智能穿戴、Hololens头戴设备、无人机、无人配送车、智能快递柜、Kiva机器人，每个模型可以进行屏幕拖拽各个方向展示同时有软件内含有前、后、左、右、顶、底六个按钮可各个方向按钮的精确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FF0000"/>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快递运营职业技能实训平台</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一、软件说明</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快递运营职业技能实训平台以快递服务组织为内容，是对快递运营范围内所开展的各项经营和管理工作的技术技能进行实训模拟的综合性平台，适用于快递专业及快递业务人员进行职业技能提升，1+X等级认证等综合实训、考核模拟等。</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系统基于SpringBoot轻量级快速开发框架，分层模块化设计完全遵循MVC开发模式，存储层采用mysql数据库，并采用mybatis中间件进行数据处理。基于shiro框架实现数据权限拦截，并采用guava缓存对数据进行缓存处理提高访问速度。采用完全前后端开发模式，后端接口遵循REST设计规范，采用layui前端框架实现界面开发，全系统基于JWT token和前端进行数据交互。</w:t>
            </w:r>
          </w:p>
          <w:p>
            <w:pPr>
              <w:keepNext w:val="0"/>
              <w:keepLines w:val="0"/>
              <w:widowControl/>
              <w:numPr>
                <w:ilvl w:val="0"/>
                <w:numId w:val="3"/>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软件内容及功能</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软件以快递运营知识点进行分类，涉及网点管理、处理中心管理、安全管理、数据分析、违禁物品查找、快递业务分类投递、派送路线、收派异常盘点、出入境物品判断等内容，还具有理论知识考察功能。</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网点区域分布管理：模拟快递网点内外两种不同的场景，网点的外部工作场所主要是针对功能区域的分布进行布局安排，包括装卸区，班车停车区，操作区，滞留件区，办公区，业务接待区，停车区7个区域进行合理安排，软件将区域标签对应相应的场景布局内位置进行操作，可任意调整对换标签的位置，系统倒计时计时，时间结束，自动进入内部场景的管理操作；网点内部场景主要考察学生对快件搁架的分配，对4种不同快件类型，不少于15个不同性质快件以及特殊件的安放处理，摆放特殊件时件存放区域自动调整，系统进行自动评分。</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 xml:space="preserve">网点运营管理：针对某市区进行网点及小区，商圈等信息的设置，结合人力成本、收、派件收益，车辆耗材，赔付成本等基本数据的设置，通过对周边业务数据分析，确定运营网点，进行网点资源配置及派送区域规划，测算各派送区域成本，收益等，主要考察学生对网点运营的综合规划及经营效益测算能力。软件内置平面地图，地图显示不少于500个真实小区点的显示，学生可拖动或放大地图，在地图上查看网点信息及周边小区，商圈等信息，选定网点在地图上进行突出标识。通过鼠标在地图上拖动形成网点的一个派送区域（派送段），可通过拖动线段节点，增加或删除节点进行区域范围调整，可规划多个派送区域，系统可自动识别划分的派送段的个数和各个派送段中包含的派送点的个数及业务数据，进行记录。针对各个派送区域进行资源配置、人员成本、业务支出、派件收益、收件收益等不少于9个指标进行预测计算，最后将各派送区域进行整本计算，根据运营关键性指标计算年终总收益。 </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处理中心管理主要涉及作业组织管理中的线路的调整优化，路由的规划需要考虑节点之间的空间距离、时间距离，路况，通行环境，车况、车型，两点之间的日均业务量等多方面因素的影响，根据参数和约束条件的不同进行路由能力的估算，从而做出正确的车辆车型选择，选择合适的路由类型，对开直达或双开往返等规划设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安全管理涉及违禁物品的安全及设施设备的安全知识。违禁物品安全排查根据物品的特性，在规定时间内要求快递人员能够从不少于50种的物品中找出指定类型的物品，限定做答时间，选择错误时自动扣除相应时间，查找物品位置随机改变，查找过程中随机出现干扰因素，考察学生对违禁物品的掌握。设施设备安全管理通过3D全景技术还原真实场景，根据快递场所的安全生产设备配置要求，通过鼠标拖动场景进行360度查看，并在3D场景中标注违规点，场景中不少于5个违规点的设置，做答时可随意添加或删除违规点，场景可通过放大缩小查看场景所有细节图便于学生进行判断处理，软件内置正确答案区域，结合3D场景中标注的违规点自动进行评分。</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派送路线设计：根据模拟派送某市区图，结合配送运输过程中的各种因素及派送客户的特点和要求通过选择不同的线路设计，最终达到节省时间，运距和降低配送运输成本的目的。通过平面地图的形式进行展示，设置营业网点的位置与派送点的位置（每个派送点之间可以两两相连，需要遵守交通规则），通过选择派送点的顺序，在地图上进行连线，连线的绘制遵守交通规则，最终将所有派送点进行连接，再回到营业网点。</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7、</w:t>
            </w:r>
            <w:r>
              <w:rPr>
                <w:rFonts w:hint="default" w:ascii="Times New Roman" w:hAnsi="Times New Roman" w:eastAsia="宋体" w:cs="Times New Roman"/>
                <w:i w:val="0"/>
                <w:iCs w:val="0"/>
                <w:color w:val="000000"/>
                <w:kern w:val="0"/>
                <w:sz w:val="24"/>
                <w:szCs w:val="24"/>
                <w:u w:val="none"/>
                <w:lang w:val="en-US" w:eastAsia="zh-CN" w:bidi="ar"/>
              </w:rPr>
              <w:t>快递业务分类投递：以交互方式将出现在传送带的快件完成分拣，根据快件类型将快件放入对应的分拣格口，分不同难度级别，快件内容随机变动。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8、</w:t>
            </w:r>
            <w:r>
              <w:rPr>
                <w:rFonts w:hint="default" w:ascii="Times New Roman" w:hAnsi="Times New Roman" w:eastAsia="宋体" w:cs="Times New Roman"/>
                <w:i w:val="0"/>
                <w:iCs w:val="0"/>
                <w:color w:val="000000"/>
                <w:kern w:val="0"/>
                <w:sz w:val="24"/>
                <w:szCs w:val="24"/>
                <w:u w:val="none"/>
                <w:lang w:val="en-US" w:eastAsia="zh-CN" w:bidi="ar"/>
              </w:rPr>
              <w:t>违禁物品查找：背景为摆满了各种物品的快递网点，以交互方式，限时在众多物品中找到指定类型的违禁物品。</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9、</w:t>
            </w:r>
            <w:r>
              <w:rPr>
                <w:rFonts w:hint="default" w:ascii="Times New Roman" w:hAnsi="Times New Roman" w:eastAsia="宋体" w:cs="Times New Roman"/>
                <w:i w:val="0"/>
                <w:iCs w:val="0"/>
                <w:color w:val="000000"/>
                <w:kern w:val="0"/>
                <w:sz w:val="24"/>
                <w:szCs w:val="24"/>
                <w:u w:val="none"/>
                <w:lang w:val="en-US" w:eastAsia="zh-CN" w:bidi="ar"/>
              </w:rPr>
              <w:t>眼力大考验：模拟快递集散中心，收到一批需要中转到异地的快件，这批快件需通过飞机运送到四个不同的机场。根据目的地对这批快件进行分拣，现有四个区域分别标示着四个目的地机场的代码，将快件分拣到其对应的区域。</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10、</w:t>
            </w:r>
            <w:r>
              <w:rPr>
                <w:rFonts w:hint="default" w:ascii="Times New Roman" w:hAnsi="Times New Roman" w:eastAsia="宋体" w:cs="Times New Roman"/>
                <w:i w:val="0"/>
                <w:iCs w:val="0"/>
                <w:color w:val="000000"/>
                <w:kern w:val="0"/>
                <w:sz w:val="24"/>
                <w:szCs w:val="24"/>
                <w:u w:val="none"/>
                <w:lang w:val="en-US" w:eastAsia="zh-CN" w:bidi="ar"/>
              </w:rPr>
              <w:t>疯狂泡泡：判断界面陆续出现物品是否为我国限制出入境物品，点选限寄物品，考查对出入境限寄物品的了解。</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11、</w:t>
            </w:r>
            <w:r>
              <w:rPr>
                <w:rFonts w:hint="default" w:ascii="Times New Roman" w:hAnsi="Times New Roman" w:eastAsia="宋体" w:cs="Times New Roman"/>
                <w:i w:val="0"/>
                <w:iCs w:val="0"/>
                <w:color w:val="000000"/>
                <w:kern w:val="0"/>
                <w:sz w:val="24"/>
                <w:szCs w:val="24"/>
                <w:u w:val="none"/>
                <w:lang w:val="en-US" w:eastAsia="zh-CN" w:bidi="ar"/>
              </w:rPr>
              <w:t>收派异常盘点：将快递网点不同类型的快递箱分别按异常责任、异常原因、收派结果、异常造成影响或经济损失分类进行判断。</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12、</w:t>
            </w:r>
            <w:r>
              <w:rPr>
                <w:rFonts w:hint="default" w:ascii="Times New Roman" w:hAnsi="Times New Roman" w:eastAsia="宋体" w:cs="Times New Roman"/>
                <w:i w:val="0"/>
                <w:iCs w:val="0"/>
                <w:color w:val="000000"/>
                <w:kern w:val="0"/>
                <w:sz w:val="24"/>
                <w:szCs w:val="24"/>
                <w:u w:val="none"/>
                <w:lang w:val="en-US" w:eastAsia="zh-CN" w:bidi="ar"/>
              </w:rPr>
              <w:t>软件主要包括实训内容的管理、实训模块的管理和理论考试管理，由管理员，教师和学生端组成。</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管理员端：（1）基础信息管理：对用户信息和模块内容进行管理。可对用户信息进行增删改查，可进行模块内容的设置；（2）权限管理：对实训的模块内容进行权限控制，学生只能在权限范围内进行模块内容的练习或实训；（3）理论考试管理：题库管理、考试试卷的增删改查，考试的新增发布等。</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教师端：（1）班级及学生用户信息的管理，可批量导入学生账号（2）实训管理：进行实训任务的创建，实训模块内容的选择，可选择一个或多个内容组成整个实训，并进行发布。实训结束后，系统评分的部分在学生做答完成后直接显示成绩，手动评分模块可由教师进行评分后加入总成绩，教师可对已提交的实训报告进行评阅。（3）成绩导出：教师可针对某一实训导出实训成绩，实训成绩单根据实训中模块的不同进行成绩的显示；可以将理论考试成绩导出，显示成绩与排名。</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zh-TW" w:eastAsia="zh-TW" w:bidi="ar-SA"/>
              </w:rPr>
            </w:pPr>
            <w:r>
              <w:rPr>
                <w:rFonts w:hint="default" w:ascii="Times New Roman" w:hAnsi="Times New Roman" w:eastAsia="宋体" w:cs="Times New Roman"/>
                <w:i w:val="0"/>
                <w:iCs w:val="0"/>
                <w:color w:val="000000"/>
                <w:kern w:val="0"/>
                <w:sz w:val="24"/>
                <w:szCs w:val="24"/>
                <w:u w:val="none"/>
                <w:lang w:val="en-US" w:eastAsia="zh-CN" w:bidi="ar"/>
              </w:rPr>
              <w:t>学生端：（1）自由练习：学生可对公开权限内的内容进行自由操作练习，在受限范围内需要教师端进行任务发布后进行操作。练习完成后即时显示做答内容或答案详情。（2）实训操作：对教师发布的实训任务进行操作，提交实训报告及查看教师批阅详情。学生可对模块查看做答的详情和正确答案。（3）理论考试：完成教师发布的理论考试，交卷后可以在考试列表查看得分和作答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智能物流教学资源管理模块</w:t>
            </w:r>
          </w:p>
        </w:tc>
        <w:tc>
          <w:tcPr>
            <w:tcW w:w="8535" w:type="dxa"/>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管理模块为云端系统，云系统主要协助教师通过系统进行教学内容准备和课堂教学应用。</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云系统由WEB端、同步端和手机移动端三部分组成，具体要求如下：</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一、Web端技术要求</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(一)文件云存储</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1、实现基于互联网云系统的文件存储，采用账号式管理，不限地点、位置均可访问查看，PC客户端要求支持Windows、Mac 。</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2、提供文件分布式存储方式，可根据学校数据不断增加，扩大存储空间。</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3、根据学校组织架构搭建产品架构，如行政部门、二级学院、专业、年级、班级、社团等。</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▲4、提供文件一键交接功能，当出现岗位调动、人员离职等情况可将其账号下所有文件一键交接至另一账户。</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（二）文件管理</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1、云系统支持各大主流浏览器访问，满足众多师生原有使用习惯。</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2、通用类文件预览，支持在线查看多种格式文件，包含通用的doc、docx、xls、xlsx、ppt、pptx、jpg、jpeg、bmp、txt、pdf等文件。</w:t>
            </w:r>
          </w:p>
          <w:p>
            <w:pPr>
              <w:pStyle w:val="56"/>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 可通过邮箱及手机号邀请学校外部成员进行协作共享，并给外部协作者设置六级权限，可在协作文件夹内进行评论、编辑等协作。</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▲4、文件</w:t>
            </w:r>
            <w:r>
              <w:rPr>
                <w:rFonts w:hint="default" w:ascii="Times New Roman" w:hAnsi="Times New Roman" w:eastAsia="宋体" w:cs="Times New Roman"/>
                <w:sz w:val="24"/>
                <w:szCs w:val="24"/>
                <w:lang w:val="en-US" w:eastAsia="zh-CN"/>
              </w:rPr>
              <w:t>WPS</w:t>
            </w:r>
            <w:r>
              <w:rPr>
                <w:rFonts w:hint="default" w:ascii="Times New Roman" w:hAnsi="Times New Roman" w:eastAsia="宋体" w:cs="Times New Roman"/>
                <w:sz w:val="24"/>
                <w:szCs w:val="24"/>
              </w:rPr>
              <w:t>在线编辑功能，支持在</w:t>
            </w:r>
            <w:r>
              <w:rPr>
                <w:rFonts w:hint="default" w:ascii="Times New Roman" w:hAnsi="Times New Roman" w:eastAsia="宋体" w:cs="Times New Roman"/>
                <w:sz w:val="24"/>
                <w:szCs w:val="24"/>
                <w:lang w:val="en-US" w:eastAsia="zh-CN"/>
              </w:rPr>
              <w:t>网页端及客户端</w:t>
            </w:r>
            <w:r>
              <w:rPr>
                <w:rFonts w:hint="default" w:ascii="Times New Roman" w:hAnsi="Times New Roman" w:eastAsia="宋体" w:cs="Times New Roman"/>
                <w:sz w:val="24"/>
                <w:szCs w:val="24"/>
              </w:rPr>
              <w:t>界面直接编辑</w:t>
            </w:r>
            <w:r>
              <w:rPr>
                <w:rFonts w:hint="default" w:ascii="Times New Roman" w:hAnsi="Times New Roman" w:eastAsia="宋体" w:cs="Times New Roman"/>
                <w:sz w:val="24"/>
                <w:szCs w:val="24"/>
                <w:lang w:val="en-US" w:eastAsia="zh-CN"/>
              </w:rPr>
              <w:t>word、excel、ppt、pdf</w:t>
            </w:r>
            <w:r>
              <w:rPr>
                <w:rFonts w:hint="default" w:ascii="Times New Roman" w:hAnsi="Times New Roman" w:eastAsia="宋体" w:cs="Times New Roman"/>
                <w:sz w:val="24"/>
                <w:szCs w:val="24"/>
              </w:rPr>
              <w:t>文件，编辑完成之后自动保存到系统，无需再次上传。</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5、历史版本自动保存，文件编辑后自动保存修改前的版本为历史版本，支持查看、恢复和删除文件的历史版本，可以保存</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0个历史版本。</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6、系统具有消息系统，支持基于文件的消息发送、消息讨论、消息搜索，所有讨论消息在文件下方，可方便追溯针对文件的所有历史消息。</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▲7、消息系统汇集协作、分享、审阅、评论、部门和群组五大类型的消息，并有新消息提醒。</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8、标题搜索，输入关键字可快速查找到所需标题。</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9、全文搜索，输入关键字可对文件正文进行搜索，快速定位相关文件。</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10、标签与收藏，支持对文件或文件夹添加收藏和标签，通过收藏、标签快速定位所需文件。</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11、内部分享，支持将文件、文件夹分享至同事、群组、组织架构内的部门。</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12、外部分享，支持将文件、文件夹生成分享链接，复制到微信、QQ、短信、邮件等。对方无需注册云账号即可在线查看文件。对分享的链接可以进行安全设置（是否允许对方下载、链接到期时间、密码）。</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13、自动水印设置，对于分享文件，可设置其是否需要添加水印，同一份文件，不同人分享会显示相对应的分享者的姓名和账号，可通过水印直接确定文件分享者。</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▲14、支持文件的审阅，并支持对审阅文件进行讨论，</w:t>
            </w:r>
            <w:r>
              <w:rPr>
                <w:rFonts w:hint="default" w:ascii="Times New Roman" w:hAnsi="Times New Roman" w:eastAsia="宋体" w:cs="Times New Roman"/>
                <w:sz w:val="24"/>
                <w:szCs w:val="24"/>
                <w:lang w:val="en-US" w:eastAsia="zh-CN"/>
              </w:rPr>
              <w:t>并支持对修改抄送人及关闭审阅</w:t>
            </w:r>
            <w:r>
              <w:rPr>
                <w:rFonts w:hint="default" w:ascii="Times New Roman" w:hAnsi="Times New Roman" w:eastAsia="宋体" w:cs="Times New Roman"/>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15、支持文件、文件夹的移动、复制和重命名，并可查看文件属性、文件大小、文件创建和最后修改时间。</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16、提供七级安全体系，文件所有者可设置其他成员对文件的编辑、修改、下载、删除、复制、移动等权限。</w:t>
            </w:r>
          </w:p>
          <w:p>
            <w:pPr>
              <w:pStyle w:val="56"/>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17、可视化收集，云盘支持对指定用户及任何人发起收集，教师可通过云盘收集学生作业及相关教师资料，并对指定人员收集可查看已提交及未提交人员列表。</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18、支持手机号、电子邮箱两种注册方式。</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19、模块支持物流老师教学，最多不超过</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个账号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存储空间不超过1T</w:t>
            </w:r>
            <w:r>
              <w:rPr>
                <w:rFonts w:hint="default" w:ascii="Times New Roman" w:hAnsi="Times New Roman" w:eastAsia="宋体" w:cs="Times New Roman"/>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20、支持简体中文、英文二种语言。</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二、同步端技术要求</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1、支持同步端文件批量上传，将所需文件拖拽至同步端即可自动上传到云系统。</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2、支持和云端文件的双向实时更新同步。</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3、可在同步端内分享文件、文件夹。</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4、支持同步端锁定文件，避免多人编辑冲突。</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5、支持局域网加速。</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三、手机移动端技术要求</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1、移动客户端支持Android系统与iOS系统，支持手机，Pad等多种终端。</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2、移动端支持100多种格式在线预览，手机无需安装Office/CAD等软件即可通过客户端查看office文档和as、svg、tiff、ps、ai、dwg等专业文件，提供3个账号供学院使用。</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3、支持新建文件夹、重命名、查看属性和删除。</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4、移动端查找文件时，支持标题搜索、全文搜索。</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支持移动端多应用分享，可将文件分享至微信、QQ、短信、邮件等。对方无需注册云账号即可查看文件。对分享的链接可以进行安全设置（是否允许对方下载、链接到期时间、密码），支持发送给同事/群组并附言。</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6、移动端水印管理，对于已设置好的水印文件，移动端预览、分享同样显示水印，水印内容为分享者的姓名和账号。</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▲7、移动端评论，移动端可对文件发表评论，并可@协作者提醒特定同事或群组，评论时可发送语音消息和文字消息。</w:t>
            </w:r>
          </w:p>
          <w:p>
            <w:pPr>
              <w:numPr>
                <w:ilvl w:val="0"/>
                <w:numId w:val="4"/>
              </w:num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移动端支持上传本地照片和拍照上传。</w:t>
            </w:r>
          </w:p>
          <w:p>
            <w:pPr>
              <w:pStyle w:val="56"/>
              <w:numPr>
                <w:ilvl w:val="-1"/>
                <w:numId w:val="0"/>
              </w:numPr>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9、移动端支持对文件夹发起收集，可对指定人及任何人发起收集，可管理我的收集支持再次编辑收集及截止收集。</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▲10、移动端支持文件的审阅。</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11、移动端支持查看同事的电话、邮箱和所属部门。</w:t>
            </w:r>
          </w:p>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12、支持编辑个人头像、姓名、手机号。</w:t>
            </w:r>
          </w:p>
          <w:p>
            <w:pPr>
              <w:pStyle w:val="56"/>
              <w:ind w:left="0" w:leftChars="0" w:firstLine="0" w:firstLineChars="0"/>
              <w:rPr>
                <w:rFonts w:hint="default" w:ascii="Times New Roman" w:hAnsi="Times New Roman" w:eastAsia="宋体" w:cs="Times New Roman"/>
                <w:b w:val="0"/>
                <w:bCs w:val="0"/>
                <w:sz w:val="24"/>
                <w:szCs w:val="24"/>
                <w:shd w:val="clear" w:color="auto" w:fill="auto"/>
                <w:lang w:val="zh-TW" w:eastAsia="zh-TW" w:bidi="ar-SA"/>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13、</w:t>
            </w:r>
            <w:r>
              <w:rPr>
                <w:rFonts w:hint="eastAsia" w:cs="Times New Roman"/>
                <w:sz w:val="24"/>
                <w:szCs w:val="24"/>
                <w:lang w:val="en-US" w:eastAsia="zh-CN"/>
              </w:rPr>
              <w:t>中标后签订合同后七个工作日内</w:t>
            </w:r>
            <w:r>
              <w:rPr>
                <w:rFonts w:hint="default" w:ascii="Times New Roman" w:hAnsi="Times New Roman" w:eastAsia="宋体" w:cs="Times New Roman"/>
                <w:sz w:val="24"/>
                <w:szCs w:val="24"/>
                <w:lang w:val="en-US" w:eastAsia="zh-CN"/>
              </w:rPr>
              <w:t>提供原厂家授权书、售后服务承诺书。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VR中控机</w:t>
            </w:r>
          </w:p>
        </w:tc>
        <w:tc>
          <w:tcPr>
            <w:tcW w:w="8535" w:type="dxa"/>
            <w:vAlign w:val="center"/>
          </w:tcPr>
          <w:p>
            <w:pPr>
              <w:keepNext w:val="0"/>
              <w:keepLines w:val="0"/>
              <w:widowControl/>
              <w:numPr>
                <w:ilvl w:val="0"/>
                <w:numId w:val="5"/>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平台 </w:t>
            </w:r>
          </w:p>
          <w:p>
            <w:pPr>
              <w:keepNext w:val="0"/>
              <w:keepLines w:val="0"/>
              <w:widowControl/>
              <w:numPr>
                <w:ilvl w:val="0"/>
                <w:numId w:val="6"/>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采用一体化、模块化整体结构设计、符合人体工程学设计；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外观端庄典雅;造型美观大方;流线造型、现代感强；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机体全钢结构、表面采用高温喷塑工艺，多种颜色可选，变换自如；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主机体独立排气风扇 内部机电设备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多媒体组件：立体功效，2*5W音箱，内磁式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散热：内置12V散热风扇，效果良好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网络接口：RJ45八芯标准通讯接口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复位开关：无需开机柜，直接外置复位开关机，方便快捷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电源：内置安全可靠的电源外引线及插座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板材厚度：≥冷扎钢板1.5mm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表面涂层：高温喷塑 </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光源：蓝色5050高亮度led 12V/30A高功率双供电系统 </w:t>
            </w:r>
          </w:p>
          <w:p>
            <w:pPr>
              <w:keepNext w:val="0"/>
              <w:keepLines w:val="0"/>
              <w:widowControl/>
              <w:numPr>
                <w:ilvl w:val="0"/>
                <w:numId w:val="5"/>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电脑主机： </w:t>
            </w:r>
          </w:p>
          <w:p>
            <w:pPr>
              <w:keepNext w:val="0"/>
              <w:keepLines w:val="0"/>
              <w:widowControl/>
              <w:numPr>
                <w:ilvl w:val="0"/>
                <w:numId w:val="7"/>
              </w:numPr>
              <w:suppressLineNumbers w:val="0"/>
              <w:ind w:left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机箱：准机箱，整体模块化设计，支持免工具拆卸，易于搬运，防止机器内关键部件被拆除；线锁插槽：防止机器被整机搬迁 </w:t>
            </w:r>
          </w:p>
          <w:p>
            <w:pPr>
              <w:keepNext w:val="0"/>
              <w:keepLines w:val="0"/>
              <w:widowControl/>
              <w:numPr>
                <w:ilvl w:val="0"/>
                <w:numId w:val="7"/>
              </w:numPr>
              <w:suppressLineNumbers w:val="0"/>
              <w:ind w:leftChars="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随机应用：具有设计与分析应用软件的性能优化功能，通过整合针对单线程与多线程应用软件使用模式的资源，最终实现更为流畅的操作体验优化后可使主流的设计软件有明显性能提升，所提供的性能优化整体解决方案软件需同时提供硬件性能监控和警报功能。 </w:t>
            </w:r>
          </w:p>
          <w:p>
            <w:pPr>
              <w:keepNext w:val="0"/>
              <w:keepLines w:val="0"/>
              <w:widowControl/>
              <w:numPr>
                <w:ilvl w:val="0"/>
                <w:numId w:val="7"/>
              </w:numPr>
              <w:suppressLineNumbers w:val="0"/>
              <w:ind w:leftChars="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服务：提供三年部件及人工服务，原厂400/800 技术支持，可通过网络、电话、邮件等方式提供软硬件技术支持；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VR显示屏</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显示设备显示屏45寸及以上显示器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PC端VR头式操作设备</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含一个蓝牙模块，HDMI线4米 三、显示设备 屏幕分辨率：单眼分辨率≥1080 x 1200像素（组合分辨率≥2160 x 1200像素）； 空间定位模式：Inside-Out； 响应时间：6ms 光学设计：视场角；单眼 90°； 传感器：陀螺仪；9轴； 接口：HDMI、USB 2.0、3.5 mm立体耳机插座、电源插座、蓝牙支持； 机身材质分类：PC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头戴式显示设备</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手柄2个配套头戴式使用。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70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台式电脑</w:t>
            </w:r>
            <w:r>
              <w:rPr>
                <w:rFonts w:hint="eastAsia" w:cs="Times New Roman"/>
                <w:i w:val="0"/>
                <w:iCs w:val="0"/>
                <w:color w:val="000000"/>
                <w:kern w:val="0"/>
                <w:sz w:val="24"/>
                <w:szCs w:val="24"/>
                <w:highlight w:val="none"/>
                <w:u w:val="none"/>
                <w:lang w:val="en-US" w:eastAsia="zh-CN" w:bidi="ar"/>
              </w:rPr>
              <w:t>1</w:t>
            </w:r>
          </w:p>
        </w:tc>
        <w:tc>
          <w:tcPr>
            <w:tcW w:w="8535" w:type="dxa"/>
            <w:vAlign w:val="center"/>
          </w:tcPr>
          <w:p>
            <w:pPr>
              <w:keepNext w:val="0"/>
              <w:keepLines w:val="0"/>
              <w:widowControl/>
              <w:numPr>
                <w:ilvl w:val="0"/>
                <w:numId w:val="8"/>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主板：Intel B365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2、CPU：Core I5-9400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3、内存：≥16G*1 DDR4 2400MHz 内存，最大可支持64</w:t>
            </w:r>
            <w:r>
              <w:rPr>
                <w:rFonts w:hint="eastAsia" w:cs="Times New Roman"/>
                <w:i w:val="0"/>
                <w:iCs w:val="0"/>
                <w:color w:val="000000"/>
                <w:kern w:val="0"/>
                <w:sz w:val="24"/>
                <w:szCs w:val="24"/>
                <w:u w:val="none"/>
                <w:lang w:val="en-US" w:eastAsia="zh-CN" w:bidi="ar"/>
              </w:rPr>
              <w:t>G</w:t>
            </w:r>
            <w:r>
              <w:rPr>
                <w:rFonts w:hint="default" w:ascii="Times New Roman" w:hAnsi="Times New Roman" w:eastAsia="宋体" w:cs="Times New Roman"/>
                <w:i w:val="0"/>
                <w:iCs w:val="0"/>
                <w:color w:val="000000"/>
                <w:kern w:val="0"/>
                <w:sz w:val="24"/>
                <w:szCs w:val="24"/>
                <w:u w:val="none"/>
                <w:lang w:val="en-US" w:eastAsia="zh-CN" w:bidi="ar"/>
              </w:rPr>
              <w:t xml:space="preserve">内存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 xml:space="preserve">、硬盘：≥512 SSD 硬盘，最大可支持3个硬盘，可支持任意组合的2个3.5寸或2.5寸硬盘,+1个 M.2硬盘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 xml:space="preserve">、显卡：显存≥ 6G 带 HDMI接口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 xml:space="preserve">、读卡器：Integrated 9-in-1_MCR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7</w:t>
            </w:r>
            <w:r>
              <w:rPr>
                <w:rFonts w:hint="default" w:ascii="Times New Roman" w:hAnsi="Times New Roman" w:eastAsia="宋体" w:cs="Times New Roman"/>
                <w:i w:val="0"/>
                <w:iCs w:val="0"/>
                <w:color w:val="000000"/>
                <w:kern w:val="0"/>
                <w:sz w:val="24"/>
                <w:szCs w:val="24"/>
                <w:u w:val="none"/>
                <w:lang w:val="en-US" w:eastAsia="zh-CN" w:bidi="ar"/>
              </w:rPr>
              <w:t xml:space="preserve">、电源：500W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8</w:t>
            </w:r>
            <w:r>
              <w:rPr>
                <w:rFonts w:hint="default" w:ascii="Times New Roman" w:hAnsi="Times New Roman" w:eastAsia="宋体" w:cs="Times New Roman"/>
                <w:i w:val="0"/>
                <w:iCs w:val="0"/>
                <w:color w:val="000000"/>
                <w:kern w:val="0"/>
                <w:sz w:val="24"/>
                <w:szCs w:val="24"/>
                <w:u w:val="none"/>
                <w:lang w:val="en-US" w:eastAsia="zh-CN" w:bidi="ar"/>
              </w:rPr>
              <w:t xml:space="preserve">、键鼠：PS/2 键盘、鼠标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9</w:t>
            </w:r>
            <w:r>
              <w:rPr>
                <w:rFonts w:hint="default" w:ascii="Times New Roman" w:hAnsi="Times New Roman" w:eastAsia="宋体" w:cs="Times New Roman"/>
                <w:i w:val="0"/>
                <w:iCs w:val="0"/>
                <w:color w:val="000000"/>
                <w:kern w:val="0"/>
                <w:sz w:val="24"/>
                <w:szCs w:val="24"/>
                <w:u w:val="none"/>
                <w:lang w:val="en-US" w:eastAsia="zh-CN" w:bidi="ar"/>
              </w:rPr>
              <w:t xml:space="preserve">、系统：DOS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 xml:space="preserve">、光驱：DVD刻录光驱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、显示器：尺寸≥23.5英寸；分辨率≥3840× 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投影仪</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4:3比例，3700流明，自带支架和投影幕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智能教学管理设备</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 软件须支持桌面批注模式：以Windows桌面为主体交互界面，在该界面中直接调用本地应用打开文档，支持屏幕表层的绘笔批注橡皮擦擦除，支持下拉黑板、快照、实录、互动活动、屏幕键盘、便签、浏览器等工具调用，可一键切换至白板模式。</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 软件须支持白板模式：以白板为主体交互界面，可集中管理教学课件，每一个打开的文档以内嵌应用窗口的方式浮现在软件界面之上，支持课件的多点手势操作，提供下拉黑板、快照、实录、互动活动、屏幕键盘、便签、浏览器等工具调用，可一键切换至桌面批注模式。</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 软件须提供下拉黑板：可从各应用的顶层下拉唤起，下拉后覆盖整个屏幕，提供绘笔、板擦等工具，在黑板上直接写出笔锋、笔顿的字体，支持手指书写、手掌擦除的操作方式，支持颜色背景和图片背景的自定义修改，支持黑板页的任意新建、浏览与跳转。</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 软件须提供绘笔工具：提供普通笔、软笔、荧光笔等多种书写工具，支持绘笔的颜色设置和粗细调节。</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 软件须提供橡皮擦工具：用于擦除绘笔书写的内容，支持点擦、整笔擦、面积擦和一键清屏功能，在书写状态下不用切换至橡皮擦命令利用手掌即可擦除板书内容。</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 软件须支持屏幕截屏：可截取屏幕的任意区域，后续操作方式包括但不限于至本地存储、至白板中显示，作为题目与学生互动。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 软件须支持屏幕快照：截取整个屏幕内容以图片的方式缓存，可自动上传至云平台存储，也可导出到本地存储。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 软件须支持屏幕实录：录制整个屏幕内容以视频的方式缓存，可自动上传至云平台存储，也可导出到本地存储。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 软件须调取系统软键盘：一键调取系统软键盘至屏幕前端显示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 软件须提供便签工具：以内嵌应用窗口的方式呈现软件界面上，可任意移动位置双指可缩放便签整体大小，利用绘笔可在便签内原笔记书写，利用橡皮擦可擦除绘笔书写内容，支持多个便签同时呈现，可将便签甩出屏幕的显示范围并支持一键唤回。</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 软件须支持移动教学，通过APP可遥控教学课件，包括打开文件、切换页面、控制PPT播放等；通过手机可发起各种课堂互动活动，包括但不限于投票、挑人、讨论等互动活动，从而使教师可以脱离讲台移动授课。</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12.软件须支持无线上传照片、视频：将APP端的相片、视频上传到教学服务端显示，支持任意多个文件的上传与对比展示。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13.软件须支持PPT备注在APP端单独显示：大屏端在播放PPT时，在APP端可单独显示当前幻灯片的备注而大屏端不显示；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14.软件须支持PPT预览在APP端显示：在APP端单独显示教学服务端的幻灯片的所有预览图而教学大屏中不显示，单击则跳转到对应的幻灯片。</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 软件须支持签到功能：支持扫码签到和IP自动连接签到，学生APP成功连接上教学服务端后即认为完成了一次签到，为保证签到的有效性，学生APP在该教室的无线AP覆盖的范围内才能签到，脱离了这个范围则无法签到。</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 软件须支持随机挑人功能：可即时发起随机挑人活动，发起后从班级已签到的学生中随机挑人员，被选中被选中的学生名单显示在教学大屏端，教师可根据学生回答的决定是否继续选人，直到选择到合适的学生为止，教师可对学生评分，也可批量评分。</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 软件须支持抢答活动：可即时发起后抢答活动，发起后学生APP自动进入抢答界面，系统根据学生的响应速度确定抢答资格，可一次设置多个抢答名额。</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 软件须支持投票活动：可即时发起投票活动，支持单选、多选、判断等题型和选项个数的设置，在提交的过程中能实时查看提交进度和人员名单，最终结果支持按选项统计和按投票结果统计二种方式呈现。</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 软件须支持分组讨论活动，提供至少4种不同分组方式，支持各分组在教学大屏中单独显示，学生通过APP可查看其他学生的作品，并且能够置顶或下沉操作，统计数据实时显示在教学大屏中。教师在大屏端可对分组的成果进行点评与讲解，也可以对各小组进行评分。</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 软件须支持评分活动，包括教师对学生的评分，学生与学生之间的互评，学生对小组的评分，在发起评分活动时，教师可以查看评分进度、参与/未参与评分的人员名单，各分值的占比等。学生获得的分值计入学生的成绩考评，教师可通过大屏端独立操作，也可通过APP端独立操作；相关数据自动同步到云平台。</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 软件须支持资料推送活动，教师可将本地电脑、本地U盘、在线云盘、在线课程中的学习资料推送给到学生APP，可以一次性向全班推送相同学习资料，也可以按组推送不同学习资料，学生在APP端能够接收并观看教师推送的各类文档。</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 软件须支持下课功能，教师端点击下课，学生端会相应的接收到下课的消息并断开与教师端的连接。</w:t>
            </w:r>
          </w:p>
          <w:p>
            <w:pPr>
              <w:keepNext w:val="0"/>
              <w:keepLines w:val="0"/>
              <w:widowControl/>
              <w:suppressLineNumbers w:val="0"/>
              <w:jc w:val="left"/>
              <w:textAlignment w:val="center"/>
              <w:rPr>
                <w:rFonts w:hint="default" w:cs="Times New Roman"/>
                <w:sz w:val="24"/>
                <w:szCs w:val="24"/>
                <w:highlight w:val="none"/>
                <w:lang w:val="en-US" w:eastAsia="zh-CN"/>
              </w:rPr>
            </w:pPr>
            <w:r>
              <w:rPr>
                <w:rFonts w:hint="default" w:cs="Times New Roman"/>
                <w:sz w:val="24"/>
                <w:szCs w:val="24"/>
                <w:highlight w:val="none"/>
                <w:lang w:val="en-US" w:eastAsia="zh-CN"/>
              </w:rPr>
              <w:t>23. 中标后</w:t>
            </w:r>
            <w:r>
              <w:rPr>
                <w:rFonts w:hint="eastAsia" w:cs="Times New Roman"/>
                <w:sz w:val="24"/>
                <w:szCs w:val="24"/>
                <w:highlight w:val="none"/>
                <w:lang w:val="en-US" w:eastAsia="zh-CN"/>
              </w:rPr>
              <w:t>签订合同后七个工作日内</w:t>
            </w:r>
            <w:r>
              <w:rPr>
                <w:rFonts w:hint="default" w:cs="Times New Roman"/>
                <w:sz w:val="24"/>
                <w:szCs w:val="24"/>
                <w:highlight w:val="none"/>
                <w:lang w:val="en-US" w:eastAsia="zh-CN"/>
              </w:rPr>
              <w:t>提供制造厂家针对本项目的授权书及售后服务承诺</w:t>
            </w:r>
            <w:r>
              <w:rPr>
                <w:rFonts w:hint="eastAsia" w:cs="Times New Roman"/>
                <w:sz w:val="24"/>
                <w:szCs w:val="24"/>
                <w:highlight w:val="none"/>
                <w:lang w:val="en-US" w:eastAsia="zh-CN"/>
              </w:rPr>
              <w:t>函</w:t>
            </w:r>
            <w:r>
              <w:rPr>
                <w:rFonts w:hint="default" w:cs="Times New Roman"/>
                <w:sz w:val="24"/>
                <w:szCs w:val="24"/>
                <w:highlight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软件须支持内嵌应用：打开Office、Pdf、图片、视频、URL等文件时以内嵌应用窗口的方式浮现在软件界面之上，并保持文档的原有版式、内容和动画效果不变，支持上述任意多个应用文档的同时开启与展示，支持全屏与窗口的相互切换，支持多指手势操作，可将文档划出屏幕的显示范围并一键唤回。</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 软件须支持触控手势操作：通过手势可对内嵌应用窗口操作，包括单指按住任意位置可移动位置，双指撑开/合拢可缩放视图大小，左右划屏可控制PPT向前/向后播放，上下滑屏可滚动Word、Pdf、网页的显示内容；单指可漫游PPT、图片的可视区域，单指按住播放器的任何位置拖动可快进/快退，多指下拉可调出黑板。</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 软件须支持讨论活动：可现场发起讨论活动，学生端APP端可通过输入文字、拍摄图片等方式上传成果，支持&gt;=60人同时上传照片作品并实时显示，学生在APP端可查看其他同学的作品并置顶、下沉操作，相关统计数据实时显示在教学大屏上，教师可选择某一个学生的作品放大至全屏讲解并评分，相关数据自动同步到云平台。</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27. 软件须支持截屏互动活动：可截取当前屏幕内容作为题目推送给学生作答，支持单选、多选、判断、讨论等多种课堂互动活动，发起后学生APP自动进入相应的界面并能查看题目，答题数据自动同步到云平台。 </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28. 软件须支持大屏快照功能：学生从APP端可一键截取教学大屏的屏幕照片并保存到本地相册或云平台个人账户。</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 软件须支持无线投屏功能：以纯软件的方式实现投屏，支持&gt;=6路信号同时投屏，支持IOS、Android、Windows等系统，支持声音的同步传递，支持横屏自适应；每个投屏内容以内嵌应用窗口的方式浮现在软件界面之上，单指可任意移动位置，双指可缩放视图大小，支持投屏批注与擦除，可将投屏信号划出屏幕的显示范围并一键唤回。</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 软件须支持课件集中管理：提供课件对话框，实现对本地资源、U盘资源、云平台网盘资源、课程资源的集中管理与调用，保证操作的统一性，须原生态打开各类文档，包括但不限于Office文档、PDF文档、URL链接、图片、视频、SWF等，打开后保持原有版式、内容、动画效果不变。</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 软件须支持多种音视频信号：可免驱接入USB摄像头、网络摄像机、视频采集卡、无线投屏等信号源的内容，每个信号源对应于一个应用窗口，支持多路信号源的同时显示、批注，支持多指手势操作，可将应用划出屏幕的显示范围并一键唤回。</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 软件须支持 Office墨迹：利用绘笔工具可以对Office文档进行批注，批注后的内容能跟随文档同步移动和缩放，支持将Office文档内的批注转换为Office墨迹对象存储。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 软件须支持文档导航：在软件内以浮动面板的方式显示所有打开文档的预览图，可左右划屏浏览，单击则将对应的文档自动漫游至屏幕中央显示。</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34.APP端须支持遥控手势操作：在APP端通过手势可遥控教学大屏上的文件，包括上下滑屏滚动页面内容、双指缩放视图大小、左右滑屏控制PPT的播放，单指漫游放大后图片等。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企业级千兆路由</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多WAN口千兆企业级路由器，支持PPPoE、动态IP、静态IP、L2TP及PPTP接入技术；内/外网双向端口监控，满足公安部门的数据监控需求；支持DDNS及虚拟服务器功能，轻松搭建内网服务器及私有网站；支持端口触发、UPnP及ALG服务功能，确保特殊网络应用顺利穿透NAT；全新的全中文WEB管理界面，管理维护更加方便、快捷；提供日志列表与日志服务器功能，详细记录网络运行状况；支持Ping、Tracert等多种故障检测工具，帮助快速发现、排除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多媒体设备</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功放1台，音响2只，无线</w:t>
            </w:r>
            <w:r>
              <w:rPr>
                <w:rFonts w:hint="eastAsia" w:cs="Times New Roman"/>
                <w:i w:val="0"/>
                <w:iCs w:val="0"/>
                <w:color w:val="000000"/>
                <w:kern w:val="0"/>
                <w:sz w:val="24"/>
                <w:szCs w:val="24"/>
                <w:u w:val="none"/>
                <w:lang w:val="en-US" w:eastAsia="zh-CN" w:bidi="ar"/>
              </w:rPr>
              <w:t>话筒</w:t>
            </w:r>
            <w:r>
              <w:rPr>
                <w:rFonts w:hint="default" w:ascii="Times New Roman" w:hAnsi="Times New Roman" w:eastAsia="宋体" w:cs="Times New Roman"/>
                <w:i w:val="0"/>
                <w:iCs w:val="0"/>
                <w:color w:val="000000"/>
                <w:kern w:val="0"/>
                <w:sz w:val="24"/>
                <w:szCs w:val="24"/>
                <w:u w:val="none"/>
                <w:lang w:val="en-US" w:eastAsia="zh-CN" w:bidi="ar"/>
              </w:rPr>
              <w:t>2只</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音箱参数：低音120磁双磁35芯+2个3寸高音,箱体采用15厘中纤板，高音单元采用高声压3寸  全纸纸盆，双磁铁，使高音穿透力极强，低音单元采用松压胴体发泡折环复合纸盆，使音箱在低频时强劲富有弹跳力，人声丰满清晰，高音清脆亮丽。.□频率范围;55HZ-18KHZ  单元配置;LF:10"×1  HF:3"×2  阻抗;8Ω  灵敏度 ;91DB  额定功率;120W  最大功率;240W  最大声压;115DB  重量;10.5KG  外型尺寸; 503W×275D×313</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功放参数：</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双混响卡拉OK电路.真实的空间环绕混响.唱歌效果一流</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高档VFD荧光显示屏.华丽惊艳的蓝色显示.独显气派；</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双变色大按键.配合2.5U新型高档面板.特别适合高档场所；</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USB/SD.蓝牙.能播放MP3/WMA高品质的音乐.和采用高保真的音频专用线路.还原HIFI级的听觉效果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专业的防啸叫移频功能.无论你在那个角度歌唱都不会产生烦人的啸叫 </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采用SMT贴片技术.性能更稳定</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专业级的功放保护系统.有全方位的温度保护（包括变压器和散热器）.短路保护.和风扇的温控变速等；8Ω 平均功率  350W×2  4Ω 平均功率650W×2  </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频率模式  20Hz-20KHz.（+0.5.-0.5db)输入灵敏度：25mv  瞬态响应 ：20V/μs  信噪比  ＞93dB  总谐波失真 ：&lt;0.05% 产品尺寸：430mmX290mmX120mm 产品净重：9 KG</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无线话筒参数：系统特点：红外线自动对频</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UHF 740-790MHz频段，锁相环(PLL)频率合成</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100×2个信道，信道间隔250KHz</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超外差二次变频设计，具备极高的接收灵敏度</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采用多级高性能的声表滤波器，具备优良的抗干扰能力</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采用高可靠的贴片元件生产，通过8小时老化试验出厂</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麦克风使用易购的5号电池，续用时间达10~30小时</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麦克风采用双升压设计，电池电量下降不影响发射功率</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理想环境操作达100米，常用于各种高要求场合</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技术参数：频率范围：740~790MHz；可调信道数：100×2；震荡方式：锁相环频率合成（PLL）；频率稳定度：±10ppm；接收方式：超外差二次变频；接收灵敏度：-90dBm；音频频响：40~20000Hz；谐波失真：≤0.5%；信噪比：≥110dB；音频输出：平衡输出和不平衡输出；发射功率：10~50mW；调制方式：调频（FM）；电池规格：5号电池2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0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交换机</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48个10/100/1000M自适应以太网口,背板带宽：96Gbps,转发速率：35.6Mpps,数据缓冲：2Mbits,每个端口提供4个优先级队列,自动协商速度、双工模式和流量控制,自动MDI/MDIX,最大可支持8,000组MAC地址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网络机柜</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27U通用机柜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教师桌椅</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1、讲桌采用钢木结合构造，桌体上部分采用圆弧设计。讲台整体设计符合人体力学原理，提供左右木质扶手，供使用者扶用。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2、桌面由一把机械锁控制，采用环环相扣设计，显示器盖板、键盘和展示台抽屉逐步打开。操作更简易，使用更安全。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3、讲桌桌面采用木质耐划台面，暖色、防火、防尘、防水、耐刮花，整体布局简洁、美观。</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4、讲桌整体采用1.2mm、济钢冷轧钢板。桌子正面可根据客户需求丝印学校LOGO或张贴LOGO标志，维护后门为钢制木纹色，稳重典雅。</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5、讲桌上下层采用分体式设计，桌面部分和桌体部分自成一体，方便进出比较窄的教室门。讲桌内置固定螺丝孔位，安装简单，安全防盗；独立包装，运输轻便。</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6、显示器盖板和键盘部分采用翻转式阻尼设计，可自由停留，以方便调整显示器角度。</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显示器盖板可装置17-19寸液晶宽屏显示器；键盘下面放置一体中控或者分体中控系统。</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7、右侧抽屉可放置实物展示台，关闭后,所有设备都隐藏在讲台内；采用联动自锁装置，推入即可锁闭。</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8、讲桌桌体下层内部采用标准机柜设计，带层板，所有设备可整齐固定。</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9、关闭尺寸：1100(长)×670(宽)×950(高)mm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学生桌椅</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根据场地设计造型，桌面为优质三聚氰胺防火板板材，表面具有耐磨耐划痕、耐酸碱、耐烫、耐污染的特性。内层采用中密度板，板表面平整度好，变形小，握钉力强。甲醛释放量小符合国家标准。桌脚为钢结构，有线槽可以走线，外形美观，经久耐用。根据教室大小定制.款式由使用部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文件柜</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文件铁皮柜，上层有玻璃门，下层铁皮门，铁皮厚度在1mm，包装尺寸：1800*850*390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物流考证管理系统</w:t>
            </w:r>
          </w:p>
        </w:tc>
        <w:tc>
          <w:tcPr>
            <w:tcW w:w="8535" w:type="dxa"/>
            <w:vAlign w:val="center"/>
          </w:tcPr>
          <w:p>
            <w:pPr>
              <w:keepNext w:val="0"/>
              <w:keepLines w:val="0"/>
              <w:widowControl/>
              <w:numPr>
                <w:ilvl w:val="0"/>
                <w:numId w:val="9"/>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系统主要包括“智能学习系统”、“智能出卷系统”、“试题管理系统”、“在线考试” 、“考证人员报名管理”和“系统管理”六大功能模块.</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智能学习系统：可以设置课程、学习资源，学生可以按照课程资源进行学习，学习轨迹会自动进行记录。</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智能出卷系统：系统智能出卷，是目前企事业单位，使用最广泛的一种方式，考试前，已在系统中出题几千题，或几万题，如本次考试100分，只需要对系统进行配置，各种类型的考题考分权重，例：选择题占多少分值，问答题占多少分值，填空题占多少分值， 系统自动从题库中，抽调题库出卷。A、不同考生，考试题目不一致，相同比重可以设置比例；B、所有考生，考试题库都是一样的。</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试题管理系统：包含新建试题管理、题库查询、套卷管理、题库设置模块</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在线考试系统：学员在线考试，可以设置考试次数，做到定时提交，防作弊等功能。</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eastAsia"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考证报名系统：可以设置开班信息、自主报名、自动缴费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物流考证教学资源（中级工、高级工）</w:t>
            </w:r>
          </w:p>
        </w:tc>
        <w:tc>
          <w:tcPr>
            <w:tcW w:w="8535" w:type="dxa"/>
            <w:vAlign w:val="center"/>
          </w:tcPr>
          <w:p>
            <w:pPr>
              <w:keepNext w:val="0"/>
              <w:keepLines w:val="0"/>
              <w:widowControl/>
              <w:numPr>
                <w:ilvl w:val="0"/>
                <w:numId w:val="1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物流教学资源与物流考证教材配套、包含课程资源类型包含教案、教学实施报告、教材、教学课件、实训工作页、微课视频、课堂小测、试卷、检查清单、课前学习资源等组成。</w:t>
            </w:r>
          </w:p>
          <w:p>
            <w:pPr>
              <w:keepNext w:val="0"/>
              <w:keepLines w:val="0"/>
              <w:widowControl/>
              <w:numPr>
                <w:ilvl w:val="0"/>
                <w:numId w:val="10"/>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教案：4个，包含：内容分析、学情分析、目标分析、教学过程设计、教学方法、教学手段、教学流程对比、教学评价、教学活动设计、反思与改进等。</w:t>
            </w:r>
          </w:p>
          <w:p>
            <w:pPr>
              <w:keepNext w:val="0"/>
              <w:keepLines w:val="0"/>
              <w:widowControl/>
              <w:numPr>
                <w:ilvl w:val="0"/>
                <w:numId w:val="0"/>
              </w:numPr>
              <w:suppressLineNumbers w:val="0"/>
              <w:ind w:left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教学实施报告：1个，包含：设计理念、教学分析、教学设计、教学实施、特色创新、反思与改进。</w:t>
            </w:r>
          </w:p>
          <w:p>
            <w:pPr>
              <w:keepNext w:val="0"/>
              <w:keepLines w:val="0"/>
              <w:widowControl/>
              <w:numPr>
                <w:ilvl w:val="0"/>
                <w:numId w:val="0"/>
              </w:numPr>
              <w:suppressLineNumbers w:val="0"/>
              <w:ind w:left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教材：9个，每一个项目都有一个教材，对相关知识点进行讲解，并搭配有工作页，供学生掌握知识点相关操作规范。</w:t>
            </w:r>
          </w:p>
          <w:p>
            <w:pPr>
              <w:keepNext w:val="0"/>
              <w:keepLines w:val="0"/>
              <w:widowControl/>
              <w:numPr>
                <w:ilvl w:val="0"/>
                <w:numId w:val="0"/>
              </w:numPr>
              <w:suppressLineNumbers w:val="0"/>
              <w:ind w:leftChars="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教学课件：9个</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1）演示文稿（PPT）要求集文字、图形、图像、声音以及视频等多种媒体元素于一体，一般不使用纯文字的演示文稿（PPT）。</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2）页面设置要求符合高清格式比例，幻灯片大小为“全屏显示16：9”。</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3）整体效果应风格统一、色彩协调、美观大方。</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4）教学课件要有灵活新颖的教学形式、教学对象要有针对性；</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5）课件内容要生动，能吸引学生，调动学习兴趣；</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6）课件需保持前后风格一致，课件排版设计美观。</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实训工作页：15个</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与课程内容联系紧密，将教学过程中需要的操作通过步骤分解，让学生能够遵循实训工作页进行操作，实操性强。</w:t>
            </w:r>
          </w:p>
          <w:p>
            <w:pPr>
              <w:keepNext w:val="0"/>
              <w:keepLines w:val="0"/>
              <w:widowControl/>
              <w:numPr>
                <w:ilvl w:val="0"/>
                <w:numId w:val="11"/>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微课视频</w:t>
            </w:r>
            <w:r>
              <w:rPr>
                <w:rFonts w:hint="eastAsia"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中级工、高级工</w:t>
            </w:r>
            <w:r>
              <w:rPr>
                <w:rFonts w:hint="eastAsia" w:cs="Times New Roman"/>
                <w:i w:val="0"/>
                <w:iCs w:val="0"/>
                <w:color w:val="000000"/>
                <w:kern w:val="0"/>
                <w:sz w:val="24"/>
                <w:szCs w:val="24"/>
                <w:u w:val="none"/>
                <w:lang w:val="en-US" w:eastAsia="zh-CN" w:bidi="ar"/>
              </w:rPr>
              <w:t>各25个</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8、</w:t>
            </w:r>
            <w:r>
              <w:rPr>
                <w:rFonts w:hint="default" w:ascii="Times New Roman" w:hAnsi="Times New Roman" w:eastAsia="宋体" w:cs="Times New Roman"/>
                <w:i w:val="0"/>
                <w:iCs w:val="0"/>
                <w:color w:val="000000"/>
                <w:kern w:val="0"/>
                <w:sz w:val="24"/>
                <w:szCs w:val="24"/>
                <w:u w:val="none"/>
                <w:lang w:val="en-US" w:eastAsia="zh-CN" w:bidi="ar"/>
              </w:rPr>
              <w:t>课堂小测：9套</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针对课程的整体测评习题库，包括选择、判断、填空、简答等多题型形式，不少于9套。</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9、</w:t>
            </w:r>
            <w:r>
              <w:rPr>
                <w:rFonts w:hint="default" w:ascii="Times New Roman" w:hAnsi="Times New Roman" w:eastAsia="宋体" w:cs="Times New Roman"/>
                <w:i w:val="0"/>
                <w:iCs w:val="0"/>
                <w:color w:val="000000"/>
                <w:kern w:val="0"/>
                <w:sz w:val="24"/>
                <w:szCs w:val="24"/>
                <w:u w:val="none"/>
                <w:lang w:val="en-US" w:eastAsia="zh-CN" w:bidi="ar"/>
              </w:rPr>
              <w:t>试卷：1套</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针对课程的综合考核试卷，包括选择、判断、填空、名词解释、简答等多题型形式，对学生理论知识的掌握程度进行综合考核。</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10、</w:t>
            </w:r>
            <w:r>
              <w:rPr>
                <w:rFonts w:hint="default" w:ascii="Times New Roman" w:hAnsi="Times New Roman" w:eastAsia="宋体" w:cs="Times New Roman"/>
                <w:i w:val="0"/>
                <w:iCs w:val="0"/>
                <w:color w:val="000000"/>
                <w:kern w:val="0"/>
                <w:sz w:val="24"/>
                <w:szCs w:val="24"/>
                <w:u w:val="none"/>
                <w:lang w:val="en-US" w:eastAsia="zh-CN" w:bidi="ar"/>
              </w:rPr>
              <w:t>检查清单：1套</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用以检查教学计划中学生对教学重难点的掌握情况，并提供实时反馈。</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11、</w:t>
            </w:r>
            <w:r>
              <w:rPr>
                <w:rFonts w:hint="default" w:ascii="Times New Roman" w:hAnsi="Times New Roman" w:eastAsia="宋体" w:cs="Times New Roman"/>
                <w:i w:val="0"/>
                <w:iCs w:val="0"/>
                <w:color w:val="000000"/>
                <w:kern w:val="0"/>
                <w:sz w:val="24"/>
                <w:szCs w:val="24"/>
                <w:u w:val="none"/>
                <w:lang w:val="en-US" w:eastAsia="zh-CN" w:bidi="ar"/>
              </w:rPr>
              <w:t>课前学习资源：1套</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在课前提供给学生进行初步学习的资源，包括：学习导图、视频、文章、案例等各形式课前引入、课前测试等。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物流考证题库</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物流考证题库（初级工、中级工、高级工、技师各5套）按照人社部相关岗位考证标准制定，包含单选题、多选题、判断题等，也可以根据实际需求变动增加相应题型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物流考证教材</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提供教材编写服务，物流考证教材（中级工、高级工），在后续实施过程中按照项目实际情况确定。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70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台式电脑</w:t>
            </w:r>
            <w:r>
              <w:rPr>
                <w:rFonts w:hint="eastAsia" w:cs="Times New Roman"/>
                <w:i w:val="0"/>
                <w:iCs w:val="0"/>
                <w:color w:val="000000"/>
                <w:kern w:val="0"/>
                <w:sz w:val="24"/>
                <w:szCs w:val="24"/>
                <w:highlight w:val="none"/>
                <w:u w:val="none"/>
                <w:lang w:val="en-US" w:eastAsia="zh-CN" w:bidi="ar"/>
              </w:rPr>
              <w:t>2</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★1.CPU：≥Intel 酷睿十一代 i5-11500处理器（6核，12MB缓存，2.7GHz）；</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★2.主板：Intel 570系列芯片组或以上；</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3.显卡：INTEL高清核芯显卡；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4.内存：≥16GB DDR4 2933内存；</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5.硬盘：≥256 GB M.2 SSD 固态硬盘；</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6.I/O接口：≥1个PCIe x1；≥1个PCIe x16；≥1个PCI </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7.数据接口：USB≥ 8个(其中前置至少6个USB 3.1)；</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 电源：≥180W 90%高效电源，最高可支持500W 90%高效电源 </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9.输入设备：与主机同品牌原厂抗菌防水USB键盘鼠标；</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 显示器：≥23.8寸LED防眩光显示器，1920*1080，可选配显示器助手软件密码保护功能；</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11.操作系统：预装正版windows10操作系统；</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12.软件功能：随机附送自动保护BIOS软件，避免来至外界的攻击货意外导致工作中断，可以通过远程诊断BIOS状态；自带驱动程序软件，无需上官网即可一键打包安装所有驱动；</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 安全认证：主机工作噪音≤11db认证，具备双防雷及高级防静电认证；≥105万小时的MTBF认证《国家计算机质量监督检验中心》出具；CCCS认证，4PS国际联络中心国际标准管理体系认证，ISO27001证书，中标后</w:t>
            </w:r>
            <w:r>
              <w:rPr>
                <w:rFonts w:hint="eastAsia" w:cs="Times New Roman"/>
                <w:sz w:val="24"/>
                <w:szCs w:val="24"/>
                <w:highlight w:val="none"/>
                <w:lang w:val="en-US" w:eastAsia="zh-CN"/>
              </w:rPr>
              <w:t>签订合同后七个工作日内</w:t>
            </w:r>
            <w:r>
              <w:rPr>
                <w:rFonts w:hint="default" w:ascii="Times New Roman" w:hAnsi="Times New Roman" w:eastAsia="宋体" w:cs="Times New Roman"/>
                <w:i w:val="0"/>
                <w:iCs w:val="0"/>
                <w:color w:val="000000"/>
                <w:kern w:val="0"/>
                <w:sz w:val="24"/>
                <w:szCs w:val="24"/>
                <w:highlight w:val="none"/>
                <w:u w:val="none"/>
                <w:lang w:val="en-US" w:eastAsia="zh-CN" w:bidi="ar"/>
              </w:rPr>
              <w:t>需提供以上证书复印件并加盖厂商公章；</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cs="Times New Roman"/>
                <w:sz w:val="24"/>
                <w:szCs w:val="24"/>
                <w:lang w:val="en-US" w:eastAsia="zh-CN"/>
              </w:rPr>
              <w:t>14.服务：原厂商三年质保，</w:t>
            </w:r>
            <w:r>
              <w:rPr>
                <w:rFonts w:hint="eastAsia" w:cs="Times New Roman"/>
                <w:sz w:val="24"/>
                <w:szCs w:val="24"/>
                <w:lang w:val="en-US" w:eastAsia="zh-CN"/>
              </w:rPr>
              <w:t>中标后签订合同后七个工作日内</w:t>
            </w:r>
            <w:r>
              <w:rPr>
                <w:rFonts w:hint="default" w:cs="Times New Roman"/>
                <w:sz w:val="24"/>
                <w:szCs w:val="24"/>
                <w:lang w:val="en-US" w:eastAsia="zh-CN"/>
              </w:rPr>
              <w:t>提供原厂商质量承诺函。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文件柜</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文件铁皮柜，上层有玻璃门，下层铁皮门，铁皮厚度在1mm，包装尺寸：1800*850*390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70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雨伞收纳柜</w:t>
            </w:r>
          </w:p>
        </w:tc>
        <w:tc>
          <w:tcPr>
            <w:tcW w:w="8535"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雨伞收纳柜，铁质，造型美观，能够同时放短伞和长伞，2个柜子至少可以容纳100把短伞和20把长伞</w:t>
            </w:r>
          </w:p>
        </w:tc>
      </w:tr>
    </w:tbl>
    <w:p>
      <w:pPr>
        <w:pStyle w:val="5"/>
        <w:widowControl w:val="0"/>
        <w:spacing w:before="120" w:after="120" w:line="312" w:lineRule="auto"/>
        <w:jc w:val="both"/>
        <w:rPr>
          <w:rFonts w:ascii="Times New Roman" w:hAnsi="Times New Roman" w:eastAsia="宋体"/>
          <w:bCs w:val="0"/>
          <w:sz w:val="24"/>
          <w:szCs w:val="24"/>
        </w:rPr>
      </w:pPr>
      <w:r>
        <w:rPr>
          <w:rFonts w:ascii="Times New Roman" w:hAnsi="Times New Roman" w:eastAsia="宋体"/>
          <w:bCs w:val="0"/>
          <w:sz w:val="24"/>
          <w:szCs w:val="24"/>
        </w:rPr>
        <w:t>三、</w:t>
      </w:r>
      <w:r>
        <w:rPr>
          <w:rFonts w:hint="eastAsia" w:ascii="Times New Roman" w:hAnsi="Times New Roman" w:eastAsia="宋体"/>
          <w:bCs w:val="0"/>
          <w:sz w:val="24"/>
          <w:szCs w:val="24"/>
          <w:lang w:eastAsia="zh-CN"/>
        </w:rPr>
        <w:t>投标</w:t>
      </w:r>
      <w:r>
        <w:rPr>
          <w:rFonts w:ascii="Times New Roman" w:hAnsi="Times New Roman" w:eastAsia="宋体"/>
          <w:bCs w:val="0"/>
          <w:sz w:val="24"/>
          <w:szCs w:val="24"/>
        </w:rPr>
        <w:t>演示要求</w:t>
      </w:r>
    </w:p>
    <w:p>
      <w:pPr>
        <w:snapToGrid w:val="0"/>
        <w:spacing w:line="312" w:lineRule="auto"/>
        <w:ind w:firstLine="480" w:firstLineChars="200"/>
        <w:rPr>
          <w:highlight w:val="none"/>
        </w:rPr>
      </w:pPr>
      <w:r>
        <w:rPr>
          <w:highlight w:val="none"/>
        </w:rPr>
        <w:t>1.本项</w:t>
      </w:r>
      <w:r>
        <w:rPr>
          <w:rFonts w:hint="eastAsia"/>
          <w:highlight w:val="none"/>
          <w:lang w:eastAsia="zh-CN"/>
        </w:rPr>
        <w:t>目</w:t>
      </w:r>
      <w:r>
        <w:rPr>
          <w:highlight w:val="none"/>
        </w:rPr>
        <w:t>需要演示：投标方需在投标文件解密成功后，进入政采云平台开标大厅，等待通知演示。政采云平台会以投标文件解密时间的先后顺序以短信的形式通知演示，每个投标人演示前的调试准备时间不超过15分钟，演示时间不超过</w:t>
      </w:r>
      <w:r>
        <w:rPr>
          <w:rFonts w:hint="eastAsia"/>
          <w:highlight w:val="none"/>
          <w:lang w:val="en-US" w:eastAsia="zh-CN"/>
        </w:rPr>
        <w:t>40</w:t>
      </w:r>
      <w:r>
        <w:rPr>
          <w:highlight w:val="none"/>
        </w:rPr>
        <w:t>分钟，不包含评标委员会提问解答时间。演示的方式通过“开标大厅”（建议选择谷歌浏览器）的屏幕共享方式进行演示，其中涉及需要安装的软件投标人应在开标前自行下载安装，确保网络、麦克风、演示环境等演示所需设备和系统正常稳定，并提前熟悉操作和使用。由评委对各投标人针对招标文件中演示部分进行评定打分。</w:t>
      </w:r>
    </w:p>
    <w:p>
      <w:pPr>
        <w:snapToGrid w:val="0"/>
        <w:spacing w:line="312" w:lineRule="auto"/>
        <w:ind w:firstLine="480" w:firstLineChars="200"/>
      </w:pPr>
      <w:r>
        <w:t>2.演示形式：投标方针对招标文件需要演示的内容，</w:t>
      </w:r>
      <w:r>
        <w:rPr>
          <w:rFonts w:hint="eastAsia"/>
        </w:rPr>
        <w:t>需使用成熟或DEMO软件进行演示，不演示或者使用PPT,WORD等文本形式演示者不得分。提供第三人视角方式进行连续拍摄，拍摄画面中需包含时间计时器或其他方式以表明其拍摄过程不存在剪切编辑情况存在，请依照招标文件要求进行演示，</w:t>
      </w:r>
      <w:r>
        <w:t>演示过程中需语音介绍目前演示的内容是什么，演示时长不超过</w:t>
      </w:r>
      <w:r>
        <w:rPr>
          <w:rFonts w:hint="eastAsia"/>
          <w:lang w:val="en-US" w:eastAsia="zh-CN"/>
        </w:rPr>
        <w:t>4</w:t>
      </w:r>
      <w:r>
        <w:t>0分钟。</w:t>
      </w:r>
    </w:p>
    <w:p>
      <w:pPr>
        <w:pStyle w:val="5"/>
        <w:widowControl w:val="0"/>
        <w:spacing w:before="120" w:after="120" w:line="312" w:lineRule="auto"/>
        <w:jc w:val="both"/>
        <w:rPr>
          <w:rFonts w:hint="eastAsia" w:ascii="Times New Roman" w:hAnsi="Times New Roman" w:eastAsia="宋体"/>
          <w:bCs w:val="0"/>
          <w:sz w:val="24"/>
          <w:szCs w:val="24"/>
        </w:rPr>
      </w:pPr>
      <w:r>
        <w:rPr>
          <w:rFonts w:hint="eastAsia" w:ascii="Times New Roman" w:hAnsi="Times New Roman" w:eastAsia="宋体"/>
          <w:bCs w:val="0"/>
          <w:sz w:val="24"/>
          <w:szCs w:val="24"/>
          <w:lang w:eastAsia="zh-CN"/>
        </w:rPr>
        <w:t>四、</w:t>
      </w:r>
      <w:r>
        <w:rPr>
          <w:rFonts w:hint="eastAsia" w:ascii="Times New Roman" w:hAnsi="Times New Roman" w:eastAsia="宋体"/>
          <w:bCs w:val="0"/>
          <w:sz w:val="24"/>
          <w:szCs w:val="24"/>
        </w:rPr>
        <w:t>对投（中）标方、投标产品及服务的要求</w:t>
      </w:r>
    </w:p>
    <w:p>
      <w:pPr>
        <w:snapToGrid w:val="0"/>
        <w:spacing w:line="312" w:lineRule="auto"/>
        <w:ind w:firstLine="480" w:firstLineChars="200"/>
      </w:pPr>
      <w:r>
        <w:rPr>
          <w:rFonts w:hint="eastAsia"/>
          <w:lang w:val="en-US" w:eastAsia="zh-CN"/>
        </w:rPr>
        <w:t>1</w:t>
      </w:r>
      <w:r>
        <w:rPr>
          <w:rFonts w:hint="eastAsia"/>
        </w:rPr>
        <w:t>.招标文件中明确的软件产品为项目必须提供的内容，为满足项目的顺利实施及运行所需的必要的零部件或其他辅助配件由中标方在项目实施过程中予以配置完整或在投标文件中予以注明，中标方不得以此为理由要求增加任何费用。</w:t>
      </w:r>
    </w:p>
    <w:p>
      <w:pPr>
        <w:snapToGrid w:val="0"/>
        <w:spacing w:line="312" w:lineRule="auto"/>
        <w:ind w:firstLine="480" w:firstLineChars="200"/>
      </w:pPr>
      <w:r>
        <w:rPr>
          <w:rFonts w:hint="eastAsia"/>
          <w:lang w:val="en-US" w:eastAsia="zh-CN"/>
        </w:rPr>
        <w:t>2</w:t>
      </w:r>
      <w:r>
        <w:rPr>
          <w:rFonts w:hint="eastAsia"/>
        </w:rPr>
        <w:t>.投标方所投软件产品不得存在版权问题，如因版权纠纷问题产生的一切费用由投标方自行承担。</w:t>
      </w:r>
    </w:p>
    <w:p>
      <w:pPr>
        <w:pStyle w:val="5"/>
        <w:widowControl w:val="0"/>
        <w:spacing w:before="120" w:after="120" w:line="312" w:lineRule="auto"/>
        <w:jc w:val="both"/>
        <w:rPr>
          <w:rFonts w:hint="eastAsia" w:ascii="Times New Roman" w:hAnsi="Times New Roman" w:eastAsia="宋体"/>
          <w:bCs w:val="0"/>
          <w:sz w:val="24"/>
          <w:szCs w:val="24"/>
          <w:lang w:eastAsia="zh-CN"/>
        </w:rPr>
      </w:pPr>
      <w:r>
        <w:rPr>
          <w:rFonts w:hint="eastAsia" w:ascii="Times New Roman" w:hAnsi="Times New Roman" w:eastAsia="宋体"/>
          <w:bCs w:val="0"/>
          <w:sz w:val="24"/>
          <w:szCs w:val="24"/>
          <w:lang w:eastAsia="zh-CN"/>
        </w:rPr>
        <w:t>★五、商务要求</w:t>
      </w:r>
    </w:p>
    <w:p>
      <w:pPr>
        <w:numPr>
          <w:ilvl w:val="0"/>
          <w:numId w:val="0"/>
        </w:numPr>
        <w:snapToGrid w:val="0"/>
        <w:spacing w:line="312" w:lineRule="auto"/>
        <w:rPr>
          <w:rFonts w:hint="eastAsia"/>
          <w:b/>
          <w:bCs/>
          <w:color w:val="auto"/>
          <w:lang w:eastAsia="zh-CN"/>
        </w:rPr>
      </w:pPr>
      <w:r>
        <w:rPr>
          <w:rFonts w:hint="eastAsia"/>
          <w:b/>
          <w:bCs/>
          <w:color w:val="auto"/>
          <w:lang w:eastAsia="zh-CN"/>
        </w:rPr>
        <w:t>（一）报价要求</w:t>
      </w:r>
    </w:p>
    <w:p>
      <w:pPr>
        <w:snapToGrid w:val="0"/>
        <w:spacing w:line="312" w:lineRule="auto"/>
        <w:ind w:firstLine="480" w:firstLineChars="200"/>
        <w:rPr>
          <w:color w:val="auto"/>
        </w:rPr>
      </w:pPr>
      <w:r>
        <w:rPr>
          <w:rFonts w:hint="eastAsia"/>
          <w:color w:val="auto"/>
          <w:lang w:val="en-US" w:eastAsia="zh-CN"/>
        </w:rPr>
        <w:t>1.</w:t>
      </w:r>
      <w:r>
        <w:rPr>
          <w:color w:val="auto"/>
        </w:rPr>
        <w:t>投标人应根据国家的有关规定和招标文件要求并结合企业的实际情况进行投标报价。投标报价以人民币为结算货币，</w:t>
      </w:r>
      <w:r>
        <w:rPr>
          <w:rFonts w:hint="eastAsia"/>
          <w:color w:val="auto"/>
        </w:rPr>
        <w:t>投标报价须包括货物价款、所必须配备的附件、途中运输费、装卸费、安装调试（系统集成）费、辅料费、维护费、培训费、税费、完成本项目的其它费用和政策性文件规定及合同包含的所有风险、责任等所有费用，即按采购人要求提供货物到现场并安装完毕的价格。</w:t>
      </w:r>
      <w:r>
        <w:rPr>
          <w:color w:val="auto"/>
        </w:rPr>
        <w:t>如有漏项，视同已包含在其总项目中，合同</w:t>
      </w:r>
      <w:r>
        <w:rPr>
          <w:rFonts w:hint="eastAsia"/>
          <w:color w:val="auto"/>
        </w:rPr>
        <w:t>单价及</w:t>
      </w:r>
      <w:r>
        <w:rPr>
          <w:color w:val="auto"/>
        </w:rPr>
        <w:t>总价不予调整。</w:t>
      </w:r>
    </w:p>
    <w:p>
      <w:pPr>
        <w:snapToGrid w:val="0"/>
        <w:spacing w:line="312" w:lineRule="auto"/>
        <w:ind w:firstLine="480" w:firstLineChars="200"/>
        <w:rPr>
          <w:color w:val="auto"/>
        </w:rPr>
      </w:pPr>
      <w:r>
        <w:rPr>
          <w:rFonts w:hint="eastAsia"/>
          <w:color w:val="auto"/>
          <w:lang w:val="en-US" w:eastAsia="zh-CN"/>
        </w:rPr>
        <w:t>2</w:t>
      </w:r>
      <w:r>
        <w:rPr>
          <w:rFonts w:hint="eastAsia"/>
          <w:color w:val="auto"/>
        </w:rPr>
        <w:t>．按国家规定由中标方缴纳的各种税收已包含在投标总价内，由中标方向税务机关缴纳。</w:t>
      </w:r>
    </w:p>
    <w:p>
      <w:pPr>
        <w:numPr>
          <w:ilvl w:val="0"/>
          <w:numId w:val="0"/>
        </w:numPr>
        <w:snapToGrid w:val="0"/>
        <w:spacing w:line="312" w:lineRule="auto"/>
        <w:rPr>
          <w:b/>
          <w:bCs/>
          <w:color w:val="auto"/>
        </w:rPr>
      </w:pPr>
      <w:r>
        <w:rPr>
          <w:b/>
          <w:bCs/>
          <w:color w:val="auto"/>
        </w:rPr>
        <w:t>（</w:t>
      </w:r>
      <w:r>
        <w:rPr>
          <w:rFonts w:hint="eastAsia"/>
          <w:b/>
          <w:bCs/>
          <w:color w:val="auto"/>
          <w:lang w:eastAsia="zh-CN"/>
        </w:rPr>
        <w:t>二</w:t>
      </w:r>
      <w:r>
        <w:rPr>
          <w:b/>
          <w:bCs/>
          <w:color w:val="auto"/>
        </w:rPr>
        <w:t>）质保期和售后服务</w:t>
      </w:r>
    </w:p>
    <w:p>
      <w:pPr>
        <w:snapToGrid w:val="0"/>
        <w:spacing w:line="312" w:lineRule="auto"/>
        <w:ind w:firstLine="480" w:firstLineChars="200"/>
        <w:rPr>
          <w:color w:val="auto"/>
        </w:rPr>
      </w:pPr>
      <w:r>
        <w:rPr>
          <w:color w:val="auto"/>
        </w:rPr>
        <w:t>1.质保期</w:t>
      </w:r>
    </w:p>
    <w:p>
      <w:pPr>
        <w:snapToGrid w:val="0"/>
        <w:spacing w:line="312" w:lineRule="auto"/>
        <w:ind w:firstLine="480" w:firstLineChars="200"/>
        <w:rPr>
          <w:rFonts w:hint="eastAsia"/>
          <w:color w:val="auto"/>
        </w:rPr>
      </w:pPr>
      <w:r>
        <w:rPr>
          <w:rFonts w:hint="eastAsia"/>
          <w:color w:val="auto"/>
        </w:rPr>
        <w:t>质保期从安装调试完毕，验收合格毕之日开始计算，除非采购人另有要求，质保期内所有的服务均为免费上门服务。</w:t>
      </w:r>
    </w:p>
    <w:p>
      <w:pPr>
        <w:snapToGrid w:val="0"/>
        <w:spacing w:line="312" w:lineRule="auto"/>
        <w:ind w:firstLine="480" w:firstLineChars="200"/>
        <w:rPr>
          <w:rFonts w:hint="eastAsia"/>
          <w:color w:val="auto"/>
        </w:rPr>
      </w:pPr>
      <w:r>
        <w:rPr>
          <w:rFonts w:hint="eastAsia"/>
          <w:color w:val="auto"/>
          <w:lang w:val="en-US" w:eastAsia="zh-CN"/>
        </w:rPr>
        <w:t>本项目免费质保期为三年</w:t>
      </w:r>
      <w:r>
        <w:rPr>
          <w:rFonts w:hint="eastAsia"/>
          <w:color w:val="auto"/>
        </w:rPr>
        <w:t>。</w:t>
      </w:r>
    </w:p>
    <w:p>
      <w:pPr>
        <w:snapToGrid w:val="0"/>
        <w:spacing w:line="312" w:lineRule="auto"/>
        <w:ind w:firstLine="480" w:firstLineChars="200"/>
        <w:rPr>
          <w:rFonts w:hint="eastAsia"/>
          <w:color w:val="auto"/>
        </w:rPr>
      </w:pPr>
      <w:r>
        <w:rPr>
          <w:rFonts w:hint="eastAsia"/>
          <w:color w:val="auto"/>
        </w:rPr>
        <w:t>2.售后服务和响应时间</w:t>
      </w:r>
    </w:p>
    <w:p>
      <w:pPr>
        <w:snapToGrid w:val="0"/>
        <w:spacing w:line="312" w:lineRule="auto"/>
        <w:ind w:firstLine="480" w:firstLineChars="200"/>
        <w:rPr>
          <w:rFonts w:hint="eastAsia"/>
          <w:color w:val="auto"/>
        </w:rPr>
      </w:pPr>
      <w:r>
        <w:rPr>
          <w:rFonts w:hint="eastAsia"/>
          <w:color w:val="auto"/>
        </w:rPr>
        <w:t>在</w:t>
      </w:r>
      <w:r>
        <w:rPr>
          <w:rFonts w:hint="eastAsia"/>
          <w:color w:val="auto"/>
          <w:lang w:eastAsia="zh-CN"/>
        </w:rPr>
        <w:t>免费质保</w:t>
      </w:r>
      <w:r>
        <w:rPr>
          <w:rFonts w:hint="eastAsia"/>
          <w:color w:val="auto"/>
        </w:rPr>
        <w:t>期内，使用单位有故障申报，应在半小时内做出实质性响应并解决问题，无法远程解决的2小时内到达用户现场，并在4小时内解决问题。若不能在2小时内解决，须提供同等性能的产品替换。</w:t>
      </w:r>
      <w:r>
        <w:rPr>
          <w:rFonts w:hint="eastAsia"/>
          <w:color w:val="auto"/>
          <w:lang w:eastAsia="zh-CN"/>
        </w:rPr>
        <w:t>免费质保</w:t>
      </w:r>
      <w:r>
        <w:rPr>
          <w:rFonts w:hint="eastAsia"/>
          <w:color w:val="auto"/>
        </w:rPr>
        <w:t>期内，与保修和维修相关的所有费用由中标方负责。</w:t>
      </w:r>
    </w:p>
    <w:p>
      <w:pPr>
        <w:snapToGrid w:val="0"/>
        <w:spacing w:line="312" w:lineRule="auto"/>
        <w:ind w:firstLine="480" w:firstLineChars="200"/>
        <w:rPr>
          <w:color w:val="auto"/>
        </w:rPr>
      </w:pPr>
      <w:r>
        <w:rPr>
          <w:color w:val="auto"/>
        </w:rPr>
        <w:t>3.投标方在中标后须在义乌市设立售后维护服务机构提供本地化售后服务。若不能提供本地化售后服务的，采购人有权申请取消其中标资格。</w:t>
      </w:r>
    </w:p>
    <w:p>
      <w:pPr>
        <w:snapToGrid w:val="0"/>
        <w:spacing w:line="312" w:lineRule="auto"/>
        <w:ind w:firstLine="482" w:firstLineChars="200"/>
        <w:rPr>
          <w:b/>
          <w:bCs/>
          <w:color w:val="auto"/>
        </w:rPr>
      </w:pPr>
      <w:r>
        <w:rPr>
          <w:b/>
          <w:bCs/>
          <w:color w:val="auto"/>
        </w:rPr>
        <w:t>（</w:t>
      </w:r>
      <w:r>
        <w:rPr>
          <w:rFonts w:hint="eastAsia"/>
          <w:b/>
          <w:bCs/>
          <w:color w:val="auto"/>
          <w:lang w:eastAsia="zh-CN"/>
        </w:rPr>
        <w:t>三</w:t>
      </w:r>
      <w:r>
        <w:rPr>
          <w:b/>
          <w:bCs/>
          <w:color w:val="auto"/>
        </w:rPr>
        <w:t>）工期要求</w:t>
      </w:r>
    </w:p>
    <w:p>
      <w:pPr>
        <w:snapToGrid w:val="0"/>
        <w:spacing w:line="312" w:lineRule="auto"/>
        <w:ind w:firstLine="480" w:firstLineChars="200"/>
        <w:rPr>
          <w:color w:val="auto"/>
          <w:highlight w:val="none"/>
        </w:rPr>
      </w:pPr>
      <w:r>
        <w:rPr>
          <w:color w:val="auto"/>
          <w:highlight w:val="none"/>
        </w:rPr>
        <w:t>1.中标通知书签发后，中标单位尽快与采购人完成签订合同工作，合同签订后</w:t>
      </w:r>
      <w:r>
        <w:rPr>
          <w:rFonts w:hint="eastAsia"/>
          <w:color w:val="auto"/>
          <w:highlight w:val="none"/>
          <w:lang w:val="en-US" w:eastAsia="zh-CN"/>
        </w:rPr>
        <w:t>30</w:t>
      </w:r>
      <w:r>
        <w:rPr>
          <w:color w:val="auto"/>
          <w:highlight w:val="none"/>
        </w:rPr>
        <w:t>天内完成产品交货、安装、调试及验收，</w:t>
      </w:r>
      <w:r>
        <w:rPr>
          <w:rFonts w:hint="eastAsia"/>
          <w:color w:val="auto"/>
          <w:highlight w:val="none"/>
        </w:rPr>
        <w:t>交货地点</w:t>
      </w:r>
      <w:r>
        <w:rPr>
          <w:rFonts w:hint="eastAsia"/>
          <w:color w:val="auto"/>
          <w:highlight w:val="none"/>
          <w:lang w:val="en-US" w:eastAsia="zh-CN"/>
        </w:rPr>
        <w:t>由使用单位确定</w:t>
      </w:r>
      <w:r>
        <w:rPr>
          <w:rFonts w:hint="eastAsia"/>
          <w:color w:val="auto"/>
          <w:highlight w:val="none"/>
        </w:rPr>
        <w:t>。</w:t>
      </w:r>
    </w:p>
    <w:p>
      <w:pPr>
        <w:snapToGrid w:val="0"/>
        <w:spacing w:line="312" w:lineRule="auto"/>
        <w:ind w:firstLine="480" w:firstLineChars="200"/>
        <w:rPr>
          <w:color w:val="auto"/>
        </w:rPr>
      </w:pPr>
      <w:r>
        <w:rPr>
          <w:rFonts w:hint="eastAsia"/>
          <w:color w:val="auto"/>
        </w:rPr>
        <w:t>2.使用单位须做好配合工作，无正当理由不得拒收产品或拒付货款。</w:t>
      </w:r>
    </w:p>
    <w:p>
      <w:pPr>
        <w:widowControl w:val="0"/>
        <w:spacing w:line="312" w:lineRule="auto"/>
        <w:ind w:firstLine="482" w:firstLineChars="200"/>
        <w:jc w:val="both"/>
        <w:rPr>
          <w:b/>
          <w:bCs/>
          <w:color w:val="auto"/>
          <w:kern w:val="2"/>
        </w:rPr>
      </w:pPr>
      <w:r>
        <w:rPr>
          <w:b/>
          <w:bCs/>
          <w:color w:val="auto"/>
          <w:kern w:val="2"/>
        </w:rPr>
        <w:t>（</w:t>
      </w:r>
      <w:r>
        <w:rPr>
          <w:rFonts w:hint="eastAsia"/>
          <w:b/>
          <w:bCs/>
          <w:color w:val="auto"/>
          <w:kern w:val="2"/>
          <w:lang w:eastAsia="zh-CN"/>
        </w:rPr>
        <w:t>四</w:t>
      </w:r>
      <w:r>
        <w:rPr>
          <w:b/>
          <w:bCs/>
          <w:color w:val="auto"/>
          <w:kern w:val="2"/>
        </w:rPr>
        <w:t>）验收标准</w:t>
      </w:r>
    </w:p>
    <w:p>
      <w:pPr>
        <w:pStyle w:val="56"/>
        <w:spacing w:after="0" w:line="312" w:lineRule="auto"/>
        <w:ind w:left="0" w:leftChars="0" w:firstLine="480"/>
        <w:rPr>
          <w:color w:val="auto"/>
          <w:lang w:val="zh-CN"/>
        </w:rPr>
      </w:pPr>
      <w:r>
        <w:rPr>
          <w:color w:val="auto"/>
        </w:rPr>
        <w:t>根据中华人民共和国现行技术标准，按采购文件以及合同规定的验收评定标准等规范，由采购人根</w:t>
      </w:r>
      <w:r>
        <w:rPr>
          <w:color w:val="auto"/>
          <w:lang w:val="zh-CN"/>
        </w:rPr>
        <w:t>据《义乌市人民政府办公室关于印发规范政府采购管理若干意见的通知》（义政办发〔2017〕102号）、《政府采购合同履约和验收管理办法（暂行）》（义招管办【2008】32号）文件要求组织验收。</w:t>
      </w:r>
    </w:p>
    <w:p>
      <w:pPr>
        <w:widowControl w:val="0"/>
        <w:spacing w:line="312" w:lineRule="auto"/>
        <w:ind w:firstLine="482" w:firstLineChars="200"/>
        <w:jc w:val="both"/>
        <w:rPr>
          <w:b/>
          <w:bCs/>
          <w:color w:val="auto"/>
          <w:kern w:val="2"/>
        </w:rPr>
      </w:pPr>
      <w:r>
        <w:rPr>
          <w:b/>
          <w:bCs/>
          <w:color w:val="auto"/>
          <w:kern w:val="2"/>
        </w:rPr>
        <w:t>（</w:t>
      </w:r>
      <w:r>
        <w:rPr>
          <w:rFonts w:hint="eastAsia"/>
          <w:b/>
          <w:bCs/>
          <w:color w:val="auto"/>
          <w:kern w:val="2"/>
          <w:lang w:eastAsia="zh-CN"/>
        </w:rPr>
        <w:t>五</w:t>
      </w:r>
      <w:r>
        <w:rPr>
          <w:b/>
          <w:bCs/>
          <w:color w:val="auto"/>
          <w:kern w:val="2"/>
        </w:rPr>
        <w:t>）结算和付款方式：</w:t>
      </w:r>
    </w:p>
    <w:p>
      <w:pPr>
        <w:pStyle w:val="56"/>
        <w:spacing w:after="0" w:line="312" w:lineRule="auto"/>
        <w:ind w:left="0" w:leftChars="0" w:firstLine="480"/>
        <w:rPr>
          <w:rFonts w:ascii="Times New Roman" w:hAnsi="Times New Roman" w:cs="Times New Roman"/>
          <w:color w:val="auto"/>
        </w:rPr>
      </w:pPr>
      <w:r>
        <w:rPr>
          <w:rFonts w:ascii="Times New Roman" w:hAnsi="Times New Roman" w:cs="Times New Roman"/>
          <w:color w:val="auto"/>
        </w:rPr>
        <w:t>1.在合同生效以及具备实施条件后7个工作日内</w:t>
      </w:r>
      <w:r>
        <w:rPr>
          <w:rFonts w:hint="eastAsia" w:ascii="Times New Roman" w:hAnsi="Times New Roman" w:cs="Times New Roman"/>
          <w:color w:val="auto"/>
        </w:rPr>
        <w:t>，</w:t>
      </w:r>
      <w:r>
        <w:rPr>
          <w:rFonts w:ascii="Times New Roman" w:hAnsi="Times New Roman" w:cs="Times New Roman"/>
          <w:color w:val="auto"/>
        </w:rPr>
        <w:t>使用单位向中标人支付合同价的40%作为预付款（在签订合同时，中标方明确表示无需预付款或者主动要求降低预付款比例的，采购单位可不支付或减少预付款支付比例）。</w:t>
      </w:r>
      <w:r>
        <w:rPr>
          <w:rFonts w:hint="eastAsia" w:ascii="Times New Roman" w:hAnsi="Times New Roman" w:cs="Times New Roman"/>
          <w:color w:val="auto"/>
        </w:rPr>
        <w:t>使用</w:t>
      </w:r>
      <w:r>
        <w:rPr>
          <w:rFonts w:ascii="Times New Roman" w:hAnsi="Times New Roman" w:cs="Times New Roman"/>
          <w:color w:val="auto"/>
        </w:rPr>
        <w:t>单位可以要求供应商提交银行、保险公司等金融机构出具的预付款保函或其他担保措施。</w:t>
      </w:r>
    </w:p>
    <w:p>
      <w:pPr>
        <w:pStyle w:val="56"/>
        <w:spacing w:after="0" w:line="312" w:lineRule="auto"/>
        <w:ind w:left="0" w:leftChars="0" w:firstLine="480"/>
        <w:rPr>
          <w:rFonts w:hint="eastAsia" w:ascii="Times New Roman" w:hAnsi="Times New Roman" w:eastAsia="宋体" w:cs="Times New Roman"/>
          <w:color w:val="auto"/>
          <w:lang w:eastAsia="zh-CN"/>
        </w:rPr>
      </w:pPr>
      <w:r>
        <w:rPr>
          <w:rFonts w:hint="default" w:ascii="Times New Roman" w:hAnsi="Times New Roman" w:cs="Times New Roman"/>
          <w:color w:val="auto"/>
        </w:rPr>
        <w:t>2.全部</w:t>
      </w:r>
      <w:r>
        <w:rPr>
          <w:rFonts w:hint="eastAsia" w:ascii="Times New Roman" w:hAnsi="Times New Roman" w:cs="Times New Roman"/>
          <w:color w:val="auto"/>
          <w:lang w:eastAsia="zh-CN"/>
        </w:rPr>
        <w:t>货物</w:t>
      </w:r>
      <w:r>
        <w:rPr>
          <w:rFonts w:hint="default" w:ascii="Times New Roman" w:hAnsi="Times New Roman" w:cs="Times New Roman"/>
          <w:color w:val="auto"/>
        </w:rPr>
        <w:t>设备送交指定地点，进行现场验货、安装、调试,在验收合格后30个工作日内支付</w:t>
      </w:r>
      <w:r>
        <w:rPr>
          <w:rFonts w:hint="eastAsia" w:ascii="Times New Roman" w:hAnsi="Times New Roman" w:cs="Times New Roman"/>
          <w:color w:val="auto"/>
          <w:lang w:eastAsia="zh-CN"/>
        </w:rPr>
        <w:t>至</w:t>
      </w:r>
      <w:r>
        <w:rPr>
          <w:rFonts w:hint="default" w:ascii="Times New Roman" w:hAnsi="Times New Roman" w:cs="Times New Roman"/>
          <w:color w:val="auto"/>
        </w:rPr>
        <w:t>合同总价款的95%</w:t>
      </w:r>
      <w:r>
        <w:rPr>
          <w:rFonts w:hint="eastAsia" w:ascii="Times New Roman" w:hAnsi="Times New Roman" w:cs="Times New Roman"/>
          <w:color w:val="auto"/>
          <w:lang w:eastAsia="zh-CN"/>
        </w:rPr>
        <w:t>；剩余合同</w:t>
      </w:r>
      <w:r>
        <w:rPr>
          <w:rFonts w:hint="default" w:ascii="Times New Roman" w:hAnsi="Times New Roman" w:cs="Times New Roman"/>
          <w:color w:val="auto"/>
        </w:rPr>
        <w:t>款在</w:t>
      </w:r>
      <w:r>
        <w:rPr>
          <w:rFonts w:hint="eastAsia" w:ascii="Times New Roman" w:hAnsi="Times New Roman" w:cs="Times New Roman"/>
          <w:color w:val="auto"/>
          <w:lang w:eastAsia="zh-CN"/>
        </w:rPr>
        <w:t>项目质保期结束后</w:t>
      </w:r>
      <w:r>
        <w:rPr>
          <w:rFonts w:hint="eastAsia" w:ascii="Times New Roman" w:hAnsi="Times New Roman" w:cs="Times New Roman"/>
          <w:color w:val="auto"/>
          <w:lang w:val="en-US" w:eastAsia="zh-CN"/>
        </w:rPr>
        <w:t>30</w:t>
      </w:r>
      <w:r>
        <w:rPr>
          <w:rFonts w:hint="default" w:ascii="Times New Roman" w:hAnsi="Times New Roman" w:cs="Times New Roman"/>
          <w:color w:val="auto"/>
        </w:rPr>
        <w:t>日内付清。</w:t>
      </w:r>
      <w:r>
        <w:rPr>
          <w:rFonts w:hint="default" w:ascii="Times New Roman" w:hAnsi="Times New Roman" w:eastAsia="宋体" w:cs="Times New Roman"/>
          <w:sz w:val="24"/>
          <w:szCs w:val="24"/>
          <w:lang w:val="zh-CN"/>
        </w:rPr>
        <w:t>如果中标方是中小企业的，项目最终验收合格后60日内支付至合同总价款的100%。</w:t>
      </w:r>
    </w:p>
    <w:p>
      <w:pPr>
        <w:pStyle w:val="56"/>
        <w:spacing w:after="0" w:line="312" w:lineRule="auto"/>
        <w:ind w:left="0" w:leftChars="0" w:firstLine="480"/>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货款凭合同、中标通知书、发票、政府采购验收单和政府采购资金结算单由</w:t>
      </w:r>
      <w:r>
        <w:rPr>
          <w:rFonts w:hint="default" w:ascii="Times New Roman" w:hAnsi="Times New Roman" w:cs="Times New Roman"/>
          <w:color w:val="auto"/>
          <w:lang w:eastAsia="zh-CN"/>
        </w:rPr>
        <w:t>采购单位</w:t>
      </w:r>
      <w:r>
        <w:rPr>
          <w:rFonts w:hint="default" w:ascii="Times New Roman" w:hAnsi="Times New Roman" w:cs="Times New Roman"/>
          <w:color w:val="auto"/>
        </w:rPr>
        <w:t>直接支付。</w:t>
      </w:r>
    </w:p>
    <w:p>
      <w:pPr>
        <w:widowControl w:val="0"/>
        <w:spacing w:line="312" w:lineRule="auto"/>
        <w:ind w:firstLine="480" w:firstLineChars="200"/>
        <w:jc w:val="both"/>
        <w:rPr>
          <w:b/>
          <w:bCs/>
          <w:color w:val="auto"/>
          <w:kern w:val="2"/>
        </w:rPr>
      </w:pPr>
      <w:r>
        <w:rPr>
          <w:rFonts w:hint="eastAsia"/>
          <w:color w:val="auto"/>
          <w:lang w:val="en-US" w:eastAsia="zh-CN"/>
        </w:rPr>
        <w:t>4</w:t>
      </w:r>
      <w:r>
        <w:rPr>
          <w:color w:val="auto"/>
        </w:rPr>
        <w:t>.本项目的支付发票必须为增值税专用发票。</w:t>
      </w:r>
    </w:p>
    <w:p>
      <w:pPr>
        <w:pStyle w:val="5"/>
        <w:widowControl w:val="0"/>
        <w:spacing w:before="120" w:after="120" w:line="312" w:lineRule="auto"/>
        <w:jc w:val="both"/>
        <w:rPr>
          <w:rFonts w:hint="eastAsia" w:ascii="Times New Roman" w:hAnsi="Times New Roman" w:eastAsia="宋体"/>
          <w:bCs w:val="0"/>
          <w:sz w:val="24"/>
          <w:szCs w:val="24"/>
          <w:lang w:eastAsia="zh-CN"/>
        </w:rPr>
      </w:pPr>
      <w:r>
        <w:rPr>
          <w:rFonts w:hint="eastAsia" w:ascii="Times New Roman" w:hAnsi="Times New Roman" w:eastAsia="宋体"/>
          <w:bCs w:val="0"/>
          <w:sz w:val="24"/>
          <w:szCs w:val="24"/>
          <w:lang w:eastAsia="zh-CN"/>
        </w:rPr>
        <w:t>★六、其它说明</w:t>
      </w:r>
    </w:p>
    <w:p>
      <w:pPr>
        <w:pStyle w:val="56"/>
        <w:spacing w:after="0" w:line="312" w:lineRule="auto"/>
        <w:ind w:left="0" w:leftChars="0" w:firstLine="48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1.本项目设有一个标项，对于同一标段内的产品或服务不允许拆分参投，否则其投标无效。</w:t>
      </w:r>
    </w:p>
    <w:p>
      <w:pPr>
        <w:pStyle w:val="56"/>
        <w:spacing w:after="0" w:line="312" w:lineRule="auto"/>
        <w:ind w:left="0" w:leftChars="0" w:firstLine="48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2.中标之后，如发现投标人的投标文件内容有不一致的，以有利于采购人和使用单位的原则执行。</w:t>
      </w:r>
      <w:bookmarkEnd w:id="45"/>
      <w:bookmarkEnd w:id="46"/>
      <w:bookmarkStart w:id="51" w:name="_Toc12046"/>
      <w:bookmarkStart w:id="52" w:name="_Toc8168"/>
    </w:p>
    <w:p>
      <w:pPr>
        <w:pStyle w:val="4"/>
        <w:spacing w:before="0" w:after="0" w:line="400" w:lineRule="atLeast"/>
        <w:jc w:val="center"/>
        <w:rPr>
          <w:sz w:val="36"/>
        </w:rPr>
      </w:pPr>
      <w:bookmarkStart w:id="53" w:name="_Toc9652"/>
      <w:bookmarkStart w:id="54" w:name="_Toc9757"/>
      <w:r>
        <w:rPr>
          <w:sz w:val="36"/>
        </w:rPr>
        <w:t>第四章 开标、评标和定标须知</w:t>
      </w:r>
      <w:bookmarkEnd w:id="39"/>
      <w:bookmarkEnd w:id="40"/>
      <w:bookmarkEnd w:id="41"/>
      <w:bookmarkEnd w:id="51"/>
      <w:bookmarkEnd w:id="52"/>
      <w:bookmarkEnd w:id="53"/>
      <w:bookmarkEnd w:id="54"/>
    </w:p>
    <w:p>
      <w:pPr>
        <w:pStyle w:val="5"/>
        <w:spacing w:before="0" w:after="0" w:line="360" w:lineRule="exact"/>
        <w:rPr>
          <w:rFonts w:ascii="Times New Roman" w:hAnsi="Times New Roman" w:eastAsia="宋体"/>
          <w:sz w:val="24"/>
          <w:szCs w:val="24"/>
        </w:rPr>
      </w:pPr>
      <w:bookmarkStart w:id="55" w:name="_Toc23064"/>
      <w:bookmarkStart w:id="56" w:name="_Toc274303252"/>
      <w:bookmarkStart w:id="57" w:name="_Toc406413937"/>
      <w:bookmarkStart w:id="58" w:name="_Toc362250704"/>
      <w:r>
        <w:rPr>
          <w:rFonts w:ascii="Times New Roman" w:hAnsi="Times New Roman" w:eastAsia="宋体"/>
          <w:sz w:val="24"/>
          <w:szCs w:val="24"/>
        </w:rPr>
        <w:t>一、开标</w:t>
      </w:r>
      <w:bookmarkEnd w:id="55"/>
      <w:bookmarkEnd w:id="56"/>
      <w:bookmarkEnd w:id="57"/>
      <w:bookmarkEnd w:id="58"/>
    </w:p>
    <w:p>
      <w:pPr>
        <w:spacing w:line="360" w:lineRule="exact"/>
        <w:ind w:firstLine="480" w:firstLineChars="200"/>
      </w:pPr>
      <w:bookmarkStart w:id="59" w:name="_Toc274303253"/>
      <w:bookmarkStart w:id="60" w:name="_Toc261519847"/>
      <w:bookmarkStart w:id="61" w:name="_Toc263090375"/>
      <w:bookmarkStart w:id="62" w:name="_Toc406413938"/>
      <w:bookmarkStart w:id="63" w:name="_Toc226973002"/>
      <w:bookmarkStart w:id="64" w:name="_Toc362250705"/>
      <w:r>
        <w:t>1.本项目实行电子开评标，投标人无需前往开评标现场，应在规定时间内在“政采云”上上传电子投标文件和准时在线参加开标。</w:t>
      </w:r>
    </w:p>
    <w:p>
      <w:pPr>
        <w:spacing w:line="360" w:lineRule="exact"/>
        <w:ind w:firstLine="480" w:firstLineChars="200"/>
      </w:pPr>
      <w:r>
        <w:t>2.电子开评标及评审程序</w:t>
      </w:r>
    </w:p>
    <w:p>
      <w:pPr>
        <w:spacing w:line="360" w:lineRule="exact"/>
        <w:ind w:firstLine="480" w:firstLineChars="200"/>
      </w:pPr>
      <w:r>
        <w:t xml:space="preserve">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spacing w:line="360" w:lineRule="exact"/>
        <w:ind w:firstLine="480" w:firstLineChars="200"/>
      </w:pPr>
      <w:r>
        <w:t>2.2.评标委员会对投标人的资格和商务技术响应文件进行评审；</w:t>
      </w:r>
    </w:p>
    <w:p>
      <w:pPr>
        <w:spacing w:line="360" w:lineRule="exact"/>
        <w:ind w:firstLine="480" w:firstLineChars="200"/>
      </w:pPr>
      <w:r>
        <w:t>2.3评标委员会对报价响应文件进行评审；</w:t>
      </w:r>
    </w:p>
    <w:p>
      <w:pPr>
        <w:spacing w:line="360" w:lineRule="exact"/>
        <w:ind w:firstLine="480" w:firstLineChars="200"/>
      </w:pPr>
      <w:r>
        <w:t>2.4在系统上公布评审结果。</w:t>
      </w:r>
    </w:p>
    <w:p>
      <w:pPr>
        <w:spacing w:line="360" w:lineRule="exact"/>
        <w:ind w:firstLine="482" w:firstLineChars="200"/>
        <w:rPr>
          <w:b/>
          <w:szCs w:val="21"/>
          <w:u w:val="single"/>
        </w:rPr>
      </w:pPr>
      <w:r>
        <w:rPr>
          <w:b/>
          <w:szCs w:val="21"/>
          <w:u w:val="single"/>
        </w:rPr>
        <w:t>特别说明：“政采云”如对开评标程序有调整的，按调整后的程序操作。</w:t>
      </w:r>
    </w:p>
    <w:p>
      <w:pPr>
        <w:pStyle w:val="5"/>
        <w:spacing w:before="0" w:after="0" w:line="360" w:lineRule="exact"/>
        <w:rPr>
          <w:rFonts w:ascii="Times New Roman" w:hAnsi="Times New Roman" w:eastAsia="宋体"/>
          <w:sz w:val="24"/>
          <w:szCs w:val="24"/>
        </w:rPr>
      </w:pPr>
      <w:bookmarkStart w:id="65" w:name="_Toc14316"/>
      <w:r>
        <w:rPr>
          <w:rFonts w:ascii="Times New Roman" w:hAnsi="Times New Roman" w:eastAsia="宋体"/>
          <w:sz w:val="24"/>
          <w:szCs w:val="24"/>
        </w:rPr>
        <w:t>二、评标</w:t>
      </w:r>
      <w:bookmarkEnd w:id="59"/>
      <w:bookmarkEnd w:id="60"/>
      <w:bookmarkEnd w:id="61"/>
      <w:bookmarkEnd w:id="62"/>
      <w:bookmarkEnd w:id="63"/>
      <w:bookmarkEnd w:id="64"/>
      <w:bookmarkEnd w:id="65"/>
    </w:p>
    <w:p>
      <w:pPr>
        <w:spacing w:line="360" w:lineRule="exact"/>
        <w:ind w:firstLine="480"/>
        <w:rPr>
          <w:b/>
        </w:rPr>
      </w:pPr>
      <w:r>
        <w:rPr>
          <w:b/>
        </w:rPr>
        <w:t>3.评标小组</w:t>
      </w:r>
    </w:p>
    <w:p>
      <w:pPr>
        <w:spacing w:line="360" w:lineRule="exact"/>
        <w:ind w:firstLine="480" w:firstLineChars="200"/>
      </w:pPr>
      <w:r>
        <w:t>招标方将根据招标采购项目的特点确定评标委员会（即评标小组）。其成员由评审专家和采购人代表共5人及以上单数组成。评标小组对投标文件进行审查、质疑、评估和比较。</w:t>
      </w:r>
    </w:p>
    <w:p>
      <w:pPr>
        <w:spacing w:line="360" w:lineRule="exact"/>
        <w:ind w:firstLine="480"/>
        <w:rPr>
          <w:b/>
        </w:rPr>
      </w:pPr>
      <w:r>
        <w:rPr>
          <w:b/>
        </w:rPr>
        <w:t>4.评标原则</w:t>
      </w:r>
    </w:p>
    <w:p>
      <w:pPr>
        <w:spacing w:line="360" w:lineRule="exact"/>
        <w:ind w:firstLine="480" w:firstLineChars="200"/>
      </w:pPr>
      <w:r>
        <w:t>4.1评标小组将遵循公开、公平、公正的原则，严格遵守评标工作纪律。</w:t>
      </w:r>
    </w:p>
    <w:p>
      <w:pPr>
        <w:spacing w:line="360" w:lineRule="exact"/>
        <w:ind w:firstLine="480"/>
        <w:rPr>
          <w:bCs/>
        </w:rPr>
      </w:pPr>
      <w:r>
        <w:t>4.2</w:t>
      </w:r>
      <w:r>
        <w:rPr>
          <w:bCs/>
        </w:rPr>
        <w:t>先评资格及商务技术响应文件，再评报价响应文件。</w:t>
      </w:r>
    </w:p>
    <w:p>
      <w:pPr>
        <w:spacing w:line="360" w:lineRule="exact"/>
        <w:ind w:firstLine="480"/>
      </w:pPr>
      <w:r>
        <w:rPr>
          <w:bCs/>
        </w:rPr>
        <w:t>4.3</w:t>
      </w:r>
      <w:r>
        <w:t>客观公正对待所有投标人，对所有投标评审均采用相同的程序和标准。评标的依据为招标文件和相关法律、法规及政策文件。</w:t>
      </w:r>
    </w:p>
    <w:p>
      <w:pPr>
        <w:pStyle w:val="30"/>
        <w:spacing w:line="360" w:lineRule="exact"/>
        <w:ind w:firstLine="482"/>
        <w:rPr>
          <w:rFonts w:ascii="Times New Roman" w:hAnsi="Times New Roman" w:cs="Times New Roman"/>
          <w:sz w:val="24"/>
          <w:szCs w:val="24"/>
        </w:rPr>
      </w:pPr>
      <w:r>
        <w:rPr>
          <w:rFonts w:ascii="Times New Roman" w:hAnsi="Times New Roman" w:cs="Times New Roman"/>
          <w:sz w:val="24"/>
          <w:szCs w:val="24"/>
        </w:rPr>
        <w:t>4.4异常或特殊情况处理：</w:t>
      </w:r>
    </w:p>
    <w:p>
      <w:pPr>
        <w:pStyle w:val="30"/>
        <w:spacing w:line="360" w:lineRule="exact"/>
        <w:ind w:firstLine="482"/>
        <w:rPr>
          <w:rFonts w:ascii="Times New Roman" w:hAnsi="Times New Roman" w:cs="Times New Roman"/>
          <w:sz w:val="24"/>
          <w:szCs w:val="24"/>
        </w:rPr>
      </w:pPr>
      <w:r>
        <w:rPr>
          <w:rFonts w:ascii="Times New Roman" w:hAnsi="Times New Roman" w:cs="Times New Roman"/>
          <w:sz w:val="24"/>
          <w:szCs w:val="24"/>
        </w:rPr>
        <w:t>4.4.1在评标过程中，如发现招标文件中内容有不一致的（招标文件中其它地方另外规定的除外），经评标委员讨论认为不影响评标的，可以继续评标。</w:t>
      </w:r>
    </w:p>
    <w:p>
      <w:pPr>
        <w:pStyle w:val="30"/>
        <w:spacing w:line="360" w:lineRule="exact"/>
        <w:ind w:firstLine="482"/>
        <w:rPr>
          <w:rFonts w:ascii="Times New Roman" w:hAnsi="Times New Roman" w:cs="Times New Roman"/>
          <w:sz w:val="24"/>
          <w:szCs w:val="24"/>
        </w:rPr>
      </w:pPr>
      <w:r>
        <w:rPr>
          <w:rFonts w:ascii="Times New Roman" w:hAnsi="Times New Roman" w:cs="Times New Roman"/>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exact"/>
        <w:ind w:firstLine="464" w:firstLineChars="200"/>
      </w:pPr>
      <w:r>
        <w:rPr>
          <w:spacing w:val="-4"/>
        </w:rPr>
        <w:t>4.4.2</w:t>
      </w:r>
      <w:r>
        <w:t>在评标过程中，出现其它异常或特殊情况时，由评标小组集体讨论决定。</w:t>
      </w:r>
    </w:p>
    <w:p>
      <w:pPr>
        <w:spacing w:line="360" w:lineRule="exact"/>
        <w:ind w:firstLine="480"/>
        <w:rPr>
          <w:bCs/>
        </w:rPr>
      </w:pPr>
      <w:r>
        <w:rPr>
          <w:rFonts w:hint="eastAsia"/>
          <w:bCs/>
        </w:rPr>
        <w:t>★4.5不同投标人提供同一品牌产品的处理</w:t>
      </w:r>
    </w:p>
    <w:p>
      <w:pPr>
        <w:spacing w:line="360" w:lineRule="exact"/>
        <w:ind w:firstLine="480"/>
        <w:rPr>
          <w:bCs/>
          <w:highlight w:val="yellow"/>
        </w:rPr>
      </w:pPr>
      <w:r>
        <w:rPr>
          <w:rFonts w:hint="eastAsia"/>
          <w:bCs/>
          <w:highlight w:val="none"/>
        </w:rPr>
        <w:t>采用综合评分法的采购项目，</w:t>
      </w:r>
      <w:r>
        <w:rPr>
          <w:rFonts w:hint="eastAsia"/>
          <w:bCs/>
          <w:highlight w:val="none"/>
          <w:lang w:eastAsia="zh-CN"/>
        </w:rPr>
        <w:t>同时</w:t>
      </w:r>
      <w:r>
        <w:rPr>
          <w:rFonts w:hint="eastAsia"/>
          <w:bCs/>
          <w:highlight w:val="none"/>
        </w:rPr>
        <w:t>提供相同品牌的</w:t>
      </w:r>
      <w:r>
        <w:rPr>
          <w:rFonts w:hint="default" w:ascii="Times New Roman" w:hAnsi="Times New Roman" w:cs="Times New Roman"/>
          <w:bCs/>
          <w:color w:val="FF0000"/>
          <w:highlight w:val="none"/>
          <w:lang w:val="en-US" w:eastAsia="zh-CN"/>
        </w:rPr>
        <w:t>智慧物流方案设计与实施VR虚拟仿真软件</w:t>
      </w:r>
      <w:r>
        <w:rPr>
          <w:rFonts w:hint="eastAsia" w:ascii="Times New Roman" w:hAnsi="Times New Roman" w:cs="Times New Roman"/>
          <w:bCs/>
          <w:color w:val="FF0000"/>
          <w:highlight w:val="none"/>
          <w:lang w:val="en-US" w:eastAsia="zh-CN"/>
        </w:rPr>
        <w:t>、</w:t>
      </w:r>
      <w:r>
        <w:rPr>
          <w:rFonts w:hint="default" w:ascii="Times New Roman" w:hAnsi="Times New Roman" w:eastAsia="宋体" w:cs="Times New Roman"/>
          <w:i w:val="0"/>
          <w:iCs w:val="0"/>
          <w:color w:val="FF0000"/>
          <w:kern w:val="0"/>
          <w:sz w:val="24"/>
          <w:szCs w:val="24"/>
          <w:highlight w:val="none"/>
          <w:u w:val="none"/>
          <w:lang w:val="en-US" w:eastAsia="zh-CN" w:bidi="ar"/>
        </w:rPr>
        <w:t>仓储布局规划仿真软件</w:t>
      </w:r>
      <w:r>
        <w:rPr>
          <w:rFonts w:hint="eastAsia" w:ascii="Times New Roman" w:hAnsi="Times New Roman" w:cs="Times New Roman"/>
          <w:i w:val="0"/>
          <w:iCs w:val="0"/>
          <w:color w:val="FF0000"/>
          <w:kern w:val="0"/>
          <w:sz w:val="24"/>
          <w:szCs w:val="24"/>
          <w:highlight w:val="none"/>
          <w:u w:val="none"/>
          <w:lang w:val="en-US" w:eastAsia="zh-CN" w:bidi="ar"/>
        </w:rPr>
        <w:t>、</w:t>
      </w:r>
      <w:r>
        <w:rPr>
          <w:rFonts w:hint="default" w:ascii="Times New Roman" w:hAnsi="Times New Roman" w:eastAsia="宋体" w:cs="Times New Roman"/>
          <w:i w:val="0"/>
          <w:iCs w:val="0"/>
          <w:color w:val="FF0000"/>
          <w:kern w:val="0"/>
          <w:sz w:val="24"/>
          <w:szCs w:val="24"/>
          <w:highlight w:val="none"/>
          <w:u w:val="none"/>
          <w:lang w:val="en-US" w:eastAsia="zh-CN" w:bidi="ar"/>
        </w:rPr>
        <w:t>智能物流设备AR软件</w:t>
      </w:r>
      <w:r>
        <w:rPr>
          <w:rFonts w:hint="eastAsia"/>
          <w:bCs/>
          <w:highlight w:val="none"/>
        </w:rPr>
        <w:t>且通过资格审查、符合性审查的不同投标人参加同一标项下投标的，按一家投标人计算，评审后得分最高的同品牌投标人作为有效供应商，评审得分相同的，采取随机抽取方式确定，其他同品牌投标人投标无效。</w:t>
      </w:r>
    </w:p>
    <w:p>
      <w:pPr>
        <w:spacing w:line="360" w:lineRule="exact"/>
        <w:ind w:firstLine="480"/>
        <w:rPr>
          <w:bCs/>
        </w:rPr>
      </w:pPr>
      <w:r>
        <w:rPr>
          <w:bCs/>
        </w:rPr>
        <w:t>4.</w:t>
      </w:r>
      <w:r>
        <w:rPr>
          <w:rFonts w:hint="eastAsia"/>
          <w:bCs/>
        </w:rPr>
        <w:t>6</w:t>
      </w:r>
      <w:r>
        <w:rPr>
          <w:bCs/>
        </w:rPr>
        <w:t>评标委员会成员对需要共同认定的事项存在争议的，应当按照少数服从多数的原则作出结论。持不同意见的评标委员会成员应当在评标报告上签署不同意见及理由，否则视为同意评标报告。</w:t>
      </w:r>
    </w:p>
    <w:p>
      <w:pPr>
        <w:pStyle w:val="30"/>
        <w:spacing w:line="360" w:lineRule="exact"/>
        <w:ind w:firstLine="482" w:firstLineChars="200"/>
        <w:rPr>
          <w:rFonts w:ascii="Times New Roman" w:hAnsi="Times New Roman" w:cs="Times New Roman"/>
          <w:sz w:val="24"/>
          <w:szCs w:val="24"/>
        </w:rPr>
      </w:pPr>
      <w:r>
        <w:rPr>
          <w:rFonts w:ascii="Times New Roman" w:hAnsi="Times New Roman" w:cs="Times New Roman"/>
          <w:b/>
          <w:sz w:val="24"/>
          <w:szCs w:val="24"/>
        </w:rPr>
        <w:t>5.评标过程的保密</w:t>
      </w:r>
    </w:p>
    <w:p>
      <w:pPr>
        <w:adjustRightInd w:val="0"/>
        <w:snapToGrid w:val="0"/>
        <w:spacing w:line="360" w:lineRule="exact"/>
        <w:ind w:firstLine="480" w:firstLineChars="200"/>
      </w:pPr>
      <w:r>
        <w:t>5.1开标后，直至授予中标人合同为止，凡属于对投标文件的审查、澄清、评价和比较等有关的资料以及中标候选人的推荐情况等与评标有关的任何情况均严格保密。</w:t>
      </w:r>
    </w:p>
    <w:p>
      <w:pPr>
        <w:pStyle w:val="3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5.2中标人确认后，采购人不对未中标人就评标过程以及未能中标原因作出任何解释。未中标人不得向评标小组人员或其他有关人员索问评标过程的全部情况。</w:t>
      </w:r>
    </w:p>
    <w:p>
      <w:pPr>
        <w:spacing w:line="360" w:lineRule="exact"/>
        <w:ind w:firstLine="480" w:firstLineChars="200"/>
        <w:rPr>
          <w:spacing w:val="-4"/>
        </w:rPr>
      </w:pPr>
      <w:r>
        <w:t>5.3</w:t>
      </w:r>
      <w:r>
        <w:rPr>
          <w:spacing w:val="-4"/>
        </w:rPr>
        <w:t>为保证定标的公正性，在评标过程中，评标成员不得与投标人私人交换意见。在招标工作结束后，凡与评标情况有接触的任何人不得也不应将评标情况扩散出评标成员之外。</w:t>
      </w:r>
    </w:p>
    <w:p>
      <w:pPr>
        <w:adjustRightInd w:val="0"/>
        <w:snapToGrid w:val="0"/>
        <w:spacing w:line="360" w:lineRule="exact"/>
        <w:ind w:firstLine="472" w:firstLineChars="196"/>
        <w:rPr>
          <w:b/>
        </w:rPr>
      </w:pPr>
      <w:r>
        <w:rPr>
          <w:b/>
        </w:rPr>
        <w:t>6.投标文件的澄清</w:t>
      </w:r>
    </w:p>
    <w:p>
      <w:pPr>
        <w:spacing w:line="360" w:lineRule="exact"/>
        <w:ind w:firstLine="480" w:firstLineChars="200"/>
      </w:pPr>
      <w:r>
        <w:t>6.1为有助于投标文件的审查、评价和比较，评标委员会应当在“政采云”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30"/>
        <w:tabs>
          <w:tab w:val="left" w:pos="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6.2如果投标人代表拒绝按评标委员会要求在“政采云”作出在线回复且无其他有效回复方式的，评标委员会可以对其作出无效标处理。</w:t>
      </w:r>
    </w:p>
    <w:p>
      <w:pPr>
        <w:adjustRightInd w:val="0"/>
        <w:snapToGrid w:val="0"/>
        <w:spacing w:line="360" w:lineRule="exact"/>
        <w:ind w:firstLine="482" w:firstLineChars="200"/>
      </w:pPr>
      <w:r>
        <w:rPr>
          <w:b/>
        </w:rPr>
        <w:t>7.投标文件的资格性和符合性评审</w:t>
      </w:r>
    </w:p>
    <w:p>
      <w:pPr>
        <w:adjustRightInd w:val="0"/>
        <w:snapToGrid w:val="0"/>
        <w:spacing w:line="360" w:lineRule="exact"/>
        <w:ind w:firstLine="480" w:firstLineChars="200"/>
      </w:pPr>
      <w:r>
        <w:t>7.1评标时，评标小组将首先评定每份投标文件是否实质上响应了招标文件的要求。所谓实质上响应，是指投标文件应与招标文件的所有实质性条款、条件和要求相符，无显著差异或保留。</w:t>
      </w:r>
    </w:p>
    <w:p>
      <w:pPr>
        <w:adjustRightInd w:val="0"/>
        <w:snapToGrid w:val="0"/>
        <w:spacing w:line="360" w:lineRule="exact"/>
        <w:ind w:firstLine="436" w:firstLineChars="182"/>
      </w:pPr>
      <w: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Style w:val="56"/>
        <w:spacing w:after="0" w:line="360" w:lineRule="exact"/>
        <w:ind w:left="0" w:leftChars="0" w:firstLine="480"/>
      </w:pPr>
      <w:r>
        <w:t>7.3在投标文件的评审和比较、中标候选人推荐以及授予合同的过程中，投标人向采购人和评标小组施加影响的任何行为，都将会导致其投标被拒绝。</w:t>
      </w:r>
    </w:p>
    <w:p>
      <w:pPr>
        <w:adjustRightInd w:val="0"/>
        <w:snapToGrid w:val="0"/>
        <w:spacing w:line="360" w:lineRule="exact"/>
        <w:ind w:firstLine="482" w:firstLineChars="200"/>
        <w:rPr>
          <w:b/>
        </w:rPr>
      </w:pPr>
      <w:r>
        <w:rPr>
          <w:b/>
        </w:rPr>
        <w:t>7.4评标小组在作出任何一项无效标决定前，都应当严格遵循以下程序：</w:t>
      </w:r>
    </w:p>
    <w:p>
      <w:pPr>
        <w:adjustRightInd w:val="0"/>
        <w:snapToGrid w:val="0"/>
        <w:spacing w:line="360" w:lineRule="exact"/>
        <w:ind w:firstLine="470" w:firstLineChars="196"/>
      </w:pPr>
      <w:r>
        <w:t>7.4.1要求当事投标人作相应的答辩。</w:t>
      </w:r>
    </w:p>
    <w:p>
      <w:pPr>
        <w:adjustRightInd w:val="0"/>
        <w:snapToGrid w:val="0"/>
        <w:spacing w:line="360" w:lineRule="exact"/>
        <w:ind w:firstLine="470" w:firstLineChars="196"/>
      </w:pPr>
      <w:r>
        <w:t>7.4.2在充分讨论的基础上集体表决。</w:t>
      </w:r>
    </w:p>
    <w:p>
      <w:pPr>
        <w:pStyle w:val="30"/>
        <w:spacing w:line="360" w:lineRule="exact"/>
        <w:ind w:firstLine="482"/>
        <w:rPr>
          <w:rFonts w:ascii="Times New Roman" w:hAnsi="Times New Roman" w:cs="Times New Roman"/>
          <w:b/>
          <w:sz w:val="24"/>
          <w:szCs w:val="24"/>
        </w:rPr>
      </w:pPr>
      <w:r>
        <w:rPr>
          <w:rFonts w:ascii="Times New Roman" w:hAnsi="Times New Roman" w:cs="Times New Roman"/>
          <w:b/>
          <w:sz w:val="24"/>
          <w:szCs w:val="24"/>
        </w:rPr>
        <w:t>8.投标文件</w:t>
      </w:r>
      <w:r>
        <w:rPr>
          <w:rFonts w:ascii="Times New Roman" w:hAnsi="Times New Roman" w:cs="Times New Roman"/>
          <w:b/>
          <w:sz w:val="24"/>
          <w:szCs w:val="24"/>
          <w:u w:val="single"/>
        </w:rPr>
        <w:t>计算错误和不同文字文本</w:t>
      </w:r>
      <w:r>
        <w:rPr>
          <w:rFonts w:ascii="Times New Roman" w:hAnsi="Times New Roman" w:cs="Times New Roman"/>
          <w:b/>
          <w:sz w:val="24"/>
          <w:szCs w:val="24"/>
        </w:rPr>
        <w:t>的修正</w:t>
      </w:r>
    </w:p>
    <w:p>
      <w:pPr>
        <w:pStyle w:val="30"/>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8.1修正原则如下：</w:t>
      </w:r>
    </w:p>
    <w:p>
      <w:pPr>
        <w:pStyle w:val="30"/>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8.1.1对不同文字文本投标文件的解释发生异义的，以中文文本为准；评标委员会可以拒绝接受不是中文版的投标文件以及与投标相关的资料。</w:t>
      </w:r>
    </w:p>
    <w:p>
      <w:pPr>
        <w:spacing w:line="360" w:lineRule="exact"/>
        <w:ind w:firstLine="482" w:firstLineChars="200"/>
        <w:rPr>
          <w:b/>
        </w:rPr>
      </w:pPr>
      <w:r>
        <w:rPr>
          <w:b/>
        </w:rPr>
        <w:t>8.1.2投标文件的商务技术响应文件中，同类内容表述不一致的处理：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其它情形的，评标委员会以在线询标或其他有效形式要求投标人作必要的澄清或说明。</w:t>
      </w:r>
    </w:p>
    <w:p>
      <w:pPr>
        <w:pStyle w:val="30"/>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8.1.3投标文件报价出现不一致的，除招标文件另有规定外，按照下列规定修正：</w:t>
      </w:r>
    </w:p>
    <w:p>
      <w:pPr>
        <w:pStyle w:val="30"/>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（1）客户端填写的报价与以pdf格式上传文件中的报价不一致的，应以pdf格式上传文件中的报价为准。</w:t>
      </w:r>
    </w:p>
    <w:p>
      <w:pPr>
        <w:pStyle w:val="30"/>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（2）投标文件中开标一览表内容与投标文件中相应内容不一致的，以开标一览表为准；</w:t>
      </w:r>
    </w:p>
    <w:p>
      <w:pPr>
        <w:pStyle w:val="30"/>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（3）投标文件的大写金额和小写金额不一致的，以大写金额为准。</w:t>
      </w:r>
    </w:p>
    <w:p>
      <w:pPr>
        <w:pStyle w:val="30"/>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（4）单价金额小数点或者百分比有明显错位的，以开标一览表的总价为准，并修改单价；</w:t>
      </w:r>
    </w:p>
    <w:p>
      <w:pPr>
        <w:pStyle w:val="30"/>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（5）总价金额与按单价汇总金额不一致的，以单价金额计算结果为准。</w:t>
      </w:r>
    </w:p>
    <w:p>
      <w:pPr>
        <w:pStyle w:val="30"/>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同时出现两种以上不一致的，按照前款规定的顺序修正。修正后的报价通过“政采云”经投标人确认后产生约束力，投标人不确认的，其投标无效。</w:t>
      </w:r>
    </w:p>
    <w:p>
      <w:pPr>
        <w:pStyle w:val="30"/>
        <w:spacing w:line="360" w:lineRule="exact"/>
        <w:ind w:firstLine="482"/>
        <w:rPr>
          <w:rFonts w:ascii="Times New Roman" w:hAnsi="Times New Roman" w:cs="Times New Roman"/>
          <w:b/>
          <w:spacing w:val="-4"/>
          <w:sz w:val="24"/>
          <w:szCs w:val="24"/>
        </w:rPr>
      </w:pPr>
      <w:r>
        <w:rPr>
          <w:rFonts w:ascii="Times New Roman" w:hAnsi="Times New Roman" w:cs="Times New Roman"/>
          <w:b/>
          <w:spacing w:val="-4"/>
          <w:sz w:val="24"/>
          <w:szCs w:val="24"/>
        </w:rPr>
        <w:t>9.评标办法</w:t>
      </w:r>
    </w:p>
    <w:p>
      <w:pPr>
        <w:adjustRightInd w:val="0"/>
        <w:snapToGrid w:val="0"/>
        <w:spacing w:line="360" w:lineRule="exact"/>
        <w:ind w:firstLine="472" w:firstLineChars="196"/>
        <w:rPr>
          <w:b/>
        </w:rPr>
      </w:pPr>
      <w:r>
        <w:rPr>
          <w:b/>
        </w:rPr>
        <w:t>本项目采用综合评分法（具体评标办法见第六章）。</w:t>
      </w:r>
    </w:p>
    <w:p>
      <w:pPr>
        <w:adjustRightInd w:val="0"/>
        <w:snapToGrid w:val="0"/>
        <w:spacing w:line="360" w:lineRule="exact"/>
        <w:ind w:firstLine="573"/>
        <w:rPr>
          <w:b/>
        </w:rPr>
      </w:pPr>
      <w:r>
        <w:rPr>
          <w:b/>
        </w:rPr>
        <w:t>10.决标</w:t>
      </w:r>
    </w:p>
    <w:p>
      <w:pPr>
        <w:adjustRightInd w:val="0"/>
        <w:snapToGrid w:val="0"/>
        <w:spacing w:line="360" w:lineRule="exact"/>
        <w:ind w:firstLine="480" w:firstLineChars="200"/>
      </w:pPr>
      <w:r>
        <w:t>评标小组依据本招标文件规定的评标标准和方法，对投标文件进行评审和比较，向招标方提交书面评标报告。</w:t>
      </w:r>
    </w:p>
    <w:p>
      <w:pPr>
        <w:widowControl w:val="0"/>
        <w:snapToGrid w:val="0"/>
        <w:spacing w:line="360" w:lineRule="exact"/>
        <w:jc w:val="both"/>
        <w:rPr>
          <w:b/>
          <w:szCs w:val="21"/>
        </w:rPr>
      </w:pPr>
      <w:r>
        <w:rPr>
          <w:b/>
        </w:rPr>
        <w:t xml:space="preserve"> 11.</w:t>
      </w:r>
      <w:r>
        <w:rPr>
          <w:b/>
          <w:szCs w:val="21"/>
        </w:rPr>
        <w:t xml:space="preserve"> 在招标采购过程中，有下列情形之一的，应对采购项目予以废标：</w:t>
      </w:r>
    </w:p>
    <w:p>
      <w:pPr>
        <w:spacing w:line="360" w:lineRule="exact"/>
        <w:ind w:firstLine="600" w:firstLineChars="250"/>
        <w:jc w:val="both"/>
      </w:pPr>
      <w:r>
        <w:t>（1）通过资格审查或评审后有效投标人不足三家的；</w:t>
      </w:r>
    </w:p>
    <w:p>
      <w:pPr>
        <w:spacing w:line="360" w:lineRule="exact"/>
        <w:ind w:firstLine="600" w:firstLineChars="250"/>
        <w:jc w:val="both"/>
      </w:pPr>
      <w:r>
        <w:t>（2）出现影响采购公正的违法、违规行为的；</w:t>
      </w:r>
    </w:p>
    <w:p>
      <w:pPr>
        <w:spacing w:line="360" w:lineRule="exact"/>
        <w:ind w:firstLine="600" w:firstLineChars="250"/>
        <w:jc w:val="both"/>
      </w:pPr>
      <w:r>
        <w:t>（3）因重大变故采购任务取消的；</w:t>
      </w:r>
    </w:p>
    <w:p>
      <w:pPr>
        <w:spacing w:line="360" w:lineRule="exact"/>
        <w:ind w:firstLine="600" w:firstLineChars="250"/>
        <w:jc w:val="both"/>
      </w:pPr>
      <w:r>
        <w:t>（4）招标文件另有规定情形的。</w:t>
      </w:r>
    </w:p>
    <w:p>
      <w:pPr>
        <w:pStyle w:val="5"/>
        <w:spacing w:before="0" w:after="0" w:line="360" w:lineRule="exact"/>
        <w:rPr>
          <w:rFonts w:ascii="Times New Roman" w:hAnsi="Times New Roman" w:eastAsia="宋体"/>
          <w:sz w:val="24"/>
          <w:szCs w:val="24"/>
        </w:rPr>
      </w:pPr>
      <w:bookmarkStart w:id="66" w:name="_Toc226973003"/>
      <w:bookmarkStart w:id="67" w:name="_Toc261519848"/>
      <w:bookmarkStart w:id="68" w:name="_Toc274303254"/>
      <w:bookmarkStart w:id="69" w:name="_Toc362250706"/>
      <w:bookmarkStart w:id="70" w:name="_Toc4346"/>
      <w:bookmarkStart w:id="71" w:name="_Toc263090376"/>
      <w:bookmarkStart w:id="72" w:name="_Toc406413939"/>
      <w:r>
        <w:rPr>
          <w:rFonts w:ascii="Times New Roman" w:hAnsi="Times New Roman" w:eastAsia="宋体"/>
          <w:sz w:val="24"/>
          <w:szCs w:val="24"/>
        </w:rPr>
        <w:t>三、定标</w:t>
      </w:r>
      <w:bookmarkEnd w:id="66"/>
      <w:bookmarkEnd w:id="67"/>
      <w:bookmarkEnd w:id="68"/>
      <w:bookmarkEnd w:id="69"/>
      <w:bookmarkEnd w:id="70"/>
      <w:bookmarkEnd w:id="71"/>
      <w:bookmarkEnd w:id="72"/>
    </w:p>
    <w:p>
      <w:pPr>
        <w:spacing w:line="360" w:lineRule="exact"/>
        <w:ind w:firstLine="482" w:firstLineChars="200"/>
        <w:rPr>
          <w:b/>
          <w:bCs/>
        </w:rPr>
      </w:pPr>
      <w:r>
        <w:rPr>
          <w:b/>
        </w:rPr>
        <w:t>12.</w:t>
      </w:r>
      <w:r>
        <w:rPr>
          <w:b/>
          <w:bCs/>
        </w:rPr>
        <w:t>中标通知</w:t>
      </w:r>
    </w:p>
    <w:p>
      <w:pPr>
        <w:spacing w:line="360" w:lineRule="exact"/>
        <w:ind w:firstLine="480" w:firstLineChars="200"/>
      </w:pPr>
      <w:r>
        <w:t>12.1投标人自2019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pPr>
        <w:spacing w:line="360" w:lineRule="exact"/>
        <w:ind w:firstLine="480" w:firstLineChars="200"/>
      </w:pPr>
      <w:r>
        <w:t>12.2评标结束后，采购结果公告期限为1个工作日，发布采购结果公告的媒体为：浙江政府采购网站、义乌市公共资源交易平台。</w:t>
      </w:r>
    </w:p>
    <w:p>
      <w:pPr>
        <w:spacing w:line="360" w:lineRule="exact"/>
        <w:ind w:firstLine="480" w:firstLineChars="200"/>
      </w:pPr>
      <w:r>
        <w:t>12.3由义乌市政府采购中心通过 “政采云”签发《中标通知书》，《中标通知书》一经发出即发生法律效力。</w:t>
      </w:r>
    </w:p>
    <w:p>
      <w:pPr>
        <w:pStyle w:val="30"/>
        <w:tabs>
          <w:tab w:val="left" w:pos="900"/>
        </w:tabs>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13、合同签订</w:t>
      </w:r>
    </w:p>
    <w:p>
      <w:pPr>
        <w:spacing w:line="360" w:lineRule="exact"/>
        <w:ind w:firstLine="480" w:firstLineChars="200"/>
      </w:pPr>
      <w:r>
        <w:t>13.1中标人自接到《中标通知书》后应在三十天内与采购人签订合同。</w:t>
      </w:r>
    </w:p>
    <w:p>
      <w:pPr>
        <w:spacing w:line="360" w:lineRule="exact"/>
        <w:ind w:firstLine="480" w:firstLineChars="200"/>
      </w:pPr>
      <w:r>
        <w:t>13.2招标文件、中标人的投标文件、评标过程中投标人在询标时作出的承诺及其澄清文件等，均为签订合同的依据。</w:t>
      </w:r>
    </w:p>
    <w:p>
      <w:pPr>
        <w:spacing w:line="360" w:lineRule="exact"/>
        <w:ind w:firstLine="480" w:firstLineChars="200"/>
      </w:pPr>
      <w: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exact"/>
        <w:ind w:firstLine="480" w:firstLineChars="200"/>
      </w:pPr>
      <w:r>
        <w:t>13.4采购人变更数量的权利</w:t>
      </w:r>
    </w:p>
    <w:p>
      <w:pPr>
        <w:spacing w:line="360" w:lineRule="exact"/>
        <w:ind w:firstLine="480" w:firstLineChars="200"/>
      </w:pPr>
      <w:r>
        <w:t>采购人在授予合同时有权对“第三章 招标项目”要求中规定的货物数量和服务予以增加或减少，但必须符合《中华人民共和国政府采购法》及义乌市政府采购的相关规定。</w:t>
      </w:r>
    </w:p>
    <w:p>
      <w:pPr>
        <w:pStyle w:val="30"/>
        <w:tabs>
          <w:tab w:val="left" w:pos="900"/>
        </w:tabs>
        <w:spacing w:line="360" w:lineRule="exact"/>
        <w:rPr>
          <w:rFonts w:ascii="Times New Roman" w:hAnsi="Times New Roman" w:cs="Times New Roman"/>
          <w:b/>
          <w:sz w:val="24"/>
          <w:szCs w:val="24"/>
        </w:rPr>
      </w:pPr>
      <w:r>
        <w:rPr>
          <w:rFonts w:ascii="Times New Roman" w:hAnsi="Times New Roman" w:cs="Times New Roman"/>
          <w:b/>
          <w:sz w:val="24"/>
          <w:szCs w:val="24"/>
        </w:rPr>
        <w:t>四、质疑和投诉</w:t>
      </w:r>
    </w:p>
    <w:p>
      <w:pPr>
        <w:pStyle w:val="30"/>
        <w:tabs>
          <w:tab w:val="left" w:pos="90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14.1开标过程中，投标人对开标有异议的，应当在“政采云”上及时提出，评标委员应对异常情况制作相关记录。</w:t>
      </w:r>
    </w:p>
    <w:p>
      <w:pPr>
        <w:pStyle w:val="30"/>
        <w:tabs>
          <w:tab w:val="left" w:pos="90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14.2开评标结束后，投标人或者其他利害关系人对依法必须进行招标的项目的评标结果有异议的，应在采购结果公告期限结束之日起的7个工作日内，依据政府采购相关法律法规向采购人、采购代理机构提出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pPr>
        <w:pStyle w:val="30"/>
        <w:tabs>
          <w:tab w:val="left" w:pos="90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14.3质疑投诉的相关规定质疑应当包括下列内容：</w:t>
      </w:r>
    </w:p>
    <w:p>
      <w:pPr>
        <w:pStyle w:val="30"/>
        <w:tabs>
          <w:tab w:val="left" w:pos="90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（1）供应商的名称（或姓名）、地址、邮编、联系人及联系电话；</w:t>
      </w:r>
    </w:p>
    <w:p>
      <w:pPr>
        <w:pStyle w:val="52"/>
        <w:shd w:val="clear" w:color="auto" w:fill="FFFFFF"/>
        <w:spacing w:line="360" w:lineRule="exact"/>
        <w:ind w:firstLine="436" w:firstLineChars="182"/>
        <w:rPr>
          <w:kern w:val="2"/>
        </w:rPr>
      </w:pPr>
      <w:r>
        <w:rPr>
          <w:kern w:val="2"/>
        </w:rPr>
        <w:t>（2）质疑项目的名称、编号；</w:t>
      </w:r>
    </w:p>
    <w:p>
      <w:pPr>
        <w:pStyle w:val="52"/>
        <w:shd w:val="clear" w:color="auto" w:fill="FFFFFF"/>
        <w:spacing w:line="360" w:lineRule="exact"/>
        <w:ind w:firstLine="436" w:firstLineChars="182"/>
        <w:rPr>
          <w:kern w:val="2"/>
        </w:rPr>
      </w:pPr>
      <w:r>
        <w:rPr>
          <w:kern w:val="2"/>
        </w:rPr>
        <w:t>（3）具体、明确的质疑事项和与质疑事项相关的请求；</w:t>
      </w:r>
    </w:p>
    <w:p>
      <w:pPr>
        <w:pStyle w:val="52"/>
        <w:shd w:val="clear" w:color="auto" w:fill="FFFFFF"/>
        <w:spacing w:line="360" w:lineRule="exact"/>
        <w:ind w:firstLine="436" w:firstLineChars="182"/>
        <w:rPr>
          <w:kern w:val="2"/>
        </w:rPr>
      </w:pPr>
      <w:r>
        <w:rPr>
          <w:kern w:val="2"/>
        </w:rPr>
        <w:t>（4）事实依据及相关证据材料；</w:t>
      </w:r>
    </w:p>
    <w:p>
      <w:pPr>
        <w:pStyle w:val="52"/>
        <w:shd w:val="clear" w:color="auto" w:fill="FFFFFF"/>
        <w:spacing w:line="360" w:lineRule="exact"/>
        <w:ind w:firstLine="436" w:firstLineChars="182"/>
        <w:rPr>
          <w:kern w:val="2"/>
        </w:rPr>
      </w:pPr>
      <w:r>
        <w:rPr>
          <w:kern w:val="2"/>
        </w:rPr>
        <w:t>（5）必要的法律依据；</w:t>
      </w:r>
    </w:p>
    <w:p>
      <w:pPr>
        <w:pStyle w:val="52"/>
        <w:shd w:val="clear" w:color="auto" w:fill="FFFFFF"/>
        <w:spacing w:line="360" w:lineRule="exact"/>
        <w:ind w:firstLine="436" w:firstLineChars="182"/>
        <w:rPr>
          <w:kern w:val="2"/>
        </w:rPr>
      </w:pPr>
      <w:r>
        <w:rPr>
          <w:kern w:val="2"/>
        </w:rPr>
        <w:t>（6）提出质疑的日期。</w:t>
      </w:r>
    </w:p>
    <w:p>
      <w:pPr>
        <w:pStyle w:val="52"/>
        <w:shd w:val="clear" w:color="auto" w:fill="FFFFFF"/>
        <w:spacing w:line="360" w:lineRule="exact"/>
        <w:ind w:firstLine="480" w:firstLineChars="200"/>
        <w:rPr>
          <w:kern w:val="2"/>
        </w:rPr>
      </w:pPr>
      <w:r>
        <w:rPr>
          <w:kern w:val="2"/>
        </w:rPr>
        <w:t>供应商为自然人的，应当由本人签字；供应商为法人或者其他组织的，应当由法定代表人、主要负责人，或者其授权代表签字或者盖章，并加盖公章。</w:t>
      </w:r>
    </w:p>
    <w:p>
      <w:pPr>
        <w:pStyle w:val="52"/>
        <w:shd w:val="clear" w:color="auto" w:fill="FFFFFF"/>
        <w:spacing w:line="360" w:lineRule="exact"/>
        <w:ind w:firstLine="480" w:firstLineChars="200"/>
        <w:rPr>
          <w:kern w:val="2"/>
        </w:rPr>
      </w:pPr>
      <w:r>
        <w:rPr>
          <w:kern w:val="2"/>
        </w:rPr>
        <w:t>质疑投诉存在以下情形之一的，将不予受理：</w:t>
      </w:r>
    </w:p>
    <w:p>
      <w:pPr>
        <w:pStyle w:val="52"/>
        <w:shd w:val="clear" w:color="auto" w:fill="FFFFFF"/>
        <w:spacing w:line="360" w:lineRule="exact"/>
        <w:ind w:firstLine="480" w:firstLineChars="200"/>
        <w:rPr>
          <w:kern w:val="2"/>
        </w:rPr>
      </w:pPr>
      <w:r>
        <w:rPr>
          <w:kern w:val="2"/>
        </w:rPr>
        <w:t>（1）质疑投诉人不是参加本项目的供应商；</w:t>
      </w:r>
    </w:p>
    <w:p>
      <w:pPr>
        <w:pStyle w:val="52"/>
        <w:shd w:val="clear" w:color="auto" w:fill="FFFFFF"/>
        <w:spacing w:line="360" w:lineRule="exact"/>
        <w:ind w:firstLine="480" w:firstLineChars="200"/>
        <w:rPr>
          <w:kern w:val="2"/>
        </w:rPr>
      </w:pPr>
      <w:r>
        <w:rPr>
          <w:kern w:val="2"/>
        </w:rPr>
        <w:t>（2）供应商自身权益未受到损害的；</w:t>
      </w:r>
    </w:p>
    <w:p>
      <w:pPr>
        <w:pStyle w:val="52"/>
        <w:shd w:val="clear" w:color="auto" w:fill="FFFFFF"/>
        <w:spacing w:line="360" w:lineRule="exact"/>
        <w:ind w:firstLine="480" w:firstLineChars="200"/>
        <w:rPr>
          <w:kern w:val="2"/>
        </w:rPr>
      </w:pPr>
      <w:r>
        <w:rPr>
          <w:kern w:val="2"/>
        </w:rPr>
        <w:t>（3）已超过法定质疑投诉提出期限的事项；</w:t>
      </w:r>
    </w:p>
    <w:p>
      <w:pPr>
        <w:pStyle w:val="52"/>
        <w:shd w:val="clear" w:color="auto" w:fill="FFFFFF"/>
        <w:spacing w:line="360" w:lineRule="exact"/>
        <w:ind w:firstLine="480" w:firstLineChars="200"/>
        <w:rPr>
          <w:kern w:val="2"/>
        </w:rPr>
      </w:pPr>
      <w:r>
        <w:rPr>
          <w:kern w:val="2"/>
        </w:rPr>
        <w:t>（4）质疑未提供书面质疑或未按要求签署或盖章的；</w:t>
      </w:r>
    </w:p>
    <w:p>
      <w:pPr>
        <w:pStyle w:val="52"/>
        <w:shd w:val="clear" w:color="auto" w:fill="FFFFFF"/>
        <w:spacing w:line="360" w:lineRule="exact"/>
        <w:ind w:firstLine="480" w:firstLineChars="200"/>
        <w:rPr>
          <w:kern w:val="2"/>
        </w:rPr>
      </w:pPr>
      <w:r>
        <w:rPr>
          <w:kern w:val="2"/>
        </w:rPr>
        <w:t>（5）质疑已经处理并答复后，质疑人就同一事项再次提起质疑且未提供新的有效证据的；</w:t>
      </w:r>
    </w:p>
    <w:p>
      <w:pPr>
        <w:adjustRightInd w:val="0"/>
        <w:spacing w:line="360" w:lineRule="exact"/>
        <w:ind w:firstLine="480" w:firstLineChars="200"/>
      </w:pPr>
      <w:r>
        <w:rPr>
          <w:kern w:val="2"/>
        </w:rPr>
        <w:t>（6）</w:t>
      </w:r>
      <w:r>
        <w:t>质疑投诉的事项已经进入行政复议或者行政诉讼程序的；投诉事项应先提出质疑而没有提出质疑的；</w:t>
      </w:r>
    </w:p>
    <w:p>
      <w:pPr>
        <w:adjustRightInd w:val="0"/>
        <w:spacing w:line="360" w:lineRule="exact"/>
        <w:ind w:firstLine="480" w:firstLineChars="200"/>
      </w:pPr>
      <w:r>
        <w:rPr>
          <w:kern w:val="2"/>
        </w:rPr>
        <w:t>（7）</w:t>
      </w:r>
      <w:r>
        <w:t>不符合《政府采购质疑和投诉办法》（财政部令第94号）等有关规定的投诉。</w:t>
      </w: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4"/>
        <w:spacing w:before="0" w:after="0" w:line="400" w:lineRule="atLeast"/>
        <w:jc w:val="center"/>
        <w:rPr>
          <w:sz w:val="36"/>
        </w:rPr>
      </w:pPr>
      <w:bookmarkStart w:id="73" w:name="_Toc406413940"/>
      <w:bookmarkStart w:id="74" w:name="_Toc362268017"/>
      <w:bookmarkStart w:id="75" w:name="_Toc8193"/>
      <w:bookmarkStart w:id="76" w:name="_Toc1097"/>
      <w:bookmarkStart w:id="77" w:name="_Toc10019"/>
      <w:bookmarkStart w:id="78" w:name="_Toc20011"/>
      <w:r>
        <w:rPr>
          <w:sz w:val="36"/>
        </w:rPr>
        <w:t>第五章 投标文件的</w:t>
      </w:r>
      <w:bookmarkEnd w:id="73"/>
      <w:bookmarkEnd w:id="74"/>
      <w:r>
        <w:rPr>
          <w:sz w:val="36"/>
        </w:rPr>
        <w:t>无效情形</w:t>
      </w:r>
      <w:bookmarkEnd w:id="75"/>
      <w:bookmarkEnd w:id="76"/>
      <w:bookmarkEnd w:id="77"/>
      <w:bookmarkEnd w:id="78"/>
    </w:p>
    <w:p>
      <w:pPr>
        <w:pStyle w:val="30"/>
        <w:spacing w:line="40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1.有下列情形之一的，招标方将不予受理投标文件：</w:t>
      </w:r>
    </w:p>
    <w:p>
      <w:pPr>
        <w:pStyle w:val="3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1.1逾期上传电子投标文件至“政采云”的。</w:t>
      </w:r>
    </w:p>
    <w:p>
      <w:pPr>
        <w:pStyle w:val="30"/>
        <w:spacing w:line="400" w:lineRule="exact"/>
        <w:ind w:firstLine="480" w:firstLineChars="200"/>
        <w:rPr>
          <w:rFonts w:ascii="Times New Roman" w:hAnsi="Times New Roman" w:cs="Times New Roman"/>
          <w:kern w:val="0"/>
          <w:sz w:val="24"/>
        </w:rPr>
      </w:pPr>
      <w:r>
        <w:rPr>
          <w:rFonts w:ascii="Times New Roman" w:hAnsi="Times New Roman" w:cs="Times New Roman"/>
          <w:kern w:val="0"/>
          <w:sz w:val="24"/>
        </w:rPr>
        <w:t>1.2电子投标文件在规定时间内解密未成功的，且未提供备份投标文件或提供的备份投标文件无法上传打开的。</w:t>
      </w:r>
    </w:p>
    <w:p>
      <w:pPr>
        <w:pStyle w:val="30"/>
        <w:spacing w:line="45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2.投标文件在资格性评审或技术响应性评审出现下列情形之一的，由评标委员会审核后按无效投标文件处理：</w:t>
      </w:r>
    </w:p>
    <w:p>
      <w:pPr>
        <w:spacing w:line="460" w:lineRule="exact"/>
        <w:ind w:firstLine="480" w:firstLineChars="200"/>
        <w:rPr>
          <w:szCs w:val="21"/>
        </w:rPr>
      </w:pPr>
      <w:r>
        <w:rPr>
          <w:szCs w:val="21"/>
        </w:rPr>
        <w:t>2.1.资格响应文件或商务技术响应文件中包含商务报价的；</w:t>
      </w:r>
    </w:p>
    <w:p>
      <w:pPr>
        <w:spacing w:line="460" w:lineRule="exact"/>
        <w:ind w:firstLine="480" w:firstLineChars="200"/>
        <w:rPr>
          <w:szCs w:val="21"/>
        </w:rPr>
      </w:pPr>
      <w:r>
        <w:rPr>
          <w:szCs w:val="21"/>
        </w:rPr>
        <w:t>2.2招标文件关于投标文件组成内容商务技术响应文件要求中打“★”的内容，投标人的投标文件内容未提供完整的，或关键字迹模糊、无法辨认的，或未按其规定的格式及要求填写、签字、盖章，或提供的投标文件内容不符合招标文件的中有关打★号的条款的规定；</w:t>
      </w:r>
    </w:p>
    <w:p>
      <w:pPr>
        <w:spacing w:line="460" w:lineRule="exact"/>
        <w:ind w:firstLine="480" w:firstLineChars="200"/>
        <w:rPr>
          <w:szCs w:val="21"/>
        </w:rPr>
      </w:pPr>
      <w:r>
        <w:rPr>
          <w:szCs w:val="21"/>
        </w:rPr>
        <w:t>2.3投标人的投标资格不符合招标文件的资格要求规定；</w:t>
      </w:r>
    </w:p>
    <w:p>
      <w:pPr>
        <w:spacing w:line="460" w:lineRule="exact"/>
        <w:ind w:firstLine="480" w:firstLineChars="200"/>
        <w:rPr>
          <w:szCs w:val="21"/>
        </w:rPr>
      </w:pPr>
      <w:r>
        <w:rPr>
          <w:szCs w:val="21"/>
        </w:rPr>
        <w:t>2.4投标人所投产品的数量不符合招标文件规定的；</w:t>
      </w:r>
    </w:p>
    <w:p>
      <w:pPr>
        <w:spacing w:line="460" w:lineRule="exact"/>
        <w:ind w:firstLine="480" w:firstLineChars="200"/>
        <w:rPr>
          <w:szCs w:val="21"/>
        </w:rPr>
      </w:pPr>
      <w:r>
        <w:rPr>
          <w:szCs w:val="21"/>
        </w:rPr>
        <w:t>2.5投标人借用或冒用他人名义或证件、涂改文件、伪造或编造投标文件的；</w:t>
      </w:r>
    </w:p>
    <w:p>
      <w:pPr>
        <w:spacing w:line="460" w:lineRule="exact"/>
        <w:ind w:firstLine="480" w:firstLineChars="200"/>
        <w:rPr>
          <w:szCs w:val="21"/>
        </w:rPr>
      </w:pPr>
      <w:r>
        <w:rPr>
          <w:szCs w:val="21"/>
        </w:rPr>
        <w:t>2.6投标中不同投标单位的投标文件出现雷同或相似（包括部分雷同或相似），对所有雷同或相似投标人按废标处理，招标方将保留进一步追究责任的权利；投标人串标的；</w:t>
      </w:r>
    </w:p>
    <w:p>
      <w:pPr>
        <w:spacing w:line="460" w:lineRule="exact"/>
        <w:ind w:firstLine="480" w:firstLineChars="200"/>
        <w:rPr>
          <w:szCs w:val="21"/>
        </w:rPr>
      </w:pPr>
      <w:r>
        <w:rPr>
          <w:szCs w:val="21"/>
        </w:rPr>
        <w:t>2.7其它对本招标文件中打★号的条款未完全响应的；</w:t>
      </w:r>
    </w:p>
    <w:p>
      <w:pPr>
        <w:spacing w:line="460" w:lineRule="exact"/>
        <w:ind w:firstLine="480" w:firstLineChars="200"/>
        <w:rPr>
          <w:szCs w:val="21"/>
        </w:rPr>
      </w:pPr>
      <w:r>
        <w:rPr>
          <w:szCs w:val="21"/>
        </w:rPr>
        <w:t>2.8经评标委员会认定，投标文件附有采购人不能接受的条件；</w:t>
      </w:r>
    </w:p>
    <w:p>
      <w:pPr>
        <w:spacing w:line="460" w:lineRule="exact"/>
        <w:ind w:firstLine="480" w:firstLineChars="200"/>
        <w:rPr>
          <w:szCs w:val="21"/>
        </w:rPr>
      </w:pPr>
      <w:r>
        <w:rPr>
          <w:szCs w:val="21"/>
        </w:rPr>
        <w:t>2.9评标委员会要求投标人澄清或说明的，如果投标人拒绝按照招标文件规定进行澄清或说明的。</w:t>
      </w:r>
    </w:p>
    <w:p>
      <w:pPr>
        <w:adjustRightInd w:val="0"/>
        <w:snapToGrid w:val="0"/>
        <w:spacing w:line="400" w:lineRule="exact"/>
        <w:ind w:firstLine="482" w:firstLineChars="200"/>
        <w:rPr>
          <w:b/>
        </w:rPr>
      </w:pPr>
      <w:r>
        <w:rPr>
          <w:b/>
        </w:rPr>
        <w:t>3.报价响应文件评审出现下列情形之一的，由评标委员会审核后按无效投标文件处理：</w:t>
      </w:r>
    </w:p>
    <w:p>
      <w:pPr>
        <w:adjustRightInd w:val="0"/>
        <w:snapToGrid w:val="0"/>
        <w:spacing w:line="400" w:lineRule="exact"/>
        <w:ind w:firstLine="480" w:firstLineChars="200"/>
        <w:rPr>
          <w:szCs w:val="21"/>
        </w:rPr>
      </w:pPr>
      <w:r>
        <w:t>3.1.招标文件关于投标文件组成内容报价响应文件要求中打“★”的内容，</w:t>
      </w:r>
      <w:r>
        <w:rPr>
          <w:szCs w:val="21"/>
        </w:rPr>
        <w:t>投标人的投标文件内容未提供完整的，或关键字迹模糊、无法辨认的，或未按其规定的格式及要求填写、签字、盖章，或提供的投标文件内容不符合招标文件的中有关打★号的条款的规定；</w:t>
      </w:r>
    </w:p>
    <w:p>
      <w:pPr>
        <w:adjustRightInd w:val="0"/>
        <w:snapToGrid w:val="0"/>
        <w:spacing w:line="400" w:lineRule="exact"/>
        <w:ind w:firstLine="480" w:firstLineChars="200"/>
      </w:pPr>
      <w:r>
        <w:t>3.2投标报价高于最高限价或低于项目成本总价的；</w:t>
      </w:r>
    </w:p>
    <w:p>
      <w:pPr>
        <w:adjustRightInd w:val="0"/>
        <w:snapToGrid w:val="0"/>
        <w:spacing w:line="400" w:lineRule="exact"/>
        <w:ind w:firstLine="480" w:firstLineChars="200"/>
      </w:pPr>
      <w:r>
        <w:t>3.3投标人的所投产品的数量不符合招标文件规定的；</w:t>
      </w:r>
    </w:p>
    <w:p>
      <w:pPr>
        <w:adjustRightInd w:val="0"/>
        <w:snapToGrid w:val="0"/>
        <w:spacing w:line="400" w:lineRule="exact"/>
        <w:ind w:firstLine="480" w:firstLineChars="200"/>
      </w:pPr>
      <w:r>
        <w:t>3.4投标人的投标报价未明确的，或者对同一采购项目提供两个或两个以上报价且未声明哪一个有效的，或者对同一采购项目提供两个或两个以上成本价且未声明哪一个有效；</w:t>
      </w:r>
    </w:p>
    <w:p>
      <w:pPr>
        <w:adjustRightInd w:val="0"/>
        <w:snapToGrid w:val="0"/>
        <w:spacing w:line="400" w:lineRule="exact"/>
        <w:ind w:firstLine="480" w:firstLineChars="200"/>
      </w:pPr>
      <w:r>
        <w:t>3.5经评标委员会审议认为投标文件附有采购人不能接受的条件的；</w:t>
      </w:r>
    </w:p>
    <w:p>
      <w:pPr>
        <w:adjustRightInd w:val="0"/>
        <w:snapToGrid w:val="0"/>
        <w:spacing w:line="400" w:lineRule="exact"/>
        <w:ind w:firstLine="480" w:firstLineChars="200"/>
      </w:pPr>
      <w:r>
        <w:t>3.6评标委员会认为投标人的报价明显低于其他通过符合性审查投标人的报价，有可能影响产品服务或者不能诚信履约的，要求其通过“政采云”在规定的时间内提供CA签章的材料，投标人不能证明其报价合理性的；</w:t>
      </w:r>
    </w:p>
    <w:p>
      <w:pPr>
        <w:adjustRightInd w:val="0"/>
        <w:snapToGrid w:val="0"/>
        <w:spacing w:line="400" w:lineRule="exact"/>
        <w:ind w:firstLine="480" w:firstLineChars="200"/>
      </w:pPr>
      <w:r>
        <w:t>3.7其它对本招标文件中打★号的条款未完全响应的；</w:t>
      </w:r>
    </w:p>
    <w:p>
      <w:pPr>
        <w:adjustRightInd w:val="0"/>
        <w:snapToGrid w:val="0"/>
        <w:spacing w:line="400" w:lineRule="exact"/>
        <w:ind w:firstLine="480" w:firstLineChars="200"/>
      </w:pPr>
      <w:r>
        <w:t>3.8当投标人由于报价计算错误，投标人拒绝接受按招标文件的规定进行的修正处理。</w:t>
      </w:r>
    </w:p>
    <w:p>
      <w:pPr>
        <w:tabs>
          <w:tab w:val="left" w:pos="1898"/>
        </w:tabs>
        <w:autoSpaceDE w:val="0"/>
        <w:autoSpaceDN w:val="0"/>
        <w:adjustRightInd w:val="0"/>
        <w:snapToGrid w:val="0"/>
        <w:spacing w:line="440" w:lineRule="exact"/>
        <w:ind w:firstLine="482" w:firstLineChars="200"/>
        <w:rPr>
          <w:b/>
        </w:rPr>
      </w:pPr>
      <w:r>
        <w:rPr>
          <w:b/>
        </w:rPr>
        <w:t>4.在资格审查及评审过程中，符合中华人民共和国财政部令第87号《政府采购货物和服务招标投标管理办法》第三十七条情形之一的，视为投标人串通投标，其投标无效，并移送采购监管部门：</w:t>
      </w:r>
    </w:p>
    <w:p>
      <w:pPr>
        <w:pStyle w:val="52"/>
        <w:spacing w:line="440" w:lineRule="exact"/>
        <w:ind w:firstLine="480" w:firstLineChars="200"/>
        <w:jc w:val="both"/>
      </w:pPr>
      <w:r>
        <w:t>（1）不同投标人的投标文件由同一单位或者个人编制；</w:t>
      </w:r>
    </w:p>
    <w:p>
      <w:pPr>
        <w:pStyle w:val="52"/>
        <w:spacing w:line="440" w:lineRule="exact"/>
        <w:ind w:firstLine="480" w:firstLineChars="200"/>
        <w:jc w:val="both"/>
      </w:pPr>
      <w:r>
        <w:t>（2）不同投标人委托同一单位或者个人办理投标事宜；</w:t>
      </w:r>
    </w:p>
    <w:p>
      <w:pPr>
        <w:pStyle w:val="52"/>
        <w:spacing w:line="440" w:lineRule="exact"/>
        <w:ind w:firstLine="480" w:firstLineChars="200"/>
        <w:jc w:val="both"/>
      </w:pPr>
      <w:r>
        <w:t>（3）不同投标人的投标文件载明的项目管理成员或者联系人员为同一人；</w:t>
      </w:r>
    </w:p>
    <w:p>
      <w:pPr>
        <w:pStyle w:val="52"/>
        <w:spacing w:line="440" w:lineRule="exact"/>
        <w:ind w:firstLine="480" w:firstLineChars="200"/>
        <w:jc w:val="both"/>
      </w:pPr>
      <w:r>
        <w:t>（4）不同投标人的投标文件异常一致或者投标报价呈规律性差异；</w:t>
      </w:r>
    </w:p>
    <w:p>
      <w:pPr>
        <w:pStyle w:val="52"/>
        <w:spacing w:line="440" w:lineRule="exact"/>
        <w:ind w:firstLine="480" w:firstLineChars="200"/>
        <w:jc w:val="both"/>
      </w:pPr>
      <w:r>
        <w:t>（5）不同投标人的投标文件相互混装；</w:t>
      </w:r>
    </w:p>
    <w:p>
      <w:pPr>
        <w:pStyle w:val="30"/>
        <w:spacing w:line="40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5.其他法律法规规定的投标文件无效的情况。</w:t>
      </w:r>
    </w:p>
    <w:p>
      <w:pPr>
        <w:pStyle w:val="30"/>
        <w:spacing w:line="400" w:lineRule="exact"/>
        <w:ind w:firstLine="472" w:firstLineChars="196"/>
        <w:rPr>
          <w:rFonts w:ascii="Times New Roman" w:hAnsi="Times New Roman" w:cs="Times New Roman"/>
          <w:sz w:val="24"/>
          <w:szCs w:val="24"/>
        </w:rPr>
      </w:pPr>
      <w:r>
        <w:rPr>
          <w:rFonts w:ascii="Times New Roman" w:hAnsi="Times New Roman" w:cs="Times New Roman"/>
          <w:b/>
          <w:sz w:val="24"/>
          <w:szCs w:val="24"/>
        </w:rPr>
        <w:t>6.评标过程中，非上述所罗列的情况，不得以无效标处理。</w:t>
      </w:r>
    </w:p>
    <w:p>
      <w:pPr>
        <w:spacing w:line="400" w:lineRule="exact"/>
        <w:ind w:firstLine="480" w:firstLineChars="200"/>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pStyle w:val="56"/>
        <w:ind w:left="480" w:firstLine="480"/>
      </w:pPr>
    </w:p>
    <w:p>
      <w:pPr>
        <w:pStyle w:val="56"/>
        <w:ind w:left="480" w:firstLine="480"/>
      </w:pPr>
    </w:p>
    <w:p>
      <w:pPr>
        <w:spacing w:line="420" w:lineRule="exact"/>
      </w:pPr>
    </w:p>
    <w:p>
      <w:pPr>
        <w:spacing w:line="420" w:lineRule="exact"/>
      </w:pPr>
    </w:p>
    <w:p>
      <w:pPr>
        <w:pStyle w:val="4"/>
        <w:spacing w:before="0" w:after="0" w:line="400" w:lineRule="atLeast"/>
        <w:jc w:val="center"/>
        <w:rPr>
          <w:sz w:val="36"/>
        </w:rPr>
      </w:pPr>
      <w:bookmarkStart w:id="79" w:name="_Toc21982"/>
      <w:bookmarkStart w:id="80" w:name="_Toc145992551"/>
      <w:bookmarkStart w:id="81" w:name="_Toc31163"/>
      <w:bookmarkStart w:id="82" w:name="_Toc226973004"/>
      <w:bookmarkStart w:id="83" w:name="_Toc274303255"/>
      <w:bookmarkStart w:id="84" w:name="_Toc406413941"/>
      <w:bookmarkStart w:id="85" w:name="_Toc6872"/>
      <w:bookmarkStart w:id="86" w:name="_Toc213038697"/>
      <w:bookmarkStart w:id="87" w:name="_Toc274303258"/>
      <w:bookmarkStart w:id="88" w:name="_Toc238878128"/>
      <w:r>
        <w:rPr>
          <w:sz w:val="36"/>
        </w:rPr>
        <w:t xml:space="preserve">第六章 </w:t>
      </w:r>
      <w:bookmarkStart w:id="89" w:name="_Toc17206"/>
      <w:r>
        <w:rPr>
          <w:sz w:val="36"/>
        </w:rPr>
        <w:t>评标办法</w:t>
      </w:r>
      <w:bookmarkEnd w:id="79"/>
      <w:bookmarkEnd w:id="80"/>
      <w:bookmarkEnd w:id="81"/>
      <w:bookmarkEnd w:id="82"/>
      <w:bookmarkEnd w:id="83"/>
      <w:bookmarkEnd w:id="84"/>
      <w:bookmarkEnd w:id="85"/>
      <w:bookmarkEnd w:id="89"/>
    </w:p>
    <w:p>
      <w:pPr>
        <w:pStyle w:val="30"/>
        <w:spacing w:line="360" w:lineRule="exact"/>
        <w:ind w:firstLine="480" w:firstLineChars="200"/>
        <w:rPr>
          <w:rFonts w:ascii="Times New Roman" w:hAnsi="Times New Roman" w:cs="Times New Roman"/>
          <w:sz w:val="24"/>
          <w:szCs w:val="24"/>
        </w:rPr>
      </w:pPr>
      <w:bookmarkStart w:id="90" w:name="_Toc274303257"/>
      <w:r>
        <w:rPr>
          <w:rFonts w:ascii="Times New Roman" w:hAnsi="Times New Roman" w:cs="Times New Roman"/>
          <w:sz w:val="24"/>
          <w:szCs w:val="24"/>
        </w:rPr>
        <w:t>根据《中华人民共和国政府采购法》及相关法律的有关规定，为更好地做到公开、公平、公正，结合本次招标的特点，特制定本评标办法，本项目的评标办法为综合评分法。</w:t>
      </w:r>
    </w:p>
    <w:p>
      <w:pPr>
        <w:pStyle w:val="30"/>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一、评审程序</w:t>
      </w:r>
    </w:p>
    <w:bookmarkEnd w:id="90"/>
    <w:p>
      <w:pPr>
        <w:pStyle w:val="30"/>
        <w:spacing w:line="360" w:lineRule="exact"/>
        <w:ind w:firstLine="480" w:firstLineChars="200"/>
        <w:rPr>
          <w:rFonts w:ascii="Times New Roman" w:hAnsi="Times New Roman" w:cs="Times New Roman"/>
          <w:sz w:val="24"/>
          <w:szCs w:val="24"/>
        </w:rPr>
      </w:pPr>
      <w:bookmarkStart w:id="91" w:name="_Toc323024194"/>
      <w:bookmarkStart w:id="92" w:name="_Toc295815145"/>
      <w:bookmarkStart w:id="93" w:name="_Toc330474791"/>
      <w:bookmarkStart w:id="94" w:name="_Toc269969080"/>
      <w:bookmarkStart w:id="95" w:name="_Toc358884475"/>
      <w:bookmarkStart w:id="96" w:name="_Toc362250710"/>
      <w:r>
        <w:rPr>
          <w:rFonts w:ascii="Times New Roman" w:hAnsi="Times New Roman" w:cs="Times New Roman"/>
          <w:sz w:val="24"/>
          <w:szCs w:val="24"/>
        </w:rPr>
        <w:t xml:space="preserve">评标小组以开标、评标、询标情况为基本依据，按照招标文件的规定，对各投标人的投标文件按资格部分、商务技术部分和报价部分顺序进行分析、评议，具体按以下程序进行评审： </w:t>
      </w:r>
    </w:p>
    <w:p>
      <w:pPr>
        <w:pStyle w:val="30"/>
        <w:snapToGrid w:val="0"/>
        <w:spacing w:line="360" w:lineRule="exact"/>
        <w:ind w:firstLine="470" w:firstLineChars="196"/>
        <w:rPr>
          <w:rFonts w:ascii="Times New Roman" w:hAnsi="Times New Roman" w:cs="Times New Roman"/>
          <w:sz w:val="24"/>
          <w:szCs w:val="24"/>
        </w:rPr>
      </w:pPr>
      <w:r>
        <w:rPr>
          <w:rFonts w:ascii="Times New Roman" w:hAnsi="Times New Roman" w:cs="Times New Roman"/>
          <w:sz w:val="24"/>
          <w:szCs w:val="24"/>
        </w:rPr>
        <w:t>（一）对所有投标人的资格响应文件进行审查，并以开标当日为准，对投标人“信用中国”网站（www.creditchina.gov.cn）、中国政府采购网（www.ccgp.gov.cn）信用记录情况进行查询，根据（义行服管〔2017〕17号）的规定，对投标人的综合信用报告评级进行查询。</w:t>
      </w:r>
    </w:p>
    <w:p>
      <w:pPr>
        <w:pStyle w:val="30"/>
        <w:spacing w:line="360" w:lineRule="exact"/>
        <w:ind w:firstLine="480"/>
        <w:rPr>
          <w:rFonts w:ascii="Times New Roman" w:hAnsi="Times New Roman" w:cs="Times New Roman"/>
          <w:sz w:val="24"/>
          <w:szCs w:val="24"/>
        </w:rPr>
      </w:pPr>
      <w:r>
        <w:rPr>
          <w:rFonts w:ascii="Times New Roman" w:hAnsi="Times New Roman" w:cs="Times New Roman"/>
          <w:sz w:val="24"/>
          <w:szCs w:val="24"/>
        </w:rPr>
        <w:t>（二）对通过资格性审查合格的投标人的商务技术响应文件进行符合性审查。</w:t>
      </w:r>
    </w:p>
    <w:p>
      <w:pPr>
        <w:pStyle w:val="30"/>
        <w:spacing w:line="360" w:lineRule="exact"/>
        <w:ind w:firstLine="480" w:firstLineChars="200"/>
        <w:rPr>
          <w:rFonts w:ascii="Times New Roman" w:hAnsi="Times New Roman" w:cs="Times New Roman"/>
          <w:sz w:val="24"/>
        </w:rPr>
      </w:pPr>
      <w:r>
        <w:rPr>
          <w:rFonts w:ascii="Times New Roman" w:hAnsi="Times New Roman" w:cs="Times New Roman"/>
          <w:sz w:val="24"/>
        </w:rPr>
        <w:t>（三）对通过符合性审查有效的投标人的商务技术响应文件进行技术评分（详见三、评分细则）。</w:t>
      </w:r>
    </w:p>
    <w:p>
      <w:pPr>
        <w:pStyle w:val="30"/>
        <w:widowControl w:val="0"/>
        <w:spacing w:line="360" w:lineRule="exact"/>
        <w:ind w:firstLine="480" w:firstLineChars="200"/>
        <w:rPr>
          <w:rFonts w:ascii="Times New Roman" w:hAnsi="Times New Roman" w:cs="Times New Roman"/>
          <w:sz w:val="24"/>
        </w:rPr>
      </w:pPr>
      <w:r>
        <w:rPr>
          <w:rFonts w:ascii="Times New Roman" w:hAnsi="Times New Roman" w:cs="Times New Roman"/>
          <w:sz w:val="24"/>
        </w:rPr>
        <w:t>（四）上述投标人的评分结束后，评标委员会对上述投标人的报价文件进行评审；评标委员会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评标委员会应当将其作为无效投标处理。</w:t>
      </w:r>
    </w:p>
    <w:p>
      <w:pPr>
        <w:pStyle w:val="30"/>
        <w:spacing w:line="360" w:lineRule="exact"/>
        <w:ind w:firstLine="480" w:firstLineChars="200"/>
        <w:rPr>
          <w:rFonts w:ascii="Times New Roman" w:hAnsi="Times New Roman" w:cs="Times New Roman"/>
          <w:sz w:val="24"/>
        </w:rPr>
      </w:pPr>
      <w:r>
        <w:rPr>
          <w:rFonts w:ascii="Times New Roman" w:hAnsi="Times New Roman" w:cs="Times New Roman"/>
          <w:sz w:val="24"/>
        </w:rPr>
        <w:t>（五）对通过报价评审有效的投标人,由“政采云”计算出其报价分及总得分，并由评标委员会进行确认。</w:t>
      </w:r>
    </w:p>
    <w:p>
      <w:pPr>
        <w:pStyle w:val="30"/>
        <w:spacing w:line="360" w:lineRule="exact"/>
        <w:ind w:firstLine="480" w:firstLineChars="200"/>
        <w:rPr>
          <w:rFonts w:ascii="Times New Roman" w:hAnsi="Times New Roman" w:cs="Times New Roman"/>
          <w:sz w:val="24"/>
        </w:rPr>
      </w:pPr>
      <w:r>
        <w:rPr>
          <w:rFonts w:ascii="Times New Roman" w:hAnsi="Times New Roman" w:cs="Times New Roman"/>
          <w:sz w:val="24"/>
        </w:rPr>
        <w:t>（六）确定中标人</w:t>
      </w:r>
    </w:p>
    <w:p>
      <w:pPr>
        <w:spacing w:line="360" w:lineRule="exact"/>
        <w:ind w:firstLine="480" w:firstLineChars="200"/>
      </w:pPr>
      <w:r>
        <w:t>1.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pPr>
        <w:spacing w:line="360" w:lineRule="exact"/>
        <w:ind w:firstLine="480" w:firstLineChars="200"/>
      </w:pPr>
      <w:r>
        <w:t>2.其次，评标委员会直接确定排名第一的投标人为中标人。</w:t>
      </w:r>
    </w:p>
    <w:p>
      <w:pPr>
        <w:spacing w:line="360" w:lineRule="exact"/>
        <w:ind w:firstLine="480" w:firstLineChars="200"/>
      </w:pPr>
      <w:r>
        <w:t>（七）完成评标报告</w:t>
      </w:r>
    </w:p>
    <w:p>
      <w:pPr>
        <w:pStyle w:val="30"/>
        <w:spacing w:line="360" w:lineRule="exact"/>
        <w:ind w:firstLine="480"/>
        <w:rPr>
          <w:rFonts w:ascii="Times New Roman" w:hAnsi="Times New Roman" w:cs="Times New Roman"/>
          <w:sz w:val="24"/>
          <w:szCs w:val="24"/>
        </w:rPr>
      </w:pPr>
      <w:r>
        <w:rPr>
          <w:rFonts w:ascii="Times New Roman" w:hAnsi="Times New Roman" w:cs="Times New Roman"/>
          <w:kern w:val="0"/>
          <w:sz w:val="24"/>
        </w:rPr>
        <w:t>评标委员会根据评审相关情况作出评标报告</w:t>
      </w:r>
      <w:r>
        <w:rPr>
          <w:rFonts w:ascii="Times New Roman" w:hAnsi="Times New Roman" w:cs="Times New Roman"/>
          <w:sz w:val="24"/>
        </w:rPr>
        <w:t>。</w:t>
      </w:r>
    </w:p>
    <w:p>
      <w:pPr>
        <w:pStyle w:val="30"/>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二、确定的中标人放弃中标等情况的处理</w:t>
      </w:r>
      <w:bookmarkEnd w:id="91"/>
      <w:bookmarkEnd w:id="92"/>
      <w:bookmarkEnd w:id="93"/>
      <w:bookmarkEnd w:id="94"/>
      <w:bookmarkEnd w:id="95"/>
      <w:bookmarkEnd w:id="96"/>
    </w:p>
    <w:p>
      <w:pPr>
        <w:spacing w:line="360" w:lineRule="exact"/>
        <w:ind w:firstLine="470" w:firstLineChars="196"/>
        <w:rPr>
          <w:b/>
        </w:rPr>
      </w:pPr>
      <w:r>
        <w:t>当确定的中标人放弃中标，因不可抗力提出不能履行合同，或者质疑投诉成立，取消中标人资格的，都不再确定其余投标人作为中标人</w:t>
      </w:r>
      <w:r>
        <w:rPr>
          <w:b/>
        </w:rPr>
        <w:t>。</w:t>
      </w:r>
    </w:p>
    <w:p>
      <w:pPr>
        <w:pStyle w:val="30"/>
        <w:numPr>
          <w:ilvl w:val="0"/>
          <w:numId w:val="12"/>
        </w:numPr>
        <w:spacing w:line="360" w:lineRule="exact"/>
        <w:ind w:firstLine="422" w:firstLineChars="200"/>
        <w:rPr>
          <w:rFonts w:ascii="Times New Roman" w:hAnsi="Times New Roman" w:cs="Times New Roman"/>
          <w:b/>
        </w:rPr>
      </w:pPr>
      <w:r>
        <w:rPr>
          <w:rFonts w:ascii="Times New Roman" w:hAnsi="Times New Roman" w:cs="Times New Roman"/>
          <w:b/>
        </w:rPr>
        <w:t>评分细则</w:t>
      </w:r>
    </w:p>
    <w:tbl>
      <w:tblPr>
        <w:tblStyle w:val="5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350"/>
        <w:gridCol w:w="6285"/>
        <w:gridCol w:w="735"/>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2" w:type="dxa"/>
            <w:noWrap/>
            <w:vAlign w:val="center"/>
          </w:tcPr>
          <w:p>
            <w:pPr>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1350" w:type="dxa"/>
            <w:noWrap/>
          </w:tcPr>
          <w:p>
            <w:pPr>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评分内容</w:t>
            </w:r>
          </w:p>
        </w:tc>
        <w:tc>
          <w:tcPr>
            <w:tcW w:w="6285" w:type="dxa"/>
            <w:noWrap/>
          </w:tcPr>
          <w:p>
            <w:pPr>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评分细则</w:t>
            </w:r>
          </w:p>
        </w:tc>
        <w:tc>
          <w:tcPr>
            <w:tcW w:w="735" w:type="dxa"/>
            <w:noWrap/>
            <w:vAlign w:val="center"/>
          </w:tcPr>
          <w:p>
            <w:pPr>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分值</w:t>
            </w:r>
          </w:p>
        </w:tc>
        <w:tc>
          <w:tcPr>
            <w:tcW w:w="811" w:type="dxa"/>
            <w:noWrap/>
            <w:vAlign w:val="center"/>
          </w:tcPr>
          <w:p>
            <w:pPr>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62"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w:t>
            </w:r>
          </w:p>
        </w:tc>
        <w:tc>
          <w:tcPr>
            <w:tcW w:w="1350"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技术分</w:t>
            </w:r>
          </w:p>
        </w:tc>
        <w:tc>
          <w:tcPr>
            <w:tcW w:w="6285" w:type="dxa"/>
            <w:noWrap/>
          </w:tcPr>
          <w:p>
            <w:pPr>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735"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70分</w:t>
            </w:r>
          </w:p>
        </w:tc>
        <w:tc>
          <w:tcPr>
            <w:tcW w:w="811" w:type="dxa"/>
            <w:noWrap/>
            <w:vAlign w:val="center"/>
          </w:tcPr>
          <w:p>
            <w:pPr>
              <w:spacing w:line="240" w:lineRule="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62"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350"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技术参数</w:t>
            </w:r>
          </w:p>
        </w:tc>
        <w:tc>
          <w:tcPr>
            <w:tcW w:w="6285" w:type="dxa"/>
            <w:noWrap/>
            <w:vAlign w:val="top"/>
          </w:tcPr>
          <w:p>
            <w:pPr>
              <w:spacing w:line="240" w:lineRule="auto"/>
              <w:rPr>
                <w:rFonts w:hint="default" w:ascii="Times New Roman" w:hAnsi="Times New Roman" w:eastAsia="宋体" w:cs="Times New Roman"/>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eastAsia="zh-CN"/>
              </w:rPr>
              <w:t>除不可负偏离指标外，</w:t>
            </w:r>
            <w:r>
              <w:rPr>
                <w:rFonts w:hint="default" w:ascii="Times New Roman" w:hAnsi="Times New Roman" w:cs="Times New Roman" w:eastAsiaTheme="minorEastAsia"/>
                <w:color w:val="auto"/>
                <w:sz w:val="21"/>
                <w:szCs w:val="21"/>
                <w:highlight w:val="none"/>
              </w:rPr>
              <w:t>投标指标与招标需求完全一致</w:t>
            </w:r>
            <w:r>
              <w:rPr>
                <w:rFonts w:hint="default" w:ascii="Times New Roman" w:hAnsi="Times New Roman" w:cs="Times New Roman" w:eastAsiaTheme="minorEastAsia"/>
                <w:color w:val="auto"/>
                <w:sz w:val="21"/>
                <w:szCs w:val="21"/>
                <w:highlight w:val="none"/>
                <w:lang w:eastAsia="zh-CN"/>
              </w:rPr>
              <w:t>或完全一致且有正偏离的</w:t>
            </w:r>
            <w:r>
              <w:rPr>
                <w:rFonts w:hint="default" w:ascii="Times New Roman" w:hAnsi="Times New Roman" w:cs="Times New Roman" w:eastAsiaTheme="minorEastAsia"/>
                <w:color w:val="auto"/>
                <w:sz w:val="21"/>
                <w:szCs w:val="21"/>
                <w:highlight w:val="none"/>
              </w:rPr>
              <w:t>，得</w:t>
            </w:r>
            <w:r>
              <w:rPr>
                <w:rFonts w:hint="eastAsia" w:cs="Times New Roman" w:eastAsiaTheme="minorEastAsia"/>
                <w:color w:val="auto"/>
                <w:sz w:val="21"/>
                <w:szCs w:val="21"/>
                <w:highlight w:val="none"/>
                <w:lang w:val="en-US" w:eastAsia="zh-CN"/>
              </w:rPr>
              <w:t>36</w:t>
            </w:r>
            <w:r>
              <w:rPr>
                <w:rFonts w:hint="default" w:ascii="Times New Roman" w:hAnsi="Times New Roman" w:cs="Times New Roman" w:eastAsiaTheme="minorEastAsia"/>
                <w:color w:val="auto"/>
                <w:sz w:val="21"/>
                <w:szCs w:val="21"/>
                <w:highlight w:val="none"/>
              </w:rPr>
              <w:t>分；</w:t>
            </w:r>
            <w:r>
              <w:rPr>
                <w:rFonts w:hint="default" w:ascii="Times New Roman" w:hAnsi="Times New Roman" w:cs="Times New Roman" w:eastAsiaTheme="minorEastAsia"/>
                <w:color w:val="auto"/>
                <w:sz w:val="21"/>
                <w:szCs w:val="21"/>
                <w:highlight w:val="none"/>
                <w:lang w:eastAsia="zh-CN"/>
              </w:rPr>
              <w:t>标</w:t>
            </w:r>
            <w:r>
              <w:rPr>
                <w:rFonts w:hint="default" w:ascii="Times New Roman" w:hAnsi="Times New Roman" w:cs="Times New Roman" w:eastAsiaTheme="minorEastAsia"/>
                <w:color w:val="auto"/>
                <w:sz w:val="21"/>
                <w:szCs w:val="21"/>
                <w:highlight w:val="none"/>
              </w:rPr>
              <w:t>“▲”标记</w:t>
            </w:r>
            <w:r>
              <w:rPr>
                <w:rFonts w:hint="default" w:ascii="Times New Roman" w:hAnsi="Times New Roman" w:cs="Times New Roman" w:eastAsiaTheme="minorEastAsia"/>
                <w:color w:val="auto"/>
                <w:sz w:val="21"/>
                <w:szCs w:val="21"/>
                <w:highlight w:val="none"/>
                <w:lang w:eastAsia="zh-CN"/>
              </w:rPr>
              <w:t>参数</w:t>
            </w:r>
            <w:r>
              <w:rPr>
                <w:rFonts w:hint="default" w:ascii="Times New Roman" w:hAnsi="Times New Roman" w:cs="Times New Roman" w:eastAsiaTheme="minorEastAsia"/>
                <w:color w:val="auto"/>
                <w:sz w:val="21"/>
                <w:szCs w:val="21"/>
                <w:highlight w:val="none"/>
              </w:rPr>
              <w:t>系指</w:t>
            </w:r>
            <w:r>
              <w:rPr>
                <w:rFonts w:hint="default" w:ascii="Times New Roman" w:hAnsi="Times New Roman" w:cs="Times New Roman" w:eastAsiaTheme="minorEastAsia"/>
                <w:color w:val="auto"/>
                <w:sz w:val="21"/>
                <w:szCs w:val="21"/>
                <w:highlight w:val="none"/>
                <w:lang w:eastAsia="zh-CN"/>
              </w:rPr>
              <w:t>重点参数，投标指标每负偏离一项扣</w:t>
            </w:r>
            <w:r>
              <w:rPr>
                <w:rFonts w:hint="default" w:ascii="Times New Roman" w:hAnsi="Times New Roman" w:cs="Times New Roman" w:eastAsiaTheme="minorEastAsia"/>
                <w:color w:val="auto"/>
                <w:sz w:val="21"/>
                <w:szCs w:val="21"/>
                <w:highlight w:val="none"/>
                <w:lang w:val="en-US" w:eastAsia="zh-CN"/>
              </w:rPr>
              <w:t>3分；其他技术指标每负偏离一项扣减</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val="en-US" w:eastAsia="zh-CN"/>
              </w:rPr>
              <w:t>分，扣完为止。</w:t>
            </w:r>
            <w:r>
              <w:rPr>
                <w:rFonts w:hint="default" w:ascii="Times New Roman" w:hAnsi="Times New Roman" w:cs="Times New Roman" w:eastAsiaTheme="minorEastAsia"/>
                <w:color w:val="auto"/>
                <w:sz w:val="21"/>
                <w:szCs w:val="21"/>
                <w:highlight w:val="none"/>
              </w:rPr>
              <w:t>本项打分最高得</w:t>
            </w:r>
            <w:r>
              <w:rPr>
                <w:rFonts w:hint="eastAsia" w:cs="Times New Roman" w:eastAsiaTheme="minorEastAsia"/>
                <w:color w:val="auto"/>
                <w:sz w:val="21"/>
                <w:szCs w:val="21"/>
                <w:highlight w:val="none"/>
                <w:lang w:val="en-US" w:eastAsia="zh-CN"/>
              </w:rPr>
              <w:t>36</w:t>
            </w:r>
            <w:r>
              <w:rPr>
                <w:rFonts w:hint="default" w:ascii="Times New Roman" w:hAnsi="Times New Roman" w:cs="Times New Roman" w:eastAsiaTheme="minorEastAsia"/>
                <w:color w:val="auto"/>
                <w:sz w:val="21"/>
                <w:szCs w:val="21"/>
                <w:highlight w:val="none"/>
              </w:rPr>
              <w:t>分，最低得0分。</w:t>
            </w:r>
          </w:p>
        </w:tc>
        <w:tc>
          <w:tcPr>
            <w:tcW w:w="735" w:type="dxa"/>
            <w:noWrap/>
            <w:vAlign w:val="center"/>
          </w:tcPr>
          <w:p>
            <w:pPr>
              <w:adjustRightInd w:val="0"/>
              <w:snapToGrid w:val="0"/>
              <w:spacing w:line="240" w:lineRule="auto"/>
              <w:jc w:val="center"/>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0-</w:t>
            </w:r>
            <w:r>
              <w:rPr>
                <w:rFonts w:hint="eastAsia" w:cs="Times New Roman"/>
                <w:sz w:val="21"/>
                <w:szCs w:val="21"/>
                <w:highlight w:val="none"/>
                <w:lang w:val="en-US" w:eastAsia="zh-CN"/>
              </w:rPr>
              <w:t>36</w:t>
            </w:r>
          </w:p>
        </w:tc>
        <w:tc>
          <w:tcPr>
            <w:tcW w:w="811"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2"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350" w:type="dxa"/>
            <w:noWrap/>
            <w:vAlign w:val="center"/>
          </w:tcPr>
          <w:p>
            <w:pPr>
              <w:spacing w:line="240" w:lineRule="auto"/>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项目</w:t>
            </w:r>
            <w:r>
              <w:rPr>
                <w:rFonts w:hint="eastAsia" w:cs="Times New Roman"/>
                <w:sz w:val="21"/>
                <w:szCs w:val="21"/>
                <w:highlight w:val="none"/>
                <w:lang w:eastAsia="zh-CN"/>
              </w:rPr>
              <w:t>投标</w:t>
            </w:r>
            <w:r>
              <w:rPr>
                <w:rFonts w:hint="default" w:ascii="Times New Roman" w:hAnsi="Times New Roman" w:eastAsia="宋体" w:cs="Times New Roman"/>
                <w:sz w:val="21"/>
                <w:szCs w:val="21"/>
                <w:highlight w:val="none"/>
                <w:lang w:eastAsia="zh-CN"/>
              </w:rPr>
              <w:t>演示</w:t>
            </w:r>
          </w:p>
        </w:tc>
        <w:tc>
          <w:tcPr>
            <w:tcW w:w="6285" w:type="dxa"/>
            <w:noWrap/>
            <w:vAlign w:val="center"/>
          </w:tcPr>
          <w:p>
            <w:pPr>
              <w:spacing w:line="240" w:lineRule="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投标方需对相关设备和软件进行演示：</w:t>
            </w:r>
          </w:p>
          <w:p>
            <w:pPr>
              <w:spacing w:line="240" w:lineRule="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由评委对各投标人针对</w:t>
            </w:r>
            <w:r>
              <w:rPr>
                <w:rFonts w:hint="eastAsia" w:ascii="Times New Roman" w:hAnsi="Times New Roman" w:cs="Times New Roman" w:eastAsiaTheme="minorEastAsia"/>
                <w:color w:val="auto"/>
                <w:sz w:val="21"/>
                <w:szCs w:val="21"/>
                <w:highlight w:val="none"/>
                <w:lang w:eastAsia="zh-CN"/>
              </w:rPr>
              <w:t>项目要求演示部分</w:t>
            </w:r>
            <w:r>
              <w:rPr>
                <w:rFonts w:hint="default" w:ascii="Times New Roman" w:hAnsi="Times New Roman" w:cs="Times New Roman" w:eastAsiaTheme="minorEastAsia"/>
                <w:color w:val="auto"/>
                <w:sz w:val="21"/>
                <w:szCs w:val="21"/>
                <w:highlight w:val="none"/>
                <w:lang w:eastAsia="zh-CN"/>
              </w:rPr>
              <w:t>的演示情况进行评定，不能满足</w:t>
            </w:r>
            <w:r>
              <w:rPr>
                <w:rFonts w:hint="eastAsia" w:ascii="Times New Roman" w:hAnsi="Times New Roman" w:cs="Times New Roman" w:eastAsiaTheme="minorEastAsia"/>
                <w:color w:val="auto"/>
                <w:sz w:val="21"/>
                <w:szCs w:val="21"/>
                <w:highlight w:val="none"/>
                <w:lang w:eastAsia="zh-CN"/>
              </w:rPr>
              <w:t>招标文件</w:t>
            </w: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eastAsia="zh-CN"/>
              </w:rPr>
              <w:t>演示要求的</w:t>
            </w:r>
            <w:r>
              <w:rPr>
                <w:rFonts w:hint="eastAsia" w:cs="Times New Roman" w:eastAsiaTheme="minorEastAsia"/>
                <w:color w:val="auto"/>
                <w:sz w:val="21"/>
                <w:szCs w:val="21"/>
                <w:highlight w:val="none"/>
                <w:lang w:eastAsia="zh-CN"/>
              </w:rPr>
              <w:t>在</w:t>
            </w:r>
            <w:r>
              <w:rPr>
                <w:rFonts w:hint="eastAsia" w:cs="Times New Roman" w:eastAsiaTheme="minorEastAsia"/>
                <w:color w:val="auto"/>
                <w:sz w:val="21"/>
                <w:szCs w:val="21"/>
                <w:highlight w:val="none"/>
                <w:lang w:val="en-US" w:eastAsia="zh-CN"/>
              </w:rPr>
              <w:t>24分的基础上</w:t>
            </w:r>
            <w:r>
              <w:rPr>
                <w:rFonts w:hint="eastAsia" w:ascii="Times New Roman" w:hAnsi="Times New Roman" w:cs="Times New Roman" w:eastAsiaTheme="minorEastAsia"/>
                <w:color w:val="auto"/>
                <w:sz w:val="21"/>
                <w:szCs w:val="21"/>
                <w:highlight w:val="none"/>
                <w:lang w:eastAsia="zh-CN"/>
              </w:rPr>
              <w:t>每项</w:t>
            </w:r>
            <w:r>
              <w:rPr>
                <w:rFonts w:hint="default" w:ascii="Times New Roman" w:hAnsi="Times New Roman" w:cs="Times New Roman" w:eastAsiaTheme="minorEastAsia"/>
                <w:color w:val="auto"/>
                <w:sz w:val="21"/>
                <w:szCs w:val="21"/>
                <w:highlight w:val="none"/>
                <w:lang w:eastAsia="zh-CN"/>
              </w:rPr>
              <w:t>扣3分，扣完为止。</w:t>
            </w:r>
          </w:p>
          <w:p>
            <w:pPr>
              <w:spacing w:line="240" w:lineRule="auto"/>
              <w:rPr>
                <w:rFonts w:hint="default" w:ascii="Times New Roman" w:hAnsi="Times New Roman" w:eastAsia="宋体" w:cs="Times New Roman"/>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eastAsia="zh-CN"/>
              </w:rPr>
              <w:t>需使用成熟或DEMO软件进行演示，不演示或者使用PPT,WORD等文本形式演示者不得分。</w:t>
            </w:r>
          </w:p>
        </w:tc>
        <w:tc>
          <w:tcPr>
            <w:tcW w:w="735" w:type="dxa"/>
            <w:noWrap/>
            <w:vAlign w:val="center"/>
          </w:tcPr>
          <w:p>
            <w:pPr>
              <w:adjustRightInd w:val="0"/>
              <w:snapToGrid w:val="0"/>
              <w:spacing w:line="240" w:lineRule="auto"/>
              <w:jc w:val="center"/>
              <w:textAlignment w:val="baseline"/>
              <w:rPr>
                <w:rFonts w:hint="eastAsia"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0-2</w:t>
            </w:r>
            <w:r>
              <w:rPr>
                <w:rFonts w:hint="eastAsia" w:cs="Times New Roman"/>
                <w:sz w:val="21"/>
                <w:szCs w:val="21"/>
                <w:highlight w:val="none"/>
                <w:lang w:val="en-US" w:eastAsia="zh-CN"/>
              </w:rPr>
              <w:t>4</w:t>
            </w:r>
          </w:p>
        </w:tc>
        <w:tc>
          <w:tcPr>
            <w:tcW w:w="811"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350" w:type="dxa"/>
            <w:noWrap/>
            <w:vAlign w:val="center"/>
          </w:tcPr>
          <w:p>
            <w:pPr>
              <w:spacing w:line="240"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人员配置</w:t>
            </w:r>
          </w:p>
        </w:tc>
        <w:tc>
          <w:tcPr>
            <w:tcW w:w="6285" w:type="dxa"/>
            <w:noWrap/>
            <w:vAlign w:val="top"/>
          </w:tcPr>
          <w:p>
            <w:pPr>
              <w:spacing w:line="240" w:lineRule="auto"/>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投标方拟配备的</w:t>
            </w:r>
            <w:r>
              <w:rPr>
                <w:rFonts w:hint="eastAsia" w:cs="Times New Roman"/>
                <w:sz w:val="21"/>
                <w:szCs w:val="21"/>
                <w:highlight w:val="none"/>
                <w:lang w:eastAsia="zh-CN"/>
              </w:rPr>
              <w:t>项目负责人</w:t>
            </w:r>
            <w:r>
              <w:rPr>
                <w:rFonts w:hint="default" w:ascii="Times New Roman" w:hAnsi="Times New Roman" w:eastAsia="宋体" w:cs="Times New Roman"/>
                <w:sz w:val="21"/>
                <w:szCs w:val="21"/>
                <w:highlight w:val="none"/>
              </w:rPr>
              <w:t>具备计算机信息系统项目高级经理资质的得</w:t>
            </w:r>
            <w:r>
              <w:rPr>
                <w:rFonts w:hint="default" w:ascii="Times New Roman" w:hAnsi="Times New Roman" w:cs="Times New Roman"/>
                <w:sz w:val="21"/>
                <w:szCs w:val="21"/>
                <w:highlight w:val="none"/>
                <w:lang w:eastAsia="zh-CN"/>
              </w:rPr>
              <w:t>2分，须在投标文件商务技术响应文件中提供证书扫描件加盖投标方电子签章。</w:t>
            </w:r>
          </w:p>
        </w:tc>
        <w:tc>
          <w:tcPr>
            <w:tcW w:w="735" w:type="dxa"/>
            <w:noWrap/>
            <w:vAlign w:val="center"/>
          </w:tcPr>
          <w:p>
            <w:pPr>
              <w:spacing w:line="240"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0-2</w:t>
            </w:r>
          </w:p>
        </w:tc>
        <w:tc>
          <w:tcPr>
            <w:tcW w:w="811"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350" w:type="dxa"/>
            <w:noWrap/>
            <w:vAlign w:val="center"/>
          </w:tcPr>
          <w:p>
            <w:pPr>
              <w:spacing w:line="240"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项目实施方案</w:t>
            </w:r>
          </w:p>
        </w:tc>
        <w:tc>
          <w:tcPr>
            <w:tcW w:w="6285" w:type="dxa"/>
            <w:noWrap/>
            <w:vAlign w:val="top"/>
          </w:tcPr>
          <w:p>
            <w:pPr>
              <w:spacing w:line="240" w:lineRule="auto"/>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根据投标方提供的项目</w:t>
            </w:r>
            <w:r>
              <w:rPr>
                <w:rFonts w:hint="eastAsia" w:cs="Times New Roman"/>
                <w:sz w:val="21"/>
                <w:szCs w:val="21"/>
                <w:highlight w:val="none"/>
                <w:lang w:eastAsia="zh-CN"/>
              </w:rPr>
              <w:t>实施</w:t>
            </w:r>
            <w:r>
              <w:rPr>
                <w:rFonts w:hint="default" w:ascii="Times New Roman" w:hAnsi="Times New Roman" w:eastAsia="宋体" w:cs="Times New Roman"/>
                <w:sz w:val="21"/>
                <w:szCs w:val="21"/>
                <w:highlight w:val="none"/>
              </w:rPr>
              <w:t>方案（包括设备生产、供货、安装、调试、验收、质量保证措施、安全实施措施、进度计划安排等内容）打分，</w:t>
            </w:r>
            <w:r>
              <w:rPr>
                <w:rFonts w:hint="eastAsia" w:cs="Times New Roman"/>
                <w:bCs/>
                <w:sz w:val="21"/>
                <w:szCs w:val="21"/>
                <w:highlight w:val="none"/>
                <w:lang w:val="en-US" w:eastAsia="zh-CN"/>
              </w:rPr>
              <w:t>1-4分。</w:t>
            </w:r>
            <w:r>
              <w:rPr>
                <w:rFonts w:hint="default" w:ascii="Times New Roman" w:hAnsi="Times New Roman" w:eastAsia="宋体" w:cs="Times New Roman"/>
                <w:color w:val="000000"/>
                <w:kern w:val="0"/>
                <w:sz w:val="21"/>
                <w:szCs w:val="21"/>
              </w:rPr>
              <w:t>投标人在投标文件商务技术响应文件中无本项内容的，不得分。</w:t>
            </w:r>
          </w:p>
        </w:tc>
        <w:tc>
          <w:tcPr>
            <w:tcW w:w="735" w:type="dxa"/>
            <w:noWrap/>
            <w:vAlign w:val="center"/>
          </w:tcPr>
          <w:p>
            <w:pPr>
              <w:spacing w:line="240" w:lineRule="auto"/>
              <w:jc w:val="center"/>
              <w:rPr>
                <w:rFonts w:hint="eastAsia" w:ascii="Times New Roman" w:hAnsi="Times New Roman" w:eastAsia="宋体" w:cs="Times New Roman"/>
                <w:sz w:val="21"/>
                <w:szCs w:val="21"/>
                <w:highlight w:val="none"/>
                <w:lang w:val="en-US" w:eastAsia="zh-CN" w:bidi="ar-SA"/>
              </w:rPr>
            </w:pPr>
            <w:r>
              <w:rPr>
                <w:rFonts w:hint="eastAsia" w:cs="Times New Roman"/>
                <w:sz w:val="21"/>
                <w:szCs w:val="21"/>
                <w:highlight w:val="none"/>
                <w:lang w:val="en-US" w:eastAsia="zh-CN"/>
              </w:rPr>
              <w:t>0</w:t>
            </w:r>
            <w:r>
              <w:rPr>
                <w:rFonts w:hint="default" w:ascii="Times New Roman" w:hAnsi="Times New Roman" w:eastAsia="宋体" w:cs="Times New Roman"/>
                <w:sz w:val="21"/>
                <w:szCs w:val="21"/>
                <w:highlight w:val="none"/>
              </w:rPr>
              <w:t>-</w:t>
            </w:r>
            <w:r>
              <w:rPr>
                <w:rFonts w:hint="eastAsia" w:cs="Times New Roman"/>
                <w:sz w:val="21"/>
                <w:szCs w:val="21"/>
                <w:highlight w:val="none"/>
                <w:lang w:val="en-US" w:eastAsia="zh-CN"/>
              </w:rPr>
              <w:t>4</w:t>
            </w:r>
          </w:p>
        </w:tc>
        <w:tc>
          <w:tcPr>
            <w:tcW w:w="811"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62"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350" w:type="dxa"/>
            <w:noWrap/>
            <w:vAlign w:val="center"/>
          </w:tcPr>
          <w:p>
            <w:pPr>
              <w:spacing w:line="240"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服务体系</w:t>
            </w:r>
          </w:p>
        </w:tc>
        <w:tc>
          <w:tcPr>
            <w:tcW w:w="6285" w:type="dxa"/>
            <w:noWrap/>
            <w:vAlign w:val="top"/>
          </w:tcPr>
          <w:p>
            <w:pPr>
              <w:spacing w:line="240" w:lineRule="auto"/>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根据投标人的售后服务体系（服务标准、响应时间、维护体系、定期巡检、人员培训等情况）等内容进行</w:t>
            </w:r>
            <w:r>
              <w:rPr>
                <w:rFonts w:hint="eastAsia" w:cs="Times New Roman"/>
                <w:sz w:val="21"/>
                <w:szCs w:val="21"/>
                <w:highlight w:val="none"/>
                <w:lang w:eastAsia="zh-CN"/>
              </w:rPr>
              <w:t>评分</w:t>
            </w:r>
            <w:r>
              <w:rPr>
                <w:rFonts w:hint="default" w:ascii="Times New Roman" w:hAnsi="Times New Roman" w:eastAsia="宋体" w:cs="Times New Roman"/>
                <w:sz w:val="21"/>
                <w:szCs w:val="21"/>
                <w:highlight w:val="none"/>
              </w:rPr>
              <w:t>，</w:t>
            </w:r>
            <w:r>
              <w:rPr>
                <w:rFonts w:hint="eastAsia" w:cs="Times New Roman"/>
                <w:sz w:val="21"/>
                <w:szCs w:val="21"/>
                <w:highlight w:val="none"/>
                <w:lang w:val="en-US" w:eastAsia="zh-CN"/>
              </w:rPr>
              <w:t>1-4分</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color w:val="000000"/>
                <w:kern w:val="0"/>
                <w:sz w:val="21"/>
                <w:szCs w:val="21"/>
              </w:rPr>
              <w:t>投标人在投标文件商务技术响应文件中无本项内容的，不得分。</w:t>
            </w:r>
          </w:p>
        </w:tc>
        <w:tc>
          <w:tcPr>
            <w:tcW w:w="735" w:type="dxa"/>
            <w:noWrap/>
            <w:vAlign w:val="center"/>
          </w:tcPr>
          <w:p>
            <w:pPr>
              <w:spacing w:line="240" w:lineRule="auto"/>
              <w:jc w:val="center"/>
              <w:rPr>
                <w:rFonts w:hint="default" w:ascii="Times New Roman" w:hAnsi="Times New Roman" w:eastAsia="宋体" w:cs="Times New Roman"/>
                <w:sz w:val="21"/>
                <w:szCs w:val="21"/>
                <w:highlight w:val="none"/>
                <w:lang w:val="en-US" w:eastAsia="zh-CN" w:bidi="ar-SA"/>
              </w:rPr>
            </w:pPr>
            <w:r>
              <w:rPr>
                <w:rFonts w:hint="eastAsia" w:cs="Times New Roman"/>
                <w:sz w:val="21"/>
                <w:szCs w:val="21"/>
                <w:highlight w:val="none"/>
                <w:lang w:val="en-US" w:eastAsia="zh-CN"/>
              </w:rPr>
              <w:t>0</w:t>
            </w:r>
            <w:r>
              <w:rPr>
                <w:rFonts w:hint="default" w:ascii="Times New Roman" w:hAnsi="Times New Roman" w:eastAsia="宋体" w:cs="Times New Roman"/>
                <w:sz w:val="21"/>
                <w:szCs w:val="21"/>
                <w:highlight w:val="none"/>
              </w:rPr>
              <w:t>-4</w:t>
            </w:r>
          </w:p>
        </w:tc>
        <w:tc>
          <w:tcPr>
            <w:tcW w:w="811"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62"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w:t>
            </w:r>
          </w:p>
        </w:tc>
        <w:tc>
          <w:tcPr>
            <w:tcW w:w="1350"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报价</w:t>
            </w:r>
            <w:r>
              <w:rPr>
                <w:rFonts w:hint="default" w:ascii="Times New Roman" w:hAnsi="Times New Roman" w:eastAsia="宋体" w:cs="Times New Roman"/>
                <w:sz w:val="21"/>
                <w:szCs w:val="21"/>
                <w:highlight w:val="none"/>
              </w:rPr>
              <w:t>分</w:t>
            </w:r>
          </w:p>
        </w:tc>
        <w:tc>
          <w:tcPr>
            <w:tcW w:w="6285" w:type="dxa"/>
            <w:noWrap/>
          </w:tcPr>
          <w:p>
            <w:pPr>
              <w:adjustRightInd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1、以符合招标文件要求且投标价格最低的投标报价为评标基准价，其商务报价得分为满分。</w:t>
            </w:r>
          </w:p>
          <w:p>
            <w:pPr>
              <w:adjustRightInd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2、其他投标人的商务报价分统一按照下列公式计算：</w:t>
            </w:r>
          </w:p>
          <w:p>
            <w:pPr>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商务报价分＝（评标基准价／投标报价）×30，计算结果保留2位小数（第三位小数四舍五入）。</w:t>
            </w:r>
          </w:p>
          <w:p>
            <w:pPr>
              <w:spacing w:line="240" w:lineRule="auto"/>
              <w:rPr>
                <w:rFonts w:hint="default" w:ascii="Times New Roman" w:hAnsi="Times New Roman" w:eastAsia="宋体" w:cs="Times New Roman"/>
                <w:strike/>
                <w:sz w:val="21"/>
                <w:szCs w:val="21"/>
                <w:highlight w:val="none"/>
              </w:rPr>
            </w:pPr>
            <w:r>
              <w:rPr>
                <w:rFonts w:hint="default" w:ascii="Times New Roman" w:hAnsi="Times New Roman" w:eastAsia="宋体" w:cs="Times New Roman"/>
                <w:sz w:val="21"/>
                <w:szCs w:val="21"/>
                <w:highlight w:val="none"/>
              </w:rPr>
              <w:t>（注：对于小型和微型企业产品的价格给予10%的扣除，用扣除后的价格参与评审，是否给予价格扣除按前附表“小微企业有关规定”要求认定）。</w:t>
            </w:r>
          </w:p>
        </w:tc>
        <w:tc>
          <w:tcPr>
            <w:tcW w:w="1546" w:type="dxa"/>
            <w:gridSpan w:val="2"/>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62" w:type="dxa"/>
            <w:noWrap/>
            <w:vAlign w:val="center"/>
          </w:tcPr>
          <w:p>
            <w:pPr>
              <w:spacing w:line="240" w:lineRule="auto"/>
              <w:ind w:firstLine="105" w:firstLineChar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w:t>
            </w:r>
          </w:p>
        </w:tc>
        <w:tc>
          <w:tcPr>
            <w:tcW w:w="1350" w:type="dxa"/>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综合得分</w:t>
            </w:r>
          </w:p>
        </w:tc>
        <w:tc>
          <w:tcPr>
            <w:tcW w:w="6285" w:type="dxa"/>
            <w:noWrap/>
            <w:vAlign w:val="center"/>
          </w:tcPr>
          <w:p>
            <w:pPr>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投标单位综合得分=技术分+报价分</w:t>
            </w:r>
          </w:p>
        </w:tc>
        <w:tc>
          <w:tcPr>
            <w:tcW w:w="1546" w:type="dxa"/>
            <w:gridSpan w:val="2"/>
            <w:noWrap/>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100分</w:t>
            </w:r>
          </w:p>
        </w:tc>
      </w:tr>
    </w:tbl>
    <w:p/>
    <w:bookmarkEnd w:id="86"/>
    <w:bookmarkEnd w:id="87"/>
    <w:bookmarkEnd w:id="88"/>
    <w:p>
      <w:bookmarkStart w:id="97" w:name="_Toc423012136"/>
      <w:bookmarkStart w:id="98" w:name="_Toc274303259"/>
      <w:bookmarkStart w:id="99" w:name="_Toc235778631"/>
      <w:bookmarkStart w:id="100" w:name="_Toc213038698"/>
      <w:bookmarkStart w:id="101" w:name="_Toc187829774"/>
      <w:bookmarkStart w:id="102" w:name="_Toc238878129"/>
      <w:r>
        <w:br w:type="page"/>
      </w:r>
    </w:p>
    <w:p>
      <w:pPr>
        <w:pStyle w:val="4"/>
        <w:spacing w:before="0" w:after="0" w:line="400" w:lineRule="atLeast"/>
        <w:jc w:val="center"/>
        <w:rPr>
          <w:sz w:val="36"/>
        </w:rPr>
      </w:pPr>
      <w:bookmarkStart w:id="103" w:name="_Toc26103"/>
      <w:bookmarkStart w:id="104" w:name="_Toc23182"/>
      <w:r>
        <w:rPr>
          <w:sz w:val="36"/>
        </w:rPr>
        <w:t>第七章 义乌市政府采购合同（样本）</w:t>
      </w:r>
      <w:bookmarkEnd w:id="103"/>
      <w:bookmarkEnd w:id="104"/>
    </w:p>
    <w:p>
      <w:pPr>
        <w:spacing w:line="400" w:lineRule="exact"/>
        <w:ind w:firstLine="480" w:firstLineChars="200"/>
        <w:rPr>
          <w:u w:val="single"/>
        </w:rPr>
      </w:pPr>
      <w:r>
        <w:t>需方：</w:t>
      </w:r>
    </w:p>
    <w:p>
      <w:pPr>
        <w:spacing w:line="400" w:lineRule="exact"/>
        <w:ind w:firstLine="480" w:firstLineChars="200"/>
        <w:rPr>
          <w:u w:val="single"/>
        </w:rPr>
      </w:pPr>
      <w:r>
        <w:t>供方：</w:t>
      </w:r>
    </w:p>
    <w:p>
      <w:pPr>
        <w:spacing w:line="400" w:lineRule="exact"/>
        <w:ind w:firstLine="480" w:firstLineChars="200"/>
      </w:pPr>
      <w:r>
        <w:t>供、需双方根据2022年  月</w:t>
      </w:r>
      <w:r>
        <w:rPr>
          <w:rFonts w:hint="eastAsia"/>
          <w:lang w:val="en-US" w:eastAsia="zh-CN"/>
        </w:rPr>
        <w:t xml:space="preserve">  </w:t>
      </w:r>
      <w:r>
        <w:t>日</w:t>
      </w:r>
      <w:r>
        <w:rPr>
          <w:rFonts w:hint="eastAsia"/>
          <w:color w:val="FF0000"/>
          <w:kern w:val="21"/>
          <w:u w:val="single"/>
        </w:rPr>
        <w:t>浙江省机电技师学院智慧物流实训室建设项目</w:t>
      </w:r>
      <w:r>
        <w:rPr>
          <w:color w:val="FF0000"/>
          <w:kern w:val="21"/>
        </w:rPr>
        <w:t>（招标编号：</w:t>
      </w:r>
      <w:r>
        <w:rPr>
          <w:rFonts w:hint="eastAsia"/>
          <w:color w:val="FF0000"/>
          <w:kern w:val="21"/>
          <w:u w:val="single"/>
        </w:rPr>
        <w:t>YWCG2022023GK</w:t>
      </w:r>
      <w:r>
        <w:rPr>
          <w:color w:val="FF0000"/>
          <w:kern w:val="21"/>
        </w:rPr>
        <w:t>）</w:t>
      </w:r>
      <w:r>
        <w:t>项目中标结果和投标文件的要求，依据《中华人民共和国民法典》并经双方协调一致，订立本采购合同。本合同（□是 □否）为可融资合同。</w:t>
      </w:r>
    </w:p>
    <w:p>
      <w:pPr>
        <w:spacing w:line="400" w:lineRule="exact"/>
        <w:ind w:firstLine="482" w:firstLineChars="200"/>
      </w:pPr>
      <w:r>
        <w:rPr>
          <w:b/>
        </w:rPr>
        <w:t>一、合同文件组成：</w:t>
      </w:r>
      <w:r>
        <w:t>招标文件及其补充更正文件、询标承诺、询疑答复、投标响应文件、双方来函。合同文件组成的所有内容是构成合同不可分割的部分，与合同具有同等法律效力。</w:t>
      </w:r>
    </w:p>
    <w:p>
      <w:pPr>
        <w:spacing w:line="400" w:lineRule="exact"/>
        <w:ind w:firstLine="482" w:firstLineChars="200"/>
        <w:rPr>
          <w:b/>
        </w:rPr>
      </w:pPr>
      <w:r>
        <w:rPr>
          <w:b/>
        </w:rPr>
        <w:t>二、合同金额</w:t>
      </w:r>
    </w:p>
    <w:p>
      <w:pPr>
        <w:spacing w:line="400" w:lineRule="exact"/>
        <w:ind w:firstLine="480" w:firstLineChars="200"/>
      </w:pPr>
      <w:r>
        <w:t>合同价款中须包括货物价款、所必须配备的附件、途中运输费、装卸费、安装调试费、税费、完成本项目的其它费用和政策性文件规定及合同包含的所有风险、责任等所有费用，即按采购人要求提供货物到现场并安装完毕的价格。如有漏项，视同已包含在其总报价中，合同单价及总价不予调整。由中标单位开具正式税务发票。</w:t>
      </w:r>
    </w:p>
    <w:p>
      <w:pPr>
        <w:spacing w:line="400" w:lineRule="exact"/>
        <w:ind w:firstLine="480" w:firstLineChars="200"/>
        <w:jc w:val="right"/>
      </w:pPr>
      <w:r>
        <w:t>单位：人民币元</w:t>
      </w:r>
    </w:p>
    <w:tbl>
      <w:tblPr>
        <w:tblStyle w:val="57"/>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649"/>
        <w:gridCol w:w="1741"/>
        <w:gridCol w:w="96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050" w:type="dxa"/>
            <w:vAlign w:val="center"/>
          </w:tcPr>
          <w:p>
            <w:pPr>
              <w:spacing w:line="400" w:lineRule="exact"/>
              <w:jc w:val="center"/>
            </w:pPr>
            <w:r>
              <w:t>序号</w:t>
            </w:r>
          </w:p>
        </w:tc>
        <w:tc>
          <w:tcPr>
            <w:tcW w:w="3649" w:type="dxa"/>
            <w:vAlign w:val="center"/>
          </w:tcPr>
          <w:p>
            <w:pPr>
              <w:spacing w:line="400" w:lineRule="exact"/>
              <w:ind w:firstLine="480" w:firstLineChars="200"/>
              <w:jc w:val="center"/>
            </w:pPr>
            <w:r>
              <w:t>采购项目</w:t>
            </w:r>
          </w:p>
        </w:tc>
        <w:tc>
          <w:tcPr>
            <w:tcW w:w="1741" w:type="dxa"/>
            <w:vAlign w:val="center"/>
          </w:tcPr>
          <w:p>
            <w:pPr>
              <w:spacing w:line="400" w:lineRule="exact"/>
              <w:jc w:val="center"/>
            </w:pPr>
            <w:r>
              <w:t>数量</w:t>
            </w:r>
          </w:p>
        </w:tc>
        <w:tc>
          <w:tcPr>
            <w:tcW w:w="967" w:type="dxa"/>
            <w:vAlign w:val="center"/>
          </w:tcPr>
          <w:p>
            <w:pPr>
              <w:spacing w:line="400" w:lineRule="exact"/>
              <w:jc w:val="center"/>
            </w:pPr>
            <w:r>
              <w:t>单价</w:t>
            </w:r>
          </w:p>
        </w:tc>
        <w:tc>
          <w:tcPr>
            <w:tcW w:w="1741" w:type="dxa"/>
            <w:vAlign w:val="center"/>
          </w:tcPr>
          <w:p>
            <w:pPr>
              <w:spacing w:line="400" w:lineRule="exact"/>
              <w:ind w:firstLine="480" w:firstLineChars="200"/>
              <w:jc w:val="center"/>
            </w:pPr>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0"/>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vAlign w:val="center"/>
          </w:tcPr>
          <w:p>
            <w:pPr>
              <w:pStyle w:val="30"/>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pPr>
              <w:pStyle w:val="30"/>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pPr>
              <w:spacing w:line="400" w:lineRule="exact"/>
              <w:ind w:firstLine="480" w:firstLineChars="200"/>
              <w:jc w:val="center"/>
            </w:pPr>
          </w:p>
        </w:tc>
        <w:tc>
          <w:tcPr>
            <w:tcW w:w="1741" w:type="dxa"/>
          </w:tcPr>
          <w:p>
            <w:pPr>
              <w:spacing w:line="4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0"/>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vAlign w:val="center"/>
          </w:tcPr>
          <w:p>
            <w:pPr>
              <w:pStyle w:val="30"/>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pPr>
              <w:pStyle w:val="30"/>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pPr>
              <w:spacing w:line="400" w:lineRule="exact"/>
              <w:ind w:firstLine="480" w:firstLineChars="200"/>
              <w:jc w:val="center"/>
            </w:pPr>
          </w:p>
        </w:tc>
        <w:tc>
          <w:tcPr>
            <w:tcW w:w="1741" w:type="dxa"/>
          </w:tcPr>
          <w:p>
            <w:pPr>
              <w:spacing w:line="4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0"/>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vAlign w:val="center"/>
          </w:tcPr>
          <w:p>
            <w:pPr>
              <w:pStyle w:val="30"/>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pPr>
              <w:pStyle w:val="30"/>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pPr>
              <w:spacing w:line="400" w:lineRule="exact"/>
              <w:ind w:firstLine="480" w:firstLineChars="200"/>
              <w:jc w:val="center"/>
            </w:pPr>
          </w:p>
        </w:tc>
        <w:tc>
          <w:tcPr>
            <w:tcW w:w="1741" w:type="dxa"/>
          </w:tcPr>
          <w:p>
            <w:pPr>
              <w:spacing w:line="4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0"/>
              <w:adjustRightInd w:val="0"/>
              <w:snapToGrid w:val="0"/>
              <w:spacing w:line="400" w:lineRule="exact"/>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3649" w:type="dxa"/>
            <w:vAlign w:val="center"/>
          </w:tcPr>
          <w:p>
            <w:pPr>
              <w:pStyle w:val="30"/>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pPr>
              <w:pStyle w:val="30"/>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pPr>
              <w:spacing w:line="400" w:lineRule="exact"/>
              <w:ind w:firstLine="480" w:firstLineChars="200"/>
              <w:jc w:val="center"/>
            </w:pPr>
          </w:p>
        </w:tc>
        <w:tc>
          <w:tcPr>
            <w:tcW w:w="1741" w:type="dxa"/>
          </w:tcPr>
          <w:p>
            <w:pPr>
              <w:spacing w:line="4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050" w:type="dxa"/>
            <w:vAlign w:val="center"/>
          </w:tcPr>
          <w:p>
            <w:pPr>
              <w:spacing w:line="400" w:lineRule="exact"/>
            </w:pPr>
            <w:r>
              <w:t>合计</w:t>
            </w:r>
          </w:p>
        </w:tc>
        <w:tc>
          <w:tcPr>
            <w:tcW w:w="8098" w:type="dxa"/>
            <w:gridSpan w:val="4"/>
            <w:vAlign w:val="center"/>
          </w:tcPr>
          <w:p>
            <w:pPr>
              <w:spacing w:line="400" w:lineRule="exact"/>
              <w:ind w:firstLine="480" w:firstLineChars="200"/>
              <w:rPr>
                <w:u w:val="single"/>
              </w:rPr>
            </w:pPr>
            <w:r>
              <w:t>￥：</w:t>
            </w:r>
          </w:p>
          <w:p>
            <w:pPr>
              <w:spacing w:line="400" w:lineRule="exact"/>
              <w:ind w:firstLine="480" w:firstLineChars="200"/>
            </w:pPr>
            <w:r>
              <w:t>大写：</w:t>
            </w:r>
          </w:p>
        </w:tc>
      </w:tr>
    </w:tbl>
    <w:p>
      <w:pPr>
        <w:snapToGrid w:val="0"/>
        <w:spacing w:line="400" w:lineRule="exact"/>
        <w:ind w:firstLine="482" w:firstLineChars="200"/>
        <w:rPr>
          <w:b/>
        </w:rPr>
      </w:pPr>
      <w:r>
        <w:rPr>
          <w:b/>
        </w:rPr>
        <w:t>三、供货周期：     。</w:t>
      </w:r>
    </w:p>
    <w:p>
      <w:pPr>
        <w:snapToGrid w:val="0"/>
        <w:spacing w:line="400" w:lineRule="exact"/>
        <w:ind w:firstLine="482" w:firstLineChars="200"/>
        <w:rPr>
          <w:b/>
        </w:rPr>
      </w:pPr>
      <w:r>
        <w:rPr>
          <w:b/>
        </w:rPr>
        <w:t>四、技术资料</w:t>
      </w:r>
    </w:p>
    <w:p>
      <w:pPr>
        <w:snapToGrid w:val="0"/>
        <w:spacing w:line="400" w:lineRule="exact"/>
        <w:ind w:firstLine="480" w:firstLineChars="200"/>
      </w:pPr>
      <w:r>
        <w:t>1.供方应按招标文件规定的时间向需方提供使用货物的有关技术资料。</w:t>
      </w:r>
    </w:p>
    <w:p>
      <w:pPr>
        <w:snapToGrid w:val="0"/>
        <w:spacing w:line="400" w:lineRule="exact"/>
        <w:ind w:firstLine="480" w:firstLineChars="200"/>
      </w:pPr>
      <w:r>
        <w:t>2.没有需方事先书面同意，供方不得将由需方提供的有关合同或任何合同条文、规格、计划、图纸、样品或资料提供给与履行本合同无关的任何其他人。即使向履行本合同有关的人员（项目经办人）提供，也应注意保密并限于履行合同的必需范围。</w:t>
      </w:r>
    </w:p>
    <w:p>
      <w:pPr>
        <w:snapToGrid w:val="0"/>
        <w:spacing w:line="400" w:lineRule="exact"/>
        <w:ind w:firstLine="590" w:firstLineChars="245"/>
        <w:rPr>
          <w:b/>
        </w:rPr>
      </w:pPr>
      <w:r>
        <w:rPr>
          <w:b/>
        </w:rPr>
        <w:t>五、知识产权</w:t>
      </w:r>
    </w:p>
    <w:p>
      <w:pPr>
        <w:snapToGrid w:val="0"/>
        <w:spacing w:line="400" w:lineRule="exact"/>
        <w:ind w:firstLine="480" w:firstLineChars="200"/>
      </w:pPr>
      <w:r>
        <w:t>供方应保证所提供的货物或其任何一部分均不会侵犯任何第三方的知识产权。</w:t>
      </w:r>
    </w:p>
    <w:p>
      <w:pPr>
        <w:snapToGrid w:val="0"/>
        <w:spacing w:line="400" w:lineRule="exact"/>
        <w:ind w:firstLine="472" w:firstLineChars="196"/>
        <w:rPr>
          <w:u w:val="single"/>
        </w:rPr>
      </w:pPr>
      <w:r>
        <w:rPr>
          <w:b/>
        </w:rPr>
        <w:t>六、产权担保</w:t>
      </w:r>
    </w:p>
    <w:p>
      <w:pPr>
        <w:snapToGrid w:val="0"/>
        <w:spacing w:line="400" w:lineRule="exact"/>
        <w:ind w:firstLine="480" w:firstLineChars="200"/>
      </w:pPr>
      <w:r>
        <w:t>供方保证所交付的货物的所有权完全属于供方且无任何抵押、查封等产权瑕疵。</w:t>
      </w:r>
    </w:p>
    <w:p>
      <w:pPr>
        <w:snapToGrid w:val="0"/>
        <w:spacing w:line="400" w:lineRule="exact"/>
        <w:ind w:firstLine="472" w:firstLineChars="196"/>
      </w:pPr>
      <w:r>
        <w:rPr>
          <w:b/>
        </w:rPr>
        <w:t>七、履约保证金：</w:t>
      </w:r>
      <w:r>
        <w:t>无</w:t>
      </w:r>
    </w:p>
    <w:p>
      <w:pPr>
        <w:snapToGrid w:val="0"/>
        <w:spacing w:line="400" w:lineRule="exact"/>
        <w:ind w:firstLine="480"/>
        <w:rPr>
          <w:b/>
        </w:rPr>
      </w:pPr>
      <w:r>
        <w:rPr>
          <w:b/>
        </w:rPr>
        <w:t>八、转包或分包</w:t>
      </w:r>
    </w:p>
    <w:p>
      <w:pPr>
        <w:widowControl w:val="0"/>
        <w:spacing w:after="0" w:line="264" w:lineRule="auto"/>
        <w:ind w:firstLine="480"/>
        <w:rPr>
          <w:rFonts w:eastAsiaTheme="minorEastAsia"/>
        </w:rPr>
      </w:pPr>
      <w:r>
        <w:rPr>
          <w:rFonts w:eastAsiaTheme="minorEastAsia"/>
        </w:rPr>
        <w:t>1、本合同范围的货物，应由供方直接供应，不得转让他人供应；</w:t>
      </w:r>
    </w:p>
    <w:p>
      <w:pPr>
        <w:widowControl w:val="0"/>
        <w:spacing w:after="0" w:line="264" w:lineRule="auto"/>
        <w:ind w:firstLine="480"/>
        <w:rPr>
          <w:rFonts w:eastAsiaTheme="minorEastAsia"/>
        </w:rPr>
      </w:pPr>
      <w:r>
        <w:rPr>
          <w:rFonts w:eastAsiaTheme="minorEastAsia"/>
        </w:rPr>
        <w:t>2、供方不得将本合同范围的货物全部或部分分包给他人供应；</w:t>
      </w:r>
    </w:p>
    <w:p>
      <w:pPr>
        <w:snapToGrid w:val="0"/>
        <w:spacing w:line="400" w:lineRule="exact"/>
        <w:ind w:firstLine="480"/>
        <w:rPr>
          <w:rFonts w:hint="eastAsia" w:eastAsiaTheme="minorEastAsia"/>
          <w:lang w:eastAsia="zh-CN"/>
        </w:rPr>
      </w:pPr>
      <w:r>
        <w:rPr>
          <w:rFonts w:eastAsiaTheme="minorEastAsia"/>
        </w:rPr>
        <w:t>3、如有转让和分包行为，需方中止合同，并追究供方的违约责任</w:t>
      </w:r>
      <w:r>
        <w:rPr>
          <w:rFonts w:hint="eastAsia" w:eastAsiaTheme="minorEastAsia"/>
          <w:lang w:eastAsia="zh-CN"/>
        </w:rPr>
        <w:t>。</w:t>
      </w:r>
    </w:p>
    <w:p>
      <w:pPr>
        <w:snapToGrid w:val="0"/>
        <w:spacing w:line="400" w:lineRule="exact"/>
        <w:ind w:firstLine="480"/>
      </w:pPr>
      <w:r>
        <w:rPr>
          <w:b/>
        </w:rPr>
        <w:t>九、质保期</w:t>
      </w:r>
    </w:p>
    <w:p>
      <w:pPr>
        <w:spacing w:line="400" w:lineRule="exact"/>
        <w:ind w:firstLine="480"/>
      </w:pPr>
      <w:r>
        <w:t>供方必须对合同中规定的货物提供至少</w:t>
      </w:r>
      <w:r>
        <w:rPr>
          <w:u w:val="single"/>
        </w:rPr>
        <w:t>_  _</w:t>
      </w:r>
      <w:r>
        <w:t>年的质保期，时间从项目验收合格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质保期外的服务，不收取任何上门费。</w:t>
      </w:r>
    </w:p>
    <w:p>
      <w:pPr>
        <w:snapToGrid w:val="0"/>
        <w:spacing w:line="400" w:lineRule="exact"/>
        <w:ind w:firstLine="480"/>
        <w:rPr>
          <w:b/>
        </w:rPr>
      </w:pPr>
      <w:r>
        <w:rPr>
          <w:b/>
        </w:rPr>
        <w:t>十、具体交货时间、交货方式及交货地点</w:t>
      </w:r>
    </w:p>
    <w:p>
      <w:pPr>
        <w:spacing w:line="400" w:lineRule="exact"/>
        <w:ind w:firstLine="480"/>
        <w:rPr>
          <w:b/>
          <w:u w:val="single"/>
        </w:rPr>
      </w:pPr>
      <w:r>
        <w:t>1.交货时间：</w:t>
      </w:r>
      <w:r>
        <w:rPr>
          <w:u w:val="single"/>
        </w:rPr>
        <w:t xml:space="preserve">_     ___                  </w:t>
      </w:r>
    </w:p>
    <w:p>
      <w:pPr>
        <w:spacing w:line="400" w:lineRule="exact"/>
        <w:ind w:firstLine="480"/>
        <w:rPr>
          <w:u w:val="single"/>
        </w:rPr>
      </w:pPr>
      <w:r>
        <w:t>2.交货地点：</w:t>
      </w:r>
      <w:r>
        <w:rPr>
          <w:u w:val="single"/>
        </w:rPr>
        <w:t xml:space="preserve">_     ___                  </w:t>
      </w:r>
    </w:p>
    <w:p>
      <w:pPr>
        <w:snapToGrid w:val="0"/>
        <w:spacing w:line="400" w:lineRule="exact"/>
        <w:ind w:firstLine="480"/>
        <w:rPr>
          <w:b/>
        </w:rPr>
      </w:pPr>
      <w:r>
        <w:rPr>
          <w:b/>
        </w:rPr>
        <w:t>十一、货款支付</w:t>
      </w:r>
      <w:r>
        <w:t>：</w:t>
      </w:r>
      <w:r>
        <w:rPr>
          <w:u w:val="single"/>
        </w:rPr>
        <w:t xml:space="preserve">_     ___                  </w:t>
      </w:r>
    </w:p>
    <w:p>
      <w:pPr>
        <w:snapToGrid w:val="0"/>
        <w:spacing w:line="400" w:lineRule="exact"/>
        <w:ind w:firstLine="480"/>
        <w:rPr>
          <w:b/>
        </w:rPr>
      </w:pPr>
      <w:r>
        <w:rPr>
          <w:b/>
        </w:rPr>
        <w:t>十二、税费</w:t>
      </w:r>
    </w:p>
    <w:p>
      <w:pPr>
        <w:snapToGrid w:val="0"/>
        <w:spacing w:line="400" w:lineRule="exact"/>
        <w:ind w:firstLine="480" w:firstLineChars="200"/>
      </w:pPr>
      <w:r>
        <w:t>本合同执行中相关的一切税费均由供方负担。</w:t>
      </w:r>
    </w:p>
    <w:p>
      <w:pPr>
        <w:snapToGrid w:val="0"/>
        <w:spacing w:line="400" w:lineRule="exact"/>
        <w:ind w:firstLine="118" w:firstLineChars="49"/>
      </w:pPr>
      <w:r>
        <w:rPr>
          <w:b/>
        </w:rPr>
        <w:t>十三、质量保证及售后服务</w:t>
      </w:r>
    </w:p>
    <w:p>
      <w:pPr>
        <w:snapToGrid w:val="0"/>
        <w:spacing w:line="400" w:lineRule="exact"/>
        <w:ind w:firstLine="480"/>
      </w:pPr>
      <w:r>
        <w:t>1.供方应按招标文件规定的货物性能、技术要求、质量标准向需方提供未经使用的全新产品。</w:t>
      </w:r>
    </w:p>
    <w:p>
      <w:pPr>
        <w:snapToGrid w:val="0"/>
        <w:spacing w:line="400" w:lineRule="exact"/>
        <w:ind w:firstLine="480"/>
      </w:pPr>
      <w:r>
        <w:t>2.供方提供的货物在质保期内因货物本身的质量问题发生故障，供方应负责免费更换。对达不到技术要求者，根据实际情况，经双方协商，可按以下办法处理：</w:t>
      </w:r>
    </w:p>
    <w:p>
      <w:pPr>
        <w:snapToGrid w:val="0"/>
        <w:spacing w:line="400" w:lineRule="exact"/>
        <w:ind w:firstLine="660" w:firstLineChars="275"/>
      </w:pPr>
      <w:r>
        <w:t>①更换：由供方承担所发生的全部费用。</w:t>
      </w:r>
    </w:p>
    <w:p>
      <w:pPr>
        <w:snapToGrid w:val="0"/>
        <w:spacing w:line="400" w:lineRule="exact"/>
        <w:ind w:firstLine="660" w:firstLineChars="275"/>
      </w:pPr>
      <w:r>
        <w:t>②贬值处理：由供需双方合议定价。</w:t>
      </w:r>
    </w:p>
    <w:p>
      <w:pPr>
        <w:snapToGrid w:val="0"/>
        <w:spacing w:line="400" w:lineRule="exact"/>
        <w:ind w:firstLine="660" w:firstLineChars="275"/>
      </w:pPr>
      <w:r>
        <w:t>③退货处理：供方应退还支付的货款，同时应承担该货物的直接费用（运输、保险、检验、货款利息及银行手续费等）。</w:t>
      </w:r>
    </w:p>
    <w:p>
      <w:pPr>
        <w:snapToGrid w:val="0"/>
        <w:spacing w:line="400" w:lineRule="exact"/>
        <w:ind w:firstLine="480" w:firstLineChars="200"/>
      </w:pPr>
      <w:r>
        <w:t>3.如在使用过程中发生质量问题，供方在接到需方通知后在___小时内到达需方现场。</w:t>
      </w:r>
    </w:p>
    <w:p>
      <w:pPr>
        <w:snapToGrid w:val="0"/>
        <w:spacing w:line="400" w:lineRule="exact"/>
        <w:ind w:firstLine="480" w:firstLineChars="200"/>
      </w:pPr>
      <w:r>
        <w:t>4.在质保期内，供方应对货物出现的质量及安全问题负责处理解决并承担一切费用。</w:t>
      </w:r>
    </w:p>
    <w:p>
      <w:pPr>
        <w:snapToGrid w:val="0"/>
        <w:spacing w:line="400" w:lineRule="exact"/>
        <w:ind w:firstLine="480" w:firstLineChars="200"/>
      </w:pPr>
      <w:r>
        <w:t>5. 按照需方要求，提供每半年一次的各校设备巡查。同时，供方须全力配合需方相关服务的要求，积极做好项目实施及后续的本地服务各项工作。需方将定期不定期评估供方的项目服务工作，对于相关环节出现的问题，需方督促并要求供方进行整改，并保留项目进一步的其他方式处理的权利，确保项目建设及后续服务等方面工作的有序、高质量地实施。</w:t>
      </w:r>
    </w:p>
    <w:p>
      <w:pPr>
        <w:snapToGrid w:val="0"/>
        <w:spacing w:line="400" w:lineRule="exact"/>
        <w:ind w:firstLine="480"/>
        <w:rPr>
          <w:b/>
        </w:rPr>
      </w:pPr>
      <w:r>
        <w:rPr>
          <w:b/>
        </w:rPr>
        <w:t>十四、违约责任</w:t>
      </w:r>
    </w:p>
    <w:p>
      <w:pPr>
        <w:spacing w:line="400" w:lineRule="exact"/>
        <w:ind w:firstLine="480"/>
      </w:pPr>
      <w:r>
        <w:t>1.供方逾期交付货物的，供方应按逾期交货总额每日千分之__</w:t>
      </w:r>
      <w:r>
        <w:rPr>
          <w:rFonts w:hint="eastAsia"/>
          <w:u w:val="single"/>
          <w:lang w:val="en-US" w:eastAsia="zh-CN"/>
        </w:rPr>
        <w:t xml:space="preserve"> </w:t>
      </w:r>
      <w:r>
        <w:t>___向需方支付违约金，逾期超过约定日期</w:t>
      </w:r>
      <w:r>
        <w:rPr>
          <w:u w:val="single"/>
        </w:rPr>
        <w:t xml:space="preserve">  </w:t>
      </w:r>
      <w:r>
        <w:rPr>
          <w:rFonts w:hint="eastAsia"/>
          <w:u w:val="single"/>
          <w:lang w:val="en-US" w:eastAsia="zh-CN"/>
        </w:rPr>
        <w:t xml:space="preserve">  </w:t>
      </w:r>
      <w:r>
        <w:rPr>
          <w:u w:val="single"/>
        </w:rPr>
        <w:t xml:space="preserve"> </w:t>
      </w:r>
      <w:r>
        <w:t>个工作日不能交货的，需方可解除本合同。供方因逾期交货或因其他违约行为导致需方解除合同的，供方应返还已支付费用同时向需方支付合同总值的__</w:t>
      </w:r>
      <w:r>
        <w:rPr>
          <w:u w:val="single"/>
        </w:rPr>
        <w:t>百分之</w:t>
      </w:r>
      <w:r>
        <w:rPr>
          <w:rFonts w:hint="eastAsia"/>
          <w:u w:val="single"/>
          <w:lang w:val="en-US" w:eastAsia="zh-CN"/>
        </w:rPr>
        <w:t xml:space="preserve"> </w:t>
      </w:r>
      <w:r>
        <w:t>______违约金。</w:t>
      </w:r>
    </w:p>
    <w:p>
      <w:pPr>
        <w:spacing w:line="400" w:lineRule="exact"/>
        <w:ind w:firstLine="480"/>
      </w:pPr>
      <w:r>
        <w:t>2.供方所交的货物品种、型号、规格、技术参数、质量不符合合同规定及招标文件规定标准的，需方有权拒收该货物，供方未按需方要求更换货物但逾期交货的，按供方逾期交货处理。供方</w:t>
      </w:r>
      <w:r>
        <w:rPr>
          <w:bCs/>
        </w:rPr>
        <w:t>未按需方要求及时</w:t>
      </w:r>
      <w:r>
        <w:t>更换</w:t>
      </w:r>
      <w:r>
        <w:rPr>
          <w:bCs/>
        </w:rPr>
        <w:t>符合本合同约定及需方要求的</w:t>
      </w:r>
      <w:r>
        <w:t>货物的，需方可单方面解除合同，</w:t>
      </w:r>
      <w:r>
        <w:rPr>
          <w:bCs/>
        </w:rPr>
        <w:t>供方应返还需方已支付费用同时还应承担合同金额百分之</w:t>
      </w:r>
      <w:r>
        <w:rPr>
          <w:u w:val="single"/>
        </w:rPr>
        <w:t xml:space="preserve">  </w:t>
      </w:r>
      <w:r>
        <w:rPr>
          <w:rFonts w:hint="eastAsia"/>
          <w:u w:val="single"/>
          <w:lang w:val="en-US" w:eastAsia="zh-CN"/>
        </w:rPr>
        <w:t xml:space="preserve">  </w:t>
      </w:r>
      <w:r>
        <w:rPr>
          <w:bCs/>
        </w:rPr>
        <w:t>的违约金。</w:t>
      </w:r>
      <w:r>
        <w:t>。</w:t>
      </w:r>
    </w:p>
    <w:p>
      <w:pPr>
        <w:spacing w:line="400" w:lineRule="exact"/>
        <w:ind w:firstLine="480"/>
      </w:pPr>
      <w:r>
        <w:t>3.供方未按规定提供完整的技术资料的，需方有权处以货款总额千分之_</w:t>
      </w:r>
      <w:r>
        <w:rPr>
          <w:rFonts w:hint="eastAsia"/>
          <w:u w:val="single"/>
          <w:lang w:val="en-US" w:eastAsia="zh-CN"/>
        </w:rPr>
        <w:t xml:space="preserve"> </w:t>
      </w:r>
      <w:r>
        <w:t>__的违约金。</w:t>
      </w:r>
    </w:p>
    <w:p>
      <w:pPr>
        <w:spacing w:line="400" w:lineRule="exact"/>
        <w:ind w:firstLine="480"/>
      </w:pPr>
      <w:r>
        <w:t>4.因产品的质量问题造成需方受到损失的，应按实际受到的损失赔偿。如拒绝赔偿的，需方可单方面解除合同。</w:t>
      </w:r>
    </w:p>
    <w:p>
      <w:pPr>
        <w:spacing w:line="400" w:lineRule="exact"/>
        <w:ind w:firstLine="480"/>
      </w:pPr>
      <w:r>
        <w:t>5.如有转让和分包行为，需方有权解除合同，并可进一步追究供方的违约责任，处以货款总额千分之__</w:t>
      </w:r>
      <w:r>
        <w:rPr>
          <w:rFonts w:hint="eastAsia"/>
          <w:u w:val="single"/>
          <w:lang w:val="en-US" w:eastAsia="zh-CN"/>
        </w:rPr>
        <w:t xml:space="preserve"> </w:t>
      </w:r>
      <w:r>
        <w:t>__违约金。</w:t>
      </w:r>
    </w:p>
    <w:p>
      <w:pPr>
        <w:spacing w:line="400" w:lineRule="exact"/>
        <w:ind w:firstLine="480"/>
      </w:pPr>
      <w:r>
        <w:t>6.当供方违约行为给需方造成损失时，若违约金不足以弥补全部损失，违约方还应当赔偿对方因此所受全部损失。</w:t>
      </w:r>
    </w:p>
    <w:p>
      <w:pPr>
        <w:spacing w:line="400" w:lineRule="exact"/>
        <w:ind w:firstLine="480"/>
      </w:pPr>
      <w:r>
        <w:t>7.对于供方需要支付的违约金和赔偿金额，如本合同规定有交纳履约保证金的，则由需方从供方交纳的履约保证金中扣除，履约保证金金额不够负担的，则由需方从待付供方的货款中扣除，还不够的，则需方还可向供方继续索赔；如本合同未规定交纳履约保证金的，则由需方从待付供方的货款中扣除，如不够，则需方还可向供方继续索赔。</w:t>
      </w:r>
    </w:p>
    <w:p>
      <w:pPr>
        <w:spacing w:line="400" w:lineRule="exact"/>
        <w:ind w:firstLine="480"/>
      </w:pPr>
      <w:r>
        <w:t>8.需方无正当理由拒收货物，拒付货款的，需方向供方偿付货物款总值的百分之_</w:t>
      </w:r>
      <w:r>
        <w:rPr>
          <w:rFonts w:hint="eastAsia"/>
          <w:u w:val="single"/>
          <w:lang w:val="en-US" w:eastAsia="zh-CN"/>
        </w:rPr>
        <w:t xml:space="preserve">  </w:t>
      </w:r>
      <w:r>
        <w:t>___违约金。</w:t>
      </w:r>
    </w:p>
    <w:p>
      <w:pPr>
        <w:spacing w:line="400" w:lineRule="exact"/>
        <w:ind w:firstLine="480"/>
      </w:pPr>
      <w:r>
        <w:t>9.需方逾期支付货款的，需方向供方每日偿付欠款总额千分之_</w:t>
      </w:r>
      <w:r>
        <w:rPr>
          <w:rFonts w:hint="eastAsia"/>
          <w:u w:val="single"/>
          <w:lang w:val="en-US" w:eastAsia="zh-CN"/>
        </w:rPr>
        <w:t xml:space="preserve"> </w:t>
      </w:r>
      <w:r>
        <w:t>__的违约金。</w:t>
      </w:r>
    </w:p>
    <w:p>
      <w:pPr>
        <w:snapToGrid w:val="0"/>
        <w:spacing w:line="400" w:lineRule="exact"/>
        <w:ind w:firstLine="480"/>
        <w:rPr>
          <w:b/>
        </w:rPr>
      </w:pPr>
      <w:r>
        <w:rPr>
          <w:b/>
        </w:rPr>
        <w:t>十五、不可抗力事件处理</w:t>
      </w:r>
    </w:p>
    <w:p>
      <w:pPr>
        <w:snapToGrid w:val="0"/>
        <w:spacing w:line="400" w:lineRule="exact"/>
        <w:ind w:firstLine="480"/>
      </w:pPr>
      <w:r>
        <w:t>1.在合同有效期内，任何一方因不可抗力事件导致不能履行合同，则合同履行期可延长，其延长期与不可抗力影响期相同。</w:t>
      </w:r>
    </w:p>
    <w:p>
      <w:pPr>
        <w:snapToGrid w:val="0"/>
        <w:spacing w:line="400" w:lineRule="exact"/>
        <w:ind w:firstLine="480"/>
      </w:pPr>
      <w:r>
        <w:t>2.不可抗力事件发生后，应立即通知对方，并寄送有关权威机构出具的证明。</w:t>
      </w:r>
    </w:p>
    <w:p>
      <w:pPr>
        <w:snapToGrid w:val="0"/>
        <w:spacing w:line="400" w:lineRule="exact"/>
        <w:ind w:firstLine="480"/>
      </w:pPr>
      <w:r>
        <w:t>3.不可抗力事件延续_120_天以上，双方应通过友好协商，确定是否继续履行合同。</w:t>
      </w:r>
    </w:p>
    <w:p>
      <w:pPr>
        <w:snapToGrid w:val="0"/>
        <w:spacing w:line="400" w:lineRule="exact"/>
        <w:ind w:firstLine="480"/>
      </w:pPr>
      <w:r>
        <w:rPr>
          <w:b/>
        </w:rPr>
        <w:t>十六、出现下列情况时本合同自行终止</w:t>
      </w:r>
      <w:r>
        <w:t>：</w:t>
      </w:r>
    </w:p>
    <w:p>
      <w:pPr>
        <w:snapToGrid w:val="0"/>
        <w:spacing w:line="400" w:lineRule="exact"/>
        <w:ind w:firstLine="480"/>
      </w:pPr>
      <w:r>
        <w:t>1.本合同正常履行完毕；</w:t>
      </w:r>
    </w:p>
    <w:p>
      <w:pPr>
        <w:snapToGrid w:val="0"/>
        <w:spacing w:line="400" w:lineRule="exact"/>
        <w:ind w:firstLine="480"/>
      </w:pPr>
      <w:r>
        <w:t>2.不可抗力导致本合同无法履行或履行不必要时；</w:t>
      </w:r>
    </w:p>
    <w:p>
      <w:pPr>
        <w:snapToGrid w:val="0"/>
        <w:spacing w:line="400" w:lineRule="exact"/>
        <w:ind w:firstLine="480"/>
      </w:pPr>
      <w:r>
        <w:t>3.一方不履行合同条款，造成另一方无法执行合同协议，协商又不能求得解决，责任方赔偿损失后，合同终止。</w:t>
      </w:r>
    </w:p>
    <w:p>
      <w:pPr>
        <w:snapToGrid w:val="0"/>
        <w:spacing w:line="400" w:lineRule="exact"/>
        <w:ind w:firstLine="480"/>
      </w:pPr>
      <w:r>
        <w:t>4.除本合同另有约定外，发生任何以下一种情况，需方有权解除本合同，对于由此给需方造成的损失，供方应负赔偿责任：</w:t>
      </w:r>
    </w:p>
    <w:p>
      <w:pPr>
        <w:snapToGrid w:val="0"/>
        <w:spacing w:line="400" w:lineRule="exact"/>
        <w:ind w:firstLine="480"/>
      </w:pPr>
      <w:r>
        <w:t>①第十四款中1、2、4、5所规定的情形。</w:t>
      </w:r>
    </w:p>
    <w:p>
      <w:pPr>
        <w:snapToGrid w:val="0"/>
        <w:spacing w:line="400" w:lineRule="exact"/>
        <w:ind w:firstLine="480"/>
        <w:rPr>
          <w:b/>
        </w:rPr>
      </w:pPr>
      <w:r>
        <w:rPr>
          <w:b/>
        </w:rPr>
        <w:t>十七、诉讼</w:t>
      </w:r>
    </w:p>
    <w:p>
      <w:pPr>
        <w:snapToGrid w:val="0"/>
        <w:spacing w:line="400" w:lineRule="exact"/>
        <w:ind w:firstLine="480"/>
      </w:pPr>
      <w:r>
        <w:t>本合同项目所在地为义乌市，本合同发生争议产生的诉讼，应向项目所在地有管辖权的法院提起诉讼。</w:t>
      </w:r>
    </w:p>
    <w:p>
      <w:pPr>
        <w:snapToGrid w:val="0"/>
        <w:spacing w:line="400" w:lineRule="exact"/>
        <w:ind w:firstLine="480"/>
        <w:rPr>
          <w:b/>
        </w:rPr>
      </w:pPr>
      <w:r>
        <w:rPr>
          <w:b/>
        </w:rPr>
        <w:t>十八、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line="400" w:lineRule="exact"/>
        <w:ind w:firstLine="480"/>
        <w:rPr>
          <w:b/>
        </w:rPr>
      </w:pPr>
      <w:r>
        <w:rPr>
          <w:b/>
        </w:rPr>
        <w:t>十九、合同生效及其它</w:t>
      </w:r>
    </w:p>
    <w:p>
      <w:pPr>
        <w:snapToGrid w:val="0"/>
        <w:spacing w:line="400" w:lineRule="exact"/>
        <w:ind w:firstLine="480"/>
      </w:pPr>
      <w:r>
        <w:t>1.合同经双方法定代表人(或负责人)或授权代表签字并加盖单位公章后生效。</w:t>
      </w:r>
    </w:p>
    <w:p>
      <w:pPr>
        <w:snapToGrid w:val="0"/>
        <w:spacing w:line="400" w:lineRule="exact"/>
        <w:ind w:firstLine="480"/>
      </w:pPr>
      <w:r>
        <w:t>2.本合同一式八份，供需双方各执三份，义乌市财政局和义乌市政府采购中心各执一份，均具同等法律效力。</w:t>
      </w:r>
    </w:p>
    <w:p>
      <w:pPr>
        <w:snapToGrid w:val="0"/>
        <w:spacing w:line="400" w:lineRule="exact"/>
        <w:ind w:firstLine="480"/>
      </w:pPr>
      <w:r>
        <w:t>3.本合同未尽事宜，遵照《民法典》有关条文执行。</w:t>
      </w:r>
    </w:p>
    <w:p>
      <w:pPr>
        <w:spacing w:line="400" w:lineRule="exact"/>
        <w:ind w:firstLine="480" w:firstLineChars="200"/>
        <w:rPr>
          <w:color w:val="000000"/>
        </w:rPr>
      </w:pPr>
    </w:p>
    <w:p>
      <w:pPr>
        <w:spacing w:line="400" w:lineRule="exact"/>
        <w:ind w:firstLine="480" w:firstLineChars="200"/>
        <w:rPr>
          <w:color w:val="000000"/>
        </w:rPr>
      </w:pPr>
      <w:r>
        <w:rPr>
          <w:color w:val="000000"/>
        </w:rPr>
        <w:t>需    方：________________________  供    方：__________________</w:t>
      </w:r>
      <w:r>
        <w:rPr>
          <w:color w:val="000000"/>
          <w:u w:val="single"/>
        </w:rPr>
        <w:t>__</w:t>
      </w:r>
      <w:r>
        <w:rPr>
          <w:color w:val="000000"/>
        </w:rPr>
        <w:t>____</w:t>
      </w:r>
    </w:p>
    <w:p>
      <w:pPr>
        <w:spacing w:line="400" w:lineRule="exact"/>
        <w:ind w:firstLine="480" w:firstLineChars="200"/>
        <w:rPr>
          <w:color w:val="000000"/>
        </w:rPr>
      </w:pPr>
      <w:r>
        <w:rPr>
          <w:color w:val="000000"/>
        </w:rPr>
        <w:t>地    址：________________________  地    址：_____________________</w:t>
      </w:r>
      <w:r>
        <w:rPr>
          <w:color w:val="000000"/>
          <w:u w:val="single"/>
        </w:rPr>
        <w:t>__</w:t>
      </w:r>
      <w:r>
        <w:rPr>
          <w:color w:val="000000"/>
        </w:rPr>
        <w:t>_</w:t>
      </w:r>
    </w:p>
    <w:p>
      <w:pPr>
        <w:spacing w:line="400" w:lineRule="exact"/>
        <w:ind w:firstLine="480" w:firstLineChars="200"/>
        <w:rPr>
          <w:color w:val="000000"/>
        </w:rPr>
      </w:pPr>
      <w:r>
        <w:rPr>
          <w:color w:val="000000"/>
        </w:rPr>
        <w:t>法定代表人(或负责人)：____________ 法定代表人(或负责人)______________</w:t>
      </w:r>
      <w:r>
        <w:rPr>
          <w:color w:val="000000"/>
          <w:u w:val="single"/>
        </w:rPr>
        <w:t xml:space="preserve"> </w:t>
      </w:r>
    </w:p>
    <w:p>
      <w:pPr>
        <w:spacing w:line="400" w:lineRule="exact"/>
        <w:ind w:firstLine="480" w:firstLineChars="200"/>
        <w:rPr>
          <w:color w:val="000000"/>
        </w:rPr>
      </w:pPr>
      <w:r>
        <w:rPr>
          <w:color w:val="000000"/>
        </w:rPr>
        <w:t>授权代表：_____________________</w:t>
      </w:r>
      <w:r>
        <w:rPr>
          <w:color w:val="000000"/>
          <w:u w:val="single"/>
        </w:rPr>
        <w:t xml:space="preserve">  _</w:t>
      </w:r>
      <w:r>
        <w:rPr>
          <w:color w:val="000000"/>
        </w:rPr>
        <w:t xml:space="preserve">  授权代表：____________________</w:t>
      </w:r>
      <w:r>
        <w:rPr>
          <w:color w:val="000000"/>
          <w:u w:val="single"/>
        </w:rPr>
        <w:t xml:space="preserve">    </w:t>
      </w:r>
    </w:p>
    <w:p>
      <w:pPr>
        <w:spacing w:line="400" w:lineRule="exact"/>
        <w:ind w:firstLine="480" w:firstLineChars="200"/>
        <w:rPr>
          <w:color w:val="000000"/>
        </w:rPr>
      </w:pPr>
      <w:r>
        <w:rPr>
          <w:color w:val="000000"/>
        </w:rPr>
        <w:t>电    话：________________________  电    话：________________________</w:t>
      </w:r>
    </w:p>
    <w:p>
      <w:pPr>
        <w:spacing w:line="400" w:lineRule="exact"/>
        <w:ind w:firstLine="480" w:firstLineChars="200"/>
        <w:rPr>
          <w:color w:val="000000"/>
        </w:rPr>
      </w:pPr>
      <w:r>
        <w:rPr>
          <w:color w:val="000000"/>
        </w:rPr>
        <w:t>帐户名称：________________________  帐户名称：________________________</w:t>
      </w:r>
    </w:p>
    <w:p>
      <w:pPr>
        <w:spacing w:line="400" w:lineRule="exact"/>
        <w:ind w:firstLine="480" w:firstLineChars="200"/>
        <w:rPr>
          <w:color w:val="000000"/>
        </w:rPr>
      </w:pPr>
      <w:r>
        <w:rPr>
          <w:color w:val="000000"/>
        </w:rPr>
        <w:t>开户银行：________________________  开户银行：________________________</w:t>
      </w:r>
    </w:p>
    <w:p>
      <w:pPr>
        <w:spacing w:line="400" w:lineRule="exact"/>
        <w:ind w:firstLine="480" w:firstLineChars="200"/>
        <w:rPr>
          <w:color w:val="000000"/>
        </w:rPr>
      </w:pPr>
      <w:r>
        <w:rPr>
          <w:color w:val="000000"/>
        </w:rPr>
        <w:t>帐    号：________________________  帐    号：________________________</w:t>
      </w:r>
    </w:p>
    <w:p>
      <w:pPr>
        <w:spacing w:line="400" w:lineRule="exact"/>
        <w:ind w:firstLine="480" w:firstLineChars="200"/>
      </w:pPr>
      <w:r>
        <w:rPr>
          <w:color w:val="000000"/>
        </w:rPr>
        <w:t>签约时间：________________________  签约地点：</w:t>
      </w:r>
      <w:r>
        <w:rPr>
          <w:color w:val="000000"/>
          <w:u w:val="single"/>
        </w:rPr>
        <w:t xml:space="preserve">                        </w:t>
      </w: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38"/>
        <w:jc w:val="center"/>
        <w:rPr>
          <w:rFonts w:ascii="Times New Roman" w:hAnsi="Times New Roman"/>
          <w:color w:val="auto"/>
          <w:sz w:val="36"/>
          <w:szCs w:val="36"/>
        </w:rPr>
      </w:pPr>
    </w:p>
    <w:p>
      <w:pPr>
        <w:pStyle w:val="4"/>
        <w:spacing w:before="0" w:after="0" w:line="400" w:lineRule="atLeast"/>
        <w:jc w:val="center"/>
        <w:rPr>
          <w:sz w:val="36"/>
        </w:rPr>
      </w:pPr>
      <w:bookmarkStart w:id="105" w:name="_Toc620"/>
      <w:bookmarkStart w:id="106" w:name="_Toc1594"/>
      <w:r>
        <w:rPr>
          <w:sz w:val="36"/>
        </w:rPr>
        <w:t>第八章 投标文件部分格式</w:t>
      </w:r>
      <w:bookmarkEnd w:id="97"/>
      <w:bookmarkEnd w:id="98"/>
      <w:bookmarkEnd w:id="99"/>
      <w:bookmarkEnd w:id="100"/>
      <w:bookmarkEnd w:id="101"/>
      <w:bookmarkEnd w:id="102"/>
      <w:bookmarkEnd w:id="105"/>
      <w:bookmarkEnd w:id="106"/>
    </w:p>
    <w:p>
      <w:pPr>
        <w:pStyle w:val="38"/>
        <w:spacing w:line="400" w:lineRule="exact"/>
        <w:rPr>
          <w:rFonts w:ascii="Times New Roman" w:hAnsi="Times New Roman"/>
          <w:b w:val="0"/>
          <w:color w:val="auto"/>
          <w:sz w:val="24"/>
          <w:szCs w:val="24"/>
        </w:rPr>
      </w:pPr>
      <w:r>
        <w:rPr>
          <w:rFonts w:ascii="Times New Roman" w:hAnsi="Times New Roman"/>
          <w:b w:val="0"/>
          <w:color w:val="auto"/>
          <w:sz w:val="24"/>
          <w:szCs w:val="24"/>
        </w:rPr>
        <w:t>一、封面格式</w:t>
      </w:r>
    </w:p>
    <w:p>
      <w:pPr>
        <w:pStyle w:val="38"/>
        <w:spacing w:line="400" w:lineRule="exact"/>
        <w:rPr>
          <w:rFonts w:ascii="Times New Roman" w:hAnsi="Times New Roman"/>
          <w:b w:val="0"/>
          <w:color w:val="auto"/>
          <w:sz w:val="24"/>
          <w:szCs w:val="24"/>
        </w:rPr>
      </w:pPr>
      <w:r>
        <w:rPr>
          <w:rFonts w:ascii="Times New Roman" w:hAnsi="Times New Roman"/>
          <w:b w:val="0"/>
          <w:color w:val="auto"/>
          <w:sz w:val="24"/>
          <w:szCs w:val="24"/>
        </w:rPr>
        <w:t>二、商务技术响应文件部分格式：</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1、义乌市政府采购项目投标承诺书</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2、参投货物说明一览表</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3、项目组成人员表</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4、产品质量保证及售后服务承诺书</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5、规范偏离表</w:t>
      </w:r>
    </w:p>
    <w:p>
      <w:pPr>
        <w:spacing w:line="400" w:lineRule="exact"/>
      </w:pPr>
      <w:r>
        <w:t>三、报价响应文件部分格式：</w:t>
      </w:r>
    </w:p>
    <w:p>
      <w:pPr>
        <w:spacing w:line="400" w:lineRule="exact"/>
        <w:ind w:firstLine="480" w:firstLineChars="200"/>
      </w:pPr>
      <w:r>
        <w:t>6、开标一览表</w:t>
      </w:r>
    </w:p>
    <w:p>
      <w:pPr>
        <w:spacing w:line="400" w:lineRule="exact"/>
        <w:ind w:firstLine="480" w:firstLineChars="200"/>
      </w:pPr>
      <w:r>
        <w:t>7、项目成本报价表</w:t>
      </w:r>
    </w:p>
    <w:p>
      <w:pPr>
        <w:spacing w:line="400" w:lineRule="exact"/>
        <w:ind w:firstLine="480" w:firstLineChars="200"/>
      </w:pPr>
      <w:r>
        <w:t>8、中小企业声明函</w:t>
      </w:r>
    </w:p>
    <w:p>
      <w:pPr>
        <w:spacing w:line="400" w:lineRule="exact"/>
        <w:ind w:firstLine="480" w:firstLineChars="200"/>
      </w:pPr>
      <w:r>
        <w:rPr>
          <w:rFonts w:hint="eastAsia"/>
          <w:lang w:val="en-US" w:eastAsia="zh-CN"/>
        </w:rPr>
        <w:t>9、</w:t>
      </w:r>
      <w:r>
        <w:t>残疾人福利企业声明函</w:t>
      </w:r>
    </w:p>
    <w:p>
      <w:pPr>
        <w:pStyle w:val="56"/>
        <w:spacing w:after="0" w:line="400" w:lineRule="exact"/>
        <w:ind w:left="0" w:leftChars="0" w:firstLine="0" w:firstLineChars="0"/>
      </w:pPr>
    </w:p>
    <w:p>
      <w:pPr>
        <w:rPr>
          <w:szCs w:val="21"/>
        </w:rPr>
      </w:pPr>
    </w:p>
    <w:p>
      <w:pPr>
        <w:jc w:val="center"/>
        <w:rPr>
          <w:szCs w:val="21"/>
          <w:u w:val="single"/>
        </w:rPr>
      </w:pPr>
    </w:p>
    <w:p>
      <w:pPr>
        <w:rPr>
          <w:sz w:val="52"/>
          <w:u w:val="single"/>
        </w:rPr>
      </w:pPr>
      <w:r>
        <w:rPr>
          <w:bCs/>
          <w:szCs w:val="21"/>
        </w:rPr>
        <w:br w:type="page"/>
      </w:r>
      <w:r>
        <w:rPr>
          <w:bCs/>
          <w:sz w:val="28"/>
        </w:rPr>
        <w:t>封面格式</w:t>
      </w:r>
    </w:p>
    <w:p>
      <w:pPr>
        <w:jc w:val="center"/>
        <w:rPr>
          <w:color w:val="000000"/>
          <w:sz w:val="52"/>
        </w:rPr>
      </w:pPr>
    </w:p>
    <w:p>
      <w:pPr>
        <w:jc w:val="center"/>
        <w:rPr>
          <w:color w:val="000000"/>
          <w:sz w:val="52"/>
        </w:rPr>
      </w:pPr>
    </w:p>
    <w:p>
      <w:pPr>
        <w:jc w:val="center"/>
        <w:rPr>
          <w:sz w:val="52"/>
        </w:rPr>
      </w:pPr>
      <w:r>
        <w:rPr>
          <w:color w:val="000000"/>
          <w:sz w:val="52"/>
        </w:rPr>
        <w:t xml:space="preserve"> </w:t>
      </w:r>
      <w:r>
        <w:rPr>
          <w:color w:val="000000"/>
          <w:sz w:val="52"/>
          <w:u w:val="single"/>
        </w:rPr>
        <w:t xml:space="preserve">            </w:t>
      </w:r>
      <w:bookmarkStart w:id="107" w:name="_Toc27136_WPSOffice_Level1"/>
      <w:bookmarkStart w:id="108" w:name="_Toc15653_WPSOffice_Level1"/>
      <w:r>
        <w:rPr>
          <w:color w:val="000000"/>
          <w:sz w:val="52"/>
        </w:rPr>
        <w:t>项目</w:t>
      </w:r>
      <w:bookmarkEnd w:id="107"/>
      <w:bookmarkEnd w:id="108"/>
    </w:p>
    <w:p>
      <w:pPr>
        <w:jc w:val="center"/>
        <w:rPr>
          <w:sz w:val="52"/>
        </w:rPr>
      </w:pPr>
    </w:p>
    <w:p>
      <w:pPr>
        <w:rPr>
          <w:sz w:val="52"/>
        </w:rPr>
      </w:pPr>
    </w:p>
    <w:p>
      <w:pPr>
        <w:rPr>
          <w:sz w:val="52"/>
        </w:rPr>
      </w:pPr>
    </w:p>
    <w:p>
      <w:pPr>
        <w:jc w:val="center"/>
        <w:rPr>
          <w:bCs/>
          <w:sz w:val="72"/>
        </w:rPr>
      </w:pPr>
      <w:r>
        <w:rPr>
          <w:bCs/>
          <w:sz w:val="72"/>
        </w:rPr>
        <w:t>投标文件</w:t>
      </w:r>
    </w:p>
    <w:p>
      <w:pPr>
        <w:jc w:val="center"/>
        <w:rPr>
          <w:bCs/>
          <w:sz w:val="28"/>
        </w:rPr>
      </w:pPr>
      <w:r>
        <w:rPr>
          <w:bCs/>
          <w:sz w:val="28"/>
        </w:rPr>
        <w:t>采购编号：</w:t>
      </w:r>
      <w:r>
        <w:t>*********</w:t>
      </w:r>
    </w:p>
    <w:p>
      <w:pPr>
        <w:jc w:val="center"/>
        <w:rPr>
          <w:bCs/>
          <w:sz w:val="28"/>
        </w:rPr>
      </w:pPr>
    </w:p>
    <w:p>
      <w:pPr>
        <w:jc w:val="center"/>
        <w:rPr>
          <w:bCs/>
          <w:sz w:val="28"/>
        </w:rPr>
      </w:pPr>
    </w:p>
    <w:p>
      <w:pPr>
        <w:jc w:val="center"/>
        <w:rPr>
          <w:bCs/>
          <w:sz w:val="28"/>
        </w:rPr>
      </w:pPr>
    </w:p>
    <w:p>
      <w:pPr>
        <w:rPr>
          <w:bCs/>
          <w:sz w:val="28"/>
        </w:rPr>
      </w:pPr>
    </w:p>
    <w:p>
      <w:pPr>
        <w:spacing w:line="900" w:lineRule="exact"/>
        <w:ind w:firstLine="320" w:firstLineChars="100"/>
        <w:jc w:val="center"/>
        <w:rPr>
          <w:sz w:val="32"/>
          <w:u w:val="single"/>
        </w:rPr>
      </w:pPr>
      <w:r>
        <w:rPr>
          <w:sz w:val="32"/>
        </w:rPr>
        <w:t>投标文件内容：</w:t>
      </w:r>
      <w:r>
        <w:rPr>
          <w:sz w:val="32"/>
          <w:u w:val="single"/>
        </w:rPr>
        <w:t>（资格、商务技术或报价响应文件）</w:t>
      </w:r>
    </w:p>
    <w:p>
      <w:pPr>
        <w:spacing w:line="900" w:lineRule="exact"/>
        <w:ind w:firstLine="313" w:firstLineChars="98"/>
        <w:jc w:val="center"/>
        <w:rPr>
          <w:sz w:val="32"/>
          <w:u w:val="single"/>
        </w:rPr>
      </w:pPr>
      <w:r>
        <w:rPr>
          <w:sz w:val="32"/>
        </w:rPr>
        <w:t>投标人：</w:t>
      </w:r>
      <w:r>
        <w:rPr>
          <w:sz w:val="32"/>
          <w:u w:val="single"/>
        </w:rPr>
        <w:t xml:space="preserve">              （电子签章）</w:t>
      </w:r>
    </w:p>
    <w:p>
      <w:pPr>
        <w:spacing w:line="900" w:lineRule="exact"/>
        <w:ind w:firstLine="320" w:firstLineChars="100"/>
        <w:jc w:val="center"/>
        <w:rPr>
          <w:sz w:val="32"/>
        </w:rPr>
      </w:pPr>
      <w:r>
        <w:rPr>
          <w:sz w:val="32"/>
        </w:rPr>
        <w:t>日期：</w:t>
      </w:r>
      <w:r>
        <w:rPr>
          <w:sz w:val="32"/>
          <w:u w:val="single"/>
        </w:rPr>
        <w:t xml:space="preserve">      年      月      日</w:t>
      </w:r>
    </w:p>
    <w:p>
      <w:pPr>
        <w:pStyle w:val="30"/>
        <w:spacing w:line="460" w:lineRule="exact"/>
        <w:ind w:left="274" w:leftChars="114"/>
        <w:jc w:val="center"/>
        <w:rPr>
          <w:rFonts w:ascii="Times New Roman" w:hAnsi="Times New Roman" w:cs="Times New Roman"/>
          <w:bCs/>
          <w:sz w:val="36"/>
          <w:szCs w:val="36"/>
        </w:rPr>
      </w:pPr>
    </w:p>
    <w:p>
      <w:pPr>
        <w:pStyle w:val="30"/>
        <w:spacing w:line="460" w:lineRule="exact"/>
        <w:ind w:left="274" w:leftChars="114"/>
        <w:jc w:val="center"/>
        <w:rPr>
          <w:rFonts w:ascii="Times New Roman" w:hAnsi="Times New Roman" w:cs="Times New Roman"/>
          <w:bCs/>
          <w:sz w:val="36"/>
          <w:szCs w:val="36"/>
        </w:rPr>
      </w:pPr>
    </w:p>
    <w:p>
      <w:pPr>
        <w:pStyle w:val="30"/>
        <w:spacing w:line="460" w:lineRule="exact"/>
        <w:ind w:left="274" w:leftChars="114"/>
        <w:jc w:val="center"/>
        <w:rPr>
          <w:rFonts w:ascii="Times New Roman" w:hAnsi="Times New Roman" w:cs="Times New Roman"/>
          <w:bCs/>
          <w:sz w:val="36"/>
          <w:szCs w:val="36"/>
        </w:rPr>
      </w:pPr>
    </w:p>
    <w:p>
      <w:pPr>
        <w:pStyle w:val="30"/>
        <w:spacing w:line="460" w:lineRule="exact"/>
        <w:ind w:left="274" w:leftChars="114"/>
        <w:jc w:val="center"/>
        <w:rPr>
          <w:rFonts w:ascii="Times New Roman" w:hAnsi="Times New Roman" w:cs="Times New Roman"/>
          <w:bCs/>
          <w:sz w:val="36"/>
          <w:szCs w:val="36"/>
        </w:rPr>
      </w:pPr>
    </w:p>
    <w:p>
      <w:pPr>
        <w:pStyle w:val="30"/>
        <w:spacing w:line="460" w:lineRule="exact"/>
        <w:ind w:left="274" w:leftChars="114"/>
        <w:jc w:val="center"/>
        <w:rPr>
          <w:rFonts w:ascii="Times New Roman" w:hAnsi="Times New Roman" w:cs="Times New Roman"/>
          <w:bCs/>
          <w:sz w:val="36"/>
          <w:szCs w:val="36"/>
        </w:rPr>
      </w:pPr>
    </w:p>
    <w:p>
      <w:pPr>
        <w:pStyle w:val="30"/>
        <w:spacing w:line="460" w:lineRule="exact"/>
        <w:ind w:left="274" w:leftChars="114"/>
        <w:jc w:val="center"/>
        <w:rPr>
          <w:rFonts w:ascii="Times New Roman" w:hAnsi="Times New Roman" w:cs="Times New Roman"/>
          <w:bCs/>
          <w:sz w:val="36"/>
          <w:szCs w:val="36"/>
        </w:rPr>
      </w:pPr>
    </w:p>
    <w:p>
      <w:pPr>
        <w:pStyle w:val="30"/>
        <w:spacing w:line="460" w:lineRule="exact"/>
        <w:rPr>
          <w:rFonts w:ascii="Times New Roman" w:hAnsi="Times New Roman" w:cs="Times New Roman"/>
          <w:bCs/>
          <w:sz w:val="30"/>
          <w:szCs w:val="30"/>
        </w:rPr>
      </w:pPr>
    </w:p>
    <w:p>
      <w:pPr>
        <w:pStyle w:val="30"/>
        <w:spacing w:line="460" w:lineRule="exact"/>
        <w:rPr>
          <w:rFonts w:ascii="Times New Roman" w:hAnsi="Times New Roman" w:cs="Times New Roman"/>
          <w:bCs/>
          <w:sz w:val="30"/>
          <w:szCs w:val="30"/>
        </w:rPr>
      </w:pPr>
    </w:p>
    <w:p>
      <w:pPr>
        <w:pStyle w:val="30"/>
        <w:spacing w:line="360" w:lineRule="exact"/>
        <w:rPr>
          <w:rFonts w:ascii="Times New Roman" w:hAnsi="Times New Roman" w:cs="Times New Roman"/>
          <w:b/>
          <w:sz w:val="36"/>
          <w:szCs w:val="36"/>
        </w:rPr>
      </w:pPr>
    </w:p>
    <w:p>
      <w:pPr>
        <w:pStyle w:val="30"/>
        <w:widowControl w:val="0"/>
        <w:spacing w:line="264" w:lineRule="auto"/>
        <w:jc w:val="center"/>
        <w:rPr>
          <w:rFonts w:ascii="Times New Roman" w:hAnsi="Times New Roman" w:cs="Times New Roman"/>
          <w:b/>
          <w:sz w:val="36"/>
          <w:szCs w:val="36"/>
        </w:rPr>
      </w:pPr>
      <w:r>
        <w:rPr>
          <w:rFonts w:ascii="Times New Roman" w:hAnsi="Times New Roman" w:cs="Times New Roman"/>
          <w:b/>
          <w:sz w:val="36"/>
          <w:szCs w:val="36"/>
        </w:rPr>
        <w:t>义乌市政府采购项目投标承诺书</w:t>
      </w:r>
    </w:p>
    <w:p>
      <w:pPr>
        <w:pStyle w:val="30"/>
        <w:spacing w:line="360" w:lineRule="exact"/>
        <w:rPr>
          <w:rFonts w:ascii="Times New Roman" w:hAnsi="Times New Roman" w:cs="Times New Roman"/>
          <w:u w:val="single"/>
        </w:rPr>
      </w:pPr>
      <w:r>
        <w:rPr>
          <w:rFonts w:ascii="Times New Roman" w:hAnsi="Times New Roman" w:cs="Times New Roman"/>
        </w:rPr>
        <w:t>致：</w:t>
      </w:r>
      <w:r>
        <w:rPr>
          <w:rFonts w:ascii="Times New Roman" w:hAnsi="Times New Roman" w:cs="Times New Roman"/>
          <w:u w:val="single"/>
        </w:rPr>
        <w:t>采购人名称和代理机构名称</w:t>
      </w:r>
    </w:p>
    <w:p>
      <w:pPr>
        <w:tabs>
          <w:tab w:val="left" w:pos="8820"/>
        </w:tabs>
        <w:spacing w:line="360" w:lineRule="exact"/>
        <w:ind w:firstLine="420" w:firstLineChars="200"/>
        <w:rPr>
          <w:sz w:val="21"/>
          <w:szCs w:val="21"/>
        </w:rPr>
      </w:pPr>
      <w:r>
        <w:rPr>
          <w:sz w:val="21"/>
          <w:szCs w:val="21"/>
        </w:rPr>
        <w:t>1、我单位已认真阅读了</w:t>
      </w:r>
      <w:r>
        <w:rPr>
          <w:rFonts w:hint="eastAsia"/>
          <w:color w:val="FF0000"/>
          <w:sz w:val="21"/>
          <w:szCs w:val="21"/>
        </w:rPr>
        <w:t>浙江省机电技师学院智慧物流实训室建设项目</w:t>
      </w:r>
      <w:r>
        <w:rPr>
          <w:color w:val="FF0000"/>
          <w:sz w:val="21"/>
          <w:szCs w:val="21"/>
        </w:rPr>
        <w:t>（采购编号：</w:t>
      </w:r>
      <w:r>
        <w:rPr>
          <w:rFonts w:hint="eastAsia"/>
          <w:color w:val="FF0000"/>
          <w:sz w:val="21"/>
          <w:szCs w:val="21"/>
        </w:rPr>
        <w:t>YWCG2022023GK</w:t>
      </w:r>
      <w:r>
        <w:rPr>
          <w:color w:val="FF0000"/>
          <w:sz w:val="21"/>
          <w:szCs w:val="21"/>
        </w:rPr>
        <w:t>）</w:t>
      </w:r>
      <w:r>
        <w:rPr>
          <w:sz w:val="21"/>
          <w:szCs w:val="21"/>
        </w:rPr>
        <w:t>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pPr>
        <w:tabs>
          <w:tab w:val="left" w:pos="8820"/>
        </w:tabs>
        <w:spacing w:line="360" w:lineRule="exact"/>
        <w:ind w:firstLine="420" w:firstLineChars="200"/>
        <w:rPr>
          <w:sz w:val="21"/>
          <w:szCs w:val="21"/>
        </w:rPr>
      </w:pPr>
      <w:r>
        <w:rPr>
          <w:sz w:val="21"/>
          <w:szCs w:val="21"/>
        </w:rPr>
        <w:t>2、自愿接受义乌市财政局的管理，并严格遵守义乌市财政局制定的招投标管理制度、规范和纪律。</w:t>
      </w:r>
    </w:p>
    <w:p>
      <w:pPr>
        <w:tabs>
          <w:tab w:val="left" w:pos="8820"/>
        </w:tabs>
        <w:spacing w:line="360" w:lineRule="exact"/>
        <w:ind w:firstLine="420" w:firstLineChars="200"/>
        <w:rPr>
          <w:sz w:val="21"/>
          <w:szCs w:val="21"/>
        </w:rPr>
      </w:pPr>
      <w:r>
        <w:rPr>
          <w:sz w:val="21"/>
          <w:szCs w:val="21"/>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和分包该项目。</w:t>
      </w:r>
    </w:p>
    <w:p>
      <w:pPr>
        <w:tabs>
          <w:tab w:val="left" w:pos="8820"/>
        </w:tabs>
        <w:spacing w:line="360" w:lineRule="exact"/>
        <w:ind w:firstLine="420" w:firstLineChars="200"/>
        <w:rPr>
          <w:sz w:val="21"/>
          <w:szCs w:val="21"/>
        </w:rPr>
      </w:pPr>
      <w:r>
        <w:rPr>
          <w:sz w:val="21"/>
          <w:szCs w:val="21"/>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20" w:firstLineChars="200"/>
        <w:rPr>
          <w:sz w:val="21"/>
          <w:szCs w:val="21"/>
        </w:rPr>
      </w:pPr>
      <w:r>
        <w:rPr>
          <w:sz w:val="21"/>
          <w:szCs w:val="21"/>
        </w:rPr>
        <w:t>5、不转让、出借、涂改、伪造资质（资格）证书或者以其他方式允许其他单位（个人）以我单位（本人）名义承接业务。</w:t>
      </w:r>
    </w:p>
    <w:p>
      <w:pPr>
        <w:tabs>
          <w:tab w:val="left" w:pos="8820"/>
        </w:tabs>
        <w:spacing w:line="360" w:lineRule="exact"/>
        <w:ind w:firstLine="420" w:firstLineChars="200"/>
        <w:rPr>
          <w:sz w:val="21"/>
          <w:szCs w:val="21"/>
        </w:rPr>
      </w:pPr>
      <w:r>
        <w:rPr>
          <w:sz w:val="21"/>
          <w:szCs w:val="21"/>
        </w:rPr>
        <w:t>6、不与采购人或者其他投标人相互串通投标，围标，不以行贿等不正当手段谋取中标。</w:t>
      </w:r>
    </w:p>
    <w:p>
      <w:pPr>
        <w:tabs>
          <w:tab w:val="left" w:pos="8820"/>
        </w:tabs>
        <w:spacing w:line="360" w:lineRule="exact"/>
        <w:ind w:firstLine="420" w:firstLineChars="200"/>
        <w:rPr>
          <w:sz w:val="21"/>
          <w:szCs w:val="21"/>
        </w:rPr>
      </w:pPr>
      <w:r>
        <w:rPr>
          <w:sz w:val="21"/>
          <w:szCs w:val="21"/>
        </w:rPr>
        <w:t>7、在招标、投标、开标、评标、询标、中标、签订合同等招投标预备和进行的全过程中提供的资料均真实、有效，不弄虚作假。</w:t>
      </w:r>
    </w:p>
    <w:p>
      <w:pPr>
        <w:tabs>
          <w:tab w:val="left" w:pos="8820"/>
        </w:tabs>
        <w:spacing w:line="360" w:lineRule="exact"/>
        <w:ind w:firstLine="420" w:firstLineChars="200"/>
        <w:rPr>
          <w:sz w:val="21"/>
          <w:szCs w:val="21"/>
        </w:rPr>
      </w:pPr>
      <w:r>
        <w:rPr>
          <w:sz w:val="21"/>
          <w:szCs w:val="21"/>
        </w:rPr>
        <w:t>8、我单位已详细审核全部招标文件，包括更正文件(如果有的话)，及有关附件，我方同意放弃提出含糊不清或误解的权力。</w:t>
      </w:r>
    </w:p>
    <w:p>
      <w:pPr>
        <w:tabs>
          <w:tab w:val="left" w:pos="8820"/>
        </w:tabs>
        <w:spacing w:line="360" w:lineRule="exact"/>
        <w:ind w:firstLine="420" w:firstLineChars="200"/>
        <w:rPr>
          <w:sz w:val="21"/>
          <w:szCs w:val="21"/>
        </w:rPr>
      </w:pPr>
      <w:r>
        <w:rPr>
          <w:sz w:val="21"/>
          <w:szCs w:val="21"/>
        </w:rPr>
        <w:t>9.投标文件中未明确的内容一律按招标文件规定执行。</w:t>
      </w:r>
    </w:p>
    <w:p>
      <w:pPr>
        <w:tabs>
          <w:tab w:val="left" w:pos="8820"/>
        </w:tabs>
        <w:spacing w:line="360" w:lineRule="exact"/>
        <w:ind w:firstLine="420" w:firstLineChars="200"/>
        <w:rPr>
          <w:sz w:val="21"/>
          <w:szCs w:val="21"/>
        </w:rPr>
      </w:pPr>
      <w:r>
        <w:rPr>
          <w:sz w:val="21"/>
          <w:szCs w:val="21"/>
        </w:rPr>
        <w:t>10、我单位同意招标文件要求的投标有效期，如我方中标，我方将受此约束。</w:t>
      </w:r>
    </w:p>
    <w:p>
      <w:pPr>
        <w:tabs>
          <w:tab w:val="left" w:pos="8820"/>
        </w:tabs>
        <w:spacing w:line="360" w:lineRule="exact"/>
        <w:ind w:firstLine="420" w:firstLineChars="200"/>
        <w:rPr>
          <w:sz w:val="21"/>
          <w:szCs w:val="21"/>
        </w:rPr>
      </w:pPr>
      <w:r>
        <w:rPr>
          <w:sz w:val="21"/>
          <w:szCs w:val="21"/>
        </w:rPr>
        <w:t>11、我单位相信贵方的招标结果是公正、合法的，无论我单位中标还是落标，我方将接受这一结果。</w:t>
      </w:r>
    </w:p>
    <w:p>
      <w:pPr>
        <w:tabs>
          <w:tab w:val="left" w:pos="8820"/>
        </w:tabs>
        <w:spacing w:line="360" w:lineRule="exact"/>
        <w:ind w:firstLine="420" w:firstLineChars="200"/>
        <w:rPr>
          <w:sz w:val="21"/>
          <w:szCs w:val="21"/>
        </w:rPr>
      </w:pPr>
      <w:r>
        <w:rPr>
          <w:sz w:val="21"/>
          <w:szCs w:val="21"/>
        </w:rPr>
        <w:t>12、一旦我单位中标，我单位将严格依照招标文件和投标文件的规定与采购人签订合同。</w:t>
      </w:r>
    </w:p>
    <w:p>
      <w:pPr>
        <w:tabs>
          <w:tab w:val="left" w:pos="8820"/>
        </w:tabs>
        <w:spacing w:line="360" w:lineRule="exact"/>
        <w:ind w:firstLine="420" w:firstLineChars="200"/>
        <w:rPr>
          <w:sz w:val="21"/>
          <w:szCs w:val="21"/>
        </w:rPr>
      </w:pPr>
      <w:r>
        <w:rPr>
          <w:sz w:val="21"/>
          <w:szCs w:val="21"/>
        </w:rPr>
        <w:t>13、不低于企业成本价投标，不恶意过高报价，不扰乱招投标的正常秩序。</w:t>
      </w:r>
    </w:p>
    <w:p>
      <w:pPr>
        <w:tabs>
          <w:tab w:val="left" w:pos="8820"/>
        </w:tabs>
        <w:spacing w:line="360" w:lineRule="exact"/>
        <w:ind w:firstLine="420" w:firstLineChars="200"/>
        <w:rPr>
          <w:sz w:val="21"/>
          <w:szCs w:val="21"/>
        </w:rPr>
      </w:pPr>
      <w:r>
        <w:rPr>
          <w:sz w:val="21"/>
          <w:szCs w:val="21"/>
        </w:rPr>
        <w:t>14、严格遵守开标纪律，不在开标现场吵闹、滋事，服从工作人员指挥。</w:t>
      </w:r>
    </w:p>
    <w:p>
      <w:pPr>
        <w:tabs>
          <w:tab w:val="left" w:pos="8820"/>
        </w:tabs>
        <w:spacing w:line="360" w:lineRule="exact"/>
        <w:ind w:firstLine="420" w:firstLineChars="200"/>
        <w:rPr>
          <w:sz w:val="21"/>
          <w:szCs w:val="21"/>
        </w:rPr>
      </w:pPr>
      <w:r>
        <w:rPr>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pPr>
        <w:spacing w:line="380" w:lineRule="exact"/>
        <w:ind w:firstLine="422" w:firstLineChars="200"/>
        <w:rPr>
          <w:sz w:val="21"/>
          <w:szCs w:val="21"/>
        </w:rPr>
      </w:pPr>
      <w:r>
        <w:rPr>
          <w:b/>
          <w:sz w:val="21"/>
          <w:szCs w:val="21"/>
        </w:rPr>
        <w:t>15、指定我单位人员(姓名: _____________ 身份证号码：___________联系电话：_____________)全权代表我方联系和协调处理投标过程中的有关事项。</w:t>
      </w:r>
    </w:p>
    <w:p>
      <w:pPr>
        <w:tabs>
          <w:tab w:val="left" w:pos="8820"/>
        </w:tabs>
        <w:spacing w:line="360" w:lineRule="exact"/>
        <w:ind w:firstLine="420" w:firstLineChars="200"/>
        <w:rPr>
          <w:sz w:val="21"/>
          <w:szCs w:val="21"/>
        </w:rPr>
      </w:pPr>
      <w:r>
        <w:rPr>
          <w:sz w:val="21"/>
          <w:szCs w:val="21"/>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spacing w:line="360" w:lineRule="exact"/>
        <w:rPr>
          <w:sz w:val="21"/>
          <w:szCs w:val="21"/>
        </w:rPr>
      </w:pPr>
    </w:p>
    <w:p>
      <w:pPr>
        <w:spacing w:line="360" w:lineRule="exact"/>
        <w:rPr>
          <w:sz w:val="21"/>
          <w:szCs w:val="21"/>
        </w:rPr>
      </w:pPr>
      <w:r>
        <w:rPr>
          <w:sz w:val="21"/>
          <w:szCs w:val="21"/>
        </w:rPr>
        <w:t>投标人（电子签章）：                                  年  月  日</w:t>
      </w:r>
    </w:p>
    <w:p>
      <w:pPr>
        <w:widowControl w:val="0"/>
        <w:spacing w:line="264" w:lineRule="auto"/>
        <w:jc w:val="center"/>
        <w:rPr>
          <w:bCs/>
          <w:sz w:val="36"/>
          <w:szCs w:val="36"/>
        </w:rPr>
      </w:pPr>
      <w:r>
        <w:rPr>
          <w:bCs/>
          <w:sz w:val="36"/>
          <w:szCs w:val="36"/>
        </w:rPr>
        <w:t>　　　</w:t>
      </w:r>
    </w:p>
    <w:p>
      <w:pPr>
        <w:widowControl w:val="0"/>
        <w:spacing w:line="264" w:lineRule="auto"/>
        <w:jc w:val="center"/>
        <w:rPr>
          <w:rFonts w:eastAsiaTheme="minorEastAsia"/>
          <w:b/>
          <w:bCs/>
          <w:sz w:val="36"/>
          <w:szCs w:val="36"/>
        </w:rPr>
      </w:pPr>
      <w:r>
        <w:rPr>
          <w:rFonts w:eastAsiaTheme="minorEastAsia"/>
          <w:b/>
          <w:bCs/>
          <w:sz w:val="36"/>
          <w:szCs w:val="36"/>
        </w:rPr>
        <w:t>参投货物说明一览表</w:t>
      </w:r>
    </w:p>
    <w:p>
      <w:pPr>
        <w:widowControl w:val="0"/>
        <w:spacing w:line="264" w:lineRule="auto"/>
        <w:rPr>
          <w:rFonts w:eastAsiaTheme="minorEastAsia"/>
        </w:rPr>
      </w:pPr>
      <w:r>
        <w:rPr>
          <w:rFonts w:eastAsiaTheme="minorEastAsia"/>
        </w:rPr>
        <w:t>招标编号：</w:t>
      </w:r>
      <w:r>
        <w:rPr>
          <w:rFonts w:hint="eastAsia" w:eastAsiaTheme="minorEastAsia"/>
          <w:color w:val="FF0000"/>
        </w:rPr>
        <w:t>YWCG2022023GK</w:t>
      </w:r>
    </w:p>
    <w:tbl>
      <w:tblPr>
        <w:tblStyle w:val="57"/>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180"/>
        <w:gridCol w:w="825"/>
        <w:gridCol w:w="388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9" w:type="dxa"/>
            <w:vAlign w:val="center"/>
          </w:tcPr>
          <w:p>
            <w:pPr>
              <w:widowControl w:val="0"/>
              <w:spacing w:line="240" w:lineRule="auto"/>
              <w:jc w:val="center"/>
              <w:rPr>
                <w:b/>
                <w:bCs/>
              </w:rPr>
            </w:pPr>
            <w:r>
              <w:rPr>
                <w:b/>
                <w:bCs/>
              </w:rPr>
              <w:t>序号</w:t>
            </w:r>
          </w:p>
        </w:tc>
        <w:tc>
          <w:tcPr>
            <w:tcW w:w="3180" w:type="dxa"/>
            <w:vAlign w:val="center"/>
          </w:tcPr>
          <w:p>
            <w:pPr>
              <w:widowControl w:val="0"/>
              <w:spacing w:line="240" w:lineRule="auto"/>
              <w:jc w:val="center"/>
              <w:rPr>
                <w:b/>
                <w:bCs/>
              </w:rPr>
            </w:pPr>
            <w:r>
              <w:rPr>
                <w:b/>
                <w:bCs/>
              </w:rPr>
              <w:t>名称</w:t>
            </w:r>
          </w:p>
        </w:tc>
        <w:tc>
          <w:tcPr>
            <w:tcW w:w="825" w:type="dxa"/>
            <w:vAlign w:val="center"/>
          </w:tcPr>
          <w:p>
            <w:pPr>
              <w:widowControl w:val="0"/>
              <w:spacing w:line="240" w:lineRule="auto"/>
              <w:jc w:val="center"/>
              <w:rPr>
                <w:b/>
                <w:bCs/>
              </w:rPr>
            </w:pPr>
            <w:r>
              <w:rPr>
                <w:b/>
                <w:bCs/>
              </w:rPr>
              <w:t>数量</w:t>
            </w:r>
          </w:p>
        </w:tc>
        <w:tc>
          <w:tcPr>
            <w:tcW w:w="3881" w:type="dxa"/>
            <w:vAlign w:val="center"/>
          </w:tcPr>
          <w:p>
            <w:pPr>
              <w:widowControl w:val="0"/>
              <w:spacing w:line="240" w:lineRule="auto"/>
              <w:jc w:val="center"/>
              <w:rPr>
                <w:b/>
                <w:bCs/>
              </w:rPr>
            </w:pPr>
            <w:r>
              <w:rPr>
                <w:b/>
                <w:bCs/>
              </w:rPr>
              <w:t>规格及技术参数</w:t>
            </w:r>
          </w:p>
        </w:tc>
        <w:tc>
          <w:tcPr>
            <w:tcW w:w="1223" w:type="dxa"/>
            <w:vAlign w:val="center"/>
          </w:tcPr>
          <w:p>
            <w:pPr>
              <w:widowControl w:val="0"/>
              <w:spacing w:line="240" w:lineRule="auto"/>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智慧物流方案设计与实施VR虚拟仿真软件</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vAlign w:val="center"/>
          </w:tcPr>
          <w:p>
            <w:pPr>
              <w:pStyle w:val="30"/>
              <w:adjustRightInd w:val="0"/>
              <w:snapToGrid w:val="0"/>
              <w:spacing w:line="240" w:lineRule="auto"/>
              <w:jc w:val="center"/>
              <w:rPr>
                <w:rFonts w:ascii="Times New Roman" w:hAnsi="Times New Roman" w:cs="Times New Roman"/>
                <w:sz w:val="24"/>
                <w:szCs w:val="24"/>
              </w:rPr>
            </w:pPr>
          </w:p>
        </w:tc>
        <w:tc>
          <w:tcPr>
            <w:tcW w:w="1223" w:type="dxa"/>
            <w:vAlign w:val="center"/>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AR实训台</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1张</w:t>
            </w:r>
          </w:p>
        </w:tc>
        <w:tc>
          <w:tcPr>
            <w:tcW w:w="3881" w:type="dxa"/>
            <w:vAlign w:val="center"/>
          </w:tcPr>
          <w:p>
            <w:pPr>
              <w:pStyle w:val="30"/>
              <w:adjustRightInd w:val="0"/>
              <w:snapToGrid w:val="0"/>
              <w:spacing w:line="240" w:lineRule="auto"/>
              <w:jc w:val="center"/>
              <w:rPr>
                <w:rFonts w:ascii="Times New Roman" w:hAnsi="Times New Roman" w:cs="Times New Roman"/>
                <w:sz w:val="24"/>
                <w:szCs w:val="24"/>
              </w:rPr>
            </w:pPr>
          </w:p>
        </w:tc>
        <w:tc>
          <w:tcPr>
            <w:tcW w:w="1223" w:type="dxa"/>
            <w:vAlign w:val="center"/>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仓储布局规划仿真软件</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vAlign w:val="center"/>
          </w:tcPr>
          <w:p>
            <w:pPr>
              <w:pStyle w:val="30"/>
              <w:adjustRightInd w:val="0"/>
              <w:snapToGrid w:val="0"/>
              <w:spacing w:line="240" w:lineRule="auto"/>
              <w:jc w:val="center"/>
              <w:rPr>
                <w:rFonts w:ascii="Times New Roman" w:hAnsi="Times New Roman" w:cs="Times New Roman"/>
                <w:sz w:val="24"/>
                <w:szCs w:val="24"/>
              </w:rPr>
            </w:pPr>
          </w:p>
        </w:tc>
        <w:tc>
          <w:tcPr>
            <w:tcW w:w="1223" w:type="dxa"/>
            <w:vAlign w:val="center"/>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智能物流设备AR软件</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vAlign w:val="center"/>
          </w:tcPr>
          <w:p>
            <w:pPr>
              <w:pStyle w:val="30"/>
              <w:adjustRightInd w:val="0"/>
              <w:snapToGrid w:val="0"/>
              <w:spacing w:line="240" w:lineRule="auto"/>
              <w:jc w:val="center"/>
              <w:rPr>
                <w:rFonts w:ascii="Times New Roman" w:hAnsi="Times New Roman" w:cs="Times New Roman"/>
                <w:sz w:val="24"/>
                <w:szCs w:val="24"/>
              </w:rPr>
            </w:pPr>
          </w:p>
        </w:tc>
        <w:tc>
          <w:tcPr>
            <w:tcW w:w="1223" w:type="dxa"/>
            <w:vAlign w:val="center"/>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快递运营职业技能实训平台</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vAlign w:val="center"/>
          </w:tcPr>
          <w:p>
            <w:pPr>
              <w:pStyle w:val="30"/>
              <w:adjustRightInd w:val="0"/>
              <w:snapToGrid w:val="0"/>
              <w:spacing w:line="240" w:lineRule="auto"/>
              <w:jc w:val="center"/>
              <w:rPr>
                <w:rFonts w:ascii="Times New Roman" w:hAnsi="Times New Roman" w:cs="Times New Roman"/>
                <w:sz w:val="24"/>
                <w:szCs w:val="24"/>
              </w:rPr>
            </w:pPr>
          </w:p>
        </w:tc>
        <w:tc>
          <w:tcPr>
            <w:tcW w:w="1223" w:type="dxa"/>
            <w:vAlign w:val="center"/>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智能物流教学资源管理模块</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vAlign w:val="center"/>
          </w:tcPr>
          <w:p>
            <w:pPr>
              <w:pStyle w:val="30"/>
              <w:adjustRightInd w:val="0"/>
              <w:snapToGrid w:val="0"/>
              <w:spacing w:line="240" w:lineRule="auto"/>
              <w:jc w:val="center"/>
              <w:rPr>
                <w:rFonts w:ascii="Times New Roman" w:hAnsi="Times New Roman" w:cs="Times New Roman"/>
                <w:sz w:val="24"/>
                <w:szCs w:val="24"/>
              </w:rPr>
            </w:pPr>
          </w:p>
        </w:tc>
        <w:tc>
          <w:tcPr>
            <w:tcW w:w="1223" w:type="dxa"/>
            <w:vAlign w:val="center"/>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VR中控机</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3881" w:type="dxa"/>
            <w:vAlign w:val="center"/>
          </w:tcPr>
          <w:p>
            <w:pPr>
              <w:pStyle w:val="30"/>
              <w:adjustRightInd w:val="0"/>
              <w:snapToGrid w:val="0"/>
              <w:spacing w:line="240" w:lineRule="auto"/>
              <w:jc w:val="center"/>
              <w:rPr>
                <w:rFonts w:ascii="Times New Roman" w:hAnsi="Times New Roman" w:cs="Times New Roman"/>
                <w:sz w:val="24"/>
                <w:szCs w:val="24"/>
              </w:rPr>
            </w:pPr>
          </w:p>
        </w:tc>
        <w:tc>
          <w:tcPr>
            <w:tcW w:w="1223" w:type="dxa"/>
            <w:vAlign w:val="center"/>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VR显示屏</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2块</w:t>
            </w:r>
          </w:p>
        </w:tc>
        <w:tc>
          <w:tcPr>
            <w:tcW w:w="3881" w:type="dxa"/>
            <w:vAlign w:val="center"/>
          </w:tcPr>
          <w:p>
            <w:pPr>
              <w:pStyle w:val="30"/>
              <w:adjustRightInd w:val="0"/>
              <w:snapToGrid w:val="0"/>
              <w:spacing w:line="240" w:lineRule="auto"/>
              <w:jc w:val="center"/>
              <w:rPr>
                <w:rFonts w:ascii="Times New Roman" w:hAnsi="Times New Roman" w:cs="Times New Roman"/>
                <w:sz w:val="24"/>
                <w:szCs w:val="24"/>
              </w:rPr>
            </w:pPr>
          </w:p>
        </w:tc>
        <w:tc>
          <w:tcPr>
            <w:tcW w:w="1223" w:type="dxa"/>
            <w:vAlign w:val="center"/>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PC端VR头式操作设备</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头戴式显示设备</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台式电脑</w:t>
            </w:r>
            <w:r>
              <w:rPr>
                <w:rFonts w:hint="eastAsia" w:cs="Times New Roman"/>
                <w:i w:val="0"/>
                <w:iCs w:val="0"/>
                <w:color w:val="000000"/>
                <w:kern w:val="0"/>
                <w:sz w:val="24"/>
                <w:szCs w:val="24"/>
                <w:highlight w:val="none"/>
                <w:u w:val="none"/>
                <w:lang w:val="en-US" w:eastAsia="zh-CN" w:bidi="ar"/>
              </w:rPr>
              <w:t>1</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2台</w:t>
            </w:r>
          </w:p>
        </w:tc>
        <w:tc>
          <w:tcPr>
            <w:tcW w:w="3881" w:type="dxa"/>
          </w:tcPr>
          <w:p>
            <w:pPr>
              <w:pStyle w:val="30"/>
              <w:adjustRightInd w:val="0"/>
              <w:snapToGrid w:val="0"/>
              <w:spacing w:line="240" w:lineRule="auto"/>
              <w:jc w:val="center"/>
              <w:rPr>
                <w:rFonts w:ascii="Times New Roman" w:hAnsi="Times New Roman" w:cs="Times New Roman"/>
                <w:sz w:val="24"/>
                <w:szCs w:val="24"/>
                <w:highlight w:val="none"/>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投影仪</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智能教学管理设备</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企业级千兆路由</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1个</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多媒体设备</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交换机</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1台</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网络机柜</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1台</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教师桌椅</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学生桌椅</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48套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文件柜</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2个</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物流考证管理系统</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物流考证教学资源（中级工、高级工）</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物流考证题库</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20套</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物流考证教材</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2本</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台式电脑</w:t>
            </w:r>
            <w:r>
              <w:rPr>
                <w:rFonts w:hint="eastAsia" w:cs="Times New Roman"/>
                <w:i w:val="0"/>
                <w:iCs w:val="0"/>
                <w:color w:val="000000"/>
                <w:kern w:val="0"/>
                <w:sz w:val="24"/>
                <w:szCs w:val="24"/>
                <w:highlight w:val="none"/>
                <w:u w:val="none"/>
                <w:lang w:val="en-US" w:eastAsia="zh-CN" w:bidi="ar"/>
              </w:rPr>
              <w:t>2</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98台</w:t>
            </w:r>
          </w:p>
        </w:tc>
        <w:tc>
          <w:tcPr>
            <w:tcW w:w="3881" w:type="dxa"/>
          </w:tcPr>
          <w:p>
            <w:pPr>
              <w:pStyle w:val="30"/>
              <w:adjustRightInd w:val="0"/>
              <w:snapToGrid w:val="0"/>
              <w:spacing w:line="240" w:lineRule="auto"/>
              <w:jc w:val="center"/>
              <w:rPr>
                <w:rFonts w:ascii="Times New Roman" w:hAnsi="Times New Roman" w:cs="Times New Roman"/>
                <w:sz w:val="24"/>
                <w:szCs w:val="24"/>
                <w:highlight w:val="none"/>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文件柜</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4个</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3180"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雨伞收纳柜</w:t>
            </w:r>
          </w:p>
        </w:tc>
        <w:tc>
          <w:tcPr>
            <w:tcW w:w="82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2个</w:t>
            </w:r>
          </w:p>
        </w:tc>
        <w:tc>
          <w:tcPr>
            <w:tcW w:w="3881" w:type="dxa"/>
          </w:tcPr>
          <w:p>
            <w:pPr>
              <w:pStyle w:val="30"/>
              <w:adjustRightInd w:val="0"/>
              <w:snapToGrid w:val="0"/>
              <w:spacing w:line="240" w:lineRule="auto"/>
              <w:jc w:val="center"/>
              <w:rPr>
                <w:rFonts w:ascii="Times New Roman" w:hAnsi="Times New Roman" w:cs="Times New Roman"/>
                <w:sz w:val="24"/>
                <w:szCs w:val="24"/>
              </w:rPr>
            </w:pPr>
          </w:p>
        </w:tc>
        <w:tc>
          <w:tcPr>
            <w:tcW w:w="1223" w:type="dxa"/>
          </w:tcPr>
          <w:p>
            <w:pPr>
              <w:widowControl w:val="0"/>
              <w:spacing w:line="240" w:lineRule="auto"/>
            </w:pPr>
          </w:p>
        </w:tc>
      </w:tr>
    </w:tbl>
    <w:p>
      <w:pPr>
        <w:widowControl w:val="0"/>
        <w:spacing w:line="264" w:lineRule="auto"/>
        <w:rPr>
          <w:rFonts w:eastAsiaTheme="minorEastAsia"/>
        </w:rPr>
      </w:pPr>
    </w:p>
    <w:p>
      <w:pPr>
        <w:widowControl w:val="0"/>
        <w:spacing w:line="264" w:lineRule="auto"/>
        <w:rPr>
          <w:rFonts w:eastAsiaTheme="minorEastAsia"/>
        </w:rPr>
      </w:pPr>
      <w:r>
        <w:rPr>
          <w:rFonts w:eastAsiaTheme="minorEastAsia"/>
        </w:rPr>
        <w:t>投标人名称（电子签章）：</w:t>
      </w:r>
      <w:r>
        <w:rPr>
          <w:rFonts w:eastAsiaTheme="minorEastAsia"/>
          <w:u w:val="single"/>
        </w:rPr>
        <w:t xml:space="preserve">                    </w:t>
      </w:r>
      <w:r>
        <w:rPr>
          <w:rFonts w:eastAsiaTheme="minorEastAsia"/>
        </w:rPr>
        <w:t xml:space="preserve">  </w:t>
      </w:r>
    </w:p>
    <w:p>
      <w:pPr>
        <w:widowControl w:val="0"/>
        <w:spacing w:line="264" w:lineRule="auto"/>
        <w:rPr>
          <w:rFonts w:eastAsiaTheme="minorEastAsia"/>
        </w:rPr>
      </w:pPr>
      <w:r>
        <w:rPr>
          <w:rFonts w:eastAsiaTheme="minorEastAsia"/>
        </w:rPr>
        <w:t>日 期：      年    月      日</w:t>
      </w:r>
    </w:p>
    <w:p>
      <w:pPr>
        <w:widowControl w:val="0"/>
        <w:spacing w:line="264" w:lineRule="auto"/>
        <w:rPr>
          <w:rFonts w:eastAsiaTheme="minorEastAsia"/>
        </w:rPr>
      </w:pPr>
      <w:r>
        <w:rPr>
          <w:rFonts w:eastAsiaTheme="minorEastAsia"/>
        </w:rPr>
        <w:t>备注：</w:t>
      </w:r>
    </w:p>
    <w:p>
      <w:pPr>
        <w:widowControl w:val="0"/>
        <w:numPr>
          <w:ilvl w:val="0"/>
          <w:numId w:val="13"/>
        </w:numPr>
        <w:spacing w:line="264" w:lineRule="auto"/>
        <w:rPr>
          <w:rFonts w:eastAsiaTheme="minorEastAsia"/>
        </w:rPr>
      </w:pPr>
      <w:r>
        <w:rPr>
          <w:rFonts w:eastAsiaTheme="minorEastAsia"/>
        </w:rPr>
        <w:t>此表在不改变格式的情况下可自行制作。</w:t>
      </w:r>
    </w:p>
    <w:p>
      <w:pPr>
        <w:pStyle w:val="56"/>
        <w:ind w:left="0" w:leftChars="0" w:firstLine="0" w:firstLineChars="0"/>
      </w:pPr>
    </w:p>
    <w:p>
      <w:pPr>
        <w:jc w:val="center"/>
        <w:rPr>
          <w:b/>
          <w:bCs/>
          <w:sz w:val="36"/>
          <w:szCs w:val="36"/>
        </w:rPr>
      </w:pPr>
      <w:r>
        <w:rPr>
          <w:b/>
          <w:bCs/>
          <w:sz w:val="36"/>
        </w:rPr>
        <w:t>项目组成人员表</w:t>
      </w:r>
      <w:r>
        <w:rPr>
          <w:b/>
          <w:bCs/>
          <w:sz w:val="36"/>
          <w:szCs w:val="36"/>
        </w:rPr>
        <w:t>（格式）</w:t>
      </w:r>
    </w:p>
    <w:p>
      <w:pPr>
        <w:spacing w:line="400" w:lineRule="exact"/>
        <w:jc w:val="center"/>
        <w:rPr>
          <w:b/>
          <w:bCs/>
          <w:sz w:val="36"/>
          <w:szCs w:val="36"/>
        </w:rPr>
      </w:pPr>
      <w:r>
        <w:rPr>
          <w:b/>
          <w:bCs/>
          <w:sz w:val="36"/>
          <w:szCs w:val="36"/>
        </w:rPr>
        <w:t>项目负责人简历表</w:t>
      </w:r>
    </w:p>
    <w:p>
      <w:pPr>
        <w:rPr>
          <w:b/>
          <w:szCs w:val="21"/>
        </w:rPr>
      </w:pPr>
      <w:r>
        <w:rPr>
          <w:b/>
          <w:szCs w:val="21"/>
        </w:rPr>
        <w:t>投标人：（电子签章）_________________</w:t>
      </w:r>
      <w:r>
        <w:rPr>
          <w:sz w:val="24"/>
        </w:rPr>
        <w:t>采购编号：</w:t>
      </w:r>
      <w:r>
        <w:rPr>
          <w:rFonts w:hint="eastAsia" w:ascii="Times New Roman" w:hAnsi="Times New Roman" w:cs="Times New Roman"/>
          <w:color w:val="FF0000"/>
          <w:sz w:val="24"/>
        </w:rPr>
        <w:t>YWCG2022023GK</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8"/>
        <w:gridCol w:w="1242"/>
        <w:gridCol w:w="231"/>
        <w:gridCol w:w="433"/>
        <w:gridCol w:w="702"/>
        <w:gridCol w:w="101"/>
        <w:gridCol w:w="386"/>
        <w:gridCol w:w="191"/>
        <w:gridCol w:w="535"/>
        <w:gridCol w:w="127"/>
        <w:gridCol w:w="225"/>
        <w:gridCol w:w="589"/>
        <w:gridCol w:w="148"/>
        <w:gridCol w:w="366"/>
        <w:gridCol w:w="448"/>
        <w:gridCol w:w="609"/>
        <w:gridCol w:w="96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姓名</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性别</w:t>
            </w: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年龄</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352" w:type="dxa"/>
            <w:gridSpan w:val="2"/>
            <w:tcBorders>
              <w:top w:val="single" w:color="auto" w:sz="4" w:space="0"/>
              <w:left w:val="single" w:color="auto" w:sz="4" w:space="0"/>
              <w:bottom w:val="single" w:color="auto" w:sz="4" w:space="0"/>
              <w:right w:val="single" w:color="auto" w:sz="4" w:space="0"/>
            </w:tcBorders>
            <w:noWrap w:val="0"/>
            <w:vAlign w:val="center"/>
          </w:tcPr>
          <w:p>
            <w:pPr>
              <w:ind w:right="-110" w:rightChars="-46"/>
              <w:jc w:val="center"/>
              <w:rPr>
                <w:szCs w:val="21"/>
              </w:rPr>
            </w:pPr>
            <w:r>
              <w:rPr>
                <w:szCs w:val="21"/>
              </w:rPr>
              <w:t>学历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职称</w:t>
            </w:r>
          </w:p>
        </w:tc>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7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职务</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参加工作</w:t>
            </w:r>
          </w:p>
          <w:p>
            <w:pPr>
              <w:jc w:val="center"/>
              <w:rPr>
                <w:szCs w:val="21"/>
              </w:rPr>
            </w:pPr>
            <w:r>
              <w:rPr>
                <w:szCs w:val="21"/>
              </w:rPr>
              <w:t>时间</w:t>
            </w:r>
          </w:p>
        </w:tc>
        <w:tc>
          <w:tcPr>
            <w:tcW w:w="48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632"/>
              </w:tabs>
              <w:jc w:val="center"/>
              <w:rPr>
                <w:szCs w:val="21"/>
              </w:rPr>
            </w:pPr>
            <w:r>
              <w:rPr>
                <w:szCs w:val="21"/>
              </w:rPr>
              <w:t>年  月  日</w:t>
            </w: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从事类似</w:t>
            </w:r>
          </w:p>
          <w:p>
            <w:pPr>
              <w:jc w:val="center"/>
              <w:rPr>
                <w:szCs w:val="21"/>
              </w:rPr>
            </w:pPr>
            <w:r>
              <w:rPr>
                <w:szCs w:val="21"/>
              </w:rPr>
              <w:t>工作年限</w:t>
            </w:r>
          </w:p>
        </w:tc>
        <w:tc>
          <w:tcPr>
            <w:tcW w:w="373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288" w:type="dxa"/>
            <w:gridSpan w:val="19"/>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近三年负责完成的类似主要项目情况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序号</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业主单位</w:t>
            </w: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项目名称</w:t>
            </w:r>
          </w:p>
        </w:tc>
        <w:tc>
          <w:tcPr>
            <w:tcW w:w="123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项目内容</w:t>
            </w:r>
          </w:p>
        </w:tc>
        <w:tc>
          <w:tcPr>
            <w:tcW w:w="13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委托日期</w:t>
            </w:r>
          </w:p>
        </w:tc>
        <w:tc>
          <w:tcPr>
            <w:tcW w:w="1057" w:type="dxa"/>
            <w:gridSpan w:val="2"/>
            <w:tcBorders>
              <w:top w:val="single" w:color="auto" w:sz="4" w:space="0"/>
              <w:left w:val="single" w:color="auto" w:sz="4" w:space="0"/>
              <w:right w:val="single" w:color="auto" w:sz="4" w:space="0"/>
            </w:tcBorders>
            <w:noWrap w:val="0"/>
            <w:vAlign w:val="center"/>
          </w:tcPr>
          <w:p>
            <w:pPr>
              <w:jc w:val="center"/>
              <w:rPr>
                <w:szCs w:val="21"/>
              </w:rPr>
            </w:pPr>
            <w:r>
              <w:rPr>
                <w:szCs w:val="21"/>
              </w:rPr>
              <w:t>项目评估金额</w:t>
            </w:r>
          </w:p>
        </w:tc>
        <w:tc>
          <w:tcPr>
            <w:tcW w:w="966" w:type="dxa"/>
            <w:tcBorders>
              <w:top w:val="single" w:color="auto" w:sz="4" w:space="0"/>
              <w:left w:val="single" w:color="auto" w:sz="4" w:space="0"/>
              <w:right w:val="single" w:color="auto" w:sz="4" w:space="0"/>
            </w:tcBorders>
            <w:noWrap w:val="0"/>
            <w:vAlign w:val="center"/>
          </w:tcPr>
          <w:p>
            <w:pPr>
              <w:jc w:val="center"/>
              <w:rPr>
                <w:szCs w:val="21"/>
              </w:rPr>
            </w:pPr>
            <w:r>
              <w:rPr>
                <w:szCs w:val="21"/>
              </w:rPr>
              <w:t>联系人</w:t>
            </w:r>
          </w:p>
        </w:tc>
        <w:tc>
          <w:tcPr>
            <w:tcW w:w="1194" w:type="dxa"/>
            <w:tcBorders>
              <w:top w:val="single" w:color="auto" w:sz="4" w:space="0"/>
              <w:left w:val="single" w:color="auto" w:sz="4" w:space="0"/>
              <w:right w:val="single" w:color="auto" w:sz="4" w:space="0"/>
            </w:tcBorders>
            <w:noWrap w:val="0"/>
            <w:vAlign w:val="center"/>
          </w:tcPr>
          <w:p>
            <w:pPr>
              <w:jc w:val="center"/>
              <w:rPr>
                <w:szCs w:val="21"/>
              </w:rPr>
            </w:pPr>
            <w:r>
              <w:rPr>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057" w:type="dxa"/>
            <w:gridSpan w:val="2"/>
            <w:tcBorders>
              <w:left w:val="single" w:color="auto" w:sz="4" w:space="0"/>
              <w:right w:val="single" w:color="auto" w:sz="4" w:space="0"/>
            </w:tcBorders>
            <w:noWrap w:val="0"/>
            <w:vAlign w:val="center"/>
          </w:tcPr>
          <w:p>
            <w:pPr>
              <w:jc w:val="center"/>
              <w:rPr>
                <w:szCs w:val="21"/>
              </w:rPr>
            </w:pPr>
          </w:p>
        </w:tc>
        <w:tc>
          <w:tcPr>
            <w:tcW w:w="966" w:type="dxa"/>
            <w:tcBorders>
              <w:left w:val="single" w:color="auto" w:sz="4" w:space="0"/>
              <w:right w:val="single" w:color="auto" w:sz="4" w:space="0"/>
            </w:tcBorders>
            <w:noWrap w:val="0"/>
            <w:vAlign w:val="center"/>
          </w:tcPr>
          <w:p>
            <w:pPr>
              <w:jc w:val="center"/>
              <w:rPr>
                <w:szCs w:val="21"/>
              </w:rPr>
            </w:pPr>
          </w:p>
        </w:tc>
        <w:tc>
          <w:tcPr>
            <w:tcW w:w="1194" w:type="dxa"/>
            <w:tcBorders>
              <w:left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2</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057" w:type="dxa"/>
            <w:gridSpan w:val="2"/>
            <w:tcBorders>
              <w:left w:val="single" w:color="auto" w:sz="4" w:space="0"/>
              <w:right w:val="single" w:color="auto" w:sz="4" w:space="0"/>
            </w:tcBorders>
            <w:noWrap w:val="0"/>
            <w:vAlign w:val="center"/>
          </w:tcPr>
          <w:p>
            <w:pPr>
              <w:jc w:val="center"/>
              <w:rPr>
                <w:szCs w:val="21"/>
              </w:rPr>
            </w:pPr>
          </w:p>
        </w:tc>
        <w:tc>
          <w:tcPr>
            <w:tcW w:w="966" w:type="dxa"/>
            <w:tcBorders>
              <w:left w:val="single" w:color="auto" w:sz="4" w:space="0"/>
              <w:right w:val="single" w:color="auto" w:sz="4" w:space="0"/>
            </w:tcBorders>
            <w:noWrap w:val="0"/>
            <w:vAlign w:val="center"/>
          </w:tcPr>
          <w:p>
            <w:pPr>
              <w:jc w:val="center"/>
              <w:rPr>
                <w:szCs w:val="21"/>
              </w:rPr>
            </w:pPr>
          </w:p>
        </w:tc>
        <w:tc>
          <w:tcPr>
            <w:tcW w:w="1194" w:type="dxa"/>
            <w:tcBorders>
              <w:left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3</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057" w:type="dxa"/>
            <w:gridSpan w:val="2"/>
            <w:tcBorders>
              <w:left w:val="single" w:color="auto" w:sz="4" w:space="0"/>
              <w:right w:val="single" w:color="auto" w:sz="4" w:space="0"/>
            </w:tcBorders>
            <w:noWrap w:val="0"/>
            <w:vAlign w:val="center"/>
          </w:tcPr>
          <w:p>
            <w:pPr>
              <w:jc w:val="center"/>
              <w:rPr>
                <w:szCs w:val="21"/>
              </w:rPr>
            </w:pPr>
          </w:p>
        </w:tc>
        <w:tc>
          <w:tcPr>
            <w:tcW w:w="966" w:type="dxa"/>
            <w:tcBorders>
              <w:left w:val="single" w:color="auto" w:sz="4" w:space="0"/>
              <w:right w:val="single" w:color="auto" w:sz="4" w:space="0"/>
            </w:tcBorders>
            <w:noWrap w:val="0"/>
            <w:vAlign w:val="center"/>
          </w:tcPr>
          <w:p>
            <w:pPr>
              <w:jc w:val="center"/>
              <w:rPr>
                <w:szCs w:val="21"/>
              </w:rPr>
            </w:pPr>
          </w:p>
        </w:tc>
        <w:tc>
          <w:tcPr>
            <w:tcW w:w="1194" w:type="dxa"/>
            <w:tcBorders>
              <w:left w:val="single" w:color="auto" w:sz="4" w:space="0"/>
              <w:right w:val="single" w:color="auto" w:sz="4" w:space="0"/>
            </w:tcBorders>
            <w:noWrap w:val="0"/>
            <w:vAlign w:val="center"/>
          </w:tcPr>
          <w:p>
            <w:pPr>
              <w:jc w:val="center"/>
              <w:rPr>
                <w:szCs w:val="21"/>
              </w:rPr>
            </w:pPr>
          </w:p>
        </w:tc>
      </w:tr>
    </w:tbl>
    <w:p>
      <w:pPr>
        <w:pStyle w:val="30"/>
        <w:rPr>
          <w:rFonts w:ascii="Times New Roman" w:hAnsi="Times New Roman" w:cs="Times New Roman"/>
          <w:b/>
        </w:rPr>
      </w:pPr>
      <w:r>
        <w:rPr>
          <w:rFonts w:ascii="Times New Roman" w:hAnsi="Times New Roman" w:cs="Times New Roman"/>
          <w:b/>
        </w:rPr>
        <w:t>注：1.如有技术等级或职称证书，需将证书扫描件附于表后；</w:t>
      </w:r>
    </w:p>
    <w:p>
      <w:pPr>
        <w:pStyle w:val="30"/>
        <w:rPr>
          <w:rFonts w:ascii="Times New Roman" w:hAnsi="Times New Roman" w:cs="Times New Roman"/>
          <w:b/>
          <w:highlight w:val="none"/>
        </w:rPr>
      </w:pPr>
      <w:r>
        <w:rPr>
          <w:rFonts w:ascii="Times New Roman" w:hAnsi="Times New Roman" w:cs="Times New Roman"/>
          <w:b/>
        </w:rPr>
        <w:t xml:space="preserve">    2.在投标文件中需提供相关证书扫描件和个人社保缴费清单（社保缴费清单要求是持证人员近三个月的在投</w:t>
      </w:r>
      <w:r>
        <w:rPr>
          <w:rFonts w:ascii="Times New Roman" w:hAnsi="Times New Roman" w:cs="Times New Roman"/>
          <w:b/>
          <w:highlight w:val="none"/>
        </w:rPr>
        <w:t>标单位</w:t>
      </w:r>
      <w:r>
        <w:rPr>
          <w:rFonts w:hint="eastAsia" w:ascii="Times New Roman" w:hAnsi="Times New Roman" w:cs="Times New Roman"/>
          <w:b/>
          <w:highlight w:val="none"/>
          <w:lang w:eastAsia="zh-CN"/>
        </w:rPr>
        <w:t>缴纳</w:t>
      </w:r>
      <w:r>
        <w:rPr>
          <w:rFonts w:ascii="Times New Roman" w:hAnsi="Times New Roman" w:cs="Times New Roman"/>
          <w:b/>
          <w:highlight w:val="none"/>
        </w:rPr>
        <w:t>的个人社保缴费清单，如投标单位新成立不足三个月的，按实际缴纳情况提供持证人员在该单位的社保缴费清单，社保缴费清单需加盖缴费当地社保机构公章或业务章。近三个月指的是从202</w:t>
      </w:r>
      <w:r>
        <w:rPr>
          <w:rFonts w:hint="eastAsia" w:ascii="Times New Roman" w:hAnsi="Times New Roman" w:cs="Times New Roman"/>
          <w:b/>
          <w:highlight w:val="none"/>
        </w:rPr>
        <w:t>2</w:t>
      </w:r>
      <w:r>
        <w:rPr>
          <w:rFonts w:ascii="Times New Roman" w:hAnsi="Times New Roman" w:cs="Times New Roman"/>
          <w:b/>
          <w:highlight w:val="none"/>
        </w:rPr>
        <w:t>年</w:t>
      </w:r>
      <w:r>
        <w:rPr>
          <w:rFonts w:hint="eastAsia" w:ascii="Times New Roman" w:hAnsi="Times New Roman" w:cs="Times New Roman"/>
          <w:b/>
          <w:highlight w:val="none"/>
        </w:rPr>
        <w:t>2</w:t>
      </w:r>
      <w:r>
        <w:rPr>
          <w:rFonts w:ascii="Times New Roman" w:hAnsi="Times New Roman" w:cs="Times New Roman"/>
          <w:b/>
          <w:highlight w:val="none"/>
        </w:rPr>
        <w:t>月01日至投标截止时止期间中任何一个连续3个月）。</w:t>
      </w:r>
    </w:p>
    <w:p>
      <w:pPr>
        <w:pStyle w:val="30"/>
        <w:ind w:firstLine="422" w:firstLineChars="200"/>
        <w:rPr>
          <w:rFonts w:ascii="Times New Roman" w:hAnsi="Times New Roman" w:cs="Times New Roman"/>
          <w:b/>
          <w:highlight w:val="none"/>
        </w:rPr>
      </w:pPr>
      <w:r>
        <w:rPr>
          <w:rFonts w:ascii="Times New Roman" w:hAnsi="Times New Roman" w:cs="Times New Roman"/>
          <w:b/>
          <w:highlight w:val="none"/>
        </w:rPr>
        <w:t>3.此表在不改变格式内容的情况下，可自行制作。</w:t>
      </w:r>
    </w:p>
    <w:p>
      <w:pPr>
        <w:spacing w:line="400" w:lineRule="exact"/>
        <w:jc w:val="center"/>
        <w:rPr>
          <w:b/>
          <w:bCs/>
          <w:sz w:val="36"/>
          <w:szCs w:val="36"/>
          <w:highlight w:val="none"/>
        </w:rPr>
      </w:pPr>
      <w:r>
        <w:rPr>
          <w:b/>
          <w:bCs/>
          <w:sz w:val="36"/>
          <w:szCs w:val="36"/>
          <w:highlight w:val="none"/>
        </w:rPr>
        <w:t>项目组成主要成员表</w:t>
      </w:r>
    </w:p>
    <w:p>
      <w:pPr>
        <w:rPr>
          <w:szCs w:val="21"/>
          <w:highlight w:val="none"/>
        </w:rPr>
      </w:pPr>
      <w:r>
        <w:rPr>
          <w:b/>
          <w:szCs w:val="21"/>
          <w:highlight w:val="none"/>
        </w:rPr>
        <w:t>投标人：（电子签章）_________________</w:t>
      </w:r>
      <w:r>
        <w:rPr>
          <w:sz w:val="24"/>
          <w:highlight w:val="none"/>
        </w:rPr>
        <w:t>采购编号：</w:t>
      </w:r>
      <w:r>
        <w:rPr>
          <w:rFonts w:hint="eastAsia" w:ascii="Times New Roman" w:hAnsi="Times New Roman" w:cs="Times New Roman"/>
          <w:color w:val="FF0000"/>
          <w:sz w:val="24"/>
          <w:szCs w:val="20"/>
          <w:highlight w:val="none"/>
        </w:rPr>
        <w:t>YWCG2022023GK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313"/>
        <w:gridCol w:w="945"/>
        <w:gridCol w:w="1773"/>
        <w:gridCol w:w="151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序号</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姓名</w:t>
            </w: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性别</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技术等级或职称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岗位</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从事该岗位时间</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从事过类似主要项目</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tabs>
                <w:tab w:val="left" w:pos="510"/>
              </w:tabs>
              <w:jc w:val="center"/>
              <w:rPr>
                <w:b/>
                <w:szCs w:val="21"/>
                <w:highlight w:val="none"/>
              </w:rPr>
            </w:pPr>
            <w:r>
              <w:rPr>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286" w:type="dxa"/>
            <w:vMerge w:val="restart"/>
            <w:tcBorders>
              <w:top w:val="single" w:color="auto" w:sz="4" w:space="0"/>
              <w:left w:val="single" w:color="auto" w:sz="4" w:space="0"/>
              <w:right w:val="single" w:color="auto" w:sz="4" w:space="0"/>
            </w:tcBorders>
            <w:noWrap w:val="0"/>
            <w:vAlign w:val="center"/>
          </w:tcPr>
          <w:p>
            <w:pPr>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286" w:type="dxa"/>
            <w:vMerge w:val="continue"/>
            <w:tcBorders>
              <w:left w:val="single" w:color="auto" w:sz="4" w:space="0"/>
              <w:right w:val="single" w:color="auto" w:sz="4" w:space="0"/>
            </w:tcBorders>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286" w:type="dxa"/>
            <w:vMerge w:val="continue"/>
            <w:tcBorders>
              <w:left w:val="single" w:color="auto" w:sz="4" w:space="0"/>
              <w:right w:val="single" w:color="auto" w:sz="4" w:space="0"/>
            </w:tcBorders>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286" w:type="dxa"/>
            <w:vMerge w:val="continue"/>
            <w:tcBorders>
              <w:left w:val="single" w:color="auto" w:sz="4" w:space="0"/>
              <w:right w:val="single" w:color="auto" w:sz="4" w:space="0"/>
            </w:tcBorders>
            <w:noWrap w:val="0"/>
            <w:vAlign w:val="center"/>
          </w:tcPr>
          <w:p>
            <w:pPr>
              <w:jc w:val="center"/>
              <w:rPr>
                <w:szCs w:val="21"/>
                <w:highlight w:val="none"/>
              </w:rPr>
            </w:pPr>
          </w:p>
        </w:tc>
      </w:tr>
    </w:tbl>
    <w:p>
      <w:pPr>
        <w:pStyle w:val="30"/>
        <w:wordWrap w:val="0"/>
        <w:ind w:firstLine="422" w:firstLineChars="200"/>
        <w:rPr>
          <w:rFonts w:ascii="Times New Roman" w:hAnsi="Times New Roman" w:cs="Times New Roman"/>
          <w:b/>
          <w:highlight w:val="none"/>
        </w:rPr>
      </w:pPr>
      <w:r>
        <w:rPr>
          <w:rFonts w:ascii="Times New Roman" w:hAnsi="Times New Roman" w:cs="Times New Roman"/>
          <w:b/>
          <w:highlight w:val="none"/>
        </w:rPr>
        <w:t>注：1.如有技术等级或职称证书，需将证书扫描件附于表后；</w:t>
      </w:r>
    </w:p>
    <w:p>
      <w:pPr>
        <w:pStyle w:val="30"/>
        <w:wordWrap w:val="0"/>
        <w:ind w:firstLine="422" w:firstLineChars="200"/>
        <w:rPr>
          <w:rFonts w:ascii="Times New Roman" w:hAnsi="Times New Roman" w:cs="Times New Roman"/>
          <w:b/>
        </w:rPr>
      </w:pPr>
      <w:r>
        <w:rPr>
          <w:rFonts w:ascii="Times New Roman" w:hAnsi="Times New Roman" w:cs="Times New Roman"/>
          <w:b/>
          <w:highlight w:val="none"/>
        </w:rPr>
        <w:t>2.在投标文件中需提供相关证书扫描件和个人社保缴费清单（社保缴费清单要求是持证人员近三个月的在投标单位</w:t>
      </w:r>
      <w:r>
        <w:rPr>
          <w:rFonts w:hint="eastAsia" w:ascii="Times New Roman" w:hAnsi="Times New Roman" w:cs="Times New Roman"/>
          <w:b/>
          <w:highlight w:val="none"/>
          <w:lang w:eastAsia="zh-CN"/>
        </w:rPr>
        <w:t>缴纳</w:t>
      </w:r>
      <w:r>
        <w:rPr>
          <w:rFonts w:ascii="Times New Roman" w:hAnsi="Times New Roman" w:cs="Times New Roman"/>
          <w:b/>
          <w:highlight w:val="none"/>
        </w:rPr>
        <w:t>的个人社保缴费清单，如投标单位新成立不足三个月的，按实际缴纳情况提供持证人员在该单位的社保缴费清单，社保缴费清单需加盖缴费当地社保机构公章或业务章。近三个月指的是从202</w:t>
      </w:r>
      <w:r>
        <w:rPr>
          <w:rFonts w:hint="eastAsia" w:ascii="Times New Roman" w:hAnsi="Times New Roman" w:cs="Times New Roman"/>
          <w:b/>
          <w:highlight w:val="none"/>
        </w:rPr>
        <w:t>2</w:t>
      </w:r>
      <w:r>
        <w:rPr>
          <w:rFonts w:ascii="Times New Roman" w:hAnsi="Times New Roman" w:cs="Times New Roman"/>
          <w:b/>
          <w:highlight w:val="none"/>
        </w:rPr>
        <w:t>年</w:t>
      </w:r>
      <w:r>
        <w:rPr>
          <w:rFonts w:hint="eastAsia" w:ascii="Times New Roman" w:hAnsi="Times New Roman" w:cs="Times New Roman"/>
          <w:b/>
          <w:highlight w:val="none"/>
        </w:rPr>
        <w:t>2</w:t>
      </w:r>
      <w:r>
        <w:rPr>
          <w:rFonts w:ascii="Times New Roman" w:hAnsi="Times New Roman" w:cs="Times New Roman"/>
          <w:b/>
          <w:highlight w:val="none"/>
        </w:rPr>
        <w:t>月01日至投标截止时止期间中任何一个连续</w:t>
      </w:r>
      <w:r>
        <w:rPr>
          <w:rFonts w:ascii="Times New Roman" w:hAnsi="Times New Roman" w:cs="Times New Roman"/>
          <w:b/>
        </w:rPr>
        <w:t>3个月）。</w:t>
      </w:r>
    </w:p>
    <w:p>
      <w:pPr>
        <w:pStyle w:val="30"/>
        <w:wordWrap w:val="0"/>
        <w:ind w:firstLine="422" w:firstLineChars="200"/>
        <w:rPr>
          <w:rFonts w:ascii="Times New Roman" w:hAnsi="Times New Roman" w:cs="Times New Roman"/>
          <w:b/>
        </w:rPr>
      </w:pPr>
      <w:r>
        <w:rPr>
          <w:rFonts w:ascii="Times New Roman" w:hAnsi="Times New Roman" w:cs="Times New Roman"/>
          <w:b/>
        </w:rPr>
        <w:t>3.“从事过类主要项目”栏中注明每个参与的项目名称、内容、金额、参与项目的时间、业主联系人、联系人的联系电话、手机等内容</w:t>
      </w:r>
    </w:p>
    <w:p>
      <w:pPr>
        <w:pStyle w:val="30"/>
        <w:wordWrap w:val="0"/>
        <w:ind w:firstLine="422" w:firstLineChars="200"/>
        <w:rPr>
          <w:rFonts w:ascii="Times New Roman" w:hAnsi="Times New Roman" w:cs="Times New Roman"/>
          <w:b/>
        </w:rPr>
      </w:pPr>
      <w:r>
        <w:rPr>
          <w:rFonts w:ascii="Times New Roman" w:hAnsi="Times New Roman" w:cs="Times New Roman"/>
          <w:b/>
        </w:rPr>
        <w:t>4.此表在不改变格式内容的情况下，可自行制作。</w:t>
      </w:r>
    </w:p>
    <w:p>
      <w:pPr>
        <w:pStyle w:val="56"/>
        <w:ind w:left="0" w:leftChars="0" w:firstLine="0" w:firstLineChars="0"/>
      </w:pPr>
    </w:p>
    <w:p>
      <w:pPr>
        <w:pStyle w:val="56"/>
        <w:ind w:left="0" w:leftChars="0" w:firstLine="0" w:firstLineChars="0"/>
      </w:pPr>
    </w:p>
    <w:p>
      <w:pPr>
        <w:pStyle w:val="30"/>
        <w:spacing w:line="460" w:lineRule="exact"/>
        <w:ind w:left="274" w:leftChars="114"/>
        <w:jc w:val="center"/>
        <w:rPr>
          <w:rFonts w:hAnsi="宋体"/>
          <w:bCs/>
          <w:sz w:val="36"/>
          <w:szCs w:val="36"/>
        </w:rPr>
      </w:pPr>
      <w:r>
        <w:rPr>
          <w:rFonts w:hint="eastAsia" w:ascii="新宋体" w:hAnsi="新宋体" w:eastAsia="新宋体"/>
          <w:b/>
          <w:bCs/>
          <w:sz w:val="36"/>
          <w:szCs w:val="36"/>
        </w:rPr>
        <w:t>产品质量保证及售后服务承诺书</w:t>
      </w:r>
    </w:p>
    <w:p>
      <w:pPr>
        <w:spacing w:line="360" w:lineRule="auto"/>
        <w:rPr>
          <w:b/>
        </w:rPr>
      </w:pPr>
    </w:p>
    <w:p>
      <w:pPr>
        <w:spacing w:line="360" w:lineRule="auto"/>
        <w:ind w:firstLine="480" w:firstLineChars="200"/>
      </w:pPr>
      <w:r>
        <w:t>根据贵方</w:t>
      </w:r>
      <w:r>
        <w:rPr>
          <w:u w:val="single"/>
        </w:rPr>
        <w:t xml:space="preserve">      年     月    日</w:t>
      </w:r>
      <w:r>
        <w:t>招标编号为</w:t>
      </w:r>
      <w:r>
        <w:rPr>
          <w:rFonts w:hint="eastAsia"/>
          <w:color w:val="FF0000"/>
          <w:u w:val="single"/>
        </w:rPr>
        <w:t>YWCG2022023GK</w:t>
      </w:r>
      <w:r>
        <w:t>项目的投标邀请，我方对该项目做出如下产品质量承诺：</w:t>
      </w:r>
    </w:p>
    <w:p>
      <w:pPr>
        <w:spacing w:line="360" w:lineRule="auto"/>
        <w:ind w:left="480"/>
      </w:pPr>
      <w:r>
        <w:t>1.技术规范及相关产品标准：</w:t>
      </w:r>
    </w:p>
    <w:p>
      <w:pPr>
        <w:spacing w:line="360" w:lineRule="auto"/>
      </w:pPr>
    </w:p>
    <w:p>
      <w:pPr>
        <w:spacing w:line="360" w:lineRule="auto"/>
      </w:pPr>
    </w:p>
    <w:p>
      <w:pPr>
        <w:spacing w:line="360" w:lineRule="auto"/>
        <w:ind w:left="480"/>
      </w:pPr>
      <w:r>
        <w:t>2.产品都属于厂家原装正品产品：</w:t>
      </w:r>
    </w:p>
    <w:p>
      <w:pPr>
        <w:spacing w:line="360" w:lineRule="auto"/>
      </w:pPr>
    </w:p>
    <w:p>
      <w:pPr>
        <w:spacing w:line="360" w:lineRule="auto"/>
      </w:pPr>
    </w:p>
    <w:p>
      <w:pPr>
        <w:spacing w:line="360" w:lineRule="auto"/>
        <w:ind w:firstLine="480" w:firstLineChars="200"/>
        <w:rPr>
          <w:b/>
          <w:u w:val="single"/>
        </w:rPr>
      </w:pPr>
      <w:r>
        <w:t>3.质保年限、范围、质保条件</w:t>
      </w:r>
    </w:p>
    <w:p>
      <w:pPr>
        <w:spacing w:line="360" w:lineRule="auto"/>
      </w:pPr>
    </w:p>
    <w:p>
      <w:pPr>
        <w:spacing w:line="360" w:lineRule="auto"/>
      </w:pPr>
    </w:p>
    <w:p>
      <w:pPr>
        <w:spacing w:line="360" w:lineRule="auto"/>
        <w:ind w:left="480"/>
      </w:pPr>
      <w:r>
        <w:t>4.质量问题及投诉的处理、解决问题的响应时间及方式：</w:t>
      </w:r>
    </w:p>
    <w:p>
      <w:pPr>
        <w:spacing w:line="360" w:lineRule="auto"/>
      </w:pPr>
    </w:p>
    <w:p>
      <w:pPr>
        <w:spacing w:line="360" w:lineRule="auto"/>
      </w:pPr>
    </w:p>
    <w:p>
      <w:pPr>
        <w:spacing w:line="360" w:lineRule="auto"/>
        <w:ind w:left="480"/>
      </w:pPr>
      <w:r>
        <w:t>5.售后服务的联系人及联系方式：</w:t>
      </w:r>
    </w:p>
    <w:p>
      <w:pPr>
        <w:spacing w:line="360" w:lineRule="auto"/>
      </w:pPr>
    </w:p>
    <w:p>
      <w:pPr>
        <w:spacing w:line="360" w:lineRule="auto"/>
      </w:pPr>
    </w:p>
    <w:p>
      <w:pPr>
        <w:spacing w:line="360" w:lineRule="auto"/>
        <w:ind w:left="480"/>
      </w:pPr>
      <w:r>
        <w:t>6.其它售后服务承诺内容：</w:t>
      </w:r>
    </w:p>
    <w:p>
      <w:pPr>
        <w:spacing w:line="360" w:lineRule="auto"/>
        <w:jc w:val="center"/>
      </w:pPr>
    </w:p>
    <w:p>
      <w:pPr>
        <w:spacing w:line="360" w:lineRule="auto"/>
        <w:jc w:val="center"/>
      </w:pPr>
    </w:p>
    <w:p>
      <w:pPr>
        <w:pStyle w:val="30"/>
        <w:spacing w:line="460" w:lineRule="exact"/>
        <w:ind w:left="274" w:leftChars="114"/>
        <w:jc w:val="center"/>
        <w:rPr>
          <w:rFonts w:ascii="Times New Roman" w:hAnsi="Times New Roman" w:cs="Times New Roman"/>
          <w:sz w:val="24"/>
          <w:szCs w:val="24"/>
        </w:rPr>
      </w:pPr>
      <w:r>
        <w:rPr>
          <w:rFonts w:ascii="Times New Roman" w:hAnsi="Times New Roman" w:cs="Times New Roman"/>
          <w:sz w:val="24"/>
          <w:szCs w:val="24"/>
        </w:rPr>
        <w:t>投标人名称（电子签章）：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pStyle w:val="30"/>
        <w:spacing w:line="460" w:lineRule="exact"/>
        <w:ind w:left="274" w:leftChars="114"/>
        <w:jc w:val="center"/>
        <w:rPr>
          <w:rFonts w:ascii="Times New Roman" w:hAnsi="Times New Roman" w:cs="Times New Roman"/>
          <w:kern w:val="0"/>
          <w:sz w:val="24"/>
          <w:szCs w:val="24"/>
        </w:rPr>
      </w:pPr>
      <w:r>
        <w:rPr>
          <w:rFonts w:ascii="Times New Roman" w:hAnsi="Times New Roman" w:cs="Times New Roman"/>
          <w:sz w:val="24"/>
          <w:szCs w:val="24"/>
        </w:rPr>
        <w:t>日 期：   年   月   日</w:t>
      </w:r>
    </w:p>
    <w:p>
      <w:pPr>
        <w:pStyle w:val="56"/>
        <w:ind w:left="480" w:firstLine="480"/>
      </w:pPr>
    </w:p>
    <w:p>
      <w:pPr>
        <w:pStyle w:val="56"/>
        <w:ind w:left="480" w:firstLine="480"/>
      </w:pPr>
    </w:p>
    <w:p>
      <w:pPr>
        <w:pStyle w:val="56"/>
        <w:ind w:left="480" w:firstLine="480"/>
      </w:pPr>
    </w:p>
    <w:p>
      <w:pPr>
        <w:pStyle w:val="56"/>
        <w:ind w:left="480" w:firstLine="480"/>
      </w:pPr>
    </w:p>
    <w:p>
      <w:pPr>
        <w:pStyle w:val="30"/>
        <w:widowControl w:val="0"/>
        <w:jc w:val="center"/>
        <w:rPr>
          <w:rFonts w:ascii="Times New Roman" w:hAnsi="Times New Roman" w:cs="Times New Roman"/>
          <w:b/>
          <w:bCs/>
          <w:sz w:val="36"/>
          <w:szCs w:val="36"/>
        </w:rPr>
      </w:pPr>
    </w:p>
    <w:p>
      <w:pPr>
        <w:pStyle w:val="30"/>
        <w:widowControl w:val="0"/>
        <w:jc w:val="center"/>
        <w:rPr>
          <w:rFonts w:ascii="Times New Roman" w:hAnsi="Times New Roman" w:cs="Times New Roman"/>
          <w:b/>
          <w:bCs/>
          <w:sz w:val="36"/>
          <w:szCs w:val="36"/>
        </w:rPr>
      </w:pPr>
      <w:r>
        <w:rPr>
          <w:rFonts w:ascii="Times New Roman" w:hAnsi="Times New Roman" w:cs="Times New Roman"/>
          <w:b/>
          <w:bCs/>
          <w:sz w:val="36"/>
          <w:szCs w:val="36"/>
        </w:rPr>
        <w:t>规范偏离表</w:t>
      </w:r>
    </w:p>
    <w:p>
      <w:pPr>
        <w:spacing w:line="360" w:lineRule="auto"/>
      </w:pPr>
      <w:r>
        <w:rPr>
          <w:sz w:val="21"/>
          <w:szCs w:val="21"/>
        </w:rPr>
        <w:t>采购编号：</w:t>
      </w:r>
      <w:r>
        <w:rPr>
          <w:rFonts w:hint="eastAsia" w:eastAsiaTheme="minorEastAsia"/>
          <w:color w:val="FF0000"/>
        </w:rPr>
        <w:t>YWCG2022023GK</w:t>
      </w:r>
    </w:p>
    <w:tbl>
      <w:tblPr>
        <w:tblStyle w:val="5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10"/>
        <w:gridCol w:w="1430"/>
        <w:gridCol w:w="1984"/>
        <w:gridCol w:w="1843"/>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jc w:val="cente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r>
              <w:t>招标文件</w:t>
            </w:r>
          </w:p>
          <w:p>
            <w:pPr>
              <w:jc w:val="center"/>
            </w:pPr>
            <w: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投标文件</w:t>
            </w:r>
          </w:p>
          <w:p>
            <w:pPr>
              <w:jc w:val="center"/>
            </w:pPr>
            <w:r>
              <w:t>对应规范</w:t>
            </w:r>
          </w:p>
        </w:tc>
        <w:tc>
          <w:tcPr>
            <w:tcW w:w="2948" w:type="dxa"/>
            <w:tcBorders>
              <w:top w:val="single" w:color="auto" w:sz="4" w:space="0"/>
              <w:left w:val="single" w:color="auto" w:sz="4" w:space="0"/>
              <w:bottom w:val="single" w:color="auto" w:sz="4" w:space="0"/>
              <w:right w:val="single" w:color="auto" w:sz="4" w:space="0"/>
            </w:tcBorders>
            <w:vAlign w:val="center"/>
          </w:tcPr>
          <w:p>
            <w:pPr>
              <w:jc w:val="center"/>
            </w:pPr>
            <w:r>
              <w:t>偏离情况</w:t>
            </w:r>
          </w:p>
          <w:p>
            <w:pPr>
              <w:jc w:val="center"/>
            </w:pPr>
            <w: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spacing w:line="360" w:lineRule="auto"/>
              <w:jc w:val="center"/>
            </w:pPr>
            <w:r>
              <w:t>商务偏离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r>
              <w:t>技术</w:t>
            </w:r>
          </w:p>
          <w:p>
            <w:r>
              <w:t>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tcPr>
          <w:p>
            <w:pPr>
              <w:spacing w:line="360" w:lineRule="auto"/>
              <w:jc w:val="center"/>
            </w:p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bottom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bl>
    <w:p>
      <w:pPr>
        <w:pStyle w:val="30"/>
        <w:spacing w:line="460" w:lineRule="exact"/>
        <w:ind w:left="274" w:leftChars="114"/>
        <w:jc w:val="center"/>
        <w:rPr>
          <w:rFonts w:ascii="Times New Roman" w:hAnsi="Times New Roman" w:cs="Times New Roman"/>
          <w:sz w:val="24"/>
          <w:szCs w:val="24"/>
        </w:rPr>
      </w:pPr>
      <w:r>
        <w:rPr>
          <w:rFonts w:ascii="Times New Roman" w:hAnsi="Times New Roman" w:cs="Times New Roman"/>
          <w:sz w:val="24"/>
          <w:szCs w:val="24"/>
        </w:rPr>
        <w:t>投标人名称（电子签章）：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pStyle w:val="30"/>
        <w:spacing w:line="460" w:lineRule="exact"/>
        <w:ind w:left="274" w:leftChars="114"/>
        <w:jc w:val="center"/>
        <w:rPr>
          <w:rFonts w:ascii="Times New Roman" w:hAnsi="Times New Roman" w:cs="Times New Roman"/>
          <w:kern w:val="0"/>
          <w:sz w:val="24"/>
          <w:szCs w:val="24"/>
        </w:rPr>
      </w:pPr>
      <w:r>
        <w:rPr>
          <w:rFonts w:ascii="Times New Roman" w:hAnsi="Times New Roman" w:cs="Times New Roman"/>
          <w:sz w:val="24"/>
          <w:szCs w:val="24"/>
        </w:rPr>
        <w:t>日 期：   年   月   日</w:t>
      </w:r>
    </w:p>
    <w:p>
      <w:pPr>
        <w:spacing w:line="400" w:lineRule="exact"/>
        <w:ind w:firstLine="480" w:firstLineChars="200"/>
      </w:pPr>
    </w:p>
    <w:p>
      <w:pPr>
        <w:spacing w:line="400" w:lineRule="exact"/>
        <w:ind w:firstLine="480" w:firstLineChars="200"/>
      </w:pPr>
      <w:r>
        <w:t>备注：1、投标人应仔细对第三章招标项目要求进行逐条分析，如投标内容与招标文件内容有不一致的，则须在上表中列明并详细填写。</w:t>
      </w:r>
    </w:p>
    <w:p>
      <w:pPr>
        <w:spacing w:line="400" w:lineRule="exact"/>
        <w:ind w:firstLine="480" w:firstLineChars="200"/>
      </w:pPr>
      <w:r>
        <w:t>2、如招标文件内容与投标文件内容都一致的，则本表可以在相关的盖章后，不需要填写其它内容或在“偏离情况详细说明”栏内只填写一个无字。</w:t>
      </w:r>
    </w:p>
    <w:p>
      <w:pPr>
        <w:spacing w:line="400" w:lineRule="exact"/>
        <w:ind w:firstLine="480" w:firstLineChars="200"/>
      </w:pPr>
      <w:r>
        <w:t>3、此表在不改变表式内容的情况下可自行制作。</w:t>
      </w:r>
    </w:p>
    <w:p>
      <w:pPr>
        <w:pStyle w:val="30"/>
        <w:spacing w:line="400" w:lineRule="exact"/>
        <w:rPr>
          <w:rFonts w:ascii="Times New Roman" w:hAnsi="Times New Roman" w:cs="Times New Roman"/>
          <w:bCs/>
          <w:sz w:val="28"/>
          <w:szCs w:val="28"/>
        </w:rPr>
      </w:pPr>
    </w:p>
    <w:p>
      <w:pPr>
        <w:pStyle w:val="30"/>
        <w:spacing w:line="360" w:lineRule="auto"/>
        <w:rPr>
          <w:rFonts w:ascii="Times New Roman" w:hAnsi="Times New Roman" w:cs="Times New Roman"/>
          <w:bCs/>
          <w:sz w:val="28"/>
          <w:szCs w:val="28"/>
          <w:highlight w:val="green"/>
        </w:rPr>
      </w:pPr>
    </w:p>
    <w:p>
      <w:pPr>
        <w:pStyle w:val="30"/>
        <w:jc w:val="center"/>
        <w:rPr>
          <w:rFonts w:ascii="Times New Roman" w:hAnsi="Times New Roman" w:cs="Times New Roman"/>
          <w:b/>
          <w:bCs/>
          <w:sz w:val="44"/>
          <w:szCs w:val="44"/>
          <w:highlight w:val="green"/>
        </w:rPr>
      </w:pPr>
    </w:p>
    <w:p>
      <w:pPr>
        <w:pStyle w:val="30"/>
        <w:widowControl w:val="0"/>
        <w:jc w:val="center"/>
        <w:rPr>
          <w:rFonts w:ascii="Times New Roman" w:hAnsi="Times New Roman" w:cs="Times New Roman"/>
          <w:b/>
          <w:bCs/>
          <w:sz w:val="36"/>
          <w:szCs w:val="36"/>
        </w:rPr>
      </w:pPr>
      <w:r>
        <w:rPr>
          <w:rFonts w:ascii="Times New Roman" w:hAnsi="Times New Roman" w:cs="Times New Roman"/>
          <w:b/>
          <w:bCs/>
          <w:sz w:val="36"/>
          <w:szCs w:val="36"/>
        </w:rPr>
        <w:t>开标一览表</w:t>
      </w:r>
    </w:p>
    <w:p>
      <w:pPr>
        <w:spacing w:line="360" w:lineRule="auto"/>
        <w:rPr>
          <w:color w:val="FF0000"/>
        </w:rPr>
      </w:pPr>
      <w:r>
        <w:rPr>
          <w:color w:val="FF0000"/>
        </w:rPr>
        <w:t>项目名称：</w:t>
      </w:r>
      <w:r>
        <w:rPr>
          <w:rFonts w:hint="eastAsia"/>
          <w:color w:val="FF0000"/>
          <w:szCs w:val="21"/>
        </w:rPr>
        <w:t>浙江省机电技师学院智慧物流实训室建设项目</w:t>
      </w:r>
      <w:r>
        <w:rPr>
          <w:rFonts w:hint="eastAsia"/>
          <w:color w:val="FF0000"/>
          <w:szCs w:val="21"/>
          <w:lang w:val="en-US" w:eastAsia="zh-CN"/>
        </w:rPr>
        <w:t xml:space="preserve">    </w:t>
      </w:r>
      <w:r>
        <w:rPr>
          <w:color w:val="FF0000"/>
        </w:rPr>
        <w:t>采购编号：</w:t>
      </w:r>
      <w:r>
        <w:rPr>
          <w:rFonts w:hint="eastAsia"/>
          <w:color w:val="FF0000"/>
          <w:szCs w:val="21"/>
        </w:rPr>
        <w:t>YWCG2022023GK</w:t>
      </w:r>
    </w:p>
    <w:tbl>
      <w:tblPr>
        <w:tblStyle w:val="5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029"/>
        <w:gridCol w:w="1587"/>
        <w:gridCol w:w="10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spacing w:line="360" w:lineRule="auto"/>
              <w:jc w:val="center"/>
            </w:pPr>
            <w:r>
              <w:t>序号</w:t>
            </w:r>
          </w:p>
        </w:tc>
        <w:tc>
          <w:tcPr>
            <w:tcW w:w="4029" w:type="dxa"/>
            <w:vAlign w:val="center"/>
          </w:tcPr>
          <w:p>
            <w:pPr>
              <w:spacing w:line="360" w:lineRule="auto"/>
              <w:ind w:firstLine="480" w:firstLineChars="200"/>
              <w:jc w:val="center"/>
            </w:pPr>
            <w:r>
              <w:t>采购项目</w:t>
            </w:r>
          </w:p>
        </w:tc>
        <w:tc>
          <w:tcPr>
            <w:tcW w:w="1587" w:type="dxa"/>
            <w:vAlign w:val="center"/>
          </w:tcPr>
          <w:p>
            <w:pPr>
              <w:spacing w:line="360" w:lineRule="auto"/>
              <w:jc w:val="center"/>
            </w:pPr>
            <w:r>
              <w:t>数量</w:t>
            </w:r>
          </w:p>
        </w:tc>
        <w:tc>
          <w:tcPr>
            <w:tcW w:w="1080" w:type="dxa"/>
            <w:vAlign w:val="center"/>
          </w:tcPr>
          <w:p>
            <w:pPr>
              <w:spacing w:line="360" w:lineRule="auto"/>
              <w:jc w:val="center"/>
            </w:pPr>
            <w:r>
              <w:t>单价</w:t>
            </w:r>
          </w:p>
        </w:tc>
        <w:tc>
          <w:tcPr>
            <w:tcW w:w="1605" w:type="dxa"/>
            <w:vAlign w:val="center"/>
          </w:tcPr>
          <w:p>
            <w:pPr>
              <w:spacing w:line="360" w:lineRule="auto"/>
              <w:ind w:firstLine="480" w:firstLineChars="200"/>
              <w:jc w:val="both"/>
            </w:pPr>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FF0000"/>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智慧物流方案设计与实施VR虚拟仿真软件</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AR实训台</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1张</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仓储布局规划仿真软件</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智能物流设备AR软件</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FF0000"/>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快递运营职业技能实训平台</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智能物流教学资源管理模块</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VR中控机</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VR显示屏</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PC端VR头式操作设备</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头戴式显示设备</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台式电脑</w:t>
            </w:r>
            <w:r>
              <w:rPr>
                <w:rFonts w:hint="eastAsia" w:cs="Times New Roman"/>
                <w:i w:val="0"/>
                <w:iCs w:val="0"/>
                <w:color w:val="000000"/>
                <w:kern w:val="0"/>
                <w:sz w:val="24"/>
                <w:szCs w:val="24"/>
                <w:highlight w:val="none"/>
                <w:u w:val="none"/>
                <w:lang w:val="en-US" w:eastAsia="zh-CN" w:bidi="ar"/>
              </w:rPr>
              <w:t>1</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2台</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投影仪</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智能教学管理设备</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企业级千兆路由</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1个</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多媒体设备</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交换机</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1台</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网络机柜</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1台</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教师桌椅</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学生桌椅</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48套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文件柜</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2个</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物流考证管理系统</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物流考证教学资源（中级工、高级工）</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物流考证题库</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20套</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物流考证教材</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2本</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台式电脑</w:t>
            </w:r>
            <w:r>
              <w:rPr>
                <w:rFonts w:hint="eastAsia" w:cs="Times New Roman"/>
                <w:i w:val="0"/>
                <w:iCs w:val="0"/>
                <w:color w:val="000000"/>
                <w:kern w:val="0"/>
                <w:sz w:val="24"/>
                <w:szCs w:val="24"/>
                <w:highlight w:val="none"/>
                <w:u w:val="none"/>
                <w:lang w:val="en-US" w:eastAsia="zh-CN" w:bidi="ar"/>
              </w:rPr>
              <w:t>2</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98台</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文件柜</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4个</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4029"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雨伞收纳柜</w:t>
            </w:r>
          </w:p>
        </w:tc>
        <w:tc>
          <w:tcPr>
            <w:tcW w:w="1587" w:type="dxa"/>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2个</w:t>
            </w:r>
          </w:p>
        </w:tc>
        <w:tc>
          <w:tcPr>
            <w:tcW w:w="1080" w:type="dxa"/>
            <w:vAlign w:val="center"/>
          </w:tcPr>
          <w:p>
            <w:pPr>
              <w:spacing w:line="360" w:lineRule="auto"/>
              <w:ind w:firstLine="480" w:firstLineChars="200"/>
              <w:jc w:val="center"/>
            </w:pPr>
          </w:p>
        </w:tc>
        <w:tc>
          <w:tcPr>
            <w:tcW w:w="1605" w:type="dxa"/>
          </w:tcPr>
          <w:p>
            <w:pPr>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813" w:type="dxa"/>
            <w:vAlign w:val="center"/>
          </w:tcPr>
          <w:p>
            <w:pPr>
              <w:spacing w:line="360" w:lineRule="auto"/>
            </w:pPr>
            <w:r>
              <w:t>合计</w:t>
            </w:r>
          </w:p>
        </w:tc>
        <w:tc>
          <w:tcPr>
            <w:tcW w:w="8301" w:type="dxa"/>
            <w:gridSpan w:val="4"/>
            <w:vAlign w:val="center"/>
          </w:tcPr>
          <w:p>
            <w:pPr>
              <w:pStyle w:val="2"/>
              <w:spacing w:line="360" w:lineRule="auto"/>
              <w:jc w:val="both"/>
              <w:rPr>
                <w:rFonts w:ascii="Times New Roman" w:hAnsi="Times New Roman" w:eastAsiaTheme="minorEastAsia"/>
                <w:b w:val="0"/>
                <w:bCs w:val="0"/>
                <w:sz w:val="24"/>
                <w:szCs w:val="24"/>
              </w:rPr>
            </w:pPr>
            <w:r>
              <w:rPr>
                <w:rFonts w:ascii="Times New Roman" w:hAnsi="Times New Roman" w:eastAsiaTheme="minorEastAsia"/>
                <w:b w:val="0"/>
                <w:bCs w:val="0"/>
                <w:kern w:val="0"/>
                <w:sz w:val="24"/>
                <w:szCs w:val="24"/>
              </w:rPr>
              <w:t>投标总价：</w:t>
            </w:r>
            <w:r>
              <w:rPr>
                <w:rFonts w:ascii="Times New Roman" w:hAnsi="Times New Roman" w:eastAsiaTheme="minorEastAsia"/>
                <w:b w:val="0"/>
                <w:bCs w:val="0"/>
                <w:sz w:val="24"/>
                <w:szCs w:val="24"/>
                <w:u w:val="single"/>
              </w:rPr>
              <w:t xml:space="preserve">                          (</w:t>
            </w:r>
            <w:r>
              <w:rPr>
                <w:rFonts w:ascii="Times New Roman" w:hAnsi="Times New Roman" w:eastAsiaTheme="minorEastAsia"/>
                <w:b w:val="0"/>
                <w:bCs w:val="0"/>
                <w:sz w:val="24"/>
                <w:szCs w:val="24"/>
              </w:rPr>
              <w:t>大写)</w:t>
            </w:r>
          </w:p>
          <w:p>
            <w:pPr>
              <w:spacing w:line="360" w:lineRule="auto"/>
              <w:ind w:firstLine="960" w:firstLineChars="400"/>
            </w:pPr>
            <w:r>
              <w:rPr>
                <w:rFonts w:eastAsiaTheme="minorEastAsia"/>
              </w:rPr>
              <w:t>￥</w:t>
            </w:r>
            <w:r>
              <w:rPr>
                <w:rFonts w:eastAsiaTheme="minorEastAsia"/>
                <w:u w:val="single"/>
              </w:rPr>
              <w:t xml:space="preserve">                          (</w:t>
            </w:r>
            <w:r>
              <w:rPr>
                <w:rFonts w:eastAsiaTheme="minorEastAsia"/>
              </w:rPr>
              <w:t>小写)</w:t>
            </w:r>
          </w:p>
        </w:tc>
      </w:tr>
    </w:tbl>
    <w:p>
      <w:pPr>
        <w:pStyle w:val="30"/>
        <w:spacing w:line="460" w:lineRule="exact"/>
        <w:ind w:left="274" w:leftChars="114"/>
        <w:jc w:val="center"/>
        <w:rPr>
          <w:rFonts w:ascii="Times New Roman" w:hAnsi="Times New Roman" w:cs="Times New Roman"/>
          <w:sz w:val="24"/>
          <w:szCs w:val="24"/>
        </w:rPr>
      </w:pPr>
    </w:p>
    <w:p>
      <w:pPr>
        <w:pStyle w:val="30"/>
        <w:spacing w:line="460" w:lineRule="exact"/>
        <w:ind w:left="274" w:leftChars="114"/>
        <w:jc w:val="center"/>
        <w:rPr>
          <w:rFonts w:ascii="Times New Roman" w:hAnsi="Times New Roman" w:cs="Times New Roman"/>
          <w:sz w:val="24"/>
          <w:szCs w:val="24"/>
        </w:rPr>
      </w:pPr>
      <w:r>
        <w:rPr>
          <w:rFonts w:ascii="Times New Roman" w:hAnsi="Times New Roman" w:cs="Times New Roman"/>
          <w:sz w:val="24"/>
          <w:szCs w:val="24"/>
        </w:rPr>
        <w:t>投标人名称（电子签章）：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pStyle w:val="30"/>
        <w:spacing w:line="460" w:lineRule="exact"/>
        <w:ind w:left="274" w:leftChars="114"/>
        <w:jc w:val="center"/>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 xml:space="preserve">日 期：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年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月   </w:t>
      </w:r>
      <w:r>
        <w:rPr>
          <w:rFonts w:hint="eastAsia" w:ascii="Times New Roman" w:hAnsi="Times New Roman" w:cs="Times New Roman"/>
          <w:sz w:val="24"/>
          <w:szCs w:val="24"/>
        </w:rPr>
        <w:t xml:space="preserve"> </w:t>
      </w:r>
      <w:r>
        <w:rPr>
          <w:rFonts w:ascii="Times New Roman" w:hAnsi="Times New Roman" w:cs="Times New Roman"/>
          <w:sz w:val="24"/>
          <w:szCs w:val="24"/>
        </w:rPr>
        <w:t>日</w:t>
      </w:r>
    </w:p>
    <w:p/>
    <w:p>
      <w:pPr>
        <w:spacing w:line="400" w:lineRule="exact"/>
        <w:ind w:firstLine="480" w:firstLineChars="200"/>
        <w:rPr>
          <w:color w:val="000000"/>
        </w:rPr>
      </w:pPr>
      <w:r>
        <w:rPr>
          <w:color w:val="000000"/>
        </w:rPr>
        <w:t>备注：1、投标报价以人民币为结算货币，</w:t>
      </w:r>
      <w:r>
        <w:rPr>
          <w:rFonts w:hint="eastAsia"/>
          <w:color w:val="000000"/>
        </w:rPr>
        <w:t>投标报价须包括货物价款、所必须配备的附件、途中运输费、装卸费、安装调试（系统集成）费、辅料费、维护费、培训费、税费、完成本项目的其它费用和政策性文件规定及合同包含的所有风险、责任等所有费用，即按采购人要求提供货物到现场并安装完毕的价格。</w:t>
      </w:r>
      <w:r>
        <w:rPr>
          <w:color w:val="000000"/>
        </w:rPr>
        <w:t>如有漏项，视同已包含在其总项目中，合同</w:t>
      </w:r>
      <w:r>
        <w:rPr>
          <w:rFonts w:hint="eastAsia"/>
          <w:color w:val="000000"/>
        </w:rPr>
        <w:t>单价及</w:t>
      </w:r>
      <w:r>
        <w:rPr>
          <w:color w:val="000000"/>
        </w:rPr>
        <w:t>总价不予调整。投标报价为投标人所能承受的最低、最终报价。只允许有一个报价，有选择的报价将不予接受。</w:t>
      </w:r>
    </w:p>
    <w:p>
      <w:pPr>
        <w:spacing w:line="400" w:lineRule="exact"/>
        <w:ind w:firstLine="480" w:firstLineChars="200"/>
        <w:rPr>
          <w:color w:val="000000"/>
        </w:rPr>
      </w:pPr>
      <w:r>
        <w:rPr>
          <w:color w:val="000000"/>
        </w:rPr>
        <w:t>2、</w:t>
      </w:r>
      <w:r>
        <w:rPr>
          <w:rFonts w:hint="eastAsia"/>
          <w:color w:val="000000"/>
        </w:rPr>
        <w:t>项目投标总价</w:t>
      </w:r>
      <w:r>
        <w:rPr>
          <w:color w:val="000000"/>
        </w:rPr>
        <w:t>不得超过项目预算价及最高限价，不得低于投标人自报的成本价，否则投标无效。</w:t>
      </w:r>
    </w:p>
    <w:p>
      <w:pPr>
        <w:spacing w:line="400" w:lineRule="exact"/>
        <w:ind w:firstLine="480" w:firstLineChars="200"/>
        <w:rPr>
          <w:color w:val="000000"/>
        </w:rPr>
      </w:pPr>
      <w:r>
        <w:rPr>
          <w:color w:val="000000"/>
        </w:rPr>
        <w:t>3、此表在不改变表式的情况下，可自行制作。</w:t>
      </w:r>
    </w:p>
    <w:p>
      <w:pPr>
        <w:spacing w:line="360" w:lineRule="auto"/>
        <w:rPr>
          <w:sz w:val="28"/>
          <w:szCs w:val="28"/>
          <w:highlight w:val="green"/>
        </w:rPr>
      </w:pPr>
    </w:p>
    <w:p>
      <w:pPr>
        <w:pStyle w:val="5"/>
        <w:rPr>
          <w:rFonts w:ascii="Times New Roman" w:hAnsi="Times New Roman" w:eastAsia="宋体"/>
        </w:rPr>
      </w:pPr>
    </w:p>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30"/>
        <w:widowControl w:val="0"/>
        <w:jc w:val="center"/>
        <w:rPr>
          <w:rFonts w:ascii="Times New Roman" w:hAnsi="Times New Roman" w:cs="Times New Roman"/>
          <w:b/>
          <w:bCs/>
          <w:sz w:val="36"/>
          <w:szCs w:val="36"/>
        </w:rPr>
      </w:pPr>
      <w:r>
        <w:rPr>
          <w:rFonts w:ascii="Times New Roman" w:hAnsi="Times New Roman" w:cs="Times New Roman"/>
          <w:b/>
          <w:bCs/>
          <w:sz w:val="36"/>
          <w:szCs w:val="36"/>
        </w:rPr>
        <w:t>项目成本报价表</w:t>
      </w:r>
    </w:p>
    <w:p>
      <w:pPr>
        <w:spacing w:line="360" w:lineRule="auto"/>
        <w:jc w:val="center"/>
        <w:rPr>
          <w:b/>
          <w:color w:val="000000"/>
          <w:sz w:val="44"/>
        </w:rPr>
      </w:pP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644" w:type="dxa"/>
            <w:vAlign w:val="center"/>
          </w:tcPr>
          <w:p>
            <w:pPr>
              <w:spacing w:line="420" w:lineRule="exact"/>
              <w:jc w:val="center"/>
              <w:rPr>
                <w:color w:val="000000"/>
              </w:rPr>
            </w:pPr>
            <w:r>
              <w:rPr>
                <w:color w:val="000000"/>
              </w:rPr>
              <w:t>项目名称</w:t>
            </w:r>
          </w:p>
        </w:tc>
        <w:tc>
          <w:tcPr>
            <w:tcW w:w="4926" w:type="dxa"/>
            <w:vAlign w:val="center"/>
          </w:tcPr>
          <w:p>
            <w:pPr>
              <w:spacing w:line="420" w:lineRule="exact"/>
              <w:jc w:val="center"/>
              <w:rPr>
                <w:color w:val="000000"/>
              </w:rPr>
            </w:pPr>
            <w:r>
              <w:rPr>
                <w:color w:val="000000"/>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44" w:type="dxa"/>
            <w:vAlign w:val="center"/>
          </w:tcPr>
          <w:p>
            <w:pPr>
              <w:spacing w:line="420" w:lineRule="exact"/>
              <w:jc w:val="center"/>
            </w:pPr>
          </w:p>
          <w:p>
            <w:pPr>
              <w:spacing w:line="420" w:lineRule="exact"/>
              <w:jc w:val="center"/>
            </w:pPr>
          </w:p>
          <w:p>
            <w:pPr>
              <w:spacing w:line="420" w:lineRule="exact"/>
              <w:jc w:val="center"/>
              <w:rPr>
                <w:color w:val="FF0000"/>
                <w:szCs w:val="21"/>
              </w:rPr>
            </w:pPr>
            <w:r>
              <w:rPr>
                <w:rFonts w:hint="eastAsia"/>
                <w:color w:val="FF0000"/>
                <w:szCs w:val="21"/>
              </w:rPr>
              <w:t>浙江省机电技师学院智慧物流实训室建设项目</w:t>
            </w:r>
            <w:r>
              <w:rPr>
                <w:color w:val="FF0000"/>
                <w:szCs w:val="21"/>
              </w:rPr>
              <w:t>（采购编号：</w:t>
            </w:r>
            <w:r>
              <w:rPr>
                <w:rFonts w:hint="eastAsia"/>
                <w:color w:val="FF0000"/>
                <w:szCs w:val="21"/>
              </w:rPr>
              <w:t>YWCG2022023GK</w:t>
            </w:r>
            <w:r>
              <w:rPr>
                <w:color w:val="FF0000"/>
                <w:szCs w:val="21"/>
              </w:rPr>
              <w:t>）</w:t>
            </w:r>
          </w:p>
          <w:p>
            <w:pPr>
              <w:spacing w:line="420" w:lineRule="exact"/>
              <w:jc w:val="center"/>
              <w:rPr>
                <w:color w:val="FF0000"/>
                <w:szCs w:val="21"/>
              </w:rPr>
            </w:pPr>
          </w:p>
          <w:p>
            <w:pPr>
              <w:spacing w:line="420" w:lineRule="exact"/>
              <w:jc w:val="center"/>
            </w:pPr>
          </w:p>
          <w:p>
            <w:pPr>
              <w:spacing w:line="420" w:lineRule="exact"/>
              <w:jc w:val="center"/>
            </w:pPr>
          </w:p>
        </w:tc>
        <w:tc>
          <w:tcPr>
            <w:tcW w:w="4926" w:type="dxa"/>
            <w:vAlign w:val="center"/>
          </w:tcPr>
          <w:p>
            <w:pPr>
              <w:ind w:right="480"/>
              <w:jc w:val="center"/>
              <w:rPr>
                <w:u w:val="single"/>
              </w:rPr>
            </w:pPr>
            <w:r>
              <w:t xml:space="preserve">    (大写)：</w:t>
            </w:r>
            <w:r>
              <w:rPr>
                <w:u w:val="single"/>
              </w:rPr>
              <w:t xml:space="preserve">                     元</w:t>
            </w:r>
          </w:p>
          <w:p>
            <w:pPr>
              <w:ind w:right="480" w:firstLine="1200" w:firstLineChars="500"/>
              <w:jc w:val="center"/>
            </w:pPr>
          </w:p>
          <w:p>
            <w:pPr>
              <w:spacing w:line="420" w:lineRule="exact"/>
              <w:jc w:val="center"/>
              <w:rPr>
                <w:color w:val="000000"/>
              </w:rPr>
            </w:pPr>
            <w:r>
              <w:t>(小写)￥:</w:t>
            </w:r>
            <w:r>
              <w:rPr>
                <w:u w:val="single"/>
              </w:rPr>
              <w:t xml:space="preserve">                     元</w:t>
            </w:r>
          </w:p>
        </w:tc>
      </w:tr>
    </w:tbl>
    <w:p>
      <w:pPr>
        <w:spacing w:line="360" w:lineRule="auto"/>
      </w:pPr>
    </w:p>
    <w:p>
      <w:pPr>
        <w:pStyle w:val="30"/>
        <w:spacing w:line="460" w:lineRule="exact"/>
        <w:ind w:left="274" w:leftChars="114"/>
        <w:jc w:val="center"/>
        <w:rPr>
          <w:rFonts w:ascii="Times New Roman" w:hAnsi="Times New Roman" w:cs="Times New Roman"/>
          <w:sz w:val="24"/>
          <w:szCs w:val="24"/>
        </w:rPr>
      </w:pPr>
      <w:r>
        <w:rPr>
          <w:rFonts w:ascii="Times New Roman" w:hAnsi="Times New Roman" w:cs="Times New Roman"/>
          <w:sz w:val="24"/>
          <w:szCs w:val="24"/>
        </w:rPr>
        <w:t>投标人名称（电子签章）：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pStyle w:val="30"/>
        <w:spacing w:line="460" w:lineRule="exact"/>
        <w:ind w:left="274" w:leftChars="114"/>
        <w:jc w:val="center"/>
        <w:rPr>
          <w:rFonts w:ascii="Times New Roman" w:hAnsi="Times New Roman" w:cs="Times New Roman"/>
          <w:kern w:val="0"/>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 xml:space="preserve">日 期：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年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月   </w:t>
      </w:r>
      <w:r>
        <w:rPr>
          <w:rFonts w:hint="eastAsia" w:ascii="Times New Roman" w:hAnsi="Times New Roman" w:cs="Times New Roman"/>
          <w:sz w:val="24"/>
          <w:szCs w:val="24"/>
        </w:rPr>
        <w:t xml:space="preserve"> </w:t>
      </w:r>
      <w:r>
        <w:rPr>
          <w:rFonts w:ascii="Times New Roman" w:hAnsi="Times New Roman" w:cs="Times New Roman"/>
          <w:sz w:val="24"/>
          <w:szCs w:val="24"/>
        </w:rPr>
        <w:t>日</w:t>
      </w:r>
    </w:p>
    <w:p>
      <w:pPr>
        <w:pStyle w:val="56"/>
        <w:ind w:left="480" w:firstLine="480"/>
        <w:rPr>
          <w:highlight w:val="green"/>
        </w:rPr>
      </w:pPr>
    </w:p>
    <w:p>
      <w:pPr>
        <w:spacing w:line="360" w:lineRule="auto"/>
        <w:ind w:left="960" w:hanging="960" w:hangingChars="400"/>
        <w:rPr>
          <w:bCs/>
        </w:rPr>
      </w:pPr>
      <w:r>
        <w:rPr>
          <w:bCs/>
        </w:rPr>
        <w:t>备注：</w:t>
      </w:r>
    </w:p>
    <w:p>
      <w:pPr>
        <w:spacing w:line="460" w:lineRule="exact"/>
        <w:ind w:firstLine="235" w:firstLineChars="98"/>
        <w:rPr>
          <w:bCs/>
          <w:u w:val="single"/>
        </w:rPr>
      </w:pPr>
      <w:r>
        <w:t>1、投标单位应按照招标项目内容要求，根据项目特点和企业条件确定该项目成本报价，</w:t>
      </w:r>
      <w:r>
        <w:rPr>
          <w:u w:val="single"/>
        </w:rPr>
        <w:t>项目成本总价不得高于投标总价，否则投标无效。</w:t>
      </w:r>
    </w:p>
    <w:p>
      <w:pPr>
        <w:spacing w:line="360" w:lineRule="auto"/>
        <w:ind w:firstLine="240" w:firstLineChars="100"/>
      </w:pPr>
      <w:r>
        <w:t>2、此表在不改变表式的情况下，可自行制作。</w:t>
      </w:r>
    </w:p>
    <w:p>
      <w:pPr>
        <w:pStyle w:val="56"/>
        <w:ind w:left="480" w:firstLine="480"/>
      </w:pPr>
    </w:p>
    <w:p>
      <w:pPr>
        <w:spacing w:line="360" w:lineRule="auto"/>
        <w:ind w:firstLine="240" w:firstLineChars="100"/>
      </w:pPr>
    </w:p>
    <w:p>
      <w:pPr>
        <w:spacing w:line="360" w:lineRule="auto"/>
        <w:ind w:firstLine="240" w:firstLineChars="10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snapToGrid w:val="0"/>
        <w:spacing w:before="50" w:after="50"/>
        <w:jc w:val="center"/>
        <w:rPr>
          <w:b/>
          <w:sz w:val="36"/>
          <w:szCs w:val="36"/>
        </w:rPr>
      </w:pPr>
    </w:p>
    <w:p>
      <w:pPr>
        <w:snapToGrid w:val="0"/>
        <w:spacing w:before="50" w:after="50"/>
        <w:jc w:val="center"/>
        <w:rPr>
          <w:rFonts w:hint="eastAsia" w:ascii="新宋体" w:hAnsi="新宋体" w:eastAsia="新宋体"/>
          <w:b/>
          <w:sz w:val="36"/>
          <w:szCs w:val="36"/>
        </w:rPr>
      </w:pPr>
    </w:p>
    <w:p>
      <w:pPr>
        <w:snapToGrid w:val="0"/>
        <w:spacing w:before="50" w:after="50"/>
        <w:jc w:val="center"/>
        <w:rPr>
          <w:rFonts w:ascii="新宋体" w:hAnsi="新宋体" w:eastAsia="新宋体"/>
          <w:b/>
          <w:sz w:val="36"/>
          <w:szCs w:val="36"/>
        </w:rPr>
      </w:pPr>
      <w:r>
        <w:rPr>
          <w:rFonts w:hint="eastAsia" w:ascii="新宋体" w:hAnsi="新宋体" w:eastAsia="新宋体"/>
          <w:b/>
          <w:sz w:val="36"/>
          <w:szCs w:val="36"/>
        </w:rPr>
        <w:t>中小企业声明函(货物)</w:t>
      </w:r>
    </w:p>
    <w:p>
      <w:pPr>
        <w:snapToGrid w:val="0"/>
        <w:spacing w:line="360" w:lineRule="auto"/>
        <w:rPr>
          <w:rFonts w:ascii="新宋体" w:hAnsi="新宋体" w:eastAsia="新宋体"/>
          <w:sz w:val="28"/>
          <w:szCs w:val="28"/>
        </w:rPr>
      </w:pPr>
    </w:p>
    <w:p>
      <w:pPr>
        <w:spacing w:line="400" w:lineRule="exact"/>
        <w:ind w:firstLine="560" w:firstLineChars="200"/>
        <w:jc w:val="both"/>
        <w:rPr>
          <w:sz w:val="28"/>
          <w:szCs w:val="28"/>
        </w:rPr>
      </w:pPr>
      <w:r>
        <w:rPr>
          <w:sz w:val="28"/>
          <w:szCs w:val="28"/>
        </w:rPr>
        <w:t>本公司（联合体）郑重声明，根据《政府采购促进中小企业发展管理办法》（财库〔2020〕46 号）的规定，本公司（联合体）参加</w:t>
      </w:r>
      <w:r>
        <w:rPr>
          <w:i/>
          <w:iCs/>
          <w:color w:val="0000FF"/>
          <w:sz w:val="28"/>
          <w:szCs w:val="28"/>
          <w:u w:val="single"/>
        </w:rPr>
        <w:t>（单位名称）</w:t>
      </w:r>
      <w:r>
        <w:rPr>
          <w:sz w:val="28"/>
          <w:szCs w:val="28"/>
        </w:rPr>
        <w:t>的</w:t>
      </w:r>
      <w:r>
        <w:rPr>
          <w:i/>
          <w:iCs/>
          <w:color w:val="0000FF"/>
          <w:sz w:val="28"/>
          <w:szCs w:val="28"/>
          <w:u w:val="single"/>
        </w:rPr>
        <w:t>（项目名称）</w:t>
      </w:r>
      <w:r>
        <w:rPr>
          <w:sz w:val="28"/>
          <w:szCs w:val="28"/>
        </w:rPr>
        <w:t>采购活动，提供的货物全部由符合政策要求的中小企业制造。相关企业（含联合体中的中小企业、签订分包意向协议的中小企业）的具体情况如下：</w:t>
      </w:r>
    </w:p>
    <w:p>
      <w:pPr>
        <w:spacing w:line="400" w:lineRule="exact"/>
        <w:ind w:firstLine="560" w:firstLineChars="200"/>
        <w:jc w:val="both"/>
        <w:rPr>
          <w:sz w:val="28"/>
          <w:szCs w:val="28"/>
        </w:rPr>
      </w:pPr>
      <w:r>
        <w:rPr>
          <w:sz w:val="28"/>
          <w:szCs w:val="28"/>
        </w:rPr>
        <w:t xml:space="preserve">1. </w:t>
      </w:r>
      <w:r>
        <w:rPr>
          <w:i/>
          <w:iCs/>
          <w:color w:val="0000FF"/>
          <w:sz w:val="28"/>
          <w:szCs w:val="28"/>
          <w:u w:val="single"/>
        </w:rPr>
        <w:t>（标的名称）</w:t>
      </w:r>
      <w:r>
        <w:rPr>
          <w:sz w:val="28"/>
          <w:szCs w:val="28"/>
        </w:rPr>
        <w:t>，属于</w:t>
      </w:r>
      <w:r>
        <w:rPr>
          <w:i/>
          <w:iCs/>
          <w:color w:val="0000FF"/>
          <w:sz w:val="28"/>
          <w:szCs w:val="28"/>
          <w:u w:val="single"/>
        </w:rPr>
        <w:t>（采购文件中明确的所属行业）</w:t>
      </w:r>
      <w:r>
        <w:rPr>
          <w:sz w:val="28"/>
          <w:szCs w:val="28"/>
        </w:rPr>
        <w:t>行业；制造商为</w:t>
      </w:r>
      <w:r>
        <w:rPr>
          <w:i/>
          <w:iCs/>
          <w:color w:val="0000FF"/>
          <w:sz w:val="28"/>
          <w:szCs w:val="28"/>
          <w:u w:val="single"/>
        </w:rPr>
        <w:t>（企业名称）</w:t>
      </w:r>
      <w:r>
        <w:rPr>
          <w:sz w:val="28"/>
          <w:szCs w:val="28"/>
        </w:rPr>
        <w:t>，从业人员人，营业收入为万元，资产总额为万元</w:t>
      </w:r>
      <w:r>
        <w:rPr>
          <w:sz w:val="28"/>
          <w:szCs w:val="28"/>
          <w:vertAlign w:val="superscript"/>
        </w:rPr>
        <w:t>1</w:t>
      </w:r>
      <w:r>
        <w:rPr>
          <w:sz w:val="28"/>
          <w:szCs w:val="28"/>
        </w:rPr>
        <w:t>，属于</w:t>
      </w:r>
      <w:r>
        <w:rPr>
          <w:i/>
          <w:iCs/>
          <w:color w:val="0000FF"/>
          <w:sz w:val="28"/>
          <w:szCs w:val="28"/>
          <w:u w:val="single"/>
        </w:rPr>
        <w:t>（中型企业、小型企业、微型企业）</w:t>
      </w:r>
      <w:r>
        <w:rPr>
          <w:sz w:val="28"/>
          <w:szCs w:val="28"/>
        </w:rPr>
        <w:t>；</w:t>
      </w:r>
    </w:p>
    <w:p>
      <w:pPr>
        <w:spacing w:line="400" w:lineRule="exact"/>
        <w:ind w:firstLine="560" w:firstLineChars="200"/>
        <w:jc w:val="both"/>
        <w:rPr>
          <w:sz w:val="28"/>
          <w:szCs w:val="28"/>
        </w:rPr>
      </w:pPr>
      <w:r>
        <w:rPr>
          <w:sz w:val="28"/>
          <w:szCs w:val="28"/>
        </w:rPr>
        <w:t xml:space="preserve">2. </w:t>
      </w:r>
      <w:r>
        <w:rPr>
          <w:i/>
          <w:iCs/>
          <w:color w:val="0000FF"/>
          <w:sz w:val="28"/>
          <w:szCs w:val="28"/>
          <w:u w:val="single"/>
        </w:rPr>
        <w:t>（标的名称）</w:t>
      </w:r>
      <w:r>
        <w:rPr>
          <w:sz w:val="28"/>
          <w:szCs w:val="28"/>
        </w:rPr>
        <w:t>，属于</w:t>
      </w:r>
      <w:r>
        <w:rPr>
          <w:i/>
          <w:iCs/>
          <w:color w:val="0000FF"/>
          <w:sz w:val="28"/>
          <w:szCs w:val="28"/>
          <w:u w:val="single"/>
        </w:rPr>
        <w:t>（采购文件中明确的所属行业）</w:t>
      </w:r>
      <w:r>
        <w:rPr>
          <w:sz w:val="28"/>
          <w:szCs w:val="28"/>
        </w:rPr>
        <w:t>行业；制造商为</w:t>
      </w:r>
      <w:r>
        <w:rPr>
          <w:i/>
          <w:iCs/>
          <w:color w:val="0000FF"/>
          <w:sz w:val="28"/>
          <w:szCs w:val="28"/>
          <w:u w:val="single"/>
        </w:rPr>
        <w:t>（企业名称）</w:t>
      </w:r>
      <w:r>
        <w:rPr>
          <w:sz w:val="28"/>
          <w:szCs w:val="28"/>
        </w:rPr>
        <w:t>，从业人员人，营业收入为万元，资产总额为万元，属于</w:t>
      </w:r>
      <w:r>
        <w:rPr>
          <w:i/>
          <w:iCs/>
          <w:color w:val="0000FF"/>
          <w:sz w:val="28"/>
          <w:szCs w:val="28"/>
          <w:u w:val="single"/>
        </w:rPr>
        <w:t>（中型企业、小型企业、微型企业）</w:t>
      </w:r>
      <w:r>
        <w:rPr>
          <w:sz w:val="28"/>
          <w:szCs w:val="28"/>
        </w:rPr>
        <w:t>；</w:t>
      </w:r>
    </w:p>
    <w:p>
      <w:pPr>
        <w:spacing w:line="400" w:lineRule="exact"/>
        <w:ind w:firstLine="560" w:firstLineChars="200"/>
        <w:jc w:val="both"/>
        <w:rPr>
          <w:sz w:val="28"/>
          <w:szCs w:val="28"/>
        </w:rPr>
      </w:pPr>
      <w:r>
        <w:rPr>
          <w:sz w:val="28"/>
          <w:szCs w:val="28"/>
        </w:rPr>
        <w:t>……</w:t>
      </w:r>
    </w:p>
    <w:p>
      <w:pPr>
        <w:spacing w:line="400" w:lineRule="exact"/>
        <w:ind w:firstLine="560" w:firstLineChars="200"/>
        <w:jc w:val="both"/>
        <w:rPr>
          <w:sz w:val="28"/>
          <w:szCs w:val="28"/>
        </w:rPr>
      </w:pPr>
      <w:r>
        <w:rPr>
          <w:sz w:val="28"/>
          <w:szCs w:val="28"/>
        </w:rPr>
        <w:t>以上企业，不属于大企业的分支机构，不存在控股股东为大企业的情形，也不存在与大企业的负责人为同一人的情形。</w:t>
      </w:r>
    </w:p>
    <w:p>
      <w:pPr>
        <w:spacing w:line="400" w:lineRule="exact"/>
        <w:ind w:firstLine="560" w:firstLineChars="200"/>
        <w:jc w:val="both"/>
        <w:rPr>
          <w:sz w:val="28"/>
          <w:szCs w:val="28"/>
        </w:rPr>
      </w:pPr>
      <w:r>
        <w:rPr>
          <w:sz w:val="28"/>
          <w:szCs w:val="28"/>
        </w:rPr>
        <w:t>本企业对上述声明内容的真实性负责。如有虚假，将依法承担相应责任</w:t>
      </w:r>
    </w:p>
    <w:p>
      <w:pPr>
        <w:spacing w:line="400" w:lineRule="exact"/>
        <w:ind w:firstLine="560" w:firstLineChars="200"/>
        <w:jc w:val="both"/>
        <w:rPr>
          <w:sz w:val="28"/>
          <w:szCs w:val="28"/>
        </w:rPr>
      </w:pPr>
    </w:p>
    <w:p>
      <w:pPr>
        <w:spacing w:line="400" w:lineRule="exact"/>
        <w:ind w:firstLine="560" w:firstLineChars="200"/>
        <w:jc w:val="both"/>
        <w:rPr>
          <w:sz w:val="28"/>
          <w:szCs w:val="28"/>
        </w:rPr>
      </w:pPr>
    </w:p>
    <w:p>
      <w:pPr>
        <w:pStyle w:val="30"/>
        <w:spacing w:line="460" w:lineRule="exact"/>
        <w:ind w:left="274" w:leftChars="114"/>
        <w:jc w:val="center"/>
        <w:rPr>
          <w:rFonts w:ascii="Times New Roman" w:hAnsi="Times New Roman" w:cs="Times New Roman"/>
          <w:sz w:val="28"/>
          <w:szCs w:val="28"/>
        </w:rPr>
      </w:pPr>
      <w:r>
        <w:rPr>
          <w:rFonts w:ascii="Times New Roman" w:hAnsi="Times New Roman" w:cs="Times New Roman"/>
          <w:sz w:val="28"/>
          <w:szCs w:val="28"/>
        </w:rPr>
        <w:t>投标人名称（电子签章）：</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pPr>
        <w:pStyle w:val="30"/>
        <w:spacing w:line="460" w:lineRule="exact"/>
        <w:ind w:left="274" w:leftChars="114"/>
        <w:jc w:val="center"/>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日 期：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月   </w:t>
      </w:r>
      <w:r>
        <w:rPr>
          <w:rFonts w:hint="eastAsia" w:ascii="Times New Roman" w:hAnsi="Times New Roman" w:cs="Times New Roman"/>
          <w:sz w:val="28"/>
          <w:szCs w:val="28"/>
        </w:rPr>
        <w:t xml:space="preserve"> </w:t>
      </w:r>
      <w:r>
        <w:rPr>
          <w:rFonts w:ascii="Times New Roman" w:hAnsi="Times New Roman" w:cs="Times New Roman"/>
          <w:sz w:val="28"/>
          <w:szCs w:val="28"/>
        </w:rPr>
        <w:t>日</w:t>
      </w:r>
    </w:p>
    <w:p>
      <w:pPr>
        <w:pStyle w:val="56"/>
        <w:ind w:left="480" w:firstLine="480"/>
      </w:pPr>
    </w:p>
    <w:p>
      <w:pPr>
        <w:pStyle w:val="56"/>
        <w:ind w:left="480" w:firstLine="480"/>
      </w:pPr>
    </w:p>
    <w:p>
      <w:pPr>
        <w:pStyle w:val="56"/>
        <w:ind w:left="480" w:firstLine="480"/>
      </w:pPr>
    </w:p>
    <w:p>
      <w:pPr>
        <w:pStyle w:val="56"/>
        <w:ind w:left="480" w:firstLine="480"/>
      </w:pPr>
    </w:p>
    <w:p>
      <w:pPr>
        <w:snapToGrid w:val="0"/>
        <w:spacing w:line="400" w:lineRule="exact"/>
      </w:pPr>
      <w:r>
        <w:t>备注：</w:t>
      </w:r>
    </w:p>
    <w:p>
      <w:pPr>
        <w:snapToGrid w:val="0"/>
        <w:spacing w:line="400" w:lineRule="exact"/>
      </w:pPr>
      <w:r>
        <w:t>　　1.从业人员、营业收入、资产总额填报上一年度数据，无上一年度数据的新成立企业可不填报。</w:t>
      </w:r>
    </w:p>
    <w:p>
      <w:pPr>
        <w:pStyle w:val="50"/>
        <w:spacing w:after="0" w:line="400" w:lineRule="exact"/>
        <w:textAlignment w:val="baseline"/>
      </w:pPr>
      <w:r>
        <w:t>　  2.供应商应根据《工业和信息化部、国家统计局、国家发展和改革委员会、财政部关于印发中小企业划型标准规定的通知》（工信部联企业〔2011〕300号）的规定的，按照本次采购标的所属行业的划型标准，,填报企业(制造商)规模类型。供应商也可在国务院客户端或工业和信息化部网站上，使用中小企业规模类型自测小程序识别的企业(制造商）规模类型。</w:t>
      </w:r>
    </w:p>
    <w:p>
      <w:pPr>
        <w:pStyle w:val="50"/>
        <w:spacing w:after="0" w:line="400" w:lineRule="exact"/>
        <w:ind w:firstLine="480" w:firstLineChars="200"/>
        <w:textAlignment w:val="baseline"/>
      </w:pPr>
      <w:r>
        <w:t>3.符合小微企业政策的供应商应提供本项材料。</w:t>
      </w:r>
    </w:p>
    <w:p>
      <w:pPr>
        <w:pStyle w:val="50"/>
        <w:spacing w:after="0" w:line="400" w:lineRule="exact"/>
        <w:ind w:firstLine="480" w:firstLineChars="200"/>
        <w:textAlignment w:val="baseline"/>
        <w:rPr>
          <w:color w:val="0000FF"/>
        </w:rPr>
      </w:pPr>
    </w:p>
    <w:p>
      <w:pPr>
        <w:pStyle w:val="50"/>
        <w:spacing w:after="0" w:line="400" w:lineRule="exact"/>
        <w:ind w:firstLine="480" w:firstLineChars="200"/>
        <w:textAlignment w:val="baseline"/>
        <w:rPr>
          <w:color w:val="0000FF"/>
        </w:rPr>
      </w:pPr>
    </w:p>
    <w:p>
      <w:pPr>
        <w:pStyle w:val="50"/>
        <w:spacing w:after="0" w:line="400" w:lineRule="exact"/>
        <w:ind w:firstLine="480" w:firstLineChars="200"/>
        <w:textAlignment w:val="baseline"/>
        <w:rPr>
          <w:color w:val="0000FF"/>
        </w:rPr>
      </w:pPr>
    </w:p>
    <w:p>
      <w:pPr>
        <w:pStyle w:val="30"/>
        <w:widowControl w:val="0"/>
        <w:jc w:val="center"/>
        <w:rPr>
          <w:rFonts w:ascii="Times New Roman" w:hAnsi="Times New Roman" w:cs="Times New Roman"/>
          <w:b/>
          <w:bCs/>
          <w:sz w:val="36"/>
          <w:szCs w:val="36"/>
        </w:rPr>
      </w:pPr>
      <w:r>
        <w:rPr>
          <w:rFonts w:ascii="Times New Roman" w:hAnsi="Times New Roman" w:cs="Times New Roman"/>
          <w:b/>
          <w:bCs/>
          <w:sz w:val="36"/>
          <w:szCs w:val="36"/>
        </w:rPr>
        <w:t>残疾人福利性单位声明函</w:t>
      </w:r>
    </w:p>
    <w:p/>
    <w:p>
      <w:pPr>
        <w:snapToGrid w:val="0"/>
        <w:spacing w:line="360" w:lineRule="auto"/>
        <w:ind w:firstLine="560" w:firstLineChars="200"/>
        <w:rPr>
          <w:sz w:val="28"/>
          <w:szCs w:val="28"/>
        </w:rPr>
      </w:pPr>
      <w:r>
        <w:rPr>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sz w:val="28"/>
          <w:szCs w:val="28"/>
        </w:rPr>
      </w:pPr>
      <w:r>
        <w:rPr>
          <w:sz w:val="28"/>
          <w:szCs w:val="28"/>
        </w:rPr>
        <w:t>本单位对上述声明的真实性负责。如有虚假，将依法承担相应责任。</w:t>
      </w:r>
    </w:p>
    <w:p>
      <w:pPr>
        <w:snapToGrid w:val="0"/>
        <w:spacing w:line="360" w:lineRule="auto"/>
        <w:ind w:firstLine="560" w:firstLineChars="200"/>
        <w:rPr>
          <w:sz w:val="28"/>
          <w:szCs w:val="28"/>
        </w:rPr>
      </w:pPr>
    </w:p>
    <w:p>
      <w:pPr>
        <w:spacing w:line="588" w:lineRule="exact"/>
        <w:ind w:firstLine="624" w:firstLineChars="200"/>
        <w:rPr>
          <w:spacing w:val="6"/>
          <w:sz w:val="30"/>
          <w:szCs w:val="30"/>
        </w:rPr>
      </w:pPr>
    </w:p>
    <w:p>
      <w:pPr>
        <w:pStyle w:val="30"/>
        <w:spacing w:line="460" w:lineRule="exact"/>
        <w:ind w:left="274" w:leftChars="114"/>
        <w:jc w:val="center"/>
        <w:rPr>
          <w:rFonts w:ascii="Times New Roman" w:hAnsi="Times New Roman" w:cs="Times New Roman"/>
          <w:sz w:val="28"/>
          <w:szCs w:val="28"/>
        </w:rPr>
      </w:pPr>
      <w:r>
        <w:rPr>
          <w:rFonts w:ascii="Times New Roman" w:hAnsi="Times New Roman" w:cs="Times New Roman"/>
          <w:sz w:val="28"/>
          <w:szCs w:val="28"/>
        </w:rPr>
        <w:t>投标人名称（电子签章）：</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pPr>
        <w:pStyle w:val="30"/>
        <w:spacing w:line="460" w:lineRule="exact"/>
        <w:ind w:left="274" w:leftChars="114"/>
        <w:jc w:val="center"/>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日 期：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月   </w:t>
      </w:r>
      <w:r>
        <w:rPr>
          <w:rFonts w:hint="eastAsia" w:ascii="Times New Roman" w:hAnsi="Times New Roman" w:cs="Times New Roman"/>
          <w:sz w:val="28"/>
          <w:szCs w:val="28"/>
        </w:rPr>
        <w:t xml:space="preserve"> </w:t>
      </w:r>
      <w:r>
        <w:rPr>
          <w:rFonts w:ascii="Times New Roman" w:hAnsi="Times New Roman" w:cs="Times New Roman"/>
          <w:sz w:val="28"/>
          <w:szCs w:val="28"/>
        </w:rPr>
        <w:t>日</w:t>
      </w: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p>
      <w:pPr>
        <w:pStyle w:val="56"/>
        <w:ind w:left="480" w:firstLine="480"/>
      </w:pPr>
    </w:p>
    <w:sectPr>
      <w:headerReference r:id="rId3" w:type="default"/>
      <w:footerReference r:id="rId4" w:type="default"/>
      <w:pgSz w:w="11906" w:h="16838"/>
      <w:pgMar w:top="1134" w:right="1134" w:bottom="1134" w:left="1134" w:header="851" w:footer="992" w:gutter="0"/>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8797"/>
    </w:sdtPr>
    <w:sdtContent>
      <w:p>
        <w:pPr>
          <w:pStyle w:val="36"/>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03BC8"/>
    <w:multiLevelType w:val="singleLevel"/>
    <w:tmpl w:val="85C03BC8"/>
    <w:lvl w:ilvl="0" w:tentative="0">
      <w:start w:val="1"/>
      <w:numFmt w:val="decimal"/>
      <w:suff w:val="nothing"/>
      <w:lvlText w:val="%1、"/>
      <w:lvlJc w:val="left"/>
    </w:lvl>
  </w:abstractNum>
  <w:abstractNum w:abstractNumId="1">
    <w:nsid w:val="902B47DA"/>
    <w:multiLevelType w:val="singleLevel"/>
    <w:tmpl w:val="902B47DA"/>
    <w:lvl w:ilvl="0" w:tentative="0">
      <w:start w:val="3"/>
      <w:numFmt w:val="chineseCounting"/>
      <w:suff w:val="nothing"/>
      <w:lvlText w:val="%1、"/>
      <w:lvlJc w:val="left"/>
      <w:rPr>
        <w:rFonts w:hint="eastAsia"/>
      </w:rPr>
    </w:lvl>
  </w:abstractNum>
  <w:abstractNum w:abstractNumId="2">
    <w:nsid w:val="C68F9719"/>
    <w:multiLevelType w:val="singleLevel"/>
    <w:tmpl w:val="C68F9719"/>
    <w:lvl w:ilvl="0" w:tentative="0">
      <w:start w:val="1"/>
      <w:numFmt w:val="decimal"/>
      <w:suff w:val="nothing"/>
      <w:lvlText w:val="%1、"/>
      <w:lvlJc w:val="left"/>
    </w:lvl>
  </w:abstractNum>
  <w:abstractNum w:abstractNumId="3">
    <w:nsid w:val="FAF9A109"/>
    <w:multiLevelType w:val="singleLevel"/>
    <w:tmpl w:val="FAF9A109"/>
    <w:lvl w:ilvl="0" w:tentative="0">
      <w:start w:val="7"/>
      <w:numFmt w:val="decimal"/>
      <w:suff w:val="nothing"/>
      <w:lvlText w:val="%1、"/>
      <w:lvlJc w:val="left"/>
    </w:lvl>
  </w:abstractNum>
  <w:abstractNum w:abstractNumId="4">
    <w:nsid w:val="037E37B3"/>
    <w:multiLevelType w:val="singleLevel"/>
    <w:tmpl w:val="037E37B3"/>
    <w:lvl w:ilvl="0" w:tentative="0">
      <w:start w:val="1"/>
      <w:numFmt w:val="chineseCounting"/>
      <w:suff w:val="nothing"/>
      <w:lvlText w:val="%1、"/>
      <w:lvlJc w:val="left"/>
      <w:rPr>
        <w:rFonts w:hint="eastAsia"/>
      </w:rPr>
    </w:lvl>
  </w:abstractNum>
  <w:abstractNum w:abstractNumId="5">
    <w:nsid w:val="1A6D6D9A"/>
    <w:multiLevelType w:val="singleLevel"/>
    <w:tmpl w:val="1A6D6D9A"/>
    <w:lvl w:ilvl="0" w:tentative="0">
      <w:start w:val="1"/>
      <w:numFmt w:val="decimal"/>
      <w:lvlText w:val="%1."/>
      <w:lvlJc w:val="left"/>
      <w:pPr>
        <w:tabs>
          <w:tab w:val="left" w:pos="312"/>
        </w:tabs>
      </w:pPr>
    </w:lvl>
  </w:abstractNum>
  <w:abstractNum w:abstractNumId="6">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2A9D1B48"/>
    <w:multiLevelType w:val="singleLevel"/>
    <w:tmpl w:val="2A9D1B48"/>
    <w:lvl w:ilvl="0" w:tentative="0">
      <w:start w:val="1"/>
      <w:numFmt w:val="decimal"/>
      <w:suff w:val="nothing"/>
      <w:lvlText w:val="%1、"/>
      <w:lvlJc w:val="left"/>
    </w:lvl>
  </w:abstractNum>
  <w:abstractNum w:abstractNumId="8">
    <w:nsid w:val="58021864"/>
    <w:multiLevelType w:val="singleLevel"/>
    <w:tmpl w:val="58021864"/>
    <w:lvl w:ilvl="0" w:tentative="0">
      <w:start w:val="2"/>
      <w:numFmt w:val="chineseCounting"/>
      <w:suff w:val="nothing"/>
      <w:lvlText w:val="%1、"/>
      <w:lvlJc w:val="left"/>
      <w:rPr>
        <w:rFonts w:hint="eastAsia"/>
      </w:rPr>
    </w:lvl>
  </w:abstractNum>
  <w:abstractNum w:abstractNumId="9">
    <w:nsid w:val="6A7FFB1F"/>
    <w:multiLevelType w:val="singleLevel"/>
    <w:tmpl w:val="6A7FFB1F"/>
    <w:lvl w:ilvl="0" w:tentative="0">
      <w:start w:val="1"/>
      <w:numFmt w:val="decimal"/>
      <w:suff w:val="nothing"/>
      <w:lvlText w:val="%1、"/>
      <w:lvlJc w:val="left"/>
    </w:lvl>
  </w:abstractNum>
  <w:abstractNum w:abstractNumId="10">
    <w:nsid w:val="737C3C4C"/>
    <w:multiLevelType w:val="singleLevel"/>
    <w:tmpl w:val="737C3C4C"/>
    <w:lvl w:ilvl="0" w:tentative="0">
      <w:start w:val="1"/>
      <w:numFmt w:val="decimal"/>
      <w:suff w:val="nothing"/>
      <w:lvlText w:val="%1、"/>
      <w:lvlJc w:val="left"/>
    </w:lvl>
  </w:abstractNum>
  <w:abstractNum w:abstractNumId="11">
    <w:nsid w:val="743E2562"/>
    <w:multiLevelType w:val="singleLevel"/>
    <w:tmpl w:val="743E2562"/>
    <w:lvl w:ilvl="0" w:tentative="0">
      <w:start w:val="1"/>
      <w:numFmt w:val="decimal"/>
      <w:suff w:val="nothing"/>
      <w:lvlText w:val="%1、"/>
      <w:lvlJc w:val="left"/>
    </w:lvl>
  </w:abstractNum>
  <w:abstractNum w:abstractNumId="12">
    <w:nsid w:val="76CE7AB6"/>
    <w:multiLevelType w:val="singleLevel"/>
    <w:tmpl w:val="76CE7AB6"/>
    <w:lvl w:ilvl="0" w:tentative="0">
      <w:start w:val="8"/>
      <w:numFmt w:val="decimal"/>
      <w:suff w:val="nothing"/>
      <w:lvlText w:val="%1、"/>
      <w:lvlJc w:val="left"/>
    </w:lvl>
  </w:abstractNum>
  <w:num w:numId="1">
    <w:abstractNumId w:val="6"/>
  </w:num>
  <w:num w:numId="2">
    <w:abstractNumId w:val="0"/>
  </w:num>
  <w:num w:numId="3">
    <w:abstractNumId w:val="8"/>
  </w:num>
  <w:num w:numId="4">
    <w:abstractNumId w:val="12"/>
  </w:num>
  <w:num w:numId="5">
    <w:abstractNumId w:val="4"/>
  </w:num>
  <w:num w:numId="6">
    <w:abstractNumId w:val="10"/>
  </w:num>
  <w:num w:numId="7">
    <w:abstractNumId w:val="2"/>
  </w:num>
  <w:num w:numId="8">
    <w:abstractNumId w:val="7"/>
  </w:num>
  <w:num w:numId="9">
    <w:abstractNumId w:val="11"/>
  </w:num>
  <w:num w:numId="10">
    <w:abstractNumId w:val="9"/>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2DC"/>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5EA0"/>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4FBE"/>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BA3"/>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1F38"/>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5DC0"/>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E8B"/>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01A"/>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CD3"/>
    <w:rsid w:val="002D4F00"/>
    <w:rsid w:val="002D5038"/>
    <w:rsid w:val="002D5294"/>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4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4DA"/>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7D4"/>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520"/>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153"/>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07EF7"/>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AE9"/>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682"/>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38D"/>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AC"/>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1CD"/>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462"/>
    <w:rsid w:val="00550674"/>
    <w:rsid w:val="005509F2"/>
    <w:rsid w:val="00550A7E"/>
    <w:rsid w:val="00550AE6"/>
    <w:rsid w:val="00550BA5"/>
    <w:rsid w:val="0055111F"/>
    <w:rsid w:val="00551171"/>
    <w:rsid w:val="0055131A"/>
    <w:rsid w:val="00551643"/>
    <w:rsid w:val="005517ED"/>
    <w:rsid w:val="00551AE8"/>
    <w:rsid w:val="00552211"/>
    <w:rsid w:val="005522E5"/>
    <w:rsid w:val="00552FBC"/>
    <w:rsid w:val="0055314C"/>
    <w:rsid w:val="00553942"/>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87"/>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04"/>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52E"/>
    <w:rsid w:val="00625589"/>
    <w:rsid w:val="006255E0"/>
    <w:rsid w:val="006257DB"/>
    <w:rsid w:val="00625851"/>
    <w:rsid w:val="00625C85"/>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51B"/>
    <w:rsid w:val="00677812"/>
    <w:rsid w:val="006778E8"/>
    <w:rsid w:val="00680007"/>
    <w:rsid w:val="0068029E"/>
    <w:rsid w:val="006807F3"/>
    <w:rsid w:val="00680866"/>
    <w:rsid w:val="0068093E"/>
    <w:rsid w:val="00680984"/>
    <w:rsid w:val="00681035"/>
    <w:rsid w:val="006810EF"/>
    <w:rsid w:val="00681448"/>
    <w:rsid w:val="00681636"/>
    <w:rsid w:val="00681AD9"/>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3FE"/>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41"/>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BD1"/>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259"/>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092"/>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73"/>
    <w:rsid w:val="00796C60"/>
    <w:rsid w:val="00797816"/>
    <w:rsid w:val="007979E7"/>
    <w:rsid w:val="00797A47"/>
    <w:rsid w:val="00797A6B"/>
    <w:rsid w:val="00797DC3"/>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13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CC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9E"/>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076"/>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699"/>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980"/>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505"/>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B86"/>
    <w:rsid w:val="00951DAE"/>
    <w:rsid w:val="00951FA3"/>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ED3"/>
    <w:rsid w:val="009A7255"/>
    <w:rsid w:val="009A758C"/>
    <w:rsid w:val="009A766B"/>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09B"/>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00A"/>
    <w:rsid w:val="009F7189"/>
    <w:rsid w:val="009F7347"/>
    <w:rsid w:val="009F7357"/>
    <w:rsid w:val="009F752D"/>
    <w:rsid w:val="009F7987"/>
    <w:rsid w:val="009F7B02"/>
    <w:rsid w:val="009F7B60"/>
    <w:rsid w:val="009F7E1D"/>
    <w:rsid w:val="009F7FAC"/>
    <w:rsid w:val="009F7FE4"/>
    <w:rsid w:val="00A00212"/>
    <w:rsid w:val="00A00260"/>
    <w:rsid w:val="00A002D7"/>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6EE2"/>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F07"/>
    <w:rsid w:val="00A50450"/>
    <w:rsid w:val="00A507FE"/>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8EB"/>
    <w:rsid w:val="00A629E9"/>
    <w:rsid w:val="00A62AEB"/>
    <w:rsid w:val="00A62C9E"/>
    <w:rsid w:val="00A62FB0"/>
    <w:rsid w:val="00A6305C"/>
    <w:rsid w:val="00A637A0"/>
    <w:rsid w:val="00A638F4"/>
    <w:rsid w:val="00A63CCC"/>
    <w:rsid w:val="00A6429A"/>
    <w:rsid w:val="00A6437C"/>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122"/>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2E95"/>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4C85"/>
    <w:rsid w:val="00AE54CF"/>
    <w:rsid w:val="00AE5726"/>
    <w:rsid w:val="00AE5D0E"/>
    <w:rsid w:val="00AE5E0B"/>
    <w:rsid w:val="00AE600D"/>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718"/>
    <w:rsid w:val="00B23916"/>
    <w:rsid w:val="00B23C08"/>
    <w:rsid w:val="00B23F70"/>
    <w:rsid w:val="00B243C8"/>
    <w:rsid w:val="00B24900"/>
    <w:rsid w:val="00B24CCA"/>
    <w:rsid w:val="00B24E82"/>
    <w:rsid w:val="00B24EEC"/>
    <w:rsid w:val="00B24F52"/>
    <w:rsid w:val="00B2508F"/>
    <w:rsid w:val="00B250A9"/>
    <w:rsid w:val="00B25271"/>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83"/>
    <w:rsid w:val="00B337C8"/>
    <w:rsid w:val="00B339A4"/>
    <w:rsid w:val="00B3424B"/>
    <w:rsid w:val="00B34318"/>
    <w:rsid w:val="00B344E8"/>
    <w:rsid w:val="00B3458A"/>
    <w:rsid w:val="00B349DC"/>
    <w:rsid w:val="00B34A98"/>
    <w:rsid w:val="00B35013"/>
    <w:rsid w:val="00B35170"/>
    <w:rsid w:val="00B354B6"/>
    <w:rsid w:val="00B35AFF"/>
    <w:rsid w:val="00B35C75"/>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87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CC2"/>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33C"/>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2BC9"/>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CF3"/>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1EB"/>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214"/>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3DA"/>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CA8"/>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62"/>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089"/>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4F99"/>
    <w:rsid w:val="00CA5085"/>
    <w:rsid w:val="00CA5148"/>
    <w:rsid w:val="00CA5202"/>
    <w:rsid w:val="00CA5A6A"/>
    <w:rsid w:val="00CA5C84"/>
    <w:rsid w:val="00CA631B"/>
    <w:rsid w:val="00CA63C9"/>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1A"/>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D5C"/>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AF1"/>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094"/>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1E1"/>
    <w:rsid w:val="00D534BD"/>
    <w:rsid w:val="00D53550"/>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1B9"/>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6"/>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8D3"/>
    <w:rsid w:val="00E91934"/>
    <w:rsid w:val="00E91C28"/>
    <w:rsid w:val="00E91F76"/>
    <w:rsid w:val="00E91FB1"/>
    <w:rsid w:val="00E921BC"/>
    <w:rsid w:val="00E921D1"/>
    <w:rsid w:val="00E925DB"/>
    <w:rsid w:val="00E926B5"/>
    <w:rsid w:val="00E92C17"/>
    <w:rsid w:val="00E93052"/>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2B2"/>
    <w:rsid w:val="00ED34A0"/>
    <w:rsid w:val="00ED3661"/>
    <w:rsid w:val="00ED37D4"/>
    <w:rsid w:val="00ED3BCC"/>
    <w:rsid w:val="00ED3D74"/>
    <w:rsid w:val="00ED3EAA"/>
    <w:rsid w:val="00ED427B"/>
    <w:rsid w:val="00ED4C37"/>
    <w:rsid w:val="00ED5353"/>
    <w:rsid w:val="00ED551D"/>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738"/>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C40"/>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B4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AC7B14"/>
    <w:rsid w:val="01DE4ECE"/>
    <w:rsid w:val="01E12AAD"/>
    <w:rsid w:val="020E18BD"/>
    <w:rsid w:val="023D2E2D"/>
    <w:rsid w:val="02586DCE"/>
    <w:rsid w:val="027125A2"/>
    <w:rsid w:val="027D7D34"/>
    <w:rsid w:val="028939B3"/>
    <w:rsid w:val="02B713E7"/>
    <w:rsid w:val="02D22AD8"/>
    <w:rsid w:val="02F65B82"/>
    <w:rsid w:val="04320AD2"/>
    <w:rsid w:val="045114D0"/>
    <w:rsid w:val="04BB298F"/>
    <w:rsid w:val="04CA0807"/>
    <w:rsid w:val="04F8642A"/>
    <w:rsid w:val="05673A0B"/>
    <w:rsid w:val="060B4078"/>
    <w:rsid w:val="06253D34"/>
    <w:rsid w:val="063F1A72"/>
    <w:rsid w:val="06EA3271"/>
    <w:rsid w:val="06FF6B3B"/>
    <w:rsid w:val="07854716"/>
    <w:rsid w:val="07A170B8"/>
    <w:rsid w:val="08CA6DC7"/>
    <w:rsid w:val="09021B37"/>
    <w:rsid w:val="096A52F9"/>
    <w:rsid w:val="0A50541C"/>
    <w:rsid w:val="0A945A74"/>
    <w:rsid w:val="0B22261C"/>
    <w:rsid w:val="0B444337"/>
    <w:rsid w:val="0B7D2976"/>
    <w:rsid w:val="0BE02A3D"/>
    <w:rsid w:val="0BF8040D"/>
    <w:rsid w:val="0C726359"/>
    <w:rsid w:val="0C79434C"/>
    <w:rsid w:val="0C850E6F"/>
    <w:rsid w:val="0D4E4B08"/>
    <w:rsid w:val="0D6F195E"/>
    <w:rsid w:val="0DA337C7"/>
    <w:rsid w:val="0DD2246A"/>
    <w:rsid w:val="0E544C71"/>
    <w:rsid w:val="0E664E79"/>
    <w:rsid w:val="0E7F4560"/>
    <w:rsid w:val="0EF747DF"/>
    <w:rsid w:val="0F7518C9"/>
    <w:rsid w:val="0F846179"/>
    <w:rsid w:val="0FAA0377"/>
    <w:rsid w:val="113767C0"/>
    <w:rsid w:val="124C1D82"/>
    <w:rsid w:val="12841571"/>
    <w:rsid w:val="12AD4BAF"/>
    <w:rsid w:val="12BF7372"/>
    <w:rsid w:val="12C43695"/>
    <w:rsid w:val="12C856CF"/>
    <w:rsid w:val="12D312B6"/>
    <w:rsid w:val="12DB6374"/>
    <w:rsid w:val="1301218E"/>
    <w:rsid w:val="13074B89"/>
    <w:rsid w:val="131A290F"/>
    <w:rsid w:val="148B4F67"/>
    <w:rsid w:val="148E0073"/>
    <w:rsid w:val="14C16114"/>
    <w:rsid w:val="14FD0A9C"/>
    <w:rsid w:val="1515071F"/>
    <w:rsid w:val="154A4194"/>
    <w:rsid w:val="15D04F5C"/>
    <w:rsid w:val="16052B78"/>
    <w:rsid w:val="161567DC"/>
    <w:rsid w:val="1674575B"/>
    <w:rsid w:val="169601DF"/>
    <w:rsid w:val="169B3532"/>
    <w:rsid w:val="17152445"/>
    <w:rsid w:val="172A4898"/>
    <w:rsid w:val="18EE068E"/>
    <w:rsid w:val="1909682D"/>
    <w:rsid w:val="19280A44"/>
    <w:rsid w:val="19713818"/>
    <w:rsid w:val="19C625BC"/>
    <w:rsid w:val="19F6088D"/>
    <w:rsid w:val="1A055EF5"/>
    <w:rsid w:val="1B4D27CF"/>
    <w:rsid w:val="1C0E655B"/>
    <w:rsid w:val="1C353069"/>
    <w:rsid w:val="1CC02D30"/>
    <w:rsid w:val="1D1952CF"/>
    <w:rsid w:val="1D4A443B"/>
    <w:rsid w:val="1D7258CC"/>
    <w:rsid w:val="1DFB7F87"/>
    <w:rsid w:val="1E941CCC"/>
    <w:rsid w:val="1EE513F6"/>
    <w:rsid w:val="1F126B05"/>
    <w:rsid w:val="1F162294"/>
    <w:rsid w:val="1F26710E"/>
    <w:rsid w:val="1F82572C"/>
    <w:rsid w:val="1FC6016B"/>
    <w:rsid w:val="202104E0"/>
    <w:rsid w:val="202E120E"/>
    <w:rsid w:val="20B56A2C"/>
    <w:rsid w:val="2111539E"/>
    <w:rsid w:val="21201FA6"/>
    <w:rsid w:val="219D34AE"/>
    <w:rsid w:val="2248323A"/>
    <w:rsid w:val="23AD0CCB"/>
    <w:rsid w:val="23FF6FC2"/>
    <w:rsid w:val="24276909"/>
    <w:rsid w:val="25134482"/>
    <w:rsid w:val="25520D67"/>
    <w:rsid w:val="2565030D"/>
    <w:rsid w:val="25B25C72"/>
    <w:rsid w:val="25DB61BD"/>
    <w:rsid w:val="26116B73"/>
    <w:rsid w:val="26442D52"/>
    <w:rsid w:val="268E61C6"/>
    <w:rsid w:val="273177B6"/>
    <w:rsid w:val="28257C9E"/>
    <w:rsid w:val="287E4090"/>
    <w:rsid w:val="28D8378A"/>
    <w:rsid w:val="294E6051"/>
    <w:rsid w:val="294F209A"/>
    <w:rsid w:val="297B7334"/>
    <w:rsid w:val="29BC46C0"/>
    <w:rsid w:val="29C261AC"/>
    <w:rsid w:val="29E73412"/>
    <w:rsid w:val="29E75B05"/>
    <w:rsid w:val="29F344B7"/>
    <w:rsid w:val="2A822F09"/>
    <w:rsid w:val="2ADB17E0"/>
    <w:rsid w:val="2AF306F7"/>
    <w:rsid w:val="2B34764C"/>
    <w:rsid w:val="2B38497C"/>
    <w:rsid w:val="2B9E02F7"/>
    <w:rsid w:val="2BC57252"/>
    <w:rsid w:val="2BD138AE"/>
    <w:rsid w:val="2BE128DA"/>
    <w:rsid w:val="2DD7185C"/>
    <w:rsid w:val="2E095920"/>
    <w:rsid w:val="2E1032C7"/>
    <w:rsid w:val="2E436F91"/>
    <w:rsid w:val="2EC23956"/>
    <w:rsid w:val="2ECB7A5C"/>
    <w:rsid w:val="2ECD1744"/>
    <w:rsid w:val="2ED44775"/>
    <w:rsid w:val="2F325C0B"/>
    <w:rsid w:val="2F8279F1"/>
    <w:rsid w:val="2FDB7433"/>
    <w:rsid w:val="301629CB"/>
    <w:rsid w:val="301F5C96"/>
    <w:rsid w:val="303D023A"/>
    <w:rsid w:val="30812569"/>
    <w:rsid w:val="30AE2533"/>
    <w:rsid w:val="30CB6347"/>
    <w:rsid w:val="30D669E1"/>
    <w:rsid w:val="31315EA6"/>
    <w:rsid w:val="315370AA"/>
    <w:rsid w:val="3297205F"/>
    <w:rsid w:val="32B47CEB"/>
    <w:rsid w:val="32C125DB"/>
    <w:rsid w:val="32F73637"/>
    <w:rsid w:val="34276FAE"/>
    <w:rsid w:val="346C2BB3"/>
    <w:rsid w:val="34E23C9A"/>
    <w:rsid w:val="365D5FB6"/>
    <w:rsid w:val="37765DAA"/>
    <w:rsid w:val="3783108C"/>
    <w:rsid w:val="378A0C60"/>
    <w:rsid w:val="37AB570F"/>
    <w:rsid w:val="37E544F2"/>
    <w:rsid w:val="384E3F22"/>
    <w:rsid w:val="389D3837"/>
    <w:rsid w:val="38AB1352"/>
    <w:rsid w:val="390C4194"/>
    <w:rsid w:val="39990BCC"/>
    <w:rsid w:val="39CD13C3"/>
    <w:rsid w:val="39F6323F"/>
    <w:rsid w:val="3A1140CF"/>
    <w:rsid w:val="3A397CE2"/>
    <w:rsid w:val="3A3D0AC2"/>
    <w:rsid w:val="3ABA2EFD"/>
    <w:rsid w:val="3BF77969"/>
    <w:rsid w:val="3C477781"/>
    <w:rsid w:val="3CA8168F"/>
    <w:rsid w:val="3CD73A22"/>
    <w:rsid w:val="3CE119F2"/>
    <w:rsid w:val="3CFB3D7D"/>
    <w:rsid w:val="3D0A28B0"/>
    <w:rsid w:val="3D1B21F4"/>
    <w:rsid w:val="3D4F4B56"/>
    <w:rsid w:val="3D984E7C"/>
    <w:rsid w:val="3EA33D47"/>
    <w:rsid w:val="3F235243"/>
    <w:rsid w:val="3F411CB6"/>
    <w:rsid w:val="3F493F24"/>
    <w:rsid w:val="3FB4690F"/>
    <w:rsid w:val="3FF725EF"/>
    <w:rsid w:val="406C27D8"/>
    <w:rsid w:val="411A37CE"/>
    <w:rsid w:val="41273B5B"/>
    <w:rsid w:val="414D5B4E"/>
    <w:rsid w:val="415413B2"/>
    <w:rsid w:val="415D7F83"/>
    <w:rsid w:val="41617C05"/>
    <w:rsid w:val="41B024AC"/>
    <w:rsid w:val="4207357A"/>
    <w:rsid w:val="42193B5D"/>
    <w:rsid w:val="428D6814"/>
    <w:rsid w:val="42EC3E94"/>
    <w:rsid w:val="43065501"/>
    <w:rsid w:val="43640760"/>
    <w:rsid w:val="438F4D93"/>
    <w:rsid w:val="44255C3D"/>
    <w:rsid w:val="44A845BE"/>
    <w:rsid w:val="44F34EB6"/>
    <w:rsid w:val="451E76EF"/>
    <w:rsid w:val="453B489A"/>
    <w:rsid w:val="45527FDA"/>
    <w:rsid w:val="45760298"/>
    <w:rsid w:val="462823F5"/>
    <w:rsid w:val="46804BD6"/>
    <w:rsid w:val="46A22D8D"/>
    <w:rsid w:val="46CE4F01"/>
    <w:rsid w:val="46EE143D"/>
    <w:rsid w:val="46EE66FC"/>
    <w:rsid w:val="47A56F0F"/>
    <w:rsid w:val="48B70426"/>
    <w:rsid w:val="48E004FF"/>
    <w:rsid w:val="48E635D8"/>
    <w:rsid w:val="49587E25"/>
    <w:rsid w:val="4A151FD5"/>
    <w:rsid w:val="4B337350"/>
    <w:rsid w:val="4BAF25AC"/>
    <w:rsid w:val="4BBB00B1"/>
    <w:rsid w:val="4C252C83"/>
    <w:rsid w:val="4C65298C"/>
    <w:rsid w:val="4C6530A7"/>
    <w:rsid w:val="4CA45761"/>
    <w:rsid w:val="4CE132A1"/>
    <w:rsid w:val="4D915B65"/>
    <w:rsid w:val="4DA63C5F"/>
    <w:rsid w:val="4E692B55"/>
    <w:rsid w:val="4EBC62FF"/>
    <w:rsid w:val="4ED11D39"/>
    <w:rsid w:val="4EE51345"/>
    <w:rsid w:val="4F237574"/>
    <w:rsid w:val="4F9F177D"/>
    <w:rsid w:val="4FE97361"/>
    <w:rsid w:val="501129B5"/>
    <w:rsid w:val="5065769E"/>
    <w:rsid w:val="506D3B8D"/>
    <w:rsid w:val="509317D3"/>
    <w:rsid w:val="50A03FB3"/>
    <w:rsid w:val="50F828F3"/>
    <w:rsid w:val="519020AB"/>
    <w:rsid w:val="52271DA0"/>
    <w:rsid w:val="532F140E"/>
    <w:rsid w:val="53A711D6"/>
    <w:rsid w:val="53CC2C25"/>
    <w:rsid w:val="5409750E"/>
    <w:rsid w:val="545B37BC"/>
    <w:rsid w:val="54BA6F1B"/>
    <w:rsid w:val="54C54814"/>
    <w:rsid w:val="54FE1F7B"/>
    <w:rsid w:val="55EB2850"/>
    <w:rsid w:val="561D3342"/>
    <w:rsid w:val="56672A68"/>
    <w:rsid w:val="568B1FB7"/>
    <w:rsid w:val="56D568E9"/>
    <w:rsid w:val="56F75296"/>
    <w:rsid w:val="577C0A50"/>
    <w:rsid w:val="57B036AC"/>
    <w:rsid w:val="5857493E"/>
    <w:rsid w:val="59971CF3"/>
    <w:rsid w:val="5A49135C"/>
    <w:rsid w:val="5AB76B78"/>
    <w:rsid w:val="5B475AEF"/>
    <w:rsid w:val="5CD32D08"/>
    <w:rsid w:val="5DAB2F61"/>
    <w:rsid w:val="5E556177"/>
    <w:rsid w:val="5E616B93"/>
    <w:rsid w:val="5EB85C9C"/>
    <w:rsid w:val="5F2E3351"/>
    <w:rsid w:val="60102521"/>
    <w:rsid w:val="60266139"/>
    <w:rsid w:val="60995E4C"/>
    <w:rsid w:val="60DE6E72"/>
    <w:rsid w:val="60E310F2"/>
    <w:rsid w:val="61AB51F7"/>
    <w:rsid w:val="621F4C38"/>
    <w:rsid w:val="624A6336"/>
    <w:rsid w:val="62DA4BD4"/>
    <w:rsid w:val="62ED0D06"/>
    <w:rsid w:val="63006CC4"/>
    <w:rsid w:val="63292665"/>
    <w:rsid w:val="63987D70"/>
    <w:rsid w:val="647519DC"/>
    <w:rsid w:val="64DA7755"/>
    <w:rsid w:val="659C7FA5"/>
    <w:rsid w:val="65BF4977"/>
    <w:rsid w:val="66347096"/>
    <w:rsid w:val="665C4585"/>
    <w:rsid w:val="66A43E11"/>
    <w:rsid w:val="66A54812"/>
    <w:rsid w:val="66D502FC"/>
    <w:rsid w:val="67233ED7"/>
    <w:rsid w:val="673C5317"/>
    <w:rsid w:val="6806382A"/>
    <w:rsid w:val="682B0F33"/>
    <w:rsid w:val="68305151"/>
    <w:rsid w:val="68B33B09"/>
    <w:rsid w:val="69314B96"/>
    <w:rsid w:val="696944C2"/>
    <w:rsid w:val="6B380223"/>
    <w:rsid w:val="6B9A72A4"/>
    <w:rsid w:val="6C382307"/>
    <w:rsid w:val="6C3A79FD"/>
    <w:rsid w:val="6CA374F3"/>
    <w:rsid w:val="6D721B2E"/>
    <w:rsid w:val="6D8F388A"/>
    <w:rsid w:val="6DD972D3"/>
    <w:rsid w:val="6E0557EE"/>
    <w:rsid w:val="6E761F72"/>
    <w:rsid w:val="6E7D378E"/>
    <w:rsid w:val="6E831BEC"/>
    <w:rsid w:val="6F5870E1"/>
    <w:rsid w:val="700B3968"/>
    <w:rsid w:val="70192BA8"/>
    <w:rsid w:val="70D769C7"/>
    <w:rsid w:val="71385700"/>
    <w:rsid w:val="717C7298"/>
    <w:rsid w:val="724927C5"/>
    <w:rsid w:val="728F5B6A"/>
    <w:rsid w:val="739E397D"/>
    <w:rsid w:val="73B86821"/>
    <w:rsid w:val="73DE452A"/>
    <w:rsid w:val="745A5548"/>
    <w:rsid w:val="745D090A"/>
    <w:rsid w:val="749602A9"/>
    <w:rsid w:val="751C607E"/>
    <w:rsid w:val="75912989"/>
    <w:rsid w:val="75E4175D"/>
    <w:rsid w:val="760E3640"/>
    <w:rsid w:val="764906A7"/>
    <w:rsid w:val="76725067"/>
    <w:rsid w:val="76E275A6"/>
    <w:rsid w:val="77193E72"/>
    <w:rsid w:val="77954CE5"/>
    <w:rsid w:val="78506292"/>
    <w:rsid w:val="78AC75E8"/>
    <w:rsid w:val="78E44A59"/>
    <w:rsid w:val="79090D90"/>
    <w:rsid w:val="798C773A"/>
    <w:rsid w:val="79CC44D6"/>
    <w:rsid w:val="7A4A0603"/>
    <w:rsid w:val="7A4E74D7"/>
    <w:rsid w:val="7A5101BC"/>
    <w:rsid w:val="7A624CB6"/>
    <w:rsid w:val="7B64725E"/>
    <w:rsid w:val="7B831E71"/>
    <w:rsid w:val="7C935D0C"/>
    <w:rsid w:val="7CE47418"/>
    <w:rsid w:val="7D303E99"/>
    <w:rsid w:val="7D377B9D"/>
    <w:rsid w:val="7D8024C0"/>
    <w:rsid w:val="7DC90240"/>
    <w:rsid w:val="7F1478C7"/>
    <w:rsid w:val="7F905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18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4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7"/>
    <w:link w:val="112"/>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52"/>
    <w:qFormat/>
    <w:uiPriority w:val="0"/>
    <w:pPr>
      <w:keepNext/>
      <w:keepLines/>
      <w:spacing w:before="280" w:after="290" w:line="376" w:lineRule="auto"/>
      <w:outlineLvl w:val="3"/>
    </w:pPr>
    <w:rPr>
      <w:rFonts w:ascii="Arial" w:hAnsi="Arial" w:eastAsia="黑体"/>
      <w:b/>
      <w:bCs/>
      <w:kern w:val="2"/>
      <w:sz w:val="28"/>
      <w:szCs w:val="28"/>
    </w:rPr>
  </w:style>
  <w:style w:type="paragraph" w:styleId="9">
    <w:name w:val="heading 5"/>
    <w:basedOn w:val="1"/>
    <w:next w:val="1"/>
    <w:link w:val="214"/>
    <w:qFormat/>
    <w:uiPriority w:val="0"/>
    <w:pPr>
      <w:keepNext/>
      <w:keepLines/>
      <w:spacing w:before="280" w:after="290" w:line="376" w:lineRule="auto"/>
      <w:outlineLvl w:val="4"/>
    </w:pPr>
    <w:rPr>
      <w:b/>
      <w:bCs/>
      <w:kern w:val="2"/>
      <w:sz w:val="28"/>
      <w:szCs w:val="28"/>
    </w:rPr>
  </w:style>
  <w:style w:type="paragraph" w:styleId="10">
    <w:name w:val="heading 6"/>
    <w:basedOn w:val="1"/>
    <w:next w:val="1"/>
    <w:link w:val="234"/>
    <w:qFormat/>
    <w:uiPriority w:val="0"/>
    <w:pPr>
      <w:keepNext/>
      <w:keepLines/>
      <w:spacing w:before="240" w:after="64" w:line="320" w:lineRule="auto"/>
      <w:outlineLvl w:val="5"/>
    </w:pPr>
    <w:rPr>
      <w:rFonts w:ascii="Arial" w:hAnsi="Arial" w:eastAsia="黑体"/>
      <w:b/>
      <w:bCs/>
      <w:kern w:val="2"/>
    </w:rPr>
  </w:style>
  <w:style w:type="paragraph" w:styleId="11">
    <w:name w:val="heading 7"/>
    <w:basedOn w:val="1"/>
    <w:next w:val="1"/>
    <w:link w:val="118"/>
    <w:qFormat/>
    <w:uiPriority w:val="0"/>
    <w:pPr>
      <w:keepNext/>
      <w:keepLines/>
      <w:spacing w:before="240" w:after="64" w:line="320" w:lineRule="auto"/>
      <w:outlineLvl w:val="6"/>
    </w:pPr>
    <w:rPr>
      <w:b/>
      <w:bCs/>
      <w:kern w:val="2"/>
    </w:rPr>
  </w:style>
  <w:style w:type="paragraph" w:styleId="12">
    <w:name w:val="heading 8"/>
    <w:basedOn w:val="1"/>
    <w:next w:val="1"/>
    <w:link w:val="192"/>
    <w:qFormat/>
    <w:uiPriority w:val="0"/>
    <w:pPr>
      <w:keepNext/>
      <w:keepLines/>
      <w:spacing w:before="240" w:after="64" w:line="320" w:lineRule="auto"/>
      <w:outlineLvl w:val="7"/>
    </w:pPr>
    <w:rPr>
      <w:rFonts w:ascii="Arial" w:hAnsi="Arial" w:eastAsia="黑体"/>
      <w:kern w:val="2"/>
    </w:rPr>
  </w:style>
  <w:style w:type="paragraph" w:styleId="13">
    <w:name w:val="heading 9"/>
    <w:basedOn w:val="1"/>
    <w:next w:val="1"/>
    <w:link w:val="108"/>
    <w:qFormat/>
    <w:uiPriority w:val="0"/>
    <w:pPr>
      <w:keepNext/>
      <w:keepLines/>
      <w:spacing w:before="240" w:after="64" w:line="320" w:lineRule="auto"/>
      <w:outlineLvl w:val="8"/>
    </w:pPr>
    <w:rPr>
      <w:rFonts w:ascii="Arial" w:hAnsi="Arial" w:eastAsia="黑体"/>
      <w:kern w:val="2"/>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2"/>
    <w:qFormat/>
    <w:uiPriority w:val="0"/>
    <w:pPr>
      <w:jc w:val="center"/>
    </w:pPr>
    <w:rPr>
      <w:rFonts w:ascii="宋体" w:hAnsi="宋体"/>
      <w:b/>
      <w:bCs/>
      <w:color w:val="000000"/>
      <w:kern w:val="2"/>
      <w:sz w:val="72"/>
      <w:szCs w:val="20"/>
    </w:rPr>
  </w:style>
  <w:style w:type="paragraph" w:styleId="3">
    <w:name w:val="Body Text First Indent"/>
    <w:basedOn w:val="2"/>
    <w:link w:val="166"/>
    <w:qFormat/>
    <w:uiPriority w:val="0"/>
    <w:pPr>
      <w:spacing w:after="120"/>
      <w:ind w:firstLine="420" w:firstLineChars="100"/>
      <w:jc w:val="both"/>
    </w:pPr>
    <w:rPr>
      <w:rFonts w:ascii="Times New Roman" w:hAnsi="Times New Roman"/>
      <w:b w:val="0"/>
      <w:bCs w:val="0"/>
      <w:color w:val="auto"/>
      <w:sz w:val="21"/>
      <w:szCs w:val="24"/>
    </w:rPr>
  </w:style>
  <w:style w:type="paragraph" w:customStyle="1" w:styleId="7">
    <w:name w:val="正文首行缩进2字符"/>
    <w:basedOn w:val="1"/>
    <w:qFormat/>
    <w:uiPriority w:val="0"/>
    <w:pPr>
      <w:adjustRightInd w:val="0"/>
      <w:snapToGrid w:val="0"/>
    </w:pPr>
    <w:rPr>
      <w:szCs w:val="21"/>
    </w:rPr>
  </w:style>
  <w:style w:type="paragraph" w:styleId="14">
    <w:name w:val="toc 7"/>
    <w:basedOn w:val="1"/>
    <w:next w:val="1"/>
    <w:semiHidden/>
    <w:qFormat/>
    <w:uiPriority w:val="0"/>
    <w:pPr>
      <w:ind w:left="2520" w:leftChars="1200"/>
    </w:pPr>
  </w:style>
  <w:style w:type="paragraph" w:styleId="15">
    <w:name w:val="index 8"/>
    <w:basedOn w:val="1"/>
    <w:next w:val="1"/>
    <w:semiHidden/>
    <w:qFormat/>
    <w:uiPriority w:val="0"/>
    <w:pPr>
      <w:ind w:left="1400" w:leftChars="1400"/>
    </w:pPr>
  </w:style>
  <w:style w:type="paragraph" w:styleId="16">
    <w:name w:val="List Number"/>
    <w:basedOn w:val="1"/>
    <w:qFormat/>
    <w:uiPriority w:val="0"/>
    <w:pPr>
      <w:tabs>
        <w:tab w:val="left" w:pos="360"/>
      </w:tabs>
      <w:ind w:left="360" w:hanging="360"/>
    </w:pPr>
  </w:style>
  <w:style w:type="paragraph" w:styleId="17">
    <w:name w:val="Normal Indent"/>
    <w:basedOn w:val="1"/>
    <w:link w:val="169"/>
    <w:qFormat/>
    <w:uiPriority w:val="0"/>
    <w:pPr>
      <w:ind w:firstLine="420" w:firstLineChars="200"/>
    </w:pPr>
    <w:rPr>
      <w:kern w:val="2"/>
      <w:sz w:val="28"/>
      <w:szCs w:val="20"/>
    </w:r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index 5"/>
    <w:basedOn w:val="1"/>
    <w:next w:val="1"/>
    <w:semiHidden/>
    <w:qFormat/>
    <w:uiPriority w:val="0"/>
    <w:pPr>
      <w:ind w:left="800" w:leftChars="800"/>
    </w:pPr>
  </w:style>
  <w:style w:type="paragraph" w:styleId="20">
    <w:name w:val="Document Map"/>
    <w:basedOn w:val="1"/>
    <w:link w:val="225"/>
    <w:qFormat/>
    <w:uiPriority w:val="0"/>
    <w:pPr>
      <w:shd w:val="clear" w:color="auto" w:fill="000080"/>
    </w:pPr>
    <w:rPr>
      <w:kern w:val="2"/>
      <w:sz w:val="21"/>
    </w:rPr>
  </w:style>
  <w:style w:type="paragraph" w:styleId="21">
    <w:name w:val="annotation text"/>
    <w:basedOn w:val="1"/>
    <w:link w:val="177"/>
    <w:qFormat/>
    <w:uiPriority w:val="0"/>
    <w:rPr>
      <w:kern w:val="2"/>
      <w:sz w:val="21"/>
    </w:rPr>
  </w:style>
  <w:style w:type="paragraph" w:styleId="22">
    <w:name w:val="index 6"/>
    <w:basedOn w:val="1"/>
    <w:next w:val="1"/>
    <w:semiHidden/>
    <w:qFormat/>
    <w:uiPriority w:val="0"/>
    <w:pPr>
      <w:ind w:left="1000" w:leftChars="1000"/>
    </w:pPr>
  </w:style>
  <w:style w:type="paragraph" w:styleId="23">
    <w:name w:val="Body Text 3"/>
    <w:basedOn w:val="1"/>
    <w:link w:val="233"/>
    <w:qFormat/>
    <w:uiPriority w:val="0"/>
    <w:pPr>
      <w:spacing w:after="120"/>
    </w:pPr>
    <w:rPr>
      <w:kern w:val="2"/>
      <w:sz w:val="16"/>
      <w:szCs w:val="16"/>
    </w:rPr>
  </w:style>
  <w:style w:type="paragraph" w:styleId="24">
    <w:name w:val="Body Text Indent"/>
    <w:basedOn w:val="1"/>
    <w:link w:val="95"/>
    <w:qFormat/>
    <w:uiPriority w:val="0"/>
    <w:pPr>
      <w:spacing w:line="460" w:lineRule="exact"/>
      <w:ind w:firstLine="482" w:firstLineChars="200"/>
    </w:pPr>
    <w:rPr>
      <w:b/>
      <w:bCs/>
      <w:shd w:val="clear" w:color="auto" w:fill="CCCCCC"/>
    </w:rPr>
  </w:style>
  <w:style w:type="paragraph" w:styleId="25">
    <w:name w:val="List Number 3"/>
    <w:basedOn w:val="1"/>
    <w:qFormat/>
    <w:uiPriority w:val="0"/>
    <w:pPr>
      <w:widowControl w:val="0"/>
      <w:tabs>
        <w:tab w:val="left" w:pos="360"/>
        <w:tab w:val="left" w:pos="1200"/>
      </w:tabs>
      <w:ind w:left="360" w:hanging="360"/>
      <w:jc w:val="both"/>
    </w:pPr>
    <w:rPr>
      <w:kern w:val="2"/>
      <w:sz w:val="21"/>
    </w:rPr>
  </w:style>
  <w:style w:type="paragraph" w:styleId="26">
    <w:name w:val="List 2"/>
    <w:basedOn w:val="1"/>
    <w:qFormat/>
    <w:uiPriority w:val="0"/>
    <w:pPr>
      <w:widowControl w:val="0"/>
      <w:ind w:left="100" w:leftChars="200" w:hanging="200" w:hangingChars="200"/>
      <w:jc w:val="both"/>
    </w:pPr>
    <w:rPr>
      <w:kern w:val="2"/>
      <w:sz w:val="28"/>
    </w:rPr>
  </w:style>
  <w:style w:type="paragraph" w:styleId="27">
    <w:name w:val="index 4"/>
    <w:basedOn w:val="1"/>
    <w:next w:val="1"/>
    <w:semiHidden/>
    <w:qFormat/>
    <w:uiPriority w:val="0"/>
    <w:pPr>
      <w:ind w:left="600" w:leftChars="600"/>
    </w:pPr>
  </w:style>
  <w:style w:type="paragraph" w:styleId="28">
    <w:name w:val="toc 5"/>
    <w:basedOn w:val="1"/>
    <w:next w:val="1"/>
    <w:semiHidden/>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1"/>
    <w:link w:val="134"/>
    <w:qFormat/>
    <w:uiPriority w:val="0"/>
    <w:rPr>
      <w:rFonts w:ascii="宋体" w:hAnsi="Courier New" w:cs="Courier New"/>
      <w:kern w:val="2"/>
      <w:sz w:val="21"/>
      <w:szCs w:val="21"/>
    </w:rPr>
  </w:style>
  <w:style w:type="paragraph" w:styleId="31">
    <w:name w:val="toc 8"/>
    <w:basedOn w:val="1"/>
    <w:next w:val="1"/>
    <w:semiHidden/>
    <w:qFormat/>
    <w:uiPriority w:val="0"/>
    <w:pPr>
      <w:ind w:left="2940" w:leftChars="1400"/>
    </w:pPr>
  </w:style>
  <w:style w:type="paragraph" w:styleId="32">
    <w:name w:val="index 3"/>
    <w:basedOn w:val="1"/>
    <w:next w:val="1"/>
    <w:semiHidden/>
    <w:qFormat/>
    <w:uiPriority w:val="0"/>
    <w:pPr>
      <w:ind w:left="400" w:leftChars="400"/>
    </w:pPr>
  </w:style>
  <w:style w:type="paragraph" w:styleId="33">
    <w:name w:val="Date"/>
    <w:basedOn w:val="1"/>
    <w:next w:val="1"/>
    <w:link w:val="354"/>
    <w:qFormat/>
    <w:uiPriority w:val="0"/>
    <w:pPr>
      <w:ind w:left="100" w:leftChars="2500"/>
    </w:pPr>
  </w:style>
  <w:style w:type="paragraph" w:styleId="34">
    <w:name w:val="Body Text Indent 2"/>
    <w:basedOn w:val="1"/>
    <w:link w:val="351"/>
    <w:qFormat/>
    <w:uiPriority w:val="0"/>
    <w:pPr>
      <w:spacing w:line="360" w:lineRule="auto"/>
      <w:ind w:firstLine="480"/>
    </w:pPr>
    <w:rPr>
      <w:rFonts w:hint="eastAsia" w:ascii="宋体" w:eastAsia="新宋体"/>
      <w:szCs w:val="20"/>
    </w:rPr>
  </w:style>
  <w:style w:type="paragraph" w:styleId="35">
    <w:name w:val="Balloon Text"/>
    <w:basedOn w:val="1"/>
    <w:link w:val="155"/>
    <w:qFormat/>
    <w:uiPriority w:val="0"/>
    <w:rPr>
      <w:kern w:val="2"/>
      <w:sz w:val="18"/>
      <w:szCs w:val="18"/>
    </w:rPr>
  </w:style>
  <w:style w:type="paragraph" w:styleId="36">
    <w:name w:val="footer"/>
    <w:basedOn w:val="1"/>
    <w:link w:val="136"/>
    <w:qFormat/>
    <w:uiPriority w:val="99"/>
    <w:pPr>
      <w:tabs>
        <w:tab w:val="center" w:pos="4153"/>
        <w:tab w:val="right" w:pos="8306"/>
      </w:tabs>
      <w:snapToGrid w:val="0"/>
    </w:pPr>
    <w:rPr>
      <w:kern w:val="2"/>
      <w:sz w:val="18"/>
      <w:szCs w:val="18"/>
    </w:rPr>
  </w:style>
  <w:style w:type="paragraph" w:styleId="37">
    <w:name w:val="header"/>
    <w:basedOn w:val="1"/>
    <w:link w:val="204"/>
    <w:qFormat/>
    <w:uiPriority w:val="0"/>
    <w:pPr>
      <w:pBdr>
        <w:bottom w:val="single" w:color="auto" w:sz="6" w:space="1"/>
      </w:pBdr>
      <w:tabs>
        <w:tab w:val="center" w:pos="4153"/>
        <w:tab w:val="right" w:pos="8306"/>
      </w:tabs>
      <w:snapToGrid w:val="0"/>
      <w:jc w:val="center"/>
    </w:pPr>
    <w:rPr>
      <w:kern w:val="2"/>
      <w:sz w:val="18"/>
      <w:szCs w:val="18"/>
    </w:rPr>
  </w:style>
  <w:style w:type="paragraph" w:styleId="38">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39">
    <w:name w:val="toc 4"/>
    <w:basedOn w:val="1"/>
    <w:next w:val="1"/>
    <w:semiHidden/>
    <w:qFormat/>
    <w:uiPriority w:val="0"/>
    <w:pPr>
      <w:ind w:left="1260" w:leftChars="600"/>
    </w:pPr>
  </w:style>
  <w:style w:type="paragraph" w:styleId="40">
    <w:name w:val="index heading"/>
    <w:basedOn w:val="1"/>
    <w:next w:val="41"/>
    <w:semiHidden/>
    <w:qFormat/>
    <w:uiPriority w:val="0"/>
  </w:style>
  <w:style w:type="paragraph" w:styleId="41">
    <w:name w:val="index 1"/>
    <w:basedOn w:val="1"/>
    <w:next w:val="1"/>
    <w:semiHidden/>
    <w:qFormat/>
    <w:uiPriority w:val="0"/>
    <w:pPr>
      <w:spacing w:line="560" w:lineRule="exact"/>
    </w:pPr>
    <w:rPr>
      <w:sz w:val="28"/>
    </w:rPr>
  </w:style>
  <w:style w:type="paragraph" w:styleId="42">
    <w:name w:val="List"/>
    <w:basedOn w:val="1"/>
    <w:qFormat/>
    <w:uiPriority w:val="0"/>
    <w:pPr>
      <w:widowControl w:val="0"/>
      <w:ind w:left="200" w:hanging="200" w:hangingChars="200"/>
      <w:jc w:val="both"/>
    </w:pPr>
    <w:rPr>
      <w:kern w:val="2"/>
      <w:sz w:val="28"/>
    </w:rPr>
  </w:style>
  <w:style w:type="paragraph" w:styleId="43">
    <w:name w:val="toc 6"/>
    <w:basedOn w:val="1"/>
    <w:next w:val="1"/>
    <w:semiHidden/>
    <w:qFormat/>
    <w:uiPriority w:val="0"/>
    <w:pPr>
      <w:ind w:left="2100" w:leftChars="1000"/>
    </w:pPr>
  </w:style>
  <w:style w:type="paragraph" w:styleId="44">
    <w:name w:val="Body Text Indent 3"/>
    <w:basedOn w:val="1"/>
    <w:link w:val="348"/>
    <w:qFormat/>
    <w:uiPriority w:val="0"/>
    <w:pPr>
      <w:spacing w:after="120"/>
      <w:ind w:left="420" w:leftChars="200"/>
    </w:pPr>
    <w:rPr>
      <w:sz w:val="16"/>
      <w:szCs w:val="16"/>
    </w:rPr>
  </w:style>
  <w:style w:type="paragraph" w:styleId="45">
    <w:name w:val="index 7"/>
    <w:basedOn w:val="1"/>
    <w:next w:val="1"/>
    <w:semiHidden/>
    <w:qFormat/>
    <w:uiPriority w:val="0"/>
    <w:pPr>
      <w:ind w:left="1200" w:leftChars="1200"/>
    </w:pPr>
  </w:style>
  <w:style w:type="paragraph" w:styleId="46">
    <w:name w:val="index 9"/>
    <w:basedOn w:val="1"/>
    <w:next w:val="1"/>
    <w:semiHidden/>
    <w:qFormat/>
    <w:uiPriority w:val="0"/>
    <w:pPr>
      <w:ind w:left="1600" w:leftChars="1600"/>
    </w:pPr>
  </w:style>
  <w:style w:type="paragraph" w:styleId="47">
    <w:name w:val="table of figures"/>
    <w:basedOn w:val="1"/>
    <w:next w:val="1"/>
    <w:semiHidden/>
    <w:qFormat/>
    <w:uiPriority w:val="0"/>
    <w:pPr>
      <w:spacing w:line="560" w:lineRule="exact"/>
    </w:pPr>
    <w:rPr>
      <w:b/>
      <w:sz w:val="28"/>
    </w:rPr>
  </w:style>
  <w:style w:type="paragraph" w:styleId="48">
    <w:name w:val="toc 2"/>
    <w:basedOn w:val="1"/>
    <w:next w:val="1"/>
    <w:qFormat/>
    <w:uiPriority w:val="39"/>
    <w:pPr>
      <w:spacing w:line="400" w:lineRule="exact"/>
      <w:ind w:left="200" w:leftChars="200"/>
    </w:pPr>
  </w:style>
  <w:style w:type="paragraph" w:styleId="49">
    <w:name w:val="toc 9"/>
    <w:basedOn w:val="1"/>
    <w:next w:val="1"/>
    <w:semiHidden/>
    <w:qFormat/>
    <w:uiPriority w:val="0"/>
    <w:pPr>
      <w:ind w:left="3360" w:leftChars="1600"/>
    </w:pPr>
  </w:style>
  <w:style w:type="paragraph" w:styleId="50">
    <w:name w:val="Body Text 2"/>
    <w:basedOn w:val="1"/>
    <w:link w:val="352"/>
    <w:qFormat/>
    <w:uiPriority w:val="0"/>
    <w:pPr>
      <w:spacing w:after="120" w:line="480" w:lineRule="auto"/>
    </w:pPr>
  </w:style>
  <w:style w:type="paragraph" w:styleId="51">
    <w:name w:val="HTML Preformatted"/>
    <w:basedOn w:val="1"/>
    <w:link w:val="30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2">
    <w:name w:val="Normal (Web)"/>
    <w:basedOn w:val="1"/>
    <w:qFormat/>
    <w:uiPriority w:val="99"/>
  </w:style>
  <w:style w:type="paragraph" w:styleId="53">
    <w:name w:val="index 2"/>
    <w:basedOn w:val="1"/>
    <w:next w:val="1"/>
    <w:semiHidden/>
    <w:qFormat/>
    <w:uiPriority w:val="0"/>
    <w:pPr>
      <w:spacing w:line="560" w:lineRule="exact"/>
      <w:ind w:left="200" w:leftChars="200"/>
    </w:pPr>
    <w:rPr>
      <w:sz w:val="28"/>
    </w:rPr>
  </w:style>
  <w:style w:type="paragraph" w:styleId="54">
    <w:name w:val="Title"/>
    <w:basedOn w:val="1"/>
    <w:next w:val="1"/>
    <w:link w:val="176"/>
    <w:qFormat/>
    <w:uiPriority w:val="0"/>
    <w:pPr>
      <w:spacing w:before="240" w:after="60"/>
      <w:jc w:val="center"/>
      <w:outlineLvl w:val="0"/>
    </w:pPr>
    <w:rPr>
      <w:rFonts w:ascii="Cambria" w:hAnsi="Cambria"/>
      <w:b/>
      <w:bCs/>
      <w:kern w:val="2"/>
      <w:sz w:val="32"/>
      <w:szCs w:val="32"/>
    </w:rPr>
  </w:style>
  <w:style w:type="paragraph" w:styleId="55">
    <w:name w:val="annotation subject"/>
    <w:basedOn w:val="21"/>
    <w:next w:val="21"/>
    <w:link w:val="215"/>
    <w:qFormat/>
    <w:uiPriority w:val="0"/>
    <w:rPr>
      <w:rFonts w:ascii="Calibri" w:hAnsi="Calibri" w:cs="Calibri"/>
      <w:b/>
      <w:bCs/>
      <w:kern w:val="0"/>
      <w:sz w:val="24"/>
    </w:rPr>
  </w:style>
  <w:style w:type="paragraph" w:styleId="56">
    <w:name w:val="Body Text First Indent 2"/>
    <w:basedOn w:val="24"/>
    <w:link w:val="199"/>
    <w:qFormat/>
    <w:uiPriority w:val="0"/>
    <w:pPr>
      <w:spacing w:after="120" w:line="240" w:lineRule="auto"/>
      <w:ind w:left="420" w:leftChars="200" w:firstLine="420"/>
    </w:pPr>
    <w:rPr>
      <w:b w:val="0"/>
      <w:bCs w:val="0"/>
      <w:shd w:val="clear" w:color="auto" w:fill="auto"/>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Hyperlink"/>
    <w:qFormat/>
    <w:uiPriority w:val="0"/>
    <w:rPr>
      <w:color w:val="0000FF"/>
      <w:u w:val="single"/>
    </w:rPr>
  </w:style>
  <w:style w:type="character" w:styleId="64">
    <w:name w:val="annotation reference"/>
    <w:basedOn w:val="59"/>
    <w:unhideWhenUsed/>
    <w:qFormat/>
    <w:uiPriority w:val="99"/>
  </w:style>
  <w:style w:type="paragraph" w:customStyle="1" w:styleId="65">
    <w:name w:val="Default"/>
    <w:basedOn w:val="1"/>
    <w:qFormat/>
    <w:uiPriority w:val="0"/>
    <w:pPr>
      <w:autoSpaceDE w:val="0"/>
      <w:autoSpaceDN w:val="0"/>
      <w:adjustRightInd w:val="0"/>
      <w:spacing w:before="96" w:after="96"/>
      <w:jc w:val="right"/>
    </w:pPr>
    <w:rPr>
      <w:rFonts w:ascii="宋体" w:hAnsi="Calibri" w:cs="宋体"/>
      <w:color w:val="000000"/>
    </w:rPr>
  </w:style>
  <w:style w:type="character" w:customStyle="1" w:styleId="66">
    <w:name w:val="标题 2 Char"/>
    <w:qFormat/>
    <w:uiPriority w:val="9"/>
    <w:rPr>
      <w:rFonts w:ascii="宋体" w:hAnsi="宋体" w:eastAsia="宋体" w:cs="Times New Roman"/>
      <w:b/>
      <w:bCs/>
      <w:sz w:val="28"/>
      <w:szCs w:val="24"/>
    </w:rPr>
  </w:style>
  <w:style w:type="character" w:customStyle="1" w:styleId="67">
    <w:name w:val="页脚 Char"/>
    <w:qFormat/>
    <w:uiPriority w:val="99"/>
    <w:rPr>
      <w:rFonts w:ascii="Calibri" w:hAnsi="Calibri" w:eastAsia="宋体" w:cs="Times New Roman"/>
      <w:sz w:val="18"/>
      <w:szCs w:val="18"/>
    </w:rPr>
  </w:style>
  <w:style w:type="character" w:customStyle="1" w:styleId="68">
    <w:name w:val="页眉 Char"/>
    <w:qFormat/>
    <w:uiPriority w:val="99"/>
    <w:rPr>
      <w:rFonts w:ascii="Calibri" w:hAnsi="Calibri" w:eastAsia="宋体" w:cs="Times New Roman"/>
      <w:sz w:val="18"/>
      <w:szCs w:val="18"/>
    </w:rPr>
  </w:style>
  <w:style w:type="character" w:customStyle="1" w:styleId="69">
    <w:name w:val="-正文- Char"/>
    <w:link w:val="70"/>
    <w:qFormat/>
    <w:uiPriority w:val="0"/>
    <w:rPr>
      <w:rFonts w:eastAsia="宋体" w:cs="宋体"/>
      <w:kern w:val="2"/>
      <w:sz w:val="21"/>
      <w:lang w:val="en-US" w:eastAsia="zh-CN" w:bidi="ar-SA"/>
    </w:rPr>
  </w:style>
  <w:style w:type="paragraph" w:customStyle="1" w:styleId="70">
    <w:name w:val="-正文-"/>
    <w:basedOn w:val="1"/>
    <w:link w:val="69"/>
    <w:qFormat/>
    <w:uiPriority w:val="0"/>
    <w:pPr>
      <w:spacing w:line="360" w:lineRule="auto"/>
      <w:ind w:firstLine="420" w:firstLineChars="200"/>
    </w:pPr>
    <w:rPr>
      <w:rFonts w:cs="宋体"/>
      <w:kern w:val="2"/>
      <w:sz w:val="21"/>
      <w:szCs w:val="20"/>
    </w:rPr>
  </w:style>
  <w:style w:type="character" w:customStyle="1" w:styleId="71">
    <w:name w:val="正文主体 Char"/>
    <w:link w:val="72"/>
    <w:qFormat/>
    <w:uiPriority w:val="0"/>
    <w:rPr>
      <w:rFonts w:eastAsia="宋体"/>
      <w:kern w:val="2"/>
      <w:sz w:val="24"/>
      <w:szCs w:val="24"/>
      <w:lang w:val="en-US" w:eastAsia="zh-CN" w:bidi="ar-SA"/>
    </w:rPr>
  </w:style>
  <w:style w:type="paragraph" w:customStyle="1" w:styleId="72">
    <w:name w:val="正文主体"/>
    <w:basedOn w:val="73"/>
    <w:link w:val="71"/>
    <w:qFormat/>
    <w:uiPriority w:val="0"/>
    <w:rPr>
      <w:kern w:val="2"/>
    </w:rPr>
  </w:style>
  <w:style w:type="paragraph" w:customStyle="1" w:styleId="73">
    <w:name w:val="样式  + 首行缩进:  2 字符"/>
    <w:basedOn w:val="74"/>
    <w:qFormat/>
    <w:uiPriority w:val="0"/>
    <w:pPr>
      <w:ind w:firstLine="480"/>
    </w:pPr>
  </w:style>
  <w:style w:type="paragraph" w:customStyle="1" w:styleId="74">
    <w:name w:val="9"/>
    <w:basedOn w:val="1"/>
    <w:next w:val="2"/>
    <w:qFormat/>
    <w:uiPriority w:val="0"/>
    <w:pPr>
      <w:spacing w:before="60" w:after="60" w:line="360" w:lineRule="auto"/>
      <w:ind w:firstLine="200" w:firstLineChars="200"/>
    </w:pPr>
  </w:style>
  <w:style w:type="character" w:customStyle="1" w:styleId="75">
    <w:name w:val="列出段落 Char"/>
    <w:link w:val="76"/>
    <w:qFormat/>
    <w:uiPriority w:val="0"/>
    <w:rPr>
      <w:rFonts w:ascii="Calibri" w:hAnsi="Calibri" w:eastAsia="宋体"/>
      <w:kern w:val="2"/>
      <w:sz w:val="21"/>
      <w:szCs w:val="22"/>
      <w:lang w:val="en-US" w:eastAsia="zh-CN" w:bidi="ar-SA"/>
    </w:rPr>
  </w:style>
  <w:style w:type="paragraph" w:styleId="76">
    <w:name w:val="List Paragraph"/>
    <w:basedOn w:val="1"/>
    <w:link w:val="75"/>
    <w:qFormat/>
    <w:uiPriority w:val="34"/>
    <w:pPr>
      <w:ind w:firstLine="420" w:firstLineChars="200"/>
    </w:pPr>
    <w:rPr>
      <w:rFonts w:ascii="Calibri" w:hAnsi="Calibri"/>
      <w:kern w:val="2"/>
      <w:sz w:val="21"/>
      <w:szCs w:val="22"/>
    </w:rPr>
  </w:style>
  <w:style w:type="character" w:customStyle="1" w:styleId="77">
    <w:name w:val="文档结构图 Char Char"/>
    <w:link w:val="78"/>
    <w:qFormat/>
    <w:uiPriority w:val="0"/>
    <w:rPr>
      <w:rFonts w:ascii="宋体" w:hAnsi="Calibri"/>
      <w:kern w:val="2"/>
      <w:sz w:val="18"/>
      <w:szCs w:val="18"/>
      <w:lang w:bidi="ar-SA"/>
    </w:rPr>
  </w:style>
  <w:style w:type="paragraph" w:customStyle="1" w:styleId="78">
    <w:name w:val="文档结构图1"/>
    <w:basedOn w:val="1"/>
    <w:link w:val="77"/>
    <w:qFormat/>
    <w:uiPriority w:val="0"/>
    <w:pPr>
      <w:spacing w:line="360" w:lineRule="auto"/>
      <w:ind w:firstLine="200" w:firstLineChars="200"/>
    </w:pPr>
    <w:rPr>
      <w:rFonts w:ascii="宋体" w:hAnsi="Calibri"/>
      <w:kern w:val="2"/>
      <w:sz w:val="18"/>
      <w:szCs w:val="18"/>
    </w:rPr>
  </w:style>
  <w:style w:type="character" w:customStyle="1" w:styleId="79">
    <w:name w:val="-标题2- Char"/>
    <w:link w:val="80"/>
    <w:qFormat/>
    <w:uiPriority w:val="0"/>
    <w:rPr>
      <w:rFonts w:ascii="宋体" w:hAnsi="宋体"/>
      <w:b/>
      <w:bCs/>
      <w:kern w:val="44"/>
      <w:sz w:val="28"/>
      <w:szCs w:val="28"/>
    </w:rPr>
  </w:style>
  <w:style w:type="paragraph" w:customStyle="1" w:styleId="80">
    <w:name w:val="-标题2-"/>
    <w:basedOn w:val="1"/>
    <w:link w:val="79"/>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81">
    <w:name w:val="纯文本 Char2"/>
    <w:qFormat/>
    <w:uiPriority w:val="0"/>
    <w:rPr>
      <w:rFonts w:ascii="宋体" w:hAnsi="Courier New" w:eastAsia="宋体" w:cs="Courier New"/>
      <w:kern w:val="2"/>
      <w:sz w:val="21"/>
      <w:szCs w:val="21"/>
      <w:lang w:val="en-US" w:eastAsia="zh-CN" w:bidi="ar-SA"/>
    </w:rPr>
  </w:style>
  <w:style w:type="character" w:customStyle="1" w:styleId="82">
    <w:name w:val="标题 3 Char"/>
    <w:qFormat/>
    <w:uiPriority w:val="0"/>
    <w:rPr>
      <w:rFonts w:ascii="宋体" w:hAnsi="宋体" w:eastAsia="宋体" w:cs="Times New Roman"/>
      <w:b/>
      <w:bCs/>
      <w:sz w:val="28"/>
      <w:szCs w:val="24"/>
    </w:rPr>
  </w:style>
  <w:style w:type="character" w:customStyle="1" w:styleId="83">
    <w:name w:val="正文，首行缩进: Char"/>
    <w:link w:val="84"/>
    <w:qFormat/>
    <w:uiPriority w:val="0"/>
    <w:rPr>
      <w:rFonts w:ascii="Arial" w:hAnsi="Arial"/>
      <w:kern w:val="2"/>
      <w:sz w:val="24"/>
      <w:szCs w:val="24"/>
      <w:lang w:bidi="ar-SA"/>
    </w:rPr>
  </w:style>
  <w:style w:type="paragraph" w:customStyle="1" w:styleId="84">
    <w:name w:val="正文，首行缩进:"/>
    <w:basedOn w:val="1"/>
    <w:link w:val="83"/>
    <w:qFormat/>
    <w:uiPriority w:val="0"/>
    <w:pPr>
      <w:spacing w:line="360" w:lineRule="auto"/>
      <w:ind w:firstLine="480" w:firstLineChars="200"/>
    </w:pPr>
    <w:rPr>
      <w:rFonts w:ascii="Arial" w:hAnsi="Arial"/>
      <w:kern w:val="2"/>
    </w:rPr>
  </w:style>
  <w:style w:type="character" w:customStyle="1" w:styleId="85">
    <w:name w:val="表格文字 Char"/>
    <w:link w:val="86"/>
    <w:qFormat/>
    <w:uiPriority w:val="0"/>
    <w:rPr>
      <w:sz w:val="18"/>
      <w:szCs w:val="24"/>
      <w:lang w:bidi="ar-SA"/>
    </w:rPr>
  </w:style>
  <w:style w:type="paragraph" w:customStyle="1" w:styleId="86">
    <w:name w:val="表格文字"/>
    <w:basedOn w:val="1"/>
    <w:link w:val="85"/>
    <w:qFormat/>
    <w:uiPriority w:val="0"/>
    <w:pPr>
      <w:textAlignment w:val="top"/>
    </w:pPr>
    <w:rPr>
      <w:sz w:val="18"/>
    </w:rPr>
  </w:style>
  <w:style w:type="character" w:customStyle="1" w:styleId="87">
    <w:name w:val="G-正文缩进 Char"/>
    <w:link w:val="88"/>
    <w:qFormat/>
    <w:uiPriority w:val="0"/>
    <w:rPr>
      <w:kern w:val="2"/>
      <w:sz w:val="24"/>
      <w:szCs w:val="24"/>
      <w:lang w:bidi="ar-SA"/>
    </w:rPr>
  </w:style>
  <w:style w:type="paragraph" w:customStyle="1" w:styleId="88">
    <w:name w:val="G-正文缩进"/>
    <w:basedOn w:val="1"/>
    <w:link w:val="87"/>
    <w:qFormat/>
    <w:uiPriority w:val="0"/>
    <w:pPr>
      <w:spacing w:line="312" w:lineRule="auto"/>
      <w:ind w:firstLine="480" w:firstLineChars="200"/>
    </w:pPr>
    <w:rPr>
      <w:kern w:val="2"/>
    </w:rPr>
  </w:style>
  <w:style w:type="character" w:customStyle="1" w:styleId="89">
    <w:name w:val="正文文本缩进 2 Char"/>
    <w:link w:val="90"/>
    <w:qFormat/>
    <w:uiPriority w:val="0"/>
    <w:rPr>
      <w:rFonts w:ascii="Calibri" w:hAnsi="Calibri" w:eastAsia="仿宋_GB2312"/>
      <w:kern w:val="2"/>
      <w:sz w:val="24"/>
      <w:szCs w:val="22"/>
      <w:lang w:bidi="ar-SA"/>
    </w:rPr>
  </w:style>
  <w:style w:type="paragraph" w:customStyle="1" w:styleId="90">
    <w:name w:val="正文文本缩进 21"/>
    <w:basedOn w:val="1"/>
    <w:link w:val="89"/>
    <w:qFormat/>
    <w:uiPriority w:val="0"/>
    <w:pPr>
      <w:spacing w:after="120" w:line="480" w:lineRule="auto"/>
      <w:ind w:left="420" w:leftChars="200"/>
    </w:pPr>
    <w:rPr>
      <w:rFonts w:ascii="Calibri" w:hAnsi="Calibri" w:eastAsia="仿宋_GB2312"/>
      <w:kern w:val="2"/>
      <w:szCs w:val="22"/>
    </w:rPr>
  </w:style>
  <w:style w:type="character" w:customStyle="1" w:styleId="91">
    <w:name w:val="my正文 Char"/>
    <w:link w:val="92"/>
    <w:qFormat/>
    <w:uiPriority w:val="0"/>
    <w:rPr>
      <w:kern w:val="2"/>
      <w:sz w:val="24"/>
      <w:szCs w:val="24"/>
    </w:rPr>
  </w:style>
  <w:style w:type="paragraph" w:customStyle="1" w:styleId="92">
    <w:name w:val="my正文"/>
    <w:basedOn w:val="1"/>
    <w:link w:val="91"/>
    <w:qFormat/>
    <w:uiPriority w:val="0"/>
    <w:pPr>
      <w:spacing w:line="360" w:lineRule="auto"/>
      <w:ind w:firstLine="200" w:firstLineChars="200"/>
    </w:pPr>
    <w:rPr>
      <w:kern w:val="2"/>
    </w:rPr>
  </w:style>
  <w:style w:type="character" w:customStyle="1" w:styleId="93">
    <w:name w:val="批注文字 Char"/>
    <w:qFormat/>
    <w:uiPriority w:val="99"/>
    <w:rPr>
      <w:kern w:val="2"/>
      <w:sz w:val="24"/>
      <w:szCs w:val="22"/>
    </w:rPr>
  </w:style>
  <w:style w:type="character" w:customStyle="1" w:styleId="94">
    <w:name w:val="正文文本 Char1"/>
    <w:qFormat/>
    <w:uiPriority w:val="0"/>
    <w:rPr>
      <w:rFonts w:hint="eastAsia" w:ascii="宋体" w:hAnsi="宋体" w:eastAsia="宋体" w:cs="宋体"/>
      <w:b/>
      <w:color w:val="000000"/>
      <w:sz w:val="72"/>
    </w:rPr>
  </w:style>
  <w:style w:type="character" w:customStyle="1" w:styleId="95">
    <w:name w:val="正文文本缩进 Char1"/>
    <w:link w:val="24"/>
    <w:qFormat/>
    <w:uiPriority w:val="0"/>
    <w:rPr>
      <w:rFonts w:ascii="Times New Roman" w:hAnsi="Times New Roman"/>
      <w:b/>
      <w:bCs/>
      <w:sz w:val="24"/>
      <w:szCs w:val="24"/>
    </w:rPr>
  </w:style>
  <w:style w:type="character" w:customStyle="1" w:styleId="96">
    <w:name w:val="正文首行缩进 Char1"/>
    <w:qFormat/>
    <w:uiPriority w:val="0"/>
    <w:rPr>
      <w:rFonts w:eastAsia="仿宋_GB2312"/>
      <w:kern w:val="2"/>
      <w:sz w:val="28"/>
      <w:szCs w:val="24"/>
    </w:rPr>
  </w:style>
  <w:style w:type="character" w:customStyle="1" w:styleId="97">
    <w:name w:val="普通文字 Char Char3"/>
    <w:qFormat/>
    <w:uiPriority w:val="0"/>
    <w:rPr>
      <w:rFonts w:ascii="宋体" w:hAnsi="Courier New" w:eastAsia="宋体" w:cs="Courier New"/>
      <w:kern w:val="2"/>
      <w:sz w:val="21"/>
      <w:szCs w:val="21"/>
      <w:lang w:val="en-US" w:eastAsia="zh-CN" w:bidi="ar-SA"/>
    </w:rPr>
  </w:style>
  <w:style w:type="character" w:customStyle="1" w:styleId="98">
    <w:name w:val="样式 段前: 0.5 行 段后: 0.5 行 Char Char"/>
    <w:link w:val="99"/>
    <w:qFormat/>
    <w:uiPriority w:val="0"/>
    <w:rPr>
      <w:rFonts w:ascii="仿宋_GB2312" w:eastAsia="仿宋_GB2312"/>
      <w:color w:val="000000"/>
      <w:sz w:val="28"/>
      <w:szCs w:val="28"/>
      <w:lang w:bidi="ar-SA"/>
    </w:rPr>
  </w:style>
  <w:style w:type="paragraph" w:customStyle="1" w:styleId="99">
    <w:name w:val="样式 段前: 0.5 行 段后: 0.5 行"/>
    <w:basedOn w:val="1"/>
    <w:link w:val="98"/>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00">
    <w:name w:val="font31"/>
    <w:qFormat/>
    <w:uiPriority w:val="0"/>
    <w:rPr>
      <w:rFonts w:ascii="Calibri" w:hAnsi="Calibri" w:cs="Calibri"/>
      <w:color w:val="000000"/>
      <w:sz w:val="21"/>
      <w:szCs w:val="21"/>
      <w:u w:val="none"/>
    </w:rPr>
  </w:style>
  <w:style w:type="character" w:customStyle="1" w:styleId="101">
    <w:name w:val="标题 6 Char"/>
    <w:qFormat/>
    <w:uiPriority w:val="0"/>
    <w:rPr>
      <w:rFonts w:ascii="Arial" w:hAnsi="Arial" w:eastAsia="黑体" w:cs="Times New Roman"/>
      <w:b/>
      <w:bCs/>
      <w:sz w:val="24"/>
      <w:szCs w:val="24"/>
    </w:rPr>
  </w:style>
  <w:style w:type="character" w:customStyle="1" w:styleId="102">
    <w:name w:val="三级目录 Char Char"/>
    <w:link w:val="103"/>
    <w:qFormat/>
    <w:uiPriority w:val="0"/>
    <w:rPr>
      <w:rFonts w:ascii="Cambria" w:hAnsi="Cambria" w:eastAsia="楷体"/>
      <w:b/>
      <w:bCs/>
      <w:color w:val="000000"/>
      <w:sz w:val="26"/>
      <w:szCs w:val="26"/>
      <w:lang w:val="en-GB" w:bidi="ar-SA"/>
    </w:rPr>
  </w:style>
  <w:style w:type="paragraph" w:customStyle="1" w:styleId="103">
    <w:name w:val="三级目录"/>
    <w:basedOn w:val="5"/>
    <w:link w:val="102"/>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04">
    <w:name w:val="正文文本缩进 2 Char1"/>
    <w:link w:val="105"/>
    <w:qFormat/>
    <w:uiPriority w:val="0"/>
    <w:rPr>
      <w:rFonts w:ascii="Calibri" w:hAnsi="Calibri" w:eastAsia="仿宋_GB2312"/>
      <w:kern w:val="2"/>
      <w:sz w:val="24"/>
      <w:szCs w:val="22"/>
      <w:lang w:bidi="ar-SA"/>
    </w:rPr>
  </w:style>
  <w:style w:type="paragraph" w:customStyle="1" w:styleId="105">
    <w:name w:val="正文文本缩进 22"/>
    <w:basedOn w:val="1"/>
    <w:link w:val="104"/>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06">
    <w:name w:val="方案正文 Char Char"/>
    <w:link w:val="107"/>
    <w:qFormat/>
    <w:uiPriority w:val="0"/>
    <w:rPr>
      <w:rFonts w:eastAsia="宋体"/>
      <w:kern w:val="2"/>
      <w:sz w:val="24"/>
      <w:szCs w:val="24"/>
      <w:lang w:val="en-US" w:eastAsia="zh-CN" w:bidi="ar-SA"/>
    </w:rPr>
  </w:style>
  <w:style w:type="paragraph" w:customStyle="1" w:styleId="107">
    <w:name w:val="方案正文"/>
    <w:basedOn w:val="1"/>
    <w:link w:val="106"/>
    <w:qFormat/>
    <w:uiPriority w:val="0"/>
    <w:pPr>
      <w:adjustRightInd w:val="0"/>
      <w:snapToGrid w:val="0"/>
      <w:spacing w:line="360" w:lineRule="auto"/>
      <w:ind w:firstLine="480" w:firstLineChars="200"/>
    </w:pPr>
    <w:rPr>
      <w:kern w:val="2"/>
    </w:rPr>
  </w:style>
  <w:style w:type="character" w:customStyle="1" w:styleId="108">
    <w:name w:val="标题 9 Char1"/>
    <w:link w:val="13"/>
    <w:qFormat/>
    <w:uiPriority w:val="0"/>
    <w:rPr>
      <w:rFonts w:ascii="Arial" w:hAnsi="Arial" w:eastAsia="黑体"/>
      <w:kern w:val="2"/>
      <w:sz w:val="21"/>
      <w:szCs w:val="21"/>
    </w:rPr>
  </w:style>
  <w:style w:type="character" w:customStyle="1" w:styleId="109">
    <w:name w:val="批注文字 Char1"/>
    <w:semiHidden/>
    <w:qFormat/>
    <w:uiPriority w:val="0"/>
    <w:rPr>
      <w:rFonts w:ascii="Calibri" w:hAnsi="Calibri" w:eastAsia="宋体" w:cs="Times New Roman"/>
      <w:sz w:val="24"/>
      <w:szCs w:val="24"/>
    </w:rPr>
  </w:style>
  <w:style w:type="character" w:customStyle="1" w:styleId="110">
    <w:name w:val="规范正文 Char"/>
    <w:link w:val="111"/>
    <w:qFormat/>
    <w:uiPriority w:val="0"/>
    <w:rPr>
      <w:rFonts w:eastAsia="宋体"/>
      <w:sz w:val="24"/>
      <w:lang w:val="en-US" w:eastAsia="zh-CN" w:bidi="ar-SA"/>
    </w:rPr>
  </w:style>
  <w:style w:type="paragraph" w:customStyle="1" w:styleId="111">
    <w:name w:val="规范正文"/>
    <w:basedOn w:val="1"/>
    <w:link w:val="110"/>
    <w:qFormat/>
    <w:uiPriority w:val="0"/>
    <w:pPr>
      <w:adjustRightInd w:val="0"/>
      <w:spacing w:beforeLines="50" w:line="360" w:lineRule="auto"/>
      <w:ind w:firstLine="480" w:firstLineChars="200"/>
      <w:textAlignment w:val="baseline"/>
    </w:pPr>
    <w:rPr>
      <w:szCs w:val="20"/>
    </w:rPr>
  </w:style>
  <w:style w:type="character" w:customStyle="1" w:styleId="112">
    <w:name w:val="标题 3 Char2"/>
    <w:link w:val="6"/>
    <w:qFormat/>
    <w:uiPriority w:val="0"/>
    <w:rPr>
      <w:b/>
      <w:bCs/>
      <w:sz w:val="32"/>
      <w:szCs w:val="32"/>
    </w:rPr>
  </w:style>
  <w:style w:type="character" w:customStyle="1" w:styleId="113">
    <w:name w:val="标题 8 Char"/>
    <w:qFormat/>
    <w:uiPriority w:val="0"/>
    <w:rPr>
      <w:rFonts w:ascii="Arial" w:hAnsi="Arial" w:eastAsia="黑体" w:cs="Times New Roman"/>
      <w:sz w:val="24"/>
      <w:szCs w:val="24"/>
    </w:rPr>
  </w:style>
  <w:style w:type="character" w:customStyle="1" w:styleId="114">
    <w:name w:val="彩色列表 - 强调文字颜色 1 Char"/>
    <w:link w:val="115"/>
    <w:qFormat/>
    <w:uiPriority w:val="0"/>
    <w:rPr>
      <w:rFonts w:ascii="Calibri" w:hAnsi="Calibri"/>
      <w:kern w:val="2"/>
      <w:sz w:val="21"/>
      <w:szCs w:val="22"/>
      <w:lang w:bidi="ar-SA"/>
    </w:rPr>
  </w:style>
  <w:style w:type="paragraph" w:customStyle="1" w:styleId="115">
    <w:name w:val="彩色列表 - 强调文字颜色 11"/>
    <w:basedOn w:val="1"/>
    <w:link w:val="114"/>
    <w:qFormat/>
    <w:uiPriority w:val="0"/>
    <w:pPr>
      <w:ind w:firstLine="420" w:firstLineChars="200"/>
    </w:pPr>
    <w:rPr>
      <w:rFonts w:ascii="Calibri" w:hAnsi="Calibri"/>
      <w:kern w:val="2"/>
      <w:sz w:val="21"/>
      <w:szCs w:val="22"/>
    </w:rPr>
  </w:style>
  <w:style w:type="character" w:customStyle="1" w:styleId="116">
    <w:name w:val="Table Text Char1"/>
    <w:link w:val="117"/>
    <w:qFormat/>
    <w:locked/>
    <w:uiPriority w:val="0"/>
    <w:rPr>
      <w:rFonts w:ascii="Arial" w:hAnsi="Arial" w:eastAsia="宋体"/>
      <w:sz w:val="18"/>
      <w:lang w:val="en-US" w:eastAsia="zh-CN" w:bidi="ar-SA"/>
    </w:rPr>
  </w:style>
  <w:style w:type="paragraph" w:customStyle="1" w:styleId="117">
    <w:name w:val="Table Text"/>
    <w:basedOn w:val="1"/>
    <w:link w:val="116"/>
    <w:qFormat/>
    <w:uiPriority w:val="0"/>
    <w:pPr>
      <w:tabs>
        <w:tab w:val="decimal" w:pos="0"/>
      </w:tabs>
      <w:autoSpaceDE w:val="0"/>
      <w:autoSpaceDN w:val="0"/>
      <w:adjustRightInd w:val="0"/>
      <w:spacing w:before="80" w:after="80"/>
    </w:pPr>
    <w:rPr>
      <w:rFonts w:ascii="Arial" w:hAnsi="Arial"/>
      <w:sz w:val="18"/>
      <w:szCs w:val="20"/>
    </w:rPr>
  </w:style>
  <w:style w:type="character" w:customStyle="1" w:styleId="118">
    <w:name w:val="标题 7 Char1"/>
    <w:link w:val="11"/>
    <w:qFormat/>
    <w:uiPriority w:val="0"/>
    <w:rPr>
      <w:b/>
      <w:bCs/>
      <w:kern w:val="2"/>
      <w:sz w:val="24"/>
      <w:szCs w:val="24"/>
    </w:rPr>
  </w:style>
  <w:style w:type="character" w:customStyle="1" w:styleId="119">
    <w:name w:val="font01"/>
    <w:qFormat/>
    <w:uiPriority w:val="0"/>
    <w:rPr>
      <w:rFonts w:ascii="Arial" w:hAnsi="Arial" w:cs="Arial"/>
      <w:color w:val="000000"/>
      <w:sz w:val="20"/>
      <w:szCs w:val="20"/>
      <w:u w:val="none"/>
    </w:rPr>
  </w:style>
  <w:style w:type="character" w:customStyle="1" w:styleId="120">
    <w:name w:val="正文段 Char Char"/>
    <w:link w:val="121"/>
    <w:qFormat/>
    <w:uiPriority w:val="0"/>
    <w:rPr>
      <w:rFonts w:ascii="宋体" w:hAnsi="Calibri"/>
      <w:kern w:val="2"/>
      <w:sz w:val="24"/>
      <w:szCs w:val="22"/>
      <w:lang w:bidi="ar-SA"/>
    </w:rPr>
  </w:style>
  <w:style w:type="paragraph" w:customStyle="1" w:styleId="121">
    <w:name w:val="正文段"/>
    <w:basedOn w:val="1"/>
    <w:link w:val="120"/>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22">
    <w:name w:val="正文文本缩进 3 Char"/>
    <w:link w:val="123"/>
    <w:qFormat/>
    <w:uiPriority w:val="0"/>
    <w:rPr>
      <w:rFonts w:ascii="Calibri" w:hAnsi="Calibri" w:eastAsia="仿宋_GB2312"/>
      <w:kern w:val="2"/>
      <w:sz w:val="16"/>
      <w:szCs w:val="16"/>
      <w:lang w:bidi="ar-SA"/>
    </w:rPr>
  </w:style>
  <w:style w:type="paragraph" w:customStyle="1" w:styleId="123">
    <w:name w:val="正文文本缩进 31"/>
    <w:basedOn w:val="1"/>
    <w:link w:val="122"/>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24">
    <w:name w:val="Code Line Char"/>
    <w:link w:val="125"/>
    <w:qFormat/>
    <w:locked/>
    <w:uiPriority w:val="0"/>
    <w:rPr>
      <w:rFonts w:ascii="Calibri" w:hAnsi="Calibri" w:eastAsia="宋体"/>
      <w:i/>
      <w:szCs w:val="24"/>
      <w:shd w:val="clear" w:color="auto" w:fill="C6D9F1"/>
      <w:lang w:bidi="ar-SA"/>
    </w:rPr>
  </w:style>
  <w:style w:type="paragraph" w:customStyle="1" w:styleId="125">
    <w:name w:val="Code Line"/>
    <w:basedOn w:val="1"/>
    <w:link w:val="124"/>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26">
    <w:name w:val="正文2 Char"/>
    <w:link w:val="127"/>
    <w:qFormat/>
    <w:uiPriority w:val="0"/>
    <w:rPr>
      <w:kern w:val="2"/>
      <w:sz w:val="24"/>
      <w:lang w:bidi="ar-SA"/>
    </w:rPr>
  </w:style>
  <w:style w:type="paragraph" w:customStyle="1" w:styleId="127">
    <w:name w:val="正文2"/>
    <w:basedOn w:val="1"/>
    <w:link w:val="126"/>
    <w:qFormat/>
    <w:uiPriority w:val="0"/>
    <w:pPr>
      <w:spacing w:before="156" w:line="360" w:lineRule="auto"/>
      <w:ind w:firstLine="510" w:firstLineChars="200"/>
    </w:pPr>
    <w:rPr>
      <w:kern w:val="2"/>
      <w:szCs w:val="20"/>
    </w:rPr>
  </w:style>
  <w:style w:type="character" w:customStyle="1" w:styleId="128">
    <w:name w:val="标题 1 Char"/>
    <w:qFormat/>
    <w:uiPriority w:val="9"/>
    <w:rPr>
      <w:rFonts w:ascii="宋体" w:hAnsi="宋体" w:eastAsia="宋体" w:cs="Times New Roman"/>
      <w:b/>
      <w:bCs/>
      <w:kern w:val="44"/>
      <w:sz w:val="32"/>
      <w:szCs w:val="28"/>
    </w:rPr>
  </w:style>
  <w:style w:type="character" w:customStyle="1" w:styleId="129">
    <w:name w:val="GP正文(无首行缩进) Char"/>
    <w:link w:val="130"/>
    <w:qFormat/>
    <w:uiPriority w:val="0"/>
    <w:rPr>
      <w:rFonts w:hAnsi="宋体"/>
      <w:kern w:val="2"/>
      <w:sz w:val="24"/>
      <w:szCs w:val="24"/>
      <w:lang w:bidi="ar-SA"/>
    </w:rPr>
  </w:style>
  <w:style w:type="paragraph" w:customStyle="1" w:styleId="130">
    <w:name w:val="GP正文(无首行缩进)"/>
    <w:basedOn w:val="131"/>
    <w:link w:val="129"/>
    <w:qFormat/>
    <w:uiPriority w:val="0"/>
    <w:pPr>
      <w:ind w:firstLine="480"/>
    </w:pPr>
    <w:rPr>
      <w:rFonts w:hAnsi="宋体"/>
      <w:kern w:val="2"/>
      <w:szCs w:val="24"/>
    </w:rPr>
  </w:style>
  <w:style w:type="paragraph" w:customStyle="1" w:styleId="131">
    <w:name w:val="GP正文(首行缩进)"/>
    <w:basedOn w:val="1"/>
    <w:qFormat/>
    <w:uiPriority w:val="0"/>
    <w:pPr>
      <w:spacing w:line="360" w:lineRule="auto"/>
      <w:ind w:firstLine="200" w:firstLineChars="200"/>
    </w:pPr>
    <w:rPr>
      <w:szCs w:val="21"/>
    </w:rPr>
  </w:style>
  <w:style w:type="character" w:customStyle="1" w:styleId="132">
    <w:name w:val="Notes Text in Table Char"/>
    <w:link w:val="133"/>
    <w:qFormat/>
    <w:locked/>
    <w:uiPriority w:val="0"/>
    <w:rPr>
      <w:rFonts w:ascii="Arial" w:hAnsi="Arial" w:eastAsia="楷体_GB2312" w:cs="Arial"/>
      <w:sz w:val="18"/>
      <w:szCs w:val="18"/>
      <w:lang w:val="en-US" w:eastAsia="zh-CN" w:bidi="ar-SA"/>
    </w:rPr>
  </w:style>
  <w:style w:type="paragraph" w:customStyle="1" w:styleId="133">
    <w:name w:val="Notes Text in Table"/>
    <w:link w:val="132"/>
    <w:qFormat/>
    <w:uiPriority w:val="0"/>
    <w:pPr>
      <w:keepLines/>
      <w:spacing w:before="80" w:after="80"/>
    </w:pPr>
    <w:rPr>
      <w:rFonts w:ascii="Arial" w:hAnsi="Arial" w:eastAsia="楷体_GB2312" w:cs="Arial"/>
      <w:sz w:val="18"/>
      <w:szCs w:val="18"/>
      <w:lang w:val="en-US" w:eastAsia="zh-CN" w:bidi="ar-SA"/>
    </w:rPr>
  </w:style>
  <w:style w:type="character" w:customStyle="1" w:styleId="134">
    <w:name w:val="纯文本 Char1"/>
    <w:basedOn w:val="59"/>
    <w:link w:val="30"/>
    <w:qFormat/>
    <w:uiPriority w:val="0"/>
    <w:rPr>
      <w:rFonts w:ascii="宋体" w:hAnsi="Courier New" w:eastAsia="宋体" w:cs="Courier New"/>
      <w:kern w:val="2"/>
      <w:sz w:val="21"/>
      <w:szCs w:val="21"/>
      <w:lang w:val="en-US" w:eastAsia="zh-CN" w:bidi="ar-SA"/>
    </w:rPr>
  </w:style>
  <w:style w:type="character" w:customStyle="1" w:styleId="135">
    <w:name w:val="font51"/>
    <w:qFormat/>
    <w:uiPriority w:val="0"/>
    <w:rPr>
      <w:rFonts w:hint="eastAsia" w:ascii="微软雅黑" w:hAnsi="微软雅黑" w:eastAsia="微软雅黑" w:cs="微软雅黑"/>
      <w:b/>
      <w:color w:val="FF0000"/>
      <w:sz w:val="24"/>
      <w:szCs w:val="24"/>
      <w:u w:val="none"/>
    </w:rPr>
  </w:style>
  <w:style w:type="character" w:customStyle="1" w:styleId="136">
    <w:name w:val="页脚 Char1"/>
    <w:link w:val="36"/>
    <w:qFormat/>
    <w:uiPriority w:val="0"/>
    <w:rPr>
      <w:rFonts w:eastAsia="宋体"/>
      <w:kern w:val="2"/>
      <w:sz w:val="18"/>
      <w:szCs w:val="18"/>
      <w:lang w:val="en-US" w:eastAsia="zh-CN" w:bidi="ar-SA"/>
    </w:rPr>
  </w:style>
  <w:style w:type="character" w:customStyle="1" w:styleId="137">
    <w:name w:val="标准正文 Char"/>
    <w:link w:val="138"/>
    <w:qFormat/>
    <w:locked/>
    <w:uiPriority w:val="0"/>
    <w:rPr>
      <w:kern w:val="2"/>
      <w:sz w:val="24"/>
      <w:lang w:bidi="ar-SA"/>
    </w:rPr>
  </w:style>
  <w:style w:type="paragraph" w:customStyle="1" w:styleId="138">
    <w:name w:val="标准正文"/>
    <w:basedOn w:val="1"/>
    <w:link w:val="137"/>
    <w:qFormat/>
    <w:uiPriority w:val="0"/>
    <w:pPr>
      <w:spacing w:before="156" w:after="156" w:line="360" w:lineRule="auto"/>
      <w:ind w:firstLine="480" w:firstLineChars="200"/>
    </w:pPr>
    <w:rPr>
      <w:kern w:val="2"/>
      <w:szCs w:val="20"/>
    </w:rPr>
  </w:style>
  <w:style w:type="character" w:customStyle="1" w:styleId="139">
    <w:name w:val="标题 3 Char1"/>
    <w:qFormat/>
    <w:uiPriority w:val="0"/>
    <w:rPr>
      <w:b/>
      <w:sz w:val="32"/>
      <w:szCs w:val="32"/>
    </w:rPr>
  </w:style>
  <w:style w:type="character" w:customStyle="1" w:styleId="140">
    <w:name w:val="3级标题 Char"/>
    <w:link w:val="141"/>
    <w:qFormat/>
    <w:uiPriority w:val="99"/>
    <w:rPr>
      <w:rFonts w:ascii="黑体" w:hAnsi="黑体"/>
      <w:b/>
      <w:szCs w:val="36"/>
      <w:lang w:eastAsia="en-US" w:bidi="en-US"/>
    </w:rPr>
  </w:style>
  <w:style w:type="paragraph" w:customStyle="1" w:styleId="141">
    <w:name w:val="3级标题"/>
    <w:basedOn w:val="142"/>
    <w:link w:val="140"/>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42">
    <w:name w:val="列出段落111"/>
    <w:basedOn w:val="1"/>
    <w:qFormat/>
    <w:uiPriority w:val="0"/>
    <w:pPr>
      <w:ind w:firstLine="420" w:firstLineChars="200"/>
    </w:pPr>
    <w:rPr>
      <w:rFonts w:ascii="Calibri" w:hAnsi="Calibri" w:cs="黑体"/>
      <w:szCs w:val="22"/>
    </w:rPr>
  </w:style>
  <w:style w:type="character" w:customStyle="1" w:styleId="143">
    <w:name w:val="样式3 Char Char"/>
    <w:link w:val="144"/>
    <w:qFormat/>
    <w:uiPriority w:val="0"/>
    <w:rPr>
      <w:rFonts w:eastAsia="宋体" w:cs="宋体"/>
      <w:b/>
      <w:bCs/>
      <w:kern w:val="2"/>
      <w:sz w:val="32"/>
      <w:szCs w:val="32"/>
      <w:lang w:val="en-US" w:eastAsia="zh-CN" w:bidi="ar-SA"/>
    </w:rPr>
  </w:style>
  <w:style w:type="paragraph" w:customStyle="1" w:styleId="144">
    <w:name w:val="样式3"/>
    <w:basedOn w:val="6"/>
    <w:link w:val="143"/>
    <w:qFormat/>
    <w:uiPriority w:val="0"/>
    <w:pPr>
      <w:keepNext w:val="0"/>
      <w:keepLines w:val="0"/>
      <w:numPr>
        <w:ilvl w:val="0"/>
        <w:numId w:val="0"/>
      </w:numPr>
      <w:spacing w:before="60" w:after="60" w:line="360" w:lineRule="auto"/>
      <w:ind w:left="397"/>
    </w:pPr>
    <w:rPr>
      <w:rFonts w:cs="宋体"/>
      <w:kern w:val="2"/>
    </w:rPr>
  </w:style>
  <w:style w:type="character" w:customStyle="1" w:styleId="145">
    <w:name w:val="样式001 Char Char"/>
    <w:link w:val="146"/>
    <w:qFormat/>
    <w:uiPriority w:val="0"/>
    <w:rPr>
      <w:rFonts w:ascii="宋体" w:eastAsia="仿宋_GB2312"/>
      <w:color w:val="000000"/>
      <w:sz w:val="24"/>
      <w:szCs w:val="28"/>
      <w:lang w:bidi="ar-SA"/>
    </w:rPr>
  </w:style>
  <w:style w:type="paragraph" w:customStyle="1" w:styleId="146">
    <w:name w:val="样式001"/>
    <w:basedOn w:val="1"/>
    <w:link w:val="145"/>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47">
    <w:name w:val="样式4 Char Char"/>
    <w:link w:val="148"/>
    <w:qFormat/>
    <w:uiPriority w:val="0"/>
    <w:rPr>
      <w:rFonts w:eastAsia="宋体"/>
      <w:b/>
      <w:bCs/>
      <w:kern w:val="2"/>
      <w:sz w:val="30"/>
      <w:szCs w:val="30"/>
      <w:lang w:val="en-US" w:eastAsia="zh-CN" w:bidi="ar-SA"/>
    </w:rPr>
  </w:style>
  <w:style w:type="paragraph" w:customStyle="1" w:styleId="148">
    <w:name w:val="样式4"/>
    <w:basedOn w:val="8"/>
    <w:link w:val="147"/>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49">
    <w:name w:val="普通文字 Char Char1"/>
    <w:qFormat/>
    <w:uiPriority w:val="0"/>
    <w:rPr>
      <w:rFonts w:ascii="宋体" w:hAnsi="Courier New" w:eastAsia="宋体" w:cs="Courier New"/>
      <w:kern w:val="2"/>
      <w:sz w:val="21"/>
      <w:szCs w:val="21"/>
      <w:lang w:val="en-US" w:eastAsia="zh-CN" w:bidi="ar-SA"/>
    </w:rPr>
  </w:style>
  <w:style w:type="character" w:customStyle="1" w:styleId="150">
    <w:name w:val="列表符号 Char1"/>
    <w:link w:val="151"/>
    <w:qFormat/>
    <w:uiPriority w:val="0"/>
    <w:rPr>
      <w:rFonts w:ascii="宋体" w:hAnsi="宋体"/>
      <w:bCs/>
      <w:kern w:val="21"/>
      <w:sz w:val="24"/>
      <w:szCs w:val="24"/>
      <w:lang w:val="zh-CN" w:bidi="ar-SA"/>
    </w:rPr>
  </w:style>
  <w:style w:type="paragraph" w:customStyle="1" w:styleId="151">
    <w:name w:val="列表符号"/>
    <w:basedOn w:val="1"/>
    <w:next w:val="1"/>
    <w:link w:val="150"/>
    <w:qFormat/>
    <w:uiPriority w:val="0"/>
    <w:pPr>
      <w:tabs>
        <w:tab w:val="left" w:pos="1095"/>
      </w:tabs>
      <w:spacing w:line="360" w:lineRule="auto"/>
      <w:ind w:left="1095" w:hanging="1095"/>
    </w:pPr>
    <w:rPr>
      <w:rFonts w:ascii="宋体" w:hAnsi="宋体"/>
      <w:bCs/>
      <w:kern w:val="21"/>
      <w:lang w:val="zh-CN"/>
    </w:rPr>
  </w:style>
  <w:style w:type="character" w:customStyle="1" w:styleId="152">
    <w:name w:val="标题 4 Char2"/>
    <w:link w:val="8"/>
    <w:qFormat/>
    <w:uiPriority w:val="0"/>
    <w:rPr>
      <w:rFonts w:ascii="Arial" w:hAnsi="Arial" w:eastAsia="黑体"/>
      <w:b/>
      <w:bCs/>
      <w:kern w:val="2"/>
      <w:sz w:val="28"/>
      <w:szCs w:val="28"/>
    </w:rPr>
  </w:style>
  <w:style w:type="character" w:customStyle="1" w:styleId="153">
    <w:name w:val="标题 5 Char1"/>
    <w:qFormat/>
    <w:uiPriority w:val="0"/>
    <w:rPr>
      <w:rFonts w:eastAsia="宋体"/>
      <w:b/>
      <w:bCs/>
      <w:kern w:val="2"/>
      <w:sz w:val="28"/>
      <w:szCs w:val="28"/>
      <w:lang w:val="en-US" w:eastAsia="zh-CN" w:bidi="ar-SA"/>
    </w:rPr>
  </w:style>
  <w:style w:type="character" w:customStyle="1" w:styleId="154">
    <w:name w:val="font21"/>
    <w:qFormat/>
    <w:uiPriority w:val="0"/>
    <w:rPr>
      <w:rFonts w:hint="eastAsia" w:ascii="微软雅黑" w:hAnsi="微软雅黑" w:eastAsia="微软雅黑" w:cs="微软雅黑"/>
      <w:color w:val="000000"/>
      <w:sz w:val="24"/>
      <w:szCs w:val="24"/>
      <w:u w:val="none"/>
    </w:rPr>
  </w:style>
  <w:style w:type="character" w:customStyle="1" w:styleId="155">
    <w:name w:val="批注框文本 Char1"/>
    <w:link w:val="35"/>
    <w:qFormat/>
    <w:uiPriority w:val="0"/>
    <w:rPr>
      <w:rFonts w:eastAsia="宋体"/>
      <w:kern w:val="2"/>
      <w:sz w:val="18"/>
      <w:szCs w:val="18"/>
      <w:lang w:val="en-US" w:eastAsia="zh-CN" w:bidi="ar-SA"/>
    </w:rPr>
  </w:style>
  <w:style w:type="character" w:customStyle="1" w:styleId="156">
    <w:name w:val="标题 9 Char"/>
    <w:qFormat/>
    <w:uiPriority w:val="0"/>
    <w:rPr>
      <w:rFonts w:ascii="Arial" w:hAnsi="Arial" w:eastAsia="黑体" w:cs="Times New Roman"/>
      <w:sz w:val="24"/>
      <w:szCs w:val="21"/>
    </w:rPr>
  </w:style>
  <w:style w:type="character" w:customStyle="1" w:styleId="157">
    <w:name w:val="普通文字 Char Char2"/>
    <w:qFormat/>
    <w:uiPriority w:val="0"/>
    <w:rPr>
      <w:rFonts w:ascii="宋体" w:hAnsi="Courier New" w:eastAsia="宋体"/>
      <w:sz w:val="21"/>
      <w:szCs w:val="21"/>
      <w:lang w:val="en-US" w:eastAsia="zh-CN" w:bidi="ar-SA"/>
    </w:rPr>
  </w:style>
  <w:style w:type="character" w:customStyle="1" w:styleId="158">
    <w:name w:val="10"/>
    <w:qFormat/>
    <w:uiPriority w:val="0"/>
    <w:rPr>
      <w:rFonts w:hint="default" w:ascii="Times New Roman" w:hAnsi="Times New Roman" w:cs="Times New Roman"/>
    </w:rPr>
  </w:style>
  <w:style w:type="character" w:customStyle="1" w:styleId="159">
    <w:name w:val="正文文本 2 Char"/>
    <w:link w:val="160"/>
    <w:qFormat/>
    <w:uiPriority w:val="0"/>
    <w:rPr>
      <w:rFonts w:ascii="Calibri" w:hAnsi="Calibri" w:eastAsia="仿宋_GB2312"/>
      <w:kern w:val="2"/>
      <w:sz w:val="24"/>
      <w:szCs w:val="22"/>
      <w:lang w:bidi="ar-SA"/>
    </w:rPr>
  </w:style>
  <w:style w:type="paragraph" w:customStyle="1" w:styleId="160">
    <w:name w:val="正文文本 21"/>
    <w:basedOn w:val="1"/>
    <w:link w:val="159"/>
    <w:qFormat/>
    <w:uiPriority w:val="0"/>
    <w:pPr>
      <w:spacing w:after="120" w:line="480" w:lineRule="auto"/>
      <w:ind w:firstLine="200" w:firstLineChars="200"/>
    </w:pPr>
    <w:rPr>
      <w:rFonts w:ascii="Calibri" w:hAnsi="Calibri" w:eastAsia="仿宋_GB2312"/>
      <w:kern w:val="2"/>
      <w:szCs w:val="22"/>
    </w:rPr>
  </w:style>
  <w:style w:type="character" w:customStyle="1" w:styleId="161">
    <w:name w:val="Item List Char Char"/>
    <w:link w:val="162"/>
    <w:qFormat/>
    <w:locked/>
    <w:uiPriority w:val="0"/>
    <w:rPr>
      <w:rFonts w:ascii="Arial" w:hAnsi="Arial" w:eastAsia="Times New Roman"/>
      <w:b/>
      <w:bCs/>
      <w:lang w:val="en-US" w:eastAsia="zh-CN" w:bidi="ar-SA"/>
    </w:rPr>
  </w:style>
  <w:style w:type="paragraph" w:customStyle="1" w:styleId="162">
    <w:name w:val="Item List"/>
    <w:link w:val="161"/>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63">
    <w:name w:val="正文（缩进） Char"/>
    <w:link w:val="164"/>
    <w:qFormat/>
    <w:uiPriority w:val="0"/>
    <w:rPr>
      <w:rFonts w:ascii="宋体" w:hAnsi="宋体"/>
      <w:kern w:val="2"/>
      <w:sz w:val="21"/>
      <w:szCs w:val="21"/>
    </w:rPr>
  </w:style>
  <w:style w:type="paragraph" w:customStyle="1" w:styleId="164">
    <w:name w:val="正文（缩进）"/>
    <w:basedOn w:val="1"/>
    <w:link w:val="163"/>
    <w:qFormat/>
    <w:uiPriority w:val="0"/>
    <w:pPr>
      <w:spacing w:line="360" w:lineRule="auto"/>
      <w:ind w:firstLine="420" w:firstLineChars="200"/>
    </w:pPr>
    <w:rPr>
      <w:rFonts w:ascii="宋体" w:hAnsi="宋体"/>
      <w:kern w:val="2"/>
      <w:sz w:val="21"/>
      <w:szCs w:val="21"/>
    </w:rPr>
  </w:style>
  <w:style w:type="character" w:customStyle="1" w:styleId="165">
    <w:name w:val="列出段落 字符1"/>
    <w:qFormat/>
    <w:uiPriority w:val="0"/>
    <w:rPr>
      <w:kern w:val="2"/>
      <w:sz w:val="21"/>
      <w:szCs w:val="22"/>
    </w:rPr>
  </w:style>
  <w:style w:type="character" w:customStyle="1" w:styleId="166">
    <w:name w:val="正文首行缩进 Char"/>
    <w:link w:val="3"/>
    <w:qFormat/>
    <w:locked/>
    <w:uiPriority w:val="0"/>
    <w:rPr>
      <w:rFonts w:eastAsia="宋体"/>
      <w:kern w:val="2"/>
      <w:sz w:val="21"/>
      <w:szCs w:val="24"/>
      <w:lang w:val="en-US" w:eastAsia="zh-CN" w:bidi="ar-SA"/>
    </w:rPr>
  </w:style>
  <w:style w:type="character" w:customStyle="1" w:styleId="167">
    <w:name w:val="新编正文 Char Char"/>
    <w:link w:val="168"/>
    <w:qFormat/>
    <w:uiPriority w:val="0"/>
    <w:rPr>
      <w:kern w:val="2"/>
      <w:sz w:val="24"/>
      <w:lang w:bidi="ar-SA"/>
    </w:rPr>
  </w:style>
  <w:style w:type="paragraph" w:customStyle="1" w:styleId="168">
    <w:name w:val="新编正文"/>
    <w:basedOn w:val="1"/>
    <w:link w:val="167"/>
    <w:qFormat/>
    <w:uiPriority w:val="0"/>
    <w:pPr>
      <w:spacing w:before="60" w:after="60" w:line="360" w:lineRule="auto"/>
      <w:ind w:firstLine="420"/>
    </w:pPr>
    <w:rPr>
      <w:kern w:val="2"/>
      <w:szCs w:val="20"/>
    </w:rPr>
  </w:style>
  <w:style w:type="character" w:customStyle="1" w:styleId="169">
    <w:name w:val="正文缩进 Char2"/>
    <w:link w:val="17"/>
    <w:qFormat/>
    <w:uiPriority w:val="0"/>
    <w:rPr>
      <w:rFonts w:eastAsia="宋体"/>
      <w:kern w:val="2"/>
      <w:sz w:val="28"/>
      <w:lang w:val="en-US" w:eastAsia="zh-CN" w:bidi="ar-SA"/>
    </w:rPr>
  </w:style>
  <w:style w:type="character" w:customStyle="1" w:styleId="170">
    <w:name w:val="样式3 Char"/>
    <w:qFormat/>
    <w:uiPriority w:val="0"/>
    <w:rPr>
      <w:rFonts w:ascii="Times New Roman" w:hAnsi="Times New Roman" w:eastAsia="宋体" w:cs="Times New Roman"/>
      <w:b/>
      <w:bCs/>
      <w:sz w:val="32"/>
      <w:szCs w:val="32"/>
    </w:rPr>
  </w:style>
  <w:style w:type="character" w:customStyle="1" w:styleId="171">
    <w:name w:val="*正文 Char"/>
    <w:link w:val="172"/>
    <w:qFormat/>
    <w:uiPriority w:val="0"/>
    <w:rPr>
      <w:rFonts w:ascii="宋体" w:hAnsi="宋体" w:eastAsia="宋体"/>
      <w:kern w:val="2"/>
      <w:sz w:val="24"/>
      <w:szCs w:val="24"/>
      <w:lang w:val="en-US" w:eastAsia="zh-CN" w:bidi="ar-SA"/>
    </w:rPr>
  </w:style>
  <w:style w:type="paragraph" w:customStyle="1" w:styleId="172">
    <w:name w:val="*正文"/>
    <w:basedOn w:val="1"/>
    <w:link w:val="171"/>
    <w:qFormat/>
    <w:uiPriority w:val="0"/>
    <w:pPr>
      <w:spacing w:line="360" w:lineRule="auto"/>
      <w:ind w:firstLine="200" w:firstLineChars="200"/>
    </w:pPr>
    <w:rPr>
      <w:rFonts w:ascii="宋体" w:hAnsi="宋体"/>
      <w:kern w:val="2"/>
    </w:rPr>
  </w:style>
  <w:style w:type="character" w:customStyle="1" w:styleId="173">
    <w:name w:val="正文标准格式 Char"/>
    <w:link w:val="174"/>
    <w:qFormat/>
    <w:uiPriority w:val="0"/>
    <w:rPr>
      <w:rFonts w:ascii="宋体" w:hAnsi="宋体"/>
      <w:kern w:val="2"/>
      <w:sz w:val="24"/>
      <w:szCs w:val="24"/>
      <w:lang w:val="en-US" w:eastAsia="zh-CN" w:bidi="ar-SA"/>
    </w:rPr>
  </w:style>
  <w:style w:type="paragraph" w:customStyle="1" w:styleId="174">
    <w:name w:val="正文标准格式"/>
    <w:link w:val="173"/>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75">
    <w:name w:val="font11"/>
    <w:qFormat/>
    <w:uiPriority w:val="0"/>
    <w:rPr>
      <w:rFonts w:hint="eastAsia" w:ascii="宋体" w:hAnsi="宋体" w:eastAsia="宋体" w:cs="宋体"/>
      <w:color w:val="000000"/>
      <w:sz w:val="21"/>
      <w:szCs w:val="21"/>
      <w:u w:val="none"/>
    </w:rPr>
  </w:style>
  <w:style w:type="character" w:customStyle="1" w:styleId="176">
    <w:name w:val="标题 Char"/>
    <w:link w:val="54"/>
    <w:qFormat/>
    <w:uiPriority w:val="0"/>
    <w:rPr>
      <w:rFonts w:ascii="Cambria" w:hAnsi="Cambria"/>
      <w:b/>
      <w:bCs/>
      <w:kern w:val="2"/>
      <w:sz w:val="32"/>
      <w:szCs w:val="32"/>
      <w:lang w:bidi="ar-SA"/>
    </w:rPr>
  </w:style>
  <w:style w:type="character" w:customStyle="1" w:styleId="177">
    <w:name w:val="批注文字 Char2"/>
    <w:link w:val="21"/>
    <w:qFormat/>
    <w:uiPriority w:val="0"/>
    <w:rPr>
      <w:rFonts w:eastAsia="宋体"/>
      <w:kern w:val="2"/>
      <w:sz w:val="21"/>
      <w:szCs w:val="24"/>
      <w:lang w:val="en-US" w:eastAsia="zh-CN" w:bidi="ar-SA"/>
    </w:rPr>
  </w:style>
  <w:style w:type="character" w:customStyle="1" w:styleId="178">
    <w:name w:val="纯文本 Char"/>
    <w:link w:val="179"/>
    <w:qFormat/>
    <w:uiPriority w:val="0"/>
    <w:rPr>
      <w:rFonts w:ascii="宋体" w:hAnsi="Courier New" w:eastAsia="宋体" w:cs="Courier New"/>
      <w:kern w:val="2"/>
      <w:sz w:val="21"/>
      <w:szCs w:val="21"/>
      <w:lang w:val="en-US" w:eastAsia="zh-CN" w:bidi="ar-SA"/>
    </w:rPr>
  </w:style>
  <w:style w:type="paragraph" w:customStyle="1" w:styleId="179">
    <w:name w:val="纯文本1"/>
    <w:basedOn w:val="1"/>
    <w:link w:val="178"/>
    <w:qFormat/>
    <w:uiPriority w:val="0"/>
    <w:rPr>
      <w:rFonts w:ascii="宋体" w:hAnsi="Courier New" w:cs="Courier New"/>
      <w:kern w:val="2"/>
      <w:sz w:val="21"/>
      <w:szCs w:val="21"/>
    </w:rPr>
  </w:style>
  <w:style w:type="character" w:customStyle="1" w:styleId="180">
    <w:name w:val="段 Char"/>
    <w:link w:val="181"/>
    <w:qFormat/>
    <w:locked/>
    <w:uiPriority w:val="0"/>
    <w:rPr>
      <w:rFonts w:ascii="宋体" w:eastAsia="Times New Roman"/>
      <w:lang w:val="en-US" w:eastAsia="zh-CN" w:bidi="ar-SA"/>
    </w:rPr>
  </w:style>
  <w:style w:type="paragraph" w:customStyle="1" w:styleId="181">
    <w:name w:val="段"/>
    <w:link w:val="180"/>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182">
    <w:name w:val="标题 1 Char1"/>
    <w:link w:val="4"/>
    <w:qFormat/>
    <w:uiPriority w:val="0"/>
    <w:rPr>
      <w:b/>
      <w:bCs/>
      <w:kern w:val="44"/>
      <w:sz w:val="44"/>
      <w:szCs w:val="44"/>
    </w:rPr>
  </w:style>
  <w:style w:type="character" w:customStyle="1" w:styleId="183">
    <w:name w:val="批注框文本 Char"/>
    <w:qFormat/>
    <w:uiPriority w:val="99"/>
    <w:rPr>
      <w:rFonts w:ascii="Calibri" w:hAnsi="Calibri" w:eastAsia="宋体" w:cs="Times New Roman"/>
      <w:sz w:val="16"/>
      <w:szCs w:val="16"/>
    </w:rPr>
  </w:style>
  <w:style w:type="character" w:customStyle="1" w:styleId="184">
    <w:name w:val="标题 5 Char"/>
    <w:qFormat/>
    <w:uiPriority w:val="0"/>
    <w:rPr>
      <w:rFonts w:ascii="Calibri" w:hAnsi="Calibri" w:eastAsia="宋体" w:cs="Times New Roman"/>
      <w:bCs/>
      <w:kern w:val="0"/>
      <w:sz w:val="24"/>
      <w:szCs w:val="28"/>
    </w:rPr>
  </w:style>
  <w:style w:type="character" w:customStyle="1" w:styleId="185">
    <w:name w:val="样式4 Char"/>
    <w:qFormat/>
    <w:uiPriority w:val="0"/>
    <w:rPr>
      <w:rFonts w:ascii="Times New Roman" w:hAnsi="Times New Roman" w:eastAsia="宋体" w:cs="Times New Roman"/>
      <w:b/>
      <w:bCs/>
      <w:sz w:val="30"/>
      <w:szCs w:val="28"/>
    </w:rPr>
  </w:style>
  <w:style w:type="character" w:customStyle="1" w:styleId="186">
    <w:name w:val="正文首行缩进小四宋体 字符"/>
    <w:link w:val="187"/>
    <w:qFormat/>
    <w:uiPriority w:val="0"/>
    <w:rPr>
      <w:rFonts w:ascii="Calibri" w:hAnsi="Calibri" w:eastAsia="宋体"/>
      <w:sz w:val="24"/>
      <w:szCs w:val="24"/>
      <w:lang w:bidi="ar-SA"/>
    </w:rPr>
  </w:style>
  <w:style w:type="paragraph" w:customStyle="1" w:styleId="187">
    <w:name w:val="正文首行缩进小四宋体"/>
    <w:basedOn w:val="1"/>
    <w:link w:val="186"/>
    <w:qFormat/>
    <w:uiPriority w:val="0"/>
    <w:pPr>
      <w:spacing w:line="360" w:lineRule="auto"/>
      <w:ind w:firstLine="480" w:firstLineChars="200"/>
    </w:pPr>
    <w:rPr>
      <w:rFonts w:ascii="Calibri" w:hAnsi="Calibri"/>
    </w:rPr>
  </w:style>
  <w:style w:type="character" w:customStyle="1" w:styleId="188">
    <w:name w:val="仿宋4号 Char"/>
    <w:link w:val="189"/>
    <w:qFormat/>
    <w:uiPriority w:val="0"/>
    <w:rPr>
      <w:rFonts w:ascii="仿宋" w:hAnsi="仿宋" w:eastAsia="仿宋"/>
      <w:kern w:val="2"/>
      <w:sz w:val="28"/>
      <w:szCs w:val="28"/>
      <w:lang w:bidi="ar-SA"/>
    </w:rPr>
  </w:style>
  <w:style w:type="paragraph" w:customStyle="1" w:styleId="189">
    <w:name w:val="仿宋4号"/>
    <w:basedOn w:val="1"/>
    <w:link w:val="188"/>
    <w:qFormat/>
    <w:uiPriority w:val="0"/>
    <w:pPr>
      <w:spacing w:line="360" w:lineRule="auto"/>
      <w:ind w:firstLine="560" w:firstLineChars="200"/>
    </w:pPr>
    <w:rPr>
      <w:rFonts w:ascii="仿宋" w:hAnsi="仿宋" w:eastAsia="仿宋"/>
      <w:kern w:val="2"/>
      <w:sz w:val="28"/>
      <w:szCs w:val="28"/>
    </w:rPr>
  </w:style>
  <w:style w:type="character" w:customStyle="1" w:styleId="190">
    <w:name w:val="正文文本缩进 Char"/>
    <w:link w:val="191"/>
    <w:qFormat/>
    <w:uiPriority w:val="0"/>
    <w:rPr>
      <w:rFonts w:ascii="楷体_GB2312" w:eastAsia="楷体_GB2312"/>
      <w:kern w:val="2"/>
      <w:sz w:val="24"/>
      <w:szCs w:val="28"/>
      <w:lang w:bidi="ar-SA"/>
    </w:rPr>
  </w:style>
  <w:style w:type="paragraph" w:customStyle="1" w:styleId="191">
    <w:name w:val="正文文本缩进1"/>
    <w:basedOn w:val="1"/>
    <w:link w:val="190"/>
    <w:qFormat/>
    <w:uiPriority w:val="0"/>
    <w:pPr>
      <w:spacing w:after="120" w:line="360" w:lineRule="auto"/>
      <w:ind w:left="480" w:leftChars="200" w:firstLine="200" w:firstLineChars="200"/>
    </w:pPr>
    <w:rPr>
      <w:rFonts w:ascii="楷体_GB2312" w:eastAsia="楷体_GB2312"/>
      <w:kern w:val="2"/>
      <w:szCs w:val="28"/>
    </w:rPr>
  </w:style>
  <w:style w:type="character" w:customStyle="1" w:styleId="192">
    <w:name w:val="标题 8 Char1"/>
    <w:link w:val="12"/>
    <w:qFormat/>
    <w:uiPriority w:val="0"/>
    <w:rPr>
      <w:rFonts w:ascii="Arial" w:hAnsi="Arial" w:eastAsia="黑体"/>
      <w:kern w:val="2"/>
      <w:sz w:val="24"/>
      <w:szCs w:val="24"/>
    </w:rPr>
  </w:style>
  <w:style w:type="character" w:customStyle="1" w:styleId="193">
    <w:name w:val="投标书正文无序编号 Char"/>
    <w:link w:val="194"/>
    <w:qFormat/>
    <w:locked/>
    <w:uiPriority w:val="0"/>
    <w:rPr>
      <w:sz w:val="24"/>
      <w:szCs w:val="24"/>
      <w:lang w:bidi="ar-SA"/>
    </w:rPr>
  </w:style>
  <w:style w:type="paragraph" w:customStyle="1" w:styleId="194">
    <w:name w:val="投标书正文无序编号"/>
    <w:basedOn w:val="195"/>
    <w:link w:val="193"/>
    <w:qFormat/>
    <w:uiPriority w:val="0"/>
    <w:rPr>
      <w:rFonts w:eastAsia="宋体"/>
    </w:rPr>
  </w:style>
  <w:style w:type="paragraph" w:customStyle="1" w:styleId="195">
    <w:name w:val="投标书正文"/>
    <w:link w:val="229"/>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196">
    <w:name w:val="内容文本 Char"/>
    <w:link w:val="197"/>
    <w:qFormat/>
    <w:uiPriority w:val="0"/>
    <w:rPr>
      <w:rFonts w:ascii="宋体" w:hAnsi="宋体" w:eastAsia="宋体"/>
      <w:sz w:val="24"/>
      <w:szCs w:val="24"/>
      <w:lang w:val="en-US" w:eastAsia="zh-CN" w:bidi="ar-SA"/>
    </w:rPr>
  </w:style>
  <w:style w:type="paragraph" w:customStyle="1" w:styleId="197">
    <w:name w:val="内容文本"/>
    <w:basedOn w:val="198"/>
    <w:link w:val="196"/>
    <w:qFormat/>
    <w:uiPriority w:val="0"/>
    <w:pPr>
      <w:spacing w:line="360" w:lineRule="auto"/>
      <w:ind w:firstLine="200"/>
      <w:contextualSpacing/>
    </w:pPr>
    <w:rPr>
      <w:rFonts w:ascii="宋体" w:hAnsi="宋体"/>
      <w:kern w:val="0"/>
      <w:sz w:val="24"/>
      <w:szCs w:val="24"/>
    </w:rPr>
  </w:style>
  <w:style w:type="paragraph" w:customStyle="1" w:styleId="198">
    <w:name w:val="列出段落1"/>
    <w:basedOn w:val="1"/>
    <w:link w:val="224"/>
    <w:qFormat/>
    <w:uiPriority w:val="0"/>
    <w:pPr>
      <w:ind w:firstLine="420" w:firstLineChars="200"/>
    </w:pPr>
    <w:rPr>
      <w:rFonts w:ascii="Calibri" w:hAnsi="Calibri"/>
      <w:kern w:val="2"/>
      <w:sz w:val="21"/>
      <w:szCs w:val="21"/>
    </w:rPr>
  </w:style>
  <w:style w:type="character" w:customStyle="1" w:styleId="199">
    <w:name w:val="正文首行缩进 2 Char"/>
    <w:link w:val="56"/>
    <w:qFormat/>
    <w:uiPriority w:val="0"/>
    <w:rPr>
      <w:rFonts w:ascii="Times New Roman" w:hAnsi="Times New Roman"/>
      <w:sz w:val="24"/>
      <w:szCs w:val="24"/>
    </w:rPr>
  </w:style>
  <w:style w:type="character" w:customStyle="1" w:styleId="200">
    <w:name w:val="正文缩进 Char1"/>
    <w:link w:val="201"/>
    <w:qFormat/>
    <w:uiPriority w:val="99"/>
    <w:rPr>
      <w:kern w:val="2"/>
      <w:sz w:val="24"/>
      <w:lang w:bidi="ar-SA"/>
    </w:rPr>
  </w:style>
  <w:style w:type="paragraph" w:customStyle="1" w:styleId="201">
    <w:name w:val="正文缩进1"/>
    <w:basedOn w:val="1"/>
    <w:link w:val="200"/>
    <w:qFormat/>
    <w:uiPriority w:val="99"/>
    <w:pPr>
      <w:ind w:firstLine="420"/>
    </w:pPr>
    <w:rPr>
      <w:kern w:val="2"/>
      <w:szCs w:val="20"/>
    </w:rPr>
  </w:style>
  <w:style w:type="character" w:customStyle="1" w:styleId="202">
    <w:name w:val="Item List in Table Char Char"/>
    <w:link w:val="203"/>
    <w:qFormat/>
    <w:locked/>
    <w:uiPriority w:val="0"/>
    <w:rPr>
      <w:rFonts w:ascii="Arial" w:hAnsi="Arial" w:cs="Arial"/>
      <w:sz w:val="18"/>
      <w:szCs w:val="18"/>
      <w:lang w:val="en-US" w:eastAsia="zh-CN" w:bidi="ar-SA"/>
    </w:rPr>
  </w:style>
  <w:style w:type="paragraph" w:customStyle="1" w:styleId="203">
    <w:name w:val="Item List in Table"/>
    <w:link w:val="202"/>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04">
    <w:name w:val="页眉 Char1"/>
    <w:link w:val="37"/>
    <w:qFormat/>
    <w:uiPriority w:val="0"/>
    <w:rPr>
      <w:rFonts w:eastAsia="宋体"/>
      <w:kern w:val="2"/>
      <w:sz w:val="18"/>
      <w:szCs w:val="18"/>
      <w:lang w:val="en-US" w:eastAsia="zh-CN" w:bidi="ar-SA"/>
    </w:rPr>
  </w:style>
  <w:style w:type="character" w:customStyle="1" w:styleId="205">
    <w:name w:val="标题 4 Char1"/>
    <w:qFormat/>
    <w:uiPriority w:val="0"/>
    <w:rPr>
      <w:rFonts w:ascii="Arial" w:hAnsi="Arial" w:eastAsia="黑体"/>
      <w:b/>
      <w:bCs/>
      <w:kern w:val="2"/>
      <w:sz w:val="28"/>
      <w:szCs w:val="28"/>
    </w:rPr>
  </w:style>
  <w:style w:type="character" w:customStyle="1" w:styleId="206">
    <w:name w:val="077-正文格式 Char1"/>
    <w:link w:val="207"/>
    <w:qFormat/>
    <w:uiPriority w:val="0"/>
    <w:rPr>
      <w:rFonts w:ascii="宋体"/>
      <w:kern w:val="2"/>
      <w:sz w:val="24"/>
      <w:lang w:bidi="ar-SA"/>
    </w:rPr>
  </w:style>
  <w:style w:type="paragraph" w:customStyle="1" w:styleId="207">
    <w:name w:val="077-正文格式"/>
    <w:basedOn w:val="1"/>
    <w:link w:val="206"/>
    <w:qFormat/>
    <w:uiPriority w:val="0"/>
    <w:pPr>
      <w:adjustRightInd w:val="0"/>
      <w:snapToGrid w:val="0"/>
      <w:spacing w:line="360" w:lineRule="auto"/>
      <w:ind w:firstLine="480" w:firstLineChars="200"/>
    </w:pPr>
    <w:rPr>
      <w:rFonts w:ascii="宋体"/>
      <w:kern w:val="2"/>
      <w:szCs w:val="20"/>
    </w:rPr>
  </w:style>
  <w:style w:type="character" w:customStyle="1" w:styleId="208">
    <w:name w:val="正文文本 Char"/>
    <w:qFormat/>
    <w:uiPriority w:val="0"/>
    <w:rPr>
      <w:rFonts w:ascii="宋体" w:hAnsi="宋体"/>
      <w:b/>
      <w:bCs/>
      <w:color w:val="000000"/>
      <w:kern w:val="2"/>
      <w:sz w:val="72"/>
    </w:rPr>
  </w:style>
  <w:style w:type="character" w:customStyle="1" w:styleId="209">
    <w:name w:val="无间隔 Char"/>
    <w:link w:val="210"/>
    <w:qFormat/>
    <w:uiPriority w:val="0"/>
    <w:rPr>
      <w:rFonts w:ascii="Dutch801 Rm BT" w:hAnsi="Dutch801 Rm BT" w:eastAsia="Times New Roman" w:cs="Dutch801 Rm BT"/>
      <w:kern w:val="2"/>
      <w:sz w:val="21"/>
      <w:szCs w:val="24"/>
      <w:lang w:val="en-US" w:eastAsia="zh-CN" w:bidi="ar-SA"/>
    </w:rPr>
  </w:style>
  <w:style w:type="paragraph" w:styleId="210">
    <w:name w:val="No Spacing"/>
    <w:link w:val="209"/>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11">
    <w:name w:val="标题 2 Char1"/>
    <w:qFormat/>
    <w:uiPriority w:val="0"/>
    <w:rPr>
      <w:rFonts w:ascii="Arial" w:hAnsi="Arial" w:eastAsia="黑体"/>
      <w:b/>
      <w:bCs/>
      <w:kern w:val="2"/>
      <w:sz w:val="32"/>
      <w:szCs w:val="32"/>
    </w:rPr>
  </w:style>
  <w:style w:type="character" w:customStyle="1" w:styleId="212">
    <w:name w:val="样式2 Char Char"/>
    <w:link w:val="213"/>
    <w:qFormat/>
    <w:uiPriority w:val="0"/>
    <w:rPr>
      <w:rFonts w:eastAsia="宋体"/>
      <w:b/>
      <w:bCs/>
      <w:kern w:val="2"/>
      <w:sz w:val="36"/>
      <w:szCs w:val="36"/>
      <w:lang w:val="en-US" w:eastAsia="zh-CN" w:bidi="ar-SA"/>
    </w:rPr>
  </w:style>
  <w:style w:type="paragraph" w:customStyle="1" w:styleId="213">
    <w:name w:val="样式2"/>
    <w:basedOn w:val="5"/>
    <w:link w:val="212"/>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14">
    <w:name w:val="标题 5 Char2"/>
    <w:link w:val="9"/>
    <w:qFormat/>
    <w:uiPriority w:val="0"/>
    <w:rPr>
      <w:b/>
      <w:bCs/>
      <w:kern w:val="2"/>
      <w:sz w:val="28"/>
      <w:szCs w:val="28"/>
    </w:rPr>
  </w:style>
  <w:style w:type="character" w:customStyle="1" w:styleId="215">
    <w:name w:val="批注主题 Char"/>
    <w:link w:val="55"/>
    <w:qFormat/>
    <w:uiPriority w:val="0"/>
    <w:rPr>
      <w:rFonts w:ascii="Calibri" w:hAnsi="Calibri" w:eastAsia="宋体" w:cs="Calibri"/>
      <w:b/>
      <w:bCs/>
      <w:sz w:val="24"/>
      <w:szCs w:val="24"/>
      <w:lang w:val="en-US" w:eastAsia="zh-CN" w:bidi="ar-SA"/>
    </w:rPr>
  </w:style>
  <w:style w:type="character" w:customStyle="1" w:styleId="216">
    <w:name w:val="表格非标题文字 Char Char"/>
    <w:link w:val="217"/>
    <w:qFormat/>
    <w:uiPriority w:val="0"/>
    <w:rPr>
      <w:rFonts w:ascii="Arial" w:hAnsi="Arial" w:eastAsia="华文细黑"/>
      <w:color w:val="505050"/>
      <w:sz w:val="13"/>
      <w:szCs w:val="13"/>
      <w:lang w:bidi="ar-SA"/>
    </w:rPr>
  </w:style>
  <w:style w:type="paragraph" w:customStyle="1" w:styleId="217">
    <w:name w:val="表格非标题文字"/>
    <w:basedOn w:val="1"/>
    <w:link w:val="216"/>
    <w:qFormat/>
    <w:uiPriority w:val="0"/>
    <w:pPr>
      <w:spacing w:before="40" w:after="40" w:line="220" w:lineRule="exact"/>
    </w:pPr>
    <w:rPr>
      <w:rFonts w:ascii="Arial" w:hAnsi="Arial" w:eastAsia="华文细黑"/>
      <w:color w:val="505050"/>
      <w:sz w:val="13"/>
      <w:szCs w:val="13"/>
    </w:rPr>
  </w:style>
  <w:style w:type="character" w:customStyle="1" w:styleId="218">
    <w:name w:val="ces正文 Char"/>
    <w:link w:val="219"/>
    <w:qFormat/>
    <w:uiPriority w:val="0"/>
    <w:rPr>
      <w:rFonts w:ascii="Calibri" w:hAnsi="Calibri"/>
      <w:sz w:val="24"/>
      <w:szCs w:val="24"/>
      <w:lang w:bidi="ar-SA"/>
    </w:rPr>
  </w:style>
  <w:style w:type="paragraph" w:customStyle="1" w:styleId="219">
    <w:name w:val="ces正文"/>
    <w:basedOn w:val="1"/>
    <w:link w:val="218"/>
    <w:qFormat/>
    <w:uiPriority w:val="0"/>
    <w:pPr>
      <w:spacing w:line="360" w:lineRule="auto"/>
      <w:ind w:firstLine="480" w:firstLineChars="200"/>
    </w:pPr>
    <w:rPr>
      <w:rFonts w:ascii="Calibri" w:hAnsi="Calibri"/>
    </w:rPr>
  </w:style>
  <w:style w:type="character" w:customStyle="1" w:styleId="220">
    <w:name w:val="样式6 Char Char"/>
    <w:link w:val="221"/>
    <w:qFormat/>
    <w:uiPriority w:val="0"/>
    <w:rPr>
      <w:rFonts w:ascii="宋体" w:hAnsi="宋体"/>
      <w:b/>
      <w:color w:val="CC3399"/>
      <w:kern w:val="24"/>
      <w:sz w:val="24"/>
      <w:szCs w:val="24"/>
      <w:u w:val="wavyHeavy" w:color="00B0F0"/>
      <w:lang w:bidi="ar-SA"/>
    </w:rPr>
  </w:style>
  <w:style w:type="paragraph" w:customStyle="1" w:styleId="221">
    <w:name w:val="样式6"/>
    <w:basedOn w:val="1"/>
    <w:link w:val="220"/>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22">
    <w:name w:val="Table Heading Char"/>
    <w:link w:val="223"/>
    <w:qFormat/>
    <w:locked/>
    <w:uiPriority w:val="0"/>
    <w:rPr>
      <w:rFonts w:ascii="Arial" w:hAnsi="Arial" w:eastAsia="微软雅黑" w:cs="Arial Narrow"/>
      <w:bCs/>
      <w:sz w:val="18"/>
      <w:lang w:val="en-US" w:eastAsia="zh-CN" w:bidi="ar-SA"/>
    </w:rPr>
  </w:style>
  <w:style w:type="paragraph" w:customStyle="1" w:styleId="223">
    <w:name w:val="Table Heading"/>
    <w:link w:val="222"/>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24">
    <w:name w:val="List Paragraph Char"/>
    <w:link w:val="198"/>
    <w:qFormat/>
    <w:locked/>
    <w:uiPriority w:val="0"/>
    <w:rPr>
      <w:rFonts w:ascii="Calibri" w:hAnsi="Calibri" w:eastAsia="宋体"/>
      <w:kern w:val="2"/>
      <w:sz w:val="21"/>
      <w:szCs w:val="21"/>
      <w:lang w:val="en-US" w:eastAsia="zh-CN" w:bidi="ar-SA"/>
    </w:rPr>
  </w:style>
  <w:style w:type="character" w:customStyle="1" w:styleId="225">
    <w:name w:val="文档结构图 Char"/>
    <w:link w:val="20"/>
    <w:qFormat/>
    <w:uiPriority w:val="0"/>
    <w:rPr>
      <w:rFonts w:eastAsia="宋体"/>
      <w:kern w:val="2"/>
      <w:sz w:val="21"/>
      <w:szCs w:val="24"/>
      <w:lang w:val="en-US" w:eastAsia="zh-CN" w:bidi="ar-SA"/>
    </w:rPr>
  </w:style>
  <w:style w:type="character" w:customStyle="1" w:styleId="226">
    <w:name w:val="投标正文 Char"/>
    <w:link w:val="227"/>
    <w:qFormat/>
    <w:uiPriority w:val="0"/>
    <w:rPr>
      <w:rFonts w:ascii="Calibri" w:hAnsi="Calibri" w:eastAsia="宋体"/>
      <w:sz w:val="24"/>
      <w:szCs w:val="24"/>
      <w:lang w:val="zh-CN" w:bidi="ar-SA"/>
    </w:rPr>
  </w:style>
  <w:style w:type="paragraph" w:customStyle="1" w:styleId="227">
    <w:name w:val="投标正文"/>
    <w:basedOn w:val="1"/>
    <w:link w:val="226"/>
    <w:qFormat/>
    <w:uiPriority w:val="0"/>
    <w:pPr>
      <w:spacing w:line="360" w:lineRule="auto"/>
      <w:ind w:left="100" w:firstLine="480" w:firstLineChars="200"/>
    </w:pPr>
    <w:rPr>
      <w:rFonts w:ascii="Calibri" w:hAnsi="Calibri"/>
      <w:lang w:val="zh-CN"/>
    </w:rPr>
  </w:style>
  <w:style w:type="character" w:customStyle="1" w:styleId="228">
    <w:name w:val="纯文本 Char3"/>
    <w:qFormat/>
    <w:uiPriority w:val="0"/>
    <w:rPr>
      <w:rFonts w:hint="eastAsia" w:ascii="宋体" w:hAnsi="Courier New" w:eastAsia="宋体" w:cs="Courier New"/>
      <w:kern w:val="2"/>
      <w:sz w:val="21"/>
      <w:szCs w:val="21"/>
    </w:rPr>
  </w:style>
  <w:style w:type="character" w:customStyle="1" w:styleId="229">
    <w:name w:val="投标书正文 Char"/>
    <w:link w:val="195"/>
    <w:qFormat/>
    <w:locked/>
    <w:uiPriority w:val="0"/>
    <w:rPr>
      <w:rFonts w:eastAsia="Times New Roman"/>
      <w:sz w:val="24"/>
      <w:szCs w:val="24"/>
      <w:lang w:val="en-US" w:eastAsia="zh-CN" w:bidi="ar-SA"/>
    </w:rPr>
  </w:style>
  <w:style w:type="character" w:customStyle="1" w:styleId="230">
    <w:name w:val="级别1 Char"/>
    <w:link w:val="231"/>
    <w:qFormat/>
    <w:uiPriority w:val="0"/>
    <w:rPr>
      <w:rFonts w:ascii="宋体" w:hAnsi="宋体" w:eastAsia="宋体" w:cs="Times New Roman"/>
      <w:b/>
      <w:bCs/>
      <w:kern w:val="44"/>
      <w:sz w:val="32"/>
      <w:szCs w:val="28"/>
      <w:lang w:bidi="ar-SA"/>
    </w:rPr>
  </w:style>
  <w:style w:type="paragraph" w:customStyle="1" w:styleId="231">
    <w:name w:val="级别1"/>
    <w:basedOn w:val="4"/>
    <w:link w:val="230"/>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32">
    <w:name w:val="正文文本 Char2"/>
    <w:link w:val="2"/>
    <w:qFormat/>
    <w:uiPriority w:val="0"/>
    <w:rPr>
      <w:rFonts w:ascii="宋体" w:hAnsi="宋体" w:eastAsia="宋体"/>
      <w:b/>
      <w:bCs/>
      <w:color w:val="000000"/>
      <w:kern w:val="2"/>
      <w:sz w:val="72"/>
      <w:lang w:val="en-US" w:eastAsia="zh-CN" w:bidi="ar-SA"/>
    </w:rPr>
  </w:style>
  <w:style w:type="character" w:customStyle="1" w:styleId="233">
    <w:name w:val="正文文本 3 Char"/>
    <w:link w:val="23"/>
    <w:qFormat/>
    <w:uiPriority w:val="0"/>
    <w:rPr>
      <w:kern w:val="2"/>
      <w:sz w:val="16"/>
      <w:szCs w:val="16"/>
    </w:rPr>
  </w:style>
  <w:style w:type="character" w:customStyle="1" w:styleId="234">
    <w:name w:val="标题 6 Char1"/>
    <w:link w:val="10"/>
    <w:qFormat/>
    <w:uiPriority w:val="0"/>
    <w:rPr>
      <w:rFonts w:ascii="Arial" w:hAnsi="Arial" w:eastAsia="黑体"/>
      <w:b/>
      <w:bCs/>
      <w:kern w:val="2"/>
      <w:sz w:val="24"/>
      <w:szCs w:val="24"/>
    </w:rPr>
  </w:style>
  <w:style w:type="character" w:customStyle="1" w:styleId="235">
    <w:name w:val="表格 Char Char"/>
    <w:link w:val="236"/>
    <w:qFormat/>
    <w:uiPriority w:val="0"/>
    <w:rPr>
      <w:rFonts w:ascii="仿宋_GB2312" w:hAnsi="宋体" w:eastAsia="仿宋_GB2312"/>
      <w:spacing w:val="28"/>
      <w:kern w:val="24"/>
      <w:sz w:val="24"/>
      <w:szCs w:val="28"/>
      <w:lang w:bidi="ar-SA"/>
    </w:rPr>
  </w:style>
  <w:style w:type="paragraph" w:customStyle="1" w:styleId="236">
    <w:name w:val="表格"/>
    <w:basedOn w:val="1"/>
    <w:link w:val="235"/>
    <w:qFormat/>
    <w:uiPriority w:val="0"/>
    <w:pPr>
      <w:adjustRightInd w:val="0"/>
      <w:snapToGrid w:val="0"/>
      <w:jc w:val="center"/>
    </w:pPr>
    <w:rPr>
      <w:rFonts w:ascii="仿宋_GB2312" w:hAnsi="宋体" w:eastAsia="仿宋_GB2312"/>
      <w:spacing w:val="28"/>
      <w:kern w:val="24"/>
      <w:szCs w:val="28"/>
    </w:rPr>
  </w:style>
  <w:style w:type="character" w:customStyle="1" w:styleId="237">
    <w:name w:val="正文缩进 Char"/>
    <w:qFormat/>
    <w:uiPriority w:val="0"/>
    <w:rPr>
      <w:rFonts w:eastAsia="宋体"/>
      <w:kern w:val="2"/>
      <w:sz w:val="28"/>
      <w:lang w:val="en-US" w:eastAsia="zh-CN" w:bidi="ar-SA"/>
    </w:rPr>
  </w:style>
  <w:style w:type="character" w:customStyle="1" w:styleId="238">
    <w:name w:val="标题 4 Char"/>
    <w:qFormat/>
    <w:uiPriority w:val="0"/>
    <w:rPr>
      <w:rFonts w:ascii="Arial" w:hAnsi="Arial" w:eastAsia="黑体" w:cs="Times New Roman"/>
      <w:bCs/>
      <w:sz w:val="24"/>
      <w:szCs w:val="28"/>
    </w:rPr>
  </w:style>
  <w:style w:type="character" w:customStyle="1" w:styleId="239">
    <w:name w:val="正文文本 3 Char Char"/>
    <w:link w:val="240"/>
    <w:qFormat/>
    <w:uiPriority w:val="0"/>
    <w:rPr>
      <w:rFonts w:ascii="Calibri" w:hAnsi="Calibri" w:eastAsia="仿宋_GB2312"/>
      <w:kern w:val="2"/>
      <w:sz w:val="16"/>
      <w:szCs w:val="16"/>
      <w:lang w:bidi="ar-SA"/>
    </w:rPr>
  </w:style>
  <w:style w:type="paragraph" w:customStyle="1" w:styleId="240">
    <w:name w:val="正文文本 31"/>
    <w:basedOn w:val="1"/>
    <w:link w:val="239"/>
    <w:qFormat/>
    <w:uiPriority w:val="0"/>
    <w:pPr>
      <w:spacing w:after="120" w:line="360" w:lineRule="auto"/>
      <w:ind w:firstLine="200" w:firstLineChars="200"/>
    </w:pPr>
    <w:rPr>
      <w:rFonts w:ascii="Calibri" w:hAnsi="Calibri" w:eastAsia="仿宋_GB2312"/>
      <w:kern w:val="2"/>
      <w:sz w:val="16"/>
      <w:szCs w:val="16"/>
    </w:rPr>
  </w:style>
  <w:style w:type="character" w:customStyle="1" w:styleId="241">
    <w:name w:val="标题 2 Char2"/>
    <w:link w:val="5"/>
    <w:qFormat/>
    <w:uiPriority w:val="0"/>
    <w:rPr>
      <w:rFonts w:ascii="Arial" w:hAnsi="Arial" w:eastAsia="黑体"/>
      <w:b/>
      <w:bCs/>
      <w:sz w:val="32"/>
      <w:szCs w:val="32"/>
    </w:rPr>
  </w:style>
  <w:style w:type="character" w:customStyle="1" w:styleId="242">
    <w:name w:val="font61"/>
    <w:qFormat/>
    <w:uiPriority w:val="0"/>
    <w:rPr>
      <w:rFonts w:hint="eastAsia" w:ascii="宋体" w:hAnsi="宋体" w:eastAsia="宋体" w:cs="宋体"/>
      <w:color w:val="000000"/>
      <w:sz w:val="20"/>
      <w:szCs w:val="20"/>
      <w:u w:val="none"/>
    </w:rPr>
  </w:style>
  <w:style w:type="character" w:customStyle="1" w:styleId="243">
    <w:name w:val="Char Char6"/>
    <w:qFormat/>
    <w:uiPriority w:val="0"/>
    <w:rPr>
      <w:rFonts w:ascii="宋体" w:hAnsi="Courier New" w:eastAsia="宋体" w:cs="Courier New"/>
      <w:kern w:val="2"/>
      <w:sz w:val="21"/>
      <w:szCs w:val="21"/>
      <w:lang w:val="en-US" w:eastAsia="zh-CN" w:bidi="ar-SA"/>
    </w:rPr>
  </w:style>
  <w:style w:type="character" w:customStyle="1" w:styleId="244">
    <w:name w:val="标书正文格式 Char Char"/>
    <w:link w:val="245"/>
    <w:qFormat/>
    <w:uiPriority w:val="0"/>
    <w:rPr>
      <w:rFonts w:eastAsia="楷体_GB2312"/>
      <w:sz w:val="24"/>
      <w:szCs w:val="28"/>
      <w:lang w:val="en-US" w:eastAsia="zh-CN" w:bidi="ar-SA"/>
    </w:rPr>
  </w:style>
  <w:style w:type="paragraph" w:customStyle="1" w:styleId="245">
    <w:name w:val="标书正文格式"/>
    <w:link w:val="244"/>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46">
    <w:name w:val="15"/>
    <w:qFormat/>
    <w:uiPriority w:val="0"/>
    <w:rPr>
      <w:rFonts w:hint="default" w:ascii="Times New Roman" w:hAnsi="Times New Roman" w:cs="Times New Roman"/>
      <w:color w:val="0000FF"/>
      <w:u w:val="single"/>
    </w:rPr>
  </w:style>
  <w:style w:type="character" w:customStyle="1" w:styleId="247">
    <w:name w:val="标题 7 Char"/>
    <w:qFormat/>
    <w:uiPriority w:val="0"/>
    <w:rPr>
      <w:rFonts w:ascii="Calibri" w:hAnsi="Calibri" w:eastAsia="宋体" w:cs="Times New Roman"/>
      <w:b/>
      <w:bCs/>
      <w:sz w:val="24"/>
      <w:szCs w:val="24"/>
    </w:rPr>
  </w:style>
  <w:style w:type="paragraph" w:customStyle="1" w:styleId="248">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49">
    <w:name w:val="a0"/>
    <w:basedOn w:val="1"/>
    <w:qFormat/>
    <w:uiPriority w:val="0"/>
    <w:pPr>
      <w:spacing w:before="100" w:beforeAutospacing="1" w:after="100" w:afterAutospacing="1"/>
    </w:pPr>
    <w:rPr>
      <w:rFonts w:ascii="宋体" w:hAnsi="宋体" w:cs="宋体"/>
    </w:rPr>
  </w:style>
  <w:style w:type="paragraph" w:customStyle="1" w:styleId="250">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51">
    <w:name w:val="Char1"/>
    <w:basedOn w:val="1"/>
    <w:qFormat/>
    <w:uiPriority w:val="0"/>
  </w:style>
  <w:style w:type="paragraph" w:customStyle="1" w:styleId="252">
    <w:name w:val="样式"/>
    <w:basedOn w:val="1"/>
    <w:qFormat/>
    <w:uiPriority w:val="0"/>
    <w:pPr>
      <w:autoSpaceDE w:val="0"/>
      <w:autoSpaceDN w:val="0"/>
      <w:snapToGrid w:val="0"/>
      <w:spacing w:before="120" w:after="120" w:line="360" w:lineRule="auto"/>
    </w:pPr>
    <w:rPr>
      <w:rFonts w:ascii="宋体"/>
      <w:szCs w:val="20"/>
    </w:rPr>
  </w:style>
  <w:style w:type="paragraph" w:customStyle="1" w:styleId="25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4">
    <w:name w:val="图表批注"/>
    <w:basedOn w:val="1"/>
    <w:qFormat/>
    <w:uiPriority w:val="0"/>
    <w:pPr>
      <w:spacing w:line="360" w:lineRule="auto"/>
      <w:contextualSpacing/>
      <w:jc w:val="center"/>
    </w:pPr>
    <w:rPr>
      <w:rFonts w:ascii="宋体" w:hAnsi="宋体"/>
      <w:sz w:val="20"/>
      <w:szCs w:val="20"/>
    </w:rPr>
  </w:style>
  <w:style w:type="paragraph" w:customStyle="1" w:styleId="255">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56">
    <w:name w:val="标题1"/>
    <w:basedOn w:val="38"/>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57">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58">
    <w:name w:val="纯文本_0"/>
    <w:basedOn w:val="1"/>
    <w:unhideWhenUsed/>
    <w:qFormat/>
    <w:uiPriority w:val="0"/>
    <w:pPr>
      <w:widowControl w:val="0"/>
      <w:jc w:val="both"/>
    </w:pPr>
    <w:rPr>
      <w:rFonts w:ascii="宋体" w:hAnsi="Courier New"/>
      <w:sz w:val="20"/>
      <w:szCs w:val="20"/>
    </w:rPr>
  </w:style>
  <w:style w:type="paragraph" w:customStyle="1" w:styleId="259">
    <w:name w:val="_Style 50"/>
    <w:basedOn w:val="20"/>
    <w:qFormat/>
    <w:uiPriority w:val="0"/>
    <w:rPr>
      <w:rFonts w:ascii="Tahoma" w:hAnsi="Tahoma"/>
      <w:sz w:val="24"/>
    </w:rPr>
  </w:style>
  <w:style w:type="paragraph" w:customStyle="1" w:styleId="260">
    <w:name w:val="CM8"/>
    <w:basedOn w:val="1"/>
    <w:next w:val="1"/>
    <w:qFormat/>
    <w:uiPriority w:val="0"/>
    <w:pPr>
      <w:autoSpaceDE w:val="0"/>
      <w:autoSpaceDN w:val="0"/>
      <w:adjustRightInd w:val="0"/>
      <w:spacing w:line="313" w:lineRule="atLeast"/>
    </w:pPr>
  </w:style>
  <w:style w:type="paragraph" w:customStyle="1" w:styleId="261">
    <w:name w:val="_Style 2"/>
    <w:basedOn w:val="1"/>
    <w:qFormat/>
    <w:uiPriority w:val="34"/>
    <w:pPr>
      <w:ind w:firstLine="420" w:firstLineChars="200"/>
    </w:pPr>
    <w:rPr>
      <w:rFonts w:ascii="Calibri" w:hAnsi="Calibri"/>
      <w:szCs w:val="22"/>
    </w:rPr>
  </w:style>
  <w:style w:type="paragraph" w:customStyle="1" w:styleId="262">
    <w:name w:val="Char Char Char"/>
    <w:basedOn w:val="1"/>
    <w:qFormat/>
    <w:uiPriority w:val="0"/>
    <w:rPr>
      <w:rFonts w:ascii="Tahoma" w:hAnsi="Tahoma"/>
      <w:szCs w:val="20"/>
    </w:rPr>
  </w:style>
  <w:style w:type="paragraph" w:customStyle="1" w:styleId="263">
    <w:name w:val="舟式样--正文"/>
    <w:basedOn w:val="1"/>
    <w:qFormat/>
    <w:uiPriority w:val="0"/>
    <w:pPr>
      <w:ind w:firstLine="200" w:firstLineChars="200"/>
    </w:pPr>
    <w:rPr>
      <w:rFonts w:hint="eastAsia" w:ascii="仿宋_GB2312" w:eastAsia="仿宋_GB2312"/>
      <w:sz w:val="28"/>
      <w:szCs w:val="22"/>
    </w:rPr>
  </w:style>
  <w:style w:type="paragraph" w:customStyle="1" w:styleId="264">
    <w:name w:val="-标题4-"/>
    <w:basedOn w:val="6"/>
    <w:qFormat/>
    <w:uiPriority w:val="0"/>
    <w:pPr>
      <w:numPr>
        <w:ilvl w:val="0"/>
        <w:numId w:val="0"/>
      </w:numPr>
      <w:tabs>
        <w:tab w:val="left" w:pos="0"/>
      </w:tabs>
      <w:ind w:left="851" w:hanging="851"/>
      <w:outlineLvl w:val="3"/>
    </w:pPr>
    <w:rPr>
      <w:color w:val="800080"/>
      <w:sz w:val="24"/>
    </w:rPr>
  </w:style>
  <w:style w:type="paragraph" w:customStyle="1" w:styleId="265">
    <w:name w:val="a 正文"/>
    <w:basedOn w:val="1"/>
    <w:qFormat/>
    <w:uiPriority w:val="0"/>
    <w:pPr>
      <w:spacing w:line="360" w:lineRule="auto"/>
      <w:ind w:firstLine="480"/>
    </w:pPr>
    <w:rPr>
      <w:rFonts w:ascii="宋体" w:hAnsi="宋体"/>
    </w:rPr>
  </w:style>
  <w:style w:type="paragraph" w:customStyle="1" w:styleId="266">
    <w:name w:val="**正文"/>
    <w:basedOn w:val="1"/>
    <w:qFormat/>
    <w:uiPriority w:val="0"/>
    <w:pPr>
      <w:spacing w:line="360" w:lineRule="auto"/>
      <w:ind w:firstLine="480" w:firstLineChars="200"/>
    </w:pPr>
    <w:rPr>
      <w:rFonts w:eastAsia="仿宋_GB2312"/>
    </w:rPr>
  </w:style>
  <w:style w:type="paragraph" w:customStyle="1" w:styleId="267">
    <w:name w:val="图片居中"/>
    <w:basedOn w:val="268"/>
    <w:qFormat/>
    <w:uiPriority w:val="0"/>
    <w:pPr>
      <w:ind w:firstLine="0" w:firstLineChars="0"/>
      <w:jc w:val="center"/>
    </w:pPr>
  </w:style>
  <w:style w:type="paragraph" w:customStyle="1" w:styleId="268">
    <w:name w:val="哈哈正文"/>
    <w:basedOn w:val="1"/>
    <w:qFormat/>
    <w:uiPriority w:val="0"/>
    <w:pPr>
      <w:spacing w:line="360" w:lineRule="auto"/>
      <w:ind w:firstLine="200" w:firstLineChars="200"/>
    </w:pPr>
    <w:rPr>
      <w:rFonts w:ascii="宋体" w:hAnsi="宋体"/>
    </w:rPr>
  </w:style>
  <w:style w:type="paragraph" w:customStyle="1" w:styleId="269">
    <w:name w:val="_Style 10"/>
    <w:basedOn w:val="1"/>
    <w:qFormat/>
    <w:uiPriority w:val="0"/>
  </w:style>
  <w:style w:type="paragraph" w:customStyle="1" w:styleId="270">
    <w:name w:val="xl24"/>
    <w:basedOn w:val="1"/>
    <w:qFormat/>
    <w:uiPriority w:val="0"/>
    <w:pPr>
      <w:spacing w:before="100" w:beforeAutospacing="1" w:after="100" w:afterAutospacing="1"/>
      <w:jc w:val="right"/>
    </w:pPr>
    <w:rPr>
      <w:rFonts w:ascii="宋体" w:hAnsi="宋体"/>
    </w:rPr>
  </w:style>
  <w:style w:type="paragraph" w:customStyle="1" w:styleId="271">
    <w:name w:val="Byline"/>
    <w:basedOn w:val="1"/>
    <w:next w:val="1"/>
    <w:qFormat/>
    <w:uiPriority w:val="0"/>
    <w:pPr>
      <w:spacing w:line="360" w:lineRule="auto"/>
    </w:pPr>
    <w:rPr>
      <w:i/>
    </w:rPr>
  </w:style>
  <w:style w:type="paragraph" w:customStyle="1" w:styleId="272">
    <w:name w:val="批注主题 Char Char"/>
    <w:basedOn w:val="1"/>
    <w:qFormat/>
    <w:uiPriority w:val="99"/>
    <w:rPr>
      <w:szCs w:val="21"/>
    </w:rPr>
  </w:style>
  <w:style w:type="paragraph" w:customStyle="1" w:styleId="273">
    <w:name w:val="Char"/>
    <w:basedOn w:val="1"/>
    <w:qFormat/>
    <w:uiPriority w:val="0"/>
    <w:rPr>
      <w:szCs w:val="20"/>
    </w:rPr>
  </w:style>
  <w:style w:type="paragraph" w:customStyle="1" w:styleId="274">
    <w:name w:val="正文-王"/>
    <w:basedOn w:val="1"/>
    <w:qFormat/>
    <w:uiPriority w:val="0"/>
    <w:pPr>
      <w:spacing w:line="360" w:lineRule="auto"/>
      <w:ind w:firstLine="480" w:firstLineChars="200"/>
    </w:pPr>
    <w:rPr>
      <w:rFonts w:ascii="宋体" w:hAnsi="宋体"/>
    </w:rPr>
  </w:style>
  <w:style w:type="paragraph" w:customStyle="1" w:styleId="275">
    <w:name w:val="标准小四"/>
    <w:basedOn w:val="1"/>
    <w:qFormat/>
    <w:uiPriority w:val="0"/>
    <w:pPr>
      <w:spacing w:line="360" w:lineRule="auto"/>
      <w:ind w:firstLine="480" w:firstLineChars="200"/>
    </w:pPr>
    <w:rPr>
      <w:rFonts w:ascii="Arial" w:hAnsi="Arial"/>
    </w:rPr>
  </w:style>
  <w:style w:type="paragraph" w:customStyle="1" w:styleId="276">
    <w:name w:val="Char Char17 Char Char Char Char Char Char"/>
    <w:basedOn w:val="1"/>
    <w:qFormat/>
    <w:uiPriority w:val="0"/>
    <w:rPr>
      <w:szCs w:val="21"/>
    </w:rPr>
  </w:style>
  <w:style w:type="paragraph" w:customStyle="1" w:styleId="277">
    <w:name w:val="TOC 标题1"/>
    <w:basedOn w:val="4"/>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78">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79">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80">
    <w:name w:val="列出段落2"/>
    <w:basedOn w:val="1"/>
    <w:qFormat/>
    <w:uiPriority w:val="99"/>
    <w:pPr>
      <w:ind w:firstLine="420" w:firstLineChars="200"/>
    </w:pPr>
    <w:rPr>
      <w:rFonts w:ascii="Calibri" w:hAnsi="Calibri"/>
      <w:szCs w:val="22"/>
    </w:rPr>
  </w:style>
  <w:style w:type="paragraph" w:customStyle="1" w:styleId="281">
    <w:name w:val="正文4"/>
    <w:basedOn w:val="1"/>
    <w:qFormat/>
    <w:uiPriority w:val="0"/>
    <w:pPr>
      <w:spacing w:before="60" w:after="60" w:line="360" w:lineRule="auto"/>
      <w:ind w:left="820" w:leftChars="400" w:hanging="420"/>
    </w:pPr>
  </w:style>
  <w:style w:type="paragraph" w:customStyle="1" w:styleId="282">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283">
    <w:name w:val="正文对齐"/>
    <w:basedOn w:val="1"/>
    <w:qFormat/>
    <w:uiPriority w:val="0"/>
    <w:pPr>
      <w:spacing w:after="120" w:line="360" w:lineRule="auto"/>
      <w:ind w:left="400" w:leftChars="400"/>
    </w:pPr>
    <w:rPr>
      <w:szCs w:val="21"/>
    </w:rPr>
  </w:style>
  <w:style w:type="paragraph" w:customStyle="1" w:styleId="284">
    <w:name w:val="Char Char Char Char Char Char Char"/>
    <w:basedOn w:val="1"/>
    <w:qFormat/>
    <w:uiPriority w:val="0"/>
    <w:rPr>
      <w:szCs w:val="21"/>
    </w:rPr>
  </w:style>
  <w:style w:type="paragraph" w:customStyle="1" w:styleId="285">
    <w:name w:val="样式5"/>
    <w:basedOn w:val="9"/>
    <w:qFormat/>
    <w:uiPriority w:val="0"/>
    <w:pPr>
      <w:keepNext w:val="0"/>
      <w:keepLines w:val="0"/>
      <w:spacing w:before="60" w:after="60" w:line="360" w:lineRule="auto"/>
    </w:pPr>
    <w:rPr>
      <w:sz w:val="30"/>
      <w:szCs w:val="30"/>
    </w:rPr>
  </w:style>
  <w:style w:type="paragraph" w:customStyle="1" w:styleId="286">
    <w:name w:val="Char Char Char Char Char Char"/>
    <w:basedOn w:val="20"/>
    <w:qFormat/>
    <w:uiPriority w:val="0"/>
    <w:rPr>
      <w:rFonts w:ascii="Tahoma" w:hAnsi="Tahoma"/>
      <w:sz w:val="24"/>
    </w:rPr>
  </w:style>
  <w:style w:type="paragraph" w:customStyle="1" w:styleId="287">
    <w:name w:val="+正文"/>
    <w:basedOn w:val="1"/>
    <w:qFormat/>
    <w:uiPriority w:val="0"/>
    <w:pPr>
      <w:spacing w:line="360" w:lineRule="auto"/>
      <w:ind w:firstLine="200" w:firstLineChars="200"/>
    </w:pPr>
    <w:rPr>
      <w:szCs w:val="28"/>
    </w:rPr>
  </w:style>
  <w:style w:type="paragraph" w:customStyle="1" w:styleId="288">
    <w:name w:val="正文四号"/>
    <w:basedOn w:val="1"/>
    <w:qFormat/>
    <w:uiPriority w:val="0"/>
    <w:pPr>
      <w:spacing w:line="360" w:lineRule="auto"/>
    </w:pPr>
    <w:rPr>
      <w:rFonts w:eastAsia="仿宋"/>
      <w:sz w:val="28"/>
      <w:szCs w:val="20"/>
    </w:rPr>
  </w:style>
  <w:style w:type="paragraph" w:customStyle="1" w:styleId="289">
    <w:name w:val="样式 正文字缩1字 + 左侧:  1 字符 首行缩进:  2 字符"/>
    <w:basedOn w:val="290"/>
    <w:qFormat/>
    <w:uiPriority w:val="0"/>
    <w:pPr>
      <w:ind w:left="210" w:firstLine="480"/>
    </w:pPr>
    <w:rPr>
      <w:rFonts w:cs="宋体"/>
    </w:rPr>
  </w:style>
  <w:style w:type="paragraph" w:customStyle="1" w:styleId="290">
    <w:name w:val="正文字缩1字"/>
    <w:basedOn w:val="1"/>
    <w:qFormat/>
    <w:uiPriority w:val="0"/>
    <w:pPr>
      <w:spacing w:before="60" w:after="60" w:line="360" w:lineRule="auto"/>
      <w:ind w:left="100" w:leftChars="100" w:firstLine="200" w:firstLineChars="200"/>
    </w:pPr>
  </w:style>
  <w:style w:type="paragraph" w:customStyle="1" w:styleId="291">
    <w:name w:val="样式1"/>
    <w:basedOn w:val="4"/>
    <w:qFormat/>
    <w:uiPriority w:val="0"/>
    <w:pPr>
      <w:keepNext w:val="0"/>
      <w:keepLines w:val="0"/>
      <w:spacing w:before="240" w:after="120" w:line="360" w:lineRule="auto"/>
      <w:ind w:left="883" w:hanging="883" w:hangingChars="200"/>
    </w:pPr>
  </w:style>
  <w:style w:type="paragraph" w:customStyle="1" w:styleId="292">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3">
    <w:name w:val="Char Char Char Char Char Char1"/>
    <w:basedOn w:val="20"/>
    <w:qFormat/>
    <w:uiPriority w:val="0"/>
    <w:rPr>
      <w:rFonts w:ascii="Tahoma" w:hAnsi="Tahoma"/>
      <w:sz w:val="24"/>
    </w:rPr>
  </w:style>
  <w:style w:type="paragraph" w:customStyle="1" w:styleId="294">
    <w:name w:val="Abstract Title"/>
    <w:basedOn w:val="1"/>
    <w:next w:val="1"/>
    <w:qFormat/>
    <w:uiPriority w:val="0"/>
    <w:pPr>
      <w:pBdr>
        <w:top w:val="single" w:color="auto" w:sz="4" w:space="1"/>
      </w:pBdr>
      <w:spacing w:line="360" w:lineRule="auto"/>
    </w:pPr>
    <w:rPr>
      <w:b/>
    </w:rPr>
  </w:style>
  <w:style w:type="paragraph" w:customStyle="1" w:styleId="295">
    <w:name w:val="规划编号2"/>
    <w:basedOn w:val="1"/>
    <w:qFormat/>
    <w:uiPriority w:val="0"/>
    <w:pPr>
      <w:tabs>
        <w:tab w:val="left" w:pos="496"/>
        <w:tab w:val="left" w:pos="840"/>
      </w:tabs>
      <w:ind w:left="840" w:hanging="360"/>
    </w:pPr>
    <w:rPr>
      <w:rFonts w:ascii="宋体" w:hAnsi="宋体" w:cs="宋体"/>
    </w:rPr>
  </w:style>
  <w:style w:type="paragraph" w:customStyle="1" w:styleId="296">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297">
    <w:name w:val="此正文"/>
    <w:basedOn w:val="1"/>
    <w:qFormat/>
    <w:uiPriority w:val="0"/>
    <w:pPr>
      <w:spacing w:line="360" w:lineRule="auto"/>
      <w:ind w:firstLine="200" w:firstLineChars="200"/>
    </w:pPr>
  </w:style>
  <w:style w:type="paragraph" w:customStyle="1" w:styleId="298">
    <w:name w:val="_Style 52"/>
    <w:basedOn w:val="1"/>
    <w:qFormat/>
    <w:uiPriority w:val="0"/>
    <w:pPr>
      <w:widowControl w:val="0"/>
      <w:jc w:val="both"/>
    </w:pPr>
    <w:rPr>
      <w:kern w:val="2"/>
      <w:sz w:val="21"/>
    </w:rPr>
  </w:style>
  <w:style w:type="paragraph" w:customStyle="1" w:styleId="299">
    <w:name w:val="附录标题二"/>
    <w:basedOn w:val="5"/>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300">
    <w:name w:val="Char3"/>
    <w:basedOn w:val="1"/>
    <w:qFormat/>
    <w:uiPriority w:val="0"/>
    <w:pPr>
      <w:tabs>
        <w:tab w:val="left" w:pos="360"/>
      </w:tabs>
    </w:pPr>
  </w:style>
  <w:style w:type="paragraph" w:customStyle="1" w:styleId="301">
    <w:name w:val="CM167"/>
    <w:basedOn w:val="65"/>
    <w:next w:val="65"/>
    <w:qFormat/>
    <w:uiPriority w:val="0"/>
    <w:pPr>
      <w:spacing w:before="0" w:after="120"/>
      <w:jc w:val="left"/>
    </w:pPr>
    <w:rPr>
      <w:rFonts w:ascii="黑体" w:eastAsia="黑体" w:cs="Times New Roman"/>
      <w:color w:val="auto"/>
    </w:rPr>
  </w:style>
  <w:style w:type="table" w:customStyle="1" w:styleId="302">
    <w:name w:val="表样式"/>
    <w:basedOn w:val="5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303">
    <w:name w:val="纯文本字符1"/>
    <w:semiHidden/>
    <w:qFormat/>
    <w:uiPriority w:val="99"/>
    <w:rPr>
      <w:rFonts w:ascii="宋体" w:hAnsi="Courier" w:eastAsia="宋体"/>
    </w:rPr>
  </w:style>
  <w:style w:type="character" w:customStyle="1" w:styleId="304">
    <w:name w:val="标题 1 字符"/>
    <w:qFormat/>
    <w:uiPriority w:val="0"/>
    <w:rPr>
      <w:b/>
      <w:bCs/>
      <w:kern w:val="44"/>
      <w:sz w:val="44"/>
      <w:szCs w:val="44"/>
    </w:rPr>
  </w:style>
  <w:style w:type="character" w:customStyle="1" w:styleId="305">
    <w:name w:val="标题 3 字符"/>
    <w:qFormat/>
    <w:uiPriority w:val="0"/>
    <w:rPr>
      <w:b/>
      <w:bCs/>
      <w:kern w:val="2"/>
      <w:sz w:val="32"/>
      <w:szCs w:val="32"/>
    </w:rPr>
  </w:style>
  <w:style w:type="character" w:customStyle="1" w:styleId="306">
    <w:name w:val="标题 9 字符"/>
    <w:semiHidden/>
    <w:qFormat/>
    <w:uiPriority w:val="0"/>
    <w:rPr>
      <w:rFonts w:ascii="Calibri Light" w:hAnsi="Calibri Light" w:eastAsia="宋体" w:cs="Times New Roman"/>
      <w:kern w:val="2"/>
      <w:sz w:val="21"/>
      <w:szCs w:val="21"/>
    </w:rPr>
  </w:style>
  <w:style w:type="character" w:customStyle="1" w:styleId="307">
    <w:name w:val="批注框文本 字符"/>
    <w:qFormat/>
    <w:uiPriority w:val="0"/>
    <w:rPr>
      <w:kern w:val="2"/>
      <w:sz w:val="18"/>
      <w:szCs w:val="18"/>
    </w:rPr>
  </w:style>
  <w:style w:type="character" w:customStyle="1" w:styleId="308">
    <w:name w:val="文档结构图 字符"/>
    <w:qFormat/>
    <w:uiPriority w:val="0"/>
    <w:rPr>
      <w:rFonts w:ascii="宋体"/>
      <w:kern w:val="2"/>
      <w:sz w:val="18"/>
      <w:szCs w:val="18"/>
    </w:rPr>
  </w:style>
  <w:style w:type="character" w:customStyle="1" w:styleId="309">
    <w:name w:val="HTML 预设格式 Char1"/>
    <w:link w:val="51"/>
    <w:qFormat/>
    <w:uiPriority w:val="99"/>
    <w:rPr>
      <w:rFonts w:ascii="宋体" w:hAnsi="宋体" w:cs="宋体"/>
      <w:sz w:val="24"/>
      <w:szCs w:val="24"/>
    </w:rPr>
  </w:style>
  <w:style w:type="character" w:customStyle="1" w:styleId="310">
    <w:name w:val="HTML 预设格式 Char"/>
    <w:basedOn w:val="59"/>
    <w:qFormat/>
    <w:uiPriority w:val="0"/>
    <w:rPr>
      <w:rFonts w:ascii="Courier New" w:hAnsi="Courier New" w:cs="Courier New"/>
    </w:rPr>
  </w:style>
  <w:style w:type="paragraph" w:customStyle="1" w:styleId="311">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2">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13">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4">
    <w:name w:val="_Style 311"/>
    <w:basedOn w:val="1"/>
    <w:next w:val="76"/>
    <w:link w:val="332"/>
    <w:qFormat/>
    <w:uiPriority w:val="0"/>
    <w:pPr>
      <w:widowControl w:val="0"/>
      <w:autoSpaceDE w:val="0"/>
      <w:autoSpaceDN w:val="0"/>
      <w:adjustRightInd w:val="0"/>
      <w:ind w:firstLine="420" w:firstLineChars="200"/>
      <w:jc w:val="both"/>
    </w:pPr>
    <w:rPr>
      <w:color w:val="000000"/>
      <w:sz w:val="21"/>
      <w:szCs w:val="21"/>
    </w:rPr>
  </w:style>
  <w:style w:type="paragraph" w:customStyle="1" w:styleId="315">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16">
    <w:name w:val="需求标题1"/>
    <w:basedOn w:val="1"/>
    <w:next w:val="317"/>
    <w:qFormat/>
    <w:uiPriority w:val="0"/>
    <w:pPr>
      <w:widowControl w:val="0"/>
      <w:spacing w:before="60" w:after="20"/>
      <w:jc w:val="both"/>
      <w:outlineLvl w:val="1"/>
    </w:pPr>
    <w:rPr>
      <w:rFonts w:ascii="黑体" w:hAnsi="黑体" w:eastAsia="黑体"/>
      <w:kern w:val="2"/>
      <w:sz w:val="28"/>
      <w:szCs w:val="28"/>
    </w:rPr>
  </w:style>
  <w:style w:type="paragraph" w:customStyle="1" w:styleId="317">
    <w:name w:val="正文内容"/>
    <w:basedOn w:val="1"/>
    <w:qFormat/>
    <w:uiPriority w:val="0"/>
    <w:pPr>
      <w:widowControl w:val="0"/>
      <w:ind w:firstLine="420" w:firstLineChars="200"/>
    </w:pPr>
    <w:rPr>
      <w:rFonts w:ascii="宋体" w:hAnsi="Calibri"/>
      <w:kern w:val="2"/>
      <w:sz w:val="21"/>
      <w:szCs w:val="21"/>
    </w:rPr>
  </w:style>
  <w:style w:type="paragraph" w:customStyle="1" w:styleId="318">
    <w:name w:val="需求标题2"/>
    <w:basedOn w:val="1"/>
    <w:next w:val="317"/>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19">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20">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1">
    <w:name w:val="Char Char Char Char Char Char Char Char Char"/>
    <w:basedOn w:val="1"/>
    <w:qFormat/>
    <w:uiPriority w:val="0"/>
    <w:pPr>
      <w:widowControl w:val="0"/>
      <w:jc w:val="both"/>
    </w:pPr>
    <w:rPr>
      <w:rFonts w:ascii="Calibri" w:hAnsi="Calibri"/>
      <w:kern w:val="2"/>
      <w:sz w:val="21"/>
      <w:szCs w:val="22"/>
    </w:rPr>
  </w:style>
  <w:style w:type="character" w:customStyle="1" w:styleId="322">
    <w:name w:val="Char Char2"/>
    <w:qFormat/>
    <w:uiPriority w:val="0"/>
    <w:rPr>
      <w:rFonts w:ascii="宋体" w:hAnsi="宋体" w:cs="宋体"/>
      <w:sz w:val="24"/>
      <w:szCs w:val="24"/>
    </w:rPr>
  </w:style>
  <w:style w:type="character" w:customStyle="1" w:styleId="323">
    <w:name w:val="正文表格内容 Char Char"/>
    <w:link w:val="324"/>
    <w:qFormat/>
    <w:locked/>
    <w:uiPriority w:val="0"/>
    <w:rPr>
      <w:rFonts w:ascii="Arial" w:hAnsi="Arial"/>
      <w:sz w:val="18"/>
    </w:rPr>
  </w:style>
  <w:style w:type="paragraph" w:customStyle="1" w:styleId="324">
    <w:name w:val="正文表格内容"/>
    <w:basedOn w:val="1"/>
    <w:link w:val="323"/>
    <w:qFormat/>
    <w:uiPriority w:val="0"/>
    <w:rPr>
      <w:rFonts w:ascii="Arial" w:hAnsi="Arial"/>
      <w:sz w:val="18"/>
      <w:szCs w:val="20"/>
    </w:rPr>
  </w:style>
  <w:style w:type="character" w:customStyle="1" w:styleId="325">
    <w:name w:val="HTML Preformatted Char"/>
    <w:semiHidden/>
    <w:qFormat/>
    <w:locked/>
    <w:uiPriority w:val="0"/>
    <w:rPr>
      <w:rFonts w:ascii="宋体" w:hAnsi="宋体" w:eastAsia="宋体" w:cs="宋体"/>
      <w:sz w:val="24"/>
      <w:szCs w:val="24"/>
      <w:lang w:val="en-US" w:eastAsia="zh-CN" w:bidi="ar-SA"/>
    </w:rPr>
  </w:style>
  <w:style w:type="paragraph" w:customStyle="1" w:styleId="326">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27">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28">
    <w:name w:val="正文文本 字符"/>
    <w:qFormat/>
    <w:uiPriority w:val="0"/>
    <w:rPr>
      <w:kern w:val="2"/>
      <w:sz w:val="28"/>
      <w:szCs w:val="24"/>
    </w:rPr>
  </w:style>
  <w:style w:type="character" w:customStyle="1" w:styleId="329">
    <w:name w:val="正文文本首行缩进 字符"/>
    <w:qFormat/>
    <w:uiPriority w:val="0"/>
    <w:rPr>
      <w:kern w:val="2"/>
      <w:sz w:val="21"/>
      <w:szCs w:val="24"/>
    </w:rPr>
  </w:style>
  <w:style w:type="character" w:customStyle="1" w:styleId="330">
    <w:name w:val="批注文字 字符"/>
    <w:qFormat/>
    <w:uiPriority w:val="0"/>
    <w:rPr>
      <w:kern w:val="2"/>
      <w:sz w:val="21"/>
      <w:szCs w:val="24"/>
    </w:rPr>
  </w:style>
  <w:style w:type="table" w:customStyle="1" w:styleId="331">
    <w:name w:val="TableGrid"/>
    <w:qFormat/>
    <w:uiPriority w:val="0"/>
    <w:rPr>
      <w:rFonts w:ascii="Calibri" w:hAnsi="Calibri"/>
      <w:kern w:val="2"/>
      <w:sz w:val="21"/>
      <w:szCs w:val="22"/>
    </w:rPr>
    <w:tblPr>
      <w:tblCellMar>
        <w:top w:w="0" w:type="dxa"/>
        <w:left w:w="0" w:type="dxa"/>
        <w:bottom w:w="0" w:type="dxa"/>
        <w:right w:w="0" w:type="dxa"/>
      </w:tblCellMar>
    </w:tblPr>
  </w:style>
  <w:style w:type="character" w:customStyle="1" w:styleId="332">
    <w:name w:val="列表段落 字符"/>
    <w:link w:val="314"/>
    <w:qFormat/>
    <w:uiPriority w:val="0"/>
    <w:rPr>
      <w:color w:val="000000"/>
      <w:sz w:val="21"/>
      <w:szCs w:val="21"/>
    </w:rPr>
  </w:style>
  <w:style w:type="paragraph" w:customStyle="1" w:styleId="33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4">
    <w:name w:val="TOC 标题2"/>
    <w:basedOn w:val="4"/>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335">
    <w:name w:val="页脚 字符"/>
    <w:qFormat/>
    <w:locked/>
    <w:uiPriority w:val="99"/>
    <w:rPr>
      <w:rFonts w:eastAsia="黑体"/>
      <w:sz w:val="18"/>
      <w:szCs w:val="18"/>
    </w:rPr>
  </w:style>
  <w:style w:type="character" w:customStyle="1" w:styleId="336">
    <w:name w:val="页眉 字符"/>
    <w:qFormat/>
    <w:locked/>
    <w:uiPriority w:val="99"/>
    <w:rPr>
      <w:rFonts w:eastAsia="仿宋_GB2312"/>
      <w:kern w:val="2"/>
      <w:sz w:val="18"/>
    </w:rPr>
  </w:style>
  <w:style w:type="character" w:customStyle="1" w:styleId="337">
    <w:name w:val="批注主题 字符"/>
    <w:qFormat/>
    <w:uiPriority w:val="0"/>
    <w:rPr>
      <w:b/>
      <w:bCs/>
      <w:kern w:val="2"/>
      <w:sz w:val="21"/>
      <w:szCs w:val="24"/>
    </w:rPr>
  </w:style>
  <w:style w:type="paragraph" w:customStyle="1" w:styleId="338">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339">
    <w:name w:val="批注文字 Char3"/>
    <w:basedOn w:val="59"/>
    <w:semiHidden/>
    <w:qFormat/>
    <w:uiPriority w:val="99"/>
    <w:rPr>
      <w:rFonts w:ascii="Times New Roman" w:hAnsi="Times New Roman" w:eastAsia="宋体" w:cs="Times New Roman"/>
      <w:kern w:val="0"/>
      <w:sz w:val="24"/>
      <w:szCs w:val="24"/>
    </w:rPr>
  </w:style>
  <w:style w:type="character" w:customStyle="1" w:styleId="340">
    <w:name w:val="页脚 Char2"/>
    <w:basedOn w:val="59"/>
    <w:semiHidden/>
    <w:qFormat/>
    <w:uiPriority w:val="99"/>
    <w:rPr>
      <w:rFonts w:ascii="Times New Roman" w:hAnsi="Times New Roman" w:eastAsia="宋体" w:cs="Times New Roman"/>
      <w:kern w:val="0"/>
      <w:sz w:val="18"/>
      <w:szCs w:val="18"/>
    </w:rPr>
  </w:style>
  <w:style w:type="character" w:customStyle="1" w:styleId="341">
    <w:name w:val="正文文本 3 Char1"/>
    <w:basedOn w:val="59"/>
    <w:semiHidden/>
    <w:qFormat/>
    <w:uiPriority w:val="99"/>
    <w:rPr>
      <w:rFonts w:ascii="Times New Roman" w:hAnsi="Times New Roman" w:eastAsia="宋体" w:cs="Times New Roman"/>
      <w:kern w:val="0"/>
      <w:sz w:val="16"/>
      <w:szCs w:val="16"/>
    </w:rPr>
  </w:style>
  <w:style w:type="character" w:customStyle="1" w:styleId="342">
    <w:name w:val="正文文本缩进 Char2"/>
    <w:basedOn w:val="59"/>
    <w:semiHidden/>
    <w:qFormat/>
    <w:uiPriority w:val="99"/>
    <w:rPr>
      <w:rFonts w:ascii="Times New Roman" w:hAnsi="Times New Roman" w:eastAsia="宋体" w:cs="Times New Roman"/>
      <w:kern w:val="0"/>
      <w:sz w:val="24"/>
      <w:szCs w:val="24"/>
    </w:rPr>
  </w:style>
  <w:style w:type="character" w:customStyle="1" w:styleId="343">
    <w:name w:val="正文首行缩进 2 Char1"/>
    <w:basedOn w:val="342"/>
    <w:semiHidden/>
    <w:qFormat/>
    <w:uiPriority w:val="99"/>
    <w:rPr>
      <w:rFonts w:ascii="Times New Roman" w:hAnsi="Times New Roman" w:eastAsia="宋体" w:cs="Times New Roman"/>
      <w:kern w:val="0"/>
      <w:sz w:val="24"/>
      <w:szCs w:val="24"/>
    </w:rPr>
  </w:style>
  <w:style w:type="character" w:customStyle="1" w:styleId="344">
    <w:name w:val="正文文本 Char3"/>
    <w:basedOn w:val="59"/>
    <w:semiHidden/>
    <w:qFormat/>
    <w:uiPriority w:val="99"/>
    <w:rPr>
      <w:rFonts w:ascii="Times New Roman" w:hAnsi="Times New Roman" w:eastAsia="宋体" w:cs="Times New Roman"/>
      <w:kern w:val="0"/>
      <w:sz w:val="24"/>
      <w:szCs w:val="24"/>
    </w:rPr>
  </w:style>
  <w:style w:type="character" w:customStyle="1" w:styleId="345">
    <w:name w:val="正文首行缩进 Char2"/>
    <w:basedOn w:val="344"/>
    <w:semiHidden/>
    <w:qFormat/>
    <w:uiPriority w:val="99"/>
    <w:rPr>
      <w:rFonts w:ascii="Times New Roman" w:hAnsi="Times New Roman" w:eastAsia="宋体" w:cs="Times New Roman"/>
      <w:kern w:val="0"/>
      <w:sz w:val="24"/>
      <w:szCs w:val="24"/>
    </w:rPr>
  </w:style>
  <w:style w:type="character" w:customStyle="1" w:styleId="346">
    <w:name w:val="批注框文本 Char2"/>
    <w:basedOn w:val="59"/>
    <w:semiHidden/>
    <w:qFormat/>
    <w:uiPriority w:val="99"/>
    <w:rPr>
      <w:rFonts w:ascii="Times New Roman" w:hAnsi="Times New Roman" w:eastAsia="宋体" w:cs="Times New Roman"/>
      <w:kern w:val="0"/>
      <w:sz w:val="18"/>
      <w:szCs w:val="18"/>
    </w:rPr>
  </w:style>
  <w:style w:type="character" w:customStyle="1" w:styleId="347">
    <w:name w:val="批注主题 Char1"/>
    <w:basedOn w:val="339"/>
    <w:semiHidden/>
    <w:qFormat/>
    <w:uiPriority w:val="99"/>
    <w:rPr>
      <w:rFonts w:ascii="Times New Roman" w:hAnsi="Times New Roman" w:eastAsia="宋体" w:cs="Times New Roman"/>
      <w:b/>
      <w:bCs/>
      <w:kern w:val="0"/>
      <w:sz w:val="24"/>
      <w:szCs w:val="24"/>
    </w:rPr>
  </w:style>
  <w:style w:type="character" w:customStyle="1" w:styleId="348">
    <w:name w:val="正文文本缩进 3 Char1"/>
    <w:basedOn w:val="59"/>
    <w:link w:val="44"/>
    <w:qFormat/>
    <w:uiPriority w:val="0"/>
    <w:rPr>
      <w:sz w:val="16"/>
      <w:szCs w:val="16"/>
    </w:rPr>
  </w:style>
  <w:style w:type="character" w:customStyle="1" w:styleId="349">
    <w:name w:val="纯文本 Char4"/>
    <w:basedOn w:val="59"/>
    <w:semiHidden/>
    <w:qFormat/>
    <w:uiPriority w:val="99"/>
    <w:rPr>
      <w:rFonts w:ascii="宋体" w:hAnsi="Courier New" w:eastAsia="宋体" w:cs="Courier New"/>
      <w:kern w:val="0"/>
      <w:szCs w:val="21"/>
    </w:rPr>
  </w:style>
  <w:style w:type="character" w:customStyle="1" w:styleId="350">
    <w:name w:val="标题 Char1"/>
    <w:basedOn w:val="59"/>
    <w:qFormat/>
    <w:uiPriority w:val="10"/>
    <w:rPr>
      <w:rFonts w:eastAsia="宋体" w:asciiTheme="majorHAnsi" w:hAnsiTheme="majorHAnsi" w:cstheme="majorBidi"/>
      <w:b/>
      <w:bCs/>
      <w:kern w:val="0"/>
      <w:sz w:val="32"/>
      <w:szCs w:val="32"/>
    </w:rPr>
  </w:style>
  <w:style w:type="character" w:customStyle="1" w:styleId="351">
    <w:name w:val="正文文本缩进 2 Char2"/>
    <w:basedOn w:val="59"/>
    <w:link w:val="34"/>
    <w:qFormat/>
    <w:uiPriority w:val="0"/>
    <w:rPr>
      <w:rFonts w:ascii="宋体" w:eastAsia="新宋体"/>
      <w:sz w:val="24"/>
    </w:rPr>
  </w:style>
  <w:style w:type="character" w:customStyle="1" w:styleId="352">
    <w:name w:val="正文文本 2 Char1"/>
    <w:basedOn w:val="59"/>
    <w:link w:val="50"/>
    <w:qFormat/>
    <w:uiPriority w:val="0"/>
    <w:rPr>
      <w:sz w:val="24"/>
      <w:szCs w:val="24"/>
    </w:rPr>
  </w:style>
  <w:style w:type="character" w:customStyle="1" w:styleId="353">
    <w:name w:val="页眉 Char2"/>
    <w:basedOn w:val="59"/>
    <w:semiHidden/>
    <w:qFormat/>
    <w:uiPriority w:val="99"/>
    <w:rPr>
      <w:rFonts w:ascii="Times New Roman" w:hAnsi="Times New Roman" w:eastAsia="宋体" w:cs="Times New Roman"/>
      <w:kern w:val="0"/>
      <w:sz w:val="18"/>
      <w:szCs w:val="18"/>
    </w:rPr>
  </w:style>
  <w:style w:type="character" w:customStyle="1" w:styleId="354">
    <w:name w:val="日期 Char"/>
    <w:basedOn w:val="59"/>
    <w:link w:val="33"/>
    <w:qFormat/>
    <w:uiPriority w:val="0"/>
    <w:rPr>
      <w:sz w:val="24"/>
      <w:szCs w:val="24"/>
    </w:rPr>
  </w:style>
  <w:style w:type="character" w:customStyle="1" w:styleId="355">
    <w:name w:val="文档结构图 Char1"/>
    <w:basedOn w:val="59"/>
    <w:semiHidden/>
    <w:qFormat/>
    <w:uiPriority w:val="99"/>
    <w:rPr>
      <w:rFonts w:ascii="宋体" w:hAnsi="Times New Roman" w:eastAsia="宋体" w:cs="Times New Roman"/>
      <w:kern w:val="0"/>
      <w:sz w:val="18"/>
      <w:szCs w:val="18"/>
    </w:rPr>
  </w:style>
  <w:style w:type="character" w:customStyle="1" w:styleId="356">
    <w:name w:val="bookmark-item"/>
    <w:basedOn w:val="59"/>
    <w:qFormat/>
    <w:uiPriority w:val="0"/>
  </w:style>
  <w:style w:type="paragraph" w:customStyle="1" w:styleId="357">
    <w:name w:val="首行缩进"/>
    <w:basedOn w:val="1"/>
    <w:qFormat/>
    <w:uiPriority w:val="0"/>
    <w:pPr>
      <w:spacing w:line="360" w:lineRule="auto"/>
      <w:ind w:firstLine="480" w:firstLineChars="200"/>
    </w:pPr>
    <w:rPr>
      <w:lang w:val="zh-CN"/>
    </w:rPr>
  </w:style>
  <w:style w:type="paragraph" w:customStyle="1" w:styleId="358">
    <w:name w:val="修订2"/>
    <w:hidden/>
    <w:semiHidden/>
    <w:qFormat/>
    <w:uiPriority w:val="99"/>
    <w:rPr>
      <w:rFonts w:ascii="Times New Roman" w:hAnsi="Times New Roman" w:eastAsia="宋体" w:cs="Times New Roman"/>
      <w:sz w:val="24"/>
      <w:szCs w:val="24"/>
      <w:lang w:val="en-US" w:eastAsia="zh-CN" w:bidi="ar-SA"/>
    </w:rPr>
  </w:style>
  <w:style w:type="paragraph" w:customStyle="1" w:styleId="359">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360">
    <w:name w:val="font71"/>
    <w:basedOn w:val="59"/>
    <w:qFormat/>
    <w:uiPriority w:val="0"/>
    <w:rPr>
      <w:rFonts w:hint="eastAsia" w:ascii="宋体" w:hAnsi="宋体" w:eastAsia="宋体" w:cs="宋体"/>
      <w:color w:val="000000"/>
      <w:sz w:val="24"/>
      <w:szCs w:val="24"/>
      <w:u w:val="none"/>
    </w:rPr>
  </w:style>
  <w:style w:type="character" w:customStyle="1" w:styleId="361">
    <w:name w:val="font81"/>
    <w:basedOn w:val="59"/>
    <w:qFormat/>
    <w:uiPriority w:val="0"/>
    <w:rPr>
      <w:rFonts w:hint="eastAsia" w:ascii="宋体" w:hAnsi="宋体" w:eastAsia="宋体" w:cs="宋体"/>
      <w:color w:val="000000"/>
      <w:sz w:val="24"/>
      <w:szCs w:val="24"/>
      <w:u w:val="none"/>
    </w:rPr>
  </w:style>
  <w:style w:type="character" w:customStyle="1" w:styleId="362">
    <w:name w:val="font91"/>
    <w:basedOn w:val="59"/>
    <w:qFormat/>
    <w:uiPriority w:val="0"/>
    <w:rPr>
      <w:rFonts w:hint="default" w:ascii="Times New Roman" w:hAnsi="Times New Roman" w:cs="Times New Roman"/>
      <w:color w:val="000000"/>
      <w:sz w:val="24"/>
      <w:szCs w:val="24"/>
      <w:u w:val="none"/>
    </w:rPr>
  </w:style>
  <w:style w:type="character" w:customStyle="1" w:styleId="363">
    <w:name w:val="NormalCharacter"/>
    <w:qFormat/>
    <w:uiPriority w:val="0"/>
    <w:rPr>
      <w:rFonts w:ascii="Times New Roman" w:hAnsi="Times New Roman" w:eastAsia="宋体" w:cs="Times New Roman"/>
      <w:kern w:val="2"/>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D04CD-CD9B-4473-805C-5FC038DE19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4981</Words>
  <Characters>28395</Characters>
  <Lines>236</Lines>
  <Paragraphs>66</Paragraphs>
  <TotalTime>28</TotalTime>
  <ScaleCrop>false</ScaleCrop>
  <LinksUpToDate>false</LinksUpToDate>
  <CharactersWithSpaces>33310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2021-08-18T02:22:00Z</dcterms:created>
  <dc:creator>Administrator</dc:creator>
  <cp:lastModifiedBy>Administrator</cp:lastModifiedBy>
  <cp:lastPrinted>2022-06-23T02:01:00Z</cp:lastPrinted>
  <dcterms:modified xsi:type="dcterms:W3CDTF">2022-06-23T07:04:52Z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4BCADAE62E41407F81D07F93B3DFFCD2</vt:lpwstr>
  </property>
</Properties>
</file>