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line="840" w:lineRule="exact"/>
        <w:jc w:val="center"/>
        <w:outlineLvl w:val="0"/>
        <w:rPr>
          <w:rFonts w:ascii="Times New Roman" w:hAnsi="Times New Roman" w:cs="Times New Roman"/>
          <w:b/>
          <w:bCs/>
          <w:sz w:val="52"/>
        </w:rPr>
      </w:pPr>
    </w:p>
    <w:p>
      <w:pPr>
        <w:pStyle w:val="31"/>
        <w:spacing w:line="840" w:lineRule="exact"/>
        <w:jc w:val="center"/>
        <w:outlineLvl w:val="0"/>
        <w:rPr>
          <w:rFonts w:ascii="Times New Roman" w:hAnsi="Times New Roman" w:cs="Times New Roman"/>
          <w:b/>
          <w:bCs/>
          <w:sz w:val="52"/>
        </w:rPr>
      </w:pPr>
    </w:p>
    <w:p>
      <w:pPr>
        <w:pStyle w:val="31"/>
        <w:jc w:val="center"/>
        <w:rPr>
          <w:rFonts w:hint="eastAsia" w:ascii="Times New Roman" w:hAnsi="Times New Roman" w:cs="Times New Roman"/>
          <w:b/>
          <w:bCs/>
          <w:sz w:val="52"/>
          <w:szCs w:val="52"/>
        </w:rPr>
      </w:pPr>
      <w:r>
        <w:rPr>
          <w:rFonts w:hint="eastAsia" w:ascii="Times New Roman" w:hAnsi="Times New Roman" w:cs="Times New Roman"/>
          <w:b/>
          <w:bCs/>
          <w:sz w:val="52"/>
          <w:szCs w:val="52"/>
        </w:rPr>
        <w:t>义乌市数据管理中心</w:t>
      </w:r>
    </w:p>
    <w:p>
      <w:pPr>
        <w:pStyle w:val="31"/>
        <w:jc w:val="center"/>
        <w:rPr>
          <w:rFonts w:ascii="Times New Roman" w:hAnsi="Times New Roman" w:cs="Times New Roman"/>
          <w:b/>
          <w:bCs/>
          <w:sz w:val="52"/>
          <w:szCs w:val="52"/>
        </w:rPr>
      </w:pPr>
      <w:r>
        <w:rPr>
          <w:rFonts w:hint="eastAsia" w:ascii="Times New Roman" w:hAnsi="Times New Roman" w:cs="Times New Roman"/>
          <w:b/>
          <w:bCs/>
          <w:sz w:val="52"/>
          <w:szCs w:val="52"/>
        </w:rPr>
        <w:t>网络安全全链路监管服务项目</w:t>
      </w:r>
    </w:p>
    <w:p>
      <w:pPr>
        <w:spacing w:line="360" w:lineRule="auto"/>
        <w:jc w:val="center"/>
        <w:rPr>
          <w:sz w:val="72"/>
          <w:szCs w:val="72"/>
        </w:rPr>
      </w:pPr>
    </w:p>
    <w:p>
      <w:pPr>
        <w:spacing w:line="360" w:lineRule="auto"/>
        <w:jc w:val="center"/>
        <w:rPr>
          <w:sz w:val="72"/>
          <w:szCs w:val="72"/>
        </w:rPr>
      </w:pPr>
    </w:p>
    <w:p>
      <w:pPr>
        <w:spacing w:line="360" w:lineRule="auto"/>
        <w:jc w:val="center"/>
        <w:rPr>
          <w:sz w:val="72"/>
          <w:szCs w:val="72"/>
        </w:rPr>
      </w:pPr>
    </w:p>
    <w:p>
      <w:pPr>
        <w:spacing w:line="360" w:lineRule="auto"/>
        <w:jc w:val="center"/>
        <w:rPr>
          <w:sz w:val="84"/>
          <w:szCs w:val="84"/>
        </w:rPr>
      </w:pPr>
      <w:r>
        <w:rPr>
          <w:sz w:val="84"/>
          <w:szCs w:val="84"/>
        </w:rPr>
        <w:t>招标文件</w:t>
      </w:r>
    </w:p>
    <w:p>
      <w:pPr>
        <w:spacing w:line="360" w:lineRule="auto"/>
        <w:jc w:val="center"/>
        <w:rPr>
          <w:sz w:val="72"/>
          <w:szCs w:val="72"/>
        </w:rPr>
      </w:pPr>
    </w:p>
    <w:p>
      <w:pPr>
        <w:pStyle w:val="31"/>
        <w:snapToGrid w:val="0"/>
        <w:spacing w:before="120" w:after="120" w:line="360" w:lineRule="auto"/>
        <w:jc w:val="center"/>
        <w:rPr>
          <w:rFonts w:ascii="Times New Roman" w:hAnsi="Times New Roman" w:cs="Times New Roman"/>
          <w:b/>
          <w:bCs/>
          <w:sz w:val="32"/>
          <w:szCs w:val="32"/>
        </w:rPr>
      </w:pPr>
      <w:r>
        <w:rPr>
          <w:rFonts w:ascii="Times New Roman" w:hAnsi="Times New Roman" w:cs="Times New Roman"/>
          <w:b/>
          <w:bCs/>
          <w:sz w:val="32"/>
          <w:szCs w:val="32"/>
        </w:rPr>
        <w:t>采购编号：</w:t>
      </w:r>
      <w:r>
        <w:rPr>
          <w:rFonts w:hint="eastAsia" w:ascii="Times New Roman" w:hAnsi="Times New Roman" w:cs="Times New Roman"/>
          <w:b/>
          <w:bCs/>
          <w:sz w:val="32"/>
          <w:szCs w:val="32"/>
        </w:rPr>
        <w:t>YWCG2022039GK</w:t>
      </w:r>
    </w:p>
    <w:p>
      <w:pPr>
        <w:pStyle w:val="31"/>
        <w:snapToGrid w:val="0"/>
        <w:spacing w:before="120" w:after="120" w:line="360" w:lineRule="auto"/>
        <w:jc w:val="center"/>
        <w:rPr>
          <w:rFonts w:ascii="Times New Roman" w:hAnsi="Times New Roman" w:cs="Times New Roman"/>
          <w:b/>
          <w:bCs/>
          <w:sz w:val="32"/>
          <w:szCs w:val="32"/>
        </w:rPr>
      </w:pPr>
    </w:p>
    <w:p>
      <w:pPr>
        <w:pStyle w:val="31"/>
        <w:snapToGrid w:val="0"/>
        <w:spacing w:before="120" w:after="120" w:line="360" w:lineRule="auto"/>
        <w:jc w:val="center"/>
        <w:rPr>
          <w:rFonts w:ascii="Times New Roman" w:hAnsi="Times New Roman" w:cs="Times New Roman"/>
          <w:b/>
          <w:bCs/>
          <w:sz w:val="32"/>
          <w:szCs w:val="32"/>
        </w:rPr>
      </w:pPr>
    </w:p>
    <w:p>
      <w:pPr>
        <w:pStyle w:val="31"/>
        <w:snapToGrid w:val="0"/>
        <w:spacing w:before="120" w:after="120" w:line="360" w:lineRule="auto"/>
        <w:jc w:val="center"/>
        <w:rPr>
          <w:rFonts w:ascii="Times New Roman" w:hAnsi="Times New Roman" w:cs="Times New Roman"/>
          <w:b/>
          <w:bCs/>
          <w:sz w:val="32"/>
          <w:szCs w:val="32"/>
        </w:rPr>
      </w:pPr>
    </w:p>
    <w:p>
      <w:pPr>
        <w:pStyle w:val="31"/>
        <w:jc w:val="center"/>
        <w:rPr>
          <w:rFonts w:ascii="Times New Roman" w:hAnsi="Times New Roman" w:cs="Times New Roman"/>
          <w:b/>
          <w:bCs/>
          <w:sz w:val="32"/>
          <w:szCs w:val="32"/>
        </w:rPr>
      </w:pPr>
      <w:r>
        <w:rPr>
          <w:rFonts w:ascii="Times New Roman" w:hAnsi="Times New Roman" w:cs="Times New Roman"/>
          <w:b/>
          <w:bCs/>
          <w:w w:val="95"/>
          <w:sz w:val="32"/>
          <w:szCs w:val="32"/>
        </w:rPr>
        <w:t xml:space="preserve">    </w:t>
      </w:r>
      <w:r>
        <w:rPr>
          <w:rFonts w:hint="eastAsia" w:ascii="Times New Roman" w:hAnsi="Times New Roman" w:cs="Times New Roman"/>
          <w:b/>
          <w:bCs/>
          <w:w w:val="95"/>
          <w:sz w:val="32"/>
          <w:szCs w:val="32"/>
          <w:lang w:val="en-US" w:eastAsia="zh-CN"/>
        </w:rPr>
        <w:t xml:space="preserve"> </w:t>
      </w:r>
      <w:r>
        <w:rPr>
          <w:rFonts w:ascii="Times New Roman" w:hAnsi="Times New Roman" w:cs="Times New Roman"/>
          <w:b/>
          <w:bCs/>
          <w:w w:val="95"/>
          <w:sz w:val="32"/>
          <w:szCs w:val="32"/>
        </w:rPr>
        <w:t xml:space="preserve"> 采购人：</w:t>
      </w:r>
      <w:r>
        <w:rPr>
          <w:rFonts w:hint="eastAsia" w:ascii="Times New Roman" w:hAnsi="Times New Roman" w:cs="Times New Roman"/>
          <w:b/>
          <w:bCs/>
          <w:sz w:val="32"/>
          <w:szCs w:val="32"/>
          <w:u w:val="single"/>
        </w:rPr>
        <w:t>义乌市数据管理中心</w:t>
      </w:r>
      <w:r>
        <w:rPr>
          <w:rFonts w:ascii="Times New Roman" w:hAnsi="Times New Roman" w:cs="Times New Roman"/>
          <w:b/>
          <w:bCs/>
          <w:sz w:val="32"/>
          <w:szCs w:val="32"/>
        </w:rPr>
        <w:t>（盖章）</w:t>
      </w:r>
    </w:p>
    <w:p>
      <w:pPr>
        <w:pStyle w:val="31"/>
        <w:jc w:val="center"/>
        <w:rPr>
          <w:rFonts w:ascii="Times New Roman" w:hAnsi="Times New Roman" w:cs="Times New Roman"/>
          <w:b/>
          <w:bCs/>
          <w:sz w:val="32"/>
          <w:szCs w:val="32"/>
        </w:rPr>
      </w:pPr>
      <w:r>
        <w:rPr>
          <w:rFonts w:ascii="Times New Roman" w:hAnsi="Times New Roman" w:cs="Times New Roman"/>
          <w:b/>
          <w:bCs/>
          <w:w w:val="95"/>
          <w:sz w:val="32"/>
          <w:szCs w:val="32"/>
        </w:rPr>
        <w:t>采购代理机构：</w:t>
      </w:r>
      <w:r>
        <w:rPr>
          <w:rFonts w:ascii="Times New Roman" w:hAnsi="Times New Roman" w:cs="Times New Roman"/>
          <w:b/>
          <w:bCs/>
          <w:sz w:val="32"/>
          <w:szCs w:val="32"/>
          <w:u w:val="single"/>
        </w:rPr>
        <w:t>义乌市政府采购中心</w:t>
      </w:r>
      <w:r>
        <w:rPr>
          <w:rFonts w:ascii="Times New Roman" w:hAnsi="Times New Roman" w:cs="Times New Roman"/>
          <w:b/>
          <w:bCs/>
          <w:sz w:val="32"/>
          <w:szCs w:val="32"/>
        </w:rPr>
        <w:t>（盖章）</w:t>
      </w:r>
    </w:p>
    <w:p>
      <w:pPr>
        <w:pStyle w:val="31"/>
        <w:snapToGrid w:val="0"/>
        <w:spacing w:before="120" w:after="120" w:line="360" w:lineRule="auto"/>
        <w:ind w:firstLine="2891" w:firstLineChars="900"/>
        <w:jc w:val="both"/>
        <w:rPr>
          <w:rFonts w:ascii="Times New Roman" w:hAnsi="Times New Roman" w:cs="Times New Roman"/>
          <w:b/>
          <w:bCs/>
          <w:sz w:val="32"/>
          <w:szCs w:val="32"/>
        </w:rPr>
      </w:pPr>
      <w:r>
        <w:rPr>
          <w:rFonts w:ascii="Times New Roman" w:hAnsi="Times New Roman" w:cs="Times New Roman"/>
          <w:b/>
          <w:bCs/>
          <w:sz w:val="32"/>
          <w:szCs w:val="32"/>
        </w:rPr>
        <w:t>日期：</w:t>
      </w:r>
      <w:r>
        <w:rPr>
          <w:rFonts w:ascii="Times New Roman" w:hAnsi="Times New Roman" w:cs="Times New Roman"/>
          <w:b/>
          <w:bCs/>
          <w:color w:val="FF0000"/>
          <w:sz w:val="32"/>
          <w:szCs w:val="32"/>
          <w:u w:val="single"/>
        </w:rPr>
        <w:t>2022年</w:t>
      </w:r>
      <w:r>
        <w:rPr>
          <w:rFonts w:hint="eastAsia" w:ascii="Times New Roman" w:hAnsi="Times New Roman" w:cs="Times New Roman"/>
          <w:b/>
          <w:bCs/>
          <w:color w:val="FF0000"/>
          <w:sz w:val="32"/>
          <w:szCs w:val="32"/>
          <w:u w:val="single"/>
          <w:lang w:val="en-US" w:eastAsia="zh-CN"/>
        </w:rPr>
        <w:t>10</w:t>
      </w:r>
      <w:r>
        <w:rPr>
          <w:rFonts w:ascii="Times New Roman" w:hAnsi="Times New Roman" w:cs="Times New Roman"/>
          <w:b/>
          <w:bCs/>
          <w:color w:val="FF0000"/>
          <w:sz w:val="32"/>
          <w:szCs w:val="32"/>
          <w:u w:val="single"/>
        </w:rPr>
        <w:t>月</w:t>
      </w:r>
      <w:r>
        <w:rPr>
          <w:rFonts w:hint="eastAsia" w:ascii="Times New Roman" w:hAnsi="Times New Roman" w:cs="Times New Roman"/>
          <w:b/>
          <w:bCs/>
          <w:color w:val="FF0000"/>
          <w:sz w:val="32"/>
          <w:szCs w:val="32"/>
          <w:u w:val="single"/>
          <w:lang w:val="en-US" w:eastAsia="zh-CN"/>
        </w:rPr>
        <w:t>18</w:t>
      </w:r>
      <w:r>
        <w:rPr>
          <w:rFonts w:ascii="Times New Roman" w:hAnsi="Times New Roman" w:cs="Times New Roman"/>
          <w:b/>
          <w:bCs/>
          <w:color w:val="FF0000"/>
          <w:sz w:val="32"/>
          <w:szCs w:val="32"/>
          <w:u w:val="single"/>
        </w:rPr>
        <w:t>日</w:t>
      </w:r>
    </w:p>
    <w:p>
      <w:pPr>
        <w:pStyle w:val="31"/>
        <w:spacing w:before="120" w:after="120" w:line="360" w:lineRule="auto"/>
        <w:ind w:firstLine="420" w:firstLineChars="200"/>
        <w:jc w:val="center"/>
        <w:rPr>
          <w:rFonts w:ascii="Times New Roman" w:hAnsi="Times New Roman" w:cs="Times New Roman"/>
          <w:b/>
          <w:sz w:val="44"/>
          <w:szCs w:val="44"/>
        </w:rPr>
      </w:pPr>
      <w:r>
        <w:rPr>
          <w:rFonts w:ascii="Times New Roman" w:hAnsi="Times New Roman" w:cs="Times New Roman"/>
        </w:rPr>
        <w:br w:type="page"/>
      </w:r>
      <w:r>
        <w:rPr>
          <w:rFonts w:ascii="Times New Roman" w:hAnsi="Times New Roman" w:cs="Times New Roman"/>
          <w:b/>
          <w:sz w:val="44"/>
          <w:szCs w:val="44"/>
        </w:rPr>
        <w:t>招标文件目录</w:t>
      </w:r>
    </w:p>
    <w:p>
      <w:pPr>
        <w:pStyle w:val="39"/>
        <w:tabs>
          <w:tab w:val="right" w:leader="dot" w:pos="9638"/>
          <w:tab w:val="clear" w:pos="9344"/>
        </w:tabs>
        <w:rPr>
          <w:rFonts w:ascii="Times New Roman" w:hAnsi="Times New Roman"/>
        </w:rPr>
      </w:pPr>
      <w:r>
        <w:rPr>
          <w:rFonts w:ascii="Times New Roman" w:hAnsi="Times New Roman"/>
        </w:rPr>
        <w:fldChar w:fldCharType="begin"/>
      </w:r>
      <w:r>
        <w:rPr>
          <w:rFonts w:ascii="Times New Roman" w:hAnsi="Times New Roman"/>
        </w:rPr>
        <w:instrText xml:space="preserve">TOC \o "1-1" \h \u </w:instrText>
      </w:r>
      <w:r>
        <w:rPr>
          <w:rFonts w:ascii="Times New Roman" w:hAnsi="Times New Roman"/>
        </w:rPr>
        <w:fldChar w:fldCharType="separate"/>
      </w:r>
      <w:r>
        <w:fldChar w:fldCharType="begin"/>
      </w:r>
      <w:r>
        <w:instrText xml:space="preserve"> HYPERLINK \l "_Toc32671" </w:instrText>
      </w:r>
      <w:r>
        <w:fldChar w:fldCharType="separate"/>
      </w:r>
      <w:r>
        <w:rPr>
          <w:rFonts w:ascii="Times New Roman" w:hAnsi="Times New Roman"/>
        </w:rPr>
        <w:t>第一章　采购公告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_Toc32671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39"/>
        <w:tabs>
          <w:tab w:val="right" w:leader="dot" w:pos="9638"/>
          <w:tab w:val="clear" w:pos="9344"/>
        </w:tabs>
        <w:rPr>
          <w:rFonts w:ascii="Times New Roman" w:hAnsi="Times New Roman"/>
        </w:rPr>
      </w:pPr>
      <w:r>
        <w:fldChar w:fldCharType="begin"/>
      </w:r>
      <w:r>
        <w:instrText xml:space="preserve"> HYPERLINK \l "_Toc17086" </w:instrText>
      </w:r>
      <w:r>
        <w:fldChar w:fldCharType="separate"/>
      </w:r>
      <w:r>
        <w:rPr>
          <w:rFonts w:ascii="Times New Roman" w:hAnsi="Times New Roman"/>
        </w:rPr>
        <w:t>第二章　投标须知和投标须知前附表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_Toc17086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9"/>
        <w:tabs>
          <w:tab w:val="right" w:leader="dot" w:pos="9638"/>
          <w:tab w:val="clear" w:pos="9344"/>
        </w:tabs>
        <w:rPr>
          <w:rFonts w:ascii="Times New Roman" w:hAnsi="Times New Roman"/>
        </w:rPr>
      </w:pPr>
      <w:r>
        <w:fldChar w:fldCharType="begin"/>
      </w:r>
      <w:r>
        <w:instrText xml:space="preserve"> HYPERLINK \l "_Toc9111" </w:instrText>
      </w:r>
      <w:r>
        <w:fldChar w:fldCharType="separate"/>
      </w:r>
      <w:r>
        <w:rPr>
          <w:rFonts w:ascii="Times New Roman" w:hAnsi="Times New Roman"/>
        </w:rPr>
        <w:t>第三章 招标项目要求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_Toc9111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pPr>
        <w:pStyle w:val="39"/>
        <w:tabs>
          <w:tab w:val="right" w:leader="dot" w:pos="9638"/>
          <w:tab w:val="clear" w:pos="9344"/>
        </w:tabs>
        <w:rPr>
          <w:rFonts w:ascii="Times New Roman" w:hAnsi="Times New Roman"/>
        </w:rPr>
      </w:pPr>
      <w:r>
        <w:fldChar w:fldCharType="begin"/>
      </w:r>
      <w:r>
        <w:instrText xml:space="preserve"> HYPERLINK \l "_Toc9757" </w:instrText>
      </w:r>
      <w:r>
        <w:fldChar w:fldCharType="separate"/>
      </w:r>
      <w:r>
        <w:rPr>
          <w:rFonts w:ascii="Times New Roman" w:hAnsi="Times New Roman"/>
        </w:rPr>
        <w:t>第四章 开标、评标和定标须知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_Toc9757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rPr>
          <w:rFonts w:ascii="Times New Roman" w:hAnsi="Times New Roman"/>
        </w:rPr>
        <w:fldChar w:fldCharType="end"/>
      </w:r>
    </w:p>
    <w:p>
      <w:pPr>
        <w:pStyle w:val="39"/>
        <w:tabs>
          <w:tab w:val="right" w:leader="dot" w:pos="9638"/>
          <w:tab w:val="clear" w:pos="9344"/>
        </w:tabs>
        <w:rPr>
          <w:rFonts w:ascii="Times New Roman" w:hAnsi="Times New Roman"/>
        </w:rPr>
      </w:pPr>
      <w:r>
        <w:fldChar w:fldCharType="begin"/>
      </w:r>
      <w:r>
        <w:instrText xml:space="preserve"> HYPERLINK \l "_Toc1097" </w:instrText>
      </w:r>
      <w:r>
        <w:fldChar w:fldCharType="separate"/>
      </w:r>
      <w:r>
        <w:rPr>
          <w:rFonts w:ascii="Times New Roman" w:hAnsi="Times New Roman"/>
        </w:rPr>
        <w:t>第五章 投标文件的无效情形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_Toc1097 \h </w:instrText>
      </w:r>
      <w:r>
        <w:rPr>
          <w:rFonts w:ascii="Times New Roman" w:hAnsi="Times New Roman"/>
        </w:rPr>
        <w:fldChar w:fldCharType="separate"/>
      </w:r>
      <w:r>
        <w:rPr>
          <w:rFonts w:ascii="Times New Roman" w:hAnsi="Times New Roman"/>
        </w:rPr>
        <w:t>63</w:t>
      </w:r>
      <w:r>
        <w:rPr>
          <w:rFonts w:ascii="Times New Roman" w:hAnsi="Times New Roman"/>
        </w:rPr>
        <w:fldChar w:fldCharType="end"/>
      </w:r>
      <w:r>
        <w:rPr>
          <w:rFonts w:ascii="Times New Roman" w:hAnsi="Times New Roman"/>
        </w:rPr>
        <w:fldChar w:fldCharType="end"/>
      </w:r>
    </w:p>
    <w:p>
      <w:pPr>
        <w:pStyle w:val="39"/>
        <w:tabs>
          <w:tab w:val="right" w:leader="dot" w:pos="9638"/>
          <w:tab w:val="clear" w:pos="9344"/>
        </w:tabs>
        <w:rPr>
          <w:rFonts w:ascii="Times New Roman" w:hAnsi="Times New Roman"/>
        </w:rPr>
      </w:pPr>
      <w:r>
        <w:fldChar w:fldCharType="begin"/>
      </w:r>
      <w:r>
        <w:instrText xml:space="preserve"> HYPERLINK \l "_Toc31163" </w:instrText>
      </w:r>
      <w:r>
        <w:fldChar w:fldCharType="separate"/>
      </w:r>
      <w:r>
        <w:rPr>
          <w:rFonts w:ascii="Times New Roman" w:hAnsi="Times New Roman"/>
        </w:rPr>
        <w:t>第六章 评标办法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_Toc31163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rPr>
          <w:rFonts w:ascii="Times New Roman" w:hAnsi="Times New Roman"/>
        </w:rPr>
        <w:fldChar w:fldCharType="end"/>
      </w:r>
    </w:p>
    <w:p>
      <w:pPr>
        <w:pStyle w:val="39"/>
        <w:tabs>
          <w:tab w:val="right" w:leader="dot" w:pos="9638"/>
          <w:tab w:val="clear" w:pos="9344"/>
        </w:tabs>
        <w:rPr>
          <w:rFonts w:ascii="Times New Roman" w:hAnsi="Times New Roman"/>
        </w:rPr>
      </w:pPr>
      <w:r>
        <w:fldChar w:fldCharType="begin"/>
      </w:r>
      <w:r>
        <w:instrText xml:space="preserve"> HYPERLINK \l "_Toc26103" </w:instrText>
      </w:r>
      <w:r>
        <w:fldChar w:fldCharType="separate"/>
      </w:r>
      <w:r>
        <w:rPr>
          <w:rFonts w:ascii="Times New Roman" w:hAnsi="Times New Roman"/>
        </w:rPr>
        <w:t>第七章 义乌市政府采购合同（样本）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_Toc26103 \h </w:instrText>
      </w:r>
      <w:r>
        <w:rPr>
          <w:rFonts w:ascii="Times New Roman" w:hAnsi="Times New Roman"/>
        </w:rPr>
        <w:fldChar w:fldCharType="separate"/>
      </w:r>
      <w:r>
        <w:rPr>
          <w:rFonts w:ascii="Times New Roman" w:hAnsi="Times New Roman"/>
        </w:rPr>
        <w:t>70</w:t>
      </w:r>
      <w:r>
        <w:rPr>
          <w:rFonts w:ascii="Times New Roman" w:hAnsi="Times New Roman"/>
        </w:rPr>
        <w:fldChar w:fldCharType="end"/>
      </w:r>
      <w:r>
        <w:rPr>
          <w:rFonts w:ascii="Times New Roman" w:hAnsi="Times New Roman"/>
        </w:rPr>
        <w:fldChar w:fldCharType="end"/>
      </w:r>
    </w:p>
    <w:p>
      <w:pPr>
        <w:pStyle w:val="39"/>
        <w:tabs>
          <w:tab w:val="right" w:leader="dot" w:pos="9638"/>
          <w:tab w:val="clear" w:pos="9344"/>
        </w:tabs>
        <w:rPr>
          <w:rFonts w:ascii="Times New Roman" w:hAnsi="Times New Roman"/>
        </w:rPr>
      </w:pPr>
      <w:r>
        <w:fldChar w:fldCharType="begin"/>
      </w:r>
      <w:r>
        <w:instrText xml:space="preserve"> HYPERLINK \l "_Toc1594" </w:instrText>
      </w:r>
      <w:r>
        <w:fldChar w:fldCharType="separate"/>
      </w:r>
      <w:r>
        <w:rPr>
          <w:rFonts w:ascii="Times New Roman" w:hAnsi="Times New Roman"/>
        </w:rPr>
        <w:t>第八章 投标文件部分格式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_Toc1594 \h </w:instrText>
      </w:r>
      <w:r>
        <w:rPr>
          <w:rFonts w:ascii="Times New Roman" w:hAnsi="Times New Roman"/>
        </w:rPr>
        <w:fldChar w:fldCharType="separate"/>
      </w:r>
      <w:r>
        <w:rPr>
          <w:rFonts w:ascii="Times New Roman" w:hAnsi="Times New Roman"/>
        </w:rPr>
        <w:t>73</w:t>
      </w:r>
      <w:r>
        <w:rPr>
          <w:rFonts w:ascii="Times New Roman" w:hAnsi="Times New Roman"/>
        </w:rPr>
        <w:fldChar w:fldCharType="end"/>
      </w:r>
      <w:r>
        <w:rPr>
          <w:rFonts w:ascii="Times New Roman" w:hAnsi="Times New Roman"/>
        </w:rPr>
        <w:fldChar w:fldCharType="end"/>
      </w:r>
    </w:p>
    <w:p>
      <w:r>
        <w:fldChar w:fldCharType="end"/>
      </w:r>
    </w:p>
    <w:p/>
    <w:p/>
    <w:p/>
    <w:p/>
    <w:p/>
    <w:p/>
    <w:p/>
    <w:p/>
    <w:p/>
    <w:p/>
    <w:p/>
    <w:p/>
    <w:p/>
    <w:p/>
    <w:p/>
    <w:p/>
    <w:p/>
    <w:p/>
    <w:p/>
    <w:p/>
    <w:p/>
    <w:p/>
    <w:p/>
    <w:p/>
    <w:p/>
    <w:p/>
    <w:p/>
    <w:p/>
    <w:p/>
    <w:p>
      <w:pPr>
        <w:pStyle w:val="5"/>
        <w:spacing w:before="0" w:after="0" w:line="400" w:lineRule="atLeast"/>
        <w:jc w:val="center"/>
        <w:rPr>
          <w:sz w:val="36"/>
        </w:rPr>
      </w:pPr>
      <w:bookmarkStart w:id="0" w:name="_Toc25119"/>
      <w:bookmarkStart w:id="1" w:name="_Toc20979"/>
      <w:bookmarkStart w:id="2" w:name="_Toc32671"/>
      <w:bookmarkStart w:id="3" w:name="_Toc12092"/>
      <w:bookmarkStart w:id="4" w:name="_Toc406413925"/>
      <w:r>
        <w:rPr>
          <w:sz w:val="36"/>
        </w:rPr>
        <w:t>第一章　采购公告</w:t>
      </w:r>
      <w:bookmarkEnd w:id="0"/>
      <w:bookmarkEnd w:id="1"/>
      <w:bookmarkEnd w:id="2"/>
      <w:bookmarkEnd w:id="3"/>
      <w:bookmarkEnd w:id="4"/>
    </w:p>
    <w:p>
      <w:pPr>
        <w:snapToGrid w:val="0"/>
        <w:spacing w:line="360" w:lineRule="exact"/>
        <w:ind w:firstLine="470" w:firstLineChars="196"/>
        <w:rPr>
          <w:b/>
          <w:bCs/>
        </w:rPr>
      </w:pPr>
      <w:r>
        <w:rPr>
          <w:szCs w:val="21"/>
        </w:rPr>
        <w:t>根据《中华人民共和国政府采购法》等有关规定，义乌市政府采购中心受委托，就</w:t>
      </w:r>
      <w:r>
        <w:rPr>
          <w:rFonts w:hint="eastAsia"/>
          <w:color w:val="FF0000"/>
          <w:szCs w:val="21"/>
        </w:rPr>
        <w:t>义乌市数据管理中心网络安全全链路监管服务项目</w:t>
      </w:r>
      <w:r>
        <w:rPr>
          <w:szCs w:val="21"/>
        </w:rPr>
        <w:t>进行公开招标，欢迎国内合格的供应商参加投标。</w:t>
      </w:r>
    </w:p>
    <w:p>
      <w:pPr>
        <w:pStyle w:val="31"/>
        <w:adjustRightInd w:val="0"/>
        <w:snapToGrid w:val="0"/>
        <w:spacing w:line="36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一、项目基本情况</w:t>
      </w:r>
    </w:p>
    <w:p>
      <w:pPr>
        <w:snapToGrid w:val="0"/>
        <w:spacing w:line="360" w:lineRule="exact"/>
        <w:ind w:firstLine="470" w:firstLineChars="196"/>
        <w:rPr>
          <w:szCs w:val="21"/>
        </w:rPr>
      </w:pPr>
      <w:r>
        <w:rPr>
          <w:szCs w:val="21"/>
        </w:rPr>
        <w:t>1.采购编号：</w:t>
      </w:r>
      <w:r>
        <w:rPr>
          <w:rFonts w:hint="eastAsia"/>
          <w:bCs/>
          <w:color w:val="FF0000"/>
          <w:szCs w:val="21"/>
        </w:rPr>
        <w:t>YWCG2022039GK</w:t>
      </w:r>
    </w:p>
    <w:p>
      <w:pPr>
        <w:snapToGrid w:val="0"/>
        <w:spacing w:line="360" w:lineRule="exact"/>
        <w:ind w:firstLine="470" w:firstLineChars="196"/>
        <w:rPr>
          <w:bCs/>
          <w:color w:val="FF0000"/>
          <w:szCs w:val="21"/>
        </w:rPr>
      </w:pPr>
      <w:r>
        <w:rPr>
          <w:szCs w:val="21"/>
        </w:rPr>
        <w:t>2.项目名称：</w:t>
      </w:r>
      <w:r>
        <w:rPr>
          <w:rFonts w:hint="eastAsia"/>
          <w:bCs/>
          <w:color w:val="FF0000"/>
          <w:szCs w:val="21"/>
        </w:rPr>
        <w:t>义乌市数据管理中心网络安全全链路监管服务项目</w:t>
      </w:r>
    </w:p>
    <w:p>
      <w:pPr>
        <w:snapToGrid w:val="0"/>
        <w:spacing w:line="360" w:lineRule="exact"/>
        <w:ind w:firstLine="470" w:firstLineChars="196"/>
        <w:rPr>
          <w:szCs w:val="21"/>
        </w:rPr>
      </w:pPr>
      <w:r>
        <w:rPr>
          <w:szCs w:val="21"/>
        </w:rPr>
        <w:t>3.项目预算：</w:t>
      </w:r>
      <w:r>
        <w:rPr>
          <w:rFonts w:hint="eastAsia"/>
          <w:color w:val="FF0000"/>
          <w:szCs w:val="21"/>
          <w:lang w:val="en-US" w:eastAsia="zh-CN"/>
        </w:rPr>
        <w:t>1710</w:t>
      </w:r>
      <w:r>
        <w:rPr>
          <w:color w:val="FF0000"/>
          <w:szCs w:val="21"/>
        </w:rPr>
        <w:t xml:space="preserve">万元 </w:t>
      </w:r>
      <w:r>
        <w:rPr>
          <w:szCs w:val="21"/>
        </w:rPr>
        <w:t xml:space="preserve"> 最高限价：</w:t>
      </w:r>
      <w:r>
        <w:rPr>
          <w:rFonts w:hint="eastAsia"/>
          <w:color w:val="FF0000"/>
          <w:szCs w:val="21"/>
          <w:lang w:val="en-US" w:eastAsia="zh-CN"/>
        </w:rPr>
        <w:t>1710</w:t>
      </w:r>
      <w:r>
        <w:rPr>
          <w:color w:val="FF0000"/>
          <w:szCs w:val="21"/>
        </w:rPr>
        <w:t>万元</w:t>
      </w:r>
    </w:p>
    <w:p>
      <w:pPr>
        <w:snapToGrid w:val="0"/>
        <w:spacing w:line="360" w:lineRule="exact"/>
        <w:ind w:firstLine="470" w:firstLineChars="196"/>
        <w:rPr>
          <w:szCs w:val="21"/>
        </w:rPr>
      </w:pPr>
      <w:r>
        <w:rPr>
          <w:szCs w:val="21"/>
        </w:rPr>
        <w:t>4.采购需求</w:t>
      </w:r>
    </w:p>
    <w:tbl>
      <w:tblPr>
        <w:tblStyle w:val="5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25"/>
        <w:gridCol w:w="1785"/>
        <w:gridCol w:w="870"/>
        <w:gridCol w:w="1335"/>
        <w:gridCol w:w="138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2"/>
              <w:spacing w:after="0" w:line="360" w:lineRule="exact"/>
              <w:ind w:left="0" w:leftChars="0" w:firstLine="0" w:firstLineChars="0"/>
              <w:jc w:val="center"/>
            </w:pPr>
            <w:r>
              <w:t>序号</w:t>
            </w:r>
          </w:p>
        </w:tc>
        <w:tc>
          <w:tcPr>
            <w:tcW w:w="2225" w:type="dxa"/>
            <w:vAlign w:val="center"/>
          </w:tcPr>
          <w:p>
            <w:pPr>
              <w:pStyle w:val="2"/>
              <w:spacing w:after="0" w:line="360" w:lineRule="exact"/>
              <w:ind w:left="0" w:leftChars="0" w:firstLine="0" w:firstLineChars="0"/>
              <w:jc w:val="center"/>
            </w:pPr>
            <w:r>
              <w:t>项目内容</w:t>
            </w:r>
          </w:p>
        </w:tc>
        <w:tc>
          <w:tcPr>
            <w:tcW w:w="1785" w:type="dxa"/>
            <w:vAlign w:val="center"/>
          </w:tcPr>
          <w:p>
            <w:pPr>
              <w:pStyle w:val="2"/>
              <w:spacing w:after="0" w:line="360" w:lineRule="exact"/>
              <w:ind w:left="0" w:leftChars="0" w:firstLine="0" w:firstLineChars="0"/>
              <w:jc w:val="center"/>
            </w:pPr>
            <w:r>
              <w:t>技术要求</w:t>
            </w:r>
          </w:p>
        </w:tc>
        <w:tc>
          <w:tcPr>
            <w:tcW w:w="870" w:type="dxa"/>
            <w:vAlign w:val="center"/>
          </w:tcPr>
          <w:p>
            <w:pPr>
              <w:pStyle w:val="2"/>
              <w:spacing w:after="0" w:line="360" w:lineRule="exact"/>
              <w:ind w:left="0" w:leftChars="0" w:firstLine="0" w:firstLineChars="0"/>
              <w:jc w:val="center"/>
            </w:pPr>
            <w:r>
              <w:t>数量</w:t>
            </w:r>
          </w:p>
        </w:tc>
        <w:tc>
          <w:tcPr>
            <w:tcW w:w="1335" w:type="dxa"/>
            <w:vAlign w:val="center"/>
          </w:tcPr>
          <w:p>
            <w:pPr>
              <w:pStyle w:val="2"/>
              <w:spacing w:after="0" w:line="360" w:lineRule="exact"/>
              <w:ind w:left="0" w:leftChars="0" w:firstLine="0" w:firstLineChars="0"/>
              <w:jc w:val="center"/>
            </w:pPr>
            <w:r>
              <w:t>项目预算</w:t>
            </w:r>
          </w:p>
        </w:tc>
        <w:tc>
          <w:tcPr>
            <w:tcW w:w="1380" w:type="dxa"/>
            <w:vAlign w:val="center"/>
          </w:tcPr>
          <w:p>
            <w:pPr>
              <w:pStyle w:val="2"/>
              <w:spacing w:after="0" w:line="360" w:lineRule="exact"/>
              <w:ind w:left="0" w:leftChars="0" w:firstLine="0" w:firstLineChars="0"/>
              <w:jc w:val="center"/>
            </w:pPr>
            <w:r>
              <w:t>最高限价</w:t>
            </w:r>
          </w:p>
        </w:tc>
        <w:tc>
          <w:tcPr>
            <w:tcW w:w="1265" w:type="dxa"/>
            <w:vAlign w:val="center"/>
          </w:tcPr>
          <w:p>
            <w:pPr>
              <w:pStyle w:val="2"/>
              <w:spacing w:after="0" w:line="360" w:lineRule="exact"/>
              <w:ind w:left="0" w:leftChars="0" w:firstLine="0" w:firstLineChars="0"/>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pPr>
              <w:pStyle w:val="2"/>
              <w:spacing w:after="0" w:line="360" w:lineRule="exact"/>
              <w:ind w:left="0" w:leftChars="0" w:firstLine="0" w:firstLineChars="0"/>
              <w:jc w:val="center"/>
            </w:pPr>
            <w:r>
              <w:t>1</w:t>
            </w:r>
          </w:p>
        </w:tc>
        <w:tc>
          <w:tcPr>
            <w:tcW w:w="2225" w:type="dxa"/>
            <w:vAlign w:val="center"/>
          </w:tcPr>
          <w:p>
            <w:pPr>
              <w:widowControl w:val="0"/>
              <w:snapToGrid w:val="0"/>
              <w:spacing w:line="360" w:lineRule="exact"/>
              <w:jc w:val="center"/>
              <w:rPr>
                <w:color w:val="FF0000"/>
                <w:szCs w:val="21"/>
              </w:rPr>
            </w:pPr>
            <w:r>
              <w:rPr>
                <w:rFonts w:hint="eastAsia"/>
                <w:bCs/>
                <w:color w:val="FF0000"/>
                <w:szCs w:val="21"/>
              </w:rPr>
              <w:t>网络安全全链路监管服务</w:t>
            </w:r>
          </w:p>
        </w:tc>
        <w:tc>
          <w:tcPr>
            <w:tcW w:w="1785" w:type="dxa"/>
            <w:vAlign w:val="center"/>
          </w:tcPr>
          <w:p>
            <w:pPr>
              <w:pStyle w:val="2"/>
              <w:spacing w:after="0" w:line="360" w:lineRule="exact"/>
              <w:ind w:left="0" w:leftChars="0" w:firstLine="0" w:firstLineChars="0"/>
              <w:jc w:val="center"/>
            </w:pPr>
            <w:r>
              <w:t>详见招标文件第三章</w:t>
            </w:r>
          </w:p>
        </w:tc>
        <w:tc>
          <w:tcPr>
            <w:tcW w:w="870" w:type="dxa"/>
            <w:vAlign w:val="center"/>
          </w:tcPr>
          <w:p>
            <w:pPr>
              <w:pStyle w:val="2"/>
              <w:spacing w:after="0" w:line="360" w:lineRule="exact"/>
              <w:ind w:left="0" w:leftChars="0" w:firstLine="0" w:firstLineChars="0"/>
              <w:jc w:val="center"/>
            </w:pPr>
            <w:r>
              <w:t>一批</w:t>
            </w:r>
          </w:p>
        </w:tc>
        <w:tc>
          <w:tcPr>
            <w:tcW w:w="1335" w:type="dxa"/>
            <w:vAlign w:val="center"/>
          </w:tcPr>
          <w:p>
            <w:pPr>
              <w:pStyle w:val="2"/>
              <w:spacing w:after="0" w:line="360" w:lineRule="exact"/>
              <w:ind w:left="0" w:leftChars="0" w:firstLine="0" w:firstLineChars="0"/>
              <w:jc w:val="center"/>
            </w:pPr>
            <w:r>
              <w:rPr>
                <w:rFonts w:hint="eastAsia"/>
                <w:color w:val="FF0000"/>
                <w:szCs w:val="21"/>
                <w:lang w:val="en-US" w:eastAsia="zh-CN"/>
              </w:rPr>
              <w:t>1710</w:t>
            </w:r>
            <w:r>
              <w:rPr>
                <w:color w:val="FF0000"/>
                <w:szCs w:val="21"/>
              </w:rPr>
              <w:t>万元</w:t>
            </w:r>
          </w:p>
        </w:tc>
        <w:tc>
          <w:tcPr>
            <w:tcW w:w="1380" w:type="dxa"/>
            <w:vAlign w:val="center"/>
          </w:tcPr>
          <w:p>
            <w:pPr>
              <w:pStyle w:val="2"/>
              <w:spacing w:after="0" w:line="360" w:lineRule="exact"/>
              <w:ind w:left="0" w:leftChars="0" w:firstLine="0" w:firstLineChars="0"/>
              <w:jc w:val="center"/>
              <w:rPr>
                <w:color w:val="FF0000"/>
              </w:rPr>
            </w:pPr>
            <w:r>
              <w:rPr>
                <w:rFonts w:hint="eastAsia"/>
                <w:color w:val="FF0000"/>
                <w:szCs w:val="21"/>
                <w:lang w:val="en-US" w:eastAsia="zh-CN"/>
              </w:rPr>
              <w:t>1710</w:t>
            </w:r>
            <w:r>
              <w:rPr>
                <w:color w:val="FF0000"/>
                <w:szCs w:val="21"/>
              </w:rPr>
              <w:t>万元</w:t>
            </w:r>
          </w:p>
        </w:tc>
        <w:tc>
          <w:tcPr>
            <w:tcW w:w="1265" w:type="dxa"/>
            <w:vAlign w:val="center"/>
          </w:tcPr>
          <w:p>
            <w:pPr>
              <w:pStyle w:val="2"/>
              <w:spacing w:after="0" w:line="360" w:lineRule="exact"/>
              <w:ind w:left="0" w:leftChars="0" w:firstLine="0" w:firstLineChars="0"/>
              <w:jc w:val="center"/>
            </w:pPr>
          </w:p>
        </w:tc>
      </w:tr>
    </w:tbl>
    <w:p>
      <w:pPr>
        <w:pStyle w:val="31"/>
        <w:adjustRightInd w:val="0"/>
        <w:snapToGrid w:val="0"/>
        <w:spacing w:line="360" w:lineRule="exact"/>
        <w:ind w:firstLine="470" w:firstLineChars="196"/>
        <w:rPr>
          <w:rFonts w:ascii="Times New Roman" w:hAnsi="Times New Roman" w:cs="Times New Roman"/>
          <w:kern w:val="0"/>
          <w:sz w:val="24"/>
        </w:rPr>
      </w:pPr>
      <w:r>
        <w:rPr>
          <w:rFonts w:ascii="Times New Roman" w:hAnsi="Times New Roman" w:cs="Times New Roman"/>
          <w:kern w:val="0"/>
          <w:sz w:val="24"/>
        </w:rPr>
        <w:t>5.合同履约期限：详见招标文件第三章。</w:t>
      </w:r>
    </w:p>
    <w:p>
      <w:pPr>
        <w:pStyle w:val="31"/>
        <w:adjustRightInd w:val="0"/>
        <w:snapToGrid w:val="0"/>
        <w:spacing w:line="36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二、投标人的资格要求，须同时满足以下条件：</w:t>
      </w:r>
    </w:p>
    <w:p>
      <w:pPr>
        <w:snapToGrid w:val="0"/>
        <w:spacing w:line="360" w:lineRule="exact"/>
        <w:ind w:firstLine="480" w:firstLineChars="200"/>
      </w:pPr>
      <w:r>
        <w:t>1.符合《中华人民共和国政府采购法》第二十二条供应商应当具备的条件</w:t>
      </w:r>
      <w:r>
        <w:rPr>
          <w:szCs w:val="21"/>
        </w:rPr>
        <w:t>或符合浙财采监【2013】24号《关于规范政府采购供应商资格设定及资格审查的通知》第六条规定的供应商</w:t>
      </w:r>
      <w:r>
        <w:t>；</w:t>
      </w:r>
    </w:p>
    <w:p>
      <w:pPr>
        <w:snapToGrid w:val="0"/>
        <w:spacing w:line="360" w:lineRule="exact"/>
        <w:ind w:firstLine="480" w:firstLineChars="200"/>
      </w:pPr>
      <w: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napToGrid w:val="0"/>
        <w:spacing w:line="360" w:lineRule="exact"/>
        <w:ind w:firstLine="480" w:firstLineChars="200"/>
      </w:pPr>
      <w:r>
        <w:t>3.投标人自2019年01月01日起到中标公告期结束前无行贿犯罪记录；</w:t>
      </w:r>
    </w:p>
    <w:p>
      <w:pPr>
        <w:snapToGrid w:val="0"/>
        <w:spacing w:line="360" w:lineRule="exact"/>
        <w:ind w:firstLine="480" w:firstLineChars="200"/>
      </w:pPr>
      <w:r>
        <w:t>4.根据《关于在全市公共资源交易活动中应用信用报告的通知》（义行服管〔2017〕17号）的规定，综合信用报告评级不属于D类或E类的（无信用评价供应商不受此项条件限制，查询结果以网站页面显示内容为准）；</w:t>
      </w:r>
    </w:p>
    <w:p>
      <w:pPr>
        <w:snapToGrid w:val="0"/>
        <w:spacing w:line="360" w:lineRule="exact"/>
        <w:ind w:firstLine="480" w:firstLineChars="200"/>
      </w:pPr>
      <w:r>
        <w:t>5.单位负责人为同一人或者存在直接控股、管理关系的不同供应商，不得参加同一合同项（同一标项）下的政府采购活动；</w:t>
      </w:r>
    </w:p>
    <w:p>
      <w:pPr>
        <w:snapToGrid w:val="0"/>
        <w:spacing w:line="360" w:lineRule="exact"/>
        <w:ind w:firstLine="480" w:firstLineChars="200"/>
      </w:pPr>
      <w:r>
        <w:t>6.为采购项目提供整体设计、规范编制或者项目管理、监理、检测等服务的供应商，不得再参加该采购项目的其他采购活动；</w:t>
      </w:r>
    </w:p>
    <w:p>
      <w:pPr>
        <w:snapToGrid w:val="0"/>
        <w:spacing w:line="360" w:lineRule="exact"/>
        <w:ind w:firstLine="480" w:firstLineChars="200"/>
      </w:pPr>
      <w:r>
        <w:t>7.公益一类事业单位不属于政府购买服务的承接主体，不得参与承接购买服务采购项目；</w:t>
      </w:r>
    </w:p>
    <w:p>
      <w:pPr>
        <w:snapToGrid w:val="0"/>
        <w:spacing w:line="360" w:lineRule="exact"/>
        <w:ind w:firstLine="480" w:firstLineChars="200"/>
        <w:rPr>
          <w:highlight w:val="none"/>
        </w:rPr>
      </w:pPr>
      <w:r>
        <w:rPr>
          <w:highlight w:val="none"/>
        </w:rPr>
        <w:t>8.本项目接受联合体参与投标。</w:t>
      </w:r>
    </w:p>
    <w:p>
      <w:pPr>
        <w:pStyle w:val="31"/>
        <w:adjustRightInd w:val="0"/>
        <w:snapToGrid w:val="0"/>
        <w:spacing w:line="36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三、采购文件（即招标文件，下同）获取时间、地点及方式：</w:t>
      </w:r>
    </w:p>
    <w:p>
      <w:pPr>
        <w:snapToGrid w:val="0"/>
        <w:spacing w:line="360" w:lineRule="exact"/>
        <w:ind w:firstLine="480" w:firstLineChars="200"/>
      </w:pPr>
      <w:r>
        <w:t>1.时间：公告发布时间起至投标截止时间止。</w:t>
      </w:r>
    </w:p>
    <w:p>
      <w:pPr>
        <w:snapToGrid w:val="0"/>
        <w:spacing w:line="360" w:lineRule="exact"/>
        <w:ind w:firstLine="480" w:firstLineChars="200"/>
      </w:pPr>
      <w:r>
        <w:t>2.地点：浙江政府采购网（http://zfcg.czt.zj.gov.cn/）。</w:t>
      </w:r>
    </w:p>
    <w:p>
      <w:pPr>
        <w:snapToGrid w:val="0"/>
        <w:spacing w:line="360" w:lineRule="exact"/>
        <w:ind w:firstLine="480" w:firstLineChars="200"/>
      </w:pPr>
      <w:r>
        <w:t>3.方式：潜在供应商应按照浙江省政府采购网上所提示的方式免费获取采购文件。</w:t>
      </w:r>
    </w:p>
    <w:p>
      <w:pPr>
        <w:snapToGrid w:val="0"/>
        <w:spacing w:line="360" w:lineRule="exact"/>
        <w:ind w:firstLine="480" w:firstLineChars="200"/>
      </w:pPr>
      <w:r>
        <w:t>潜在供应商未在规定的期限内按照上述方式获取招标文件的，采购人、采购代理机构可以不予受理其所提出的对招标文件的质疑。</w:t>
      </w:r>
    </w:p>
    <w:p>
      <w:pPr>
        <w:pStyle w:val="31"/>
        <w:adjustRightInd w:val="0"/>
        <w:snapToGrid w:val="0"/>
        <w:spacing w:line="36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四、投标截止时间及地点：</w:t>
      </w:r>
    </w:p>
    <w:p>
      <w:pPr>
        <w:snapToGrid w:val="0"/>
        <w:spacing w:line="360" w:lineRule="exact"/>
        <w:ind w:firstLine="480" w:firstLineChars="200"/>
      </w:pPr>
      <w:r>
        <w:t>1.提交投标文件截止时间：</w:t>
      </w:r>
      <w:r>
        <w:rPr>
          <w:color w:val="FF0000"/>
        </w:rPr>
        <w:t>2022年</w:t>
      </w:r>
      <w:r>
        <w:rPr>
          <w:rFonts w:hint="eastAsia" w:cs="Times New Roman"/>
          <w:color w:val="FF0000"/>
          <w:lang w:val="en-US" w:eastAsia="zh-CN"/>
        </w:rPr>
        <w:t>11</w:t>
      </w:r>
      <w:r>
        <w:rPr>
          <w:rFonts w:hint="default" w:ascii="Times New Roman" w:hAnsi="Times New Roman" w:cs="Times New Roman"/>
          <w:color w:val="FF0000"/>
        </w:rPr>
        <w:t>月</w:t>
      </w:r>
      <w:r>
        <w:rPr>
          <w:rFonts w:hint="eastAsia" w:cs="Times New Roman"/>
          <w:color w:val="FF0000"/>
          <w:lang w:val="en-US" w:eastAsia="zh-CN"/>
        </w:rPr>
        <w:t>17</w:t>
      </w:r>
      <w:r>
        <w:rPr>
          <w:rFonts w:hint="default" w:ascii="Times New Roman" w:hAnsi="Times New Roman" w:cs="Times New Roman"/>
          <w:color w:val="FF0000"/>
        </w:rPr>
        <w:t>日</w:t>
      </w:r>
      <w:r>
        <w:t>09:30（北京时间）</w:t>
      </w:r>
    </w:p>
    <w:p>
      <w:pPr>
        <w:snapToGrid w:val="0"/>
        <w:spacing w:line="360" w:lineRule="exact"/>
        <w:ind w:firstLine="480" w:firstLineChars="200"/>
      </w:pPr>
      <w:r>
        <w:t>2.投标地点：用帐号登录政府采购云平台（简称“政采云”下同，https://www.zcygov.cn/），上传电子加密标书至“政采云”，逾期或未上传成功的将导致无法投标或投标无效。</w:t>
      </w:r>
    </w:p>
    <w:p>
      <w:pPr>
        <w:snapToGrid w:val="0"/>
        <w:spacing w:line="360" w:lineRule="exact"/>
        <w:ind w:firstLine="480" w:firstLineChars="200"/>
      </w:pPr>
      <w:r>
        <w:t>3.开标时间：</w:t>
      </w:r>
      <w:r>
        <w:rPr>
          <w:color w:val="FF0000"/>
        </w:rPr>
        <w:t>2022年</w:t>
      </w:r>
      <w:r>
        <w:rPr>
          <w:rFonts w:hint="eastAsia" w:cs="Times New Roman"/>
          <w:color w:val="FF0000"/>
          <w:lang w:val="en-US" w:eastAsia="zh-CN"/>
        </w:rPr>
        <w:t>11</w:t>
      </w:r>
      <w:r>
        <w:rPr>
          <w:rFonts w:hint="default" w:ascii="Times New Roman" w:hAnsi="Times New Roman" w:cs="Times New Roman"/>
          <w:color w:val="FF0000"/>
        </w:rPr>
        <w:t>月</w:t>
      </w:r>
      <w:r>
        <w:rPr>
          <w:rFonts w:hint="eastAsia" w:cs="Times New Roman"/>
          <w:color w:val="FF0000"/>
          <w:lang w:val="en-US" w:eastAsia="zh-CN"/>
        </w:rPr>
        <w:t>17</w:t>
      </w:r>
      <w:r>
        <w:rPr>
          <w:rFonts w:hint="default" w:ascii="Times New Roman" w:hAnsi="Times New Roman" w:cs="Times New Roman"/>
          <w:color w:val="FF0000"/>
        </w:rPr>
        <w:t>日</w:t>
      </w:r>
      <w:r>
        <w:t>09:30 </w:t>
      </w:r>
    </w:p>
    <w:p>
      <w:pPr>
        <w:snapToGrid w:val="0"/>
        <w:spacing w:line="360" w:lineRule="exact"/>
        <w:ind w:firstLine="480" w:firstLineChars="200"/>
      </w:pPr>
      <w:r>
        <w:t>4.开标地点：“政采云”（https://www.zcygov.cn/）</w:t>
      </w:r>
    </w:p>
    <w:p>
      <w:pPr>
        <w:pStyle w:val="31"/>
        <w:adjustRightInd w:val="0"/>
        <w:snapToGrid w:val="0"/>
        <w:spacing w:line="360" w:lineRule="exact"/>
        <w:ind w:firstLine="472" w:firstLineChars="196"/>
        <w:rPr>
          <w:rFonts w:ascii="Times New Roman" w:hAnsi="Times New Roman" w:cs="Times New Roman"/>
          <w:b/>
          <w:kern w:val="0"/>
          <w:sz w:val="24"/>
          <w:szCs w:val="24"/>
        </w:rPr>
      </w:pPr>
      <w:r>
        <w:rPr>
          <w:rFonts w:ascii="Times New Roman" w:hAnsi="Times New Roman" w:cs="Times New Roman"/>
          <w:b/>
          <w:kern w:val="0"/>
          <w:sz w:val="24"/>
          <w:szCs w:val="24"/>
        </w:rPr>
        <w:t>五、公告期限：</w:t>
      </w:r>
    </w:p>
    <w:p>
      <w:pPr>
        <w:pStyle w:val="31"/>
        <w:adjustRightInd w:val="0"/>
        <w:snapToGrid w:val="0"/>
        <w:spacing w:line="360" w:lineRule="exact"/>
        <w:ind w:firstLine="470" w:firstLineChars="196"/>
        <w:rPr>
          <w:rFonts w:ascii="Times New Roman" w:hAnsi="Times New Roman" w:cs="Times New Roman"/>
          <w:kern w:val="0"/>
          <w:sz w:val="24"/>
        </w:rPr>
      </w:pPr>
      <w:r>
        <w:rPr>
          <w:rFonts w:ascii="Times New Roman" w:hAnsi="Times New Roman" w:cs="Times New Roman"/>
          <w:kern w:val="0"/>
          <w:sz w:val="24"/>
        </w:rPr>
        <w:t>自本公告发布之日起5个工作日。</w:t>
      </w:r>
    </w:p>
    <w:p>
      <w:pPr>
        <w:pStyle w:val="31"/>
        <w:spacing w:line="36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六、其他补充事宜</w:t>
      </w:r>
    </w:p>
    <w:p>
      <w:pPr>
        <w:pStyle w:val="31"/>
        <w:spacing w:line="360" w:lineRule="exact"/>
        <w:ind w:firstLine="470" w:firstLineChars="196"/>
        <w:rPr>
          <w:rFonts w:ascii="Times New Roman" w:hAnsi="Times New Roman" w:cs="Times New Roman"/>
          <w:kern w:val="0"/>
          <w:sz w:val="24"/>
        </w:rPr>
      </w:pPr>
      <w:r>
        <w:rPr>
          <w:rFonts w:ascii="Times New Roman" w:hAnsi="Times New Roman" w:cs="Times New Roman"/>
          <w:kern w:val="0"/>
          <w:sz w:val="24"/>
        </w:rPr>
        <w:t>1. 质疑与投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spacing w:line="360" w:lineRule="exact"/>
        <w:ind w:firstLine="470" w:firstLineChars="196"/>
        <w:rPr>
          <w:rFonts w:ascii="Times New Roman" w:hAnsi="Times New Roman" w:cs="Times New Roman"/>
          <w:sz w:val="24"/>
          <w:szCs w:val="24"/>
        </w:rPr>
      </w:pPr>
      <w:r>
        <w:rPr>
          <w:rFonts w:ascii="Times New Roman" w:hAnsi="Times New Roman" w:cs="Times New Roman"/>
          <w:sz w:val="24"/>
          <w:szCs w:val="24"/>
        </w:rPr>
        <w:t>2.投标保证金：无</w:t>
      </w:r>
    </w:p>
    <w:p>
      <w:pPr>
        <w:snapToGrid w:val="0"/>
        <w:spacing w:line="360" w:lineRule="exact"/>
        <w:ind w:firstLine="480" w:firstLineChars="200"/>
      </w:pPr>
      <w:r>
        <w:t>3.投标与开标注意事项：</w:t>
      </w:r>
    </w:p>
    <w:p>
      <w:pPr>
        <w:snapToGrid w:val="0"/>
        <w:spacing w:line="360" w:lineRule="exact"/>
        <w:ind w:firstLine="480" w:firstLineChars="200"/>
      </w:pPr>
      <w:r>
        <w:t>①标前准备：本项目通过“政采云”实行在线投标（电子投标），各供应商在投标前应确保成为浙江政府采购网正式注册入库供应商，并完成CA数字证书办理。【办理流程详见电子投标工具链接：（</w:t>
      </w:r>
      <w:r>
        <w:fldChar w:fldCharType="begin"/>
      </w:r>
      <w:r>
        <w:instrText xml:space="preserve"> HYPERLINK "file:///C:\\Users\\Administrator\\AppData\\Roaming\\Microsoft\\Word\\CA申领操作指南.pdf" </w:instrText>
      </w:r>
      <w:r>
        <w:fldChar w:fldCharType="separate"/>
      </w:r>
      <w:r>
        <w:t>目前“政采云”仅支持浙江汇信或天谷CA锁，个体工商户投标仅支持浙江汇信CA锁）申领操作流程</w:t>
      </w:r>
      <w:r>
        <w:fldChar w:fldCharType="end"/>
      </w:r>
      <w:r>
        <w:t>”】。因未注册入库、未办理CA数字证书等原因造成无法投标或投标失败等后果由供应商自行承担。</w:t>
      </w:r>
    </w:p>
    <w:p>
      <w:pPr>
        <w:snapToGrid w:val="0"/>
        <w:spacing w:line="360" w:lineRule="exact"/>
        <w:ind w:firstLine="480" w:firstLineChars="200"/>
      </w:pPr>
      <w:r>
        <w:t>②投标文件制作：投标人通过“政采云”电子投标工具制作投标文件，电子投标工具请供应商自行前往浙江省政府采购网(https://zfcg.czt.zj.gov.cn/)下载并安装，投标文件制作具体流程详见“政采云”供应商项目采购-电子招投标操作指南”（请投标供应商登录“政采云”政府采购电子卖场后，点击链接https://edu.zcygov.cn/luban/e-biding）以获取最新操作指南。</w:t>
      </w:r>
    </w:p>
    <w:p>
      <w:pPr>
        <w:pStyle w:val="31"/>
        <w:adjustRightInd w:val="0"/>
        <w:snapToGrid w:val="0"/>
        <w:spacing w:line="360" w:lineRule="exact"/>
        <w:ind w:firstLine="480" w:firstLineChars="200"/>
        <w:rPr>
          <w:rFonts w:ascii="Times New Roman" w:hAnsi="Times New Roman" w:cs="Times New Roman"/>
          <w:b/>
        </w:rPr>
      </w:pPr>
      <w:r>
        <w:rPr>
          <w:rFonts w:ascii="Times New Roman" w:hAnsi="Times New Roman" w:cs="Times New Roman"/>
          <w:kern w:val="0"/>
          <w:sz w:val="24"/>
          <w:szCs w:val="24"/>
        </w:rPr>
        <w:t>③投标文件上传：投标人应在投标截止时间（</w:t>
      </w:r>
      <w:r>
        <w:rPr>
          <w:rFonts w:ascii="Times New Roman" w:hAnsi="Times New Roman" w:cs="Times New Roman"/>
          <w:color w:val="FF0000"/>
          <w:sz w:val="24"/>
          <w:szCs w:val="24"/>
        </w:rPr>
        <w:t>202</w:t>
      </w:r>
      <w:r>
        <w:rPr>
          <w:rFonts w:ascii="Times New Roman" w:hAnsi="Times New Roman" w:eastAsia="宋体" w:cs="Times New Roman"/>
          <w:color w:val="FF0000"/>
          <w:sz w:val="24"/>
          <w:szCs w:val="24"/>
        </w:rPr>
        <w:t>2年</w:t>
      </w:r>
      <w:r>
        <w:rPr>
          <w:rFonts w:hint="eastAsia" w:ascii="Times New Roman" w:hAnsi="Times New Roman" w:cs="Times New Roman"/>
          <w:color w:val="FF0000"/>
          <w:sz w:val="24"/>
          <w:szCs w:val="24"/>
          <w:lang w:val="en-US" w:eastAsia="zh-CN"/>
        </w:rPr>
        <w:t>11</w:t>
      </w:r>
      <w:r>
        <w:rPr>
          <w:rFonts w:hint="default" w:ascii="Times New Roman" w:hAnsi="Times New Roman" w:cs="Times New Roman"/>
          <w:color w:val="FF0000"/>
          <w:sz w:val="24"/>
          <w:szCs w:val="24"/>
          <w:lang w:val="en-US" w:eastAsia="zh-CN"/>
        </w:rPr>
        <w:t>月</w:t>
      </w:r>
      <w:r>
        <w:rPr>
          <w:rFonts w:hint="eastAsia" w:ascii="Times New Roman" w:hAnsi="Times New Roman" w:cs="Times New Roman"/>
          <w:color w:val="FF0000"/>
          <w:sz w:val="24"/>
          <w:szCs w:val="24"/>
          <w:lang w:val="en-US" w:eastAsia="zh-CN"/>
        </w:rPr>
        <w:t>17</w:t>
      </w:r>
      <w:r>
        <w:rPr>
          <w:rFonts w:hint="default" w:ascii="Times New Roman" w:hAnsi="Times New Roman" w:cs="Times New Roman"/>
          <w:color w:val="FF0000"/>
          <w:sz w:val="24"/>
          <w:szCs w:val="24"/>
          <w:lang w:val="en-US" w:eastAsia="zh-CN"/>
        </w:rPr>
        <w:t>日</w:t>
      </w:r>
      <w:r>
        <w:rPr>
          <w:rFonts w:ascii="Times New Roman" w:hAnsi="Times New Roman" w:eastAsia="宋体" w:cs="Times New Roman"/>
          <w:color w:val="auto"/>
          <w:sz w:val="24"/>
          <w:szCs w:val="24"/>
        </w:rPr>
        <w:t>0</w:t>
      </w:r>
      <w:r>
        <w:rPr>
          <w:rFonts w:ascii="Times New Roman" w:hAnsi="Times New Roman" w:cs="Times New Roman"/>
          <w:kern w:val="0"/>
          <w:sz w:val="24"/>
          <w:szCs w:val="24"/>
        </w:rPr>
        <w:t>9:30）之前上传投标文件，同时，投标人可在投标截止时间前将在 “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ascii="Times New Roman" w:hAnsi="Times New Roman" w:cs="Times New Roman"/>
          <w:b/>
          <w:sz w:val="24"/>
          <w:szCs w:val="24"/>
        </w:rPr>
        <w:t>投标供应商仅递交备份投标文件的，投标无效。</w:t>
      </w:r>
    </w:p>
    <w:p>
      <w:pPr>
        <w:snapToGrid w:val="0"/>
        <w:spacing w:line="360" w:lineRule="exact"/>
        <w:ind w:firstLine="470" w:firstLineChars="196"/>
        <w:rPr>
          <w:szCs w:val="21"/>
        </w:rPr>
      </w:pPr>
      <w:r>
        <w:t>④开标与投标文件解密：</w:t>
      </w:r>
      <w:r>
        <w:rPr>
          <w:szCs w:val="21"/>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360" w:lineRule="exact"/>
        <w:ind w:firstLine="480" w:firstLineChars="200"/>
      </w:pPr>
      <w:r>
        <w:t>如“政采云”上投标文件在规定时间内出现解密失败的，投标人可按照自身意愿确认同意提供加密密码，启用备份文件，并由采购中心把备份文件上传至“政采云”。如投标人未按照规定时间（</w:t>
      </w:r>
      <w:r>
        <w:rPr>
          <w:color w:val="FF0000"/>
        </w:rPr>
        <w:t>2022年</w:t>
      </w:r>
      <w:r>
        <w:rPr>
          <w:rFonts w:hint="eastAsia" w:cs="Times New Roman"/>
          <w:color w:val="FF0000"/>
          <w:lang w:val="en-US" w:eastAsia="zh-CN"/>
        </w:rPr>
        <w:t>11</w:t>
      </w:r>
      <w:r>
        <w:rPr>
          <w:rFonts w:hint="default" w:ascii="Times New Roman" w:hAnsi="Times New Roman" w:cs="Times New Roman"/>
          <w:color w:val="FF0000"/>
        </w:rPr>
        <w:t>月</w:t>
      </w:r>
      <w:r>
        <w:rPr>
          <w:rFonts w:hint="eastAsia" w:cs="Times New Roman"/>
          <w:color w:val="FF0000"/>
          <w:lang w:val="en-US" w:eastAsia="zh-CN"/>
        </w:rPr>
        <w:t>17</w:t>
      </w:r>
      <w:r>
        <w:rPr>
          <w:rFonts w:hint="default" w:ascii="Times New Roman" w:hAnsi="Times New Roman" w:cs="Times New Roman"/>
          <w:color w:val="FF0000"/>
        </w:rPr>
        <w:t>日</w:t>
      </w:r>
      <w:r>
        <w:t>上午9:30前）及要求提供有效备份标书，同时政采云上投标文件解密失败的，将导致投标无效。</w:t>
      </w:r>
    </w:p>
    <w:p>
      <w:pPr>
        <w:pStyle w:val="31"/>
        <w:adjustRightInd w:val="0"/>
        <w:snapToGrid w:val="0"/>
        <w:spacing w:line="360" w:lineRule="exact"/>
        <w:ind w:firstLine="480" w:firstLineChars="200"/>
        <w:rPr>
          <w:rFonts w:ascii="Times New Roman" w:hAnsi="Times New Roman" w:cs="Times New Roman"/>
          <w:b/>
        </w:rPr>
      </w:pPr>
      <w:r>
        <w:rPr>
          <w:rFonts w:ascii="Times New Roman" w:hAnsi="Times New Roman" w:cs="Times New Roman"/>
          <w:kern w:val="0"/>
          <w:sz w:val="24"/>
          <w:szCs w:val="24"/>
        </w:rPr>
        <w:t>如果投标人发送两份以上备份文件的，以最后收到的那一份为准，</w:t>
      </w:r>
      <w:r>
        <w:rPr>
          <w:rFonts w:ascii="Times New Roman" w:hAnsi="Times New Roman" w:cs="Times New Roman"/>
          <w:sz w:val="24"/>
          <w:szCs w:val="24"/>
        </w:rPr>
        <w:t>通过</w:t>
      </w:r>
      <w:r>
        <w:rPr>
          <w:rFonts w:ascii="Times New Roman" w:hAnsi="Times New Roman" w:cs="Times New Roman"/>
          <w:kern w:val="0"/>
          <w:sz w:val="24"/>
          <w:szCs w:val="24"/>
        </w:rPr>
        <w:t>“政采云”上</w:t>
      </w:r>
      <w:r>
        <w:rPr>
          <w:rFonts w:ascii="Times New Roman" w:hAnsi="Times New Roman" w:cs="Times New Roman"/>
          <w:sz w:val="24"/>
          <w:szCs w:val="24"/>
        </w:rPr>
        <w:t>传递交的“加密投标文件”已按时解密的，“备份投标文件”自动失效。</w:t>
      </w:r>
    </w:p>
    <w:p>
      <w:pPr>
        <w:snapToGrid w:val="0"/>
        <w:spacing w:line="360" w:lineRule="exact"/>
        <w:ind w:firstLine="470" w:firstLineChars="196"/>
      </w:pPr>
      <w:r>
        <w:t>4. 参与在线投标时如遇平台技术问题详询400-881-7190，电子投标制作问题详询</w:t>
      </w:r>
      <w:r>
        <w:rPr>
          <w:rFonts w:hint="eastAsia"/>
          <w:lang w:eastAsia="zh-CN"/>
        </w:rPr>
        <w:t>汪</w:t>
      </w:r>
      <w:r>
        <w:t>先生0579－85583800。</w:t>
      </w:r>
    </w:p>
    <w:p>
      <w:pPr>
        <w:pStyle w:val="31"/>
        <w:adjustRightInd w:val="0"/>
        <w:snapToGrid w:val="0"/>
        <w:spacing w:line="360" w:lineRule="exact"/>
        <w:ind w:firstLine="472" w:firstLineChars="196"/>
        <w:rPr>
          <w:rFonts w:ascii="Times New Roman" w:hAnsi="Times New Roman" w:cs="Times New Roman"/>
          <w:b/>
          <w:kern w:val="0"/>
          <w:sz w:val="24"/>
          <w:szCs w:val="24"/>
        </w:rPr>
      </w:pPr>
      <w:r>
        <w:rPr>
          <w:rFonts w:ascii="Times New Roman" w:hAnsi="Times New Roman" w:cs="Times New Roman"/>
          <w:b/>
          <w:kern w:val="0"/>
          <w:sz w:val="24"/>
          <w:szCs w:val="24"/>
        </w:rPr>
        <w:t>七、对本次招标提出询问、质疑、投诉，请按以下方式联系。</w:t>
      </w:r>
    </w:p>
    <w:p>
      <w:pPr>
        <w:pStyle w:val="31"/>
        <w:adjustRightInd w:val="0"/>
        <w:snapToGrid w:val="0"/>
        <w:spacing w:line="360" w:lineRule="exact"/>
        <w:ind w:firstLine="482" w:firstLineChars="200"/>
        <w:rPr>
          <w:rFonts w:ascii="Times New Roman" w:hAnsi="Times New Roman" w:cs="Times New Roman"/>
          <w:b/>
          <w:kern w:val="0"/>
          <w:sz w:val="24"/>
          <w:szCs w:val="24"/>
        </w:rPr>
      </w:pPr>
      <w:r>
        <w:rPr>
          <w:rFonts w:ascii="Times New Roman" w:hAnsi="Times New Roman" w:cs="Times New Roman"/>
          <w:b/>
          <w:kern w:val="0"/>
          <w:sz w:val="24"/>
          <w:szCs w:val="24"/>
        </w:rPr>
        <w:t>1.采购人信息</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名  称：</w:t>
      </w:r>
      <w:r>
        <w:rPr>
          <w:rFonts w:ascii="Times New Roman" w:hAnsi="Times New Roman" w:cs="Times New Roman"/>
          <w:color w:val="FF0000"/>
          <w:sz w:val="24"/>
          <w:szCs w:val="24"/>
        </w:rPr>
        <w:t>义乌市数据管理中心</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lang w:val="en-US" w:eastAsia="zh-CN"/>
        </w:rPr>
      </w:pPr>
      <w:r>
        <w:rPr>
          <w:rFonts w:ascii="Times New Roman" w:hAnsi="Times New Roman" w:cs="Times New Roman"/>
          <w:kern w:val="0"/>
          <w:sz w:val="24"/>
          <w:szCs w:val="24"/>
        </w:rPr>
        <w:t>地  址：</w:t>
      </w:r>
      <w:r>
        <w:rPr>
          <w:rFonts w:ascii="Times New Roman" w:hAnsi="Times New Roman" w:cs="Times New Roman"/>
          <w:color w:val="FF0000"/>
          <w:sz w:val="24"/>
          <w:szCs w:val="24"/>
        </w:rPr>
        <w:t>义乌市城北路299号</w:t>
      </w:r>
    </w:p>
    <w:p>
      <w:pPr>
        <w:pStyle w:val="31"/>
        <w:adjustRightInd w:val="0"/>
        <w:snapToGrid w:val="0"/>
        <w:spacing w:line="360" w:lineRule="exact"/>
        <w:ind w:firstLine="480" w:firstLineChars="200"/>
        <w:rPr>
          <w:rFonts w:hint="eastAsia" w:ascii="Times New Roman" w:hAnsi="Times New Roman" w:eastAsia="宋体" w:cs="Times New Roman"/>
          <w:kern w:val="0"/>
          <w:sz w:val="24"/>
          <w:szCs w:val="24"/>
          <w:highlight w:val="none"/>
          <w:lang w:eastAsia="zh-CN"/>
        </w:rPr>
      </w:pPr>
      <w:r>
        <w:rPr>
          <w:rFonts w:ascii="Times New Roman" w:hAnsi="Times New Roman" w:cs="Times New Roman"/>
          <w:kern w:val="0"/>
          <w:sz w:val="24"/>
          <w:szCs w:val="24"/>
          <w:highlight w:val="none"/>
        </w:rPr>
        <w:t>项目联系人：</w:t>
      </w:r>
      <w:r>
        <w:rPr>
          <w:rFonts w:ascii="Times New Roman" w:hAnsi="Times New Roman" w:cs="Times New Roman"/>
          <w:color w:val="FF0000"/>
          <w:sz w:val="24"/>
          <w:szCs w:val="24"/>
        </w:rPr>
        <w:t>王先生</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eastAsia="zh-CN"/>
        </w:rPr>
      </w:pPr>
      <w:r>
        <w:rPr>
          <w:rFonts w:ascii="Times New Roman" w:hAnsi="Times New Roman" w:cs="Times New Roman"/>
          <w:kern w:val="0"/>
          <w:sz w:val="24"/>
          <w:szCs w:val="24"/>
          <w:highlight w:val="none"/>
        </w:rPr>
        <w:t>项目联系方式：</w:t>
      </w:r>
      <w:r>
        <w:rPr>
          <w:rFonts w:ascii="Times New Roman" w:hAnsi="Times New Roman" w:cs="Times New Roman"/>
          <w:color w:val="FF0000"/>
          <w:sz w:val="24"/>
          <w:szCs w:val="24"/>
        </w:rPr>
        <w:t>0579-85410120</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质疑联系人：</w:t>
      </w:r>
      <w:r>
        <w:rPr>
          <w:rFonts w:ascii="Times New Roman" w:hAnsi="Times New Roman" w:eastAsia="宋体" w:cs="Times New Roman"/>
          <w:i w:val="0"/>
          <w:caps w:val="0"/>
          <w:color w:val="FF0000"/>
          <w:spacing w:val="0"/>
          <w:sz w:val="24"/>
          <w:szCs w:val="24"/>
          <w:shd w:val="clear"/>
        </w:rPr>
        <w:t>季</w:t>
      </w:r>
      <w:r>
        <w:rPr>
          <w:rFonts w:hint="eastAsia" w:ascii="Times New Roman" w:hAnsi="Times New Roman" w:cs="Times New Roman"/>
          <w:i w:val="0"/>
          <w:caps w:val="0"/>
          <w:color w:val="FF0000"/>
          <w:spacing w:val="0"/>
          <w:sz w:val="24"/>
          <w:szCs w:val="24"/>
          <w:shd w:val="clear"/>
          <w:lang w:eastAsia="zh-CN"/>
        </w:rPr>
        <w:t>女士</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质疑联系方式：</w:t>
      </w:r>
      <w:r>
        <w:rPr>
          <w:rFonts w:ascii="Times New Roman" w:hAnsi="Times New Roman" w:cs="Times New Roman"/>
          <w:color w:val="FF0000"/>
          <w:kern w:val="0"/>
          <w:sz w:val="24"/>
          <w:szCs w:val="24"/>
        </w:rPr>
        <w:t xml:space="preserve"> </w:t>
      </w:r>
      <w:r>
        <w:rPr>
          <w:rFonts w:ascii="Times New Roman" w:hAnsi="Times New Roman" w:eastAsia="宋体" w:cs="Times New Roman"/>
          <w:i w:val="0"/>
          <w:caps w:val="0"/>
          <w:color w:val="FF0000"/>
          <w:spacing w:val="0"/>
          <w:sz w:val="24"/>
          <w:szCs w:val="24"/>
          <w:shd w:val="clear"/>
        </w:rPr>
        <w:t>13588679387</w:t>
      </w:r>
    </w:p>
    <w:p>
      <w:pPr>
        <w:pStyle w:val="31"/>
        <w:adjustRightInd w:val="0"/>
        <w:snapToGrid w:val="0"/>
        <w:spacing w:line="360" w:lineRule="exact"/>
        <w:ind w:firstLine="482" w:firstLineChars="200"/>
        <w:rPr>
          <w:rFonts w:ascii="Times New Roman" w:hAnsi="Times New Roman" w:cs="Times New Roman"/>
          <w:b/>
          <w:kern w:val="0"/>
          <w:sz w:val="24"/>
          <w:szCs w:val="24"/>
        </w:rPr>
      </w:pPr>
      <w:r>
        <w:rPr>
          <w:rFonts w:ascii="Times New Roman" w:hAnsi="Times New Roman" w:cs="Times New Roman"/>
          <w:b/>
          <w:kern w:val="0"/>
          <w:sz w:val="24"/>
          <w:szCs w:val="24"/>
        </w:rPr>
        <w:t>2.采购代理机构信息</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名  称：义乌市政府采购中心</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地  址：义乌市望道路300号4楼</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传   真：0579-85570067</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项目联系人：方先生</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项目联系方式：0579-85583802</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质疑联系人：洪艳 </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质疑联系方式：0579-85232979　</w:t>
      </w:r>
    </w:p>
    <w:p>
      <w:pPr>
        <w:pStyle w:val="31"/>
        <w:adjustRightInd w:val="0"/>
        <w:snapToGrid w:val="0"/>
        <w:spacing w:line="360" w:lineRule="exact"/>
        <w:ind w:firstLine="482" w:firstLineChars="200"/>
        <w:rPr>
          <w:rFonts w:ascii="Times New Roman" w:hAnsi="Times New Roman" w:cs="Times New Roman"/>
          <w:b/>
          <w:kern w:val="0"/>
          <w:sz w:val="24"/>
          <w:szCs w:val="24"/>
        </w:rPr>
      </w:pPr>
      <w:r>
        <w:rPr>
          <w:rFonts w:ascii="Times New Roman" w:hAnsi="Times New Roman" w:cs="Times New Roman"/>
          <w:b/>
          <w:kern w:val="0"/>
          <w:sz w:val="24"/>
          <w:szCs w:val="24"/>
        </w:rPr>
        <w:t>3.同级政府采购监督管理部门</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名  称：义乌市财政局</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地  址：义乌市望道路300号5楼</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联系人 ：骆女士</w:t>
      </w:r>
    </w:p>
    <w:p>
      <w:pPr>
        <w:pStyle w:val="31"/>
        <w:adjustRightInd w:val="0"/>
        <w:snapToGrid w:val="0"/>
        <w:spacing w:line="3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监督投诉电话：0579-89915066</w:t>
      </w:r>
    </w:p>
    <w:p/>
    <w:p>
      <w:pPr>
        <w:pStyle w:val="31"/>
        <w:adjustRightInd w:val="0"/>
        <w:snapToGrid w:val="0"/>
        <w:spacing w:line="360" w:lineRule="exact"/>
        <w:ind w:firstLine="480" w:firstLineChars="200"/>
        <w:rPr>
          <w:rFonts w:ascii="Times New Roman" w:hAnsi="Times New Roman" w:cs="Times New Roman"/>
          <w:kern w:val="0"/>
          <w:sz w:val="24"/>
          <w:szCs w:val="24"/>
        </w:rPr>
      </w:pPr>
    </w:p>
    <w:p>
      <w:pPr>
        <w:pStyle w:val="31"/>
        <w:adjustRightInd w:val="0"/>
        <w:snapToGrid w:val="0"/>
        <w:spacing w:line="360" w:lineRule="exact"/>
        <w:ind w:firstLine="480" w:firstLineChars="200"/>
        <w:jc w:val="right"/>
        <w:rPr>
          <w:rFonts w:hint="eastAsia" w:ascii="Times New Roman" w:hAnsi="Times New Roman" w:cs="Times New Roman"/>
          <w:color w:val="FF0000"/>
          <w:kern w:val="0"/>
          <w:sz w:val="24"/>
          <w:szCs w:val="24"/>
        </w:rPr>
      </w:pPr>
      <w:r>
        <w:rPr>
          <w:rFonts w:ascii="Times New Roman" w:hAnsi="Times New Roman" w:cs="Times New Roman"/>
          <w:color w:val="FF0000"/>
          <w:sz w:val="24"/>
          <w:szCs w:val="24"/>
        </w:rPr>
        <w:t>义乌市数据管理中心</w:t>
      </w:r>
    </w:p>
    <w:p>
      <w:pPr>
        <w:pStyle w:val="31"/>
        <w:adjustRightInd w:val="0"/>
        <w:snapToGrid w:val="0"/>
        <w:spacing w:line="360" w:lineRule="exact"/>
        <w:ind w:firstLine="480" w:firstLineChars="200"/>
        <w:jc w:val="right"/>
        <w:rPr>
          <w:rFonts w:ascii="Times New Roman" w:hAnsi="Times New Roman" w:cs="Times New Roman"/>
          <w:kern w:val="0"/>
          <w:sz w:val="24"/>
          <w:szCs w:val="24"/>
        </w:rPr>
      </w:pPr>
      <w:r>
        <w:rPr>
          <w:rFonts w:ascii="Times New Roman" w:hAnsi="Times New Roman" w:cs="Times New Roman"/>
          <w:kern w:val="0"/>
          <w:sz w:val="24"/>
          <w:szCs w:val="24"/>
        </w:rPr>
        <w:t>义乌市政府采购中心</w:t>
      </w:r>
    </w:p>
    <w:p>
      <w:pPr>
        <w:pStyle w:val="31"/>
        <w:adjustRightInd w:val="0"/>
        <w:snapToGrid w:val="0"/>
        <w:spacing w:line="360" w:lineRule="exact"/>
        <w:ind w:firstLine="480" w:firstLineChars="200"/>
        <w:jc w:val="right"/>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2022年</w:t>
      </w:r>
      <w:r>
        <w:rPr>
          <w:rFonts w:hint="eastAsia" w:ascii="Times New Roman" w:hAnsi="Times New Roman" w:cs="Times New Roman"/>
          <w:color w:val="FF0000"/>
          <w:kern w:val="0"/>
          <w:sz w:val="24"/>
          <w:szCs w:val="24"/>
          <w:lang w:val="en-US" w:eastAsia="zh-CN"/>
        </w:rPr>
        <w:t>10</w:t>
      </w:r>
      <w:r>
        <w:rPr>
          <w:rFonts w:ascii="Times New Roman" w:hAnsi="Times New Roman" w:cs="Times New Roman"/>
          <w:color w:val="FF0000"/>
          <w:kern w:val="0"/>
          <w:sz w:val="24"/>
          <w:szCs w:val="24"/>
        </w:rPr>
        <w:t>月</w:t>
      </w:r>
      <w:r>
        <w:rPr>
          <w:rFonts w:hint="eastAsia" w:ascii="Times New Roman" w:hAnsi="Times New Roman" w:cs="Times New Roman"/>
          <w:color w:val="FF0000"/>
          <w:kern w:val="0"/>
          <w:sz w:val="24"/>
          <w:szCs w:val="24"/>
          <w:lang w:val="en-US" w:eastAsia="zh-CN"/>
        </w:rPr>
        <w:t>25</w:t>
      </w:r>
      <w:r>
        <w:rPr>
          <w:rFonts w:ascii="Times New Roman" w:hAnsi="Times New Roman" w:cs="Times New Roman"/>
          <w:color w:val="FF0000"/>
          <w:kern w:val="0"/>
          <w:sz w:val="24"/>
          <w:szCs w:val="24"/>
        </w:rPr>
        <w:t>日</w:t>
      </w:r>
    </w:p>
    <w:p>
      <w:pPr>
        <w:pStyle w:val="5"/>
        <w:spacing w:before="0" w:after="0" w:line="400" w:lineRule="atLeast"/>
        <w:jc w:val="center"/>
        <w:rPr>
          <w:sz w:val="36"/>
        </w:rPr>
      </w:pPr>
      <w:r>
        <w:rPr>
          <w:sz w:val="24"/>
          <w:szCs w:val="24"/>
        </w:rPr>
        <w:br w:type="page"/>
      </w:r>
      <w:bookmarkStart w:id="5" w:name="_Toc20028"/>
      <w:bookmarkStart w:id="6" w:name="_Toc17086"/>
      <w:bookmarkStart w:id="7" w:name="_Toc406413926"/>
      <w:bookmarkStart w:id="8" w:name="_Toc640"/>
      <w:bookmarkStart w:id="9" w:name="_Toc3656"/>
      <w:r>
        <w:rPr>
          <w:sz w:val="36"/>
        </w:rPr>
        <w:t>第二章　投标须知和投标须知前附表</w:t>
      </w:r>
      <w:bookmarkEnd w:id="5"/>
      <w:bookmarkEnd w:id="6"/>
      <w:bookmarkEnd w:id="7"/>
      <w:bookmarkEnd w:id="8"/>
      <w:bookmarkEnd w:id="9"/>
    </w:p>
    <w:p>
      <w:pPr>
        <w:spacing w:line="360" w:lineRule="auto"/>
        <w:ind w:firstLine="643" w:firstLineChars="200"/>
        <w:jc w:val="center"/>
        <w:rPr>
          <w:b/>
          <w:sz w:val="32"/>
          <w:szCs w:val="32"/>
        </w:rPr>
      </w:pPr>
      <w:r>
        <w:rPr>
          <w:b/>
          <w:sz w:val="32"/>
          <w:szCs w:val="32"/>
        </w:rPr>
        <w:t>投标须知前附表</w:t>
      </w:r>
    </w:p>
    <w:tbl>
      <w:tblPr>
        <w:tblStyle w:val="57"/>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6"/>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b/>
              </w:rPr>
            </w:pPr>
            <w:r>
              <w:rPr>
                <w:b/>
              </w:rPr>
              <w:t>序号</w:t>
            </w:r>
          </w:p>
        </w:tc>
        <w:tc>
          <w:tcPr>
            <w:tcW w:w="9554" w:type="dxa"/>
            <w:gridSpan w:val="2"/>
            <w:vAlign w:val="center"/>
          </w:tcPr>
          <w:p>
            <w:pPr>
              <w:spacing w:line="400" w:lineRule="exact"/>
              <w:jc w:val="center"/>
              <w:rPr>
                <w:b/>
              </w:rPr>
            </w:pPr>
            <w:r>
              <w:rPr>
                <w:b/>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ind w:firstLine="240" w:firstLineChars="100"/>
            </w:pPr>
            <w:r>
              <w:t>1</w:t>
            </w:r>
          </w:p>
        </w:tc>
        <w:tc>
          <w:tcPr>
            <w:tcW w:w="1956" w:type="dxa"/>
            <w:vAlign w:val="center"/>
          </w:tcPr>
          <w:p>
            <w:pPr>
              <w:spacing w:line="400" w:lineRule="exact"/>
              <w:jc w:val="center"/>
            </w:pPr>
            <w:r>
              <w:t>项目综合</w:t>
            </w:r>
          </w:p>
          <w:p>
            <w:pPr>
              <w:spacing w:line="400" w:lineRule="exact"/>
              <w:jc w:val="center"/>
            </w:pPr>
            <w:r>
              <w:t>说明</w:t>
            </w:r>
          </w:p>
        </w:tc>
        <w:tc>
          <w:tcPr>
            <w:tcW w:w="7598" w:type="dxa"/>
            <w:vAlign w:val="center"/>
          </w:tcPr>
          <w:p>
            <w:pPr>
              <w:spacing w:line="400" w:lineRule="exact"/>
            </w:pPr>
            <w:r>
              <w:t>项目名称：</w:t>
            </w:r>
            <w:r>
              <w:rPr>
                <w:rFonts w:hint="eastAsia"/>
                <w:b/>
                <w:bCs/>
                <w:color w:val="FF0000"/>
                <w:szCs w:val="21"/>
              </w:rPr>
              <w:t>义乌市数据管理中心网络安全全链路监管服务项目</w:t>
            </w:r>
            <w:r>
              <w:t>，采购内容及数量:具体详见《第三章招标项目要求》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2</w:t>
            </w:r>
          </w:p>
        </w:tc>
        <w:tc>
          <w:tcPr>
            <w:tcW w:w="1956" w:type="dxa"/>
            <w:vAlign w:val="center"/>
          </w:tcPr>
          <w:p>
            <w:pPr>
              <w:spacing w:line="400" w:lineRule="exact"/>
              <w:jc w:val="center"/>
            </w:pPr>
            <w:r>
              <w:t>招标方式</w:t>
            </w:r>
          </w:p>
        </w:tc>
        <w:tc>
          <w:tcPr>
            <w:tcW w:w="7598" w:type="dxa"/>
            <w:vAlign w:val="center"/>
          </w:tcPr>
          <w:p>
            <w:pPr>
              <w:spacing w:line="400" w:lineRule="exact"/>
            </w:pPr>
            <w: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3</w:t>
            </w:r>
          </w:p>
        </w:tc>
        <w:tc>
          <w:tcPr>
            <w:tcW w:w="1956" w:type="dxa"/>
            <w:vAlign w:val="center"/>
          </w:tcPr>
          <w:p>
            <w:pPr>
              <w:spacing w:line="400" w:lineRule="exact"/>
              <w:jc w:val="center"/>
            </w:pPr>
            <w:r>
              <w:t>投标单位资格</w:t>
            </w:r>
          </w:p>
          <w:p>
            <w:pPr>
              <w:spacing w:line="400" w:lineRule="exact"/>
              <w:jc w:val="center"/>
            </w:pPr>
            <w:r>
              <w:t>要求</w:t>
            </w:r>
          </w:p>
        </w:tc>
        <w:tc>
          <w:tcPr>
            <w:tcW w:w="7598" w:type="dxa"/>
            <w:vAlign w:val="center"/>
          </w:tcPr>
          <w:p>
            <w:pPr>
              <w:spacing w:line="400" w:lineRule="exact"/>
            </w:pPr>
            <w: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4</w:t>
            </w:r>
          </w:p>
        </w:tc>
        <w:tc>
          <w:tcPr>
            <w:tcW w:w="1956" w:type="dxa"/>
            <w:vAlign w:val="center"/>
          </w:tcPr>
          <w:p>
            <w:pPr>
              <w:spacing w:line="400" w:lineRule="exact"/>
              <w:jc w:val="center"/>
            </w:pPr>
            <w:r>
              <w:t>合同履约期限</w:t>
            </w:r>
          </w:p>
        </w:tc>
        <w:tc>
          <w:tcPr>
            <w:tcW w:w="7598" w:type="dxa"/>
            <w:vAlign w:val="center"/>
          </w:tcPr>
          <w:p>
            <w:pPr>
              <w:spacing w:line="400" w:lineRule="exact"/>
            </w:pPr>
            <w: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5</w:t>
            </w:r>
          </w:p>
        </w:tc>
        <w:tc>
          <w:tcPr>
            <w:tcW w:w="1956" w:type="dxa"/>
            <w:vAlign w:val="center"/>
          </w:tcPr>
          <w:p>
            <w:pPr>
              <w:spacing w:line="400" w:lineRule="exact"/>
              <w:jc w:val="center"/>
            </w:pPr>
            <w:r>
              <w:t>招标文件获取时间、地点及方式</w:t>
            </w:r>
          </w:p>
        </w:tc>
        <w:tc>
          <w:tcPr>
            <w:tcW w:w="7598" w:type="dxa"/>
            <w:vAlign w:val="center"/>
          </w:tcPr>
          <w:p>
            <w:pPr>
              <w:spacing w:line="400" w:lineRule="exact"/>
            </w:pPr>
            <w: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0" w:type="dxa"/>
            <w:vAlign w:val="center"/>
          </w:tcPr>
          <w:p>
            <w:pPr>
              <w:spacing w:line="400" w:lineRule="exact"/>
              <w:jc w:val="center"/>
            </w:pPr>
            <w:r>
              <w:t>6</w:t>
            </w:r>
          </w:p>
        </w:tc>
        <w:tc>
          <w:tcPr>
            <w:tcW w:w="1956" w:type="dxa"/>
            <w:vAlign w:val="center"/>
          </w:tcPr>
          <w:p>
            <w:pPr>
              <w:spacing w:line="400" w:lineRule="exact"/>
              <w:jc w:val="center"/>
            </w:pPr>
            <w:r>
              <w:t>现场踏勘时间</w:t>
            </w:r>
          </w:p>
        </w:tc>
        <w:tc>
          <w:tcPr>
            <w:tcW w:w="7598" w:type="dxa"/>
            <w:vAlign w:val="center"/>
          </w:tcPr>
          <w:p>
            <w:pPr>
              <w:spacing w:line="400" w:lineRule="exact"/>
              <w:ind w:firstLine="480" w:firstLineChars="200"/>
            </w:pPr>
            <w:r>
              <w:t>采购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720" w:type="dxa"/>
            <w:vAlign w:val="center"/>
          </w:tcPr>
          <w:p>
            <w:pPr>
              <w:spacing w:line="400" w:lineRule="exact"/>
              <w:jc w:val="center"/>
            </w:pPr>
            <w:r>
              <w:t>7</w:t>
            </w:r>
          </w:p>
        </w:tc>
        <w:tc>
          <w:tcPr>
            <w:tcW w:w="1956" w:type="dxa"/>
            <w:vAlign w:val="center"/>
          </w:tcPr>
          <w:p>
            <w:pPr>
              <w:spacing w:line="400" w:lineRule="exact"/>
              <w:jc w:val="center"/>
            </w:pPr>
            <w:r>
              <w:t>招标答疑</w:t>
            </w:r>
          </w:p>
        </w:tc>
        <w:tc>
          <w:tcPr>
            <w:tcW w:w="7598" w:type="dxa"/>
          </w:tcPr>
          <w:p>
            <w:pPr>
              <w:spacing w:line="400" w:lineRule="exact"/>
              <w:ind w:firstLine="480" w:firstLineChars="200"/>
              <w:jc w:val="both"/>
            </w:pPr>
            <w:r>
              <w:t>本项目不组织答疑会；招标方的答疑内容、书面澄清文件是招标文件的组成部份，招标方的书面澄清（更正）文件会在浙江政府采购网上发布公告，同时“政采云”会向所有已按招标文件规定方式获取招标文件的潜在供应商发送澄清（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8</w:t>
            </w:r>
          </w:p>
        </w:tc>
        <w:tc>
          <w:tcPr>
            <w:tcW w:w="1956" w:type="dxa"/>
            <w:vAlign w:val="center"/>
          </w:tcPr>
          <w:p>
            <w:pPr>
              <w:spacing w:line="400" w:lineRule="exact"/>
              <w:jc w:val="center"/>
            </w:pPr>
            <w:r>
              <w:t>投标有效期</w:t>
            </w:r>
          </w:p>
        </w:tc>
        <w:tc>
          <w:tcPr>
            <w:tcW w:w="7598" w:type="dxa"/>
            <w:vAlign w:val="center"/>
          </w:tcPr>
          <w:p>
            <w:pPr>
              <w:spacing w:line="400" w:lineRule="exact"/>
            </w:pPr>
            <w: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9</w:t>
            </w:r>
          </w:p>
        </w:tc>
        <w:tc>
          <w:tcPr>
            <w:tcW w:w="1956" w:type="dxa"/>
            <w:vAlign w:val="center"/>
          </w:tcPr>
          <w:p>
            <w:pPr>
              <w:spacing w:line="400" w:lineRule="exact"/>
              <w:jc w:val="center"/>
            </w:pPr>
            <w:r>
              <w:t>上传电子投标文件时间</w:t>
            </w:r>
          </w:p>
        </w:tc>
        <w:tc>
          <w:tcPr>
            <w:tcW w:w="7598" w:type="dxa"/>
            <w:vAlign w:val="center"/>
          </w:tcPr>
          <w:p>
            <w:pPr>
              <w:pStyle w:val="31"/>
              <w:adjustRightInd w:val="0"/>
              <w:snapToGrid w:val="0"/>
              <w:spacing w:line="360" w:lineRule="exact"/>
              <w:ind w:firstLine="480" w:firstLineChars="200"/>
              <w:rPr>
                <w:rFonts w:ascii="Times New Roman" w:hAnsi="Times New Roman" w:cs="Times New Roman"/>
                <w:b/>
              </w:rPr>
            </w:pPr>
            <w:r>
              <w:rPr>
                <w:rFonts w:ascii="Times New Roman" w:hAnsi="Times New Roman" w:cs="Times New Roman"/>
                <w:kern w:val="0"/>
                <w:sz w:val="24"/>
                <w:szCs w:val="24"/>
              </w:rPr>
              <w:t>投标人应在投标截止时间（2022年</w:t>
            </w:r>
            <w:r>
              <w:rPr>
                <w:rFonts w:hint="eastAsia" w:ascii="Times New Roman" w:hAnsi="Times New Roman" w:cs="Times New Roman"/>
                <w:color w:val="FF0000"/>
                <w:sz w:val="24"/>
                <w:szCs w:val="24"/>
                <w:lang w:val="en-US" w:eastAsia="zh-CN"/>
              </w:rPr>
              <w:t>11</w:t>
            </w:r>
            <w:r>
              <w:rPr>
                <w:rFonts w:hint="default" w:ascii="Times New Roman" w:hAnsi="Times New Roman" w:cs="Times New Roman"/>
                <w:color w:val="FF0000"/>
                <w:sz w:val="24"/>
                <w:szCs w:val="24"/>
                <w:lang w:val="en-US" w:eastAsia="zh-CN"/>
              </w:rPr>
              <w:t>月</w:t>
            </w:r>
            <w:r>
              <w:rPr>
                <w:rFonts w:hint="eastAsia" w:ascii="Times New Roman" w:hAnsi="Times New Roman" w:cs="Times New Roman"/>
                <w:color w:val="FF0000"/>
                <w:sz w:val="24"/>
                <w:szCs w:val="24"/>
                <w:lang w:val="en-US" w:eastAsia="zh-CN"/>
              </w:rPr>
              <w:t>17</w:t>
            </w:r>
            <w:r>
              <w:rPr>
                <w:rFonts w:hint="default" w:ascii="Times New Roman" w:hAnsi="Times New Roman" w:cs="Times New Roman"/>
                <w:color w:val="FF0000"/>
                <w:sz w:val="24"/>
                <w:szCs w:val="24"/>
                <w:lang w:val="en-US" w:eastAsia="zh-CN"/>
              </w:rPr>
              <w:t>日</w:t>
            </w:r>
            <w:r>
              <w:rPr>
                <w:rFonts w:ascii="Times New Roman" w:hAnsi="Times New Roman" w:cs="Times New Roman"/>
                <w:kern w:val="0"/>
                <w:sz w:val="24"/>
                <w:szCs w:val="24"/>
              </w:rPr>
              <w:t>09:30）之前上传投标文件，同时，投标人可在投标截止时间前将在“政采云”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ascii="Times New Roman" w:hAnsi="Times New Roman" w:cs="Times New Roman"/>
                <w:b/>
                <w:sz w:val="24"/>
                <w:szCs w:val="24"/>
              </w:rPr>
              <w:t>投标供应商仅递交备份投标文件的，投标无效。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0" w:type="dxa"/>
            <w:vAlign w:val="center"/>
          </w:tcPr>
          <w:p>
            <w:pPr>
              <w:spacing w:line="400" w:lineRule="exact"/>
              <w:jc w:val="center"/>
            </w:pPr>
            <w:r>
              <w:t>10</w:t>
            </w:r>
          </w:p>
        </w:tc>
        <w:tc>
          <w:tcPr>
            <w:tcW w:w="1956" w:type="dxa"/>
            <w:vAlign w:val="center"/>
          </w:tcPr>
          <w:p>
            <w:pPr>
              <w:spacing w:line="400" w:lineRule="exact"/>
              <w:jc w:val="center"/>
            </w:pPr>
            <w:r>
              <w:t>履约保证金</w:t>
            </w:r>
          </w:p>
        </w:tc>
        <w:tc>
          <w:tcPr>
            <w:tcW w:w="7598" w:type="dxa"/>
            <w:vAlign w:val="center"/>
          </w:tcPr>
          <w:p>
            <w:pPr>
              <w:spacing w:line="400" w:lineRule="exact"/>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720" w:type="dxa"/>
            <w:vAlign w:val="center"/>
          </w:tcPr>
          <w:p>
            <w:pPr>
              <w:spacing w:line="400" w:lineRule="exact"/>
              <w:jc w:val="center"/>
            </w:pPr>
            <w:r>
              <w:t>11</w:t>
            </w:r>
          </w:p>
        </w:tc>
        <w:tc>
          <w:tcPr>
            <w:tcW w:w="1956" w:type="dxa"/>
            <w:vAlign w:val="center"/>
          </w:tcPr>
          <w:p>
            <w:pPr>
              <w:spacing w:line="400" w:lineRule="exact"/>
              <w:jc w:val="center"/>
            </w:pPr>
            <w:r>
              <w:t>开标时间、地点及电子投标文件解密</w:t>
            </w:r>
          </w:p>
        </w:tc>
        <w:tc>
          <w:tcPr>
            <w:tcW w:w="7598" w:type="dxa"/>
            <w:vAlign w:val="center"/>
          </w:tcPr>
          <w:p>
            <w:pPr>
              <w:spacing w:line="400" w:lineRule="exact"/>
              <w:ind w:firstLine="480" w:firstLineChars="200"/>
            </w:pPr>
            <w:r>
              <w:t>开标时间：2022年</w:t>
            </w:r>
            <w:r>
              <w:rPr>
                <w:rFonts w:hint="eastAsia" w:cs="Times New Roman"/>
                <w:color w:val="FF0000"/>
                <w:lang w:val="en-US" w:eastAsia="zh-CN"/>
              </w:rPr>
              <w:t>11</w:t>
            </w:r>
            <w:r>
              <w:rPr>
                <w:rFonts w:hint="default" w:ascii="Times New Roman" w:hAnsi="Times New Roman" w:cs="Times New Roman"/>
                <w:color w:val="FF0000"/>
              </w:rPr>
              <w:t>月</w:t>
            </w:r>
            <w:r>
              <w:rPr>
                <w:rFonts w:hint="eastAsia" w:cs="Times New Roman"/>
                <w:color w:val="FF0000"/>
                <w:lang w:val="en-US" w:eastAsia="zh-CN"/>
              </w:rPr>
              <w:t>17</w:t>
            </w:r>
            <w:r>
              <w:rPr>
                <w:rFonts w:hint="default" w:ascii="Times New Roman" w:hAnsi="Times New Roman" w:cs="Times New Roman"/>
                <w:color w:val="FF0000"/>
              </w:rPr>
              <w:t>日</w:t>
            </w:r>
            <w:r>
              <w:t>上午9:30</w:t>
            </w:r>
          </w:p>
          <w:p>
            <w:pPr>
              <w:spacing w:line="400" w:lineRule="exact"/>
              <w:ind w:firstLine="480" w:firstLineChars="200"/>
              <w:rPr>
                <w:szCs w:val="21"/>
              </w:rPr>
            </w:pPr>
            <w:r>
              <w:t>开标地点：</w:t>
            </w:r>
            <w:r>
              <w:rPr>
                <w:szCs w:val="21"/>
              </w:rPr>
              <w:t>“政采云”（</w:t>
            </w:r>
            <w:r>
              <w:fldChar w:fldCharType="begin"/>
            </w:r>
            <w:r>
              <w:instrText xml:space="preserve"> HYPERLINK "https://www.zcygov.cn/" </w:instrText>
            </w:r>
            <w:r>
              <w:fldChar w:fldCharType="separate"/>
            </w:r>
            <w:r>
              <w:rPr>
                <w:rStyle w:val="63"/>
                <w:color w:val="auto"/>
                <w:szCs w:val="21"/>
              </w:rPr>
              <w:t>https://www.zcygov.cn/</w:t>
            </w:r>
            <w:r>
              <w:rPr>
                <w:rStyle w:val="63"/>
                <w:color w:val="auto"/>
                <w:szCs w:val="21"/>
              </w:rPr>
              <w:fldChar w:fldCharType="end"/>
            </w:r>
            <w:r>
              <w:rPr>
                <w:szCs w:val="21"/>
              </w:rPr>
              <w:t>）</w:t>
            </w:r>
          </w:p>
          <w:p>
            <w:pPr>
              <w:snapToGrid w:val="0"/>
              <w:spacing w:line="400" w:lineRule="exact"/>
              <w:ind w:firstLine="470" w:firstLineChars="196"/>
              <w:rPr>
                <w:szCs w:val="21"/>
              </w:rPr>
            </w:pPr>
            <w:r>
              <w:rPr>
                <w:szCs w:val="21"/>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400" w:lineRule="exact"/>
              <w:ind w:firstLine="480" w:firstLineChars="200"/>
            </w:pPr>
            <w:r>
              <w:t>如政采云上投标文件在规定时间内出现解密失败的，投标人可按照自身意愿确认同意提供加密密码，启用备份文件，并由采购中心把备份文件上传至政采云。如投标人未按照规定时间（2022年</w:t>
            </w:r>
            <w:r>
              <w:rPr>
                <w:rFonts w:hint="eastAsia" w:cs="Times New Roman"/>
                <w:color w:val="FF0000"/>
                <w:lang w:val="en-US" w:eastAsia="zh-CN"/>
              </w:rPr>
              <w:t>11</w:t>
            </w:r>
            <w:r>
              <w:rPr>
                <w:rFonts w:hint="default" w:ascii="Times New Roman" w:hAnsi="Times New Roman" w:cs="Times New Roman"/>
                <w:color w:val="FF0000"/>
              </w:rPr>
              <w:t>月</w:t>
            </w:r>
            <w:r>
              <w:rPr>
                <w:rFonts w:hint="eastAsia" w:cs="Times New Roman"/>
                <w:color w:val="FF0000"/>
                <w:lang w:val="en-US" w:eastAsia="zh-CN"/>
              </w:rPr>
              <w:t>17</w:t>
            </w:r>
            <w:r>
              <w:rPr>
                <w:rFonts w:hint="default" w:ascii="Times New Roman" w:hAnsi="Times New Roman" w:cs="Times New Roman"/>
                <w:color w:val="FF0000"/>
              </w:rPr>
              <w:t>日</w:t>
            </w:r>
            <w:r>
              <w:t>上午9:30前）及要求提供有效备份标书，同时政采云上投标文件解密失败的，将导致投标无效。</w:t>
            </w:r>
          </w:p>
          <w:p>
            <w:pPr>
              <w:pStyle w:val="31"/>
              <w:adjustRightInd w:val="0"/>
              <w:snapToGrid w:val="0"/>
              <w:spacing w:line="360" w:lineRule="exact"/>
              <w:ind w:firstLine="480" w:firstLineChars="200"/>
              <w:rPr>
                <w:rFonts w:ascii="Times New Roman" w:hAnsi="Times New Roman" w:cs="Times New Roman"/>
                <w:b/>
              </w:rPr>
            </w:pPr>
            <w:r>
              <w:rPr>
                <w:rFonts w:ascii="Times New Roman" w:hAnsi="Times New Roman" w:cs="Times New Roman"/>
                <w:kern w:val="0"/>
                <w:sz w:val="24"/>
                <w:szCs w:val="24"/>
              </w:rPr>
              <w:t>如果投标人发送两份以上备份文件的，以最后收到的那一份为准，</w:t>
            </w:r>
            <w:r>
              <w:rPr>
                <w:rFonts w:ascii="Times New Roman" w:hAnsi="Times New Roman" w:cs="Times New Roman"/>
                <w:sz w:val="24"/>
                <w:szCs w:val="24"/>
              </w:rPr>
              <w:t>通过</w:t>
            </w:r>
            <w:r>
              <w:rPr>
                <w:rFonts w:ascii="Times New Roman" w:hAnsi="Times New Roman" w:cs="Times New Roman"/>
                <w:kern w:val="0"/>
                <w:sz w:val="24"/>
                <w:szCs w:val="24"/>
              </w:rPr>
              <w:t>“政采云”</w:t>
            </w:r>
            <w:r>
              <w:rPr>
                <w:rFonts w:ascii="Times New Roman" w:hAnsi="Times New Roman" w:cs="Times New Roman"/>
                <w:sz w:val="24"/>
                <w:szCs w:val="24"/>
              </w:rPr>
              <w:t>上传递交的“加密投标文件”已按时解密的，“备份投标文件”自动失效。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12</w:t>
            </w:r>
          </w:p>
        </w:tc>
        <w:tc>
          <w:tcPr>
            <w:tcW w:w="1956" w:type="dxa"/>
            <w:vAlign w:val="center"/>
          </w:tcPr>
          <w:p>
            <w:pPr>
              <w:spacing w:line="400" w:lineRule="exact"/>
              <w:jc w:val="center"/>
            </w:pPr>
            <w:r>
              <w:t>评标办法</w:t>
            </w:r>
          </w:p>
        </w:tc>
        <w:tc>
          <w:tcPr>
            <w:tcW w:w="7598" w:type="dxa"/>
            <w:vAlign w:val="center"/>
          </w:tcPr>
          <w:p>
            <w:pPr>
              <w:spacing w:line="400" w:lineRule="exact"/>
            </w:pPr>
            <w: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pPr>
            <w:r>
              <w:t>13</w:t>
            </w:r>
          </w:p>
        </w:tc>
        <w:tc>
          <w:tcPr>
            <w:tcW w:w="1956" w:type="dxa"/>
            <w:vAlign w:val="center"/>
          </w:tcPr>
          <w:p>
            <w:pPr>
              <w:spacing w:line="400" w:lineRule="exact"/>
              <w:jc w:val="center"/>
            </w:pPr>
            <w:r>
              <w:t>付款方式</w:t>
            </w:r>
          </w:p>
        </w:tc>
        <w:tc>
          <w:tcPr>
            <w:tcW w:w="7598" w:type="dxa"/>
            <w:vAlign w:val="center"/>
          </w:tcPr>
          <w:p>
            <w:pPr>
              <w:spacing w:line="400" w:lineRule="exact"/>
              <w:rPr>
                <w:spacing w:val="-8"/>
              </w:rPr>
            </w:pPr>
            <w:r>
              <w:rPr>
                <w:spacing w:val="-8"/>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pPr>
            <w:r>
              <w:t>14</w:t>
            </w:r>
          </w:p>
        </w:tc>
        <w:tc>
          <w:tcPr>
            <w:tcW w:w="1956" w:type="dxa"/>
            <w:vAlign w:val="center"/>
          </w:tcPr>
          <w:p>
            <w:pPr>
              <w:snapToGrid w:val="0"/>
              <w:spacing w:line="360" w:lineRule="exact"/>
              <w:jc w:val="center"/>
            </w:pPr>
            <w:r>
              <w:t>不良行为记录</w:t>
            </w:r>
          </w:p>
        </w:tc>
        <w:tc>
          <w:tcPr>
            <w:tcW w:w="7598" w:type="dxa"/>
            <w:vAlign w:val="center"/>
          </w:tcPr>
          <w:p>
            <w:pPr>
              <w:spacing w:line="360" w:lineRule="exact"/>
              <w:ind w:firstLine="480" w:firstLineChars="200"/>
            </w:pPr>
            <w:r>
              <w:rPr>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t>或被“信用中国”（www.creditchina.gov.cn）、中国政府采购网（www.ccgp.gov.cn）列入失信被执行人、重大税收违法案件当事人名单、政府采购严重违法失信行为记录名单的，其投标将作无效标处理。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pPr>
            <w:r>
              <w:t>15</w:t>
            </w:r>
          </w:p>
        </w:tc>
        <w:tc>
          <w:tcPr>
            <w:tcW w:w="1956" w:type="dxa"/>
            <w:vAlign w:val="center"/>
          </w:tcPr>
          <w:p>
            <w:pPr>
              <w:snapToGrid w:val="0"/>
              <w:spacing w:line="360" w:lineRule="exact"/>
            </w:pPr>
            <w:r>
              <w:t>政府采购节能环保产品</w:t>
            </w:r>
          </w:p>
        </w:tc>
        <w:tc>
          <w:tcPr>
            <w:tcW w:w="7598" w:type="dxa"/>
            <w:vAlign w:val="center"/>
          </w:tcPr>
          <w:p>
            <w:r>
              <w:t>1、根据财政部、发展改革委、生态环境部、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w:t>
            </w:r>
            <w:r>
              <w:br w:type="textWrapping"/>
            </w:r>
            <w:r>
              <w:t xml:space="preserve">中可查询到。 </w:t>
            </w:r>
          </w:p>
          <w:p>
            <w:pPr>
              <w:snapToGrid w:val="0"/>
            </w:pPr>
            <w:r>
              <w:rPr>
                <w:bCs/>
              </w:rPr>
              <w:t>★2、招标需求中要求提供的产品属于节能产品</w:t>
            </w:r>
            <w:r>
              <w:t>政府采购品目</w:t>
            </w:r>
            <w:r>
              <w:rPr>
                <w:bCs/>
              </w:rPr>
              <w:t>清单中强制采购的，</w:t>
            </w:r>
            <w:r>
              <w:t>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pPr>
            <w:r>
              <w:t>16</w:t>
            </w:r>
          </w:p>
        </w:tc>
        <w:tc>
          <w:tcPr>
            <w:tcW w:w="1956" w:type="dxa"/>
            <w:vAlign w:val="center"/>
          </w:tcPr>
          <w:p>
            <w:pPr>
              <w:snapToGrid w:val="0"/>
              <w:spacing w:line="360" w:lineRule="exact"/>
            </w:pPr>
            <w:r>
              <w:t>中小微企业有关政策</w:t>
            </w:r>
          </w:p>
        </w:tc>
        <w:tc>
          <w:tcPr>
            <w:tcW w:w="7598" w:type="dxa"/>
            <w:vAlign w:val="center"/>
          </w:tcPr>
          <w:p>
            <w:pPr>
              <w:numPr>
                <w:ilvl w:val="0"/>
                <w:numId w:val="0"/>
              </w:numPr>
              <w:rPr>
                <w:rFonts w:hint="eastAsia"/>
                <w:highlight w:val="none"/>
                <w:lang w:val="en-US" w:eastAsia="zh-CN"/>
              </w:rPr>
            </w:pPr>
            <w:r>
              <w:rPr>
                <w:rFonts w:hint="eastAsia"/>
                <w:highlight w:val="none"/>
                <w:lang w:val="en-US" w:eastAsia="zh-CN"/>
              </w:rPr>
              <w:t>1.</w:t>
            </w:r>
            <w:r>
              <w:rPr>
                <w:highlight w:val="none"/>
              </w:rPr>
              <w:t>根据财库[2020]46号《政府采购促进中小企业发展管理办法》</w:t>
            </w:r>
            <w:r>
              <w:rPr>
                <w:rFonts w:hint="eastAsia"/>
                <w:highlight w:val="none"/>
              </w:rPr>
              <w:t>和浙财采监[2022]3号《浙江省财政厅关于进一步发挥政府采购政策功能全力推动经济稳进提质的通知》</w:t>
            </w:r>
            <w:r>
              <w:rPr>
                <w:rFonts w:hint="eastAsia" w:hAnsi="宋体"/>
                <w:kern w:val="0"/>
                <w:sz w:val="24"/>
                <w:szCs w:val="24"/>
              </w:rPr>
              <w:t>、浙财采监〔2022〕8号《浙江省财政厅关于进一步加大政府采购支持中小企业力度 助力扎实稳住经济的通知》</w:t>
            </w:r>
            <w:r>
              <w:rPr>
                <w:rFonts w:hint="eastAsia"/>
                <w:highlight w:val="none"/>
              </w:rPr>
              <w:t>的</w:t>
            </w:r>
            <w:r>
              <w:rPr>
                <w:highlight w:val="none"/>
              </w:rPr>
              <w:t>相关规定，</w:t>
            </w:r>
            <w:r>
              <w:rPr>
                <w:rFonts w:hint="eastAsia"/>
              </w:rPr>
              <w:t>未预留份额专门面向中小企业采购的采购项目，以及预留份额项目中的非预留部分标段，在评审时对符合该办法规定的小微企业的投标报价给予</w:t>
            </w:r>
            <w:r>
              <w:t>20%</w:t>
            </w:r>
            <w:r>
              <w:rPr>
                <w:rFonts w:hint="eastAsia"/>
              </w:rPr>
              <w:t>的扣除，取扣除后的价格作为评审投标报价（此评</w:t>
            </w:r>
            <w:r>
              <w:rPr>
                <w:rFonts w:hint="eastAsia"/>
                <w:highlight w:val="none"/>
                <w:lang w:val="en-US" w:eastAsia="zh-CN"/>
              </w:rPr>
              <w:t>审投标报价仅在评标时使用）。享受相关中小企业扶持政策的投标人，必须在投标文件中提供《中小企业声明函》。</w:t>
            </w:r>
          </w:p>
          <w:p>
            <w:pPr>
              <w:snapToGrid w:val="0"/>
              <w:spacing w:line="360" w:lineRule="exact"/>
              <w:rPr>
                <w:rFonts w:hint="eastAsia"/>
                <w:highlight w:val="none"/>
                <w:lang w:val="en-US" w:eastAsia="zh-CN"/>
              </w:rPr>
            </w:pPr>
            <w:r>
              <w:rPr>
                <w:rFonts w:hint="eastAsia"/>
                <w:highlight w:val="none"/>
                <w:lang w:val="en-US" w:eastAsia="zh-CN"/>
              </w:rPr>
              <w:t>2.</w:t>
            </w:r>
            <w:r>
              <w:rPr>
                <w:rFonts w:hint="eastAsia"/>
                <w:color w:val="auto"/>
                <w:highlight w:val="none"/>
                <w:lang w:val="en-US" w:eastAsia="zh-CN"/>
              </w:rPr>
              <w:t>接受大中型企业与小微企业组成联合体的采购项目，对于联合协议约定小微企业的合同份额占到合同总金额30%以上的，对联合体的报价给予 6 %的扣除，用扣除后的价格参加评审。</w:t>
            </w:r>
          </w:p>
          <w:p>
            <w:r>
              <w:rPr>
                <w:rFonts w:hint="eastAsia"/>
                <w:lang w:val="en-US" w:eastAsia="zh-CN"/>
              </w:rPr>
              <w:t>3</w:t>
            </w:r>
            <w: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
              <w:rPr>
                <w:rFonts w:hint="eastAsia"/>
                <w:lang w:val="en-US" w:eastAsia="zh-CN"/>
              </w:rPr>
              <w:t>4</w:t>
            </w:r>
            <w:r>
              <w:t>.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r>
              <w:rPr>
                <w:rFonts w:hint="eastAsia"/>
                <w:lang w:val="en-US" w:eastAsia="zh-CN"/>
              </w:rPr>
              <w:t>5</w:t>
            </w:r>
            <w:r>
              <w:t>.同一投标人，小微企业、监狱企业、残疾人福利性单位价格扣除优惠只享受一次，不得重复享受。</w:t>
            </w:r>
          </w:p>
          <w:p>
            <w:pPr>
              <w:rPr>
                <w:rFonts w:hint="eastAsia" w:ascii="Times New Roman" w:hAnsi="Times New Roman" w:cs="Times New Roman"/>
                <w:highlight w:val="yellow"/>
              </w:rPr>
            </w:pPr>
            <w:r>
              <w:rPr>
                <w:rFonts w:hint="eastAsia" w:cs="Times New Roman"/>
                <w:highlight w:val="none"/>
                <w:lang w:val="en-US" w:eastAsia="zh-CN"/>
              </w:rPr>
              <w:t>6</w:t>
            </w:r>
            <w:r>
              <w:rPr>
                <w:rFonts w:hint="eastAsia" w:ascii="Times New Roman" w:hAnsi="Times New Roman" w:cs="Times New Roman"/>
                <w:highlight w:val="none"/>
              </w:rPr>
              <w:t>.本项目采购标的所属行业为：</w:t>
            </w:r>
            <w:r>
              <w:rPr>
                <w:color w:val="FF0000"/>
                <w:sz w:val="24"/>
                <w:highlight w:val="none"/>
              </w:rPr>
              <w:t>软件和信息技术服务业</w:t>
            </w:r>
            <w:r>
              <w:rPr>
                <w:rFonts w:hint="eastAsia" w:ascii="Times New Roman" w:hAnsi="Times New Roman" w:cs="Times New Roman"/>
                <w:highlight w:val="none"/>
              </w:rPr>
              <w:t>。</w:t>
            </w:r>
          </w:p>
          <w:p>
            <w:pPr>
              <w:snapToGrid w:val="0"/>
              <w:spacing w:line="360" w:lineRule="exact"/>
              <w:rPr>
                <w:b/>
                <w:bCs/>
              </w:rPr>
            </w:pPr>
            <w: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ascii="宋体" w:hAnsi="宋体" w:eastAsia="宋体" w:cs="Times New Roman"/>
                <w:sz w:val="24"/>
                <w:szCs w:val="24"/>
                <w:highlight w:val="yellow"/>
                <w:lang w:val="en-US" w:eastAsia="zh-CN" w:bidi="ar-SA"/>
              </w:rPr>
            </w:pPr>
            <w:r>
              <w:rPr>
                <w:rFonts w:hint="eastAsia"/>
              </w:rPr>
              <w:t>17</w:t>
            </w:r>
          </w:p>
        </w:tc>
        <w:tc>
          <w:tcPr>
            <w:tcW w:w="1956" w:type="dxa"/>
            <w:vAlign w:val="center"/>
          </w:tcPr>
          <w:p>
            <w:pPr>
              <w:rPr>
                <w:rFonts w:hint="eastAsia"/>
                <w:lang w:val="en-US" w:eastAsia="zh-CN"/>
              </w:rPr>
            </w:pPr>
            <w:r>
              <w:rPr>
                <w:rFonts w:hint="eastAsia"/>
              </w:rPr>
              <w:t>是否接受进口产品参与投标</w:t>
            </w:r>
          </w:p>
        </w:tc>
        <w:tc>
          <w:tcPr>
            <w:tcW w:w="7598" w:type="dxa"/>
            <w:vAlign w:val="center"/>
          </w:tcPr>
          <w:p>
            <w:pPr>
              <w:rPr>
                <w:lang w:val="en-US" w:eastAsia="zh-CN"/>
              </w:rPr>
            </w:pPr>
            <w:r>
              <w:rPr>
                <w:rFonts w:hint="eastAsia"/>
                <w:color w:val="FF0000"/>
              </w:rPr>
              <w:t>本项目不允许采购进口产品。</w:t>
            </w:r>
            <w:r>
              <w:rPr>
                <w:rFonts w:hint="eastAsia"/>
                <w:lang w:val="en-US" w:eastAsia="zh-CN"/>
              </w:rPr>
              <w:t>详见投标须知7.1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eastAsia" w:ascii="Times New Roman" w:hAnsi="Times New Roman" w:eastAsia="宋体" w:cs="Times New Roman"/>
                <w:sz w:val="24"/>
                <w:szCs w:val="24"/>
                <w:lang w:val="en-US" w:eastAsia="zh-CN" w:bidi="ar-SA"/>
              </w:rPr>
            </w:pPr>
            <w:r>
              <w:t>1</w:t>
            </w:r>
            <w:r>
              <w:rPr>
                <w:rFonts w:hint="eastAsia"/>
                <w:lang w:val="en-US" w:eastAsia="zh-CN"/>
              </w:rPr>
              <w:t>8</w:t>
            </w:r>
          </w:p>
        </w:tc>
        <w:tc>
          <w:tcPr>
            <w:tcW w:w="1956" w:type="dxa"/>
            <w:vAlign w:val="center"/>
          </w:tcPr>
          <w:p>
            <w:pPr>
              <w:snapToGrid w:val="0"/>
              <w:spacing w:line="360" w:lineRule="exact"/>
              <w:rPr>
                <w:rFonts w:ascii="Times New Roman" w:hAnsi="Times New Roman" w:eastAsia="宋体" w:cs="Times New Roman"/>
                <w:sz w:val="24"/>
                <w:szCs w:val="24"/>
                <w:lang w:val="en-US" w:eastAsia="zh-CN" w:bidi="ar-SA"/>
              </w:rPr>
            </w:pPr>
            <w:r>
              <w:t>政采贷</w:t>
            </w:r>
          </w:p>
        </w:tc>
        <w:tc>
          <w:tcPr>
            <w:tcW w:w="7598" w:type="dxa"/>
            <w:vAlign w:val="center"/>
          </w:tcPr>
          <w:p>
            <w:pPr>
              <w:snapToGrid w:val="0"/>
              <w:spacing w:line="360" w:lineRule="exact"/>
              <w:ind w:firstLine="480" w:firstLineChars="200"/>
              <w:rPr>
                <w:rFonts w:ascii="Times New Roman" w:hAnsi="Times New Roman" w:eastAsia="宋体" w:cs="Times New Roman"/>
                <w:sz w:val="24"/>
                <w:szCs w:val="24"/>
                <w:lang w:val="en-US" w:eastAsia="zh-CN" w:bidi="ar-SA"/>
              </w:rPr>
            </w:pPr>
            <w:r>
              <w:t>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eastAsia" w:eastAsia="宋体"/>
                <w:lang w:eastAsia="zh-CN"/>
              </w:rPr>
            </w:pPr>
            <w:r>
              <w:t>1</w:t>
            </w:r>
            <w:r>
              <w:rPr>
                <w:rFonts w:hint="eastAsia"/>
                <w:lang w:val="en-US" w:eastAsia="zh-CN"/>
              </w:rPr>
              <w:t>9</w:t>
            </w:r>
          </w:p>
        </w:tc>
        <w:tc>
          <w:tcPr>
            <w:tcW w:w="1956" w:type="dxa"/>
            <w:vAlign w:val="center"/>
          </w:tcPr>
          <w:p>
            <w:pPr>
              <w:snapToGrid w:val="0"/>
              <w:spacing w:line="360" w:lineRule="exact"/>
            </w:pPr>
            <w:r>
              <w:t>失信行为处理</w:t>
            </w:r>
          </w:p>
        </w:tc>
        <w:tc>
          <w:tcPr>
            <w:tcW w:w="7598" w:type="dxa"/>
            <w:vAlign w:val="center"/>
          </w:tcPr>
          <w:p>
            <w:pPr>
              <w:snapToGrid w:val="0"/>
              <w:spacing w:line="360" w:lineRule="exact"/>
            </w:pPr>
            <w:r>
              <w:t>投标人发生下列情况之一时，除严格依法依规进行处理外，还将通报市信用管理部门，列入严重失信名单：</w:t>
            </w:r>
          </w:p>
          <w:p>
            <w:pPr>
              <w:snapToGrid w:val="0"/>
              <w:spacing w:line="360" w:lineRule="exact"/>
            </w:pPr>
            <w:r>
              <w:t>（1）投标人在规定的投标有效期内撤回投标或放弃中标的；</w:t>
            </w:r>
          </w:p>
          <w:p>
            <w:pPr>
              <w:snapToGrid w:val="0"/>
              <w:spacing w:line="360" w:lineRule="exact"/>
            </w:pPr>
            <w:r>
              <w:t>（2）有意串标或提供虚假材料的；</w:t>
            </w:r>
          </w:p>
          <w:p>
            <w:pPr>
              <w:snapToGrid w:val="0"/>
              <w:spacing w:line="360" w:lineRule="exact"/>
            </w:pPr>
            <w:r>
              <w:t>（3）中标人在收到中标通知书后，因自身原因不能在投标有效期内和采购人签订合同。</w:t>
            </w:r>
          </w:p>
          <w:p>
            <w:pPr>
              <w:snapToGrid w:val="0"/>
              <w:spacing w:line="360" w:lineRule="exact"/>
            </w:pPr>
            <w:r>
              <w:t>（4）中标供应商在标后履约过程中未按合同约定的期限和要求履约的。</w:t>
            </w:r>
          </w:p>
          <w:p>
            <w:pPr>
              <w:snapToGrid w:val="0"/>
              <w:spacing w:line="360" w:lineRule="exact"/>
            </w:pPr>
            <w:r>
              <w:t>（5）因中标供应商原因在标后履约过程中擅自终止合同的。</w:t>
            </w:r>
          </w:p>
          <w:p>
            <w:pPr>
              <w:snapToGrid w:val="0"/>
              <w:spacing w:line="360" w:lineRule="exact"/>
            </w:pPr>
            <w:r>
              <w:t>（6）不符合招标文件要求的其他失信行为。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default" w:eastAsia="宋体"/>
                <w:lang w:val="en-US" w:eastAsia="zh-CN"/>
              </w:rPr>
            </w:pPr>
            <w:r>
              <w:rPr>
                <w:rFonts w:hint="eastAsia"/>
                <w:lang w:val="en-US" w:eastAsia="zh-CN"/>
              </w:rPr>
              <w:t>20</w:t>
            </w:r>
          </w:p>
        </w:tc>
        <w:tc>
          <w:tcPr>
            <w:tcW w:w="1956" w:type="dxa"/>
            <w:vAlign w:val="center"/>
          </w:tcPr>
          <w:p>
            <w:pPr>
              <w:spacing w:line="400" w:lineRule="exact"/>
              <w:jc w:val="center"/>
            </w:pPr>
            <w:r>
              <w:t>质疑与投诉：</w:t>
            </w:r>
          </w:p>
        </w:tc>
        <w:tc>
          <w:tcPr>
            <w:tcW w:w="7598" w:type="dxa"/>
            <w:vAlign w:val="center"/>
          </w:tcPr>
          <w:p>
            <w:pPr>
              <w:pStyle w:val="31"/>
              <w:spacing w:line="360" w:lineRule="exact"/>
              <w:rPr>
                <w:rFonts w:ascii="Times New Roman" w:hAnsi="Times New Roman" w:cs="Times New Roman"/>
                <w:kern w:val="0"/>
                <w:sz w:val="24"/>
              </w:rPr>
            </w:pPr>
            <w:r>
              <w:rPr>
                <w:rFonts w:ascii="Times New Roman" w:hAnsi="Times New Roman" w:cs="Times New Roman"/>
                <w:kern w:val="0"/>
                <w:sz w:val="24"/>
              </w:rPr>
              <w:t>1.供应商认为采购文件、采购过程、中标结果使自己的权益受到损害的，可以在知道或者应知其权益受到损害之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
              <w:spacing w:after="0" w:line="360" w:lineRule="exact"/>
              <w:ind w:left="0" w:leftChars="0" w:firstLine="0" w:firstLineChars="0"/>
            </w:pPr>
            <w:r>
              <w:t>2.供应商应在法定质疑期内一次性提出针对同一采购程序环节的质疑。</w:t>
            </w:r>
          </w:p>
          <w:p>
            <w:pPr>
              <w:pStyle w:val="2"/>
              <w:spacing w:after="0" w:line="360" w:lineRule="exact"/>
              <w:ind w:left="0" w:leftChars="0" w:firstLine="0" w:firstLineChars="0"/>
            </w:pPr>
            <w:r>
              <w:t>3.提出质疑的供应商应当是参与所质疑项目采购活动的供应商。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eastAsia" w:eastAsia="宋体"/>
                <w:lang w:eastAsia="zh-CN"/>
              </w:rPr>
            </w:pPr>
            <w:r>
              <w:t>2</w:t>
            </w:r>
            <w:r>
              <w:rPr>
                <w:rFonts w:hint="eastAsia"/>
                <w:lang w:val="en-US" w:eastAsia="zh-CN"/>
              </w:rPr>
              <w:t>1</w:t>
            </w:r>
          </w:p>
        </w:tc>
        <w:tc>
          <w:tcPr>
            <w:tcW w:w="1956" w:type="dxa"/>
            <w:vAlign w:val="center"/>
          </w:tcPr>
          <w:p>
            <w:pPr>
              <w:spacing w:line="400" w:lineRule="exact"/>
              <w:jc w:val="center"/>
            </w:pPr>
            <w:r>
              <w:t>其他</w:t>
            </w:r>
          </w:p>
        </w:tc>
        <w:tc>
          <w:tcPr>
            <w:tcW w:w="7598" w:type="dxa"/>
            <w:vAlign w:val="center"/>
          </w:tcPr>
          <w:p>
            <w:pPr>
              <w:spacing w:line="400" w:lineRule="exact"/>
            </w:pPr>
            <w:r>
              <w:rPr>
                <w:bCs/>
              </w:rPr>
              <w:t>1.</w:t>
            </w:r>
            <w:r>
              <w:t>投标报价超过预算价或最高限价的，其投标为无效标。</w:t>
            </w:r>
          </w:p>
          <w:p>
            <w:pPr>
              <w:spacing w:line="400" w:lineRule="exact"/>
            </w:pPr>
            <w:r>
              <w:t>2</w:t>
            </w:r>
            <w:r>
              <w:rPr>
                <w:b/>
                <w:bCs/>
              </w:rPr>
              <w:t>.</w:t>
            </w:r>
            <w:r>
              <w:t>招标文件中要求投标人在制作投标文件时，提供的证明文件件必须根据评审细则对评审的内容要求完整、清晰可辨，否则在评审时以最不利于投标人原则评审。</w:t>
            </w:r>
          </w:p>
        </w:tc>
      </w:tr>
    </w:tbl>
    <w:p>
      <w:pPr>
        <w:spacing w:line="360" w:lineRule="auto"/>
        <w:jc w:val="center"/>
        <w:rPr>
          <w:sz w:val="36"/>
          <w:szCs w:val="36"/>
        </w:rPr>
      </w:pPr>
      <w:r>
        <w:rPr>
          <w:b/>
        </w:rPr>
        <w:t>注：投标人须知前附表内容与本招标文件后述内容不一致的，以投标须知前附表为准。</w:t>
      </w:r>
      <w:bookmarkStart w:id="10" w:name="_Toc274303228"/>
      <w:bookmarkStart w:id="11" w:name="_Toc362250686"/>
      <w:r>
        <w:rPr>
          <w:sz w:val="36"/>
          <w:szCs w:val="36"/>
        </w:rPr>
        <w:br w:type="page"/>
      </w:r>
      <w:bookmarkStart w:id="12" w:name="_Toc406413927"/>
      <w:r>
        <w:rPr>
          <w:b/>
          <w:sz w:val="32"/>
          <w:szCs w:val="32"/>
        </w:rPr>
        <w:t>投标须知</w:t>
      </w:r>
      <w:bookmarkEnd w:id="10"/>
      <w:bookmarkEnd w:id="11"/>
      <w:bookmarkEnd w:id="12"/>
    </w:p>
    <w:p>
      <w:pPr>
        <w:pStyle w:val="6"/>
        <w:spacing w:before="0" w:after="0" w:line="240" w:lineRule="exact"/>
        <w:rPr>
          <w:rFonts w:ascii="Times New Roman" w:hAnsi="Times New Roman" w:eastAsia="宋体"/>
          <w:sz w:val="24"/>
          <w:szCs w:val="24"/>
        </w:rPr>
      </w:pPr>
      <w:bookmarkStart w:id="13" w:name="_Toc1189"/>
      <w:bookmarkStart w:id="14" w:name="_Toc274303229"/>
      <w:bookmarkStart w:id="15" w:name="_Toc406413928"/>
      <w:bookmarkStart w:id="16" w:name="_Toc362250687"/>
      <w:r>
        <w:rPr>
          <w:rFonts w:ascii="Times New Roman" w:hAnsi="Times New Roman" w:eastAsia="宋体"/>
          <w:sz w:val="24"/>
          <w:szCs w:val="24"/>
        </w:rPr>
        <w:t>一、说明</w:t>
      </w:r>
      <w:bookmarkEnd w:id="13"/>
      <w:bookmarkEnd w:id="14"/>
      <w:bookmarkEnd w:id="15"/>
      <w:bookmarkEnd w:id="16"/>
    </w:p>
    <w:p>
      <w:pPr>
        <w:pStyle w:val="24"/>
        <w:adjustRightInd w:val="0"/>
        <w:snapToGrid w:val="0"/>
        <w:spacing w:line="400" w:lineRule="exact"/>
        <w:ind w:firstLine="482" w:firstLineChars="200"/>
        <w:jc w:val="both"/>
        <w:rPr>
          <w:rFonts w:ascii="Times New Roman" w:hAnsi="Times New Roman"/>
          <w:color w:val="auto"/>
          <w:sz w:val="24"/>
          <w:szCs w:val="24"/>
        </w:rPr>
      </w:pPr>
      <w:r>
        <w:rPr>
          <w:rFonts w:ascii="Times New Roman" w:hAnsi="Times New Roman"/>
          <w:color w:val="auto"/>
          <w:sz w:val="24"/>
          <w:szCs w:val="24"/>
        </w:rPr>
        <w:t>1.适用范围</w:t>
      </w:r>
    </w:p>
    <w:p>
      <w:pPr>
        <w:pStyle w:val="24"/>
        <w:adjustRightInd w:val="0"/>
        <w:snapToGrid w:val="0"/>
        <w:spacing w:line="400" w:lineRule="exact"/>
        <w:ind w:firstLine="480" w:firstLineChars="200"/>
        <w:jc w:val="both"/>
        <w:rPr>
          <w:rFonts w:ascii="Times New Roman" w:hAnsi="Times New Roman"/>
          <w:b w:val="0"/>
          <w:bCs w:val="0"/>
          <w:color w:val="auto"/>
          <w:sz w:val="24"/>
          <w:szCs w:val="24"/>
        </w:rPr>
      </w:pPr>
      <w:r>
        <w:rPr>
          <w:rFonts w:ascii="Times New Roman" w:hAnsi="Times New Roman"/>
          <w:b w:val="0"/>
          <w:bCs w:val="0"/>
          <w:color w:val="auto"/>
          <w:sz w:val="24"/>
          <w:szCs w:val="24"/>
        </w:rPr>
        <w:t>1.1本招标文件仅适用于本次招标采购所叙述的货物和服务项目。</w:t>
      </w:r>
    </w:p>
    <w:p>
      <w:pPr>
        <w:pStyle w:val="24"/>
        <w:adjustRightInd w:val="0"/>
        <w:snapToGrid w:val="0"/>
        <w:spacing w:line="400" w:lineRule="exact"/>
        <w:ind w:firstLine="482" w:firstLineChars="200"/>
        <w:jc w:val="both"/>
        <w:rPr>
          <w:rFonts w:ascii="Times New Roman" w:hAnsi="Times New Roman"/>
          <w:color w:val="auto"/>
          <w:sz w:val="24"/>
          <w:szCs w:val="24"/>
        </w:rPr>
      </w:pPr>
      <w:r>
        <w:rPr>
          <w:rFonts w:ascii="Times New Roman" w:hAnsi="Times New Roman"/>
          <w:color w:val="auto"/>
          <w:sz w:val="24"/>
          <w:szCs w:val="24"/>
        </w:rPr>
        <w:t>2.定义</w:t>
      </w:r>
    </w:p>
    <w:p>
      <w:pPr>
        <w:pStyle w:val="31"/>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2.1招标方：系指的是采购人和采购代理机构</w:t>
      </w:r>
    </w:p>
    <w:p>
      <w:pPr>
        <w:pStyle w:val="31"/>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2.2采购人：</w:t>
      </w:r>
      <w:r>
        <w:rPr>
          <w:rFonts w:ascii="Times New Roman" w:hAnsi="Times New Roman" w:cs="Times New Roman"/>
          <w:sz w:val="24"/>
        </w:rPr>
        <w:t>系指的是</w:t>
      </w:r>
      <w:r>
        <w:rPr>
          <w:rFonts w:ascii="Times New Roman" w:hAnsi="Times New Roman" w:cs="Times New Roman"/>
          <w:color w:val="FF0000"/>
          <w:sz w:val="24"/>
        </w:rPr>
        <w:t>义乌市数据管理中心</w:t>
      </w:r>
    </w:p>
    <w:p>
      <w:pPr>
        <w:pStyle w:val="31"/>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采购（招标）代理机构：系指义乌市政府采购中心。</w:t>
      </w:r>
    </w:p>
    <w:p>
      <w:pPr>
        <w:pStyle w:val="31"/>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2.3投标人：系指响应招标、参加投标竞争的供应商。</w:t>
      </w:r>
    </w:p>
    <w:p>
      <w:pPr>
        <w:pStyle w:val="24"/>
        <w:adjustRightInd w:val="0"/>
        <w:snapToGrid w:val="0"/>
        <w:spacing w:line="400" w:lineRule="exact"/>
        <w:ind w:firstLine="480" w:firstLineChars="200"/>
        <w:jc w:val="both"/>
        <w:rPr>
          <w:rFonts w:ascii="Times New Roman" w:hAnsi="Times New Roman"/>
          <w:b w:val="0"/>
          <w:bCs w:val="0"/>
          <w:color w:val="auto"/>
          <w:sz w:val="24"/>
          <w:szCs w:val="24"/>
        </w:rPr>
      </w:pPr>
      <w:r>
        <w:rPr>
          <w:rFonts w:ascii="Times New Roman" w:hAnsi="Times New Roman"/>
          <w:b w:val="0"/>
          <w:bCs w:val="0"/>
          <w:color w:val="auto"/>
          <w:sz w:val="24"/>
          <w:szCs w:val="24"/>
        </w:rPr>
        <w:t>2.4服务：系指</w:t>
      </w:r>
      <w:r>
        <w:rPr>
          <w:rFonts w:ascii="Times New Roman" w:hAnsi="Times New Roman"/>
          <w:b w:val="0"/>
          <w:color w:val="auto"/>
          <w:sz w:val="24"/>
          <w:szCs w:val="24"/>
        </w:rPr>
        <w:t>招标文件规定投标人须承担的劳务及其它类似的服务</w:t>
      </w:r>
      <w:r>
        <w:rPr>
          <w:rFonts w:ascii="Times New Roman" w:hAnsi="Times New Roman"/>
          <w:b w:val="0"/>
          <w:bCs w:val="0"/>
          <w:color w:val="auto"/>
          <w:sz w:val="24"/>
          <w:szCs w:val="24"/>
        </w:rPr>
        <w:t>。</w:t>
      </w:r>
    </w:p>
    <w:p>
      <w:pPr>
        <w:pStyle w:val="35"/>
        <w:adjustRightInd w:val="0"/>
        <w:snapToGrid w:val="0"/>
        <w:spacing w:line="400" w:lineRule="exact"/>
        <w:ind w:firstLineChars="200"/>
        <w:rPr>
          <w:rFonts w:hint="default" w:ascii="Times New Roman" w:eastAsia="宋体"/>
          <w:szCs w:val="24"/>
        </w:rPr>
      </w:pPr>
      <w:r>
        <w:rPr>
          <w:rFonts w:hint="default" w:ascii="Times New Roman" w:eastAsia="宋体"/>
          <w:szCs w:val="24"/>
        </w:rPr>
        <w:t>2.5货物：系指按招标文件规定投标人须向采购人提供的设备及附件等。</w:t>
      </w:r>
    </w:p>
    <w:p>
      <w:pPr>
        <w:pStyle w:val="24"/>
        <w:spacing w:line="400" w:lineRule="exact"/>
        <w:ind w:firstLine="480" w:firstLineChars="200"/>
        <w:jc w:val="both"/>
        <w:rPr>
          <w:rFonts w:ascii="Times New Roman" w:hAnsi="Times New Roman"/>
          <w:b w:val="0"/>
          <w:color w:val="auto"/>
          <w:sz w:val="24"/>
          <w:szCs w:val="24"/>
        </w:rPr>
      </w:pPr>
      <w:r>
        <w:rPr>
          <w:rFonts w:ascii="Times New Roman" w:hAnsi="Times New Roman"/>
          <w:b w:val="0"/>
          <w:color w:val="auto"/>
          <w:sz w:val="24"/>
          <w:szCs w:val="24"/>
        </w:rPr>
        <w:t>2.6需方：即采购人，在招投标阶段称为采购人，在签订和执行合同阶段称为需方。</w:t>
      </w:r>
    </w:p>
    <w:p>
      <w:pPr>
        <w:pStyle w:val="24"/>
        <w:spacing w:line="400" w:lineRule="exact"/>
        <w:ind w:firstLine="480" w:firstLineChars="200"/>
        <w:jc w:val="both"/>
        <w:rPr>
          <w:rFonts w:ascii="Times New Roman" w:hAnsi="Times New Roman"/>
          <w:color w:val="auto"/>
          <w:sz w:val="24"/>
          <w:szCs w:val="24"/>
        </w:rPr>
      </w:pPr>
      <w:r>
        <w:rPr>
          <w:rFonts w:ascii="Times New Roman" w:hAnsi="Times New Roman"/>
          <w:b w:val="0"/>
          <w:color w:val="auto"/>
          <w:sz w:val="24"/>
          <w:szCs w:val="24"/>
        </w:rPr>
        <w:t>2.7供方：在招投标阶段称为投标人，中标后在签订和执行合同阶段称为供方。</w:t>
      </w:r>
    </w:p>
    <w:p>
      <w:pPr>
        <w:pStyle w:val="35"/>
        <w:adjustRightInd w:val="0"/>
        <w:snapToGrid w:val="0"/>
        <w:spacing w:line="400" w:lineRule="exact"/>
        <w:ind w:firstLineChars="200"/>
        <w:rPr>
          <w:rFonts w:hint="default" w:ascii="Times New Roman" w:eastAsia="宋体"/>
          <w:szCs w:val="24"/>
        </w:rPr>
      </w:pPr>
      <w:r>
        <w:rPr>
          <w:rFonts w:hint="default" w:ascii="Times New Roman" w:eastAsia="宋体"/>
          <w:szCs w:val="24"/>
        </w:rPr>
        <w:t>2.8“原产地”是指货物开采、生长或生产、或提供有关服务的来源地。</w:t>
      </w:r>
    </w:p>
    <w:p>
      <w:pPr>
        <w:pStyle w:val="35"/>
        <w:adjustRightInd w:val="0"/>
        <w:snapToGrid w:val="0"/>
        <w:spacing w:line="400" w:lineRule="exact"/>
        <w:ind w:firstLineChars="200"/>
        <w:rPr>
          <w:rFonts w:hint="default" w:ascii="Times New Roman" w:eastAsia="宋体"/>
          <w:szCs w:val="24"/>
        </w:rPr>
      </w:pPr>
      <w:r>
        <w:rPr>
          <w:rFonts w:hint="default" w:ascii="Times New Roman" w:eastAsia="宋体"/>
          <w:szCs w:val="24"/>
        </w:rPr>
        <w:t>2.9“★”标记系指必须满足不能负偏离或必须应答的条款。</w:t>
      </w:r>
    </w:p>
    <w:p>
      <w:pPr>
        <w:pStyle w:val="24"/>
        <w:adjustRightInd w:val="0"/>
        <w:snapToGrid w:val="0"/>
        <w:spacing w:line="400" w:lineRule="exact"/>
        <w:ind w:firstLine="482" w:firstLineChars="200"/>
        <w:jc w:val="both"/>
        <w:rPr>
          <w:rFonts w:ascii="Times New Roman" w:hAnsi="Times New Roman"/>
          <w:color w:val="auto"/>
          <w:sz w:val="24"/>
          <w:szCs w:val="24"/>
        </w:rPr>
      </w:pPr>
      <w:r>
        <w:rPr>
          <w:rFonts w:ascii="Times New Roman" w:hAnsi="Times New Roman"/>
          <w:color w:val="auto"/>
          <w:sz w:val="24"/>
          <w:szCs w:val="24"/>
        </w:rPr>
        <w:t>3.合格的投标人</w:t>
      </w:r>
    </w:p>
    <w:p>
      <w:pPr>
        <w:pStyle w:val="24"/>
        <w:adjustRightInd w:val="0"/>
        <w:snapToGrid w:val="0"/>
        <w:spacing w:line="400" w:lineRule="exact"/>
        <w:ind w:firstLine="480" w:firstLineChars="200"/>
        <w:jc w:val="both"/>
        <w:rPr>
          <w:rFonts w:ascii="Times New Roman" w:hAnsi="Times New Roman"/>
          <w:color w:val="auto"/>
          <w:sz w:val="24"/>
          <w:szCs w:val="24"/>
        </w:rPr>
      </w:pPr>
      <w:r>
        <w:rPr>
          <w:rFonts w:ascii="Times New Roman" w:hAnsi="Times New Roman"/>
          <w:b w:val="0"/>
          <w:bCs w:val="0"/>
          <w:color w:val="auto"/>
          <w:sz w:val="24"/>
          <w:szCs w:val="24"/>
        </w:rPr>
        <w:t>符合第一章采购公告中关于“投标人资格条件”规定的投标人。</w:t>
      </w:r>
    </w:p>
    <w:p>
      <w:pPr>
        <w:pStyle w:val="31"/>
        <w:spacing w:line="400" w:lineRule="exact"/>
        <w:ind w:firstLine="482" w:firstLineChars="200"/>
        <w:rPr>
          <w:rFonts w:ascii="Times New Roman" w:hAnsi="Times New Roman" w:cs="Times New Roman"/>
          <w:sz w:val="24"/>
          <w:szCs w:val="24"/>
        </w:rPr>
      </w:pPr>
      <w:r>
        <w:rPr>
          <w:rFonts w:ascii="Times New Roman" w:hAnsi="Times New Roman" w:cs="Times New Roman"/>
          <w:b/>
          <w:sz w:val="24"/>
          <w:szCs w:val="24"/>
        </w:rPr>
        <w:t>4.保证</w:t>
      </w:r>
    </w:p>
    <w:p>
      <w:pPr>
        <w:pStyle w:val="31"/>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投标单位应保证所提交给采购代理机构和采购人的资料和数据是真实、有效的。</w:t>
      </w:r>
    </w:p>
    <w:p>
      <w:pPr>
        <w:pStyle w:val="31"/>
        <w:spacing w:line="40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5.投标费用</w:t>
      </w:r>
    </w:p>
    <w:p>
      <w:pPr>
        <w:pStyle w:val="31"/>
        <w:spacing w:line="400" w:lineRule="exact"/>
        <w:ind w:firstLine="480" w:firstLineChars="200"/>
        <w:rPr>
          <w:rFonts w:ascii="Times New Roman" w:hAnsi="Times New Roman" w:cs="Times New Roman"/>
          <w:b/>
          <w:sz w:val="24"/>
          <w:szCs w:val="24"/>
        </w:rPr>
      </w:pPr>
      <w:r>
        <w:rPr>
          <w:rFonts w:ascii="Times New Roman" w:hAnsi="Times New Roman" w:cs="Times New Roman"/>
          <w:sz w:val="24"/>
          <w:szCs w:val="24"/>
        </w:rPr>
        <w:t>不论投标过程中的作法和结果如何，投标人应承担所有与投标有关的全部费用。采购人和采购代理机构在任何情况下均无义务和责任承担上述这些费用。</w:t>
      </w:r>
    </w:p>
    <w:p>
      <w:pPr>
        <w:adjustRightInd w:val="0"/>
        <w:snapToGrid w:val="0"/>
        <w:spacing w:line="400" w:lineRule="exact"/>
        <w:ind w:firstLine="482" w:firstLineChars="200"/>
        <w:rPr>
          <w:b/>
        </w:rPr>
      </w:pPr>
      <w:r>
        <w:rPr>
          <w:b/>
        </w:rPr>
        <w:t>6.</w:t>
      </w:r>
      <w:r>
        <w:rPr>
          <w:rFonts w:hint="eastAsia" w:ascii="宋体" w:hAnsi="宋体"/>
          <w:b/>
          <w:color w:val="auto"/>
        </w:rPr>
        <w:t>转包、分包</w:t>
      </w:r>
      <w:r>
        <w:rPr>
          <w:rFonts w:hint="eastAsia" w:ascii="新宋体" w:hAnsi="新宋体" w:eastAsia="新宋体" w:cs="新宋体"/>
          <w:b/>
          <w:color w:val="auto"/>
        </w:rPr>
        <w:t>、联合体</w:t>
      </w:r>
    </w:p>
    <w:p>
      <w:pPr>
        <w:adjustRightInd w:val="0"/>
        <w:snapToGrid w:val="0"/>
        <w:spacing w:line="400" w:lineRule="exact"/>
        <w:ind w:firstLine="480" w:firstLineChars="200"/>
        <w:rPr>
          <w:highlight w:val="none"/>
        </w:rPr>
      </w:pPr>
      <w:r>
        <w:rPr>
          <w:rFonts w:hint="eastAsia"/>
          <w:highlight w:val="none"/>
          <w:lang w:val="en-US" w:eastAsia="zh-CN"/>
        </w:rPr>
        <w:t>6.1</w:t>
      </w:r>
      <w:r>
        <w:rPr>
          <w:highlight w:val="none"/>
        </w:rPr>
        <w:t>本项目不接受转包。</w:t>
      </w:r>
    </w:p>
    <w:p>
      <w:pPr>
        <w:adjustRightInd w:val="0"/>
        <w:snapToGrid w:val="0"/>
        <w:spacing w:line="400" w:lineRule="exact"/>
        <w:ind w:firstLine="480" w:firstLineChars="200"/>
        <w:rPr>
          <w:rFonts w:hint="eastAsia"/>
          <w:highlight w:val="none"/>
          <w:lang w:val="en-US" w:eastAsia="zh-CN"/>
        </w:rPr>
      </w:pPr>
      <w:r>
        <w:rPr>
          <w:rFonts w:hint="eastAsia"/>
          <w:highlight w:val="none"/>
          <w:lang w:val="en-US" w:eastAsia="zh-CN"/>
        </w:rPr>
        <w:t>6.2</w:t>
      </w:r>
      <w:r>
        <w:rPr>
          <w:highlight w:val="none"/>
        </w:rPr>
        <w:t>本项目不接受</w:t>
      </w:r>
      <w:r>
        <w:rPr>
          <w:rFonts w:hint="eastAsia"/>
          <w:highlight w:val="none"/>
          <w:lang w:eastAsia="zh-CN"/>
        </w:rPr>
        <w:t>分包</w:t>
      </w:r>
      <w:r>
        <w:rPr>
          <w:highlight w:val="none"/>
        </w:rPr>
        <w:t>。</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6.3联合体采购相关规定</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6.3.1除特定资格要求外，联合体各方均应符合本项目规定的其它资格要求及根据承担工作需要的相应资格。</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6.3.2如本项目有特定资要求的，联合体中至少有一方应符合本文件规定的特定资格要求。但联合体中有同类资质的投标人按照联合体分工承担相同工作的，应当按照资质等级较低的投标人确定资质等级。</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6.3.4以联合体形式参加政府采购活动的，联合体各方不得再单独参加或者与其他投标人另外组成联合体参加同一合同项下的政府采购活动。</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6.3.5联合体参与的，必须提供《联合体协议》。</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6.3.6如采购项目对供应商有业绩要求。联合体各方分别提供与联合体协议中约定的分工内容相应的业绩材料，业绩数量以提供材料较少的一方为准；如联合体协议中未进行分工约定的，联合体各方应就所有合同约定的工作内容提供业绩材料，有一方未能提供全部合同约定的工作内容的业绩材料的，视为联合体未提供业绩材料。</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6.3.7联合体各方均为中小企业的，该联合体视同中小企业。</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6.3.8以联合体形式参加政府采购活动的，其投诉应当由组成联合体的所有供应商共同提出。</w:t>
      </w:r>
    </w:p>
    <w:p>
      <w:pPr>
        <w:adjustRightInd w:val="0"/>
        <w:snapToGrid w:val="0"/>
        <w:spacing w:line="400" w:lineRule="exact"/>
        <w:ind w:firstLine="480" w:firstLineChars="200"/>
        <w:rPr>
          <w:rFonts w:hint="eastAsia" w:ascii="宋体" w:hAnsi="宋体" w:eastAsia="宋体" w:cs="Times New Roman"/>
          <w:b/>
          <w:color w:val="CCC0D9"/>
          <w:lang w:val="en-US" w:eastAsia="zh-CN"/>
        </w:rPr>
      </w:pPr>
      <w:r>
        <w:rPr>
          <w:rFonts w:hint="eastAsia"/>
          <w:color w:val="auto"/>
          <w:highlight w:val="none"/>
          <w:lang w:val="en-US" w:eastAsia="zh-CN"/>
        </w:rPr>
        <w:t>6.3.9采购人或采购代理机构对联合体中任何一方的书面文件都对联合体各方具有约束力。</w:t>
      </w:r>
    </w:p>
    <w:p>
      <w:pPr>
        <w:adjustRightInd w:val="0"/>
        <w:snapToGrid w:val="0"/>
        <w:spacing w:line="400" w:lineRule="exact"/>
        <w:ind w:firstLine="482" w:firstLineChars="200"/>
        <w:rPr>
          <w:rFonts w:hint="eastAsia" w:ascii="宋体" w:hAnsi="宋体" w:eastAsia="宋体" w:cs="Times New Roman"/>
          <w:b/>
          <w:color w:val="CCC0D9"/>
          <w:lang w:val="en-US" w:eastAsia="zh-CN"/>
        </w:rPr>
      </w:pPr>
      <w:r>
        <w:rPr>
          <w:rFonts w:hint="eastAsia"/>
          <w:b/>
          <w:lang w:val="en-US" w:eastAsia="zh-CN"/>
        </w:rPr>
        <w:t>7.政府采购政策</w:t>
      </w:r>
    </w:p>
    <w:p>
      <w:pPr>
        <w:adjustRightInd w:val="0"/>
        <w:snapToGrid w:val="0"/>
        <w:spacing w:line="400" w:lineRule="exact"/>
        <w:ind w:firstLine="482" w:firstLineChars="200"/>
        <w:rPr>
          <w:rFonts w:hint="eastAsia"/>
          <w:b/>
          <w:bCs/>
          <w:color w:val="auto"/>
          <w:highlight w:val="none"/>
          <w:lang w:val="en-US" w:eastAsia="zh-CN"/>
        </w:rPr>
      </w:pPr>
      <w:r>
        <w:rPr>
          <w:rFonts w:hint="eastAsia"/>
          <w:b/>
          <w:bCs/>
          <w:color w:val="auto"/>
          <w:highlight w:val="none"/>
          <w:lang w:val="en-US" w:eastAsia="zh-CN"/>
        </w:rPr>
        <w:t>7.1进口产品采购规定</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7.1.1进口产品认定根据财政部财库[2007]119号和财政部办公厅财办库[2008]248号文件规定，“进口产品”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特殊监管区域包括：保税区、出口加工区、保税港区、珠澳跨境工业区珠海园区、中哈霍尔果斯国际边境合作中心中方配套区、综合保税区等区域。</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7.1.2不允许进口产品参投的项目，投标人所投产品中有进口产品的其投标无效．</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7.1.3允许进口产品参投的项目，同时也允许满足实质性需求的国内产品参与投标．</w:t>
      </w:r>
    </w:p>
    <w:p>
      <w:pPr>
        <w:adjustRightInd w:val="0"/>
        <w:snapToGrid w:val="0"/>
        <w:spacing w:line="400" w:lineRule="exact"/>
        <w:ind w:firstLine="482" w:firstLineChars="200"/>
        <w:rPr>
          <w:rFonts w:hint="eastAsia"/>
          <w:b/>
          <w:bCs/>
          <w:color w:val="auto"/>
          <w:highlight w:val="none"/>
          <w:lang w:val="en-US" w:eastAsia="zh-CN"/>
        </w:rPr>
      </w:pPr>
      <w:r>
        <w:rPr>
          <w:rFonts w:hint="eastAsia"/>
          <w:b/>
          <w:bCs/>
          <w:color w:val="auto"/>
          <w:highlight w:val="none"/>
          <w:lang w:val="en-US" w:eastAsia="zh-CN"/>
        </w:rPr>
        <w:t>7.2扶持中小企业政策</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7.2.1专门面向中小企业(具体情形详见招标公告资格要求中的情形)采购的项目或者标项，不再执行价格评审优惠的扶持政策。</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7.2.2.非专门面向中小企业采购的项目(或标段)，执行价格评审优优惠。</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7.2.2.1根据符合《政府采购促进中小企业发展管理办法》（财库〔2020〕46号）要求，对小微企业报价给予 20% 的扣除，用扣除后的价格参加评审；对于接受大中型企业与小微企业组成联合体的采购项目，对于联合协议约定小微企业的合同份额占到合同总金额 30%以上的，对联合体的报价给予 6 %的扣除，用扣除后的价格参加评审。</w:t>
      </w:r>
      <w:r>
        <w:rPr>
          <w:rFonts w:hint="eastAsia"/>
          <w:b/>
          <w:bCs/>
          <w:color w:val="auto"/>
          <w:highlight w:val="none"/>
          <w:lang w:val="en-US" w:eastAsia="zh-CN"/>
        </w:rPr>
        <w:t>享受相关中小企业扶持政策的投标人，应在投标文件中提供《中小企业声明函》。</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7.2.2.2根据财库[2017]141号的相关规定，符合该文件第一条规定的残疾人福利性单位，视同小型、微型企业，享受评审中价格扣除政策，但投标人应在投标文件中提供残疾人福利性单位声明函。</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7.2.2.3根据财库[2014]68号的相关规定，在政府采购活动中，监狱企业视同小型、微型企业，享受中小企业扶持政策，但投标人应在投标文件中提供由省级以上监狱管理局、戒毒管理局（含新疆生产建设兵团）出具的属于监狱企业的声明文件。</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7.2.3对于采购标的中有不同属性(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adjustRightInd w:val="0"/>
        <w:snapToGrid w:val="0"/>
        <w:spacing w:line="400" w:lineRule="exact"/>
        <w:ind w:firstLine="482" w:firstLineChars="200"/>
        <w:rPr>
          <w:rFonts w:hint="eastAsia"/>
          <w:b/>
          <w:bCs/>
          <w:color w:val="auto"/>
          <w:highlight w:val="none"/>
          <w:lang w:val="en-US" w:eastAsia="zh-CN"/>
        </w:rPr>
      </w:pPr>
      <w:r>
        <w:rPr>
          <w:rFonts w:hint="eastAsia"/>
          <w:b/>
          <w:bCs/>
          <w:color w:val="auto"/>
          <w:highlight w:val="none"/>
          <w:lang w:val="en-US" w:eastAsia="zh-CN"/>
        </w:rPr>
        <w:t>7.3节能环保</w:t>
      </w:r>
    </w:p>
    <w:p>
      <w:pPr>
        <w:adjustRightInd w:val="0"/>
        <w:snapToGrid w:val="0"/>
        <w:spacing w:line="400" w:lineRule="exact"/>
        <w:ind w:firstLine="480" w:firstLineChars="200"/>
        <w:rPr>
          <w:rFonts w:hint="eastAsia"/>
          <w:color w:val="auto"/>
          <w:highlight w:val="none"/>
          <w:lang w:val="en-US" w:eastAsia="zh-CN"/>
        </w:rPr>
      </w:pPr>
      <w:r>
        <w:rPr>
          <w:rFonts w:hint="eastAsia"/>
          <w:color w:val="auto"/>
          <w:highlight w:val="none"/>
          <w:lang w:val="en-US" w:eastAsia="zh-CN"/>
        </w:rPr>
        <w:t xml:space="preserve">7.3.1根据财财库〔2019〕9号文件要求，采购人采购的产品中有属于节能产品政府采购品目清单或环境标志产品政府采购品目清单内的，投标人所投的相应产品应在中国政府采购网（http://www.ccgp.gov.cn）中可查询到，如属于强制采购节能产品的，未查询到的其投标无效。 </w:t>
      </w:r>
    </w:p>
    <w:p>
      <w:pPr>
        <w:pStyle w:val="6"/>
        <w:spacing w:before="120" w:after="120" w:line="400" w:lineRule="exact"/>
        <w:rPr>
          <w:rFonts w:ascii="Times New Roman" w:hAnsi="Times New Roman" w:eastAsia="宋体"/>
          <w:sz w:val="24"/>
          <w:szCs w:val="24"/>
        </w:rPr>
      </w:pPr>
      <w:bookmarkStart w:id="17" w:name="_Toc219"/>
      <w:bookmarkStart w:id="18" w:name="_Toc274303230"/>
      <w:bookmarkStart w:id="19" w:name="_Toc362250688"/>
      <w:bookmarkStart w:id="20" w:name="_Toc406413929"/>
      <w:r>
        <w:rPr>
          <w:rFonts w:ascii="Times New Roman" w:hAnsi="Times New Roman" w:eastAsia="宋体"/>
          <w:sz w:val="24"/>
          <w:szCs w:val="24"/>
        </w:rPr>
        <w:t>二、招标文件</w:t>
      </w:r>
      <w:bookmarkEnd w:id="17"/>
      <w:bookmarkEnd w:id="18"/>
      <w:bookmarkEnd w:id="19"/>
      <w:bookmarkEnd w:id="20"/>
    </w:p>
    <w:p>
      <w:pPr>
        <w:adjustRightInd w:val="0"/>
        <w:snapToGrid w:val="0"/>
        <w:spacing w:before="50" w:after="50" w:line="400" w:lineRule="exact"/>
        <w:ind w:firstLine="482" w:firstLineChars="200"/>
        <w:rPr>
          <w:b/>
          <w:bCs/>
          <w:highlight w:val="none"/>
        </w:rPr>
      </w:pPr>
      <w:r>
        <w:rPr>
          <w:rFonts w:hint="eastAsia"/>
          <w:b/>
          <w:bCs/>
          <w:highlight w:val="none"/>
          <w:lang w:val="en-US" w:eastAsia="zh-CN"/>
        </w:rPr>
        <w:t>8</w:t>
      </w:r>
      <w:r>
        <w:rPr>
          <w:b/>
          <w:bCs/>
          <w:highlight w:val="none"/>
        </w:rPr>
        <w:t>.招标文件的组成</w:t>
      </w:r>
    </w:p>
    <w:p>
      <w:pPr>
        <w:adjustRightInd w:val="0"/>
        <w:snapToGrid w:val="0"/>
        <w:spacing w:before="50" w:after="50" w:line="400" w:lineRule="exact"/>
        <w:ind w:firstLine="480" w:firstLineChars="200"/>
      </w:pPr>
      <w:r>
        <w:rPr>
          <w:rFonts w:hint="eastAsia"/>
          <w:lang w:val="en-US" w:eastAsia="zh-CN"/>
        </w:rPr>
        <w:t>8</w:t>
      </w:r>
      <w:r>
        <w:t>.1招标文件包括下列内容：</w:t>
      </w:r>
    </w:p>
    <w:p>
      <w:pPr>
        <w:adjustRightInd w:val="0"/>
        <w:snapToGrid w:val="0"/>
        <w:spacing w:before="50" w:after="50" w:line="400" w:lineRule="exact"/>
        <w:ind w:firstLine="480" w:firstLineChars="200"/>
      </w:pPr>
      <w:r>
        <w:t>第一章采购公告</w:t>
      </w:r>
    </w:p>
    <w:p>
      <w:pPr>
        <w:adjustRightInd w:val="0"/>
        <w:snapToGrid w:val="0"/>
        <w:spacing w:before="50" w:after="50" w:line="400" w:lineRule="exact"/>
        <w:ind w:firstLine="480" w:firstLineChars="200"/>
      </w:pPr>
      <w:r>
        <w:t>第二章投标须知和投标须知前附表</w:t>
      </w:r>
    </w:p>
    <w:p>
      <w:pPr>
        <w:adjustRightInd w:val="0"/>
        <w:snapToGrid w:val="0"/>
        <w:spacing w:before="50" w:after="50" w:line="400" w:lineRule="exact"/>
        <w:ind w:firstLine="480" w:firstLineChars="200"/>
      </w:pPr>
      <w:r>
        <w:t>第三章招标项目要求</w:t>
      </w:r>
    </w:p>
    <w:p>
      <w:pPr>
        <w:adjustRightInd w:val="0"/>
        <w:snapToGrid w:val="0"/>
        <w:spacing w:before="50" w:after="50" w:line="400" w:lineRule="exact"/>
        <w:ind w:firstLine="480" w:firstLineChars="200"/>
      </w:pPr>
      <w:r>
        <w:t>第四章开标、评标和定标须知</w:t>
      </w:r>
    </w:p>
    <w:p>
      <w:pPr>
        <w:adjustRightInd w:val="0"/>
        <w:snapToGrid w:val="0"/>
        <w:spacing w:before="50" w:after="50" w:line="400" w:lineRule="exact"/>
        <w:ind w:firstLine="480" w:firstLineChars="200"/>
      </w:pPr>
      <w:r>
        <w:t>第五章投标文件的无效情形</w:t>
      </w:r>
    </w:p>
    <w:p>
      <w:pPr>
        <w:adjustRightInd w:val="0"/>
        <w:snapToGrid w:val="0"/>
        <w:spacing w:before="50" w:after="50" w:line="400" w:lineRule="exact"/>
        <w:ind w:firstLine="480" w:firstLineChars="200"/>
      </w:pPr>
      <w:r>
        <w:t>第六章评标办法</w:t>
      </w:r>
    </w:p>
    <w:p>
      <w:pPr>
        <w:adjustRightInd w:val="0"/>
        <w:snapToGrid w:val="0"/>
        <w:spacing w:before="50" w:after="50" w:line="400" w:lineRule="exact"/>
        <w:ind w:firstLine="480" w:firstLineChars="200"/>
      </w:pPr>
      <w:r>
        <w:t>第七章合同主要条款</w:t>
      </w:r>
    </w:p>
    <w:p>
      <w:pPr>
        <w:adjustRightInd w:val="0"/>
        <w:snapToGrid w:val="0"/>
        <w:spacing w:before="50" w:after="50" w:line="400" w:lineRule="exact"/>
        <w:ind w:firstLine="480" w:firstLineChars="200"/>
      </w:pPr>
      <w:r>
        <w:t>第八章投标文件部分格式</w:t>
      </w:r>
    </w:p>
    <w:p>
      <w:pPr>
        <w:adjustRightInd w:val="0"/>
        <w:snapToGrid w:val="0"/>
        <w:spacing w:before="50" w:after="50" w:line="400" w:lineRule="exact"/>
        <w:ind w:firstLine="480" w:firstLineChars="200"/>
      </w:pPr>
      <w:r>
        <w:rPr>
          <w:rFonts w:hint="eastAsia"/>
          <w:lang w:val="en-US" w:eastAsia="zh-CN"/>
        </w:rPr>
        <w:t>8</w:t>
      </w:r>
      <w:r>
        <w:t>.2除7.1内容外，招标人在投标文件递交截止日前以公告形式发出的对招标文件的澄清或修改内容，均为招标文件的组成部分，对招标方和投标人起约束作用。</w:t>
      </w:r>
    </w:p>
    <w:p>
      <w:pPr>
        <w:adjustRightInd w:val="0"/>
        <w:snapToGrid w:val="0"/>
        <w:spacing w:before="50" w:after="50" w:line="400" w:lineRule="exact"/>
        <w:ind w:firstLine="480" w:firstLineChars="200"/>
      </w:pPr>
      <w:r>
        <w:rPr>
          <w:rFonts w:hint="eastAsia"/>
          <w:lang w:val="en-US" w:eastAsia="zh-CN"/>
        </w:rPr>
        <w:t>8</w:t>
      </w:r>
      <w:r>
        <w:t>.3上述所列7.1及7.2条内容均以公告内容为准，招标方的任何工作人员对投标人所作的任何口头解释、介绍、答复，对招标方和投标人无任何约束力。</w:t>
      </w:r>
    </w:p>
    <w:p>
      <w:pPr>
        <w:adjustRightInd w:val="0"/>
        <w:snapToGrid w:val="0"/>
        <w:spacing w:before="50" w:after="50" w:line="400" w:lineRule="exact"/>
        <w:ind w:firstLine="480" w:firstLineChars="200"/>
      </w:pPr>
      <w:r>
        <w:rPr>
          <w:rFonts w:hint="eastAsia"/>
          <w:lang w:val="en-US" w:eastAsia="zh-CN"/>
        </w:rPr>
        <w:t>8</w:t>
      </w:r>
      <w:r>
        <w:t>.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00" w:lineRule="exact"/>
        <w:ind w:firstLine="482" w:firstLineChars="200"/>
        <w:rPr>
          <w:b/>
          <w:bCs/>
        </w:rPr>
      </w:pPr>
      <w:r>
        <w:rPr>
          <w:rFonts w:hint="eastAsia"/>
          <w:b/>
          <w:bCs/>
          <w:lang w:val="en-US" w:eastAsia="zh-CN"/>
        </w:rPr>
        <w:t>8</w:t>
      </w:r>
      <w:r>
        <w:rPr>
          <w:b/>
          <w:bCs/>
        </w:rPr>
        <w:t>.5招标方在“政采云”上设定的内容与招标文件的内容如有不一致的，以招标文件为准。</w:t>
      </w:r>
    </w:p>
    <w:p>
      <w:pPr>
        <w:adjustRightInd w:val="0"/>
        <w:snapToGrid w:val="0"/>
        <w:spacing w:before="50" w:after="50" w:line="400" w:lineRule="exact"/>
        <w:ind w:firstLine="482" w:firstLineChars="200"/>
        <w:rPr>
          <w:b/>
          <w:bCs/>
        </w:rPr>
      </w:pPr>
      <w:r>
        <w:rPr>
          <w:rFonts w:hint="eastAsia"/>
          <w:b/>
          <w:bCs/>
          <w:lang w:val="en-US" w:eastAsia="zh-CN"/>
        </w:rPr>
        <w:t>9</w:t>
      </w:r>
      <w:r>
        <w:rPr>
          <w:b/>
          <w:bCs/>
        </w:rPr>
        <w:t>.招标文件的澄清</w:t>
      </w:r>
    </w:p>
    <w:p>
      <w:pPr>
        <w:adjustRightInd w:val="0"/>
        <w:snapToGrid w:val="0"/>
        <w:spacing w:before="50" w:after="50" w:line="400" w:lineRule="exact"/>
        <w:ind w:firstLine="480" w:firstLineChars="200"/>
      </w:pPr>
      <w:bookmarkStart w:id="21" w:name="_Toc362250689"/>
      <w:bookmarkStart w:id="22" w:name="_Toc274303231"/>
      <w:bookmarkStart w:id="23" w:name="_Toc406413930"/>
      <w:r>
        <w:rPr>
          <w:rFonts w:hint="eastAsia"/>
          <w:lang w:val="en-US" w:eastAsia="zh-CN"/>
        </w:rPr>
        <w:t>9</w:t>
      </w:r>
      <w:r>
        <w:t>.1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pPr>
        <w:adjustRightInd w:val="0"/>
        <w:snapToGrid w:val="0"/>
        <w:spacing w:before="50" w:after="50" w:line="400" w:lineRule="exact"/>
        <w:ind w:firstLine="480" w:firstLineChars="200"/>
      </w:pPr>
      <w:r>
        <w:rPr>
          <w:rFonts w:hint="eastAsia"/>
          <w:lang w:val="en-US" w:eastAsia="zh-CN"/>
        </w:rPr>
        <w:t>9</w:t>
      </w:r>
      <w:r>
        <w:t>.2无论是招标方根据需要主动对招标文件进行必要澄清，或是根据投标人的要求对招标文件做出澄清，招标方的书面澄清（更正）文件会在浙江省政府网上发布公告，同时“政采云”会向所有已按招标文件规定方式获取招标文件的潜在供应商发送更正提醒信息，潜在供应商请自行到浙江省政府采购网上下载澄清（更正）文件，在收到该澄清（更正）文件后应于1日内，以书面或传真形式（签署意见并加盖公章）向招标代理机构回函给予确认。过期未回复的，视为默认接受。</w:t>
      </w:r>
    </w:p>
    <w:p>
      <w:pPr>
        <w:adjustRightInd w:val="0"/>
        <w:snapToGrid w:val="0"/>
        <w:spacing w:before="50" w:after="50" w:line="400" w:lineRule="exact"/>
        <w:ind w:firstLine="480" w:firstLineChars="200"/>
      </w:pPr>
      <w:r>
        <w:rPr>
          <w:rFonts w:hint="eastAsia"/>
          <w:lang w:val="en-US" w:eastAsia="zh-CN"/>
        </w:rPr>
        <w:t>9</w:t>
      </w:r>
      <w:r>
        <w:t>.3投标人在前附表规定时间未提交疑问或质疑的，视作默认对本次招标过程中招标文件无异议，招标方对其提出的问题可以不予受理。</w:t>
      </w:r>
    </w:p>
    <w:p>
      <w:pPr>
        <w:adjustRightInd w:val="0"/>
        <w:snapToGrid w:val="0"/>
        <w:spacing w:before="50" w:after="50" w:line="400" w:lineRule="exact"/>
        <w:ind w:firstLine="480" w:firstLineChars="200"/>
      </w:pPr>
      <w:r>
        <w:rPr>
          <w:rFonts w:hint="eastAsia"/>
          <w:lang w:val="en-US" w:eastAsia="zh-CN"/>
        </w:rPr>
        <w:t>9</w:t>
      </w:r>
      <w:r>
        <w:t>.4招标文件澄清、变更、补充等内容均以浙江政府采购网公示的内容为准。当招标文件、招标文件的澄清、变更、补充等在同一内容的表述上不一致时，以最后在浙江政府采购网发出的公示内容为准。</w:t>
      </w:r>
    </w:p>
    <w:p>
      <w:pPr>
        <w:pStyle w:val="6"/>
        <w:spacing w:before="120" w:after="120" w:line="400" w:lineRule="exact"/>
        <w:rPr>
          <w:rFonts w:ascii="Times New Roman" w:hAnsi="Times New Roman" w:eastAsia="宋体"/>
          <w:sz w:val="24"/>
          <w:szCs w:val="24"/>
        </w:rPr>
      </w:pPr>
      <w:bookmarkStart w:id="24" w:name="_Toc24794"/>
      <w:r>
        <w:rPr>
          <w:rFonts w:ascii="Times New Roman" w:hAnsi="Times New Roman" w:eastAsia="宋体"/>
          <w:sz w:val="24"/>
          <w:szCs w:val="24"/>
        </w:rPr>
        <w:t>三、投标文件</w:t>
      </w:r>
      <w:bookmarkEnd w:id="21"/>
      <w:bookmarkEnd w:id="22"/>
      <w:bookmarkEnd w:id="23"/>
      <w:bookmarkEnd w:id="24"/>
    </w:p>
    <w:p>
      <w:pPr>
        <w:spacing w:line="400" w:lineRule="exact"/>
        <w:ind w:firstLine="480"/>
        <w:rPr>
          <w:b/>
          <w:bCs/>
        </w:rPr>
      </w:pPr>
      <w:r>
        <w:rPr>
          <w:rFonts w:hint="eastAsia"/>
          <w:b/>
          <w:bCs/>
          <w:lang w:val="en-US" w:eastAsia="zh-CN"/>
        </w:rPr>
        <w:t>10</w:t>
      </w:r>
      <w:r>
        <w:rPr>
          <w:b/>
          <w:bCs/>
        </w:rPr>
        <w:t>.投标文件的组成</w:t>
      </w:r>
    </w:p>
    <w:p>
      <w:pPr>
        <w:adjustRightInd w:val="0"/>
        <w:snapToGrid w:val="0"/>
        <w:spacing w:line="460" w:lineRule="exact"/>
        <w:ind w:firstLine="463" w:firstLineChars="192"/>
        <w:rPr>
          <w:b/>
          <w:szCs w:val="21"/>
          <w:u w:val="single"/>
        </w:rPr>
      </w:pPr>
      <w:r>
        <w:rPr>
          <w:rFonts w:hint="eastAsia"/>
          <w:b/>
          <w:szCs w:val="21"/>
          <w:lang w:val="en-US" w:eastAsia="zh-CN"/>
        </w:rPr>
        <w:t>10</w:t>
      </w:r>
      <w:r>
        <w:rPr>
          <w:b/>
          <w:szCs w:val="21"/>
        </w:rPr>
        <w:t>.1</w:t>
      </w:r>
      <w:r>
        <w:rPr>
          <w:szCs w:val="21"/>
        </w:rPr>
        <w:t>投标文件由</w:t>
      </w:r>
      <w:r>
        <w:rPr>
          <w:b/>
          <w:szCs w:val="21"/>
        </w:rPr>
        <w:t>资格响应文件</w:t>
      </w:r>
      <w:r>
        <w:rPr>
          <w:szCs w:val="21"/>
        </w:rPr>
        <w:t>、</w:t>
      </w:r>
      <w:r>
        <w:rPr>
          <w:b/>
          <w:szCs w:val="21"/>
        </w:rPr>
        <w:t>商务技术响应文件</w:t>
      </w:r>
      <w:r>
        <w:rPr>
          <w:szCs w:val="21"/>
        </w:rPr>
        <w:t>和</w:t>
      </w:r>
      <w:r>
        <w:rPr>
          <w:b/>
          <w:szCs w:val="21"/>
        </w:rPr>
        <w:t>报价响应文件</w:t>
      </w:r>
      <w:r>
        <w:rPr>
          <w:szCs w:val="21"/>
        </w:rPr>
        <w:t>组成，以下的“格式”，指的是第八章投标文件格式中的表格；</w:t>
      </w:r>
    </w:p>
    <w:p>
      <w:pPr>
        <w:adjustRightInd w:val="0"/>
        <w:snapToGrid w:val="0"/>
        <w:spacing w:before="50" w:after="50" w:line="400" w:lineRule="exact"/>
        <w:ind w:firstLine="482" w:firstLineChars="200"/>
        <w:rPr>
          <w:b/>
          <w:bCs/>
        </w:rPr>
      </w:pPr>
      <w:r>
        <w:rPr>
          <w:rFonts w:hint="eastAsia"/>
          <w:b/>
          <w:bCs/>
          <w:lang w:val="en-US" w:eastAsia="zh-CN"/>
        </w:rPr>
        <w:t>10</w:t>
      </w:r>
      <w:r>
        <w:rPr>
          <w:b/>
          <w:bCs/>
        </w:rPr>
        <w:t>.1.1资格响应文件：包含以下内容</w:t>
      </w:r>
    </w:p>
    <w:p>
      <w:pPr>
        <w:adjustRightInd w:val="0"/>
        <w:snapToGrid w:val="0"/>
        <w:spacing w:before="50" w:after="50" w:line="400" w:lineRule="exact"/>
        <w:ind w:firstLine="480" w:firstLineChars="200"/>
      </w:pPr>
      <w:r>
        <w:t>★①单位营业执照副本等经营资格证明文件扫描件（加盖电子签章）</w:t>
      </w:r>
    </w:p>
    <w:p>
      <w:pPr>
        <w:adjustRightInd w:val="0"/>
        <w:snapToGrid w:val="0"/>
        <w:spacing w:before="50" w:after="50" w:line="400" w:lineRule="exact"/>
        <w:ind w:firstLine="480" w:firstLineChars="200"/>
      </w:pPr>
      <w:r>
        <w:t>★②义乌市政府采购项目投标承诺书（见格式）</w:t>
      </w:r>
    </w:p>
    <w:p>
      <w:pPr>
        <w:adjustRightInd w:val="0"/>
        <w:snapToGrid w:val="0"/>
        <w:spacing w:before="50" w:after="50" w:line="400" w:lineRule="exact"/>
        <w:ind w:firstLine="480" w:firstLineChars="200"/>
        <w:rPr>
          <w:rFonts w:hint="eastAsia"/>
          <w:lang w:val="zh-CN"/>
        </w:rPr>
      </w:pPr>
      <w:r>
        <w:rPr>
          <w:rFonts w:hint="eastAsia"/>
        </w:rPr>
        <w:t>③联合体协议</w:t>
      </w:r>
      <w:r>
        <w:rPr>
          <w:rFonts w:hint="eastAsia"/>
          <w:lang w:val="zh-CN"/>
        </w:rPr>
        <w:t>（见格式）（</w:t>
      </w:r>
      <w:r>
        <w:rPr>
          <w:rFonts w:hint="eastAsia"/>
        </w:rPr>
        <w:t>★如供应商是联合体，则应提供本项材料</w:t>
      </w:r>
      <w:r>
        <w:rPr>
          <w:rFonts w:hint="eastAsia"/>
          <w:lang w:val="zh-CN"/>
        </w:rPr>
        <w:t>）</w:t>
      </w:r>
    </w:p>
    <w:p>
      <w:pPr>
        <w:adjustRightInd w:val="0"/>
        <w:snapToGrid w:val="0"/>
        <w:spacing w:before="50" w:after="50" w:line="400" w:lineRule="exact"/>
        <w:ind w:firstLine="480" w:firstLineChars="200"/>
      </w:pPr>
      <w:r>
        <w:rPr>
          <w:rFonts w:ascii="Times New Roman" w:hAnsi="Times New Roman" w:cs="Times New Roman"/>
        </w:rPr>
        <w:t>④</w:t>
      </w:r>
      <w:r>
        <w:t>投标人实力与资信情况介绍或投标人认为需要提供的其他文件、说明等</w:t>
      </w:r>
    </w:p>
    <w:p>
      <w:pPr>
        <w:adjustRightInd w:val="0"/>
        <w:snapToGrid w:val="0"/>
        <w:spacing w:before="50" w:after="50" w:line="400" w:lineRule="exact"/>
        <w:ind w:firstLine="482" w:firstLineChars="200"/>
        <w:rPr>
          <w:b/>
          <w:bCs/>
        </w:rPr>
      </w:pPr>
      <w:r>
        <w:rPr>
          <w:rFonts w:hint="eastAsia"/>
          <w:b/>
          <w:bCs/>
          <w:lang w:val="en-US" w:eastAsia="zh-CN"/>
        </w:rPr>
        <w:t>10</w:t>
      </w:r>
      <w:r>
        <w:rPr>
          <w:b/>
          <w:bCs/>
        </w:rPr>
        <w:t>.1.2商务技术响应文件：包含以下内容</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★①规范偏离表（见格式）</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★②项目组成人员表（见格式）</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③</w:t>
      </w:r>
      <w:r>
        <w:rPr>
          <w:rFonts w:ascii="Times New Roman" w:hAnsi="Times New Roman" w:cs="Times New Roman"/>
          <w:sz w:val="24"/>
        </w:rPr>
        <w:t>项目实施方案（格式自拟）</w:t>
      </w:r>
    </w:p>
    <w:p>
      <w:pPr>
        <w:adjustRightInd w:val="0"/>
        <w:snapToGrid w:val="0"/>
        <w:spacing w:before="50" w:after="50" w:line="400" w:lineRule="exact"/>
        <w:ind w:firstLine="480" w:firstLineChars="200"/>
        <w:rPr>
          <w:rFonts w:ascii="Times New Roman" w:hAnsi="Times New Roman" w:cs="Times New Roman"/>
        </w:rPr>
      </w:pPr>
      <w:r>
        <w:rPr>
          <w:rFonts w:ascii="Times New Roman" w:hAnsi="Times New Roman" w:cs="Times New Roman"/>
        </w:rPr>
        <w:t>④根据评审需要、招标文件要求等</w:t>
      </w:r>
      <w:r>
        <w:rPr>
          <w:rFonts w:hint="eastAsia" w:ascii="Times New Roman" w:hAnsi="Times New Roman" w:cs="Times New Roman"/>
          <w:lang w:eastAsia="zh-CN"/>
        </w:rPr>
        <w:t>，</w:t>
      </w:r>
      <w:r>
        <w:rPr>
          <w:rFonts w:ascii="Times New Roman" w:hAnsi="Times New Roman" w:cs="Times New Roman"/>
        </w:rPr>
        <w:t>投标人自行考虑需提供的资料</w:t>
      </w:r>
    </w:p>
    <w:p>
      <w:pPr>
        <w:adjustRightInd w:val="0"/>
        <w:snapToGrid w:val="0"/>
        <w:spacing w:before="50" w:after="50" w:line="400" w:lineRule="exact"/>
        <w:ind w:firstLine="48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10.1.3报价响应文件：包含下列内容</w:t>
      </w:r>
    </w:p>
    <w:p>
      <w:pPr>
        <w:adjustRightInd w:val="0"/>
        <w:snapToGrid w:val="0"/>
        <w:spacing w:before="50" w:after="50" w:line="400" w:lineRule="exact"/>
        <w:ind w:firstLine="480" w:firstLineChars="200"/>
      </w:pPr>
      <w:r>
        <w:t>★①开标一览表（见格式）</w:t>
      </w:r>
    </w:p>
    <w:p>
      <w:pPr>
        <w:adjustRightInd w:val="0"/>
        <w:snapToGrid w:val="0"/>
        <w:spacing w:before="50" w:after="50" w:line="400" w:lineRule="exact"/>
        <w:ind w:firstLine="480" w:firstLineChars="200"/>
      </w:pPr>
      <w:r>
        <w:t>★②项目成本报价表（见格式）</w:t>
      </w:r>
    </w:p>
    <w:p>
      <w:pPr>
        <w:adjustRightInd w:val="0"/>
        <w:snapToGrid w:val="0"/>
        <w:spacing w:before="50" w:after="50" w:line="400" w:lineRule="exact"/>
        <w:ind w:firstLine="480" w:firstLineChars="200"/>
      </w:pPr>
      <w:r>
        <w:t>③中小企业声明函（见格式）（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adjustRightInd w:val="0"/>
        <w:snapToGrid w:val="0"/>
        <w:spacing w:before="50" w:after="50" w:line="400" w:lineRule="exact"/>
        <w:ind w:firstLine="480" w:firstLineChars="200"/>
      </w:pPr>
      <w:r>
        <w:t>④残疾人福利性单位声明函（见格式）（符合残疾人福利性单位有关政策的投标人需提供本项材料）</w:t>
      </w:r>
    </w:p>
    <w:p>
      <w:pPr>
        <w:adjustRightInd w:val="0"/>
        <w:snapToGrid w:val="0"/>
        <w:spacing w:before="50" w:after="50" w:line="400" w:lineRule="exact"/>
        <w:ind w:firstLine="480" w:firstLineChars="200"/>
      </w:pPr>
      <w:r>
        <w:t>⑤省级及以上监狱管理局、戒毒管理局（含新疆生产建设兵团）出具的属于监狱企业的文件扫描件加盖电子签章（符合监狱企业有关政策的投标人需提供本项材料）</w:t>
      </w:r>
    </w:p>
    <w:p>
      <w:pPr>
        <w:pStyle w:val="31"/>
        <w:spacing w:line="40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1</w:t>
      </w:r>
      <w:r>
        <w:rPr>
          <w:rFonts w:ascii="Times New Roman" w:hAnsi="Times New Roman" w:cs="Times New Roman"/>
          <w:b/>
          <w:bCs/>
          <w:sz w:val="24"/>
          <w:szCs w:val="24"/>
        </w:rPr>
        <w:t>.投标文件编制要求</w:t>
      </w:r>
    </w:p>
    <w:p>
      <w:pPr>
        <w:pStyle w:val="51"/>
        <w:spacing w:after="0" w:line="400" w:lineRule="exact"/>
        <w:ind w:firstLine="480" w:firstLineChars="200"/>
        <w:textAlignment w:val="baseline"/>
      </w:pPr>
      <w:r>
        <w:t>1</w:t>
      </w:r>
      <w:r>
        <w:rPr>
          <w:rFonts w:hint="eastAsia"/>
          <w:lang w:val="en-US" w:eastAsia="zh-CN"/>
        </w:rPr>
        <w:t>1</w:t>
      </w:r>
      <w:r>
        <w:t>.1投标人应仔细阅读招标文件，了解招标文件的要求，在完全了解招标项目的技术要求和商务要求后，编制投标文件。</w:t>
      </w:r>
    </w:p>
    <w:p>
      <w:pPr>
        <w:pStyle w:val="51"/>
        <w:spacing w:after="0" w:line="400" w:lineRule="exact"/>
        <w:ind w:firstLine="480" w:firstLineChars="200"/>
        <w:textAlignment w:val="baseline"/>
      </w:pPr>
      <w:r>
        <w:t>1</w:t>
      </w:r>
      <w:r>
        <w:rPr>
          <w:rFonts w:hint="eastAsia"/>
          <w:lang w:val="en-US" w:eastAsia="zh-CN"/>
        </w:rPr>
        <w:t>1</w:t>
      </w:r>
      <w:r>
        <w:t>.2在招标文件对技术要求中，投标人必须充分应答和满足用户的强制性的需求，如“★”等，否则将导致无效标。</w:t>
      </w:r>
    </w:p>
    <w:p>
      <w:pPr>
        <w:spacing w:line="400" w:lineRule="exact"/>
        <w:ind w:firstLine="480" w:firstLineChars="200"/>
      </w:pPr>
      <w:r>
        <w:t>1</w:t>
      </w:r>
      <w:r>
        <w:rPr>
          <w:rFonts w:hint="eastAsia"/>
          <w:lang w:val="en-US" w:eastAsia="zh-CN"/>
        </w:rPr>
        <w:t>1.</w:t>
      </w:r>
      <w:r>
        <w:t>3编制的投标文件对招标文件中有关条款未提出异议的，均被视为接受和同意。</w:t>
      </w:r>
    </w:p>
    <w:p>
      <w:pPr>
        <w:spacing w:line="400" w:lineRule="exact"/>
        <w:ind w:firstLine="480" w:firstLineChars="200"/>
      </w:pPr>
      <w:r>
        <w:t>1</w:t>
      </w:r>
      <w:r>
        <w:rPr>
          <w:rFonts w:hint="eastAsia"/>
          <w:lang w:val="en-US" w:eastAsia="zh-CN"/>
        </w:rPr>
        <w:t>1</w:t>
      </w:r>
      <w:r>
        <w:t>.4投标人应根据电子投标操作指南按本招标文件规定的格式和顺序编制电子投标文件并进行关联定位。</w:t>
      </w:r>
    </w:p>
    <w:p>
      <w:pPr>
        <w:spacing w:line="400" w:lineRule="exact"/>
        <w:ind w:firstLine="480" w:firstLineChars="200"/>
      </w:pPr>
      <w:r>
        <w:t>1</w:t>
      </w:r>
      <w:r>
        <w:rPr>
          <w:rFonts w:hint="eastAsia"/>
          <w:lang w:val="en-US" w:eastAsia="zh-CN"/>
        </w:rPr>
        <w:t>1</w:t>
      </w:r>
      <w:r>
        <w:t>.5由于未按招标文件的规定要求编制投标文件，导致评审小组作出的对投标人的误判，责任由投标人自己承担。</w:t>
      </w:r>
    </w:p>
    <w:p>
      <w:pPr>
        <w:adjustRightInd w:val="0"/>
        <w:snapToGrid w:val="0"/>
        <w:spacing w:line="400" w:lineRule="exact"/>
        <w:ind w:firstLine="480"/>
      </w:pPr>
      <w:r>
        <w:rPr>
          <w:b/>
        </w:rPr>
        <w:t>1</w:t>
      </w:r>
      <w:r>
        <w:rPr>
          <w:rFonts w:hint="eastAsia"/>
          <w:b/>
          <w:lang w:val="en-US" w:eastAsia="zh-CN"/>
        </w:rPr>
        <w:t>2</w:t>
      </w:r>
      <w:r>
        <w:rPr>
          <w:b/>
        </w:rPr>
        <w:t>.</w:t>
      </w:r>
      <w:r>
        <w:rPr>
          <w:b/>
          <w:bCs/>
        </w:rPr>
        <w:t>投标文件的语言及度量衡单位</w:t>
      </w:r>
    </w:p>
    <w:p>
      <w:pPr>
        <w:adjustRightInd w:val="0"/>
        <w:snapToGrid w:val="0"/>
        <w:spacing w:line="400" w:lineRule="exact"/>
        <w:ind w:firstLine="480" w:firstLineChars="200"/>
      </w:pPr>
      <w:r>
        <w:t>1</w:t>
      </w:r>
      <w:r>
        <w:rPr>
          <w:rFonts w:hint="eastAsia"/>
          <w:lang w:val="en-US" w:eastAsia="zh-CN"/>
        </w:rPr>
        <w:t>2</w:t>
      </w:r>
      <w:r>
        <w:t>.1投标文件和与投标有关的所有文件均应使用中文简体字。</w:t>
      </w:r>
    </w:p>
    <w:p>
      <w:pPr>
        <w:pStyle w:val="143"/>
        <w:spacing w:line="400" w:lineRule="exact"/>
        <w:ind w:firstLine="480" w:firstLineChars="200"/>
        <w:jc w:val="both"/>
        <w:rPr>
          <w:rFonts w:ascii="Times New Roman" w:hAnsi="Times New Roman" w:cs="Times New Roman"/>
        </w:rPr>
      </w:pPr>
      <w:r>
        <w:rPr>
          <w:rFonts w:ascii="Times New Roman" w:hAnsi="Times New Roman" w:cs="Times New Roman"/>
          <w:szCs w:val="24"/>
        </w:rPr>
        <w:t>1</w:t>
      </w:r>
      <w:r>
        <w:rPr>
          <w:rFonts w:hint="eastAsia" w:ascii="Times New Roman" w:hAnsi="Times New Roman" w:cs="Times New Roman"/>
          <w:szCs w:val="24"/>
          <w:lang w:val="en-US" w:eastAsia="zh-CN"/>
        </w:rPr>
        <w:t>2</w:t>
      </w:r>
      <w:r>
        <w:rPr>
          <w:rFonts w:ascii="Times New Roman" w:hAnsi="Times New Roman" w:cs="Times New Roman"/>
          <w:szCs w:val="24"/>
        </w:rPr>
        <w:t>.2</w:t>
      </w:r>
      <w:r>
        <w:rPr>
          <w:rFonts w:ascii="Times New Roman" w:hAnsi="Times New Roman" w:cs="Times New Roman"/>
        </w:rPr>
        <w:t>原版为外文的证书类文件，以及由外国人作出的本人签名、外国公司的名称或外国印章等可以是外文，但应当提供中文翻译文件并加盖电子签章。</w:t>
      </w:r>
    </w:p>
    <w:p>
      <w:pPr>
        <w:pStyle w:val="31"/>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2</w:t>
      </w:r>
      <w:r>
        <w:rPr>
          <w:rFonts w:ascii="Times New Roman" w:hAnsi="Times New Roman" w:cs="Times New Roman"/>
          <w:sz w:val="24"/>
          <w:szCs w:val="24"/>
        </w:rPr>
        <w:t>.3除工程规范另有规定外，投标文件使用的度量衡单位，均采用中华人民共和国法定计量单位。</w:t>
      </w:r>
    </w:p>
    <w:p>
      <w:pPr>
        <w:pStyle w:val="31"/>
        <w:spacing w:line="400" w:lineRule="exact"/>
        <w:ind w:firstLine="472" w:firstLineChars="196"/>
        <w:rPr>
          <w:rFonts w:ascii="Times New Roman" w:hAnsi="Times New Roman" w:cs="Times New Roman"/>
          <w:b/>
          <w:bCs/>
          <w:sz w:val="24"/>
          <w:szCs w:val="24"/>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3</w:t>
      </w:r>
      <w:r>
        <w:rPr>
          <w:rFonts w:ascii="Times New Roman" w:hAnsi="Times New Roman" w:cs="Times New Roman"/>
          <w:b/>
          <w:bCs/>
          <w:sz w:val="24"/>
          <w:szCs w:val="24"/>
        </w:rPr>
        <w:t>.投标报价</w:t>
      </w:r>
    </w:p>
    <w:p>
      <w:pPr>
        <w:pStyle w:val="31"/>
        <w:spacing w:line="44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.1投标人应根据国家的有关规定和招标文件要求并结合企业的实际情况进行投标报价。投标报价以人民币为结算货币，</w:t>
      </w:r>
      <w:r>
        <w:rPr>
          <w:rFonts w:hint="eastAsia" w:ascii="Times New Roman" w:hAnsi="Times New Roman" w:eastAsia="宋体" w:cs="Times New Roman"/>
          <w:sz w:val="24"/>
          <w:szCs w:val="24"/>
        </w:rPr>
        <w:t>投标报价须包括</w:t>
      </w:r>
      <w:r>
        <w:rPr>
          <w:rFonts w:ascii="Times New Roman" w:hAnsi="Times New Roman" w:eastAsia="宋体" w:cs="Times New Roman"/>
          <w:sz w:val="24"/>
          <w:szCs w:val="24"/>
        </w:rPr>
        <w:t>因承包本次采购项目服务所需的</w:t>
      </w:r>
      <w:r>
        <w:rPr>
          <w:rFonts w:hint="eastAsia" w:ascii="Times New Roman" w:hAnsi="Times New Roman" w:eastAsia="宋体" w:cs="Times New Roman"/>
          <w:sz w:val="24"/>
          <w:szCs w:val="24"/>
        </w:rPr>
        <w:t>服务费、线路租赁费（如有）、货物价款（备品备件）、</w:t>
      </w:r>
      <w:r>
        <w:rPr>
          <w:rFonts w:hint="eastAsia" w:ascii="Times New Roman" w:hAnsi="Times New Roman" w:eastAsia="宋体" w:cs="Times New Roman"/>
          <w:sz w:val="24"/>
          <w:szCs w:val="24"/>
          <w:lang w:eastAsia="zh-CN"/>
        </w:rPr>
        <w:t>项目软硬件</w:t>
      </w:r>
      <w:r>
        <w:rPr>
          <w:rFonts w:hint="eastAsia" w:ascii="Times New Roman" w:hAnsi="Times New Roman" w:eastAsia="宋体" w:cs="Times New Roman"/>
          <w:sz w:val="24"/>
          <w:szCs w:val="24"/>
        </w:rPr>
        <w:t>费用、人员费用、运输费、装卸费、利润、税金、</w:t>
      </w:r>
      <w:r>
        <w:rPr>
          <w:rFonts w:ascii="Times New Roman" w:hAnsi="Times New Roman" w:eastAsia="宋体" w:cs="Times New Roman"/>
          <w:sz w:val="24"/>
          <w:szCs w:val="24"/>
        </w:rPr>
        <w:t>保险及不可预见费用等一切费用，应是招标文件确定的招标范围内的全部工作内容的价格表现，完成该项目</w:t>
      </w:r>
      <w:r>
        <w:rPr>
          <w:rFonts w:hint="eastAsia" w:ascii="Times New Roman" w:hAnsi="Times New Roman" w:eastAsia="宋体" w:cs="Times New Roman"/>
          <w:sz w:val="24"/>
          <w:szCs w:val="24"/>
          <w:lang w:eastAsia="zh-CN"/>
        </w:rPr>
        <w:t>的所有费用及</w:t>
      </w:r>
      <w:r>
        <w:rPr>
          <w:rFonts w:ascii="Times New Roman" w:hAnsi="Times New Roman" w:eastAsia="宋体" w:cs="Times New Roman"/>
          <w:sz w:val="24"/>
          <w:szCs w:val="24"/>
        </w:rPr>
        <w:t>各环节所必需的连带工作或服务、成果验收、以及政策性文件规定、合同包含的所有风险责任</w:t>
      </w:r>
      <w:r>
        <w:rPr>
          <w:rFonts w:hint="eastAsia" w:ascii="Times New Roman" w:hAnsi="Times New Roman" w:eastAsia="宋体" w:cs="Times New Roman"/>
          <w:sz w:val="24"/>
          <w:szCs w:val="24"/>
          <w:lang w:eastAsia="zh-CN"/>
        </w:rPr>
        <w:t>等所有费用</w:t>
      </w:r>
      <w:r>
        <w:rPr>
          <w:rFonts w:ascii="Times New Roman" w:hAnsi="Times New Roman" w:eastAsia="宋体" w:cs="Times New Roman"/>
          <w:sz w:val="24"/>
          <w:szCs w:val="24"/>
        </w:rPr>
        <w:t>。如有漏项，视同已包含在本报价中，投标</w:t>
      </w:r>
      <w:r>
        <w:rPr>
          <w:rFonts w:hint="eastAsia" w:ascii="Times New Roman" w:hAnsi="Times New Roman" w:eastAsia="宋体" w:cs="Times New Roman"/>
          <w:sz w:val="24"/>
          <w:szCs w:val="24"/>
          <w:lang w:eastAsia="zh-CN"/>
        </w:rPr>
        <w:t>单价及</w:t>
      </w:r>
      <w:r>
        <w:rPr>
          <w:rFonts w:ascii="Times New Roman" w:hAnsi="Times New Roman" w:eastAsia="宋体" w:cs="Times New Roman"/>
          <w:sz w:val="24"/>
          <w:szCs w:val="24"/>
        </w:rPr>
        <w:t>总价不做调整</w:t>
      </w:r>
      <w:r>
        <w:rPr>
          <w:rFonts w:ascii="Times New Roman" w:hAnsi="Times New Roman" w:eastAsia="宋体" w:cs="Times New Roman"/>
          <w:sz w:val="24"/>
          <w:szCs w:val="24"/>
          <w:highlight w:val="none"/>
        </w:rPr>
        <w:t>。</w:t>
      </w:r>
    </w:p>
    <w:p>
      <w:pPr>
        <w:pStyle w:val="31"/>
        <w:spacing w:line="400" w:lineRule="exact"/>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1</w:t>
      </w:r>
      <w:r>
        <w:rPr>
          <w:rFonts w:hint="eastAsia" w:ascii="Times New Roman" w:hAnsi="Times New Roman" w:cs="Times New Roman"/>
          <w:sz w:val="24"/>
          <w:szCs w:val="24"/>
          <w:highlight w:val="none"/>
          <w:lang w:val="en-US" w:eastAsia="zh-CN"/>
        </w:rPr>
        <w:t>3</w:t>
      </w:r>
      <w:r>
        <w:rPr>
          <w:rFonts w:ascii="Times New Roman" w:hAnsi="Times New Roman" w:cs="Times New Roman"/>
          <w:sz w:val="24"/>
          <w:szCs w:val="24"/>
          <w:highlight w:val="none"/>
        </w:rPr>
        <w:t>.2投标人应在投标文件的《开标一览表》上写明投标报价项目的</w:t>
      </w:r>
      <w:r>
        <w:rPr>
          <w:rFonts w:hint="eastAsia" w:ascii="Times New Roman" w:hAnsi="Times New Roman" w:cs="Times New Roman"/>
          <w:sz w:val="24"/>
          <w:szCs w:val="24"/>
          <w:highlight w:val="none"/>
        </w:rPr>
        <w:t>单价及</w:t>
      </w:r>
      <w:r>
        <w:rPr>
          <w:rFonts w:ascii="Times New Roman" w:hAnsi="Times New Roman" w:cs="Times New Roman"/>
          <w:sz w:val="24"/>
          <w:szCs w:val="24"/>
          <w:highlight w:val="none"/>
        </w:rPr>
        <w:t>总价。</w:t>
      </w:r>
    </w:p>
    <w:p>
      <w:pPr>
        <w:pStyle w:val="31"/>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3</w:t>
      </w:r>
      <w:r>
        <w:rPr>
          <w:rFonts w:ascii="Times New Roman" w:hAnsi="Times New Roman" w:cs="Times New Roman"/>
          <w:sz w:val="24"/>
          <w:szCs w:val="24"/>
        </w:rPr>
        <w:t>.3中标后，中标人所填写的报价在合同实施期间不因市场变化因素而变动，投标人在计算报价时应考虑一定的风险系数。</w:t>
      </w:r>
    </w:p>
    <w:p>
      <w:pPr>
        <w:pStyle w:val="31"/>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3</w:t>
      </w:r>
      <w:r>
        <w:rPr>
          <w:rFonts w:ascii="Times New Roman" w:hAnsi="Times New Roman" w:cs="Times New Roman"/>
          <w:sz w:val="24"/>
          <w:szCs w:val="24"/>
        </w:rPr>
        <w:t>.4投标人应按招标文件规定的报价格式进行投标报价。投标人对每种货物只允许有一个报价，招标方不接受任何有选择性的报价。</w:t>
      </w:r>
    </w:p>
    <w:p>
      <w:pPr>
        <w:pStyle w:val="31"/>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3</w:t>
      </w:r>
      <w:r>
        <w:rPr>
          <w:rFonts w:ascii="Times New Roman" w:hAnsi="Times New Roman" w:cs="Times New Roman"/>
          <w:sz w:val="24"/>
          <w:szCs w:val="24"/>
        </w:rPr>
        <w:t>.5</w:t>
      </w:r>
      <w:r>
        <w:rPr>
          <w:rFonts w:ascii="Times New Roman" w:hAnsi="Times New Roman" w:cs="Times New Roman"/>
          <w:spacing w:val="-8"/>
          <w:sz w:val="24"/>
          <w:szCs w:val="24"/>
        </w:rPr>
        <w:t>招标方不接受低于成本的投标报价。</w:t>
      </w:r>
    </w:p>
    <w:p>
      <w:pPr>
        <w:pStyle w:val="31"/>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3</w:t>
      </w:r>
      <w:r>
        <w:rPr>
          <w:rFonts w:ascii="Times New Roman" w:hAnsi="Times New Roman" w:cs="Times New Roman"/>
          <w:sz w:val="24"/>
          <w:szCs w:val="24"/>
        </w:rPr>
        <w:t>.6投标人按照上述要求编制投标报价。一旦确认某一投标人中标，除合同规定的可调整内容外，中标人不得要求追加任何费用。</w:t>
      </w:r>
    </w:p>
    <w:p>
      <w:pPr>
        <w:pStyle w:val="31"/>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3</w:t>
      </w:r>
      <w:r>
        <w:rPr>
          <w:rFonts w:ascii="Times New Roman" w:hAnsi="Times New Roman" w:cs="Times New Roman"/>
          <w:sz w:val="24"/>
          <w:szCs w:val="24"/>
        </w:rPr>
        <w:t>.7须由中标单位开具正式发票。</w:t>
      </w:r>
    </w:p>
    <w:p>
      <w:pPr>
        <w:spacing w:line="400" w:lineRule="exact"/>
        <w:ind w:firstLine="480" w:firstLineChars="200"/>
      </w:pPr>
      <w:r>
        <w:t>1</w:t>
      </w:r>
      <w:r>
        <w:rPr>
          <w:rFonts w:hint="eastAsia"/>
          <w:lang w:val="en-US" w:eastAsia="zh-CN"/>
        </w:rPr>
        <w:t>3</w:t>
      </w:r>
      <w:r>
        <w:t>.8招标文件中规定由投标单位承担并支付的相关费用在投标报价时应一并考虑。</w:t>
      </w:r>
    </w:p>
    <w:p>
      <w:pPr>
        <w:adjustRightInd w:val="0"/>
        <w:snapToGrid w:val="0"/>
        <w:spacing w:line="400" w:lineRule="exact"/>
        <w:ind w:firstLine="482" w:firstLineChars="200"/>
        <w:rPr>
          <w:b/>
          <w:bCs/>
        </w:rPr>
      </w:pPr>
      <w:r>
        <w:rPr>
          <w:b/>
          <w:bCs/>
        </w:rPr>
        <w:t>1</w:t>
      </w:r>
      <w:r>
        <w:rPr>
          <w:rFonts w:hint="eastAsia"/>
          <w:b/>
          <w:bCs/>
          <w:lang w:val="en-US" w:eastAsia="zh-CN"/>
        </w:rPr>
        <w:t>4</w:t>
      </w:r>
      <w:r>
        <w:rPr>
          <w:b/>
          <w:bCs/>
        </w:rPr>
        <w:t>.投标文件格式</w:t>
      </w:r>
    </w:p>
    <w:p>
      <w:pPr>
        <w:pStyle w:val="31"/>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31"/>
        <w:spacing w:line="36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5.</w:t>
      </w:r>
      <w:r>
        <w:rPr>
          <w:rFonts w:ascii="Times New Roman" w:hAnsi="Times New Roman" w:cs="Times New Roman"/>
          <w:b/>
          <w:bCs/>
          <w:sz w:val="24"/>
          <w:szCs w:val="24"/>
        </w:rPr>
        <w:t>履约保证金：</w:t>
      </w:r>
      <w:r>
        <w:rPr>
          <w:rFonts w:ascii="Times New Roman" w:hAnsi="Times New Roman" w:cs="Times New Roman"/>
          <w:bCs/>
          <w:sz w:val="24"/>
          <w:szCs w:val="24"/>
        </w:rPr>
        <w:t>无</w:t>
      </w:r>
    </w:p>
    <w:p>
      <w:pPr>
        <w:spacing w:line="400" w:lineRule="exact"/>
        <w:ind w:firstLine="482" w:firstLineChars="200"/>
        <w:rPr>
          <w:b/>
          <w:bCs/>
        </w:rPr>
      </w:pPr>
      <w:r>
        <w:rPr>
          <w:b/>
          <w:bCs/>
        </w:rPr>
        <w:t>1</w:t>
      </w:r>
      <w:r>
        <w:rPr>
          <w:rFonts w:hint="eastAsia"/>
          <w:b/>
          <w:bCs/>
          <w:lang w:val="en-US" w:eastAsia="zh-CN"/>
        </w:rPr>
        <w:t>6</w:t>
      </w:r>
      <w:r>
        <w:rPr>
          <w:b/>
          <w:bCs/>
        </w:rPr>
        <w:t>.投标有效期</w:t>
      </w:r>
    </w:p>
    <w:p>
      <w:pPr>
        <w:pStyle w:val="31"/>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6</w:t>
      </w:r>
      <w:r>
        <w:rPr>
          <w:rFonts w:ascii="Times New Roman" w:hAnsi="Times New Roman" w:cs="Times New Roman"/>
          <w:sz w:val="24"/>
          <w:szCs w:val="24"/>
        </w:rPr>
        <w:t>.1投标文件从开标之日起，投标有效期为90天。</w:t>
      </w:r>
    </w:p>
    <w:p>
      <w:pPr>
        <w:pStyle w:val="31"/>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6</w:t>
      </w:r>
      <w:r>
        <w:rPr>
          <w:rFonts w:ascii="Times New Roman" w:hAnsi="Times New Roman" w:cs="Times New Roman"/>
          <w:sz w:val="24"/>
          <w:szCs w:val="24"/>
        </w:rPr>
        <w:t>.2特殊情况下，在原投标有效期截止之前，采购人可要求投标人同意延长有效期，这种要求与答复均应以书面形式提交。投标人可拒绝这种要求，接受延长投标有效期的投标人将不会被要求和允许修正其投标。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6"/>
        <w:spacing w:before="0" w:after="0" w:line="400" w:lineRule="exact"/>
        <w:rPr>
          <w:rFonts w:ascii="Times New Roman" w:hAnsi="Times New Roman" w:eastAsia="宋体"/>
          <w:sz w:val="24"/>
          <w:szCs w:val="24"/>
        </w:rPr>
      </w:pPr>
      <w:bookmarkStart w:id="25" w:name="_Toc274303232"/>
      <w:bookmarkStart w:id="26" w:name="_Toc362250690"/>
      <w:bookmarkStart w:id="27" w:name="_Toc406413931"/>
      <w:bookmarkStart w:id="28" w:name="_Toc27181"/>
      <w:r>
        <w:rPr>
          <w:rFonts w:ascii="Times New Roman" w:hAnsi="Times New Roman" w:eastAsia="宋体"/>
          <w:sz w:val="24"/>
          <w:szCs w:val="24"/>
        </w:rPr>
        <w:t>四、投标文件的递交</w:t>
      </w:r>
      <w:bookmarkEnd w:id="25"/>
      <w:bookmarkEnd w:id="26"/>
      <w:bookmarkEnd w:id="27"/>
      <w:bookmarkEnd w:id="28"/>
    </w:p>
    <w:p>
      <w:pPr>
        <w:tabs>
          <w:tab w:val="left" w:pos="315"/>
        </w:tabs>
        <w:adjustRightInd w:val="0"/>
        <w:snapToGrid w:val="0"/>
        <w:spacing w:line="400" w:lineRule="exact"/>
        <w:ind w:firstLine="482" w:firstLineChars="200"/>
        <w:rPr>
          <w:b/>
          <w:bCs/>
        </w:rPr>
      </w:pPr>
      <w:r>
        <w:rPr>
          <w:b/>
          <w:bCs/>
        </w:rPr>
        <w:t>1</w:t>
      </w:r>
      <w:r>
        <w:rPr>
          <w:rFonts w:hint="eastAsia"/>
          <w:b/>
          <w:bCs/>
          <w:lang w:val="en-US" w:eastAsia="zh-CN"/>
        </w:rPr>
        <w:t>7</w:t>
      </w:r>
      <w:r>
        <w:rPr>
          <w:b/>
          <w:bCs/>
        </w:rPr>
        <w:t>.电子投标文件上传的地点和截止时间</w:t>
      </w:r>
    </w:p>
    <w:p>
      <w:pPr>
        <w:pStyle w:val="31"/>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投标人应在投标截止时间（2022</w:t>
      </w:r>
      <w:r>
        <w:rPr>
          <w:rFonts w:hint="default" w:ascii="Times New Roman" w:hAnsi="Times New Roman" w:cs="Times New Roman"/>
          <w:color w:val="auto"/>
          <w:sz w:val="24"/>
          <w:szCs w:val="24"/>
        </w:rPr>
        <w:t>年</w:t>
      </w:r>
      <w:r>
        <w:rPr>
          <w:rFonts w:hint="eastAsia" w:ascii="Times New Roman" w:hAnsi="Times New Roman" w:cs="Times New Roman"/>
          <w:color w:val="FF0000"/>
          <w:sz w:val="24"/>
          <w:szCs w:val="24"/>
          <w:lang w:val="en-US" w:eastAsia="zh-CN"/>
        </w:rPr>
        <w:t>11</w:t>
      </w:r>
      <w:r>
        <w:rPr>
          <w:rFonts w:hint="default" w:ascii="Times New Roman" w:hAnsi="Times New Roman" w:cs="Times New Roman"/>
          <w:color w:val="FF0000"/>
          <w:sz w:val="24"/>
          <w:szCs w:val="24"/>
          <w:lang w:val="en-US" w:eastAsia="zh-CN"/>
        </w:rPr>
        <w:t>月</w:t>
      </w:r>
      <w:r>
        <w:rPr>
          <w:rFonts w:hint="eastAsia" w:ascii="Times New Roman" w:hAnsi="Times New Roman" w:cs="Times New Roman"/>
          <w:color w:val="FF0000"/>
          <w:sz w:val="24"/>
          <w:szCs w:val="24"/>
          <w:lang w:val="en-US" w:eastAsia="zh-CN"/>
        </w:rPr>
        <w:t>17</w:t>
      </w:r>
      <w:r>
        <w:rPr>
          <w:rFonts w:hint="default" w:ascii="Times New Roman" w:hAnsi="Times New Roman" w:cs="Times New Roman"/>
          <w:color w:val="FF0000"/>
          <w:sz w:val="24"/>
          <w:szCs w:val="24"/>
          <w:lang w:val="en-US" w:eastAsia="zh-CN"/>
        </w:rPr>
        <w:t>日</w:t>
      </w:r>
      <w:r>
        <w:rPr>
          <w:rFonts w:hint="eastAsia" w:ascii="Times New Roman" w:hAnsi="Times New Roman" w:eastAsia="宋体" w:cs="Times New Roman"/>
          <w:color w:val="auto"/>
          <w:sz w:val="24"/>
          <w:szCs w:val="24"/>
          <w:lang w:val="en-US" w:eastAsia="zh-CN"/>
        </w:rPr>
        <w:t>0</w:t>
      </w:r>
      <w:r>
        <w:rPr>
          <w:rFonts w:ascii="Times New Roman" w:hAnsi="Times New Roman" w:cs="Times New Roman"/>
          <w:sz w:val="24"/>
          <w:szCs w:val="24"/>
        </w:rPr>
        <w:t>9:30）之前上传投标文件，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ascii="Times New Roman" w:hAnsi="Times New Roman" w:cs="Times New Roman"/>
          <w:b/>
          <w:bCs/>
          <w:sz w:val="24"/>
          <w:szCs w:val="24"/>
        </w:rPr>
        <w:t>投标供应商仅递交备份投标文件的，投标无效。</w:t>
      </w:r>
    </w:p>
    <w:p>
      <w:pPr>
        <w:tabs>
          <w:tab w:val="left" w:pos="315"/>
        </w:tabs>
        <w:adjustRightInd w:val="0"/>
        <w:snapToGrid w:val="0"/>
        <w:spacing w:line="400" w:lineRule="exact"/>
        <w:ind w:firstLine="482" w:firstLineChars="200"/>
        <w:rPr>
          <w:b/>
          <w:bCs/>
        </w:rPr>
      </w:pPr>
      <w:r>
        <w:rPr>
          <w:b/>
        </w:rPr>
        <w:t>1</w:t>
      </w:r>
      <w:r>
        <w:rPr>
          <w:rFonts w:hint="eastAsia"/>
          <w:b/>
          <w:lang w:val="en-US" w:eastAsia="zh-CN"/>
        </w:rPr>
        <w:t>8</w:t>
      </w:r>
      <w:r>
        <w:rPr>
          <w:b/>
        </w:rPr>
        <w:t>.</w:t>
      </w:r>
      <w:r>
        <w:rPr>
          <w:b/>
          <w:bCs/>
        </w:rPr>
        <w:t>投标文件的补充、修改与撤回</w:t>
      </w:r>
    </w:p>
    <w:p>
      <w:pPr>
        <w:pStyle w:val="31"/>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8</w:t>
      </w:r>
      <w:r>
        <w:rPr>
          <w:rFonts w:ascii="Times New Roman" w:hAnsi="Times New Roman" w:cs="Times New Roman"/>
          <w:sz w:val="24"/>
          <w:szCs w:val="24"/>
        </w:rPr>
        <w:t>.1投标人在“政采云”上提交投标文件以后，在规定的投标截止时间之前，可以重新补充修改或撤回已上传的投标文件，补充、修改的内容为投标文件的组成部分。</w:t>
      </w:r>
    </w:p>
    <w:p>
      <w:pPr>
        <w:pStyle w:val="31"/>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8</w:t>
      </w:r>
      <w:r>
        <w:rPr>
          <w:rFonts w:ascii="Times New Roman" w:hAnsi="Times New Roman" w:cs="Times New Roman"/>
          <w:sz w:val="24"/>
          <w:szCs w:val="24"/>
        </w:rPr>
        <w:t>.2在投标截止时间之后，投标人不得对其投标做任何修改。</w:t>
      </w:r>
    </w:p>
    <w:p>
      <w:pPr>
        <w:pStyle w:val="31"/>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8</w:t>
      </w:r>
      <w:r>
        <w:rPr>
          <w:rFonts w:ascii="Times New Roman" w:hAnsi="Times New Roman" w:cs="Times New Roman"/>
          <w:sz w:val="24"/>
          <w:szCs w:val="24"/>
        </w:rPr>
        <w:t>.3从投标截止时间至投标人在投标书格式中确定的投标有效期期满这段时间内，投标人不得撤回其投标。</w:t>
      </w:r>
    </w:p>
    <w:p>
      <w:pPr>
        <w:spacing w:line="400" w:lineRule="exact"/>
        <w:ind w:firstLine="482" w:firstLineChars="200"/>
        <w:rPr>
          <w:b/>
        </w:rPr>
      </w:pPr>
      <w:r>
        <w:rPr>
          <w:b/>
        </w:rPr>
        <w:t>1</w:t>
      </w:r>
      <w:r>
        <w:rPr>
          <w:rFonts w:hint="eastAsia"/>
          <w:b/>
          <w:lang w:val="en-US" w:eastAsia="zh-CN"/>
        </w:rPr>
        <w:t>9</w:t>
      </w:r>
      <w:r>
        <w:rPr>
          <w:b/>
        </w:rPr>
        <w:t>.投标文件解密</w:t>
      </w:r>
    </w:p>
    <w:p>
      <w:pPr>
        <w:pStyle w:val="31"/>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本项目采用线上开标，供应商无需到开标现场，但应准时在线参加。开标时间后采购中心开启解密。开启解密后的1小时内，供应商应当登录“政采云”，用“项目采购-开标评标”功能解密投标文件。</w:t>
      </w:r>
    </w:p>
    <w:p>
      <w:pPr>
        <w:pStyle w:val="31"/>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如政采云上投标文件在规定时间内出现解密失败的，投标人可按照自身意愿确认同意提供加密密码，启用备份文件，并由采购中心把备份文件上传至“政采云”。如投标人未按照规定时间（202</w:t>
      </w: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年</w:t>
      </w:r>
      <w:r>
        <w:rPr>
          <w:rFonts w:hint="eastAsia" w:ascii="Times New Roman" w:hAnsi="Times New Roman" w:cs="Times New Roman"/>
          <w:color w:val="FF0000"/>
          <w:sz w:val="24"/>
          <w:szCs w:val="24"/>
          <w:lang w:val="en-US" w:eastAsia="zh-CN"/>
        </w:rPr>
        <w:t>11</w:t>
      </w:r>
      <w:r>
        <w:rPr>
          <w:rFonts w:hint="default" w:ascii="Times New Roman" w:hAnsi="Times New Roman" w:cs="Times New Roman"/>
          <w:color w:val="FF0000"/>
          <w:sz w:val="24"/>
          <w:szCs w:val="24"/>
          <w:lang w:val="en-US" w:eastAsia="zh-CN"/>
        </w:rPr>
        <w:t>月</w:t>
      </w:r>
      <w:r>
        <w:rPr>
          <w:rFonts w:hint="eastAsia" w:ascii="Times New Roman" w:hAnsi="Times New Roman" w:cs="Times New Roman"/>
          <w:color w:val="FF0000"/>
          <w:sz w:val="24"/>
          <w:szCs w:val="24"/>
          <w:lang w:val="en-US" w:eastAsia="zh-CN"/>
        </w:rPr>
        <w:t>17</w:t>
      </w:r>
      <w:r>
        <w:rPr>
          <w:rFonts w:hint="default" w:ascii="Times New Roman" w:hAnsi="Times New Roman" w:cs="Times New Roman"/>
          <w:color w:val="FF0000"/>
          <w:sz w:val="24"/>
          <w:szCs w:val="24"/>
          <w:lang w:val="en-US" w:eastAsia="zh-CN"/>
        </w:rPr>
        <w:t>日</w:t>
      </w:r>
      <w:r>
        <w:rPr>
          <w:rFonts w:hint="default" w:ascii="Times New Roman" w:hAnsi="Times New Roman" w:cs="Times New Roman"/>
          <w:sz w:val="24"/>
          <w:szCs w:val="24"/>
        </w:rPr>
        <w:t>上</w:t>
      </w:r>
      <w:r>
        <w:rPr>
          <w:rFonts w:ascii="Times New Roman" w:hAnsi="Times New Roman" w:cs="Times New Roman"/>
          <w:sz w:val="24"/>
          <w:szCs w:val="24"/>
        </w:rPr>
        <w:t>午09:30前）及要求提供有效备份标书，同时政采云上投标文件解密失败的，将导致投标无效。</w:t>
      </w:r>
    </w:p>
    <w:p>
      <w:pPr>
        <w:pStyle w:val="31"/>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如果投标人发送两份以上备份文件的，以最后收到的那一份为准，通过“政采云”上传递交的“加密投标文件”已按时解密的，“备份投标文件”自动失效。</w:t>
      </w:r>
    </w:p>
    <w:p>
      <w:pPr>
        <w:pStyle w:val="6"/>
        <w:numPr>
          <w:ilvl w:val="0"/>
          <w:numId w:val="0"/>
        </w:numPr>
        <w:spacing w:before="120" w:after="120" w:line="400" w:lineRule="exact"/>
        <w:rPr>
          <w:rFonts w:ascii="Times New Roman" w:hAnsi="Times New Roman" w:eastAsia="宋体"/>
          <w:sz w:val="24"/>
          <w:szCs w:val="24"/>
        </w:rPr>
      </w:pPr>
      <w:bookmarkStart w:id="29" w:name="_Toc406413932"/>
      <w:bookmarkStart w:id="30" w:name="_Toc362250691"/>
      <w:bookmarkStart w:id="31" w:name="_Toc274303233"/>
      <w:bookmarkStart w:id="32" w:name="_Toc7348"/>
      <w:r>
        <w:rPr>
          <w:rFonts w:ascii="Times New Roman" w:hAnsi="Times New Roman" w:eastAsia="宋体"/>
          <w:sz w:val="24"/>
          <w:szCs w:val="24"/>
        </w:rPr>
        <w:t>五、</w:t>
      </w:r>
      <w:bookmarkEnd w:id="29"/>
      <w:bookmarkEnd w:id="30"/>
      <w:bookmarkEnd w:id="31"/>
      <w:r>
        <w:rPr>
          <w:rFonts w:ascii="Times New Roman" w:hAnsi="Times New Roman" w:eastAsia="宋体"/>
          <w:sz w:val="24"/>
          <w:szCs w:val="24"/>
        </w:rPr>
        <w:t>其它</w:t>
      </w:r>
      <w:bookmarkEnd w:id="32"/>
    </w:p>
    <w:p>
      <w:pPr>
        <w:spacing w:line="400" w:lineRule="exact"/>
        <w:ind w:firstLine="482" w:firstLineChars="200"/>
        <w:rPr>
          <w:b/>
          <w:bCs/>
        </w:rPr>
      </w:pPr>
      <w:r>
        <w:rPr>
          <w:rFonts w:hint="eastAsia"/>
          <w:b/>
          <w:bCs/>
          <w:lang w:val="en-US" w:eastAsia="zh-CN"/>
        </w:rPr>
        <w:t>20</w:t>
      </w:r>
      <w:r>
        <w:rPr>
          <w:b/>
          <w:bCs/>
        </w:rPr>
        <w:t>.本招标文件解释权归“招标方”。</w:t>
      </w: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spacing w:line="400" w:lineRule="exact"/>
        <w:ind w:firstLine="482" w:firstLineChars="200"/>
        <w:rPr>
          <w:b/>
          <w:bCs/>
        </w:rPr>
      </w:pPr>
    </w:p>
    <w:p>
      <w:pPr>
        <w:pStyle w:val="5"/>
        <w:spacing w:before="0" w:after="0" w:line="400" w:lineRule="atLeast"/>
        <w:jc w:val="center"/>
        <w:rPr>
          <w:rFonts w:ascii="宋体" w:hAnsi="宋体" w:cs="宋体"/>
          <w:sz w:val="36"/>
        </w:rPr>
      </w:pPr>
      <w:bookmarkStart w:id="33" w:name="_Toc27734"/>
      <w:bookmarkStart w:id="34" w:name="_Toc31308"/>
      <w:bookmarkStart w:id="35" w:name="_Toc274303234"/>
      <w:bookmarkStart w:id="36" w:name="_Toc24741"/>
      <w:bookmarkStart w:id="37" w:name="_Toc9111"/>
      <w:bookmarkStart w:id="38" w:name="_Toc406413933"/>
      <w:r>
        <w:rPr>
          <w:rFonts w:hint="eastAsia" w:ascii="宋体" w:hAnsi="宋体" w:cs="宋体"/>
          <w:sz w:val="36"/>
        </w:rPr>
        <w:t>第三章 招标项目要求</w:t>
      </w:r>
      <w:bookmarkEnd w:id="33"/>
      <w:bookmarkEnd w:id="34"/>
      <w:bookmarkEnd w:id="35"/>
      <w:bookmarkEnd w:id="36"/>
      <w:bookmarkEnd w:id="37"/>
      <w:bookmarkEnd w:id="38"/>
      <w:bookmarkStart w:id="39" w:name="_Toc226973000"/>
      <w:bookmarkStart w:id="40" w:name="_Toc274303251"/>
      <w:bookmarkStart w:id="41" w:name="_Toc406413936"/>
    </w:p>
    <w:p>
      <w:pPr>
        <w:pStyle w:val="6"/>
        <w:widowControl w:val="0"/>
        <w:spacing w:before="120" w:after="120"/>
        <w:jc w:val="both"/>
        <w:rPr>
          <w:rFonts w:hint="eastAsia" w:ascii="Times New Roman" w:hAnsi="Times New Roman" w:eastAsia="宋体" w:cs="Times New Roman"/>
          <w:b/>
          <w:bCs w:val="0"/>
          <w:sz w:val="24"/>
          <w:szCs w:val="24"/>
          <w:highlight w:val="none"/>
          <w:lang w:eastAsia="zh-CN"/>
        </w:rPr>
      </w:pPr>
      <w:bookmarkStart w:id="42" w:name="_Toc37951771"/>
      <w:bookmarkStart w:id="43" w:name="_Toc521403320"/>
      <w:bookmarkStart w:id="44" w:name="_Toc11061"/>
      <w:bookmarkStart w:id="45" w:name="_Toc74063753"/>
      <w:bookmarkStart w:id="46" w:name="_Toc90042290"/>
      <w:r>
        <w:rPr>
          <w:rFonts w:hint="eastAsia" w:ascii="Times New Roman" w:hAnsi="Times New Roman" w:eastAsia="宋体" w:cs="Times New Roman"/>
          <w:b/>
          <w:bCs w:val="0"/>
          <w:sz w:val="24"/>
          <w:szCs w:val="24"/>
          <w:highlight w:val="none"/>
          <w:lang w:eastAsia="zh-CN"/>
        </w:rPr>
        <w:t>一、项目概况</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义乌信息经济发展迅速，信息基础设施、业务服务平台及智慧服务应用均走在省内前列，义乌“最多跑一次”改革跑出了新步伐，“义网通办”业务快速落地，各类政府数据资源充分整合，政务数据资源目录体系和交换体系初步建成，业务协同能力稳步提升。自然人、法人、地理信息和宏观经济等基础数据库基本建成，各类专业数据库建设有序推进，便民类智慧服务应用初显成效，数据安全管理和建设工作稳步推进，但顶层设计有待加强，标准规范不够健全，针对义乌数据资源中心信息共享和开放业务，缺乏统一的安全顶层设计和统筹规划，对于政务信息系统的架构、数据的分类分级、数据共享开放的渠道安全、数据共享开放的过程安全等缺乏统一的规范和指导。</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义乌数据中心机房包括三个机房，江东机房、宾王机房、联通机房。目前江东机房已经完成了政务云安全资源的部署，保障委办局的业务数据。数据安全层面已经部署数据安全管控、数据分级分类、数据审计等安全产品，构建数据安全相应的安全能力。同时，包括政务外网、感知网等多个基础网络都规划网络安全建设体系，其他相关的安全基础建设、管理制度、运营体系正在逐步完善。</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义乌市数据管理中心为健全自身网络安全以及数据安全防护和监测能力，</w:t>
      </w:r>
      <w:r>
        <w:rPr>
          <w:rFonts w:hint="eastAsia" w:ascii="宋体" w:hAnsi="宋体" w:eastAsia="宋体" w:cs="宋体"/>
          <w:sz w:val="24"/>
          <w:szCs w:val="24"/>
          <w:highlight w:val="none"/>
          <w:lang w:eastAsia="zh-CN"/>
        </w:rPr>
        <w:t>拟</w:t>
      </w:r>
      <w:r>
        <w:rPr>
          <w:rFonts w:hint="eastAsia" w:ascii="宋体" w:hAnsi="宋体" w:eastAsia="宋体" w:cs="宋体"/>
          <w:sz w:val="24"/>
          <w:szCs w:val="24"/>
          <w:highlight w:val="none"/>
        </w:rPr>
        <w:t>于2022年启动全链路网络安全监管服务采购，汇聚全区各部门本地沉淀数据及相关部门的应用。一方面可大大提升基础资源的利用率，提高工作效率和服务能力；另一方面可以利用丰富的数据资源，结合行业业务将理论、业务、技术三方融合，为领导层决策提供依据、为政策制定提供建议、为政策落实提高精准度。</w:t>
      </w:r>
    </w:p>
    <w:p>
      <w:pPr>
        <w:spacing w:line="360" w:lineRule="auto"/>
        <w:ind w:firstLine="480" w:firstLineChars="200"/>
        <w:jc w:val="left"/>
        <w:rPr>
          <w:rFonts w:hint="eastAsia" w:ascii="宋体" w:hAnsi="宋体" w:eastAsia="宋体" w:cs="宋体"/>
          <w:sz w:val="24"/>
          <w:szCs w:val="24"/>
          <w:highlight w:val="green"/>
        </w:rPr>
      </w:pPr>
      <w:r>
        <w:rPr>
          <w:rFonts w:hint="eastAsia" w:ascii="宋体" w:hAnsi="宋体" w:cs="宋体"/>
        </w:rPr>
        <w:t>根据省大数据局下发的《浙江省电子政务外网安全评估指标体系》等工作要求</w:t>
      </w:r>
      <w:r>
        <w:rPr>
          <w:rFonts w:hint="eastAsia" w:ascii="宋体" w:hAnsi="宋体" w:cs="宋体"/>
          <w:lang w:eastAsia="zh-CN"/>
        </w:rPr>
        <w:t>，</w:t>
      </w:r>
      <w:r>
        <w:rPr>
          <w:rFonts w:hint="eastAsia" w:ascii="宋体" w:hAnsi="宋体" w:eastAsia="宋体" w:cs="宋体"/>
          <w:sz w:val="24"/>
          <w:szCs w:val="24"/>
          <w:highlight w:val="none"/>
        </w:rPr>
        <w:t>采用预防性建设为主、检测响应为辅的思路，以“安全能力服务化，安全服务集约化”为设计原则，构建覆盖义乌市、县（市、区）云、网、端、边界、数据全链路网络安全保障体系。以合规为基线，以业务流程为导向，建立完善的网络安全保障和监管措施。同时，将原本零散的安全数据变成统一规范的安全数据资源提供安全运营支撑能力。引入高水平网络安全运营服务，有效支撑日常安全运营管理工作，将安全运营工作与各个支撑单位与组织联动起来，建立立体化的安全运营模式。</w:t>
      </w:r>
    </w:p>
    <w:p>
      <w:pPr>
        <w:spacing w:line="360" w:lineRule="auto"/>
        <w:ind w:firstLine="480" w:firstLineChars="200"/>
        <w:jc w:val="left"/>
        <w:rPr>
          <w:rFonts w:hint="eastAsia" w:ascii="宋体" w:hAnsi="宋体" w:eastAsia="宋体" w:cs="宋体"/>
          <w:sz w:val="24"/>
          <w:szCs w:val="24"/>
          <w:highlight w:val="green"/>
        </w:rPr>
      </w:pPr>
    </w:p>
    <w:p>
      <w:pPr>
        <w:pStyle w:val="6"/>
        <w:widowControl w:val="0"/>
        <w:spacing w:before="120" w:after="120"/>
        <w:jc w:val="both"/>
        <w:rPr>
          <w:rFonts w:hint="eastAsia" w:ascii="Times New Roman" w:hAnsi="Times New Roman" w:eastAsia="宋体" w:cs="Times New Roman"/>
          <w:b/>
          <w:bCs w:val="0"/>
          <w:sz w:val="24"/>
          <w:szCs w:val="24"/>
          <w:highlight w:val="none"/>
        </w:rPr>
      </w:pPr>
      <w:r>
        <w:rPr>
          <w:rFonts w:hint="eastAsia" w:ascii="Times New Roman" w:hAnsi="Times New Roman" w:eastAsia="宋体" w:cs="Times New Roman"/>
          <w:b/>
          <w:bCs w:val="0"/>
          <w:sz w:val="24"/>
          <w:szCs w:val="24"/>
          <w:highlight w:val="none"/>
          <w:lang w:eastAsia="zh-CN"/>
        </w:rPr>
        <w:t>二</w:t>
      </w:r>
      <w:r>
        <w:rPr>
          <w:rFonts w:hint="eastAsia" w:ascii="Times New Roman" w:hAnsi="Times New Roman" w:eastAsia="宋体" w:cs="Times New Roman"/>
          <w:b/>
          <w:bCs w:val="0"/>
          <w:sz w:val="24"/>
          <w:szCs w:val="24"/>
          <w:highlight w:val="none"/>
        </w:rPr>
        <w:t>、</w:t>
      </w:r>
      <w:bookmarkEnd w:id="42"/>
      <w:bookmarkEnd w:id="43"/>
      <w:r>
        <w:rPr>
          <w:rFonts w:hint="eastAsia" w:ascii="Times New Roman" w:hAnsi="Times New Roman" w:eastAsia="宋体" w:cs="Times New Roman"/>
          <w:b/>
          <w:bCs w:val="0"/>
          <w:sz w:val="24"/>
          <w:szCs w:val="24"/>
          <w:highlight w:val="none"/>
        </w:rPr>
        <w:t>项目采购清单</w:t>
      </w:r>
    </w:p>
    <w:tbl>
      <w:tblPr>
        <w:tblStyle w:val="57"/>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638"/>
        <w:gridCol w:w="4546"/>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64" w:type="pct"/>
            <w:vAlign w:val="center"/>
          </w:tcPr>
          <w:p>
            <w:pPr>
              <w:pStyle w:val="365"/>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序号</w:t>
            </w:r>
          </w:p>
        </w:tc>
        <w:tc>
          <w:tcPr>
            <w:tcW w:w="1361" w:type="pct"/>
            <w:vAlign w:val="center"/>
          </w:tcPr>
          <w:p>
            <w:pPr>
              <w:pStyle w:val="365"/>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服务大类</w:t>
            </w:r>
          </w:p>
        </w:tc>
        <w:tc>
          <w:tcPr>
            <w:tcW w:w="2345" w:type="pct"/>
            <w:vAlign w:val="center"/>
          </w:tcPr>
          <w:p>
            <w:pPr>
              <w:pStyle w:val="365"/>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服务子类</w:t>
            </w:r>
          </w:p>
        </w:tc>
        <w:tc>
          <w:tcPr>
            <w:tcW w:w="927" w:type="pct"/>
            <w:vAlign w:val="center"/>
          </w:tcPr>
          <w:p>
            <w:pPr>
              <w:pStyle w:val="365"/>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361" w:type="pct"/>
            <w:vAlign w:val="center"/>
          </w:tcPr>
          <w:p>
            <w:pPr>
              <w:pStyle w:val="365"/>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全链路监管定制服务</w:t>
            </w: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立体化跟踪通报，多维度考核服务</w:t>
            </w:r>
          </w:p>
        </w:tc>
        <w:tc>
          <w:tcPr>
            <w:tcW w:w="927" w:type="pct"/>
            <w:vMerge w:val="restart"/>
            <w:vAlign w:val="center"/>
          </w:tcPr>
          <w:p>
            <w:pPr>
              <w:pStyle w:val="31"/>
              <w:numPr>
                <w:ilvl w:val="0"/>
                <w:numId w:val="0"/>
              </w:numPr>
              <w:adjustRightInd w:val="0"/>
              <w:spacing w:line="240" w:lineRule="auto"/>
              <w:rPr>
                <w:rFonts w:hint="default" w:ascii="Times New Roman" w:hAnsi="Times New Roman" w:eastAsia="宋体" w:cs="Times New Roman"/>
                <w:sz w:val="24"/>
                <w:szCs w:val="24"/>
                <w:highlight w:val="none"/>
              </w:rPr>
            </w:pPr>
            <w:r>
              <w:rPr>
                <w:rFonts w:hint="eastAsia" w:ascii="Times New Roman" w:hAnsi="Times New Roman" w:eastAsia="宋体" w:cs="Times New Roman"/>
                <w:kern w:val="2"/>
                <w:sz w:val="24"/>
                <w:szCs w:val="24"/>
                <w:lang w:val="en-US" w:eastAsia="zh-CN" w:bidi="ar-SA"/>
              </w:rPr>
              <w:t>详见“具体服务</w:t>
            </w:r>
            <w:r>
              <w:rPr>
                <w:rFonts w:hint="eastAsia" w:ascii="Times New Roman" w:hAnsi="Times New Roman" w:cs="Times New Roman"/>
                <w:kern w:val="2"/>
                <w:sz w:val="24"/>
                <w:szCs w:val="24"/>
                <w:lang w:val="en-US" w:eastAsia="zh-CN" w:bidi="ar-SA"/>
              </w:rPr>
              <w:t>技术</w:t>
            </w:r>
            <w:r>
              <w:rPr>
                <w:rFonts w:hint="eastAsia" w:ascii="Times New Roman" w:hAnsi="Times New Roman" w:eastAsia="宋体" w:cs="Times New Roman"/>
                <w:kern w:val="2"/>
                <w:sz w:val="24"/>
                <w:szCs w:val="24"/>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361" w:type="pct"/>
            <w:vAlign w:val="center"/>
          </w:tcPr>
          <w:p>
            <w:pPr>
              <w:pStyle w:val="365"/>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政务云安全资源池服务</w:t>
            </w:r>
          </w:p>
        </w:tc>
        <w:tc>
          <w:tcPr>
            <w:tcW w:w="2345" w:type="pct"/>
            <w:vAlign w:val="center"/>
          </w:tcPr>
          <w:p>
            <w:pPr>
              <w:pStyle w:val="365"/>
              <w:spacing w:line="240" w:lineRule="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安全资源池</w:t>
            </w:r>
            <w:r>
              <w:rPr>
                <w:rFonts w:hint="eastAsia" w:ascii="Times New Roman" w:hAnsi="Times New Roman" w:cs="Times New Roman"/>
                <w:sz w:val="24"/>
                <w:szCs w:val="24"/>
                <w:lang w:eastAsia="zh-CN"/>
              </w:rPr>
              <w:t>管理</w:t>
            </w:r>
            <w:r>
              <w:rPr>
                <w:rFonts w:hint="default" w:ascii="Times New Roman" w:hAnsi="Times New Roman" w:eastAsia="宋体" w:cs="Times New Roman"/>
                <w:sz w:val="24"/>
                <w:szCs w:val="24"/>
              </w:rPr>
              <w:t>服务</w:t>
            </w:r>
            <w:r>
              <w:rPr>
                <w:rFonts w:hint="eastAsia" w:ascii="Times New Roman" w:hAnsi="Times New Roman" w:cs="Times New Roman"/>
                <w:sz w:val="24"/>
                <w:szCs w:val="24"/>
                <w:lang w:eastAsia="zh-CN"/>
              </w:rPr>
              <w:t>及能力服务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361" w:type="pct"/>
            <w:vMerge w:val="restart"/>
            <w:vAlign w:val="center"/>
          </w:tcPr>
          <w:p>
            <w:pPr>
              <w:pStyle w:val="365"/>
              <w:spacing w:line="240" w:lineRule="auto"/>
              <w:jc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rPr>
              <w:t>网络安全数据分析服务</w:t>
            </w: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资产数据治理服务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p>
        </w:tc>
        <w:tc>
          <w:tcPr>
            <w:tcW w:w="1361" w:type="pct"/>
            <w:vMerge w:val="continue"/>
            <w:vAlign w:val="center"/>
          </w:tcPr>
          <w:p>
            <w:pPr>
              <w:widowControl/>
              <w:spacing w:line="240" w:lineRule="auto"/>
              <w:jc w:val="center"/>
              <w:rPr>
                <w:rFonts w:hint="default" w:ascii="Times New Roman" w:hAnsi="Times New Roman" w:eastAsia="宋体" w:cs="Times New Roman"/>
                <w:sz w:val="24"/>
                <w:szCs w:val="24"/>
                <w:highlight w:val="none"/>
                <w:lang w:val="en-US" w:eastAsia="zh-CN" w:bidi="ar-SA"/>
              </w:rPr>
            </w:pP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网络威胁情报中心服务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361" w:type="pct"/>
            <w:vMerge w:val="restart"/>
            <w:vAlign w:val="center"/>
          </w:tcPr>
          <w:p>
            <w:pPr>
              <w:pStyle w:val="365"/>
              <w:spacing w:line="240" w:lineRule="auto"/>
              <w:jc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rPr>
              <w:t>政务数据安全防护服务</w:t>
            </w: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日志采集及审计分析系统预处理节点服务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p>
        </w:tc>
        <w:tc>
          <w:tcPr>
            <w:tcW w:w="1361" w:type="pct"/>
            <w:vMerge w:val="continue"/>
            <w:vAlign w:val="center"/>
          </w:tcPr>
          <w:p>
            <w:pPr>
              <w:widowControl/>
              <w:spacing w:line="240" w:lineRule="auto"/>
              <w:jc w:val="center"/>
              <w:rPr>
                <w:rFonts w:hint="default" w:ascii="Times New Roman" w:hAnsi="Times New Roman" w:eastAsia="宋体" w:cs="Times New Roman"/>
                <w:sz w:val="24"/>
                <w:szCs w:val="24"/>
                <w:highlight w:val="none"/>
                <w:lang w:val="en-US" w:eastAsia="zh-CN" w:bidi="ar-SA"/>
              </w:rPr>
            </w:pP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数据分级分类服务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p>
        </w:tc>
        <w:tc>
          <w:tcPr>
            <w:tcW w:w="1361" w:type="pct"/>
            <w:vMerge w:val="continue"/>
            <w:vAlign w:val="center"/>
          </w:tcPr>
          <w:p>
            <w:pPr>
              <w:widowControl/>
              <w:spacing w:line="240" w:lineRule="auto"/>
              <w:jc w:val="center"/>
              <w:rPr>
                <w:rFonts w:hint="default" w:ascii="Times New Roman" w:hAnsi="Times New Roman" w:eastAsia="宋体" w:cs="Times New Roman"/>
                <w:sz w:val="24"/>
                <w:szCs w:val="24"/>
                <w:highlight w:val="none"/>
                <w:lang w:val="en-US" w:eastAsia="zh-CN" w:bidi="ar-SA"/>
              </w:rPr>
            </w:pP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数据脱敏服务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p>
        </w:tc>
        <w:tc>
          <w:tcPr>
            <w:tcW w:w="1361" w:type="pct"/>
            <w:vMerge w:val="continue"/>
            <w:vAlign w:val="center"/>
          </w:tcPr>
          <w:p>
            <w:pPr>
              <w:widowControl/>
              <w:spacing w:line="240" w:lineRule="auto"/>
              <w:jc w:val="center"/>
              <w:rPr>
                <w:rFonts w:hint="default" w:ascii="Times New Roman" w:hAnsi="Times New Roman" w:eastAsia="宋体" w:cs="Times New Roman"/>
                <w:sz w:val="24"/>
                <w:szCs w:val="24"/>
                <w:highlight w:val="none"/>
                <w:lang w:val="en-US" w:eastAsia="zh-CN" w:bidi="ar-SA"/>
              </w:rPr>
            </w:pP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数据管控服务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p>
        </w:tc>
        <w:tc>
          <w:tcPr>
            <w:tcW w:w="1361" w:type="pct"/>
            <w:vMerge w:val="continue"/>
            <w:vAlign w:val="center"/>
          </w:tcPr>
          <w:p>
            <w:pPr>
              <w:widowControl/>
              <w:spacing w:line="240" w:lineRule="auto"/>
              <w:jc w:val="center"/>
              <w:rPr>
                <w:rFonts w:hint="default" w:ascii="Times New Roman" w:hAnsi="Times New Roman" w:eastAsia="宋体" w:cs="Times New Roman"/>
                <w:sz w:val="24"/>
                <w:szCs w:val="24"/>
                <w:highlight w:val="none"/>
                <w:lang w:val="en-US" w:eastAsia="zh-CN" w:bidi="ar-SA"/>
              </w:rPr>
            </w:pP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数据加密服务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p>
        </w:tc>
        <w:tc>
          <w:tcPr>
            <w:tcW w:w="1361" w:type="pct"/>
            <w:vMerge w:val="continue"/>
            <w:vAlign w:val="center"/>
          </w:tcPr>
          <w:p>
            <w:pPr>
              <w:widowControl/>
              <w:spacing w:line="240" w:lineRule="auto"/>
              <w:jc w:val="center"/>
              <w:rPr>
                <w:rFonts w:hint="default" w:ascii="Times New Roman" w:hAnsi="Times New Roman" w:eastAsia="宋体" w:cs="Times New Roman"/>
                <w:sz w:val="24"/>
                <w:szCs w:val="24"/>
                <w:highlight w:val="none"/>
                <w:lang w:val="en-US" w:eastAsia="zh-CN" w:bidi="ar-SA"/>
              </w:rPr>
            </w:pP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数据安全态势感知服务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361" w:type="pct"/>
            <w:vMerge w:val="restart"/>
            <w:vAlign w:val="center"/>
          </w:tcPr>
          <w:p>
            <w:pPr>
              <w:pStyle w:val="365"/>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政务应用安全防护服务</w:t>
            </w: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应用防护服务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61" w:type="pct"/>
            <w:vMerge w:val="continue"/>
            <w:vAlign w:val="center"/>
          </w:tcPr>
          <w:p>
            <w:pPr>
              <w:widowControl/>
              <w:spacing w:line="240" w:lineRule="auto"/>
              <w:jc w:val="center"/>
              <w:rPr>
                <w:rFonts w:hint="default" w:ascii="Times New Roman" w:hAnsi="Times New Roman" w:eastAsia="宋体" w:cs="Times New Roman"/>
                <w:sz w:val="24"/>
                <w:szCs w:val="24"/>
                <w:highlight w:val="none"/>
              </w:rPr>
            </w:pP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政务云应用监测服务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361" w:type="pct"/>
            <w:vMerge w:val="restart"/>
            <w:vAlign w:val="center"/>
          </w:tcPr>
          <w:p>
            <w:pPr>
              <w:pStyle w:val="365"/>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政务外网终端安全服务</w:t>
            </w: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终端安全主机防护服务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61" w:type="pct"/>
            <w:vMerge w:val="continue"/>
            <w:vAlign w:val="center"/>
          </w:tcPr>
          <w:p>
            <w:pPr>
              <w:widowControl/>
              <w:spacing w:line="240" w:lineRule="auto"/>
              <w:jc w:val="center"/>
              <w:rPr>
                <w:rFonts w:hint="default" w:ascii="Times New Roman" w:hAnsi="Times New Roman" w:eastAsia="宋体" w:cs="Times New Roman"/>
                <w:sz w:val="24"/>
                <w:szCs w:val="24"/>
                <w:highlight w:val="none"/>
              </w:rPr>
            </w:pP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终端安全零信任控制服务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361" w:type="pct"/>
            <w:vMerge w:val="restart"/>
            <w:vAlign w:val="center"/>
          </w:tcPr>
          <w:p>
            <w:pPr>
              <w:pStyle w:val="365"/>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政务用户行为分析服务</w:t>
            </w: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用户行为分析（UEBA）服务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361" w:type="pct"/>
            <w:vMerge w:val="continue"/>
            <w:vAlign w:val="center"/>
          </w:tcPr>
          <w:p>
            <w:pPr>
              <w:widowControl/>
              <w:spacing w:line="240" w:lineRule="auto"/>
              <w:jc w:val="center"/>
              <w:rPr>
                <w:rFonts w:hint="default" w:ascii="Times New Roman" w:hAnsi="Times New Roman" w:eastAsia="宋体" w:cs="Times New Roman"/>
                <w:sz w:val="24"/>
                <w:szCs w:val="24"/>
                <w:highlight w:val="none"/>
              </w:rPr>
            </w:pP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蜜罐系统服务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pc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1361" w:type="pct"/>
            <w:vAlign w:val="center"/>
          </w:tcPr>
          <w:p>
            <w:pPr>
              <w:pStyle w:val="365"/>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驻场人员安全运营服务</w:t>
            </w:r>
          </w:p>
        </w:tc>
        <w:tc>
          <w:tcPr>
            <w:tcW w:w="2345" w:type="pct"/>
            <w:vAlign w:val="center"/>
          </w:tcPr>
          <w:p>
            <w:pPr>
              <w:pStyle w:val="365"/>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驻场服务</w:t>
            </w:r>
          </w:p>
        </w:tc>
        <w:tc>
          <w:tcPr>
            <w:tcW w:w="927" w:type="pct"/>
            <w:vMerge w:val="continue"/>
            <w:vAlign w:val="center"/>
          </w:tcPr>
          <w:p>
            <w:pPr>
              <w:pStyle w:val="31"/>
              <w:adjustRightInd w:val="0"/>
              <w:spacing w:line="240" w:lineRule="auto"/>
              <w:jc w:val="center"/>
              <w:rPr>
                <w:rFonts w:hint="default" w:ascii="Times New Roman" w:hAnsi="Times New Roman" w:eastAsia="宋体" w:cs="Times New Roman"/>
                <w:sz w:val="24"/>
                <w:szCs w:val="24"/>
                <w:highlight w:val="none"/>
              </w:rPr>
            </w:pPr>
          </w:p>
        </w:tc>
      </w:tr>
      <w:bookmarkEnd w:id="44"/>
    </w:tbl>
    <w:p>
      <w:pPr>
        <w:spacing w:line="360" w:lineRule="auto"/>
        <w:jc w:val="left"/>
        <w:rPr>
          <w:rFonts w:hint="default" w:ascii="宋体" w:hAnsi="宋体" w:eastAsia="宋体" w:cs="宋体"/>
          <w:b/>
          <w:bCs/>
          <w:sz w:val="24"/>
          <w:szCs w:val="24"/>
          <w:highlight w:val="none"/>
          <w:lang w:eastAsia="zh-CN"/>
        </w:rPr>
      </w:pPr>
      <w:bookmarkStart w:id="47" w:name="_Toc511291243"/>
      <w:bookmarkStart w:id="48" w:name="_Toc519089551"/>
      <w:bookmarkStart w:id="49" w:name="_Toc37951772"/>
      <w:bookmarkStart w:id="50" w:name="_Toc12525"/>
    </w:p>
    <w:p>
      <w:pPr>
        <w:pStyle w:val="6"/>
        <w:widowControl w:val="0"/>
        <w:spacing w:before="120" w:after="120"/>
        <w:jc w:val="both"/>
        <w:rPr>
          <w:rFonts w:hint="eastAsia" w:ascii="Times New Roman" w:hAnsi="Times New Roman" w:eastAsia="宋体" w:cs="Times New Roman"/>
          <w:b/>
          <w:bCs w:val="0"/>
          <w:sz w:val="24"/>
          <w:szCs w:val="24"/>
          <w:highlight w:val="none"/>
          <w:lang w:eastAsia="zh-CN"/>
        </w:rPr>
      </w:pPr>
      <w:r>
        <w:rPr>
          <w:rFonts w:hint="eastAsia" w:ascii="Times New Roman" w:hAnsi="Times New Roman" w:eastAsia="宋体" w:cs="Times New Roman"/>
          <w:b/>
          <w:bCs w:val="0"/>
          <w:sz w:val="24"/>
          <w:szCs w:val="24"/>
          <w:highlight w:val="none"/>
          <w:lang w:eastAsia="zh-CN"/>
        </w:rPr>
        <w:t>三、</w:t>
      </w:r>
      <w:bookmarkEnd w:id="47"/>
      <w:bookmarkEnd w:id="48"/>
      <w:bookmarkEnd w:id="49"/>
      <w:r>
        <w:rPr>
          <w:rFonts w:hint="eastAsia" w:ascii="Times New Roman" w:hAnsi="Times New Roman" w:eastAsia="宋体" w:cs="Times New Roman"/>
          <w:b/>
          <w:bCs w:val="0"/>
          <w:sz w:val="24"/>
          <w:szCs w:val="24"/>
          <w:highlight w:val="none"/>
          <w:lang w:eastAsia="zh-CN"/>
        </w:rPr>
        <w:t>项目技术要求</w:t>
      </w:r>
      <w:bookmarkEnd w:id="50"/>
    </w:p>
    <w:p>
      <w:pPr>
        <w:pStyle w:val="6"/>
        <w:widowControl w:val="0"/>
        <w:spacing w:before="120" w:after="120" w:line="312" w:lineRule="auto"/>
        <w:jc w:val="both"/>
        <w:rPr>
          <w:rFonts w:hint="eastAsia" w:ascii="Times New Roman" w:hAnsi="Times New Roman" w:eastAsia="宋体" w:cs="Times New Roman"/>
          <w:b/>
          <w:bCs w:val="0"/>
          <w:sz w:val="24"/>
          <w:szCs w:val="24"/>
          <w:lang w:eastAsia="zh-CN"/>
        </w:rPr>
      </w:pPr>
      <w:r>
        <w:rPr>
          <w:rFonts w:hint="eastAsia" w:ascii="Times New Roman" w:hAnsi="Times New Roman" w:eastAsia="宋体" w:cs="Times New Roman"/>
          <w:b/>
          <w:bCs w:val="0"/>
          <w:sz w:val="24"/>
          <w:szCs w:val="24"/>
          <w:lang w:eastAsia="zh-CN"/>
        </w:rPr>
        <w:t>1.全链路监管定制服务</w:t>
      </w:r>
    </w:p>
    <w:p>
      <w:pPr>
        <w:pStyle w:val="6"/>
        <w:widowControl w:val="0"/>
        <w:spacing w:before="120" w:after="120" w:line="312" w:lineRule="auto"/>
        <w:jc w:val="both"/>
        <w:rPr>
          <w:rFonts w:hint="eastAsia" w:ascii="Times New Roman" w:hAnsi="Times New Roman" w:eastAsia="宋体" w:cs="Times New Roman"/>
          <w:b/>
          <w:bCs w:val="0"/>
          <w:sz w:val="24"/>
          <w:szCs w:val="24"/>
          <w:lang w:eastAsia="zh-CN"/>
        </w:rPr>
      </w:pPr>
      <w:r>
        <w:rPr>
          <w:rFonts w:hint="eastAsia" w:ascii="Times New Roman" w:hAnsi="Times New Roman" w:eastAsia="宋体" w:cs="Times New Roman"/>
          <w:b/>
          <w:bCs w:val="0"/>
          <w:sz w:val="24"/>
          <w:szCs w:val="24"/>
          <w:lang w:val="en-US" w:eastAsia="zh-CN"/>
        </w:rPr>
        <w:t>1.1</w:t>
      </w:r>
      <w:r>
        <w:rPr>
          <w:rFonts w:hint="eastAsia" w:ascii="Times New Roman" w:hAnsi="Times New Roman" w:eastAsia="宋体" w:cs="Times New Roman"/>
          <w:b/>
          <w:bCs w:val="0"/>
          <w:sz w:val="24"/>
          <w:szCs w:val="24"/>
          <w:lang w:eastAsia="zh-CN"/>
        </w:rPr>
        <w:t>监管定制服务</w:t>
      </w:r>
    </w:p>
    <w:tbl>
      <w:tblPr>
        <w:tblStyle w:val="57"/>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99"/>
        <w:gridCol w:w="1232"/>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服务能力指标</w:t>
            </w:r>
          </w:p>
        </w:tc>
        <w:tc>
          <w:tcPr>
            <w:tcW w:w="4008" w:type="pct"/>
            <w:shd w:val="clear" w:color="auto" w:fill="FFFFFF" w:themeFill="background1"/>
            <w:vAlign w:val="center"/>
          </w:tcPr>
          <w:p>
            <w:pPr>
              <w:pStyle w:val="365"/>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具体服务</w:t>
            </w:r>
            <w:r>
              <w:rPr>
                <w:rFonts w:hint="eastAsia" w:ascii="Times New Roman" w:hAnsi="Times New Roman" w:cs="Times New Roman"/>
                <w:kern w:val="2"/>
                <w:sz w:val="24"/>
                <w:szCs w:val="24"/>
                <w:lang w:val="en-US" w:eastAsia="zh-CN" w:bidi="ar-SA"/>
              </w:rPr>
              <w:t>技术</w:t>
            </w:r>
            <w:r>
              <w:rPr>
                <w:rFonts w:hint="default" w:ascii="Times New Roman" w:hAnsi="Times New Roman" w:eastAsia="宋体" w:cs="Times New Roman"/>
                <w:kern w:val="2"/>
                <w:sz w:val="24"/>
                <w:szCs w:val="24"/>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pct"/>
            <w:gridSpan w:val="2"/>
            <w:shd w:val="clear" w:color="auto" w:fill="FFFFFF" w:themeFill="background1"/>
            <w:vAlign w:val="center"/>
          </w:tcPr>
          <w:p>
            <w:pPr>
              <w:pStyle w:val="365"/>
              <w:spacing w:line="240" w:lineRule="auto"/>
              <w:jc w:val="center"/>
              <w:rPr>
                <w:rFonts w:hint="default" w:ascii="Times New Roman" w:hAnsi="Times New Roman" w:eastAsia="宋体" w:cs="Times New Roman"/>
                <w:sz w:val="24"/>
                <w:szCs w:val="24"/>
              </w:rPr>
            </w:pPr>
            <w:r>
              <w:rPr>
                <w:rFonts w:hint="eastAsia" w:ascii="Times New Roman" w:hAnsi="Times New Roman" w:cs="Times New Roman"/>
                <w:sz w:val="24"/>
                <w:szCs w:val="24"/>
              </w:rPr>
              <w:t>★</w:t>
            </w:r>
            <w:r>
              <w:rPr>
                <w:rFonts w:hint="default" w:ascii="Times New Roman" w:hAnsi="Times New Roman" w:eastAsia="宋体" w:cs="Times New Roman"/>
                <w:sz w:val="24"/>
                <w:szCs w:val="24"/>
              </w:rPr>
              <w:t>服务总体要求</w:t>
            </w:r>
          </w:p>
        </w:tc>
        <w:tc>
          <w:tcPr>
            <w:tcW w:w="4008" w:type="pct"/>
            <w:shd w:val="clear" w:color="auto" w:fill="FFFFFF" w:themeFill="background1"/>
            <w:vAlign w:val="center"/>
          </w:tcPr>
          <w:p>
            <w:pPr>
              <w:pStyle w:val="365"/>
              <w:spacing w:line="240" w:lineRule="auto"/>
              <w:jc w:val="both"/>
              <w:rPr>
                <w:rFonts w:ascii="Times New Roman" w:hAnsi="Times New Roman" w:cs="Times New Roman"/>
                <w:sz w:val="24"/>
                <w:szCs w:val="24"/>
              </w:rPr>
            </w:pPr>
            <w:r>
              <w:rPr>
                <w:rFonts w:hint="default" w:ascii="Times New Roman" w:hAnsi="Times New Roman" w:eastAsia="宋体" w:cs="Times New Roman"/>
                <w:sz w:val="24"/>
                <w:szCs w:val="24"/>
              </w:rPr>
              <w:t>覆盖云、网、端、边界、数据、应用、行为，构建全链路防护、检测、预警、处置、反馈体系以及在数字化改革</w:t>
            </w:r>
            <w:r>
              <w:rPr>
                <w:rFonts w:hint="eastAsia" w:ascii="Times New Roman" w:hAnsi="Times New Roman" w:cs="Times New Roman"/>
                <w:sz w:val="24"/>
                <w:szCs w:val="24"/>
                <w:lang w:eastAsia="zh-CN"/>
              </w:rPr>
              <w:t>应用</w:t>
            </w:r>
            <w:r>
              <w:rPr>
                <w:rFonts w:hint="default" w:ascii="Times New Roman" w:hAnsi="Times New Roman" w:eastAsia="宋体" w:cs="Times New Roman"/>
                <w:sz w:val="24"/>
                <w:szCs w:val="24"/>
              </w:rPr>
              <w:t>、关键信息基础设施等重要节点按照“四个同步”要求，建立覆盖边界、终端、数据、应用、行为全链路安全技术防控体系</w:t>
            </w:r>
            <w:r>
              <w:rPr>
                <w:rFonts w:hint="eastAsia" w:ascii="Times New Roman" w:hAnsi="Times New Roman" w:cs="Times New Roman"/>
                <w:sz w:val="24"/>
                <w:szCs w:val="24"/>
              </w:rPr>
              <w:t>，并完成以下对接工作：</w:t>
            </w:r>
          </w:p>
          <w:p>
            <w:pPr>
              <w:pStyle w:val="365"/>
              <w:numPr>
                <w:ilvl w:val="0"/>
                <w:numId w:val="2"/>
              </w:numPr>
              <w:spacing w:line="240" w:lineRule="auto"/>
              <w:jc w:val="both"/>
              <w:rPr>
                <w:rFonts w:ascii="Times New Roman" w:hAnsi="Times New Roman" w:cs="Times New Roman"/>
                <w:sz w:val="24"/>
                <w:szCs w:val="24"/>
              </w:rPr>
            </w:pPr>
            <w:r>
              <w:rPr>
                <w:rFonts w:hint="eastAsia" w:ascii="Times New Roman" w:hAnsi="Times New Roman" w:cs="Times New Roman"/>
                <w:sz w:val="24"/>
                <w:szCs w:val="24"/>
              </w:rPr>
              <w:t>数据对接。根据省大数据局下发的《浙江省电子政务外网安全评估指标体系》等上级工作要求，协助采购人完成与上级安全监管平台的上述六个维度数据对接与</w:t>
            </w:r>
            <w:r>
              <w:rPr>
                <w:rFonts w:hint="eastAsia" w:ascii="Times New Roman" w:hAnsi="Times New Roman" w:cs="Times New Roman"/>
                <w:sz w:val="24"/>
                <w:szCs w:val="24"/>
                <w:lang w:eastAsia="zh-CN"/>
              </w:rPr>
              <w:t>数据</w:t>
            </w:r>
            <w:r>
              <w:rPr>
                <w:rFonts w:hint="eastAsia" w:ascii="Times New Roman" w:hAnsi="Times New Roman" w:cs="Times New Roman"/>
                <w:sz w:val="24"/>
                <w:szCs w:val="24"/>
              </w:rPr>
              <w:t>上报工作。（须在投标文件中具体阐述数据对接方案及承诺书）</w:t>
            </w:r>
          </w:p>
          <w:p>
            <w:pPr>
              <w:pStyle w:val="365"/>
              <w:spacing w:line="240" w:lineRule="auto"/>
              <w:jc w:val="both"/>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业务流程对接。根据采购人实际业务需求，完成与上级监管平台</w:t>
            </w:r>
            <w:r>
              <w:rPr>
                <w:rFonts w:hint="eastAsia" w:ascii="Times New Roman" w:hAnsi="Times New Roman" w:cs="Times New Roman"/>
                <w:sz w:val="24"/>
                <w:szCs w:val="24"/>
                <w:lang w:eastAsia="zh-CN"/>
              </w:rPr>
              <w:t>的</w:t>
            </w:r>
            <w:r>
              <w:rPr>
                <w:rFonts w:hint="eastAsia" w:ascii="Times New Roman" w:hAnsi="Times New Roman" w:cs="Times New Roman"/>
                <w:sz w:val="24"/>
                <w:szCs w:val="24"/>
              </w:rPr>
              <w:t>业务贯通工作，达到</w:t>
            </w:r>
            <w:r>
              <w:rPr>
                <w:rFonts w:hint="eastAsia" w:ascii="Times New Roman" w:hAnsi="Times New Roman" w:cs="Times New Roman"/>
                <w:sz w:val="24"/>
                <w:szCs w:val="24"/>
                <w:lang w:eastAsia="zh-CN"/>
              </w:rPr>
              <w:t>上</w:t>
            </w:r>
            <w:r>
              <w:rPr>
                <w:rFonts w:hint="eastAsia" w:ascii="Times New Roman" w:hAnsi="Times New Roman" w:cs="Times New Roman"/>
                <w:sz w:val="24"/>
                <w:szCs w:val="24"/>
              </w:rPr>
              <w:t>级通报能直接流转至义乌各单位的目标。（须在投标文件中具体阐述业务流程对接方案及承诺书）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公告栏服务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总体描述</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提供立体化跟踪通报全流程周期，可以多维度展示通报工作开展情况，对网络安全工作进行监督考核。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事项看板服务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提供看板信息展示，包括通报、预警信息等，可以对整个信息发布过程进行跟踪记录。</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提供信息下钻，点击通报、预警信息，可以查看对应详情，如通报标题、创建时间等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通报总览服务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提供展示各个区域的通报情况，包括处置及时率、完结率、总量、逾期量，并以图表方式展示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预警中心服务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总体描述</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提供对网络安全事件或威胁发出通知或者预警，以警示相关单位。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通知管理服务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通知中可记录通知名称、标签、级别、详情、通知对象和举证信息</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通知举证信息可一键溯源，包括溯源到资产档案、系统档案、情报信息、原始日志等。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预警管理服务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预警中可记录预警名称、标签、级别、详情、预警对象和举证信息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通报中心服务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总体描述</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提供通过安全事件或风险隐患发布通报的服务，以督促相关单位妥善处置网络安全事件。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通报管理服务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提供通报流程统计的服务，可根据多维度查询展示通报信息。</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通报详情可显示多类通报相关信息，包括但不限于通报标题、通报标签、所属单位、发起单位、通报完整流程及当前所处流程、通报正文、举证信息、处理记录等</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通报流程可配置，各流程的对应的处置单位可自动生成，并可自定义调整</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提供对通报进行超时设置的服务，针对截止时间一天内的通报进行截止时间醒目提醒；针对已超时的通报进行超时显示，并显示具体超时时间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互联网外发服务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通报外发审批服务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提供新增通报、预警、通知的服务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通报文件导入服务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提供导入通报、预警、通知信息的服，并且可查看。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防控中心服务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网络安全防护服务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可一键封禁IP、批量解禁/封禁IP。</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可查看有封禁历史IP的封禁历史详情服务；可展示指定时间范围内封禁和解封次数统计；可展示指定时间范围内封禁/解封操作的时间、封禁/解禁操作、操作用户名、阻断时间等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应用安全防护服务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可一键关停/开启、批量关停/开启应用。</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可查看应用的关停历史详情；可展示指定时间范围内关停和开启次数统计；可展示指定时间范围内关停/开启操作的时间、关停/开启操作、操作用户名等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等保自助服务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自主注册服务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管理端可对注册填报页面的字段开启关闭及是否必填、附件上传、附件别名设置、模版上传、模板下载等进行灵活设置</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注册账号可与单位关联，注册成功后等保自动创建单位信息并同步到全息档案，实现等保与全息档案及其他模块业务打通。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在线备案子系统服务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系统定级服务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提供单位端自主定级、在线填报定级信息及线上选取或抽取定级专家的服务。</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可开通定级专家账号，定级专家登录平台后查看系统定级信息，专家组长给出定级评审意见并确认提交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在线备案服务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提供系统定级、备案申请、提交测评结果、异地测评申请、发证申请、备案变更、备案撤销申请及管理端对各环节的审批等操作的服务。</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可对备案数据可视化流程查看，包括查看任意节点审批人</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对备案编号可手动修改，并可验证修改后的唯一性、合规性，且修改权限可通过配置页面进行控制。</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提供备案申请的多种导入方式，包括手动输入、备案表导入、测评机构rar包导入等多种方式。</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发证申请领取证明方式可以选择，包括邮寄填报地址及自取网点选择。</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对备案单位、系统流程操作环节形成历史记录，以方便回溯。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智库搜索服务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关键字搜索服务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提供精准搜、全库搜、场景搜，并可跳转到高级搜索。</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可对历史搜索记录进行保存并快速传入历史查询条件。</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提供对数据库的数据量统计，信息描述，数据入库更新时间以及快速入口。</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可对全平台业务资产数据的关系图谱展示。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全库搜服务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情报库服务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提供对情报数据信息的检索、展示。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黑客库能服务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提供对黑客库数据信息的检索、展示。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恶意IP库服务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提供对恶意IP库数据信息的检索、展示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恶意域名库服务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提供对恶意域名库数据信息的检索、展示。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案件库服务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提供对案件数据信息的检索、展示。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事件库服务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提供对安全事件数据信息的检索、展示。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网络资产库服务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提供对网络资产数据信息的检索、展示。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等级保护基础库服务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提供对等级保护基础（单位、系统）数据信息的检索、展示。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关基基础信息库服务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提供对关基基础信息（单位、系统、人员、机房）数据信息的检索、展示。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漏洞库服务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提供对漏洞库数据信息的检索、展示。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木马病毒库服务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提供对木马病毒库数据信息的检索、展示。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技战法应用服务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技战法模型服务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提供技战法模型所产生的数据集的服务，即技战法应用的检索，进入数据集之后可进行简单的查询。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可用性监测服务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资产可用性服务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可对资产监测任务、IP资产及监测业务系统进行管理。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高危端口监测服务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高危端口服务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提供对高危端口信息进行集中管控，可进行新增、删除操作。</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可根据各端口涉及的资产数量进行排序，按顺序从左到右换行展示，点击更多跳转至高危端口页面。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网络资产认领服务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IP认领服务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资产认领页面用于扫描引擎发现当前资产列表中没有的数据时，进行展示处理。</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提供对单位名称（字符串）、资产IP、资产来源（按扫描引擎过滤）等相关字段查询。</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提供资产列表通过IP、所属单位、单位负责人、发现时间、资产来源、操作等字段展示。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网络安全知识库服务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知识库管理服务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可建立安全知识库，包括法律法规文件、标准规范文档、接口对接规范文档、标准解读等，且可以进行上传、下载。</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提供知识库文档权限设置，可设置完全公开、仅限本部门公开。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标准规范服务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提供新增制度规范，录入信息包括但不限于名称、附件、备注及制度制定单位。</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提供查看制度、编辑制度内容、以及删除操作的服务。</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对上传的png、doc、docx、pdf、jpg、jpeg文件可进行直接查看。</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可对文件开放范围进行完全公开或仅限部门公开权限控制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工作汇报服务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工作汇报服务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可通过标题、优先级、上报单位、上报时间、更新时间查询消息</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展示的消息包括标题、优先级、上报单位、上报人、上报时间、更新时间可对消息编辑，编辑内容包括消息标题、优先级、消息内容、接收人、可见范围，支持上传附件和发送消息</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消息详情显示标题、优先级、上报单位、上报人、接收人及单位、上报时间、更新时间、详情、已读、未读以及评论内容</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对工作汇报可进行标签，比如工作日报、工作周报、工作月报、会议纪要等。</w:t>
            </w:r>
          </w:p>
          <w:p>
            <w:pPr>
              <w:pStyle w:val="365"/>
              <w:spacing w:line="240" w:lineRule="auto"/>
              <w:rPr>
                <w:rFonts w:hint="default" w:ascii="Times New Roman" w:hAnsi="Times New Roman" w:eastAsia="宋体" w:cs="Times New Roman"/>
                <w:sz w:val="24"/>
                <w:szCs w:val="24"/>
                <w:highlight w:val="cyan"/>
              </w:rPr>
            </w:pPr>
            <w:r>
              <w:rPr>
                <w:rFonts w:hint="default" w:ascii="Times New Roman" w:hAnsi="Times New Roman" w:eastAsia="宋体" w:cs="Times New Roman"/>
                <w:sz w:val="24"/>
                <w:szCs w:val="24"/>
              </w:rPr>
              <w:t>对工作汇报内容可指定接收人，并控制接收人是否可转发操作，支持对接收人进行汇报评论。（</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rPr>
              <w:t>提供佐证材料）</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对工作汇报可进行查询、新增、删除、查看等操作。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内生案例管理服务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内生隐患案例服务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提供通过隐患名称、标题、编号、简介查询相应案例。</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提供对已有的隐患案例进行编辑。</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提供对已有的隐患案例进行打标和编写批注操作。</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提供手动录入已有的隐患案例。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内生事件案例服务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可通过攻击描述、标题查询相应事件案例。</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对已有的事件案例可进行编辑。</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对已有的事件案例可进行打标和编写批注操作。</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可手动录入已有的事件案例。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内部归档管理服务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提供接入内部推送的事件信息并形成相应案例。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教育培训管理服务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教育培训管理服务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对宣传管理、教育培训可进行管理。内容包括：标题、时间、地点、与会内容、正文内容、接收人、通知方式等。</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教育培训消息通知方式可控制，可通过平台通知、短信通知。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检查总览服务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检查总览服务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提供根据检查计划筛选总览统计范围。</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提供对最新检查计划的进展进行实时跟踪呈现。</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提供对被检查单位的行业分布进行统计分析。</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提供对支撑单位的检查支撑情况进行统计和排序。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检查计划管理服务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计划执行详情页服务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提供相应的任务负责人、检查人员、被检查单位用户通过办理功能进行的计划的执行。</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提供对不同用户对处于不同状态的现场检查任务、远程检查任务、单位自查任务进行相应的处置操作。</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提供各种类检查负责人对自己负责的检查种类进行检查任务的新建、查看、删除等操作。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现场检查任务服务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现场检查任务至少包含待下发、任务签收、结果填报、结果签收、单位整改、整改审核和办结等状态。</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在同一个现场检查任务下发时可选择单位、系统等多个现场检查对象，同时可针对每一个对象配置相关检查表单</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提供在现场检查任务结果填写完毕提交时自动统计本次任务发现的各等级漏洞数量。</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对将检查通知书、检查记录表、整改通知书、单位整改报告等文书通过流程各环节上传到相应的现场检查任务可进行留档。</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在特殊情况下对现场检查的单条或多条任务可进行一键直接办结。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远程检查任务服务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远程检查至少包含待下发、任务签收、结果填报、结果确认、结果签收、单位整改、整改审核和办结等环节。</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对同一次远程检查任务新建时选择的属于同一个单位的多个系统自动合并成一个远程检查任务，在下发任务时支持选择特定的支撑单位。（</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rPr>
              <w:t>提供佐证材料）</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提供在远程任务结果填写完毕提交时自动统计本次任务发现的各等级漏洞数量。</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对将远程检查授权书、渗透设备信息、渗透报告通过流程各环节上传到相应的远程检查任务可进行留档。</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在特殊情况下对远程检查的单条或多条任务可进行一键直接办结。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单位自查任务服务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单位自查至少包含待下发、任务签收、结果填报、结果审核和办结状态。</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提供在同一个单位自查任务下发时选择单位、系统等多个自查对象的服务，同时实现对每一个对象配置相关检查表单。（</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rPr>
              <w:t>提供佐证材料）</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对单位自查相关的检查通知书、自查报告等文书通过流程各环节上传到相应的单位自查任务中可进行留档。</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在特殊情况下对现场检查的单条或多条任务可进行一键直接办结。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检查要素管理服务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检查模板管理服务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对检查项可进行独立管理，可对检查项进行新增、查看、编辑、删除等操作。</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对检查表可进行独立管理，可形成检查事项清单，可对检查表进行新增、查看详情、编辑、删除等操作。</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提供在同一张检查表下新建多个检查模块的服务，可为每个模块配置模块名称并导入相应的检查项。（</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rPr>
              <w:t>提供佐证材料）</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提供上移、下移等操作项服务，实现对检查模块下的检查项的顺序进行手动调整。</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在编辑已有检查表时可通过另存功能复制出一张相同的检查表。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检查对象管理服务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可通过列表展现检查对象库，展示内容包括单位名称、区域、单位类型、所属行业、单位标签等</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批量导入时可实现通过区域、行业、标签、类型等维度进行单位查询和选中。</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可通过查看动作对检查对象库中的单位关联的各类信息进行聚合展示。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支撑单位管理服务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可通过列表展示支撑单位清单，展示内容包括单位名称、所属区域、单位标签、单位联系人等。</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可通过导入功能将用户管理功能下已添加的支撑单位进行选择并导入到支撑单位清单中。</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可通过查看动作对支撑单位清单中的单位详情进行查看，信息包括单位名称、单位官网、单位标签、单位类型、单位行业、所属区域等。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检查人员管理服务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可通过列表展示检查人员库的服务，展示内容包括姓名、归属单位、用户标签、用户角色等。</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可通过导入功能将用户管理功能下已添加的支撑单位人员进行选择并导入至检查人员库中。</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可通过查看动作对检查人员库中的人员详情进行查看，信息包括真实姓名、归属单位、用户角色、用户标签、邮箱地址、手机号码、用户在线时段统计、用户登录情况等。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考评任务服务</w:t>
            </w:r>
          </w:p>
        </w:tc>
        <w:tc>
          <w:tcPr>
            <w:tcW w:w="631" w:type="pct"/>
            <w:shd w:val="clear" w:color="auto" w:fill="FFFFFF" w:themeFill="background1"/>
            <w:vAlign w:val="center"/>
          </w:tcPr>
          <w:p>
            <w:pPr>
              <w:pStyle w:val="365"/>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考评任务服务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可管理考核评价任务，包括启动、编辑、查看、排名、办结、删除。</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可通过任务时间、创建单位、任务状态、标签、关键字（任务名称、联络人）查询考评任务。</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可通过单位名称、单位组、所属区域、所属行业、单位直属性质、单位类型选择评估对象。</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可通过专家名称、所属单位、专家组选择评分专家。</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可通过单位名称、单位任务状态查询考评任务的单位 </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可查看考评任务记录，包括新建/启动/办结任务操作的操作时间、操作账号及其所属单位、考评任务名称。</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可展示单位任务状态及状态变更时间、总分、排名、材料完整度。</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可查看单位任务记录，包括新建/启动/办结任务操作的操作时间、操作账号及其所属单位、考评任务名称和提交/操作的操作时间、操作账号。</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对考评任务进行排名，提供柱状图展示考评任务单位排名、饼状图展示各分数等级分布；提供展示单位排名总分列表，包括单位名称、所属区域、单位类型、单位联系人、联系方式、单位直属性质、得分等；提供展示单位排名各项列表，包括单位名称及各一级评估项小计；可通过单位名称、单位直属性质查询单位；可下载排名明细，包括单位总分、排名情况及各评估项得分明细。（</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rPr>
              <w:t>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考评配置服务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考评模板服务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可管理考评模板，包括新增、查看详情、编辑、删除。</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可展示模板名称、模板说明、创建人、最近修改时间。</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可编辑考评模板的模板名称、模板说明的服务。可识别并解析上传的表格，可预览考评表、编辑考评表单元格、增加行、删去行、上下移动行，可下载编辑的考评表。</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可查看考评模板的考评表内容，包括检查项内容、检查项等级、提示内容、总分、检查项类型。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考核对象服务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可管理单位组，包括新增、编辑、删除。</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可编辑单位组名称、说明以及选择、删除、批量删除专家组中的专家，可通过专家名称、所属单位、专家组查询并选择专家。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评分专家服务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可管理专家组，包括新增、编辑、删除。</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可编辑专家组名称、说明以及选择、删除、批量删除单位组中的单位的服务，可通过单位名称、单位组、所属区域、所属行业、单位直属性质、单位类型查询并选择单位。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考评填报服务</w:t>
            </w:r>
          </w:p>
        </w:tc>
        <w:tc>
          <w:tcPr>
            <w:tcW w:w="631" w:type="pct"/>
            <w:shd w:val="clear" w:color="auto" w:fill="FFFFFF" w:themeFill="background1"/>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考评填报服务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可填报、查看考评填报任务。</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可展示考核评价任务的任务名称、任务时间、单位填报时间、单位任务状态、创建单位、总分、当前排名、材料完整度等信息。</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可通过任务时间、创建单位、单位任务状态、标签、关键字（任务名称、联络人）查询考评任务。</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以暂存、提交、重复提交考评表材料项、备注项填报单位任务；可以根据填报情况自动计算预得分、材料完整度；可展示任务信息，包括任务状态、任务时间、单位填报时间、任务说明、任务联络人及其联系方式、任务附件；可展示单位任务状态及状态变更时间；可查看单位任务记录，包括新建/启动/办结任务操作的操作时间、操作账号及其所属单位、考评任务名称和提交/操作的操作时间、操作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考核评分服务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考核评分服务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可对考核评分任务进行评分。</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可展示考核评分任务的任务名称、任务状态、任务时间、单位填报时间、创建单位、任务联络人及其联系方式、考评进度。</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可通过任务时间、创建单位、任务状态、标签、关键字（任务名称、联络人）查询考评任务。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监测评估服务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评价报告服务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提供按照报告来源、统计时段、创建时间等维度对考评报告进行筛选。</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可一键展开报告，包括查看单位通报TOP10、评分分布情况。</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提供对考核对象的评分进行编辑时增加自定义的加分、扣分项并保存。</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可在考评报告列表和考评报告详情中导出相应考评的结果。</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提供创建实时考评任务，生成实时考评报告。</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可在实时考评报告中对考评规则进行优化调整。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评价任务服务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可通过关键字（任务名称、接收人）、考评范围、考评周期、启用状态等条件对考评任务进行搜索。</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可在新建考评任务时确定考核对象的类型和考评范围。</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可按不同周期进行考评，且可对考评起止时间点进行选择。</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提供自动订阅服务，且用户可以自主选择接收对象。</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可按照设定好周期、范围、规则，自动定期生成考评报告。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评价规则服务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可针对风险隐患、安全事件、通报情况三个维度设置考评规则表。</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可针对每一个维度的扣分上限进行设置。</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可按照风险隐患维度设定，至少包括对紧急、高危、中危、低危漏洞的扣分方案进行设定。</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可按照安全事件维度设定，至少具备对特别重大、重大、较大、一般网络安全事件扣分方案进行设定。</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可按照通报维度进行设定，至少具备对未处置、逾期、被退回通报扣分方案进行设定。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活动管理服务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单次活动管理服务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可新建活动，包括活动名称、活动地点、摸底、临战、备战、决战阶段的时间进度、活动负责人及联系方式、活动描述，同时对活动可进行编辑、删除、结束等操作。</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提供下钻到具体某个活动，查看活动详情。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作战台服务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可展示活动各阶段的进程并突出当前所处进程。</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可列表显示待办工作的服务，包括通报处置待办、指令待办，通报处置待办标识处置状态及通报类型，指令待办标识指令状态及指令类型。</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可列表显示跟进工作的服务，包括通报处置跟进、指令跟进，通报处置跟进标识处置状态及通报类型，指令跟进标识指令状态及指令类型。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里程碑管理服务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可按里程碑名称、里程碑时间查询里程碑。</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可对里程碑进行新增、修改、查看、删除操作。（</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rPr>
              <w:t>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安保组织服务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指挥人员服务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提供说明指挥人员的作用，指挥人员是安保活动的组织领导人员，负责领导和决策安保活动的重大事宜，包括提供筹备组织、制度信息，指挥调度安保活动。</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可单个或批量设置指挥人员的角色，包括但不限于组长、副组长、组员。</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可通过人员名称、标签、单位名称、区域等条件查询人员列表。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指挥单位服务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提供说明指挥单位的作用，指挥单位是安保活动的组织领导机构，负责领导和决策安保活动的重大事宜，包括提供筹备组织、制度信息，指挥调度安保活动。</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可从已录入单位中批量选择指挥单位，单位信息包括但不限于单位名称、标签、上级单位、所属区域、单位类型。</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可通过行业类型、标签、所属区域、单位类型、单位名称、联系人、手机号等条件查询单位列表。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安保人员服务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提供说明安保人员的作用，安保人员是安保活动的被监管单位人员，负责安保系统的日常管理和维护，落实保障工作，参与应急演练和培训，以及处置安全事件和应急事件。</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可从已录入用户中批量选择安保人员，人员信息包括但不限于人员名称、标签、联系方式。</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可通过人员名称、标签、单位名称、区域等条件查询人员列表。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安保单位服务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提供说明安保单位的作用，安保单位是安保活动的被监管单位，负责安保系统的日常管理和维护，落实保障工作，参与应急演练和培训，以及处置安全事件和应急事件。</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可通过行业类型、标签、所属区域、单位类型、单位名称、联系人、手机号等条件查询单位列表。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安保系统服务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提供说明安保系统的作用，安保系统是安保活动的被监管单位的系统，在安保期间由安保人员保障系统的安全运行。</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可通过行业类型、标签、所属区域、系统重要性、系统类型、系统名称、访问地址等条件查询系统列表。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支撑人员服务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提供说明支撑人员的作用，支撑人员主要由安保技术人员和安保专家组成，负责制定安全事件应对方案、协同调度方案，提供技术支持等。</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可通过人员名称、标签、单位名称、区域等条件查询人员列表。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支撑单位服务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提供说明支撑单位的作用，支撑单位主要是各安服厂商或网络安保单位，负责制定安全事件应对方案、协同调度方案，提供技术支持等。</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可通过行业类型、标签、所属区域、单位类型、单位名称、联系人、手机号等条件查询单位列表。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安保驻点服务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highlight w:val="cyan"/>
              </w:rPr>
            </w:pPr>
            <w:r>
              <w:rPr>
                <w:rFonts w:hint="default" w:ascii="Times New Roman" w:hAnsi="Times New Roman" w:eastAsia="宋体" w:cs="Times New Roman"/>
                <w:sz w:val="24"/>
                <w:szCs w:val="24"/>
              </w:rPr>
              <w:t>提供说明安保驻点的作用，安保驻点是从指挥中心、安保目标、支撑力量三大角色的人员中选调到安保活动现场驻点，负责驻点的安全运行。（</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rPr>
              <w:t>提供佐证材料）</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可新增安保驻点，录入信息包括但不限于驻点名称、保障单位、驻点管理员、驻点人员、关联探针、标签、经纬度、驻点地址。</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可通过标签、驻点名称等条件查询驻点列表。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安保制度服务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信息公告服务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可新增信息公告，录入信息包括但不限于标题、正文、附件。</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指挥人员可发布正式的公开的信息至该次活动全部参与单位、人员以便实现重大安全事件信息的及时披露和共享。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安保制度服务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提供指挥人员维护该次安保活动的各项规章制度，安保活动各方参与人员可查看对应的规章制度。</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可新增安保制度，录入信息包括但不限于名称、附件、备注。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应急预案服务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提供统计服务，包括按不少于预案等级一级、二级进行统计，按不少于预案分类综合、现场、临时进行统计。</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可新增应急预案，录入信息包括但不限于预案名称、预案等级、预案分类、提交单位、预案描述、附件。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安保值守服务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安保驻点端服务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提供驻点管理员安排本驻点小组的值守排班日历计划，通过修改等操作可以设置该次安保活动的排班人员。</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可通过日历快速查看每天的驻点安全情况，通过切换日期可查看活动期间具体的驻点安全情况。</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可统计本驻点小组实时排班班次，比如驻点人员签到、签退情况的统计。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指挥中心端服务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提供指挥人员安排所有驻点小组的排班班次，通过修改等操作可以设置该次安保活动的排班班次的。</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可通过日历快速查看每天本次活动所有驻点的安全情况，通过切换日期可查看活动期间具体的驻点安全情况。</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可查看总体驻点报平安情况，包括查看驻点人员签到、签退情况。</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可查看单个驻点的具体安全情况，包括但不限于驻点基本信息、报平安情况、保障单位信息、驻点人员信息、关联探针信息。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值守移动端协同服务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驻点人员可在钉钉微应用上进行签到、签退和报平安等操作。</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驻点人员可在钉钉微应用上对指挥人员下发的指令进行回复，回复内容包括但不限于上报内容、附件。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restar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指挥调度服务</w:t>
            </w: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指令发起服务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可向对应驻点小组下达调度指令，包括不少于签到、报平安、任务、其他等4种类型的调度指令任务，指令内容包括指令编码、调度类型、调度驻点、调度任务，并可以实现自定义下发应急预案。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通报发起服务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可直接在图上发布事件通报，当有事件发生时，通过发布事件通报以责令相关单位进行整改。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总览视图服务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可显示安保指挥部的负责人员，当日值班的指挥人员。</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提供支撑可视化展示安保活动的组织架构。</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提供安保单位、安保系统、安保人员、支撑人员、驻点小组、探针设备的数字信息，并且可通过对应名称进行筛选。</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提供监测、通报、值守、调度视图的总览信息，包括但不限于日志数据、攻击告警数、已发指令数、已发预案数、事件通报数、隐患通报数、报平安数、报事件数、指令列表、通报列表。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监测视图服务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可展示单位下安全监测情况，包括日志数据、攻击告警。</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可对发现的安全事件或风险隐患进行统计。</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地图突出显示有安全事件或风险隐患的单位，并且可查看具体单位情况。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通报视图服务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展示通报总数，以及对不少于处理中、已完成、今日新增等3种维度的统计。</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可对事件通报、隐患通报分别细化到状态维度统计。</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提供列表形式展示最近通报，并且可查看通报详情。</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地图突出显示有通报的单位，并且可查看具体单位情况。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值守视图服务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通过统计功能展示查看当天的驻点排班情况、签到、报平安情况。</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地图突出显示异常驻点，并且可查看具体驻点情况。</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可按时段统计驻点上报情况。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调度视图服务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提供按不少于报平安、签到、任务、其他等4个维度统计指令下发情况。</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可统计指令设计的驻点数及单位数。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活动快照服务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可按日期、时刻或里程碑选择某个时间点，可从该时间点开始回放历史大屏内容。</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提供开始、暂停、重新播放、结束活动回放。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9" w:type="pct"/>
            <w:vMerge w:val="continue"/>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p>
        </w:tc>
        <w:tc>
          <w:tcPr>
            <w:tcW w:w="631"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大屏配置服务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可针对具体的单次活动提供详细的配置管理，包括活动名称、标题logo、标题颜色。</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可自定义维护该次活动的组织架构。</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提供配置大屏显示的在线人数。</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提供配置安保单位、安保系统、安保人员、支撑人员、驻点小组、探针设备的别名及是否显示。</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提供配置五大视图的数据、别名及是否显示。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总体描述</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作为大数据态势感知平台的移动端延伸，满足独立性和安全性要求，完全自主可控，不依赖钉钉、微信等第三方平台，为用户提供便捷入口，具备查看平台和操作部分重要业务的能力。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整体参数</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可将APP端和Web端横向打通，关联数据和业务。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工作台服务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提供“预警”、“通报”、“通知”数量统计，点击查看对应的详细信息。</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提供“最新通报”、“最新通知”、“最新预警”的提醒服务。</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可在移动端快速处置通报、完成相关操作。</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可通过标题、编号进行模糊搜索匹配。</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可对通报过程进行跟踪记录，完整记录任务流转过程详情并同步到Web端平台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掌上态势服务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可根据区域、行业、时间查看单位、系统监测情况。</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可通过地图查看实时监测情况，包括网络攻击、安全隐患、安全事件。</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可查看实时网络攻击情况、攻击趋势。</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可查看通报业务开展情况。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运营报告服务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可通过运营报告查看平台运行情况，包括实时监测、通报预警、全息档案等信息。</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可根据报告类型、报告标题、生成时间、阅读状态查看运营报告。</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可查看最新报告、实时报告、日报、周报、月报、季报、年报。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追踪溯源服务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highlight w:val="cyan"/>
              </w:rPr>
            </w:pPr>
            <w:r>
              <w:rPr>
                <w:rFonts w:hint="default" w:ascii="Times New Roman" w:hAnsi="Times New Roman" w:eastAsia="宋体" w:cs="Times New Roman"/>
                <w:sz w:val="24"/>
                <w:szCs w:val="24"/>
              </w:rPr>
              <w:t>具备实体间网络关系的多级钻取的能力，具备&gt;10跳的流量关联关系分析的能力，具备通过端口、协议、异常访问类型过滤关联关系的能力。（</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rPr>
              <w:t>提供佐证材料）</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纵观全网IP资产和互联网服务，具备&gt;2000个资产的实时风险评级和分析画像的能力。</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IP画像中时序型分析包括网络流量、访问频率&gt;3个维度，统计型分析包括访问来源、访问目标、域名、服务端口等&gt;5个维度。</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实体不同时间段内的风险行为记录和弱点信息，风险行为记录包括风险原理描述和处置建议。</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实体相关信息包括资产信息、情报信息、地理位置、运营商信息；具备结合云端数据，提供攻击者信息画像的能力，记录攻击者的IP所在地、首次作恶时间、上次活动时间、攻击次数、被攻击详情等信息。</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能够基于大数据分析及分析规则为用户提供严重后门入侵安全事件的分析回溯，实现对黑客攻击行为的完整分析回放。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可视化中心服务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具备可视化图表类型&gt;=15种的能力，包括但不限于时序图、饼图、柱状图等。</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统计类图表具备展示升序或降序的TOP5到TOP100，可针对数据中任意字段的计数、平均值、求和、最大值、最小值、唯一值等&gt;=5种算子的统计结果配置可视化图表的能力。</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可视化图表可通过拖拽配置组装成仪表盘，仪表盘不少于7种布局类型，每张仪表盘可包含&gt;=50个可视化图表，可视化图表具备导出WORD、PDF的能力。</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仪表盘展示时具备时间范围自定义选择的能力，具备放大聚焦某个图表的能力。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报告中心服务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提供报告内容自定义的服务，包括标题、图表、报表自定义，其中支持的图表类型&gt;=15种。</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可导出日报、周报、月报和自定义时间范围内的安全分析报告。</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报告订阅具备通过邮件方式在设定时间点发送日报、周报、月报到不同邮箱的能力，可配置订阅规则数量&gt;=10条，报告格式支持WORD、PDF等。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知识库服务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内置漏洞知识库包含漏洞等级、漏洞名称、漏洞分类、CVE编号、CNNVD编号、漏洞解决方案、参考网址等信息。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共享总览服务服务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平台申请者对数据共享接口应用的整体概览情况：数据传输量、排名概况、数据共享趋势。</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提供时间筛选以及报表导出的服务。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标准接口服务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提供标准接口的信息展示的服务，包括基本信息、请求参数、返回参数、错误码等相关信息。</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接口包含且不限于执法检查现场检查新增任务接口、执法检查远程检查新增任务接口、执法检查对外新增计划接口、执法检查单位自查新增任务接口、安全情报上报接口、安全隐患数据上报接口、安全事件数据上报接口、通报预警归档上报接口、通报预警下发接口、通报预警反馈上报接口、业务指标共享接口、安全情报查询接口。</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提供标准接口对接说明文档的下载。</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提供标准接口检索的服务。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账号管理服务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提供接口账号申请管理，包括接口授权、账号鉴权等信息的服务。</w:t>
            </w:r>
          </w:p>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提供openAPI接口使用者画像管理。</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提供接口使用这检索的服务。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日志审计服务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提供账号调用数据共享接口的日志说明的服务。</w:t>
            </w:r>
          </w:p>
          <w:p>
            <w:pPr>
              <w:pStyle w:val="365"/>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提供日志检索的服务。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1" w:type="pct"/>
            <w:gridSpan w:val="2"/>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AI异常检测服务</w:t>
            </w:r>
          </w:p>
        </w:tc>
        <w:tc>
          <w:tcPr>
            <w:tcW w:w="4008" w:type="pct"/>
            <w:shd w:val="clear" w:color="auto" w:fill="FFFFFF" w:themeFill="background1"/>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具备UEBA、Bayes、随机森林等长周期高级机器学习算法的能力</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rPr>
              <w:t>提供佐证材料）</w:t>
            </w:r>
          </w:p>
        </w:tc>
      </w:tr>
    </w:tbl>
    <w:p>
      <w:pPr>
        <w:pStyle w:val="6"/>
        <w:widowControl w:val="0"/>
        <w:spacing w:before="120" w:after="120" w:line="312" w:lineRule="auto"/>
        <w:jc w:val="both"/>
        <w:rPr>
          <w:rFonts w:hint="eastAsia" w:ascii="Times New Roman" w:hAnsi="Times New Roman" w:eastAsia="宋体" w:cs="Times New Roman"/>
          <w:bCs w:val="0"/>
          <w:sz w:val="24"/>
          <w:szCs w:val="24"/>
          <w:lang w:eastAsia="zh-CN"/>
        </w:rPr>
      </w:pPr>
      <w:r>
        <w:rPr>
          <w:rFonts w:hint="eastAsia" w:ascii="Times New Roman" w:hAnsi="Times New Roman" w:eastAsia="宋体" w:cs="Times New Roman"/>
          <w:bCs w:val="0"/>
          <w:sz w:val="24"/>
          <w:szCs w:val="24"/>
          <w:lang w:val="en-US" w:eastAsia="zh-CN"/>
        </w:rPr>
        <w:t>2.</w:t>
      </w:r>
      <w:r>
        <w:rPr>
          <w:rFonts w:hint="eastAsia" w:ascii="Times New Roman" w:hAnsi="Times New Roman" w:eastAsia="宋体" w:cs="Times New Roman"/>
          <w:bCs w:val="0"/>
          <w:sz w:val="24"/>
          <w:szCs w:val="24"/>
          <w:lang w:eastAsia="zh-CN"/>
        </w:rPr>
        <w:t>政务云安全资源池服务</w:t>
      </w:r>
    </w:p>
    <w:p>
      <w:pPr>
        <w:pStyle w:val="6"/>
        <w:widowControl w:val="0"/>
        <w:spacing w:before="120" w:after="120" w:line="312" w:lineRule="auto"/>
        <w:jc w:val="both"/>
        <w:rPr>
          <w:rFonts w:hint="eastAsia" w:ascii="Times New Roman" w:hAnsi="Times New Roman" w:eastAsia="宋体" w:cs="Times New Roman"/>
          <w:bCs w:val="0"/>
          <w:sz w:val="24"/>
          <w:szCs w:val="24"/>
          <w:lang w:eastAsia="zh-CN"/>
        </w:rPr>
      </w:pPr>
      <w:r>
        <w:rPr>
          <w:rFonts w:hint="eastAsia" w:ascii="Times New Roman" w:hAnsi="Times New Roman" w:eastAsia="宋体" w:cs="Times New Roman"/>
          <w:bCs w:val="0"/>
          <w:sz w:val="24"/>
          <w:szCs w:val="24"/>
          <w:lang w:val="en-US" w:eastAsia="zh-CN"/>
        </w:rPr>
        <w:t>2.1</w:t>
      </w:r>
      <w:r>
        <w:rPr>
          <w:rFonts w:hint="eastAsia" w:ascii="Times New Roman" w:hAnsi="Times New Roman" w:eastAsia="宋体" w:cs="Times New Roman"/>
          <w:bCs w:val="0"/>
          <w:sz w:val="24"/>
          <w:szCs w:val="24"/>
          <w:lang w:eastAsia="zh-CN"/>
        </w:rPr>
        <w:t>安全资源池管理服务</w:t>
      </w:r>
    </w:p>
    <w:tbl>
      <w:tblPr>
        <w:tblStyle w:val="57"/>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0" w:type="pct"/>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服务能力指标</w:t>
            </w:r>
          </w:p>
        </w:tc>
        <w:tc>
          <w:tcPr>
            <w:tcW w:w="4019"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0" w:type="pct"/>
            <w:vAlign w:val="center"/>
          </w:tcPr>
          <w:p>
            <w:pPr>
              <w:pStyle w:val="365"/>
              <w:spacing w:line="240" w:lineRule="auto"/>
              <w:jc w:val="center"/>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★服务总体要求</w:t>
            </w:r>
          </w:p>
        </w:tc>
        <w:tc>
          <w:tcPr>
            <w:tcW w:w="4019" w:type="pct"/>
            <w:vAlign w:val="center"/>
          </w:tcPr>
          <w:p>
            <w:pPr>
              <w:pStyle w:val="365"/>
              <w:spacing w:line="240" w:lineRule="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为义乌政务云三个节点（即宾王节点、北苑节点、江东节点，以下简称三节点）提供云租户的网络安全资源服务。</w:t>
            </w:r>
            <w:r>
              <w:rPr>
                <w:rFonts w:hint="eastAsia" w:ascii="Times New Roman" w:hAnsi="Times New Roman" w:cs="Times New Roman"/>
                <w:sz w:val="24"/>
                <w:szCs w:val="24"/>
                <w:highlight w:val="none"/>
                <w:lang w:eastAsia="zh-CN"/>
              </w:rPr>
              <w:t>需</w:t>
            </w:r>
            <w:r>
              <w:rPr>
                <w:rFonts w:hint="eastAsia" w:ascii="Times New Roman" w:hAnsi="Times New Roman" w:eastAsia="宋体" w:cs="Times New Roman"/>
                <w:sz w:val="24"/>
                <w:szCs w:val="24"/>
                <w:highlight w:val="none"/>
              </w:rPr>
              <w:t>完成云资源池部署</w:t>
            </w:r>
            <w:r>
              <w:rPr>
                <w:rFonts w:hint="eastAsia" w:ascii="Times New Roman" w:hAnsi="Times New Roman" w:cs="Times New Roman"/>
                <w:sz w:val="24"/>
                <w:szCs w:val="24"/>
                <w:highlight w:val="none"/>
                <w:lang w:eastAsia="zh-CN"/>
              </w:rPr>
              <w:t>，以及与</w:t>
            </w:r>
            <w:r>
              <w:rPr>
                <w:rFonts w:hint="eastAsia" w:ascii="Times New Roman" w:hAnsi="Times New Roman" w:eastAsia="宋体" w:cs="Times New Roman"/>
                <w:sz w:val="24"/>
                <w:szCs w:val="24"/>
                <w:highlight w:val="none"/>
              </w:rPr>
              <w:t>政务云平台的对接工作，包括三节点安全资源池的硬件环境（预估为400个虚机体量的资源要求）部署，以及三节点的云内网络对接工作。预采购数量为70个租户，超过预采购数量的服务须承诺免费提供。（提供安全资源的软硬件集成实施方案及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restart"/>
            <w:vAlign w:val="center"/>
          </w:tcPr>
          <w:p>
            <w:pPr>
              <w:pStyle w:val="365"/>
              <w:spacing w:line="240" w:lineRule="auto"/>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云安全服务</w:t>
            </w: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能够利用虚拟化资源为用户提供一站式安全解决方案，至少包括下一代防火墙、web应用防火墙、堡垒机、综合漏洞扫描、数据库审计、日志审计、主机安全（E</w:t>
            </w:r>
            <w:r>
              <w:rPr>
                <w:rFonts w:hint="default" w:ascii="Times New Roman" w:hAnsi="Times New Roman" w:eastAsia="宋体" w:cs="Times New Roman"/>
                <w:sz w:val="24"/>
                <w:szCs w:val="24"/>
              </w:rPr>
              <w:t>DR</w:t>
            </w:r>
            <w:r>
              <w:rPr>
                <w:rFonts w:hint="eastAsia" w:ascii="Times New Roman" w:hAnsi="Times New Roman" w:eastAsia="宋体" w:cs="Times New Roman"/>
                <w:sz w:val="24"/>
                <w:szCs w:val="24"/>
              </w:rPr>
              <w:t>）、A</w:t>
            </w:r>
            <w:r>
              <w:rPr>
                <w:rFonts w:hint="default" w:ascii="Times New Roman" w:hAnsi="Times New Roman" w:eastAsia="宋体" w:cs="Times New Roman"/>
                <w:sz w:val="24"/>
                <w:szCs w:val="24"/>
              </w:rPr>
              <w:t>PT</w:t>
            </w:r>
            <w:r>
              <w:rPr>
                <w:rFonts w:hint="eastAsia" w:ascii="Times New Roman" w:hAnsi="Times New Roman" w:eastAsia="宋体" w:cs="Times New Roman"/>
                <w:sz w:val="24"/>
                <w:szCs w:val="24"/>
              </w:rPr>
              <w:t>等安全能力；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highlight w:val="none"/>
              </w:rPr>
              <w:t>W</w:t>
            </w:r>
            <w:r>
              <w:rPr>
                <w:rFonts w:hint="default" w:ascii="Times New Roman" w:hAnsi="Times New Roman" w:eastAsia="宋体" w:cs="Times New Roman"/>
                <w:sz w:val="24"/>
                <w:szCs w:val="24"/>
                <w:highlight w:val="none"/>
              </w:rPr>
              <w:t>e</w:t>
            </w:r>
            <w:r>
              <w:rPr>
                <w:rFonts w:hint="eastAsia" w:ascii="Times New Roman" w:hAnsi="Times New Roman" w:eastAsia="宋体" w:cs="Times New Roman"/>
                <w:sz w:val="24"/>
                <w:szCs w:val="24"/>
                <w:highlight w:val="none"/>
              </w:rPr>
              <w:t>b应用防火墙、主机安全、</w:t>
            </w:r>
            <w:r>
              <w:rPr>
                <w:rFonts w:hint="default" w:ascii="Times New Roman" w:hAnsi="Times New Roman" w:eastAsia="宋体" w:cs="Times New Roman"/>
                <w:sz w:val="24"/>
                <w:szCs w:val="24"/>
                <w:highlight w:val="none"/>
              </w:rPr>
              <w:t>网站监测等</w:t>
            </w:r>
            <w:r>
              <w:rPr>
                <w:rFonts w:hint="eastAsia" w:ascii="Times New Roman" w:hAnsi="Times New Roman" w:eastAsia="宋体" w:cs="Times New Roman"/>
                <w:sz w:val="24"/>
                <w:szCs w:val="24"/>
                <w:highlight w:val="none"/>
              </w:rPr>
              <w:t>虚拟安全组件支持</w:t>
            </w:r>
            <w:r>
              <w:rPr>
                <w:rFonts w:hint="default" w:ascii="Times New Roman" w:hAnsi="Times New Roman" w:eastAsia="宋体" w:cs="Times New Roman"/>
                <w:sz w:val="24"/>
                <w:szCs w:val="24"/>
                <w:highlight w:val="none"/>
              </w:rPr>
              <w:t>多租户共享架构</w:t>
            </w:r>
            <w:r>
              <w:rPr>
                <w:rFonts w:hint="eastAsia" w:ascii="Times New Roman" w:hAnsi="Times New Roman" w:eastAsia="宋体" w:cs="Times New Roman"/>
                <w:sz w:val="24"/>
                <w:szCs w:val="24"/>
                <w:highlight w:val="none"/>
              </w:rPr>
              <w:t>的，</w:t>
            </w:r>
            <w:r>
              <w:rPr>
                <w:rFonts w:hint="default" w:ascii="Times New Roman" w:hAnsi="Times New Roman" w:eastAsia="宋体" w:cs="Times New Roman"/>
                <w:sz w:val="24"/>
                <w:szCs w:val="24"/>
                <w:highlight w:val="none"/>
              </w:rPr>
              <w:t>即通</w:t>
            </w:r>
            <w:r>
              <w:rPr>
                <w:rFonts w:hint="eastAsia" w:ascii="Times New Roman" w:hAnsi="Times New Roman" w:eastAsia="宋体" w:cs="Times New Roman"/>
                <w:sz w:val="24"/>
                <w:szCs w:val="24"/>
                <w:highlight w:val="none"/>
              </w:rPr>
              <w:t>过一套虚拟安全组件</w:t>
            </w:r>
            <w:r>
              <w:rPr>
                <w:rFonts w:hint="default" w:ascii="Times New Roman" w:hAnsi="Times New Roman" w:eastAsia="宋体" w:cs="Times New Roman"/>
                <w:sz w:val="24"/>
                <w:szCs w:val="24"/>
                <w:highlight w:val="none"/>
              </w:rPr>
              <w:t>向多个用户提供安全能力</w:t>
            </w:r>
            <w:r>
              <w:rPr>
                <w:rFonts w:hint="eastAsia" w:ascii="Times New Roman" w:hAnsi="Times New Roman" w:eastAsia="宋体" w:cs="Times New Roman"/>
                <w:sz w:val="24"/>
                <w:szCs w:val="24"/>
                <w:highlight w:val="none"/>
              </w:rPr>
              <w:t>，产品使用时</w:t>
            </w:r>
            <w:r>
              <w:rPr>
                <w:rFonts w:hint="default" w:ascii="Times New Roman" w:hAnsi="Times New Roman" w:eastAsia="宋体" w:cs="Times New Roman"/>
                <w:sz w:val="24"/>
                <w:szCs w:val="24"/>
                <w:highlight w:val="none"/>
              </w:rPr>
              <w:t>无需单点登录跳转</w:t>
            </w:r>
            <w:r>
              <w:rPr>
                <w:rFonts w:hint="eastAsia"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rPr>
              <w:t>在</w:t>
            </w:r>
            <w:r>
              <w:rPr>
                <w:rFonts w:hint="eastAsia" w:ascii="Times New Roman" w:hAnsi="Times New Roman" w:eastAsia="宋体" w:cs="Times New Roman"/>
                <w:sz w:val="24"/>
                <w:szCs w:val="24"/>
                <w:highlight w:val="none"/>
              </w:rPr>
              <w:t>管理</w:t>
            </w:r>
            <w:r>
              <w:rPr>
                <w:rFonts w:hint="default" w:ascii="Times New Roman" w:hAnsi="Times New Roman" w:eastAsia="宋体" w:cs="Times New Roman"/>
                <w:sz w:val="24"/>
                <w:szCs w:val="24"/>
                <w:highlight w:val="none"/>
              </w:rPr>
              <w:t>平台界面即可直接使用</w:t>
            </w:r>
            <w:r>
              <w:rPr>
                <w:rFonts w:hint="eastAsia" w:ascii="Times New Roman" w:hAnsi="Times New Roman" w:eastAsia="宋体" w:cs="Times New Roman"/>
                <w:sz w:val="24"/>
                <w:szCs w:val="24"/>
                <w:highlight w:val="none"/>
              </w:rPr>
              <w:t>产品</w:t>
            </w:r>
            <w:r>
              <w:rPr>
                <w:rFonts w:hint="eastAsia" w:ascii="Times New Roman" w:hAnsi="Times New Roman" w:cs="Times New Roman"/>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提供用户认证统一的服务，被授权的用户可以直接通过管理平台登录到各个安全能力，包括下一代防火墙、web应用防火墙、堡垒机、综合漏洞扫描、数据库审计、日志审计、主机安全（E</w:t>
            </w:r>
            <w:r>
              <w:rPr>
                <w:rFonts w:hint="default" w:ascii="Times New Roman" w:hAnsi="Times New Roman" w:eastAsia="宋体" w:cs="Times New Roman"/>
                <w:sz w:val="24"/>
                <w:szCs w:val="24"/>
              </w:rPr>
              <w:t>DR</w:t>
            </w:r>
            <w:r>
              <w:rPr>
                <w:rFonts w:hint="eastAsia" w:ascii="Times New Roman" w:hAnsi="Times New Roman" w:eastAsia="宋体" w:cs="Times New Roman"/>
                <w:sz w:val="24"/>
                <w:szCs w:val="24"/>
              </w:rPr>
              <w:t>）、A</w:t>
            </w:r>
            <w:r>
              <w:rPr>
                <w:rFonts w:hint="default" w:ascii="Times New Roman" w:hAnsi="Times New Roman" w:eastAsia="宋体" w:cs="Times New Roman"/>
                <w:sz w:val="24"/>
                <w:szCs w:val="24"/>
              </w:rPr>
              <w:t>PT</w:t>
            </w:r>
            <w:r>
              <w:rPr>
                <w:rFonts w:hint="eastAsia" w:ascii="Times New Roman" w:hAnsi="Times New Roman" w:eastAsia="宋体" w:cs="Times New Roman"/>
                <w:sz w:val="24"/>
                <w:szCs w:val="24"/>
              </w:rPr>
              <w:t>等所有安全能力，无需二次认证；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restart"/>
            <w:vAlign w:val="center"/>
          </w:tcPr>
          <w:p>
            <w:pPr>
              <w:pStyle w:val="365"/>
              <w:spacing w:line="240" w:lineRule="auto"/>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产品开通服务</w:t>
            </w: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用户可通过管理平台一键开通任意安全能力，安全能力成功开通后可自动获取计算、存储等虚拟化资源实现自动化部署和激活；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提供安全能力开通关联工单审批流程的服务，普通用户申请开通安全能力，需要后台管理员审批通过后才能自动自动化部署和激活；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安全能力具备</w:t>
            </w:r>
            <w:r>
              <w:rPr>
                <w:rFonts w:hint="default" w:ascii="Times New Roman" w:hAnsi="Times New Roman" w:eastAsia="宋体" w:cs="Times New Roman"/>
                <w:sz w:val="24"/>
                <w:szCs w:val="24"/>
              </w:rPr>
              <w:t>提供多种服务规格和服务时长</w:t>
            </w:r>
            <w:r>
              <w:rPr>
                <w:rFonts w:hint="eastAsia" w:ascii="Times New Roman" w:hAnsi="Times New Roman" w:eastAsia="宋体" w:cs="Times New Roman"/>
                <w:sz w:val="24"/>
                <w:szCs w:val="24"/>
              </w:rPr>
              <w:t>的能力，</w:t>
            </w:r>
            <w:r>
              <w:rPr>
                <w:rFonts w:hint="default" w:ascii="Times New Roman" w:hAnsi="Times New Roman" w:eastAsia="宋体" w:cs="Times New Roman"/>
                <w:sz w:val="24"/>
                <w:szCs w:val="24"/>
              </w:rPr>
              <w:t>用户可</w:t>
            </w:r>
            <w:r>
              <w:rPr>
                <w:rFonts w:hint="eastAsia" w:ascii="Times New Roman" w:hAnsi="Times New Roman" w:eastAsia="宋体" w:cs="Times New Roman"/>
                <w:sz w:val="24"/>
                <w:szCs w:val="24"/>
              </w:rPr>
              <w:t>根据业务规模和使用时间，按需选择开通不同规格的安全能力；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安全能力具备试用开通功能的能力，试用的安全能力具备全量安全能力功能但不消耗安全能力授权，提升用户体验；</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lang w:eastAsia="zh-CN"/>
              </w:rPr>
              <w:t>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管理员</w:t>
            </w:r>
            <w:r>
              <w:rPr>
                <w:rFonts w:hint="eastAsia" w:ascii="Times New Roman" w:hAnsi="Times New Roman" w:eastAsia="宋体" w:cs="Times New Roman"/>
                <w:sz w:val="24"/>
                <w:szCs w:val="24"/>
              </w:rPr>
              <w:t>可</w:t>
            </w:r>
            <w:r>
              <w:rPr>
                <w:rFonts w:hint="default" w:ascii="Times New Roman" w:hAnsi="Times New Roman" w:eastAsia="宋体" w:cs="Times New Roman"/>
                <w:sz w:val="24"/>
                <w:szCs w:val="24"/>
              </w:rPr>
              <w:t>通过后台界面直接为租户分配安全</w:t>
            </w:r>
            <w:r>
              <w:rPr>
                <w:rFonts w:hint="eastAsia" w:ascii="Times New Roman" w:hAnsi="Times New Roman" w:eastAsia="宋体" w:cs="Times New Roman"/>
                <w:sz w:val="24"/>
                <w:szCs w:val="24"/>
              </w:rPr>
              <w:t>能力，如</w:t>
            </w:r>
            <w:r>
              <w:rPr>
                <w:rFonts w:hint="default" w:ascii="Times New Roman" w:hAnsi="Times New Roman" w:eastAsia="宋体" w:cs="Times New Roman"/>
                <w:sz w:val="24"/>
                <w:szCs w:val="24"/>
              </w:rPr>
              <w:t>新</w:t>
            </w:r>
            <w:r>
              <w:rPr>
                <w:rFonts w:hint="eastAsia" w:ascii="Times New Roman" w:hAnsi="Times New Roman" w:eastAsia="宋体" w:cs="Times New Roman"/>
                <w:sz w:val="24"/>
                <w:szCs w:val="24"/>
              </w:rPr>
              <w:t>能力</w:t>
            </w:r>
            <w:r>
              <w:rPr>
                <w:rFonts w:hint="default" w:ascii="Times New Roman" w:hAnsi="Times New Roman" w:eastAsia="宋体" w:cs="Times New Roman"/>
                <w:sz w:val="24"/>
                <w:szCs w:val="24"/>
              </w:rPr>
              <w:t>开通和到期</w:t>
            </w:r>
            <w:r>
              <w:rPr>
                <w:rFonts w:hint="eastAsia" w:ascii="Times New Roman" w:hAnsi="Times New Roman" w:eastAsia="宋体" w:cs="Times New Roman"/>
                <w:sz w:val="24"/>
                <w:szCs w:val="24"/>
              </w:rPr>
              <w:t>能力</w:t>
            </w:r>
            <w:r>
              <w:rPr>
                <w:rFonts w:hint="default" w:ascii="Times New Roman" w:hAnsi="Times New Roman" w:eastAsia="宋体" w:cs="Times New Roman"/>
                <w:sz w:val="24"/>
                <w:szCs w:val="24"/>
              </w:rPr>
              <w:t>续费</w:t>
            </w:r>
            <w:r>
              <w:rPr>
                <w:rFonts w:hint="eastAsia"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80" w:type="pct"/>
            <w:vMerge w:val="restart"/>
            <w:vAlign w:val="center"/>
          </w:tcPr>
          <w:p>
            <w:pPr>
              <w:pStyle w:val="365"/>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云安全中心</w:t>
            </w:r>
            <w:r>
              <w:rPr>
                <w:rFonts w:hint="eastAsia" w:ascii="Times New Roman" w:hAnsi="Times New Roman" w:eastAsia="宋体" w:cs="Times New Roman"/>
                <w:sz w:val="24"/>
                <w:szCs w:val="24"/>
              </w:rPr>
              <w:t>服务</w:t>
            </w:r>
          </w:p>
        </w:tc>
        <w:tc>
          <w:tcPr>
            <w:tcW w:w="4019" w:type="pct"/>
            <w:vAlign w:val="center"/>
          </w:tcPr>
          <w:p>
            <w:pPr>
              <w:pStyle w:val="365"/>
              <w:spacing w:line="240" w:lineRule="auto"/>
              <w:rPr>
                <w:rFonts w:hint="default" w:ascii="Times New Roman" w:hAnsi="Times New Roman" w:eastAsia="宋体" w:cs="Times New Roman"/>
                <w:sz w:val="24"/>
                <w:szCs w:val="24"/>
                <w:lang w:val="zh-CN"/>
              </w:rPr>
            </w:pPr>
            <w:r>
              <w:rPr>
                <w:rFonts w:hint="eastAsia" w:ascii="Times New Roman" w:hAnsi="Times New Roman" w:eastAsia="宋体" w:cs="Times New Roman"/>
                <w:sz w:val="24"/>
                <w:szCs w:val="24"/>
                <w:lang w:eastAsia="zh-CN"/>
              </w:rPr>
              <w:t>云安全管理平台内置云安全中心，能够汇总展示租户资产面临的安全风险，并可以直接对安全风险进行响应处置。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zh-CN"/>
              </w:rPr>
              <w:t>云安全中心具备平台管理员视角的能力，管理员可查看平台整体安全态势，展示内容包括</w:t>
            </w:r>
            <w:r>
              <w:rPr>
                <w:rFonts w:hint="default" w:ascii="Times New Roman" w:hAnsi="Times New Roman" w:eastAsia="宋体" w:cs="Times New Roman"/>
                <w:sz w:val="24"/>
                <w:szCs w:val="24"/>
                <w:lang w:val="zh-CN"/>
              </w:rPr>
              <w:t>攻击次数态势</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攻击源国家</w:t>
            </w:r>
            <w:r>
              <w:rPr>
                <w:rFonts w:hint="eastAsia" w:ascii="Times New Roman" w:hAnsi="Times New Roman" w:eastAsia="宋体" w:cs="Times New Roman"/>
                <w:sz w:val="24"/>
                <w:szCs w:val="24"/>
                <w:lang w:val="zh-CN"/>
              </w:rPr>
              <w:t>/地区T</w:t>
            </w:r>
            <w:r>
              <w:rPr>
                <w:rFonts w:hint="default" w:ascii="Times New Roman" w:hAnsi="Times New Roman" w:eastAsia="宋体" w:cs="Times New Roman"/>
                <w:sz w:val="24"/>
                <w:szCs w:val="24"/>
                <w:lang w:val="zh-CN"/>
              </w:rPr>
              <w:t>OP排名</w:t>
            </w:r>
            <w:r>
              <w:rPr>
                <w:rFonts w:hint="eastAsia" w:ascii="Times New Roman" w:hAnsi="Times New Roman" w:eastAsia="宋体" w:cs="Times New Roman"/>
                <w:sz w:val="24"/>
                <w:szCs w:val="24"/>
                <w:lang w:val="zh-CN"/>
              </w:rPr>
              <w:t>、主机/网站漏洞情况、风险网站数量、资产漏洞T</w:t>
            </w:r>
            <w:r>
              <w:rPr>
                <w:rFonts w:hint="default" w:ascii="Times New Roman" w:hAnsi="Times New Roman" w:eastAsia="宋体" w:cs="Times New Roman"/>
                <w:sz w:val="24"/>
                <w:szCs w:val="24"/>
                <w:lang w:val="zh-CN"/>
              </w:rPr>
              <w:t>OP排名</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受攻击租户</w:t>
            </w:r>
            <w:r>
              <w:rPr>
                <w:rFonts w:hint="eastAsia" w:ascii="Times New Roman" w:hAnsi="Times New Roman" w:eastAsia="宋体" w:cs="Times New Roman"/>
                <w:sz w:val="24"/>
                <w:szCs w:val="24"/>
                <w:lang w:val="zh-CN"/>
              </w:rPr>
              <w:t>T</w:t>
            </w:r>
            <w:r>
              <w:rPr>
                <w:rFonts w:hint="default" w:ascii="Times New Roman" w:hAnsi="Times New Roman" w:eastAsia="宋体" w:cs="Times New Roman"/>
                <w:sz w:val="24"/>
                <w:szCs w:val="24"/>
                <w:lang w:val="zh-CN"/>
              </w:rPr>
              <w:t>OP排名</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受攻击资产</w:t>
            </w:r>
            <w:r>
              <w:rPr>
                <w:rFonts w:hint="eastAsia" w:ascii="Times New Roman" w:hAnsi="Times New Roman" w:eastAsia="宋体" w:cs="Times New Roman"/>
                <w:sz w:val="24"/>
                <w:szCs w:val="24"/>
                <w:lang w:val="zh-CN"/>
              </w:rPr>
              <w:t>T</w:t>
            </w:r>
            <w:r>
              <w:rPr>
                <w:rFonts w:hint="default" w:ascii="Times New Roman" w:hAnsi="Times New Roman" w:eastAsia="宋体" w:cs="Times New Roman"/>
                <w:sz w:val="24"/>
                <w:szCs w:val="24"/>
                <w:lang w:val="zh-CN"/>
              </w:rPr>
              <w:t>OP排名</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受攻击区域</w:t>
            </w:r>
            <w:r>
              <w:rPr>
                <w:rFonts w:hint="eastAsia" w:ascii="Times New Roman" w:hAnsi="Times New Roman" w:eastAsia="宋体" w:cs="Times New Roman"/>
                <w:sz w:val="24"/>
                <w:szCs w:val="24"/>
                <w:lang w:val="zh-CN"/>
              </w:rPr>
              <w:t>T</w:t>
            </w:r>
            <w:r>
              <w:rPr>
                <w:rFonts w:hint="default" w:ascii="Times New Roman" w:hAnsi="Times New Roman" w:eastAsia="宋体" w:cs="Times New Roman"/>
                <w:sz w:val="24"/>
                <w:szCs w:val="24"/>
                <w:lang w:val="zh-CN"/>
              </w:rPr>
              <w:t>OP排名</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攻击事件详情等信息</w:t>
            </w:r>
            <w:r>
              <w:rPr>
                <w:rFonts w:hint="eastAsia" w:ascii="Times New Roman" w:hAnsi="Times New Roman" w:eastAsia="宋体" w:cs="Times New Roman"/>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云安全中心</w:t>
            </w:r>
            <w:r>
              <w:rPr>
                <w:rFonts w:hint="eastAsia" w:ascii="Times New Roman" w:hAnsi="Times New Roman" w:eastAsia="宋体" w:cs="Times New Roman"/>
                <w:sz w:val="24"/>
                <w:szCs w:val="24"/>
                <w:lang w:val="zh-CN"/>
              </w:rPr>
              <w:t>具备</w:t>
            </w:r>
            <w:r>
              <w:rPr>
                <w:rFonts w:hint="default" w:ascii="Times New Roman" w:hAnsi="Times New Roman" w:eastAsia="宋体" w:cs="Times New Roman"/>
                <w:sz w:val="24"/>
                <w:szCs w:val="24"/>
                <w:lang w:val="zh-CN"/>
              </w:rPr>
              <w:t>按照区域查看平台安全态势</w:t>
            </w:r>
            <w:r>
              <w:rPr>
                <w:rFonts w:hint="eastAsia" w:ascii="Times New Roman" w:hAnsi="Times New Roman" w:eastAsia="宋体" w:cs="Times New Roman"/>
                <w:sz w:val="24"/>
                <w:szCs w:val="24"/>
                <w:lang w:val="zh-CN"/>
              </w:rPr>
              <w:t>的能力，平台管理员</w:t>
            </w:r>
            <w:r>
              <w:rPr>
                <w:rFonts w:hint="default" w:ascii="Times New Roman" w:hAnsi="Times New Roman" w:eastAsia="宋体" w:cs="Times New Roman"/>
                <w:sz w:val="24"/>
                <w:szCs w:val="24"/>
                <w:lang w:val="zh-CN"/>
              </w:rPr>
              <w:t>既可以查看整体安全态势</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也可以查看不同地市</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区县的安全态势</w:t>
            </w:r>
            <w:r>
              <w:rPr>
                <w:rFonts w:hint="eastAsia" w:ascii="Times New Roman" w:hAnsi="Times New Roman" w:eastAsia="宋体" w:cs="Times New Roman"/>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zh-CN"/>
              </w:rPr>
              <w:t>云安全中心具备</w:t>
            </w:r>
            <w:r>
              <w:rPr>
                <w:rFonts w:hint="default" w:ascii="Times New Roman" w:hAnsi="Times New Roman" w:eastAsia="宋体" w:cs="Times New Roman"/>
                <w:sz w:val="24"/>
                <w:szCs w:val="24"/>
                <w:lang w:val="zh-CN"/>
              </w:rPr>
              <w:t>租户视角</w:t>
            </w:r>
            <w:r>
              <w:rPr>
                <w:rFonts w:hint="eastAsia" w:ascii="Times New Roman" w:hAnsi="Times New Roman" w:eastAsia="宋体" w:cs="Times New Roman"/>
                <w:sz w:val="24"/>
                <w:szCs w:val="24"/>
                <w:lang w:val="zh-CN"/>
              </w:rPr>
              <w:t>，具备</w:t>
            </w:r>
            <w:r>
              <w:rPr>
                <w:rFonts w:hint="default" w:ascii="Times New Roman" w:hAnsi="Times New Roman" w:eastAsia="宋体" w:cs="Times New Roman"/>
                <w:sz w:val="24"/>
                <w:szCs w:val="24"/>
                <w:lang w:val="zh-CN"/>
              </w:rPr>
              <w:t>以安全态势大屏和dashboard方式展示租户的安全情况</w:t>
            </w:r>
            <w:r>
              <w:rPr>
                <w:rFonts w:hint="eastAsia" w:ascii="Times New Roman" w:hAnsi="Times New Roman" w:eastAsia="宋体" w:cs="Times New Roman"/>
                <w:sz w:val="24"/>
                <w:szCs w:val="24"/>
                <w:lang w:val="zh-CN"/>
              </w:rPr>
              <w:t>的能力，</w:t>
            </w:r>
            <w:r>
              <w:rPr>
                <w:rFonts w:hint="default" w:ascii="Times New Roman" w:hAnsi="Times New Roman" w:eastAsia="宋体" w:cs="Times New Roman"/>
                <w:sz w:val="24"/>
                <w:szCs w:val="24"/>
                <w:lang w:val="zh-CN"/>
              </w:rPr>
              <w:t>包括资产总数</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风险总数</w:t>
            </w:r>
            <w:r>
              <w:rPr>
                <w:rFonts w:hint="eastAsia" w:ascii="Times New Roman" w:hAnsi="Times New Roman" w:eastAsia="宋体" w:cs="Times New Roman"/>
                <w:sz w:val="24"/>
                <w:szCs w:val="24"/>
                <w:lang w:val="zh-CN"/>
              </w:rPr>
              <w:t>、风险资产T</w:t>
            </w:r>
            <w:r>
              <w:rPr>
                <w:rFonts w:hint="default" w:ascii="Times New Roman" w:hAnsi="Times New Roman" w:eastAsia="宋体" w:cs="Times New Roman"/>
                <w:sz w:val="24"/>
                <w:szCs w:val="24"/>
                <w:lang w:val="zh-CN"/>
              </w:rPr>
              <w:t>OP排名</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安全风险</w:t>
            </w:r>
            <w:r>
              <w:rPr>
                <w:rFonts w:hint="eastAsia" w:ascii="Times New Roman" w:hAnsi="Times New Roman" w:eastAsia="宋体" w:cs="Times New Roman"/>
                <w:sz w:val="24"/>
                <w:szCs w:val="24"/>
                <w:lang w:val="zh-CN"/>
              </w:rPr>
              <w:t>T</w:t>
            </w:r>
            <w:r>
              <w:rPr>
                <w:rFonts w:hint="default" w:ascii="Times New Roman" w:hAnsi="Times New Roman" w:eastAsia="宋体" w:cs="Times New Roman"/>
                <w:sz w:val="24"/>
                <w:szCs w:val="24"/>
                <w:lang w:val="zh-CN"/>
              </w:rPr>
              <w:t>OP排名</w:t>
            </w:r>
            <w:r>
              <w:rPr>
                <w:rFonts w:hint="eastAsia" w:ascii="Times New Roman" w:hAnsi="Times New Roman" w:eastAsia="宋体" w:cs="Times New Roman"/>
                <w:sz w:val="24"/>
                <w:szCs w:val="24"/>
                <w:lang w:val="zh-CN"/>
              </w:rPr>
              <w:t>、防护事件T</w:t>
            </w:r>
            <w:r>
              <w:rPr>
                <w:rFonts w:hint="default" w:ascii="Times New Roman" w:hAnsi="Times New Roman" w:eastAsia="宋体" w:cs="Times New Roman"/>
                <w:sz w:val="24"/>
                <w:szCs w:val="24"/>
                <w:lang w:val="zh-CN"/>
              </w:rPr>
              <w:t>OP排名等信息</w:t>
            </w:r>
            <w:r>
              <w:rPr>
                <w:rFonts w:hint="eastAsia" w:ascii="Times New Roman" w:hAnsi="Times New Roman" w:eastAsia="宋体" w:cs="Times New Roman"/>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zh-CN"/>
              </w:rPr>
              <w:t>具备按照业务系统及单个资产两种维度展示资产的风险状态的能力，包括高危资产及已失陷资产；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具备风险管理模块</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租户可统一查看系统中存在的风险总数</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高危风险及</w:t>
            </w:r>
            <w:r>
              <w:rPr>
                <w:rFonts w:hint="eastAsia" w:ascii="Times New Roman" w:hAnsi="Times New Roman" w:eastAsia="宋体" w:cs="Times New Roman"/>
                <w:sz w:val="24"/>
                <w:szCs w:val="24"/>
                <w:lang w:val="zh-CN"/>
              </w:rPr>
              <w:t>W</w:t>
            </w:r>
            <w:r>
              <w:rPr>
                <w:rFonts w:hint="default" w:ascii="Times New Roman" w:hAnsi="Times New Roman" w:eastAsia="宋体" w:cs="Times New Roman"/>
                <w:sz w:val="24"/>
                <w:szCs w:val="24"/>
                <w:lang w:val="zh-CN"/>
              </w:rPr>
              <w:t>EB安全事件</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并</w:t>
            </w:r>
            <w:r>
              <w:rPr>
                <w:rFonts w:hint="eastAsia" w:ascii="Times New Roman" w:hAnsi="Times New Roman" w:eastAsia="宋体" w:cs="Times New Roman"/>
                <w:sz w:val="24"/>
                <w:szCs w:val="24"/>
                <w:lang w:val="zh-CN"/>
              </w:rPr>
              <w:t>具备</w:t>
            </w:r>
            <w:r>
              <w:rPr>
                <w:rFonts w:hint="default" w:ascii="Times New Roman" w:hAnsi="Times New Roman" w:eastAsia="宋体" w:cs="Times New Roman"/>
                <w:sz w:val="24"/>
                <w:szCs w:val="24"/>
                <w:lang w:val="zh-CN"/>
              </w:rPr>
              <w:t>基于安全产品及风险类型进行筛选查询</w:t>
            </w:r>
            <w:r>
              <w:rPr>
                <w:rFonts w:hint="eastAsia" w:ascii="Times New Roman" w:hAnsi="Times New Roman" w:eastAsia="宋体" w:cs="Times New Roman"/>
                <w:sz w:val="24"/>
                <w:szCs w:val="24"/>
                <w:lang w:val="zh-CN"/>
              </w:rPr>
              <w:t>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具备日志查询模块</w:t>
            </w:r>
            <w:r>
              <w:rPr>
                <w:rFonts w:hint="eastAsia" w:ascii="Times New Roman" w:hAnsi="Times New Roman" w:eastAsia="宋体" w:cs="Times New Roman"/>
                <w:sz w:val="24"/>
                <w:szCs w:val="24"/>
                <w:lang w:val="zh-CN"/>
              </w:rPr>
              <w:t>，具备</w:t>
            </w:r>
            <w:r>
              <w:rPr>
                <w:rFonts w:hint="default" w:ascii="Times New Roman" w:hAnsi="Times New Roman" w:eastAsia="宋体" w:cs="Times New Roman"/>
                <w:sz w:val="24"/>
                <w:szCs w:val="24"/>
                <w:lang w:val="zh-CN"/>
              </w:rPr>
              <w:t>统一查看系统内产生的安全日志</w:t>
            </w:r>
            <w:r>
              <w:rPr>
                <w:rFonts w:hint="eastAsia" w:ascii="Times New Roman" w:hAnsi="Times New Roman" w:eastAsia="宋体" w:cs="Times New Roman"/>
                <w:sz w:val="24"/>
                <w:szCs w:val="24"/>
                <w:lang w:val="zh-CN"/>
              </w:rPr>
              <w:t>的能力，</w:t>
            </w:r>
            <w:r>
              <w:rPr>
                <w:rFonts w:hint="default" w:ascii="Times New Roman" w:hAnsi="Times New Roman" w:eastAsia="宋体" w:cs="Times New Roman"/>
                <w:sz w:val="24"/>
                <w:szCs w:val="24"/>
                <w:lang w:val="zh-CN"/>
              </w:rPr>
              <w:t>日志</w:t>
            </w:r>
            <w:r>
              <w:rPr>
                <w:rFonts w:hint="eastAsia" w:ascii="Times New Roman" w:hAnsi="Times New Roman" w:eastAsia="宋体" w:cs="Times New Roman"/>
                <w:sz w:val="24"/>
                <w:szCs w:val="24"/>
                <w:lang w:val="zh-CN"/>
              </w:rPr>
              <w:t>具备</w:t>
            </w:r>
            <w:r>
              <w:rPr>
                <w:rFonts w:hint="default" w:ascii="Times New Roman" w:hAnsi="Times New Roman" w:eastAsia="宋体" w:cs="Times New Roman"/>
                <w:sz w:val="24"/>
                <w:szCs w:val="24"/>
                <w:lang w:val="zh-CN"/>
              </w:rPr>
              <w:t>按照搜索语法进行搜索</w:t>
            </w:r>
            <w:r>
              <w:rPr>
                <w:rFonts w:hint="eastAsia" w:ascii="Times New Roman" w:hAnsi="Times New Roman" w:eastAsia="宋体" w:cs="Times New Roman"/>
                <w:sz w:val="24"/>
                <w:szCs w:val="24"/>
                <w:lang w:val="zh-CN"/>
              </w:rPr>
              <w:t>的能力，具备根据</w:t>
            </w:r>
            <w:r>
              <w:rPr>
                <w:rFonts w:hint="default" w:ascii="Times New Roman" w:hAnsi="Times New Roman" w:eastAsia="宋体" w:cs="Times New Roman"/>
                <w:sz w:val="24"/>
                <w:szCs w:val="24"/>
                <w:lang w:val="zh-CN"/>
              </w:rPr>
              <w:t>时间进行自定义筛选</w:t>
            </w:r>
            <w:r>
              <w:rPr>
                <w:rFonts w:hint="eastAsia" w:ascii="Times New Roman" w:hAnsi="Times New Roman" w:eastAsia="宋体" w:cs="Times New Roman"/>
                <w:sz w:val="24"/>
                <w:szCs w:val="24"/>
                <w:lang w:val="zh-CN"/>
              </w:rPr>
              <w:t>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0" w:type="pct"/>
            <w:vAlign w:val="center"/>
          </w:tcPr>
          <w:p>
            <w:pPr>
              <w:pStyle w:val="365"/>
              <w:spacing w:line="240" w:lineRule="auto"/>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多区域管理服务</w:t>
            </w:r>
          </w:p>
        </w:tc>
        <w:tc>
          <w:tcPr>
            <w:tcW w:w="4019" w:type="pct"/>
            <w:vAlign w:val="center"/>
          </w:tcPr>
          <w:p>
            <w:pPr>
              <w:pStyle w:val="365"/>
              <w:spacing w:line="240" w:lineRule="auto"/>
              <w:rPr>
                <w:rFonts w:hint="default"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提供</w:t>
            </w:r>
            <w:r>
              <w:rPr>
                <w:rFonts w:hint="default" w:ascii="Times New Roman" w:hAnsi="Times New Roman" w:eastAsia="宋体" w:cs="Times New Roman"/>
                <w:sz w:val="24"/>
                <w:szCs w:val="24"/>
                <w:lang w:val="zh-CN"/>
              </w:rPr>
              <w:t>按照</w:t>
            </w:r>
            <w:r>
              <w:rPr>
                <w:rFonts w:hint="eastAsia" w:ascii="Times New Roman" w:hAnsi="Times New Roman" w:eastAsia="宋体" w:cs="Times New Roman"/>
                <w:sz w:val="24"/>
                <w:szCs w:val="24"/>
                <w:lang w:val="zh-CN"/>
              </w:rPr>
              <w:t>云安全管理平台支持</w:t>
            </w:r>
            <w:r>
              <w:rPr>
                <w:rFonts w:hint="default" w:ascii="Times New Roman" w:hAnsi="Times New Roman" w:eastAsia="宋体" w:cs="Times New Roman"/>
                <w:sz w:val="24"/>
                <w:szCs w:val="24"/>
                <w:lang w:val="zh-CN"/>
              </w:rPr>
              <w:t>省</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市</w:t>
            </w:r>
            <w:r>
              <w:rPr>
                <w:rFonts w:hint="eastAsia"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区三级架构设置云安全区域</w:t>
            </w:r>
            <w:r>
              <w:rPr>
                <w:rFonts w:hint="eastAsia" w:ascii="Times New Roman" w:hAnsi="Times New Roman" w:eastAsia="宋体" w:cs="Times New Roman"/>
                <w:sz w:val="24"/>
                <w:szCs w:val="24"/>
                <w:lang w:val="zh-CN"/>
              </w:rPr>
              <w:t>服务，并将租户及管理员关联区域信息的服务，同一租户可关联多个区域，并根据不同区域的业务按需订购安全产品；区域管理员拥有本区域内的租户管理、产品管理、工单管理等权限。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80" w:type="pct"/>
            <w:vMerge w:val="restart"/>
            <w:vAlign w:val="center"/>
          </w:tcPr>
          <w:p>
            <w:pPr>
              <w:pStyle w:val="365"/>
              <w:spacing w:line="240" w:lineRule="auto"/>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用户管理服务</w:t>
            </w:r>
          </w:p>
        </w:tc>
        <w:tc>
          <w:tcPr>
            <w:tcW w:w="4019" w:type="pct"/>
            <w:vAlign w:val="center"/>
          </w:tcPr>
          <w:p>
            <w:pPr>
              <w:pStyle w:val="365"/>
              <w:spacing w:line="240" w:lineRule="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三权分立安全原则：平台内置多种身份角色，同时支持身份角色和权限的自定义设置，用户可根据业务需求对角色权限进行细粒度分配</w:t>
            </w:r>
            <w:r>
              <w:rPr>
                <w:rFonts w:hint="eastAsia" w:ascii="Times New Roman" w:hAnsi="Times New Roman"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提供设置临时成员的服务，可自定义账号有效期，到期后成</w:t>
            </w:r>
            <w:r>
              <w:rPr>
                <w:rFonts w:hint="default" w:ascii="Times New Roman" w:hAnsi="Times New Roman" w:eastAsia="宋体" w:cs="Times New Roman"/>
                <w:sz w:val="24"/>
                <w:szCs w:val="24"/>
              </w:rPr>
              <w:t>员将被自动踢出租户团队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新建用户的初始密码具备指定密码和随机生成两种方式的能力，具备用户首次登陆强制修改密码的能力；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980" w:type="pct"/>
            <w:vMerge w:val="restart"/>
            <w:vAlign w:val="center"/>
          </w:tcPr>
          <w:p>
            <w:pPr>
              <w:pStyle w:val="365"/>
              <w:spacing w:line="240" w:lineRule="auto"/>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订单管理服务</w:t>
            </w: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提供通过订单实现安全产品的订购统计的服务，用户可以查看订单创建时间、购买时长、订单状态、订单详情等；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订单信息实现权限分离，管理员可以查看平台所有租户的产品订单，且具备按用户筛选产品订单的能力，对于云租户只能查看自己的产品订单；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restart"/>
            <w:vAlign w:val="center"/>
          </w:tcPr>
          <w:p>
            <w:pPr>
              <w:pStyle w:val="365"/>
              <w:spacing w:line="240" w:lineRule="auto"/>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许可管理服务</w:t>
            </w:r>
          </w:p>
        </w:tc>
        <w:tc>
          <w:tcPr>
            <w:tcW w:w="4019" w:type="pct"/>
            <w:vAlign w:val="center"/>
          </w:tcPr>
          <w:p>
            <w:pPr>
              <w:pStyle w:val="365"/>
              <w:spacing w:line="240" w:lineRule="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云安全管理平台支持以通用授权许可的方式激活虚拟安全组件，管理平台只记录许可总数，通用许可将根据产品种类及规格进行按需扣减消耗，支持两个许可合并激活一个高规格的安全产品。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提供以许可文件包的方式批量导入许可的能力，通过扩展许可数量的方式扩展资源池可激活的安全产品数量；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jc w:val="center"/>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虚拟安全组件删除后，云安全管理平台支持将被占用的通用授权许可回收，并可继续用于开通新的虚拟安全组件。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restart"/>
            <w:vAlign w:val="center"/>
          </w:tcPr>
          <w:p>
            <w:pPr>
              <w:pStyle w:val="365"/>
              <w:spacing w:line="240" w:lineRule="auto"/>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运维监控服务</w:t>
            </w: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可通过管理平台查看物理机和安全虚拟机的资源占用信息，包含资源ID／别名，CPU使用率、内存使用率、磁盘使用率，网络流入流出速率，并用可视化图表的方式展示CPU、内存、磁盘占用趋势，网络总流入流出速率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0" w:type="pct"/>
            <w:vMerge w:val="continue"/>
            <w:vAlign w:val="center"/>
          </w:tcPr>
          <w:p>
            <w:pPr>
              <w:pStyle w:val="365"/>
              <w:spacing w:line="240" w:lineRule="auto"/>
              <w:rPr>
                <w:rFonts w:hint="default" w:ascii="Times New Roman" w:hAnsi="Times New Roman" w:eastAsia="宋体" w:cs="Times New Roman"/>
                <w:sz w:val="24"/>
                <w:szCs w:val="24"/>
              </w:rPr>
            </w:pPr>
          </w:p>
        </w:tc>
        <w:tc>
          <w:tcPr>
            <w:tcW w:w="4019" w:type="pct"/>
            <w:vAlign w:val="center"/>
          </w:tcPr>
          <w:p>
            <w:pPr>
              <w:pStyle w:val="365"/>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告警条件</w:t>
            </w:r>
            <w:r>
              <w:rPr>
                <w:rFonts w:hint="eastAsia" w:ascii="Times New Roman" w:hAnsi="Times New Roman" w:eastAsia="宋体" w:cs="Times New Roman"/>
                <w:sz w:val="24"/>
                <w:szCs w:val="24"/>
              </w:rPr>
              <w:t>可</w:t>
            </w:r>
            <w:r>
              <w:rPr>
                <w:rFonts w:hint="default" w:ascii="Times New Roman" w:hAnsi="Times New Roman" w:eastAsia="宋体" w:cs="Times New Roman"/>
                <w:sz w:val="24"/>
                <w:szCs w:val="24"/>
              </w:rPr>
              <w:t>自定义</w:t>
            </w:r>
            <w:r>
              <w:rPr>
                <w:rFonts w:hint="eastAsia" w:ascii="Times New Roman" w:hAnsi="Times New Roman" w:eastAsia="宋体" w:cs="Times New Roman"/>
                <w:sz w:val="24"/>
                <w:szCs w:val="24"/>
              </w:rPr>
              <w:t>设置，管理员可自定义告警时间、告警阈值、告警持续时间，具备通过邮件方式发送告警信息的能力；</w:t>
            </w:r>
          </w:p>
        </w:tc>
      </w:tr>
    </w:tbl>
    <w:p>
      <w:pPr>
        <w:pStyle w:val="6"/>
        <w:widowControl w:val="0"/>
        <w:spacing w:before="120" w:after="120" w:line="312" w:lineRule="auto"/>
        <w:jc w:val="both"/>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2.2</w:t>
      </w:r>
      <w:r>
        <w:rPr>
          <w:rFonts w:hint="eastAsia" w:ascii="Times New Roman" w:hAnsi="Times New Roman" w:eastAsia="宋体" w:cs="Times New Roman"/>
          <w:bCs w:val="0"/>
          <w:sz w:val="24"/>
          <w:szCs w:val="24"/>
          <w:lang w:eastAsia="zh-CN"/>
        </w:rPr>
        <w:t>安全资源池能力服务</w:t>
      </w:r>
    </w:p>
    <w:p>
      <w:pPr>
        <w:pStyle w:val="6"/>
        <w:widowControl w:val="0"/>
        <w:spacing w:before="120" w:after="120" w:line="312" w:lineRule="auto"/>
        <w:jc w:val="both"/>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2.2.1云日志审计安全能力服务</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7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4" w:type="pct"/>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服务能力指标</w:t>
            </w:r>
          </w:p>
        </w:tc>
        <w:tc>
          <w:tcPr>
            <w:tcW w:w="4025"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4"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服务总体要求</w:t>
            </w:r>
          </w:p>
        </w:tc>
        <w:tc>
          <w:tcPr>
            <w:tcW w:w="4025"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帮助用户更好监控和保障信息系统运行，及时识别针对信息系统的入侵攻击、内部违规等信息，同时为安全事件的事后分析、调查取证提供必要的信息。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4"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服务模式</w:t>
            </w:r>
          </w:p>
        </w:tc>
        <w:tc>
          <w:tcPr>
            <w:tcW w:w="4025"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审计工作不影响被审计对象的性能、稳定性或日常管理流程。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4" w:type="pct"/>
            <w:vMerge w:val="restar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日志采集服务</w:t>
            </w:r>
          </w:p>
        </w:tc>
        <w:tc>
          <w:tcPr>
            <w:tcW w:w="4025"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可对Syslog、SNMP Trap、HTTP、ODBC/JDBC、WMI、FTP、SFTP协议日志收集，以及阿里云SLS日志的采集。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4" w:type="pct"/>
            <w:vMerge w:val="continue"/>
            <w:vAlign w:val="center"/>
          </w:tcPr>
          <w:p>
            <w:pPr>
              <w:pStyle w:val="365"/>
              <w:spacing w:line="240" w:lineRule="auto"/>
              <w:jc w:val="center"/>
              <w:rPr>
                <w:rFonts w:hint="eastAsia" w:ascii="Times New Roman" w:hAnsi="Times New Roman" w:eastAsia="宋体" w:cs="Times New Roman"/>
                <w:sz w:val="24"/>
                <w:szCs w:val="24"/>
              </w:rPr>
            </w:pPr>
          </w:p>
        </w:tc>
        <w:tc>
          <w:tcPr>
            <w:tcW w:w="4025"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可对主流的网络安全设备、交换设备、路由设备、操作系统、应用系统等日志的收集。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4"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日志分析服务</w:t>
            </w:r>
          </w:p>
        </w:tc>
        <w:tc>
          <w:tcPr>
            <w:tcW w:w="4025"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rPr>
              <w:t>根据信息安全技术 日志分析产品安全技术要求（GAT 911-2019）、信息安全技术 信息系统安全运维管理指南（GB/T 36626-2018）等国家标准要求，</w:t>
            </w:r>
            <w:r>
              <w:rPr>
                <w:rFonts w:hint="eastAsia" w:ascii="Times New Roman" w:hAnsi="Times New Roman" w:eastAsia="宋体" w:cs="Times New Roman"/>
                <w:sz w:val="24"/>
                <w:szCs w:val="24"/>
                <w:highlight w:val="none"/>
              </w:rPr>
              <w:t>可通过资产、安全知识库、弱点库三个维度分析事件是否存在威胁，并形成关联事件</w:t>
            </w:r>
            <w:r>
              <w:rPr>
                <w:rFonts w:hint="default"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zh-CN" w:eastAsia="zh-CN"/>
              </w:rPr>
              <w:t>投标文件商务技术响应文件中</w:t>
            </w:r>
            <w:r>
              <w:rPr>
                <w:rFonts w:hint="default" w:ascii="Times New Roman" w:hAnsi="Times New Roman" w:eastAsia="宋体" w:cs="Times New Roman"/>
                <w:sz w:val="24"/>
                <w:szCs w:val="24"/>
                <w:highlight w:val="none"/>
                <w:lang w:val="zh-CN" w:eastAsia="zh-CN"/>
              </w:rPr>
              <w:t>提供国家权威检测机构</w:t>
            </w:r>
            <w:r>
              <w:rPr>
                <w:rFonts w:hint="eastAsia" w:ascii="Times New Roman" w:hAnsi="Times New Roman" w:cs="Times New Roman"/>
                <w:sz w:val="24"/>
                <w:szCs w:val="24"/>
                <w:highlight w:val="none"/>
                <w:lang w:val="zh-CN" w:eastAsia="zh-CN"/>
              </w:rPr>
              <w:t>检测报告或具有相关检测资质的第三方检测机构检测报告</w:t>
            </w:r>
            <w:r>
              <w:rPr>
                <w:rFonts w:hint="eastAsia" w:ascii="Times New Roman" w:hAnsi="Times New Roman" w:eastAsia="宋体" w:cs="Times New Roman"/>
                <w:sz w:val="24"/>
                <w:szCs w:val="24"/>
                <w:highlight w:val="none"/>
                <w:lang w:val="zh-CN" w:eastAsia="zh-CN"/>
              </w:rPr>
              <w:t>扫描件</w:t>
            </w:r>
            <w:r>
              <w:rPr>
                <w:rFonts w:hint="default"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4"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日志查询服务</w:t>
            </w:r>
          </w:p>
        </w:tc>
        <w:tc>
          <w:tcPr>
            <w:tcW w:w="4025"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具备极高的日志查询性能，具备亿级的日志里根据做任意的关键字及其它的检索条件的能力，实现在秒级里返回查询结果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4"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资产管理服务</w:t>
            </w:r>
          </w:p>
        </w:tc>
        <w:tc>
          <w:tcPr>
            <w:tcW w:w="4025"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资产拓扑支持根据实际的用户环境进行编辑发布并可以和资产进行绑定。拓扑可以显示资产采集的事件数量、被采集资产的状态等信息。</w:t>
            </w:r>
          </w:p>
        </w:tc>
      </w:tr>
    </w:tbl>
    <w:p>
      <w:pPr>
        <w:pStyle w:val="6"/>
        <w:widowControl w:val="0"/>
        <w:spacing w:before="120" w:after="120" w:line="312" w:lineRule="auto"/>
        <w:jc w:val="both"/>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2.2.2云数据库审计安全能力服务 </w:t>
      </w:r>
    </w:p>
    <w:tbl>
      <w:tblPr>
        <w:tblStyle w:val="57"/>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7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pct"/>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服务能力指标</w:t>
            </w:r>
          </w:p>
        </w:tc>
        <w:tc>
          <w:tcPr>
            <w:tcW w:w="3967"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32"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服务总体要求</w:t>
            </w:r>
          </w:p>
        </w:tc>
        <w:tc>
          <w:tcPr>
            <w:tcW w:w="3967"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实时记录网络上的数据库活动,对数据库操作进行细粒度审计的合规性管理,对数据库遭受到的风险行为进行告警。对用户访问数据库行为的记录、分析和汇报,帮助用户事后生成合规搜索报告、事后追根溯源,同时加强内外部数据库网络行为记录,提高数据资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32"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服务部署</w:t>
            </w:r>
          </w:p>
        </w:tc>
        <w:tc>
          <w:tcPr>
            <w:tcW w:w="3967"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可在云环境操作系统中安装数据库审计软件代理。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32" w:type="pct"/>
            <w:vMerge w:val="restar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协议支持服务</w:t>
            </w:r>
          </w:p>
        </w:tc>
        <w:tc>
          <w:tcPr>
            <w:tcW w:w="3967"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可对Oracle（包括21C版本）、PostgreSQL、SQL Server、DB2、Informix、Sybase、MySQL、MariaDB、Sybase IQ、Vertica、Tidb、PolarDB、PolarDB-X等主流数据库进行审计；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32" w:type="pct"/>
            <w:vMerge w:val="continue"/>
            <w:vAlign w:val="center"/>
          </w:tcPr>
          <w:p>
            <w:pPr>
              <w:pStyle w:val="365"/>
              <w:spacing w:line="240" w:lineRule="auto"/>
              <w:jc w:val="center"/>
              <w:rPr>
                <w:rFonts w:hint="eastAsia" w:ascii="Times New Roman" w:hAnsi="Times New Roman" w:eastAsia="宋体" w:cs="Times New Roman"/>
                <w:sz w:val="24"/>
                <w:szCs w:val="24"/>
              </w:rPr>
            </w:pPr>
          </w:p>
        </w:tc>
        <w:tc>
          <w:tcPr>
            <w:tcW w:w="3967"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可对MongoDB、Hbase、Hive、Impala、Elastic Search、HDFS、Canssandra、greenplum、LibrA、graphbase、cache、Redis、HANA、ArangoDB、Neo4j、OrientDB等非关系型数据库进行审计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32"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审计服务</w:t>
            </w:r>
          </w:p>
        </w:tc>
        <w:tc>
          <w:tcPr>
            <w:tcW w:w="3967"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审计信息能够记录执行时长，影响行数、执行结果描述与返回结果集的。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32"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查询分析服务</w:t>
            </w:r>
          </w:p>
        </w:tc>
        <w:tc>
          <w:tcPr>
            <w:tcW w:w="3967"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可基于数据库访问日期、时间、源/目的IP、来源、数据库名、数据库表名、字段值、数据库登陆账号、SQL关键词、数据库返回码、SQL响应时间、数据库操作类型、影响行数等条件的审计查询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32"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安全审计服务</w:t>
            </w:r>
          </w:p>
        </w:tc>
        <w:tc>
          <w:tcPr>
            <w:tcW w:w="3967"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内置安全规则可通过规则包进行单独升级。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32"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统计报表服务</w:t>
            </w:r>
          </w:p>
        </w:tc>
        <w:tc>
          <w:tcPr>
            <w:tcW w:w="3967"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提供多种报表模板库，报表类型不少于20种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32"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三层关联服务</w:t>
            </w:r>
          </w:p>
        </w:tc>
        <w:tc>
          <w:tcPr>
            <w:tcW w:w="3967"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提供客户端访问Web服务器的URL和应用服务器访问数据库的SQL语句关联功能。</w:t>
            </w:r>
          </w:p>
        </w:tc>
      </w:tr>
    </w:tbl>
    <w:p>
      <w:pPr>
        <w:pStyle w:val="6"/>
        <w:widowControl w:val="0"/>
        <w:spacing w:before="120" w:after="120" w:line="312" w:lineRule="auto"/>
        <w:jc w:val="both"/>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2.2.3云防火墙安全能力服务</w:t>
      </w:r>
    </w:p>
    <w:tbl>
      <w:tblPr>
        <w:tblStyle w:val="57"/>
        <w:tblW w:w="50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5" w:type="pct"/>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服务能力指标</w:t>
            </w:r>
          </w:p>
        </w:tc>
        <w:tc>
          <w:tcPr>
            <w:tcW w:w="3984"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15"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服务总体要求</w:t>
            </w:r>
          </w:p>
        </w:tc>
        <w:tc>
          <w:tcPr>
            <w:tcW w:w="3984"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帮助用户对网络的存取和访问进行监控，强化网络安全策略，有效防止客户内部信息的泄露以及各类安全威胁的入侵。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15"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访问控制服务</w:t>
            </w:r>
          </w:p>
        </w:tc>
        <w:tc>
          <w:tcPr>
            <w:tcW w:w="3984"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提供一体化安全策略：可基于设备接口/安全域、地址、服务、应用、用户、时间等属性，实现入侵防御、病毒防护、URL过滤、应用过滤等高级访问控制。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15"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应用识别服务</w:t>
            </w:r>
          </w:p>
        </w:tc>
        <w:tc>
          <w:tcPr>
            <w:tcW w:w="3984"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提供应用智能识别，有效识别P2P和迅雷行为，识别模式可选择严格、适中、宽松，支持排除扫描端口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15"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端口扫描服务</w:t>
            </w:r>
          </w:p>
        </w:tc>
        <w:tc>
          <w:tcPr>
            <w:tcW w:w="3984"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提供对IP、端口进行端口扫描，可选择立即执行或定期执行的服务；具备扫描结果的呈现的能力，包括端口、端口状态、端口服务、程序版本、操作系统、风险状态、设备类型和时间等信息，并具备导出的能力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15"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路由策略服务</w:t>
            </w:r>
          </w:p>
        </w:tc>
        <w:tc>
          <w:tcPr>
            <w:tcW w:w="3984"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静态路由、动态路由、ISP路由；提供基于入接口、源地址、目的地址、用户、服务、应用、时间、域名的策略路由；ISP路由具备联通、电信、教育网、移动等ISP服务商地址列表的能力，可根据运营商地址自定义</w:t>
            </w:r>
          </w:p>
        </w:tc>
      </w:tr>
    </w:tbl>
    <w:p>
      <w:pPr>
        <w:pStyle w:val="6"/>
        <w:widowControl w:val="0"/>
        <w:spacing w:before="120" w:after="120" w:line="312" w:lineRule="auto"/>
        <w:jc w:val="both"/>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2.2.4云WAF安全能力服务</w:t>
      </w:r>
    </w:p>
    <w:tbl>
      <w:tblPr>
        <w:tblStyle w:val="57"/>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pct"/>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服务能力指标</w:t>
            </w:r>
          </w:p>
        </w:tc>
        <w:tc>
          <w:tcPr>
            <w:tcW w:w="4011"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8"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cs="Times New Roman"/>
                <w:sz w:val="24"/>
                <w:szCs w:val="24"/>
              </w:rPr>
              <w:t>★</w:t>
            </w:r>
            <w:r>
              <w:rPr>
                <w:rFonts w:hint="eastAsia" w:ascii="Times New Roman" w:hAnsi="Times New Roman" w:eastAsia="宋体" w:cs="Times New Roman"/>
                <w:sz w:val="24"/>
                <w:szCs w:val="24"/>
              </w:rPr>
              <w:t>服务总体要求</w:t>
            </w:r>
          </w:p>
        </w:tc>
        <w:tc>
          <w:tcPr>
            <w:tcW w:w="4011"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cs="Times New Roman"/>
                <w:sz w:val="24"/>
                <w:szCs w:val="24"/>
              </w:rPr>
              <w:t>根据《浙江省电子政务外网安全评估指标体系》指标要求，提供与上级平台之间的热门漏洞等情报共享、漏洞修复、策略配置、防护验证等服务，保障网站及相关业务安全、可靠运行。（须提供联动服务方案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8"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HTTPS防护服务</w:t>
            </w:r>
          </w:p>
        </w:tc>
        <w:tc>
          <w:tcPr>
            <w:tcW w:w="4011"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提供HTTPS站点SSL算法自动探测。探测时可以设置指定站点及端口，可以显示探测结果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8"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机器学习服务</w:t>
            </w:r>
          </w:p>
        </w:tc>
        <w:tc>
          <w:tcPr>
            <w:tcW w:w="4011"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具有机器学习安全引擎，可以对用户web业务系统建立安全的访问模型 ，学习的内容包括URL地址、URL请求参数等信息；</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支持设定学习的周期，域名信息，可信任的客户端IP，不可信的客户端IP以及不学习的URL信息的能力；</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模型数据可以显示学习中的URL数量，学习完成的URL数量、检测中URL数量、学习失败的URL数量，同时可以显示各个阶段的占比情况；</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具有通用的机器学习模型，数据模型可实现在线更新；</w:t>
            </w:r>
          </w:p>
          <w:p>
            <w:pPr>
              <w:pStyle w:val="365"/>
              <w:spacing w:line="240" w:lineRule="auto"/>
              <w:rPr>
                <w:rFonts w:hint="eastAsia"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8"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攻击检测服务</w:t>
            </w:r>
          </w:p>
        </w:tc>
        <w:tc>
          <w:tcPr>
            <w:tcW w:w="4011"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提供对跨站脚本(XSS)和注入式攻击（包括SQL注入、命令注入 、代码注入、文件注入、LDAP注入、SSI注入等）的检测防护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8"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CC功能防护服务</w:t>
            </w:r>
          </w:p>
        </w:tc>
        <w:tc>
          <w:tcPr>
            <w:tcW w:w="4011"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支持根据细粒度条件对CC攻击进行检测和防护；匹配条件由URL参数、请求头部字段、目的IP、请求方法、地理位置组成；测量指标由请求速率、请求集中度、请求离散度组成；客户端检测对象由IP、IP+URL、IP+User_Agent等参数组成；支持从请求头字段获取真实源IP地址</w:t>
            </w:r>
            <w:r>
              <w:rPr>
                <w:rFonts w:hint="eastAsia" w:ascii="Times New Roman" w:hAnsi="Times New Roman" w:cs="Times New Roman"/>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8"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Webshell检测服务（语义分析）</w:t>
            </w:r>
          </w:p>
        </w:tc>
        <w:tc>
          <w:tcPr>
            <w:tcW w:w="4011"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内置Webshell检测规则，可以对上传的文件内容进行检查，防止恶意Webshell文件上传，对已经上传的Webshell发起请求的行为进行拦截阻断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8"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客户端安全防护服务</w:t>
            </w:r>
          </w:p>
        </w:tc>
        <w:tc>
          <w:tcPr>
            <w:tcW w:w="4011"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客户端安全防护，插入特殊的HTTP报头以保护客户端免受某些攻击包括但不限于增加以下安全报头：X-Frame-Options（用于防护客户端免受Clickjacking攻击）、X-Content-Type-Options（以防止浏览器将文件解释为内容类型声明以外的其他内容）、X-XSS-Protect（用于当检测到XSS攻击时，指示浏览器停止加载页面）、Content-Security-Policy（用于降低浏览器上的XSS风险和数据注入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88"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区域态势感知与阻断服务</w:t>
            </w:r>
          </w:p>
        </w:tc>
        <w:tc>
          <w:tcPr>
            <w:tcW w:w="4011"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按地理区域对攻击次数等进行统计，并通过地图展示；支持在地图上对某一地理区域设置阻断此区域IP的访问。</w:t>
            </w:r>
          </w:p>
        </w:tc>
      </w:tr>
    </w:tbl>
    <w:p>
      <w:pPr>
        <w:pStyle w:val="6"/>
        <w:widowControl w:val="0"/>
        <w:spacing w:before="120" w:after="120" w:line="312" w:lineRule="auto"/>
        <w:jc w:val="both"/>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2.2.5云堡垒机安全能力服务</w:t>
      </w:r>
    </w:p>
    <w:tbl>
      <w:tblPr>
        <w:tblStyle w:val="57"/>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8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3" w:type="pct"/>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服务能力指标</w:t>
            </w:r>
          </w:p>
        </w:tc>
        <w:tc>
          <w:tcPr>
            <w:tcW w:w="4006"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服务总体要求</w:t>
            </w:r>
          </w:p>
        </w:tc>
        <w:tc>
          <w:tcPr>
            <w:tcW w:w="400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帮助用户保护网络设备和网络数据不受外部侵害,监测运维人员的工作状态,针对发现任何人有危害单位安全的行为,实现立即报警,并且审计定责。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用户管理服务</w:t>
            </w:r>
          </w:p>
        </w:tc>
        <w:tc>
          <w:tcPr>
            <w:tcW w:w="400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根据用户部门组织架构（至少5个层级的部门）管理用户数据、资产数据、授权数据、审计数据，且数据相互隔离；可按部门层级分别设定各部门不同权限的管理员，如部门内的运维管理员、审计管理员、系统管理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3" w:type="pct"/>
            <w:vMerge w:val="restar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设备管理服务</w:t>
            </w:r>
          </w:p>
        </w:tc>
        <w:tc>
          <w:tcPr>
            <w:tcW w:w="400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提供常用的运维协议：SSH、TELNET、RDP、VNC、FTP、SFTP、rlogin；可通过应用发布的方式进行协议扩展，如数据库Oracle、MSSQL、MySQL、VMware vSphere Client、浏览器等客户端工具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3" w:type="pct"/>
            <w:vMerge w:val="continue"/>
            <w:vAlign w:val="center"/>
          </w:tcPr>
          <w:p>
            <w:pPr>
              <w:pStyle w:val="365"/>
              <w:spacing w:line="240" w:lineRule="auto"/>
              <w:jc w:val="center"/>
              <w:rPr>
                <w:rFonts w:hint="eastAsia" w:ascii="Times New Roman" w:hAnsi="Times New Roman" w:eastAsia="宋体" w:cs="Times New Roman"/>
                <w:sz w:val="24"/>
                <w:szCs w:val="24"/>
              </w:rPr>
            </w:pPr>
          </w:p>
        </w:tc>
        <w:tc>
          <w:tcPr>
            <w:tcW w:w="400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提供用户账号状态统计，包含用户账号上次登录时间、已禁用的用户账号、用户账号有效期等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工单流程服务</w:t>
            </w:r>
          </w:p>
        </w:tc>
        <w:tc>
          <w:tcPr>
            <w:tcW w:w="400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运维人员可以向管理员申请需要访问的设备，申请时可以选择：设备IP、设备账户、运维有效期、备注事由等，并且运维工单以邮件方式通知管理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审计日志服务</w:t>
            </w:r>
          </w:p>
        </w:tc>
        <w:tc>
          <w:tcPr>
            <w:tcW w:w="400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对运维操作会话的在线监控、实时阻断服务；可实现录像回放、支持记录起止时间、来源用户、来源IP、目标设备、协议/应用类型、命令记录、操作内容（如对文件的上传、下载、删除、修改等操作等）的详细行为日志；</w:t>
            </w:r>
          </w:p>
        </w:tc>
      </w:tr>
    </w:tbl>
    <w:p>
      <w:pPr>
        <w:pStyle w:val="6"/>
        <w:widowControl w:val="0"/>
        <w:spacing w:before="120" w:after="120" w:line="312" w:lineRule="auto"/>
        <w:jc w:val="both"/>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2.2.6云综合漏洞扫描安全能力服务</w:t>
      </w:r>
    </w:p>
    <w:tbl>
      <w:tblPr>
        <w:tblStyle w:val="57"/>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4" w:type="pct"/>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服务能力指标</w:t>
            </w:r>
          </w:p>
        </w:tc>
        <w:tc>
          <w:tcPr>
            <w:tcW w:w="4005"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4"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服务总体要求</w:t>
            </w:r>
          </w:p>
        </w:tc>
        <w:tc>
          <w:tcPr>
            <w:tcW w:w="4005"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为B/S架构，并采用SSL加密通信方式，用户可以通过浏览器远程方便对产品访问操作，支持多用户同时登录操作；帮助用户准确发现网络中各主机、设备存在的网络安全漏洞，并给出详细的描述和解决方案，实现对整个系统进行安全评估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4"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系统漏洞扫描服务</w:t>
            </w:r>
          </w:p>
        </w:tc>
        <w:tc>
          <w:tcPr>
            <w:tcW w:w="4005"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可对各种网络主机、操作系统、网络设备(如交换机、路由器、防火墙等)、常用软件以及应用系统进行识别和漏洞扫描。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4"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基线核查服务</w:t>
            </w:r>
          </w:p>
        </w:tc>
        <w:tc>
          <w:tcPr>
            <w:tcW w:w="4005"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提供系统安全配置核查，能够对主流操作系统、中间件、数据库、网络设备、虚拟化设备的安全配置项目进行检查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4"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网站漏洞扫描服务</w:t>
            </w:r>
          </w:p>
        </w:tc>
        <w:tc>
          <w:tcPr>
            <w:tcW w:w="4005"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提供常见Web漏洞类型的扫描，包括SQL注入、跨站脚本、命令执行、命令注入、代码注入、弱口令、目录遍历、URL跳转、文件包含、反序列化漏洞、文件上传、CSRF跨站请求伪造、信息泄露等。支持OWASP TOP10等主流安全漏洞；支持对漏洞以紧急、高危、中危、低危、信息进行危害程度的分类，并且可根据用户需要自定义漏洞等级。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4"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数据库扫描服务</w:t>
            </w:r>
          </w:p>
        </w:tc>
        <w:tc>
          <w:tcPr>
            <w:tcW w:w="4005"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提供Oracle、Mysql、SQLServer、DB2、informix、PostgreSQL、Sybase、达梦、人大金仓的授权数据库漏洞扫描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94"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资产管理服务</w:t>
            </w:r>
          </w:p>
        </w:tc>
        <w:tc>
          <w:tcPr>
            <w:tcW w:w="4005"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提供授权管理，对已知用户名、密码的资产可预先进行配置存放至授权管理，再下发扫描任务时能对该部分资产的授权信息同步</w:t>
            </w:r>
          </w:p>
        </w:tc>
      </w:tr>
    </w:tbl>
    <w:p>
      <w:pPr>
        <w:pStyle w:val="6"/>
        <w:widowControl w:val="0"/>
        <w:spacing w:before="120" w:after="120" w:line="312" w:lineRule="auto"/>
        <w:jc w:val="both"/>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2.2.7云主机安全能力服务</w:t>
      </w:r>
    </w:p>
    <w:tbl>
      <w:tblPr>
        <w:tblStyle w:val="57"/>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2" w:type="pct"/>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服务能力指标</w:t>
            </w:r>
          </w:p>
        </w:tc>
        <w:tc>
          <w:tcPr>
            <w:tcW w:w="4027"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2"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服务总体要求</w:t>
            </w:r>
          </w:p>
        </w:tc>
        <w:tc>
          <w:tcPr>
            <w:tcW w:w="4027"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帮助用户保证主机在数据存储和处理的保密性、完整性，可用性，包括硬件、固件、系统软件的自身安全，为用户建立一个完整的主机安全保护环境。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2"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系统性能监控服务</w:t>
            </w:r>
          </w:p>
        </w:tc>
        <w:tc>
          <w:tcPr>
            <w:tcW w:w="4027"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支持对防护资产的CPU使用率、内存使用率、磁盘使用情况、网络上下行流量进行性能监控，并支持对性能监控项设置阈值，达到阈值后告警；支持对CPU、内存达到一定阈值时客户端进行熔断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2" w:type="pct"/>
            <w:vMerge w:val="restar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防病毒服务</w:t>
            </w:r>
          </w:p>
        </w:tc>
        <w:tc>
          <w:tcPr>
            <w:tcW w:w="4027"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提供专门的勒索风险评估、专门的挖矿风险评估服务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2" w:type="pct"/>
            <w:vMerge w:val="continue"/>
            <w:vAlign w:val="center"/>
          </w:tcPr>
          <w:p>
            <w:pPr>
              <w:pStyle w:val="365"/>
              <w:spacing w:line="240" w:lineRule="auto"/>
              <w:jc w:val="center"/>
              <w:rPr>
                <w:rFonts w:hint="eastAsia" w:ascii="Times New Roman" w:hAnsi="Times New Roman" w:eastAsia="宋体" w:cs="Times New Roman"/>
                <w:sz w:val="24"/>
                <w:szCs w:val="24"/>
              </w:rPr>
            </w:pPr>
          </w:p>
        </w:tc>
        <w:tc>
          <w:tcPr>
            <w:tcW w:w="4027"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可对扫描发现的网马进行自动查杀设置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2" w:type="pct"/>
            <w:vMerge w:val="continue"/>
            <w:vAlign w:val="center"/>
          </w:tcPr>
          <w:p>
            <w:pPr>
              <w:pStyle w:val="365"/>
              <w:spacing w:line="240" w:lineRule="auto"/>
              <w:jc w:val="center"/>
              <w:rPr>
                <w:rFonts w:hint="eastAsia" w:ascii="Times New Roman" w:hAnsi="Times New Roman" w:eastAsia="宋体" w:cs="Times New Roman"/>
                <w:sz w:val="24"/>
                <w:szCs w:val="24"/>
              </w:rPr>
            </w:pPr>
          </w:p>
        </w:tc>
        <w:tc>
          <w:tcPr>
            <w:tcW w:w="4027"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可对病毒立即处理，对于无法普通隔离的病毒文件进行处理并加入隔离区，或动态移动到信任区。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72"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系统安全性服务</w:t>
            </w:r>
          </w:p>
        </w:tc>
        <w:tc>
          <w:tcPr>
            <w:tcW w:w="4027"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提供网络分域访问，在服务端设置不同网络访问域，资产在同一时间只能访问任意一个网络域，具备资产自主切换不同网络访问域的能力</w:t>
            </w:r>
          </w:p>
        </w:tc>
      </w:tr>
    </w:tbl>
    <w:p>
      <w:pPr>
        <w:pStyle w:val="6"/>
        <w:widowControl w:val="0"/>
        <w:spacing w:before="120" w:after="120" w:line="312" w:lineRule="auto"/>
        <w:jc w:val="both"/>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2.2.8云APT安全能力服务</w:t>
      </w:r>
    </w:p>
    <w:tbl>
      <w:tblPr>
        <w:tblStyle w:val="57"/>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3" w:type="pct"/>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服务能力指标</w:t>
            </w:r>
          </w:p>
        </w:tc>
        <w:tc>
          <w:tcPr>
            <w:tcW w:w="4046"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服务总体要求</w:t>
            </w:r>
          </w:p>
        </w:tc>
        <w:tc>
          <w:tcPr>
            <w:tcW w:w="404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通过深度威胁检测技术，帮助客户实现对流量深度解析，发现流量中的恶意攻击，包括不限于发现0day漏洞利用、未知恶意代码等高级攻击手段，提供全面的检测和预警的能力，为用户提供更高级的安全保障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检测风险类别服务</w:t>
            </w:r>
          </w:p>
        </w:tc>
        <w:tc>
          <w:tcPr>
            <w:tcW w:w="404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检测WEB攻击、恶意文件攻击、远程控制、WEB后门访问、行为分析、DGA域名请求、SMB远程溢出攻击、弱口令、拒绝服务攻击、隧道通信、暴力破解、挖矿、恶意工具利用、扫描行为、漏洞利用、邮件社工攻击、ARP欺骗、密码明文形式传输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暴力破解检测服务</w:t>
            </w:r>
          </w:p>
        </w:tc>
        <w:tc>
          <w:tcPr>
            <w:tcW w:w="404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提供自定义启用/禁用暴力破解模型；提供自定义配置模型统计周期、登录次数、聚合维度等参数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ARP欺骗检测服务</w:t>
            </w:r>
          </w:p>
        </w:tc>
        <w:tc>
          <w:tcPr>
            <w:tcW w:w="404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可根据MAC与IP地址的绑定关系，分析网络中的ARP流量，判断ARP应答包中的IP和MAC地址是否匹配的服务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文件检测服务</w:t>
            </w:r>
          </w:p>
        </w:tc>
        <w:tc>
          <w:tcPr>
            <w:tcW w:w="404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提供doc, xls, ppt, swf, pdf, rar, zip, rar, exe, vbs, scr、ps1、elf、mach-O等多种文件的解析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敏感信息管理服务</w:t>
            </w:r>
          </w:p>
        </w:tc>
        <w:tc>
          <w:tcPr>
            <w:tcW w:w="404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提供对自定义弱密码、暴力破解和密码明文形式传输等告警的密码查看权限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9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失陷主机检测服务</w:t>
            </w:r>
          </w:p>
        </w:tc>
        <w:tc>
          <w:tcPr>
            <w:tcW w:w="404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可根据威胁情报、DGA域名请求、IDS规则、用户配置数据，发现被远程控制的内部主机</w:t>
            </w:r>
          </w:p>
        </w:tc>
      </w:tr>
    </w:tbl>
    <w:p>
      <w:pPr>
        <w:pStyle w:val="6"/>
        <w:widowControl w:val="0"/>
        <w:spacing w:before="120" w:after="120" w:line="312" w:lineRule="auto"/>
        <w:jc w:val="both"/>
        <w:rPr>
          <w:rFonts w:hint="eastAsia" w:ascii="Times New Roman" w:hAnsi="Times New Roman" w:eastAsia="宋体" w:cs="Times New Roman"/>
          <w:bCs w:val="0"/>
          <w:sz w:val="24"/>
          <w:szCs w:val="24"/>
        </w:rPr>
      </w:pPr>
      <w:r>
        <w:rPr>
          <w:rFonts w:hint="eastAsia" w:ascii="Times New Roman" w:hAnsi="Times New Roman" w:eastAsia="宋体" w:cs="Times New Roman"/>
          <w:bCs w:val="0"/>
          <w:sz w:val="24"/>
          <w:szCs w:val="24"/>
          <w:lang w:val="en-US" w:eastAsia="zh-CN"/>
        </w:rPr>
        <w:t>3.</w:t>
      </w:r>
      <w:r>
        <w:rPr>
          <w:rFonts w:hint="eastAsia" w:ascii="Times New Roman" w:hAnsi="Times New Roman" w:eastAsia="宋体" w:cs="Times New Roman"/>
          <w:bCs w:val="0"/>
          <w:sz w:val="24"/>
          <w:szCs w:val="24"/>
        </w:rPr>
        <w:t>网络安全数据分析服务</w:t>
      </w:r>
    </w:p>
    <w:p>
      <w:pPr>
        <w:pStyle w:val="6"/>
        <w:widowControl w:val="0"/>
        <w:spacing w:before="120" w:after="120" w:line="312" w:lineRule="auto"/>
        <w:jc w:val="both"/>
        <w:rPr>
          <w:rFonts w:hint="eastAsia" w:ascii="Times New Roman" w:hAnsi="Times New Roman" w:eastAsia="宋体" w:cs="Times New Roman"/>
          <w:bCs w:val="0"/>
          <w:sz w:val="24"/>
          <w:szCs w:val="24"/>
        </w:rPr>
      </w:pPr>
      <w:r>
        <w:rPr>
          <w:rFonts w:hint="eastAsia" w:ascii="Times New Roman" w:hAnsi="Times New Roman" w:eastAsia="宋体" w:cs="Times New Roman"/>
          <w:bCs w:val="0"/>
          <w:sz w:val="24"/>
          <w:szCs w:val="24"/>
          <w:lang w:val="en-US" w:eastAsia="zh-CN"/>
        </w:rPr>
        <w:t>3.1</w:t>
      </w:r>
      <w:r>
        <w:rPr>
          <w:rFonts w:hint="eastAsia" w:ascii="Times New Roman" w:hAnsi="Times New Roman" w:eastAsia="宋体" w:cs="Times New Roman"/>
          <w:bCs w:val="0"/>
          <w:sz w:val="24"/>
          <w:szCs w:val="24"/>
        </w:rPr>
        <w:t>资产数据治理服务</w:t>
      </w:r>
    </w:p>
    <w:tbl>
      <w:tblPr>
        <w:tblStyle w:val="57"/>
        <w:tblW w:w="51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318"/>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8" w:type="pct"/>
            <w:gridSpan w:val="2"/>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服务能力指标</w:t>
            </w:r>
          </w:p>
        </w:tc>
        <w:tc>
          <w:tcPr>
            <w:tcW w:w="3881" w:type="pct"/>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18" w:type="pct"/>
            <w:gridSpan w:val="2"/>
            <w:shd w:val="clear" w:color="auto" w:fill="auto"/>
            <w:vAlign w:val="center"/>
          </w:tcPr>
          <w:p>
            <w:pPr>
              <w:pStyle w:val="365"/>
              <w:spacing w:line="240" w:lineRule="auto"/>
              <w:jc w:val="center"/>
            </w:pPr>
            <w:r>
              <w:rPr>
                <w:rFonts w:hint="eastAsia" w:ascii="Times New Roman" w:hAnsi="Times New Roman" w:eastAsia="宋体" w:cs="Times New Roman"/>
                <w:sz w:val="24"/>
                <w:szCs w:val="24"/>
              </w:rPr>
              <w:t>服务总体要求</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帮助用户摸清单位网络资产底数，建立网络资产档案库，在一个平台实现统一的资产探测、漏洞扫描、高危风险预警等功能，提供多维度安全态势可视化等一系列服务，可协助用户掌握本单位网站及业务系统的安全动态，提高整体的安全态势感知能力和安全水平。</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超出25000点位免费提供。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restart"/>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网络资产探测服务</w:t>
            </w: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资产探测发现服务</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提供手工导入、主动扫描等多种信息资产发现方式，可通过域名、IP段等多种途径对资产进行探测和管理。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存活资产探测服务</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提供资产存活状态自动发现，具备自定义端口存活探测的能力。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资产状态检测服务</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提供资产状态检测服务，资产自动收集、识别并记录资产上线、下线和更新状态。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资产指纹服务</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提供精准资产类型及指纹识别，能够识别的资产类型包括但不限于CMS网站应用、数据库服务应用、服务中间件、开源框架、网络及安全设备、物联网设备等，识别指纹种类不低于6000种。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资产探测任务服务</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资产探测任务速率、端口范围和周期配置，包括自定义监控周期及检测时间（支持按照单次/日/周/月/）规则配置；端口范围具备通过常用场景模板快速选择端口范围的能力，模板包括企业应用、数据库、物联网等场景，支持自定义端口及全端口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域名/子域名发现服务</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提供子域名的发现、多级域名自动发现。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IP/IP段探测服务</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提供IP/IP段的资产探测，发现存活的ip、开放的端口及服务类型等信息，具备基于IP的域名发现的能力。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内网资产探测服务</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提供内网资产探测，能够采集局域网某网段内主机的MAC地址，用于硬件厂商的识别，对局域网资产进行分析。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web资产拓展探测服务</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提供对已知web资产的拓展探测，自动识别已有资产的域名和主机ip进行web资产和主机资产探测。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探测任务操作服务</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提供资产探测任务的查看、修改、终止、删除等日常操作，可对单次任务进行再次探测，可查看每个任务的资产探测结果。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资产自动识别服务</w:t>
            </w:r>
          </w:p>
        </w:tc>
        <w:tc>
          <w:tcPr>
            <w:tcW w:w="3881"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提供单位资产的自动识别，可针对某一单位配置对应的ip段，在该ip段扫描发现的资产自动归属到该单位目录下，便于单位资产的管理。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restart"/>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网络资产管理服务</w:t>
            </w:r>
          </w:p>
        </w:tc>
        <w:tc>
          <w:tcPr>
            <w:tcW w:w="653" w:type="pct"/>
            <w:vMerge w:val="restar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资产展示服务</w:t>
            </w:r>
          </w:p>
        </w:tc>
        <w:tc>
          <w:tcPr>
            <w:tcW w:w="388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通过web、主机、域名、端口等多个类别和视角展示资产。具备以系统名称、IP、单位、联系人、首次发现时间、操作系统及版本、资产状态码、标签等信息实现资产的特征识别和过滤的能力。具备按URL、联系人、资产名称等多种搜索组合进行资产的检索能力。具备web、主机、域名、端口视角下资产批量导出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vMerge w:val="continue"/>
            <w:shd w:val="clear" w:color="auto" w:fill="auto"/>
            <w:vAlign w:val="center"/>
          </w:tcPr>
          <w:p>
            <w:pPr>
              <w:pStyle w:val="365"/>
              <w:spacing w:line="240" w:lineRule="auto"/>
              <w:rPr>
                <w:rFonts w:hint="eastAsia" w:ascii="Times New Roman" w:hAnsi="Times New Roman" w:eastAsia="宋体" w:cs="Times New Roman"/>
                <w:sz w:val="24"/>
                <w:szCs w:val="24"/>
              </w:rPr>
            </w:pP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可通过以单位组织架构视角和资产分类视角展示资产。组织架构视角可按单位名称展示本单位的资产；分类视角可根据资产属性和类别进行展示，如硬件、操作系统、服务类型、中间件、应用类型等。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vMerge w:val="restar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资产管理服务</w:t>
            </w: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提供分类管理，资产可以按照单位和分组等基本属性进行分类管理，可自定义分组、标签和联系人（添加、编辑、删除）。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vMerge w:val="continue"/>
            <w:shd w:val="clear" w:color="auto" w:fill="auto"/>
            <w:vAlign w:val="center"/>
          </w:tcPr>
          <w:p>
            <w:pPr>
              <w:pStyle w:val="365"/>
              <w:spacing w:line="240" w:lineRule="auto"/>
              <w:rPr>
                <w:rFonts w:hint="eastAsia" w:ascii="Times New Roman" w:hAnsi="Times New Roman" w:eastAsia="宋体" w:cs="Times New Roman"/>
                <w:sz w:val="24"/>
                <w:szCs w:val="24"/>
              </w:rPr>
            </w:pP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提供单位组织架构的管理，单位组织架构树状展示，可编辑、可搜索，可自定义展示排列先后顺序。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rPr>
            </w:pPr>
          </w:p>
        </w:tc>
        <w:tc>
          <w:tcPr>
            <w:tcW w:w="653" w:type="pct"/>
            <w:vMerge w:val="continue"/>
            <w:shd w:val="clear" w:color="auto" w:fill="auto"/>
            <w:vAlign w:val="center"/>
          </w:tcPr>
          <w:p>
            <w:pPr>
              <w:pStyle w:val="365"/>
              <w:spacing w:line="240" w:lineRule="auto"/>
              <w:rPr>
                <w:rFonts w:hint="eastAsia" w:ascii="Times New Roman" w:hAnsi="Times New Roman" w:eastAsia="宋体" w:cs="Times New Roman"/>
                <w:sz w:val="24"/>
                <w:szCs w:val="24"/>
              </w:rPr>
            </w:pP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提供批量变更资产归属单位和分组，具备批量添加和变更资产安全联系人的能力，具备资产批量删除的能力。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restart"/>
            <w:shd w:val="clear" w:color="auto" w:fill="auto"/>
            <w:vAlign w:val="center"/>
          </w:tcPr>
          <w:p>
            <w:pPr>
              <w:pStyle w:val="365"/>
              <w:spacing w:line="240" w:lineRule="auto"/>
              <w:jc w:val="center"/>
              <w:rPr>
                <w:rFonts w:hint="eastAsia" w:ascii="Times New Roman" w:hAnsi="Times New Roman" w:eastAsia="宋体" w:cs="Times New Roman"/>
                <w:sz w:val="24"/>
                <w:szCs w:val="24"/>
              </w:rPr>
            </w:pPr>
          </w:p>
          <w:p>
            <w:pPr>
              <w:pStyle w:val="365"/>
              <w:spacing w:line="240" w:lineRule="auto"/>
              <w:jc w:val="center"/>
              <w:rPr>
                <w:rFonts w:hint="eastAsia" w:ascii="Times New Roman" w:hAnsi="Times New Roman" w:eastAsia="宋体" w:cs="Times New Roman"/>
                <w:sz w:val="24"/>
                <w:szCs w:val="24"/>
              </w:rPr>
            </w:pPr>
          </w:p>
          <w:p>
            <w:pPr>
              <w:pStyle w:val="365"/>
              <w:spacing w:line="240" w:lineRule="auto"/>
              <w:jc w:val="center"/>
              <w:rPr>
                <w:rFonts w:hint="eastAsia" w:ascii="Times New Roman" w:hAnsi="Times New Roman" w:eastAsia="宋体" w:cs="Times New Roman"/>
                <w:sz w:val="24"/>
                <w:szCs w:val="24"/>
              </w:rPr>
            </w:pPr>
          </w:p>
          <w:p>
            <w:pPr>
              <w:pStyle w:val="365"/>
              <w:spacing w:line="240" w:lineRule="auto"/>
              <w:jc w:val="center"/>
              <w:rPr>
                <w:rFonts w:hint="eastAsia" w:ascii="Times New Roman" w:hAnsi="Times New Roman" w:eastAsia="宋体" w:cs="Times New Roman"/>
                <w:sz w:val="24"/>
                <w:szCs w:val="24"/>
              </w:rPr>
            </w:pPr>
          </w:p>
          <w:p>
            <w:pPr>
              <w:pStyle w:val="365"/>
              <w:spacing w:line="240" w:lineRule="auto"/>
              <w:jc w:val="center"/>
              <w:rPr>
                <w:rFonts w:hint="eastAsia" w:ascii="Times New Roman" w:hAnsi="Times New Roman" w:eastAsia="宋体" w:cs="Times New Roman"/>
                <w:sz w:val="24"/>
                <w:szCs w:val="24"/>
              </w:rPr>
            </w:pPr>
          </w:p>
          <w:p>
            <w:pPr>
              <w:pStyle w:val="365"/>
              <w:spacing w:line="240" w:lineRule="auto"/>
              <w:jc w:val="center"/>
              <w:rPr>
                <w:rFonts w:hint="eastAsia" w:ascii="Times New Roman" w:hAnsi="Times New Roman" w:eastAsia="宋体" w:cs="Times New Roman"/>
                <w:sz w:val="24"/>
                <w:szCs w:val="24"/>
              </w:rPr>
            </w:pPr>
          </w:p>
          <w:p>
            <w:pPr>
              <w:pStyle w:val="365"/>
              <w:spacing w:line="240" w:lineRule="auto"/>
              <w:jc w:val="center"/>
              <w:rPr>
                <w:rFonts w:hint="eastAsia" w:ascii="Times New Roman" w:hAnsi="Times New Roman" w:eastAsia="宋体" w:cs="Times New Roman"/>
                <w:sz w:val="24"/>
                <w:szCs w:val="24"/>
              </w:rPr>
            </w:pPr>
          </w:p>
          <w:p>
            <w:pPr>
              <w:pStyle w:val="365"/>
              <w:spacing w:line="240" w:lineRule="auto"/>
              <w:jc w:val="center"/>
              <w:rPr>
                <w:rFonts w:hint="eastAsia" w:ascii="Times New Roman" w:hAnsi="Times New Roman" w:eastAsia="宋体" w:cs="Times New Roman"/>
                <w:sz w:val="24"/>
                <w:szCs w:val="24"/>
              </w:rPr>
            </w:pPr>
          </w:p>
          <w:p>
            <w:pPr>
              <w:pStyle w:val="365"/>
              <w:spacing w:line="240" w:lineRule="auto"/>
              <w:jc w:val="center"/>
              <w:rPr>
                <w:rFonts w:hint="eastAsia" w:ascii="Times New Roman" w:hAnsi="Times New Roman" w:eastAsia="宋体" w:cs="Times New Roman"/>
                <w:sz w:val="24"/>
                <w:szCs w:val="24"/>
              </w:rPr>
            </w:pPr>
          </w:p>
          <w:p>
            <w:pPr>
              <w:pStyle w:val="365"/>
              <w:spacing w:line="240" w:lineRule="auto"/>
              <w:jc w:val="center"/>
              <w:rPr>
                <w:rFonts w:hint="eastAsia" w:ascii="Times New Roman" w:hAnsi="Times New Roman" w:eastAsia="宋体" w:cs="Times New Roman"/>
                <w:sz w:val="24"/>
                <w:szCs w:val="24"/>
              </w:rPr>
            </w:pPr>
          </w:p>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弱点扫描及管理服务</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弱点扫描模式服务</w:t>
            </w:r>
          </w:p>
        </w:tc>
        <w:tc>
          <w:tcPr>
            <w:tcW w:w="388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弱点扫描提供web漏洞扫描、主机漏洞扫描、弱口令扫描、安全事件扫描和内容风险扫描能力，并且具备登录扫描和非登录扫描两种模式。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pPr>
          </w:p>
        </w:tc>
        <w:tc>
          <w:tcPr>
            <w:tcW w:w="653"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自动匹配扫描服务</w:t>
            </w: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可根据用户选择或输入的资产，自动匹配资产的弱点扫描项，如选择web资产，自动匹配web漏洞扫描、安全事件、内容风险等扫描项；选择主机资产，自动匹配主机漏洞扫描、弱口令等扫描项。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pPr>
          </w:p>
        </w:tc>
        <w:tc>
          <w:tcPr>
            <w:tcW w:w="653"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弱口令扫描服务</w:t>
            </w: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提供弱口令扫描，提供多种弱口令扫描协议，包括SMB、RDP、SSH、TELNET、FTP、SMTP、IMAP、POP3、MySQL、MSSQL、REDIS等协议进行弱口令扫描，允许用户自定义用户、密码字典。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pPr>
          </w:p>
        </w:tc>
        <w:tc>
          <w:tcPr>
            <w:tcW w:w="653" w:type="pct"/>
            <w:vMerge w:val="restar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主机漏洞扫描服务</w:t>
            </w: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提供主机漏洞扫描检测，漏洞策略库大于55000条；提供详细的漏洞描述和对应的解决方案描述；漏洞知识库与国际CVE、国内CNNVD漏洞库标准兼容。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pPr>
          </w:p>
        </w:tc>
        <w:tc>
          <w:tcPr>
            <w:tcW w:w="653" w:type="pct"/>
            <w:vMerge w:val="continue"/>
            <w:shd w:val="clear" w:color="auto" w:fill="auto"/>
            <w:vAlign w:val="center"/>
          </w:tcPr>
          <w:p>
            <w:pPr>
              <w:pStyle w:val="365"/>
              <w:spacing w:line="240" w:lineRule="auto"/>
              <w:rPr>
                <w:rFonts w:hint="eastAsia" w:ascii="Times New Roman" w:hAnsi="Times New Roman" w:eastAsia="宋体" w:cs="Times New Roman"/>
                <w:sz w:val="24"/>
                <w:szCs w:val="24"/>
              </w:rPr>
            </w:pP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主机漏洞包括漏洞详情、影响端口、影响服务、CVE、CNNVD、CVSS，提供漏洞的修复及建议。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web漏洞扫描服务</w:t>
            </w: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提供对web系统漏洞进行扫描检测，包括SQL注入漏洞、跨站脚本漏洞、开放服务漏洞、网站第三方应用漏洞、隐藏字段、表单绕过、框架注入、0day漏洞等。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自定义扫描服务</w:t>
            </w: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提供自定义扫描参数和自定义扫描策略，提供自定义主机漏洞和web漏洞扫描模板。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暗链+V服务</w:t>
            </w: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提供暗链+V，加V表示该漏洞可靠性达到90%以上，可帮助用户快速的确认和处理漏洞。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WEB漏洞+V服务</w:t>
            </w: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提供web漏洞扫描结果+V，加V表示该漏洞可靠性达到90%以上，可帮助用户快速的确认和处理漏洞。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pPr>
          </w:p>
        </w:tc>
        <w:tc>
          <w:tcPr>
            <w:tcW w:w="653" w:type="pc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扫描黑名单服务</w:t>
            </w: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提供扫描黑名单配置，已配置黑名单的web资产和主机资产不会被扫描。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pPr>
          </w:p>
        </w:tc>
        <w:tc>
          <w:tcPr>
            <w:tcW w:w="653" w:type="pct"/>
            <w:vMerge w:val="restart"/>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漏洞详情服务</w:t>
            </w: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依据漏洞情报提供web漏洞VPT（弱点优先级）的能力，依据资产重要等级、是否互联网暴露、利用复杂度等维度进行VPT计算，各个维度的分值比重可自定义；通过VPT功能，可协助对漏洞重要程度分类，优先修复VPT高的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pct"/>
            <w:vMerge w:val="continue"/>
            <w:shd w:val="clear" w:color="auto" w:fill="auto"/>
            <w:vAlign w:val="center"/>
          </w:tcPr>
          <w:p>
            <w:pPr>
              <w:pStyle w:val="365"/>
            </w:pPr>
          </w:p>
        </w:tc>
        <w:tc>
          <w:tcPr>
            <w:tcW w:w="653" w:type="pct"/>
            <w:vMerge w:val="continue"/>
            <w:shd w:val="clear" w:color="auto" w:fill="auto"/>
            <w:vAlign w:val="center"/>
          </w:tcPr>
          <w:p>
            <w:pPr>
              <w:pStyle w:val="365"/>
            </w:pPr>
          </w:p>
        </w:tc>
        <w:tc>
          <w:tcPr>
            <w:tcW w:w="3881"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漏洞详情提供漏洞描述、影响组件、CVE、CNVD、CVSS、漏洞修复及建议、修复方式、修复建议。</w:t>
            </w:r>
          </w:p>
        </w:tc>
      </w:tr>
    </w:tbl>
    <w:p>
      <w:pPr>
        <w:pStyle w:val="6"/>
        <w:widowControl w:val="0"/>
        <w:spacing w:before="120" w:after="120" w:line="312" w:lineRule="auto"/>
        <w:jc w:val="both"/>
        <w:rPr>
          <w:rFonts w:hint="eastAsia" w:ascii="Times New Roman" w:hAnsi="Times New Roman" w:eastAsia="宋体" w:cs="Times New Roman"/>
          <w:bCs w:val="0"/>
          <w:sz w:val="24"/>
          <w:szCs w:val="24"/>
        </w:rPr>
      </w:pPr>
      <w:r>
        <w:rPr>
          <w:rFonts w:hint="eastAsia" w:ascii="Times New Roman" w:hAnsi="Times New Roman" w:eastAsia="宋体" w:cs="Times New Roman"/>
          <w:bCs w:val="0"/>
          <w:sz w:val="24"/>
          <w:szCs w:val="24"/>
          <w:lang w:val="en-US" w:eastAsia="zh-CN"/>
        </w:rPr>
        <w:t>3.2</w:t>
      </w:r>
      <w:r>
        <w:rPr>
          <w:rFonts w:hint="eastAsia" w:ascii="Times New Roman" w:hAnsi="Times New Roman" w:eastAsia="宋体" w:cs="Times New Roman"/>
          <w:bCs w:val="0"/>
          <w:sz w:val="24"/>
          <w:szCs w:val="24"/>
        </w:rPr>
        <w:t>网络威胁情报中心服务</w:t>
      </w:r>
    </w:p>
    <w:tbl>
      <w:tblPr>
        <w:tblStyle w:val="57"/>
        <w:tblW w:w="5085" w:type="pct"/>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3" w:type="pct"/>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服务能力指标</w:t>
            </w:r>
          </w:p>
        </w:tc>
        <w:tc>
          <w:tcPr>
            <w:tcW w:w="4146" w:type="pct"/>
            <w:tcBorders>
              <w:top w:val="single" w:color="auto" w:sz="4" w:space="0"/>
              <w:bottom w:val="single" w:color="auto" w:sz="4" w:space="0"/>
              <w:right w:val="single" w:color="auto" w:sz="4" w:space="0"/>
              <w:insideH w:val="single" w:sz="4" w:space="0"/>
              <w:insideV w:val="single" w:sz="4" w:space="0"/>
              <w:tl2br w:val="nil"/>
              <w:tr2bl w:val="nil"/>
            </w:tcBorders>
            <w:shd w:val="clear" w:color="auto" w:fill="auto"/>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服务总体要求</w:t>
            </w:r>
          </w:p>
        </w:tc>
        <w:tc>
          <w:tcPr>
            <w:tcW w:w="414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备云端威胁情报订阅模块：内置威胁情报离线库并支持更新；具备采用情报数据进行实时检测防御能力；具备在线查询与溯源能力：云端提供对IoC威胁类型、多源情报、WHOIS、开放端口、SSL证书等多维度的溯源分析；云端服务：提供订阅高级威胁分析情报，云端提供最新APT入侵、0day漏洞预警、病毒变种情况等分析报告订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情报接入服务</w:t>
            </w:r>
          </w:p>
        </w:tc>
        <w:tc>
          <w:tcPr>
            <w:tcW w:w="414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提供原厂威胁情报云订阅API服务，可订阅IOC情报、APT情报、热点事件情报等。</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可在线或离线方式更新订阅情报。</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提供原厂威胁情报云查询API服务，可查询IP情报、域名情报、哈希情报等。</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提供至少10个开源情报源接入服务，如stopforumspam.com、otx.alienvault.com、greensnow.co、blocklist_de等。</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提供任意第三方情报源的接入，可以通过自定义一键导入API插件方式实现，无需复杂的API配置。</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提供手工添加威胁情报，支持添加单个或批量导入的方式，并可以设置情报的分类、标签、红绿灯协议、可信度、威胁等级等字段格式。</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提供结构化情报导入服务，支持国内标准(GB/T36643-2018)、STIX、taxii、openioc、Excel等标准格式的威胁情报，并可以提供参考示例。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情报聚合服务</w:t>
            </w:r>
          </w:p>
        </w:tc>
        <w:tc>
          <w:tcPr>
            <w:tcW w:w="4146" w:type="pct"/>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提供情报命中率聚合处理服务，对不同的情报源可以实现以威胁情报命中率的规则权重优先级来进行聚合处理。</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lang w:eastAsia="zh-CN"/>
              </w:rPr>
              <w:t>提供佐证材料）</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提供情报可信度聚合处理服务，对不同的情报源可以实现以威胁情报可信度的规则权重优先级来进行聚合处理。</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提供自定义情报源聚合处理服务，对不同的情报源可以实现以某个威胁情报源为优先聚合的规则权重进行处理。</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提供对情报源质量评价服务，对不同的情报源从时效性、价值性、关联性等威胁维度进行评估，并对不同的情报源进行综合排名。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情报检索服务</w:t>
            </w:r>
          </w:p>
        </w:tc>
        <w:tc>
          <w:tcPr>
            <w:tcW w:w="414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提供对单个情报的检索，检索结果至少包括威胁等级、威胁类型、威胁标签、可信度、有效状态、最后更新时间等。</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提供IP情报检索，查询结果至少包括运营商、ASN号、应用场景、地理位置等。</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提供域名情报检索，查询结果至少包括注册商、注册时间、更新时间等。</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提供对检索结果提供阻断等级服务，为威胁处置提供封禁支撑。</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对检索结果提供关联事件，为威胁分析提供更多情报支撑。</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对检索结果提供多情报源命中结果服务，实现多情报源检索结果的对比和判断。</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提供批量检索情报服务，支持IP和域名的混合批量检索，且批量检索的数量不低于1000个。</w:t>
            </w:r>
          </w:p>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提供批量检索情报结果服务，可显示命中数量、恶意数量、安全数量、未知数量、检索结果列表等，并将检索结果的列表批量导出查看。</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lang w:eastAsia="zh-CN"/>
              </w:rPr>
              <w:t>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53" w:type="pct"/>
            <w:vAlign w:val="center"/>
          </w:tcPr>
          <w:p>
            <w:pPr>
              <w:pStyle w:val="365"/>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情报协同服务</w:t>
            </w:r>
          </w:p>
        </w:tc>
        <w:tc>
          <w:tcPr>
            <w:tcW w:w="4146" w:type="pct"/>
            <w:vAlign w:val="center"/>
          </w:tcPr>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提供本地情报查询API服务，为第三方平台提供本地威胁情报查询API接口，实现情报的快速比对与应用。</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提供丰富的情报API查询结果服务，具有返回是否恶意、威胁类型、威胁标签、可信度、可信度评分、是否APT、威胁名称、情报创建时间、情报更新时间、情报来源等内容。</w:t>
            </w:r>
          </w:p>
          <w:p>
            <w:pPr>
              <w:pStyle w:val="365"/>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提供记录情报API调用情况服务，记录API调用时间、查询的IOC、是否命中、检索时间等内容，并可按条件过滤进行搜索。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威胁分析服务</w:t>
            </w:r>
          </w:p>
        </w:tc>
        <w:tc>
          <w:tcPr>
            <w:tcW w:w="4146"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提供Syslog查询情报服务，第三方安全产品可以以Syslog方式查询情报，本地日志与威胁情报进行快速比对。</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提供日志威胁分析服务，零规则方式实现自动分析Syslog日志能力，并展示命中的情报、威胁等级、情报标签、可信度、活动时间、命中数量、关联的事件等信息。</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提供威胁结果统计和搜索服务，显示近24小时的严重威胁数量、高威胁数量、中威胁数量，显示近7天和近30天的威胁数据。</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提供威胁日志关联服务，显示命中的威胁情报与日志来源的关系，并可导出及下载威胁分析列表以及原始日志。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53"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情报统计服务</w:t>
            </w:r>
          </w:p>
        </w:tc>
        <w:tc>
          <w:tcPr>
            <w:tcW w:w="4146"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可统计情报数量，显示接入情报源的数量、情报数据总量、IOC数量、域名情报数量、威胁事件数量等。</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情报类型占比统计服务，显示IOC类型占比、威胁类型占比、情报可信度占比等情况。威胁类型至少包含白名单数据、C&amp;C数据、恶意软件、漏洞利用、钓鱼情报、爬虫数据、伪造搜索引擎爬虫数据、扫描数据、垃圾信息传递机构数据、暴力破解信息、失陷主机信息、不受欢迎的主机信息等情报。</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提供威胁情报数据统计服务，显示以时间维度统计威胁类型数量、以威胁等级维度统计可信度数量。</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提供APT组织活动统计服务，显示APT组织历史活动情况，包括活动数据排名、APT组织位置分布等。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3"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情报知识库服务</w:t>
            </w:r>
          </w:p>
        </w:tc>
        <w:tc>
          <w:tcPr>
            <w:tcW w:w="4146"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提供对热点威胁事件通告服务，可按所属行业、事件类型和关键词内容搜索热点事件。</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提供对热点威胁事件分析服务，事件的分析内容至少包括所属行业、事件标签、事件背景、事件过程、事件建议、事件关联的IOC情报等。</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提供对活跃APT组织的分析服务，APT组织的分析内容至少包括组织名称、组织别名、归属地、涉及行业、攻击事件等。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3"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基础数据服务</w:t>
            </w:r>
          </w:p>
        </w:tc>
        <w:tc>
          <w:tcPr>
            <w:tcW w:w="4146"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威胁情报云端具备丰富的IP端口指纹数据，至少覆盖200种端口协议，包括OpenVPN、pptp、CS、HTTP、DNS、FTP、RDP、SSH等端口数据，每月更新数亿条网络资产数据。</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威胁情报云端具备威胁事件分析数据，且不低于2000个分析事件。</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威胁情报云端具备7年以上PDNS数据，且具备600万条ICP备案数据。</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威胁情报云端具备日均增量数亿条SaaS化防护中心中的网站访问日志能力，以支持云端威胁情报生产的基础数据。</w:t>
            </w:r>
          </w:p>
        </w:tc>
      </w:tr>
    </w:tbl>
    <w:p>
      <w:pPr>
        <w:pStyle w:val="6"/>
        <w:widowControl w:val="0"/>
        <w:spacing w:before="120" w:after="120" w:line="312" w:lineRule="auto"/>
        <w:jc w:val="both"/>
        <w:rPr>
          <w:rFonts w:hint="eastAsia" w:ascii="Times New Roman" w:hAnsi="Times New Roman" w:eastAsia="宋体" w:cs="Times New Roman"/>
          <w:bCs w:val="0"/>
          <w:sz w:val="24"/>
          <w:szCs w:val="24"/>
          <w:highlight w:val="none"/>
          <w:lang w:val="en-US" w:eastAsia="zh-CN"/>
        </w:rPr>
      </w:pPr>
      <w:r>
        <w:rPr>
          <w:rFonts w:hint="eastAsia" w:ascii="Times New Roman" w:hAnsi="Times New Roman" w:eastAsia="宋体" w:cs="Times New Roman"/>
          <w:bCs w:val="0"/>
          <w:sz w:val="24"/>
          <w:szCs w:val="24"/>
          <w:highlight w:val="none"/>
          <w:lang w:val="en-US" w:eastAsia="zh-CN"/>
        </w:rPr>
        <w:t>4.政务数据安全防护服务</w:t>
      </w:r>
    </w:p>
    <w:p>
      <w:pPr>
        <w:pStyle w:val="6"/>
        <w:widowControl w:val="0"/>
        <w:spacing w:before="120" w:after="120" w:line="312" w:lineRule="auto"/>
        <w:jc w:val="both"/>
        <w:rPr>
          <w:rFonts w:hint="eastAsia" w:ascii="Times New Roman" w:hAnsi="Times New Roman" w:eastAsia="宋体" w:cs="Times New Roman"/>
          <w:bCs w:val="0"/>
          <w:sz w:val="24"/>
          <w:szCs w:val="24"/>
          <w:highlight w:val="none"/>
          <w:lang w:val="en-US" w:eastAsia="zh-CN"/>
        </w:rPr>
      </w:pPr>
      <w:r>
        <w:rPr>
          <w:rFonts w:hint="eastAsia" w:ascii="Times New Roman" w:hAnsi="Times New Roman" w:eastAsia="宋体" w:cs="Times New Roman"/>
          <w:bCs w:val="0"/>
          <w:sz w:val="24"/>
          <w:szCs w:val="24"/>
          <w:highlight w:val="none"/>
          <w:lang w:val="en-US" w:eastAsia="zh-CN"/>
        </w:rPr>
        <w:t>4.1日志采集及审计分析系统预处理节点服务</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7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3991"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8"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服务总体要求</w:t>
            </w:r>
          </w:p>
        </w:tc>
        <w:tc>
          <w:tcPr>
            <w:tcW w:w="3991"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通过部署日志采集及审计分析系统预处理节点，对主机、数据库、数据平台、堡垒机、vpn、安全设备等日志进行采集与适配。完成全量日志采集与接入工作，同时对接市日志采集与审计分析系统，满足义乌市对安全监管要求，实现全量日志接入。</w:t>
            </w:r>
          </w:p>
        </w:tc>
      </w:tr>
    </w:tbl>
    <w:p>
      <w:pPr>
        <w:pStyle w:val="6"/>
        <w:widowControl w:val="0"/>
        <w:spacing w:before="120" w:after="120" w:line="312" w:lineRule="auto"/>
        <w:jc w:val="both"/>
        <w:rPr>
          <w:rFonts w:hint="eastAsia" w:ascii="Times New Roman" w:hAnsi="Times New Roman" w:eastAsia="宋体" w:cs="Times New Roman"/>
          <w:bCs w:val="0"/>
          <w:sz w:val="24"/>
          <w:szCs w:val="24"/>
          <w:highlight w:val="none"/>
          <w:lang w:val="en-US" w:eastAsia="zh-CN"/>
        </w:rPr>
      </w:pPr>
      <w:r>
        <w:rPr>
          <w:rFonts w:hint="eastAsia" w:ascii="Times New Roman" w:hAnsi="Times New Roman" w:eastAsia="宋体" w:cs="Times New Roman"/>
          <w:bCs w:val="0"/>
          <w:sz w:val="24"/>
          <w:szCs w:val="24"/>
          <w:highlight w:val="none"/>
          <w:lang w:val="en-US" w:eastAsia="zh-CN"/>
        </w:rPr>
        <w:t>4.2数据分级分类服务</w:t>
      </w:r>
    </w:p>
    <w:tbl>
      <w:tblPr>
        <w:tblStyle w:val="57"/>
        <w:tblW w:w="5000" w:type="pct"/>
        <w:jc w:val="center"/>
        <w:tblLayout w:type="autofit"/>
        <w:tblCellMar>
          <w:top w:w="0" w:type="dxa"/>
          <w:left w:w="108" w:type="dxa"/>
          <w:bottom w:w="0" w:type="dxa"/>
          <w:right w:w="108" w:type="dxa"/>
        </w:tblCellMar>
      </w:tblPr>
      <w:tblGrid>
        <w:gridCol w:w="1971"/>
        <w:gridCol w:w="7883"/>
      </w:tblGrid>
      <w:tr>
        <w:tblPrEx>
          <w:tblCellMar>
            <w:top w:w="0" w:type="dxa"/>
            <w:left w:w="108" w:type="dxa"/>
            <w:bottom w:w="0" w:type="dxa"/>
            <w:right w:w="108" w:type="dxa"/>
          </w:tblCellMar>
        </w:tblPrEx>
        <w:trPr>
          <w:jc w:val="center"/>
        </w:trPr>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3999" w:type="pct"/>
            <w:tcBorders>
              <w:top w:val="single" w:color="auto" w:sz="4" w:space="0"/>
              <w:left w:val="nil"/>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CellMar>
            <w:top w:w="0" w:type="dxa"/>
            <w:left w:w="108" w:type="dxa"/>
            <w:bottom w:w="0" w:type="dxa"/>
            <w:right w:w="108" w:type="dxa"/>
          </w:tblCellMar>
        </w:tblPrEx>
        <w:trPr>
          <w:trHeight w:val="125" w:hRule="atLeast"/>
          <w:jc w:val="center"/>
        </w:trPr>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服务总体要求</w:t>
            </w:r>
          </w:p>
        </w:tc>
        <w:tc>
          <w:tcPr>
            <w:tcW w:w="3999" w:type="pct"/>
            <w:tcBorders>
              <w:top w:val="single" w:color="auto" w:sz="4" w:space="0"/>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通过网络嗅探技术对指定范围内的数据源进行扫描发现，动态发现数据资产，防止遗漏，通过内置识别规则将数据抽取进行分级比对计算，将符合敏感数据特征的数据项自动定级梳理。</w:t>
            </w:r>
          </w:p>
        </w:tc>
      </w:tr>
      <w:tr>
        <w:tblPrEx>
          <w:tblCellMar>
            <w:top w:w="0" w:type="dxa"/>
            <w:left w:w="108" w:type="dxa"/>
            <w:bottom w:w="0" w:type="dxa"/>
            <w:right w:w="108" w:type="dxa"/>
          </w:tblCellMar>
        </w:tblPrEx>
        <w:trPr>
          <w:trHeight w:val="416" w:hRule="atLeast"/>
          <w:jc w:val="center"/>
        </w:trPr>
        <w:tc>
          <w:tcPr>
            <w:tcW w:w="10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数据源资产管理服务</w:t>
            </w:r>
          </w:p>
        </w:tc>
        <w:tc>
          <w:tcPr>
            <w:tcW w:w="3999" w:type="pct"/>
            <w:tcBorders>
              <w:top w:val="single" w:color="auto" w:sz="4" w:space="0"/>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对数据库类型包括但不限于MySQL、Oracle、PostgreSQL、Hive、SQLServer、IPMALA、MongoDB、ElasticSearch、ClickHouse、Greenplum、INFORMIX、SYBASE、DM7、ODPS、DB2、GBASE8A（南大通用）、KINGBASE8(人大金仓)、POLARDB、Teradata、VERTICA、CacheDB等数据库的数据源进行资产管理。</w:t>
            </w:r>
          </w:p>
        </w:tc>
      </w:tr>
      <w:tr>
        <w:tblPrEx>
          <w:tblCellMar>
            <w:top w:w="0" w:type="dxa"/>
            <w:left w:w="108" w:type="dxa"/>
            <w:bottom w:w="0" w:type="dxa"/>
            <w:right w:w="108" w:type="dxa"/>
          </w:tblCellMar>
        </w:tblPrEx>
        <w:trPr>
          <w:trHeight w:val="90" w:hRule="atLeast"/>
          <w:jc w:val="center"/>
        </w:trPr>
        <w:tc>
          <w:tcPr>
            <w:tcW w:w="1000"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创建数据源时，提供数据源绑定对应的部门、责任人的服务。每个数据源都可以使用不同的行业模板，达到不同行业模板的多数据源并行执行分类分级任务。</w:t>
            </w:r>
          </w:p>
        </w:tc>
      </w:tr>
      <w:tr>
        <w:tblPrEx>
          <w:tblCellMar>
            <w:top w:w="0" w:type="dxa"/>
            <w:left w:w="108" w:type="dxa"/>
            <w:bottom w:w="0" w:type="dxa"/>
            <w:right w:w="108" w:type="dxa"/>
          </w:tblCellMar>
        </w:tblPrEx>
        <w:trPr>
          <w:trHeight w:val="90" w:hRule="atLeast"/>
          <w:jc w:val="center"/>
        </w:trPr>
        <w:tc>
          <w:tcPr>
            <w:tcW w:w="1000"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可手动添加数据源，可以编辑数据源名称、数据源类型、主机及端口、库名/实例名、版本号、账号、密码等信息，也可以批量导入数据库，进行数据资产管理。</w:t>
            </w:r>
            <w:r>
              <w:rPr>
                <w:rFonts w:hint="eastAsia" w:ascii="Times New Roman" w:hAnsi="Times New Roman" w:eastAsia="宋体" w:cs="Times New Roman"/>
                <w:sz w:val="24"/>
                <w:szCs w:val="24"/>
                <w:highlight w:val="none"/>
              </w:rPr>
              <w:br w:type="textWrapping"/>
            </w:r>
            <w:r>
              <w:rPr>
                <w:rFonts w:hint="eastAsia" w:ascii="Times New Roman" w:hAnsi="Times New Roman" w:eastAsia="宋体" w:cs="Times New Roman"/>
                <w:sz w:val="24"/>
                <w:szCs w:val="24"/>
                <w:highlight w:val="none"/>
              </w:rPr>
              <w:t>可通过指定的IP段、端口段，定时扫描发现当前环境下的数据库资产</w:t>
            </w:r>
          </w:p>
        </w:tc>
      </w:tr>
      <w:tr>
        <w:tblPrEx>
          <w:tblCellMar>
            <w:top w:w="0" w:type="dxa"/>
            <w:left w:w="108" w:type="dxa"/>
            <w:bottom w:w="0" w:type="dxa"/>
            <w:right w:w="108" w:type="dxa"/>
          </w:tblCellMar>
        </w:tblPrEx>
        <w:trPr>
          <w:trHeight w:val="780" w:hRule="atLeast"/>
          <w:jc w:val="center"/>
        </w:trPr>
        <w:tc>
          <w:tcPr>
            <w:tcW w:w="1000"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提供数据源展示，至少包括但不限于数据源名称、数据源类型、主机及端口、创建用户、创建时间等数据源基本信息，同时可展示具体每个数据源的库、表、字段信息。</w:t>
            </w:r>
          </w:p>
        </w:tc>
      </w:tr>
      <w:tr>
        <w:tblPrEx>
          <w:tblCellMar>
            <w:top w:w="0" w:type="dxa"/>
            <w:left w:w="108" w:type="dxa"/>
            <w:bottom w:w="0" w:type="dxa"/>
            <w:right w:w="108" w:type="dxa"/>
          </w:tblCellMar>
        </w:tblPrEx>
        <w:trPr>
          <w:trHeight w:val="614" w:hRule="atLeast"/>
          <w:jc w:val="center"/>
        </w:trPr>
        <w:tc>
          <w:tcPr>
            <w:tcW w:w="1000"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数据源“一键删除”。当数据源删除后，对应数据源关联的数据分类分级任务、数据资产目录、数据库账号信息、数据风险检测任务都将被自动删除，系统其他模块自动感知数据源环境变化，无需手动再次更新。</w:t>
            </w:r>
          </w:p>
        </w:tc>
      </w:tr>
      <w:tr>
        <w:tblPrEx>
          <w:tblCellMar>
            <w:top w:w="0" w:type="dxa"/>
            <w:left w:w="108" w:type="dxa"/>
            <w:bottom w:w="0" w:type="dxa"/>
            <w:right w:w="108" w:type="dxa"/>
          </w:tblCellMar>
        </w:tblPrEx>
        <w:trPr>
          <w:trHeight w:val="614" w:hRule="atLeast"/>
          <w:jc w:val="center"/>
        </w:trPr>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分类分级服务</w:t>
            </w: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提供分类分级任务管理，包括对任务的启动、终止，并展示任务的执行进度情况。提供任务的定时启动服务，自动发现敏感数据的动态变化。</w:t>
            </w:r>
          </w:p>
        </w:tc>
      </w:tr>
      <w:tr>
        <w:tblPrEx>
          <w:tblCellMar>
            <w:top w:w="0" w:type="dxa"/>
            <w:left w:w="108" w:type="dxa"/>
            <w:bottom w:w="0" w:type="dxa"/>
            <w:right w:w="108" w:type="dxa"/>
          </w:tblCellMar>
        </w:tblPrEx>
        <w:trPr>
          <w:trHeight w:val="614" w:hRule="atLeast"/>
          <w:jc w:val="center"/>
        </w:trPr>
        <w:tc>
          <w:tcPr>
            <w:tcW w:w="1000"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提供分类分级任务信息的列表展示。包括但不限于任务名称、数据源名称、发现结果、状态、次数、操作等信息，同时支持扫描任务结果的导出。</w:t>
            </w:r>
          </w:p>
        </w:tc>
      </w:tr>
      <w:tr>
        <w:tblPrEx>
          <w:tblCellMar>
            <w:top w:w="0" w:type="dxa"/>
            <w:left w:w="108" w:type="dxa"/>
            <w:bottom w:w="0" w:type="dxa"/>
            <w:right w:w="108" w:type="dxa"/>
          </w:tblCellMar>
        </w:tblPrEx>
        <w:trPr>
          <w:trHeight w:val="614" w:hRule="atLeast"/>
          <w:jc w:val="center"/>
        </w:trPr>
        <w:tc>
          <w:tcPr>
            <w:tcW w:w="1000"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w:t>
            </w:r>
            <w:r>
              <w:rPr>
                <w:rFonts w:hint="eastAsia" w:ascii="Times New Roman" w:hAnsi="Times New Roman" w:cs="Times New Roman"/>
                <w:sz w:val="24"/>
                <w:szCs w:val="24"/>
                <w:highlight w:val="none"/>
                <w:lang w:eastAsia="zh-CN"/>
              </w:rPr>
              <w:t>至少几十</w:t>
            </w:r>
            <w:r>
              <w:rPr>
                <w:rFonts w:hint="eastAsia" w:ascii="Times New Roman" w:hAnsi="Times New Roman" w:eastAsia="宋体" w:cs="Times New Roman"/>
                <w:sz w:val="24"/>
                <w:szCs w:val="24"/>
                <w:highlight w:val="none"/>
              </w:rPr>
              <w:t>种常见敏感字段识别规则，且具备自定义创建识别规则的能力。自定义规则包括但不限于正则、字典等。具备结合算法识别能力以保障敏感数据识别精准度，至少包括但不限于正则+luhn、NER算法等</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lang w:eastAsia="zh-CN"/>
              </w:rPr>
              <w:t>提供佐证材料）</w:t>
            </w:r>
          </w:p>
        </w:tc>
      </w:tr>
      <w:tr>
        <w:tblPrEx>
          <w:tblCellMar>
            <w:top w:w="0" w:type="dxa"/>
            <w:left w:w="108" w:type="dxa"/>
            <w:bottom w:w="0" w:type="dxa"/>
            <w:right w:w="108" w:type="dxa"/>
          </w:tblCellMar>
        </w:tblPrEx>
        <w:trPr>
          <w:trHeight w:val="614" w:hRule="atLeast"/>
          <w:jc w:val="center"/>
        </w:trPr>
        <w:tc>
          <w:tcPr>
            <w:tcW w:w="1000"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可根据不同规则之间进行组合，识别复杂的复合字段，如“姓名”、“手机号”规则组合后可识别“联系人”业务含义的字段。</w:t>
            </w:r>
          </w:p>
        </w:tc>
      </w:tr>
      <w:tr>
        <w:tblPrEx>
          <w:tblCellMar>
            <w:top w:w="0" w:type="dxa"/>
            <w:left w:w="108" w:type="dxa"/>
            <w:bottom w:w="0" w:type="dxa"/>
            <w:right w:w="108" w:type="dxa"/>
          </w:tblCellMar>
        </w:tblPrEx>
        <w:trPr>
          <w:trHeight w:val="1534" w:hRule="atLeast"/>
          <w:jc w:val="center"/>
        </w:trPr>
        <w:tc>
          <w:tcPr>
            <w:tcW w:w="1000"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可通过对发现字段的敏感级别进行逻辑计算，通过多种策略实现对表的分类分级。</w:t>
            </w:r>
            <w:r>
              <w:rPr>
                <w:rFonts w:hint="eastAsia" w:ascii="Times New Roman" w:hAnsi="Times New Roman" w:eastAsia="宋体" w:cs="Times New Roman"/>
                <w:sz w:val="24"/>
                <w:szCs w:val="24"/>
                <w:highlight w:val="none"/>
              </w:rPr>
              <w:br w:type="textWrapping"/>
            </w:r>
            <w:r>
              <w:rPr>
                <w:rFonts w:hint="eastAsia" w:ascii="Times New Roman" w:hAnsi="Times New Roman" w:eastAsia="宋体" w:cs="Times New Roman"/>
                <w:sz w:val="24"/>
                <w:szCs w:val="24"/>
                <w:highlight w:val="none"/>
              </w:rPr>
              <w:t>提供表分类策略，表分类策略具备分类合集（使用去重后所有已识别数据字段的类别集合，作为表分类）和就多原则（使用数据字段所属最多的分类，作为表分类）两种维度定义表类别的能力</w:t>
            </w:r>
          </w:p>
        </w:tc>
      </w:tr>
      <w:tr>
        <w:tblPrEx>
          <w:tblCellMar>
            <w:top w:w="0" w:type="dxa"/>
            <w:left w:w="108" w:type="dxa"/>
            <w:bottom w:w="0" w:type="dxa"/>
            <w:right w:w="108" w:type="dxa"/>
          </w:tblCellMar>
        </w:tblPrEx>
        <w:trPr>
          <w:trHeight w:val="614" w:hRule="atLeast"/>
          <w:jc w:val="center"/>
        </w:trPr>
        <w:tc>
          <w:tcPr>
            <w:tcW w:w="1000"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看对系统自动分类分级的结果手动梳理和调整，提高准确性，也可以通过配置匹配度的阈值实现自动确认，提高效率，且手动确认的结果优先级高，再次执行任务后，无需再次确认。</w:t>
            </w:r>
          </w:p>
        </w:tc>
      </w:tr>
      <w:tr>
        <w:tblPrEx>
          <w:tblCellMar>
            <w:top w:w="0" w:type="dxa"/>
            <w:left w:w="108" w:type="dxa"/>
            <w:bottom w:w="0" w:type="dxa"/>
            <w:right w:w="108" w:type="dxa"/>
          </w:tblCellMar>
        </w:tblPrEx>
        <w:trPr>
          <w:trHeight w:val="614" w:hRule="atLeast"/>
          <w:jc w:val="center"/>
        </w:trPr>
        <w:tc>
          <w:tcPr>
            <w:tcW w:w="1000"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提供自动推荐引擎，当同一列中识别出多种字段信息时，需提供该列数据的规则命中列表，并给出精确的较高的推荐结果，便于用户根手工修改确认梳理，实现迅速、高效的手动确认。</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lang w:eastAsia="zh-CN"/>
              </w:rPr>
              <w:t>提供佐证材料）</w:t>
            </w:r>
          </w:p>
        </w:tc>
      </w:tr>
      <w:tr>
        <w:tblPrEx>
          <w:tblCellMar>
            <w:top w:w="0" w:type="dxa"/>
            <w:left w:w="108" w:type="dxa"/>
            <w:bottom w:w="0" w:type="dxa"/>
            <w:right w:w="108" w:type="dxa"/>
          </w:tblCellMar>
        </w:tblPrEx>
        <w:trPr>
          <w:trHeight w:val="614" w:hRule="atLeast"/>
          <w:jc w:val="center"/>
        </w:trPr>
        <w:tc>
          <w:tcPr>
            <w:tcW w:w="1000"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可通过对字段内容、字段名称和字段注释进行模糊匹配，并可通过调整权重配比，提高数据自动分类分级准确性。</w:t>
            </w:r>
          </w:p>
        </w:tc>
      </w:tr>
      <w:tr>
        <w:tblPrEx>
          <w:tblCellMar>
            <w:top w:w="0" w:type="dxa"/>
            <w:left w:w="108" w:type="dxa"/>
            <w:bottom w:w="0" w:type="dxa"/>
            <w:right w:w="108" w:type="dxa"/>
          </w:tblCellMar>
        </w:tblPrEx>
        <w:trPr>
          <w:trHeight w:val="307" w:hRule="atLeast"/>
          <w:jc w:val="center"/>
        </w:trPr>
        <w:tc>
          <w:tcPr>
            <w:tcW w:w="1000"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可对相似表、相似字段进行聚合并在页面中统一展示，以便于人工二次确认或修改分类分级结果</w:t>
            </w:r>
          </w:p>
        </w:tc>
      </w:tr>
      <w:tr>
        <w:tblPrEx>
          <w:tblCellMar>
            <w:top w:w="0" w:type="dxa"/>
            <w:left w:w="108" w:type="dxa"/>
            <w:bottom w:w="0" w:type="dxa"/>
            <w:right w:w="108" w:type="dxa"/>
          </w:tblCellMar>
        </w:tblPrEx>
        <w:trPr>
          <w:trHeight w:val="90" w:hRule="atLeast"/>
          <w:jc w:val="center"/>
        </w:trPr>
        <w:tc>
          <w:tcPr>
            <w:tcW w:w="1000" w:type="pct"/>
            <w:vMerge w:val="restar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数据资产和分类分级结果展示服务</w:t>
            </w: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在多个视角下查看当前数据分类分级情况。数据视角至少包括但不限于：数据源视角、行业模板视角、敏感数据视角。展示的内容，至少包括敏感字段表级别分布、字段级别分布、敏感表数目、敏感字段数目、梳理字段占比。并可以增量展示一定周期的敏感数据变化情况。具备以图表形式展示结果的统计和分析的能力。</w:t>
            </w:r>
          </w:p>
        </w:tc>
      </w:tr>
      <w:tr>
        <w:tblPrEx>
          <w:tblCellMar>
            <w:top w:w="0" w:type="dxa"/>
            <w:left w:w="108" w:type="dxa"/>
            <w:bottom w:w="0" w:type="dxa"/>
            <w:right w:w="108" w:type="dxa"/>
          </w:tblCellMar>
        </w:tblPrEx>
        <w:trPr>
          <w:trHeight w:val="614" w:hRule="atLeast"/>
          <w:jc w:val="center"/>
        </w:trPr>
        <w:tc>
          <w:tcPr>
            <w:tcW w:w="1000" w:type="pct"/>
            <w:vMerge w:val="continue"/>
            <w:tcBorders>
              <w:top w:val="nil"/>
              <w:left w:val="single" w:color="auto" w:sz="4" w:space="0"/>
              <w:bottom w:val="single" w:color="auto" w:sz="4" w:space="0"/>
              <w:right w:val="single" w:color="auto" w:sz="4" w:space="0"/>
            </w:tcBorders>
            <w:vAlign w:val="center"/>
          </w:tcPr>
          <w:p>
            <w:pPr>
              <w:pStyle w:val="365"/>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可对梳理后的分级分类结果进行导出，并提供分类分级报表，报表内容至少包括但不限于：资产分布、分类分级结果、敏感数据分布和占比等，且提供具体数据的图示。</w:t>
            </w:r>
          </w:p>
        </w:tc>
      </w:tr>
      <w:tr>
        <w:tblPrEx>
          <w:tblCellMar>
            <w:top w:w="0" w:type="dxa"/>
            <w:left w:w="108" w:type="dxa"/>
            <w:bottom w:w="0" w:type="dxa"/>
            <w:right w:w="108" w:type="dxa"/>
          </w:tblCellMar>
        </w:tblPrEx>
        <w:trPr>
          <w:trHeight w:val="614" w:hRule="atLeast"/>
          <w:jc w:val="center"/>
        </w:trPr>
        <w:tc>
          <w:tcPr>
            <w:tcW w:w="1000" w:type="pct"/>
            <w:vMerge w:val="continue"/>
            <w:tcBorders>
              <w:top w:val="nil"/>
              <w:left w:val="single" w:color="auto" w:sz="4" w:space="0"/>
              <w:bottom w:val="single" w:color="auto" w:sz="4" w:space="0"/>
              <w:right w:val="single" w:color="auto" w:sz="4" w:space="0"/>
            </w:tcBorders>
            <w:vAlign w:val="center"/>
          </w:tcPr>
          <w:p>
            <w:pPr>
              <w:pStyle w:val="365"/>
            </w:pPr>
          </w:p>
        </w:tc>
        <w:tc>
          <w:tcPr>
            <w:tcW w:w="3999"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以列表形式展示分类分级的详细结果，包括但不限于列名、表名、是否新增、规则名称、是否梳理、识别字段、分类结果、分级结果、操作等信息，同时提供查询服务，自动展示数据源内相关候选项</w:t>
            </w:r>
          </w:p>
        </w:tc>
      </w:tr>
    </w:tbl>
    <w:p>
      <w:pPr>
        <w:pStyle w:val="6"/>
        <w:widowControl w:val="0"/>
        <w:spacing w:before="120" w:after="120" w:line="312" w:lineRule="auto"/>
        <w:jc w:val="both"/>
        <w:rPr>
          <w:rFonts w:hint="eastAsia" w:ascii="Times New Roman" w:hAnsi="Times New Roman" w:eastAsia="宋体" w:cs="Times New Roman"/>
          <w:bCs w:val="0"/>
          <w:sz w:val="24"/>
          <w:szCs w:val="24"/>
          <w:highlight w:val="none"/>
          <w:lang w:val="en-US" w:eastAsia="zh-CN"/>
        </w:rPr>
      </w:pPr>
      <w:r>
        <w:rPr>
          <w:rFonts w:hint="eastAsia" w:ascii="Times New Roman" w:hAnsi="Times New Roman" w:eastAsia="宋体" w:cs="Times New Roman"/>
          <w:bCs w:val="0"/>
          <w:sz w:val="24"/>
          <w:szCs w:val="24"/>
          <w:highlight w:val="none"/>
          <w:lang w:val="en-US" w:eastAsia="zh-CN"/>
        </w:rPr>
        <w:t>4.3数据脱敏服务</w:t>
      </w:r>
    </w:p>
    <w:tbl>
      <w:tblPr>
        <w:tblStyle w:val="57"/>
        <w:tblW w:w="5000" w:type="pct"/>
        <w:jc w:val="center"/>
        <w:tblLayout w:type="fixed"/>
        <w:tblCellMar>
          <w:top w:w="0" w:type="dxa"/>
          <w:left w:w="108" w:type="dxa"/>
          <w:bottom w:w="0" w:type="dxa"/>
          <w:right w:w="108" w:type="dxa"/>
        </w:tblCellMar>
      </w:tblPr>
      <w:tblGrid>
        <w:gridCol w:w="1658"/>
        <w:gridCol w:w="8196"/>
      </w:tblGrid>
      <w:tr>
        <w:tblPrEx>
          <w:tblCellMar>
            <w:top w:w="0" w:type="dxa"/>
            <w:left w:w="108" w:type="dxa"/>
            <w:bottom w:w="0" w:type="dxa"/>
            <w:right w:w="108" w:type="dxa"/>
          </w:tblCellMar>
        </w:tblPrEx>
        <w:trPr>
          <w:trHeight w:val="409" w:hRule="atLeast"/>
          <w:jc w:val="center"/>
        </w:trPr>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CellMar>
            <w:top w:w="0" w:type="dxa"/>
            <w:left w:w="108" w:type="dxa"/>
            <w:bottom w:w="0" w:type="dxa"/>
            <w:right w:w="108" w:type="dxa"/>
          </w:tblCellMar>
        </w:tblPrEx>
        <w:trPr>
          <w:trHeight w:val="250" w:hRule="atLeast"/>
          <w:jc w:val="center"/>
        </w:trPr>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服务总体要求</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通过数据脱敏服务，使数据库中的原始数据，经过系统清洗后离线分发至测试环境，所有敏感数据全部在内存中处理，可保证整个环节敏感数据不落地。</w:t>
            </w:r>
          </w:p>
        </w:tc>
      </w:tr>
      <w:tr>
        <w:tblPrEx>
          <w:tblCellMar>
            <w:top w:w="0" w:type="dxa"/>
            <w:left w:w="108" w:type="dxa"/>
            <w:bottom w:w="0" w:type="dxa"/>
            <w:right w:w="108" w:type="dxa"/>
          </w:tblCellMar>
        </w:tblPrEx>
        <w:trPr>
          <w:trHeight w:val="920" w:hRule="atLeast"/>
          <w:jc w:val="center"/>
        </w:trPr>
        <w:tc>
          <w:tcPr>
            <w:tcW w:w="8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敏感数据发现服务</w:t>
            </w:r>
          </w:p>
        </w:tc>
        <w:tc>
          <w:tcPr>
            <w:tcW w:w="4158" w:type="pct"/>
            <w:tcBorders>
              <w:top w:val="single" w:color="auto" w:sz="4" w:space="0"/>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数据源管理服务，主流数据源类型包括但不限于MySQL、Oracle、Db2、MSSQL、PostgreSQL、Greenplum、SybaseASE、Informix、Hive、ODPS、MariaDB、Clickhouse、Elasticsearch、MongoDB、MariaDB、达梦、GBase8A、Kingbase，同时具备新增本地文件xls、xlsx、csv、txt、SFTP\FTP数据源的添加能力。</w:t>
            </w:r>
          </w:p>
        </w:tc>
      </w:tr>
      <w:tr>
        <w:tblPrEx>
          <w:tblCellMar>
            <w:top w:w="0" w:type="dxa"/>
            <w:left w:w="108" w:type="dxa"/>
            <w:bottom w:w="0" w:type="dxa"/>
            <w:right w:w="108" w:type="dxa"/>
          </w:tblCellMar>
        </w:tblPrEx>
        <w:trPr>
          <w:trHeight w:val="90"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提供自动数据识别发现敏感项的服务，包括敏感表和敏感列以及敏感项的动态变化</w:t>
            </w:r>
          </w:p>
        </w:tc>
      </w:tr>
      <w:tr>
        <w:tblPrEx>
          <w:tblCellMar>
            <w:top w:w="0" w:type="dxa"/>
            <w:left w:w="108" w:type="dxa"/>
            <w:bottom w:w="0" w:type="dxa"/>
            <w:right w:w="108" w:type="dxa"/>
          </w:tblCellMar>
        </w:tblPrEx>
        <w:trPr>
          <w:trHeight w:val="614"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需提供数据目录，可以查看数据的分布情况，包含表级别分布和列级别分布；同时提供包括数据库梳理、敏感表数量、识别字段数、敏感列数和已经梳理占比情况等信息</w:t>
            </w:r>
          </w:p>
        </w:tc>
      </w:tr>
      <w:tr>
        <w:tblPrEx>
          <w:tblCellMar>
            <w:top w:w="0" w:type="dxa"/>
            <w:left w:w="108" w:type="dxa"/>
            <w:bottom w:w="0" w:type="dxa"/>
            <w:right w:w="108" w:type="dxa"/>
          </w:tblCellMar>
        </w:tblPrEx>
        <w:trPr>
          <w:trHeight w:val="614"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数据分级分类任务任务的管理服务，包括但不限于务名称、数据源名称、主机、发现结果、状态、次数、周期、创建时间、最新发现时间、操作。提供查看任务详情，可以查看以图表形式展示当前数据源分类分级的概况。</w:t>
            </w:r>
          </w:p>
        </w:tc>
      </w:tr>
      <w:tr>
        <w:tblPrEx>
          <w:tblCellMar>
            <w:top w:w="0" w:type="dxa"/>
            <w:left w:w="108" w:type="dxa"/>
            <w:bottom w:w="0" w:type="dxa"/>
            <w:right w:w="108" w:type="dxa"/>
          </w:tblCellMar>
        </w:tblPrEx>
        <w:trPr>
          <w:trHeight w:val="90" w:hRule="atLeast"/>
          <w:jc w:val="center"/>
        </w:trPr>
        <w:tc>
          <w:tcPr>
            <w:tcW w:w="84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敏感数据脱敏服务</w:t>
            </w: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支持主流字符集如gbk、gb2312、gb18030、utf8、utf8mb4等</w:t>
            </w:r>
          </w:p>
        </w:tc>
      </w:tr>
      <w:tr>
        <w:tblPrEx>
          <w:tblCellMar>
            <w:top w:w="0" w:type="dxa"/>
            <w:left w:w="108" w:type="dxa"/>
            <w:bottom w:w="0" w:type="dxa"/>
            <w:right w:w="108" w:type="dxa"/>
          </w:tblCellMar>
        </w:tblPrEx>
        <w:trPr>
          <w:trHeight w:val="614"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提供自定义脱敏算法模板库服务，用户可将若干脱算法略组合成为适用于该场景的脱敏算法模板库，脱敏模板库定后，可被重复利用。</w:t>
            </w:r>
          </w:p>
        </w:tc>
      </w:tr>
      <w:tr>
        <w:tblPrEx>
          <w:tblCellMar>
            <w:top w:w="0" w:type="dxa"/>
            <w:left w:w="108" w:type="dxa"/>
            <w:bottom w:w="0" w:type="dxa"/>
            <w:right w:w="108" w:type="dxa"/>
          </w:tblCellMar>
        </w:tblPrEx>
        <w:trPr>
          <w:trHeight w:val="90"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提供脱敏任务的配置服务，具备数据库到数据库、数据库到文件、文件到数据库、文件到文件流程的脱敏任务新增能力，具备数据处理配置和脱敏算法的配置能力。</w:t>
            </w:r>
          </w:p>
        </w:tc>
      </w:tr>
      <w:tr>
        <w:tblPrEx>
          <w:tblCellMar>
            <w:top w:w="0" w:type="dxa"/>
            <w:left w:w="108" w:type="dxa"/>
            <w:bottom w:w="0" w:type="dxa"/>
            <w:right w:w="108" w:type="dxa"/>
          </w:tblCellMar>
        </w:tblPrEx>
        <w:trPr>
          <w:trHeight w:val="133"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提供脱敏任务的展示服务，包括但不限于任务名称、脱敏流程、任务状态、执行次数、执行周期、新增时间、最近执行时间、执行耗时和操作等信息，同时可对任务进行编辑、查询等操作。</w:t>
            </w:r>
          </w:p>
        </w:tc>
      </w:tr>
      <w:tr>
        <w:tblPrEx>
          <w:tblCellMar>
            <w:top w:w="0" w:type="dxa"/>
            <w:left w:w="108" w:type="dxa"/>
            <w:bottom w:w="0" w:type="dxa"/>
            <w:right w:w="108" w:type="dxa"/>
          </w:tblCellMar>
        </w:tblPrEx>
        <w:trPr>
          <w:trHeight w:val="90"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开启脱敏任务审批后，用户提交脱敏任务审批后，权限管理员可以进入该界面进行脱敏任务的审批，审批通过后方可执行脱敏任务。</w:t>
            </w:r>
          </w:p>
        </w:tc>
      </w:tr>
      <w:tr>
        <w:tblPrEx>
          <w:tblCellMar>
            <w:top w:w="0" w:type="dxa"/>
            <w:left w:w="108" w:type="dxa"/>
            <w:bottom w:w="0" w:type="dxa"/>
            <w:right w:w="108" w:type="dxa"/>
          </w:tblCellMar>
        </w:tblPrEx>
        <w:trPr>
          <w:trHeight w:val="90"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提供水印配置服务，水印配置界面可直观展现水印的使用状态，具备添加1000w+的水印数量的能力，具备在水印中自动附加时间信息，提供方便便于维护管理水印的能力。</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lang w:eastAsia="zh-CN"/>
              </w:rPr>
              <w:t>提供佐证材料）</w:t>
            </w:r>
          </w:p>
        </w:tc>
      </w:tr>
      <w:tr>
        <w:tblPrEx>
          <w:tblCellMar>
            <w:top w:w="0" w:type="dxa"/>
            <w:left w:w="108" w:type="dxa"/>
            <w:bottom w:w="0" w:type="dxa"/>
            <w:right w:w="108" w:type="dxa"/>
          </w:tblCellMar>
        </w:tblPrEx>
        <w:trPr>
          <w:trHeight w:val="90"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用户可制定要脱敏的表，自由选择全量或增量抽取数据，可基于字段自由配置增量条件</w:t>
            </w:r>
          </w:p>
        </w:tc>
      </w:tr>
      <w:tr>
        <w:tblPrEx>
          <w:tblCellMar>
            <w:top w:w="0" w:type="dxa"/>
            <w:left w:w="108" w:type="dxa"/>
            <w:bottom w:w="0" w:type="dxa"/>
            <w:right w:w="108" w:type="dxa"/>
          </w:tblCellMar>
        </w:tblPrEx>
        <w:trPr>
          <w:trHeight w:val="307"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提供自动同步源数据表主键、索引、唯一约束至目的表的服务</w:t>
            </w:r>
          </w:p>
        </w:tc>
      </w:tr>
      <w:tr>
        <w:tblPrEx>
          <w:tblCellMar>
            <w:top w:w="0" w:type="dxa"/>
            <w:left w:w="108" w:type="dxa"/>
            <w:bottom w:w="0" w:type="dxa"/>
            <w:right w:w="108" w:type="dxa"/>
          </w:tblCellMar>
        </w:tblPrEx>
        <w:trPr>
          <w:trHeight w:val="90"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提供覆盖原表脱敏服务</w:t>
            </w:r>
          </w:p>
        </w:tc>
      </w:tr>
      <w:tr>
        <w:tblPrEx>
          <w:tblCellMar>
            <w:top w:w="0" w:type="dxa"/>
            <w:left w:w="108" w:type="dxa"/>
            <w:bottom w:w="0" w:type="dxa"/>
            <w:right w:w="108" w:type="dxa"/>
          </w:tblCellMar>
        </w:tblPrEx>
        <w:trPr>
          <w:trHeight w:val="90" w:hRule="atLeast"/>
          <w:jc w:val="center"/>
        </w:trPr>
        <w:tc>
          <w:tcPr>
            <w:tcW w:w="84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数据溯源服务</w:t>
            </w: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提供伪行水印、伪列水印、脱敏水印、内容修改水印等多种水印方式的服务</w:t>
            </w:r>
          </w:p>
        </w:tc>
      </w:tr>
      <w:tr>
        <w:tblPrEx>
          <w:tblCellMar>
            <w:top w:w="0" w:type="dxa"/>
            <w:left w:w="108" w:type="dxa"/>
            <w:bottom w:w="0" w:type="dxa"/>
            <w:right w:w="108" w:type="dxa"/>
          </w:tblCellMar>
        </w:tblPrEx>
        <w:trPr>
          <w:trHeight w:val="90" w:hRule="atLeast"/>
          <w:jc w:val="center"/>
        </w:trPr>
        <w:tc>
          <w:tcPr>
            <w:tcW w:w="841"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rPr>
                <w:rFonts w:hint="eastAsia" w:ascii="Times New Roman" w:hAnsi="Times New Roman" w:eastAsia="宋体" w:cs="Times New Roman"/>
                <w:sz w:val="24"/>
                <w:szCs w:val="24"/>
                <w:highlight w:val="none"/>
              </w:rPr>
            </w:pPr>
          </w:p>
        </w:tc>
        <w:tc>
          <w:tcPr>
            <w:tcW w:w="4158"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可通过数据上传和数据输入两种方式溯源，定位水印处理后数据的单位信息</w:t>
            </w:r>
          </w:p>
        </w:tc>
      </w:tr>
    </w:tbl>
    <w:p>
      <w:pPr>
        <w:pStyle w:val="6"/>
        <w:widowControl w:val="0"/>
        <w:spacing w:before="120" w:after="120" w:line="312" w:lineRule="auto"/>
        <w:jc w:val="both"/>
        <w:rPr>
          <w:rFonts w:hint="eastAsia" w:ascii="Times New Roman" w:hAnsi="Times New Roman" w:eastAsia="宋体" w:cs="Times New Roman"/>
          <w:bCs w:val="0"/>
          <w:sz w:val="24"/>
          <w:szCs w:val="24"/>
          <w:highlight w:val="none"/>
          <w:lang w:val="en-US" w:eastAsia="zh-CN"/>
        </w:rPr>
      </w:pPr>
      <w:r>
        <w:rPr>
          <w:rFonts w:hint="eastAsia" w:ascii="Times New Roman" w:hAnsi="Times New Roman" w:eastAsia="宋体" w:cs="Times New Roman"/>
          <w:bCs w:val="0"/>
          <w:sz w:val="24"/>
          <w:szCs w:val="24"/>
          <w:highlight w:val="none"/>
          <w:lang w:val="en-US" w:eastAsia="zh-CN"/>
        </w:rPr>
        <w:t>4.4数据管控服务</w:t>
      </w:r>
    </w:p>
    <w:tbl>
      <w:tblPr>
        <w:tblStyle w:val="57"/>
        <w:tblW w:w="5031" w:type="pct"/>
        <w:jc w:val="center"/>
        <w:tblLayout w:type="autofit"/>
        <w:tblCellMar>
          <w:top w:w="0" w:type="dxa"/>
          <w:left w:w="108" w:type="dxa"/>
          <w:bottom w:w="0" w:type="dxa"/>
          <w:right w:w="108" w:type="dxa"/>
        </w:tblCellMar>
      </w:tblPr>
      <w:tblGrid>
        <w:gridCol w:w="1674"/>
        <w:gridCol w:w="8241"/>
      </w:tblGrid>
      <w:tr>
        <w:tblPrEx>
          <w:tblCellMar>
            <w:top w:w="0" w:type="dxa"/>
            <w:left w:w="108" w:type="dxa"/>
            <w:bottom w:w="0" w:type="dxa"/>
            <w:right w:w="108" w:type="dxa"/>
          </w:tblCellMar>
        </w:tblPrEx>
        <w:trPr>
          <w:trHeight w:val="367" w:hRule="atLeast"/>
          <w:jc w:val="center"/>
        </w:trPr>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4155" w:type="pct"/>
            <w:tcBorders>
              <w:top w:val="single" w:color="auto" w:sz="4" w:space="0"/>
              <w:left w:val="nil"/>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CellMar>
            <w:top w:w="0" w:type="dxa"/>
            <w:left w:w="108" w:type="dxa"/>
            <w:bottom w:w="0" w:type="dxa"/>
            <w:right w:w="108" w:type="dxa"/>
          </w:tblCellMar>
        </w:tblPrEx>
        <w:trPr>
          <w:trHeight w:val="395" w:hRule="atLeast"/>
          <w:jc w:val="center"/>
        </w:trPr>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服务总体要求</w:t>
            </w:r>
          </w:p>
        </w:tc>
        <w:tc>
          <w:tcPr>
            <w:tcW w:w="4155" w:type="pct"/>
            <w:tcBorders>
              <w:top w:val="single" w:color="auto" w:sz="4" w:space="0"/>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通过数据管控服务，可基于IP、MAC、客户端主机名、操作系统用户名、客户端工具和数据库账号六个维度认证身份，实现用户的多维度身份认证和敏感数据的细粒度访问控制。</w:t>
            </w:r>
          </w:p>
        </w:tc>
      </w:tr>
      <w:tr>
        <w:tblPrEx>
          <w:tblCellMar>
            <w:top w:w="0" w:type="dxa"/>
            <w:left w:w="108" w:type="dxa"/>
            <w:bottom w:w="0" w:type="dxa"/>
            <w:right w:w="108" w:type="dxa"/>
          </w:tblCellMar>
        </w:tblPrEx>
        <w:trPr>
          <w:trHeight w:val="90" w:hRule="atLeast"/>
          <w:jc w:val="center"/>
        </w:trPr>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服务数据库类型</w:t>
            </w:r>
          </w:p>
        </w:tc>
        <w:tc>
          <w:tcPr>
            <w:tcW w:w="4155" w:type="pct"/>
            <w:tcBorders>
              <w:top w:val="single" w:color="auto" w:sz="4" w:space="0"/>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支持Orcal、MySQL、Mariadb、PostgreSQL、DB2、MSSqlserver、hive、hbase、kingbase、gbase8a、sybase、informix、MongoDB、达梦（DM）、人大金仓（KingBase）、ODPS、vertica等数据库</w:t>
            </w:r>
          </w:p>
        </w:tc>
      </w:tr>
      <w:tr>
        <w:tblPrEx>
          <w:tblCellMar>
            <w:top w:w="0" w:type="dxa"/>
            <w:left w:w="108" w:type="dxa"/>
            <w:bottom w:w="0" w:type="dxa"/>
            <w:right w:w="108" w:type="dxa"/>
          </w:tblCellMar>
        </w:tblPrEx>
        <w:trPr>
          <w:trHeight w:val="624" w:hRule="atLeast"/>
          <w:jc w:val="center"/>
        </w:trPr>
        <w:tc>
          <w:tcPr>
            <w:tcW w:w="844" w:type="pc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敏感数据扫描服务</w:t>
            </w: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可扫描发现14种敏感信息，包括身份证、银行卡、手机号、座机号、军官证、护照号、车牌号、MAC地址、日期、时间、港澳台通行证、台胞证、邮箱、中文姓名等，同时支持自定义敏感数据扫描规则。</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可和数据分类分级服务结合，调用分级分类的结果。</w:t>
            </w:r>
          </w:p>
        </w:tc>
      </w:tr>
      <w:tr>
        <w:tblPrEx>
          <w:tblCellMar>
            <w:top w:w="0" w:type="dxa"/>
            <w:left w:w="108" w:type="dxa"/>
            <w:bottom w:w="0" w:type="dxa"/>
            <w:right w:w="108" w:type="dxa"/>
          </w:tblCellMar>
        </w:tblPrEx>
        <w:trPr>
          <w:trHeight w:val="614" w:hRule="atLeast"/>
          <w:jc w:val="center"/>
        </w:trPr>
        <w:tc>
          <w:tcPr>
            <w:tcW w:w="844"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访问控制服务</w:t>
            </w: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提供多种数据来源筛选管控，包括IP、客户端主机名、操作系统用户名、客户端工具名、数据库账号</w:t>
            </w:r>
          </w:p>
        </w:tc>
      </w:tr>
      <w:tr>
        <w:tblPrEx>
          <w:tblCellMar>
            <w:top w:w="0" w:type="dxa"/>
            <w:left w:w="108" w:type="dxa"/>
            <w:bottom w:w="0" w:type="dxa"/>
            <w:right w:w="108" w:type="dxa"/>
          </w:tblCellMar>
        </w:tblPrEx>
        <w:trPr>
          <w:trHeight w:val="307" w:hRule="atLeast"/>
          <w:jc w:val="center"/>
        </w:trPr>
        <w:tc>
          <w:tcPr>
            <w:tcW w:w="844"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对于越权的动作可以选择：阻断、脱敏、仅告警</w:t>
            </w:r>
          </w:p>
        </w:tc>
      </w:tr>
      <w:tr>
        <w:tblPrEx>
          <w:tblCellMar>
            <w:top w:w="0" w:type="dxa"/>
            <w:left w:w="108" w:type="dxa"/>
            <w:bottom w:w="0" w:type="dxa"/>
            <w:right w:w="108" w:type="dxa"/>
          </w:tblCellMar>
        </w:tblPrEx>
        <w:trPr>
          <w:trHeight w:val="307" w:hRule="atLeast"/>
          <w:jc w:val="center"/>
        </w:trPr>
        <w:tc>
          <w:tcPr>
            <w:tcW w:w="844"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可阻断未经授权的逻辑备份操作，如mysqldump、oracleexp、pg_dump等</w:t>
            </w:r>
          </w:p>
        </w:tc>
      </w:tr>
      <w:tr>
        <w:tblPrEx>
          <w:tblCellMar>
            <w:top w:w="0" w:type="dxa"/>
            <w:left w:w="108" w:type="dxa"/>
            <w:bottom w:w="0" w:type="dxa"/>
            <w:right w:w="108" w:type="dxa"/>
          </w:tblCellMar>
        </w:tblPrEx>
        <w:trPr>
          <w:trHeight w:val="334" w:hRule="atLeast"/>
          <w:jc w:val="center"/>
        </w:trPr>
        <w:tc>
          <w:tcPr>
            <w:tcW w:w="844" w:type="pct"/>
            <w:tcBorders>
              <w:top w:val="nil"/>
              <w:left w:val="single" w:color="auto" w:sz="4" w:space="0"/>
              <w:bottom w:val="single" w:color="auto" w:sz="4" w:space="0"/>
              <w:right w:val="single" w:color="auto" w:sz="4" w:space="0"/>
            </w:tcBorders>
            <w:shd w:val="clear" w:color="auto" w:fill="auto"/>
            <w:noWrap/>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运维审批服务</w:t>
            </w: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可申请运维任务通过邮件发送且通过邮件正文的链接审批</w:t>
            </w:r>
            <w:r>
              <w:rPr>
                <w:rFonts w:hint="eastAsia" w:ascii="Times New Roman" w:hAnsi="Times New Roman" w:eastAsia="宋体" w:cs="Times New Roman"/>
                <w:sz w:val="24"/>
                <w:szCs w:val="24"/>
                <w:highlight w:val="none"/>
              </w:rPr>
              <w:br w:type="textWrapping"/>
            </w:r>
            <w:r>
              <w:rPr>
                <w:rFonts w:hint="eastAsia" w:ascii="Times New Roman" w:hAnsi="Times New Roman" w:eastAsia="宋体" w:cs="Times New Roman"/>
                <w:sz w:val="24"/>
                <w:szCs w:val="24"/>
                <w:highlight w:val="none"/>
              </w:rPr>
              <w:t>提供运维申请手动配置运维对象或者选择对象组</w:t>
            </w:r>
          </w:p>
        </w:tc>
      </w:tr>
      <w:tr>
        <w:tblPrEx>
          <w:tblCellMar>
            <w:top w:w="0" w:type="dxa"/>
            <w:left w:w="108" w:type="dxa"/>
            <w:bottom w:w="0" w:type="dxa"/>
            <w:right w:w="108" w:type="dxa"/>
          </w:tblCellMar>
        </w:tblPrEx>
        <w:trPr>
          <w:trHeight w:val="614" w:hRule="atLeast"/>
          <w:jc w:val="center"/>
        </w:trPr>
        <w:tc>
          <w:tcPr>
            <w:tcW w:w="844"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安全防护服务</w:t>
            </w: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内置的特征策略包含缓冲区溢出、SQL注入、提权、数据库内核入侵探测等常见攻击特征，内置多种数据库安全规则</w:t>
            </w:r>
          </w:p>
        </w:tc>
      </w:tr>
      <w:tr>
        <w:tblPrEx>
          <w:tblCellMar>
            <w:top w:w="0" w:type="dxa"/>
            <w:left w:w="108" w:type="dxa"/>
            <w:bottom w:w="0" w:type="dxa"/>
            <w:right w:w="108" w:type="dxa"/>
          </w:tblCellMar>
        </w:tblPrEx>
        <w:trPr>
          <w:trHeight w:val="614" w:hRule="atLeast"/>
          <w:jc w:val="center"/>
        </w:trPr>
        <w:tc>
          <w:tcPr>
            <w:tcW w:w="844"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自定义规则支持根据账号、数据库名、客户端工具、操作系统用户名、客户端IP、操作类型、SQL关键字等制定防护策略</w:t>
            </w:r>
          </w:p>
        </w:tc>
      </w:tr>
      <w:tr>
        <w:tblPrEx>
          <w:tblCellMar>
            <w:top w:w="0" w:type="dxa"/>
            <w:left w:w="108" w:type="dxa"/>
            <w:bottom w:w="0" w:type="dxa"/>
            <w:right w:w="108" w:type="dxa"/>
          </w:tblCellMar>
        </w:tblPrEx>
        <w:trPr>
          <w:trHeight w:val="90" w:hRule="atLeast"/>
          <w:jc w:val="center"/>
        </w:trPr>
        <w:tc>
          <w:tcPr>
            <w:tcW w:w="844"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可基于一定时间范围内基于同一会话、同一ip、同一用户、同一工具等维度对数据库访问频次及返回行数的限制</w:t>
            </w:r>
          </w:p>
        </w:tc>
      </w:tr>
      <w:tr>
        <w:tblPrEx>
          <w:tblCellMar>
            <w:top w:w="0" w:type="dxa"/>
            <w:left w:w="108" w:type="dxa"/>
            <w:bottom w:w="0" w:type="dxa"/>
            <w:right w:w="108" w:type="dxa"/>
          </w:tblCellMar>
        </w:tblPrEx>
        <w:trPr>
          <w:trHeight w:val="307" w:hRule="atLeast"/>
          <w:jc w:val="center"/>
        </w:trPr>
        <w:tc>
          <w:tcPr>
            <w:tcW w:w="844"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规则动作具备允许访问、命令阻断、会话阻断和动态脱敏的能力</w:t>
            </w:r>
          </w:p>
        </w:tc>
      </w:tr>
      <w:tr>
        <w:tblPrEx>
          <w:tblCellMar>
            <w:top w:w="0" w:type="dxa"/>
            <w:left w:w="108" w:type="dxa"/>
            <w:bottom w:w="0" w:type="dxa"/>
            <w:right w:w="108" w:type="dxa"/>
          </w:tblCellMar>
        </w:tblPrEx>
        <w:trPr>
          <w:trHeight w:val="307" w:hRule="atLeast"/>
          <w:jc w:val="center"/>
        </w:trPr>
        <w:tc>
          <w:tcPr>
            <w:tcW w:w="844"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提供数据库防护虚拟补丁技术服务，防护未升级数据库，并可以更新维护</w:t>
            </w:r>
          </w:p>
        </w:tc>
      </w:tr>
      <w:tr>
        <w:tblPrEx>
          <w:tblCellMar>
            <w:top w:w="0" w:type="dxa"/>
            <w:left w:w="108" w:type="dxa"/>
            <w:bottom w:w="0" w:type="dxa"/>
            <w:right w:w="108" w:type="dxa"/>
          </w:tblCellMar>
        </w:tblPrEx>
        <w:trPr>
          <w:trHeight w:val="307" w:hRule="atLeast"/>
          <w:jc w:val="center"/>
        </w:trPr>
        <w:tc>
          <w:tcPr>
            <w:tcW w:w="844" w:type="pct"/>
            <w:vMerge w:val="restart"/>
            <w:tcBorders>
              <w:top w:val="nil"/>
              <w:left w:val="single" w:color="auto" w:sz="4" w:space="0"/>
              <w:bottom w:val="single" w:color="auto" w:sz="4" w:space="0"/>
              <w:right w:val="single" w:color="auto" w:sz="4" w:space="0"/>
            </w:tcBorders>
            <w:shd w:val="clear" w:color="auto" w:fill="auto"/>
            <w:noWrap/>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动态脱敏服务</w:t>
            </w: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自定义敏感数据规则，敏感信息发现结果的在线新增、修改和删除</w:t>
            </w:r>
          </w:p>
        </w:tc>
      </w:tr>
      <w:tr>
        <w:tblPrEx>
          <w:tblCellMar>
            <w:top w:w="0" w:type="dxa"/>
            <w:left w:w="108" w:type="dxa"/>
            <w:bottom w:w="0" w:type="dxa"/>
            <w:right w:w="108" w:type="dxa"/>
          </w:tblCellMar>
        </w:tblPrEx>
        <w:trPr>
          <w:trHeight w:val="307" w:hRule="atLeast"/>
          <w:jc w:val="center"/>
        </w:trPr>
        <w:tc>
          <w:tcPr>
            <w:tcW w:w="844" w:type="pct"/>
            <w:vMerge w:val="continue"/>
            <w:tcBorders>
              <w:top w:val="nil"/>
              <w:left w:val="single" w:color="auto" w:sz="4" w:space="0"/>
              <w:bottom w:val="single" w:color="auto" w:sz="4" w:space="0"/>
              <w:right w:val="single" w:color="auto" w:sz="4" w:space="0"/>
            </w:tcBorders>
            <w:vAlign w:val="center"/>
          </w:tcPr>
          <w:p>
            <w:pPr>
              <w:pStyle w:val="365"/>
              <w:spacing w:line="240" w:lineRule="auto"/>
              <w:rPr>
                <w:rFonts w:hint="eastAsia" w:ascii="Times New Roman" w:hAnsi="Times New Roman" w:eastAsia="宋体" w:cs="Times New Roman"/>
                <w:sz w:val="24"/>
                <w:szCs w:val="24"/>
                <w:highlight w:val="none"/>
              </w:rPr>
            </w:pP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多种脱敏算法，如字符串取整、遮蔽等</w:t>
            </w:r>
          </w:p>
        </w:tc>
      </w:tr>
      <w:tr>
        <w:tblPrEx>
          <w:tblCellMar>
            <w:top w:w="0" w:type="dxa"/>
            <w:left w:w="108" w:type="dxa"/>
            <w:bottom w:w="0" w:type="dxa"/>
            <w:right w:w="108" w:type="dxa"/>
          </w:tblCellMar>
        </w:tblPrEx>
        <w:trPr>
          <w:trHeight w:val="307" w:hRule="atLeast"/>
          <w:jc w:val="center"/>
        </w:trPr>
        <w:tc>
          <w:tcPr>
            <w:tcW w:w="844" w:type="pct"/>
            <w:vMerge w:val="continue"/>
            <w:tcBorders>
              <w:top w:val="nil"/>
              <w:left w:val="single" w:color="auto" w:sz="4" w:space="0"/>
              <w:bottom w:val="single" w:color="auto" w:sz="4" w:space="0"/>
              <w:right w:val="single" w:color="auto" w:sz="4" w:space="0"/>
            </w:tcBorders>
            <w:vAlign w:val="center"/>
          </w:tcPr>
          <w:p>
            <w:pPr>
              <w:pStyle w:val="365"/>
              <w:spacing w:line="240" w:lineRule="auto"/>
              <w:rPr>
                <w:rFonts w:hint="eastAsia" w:ascii="Times New Roman" w:hAnsi="Times New Roman" w:eastAsia="宋体" w:cs="Times New Roman"/>
                <w:sz w:val="24"/>
                <w:szCs w:val="24"/>
                <w:highlight w:val="none"/>
              </w:rPr>
            </w:pP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提供自定义策略脱敏服务，关键字、正则表达式、字符长度等。</w:t>
            </w:r>
          </w:p>
        </w:tc>
      </w:tr>
      <w:tr>
        <w:tblPrEx>
          <w:tblCellMar>
            <w:top w:w="0" w:type="dxa"/>
            <w:left w:w="108" w:type="dxa"/>
            <w:bottom w:w="0" w:type="dxa"/>
            <w:right w:w="108" w:type="dxa"/>
          </w:tblCellMar>
        </w:tblPrEx>
        <w:trPr>
          <w:trHeight w:val="307" w:hRule="atLeast"/>
          <w:jc w:val="center"/>
        </w:trPr>
        <w:tc>
          <w:tcPr>
            <w:tcW w:w="844" w:type="pct"/>
            <w:vMerge w:val="continue"/>
            <w:tcBorders>
              <w:top w:val="nil"/>
              <w:left w:val="single" w:color="auto" w:sz="4" w:space="0"/>
              <w:bottom w:val="single" w:color="auto" w:sz="4" w:space="0"/>
              <w:right w:val="single" w:color="auto" w:sz="4" w:space="0"/>
            </w:tcBorders>
            <w:vAlign w:val="center"/>
          </w:tcPr>
          <w:p>
            <w:pPr>
              <w:pStyle w:val="365"/>
              <w:spacing w:line="240" w:lineRule="auto"/>
              <w:rPr>
                <w:rFonts w:hint="eastAsia" w:ascii="Times New Roman" w:hAnsi="Times New Roman" w:eastAsia="宋体" w:cs="Times New Roman"/>
                <w:sz w:val="24"/>
                <w:szCs w:val="24"/>
                <w:highlight w:val="none"/>
              </w:rPr>
            </w:pP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提供动态脱敏效果预览服务</w:t>
            </w:r>
          </w:p>
        </w:tc>
      </w:tr>
      <w:tr>
        <w:tblPrEx>
          <w:tblCellMar>
            <w:top w:w="0" w:type="dxa"/>
            <w:left w:w="108" w:type="dxa"/>
            <w:bottom w:w="0" w:type="dxa"/>
            <w:right w:w="108" w:type="dxa"/>
          </w:tblCellMar>
        </w:tblPrEx>
        <w:trPr>
          <w:trHeight w:val="307" w:hRule="atLeast"/>
          <w:jc w:val="center"/>
        </w:trPr>
        <w:tc>
          <w:tcPr>
            <w:tcW w:w="844" w:type="pct"/>
            <w:vMerge w:val="continue"/>
            <w:tcBorders>
              <w:top w:val="nil"/>
              <w:left w:val="single" w:color="auto" w:sz="4" w:space="0"/>
              <w:bottom w:val="single" w:color="auto" w:sz="4" w:space="0"/>
              <w:right w:val="single" w:color="auto" w:sz="4" w:space="0"/>
            </w:tcBorders>
            <w:vAlign w:val="center"/>
          </w:tcPr>
          <w:p>
            <w:pPr>
              <w:pStyle w:val="365"/>
              <w:spacing w:line="240" w:lineRule="auto"/>
              <w:rPr>
                <w:rFonts w:hint="eastAsia" w:ascii="Times New Roman" w:hAnsi="Times New Roman" w:eastAsia="宋体" w:cs="Times New Roman"/>
                <w:sz w:val="24"/>
                <w:szCs w:val="24"/>
                <w:highlight w:val="none"/>
              </w:rPr>
            </w:pPr>
          </w:p>
        </w:tc>
        <w:tc>
          <w:tcPr>
            <w:tcW w:w="4155"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对于越权的数据访问进行动态脱敏，防止数据泄露</w:t>
            </w:r>
          </w:p>
        </w:tc>
      </w:tr>
    </w:tbl>
    <w:p>
      <w:pPr>
        <w:pStyle w:val="6"/>
        <w:widowControl w:val="0"/>
        <w:spacing w:before="120" w:after="120" w:line="312" w:lineRule="auto"/>
        <w:jc w:val="both"/>
        <w:rPr>
          <w:rFonts w:hint="eastAsia" w:ascii="Times New Roman" w:hAnsi="Times New Roman" w:eastAsia="宋体" w:cs="Times New Roman"/>
          <w:bCs w:val="0"/>
          <w:sz w:val="24"/>
          <w:szCs w:val="24"/>
          <w:highlight w:val="none"/>
          <w:lang w:val="en-US" w:eastAsia="zh-CN"/>
        </w:rPr>
      </w:pPr>
      <w:r>
        <w:rPr>
          <w:rFonts w:hint="eastAsia" w:ascii="Times New Roman" w:hAnsi="Times New Roman" w:eastAsia="宋体" w:cs="Times New Roman"/>
          <w:bCs w:val="0"/>
          <w:sz w:val="24"/>
          <w:szCs w:val="24"/>
          <w:highlight w:val="none"/>
          <w:lang w:val="en-US" w:eastAsia="zh-CN"/>
        </w:rPr>
        <w:t>4.5数据加密服务</w:t>
      </w:r>
    </w:p>
    <w:tbl>
      <w:tblPr>
        <w:tblStyle w:val="57"/>
        <w:tblpPr w:leftFromText="180" w:rightFromText="180" w:vertAnchor="text" w:horzAnchor="margin" w:tblpXSpec="center" w:tblpY="229"/>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4153" w:type="pct"/>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服务总体要求</w:t>
            </w:r>
          </w:p>
        </w:tc>
        <w:tc>
          <w:tcPr>
            <w:tcW w:w="415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采用SM2、SM3、SM4国家标准加密算法提供存储加密服务，有效防止数据存储环节可能出现的泄露风险，保证敏感数据的机密性、真实性、完整性。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46" w:type="pct"/>
            <w:vMerge w:val="restar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算法服务</w:t>
            </w:r>
          </w:p>
        </w:tc>
        <w:tc>
          <w:tcPr>
            <w:tcW w:w="415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加密算法：</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cs="Times New Roman"/>
                <w:sz w:val="24"/>
                <w:szCs w:val="24"/>
              </w:rPr>
              <w:t>▲根据《信息安全技术 信息系统密码应用基本要求》等国家标准（GB/T 39786-2021），</w:t>
            </w:r>
            <w:r>
              <w:rPr>
                <w:rFonts w:hint="eastAsia" w:ascii="Times New Roman" w:hAnsi="Times New Roman" w:eastAsia="宋体" w:cs="Times New Roman"/>
                <w:sz w:val="24"/>
                <w:szCs w:val="24"/>
                <w:highlight w:val="none"/>
              </w:rPr>
              <w:t>加密工具支持国产SM2、SM3、SM4标准加密算法，具备相关的《商用密码产品认证证书》。</w:t>
            </w:r>
            <w:r>
              <w:rPr>
                <w:rFonts w:ascii="Times New Roman" w:hAnsi="Times New Roman" w:cs="Times New Roman"/>
                <w:sz w:val="24"/>
                <w:szCs w:val="24"/>
                <w:lang w:val="zh-CN"/>
              </w:rPr>
              <w:t>（</w:t>
            </w:r>
            <w:r>
              <w:rPr>
                <w:rFonts w:hint="eastAsia" w:ascii="Times New Roman" w:hAnsi="Times New Roman" w:cs="Times New Roman"/>
                <w:sz w:val="24"/>
                <w:szCs w:val="24"/>
                <w:lang w:val="zh-CN"/>
              </w:rPr>
              <w:t>投标文件商务技术响应文件中</w:t>
            </w:r>
            <w:r>
              <w:rPr>
                <w:rFonts w:ascii="Times New Roman" w:hAnsi="Times New Roman" w:cs="Times New Roman"/>
                <w:sz w:val="24"/>
                <w:szCs w:val="24"/>
                <w:lang w:val="zh-CN"/>
              </w:rPr>
              <w:t>提供国家权威机构检测报告或具有相关检测资质的第三方检测机构检测报告</w:t>
            </w:r>
            <w:r>
              <w:rPr>
                <w:rFonts w:hint="eastAsia" w:ascii="Times New Roman" w:hAnsi="Times New Roman" w:eastAsia="宋体" w:cs="Times New Roman"/>
                <w:sz w:val="24"/>
                <w:szCs w:val="24"/>
                <w:highlight w:val="none"/>
                <w:lang w:val="zh-CN" w:eastAsia="zh-CN"/>
              </w:rPr>
              <w:t>扫描件</w:t>
            </w:r>
            <w:r>
              <w:rPr>
                <w:rFonts w:ascii="Times New Roman" w:hAnsi="Times New Roman" w:cs="Times New Roman"/>
                <w:sz w:val="24"/>
                <w:szCs w:val="24"/>
                <w:lang w:val="zh-CN"/>
              </w:rPr>
              <w:t>）</w:t>
            </w:r>
            <w:r>
              <w:rPr>
                <w:rFonts w:hint="eastAsia"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数字签名算法：</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支持国产SM2、SM3、SM4数字签名算法。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pct"/>
            <w:vMerge w:val="restar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服务工具要求</w:t>
            </w:r>
          </w:p>
        </w:tc>
        <w:tc>
          <w:tcPr>
            <w:tcW w:w="415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提供硬件密钥管理设备，基于物理噪声源生成真随机数；部署在用户本地，密钥由用户自主掌控。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3" w:type="pct"/>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密文密钥分离机制，如果“黑客”获取数据库密文，密钥也无法解密查看明文数据，确保数据库数据的安全性。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3" w:type="pct"/>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密钥可根据周期自动更新，密钥管理模块后台保留密钥更新记录功能，确保密钥使用安全。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3" w:type="pct"/>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加密工具需支持应急告警机制，提供报警邮箱设置功能，实现系统故障时可向指定内部人员邮箱发送告警邮件。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具备SQL、PL/SQL、JDBC、ODBC的透明性能力，不需要改造；具备现有Oracle维护工具的透明性能力，数据库管理员依然可以使用RMAN等现有工具实现备份恢复和数据库维护；硬件密钥管理设备可独立部署。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restar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基本能力服务</w:t>
            </w:r>
          </w:p>
        </w:tc>
        <w:tc>
          <w:tcPr>
            <w:tcW w:w="415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安全访问控制，除数据库原有权限控制外，可限制访问数据库的具体进程等。基于进程与数据库用户绑定进行访问控制增强，同一用户只能通过指定的进程访问密文，而无法使用命令行等其他方式访问密文数据，可有效防止合法用户违规操作引发的数据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系统管理员、安全管理员和审计管理员三权分立。其中安全管理员完成日常的加密数据配置、数据库用户的密文权限控制等安全维护和管理操作；审计管理员进行审计开关的控制，检索、分析密文访问操作的审计信息工作；系统管理员则负责进行系统配置，如IP，端口等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数据加密后，对于数据库的IO性能损耗可控制在10%~15%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以表为单位进行数据加密，加密表的数据以密文形态存储在磁盘中。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对数据库系统加密后，可进行密文数据索引。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5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提供随机加密策略，防止相同的数据的加密结果一致而导致的数据泄密。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兼容性服务</w:t>
            </w:r>
          </w:p>
        </w:tc>
        <w:tc>
          <w:tcPr>
            <w:tcW w:w="4153" w:type="pct"/>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加密工具需支持多种数据库类型，覆盖用户单位所使用的数据库类型，包括MySQL、Oracle、SQLServer等；支持主流的Linux、Windows等类型操作系统。</w:t>
            </w:r>
          </w:p>
        </w:tc>
      </w:tr>
    </w:tbl>
    <w:p>
      <w:pPr>
        <w:pStyle w:val="6"/>
        <w:widowControl w:val="0"/>
        <w:spacing w:before="120" w:after="120" w:line="312" w:lineRule="auto"/>
        <w:jc w:val="both"/>
        <w:rPr>
          <w:rFonts w:hint="eastAsia" w:ascii="Times New Roman" w:hAnsi="Times New Roman" w:eastAsia="宋体" w:cs="Times New Roman"/>
          <w:bCs w:val="0"/>
          <w:sz w:val="24"/>
          <w:szCs w:val="24"/>
          <w:highlight w:val="none"/>
          <w:lang w:val="en-US" w:eastAsia="zh-CN"/>
        </w:rPr>
      </w:pPr>
      <w:r>
        <w:rPr>
          <w:rFonts w:hint="eastAsia" w:ascii="Times New Roman" w:hAnsi="Times New Roman" w:eastAsia="宋体" w:cs="Times New Roman"/>
          <w:bCs w:val="0"/>
          <w:sz w:val="24"/>
          <w:szCs w:val="24"/>
          <w:highlight w:val="none"/>
          <w:lang w:val="en-US" w:eastAsia="zh-CN"/>
        </w:rPr>
        <w:t>4.6数据安全态势感知服务</w:t>
      </w:r>
    </w:p>
    <w:tbl>
      <w:tblPr>
        <w:tblStyle w:val="58"/>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85"/>
        <w:gridCol w:w="8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700" w:type="dxa"/>
            <w:gridSpan w:val="2"/>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8267" w:type="dxa"/>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700" w:type="dxa"/>
            <w:gridSpan w:val="2"/>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服务总体要求</w:t>
            </w:r>
          </w:p>
        </w:tc>
        <w:tc>
          <w:tcPr>
            <w:tcW w:w="8267" w:type="dxa"/>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通过数据安全态势感知服务开展安全监控和审计，建立相关的措施对非法采集、未授权访问、数据滥用、数据泄漏进行监控、预警和审计，通过数据分析来支撑有效的安全、合规决策，从而降低数据安全风险。为实现与市数据安全日志采集与审计系统对接，实现义乌市大数据局对数据安全统一监管要求，需要在各下级单位部署日志采集及审计分析系统预处理节点。实现对下级单位日志汇聚及预处理，实现下级单位全量日志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0" w:type="dxa"/>
            <w:gridSpan w:val="2"/>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数据接入服务</w:t>
            </w:r>
          </w:p>
        </w:tc>
        <w:tc>
          <w:tcPr>
            <w:tcW w:w="8267" w:type="dxa"/>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可通过多种类型的安全、泛安全类数据接入采集，应包括但不限于日志数据、流量数据、资产人员数据等；</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可通过流量采集设备采集接入全流量数据，包含流量中的请求包和返回包等信息，并可在数据检索中体现包信息；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700" w:type="dxa"/>
            <w:gridSpan w:val="2"/>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资产梳理服务</w:t>
            </w:r>
          </w:p>
        </w:tc>
        <w:tc>
          <w:tcPr>
            <w:tcW w:w="8267" w:type="dxa"/>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可梳理的资产类型包括网络资产、数据资源、应用接口、应用服务、账号权限等；</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提供EXCEL等格式的文件数据，可通过模板文件的填写导入实现资产数据的导入和管理的服务；</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提供流量中分析和自动发现资产，至少包括网络资产、应用服务和应用接口等。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00" w:type="dxa"/>
            <w:gridSpan w:val="2"/>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业务建模服务</w:t>
            </w:r>
          </w:p>
        </w:tc>
        <w:tc>
          <w:tcPr>
            <w:tcW w:w="8267" w:type="dxa"/>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围绕业务场景开展的数据流动安全监管，将业务场景分解到数据流和数据节点进行细粒度的监控，实现基于业务规则的数据流动安全监管；</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基于业务的数据建模：通过简单的元件拖拽、连线的操作方式对其数据流转进行可视化的拓扑建模，组建包含应用服务、数据服务、账号、接口、表等； </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基于拓扑建模基础，生成业务大屏，对业务相关风险进行可视化展现，包括SQL注入、漏洞攻击、账号安全、数据泄露、违规操作、可疑通信等。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00" w:type="dxa"/>
            <w:gridSpan w:val="2"/>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安全监管服务</w:t>
            </w:r>
          </w:p>
        </w:tc>
        <w:tc>
          <w:tcPr>
            <w:tcW w:w="8267" w:type="dxa"/>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提供数据全流程安全监控服务：数据从归集、治理、共享、交换全流程的数据安全风险监测预警，包括敏感数据访问监控预警、数据流转监控预警、基于业务场景数据安全监控预警等；</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数据接口安全监控：数据共享接口的健康状况进行实时监控，对接口访问进行统计，包括高密访问、越权访问、访问高延时、返回报错、404异常访问实现对异常或高风险操作的识别和预警；</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提供特权人员安全监控服务：对第三方运维服务人员的数据访问操作行为进行监督审核，包括特权账号的越权行为及高危操作等。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00" w:type="dxa"/>
            <w:gridSpan w:val="2"/>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安全告警服务</w:t>
            </w:r>
          </w:p>
        </w:tc>
        <w:tc>
          <w:tcPr>
            <w:tcW w:w="8267" w:type="dxa"/>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可对数据库、应用服务告警进行统一的跟踪管理；</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提供安全事件场景研判的服务，展示攻击者和受害者的资产信息，可联动会话详情，点击查看不同溯源维度的会话详情，通过请求头，payload等详情字段定位攻击。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restart"/>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安全管理服务</w:t>
            </w:r>
          </w:p>
        </w:tc>
        <w:tc>
          <w:tcPr>
            <w:tcW w:w="1185" w:type="dxa"/>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数据权限服务</w:t>
            </w:r>
          </w:p>
        </w:tc>
        <w:tc>
          <w:tcPr>
            <w:tcW w:w="8267" w:type="dxa"/>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可基于用户角色的数据权限控制，不同的角色只能查询与用户角色相关联的安全告警信息和工单信息等。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5" w:type="dxa"/>
            <w:vMerge w:val="continue"/>
            <w:vAlign w:val="center"/>
          </w:tcPr>
          <w:p>
            <w:pPr>
              <w:pStyle w:val="365"/>
              <w:widowControl w:val="0"/>
              <w:spacing w:line="240" w:lineRule="auto"/>
              <w:jc w:val="center"/>
              <w:rPr>
                <w:rFonts w:hint="eastAsia" w:ascii="Times New Roman" w:hAnsi="Times New Roman" w:eastAsia="宋体" w:cs="Times New Roman"/>
                <w:sz w:val="24"/>
                <w:szCs w:val="24"/>
                <w:highlight w:val="none"/>
              </w:rPr>
            </w:pPr>
          </w:p>
        </w:tc>
        <w:tc>
          <w:tcPr>
            <w:tcW w:w="1185" w:type="dxa"/>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数字字典服务</w:t>
            </w:r>
          </w:p>
        </w:tc>
        <w:tc>
          <w:tcPr>
            <w:tcW w:w="8267" w:type="dxa"/>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提供管理系统中异常记录、安全告警的所有字段和取值服务，每个字段均有清晰的说明；</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提供数据标准管理，用户可以根据实际需求，对字典进行编辑，可进行手动修改、增加或删除相应的字段的操作；</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提供数据字典，数据字典支持管理系统中原始日志和告警数据中所有字段的类型、取值范围、字段说明，支持数值、字符串、枚举、ip等≥9种字段类型。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5" w:type="dxa"/>
            <w:vMerge w:val="restart"/>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采集模块服务</w:t>
            </w:r>
          </w:p>
        </w:tc>
        <w:tc>
          <w:tcPr>
            <w:tcW w:w="1185" w:type="dxa"/>
            <w:vMerge w:val="restart"/>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日志采集服务</w:t>
            </w:r>
          </w:p>
        </w:tc>
        <w:tc>
          <w:tcPr>
            <w:tcW w:w="8267" w:type="dxa"/>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日志采集方式应具备但不仅限于Syslog、kafka、ftp、部署代理等4种方式；</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提供采集异构设备的日志数据的服务，实现包括但不限于安全类、网络类、应用服务器类、操作系统类等至少4大类、50种设备的日志接入采集；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15" w:type="dxa"/>
            <w:vMerge w:val="continue"/>
            <w:noWrap/>
            <w:vAlign w:val="center"/>
          </w:tcPr>
          <w:p>
            <w:pPr>
              <w:pStyle w:val="365"/>
              <w:widowControl w:val="0"/>
              <w:spacing w:line="240" w:lineRule="auto"/>
              <w:jc w:val="both"/>
            </w:pPr>
          </w:p>
        </w:tc>
        <w:tc>
          <w:tcPr>
            <w:tcW w:w="1185" w:type="dxa"/>
            <w:vMerge w:val="continue"/>
            <w:noWrap/>
            <w:vAlign w:val="center"/>
          </w:tcPr>
          <w:p>
            <w:pPr>
              <w:pStyle w:val="365"/>
              <w:widowControl w:val="0"/>
              <w:spacing w:line="240" w:lineRule="auto"/>
              <w:jc w:val="both"/>
            </w:pPr>
          </w:p>
        </w:tc>
        <w:tc>
          <w:tcPr>
            <w:tcW w:w="8267" w:type="dxa"/>
            <w:vAlign w:val="center"/>
          </w:tcPr>
          <w:p>
            <w:pPr>
              <w:pStyle w:val="365"/>
              <w:widowControl w:val="0"/>
              <w:spacing w:line="240" w:lineRule="auto"/>
              <w:jc w:val="both"/>
              <w:rPr>
                <w:rFonts w:hint="eastAsia" w:ascii="Times New Roman" w:hAnsi="Times New Roman" w:cs="Times New Roman"/>
                <w:sz w:val="24"/>
                <w:szCs w:val="24"/>
                <w:highlight w:val="yellow"/>
                <w:lang w:eastAsia="zh-CN"/>
              </w:rPr>
            </w:pPr>
            <w:r>
              <w:rPr>
                <w:rFonts w:hint="eastAsia" w:ascii="Times New Roman" w:hAnsi="Times New Roman" w:eastAsia="宋体" w:cs="Times New Roman"/>
                <w:sz w:val="24"/>
                <w:szCs w:val="24"/>
                <w:highlight w:val="none"/>
              </w:rPr>
              <w:t>应用性能监控：通过在目标主机上安装Agent程序，监测目标主机的CPU利用率、内存使用率、磁盘使用率、流量等信息。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15" w:type="dxa"/>
            <w:vMerge w:val="continue"/>
            <w:noWrap/>
            <w:vAlign w:val="center"/>
          </w:tcPr>
          <w:p>
            <w:pPr>
              <w:pStyle w:val="365"/>
              <w:widowControl w:val="0"/>
              <w:spacing w:line="240" w:lineRule="auto"/>
              <w:jc w:val="both"/>
              <w:rPr>
                <w:rFonts w:hint="eastAsia" w:ascii="Times New Roman" w:hAnsi="Times New Roman" w:cs="Times New Roman"/>
                <w:sz w:val="24"/>
                <w:szCs w:val="24"/>
                <w:highlight w:val="yellow"/>
                <w:lang w:eastAsia="zh-CN"/>
              </w:rPr>
            </w:pPr>
          </w:p>
        </w:tc>
        <w:tc>
          <w:tcPr>
            <w:tcW w:w="1185" w:type="dxa"/>
            <w:vMerge w:val="continue"/>
            <w:noWrap/>
            <w:vAlign w:val="center"/>
          </w:tcPr>
          <w:p>
            <w:pPr>
              <w:pStyle w:val="365"/>
              <w:widowControl w:val="0"/>
              <w:spacing w:line="240" w:lineRule="auto"/>
              <w:jc w:val="both"/>
              <w:rPr>
                <w:rFonts w:hint="eastAsia" w:ascii="Times New Roman" w:hAnsi="Times New Roman" w:cs="Times New Roman"/>
                <w:sz w:val="24"/>
                <w:szCs w:val="24"/>
                <w:highlight w:val="yellow"/>
                <w:lang w:eastAsia="zh-CN"/>
              </w:rPr>
            </w:pPr>
          </w:p>
        </w:tc>
        <w:tc>
          <w:tcPr>
            <w:tcW w:w="8267" w:type="dxa"/>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无需配置解析规则与设备日志对应关系，自动完成解析；</w:t>
            </w:r>
          </w:p>
          <w:p>
            <w:pPr>
              <w:pStyle w:val="365"/>
              <w:widowControl w:val="0"/>
              <w:spacing w:line="240" w:lineRule="auto"/>
              <w:jc w:val="both"/>
              <w:rPr>
                <w:rFonts w:hint="eastAsia" w:ascii="Times New Roman" w:hAnsi="Times New Roman" w:cs="Times New Roman"/>
                <w:sz w:val="24"/>
                <w:szCs w:val="24"/>
                <w:highlight w:val="yellow"/>
                <w:lang w:eastAsia="zh-CN"/>
              </w:rPr>
            </w:pPr>
            <w:r>
              <w:rPr>
                <w:rFonts w:hint="eastAsia" w:ascii="Times New Roman" w:hAnsi="Times New Roman" w:eastAsia="宋体" w:cs="Times New Roman"/>
                <w:sz w:val="24"/>
                <w:szCs w:val="24"/>
                <w:highlight w:val="none"/>
              </w:rPr>
              <w:t>提供日志细粒度解析服务，可对日志进行细粒度解析，解析后的日志根据具体日志包含但不限于：日期、发生时间、接收时间、设备类型、日志类型、日志来源、源地址、目的地址、事件类型、时间范围、操作主体、操作对象、行为方式、技术动作、技术效果、攻击类型、特征类型、协议、地理信息，≥30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515" w:type="dxa"/>
            <w:vMerge w:val="continue"/>
            <w:noWrap/>
            <w:vAlign w:val="center"/>
          </w:tcPr>
          <w:p>
            <w:pPr>
              <w:pStyle w:val="365"/>
              <w:widowControl w:val="0"/>
              <w:spacing w:line="240" w:lineRule="auto"/>
              <w:jc w:val="both"/>
              <w:rPr>
                <w:rFonts w:hint="eastAsia" w:ascii="Times New Roman" w:hAnsi="Times New Roman" w:cs="Times New Roman"/>
                <w:sz w:val="24"/>
                <w:szCs w:val="24"/>
                <w:highlight w:val="yellow"/>
                <w:lang w:eastAsia="zh-CN"/>
              </w:rPr>
            </w:pPr>
          </w:p>
        </w:tc>
        <w:tc>
          <w:tcPr>
            <w:tcW w:w="1185" w:type="dxa"/>
            <w:vMerge w:val="continue"/>
            <w:noWrap/>
            <w:vAlign w:val="center"/>
          </w:tcPr>
          <w:p>
            <w:pPr>
              <w:pStyle w:val="365"/>
              <w:widowControl w:val="0"/>
              <w:spacing w:line="240" w:lineRule="auto"/>
              <w:jc w:val="both"/>
              <w:rPr>
                <w:rFonts w:hint="eastAsia" w:ascii="Times New Roman" w:hAnsi="Times New Roman" w:cs="Times New Roman"/>
                <w:sz w:val="24"/>
                <w:szCs w:val="24"/>
                <w:highlight w:val="yellow"/>
                <w:lang w:eastAsia="zh-CN"/>
              </w:rPr>
            </w:pPr>
          </w:p>
        </w:tc>
        <w:tc>
          <w:tcPr>
            <w:tcW w:w="8267" w:type="dxa"/>
            <w:vAlign w:val="center"/>
          </w:tcPr>
          <w:p>
            <w:pPr>
              <w:pStyle w:val="365"/>
              <w:widowControl w:val="0"/>
              <w:spacing w:line="240" w:lineRule="auto"/>
              <w:jc w:val="both"/>
              <w:rPr>
                <w:rFonts w:hint="eastAsia" w:ascii="Times New Roman" w:hAnsi="Times New Roman" w:cs="Times New Roman"/>
                <w:sz w:val="24"/>
                <w:szCs w:val="24"/>
                <w:highlight w:val="yellow"/>
                <w:lang w:eastAsia="zh-CN"/>
              </w:rPr>
            </w:pPr>
            <w:r>
              <w:rPr>
                <w:rFonts w:hint="eastAsia" w:ascii="Times New Roman" w:hAnsi="Times New Roman" w:eastAsia="宋体" w:cs="Times New Roman"/>
                <w:sz w:val="24"/>
                <w:szCs w:val="24"/>
                <w:highlight w:val="none"/>
              </w:rPr>
              <w:t>具备三维关联分析能力：通过资产、安全知识库、弱点库三个维度分析事件是否存在威胁，并形成关联事件。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ign w:val="center"/>
          </w:tcPr>
          <w:p>
            <w:pPr>
              <w:pStyle w:val="365"/>
              <w:widowControl w:val="0"/>
              <w:spacing w:line="240" w:lineRule="auto"/>
              <w:jc w:val="both"/>
              <w:rPr>
                <w:rFonts w:hint="eastAsia" w:ascii="Times New Roman" w:hAnsi="Times New Roman" w:cs="Times New Roman"/>
                <w:sz w:val="24"/>
                <w:szCs w:val="24"/>
                <w:highlight w:val="yellow"/>
                <w:lang w:eastAsia="zh-CN"/>
              </w:rPr>
            </w:pPr>
          </w:p>
        </w:tc>
        <w:tc>
          <w:tcPr>
            <w:tcW w:w="1185" w:type="dxa"/>
            <w:vMerge w:val="continue"/>
            <w:noWrap/>
            <w:vAlign w:val="center"/>
          </w:tcPr>
          <w:p>
            <w:pPr>
              <w:pStyle w:val="365"/>
              <w:widowControl w:val="0"/>
              <w:spacing w:line="240" w:lineRule="auto"/>
              <w:jc w:val="both"/>
              <w:rPr>
                <w:rFonts w:hint="eastAsia" w:ascii="Times New Roman" w:hAnsi="Times New Roman" w:cs="Times New Roman"/>
                <w:sz w:val="24"/>
                <w:szCs w:val="24"/>
                <w:highlight w:val="yellow"/>
                <w:lang w:eastAsia="zh-CN"/>
              </w:rPr>
            </w:pPr>
          </w:p>
        </w:tc>
        <w:tc>
          <w:tcPr>
            <w:tcW w:w="8267" w:type="dxa"/>
            <w:vAlign w:val="center"/>
          </w:tcPr>
          <w:p>
            <w:pPr>
              <w:pStyle w:val="365"/>
              <w:widowControl w:val="0"/>
              <w:spacing w:line="240" w:lineRule="auto"/>
              <w:jc w:val="both"/>
              <w:rPr>
                <w:rFonts w:hint="eastAsia" w:ascii="Times New Roman" w:hAnsi="Times New Roman" w:cs="Times New Roman"/>
                <w:sz w:val="24"/>
                <w:szCs w:val="24"/>
                <w:highlight w:val="yellow"/>
                <w:lang w:eastAsia="zh-CN"/>
              </w:rPr>
            </w:pPr>
            <w:r>
              <w:rPr>
                <w:rFonts w:hint="eastAsia" w:ascii="Times New Roman" w:hAnsi="Times New Roman" w:eastAsia="宋体" w:cs="Times New Roman"/>
                <w:sz w:val="24"/>
                <w:szCs w:val="24"/>
                <w:highlight w:val="none"/>
              </w:rPr>
              <w:t>资产管理：资产拓扑可按照实际的用户环境进行编辑发布并可以和资产进行绑定，拓扑可以显示资产采集的事件数量被采集资产的状态等信息</w:t>
            </w:r>
            <w:r>
              <w:rPr>
                <w:rFonts w:hint="default"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eastAsia="zh-CN"/>
              </w:rPr>
              <w:t>投标文件商务技术响应文件中</w:t>
            </w:r>
            <w:r>
              <w:rPr>
                <w:rFonts w:hint="default" w:ascii="Times New Roman" w:hAnsi="Times New Roman" w:eastAsia="宋体" w:cs="Times New Roman"/>
                <w:sz w:val="24"/>
                <w:szCs w:val="24"/>
                <w:highlight w:val="none"/>
                <w:lang w:eastAsia="zh-CN"/>
              </w:rPr>
              <w:t>提供国家权威检测机构</w:t>
            </w:r>
            <w:r>
              <w:rPr>
                <w:rFonts w:hint="eastAsia" w:ascii="Times New Roman" w:hAnsi="Times New Roman" w:cs="Times New Roman"/>
                <w:sz w:val="24"/>
                <w:szCs w:val="24"/>
                <w:highlight w:val="none"/>
                <w:lang w:eastAsia="zh-CN"/>
              </w:rPr>
              <w:t>检测报告或具有相关检测资质的第三方检测机构检测报告</w:t>
            </w:r>
            <w:r>
              <w:rPr>
                <w:rFonts w:hint="eastAsia" w:ascii="Times New Roman" w:hAnsi="Times New Roman" w:eastAsia="宋体" w:cs="Times New Roman"/>
                <w:sz w:val="24"/>
                <w:szCs w:val="24"/>
                <w:highlight w:val="none"/>
                <w:lang w:eastAsia="zh-CN"/>
              </w:rPr>
              <w:t>扫描件</w:t>
            </w:r>
            <w:r>
              <w:rPr>
                <w:rFonts w:hint="default"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15" w:type="dxa"/>
            <w:vMerge w:val="continue"/>
            <w:vAlign w:val="center"/>
          </w:tcPr>
          <w:p>
            <w:pPr>
              <w:pStyle w:val="365"/>
              <w:widowControl w:val="0"/>
              <w:spacing w:line="240" w:lineRule="auto"/>
              <w:jc w:val="center"/>
              <w:rPr>
                <w:rFonts w:hint="eastAsia" w:ascii="Times New Roman" w:hAnsi="Times New Roman" w:eastAsia="宋体" w:cs="Times New Roman"/>
                <w:sz w:val="24"/>
                <w:szCs w:val="24"/>
                <w:highlight w:val="none"/>
              </w:rPr>
            </w:pPr>
          </w:p>
        </w:tc>
        <w:tc>
          <w:tcPr>
            <w:tcW w:w="1185" w:type="dxa"/>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流量采集服务</w:t>
            </w:r>
          </w:p>
        </w:tc>
        <w:tc>
          <w:tcPr>
            <w:tcW w:w="8267" w:type="dxa"/>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行为审计与可疑通信检测服务：违规操作、违规访问、违规应用、违规外发等300种以上行为审计检测规则，支持隧道通信、可疑内容、恶意IP、恶意域名、恶意证书、远程控制等3000种以上可疑通信检测规则，可针对任意单条规则进行启用和禁用；</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提供漏洞利用检测服务：SMB漏洞、RDP漏洞、软件漏洞、设备漏洞、系统漏洞、拒绝服务漏洞、shellcode等7000种以上漏洞利用检测规则，可针对任意单条规则进行启用和禁用；</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提供恶意文件检测服务：挖矿活动、流氓软件、可疑文件、勒索软件、僵木蠕、Webshell等25000种以上恶意程序检测规则，可针对任意单条规则进行启用和禁用；</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提供配置风险检测服务：弱口令风险、明文传输风险、HTTP配置风险、中间件配置风向、数据库配置风险、服务配置风险等100种以上配置风险检测规则；</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Web攻击检测服务：Webshell请求、XSS攻击、SQL注入、远程代码执行、命令注入、远程文件包含、本地文件包含、文件上传、路径遍历、信息泄露、越权访问、XXE注入、网页篡改等13类、6000种以上web攻击检测规则，对任意单条检测规则可启用和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515" w:type="dxa"/>
            <w:vMerge w:val="continue"/>
            <w:vAlign w:val="center"/>
          </w:tcPr>
          <w:p>
            <w:pPr>
              <w:pStyle w:val="365"/>
              <w:widowControl w:val="0"/>
              <w:spacing w:line="240" w:lineRule="auto"/>
              <w:jc w:val="center"/>
              <w:rPr>
                <w:rFonts w:hint="eastAsia" w:ascii="Times New Roman" w:hAnsi="Times New Roman" w:eastAsia="宋体" w:cs="Times New Roman"/>
                <w:sz w:val="24"/>
                <w:szCs w:val="24"/>
                <w:highlight w:val="none"/>
              </w:rPr>
            </w:pPr>
          </w:p>
        </w:tc>
        <w:tc>
          <w:tcPr>
            <w:tcW w:w="1185" w:type="dxa"/>
            <w:vMerge w:val="restart"/>
            <w:noWrap/>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数据采集服务</w:t>
            </w:r>
          </w:p>
        </w:tc>
        <w:tc>
          <w:tcPr>
            <w:tcW w:w="8267" w:type="dxa"/>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旁路部署模式下无须在被审计数据库系统上安装任何代理即可实现审计；</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提供对Oracle、SQLServer、DB2、Informix、Sybase、MySQL、MariaDB、PostgreSQL、GuassDB、HANA、greenplum、librA、graphbase、Teradata、人大金仓（Kingbase）、达梦（DM）、南大通用数据库（Gbase）、Oscar、Redis等数据库进行审计的服务；</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提供数据库操作表、视图、索引、存储过程等各种对象的所有SQL操作审计的服务。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15" w:type="dxa"/>
            <w:vMerge w:val="continue"/>
            <w:vAlign w:val="center"/>
          </w:tcPr>
          <w:p>
            <w:pPr>
              <w:pStyle w:val="365"/>
              <w:widowControl w:val="0"/>
              <w:spacing w:line="240" w:lineRule="auto"/>
              <w:jc w:val="both"/>
            </w:pPr>
          </w:p>
        </w:tc>
        <w:tc>
          <w:tcPr>
            <w:tcW w:w="1185" w:type="dxa"/>
            <w:vMerge w:val="continue"/>
            <w:noWrap/>
            <w:vAlign w:val="center"/>
          </w:tcPr>
          <w:p>
            <w:pPr>
              <w:pStyle w:val="365"/>
              <w:widowControl w:val="0"/>
              <w:spacing w:line="240" w:lineRule="auto"/>
              <w:jc w:val="both"/>
            </w:pPr>
          </w:p>
        </w:tc>
        <w:tc>
          <w:tcPr>
            <w:tcW w:w="8267" w:type="dxa"/>
            <w:vAlign w:val="center"/>
          </w:tcPr>
          <w:p>
            <w:pPr>
              <w:pStyle w:val="365"/>
              <w:widowControl w:val="0"/>
              <w:spacing w:line="240" w:lineRule="auto"/>
              <w:jc w:val="both"/>
              <w:rPr>
                <w:rFonts w:hint="eastAsia" w:ascii="Times New Roman" w:hAnsi="Times New Roman" w:cs="Times New Roman"/>
                <w:sz w:val="24"/>
                <w:szCs w:val="24"/>
                <w:highlight w:val="none"/>
                <w:lang w:eastAsia="zh-CN"/>
              </w:rPr>
            </w:pPr>
            <w:r>
              <w:rPr>
                <w:rFonts w:hint="eastAsia" w:ascii="Times New Roman" w:hAnsi="Times New Roman" w:eastAsia="宋体" w:cs="Times New Roman"/>
                <w:sz w:val="24"/>
                <w:szCs w:val="24"/>
                <w:highlight w:val="none"/>
              </w:rPr>
              <w:t>审计信息能够记录执行时长，影响行数、执行结果描述与返回结果集。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515" w:type="dxa"/>
            <w:vMerge w:val="continue"/>
            <w:vAlign w:val="center"/>
          </w:tcPr>
          <w:p>
            <w:pPr>
              <w:pStyle w:val="365"/>
              <w:widowControl w:val="0"/>
              <w:spacing w:line="240" w:lineRule="auto"/>
              <w:jc w:val="both"/>
              <w:rPr>
                <w:rFonts w:hint="eastAsia" w:ascii="Times New Roman" w:hAnsi="Times New Roman" w:cs="Times New Roman"/>
                <w:sz w:val="24"/>
                <w:szCs w:val="24"/>
                <w:highlight w:val="yellow"/>
                <w:lang w:eastAsia="zh-CN"/>
              </w:rPr>
            </w:pPr>
          </w:p>
        </w:tc>
        <w:tc>
          <w:tcPr>
            <w:tcW w:w="1185" w:type="dxa"/>
            <w:vMerge w:val="continue"/>
            <w:noWrap/>
            <w:vAlign w:val="center"/>
          </w:tcPr>
          <w:p>
            <w:pPr>
              <w:pStyle w:val="365"/>
              <w:widowControl w:val="0"/>
              <w:spacing w:line="240" w:lineRule="auto"/>
              <w:jc w:val="both"/>
              <w:rPr>
                <w:rFonts w:hint="eastAsia" w:ascii="Times New Roman" w:hAnsi="Times New Roman" w:cs="Times New Roman"/>
                <w:sz w:val="24"/>
                <w:szCs w:val="24"/>
                <w:highlight w:val="yellow"/>
                <w:lang w:eastAsia="zh-CN"/>
              </w:rPr>
            </w:pPr>
          </w:p>
        </w:tc>
        <w:tc>
          <w:tcPr>
            <w:tcW w:w="8267" w:type="dxa"/>
            <w:vAlign w:val="center"/>
          </w:tcPr>
          <w:p>
            <w:pPr>
              <w:pStyle w:val="365"/>
              <w:widowControl w:val="0"/>
              <w:spacing w:line="240" w:lineRule="auto"/>
              <w:jc w:val="both"/>
              <w:rPr>
                <w:rFonts w:hint="eastAsia" w:ascii="Times New Roman" w:hAnsi="Times New Roman" w:cs="Times New Roman"/>
                <w:sz w:val="24"/>
                <w:szCs w:val="24"/>
                <w:highlight w:val="none"/>
                <w:lang w:eastAsia="zh-CN"/>
              </w:rPr>
            </w:pPr>
            <w:r>
              <w:rPr>
                <w:rFonts w:hint="eastAsia" w:ascii="Times New Roman" w:hAnsi="Times New Roman" w:eastAsia="宋体" w:cs="Times New Roman"/>
                <w:sz w:val="24"/>
                <w:szCs w:val="24"/>
                <w:highlight w:val="none"/>
              </w:rPr>
              <w:t>可依据探针客户端工具名、数据库用户名、客户端IP、操作系统用户名、客户端主机名、数据库名、操作类型、服务器IP等配置行为模型，并可查看相应告警日志</w:t>
            </w:r>
            <w:r>
              <w:rPr>
                <w:rFonts w:hint="eastAsia" w:ascii="Times New Roman" w:hAnsi="Times New Roman" w:cs="Times New Roman"/>
                <w:sz w:val="24"/>
                <w:szCs w:val="24"/>
                <w:highlight w:val="none"/>
                <w:lang w:eastAsia="zh-CN"/>
              </w:rPr>
              <w:t>。</w:t>
            </w:r>
          </w:p>
        </w:tc>
      </w:tr>
    </w:tbl>
    <w:p>
      <w:pPr>
        <w:pStyle w:val="6"/>
        <w:widowControl w:val="0"/>
        <w:spacing w:before="120" w:after="120" w:line="312" w:lineRule="auto"/>
        <w:jc w:val="both"/>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5.政务应用安全防护服务</w:t>
      </w:r>
      <w:r>
        <w:rPr>
          <w:rFonts w:hint="eastAsia" w:ascii="Times New Roman" w:hAnsi="Times New Roman" w:eastAsia="宋体" w:cs="Times New Roman"/>
          <w:bCs w:val="0"/>
          <w:sz w:val="24"/>
          <w:szCs w:val="24"/>
          <w:lang w:val="en-US" w:eastAsia="zh-CN"/>
        </w:rPr>
        <w:tab/>
      </w:r>
    </w:p>
    <w:p>
      <w:pPr>
        <w:pStyle w:val="6"/>
        <w:widowControl w:val="0"/>
        <w:spacing w:before="120" w:after="120" w:line="312" w:lineRule="auto"/>
        <w:jc w:val="both"/>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5.1政务云应用防护服务</w:t>
      </w:r>
    </w:p>
    <w:tbl>
      <w:tblPr>
        <w:tblStyle w:val="57"/>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pct"/>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4137" w:type="pct"/>
            <w:shd w:val="clear" w:color="000000" w:fill="FFFFFF"/>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2" w:type="pct"/>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cs="Times New Roman"/>
                <w:sz w:val="24"/>
                <w:szCs w:val="24"/>
              </w:rPr>
              <w:t>★</w:t>
            </w:r>
            <w:r>
              <w:rPr>
                <w:rFonts w:hint="eastAsia" w:ascii="Times New Roman" w:hAnsi="Times New Roman" w:eastAsia="宋体" w:cs="Times New Roman"/>
                <w:sz w:val="24"/>
                <w:szCs w:val="24"/>
                <w:highlight w:val="none"/>
              </w:rPr>
              <w:t>服务要求</w:t>
            </w:r>
          </w:p>
        </w:tc>
        <w:tc>
          <w:tcPr>
            <w:tcW w:w="4137" w:type="pct"/>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cs="Times New Roman"/>
                <w:sz w:val="24"/>
                <w:szCs w:val="24"/>
              </w:rPr>
              <w:t>保障义乌全域党政机关应用安全，具备两地三中心的服务体系架构，要求10分钟内完成快速切换，涉及服务过程中的机柜租用、线路租用、软硬件运维等所有费用（如有）由中标单位自行承担。</w:t>
            </w:r>
            <w:r>
              <w:rPr>
                <w:rFonts w:ascii="Times New Roman" w:hAnsi="Times New Roman" w:cs="Times New Roman"/>
                <w:sz w:val="24"/>
                <w:szCs w:val="24"/>
              </w:rPr>
              <w:t>（</w:t>
            </w:r>
            <w:r>
              <w:rPr>
                <w:rFonts w:hint="eastAsia" w:ascii="Times New Roman" w:hAnsi="Times New Roman" w:cs="Times New Roman"/>
                <w:sz w:val="24"/>
                <w:szCs w:val="24"/>
              </w:rPr>
              <w:t>请在投标文件中详细阐述政务云三节点的建设方案与联动处置机制及承诺书</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62" w:type="pct"/>
            <w:vMerge w:val="restart"/>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云应用防护服务</w:t>
            </w:r>
          </w:p>
        </w:tc>
        <w:tc>
          <w:tcPr>
            <w:tcW w:w="4137" w:type="pct"/>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可检查提交的报文是否符合HTTP协议框架，如异常的请求方法、特殊字符、重点字段的缺失、超长报文造成的溢出攻击以及对高危文件的访问等；</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可识别恶意请求含：跨站脚本(XSS)、注入式攻击（包括SQL注入、命令注入、Cookie注入等）、跨站请求伪造等应用攻击行为的服务；</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可对用户上传的文件后缀名和文件内容进行全方面检查，以杜绝Webshell的上传和访问；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提供区域访问控制，限制国外用户或者国内以市为最低行政单位的区域进行访问控制。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2"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提供流量监测，基于用户的访问记录，实时检查被访问页面的安全状况，能够发现暗链、Webshell等问题，或作为网站防护的补充功能，更精准地挖掘出网站存在的问题与风险。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2"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提供一键关停，当网站出现紧急安全事件时，可在一分钟内通过浏览器、微信公众号一键完成关停，防止产生恶劣影响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pct"/>
            <w:vMerge w:val="restart"/>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攻击态势可视化服务</w:t>
            </w:r>
          </w:p>
        </w:tc>
        <w:tc>
          <w:tcPr>
            <w:tcW w:w="4137" w:type="pct"/>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整体网站群攻击态势可视化分析，包括访问与攻击流量趋势、受攻击网站排行、攻击源IP排行、攻击类型排行等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pct"/>
            <w:vMerge w:val="continue"/>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单个网站可视化分析，包括防扫描告警、总体访问/攻击趋势、攻击源实时分析、IP追踪、访问量排行、防御能力分析等数据展示与挖掘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pct"/>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威胁告警服务</w:t>
            </w:r>
          </w:p>
        </w:tc>
        <w:tc>
          <w:tcPr>
            <w:tcW w:w="4137" w:type="pct"/>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根据不同告警级别发送邮件、短信、电话等多种告警方式。</w:t>
            </w:r>
          </w:p>
        </w:tc>
      </w:tr>
    </w:tbl>
    <w:p>
      <w:pPr>
        <w:pStyle w:val="6"/>
        <w:widowControl w:val="0"/>
        <w:spacing w:before="120" w:after="120" w:line="312" w:lineRule="auto"/>
        <w:jc w:val="both"/>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5.2政务云应用监测服务</w:t>
      </w:r>
    </w:p>
    <w:tbl>
      <w:tblPr>
        <w:tblStyle w:val="5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4132"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cs="Times New Roman"/>
                <w:sz w:val="24"/>
                <w:szCs w:val="24"/>
              </w:rPr>
              <w:t>★</w:t>
            </w:r>
            <w:r>
              <w:rPr>
                <w:rFonts w:hint="eastAsia" w:ascii="Times New Roman" w:hAnsi="Times New Roman" w:eastAsia="宋体" w:cs="Times New Roman"/>
                <w:sz w:val="24"/>
                <w:szCs w:val="24"/>
                <w:highlight w:val="none"/>
              </w:rPr>
              <w:t>服务总体要求</w:t>
            </w:r>
          </w:p>
        </w:tc>
        <w:tc>
          <w:tcPr>
            <w:tcW w:w="4132"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cs="Times New Roman"/>
                <w:sz w:val="24"/>
                <w:szCs w:val="24"/>
              </w:rPr>
              <w:t>提供义乌重要应用的实时可用性监测服务，具备两地三中心的服务体系架构，涉及服务过程中的机柜租用、线路租用、软硬件运维等所有费用（如有）由中标单位自行承担。</w:t>
            </w:r>
            <w:r>
              <w:rPr>
                <w:rFonts w:ascii="Times New Roman" w:hAnsi="Times New Roman" w:cs="Times New Roman"/>
                <w:sz w:val="24"/>
                <w:szCs w:val="24"/>
              </w:rPr>
              <w:t>（</w:t>
            </w:r>
            <w:r>
              <w:rPr>
                <w:rFonts w:hint="eastAsia" w:ascii="Times New Roman" w:hAnsi="Times New Roman" w:cs="Times New Roman"/>
                <w:sz w:val="24"/>
                <w:szCs w:val="24"/>
              </w:rPr>
              <w:t>请在投标文件中详细阐述政务云三节点建设方案与联动处置机制及承诺书</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操作系统类型</w:t>
            </w:r>
          </w:p>
        </w:tc>
        <w:tc>
          <w:tcPr>
            <w:tcW w:w="4132"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Microsoft Windows 2000/XP/Vista/7/8/10 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告警服务</w:t>
            </w:r>
          </w:p>
        </w:tc>
        <w:tc>
          <w:tcPr>
            <w:tcW w:w="4132"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提供告警信息服务，告警信息包含用户故障判断的主要要素，以及异常发生时间、监控对象、单位、监控类型、当前状态、事件信息、持续时间等</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可对告警信息的分类显示，包括可用性类、深度巡检类、域名劫持类；发生故障类、已恢复类。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监控服务</w:t>
            </w:r>
          </w:p>
        </w:tc>
        <w:tc>
          <w:tcPr>
            <w:tcW w:w="4132"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提供对单个监控主体，保留历史异常情况，以做长时间的故障问题分析的服务；</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提供对每条监控异常情况，保留深度巡检结果的服务</w:t>
            </w:r>
          </w:p>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提供深度关联监控主体和相关的历史异常情况及深度巡检结果的服务，且操作简单方便，易学易用，人性化，简洁。</w:t>
            </w:r>
          </w:p>
        </w:tc>
      </w:tr>
    </w:tbl>
    <w:p>
      <w:pPr>
        <w:pStyle w:val="6"/>
        <w:widowControl w:val="0"/>
        <w:spacing w:before="120" w:after="120" w:line="312" w:lineRule="auto"/>
        <w:jc w:val="both"/>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6.政务外网终端安全服务</w:t>
      </w:r>
    </w:p>
    <w:p>
      <w:pPr>
        <w:pStyle w:val="6"/>
        <w:widowControl w:val="0"/>
        <w:spacing w:before="120" w:after="120" w:line="312" w:lineRule="auto"/>
        <w:jc w:val="both"/>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6.1终端安全主机防护服务</w:t>
      </w:r>
    </w:p>
    <w:tbl>
      <w:tblPr>
        <w:tblStyle w:val="5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4137"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宋体" w:hAnsi="宋体" w:eastAsia="宋体" w:cs="宋体"/>
                <w:kern w:val="0"/>
                <w:szCs w:val="21"/>
                <w:highlight w:val="none"/>
              </w:rPr>
              <w:t>★</w:t>
            </w:r>
            <w:r>
              <w:rPr>
                <w:rFonts w:hint="eastAsia" w:ascii="Times New Roman" w:hAnsi="Times New Roman" w:eastAsia="宋体" w:cs="Times New Roman"/>
                <w:sz w:val="24"/>
                <w:szCs w:val="24"/>
                <w:highlight w:val="none"/>
              </w:rPr>
              <w:t>服务总体要求</w:t>
            </w: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对所有终端部署杀毒软件，实现全域安全数据可视</w:t>
            </w:r>
            <w:r>
              <w:rPr>
                <w:rFonts w:hint="eastAsia" w:ascii="Times New Roman" w:hAnsi="Times New Roman" w:cs="Times New Roman"/>
                <w:sz w:val="24"/>
                <w:szCs w:val="24"/>
              </w:rPr>
              <w:t>预采购数量为10000个点位，超过预采购数量的服务须承诺免费提供。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操作系统类型</w:t>
            </w: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Windowsserver2003、Windowsserver2008、Windowsserver2012、Windowsserver2016、Winxp、Win7、Win8、Win10、Centos5.0+、Redhat5.0+、Suse11+、Ubuntu14+。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Web服务器类型</w:t>
            </w: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Apache2.0-2.4、IIS6、IIS7、IIS8、IIS10、Java系列(JBoss、Tomcat、Weblogic、Websphere)等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数据库类型</w:t>
            </w: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MSSQL，Oracle、Sybase、Informix、DB2、MySQL等关系型数据库；Mongodb、Cassandra等非关系型数据库。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restar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全网风险可视服务</w:t>
            </w: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可对当前待处理高危风险进行展示，包括弱口令、待处理病毒、待处理漏洞数据，并可一键跳转到对应处理页面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continue"/>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可查看当前top5风险资产、top5威胁ip、top5威胁区域的服务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restart"/>
            <w:shd w:val="clear" w:color="auto" w:fill="auto"/>
            <w:vAlign w:val="center"/>
          </w:tcPr>
          <w:p>
            <w:pPr>
              <w:pStyle w:val="365"/>
              <w:widowControl w:val="0"/>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系统安全服务</w:t>
            </w: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提供防端口扫描服务，可锁定恶意的端口扫描，并记录告警。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continue"/>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可对系统登录行为进行一定的限制，可设置单个IP请求时间、登录失败次数、IP临时锁定时间。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continue"/>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违规外联支持黑、白名单双模式，白名单模式可配置是否允许访问特定的网站和地址；黑名单模式可自定义恶意IP，支持黑名单告警和阻断。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continue"/>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提供内核级防火墙（业务间流量东西向隔离）服务，实现对包括IP、端口、协议、流向等细粒度权限控制。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continue"/>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提供流量画像服务，实现全网流量可视化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continue"/>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提供登录防护服务，包括以系统账号为粒度的异常登录防护、支持五个任意维度（任意IP，任意域名，任意计算机名，任意时间）的系统登录访问策略设置。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continue"/>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可显示隐藏的系统账户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continue"/>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可对顽固流行病毒进行智能拦截。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continue"/>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针对Windows系统，提供内核级的数据防护能力，保护文件不被恶意修改、加密等，可自定义配置保护的文件及目录，支持设置例外进程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continue"/>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提供专门的勒索风险评估服务。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pct"/>
            <w:vMerge w:val="continue"/>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p>
        </w:tc>
        <w:tc>
          <w:tcPr>
            <w:tcW w:w="4137" w:type="pct"/>
            <w:shd w:val="clear" w:color="auto" w:fill="auto"/>
            <w:vAlign w:val="center"/>
          </w:tcPr>
          <w:p>
            <w:pPr>
              <w:pStyle w:val="365"/>
              <w:widowControl w:val="0"/>
              <w:spacing w:line="240" w:lineRule="auto"/>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提供专门的针对已知、未知勒索病毒的防御引擎，并提供功能开关项。对于已知勒索病毒确保进程无法启动。</w:t>
            </w:r>
          </w:p>
        </w:tc>
      </w:tr>
    </w:tbl>
    <w:p>
      <w:pPr>
        <w:pStyle w:val="6"/>
        <w:widowControl w:val="0"/>
        <w:spacing w:before="120" w:after="120" w:line="312" w:lineRule="auto"/>
        <w:jc w:val="both"/>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6.2终端安全零信任控制服务</w:t>
      </w:r>
    </w:p>
    <w:tbl>
      <w:tblPr>
        <w:tblStyle w:val="57"/>
        <w:tblW w:w="5072" w:type="pct"/>
        <w:jc w:val="center"/>
        <w:tblLayout w:type="autofit"/>
        <w:tblCellMar>
          <w:top w:w="0" w:type="dxa"/>
          <w:left w:w="108" w:type="dxa"/>
          <w:bottom w:w="0" w:type="dxa"/>
          <w:right w:w="108" w:type="dxa"/>
        </w:tblCellMar>
      </w:tblPr>
      <w:tblGrid>
        <w:gridCol w:w="1728"/>
        <w:gridCol w:w="8268"/>
      </w:tblGrid>
      <w:tr>
        <w:tblPrEx>
          <w:tblCellMar>
            <w:top w:w="0" w:type="dxa"/>
            <w:left w:w="108" w:type="dxa"/>
            <w:bottom w:w="0" w:type="dxa"/>
            <w:right w:w="108" w:type="dxa"/>
          </w:tblCellMar>
        </w:tblPrEx>
        <w:trPr>
          <w:trHeight w:val="614" w:hRule="atLeast"/>
          <w:jc w:val="center"/>
        </w:trPr>
        <w:tc>
          <w:tcPr>
            <w:tcW w:w="8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CellMar>
            <w:top w:w="0" w:type="dxa"/>
            <w:left w:w="108" w:type="dxa"/>
            <w:bottom w:w="0" w:type="dxa"/>
            <w:right w:w="108" w:type="dxa"/>
          </w:tblCellMar>
        </w:tblPrEx>
        <w:trPr>
          <w:trHeight w:val="674" w:hRule="atLeast"/>
          <w:jc w:val="center"/>
        </w:trPr>
        <w:tc>
          <w:tcPr>
            <w:tcW w:w="8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宋体" w:hAnsi="宋体" w:eastAsia="宋体" w:cs="宋体"/>
                <w:kern w:val="0"/>
                <w:szCs w:val="21"/>
                <w:highlight w:val="none"/>
              </w:rPr>
              <w:t>★</w:t>
            </w:r>
            <w:r>
              <w:rPr>
                <w:rFonts w:hint="eastAsia" w:ascii="Times New Roman" w:hAnsi="Times New Roman" w:eastAsia="宋体" w:cs="Times New Roman"/>
                <w:sz w:val="24"/>
                <w:szCs w:val="24"/>
                <w:highlight w:val="none"/>
              </w:rPr>
              <w:t>服务总体要求</w:t>
            </w: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对所有终端首次入网推行安装终端管控</w:t>
            </w:r>
            <w:r>
              <w:rPr>
                <w:rFonts w:hint="eastAsia" w:ascii="Times New Roman" w:hAnsi="Times New Roman" w:cs="Times New Roman"/>
                <w:sz w:val="24"/>
                <w:szCs w:val="24"/>
                <w:highlight w:val="none"/>
                <w:lang w:eastAsia="zh-CN"/>
              </w:rPr>
              <w:t>软件</w:t>
            </w:r>
            <w:r>
              <w:rPr>
                <w:rFonts w:hint="eastAsia" w:ascii="Times New Roman" w:hAnsi="Times New Roman" w:eastAsia="宋体" w:cs="Times New Roman"/>
                <w:sz w:val="24"/>
                <w:szCs w:val="24"/>
                <w:highlight w:val="none"/>
              </w:rPr>
              <w:t>，并打通“浙政钉”手机扫码实现身份实名制接入，零信任架构结合终端安装</w:t>
            </w:r>
            <w:r>
              <w:rPr>
                <w:rFonts w:hint="eastAsia" w:ascii="Times New Roman" w:hAnsi="Times New Roman" w:cs="Times New Roman"/>
                <w:sz w:val="24"/>
                <w:szCs w:val="24"/>
                <w:highlight w:val="none"/>
                <w:lang w:eastAsia="zh-CN"/>
              </w:rPr>
              <w:t>软件</w:t>
            </w:r>
            <w:r>
              <w:rPr>
                <w:rFonts w:hint="eastAsia" w:ascii="Times New Roman" w:hAnsi="Times New Roman" w:eastAsia="宋体" w:cs="Times New Roman"/>
                <w:sz w:val="24"/>
                <w:szCs w:val="24"/>
                <w:highlight w:val="none"/>
              </w:rPr>
              <w:t>，可对政务网络环境的多层NAT的穿透，实现对身份精准定位和管控，避免如私接路由、地址转换后的终端管控盲区。</w:t>
            </w:r>
            <w:r>
              <w:rPr>
                <w:rFonts w:hint="eastAsia" w:ascii="Times New Roman" w:hAnsi="Times New Roman" w:cs="Times New Roman"/>
                <w:sz w:val="24"/>
                <w:szCs w:val="24"/>
              </w:rPr>
              <w:t>预采购数量为10000个点位，超过预采购的服务须承诺免费提供。</w:t>
            </w:r>
          </w:p>
        </w:tc>
      </w:tr>
      <w:tr>
        <w:tblPrEx>
          <w:tblCellMar>
            <w:top w:w="0" w:type="dxa"/>
            <w:left w:w="108" w:type="dxa"/>
            <w:bottom w:w="0" w:type="dxa"/>
            <w:right w:w="108" w:type="dxa"/>
          </w:tblCellMar>
        </w:tblPrEx>
        <w:trPr>
          <w:trHeight w:val="90" w:hRule="atLeast"/>
          <w:jc w:val="center"/>
        </w:trPr>
        <w:tc>
          <w:tcPr>
            <w:tcW w:w="864" w:type="pct"/>
            <w:vMerge w:val="restart"/>
            <w:tcBorders>
              <w:top w:val="single" w:color="auto" w:sz="4" w:space="0"/>
              <w:left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网络隐身服务</w:t>
            </w: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提供启用网络隐身的服务，开启后默认不向任何用户及终端开放任何TCP端口</w:t>
            </w:r>
          </w:p>
        </w:tc>
      </w:tr>
      <w:tr>
        <w:tblPrEx>
          <w:tblCellMar>
            <w:top w:w="0" w:type="dxa"/>
            <w:left w:w="108" w:type="dxa"/>
            <w:bottom w:w="0" w:type="dxa"/>
            <w:right w:w="108" w:type="dxa"/>
          </w:tblCellMar>
        </w:tblPrEx>
        <w:trPr>
          <w:trHeight w:val="90" w:hRule="atLeast"/>
          <w:jc w:val="center"/>
        </w:trPr>
        <w:tc>
          <w:tcPr>
            <w:tcW w:w="864" w:type="pct"/>
            <w:vMerge w:val="continue"/>
            <w:tcBorders>
              <w:left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可启用并配置IP白名单，在白名单中的源IP地址可以直接访问控制台的TCP端口</w:t>
            </w:r>
          </w:p>
        </w:tc>
      </w:tr>
      <w:tr>
        <w:tblPrEx>
          <w:tblCellMar>
            <w:top w:w="0" w:type="dxa"/>
            <w:left w:w="108" w:type="dxa"/>
            <w:bottom w:w="0" w:type="dxa"/>
            <w:right w:w="108" w:type="dxa"/>
          </w:tblCellMar>
        </w:tblPrEx>
        <w:trPr>
          <w:trHeight w:val="107" w:hRule="atLeast"/>
          <w:jc w:val="center"/>
        </w:trPr>
        <w:tc>
          <w:tcPr>
            <w:tcW w:w="864" w:type="pct"/>
            <w:vMerge w:val="continue"/>
            <w:tcBorders>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提供SPA单包授权种子凭证的签发，凭证支持激活次数、激活时间、使用时间限制，凭证提供二维码类型、文件类型</w:t>
            </w:r>
          </w:p>
        </w:tc>
      </w:tr>
      <w:tr>
        <w:tblPrEx>
          <w:tblCellMar>
            <w:top w:w="0" w:type="dxa"/>
            <w:left w:w="108" w:type="dxa"/>
            <w:bottom w:w="0" w:type="dxa"/>
            <w:right w:w="108" w:type="dxa"/>
          </w:tblCellMar>
        </w:tblPrEx>
        <w:trPr>
          <w:trHeight w:val="614" w:hRule="atLeast"/>
          <w:jc w:val="center"/>
        </w:trPr>
        <w:tc>
          <w:tcPr>
            <w:tcW w:w="864" w:type="pct"/>
            <w:vMerge w:val="restart"/>
            <w:tcBorders>
              <w:top w:val="single" w:color="auto" w:sz="4" w:space="0"/>
              <w:left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终端管理服务</w:t>
            </w: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可对接入零信任控制台的终端进行管理，具备查看终端操作系统、CPU等硬件信息、进程信息、端口开放信息等的能力</w:t>
            </w:r>
          </w:p>
        </w:tc>
      </w:tr>
      <w:tr>
        <w:tblPrEx>
          <w:tblCellMar>
            <w:top w:w="0" w:type="dxa"/>
            <w:left w:w="108" w:type="dxa"/>
            <w:bottom w:w="0" w:type="dxa"/>
            <w:right w:w="108" w:type="dxa"/>
          </w:tblCellMar>
        </w:tblPrEx>
        <w:trPr>
          <w:trHeight w:val="614" w:hRule="atLeast"/>
          <w:jc w:val="center"/>
        </w:trPr>
        <w:tc>
          <w:tcPr>
            <w:tcW w:w="864" w:type="pct"/>
            <w:vMerge w:val="continue"/>
            <w:tcBorders>
              <w:left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提供用户与终端的一对一、多对一绑定管理的服务，具备为特定用户独立设置绑定设备数量上限的能力</w:t>
            </w:r>
          </w:p>
        </w:tc>
      </w:tr>
      <w:tr>
        <w:tblPrEx>
          <w:tblCellMar>
            <w:top w:w="0" w:type="dxa"/>
            <w:left w:w="108" w:type="dxa"/>
            <w:bottom w:w="0" w:type="dxa"/>
            <w:right w:w="108" w:type="dxa"/>
          </w:tblCellMar>
        </w:tblPrEx>
        <w:trPr>
          <w:trHeight w:val="614" w:hRule="atLeast"/>
          <w:jc w:val="center"/>
        </w:trPr>
        <w:tc>
          <w:tcPr>
            <w:tcW w:w="864" w:type="pct"/>
            <w:vMerge w:val="continue"/>
            <w:tcBorders>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提供管理配置终端环境监控项的服务，包括但不限于：网络信息、进程信息、软件安装信息、服务运行信息等</w:t>
            </w:r>
          </w:p>
        </w:tc>
      </w:tr>
      <w:tr>
        <w:tblPrEx>
          <w:tblCellMar>
            <w:top w:w="0" w:type="dxa"/>
            <w:left w:w="108" w:type="dxa"/>
            <w:bottom w:w="0" w:type="dxa"/>
            <w:right w:w="108" w:type="dxa"/>
          </w:tblCellMar>
        </w:tblPrEx>
        <w:trPr>
          <w:trHeight w:val="614" w:hRule="atLeast"/>
          <w:jc w:val="center"/>
        </w:trPr>
        <w:tc>
          <w:tcPr>
            <w:tcW w:w="864" w:type="pct"/>
            <w:tcBorders>
              <w:top w:val="single" w:color="auto" w:sz="4" w:space="0"/>
              <w:left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客户端功能服务</w:t>
            </w: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提供配套的零信任安全接入客户端的服务，客户端可在Windows、MacOS、Android、iOS等操作系统运行</w:t>
            </w:r>
          </w:p>
        </w:tc>
      </w:tr>
      <w:tr>
        <w:tblPrEx>
          <w:tblCellMar>
            <w:top w:w="0" w:type="dxa"/>
            <w:left w:w="108" w:type="dxa"/>
            <w:bottom w:w="0" w:type="dxa"/>
            <w:right w:w="108" w:type="dxa"/>
          </w:tblCellMar>
        </w:tblPrEx>
        <w:trPr>
          <w:trHeight w:val="614" w:hRule="atLeast"/>
          <w:jc w:val="center"/>
        </w:trPr>
        <w:tc>
          <w:tcPr>
            <w:tcW w:w="864" w:type="pct"/>
            <w:vMerge w:val="restart"/>
            <w:tcBorders>
              <w:top w:val="single" w:color="auto" w:sz="4" w:space="0"/>
              <w:left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身份管理服务</w:t>
            </w: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提供用户、组织、用户分组的统一管理服务，包括用户及组织信息增删改查、导出、用户状态管理、用户同步等服务</w:t>
            </w:r>
          </w:p>
        </w:tc>
      </w:tr>
      <w:tr>
        <w:tblPrEx>
          <w:tblCellMar>
            <w:top w:w="0" w:type="dxa"/>
            <w:left w:w="108" w:type="dxa"/>
            <w:bottom w:w="0" w:type="dxa"/>
            <w:right w:w="108" w:type="dxa"/>
          </w:tblCellMar>
        </w:tblPrEx>
        <w:trPr>
          <w:trHeight w:val="614" w:hRule="atLeast"/>
          <w:jc w:val="center"/>
        </w:trPr>
        <w:tc>
          <w:tcPr>
            <w:tcW w:w="864" w:type="pct"/>
            <w:vMerge w:val="continue"/>
            <w:tcBorders>
              <w:left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提供用户身份信息字段自定义扩展服务，具备定制外部身份目录对接模板，并可按秒、分、时、日、月、年等条件灵活设置同步任务</w:t>
            </w:r>
          </w:p>
        </w:tc>
      </w:tr>
      <w:tr>
        <w:tblPrEx>
          <w:tblCellMar>
            <w:top w:w="0" w:type="dxa"/>
            <w:left w:w="108" w:type="dxa"/>
            <w:bottom w:w="0" w:type="dxa"/>
            <w:right w:w="108" w:type="dxa"/>
          </w:tblCellMar>
        </w:tblPrEx>
        <w:trPr>
          <w:trHeight w:val="614" w:hRule="atLeast"/>
          <w:jc w:val="center"/>
        </w:trPr>
        <w:tc>
          <w:tcPr>
            <w:tcW w:w="864" w:type="pct"/>
            <w:vMerge w:val="continue"/>
            <w:tcBorders>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可向第三方应用系统提供身份同步接口，接口支持访问认证及授权保护的服务</w:t>
            </w:r>
          </w:p>
        </w:tc>
      </w:tr>
      <w:tr>
        <w:tblPrEx>
          <w:tblCellMar>
            <w:top w:w="0" w:type="dxa"/>
            <w:left w:w="108" w:type="dxa"/>
            <w:bottom w:w="0" w:type="dxa"/>
            <w:right w:w="108" w:type="dxa"/>
          </w:tblCellMar>
        </w:tblPrEx>
        <w:trPr>
          <w:trHeight w:val="614" w:hRule="atLeast"/>
          <w:jc w:val="center"/>
        </w:trPr>
        <w:tc>
          <w:tcPr>
            <w:tcW w:w="864" w:type="pct"/>
            <w:vMerge w:val="restart"/>
            <w:tcBorders>
              <w:top w:val="single" w:color="auto" w:sz="4" w:space="0"/>
              <w:left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可信身份认证服务</w:t>
            </w: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提供本地账号密码、手机APP扫码、手机动态令牌方式，内置LDAP、微信扫码、钉钉扫码、短信验证码、邮箱验证码等认证对接方式</w:t>
            </w:r>
          </w:p>
        </w:tc>
      </w:tr>
      <w:tr>
        <w:tblPrEx>
          <w:tblCellMar>
            <w:top w:w="0" w:type="dxa"/>
            <w:left w:w="108" w:type="dxa"/>
            <w:bottom w:w="0" w:type="dxa"/>
            <w:right w:w="108" w:type="dxa"/>
          </w:tblCellMar>
        </w:tblPrEx>
        <w:trPr>
          <w:trHeight w:val="614" w:hRule="atLeast"/>
          <w:jc w:val="center"/>
        </w:trPr>
        <w:tc>
          <w:tcPr>
            <w:tcW w:w="864" w:type="pct"/>
            <w:vMerge w:val="continue"/>
            <w:tcBorders>
              <w:left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提供维护多个不同优先级的用户认证策略，根据配置关联不同的用户及认证因子，可引入安全基线判定条件，当用户登录的安全基线不达标时，不允许用户登录或要求用户执行二次认证</w:t>
            </w:r>
          </w:p>
        </w:tc>
      </w:tr>
      <w:tr>
        <w:tblPrEx>
          <w:tblCellMar>
            <w:top w:w="0" w:type="dxa"/>
            <w:left w:w="108" w:type="dxa"/>
            <w:bottom w:w="0" w:type="dxa"/>
            <w:right w:w="108" w:type="dxa"/>
          </w:tblCellMar>
        </w:tblPrEx>
        <w:trPr>
          <w:trHeight w:val="614" w:hRule="atLeast"/>
          <w:jc w:val="center"/>
        </w:trPr>
        <w:tc>
          <w:tcPr>
            <w:tcW w:w="864" w:type="pct"/>
            <w:vMerge w:val="continue"/>
            <w:tcBorders>
              <w:left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提供维护应用认证策略，根据配置关联不同的用户、应用及认证因子，可引入安全基线判定条件，当用户访问应用的安全基线不达标时，要求用户执行二次认证</w:t>
            </w:r>
          </w:p>
        </w:tc>
      </w:tr>
      <w:tr>
        <w:tblPrEx>
          <w:tblCellMar>
            <w:top w:w="0" w:type="dxa"/>
            <w:left w:w="108" w:type="dxa"/>
            <w:bottom w:w="0" w:type="dxa"/>
            <w:right w:w="108" w:type="dxa"/>
          </w:tblCellMar>
        </w:tblPrEx>
        <w:trPr>
          <w:trHeight w:val="614" w:hRule="atLeast"/>
          <w:jc w:val="center"/>
        </w:trPr>
        <w:tc>
          <w:tcPr>
            <w:tcW w:w="864" w:type="pct"/>
            <w:vMerge w:val="restart"/>
            <w:tcBorders>
              <w:top w:val="single" w:color="auto" w:sz="4" w:space="0"/>
              <w:left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权限管理及动态授权服务</w:t>
            </w: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提供应用分组管理，将应用授权到资源角色（应用安全组），应用安全组支持划分安全等级，安全等级分级可自定义</w:t>
            </w:r>
          </w:p>
        </w:tc>
      </w:tr>
      <w:tr>
        <w:tblPrEx>
          <w:tblCellMar>
            <w:top w:w="0" w:type="dxa"/>
            <w:left w:w="108" w:type="dxa"/>
            <w:bottom w:w="0" w:type="dxa"/>
            <w:right w:w="108" w:type="dxa"/>
          </w:tblCellMar>
        </w:tblPrEx>
        <w:trPr>
          <w:trHeight w:val="614" w:hRule="atLeast"/>
          <w:jc w:val="center"/>
        </w:trPr>
        <w:tc>
          <w:tcPr>
            <w:tcW w:w="864" w:type="pct"/>
            <w:vMerge w:val="continue"/>
            <w:tcBorders>
              <w:left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提供提供应用级鉴权，可从用户、用户组、组织机构视角，维护主体到应用的授权关系</w:t>
            </w:r>
          </w:p>
        </w:tc>
      </w:tr>
      <w:tr>
        <w:tblPrEx>
          <w:tblCellMar>
            <w:top w:w="0" w:type="dxa"/>
            <w:left w:w="108" w:type="dxa"/>
            <w:bottom w:w="0" w:type="dxa"/>
            <w:right w:w="108" w:type="dxa"/>
          </w:tblCellMar>
        </w:tblPrEx>
        <w:trPr>
          <w:trHeight w:val="614" w:hRule="atLeast"/>
          <w:jc w:val="center"/>
        </w:trPr>
        <w:tc>
          <w:tcPr>
            <w:tcW w:w="864" w:type="pct"/>
            <w:vMerge w:val="continue"/>
            <w:tcBorders>
              <w:left w:val="single" w:color="auto" w:sz="4" w:space="0"/>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p>
        </w:tc>
        <w:tc>
          <w:tcPr>
            <w:tcW w:w="4135"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提供提供应用页面级鉴权，可从用户、用户组、组织机构视角，维护主体到应用页面的授权关系</w:t>
            </w:r>
          </w:p>
        </w:tc>
      </w:tr>
    </w:tbl>
    <w:p>
      <w:pPr>
        <w:pStyle w:val="6"/>
        <w:widowControl w:val="0"/>
        <w:spacing w:before="120" w:after="120" w:line="312" w:lineRule="auto"/>
        <w:jc w:val="both"/>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7.政务用户行为分析服务</w:t>
      </w:r>
    </w:p>
    <w:p>
      <w:pPr>
        <w:pStyle w:val="6"/>
        <w:widowControl w:val="0"/>
        <w:spacing w:before="120" w:after="120" w:line="312" w:lineRule="auto"/>
        <w:jc w:val="both"/>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7.1用户行为分析（UEBA）服务</w:t>
      </w:r>
    </w:p>
    <w:tbl>
      <w:tblPr>
        <w:tblStyle w:val="57"/>
        <w:tblW w:w="5062" w:type="pct"/>
        <w:jc w:val="center"/>
        <w:tblLayout w:type="autofit"/>
        <w:tblCellMar>
          <w:top w:w="0" w:type="dxa"/>
          <w:left w:w="108" w:type="dxa"/>
          <w:bottom w:w="0" w:type="dxa"/>
          <w:right w:w="108" w:type="dxa"/>
        </w:tblCellMar>
      </w:tblPr>
      <w:tblGrid>
        <w:gridCol w:w="1720"/>
        <w:gridCol w:w="8256"/>
      </w:tblGrid>
      <w:tr>
        <w:tblPrEx>
          <w:tblCellMar>
            <w:top w:w="0" w:type="dxa"/>
            <w:left w:w="108" w:type="dxa"/>
            <w:bottom w:w="0" w:type="dxa"/>
            <w:right w:w="108" w:type="dxa"/>
          </w:tblCellMar>
        </w:tblPrEx>
        <w:trPr>
          <w:trHeight w:val="102" w:hRule="atLeast"/>
          <w:jc w:val="center"/>
        </w:trPr>
        <w:tc>
          <w:tcPr>
            <w:tcW w:w="862" w:type="pct"/>
            <w:tcBorders>
              <w:top w:val="single" w:color="auto" w:sz="4" w:space="0"/>
              <w:left w:val="single" w:color="auto" w:sz="4" w:space="0"/>
              <w:bottom w:val="nil"/>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4137"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CellMar>
            <w:top w:w="0" w:type="dxa"/>
            <w:left w:w="108" w:type="dxa"/>
            <w:bottom w:w="0" w:type="dxa"/>
            <w:right w:w="108" w:type="dxa"/>
          </w:tblCellMar>
        </w:tblPrEx>
        <w:trPr>
          <w:trHeight w:val="106" w:hRule="atLeast"/>
          <w:jc w:val="center"/>
        </w:trPr>
        <w:tc>
          <w:tcPr>
            <w:tcW w:w="862" w:type="pct"/>
            <w:tcBorders>
              <w:top w:val="single" w:color="auto" w:sz="4" w:space="0"/>
              <w:left w:val="single" w:color="auto" w:sz="4" w:space="0"/>
              <w:bottom w:val="nil"/>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服务总体要求</w:t>
            </w:r>
          </w:p>
        </w:tc>
        <w:tc>
          <w:tcPr>
            <w:tcW w:w="4137"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通过统计特征学习、动态行为基线和时序前后关联等多种形式场景建模，最终为用户提供包含正常行为基线学习、风险评分、风险行为识别等功能的安全分析能力。</w:t>
            </w:r>
          </w:p>
        </w:tc>
      </w:tr>
      <w:tr>
        <w:tblPrEx>
          <w:tblCellMar>
            <w:top w:w="0" w:type="dxa"/>
            <w:left w:w="108" w:type="dxa"/>
            <w:bottom w:w="0" w:type="dxa"/>
            <w:right w:w="108" w:type="dxa"/>
          </w:tblCellMar>
        </w:tblPrEx>
        <w:trPr>
          <w:trHeight w:val="614" w:hRule="atLeast"/>
          <w:jc w:val="center"/>
        </w:trPr>
        <w:tc>
          <w:tcPr>
            <w:tcW w:w="862" w:type="pct"/>
            <w:vMerge w:val="restart"/>
            <w:tcBorders>
              <w:top w:val="single" w:color="auto" w:sz="4" w:space="0"/>
              <w:left w:val="single" w:color="auto" w:sz="4" w:space="0"/>
              <w:bottom w:val="nil"/>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用户总体风险评估服务</w:t>
            </w:r>
          </w:p>
        </w:tc>
        <w:tc>
          <w:tcPr>
            <w:tcW w:w="4137" w:type="pct"/>
            <w:tcBorders>
              <w:top w:val="single" w:color="auto" w:sz="4" w:space="0"/>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提供解决方案视角服务，通过切换解决方案视角，用户可以查看在不同解决方案（主机安全、数据库安全、账号安全及通用解决方案）下的用户总体风险情况。</w:t>
            </w:r>
          </w:p>
        </w:tc>
      </w:tr>
      <w:tr>
        <w:tblPrEx>
          <w:tblCellMar>
            <w:top w:w="0" w:type="dxa"/>
            <w:left w:w="108" w:type="dxa"/>
            <w:bottom w:w="0" w:type="dxa"/>
            <w:right w:w="108" w:type="dxa"/>
          </w:tblCellMar>
        </w:tblPrEx>
        <w:trPr>
          <w:trHeight w:val="614" w:hRule="atLeast"/>
          <w:jc w:val="center"/>
        </w:trPr>
        <w:tc>
          <w:tcPr>
            <w:tcW w:w="862" w:type="pct"/>
            <w:vMerge w:val="continue"/>
            <w:tcBorders>
              <w:top w:val="single" w:color="auto" w:sz="4" w:space="0"/>
              <w:left w:val="single" w:color="auto" w:sz="4" w:space="0"/>
              <w:bottom w:val="nil"/>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tcBorders>
              <w:top w:val="nil"/>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已录入的用户/数据中发现的所有用户的切换服务。选择已录入的用户，即当前页面展示当前用户在用户信息管理中所录入的用户对应的风险情况。选择数据中发现的所有用户，即当前页面展示当前所接入数据中所有用户的风险情况。</w:t>
            </w:r>
          </w:p>
        </w:tc>
      </w:tr>
      <w:tr>
        <w:tblPrEx>
          <w:tblCellMar>
            <w:top w:w="0" w:type="dxa"/>
            <w:left w:w="108" w:type="dxa"/>
            <w:bottom w:w="0" w:type="dxa"/>
            <w:right w:w="108" w:type="dxa"/>
          </w:tblCellMar>
        </w:tblPrEx>
        <w:trPr>
          <w:trHeight w:val="614" w:hRule="atLeast"/>
          <w:jc w:val="center"/>
        </w:trPr>
        <w:tc>
          <w:tcPr>
            <w:tcW w:w="862" w:type="pct"/>
            <w:vMerge w:val="continue"/>
            <w:tcBorders>
              <w:top w:val="single" w:color="auto" w:sz="4" w:space="0"/>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tcBorders>
              <w:top w:val="nil"/>
              <w:left w:val="nil"/>
              <w:bottom w:val="single" w:color="auto" w:sz="4" w:space="0"/>
              <w:right w:val="single" w:color="auto" w:sz="4" w:space="0"/>
            </w:tcBorders>
            <w:shd w:val="clear" w:color="000000" w:fill="FFFFFF"/>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提供用户风险评分服务，综合考虑用户的所有特征权重、风险信息、历史趋势等维度，进行的自适应算法综合计算评分，以宏观视角审视全网用户，将异常高风险用户呈现出来。</w:t>
            </w:r>
          </w:p>
        </w:tc>
      </w:tr>
      <w:tr>
        <w:tblPrEx>
          <w:tblCellMar>
            <w:top w:w="0" w:type="dxa"/>
            <w:left w:w="108" w:type="dxa"/>
            <w:bottom w:w="0" w:type="dxa"/>
            <w:right w:w="108" w:type="dxa"/>
          </w:tblCellMar>
        </w:tblPrEx>
        <w:trPr>
          <w:trHeight w:val="322" w:hRule="atLeast"/>
          <w:jc w:val="center"/>
        </w:trPr>
        <w:tc>
          <w:tcPr>
            <w:tcW w:w="86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AI模型服务</w:t>
            </w: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提供AI模型增删改查服务</w:t>
            </w:r>
          </w:p>
        </w:tc>
      </w:tr>
      <w:tr>
        <w:tblPrEx>
          <w:tblCellMar>
            <w:top w:w="0" w:type="dxa"/>
            <w:left w:w="108" w:type="dxa"/>
            <w:bottom w:w="0" w:type="dxa"/>
            <w:right w:w="108" w:type="dxa"/>
          </w:tblCellMar>
        </w:tblPrEx>
        <w:trPr>
          <w:trHeight w:val="614" w:hRule="atLeast"/>
          <w:jc w:val="center"/>
        </w:trPr>
        <w:tc>
          <w:tcPr>
            <w:tcW w:w="862"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提供AI模型列表服务，以查看包括但不限于模型名称、模型分组、模型描述、所用特征名称、所选算法、算法参数、实时检测周期、创建人、状态、创建时间和近运行时间等信息，同时支持全文搜索</w:t>
            </w:r>
          </w:p>
        </w:tc>
      </w:tr>
      <w:tr>
        <w:tblPrEx>
          <w:tblCellMar>
            <w:top w:w="0" w:type="dxa"/>
            <w:left w:w="108" w:type="dxa"/>
            <w:bottom w:w="0" w:type="dxa"/>
            <w:right w:w="108" w:type="dxa"/>
          </w:tblCellMar>
        </w:tblPrEx>
        <w:trPr>
          <w:trHeight w:val="614" w:hRule="atLeast"/>
          <w:jc w:val="center"/>
        </w:trPr>
        <w:tc>
          <w:tcPr>
            <w:tcW w:w="862"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创建AI模型，应包括但不限于up/down异常、daily周期性异常、weekly周期性异常、新出现实体异常、阈值异常和潜伏型异常等算法</w:t>
            </w:r>
          </w:p>
        </w:tc>
      </w:tr>
      <w:tr>
        <w:tblPrEx>
          <w:tblCellMar>
            <w:top w:w="0" w:type="dxa"/>
            <w:left w:w="108" w:type="dxa"/>
            <w:bottom w:w="0" w:type="dxa"/>
            <w:right w:w="108" w:type="dxa"/>
          </w:tblCellMar>
        </w:tblPrEx>
        <w:trPr>
          <w:trHeight w:val="90" w:hRule="atLeast"/>
          <w:jc w:val="center"/>
        </w:trPr>
        <w:tc>
          <w:tcPr>
            <w:tcW w:w="862" w:type="pct"/>
            <w:vMerge w:val="restart"/>
            <w:tcBorders>
              <w:top w:val="nil"/>
              <w:left w:val="single" w:color="auto" w:sz="4" w:space="0"/>
              <w:bottom w:val="single" w:color="auto" w:sz="4" w:space="0"/>
              <w:right w:val="single" w:color="auto" w:sz="4" w:space="0"/>
            </w:tcBorders>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时序异常探索服务</w:t>
            </w: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提供单时序异常探索服务，可针对AI模型进行特征时序异常探索，可以查看标记列表、异常列表和同时段异常等信息，同时应具备钻取原始日志操作的能力</w:t>
            </w:r>
          </w:p>
        </w:tc>
      </w:tr>
      <w:tr>
        <w:tblPrEx>
          <w:tblCellMar>
            <w:top w:w="0" w:type="dxa"/>
            <w:left w:w="108" w:type="dxa"/>
            <w:bottom w:w="0" w:type="dxa"/>
            <w:right w:w="108" w:type="dxa"/>
          </w:tblCellMar>
        </w:tblPrEx>
        <w:trPr>
          <w:trHeight w:val="307" w:hRule="atLeast"/>
          <w:jc w:val="center"/>
        </w:trPr>
        <w:tc>
          <w:tcPr>
            <w:tcW w:w="862"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提供预测服务，预测时长应包括但不限于一天、一周和一月等</w:t>
            </w:r>
          </w:p>
        </w:tc>
      </w:tr>
      <w:tr>
        <w:tblPrEx>
          <w:tblCellMar>
            <w:top w:w="0" w:type="dxa"/>
            <w:left w:w="108" w:type="dxa"/>
            <w:bottom w:w="0" w:type="dxa"/>
            <w:right w:w="108" w:type="dxa"/>
          </w:tblCellMar>
        </w:tblPrEx>
        <w:trPr>
          <w:trHeight w:val="614" w:hRule="atLeast"/>
          <w:jc w:val="center"/>
        </w:trPr>
        <w:tc>
          <w:tcPr>
            <w:tcW w:w="862" w:type="pct"/>
            <w:vMerge w:val="continue"/>
            <w:tcBorders>
              <w:top w:val="nil"/>
              <w:left w:val="single" w:color="auto" w:sz="4" w:space="0"/>
              <w:bottom w:val="single" w:color="auto"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提供综合异常探索服务，可针对多个AI模型进行交集或并集综合异常探查，可以查看异常排名、异常时间线、标记列表和异常列表等信息，同时可实现快捷标签和实体过滤等操作</w:t>
            </w:r>
          </w:p>
        </w:tc>
      </w:tr>
      <w:tr>
        <w:tblPrEx>
          <w:tblCellMar>
            <w:top w:w="0" w:type="dxa"/>
            <w:left w:w="108" w:type="dxa"/>
            <w:bottom w:w="0" w:type="dxa"/>
            <w:right w:w="108" w:type="dxa"/>
          </w:tblCellMar>
        </w:tblPrEx>
        <w:trPr>
          <w:trHeight w:val="614" w:hRule="atLeast"/>
          <w:jc w:val="center"/>
        </w:trPr>
        <w:tc>
          <w:tcPr>
            <w:tcW w:w="862" w:type="pct"/>
            <w:vMerge w:val="restart"/>
            <w:tcBorders>
              <w:top w:val="nil"/>
              <w:left w:val="single" w:color="auto" w:sz="4" w:space="0"/>
              <w:bottom w:val="single" w:color="000000" w:sz="4" w:space="0"/>
              <w:right w:val="single" w:color="auto" w:sz="4" w:space="0"/>
            </w:tcBorders>
            <w:shd w:val="clear" w:color="auto" w:fill="auto"/>
            <w:noWrap/>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风险评分服务</w:t>
            </w: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提供用户风险评分服务，能够根据个体的异常、群组对比和历史趋势等维度，按照100分风险最高评分标准综合进行用户风险评分</w:t>
            </w:r>
          </w:p>
        </w:tc>
      </w:tr>
      <w:tr>
        <w:tblPrEx>
          <w:tblCellMar>
            <w:top w:w="0" w:type="dxa"/>
            <w:left w:w="108" w:type="dxa"/>
            <w:bottom w:w="0" w:type="dxa"/>
            <w:right w:w="108" w:type="dxa"/>
          </w:tblCellMar>
        </w:tblPrEx>
        <w:trPr>
          <w:trHeight w:val="614" w:hRule="atLeast"/>
          <w:jc w:val="center"/>
        </w:trPr>
        <w:tc>
          <w:tcPr>
            <w:tcW w:w="862" w:type="pct"/>
            <w:vMerge w:val="continue"/>
            <w:tcBorders>
              <w:top w:val="nil"/>
              <w:left w:val="single" w:color="auto" w:sz="4" w:space="0"/>
              <w:bottom w:val="single" w:color="000000"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用户总体风险概览服务，能够直观展示包括但不限于活跃用户总数、最近一周活跃用户数、最近一周高风险用户数、日志总数、用户风险排行、关注用户、最近一周趋势图、用户风险分布图和风险类型分布等信息</w:t>
            </w:r>
          </w:p>
        </w:tc>
      </w:tr>
      <w:tr>
        <w:tblPrEx>
          <w:tblCellMar>
            <w:top w:w="0" w:type="dxa"/>
            <w:left w:w="108" w:type="dxa"/>
            <w:bottom w:w="0" w:type="dxa"/>
            <w:right w:w="108" w:type="dxa"/>
          </w:tblCellMar>
        </w:tblPrEx>
        <w:trPr>
          <w:trHeight w:val="90" w:hRule="atLeast"/>
          <w:jc w:val="center"/>
        </w:trPr>
        <w:tc>
          <w:tcPr>
            <w:tcW w:w="862" w:type="pct"/>
            <w:vMerge w:val="continue"/>
            <w:tcBorders>
              <w:top w:val="nil"/>
              <w:left w:val="single" w:color="auto" w:sz="4" w:space="0"/>
              <w:bottom w:val="single" w:color="000000"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提供自定义调整用户总体风险刷新周期服务，绝壁最小1分钟调度周期的能力，可选择基于历史多少天的风险数据进行用户总体风险评分。</w:t>
            </w:r>
          </w:p>
        </w:tc>
      </w:tr>
      <w:tr>
        <w:tblPrEx>
          <w:tblCellMar>
            <w:top w:w="0" w:type="dxa"/>
            <w:left w:w="108" w:type="dxa"/>
            <w:bottom w:w="0" w:type="dxa"/>
            <w:right w:w="108" w:type="dxa"/>
          </w:tblCellMar>
        </w:tblPrEx>
        <w:trPr>
          <w:trHeight w:val="614" w:hRule="atLeast"/>
          <w:jc w:val="center"/>
        </w:trPr>
        <w:tc>
          <w:tcPr>
            <w:tcW w:w="862" w:type="pct"/>
            <w:vMerge w:val="continue"/>
            <w:tcBorders>
              <w:top w:val="nil"/>
              <w:left w:val="single" w:color="auto" w:sz="4" w:space="0"/>
              <w:bottom w:val="single" w:color="000000"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提供风险阈值调整服务，能够针对高、中、低和无4个风险级别进行区间调整</w:t>
            </w:r>
          </w:p>
        </w:tc>
      </w:tr>
      <w:tr>
        <w:tblPrEx>
          <w:tblCellMar>
            <w:top w:w="0" w:type="dxa"/>
            <w:left w:w="108" w:type="dxa"/>
            <w:bottom w:w="0" w:type="dxa"/>
            <w:right w:w="108" w:type="dxa"/>
          </w:tblCellMar>
        </w:tblPrEx>
        <w:trPr>
          <w:trHeight w:val="614" w:hRule="atLeast"/>
          <w:jc w:val="center"/>
        </w:trPr>
        <w:tc>
          <w:tcPr>
            <w:tcW w:w="862" w:type="pct"/>
            <w:vMerge w:val="continue"/>
            <w:tcBorders>
              <w:top w:val="nil"/>
              <w:left w:val="single" w:color="auto" w:sz="4" w:space="0"/>
              <w:bottom w:val="single" w:color="000000" w:sz="4" w:space="0"/>
              <w:right w:val="single" w:color="auto" w:sz="4" w:space="0"/>
            </w:tcBorders>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可针对特定用户进行用户行为画像，能够从风险趋势和全局画像两种模式进行用户行为画像</w:t>
            </w:r>
          </w:p>
        </w:tc>
      </w:tr>
      <w:tr>
        <w:tblPrEx>
          <w:tblCellMar>
            <w:top w:w="0" w:type="dxa"/>
            <w:left w:w="108" w:type="dxa"/>
            <w:bottom w:w="0" w:type="dxa"/>
            <w:right w:w="108" w:type="dxa"/>
          </w:tblCellMar>
        </w:tblPrEx>
        <w:trPr>
          <w:trHeight w:val="983" w:hRule="atLeast"/>
          <w:jc w:val="center"/>
        </w:trPr>
        <w:tc>
          <w:tcPr>
            <w:tcW w:w="862" w:type="pct"/>
            <w:vMerge w:val="restart"/>
            <w:tcBorders>
              <w:top w:val="nil"/>
              <w:left w:val="single" w:color="auto" w:sz="4" w:space="0"/>
              <w:bottom w:val="single" w:color="000000" w:sz="4" w:space="0"/>
              <w:right w:val="single" w:color="auto" w:sz="4" w:space="0"/>
            </w:tcBorders>
            <w:shd w:val="clear" w:color="auto" w:fill="auto"/>
            <w:noWrap/>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态势大屏</w:t>
            </w: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用户行为风险态势可视化大屏服务，应能够清晰展示活跃用户总数以及变化趋势，高风险用户数以及变化趋势，无风险、低风险、中风险和高风险各类用户风险分布，日高风险用户数最近一周趋势，风险类型文字云等信息；并且在大屏中央可以展示正常用户和高风险用户分布情况；同时对于特定的高风险用户，可以轮播展示用户名、职务、工号、账号、邮箱账号、风险评分、较上次风险浮动、当前风险排名、风险趋势以及各类异常图表信息。</w:t>
            </w:r>
          </w:p>
        </w:tc>
      </w:tr>
      <w:tr>
        <w:tblPrEx>
          <w:tblCellMar>
            <w:top w:w="0" w:type="dxa"/>
            <w:left w:w="108" w:type="dxa"/>
            <w:bottom w:w="0" w:type="dxa"/>
            <w:right w:w="108" w:type="dxa"/>
          </w:tblCellMar>
        </w:tblPrEx>
        <w:trPr>
          <w:trHeight w:val="1534" w:hRule="atLeast"/>
          <w:jc w:val="center"/>
        </w:trPr>
        <w:tc>
          <w:tcPr>
            <w:tcW w:w="862" w:type="pct"/>
            <w:vMerge w:val="continue"/>
            <w:tcBorders>
              <w:top w:val="nil"/>
              <w:left w:val="single" w:color="auto" w:sz="4" w:space="0"/>
              <w:bottom w:val="single" w:color="000000" w:sz="4" w:space="0"/>
              <w:right w:val="single" w:color="auto" w:sz="4" w:space="0"/>
            </w:tcBorders>
            <w:vAlign w:val="center"/>
          </w:tcPr>
          <w:p>
            <w:pPr>
              <w:pStyle w:val="365"/>
              <w:spacing w:line="240" w:lineRule="auto"/>
              <w:rPr>
                <w:rFonts w:hint="eastAsia" w:ascii="Times New Roman" w:hAnsi="Times New Roman" w:eastAsia="宋体" w:cs="Times New Roman"/>
                <w:sz w:val="24"/>
                <w:szCs w:val="24"/>
                <w:highlight w:val="none"/>
              </w:rPr>
            </w:pPr>
          </w:p>
        </w:tc>
        <w:tc>
          <w:tcPr>
            <w:tcW w:w="4137" w:type="pct"/>
            <w:tcBorders>
              <w:top w:val="nil"/>
              <w:left w:val="nil"/>
              <w:bottom w:val="single" w:color="auto" w:sz="4" w:space="0"/>
              <w:right w:val="single" w:color="auto" w:sz="4" w:space="0"/>
            </w:tcBorders>
            <w:shd w:val="clear" w:color="auto" w:fill="auto"/>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账号安全态势感知大屏服务，包含日志量、告警量、活跃账号数和高风险账号数，账号风险排名TOP5，登录失败TOP5，账号日志量趋势、24时账号数量分布、部门日志量TOP5、账号日志量TOP5，风险事件和风险类型等信息。分析时间范围可选24小时、最近7天、本日、本周、本月或者半年；分析视角可以在整体关联视角，或者单独的数据源视角进行切换，单独的数据源视角包括但不限于VPN日志、AD域日志、上网行为审计日志、堡垒机日志、邮件审计日志和零信任日志等。</w:t>
            </w:r>
          </w:p>
        </w:tc>
      </w:tr>
    </w:tbl>
    <w:p>
      <w:pPr>
        <w:pStyle w:val="6"/>
        <w:widowControl w:val="0"/>
        <w:spacing w:before="120" w:after="120" w:line="312" w:lineRule="auto"/>
        <w:jc w:val="both"/>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7.2蜜罐系统服务</w:t>
      </w:r>
    </w:p>
    <w:tbl>
      <w:tblPr>
        <w:tblStyle w:val="366"/>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6" w:type="pct"/>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4123" w:type="pct"/>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6"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服务总体要求</w:t>
            </w: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布置一些作为诱饵的主机、网络服务或者信息，诱使攻击方对它们实施攻击，从而可以对攻击行为进行捕获和分析，了解攻击方所使用的工具与方法，推测攻击意图和动机，能够让防御方清晰地了解他们所面对的安全威胁，并通过技术和管理手段来增强实际系统的安全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6" w:type="pct"/>
            <w:vMerge w:val="restar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伪装诱捕服务</w:t>
            </w: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具备Windows、Linux类操作系统蜜罐能力，提供不低于7种蜜罐，包括但不限于：CentOS7、SUSE12、SUSE12sp2、RedHat7、Windows7、Windows10、WindowsServer2008等。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具备Web类蜜罐能力，提供不低于13种蜜罐，包括但不限于Jenkins、WordPress、Zabbix、OA、Nginx、Discuz论坛、DokuWiki、渗透、邮箱、Webmin、Struts2、SugarCRM、Joomla等。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具备中间件类蜜罐能力，提供不低于3种蜜罐，包括但不限于Tomcat、Weblogic、JBoss等。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具备数据库类蜜罐能力，提供不低于8种蜜罐，包括但不限于MySQL、Oracle、PostgreSQL、MongoDB、Redis、MemCached、Hive、HBase等。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具备工控类蜜罐能力，可仿真S7Comm、Modbus、Bacnet、SNMP等6种工控协议。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具备物联网类蜜罐能力，提供不低于6种蜜罐，包括但不限于Linksys路由器、D-Link摄像头等。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具备系统服务类蜜罐能力，提供不低于8种蜜罐，包括但不限于DNS、ARP、SSH、扫描检测、Samba、FTP、Telnet、VPN等。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具备综合型服务蜜罐能力，提供不低于4种服务，如：Redis、Web、Mongo、imitator等。</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lang w:eastAsia="zh-CN"/>
              </w:rPr>
              <w:t>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6" w:type="pct"/>
            <w:vMerge w:val="continue"/>
            <w:vAlign w:val="center"/>
          </w:tcPr>
          <w:p>
            <w:pPr>
              <w:pStyle w:val="365"/>
              <w:spacing w:line="240" w:lineRule="auto"/>
              <w:jc w:val="center"/>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具备5G网元仿真服务能力，提供不低于5种蜜罐，包括但不限于UPF、UDR、SMF、NRF、AMF等。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6" w:type="pct"/>
            <w:vMerge w:val="restar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攻击分析服务</w:t>
            </w: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可基于攻击事件聚合攻击行为，捕获某一攻击者对某一蜜罐/蜜饵产生的所有攻击，并按照时间轴形式详细展示攻击内容。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6" w:type="pct"/>
            <w:vMerge w:val="continue"/>
            <w:vAlign w:val="center"/>
          </w:tcPr>
          <w:p>
            <w:pPr>
              <w:pStyle w:val="365"/>
              <w:spacing w:line="240" w:lineRule="auto"/>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可基于攻击者聚合攻击事件，展示所有该攻击者的攻击事件，且可对攻击者添加标签。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6" w:type="pct"/>
            <w:vMerge w:val="continue"/>
            <w:vAlign w:val="center"/>
          </w:tcPr>
          <w:p>
            <w:pPr>
              <w:pStyle w:val="365"/>
              <w:spacing w:line="240" w:lineRule="auto"/>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提供解析/下载流量包、下载爆破字典、查看攻击截图、查看攻击视频、还原攻击日志等内容的服务。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876" w:type="pct"/>
            <w:vMerge w:val="continue"/>
            <w:vAlign w:val="center"/>
          </w:tcPr>
          <w:p>
            <w:pPr>
              <w:pStyle w:val="365"/>
              <w:spacing w:line="240" w:lineRule="auto"/>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提供系统自动比对攻击源IP溯源信息的服务，可根据内置算法模型判断是否/可能为同一攻击者使用的不同IP。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6" w:type="pct"/>
            <w:vMerge w:val="continue"/>
            <w:vAlign w:val="center"/>
          </w:tcPr>
          <w:p>
            <w:pPr>
              <w:pStyle w:val="365"/>
              <w:spacing w:line="240" w:lineRule="auto"/>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捕捉、下载可疑落盘文件，并通过在线和离线两种方式进行云端情报库/沙箱深度检测分析，获得HTML格式的分析报告。报告内容包括文件的基本信息、静态分析、软件环境、威胁情报、动态行为、可疑行为、进程行为、网络行为、文件行为、注册表行为、其他行为、内存字符串、截屏信息等。</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投标文件商务技术响应文件中</w:t>
            </w:r>
            <w:r>
              <w:rPr>
                <w:rFonts w:hint="default" w:ascii="Times New Roman" w:hAnsi="Times New Roman" w:eastAsia="宋体" w:cs="Times New Roman"/>
                <w:sz w:val="24"/>
                <w:szCs w:val="24"/>
                <w:lang w:eastAsia="zh-CN"/>
              </w:rPr>
              <w:t>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pct"/>
            <w:vMerge w:val="continue"/>
            <w:vAlign w:val="center"/>
          </w:tcPr>
          <w:p>
            <w:pPr>
              <w:pStyle w:val="365"/>
              <w:spacing w:line="240" w:lineRule="auto"/>
              <w:rPr>
                <w:rFonts w:hint="eastAsia" w:ascii="Times New Roman" w:hAnsi="Times New Roman" w:eastAsia="宋体" w:cs="Times New Roman"/>
                <w:sz w:val="24"/>
                <w:szCs w:val="24"/>
                <w:highlight w:val="none"/>
              </w:rPr>
            </w:pPr>
          </w:p>
        </w:tc>
        <w:tc>
          <w:tcPr>
            <w:tcW w:w="412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可对攻击者进行溯源，识别出攻击者设备信息和网络身份信息，包括但不限于：设备类型/名称/品牌/显卡/声卡/屏幕分辨率/字符集编码、操作系统类型/版本/系统语言/时区、应用程序类型/版本等信息，以及至少12种主流社交平台账号信息（包括社交平台logo/用户ID/用户名/用户昵称/用户头像等）等。</w:t>
            </w:r>
          </w:p>
        </w:tc>
      </w:tr>
    </w:tbl>
    <w:p>
      <w:pPr>
        <w:pStyle w:val="6"/>
        <w:widowControl w:val="0"/>
        <w:spacing w:before="120" w:after="120" w:line="312" w:lineRule="auto"/>
        <w:jc w:val="both"/>
        <w:rPr>
          <w:rFonts w:hint="eastAsia" w:ascii="Times New Roman" w:hAnsi="Times New Roman" w:eastAsia="宋体" w:cs="Times New Roman"/>
          <w:bCs w:val="0"/>
          <w:sz w:val="24"/>
          <w:szCs w:val="24"/>
          <w:lang w:val="en-US" w:eastAsia="zh-CN"/>
        </w:rPr>
      </w:pPr>
      <w:r>
        <w:rPr>
          <w:rFonts w:hint="eastAsia" w:ascii="Times New Roman" w:hAnsi="Times New Roman" w:eastAsia="宋体" w:cs="Times New Roman"/>
          <w:bCs w:val="0"/>
          <w:sz w:val="24"/>
          <w:szCs w:val="24"/>
          <w:lang w:val="en-US" w:eastAsia="zh-CN"/>
        </w:rPr>
        <w:t>8.驻场人员安全运营服务</w:t>
      </w:r>
    </w:p>
    <w:p>
      <w:pPr>
        <w:pStyle w:val="6"/>
        <w:widowControl w:val="0"/>
        <w:spacing w:before="120" w:after="120" w:line="312" w:lineRule="auto"/>
        <w:jc w:val="both"/>
        <w:rPr>
          <w:rFonts w:hint="eastAsia"/>
          <w:lang w:val="en-US" w:eastAsia="zh-CN"/>
        </w:rPr>
      </w:pPr>
      <w:r>
        <w:rPr>
          <w:rFonts w:hint="eastAsia" w:ascii="Times New Roman" w:hAnsi="Times New Roman" w:eastAsia="宋体" w:cs="Times New Roman"/>
          <w:bCs w:val="0"/>
          <w:sz w:val="24"/>
          <w:szCs w:val="24"/>
          <w:lang w:val="en-US" w:eastAsia="zh-CN"/>
        </w:rPr>
        <w:t>8.1驻场服务</w:t>
      </w:r>
    </w:p>
    <w:tbl>
      <w:tblPr>
        <w:tblStyle w:val="366"/>
        <w:tblpPr w:leftFromText="180" w:rightFromText="180" w:vertAnchor="text" w:tblpXSpec="left"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6" w:type="pct"/>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服务能力指标</w:t>
            </w:r>
          </w:p>
        </w:tc>
        <w:tc>
          <w:tcPr>
            <w:tcW w:w="3963" w:type="pct"/>
            <w:shd w:val="clear" w:color="auto" w:fill="auto"/>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6" w:type="pct"/>
            <w:vAlign w:val="center"/>
          </w:tcPr>
          <w:p>
            <w:pPr>
              <w:pStyle w:val="365"/>
              <w:spacing w:line="240" w:lineRule="auto"/>
              <w:jc w:val="center"/>
              <w:rPr>
                <w:rFonts w:hint="eastAsia" w:ascii="Times New Roman" w:hAnsi="Times New Roman" w:eastAsia="宋体" w:cs="Times New Roman"/>
                <w:sz w:val="24"/>
                <w:szCs w:val="24"/>
                <w:highlight w:val="none"/>
              </w:rPr>
            </w:pPr>
            <w:r>
              <w:rPr>
                <w:rFonts w:hint="eastAsia" w:ascii="宋体" w:hAnsi="宋体" w:eastAsia="宋体" w:cs="宋体"/>
                <w:kern w:val="0"/>
                <w:szCs w:val="21"/>
                <w:highlight w:val="none"/>
              </w:rPr>
              <w:t>★</w:t>
            </w:r>
            <w:r>
              <w:rPr>
                <w:rFonts w:hint="eastAsia" w:ascii="Times New Roman" w:hAnsi="Times New Roman" w:eastAsia="宋体" w:cs="Times New Roman"/>
                <w:sz w:val="24"/>
                <w:szCs w:val="24"/>
                <w:highlight w:val="none"/>
              </w:rPr>
              <w:t>服务总体要求</w:t>
            </w:r>
          </w:p>
        </w:tc>
        <w:tc>
          <w:tcPr>
            <w:tcW w:w="3963" w:type="pct"/>
            <w:vAlign w:val="center"/>
          </w:tcPr>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组建</w:t>
            </w:r>
            <w:r>
              <w:rPr>
                <w:rFonts w:hint="eastAsia" w:ascii="Times New Roman" w:hAnsi="Times New Roman" w:cs="Times New Roman"/>
                <w:sz w:val="24"/>
                <w:szCs w:val="24"/>
                <w:highlight w:val="none"/>
                <w:lang w:eastAsia="zh-CN"/>
              </w:rPr>
              <w:t>不少于</w:t>
            </w:r>
            <w:r>
              <w:rPr>
                <w:rFonts w:ascii="Times New Roman" w:hAnsi="Times New Roman" w:cs="Times New Roman"/>
                <w:sz w:val="24"/>
                <w:szCs w:val="24"/>
              </w:rPr>
              <w:t>4</w:t>
            </w:r>
            <w:r>
              <w:rPr>
                <w:rFonts w:hint="eastAsia" w:ascii="Times New Roman" w:hAnsi="Times New Roman" w:cs="Times New Roman"/>
                <w:sz w:val="24"/>
                <w:szCs w:val="24"/>
              </w:rPr>
              <w:t>名</w:t>
            </w:r>
            <w:r>
              <w:rPr>
                <w:rFonts w:hint="eastAsia" w:ascii="Times New Roman" w:hAnsi="Times New Roman" w:cs="Times New Roman"/>
                <w:sz w:val="24"/>
                <w:szCs w:val="24"/>
                <w:lang w:eastAsia="zh-CN"/>
              </w:rPr>
              <w:t>工程师的</w:t>
            </w:r>
            <w:r>
              <w:rPr>
                <w:rFonts w:hint="eastAsia" w:ascii="Times New Roman" w:hAnsi="Times New Roman" w:eastAsia="宋体" w:cs="Times New Roman"/>
                <w:sz w:val="24"/>
                <w:szCs w:val="24"/>
                <w:highlight w:val="none"/>
              </w:rPr>
              <w:t>义乌市网络安全运营团队，</w:t>
            </w:r>
            <w:r>
              <w:rPr>
                <w:rFonts w:hint="eastAsia" w:ascii="Times New Roman" w:hAnsi="Times New Roman" w:cs="Times New Roman"/>
                <w:sz w:val="24"/>
                <w:szCs w:val="24"/>
              </w:rPr>
              <w:t>需驻点在甲方</w:t>
            </w:r>
            <w:r>
              <w:rPr>
                <w:rFonts w:hint="eastAsia" w:ascii="Times New Roman" w:hAnsi="Times New Roman" w:cs="Times New Roman"/>
                <w:sz w:val="24"/>
                <w:szCs w:val="24"/>
                <w:lang w:eastAsia="zh-CN"/>
              </w:rPr>
              <w:t>指定场所，</w:t>
            </w:r>
            <w:r>
              <w:rPr>
                <w:rFonts w:hint="eastAsia" w:ascii="Times New Roman" w:hAnsi="Times New Roman" w:eastAsia="宋体" w:cs="Times New Roman"/>
                <w:sz w:val="24"/>
                <w:szCs w:val="24"/>
                <w:highlight w:val="none"/>
              </w:rPr>
              <w:t>以“驻场人员总体牵头，专家团队在线支撑”的模式进行义乌市数据管理中心网络安全保障。安全运营团队组建以“能力多样、体系完善”为原则，打造一个能力全面、响应迅速的本地化专业技术服务团队。</w:t>
            </w:r>
          </w:p>
          <w:p>
            <w:pPr>
              <w:pStyle w:val="365"/>
              <w:spacing w:line="24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依托专业厂商网络安全服务团队，其中包括安全运维工程师、应急响应工程师、渗透测试工程师以及安全制度编写人员，主要承担义乌市全链路监管体系驻场运营服务工作，以及重保活动期间突发网络安全服务响应等工作任务。</w:t>
            </w:r>
          </w:p>
        </w:tc>
      </w:tr>
    </w:tbl>
    <w:p>
      <w:pPr>
        <w:snapToGrid w:val="0"/>
        <w:spacing w:line="312" w:lineRule="auto"/>
        <w:ind w:firstLine="480" w:firstLineChars="200"/>
        <w:rPr>
          <w:rFonts w:ascii="Times New Roman" w:hAnsi="Times New Roman" w:eastAsia="宋体"/>
          <w:bCs w:val="0"/>
          <w:sz w:val="24"/>
          <w:szCs w:val="24"/>
          <w:highlight w:val="green"/>
        </w:rPr>
      </w:pPr>
    </w:p>
    <w:p>
      <w:pPr>
        <w:pStyle w:val="6"/>
        <w:widowControl w:val="0"/>
        <w:spacing w:before="120" w:after="120" w:line="312" w:lineRule="auto"/>
        <w:jc w:val="both"/>
        <w:rPr>
          <w:rFonts w:ascii="Times New Roman" w:hAnsi="Times New Roman" w:eastAsia="宋体"/>
          <w:bCs w:val="0"/>
          <w:sz w:val="24"/>
          <w:szCs w:val="24"/>
          <w:highlight w:val="none"/>
        </w:rPr>
      </w:pPr>
      <w:r>
        <w:rPr>
          <w:rFonts w:hint="eastAsia" w:ascii="Times New Roman" w:hAnsi="Times New Roman" w:eastAsia="宋体"/>
          <w:bCs w:val="0"/>
          <w:sz w:val="24"/>
          <w:szCs w:val="24"/>
          <w:highlight w:val="none"/>
          <w:lang w:eastAsia="zh-CN"/>
        </w:rPr>
        <w:t>四</w:t>
      </w:r>
      <w:r>
        <w:rPr>
          <w:rFonts w:ascii="Times New Roman" w:hAnsi="Times New Roman" w:eastAsia="宋体"/>
          <w:bCs w:val="0"/>
          <w:sz w:val="24"/>
          <w:szCs w:val="24"/>
          <w:highlight w:val="none"/>
        </w:rPr>
        <w:t>、</w:t>
      </w:r>
      <w:r>
        <w:rPr>
          <w:rFonts w:hint="eastAsia" w:ascii="Times New Roman" w:hAnsi="Times New Roman" w:eastAsia="宋体"/>
          <w:bCs w:val="0"/>
          <w:sz w:val="24"/>
          <w:szCs w:val="24"/>
          <w:highlight w:val="none"/>
          <w:lang w:eastAsia="zh-CN"/>
        </w:rPr>
        <w:t>投标</w:t>
      </w:r>
      <w:r>
        <w:rPr>
          <w:rFonts w:ascii="Times New Roman" w:hAnsi="Times New Roman" w:eastAsia="宋体"/>
          <w:bCs w:val="0"/>
          <w:sz w:val="24"/>
          <w:szCs w:val="24"/>
          <w:highlight w:val="none"/>
        </w:rPr>
        <w:t>演示要求</w:t>
      </w:r>
    </w:p>
    <w:p>
      <w:pPr>
        <w:snapToGrid w:val="0"/>
        <w:spacing w:line="312" w:lineRule="auto"/>
        <w:ind w:firstLine="480" w:firstLineChars="200"/>
        <w:rPr>
          <w:highlight w:val="none"/>
        </w:rPr>
      </w:pPr>
      <w:r>
        <w:rPr>
          <w:highlight w:val="none"/>
        </w:rPr>
        <w:t>1.本项</w:t>
      </w:r>
      <w:r>
        <w:rPr>
          <w:rFonts w:hint="eastAsia"/>
          <w:highlight w:val="none"/>
          <w:lang w:eastAsia="zh-CN"/>
        </w:rPr>
        <w:t>目</w:t>
      </w:r>
      <w:r>
        <w:rPr>
          <w:highlight w:val="none"/>
        </w:rPr>
        <w:t>需要演示：投标方需在投标文件解密成功后，进入政采云平台开标大厅，等待通知演示。政采云平台会以投标文件解密时间的先后顺序以短信的形式通知演示，每个投标人演示前的调试准备时间不超过15分钟，演示时间不超过</w:t>
      </w:r>
      <w:r>
        <w:rPr>
          <w:rFonts w:hint="eastAsia"/>
          <w:highlight w:val="none"/>
          <w:lang w:val="en-US" w:eastAsia="zh-CN"/>
        </w:rPr>
        <w:t>20</w:t>
      </w:r>
      <w:r>
        <w:rPr>
          <w:highlight w:val="none"/>
        </w:rPr>
        <w:t>分钟，不包含评标委员会提问解答时间。演示的方式通过“开标大厅”（建议选择谷歌浏览器）的屏幕共享方式进行演示，其中涉及需要安装的软件投标人应在开标前自行下载安装，确保网络、麦克风、演示环境等演示所需设备和系统正常稳定，并提前熟悉操作和使用。由评委对各投标人针对招标文件中演示部分进行评定打分。</w:t>
      </w:r>
    </w:p>
    <w:p>
      <w:pPr>
        <w:snapToGrid w:val="0"/>
        <w:spacing w:line="312" w:lineRule="auto"/>
        <w:ind w:firstLine="480" w:firstLineChars="200"/>
        <w:rPr>
          <w:highlight w:val="none"/>
        </w:rPr>
      </w:pPr>
      <w:r>
        <w:rPr>
          <w:highlight w:val="none"/>
        </w:rPr>
        <w:t>2.演示形式：投标方针对招标文件需要演示的内容，</w:t>
      </w:r>
      <w:r>
        <w:rPr>
          <w:rFonts w:hint="eastAsia"/>
          <w:highlight w:val="none"/>
        </w:rPr>
        <w:t>需使用成熟或DEMO软件进行演示，不演示或者使用PPT,WORD等文本形式演示者不得分。提供第三人视角方式进行连续拍摄，拍摄画面中需包含时间计时器或其他方式以表明其拍摄过程不存在剪切编辑情况存在，请依照招标文件要求进行演示，</w:t>
      </w:r>
      <w:r>
        <w:rPr>
          <w:highlight w:val="none"/>
        </w:rPr>
        <w:t>演示过程中需语音介绍目前演示的内容是什么，演示时长不超过</w:t>
      </w:r>
      <w:r>
        <w:rPr>
          <w:rFonts w:hint="eastAsia"/>
          <w:highlight w:val="none"/>
          <w:lang w:val="en-US" w:eastAsia="zh-CN"/>
        </w:rPr>
        <w:t>20</w:t>
      </w:r>
      <w:r>
        <w:rPr>
          <w:highlight w:val="none"/>
        </w:rPr>
        <w:t>分钟。</w:t>
      </w:r>
    </w:p>
    <w:p>
      <w:pPr>
        <w:spacing w:line="360" w:lineRule="auto"/>
        <w:jc w:val="left"/>
        <w:rPr>
          <w:rFonts w:hint="eastAsia" w:ascii="宋体" w:hAnsi="宋体" w:eastAsia="宋体" w:cs="宋体"/>
          <w:b/>
          <w:bCs/>
          <w:sz w:val="24"/>
          <w:szCs w:val="24"/>
          <w:highlight w:val="none"/>
          <w:lang w:eastAsia="zh-CN"/>
        </w:rPr>
      </w:pPr>
    </w:p>
    <w:p>
      <w:pPr>
        <w:pStyle w:val="6"/>
        <w:widowControl w:val="0"/>
        <w:spacing w:before="120" w:after="120" w:line="312" w:lineRule="auto"/>
        <w:jc w:val="both"/>
        <w:rPr>
          <w:rFonts w:hint="eastAsia" w:ascii="Times New Roman" w:hAnsi="Times New Roman" w:eastAsia="宋体" w:cs="Times New Roman"/>
          <w:b/>
          <w:bCs w:val="0"/>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五、项目考核要求</w:t>
      </w:r>
    </w:p>
    <w:p>
      <w:pPr>
        <w:spacing w:line="360" w:lineRule="auto"/>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1.月度考核指标</w:t>
      </w:r>
    </w:p>
    <w:tbl>
      <w:tblPr>
        <w:tblStyle w:val="57"/>
        <w:tblW w:w="10082" w:type="dxa"/>
        <w:jc w:val="center"/>
        <w:tblLayout w:type="fixed"/>
        <w:tblCellMar>
          <w:top w:w="0" w:type="dxa"/>
          <w:left w:w="108" w:type="dxa"/>
          <w:bottom w:w="0" w:type="dxa"/>
          <w:right w:w="108" w:type="dxa"/>
        </w:tblCellMar>
      </w:tblPr>
      <w:tblGrid>
        <w:gridCol w:w="720"/>
        <w:gridCol w:w="783"/>
        <w:gridCol w:w="1273"/>
        <w:gridCol w:w="1200"/>
        <w:gridCol w:w="2700"/>
        <w:gridCol w:w="3406"/>
      </w:tblGrid>
      <w:tr>
        <w:tblPrEx>
          <w:tblCellMar>
            <w:top w:w="0" w:type="dxa"/>
            <w:left w:w="108" w:type="dxa"/>
            <w:bottom w:w="0" w:type="dxa"/>
            <w:right w:w="108" w:type="dxa"/>
          </w:tblCellMar>
        </w:tblPrEx>
        <w:trPr>
          <w:trHeight w:val="53"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序号</w:t>
            </w:r>
          </w:p>
        </w:tc>
        <w:tc>
          <w:tcPr>
            <w:tcW w:w="783"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一级指标</w:t>
            </w:r>
          </w:p>
        </w:tc>
        <w:tc>
          <w:tcPr>
            <w:tcW w:w="1273"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二级指标</w:t>
            </w:r>
          </w:p>
        </w:tc>
        <w:tc>
          <w:tcPr>
            <w:tcW w:w="1200"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三级指标</w:t>
            </w:r>
          </w:p>
        </w:tc>
        <w:tc>
          <w:tcPr>
            <w:tcW w:w="2700" w:type="dxa"/>
            <w:tcBorders>
              <w:top w:val="single" w:color="auto" w:sz="4" w:space="0"/>
              <w:left w:val="nil"/>
              <w:bottom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指标定义</w:t>
            </w:r>
          </w:p>
        </w:tc>
        <w:tc>
          <w:tcPr>
            <w:tcW w:w="3406"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赋分方法</w:t>
            </w:r>
          </w:p>
        </w:tc>
      </w:tr>
      <w:tr>
        <w:tblPrEx>
          <w:tblCellMar>
            <w:top w:w="0" w:type="dxa"/>
            <w:left w:w="108" w:type="dxa"/>
            <w:bottom w:w="0" w:type="dxa"/>
            <w:right w:w="108" w:type="dxa"/>
          </w:tblCellMar>
        </w:tblPrEx>
        <w:trPr>
          <w:trHeight w:val="53" w:hRule="atLeast"/>
          <w:jc w:val="center"/>
        </w:trPr>
        <w:tc>
          <w:tcPr>
            <w:tcW w:w="720" w:type="dxa"/>
            <w:vMerge w:val="restart"/>
            <w:tcBorders>
              <w:top w:val="nil"/>
              <w:left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w:t>
            </w:r>
          </w:p>
        </w:tc>
        <w:tc>
          <w:tcPr>
            <w:tcW w:w="783" w:type="dxa"/>
            <w:vMerge w:val="restart"/>
            <w:tcBorders>
              <w:top w:val="nil"/>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服务能力（60分）</w:t>
            </w:r>
          </w:p>
        </w:tc>
        <w:tc>
          <w:tcPr>
            <w:tcW w:w="1273" w:type="dxa"/>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全链路监管服务（10分）</w:t>
            </w: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监管定制程度（10分）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定制覆盖云、网、数据、应用、端、行为六个维度的网络安全监管服务</w:t>
            </w:r>
          </w:p>
        </w:tc>
        <w:tc>
          <w:tcPr>
            <w:tcW w:w="3406"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1.六</w:t>
            </w:r>
            <w:r>
              <w:rPr>
                <w:rFonts w:hint="default" w:ascii="Times New Roman" w:hAnsi="Times New Roman" w:eastAsia="宋体" w:cs="Times New Roman"/>
                <w:kern w:val="0"/>
                <w:sz w:val="24"/>
                <w:szCs w:val="24"/>
                <w:lang w:eastAsia="zh-CN"/>
              </w:rPr>
              <w:t>个</w:t>
            </w:r>
            <w:r>
              <w:rPr>
                <w:rFonts w:hint="default" w:ascii="Times New Roman" w:hAnsi="Times New Roman" w:eastAsia="宋体" w:cs="Times New Roman"/>
                <w:kern w:val="0"/>
                <w:sz w:val="24"/>
                <w:szCs w:val="24"/>
              </w:rPr>
              <w:t xml:space="preserve">维度都涉及10分；               </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2.缺少一个维度扣2分，扣完为止；</w:t>
            </w:r>
          </w:p>
        </w:tc>
      </w:tr>
      <w:tr>
        <w:tblPrEx>
          <w:tblCellMar>
            <w:top w:w="0" w:type="dxa"/>
            <w:left w:w="108" w:type="dxa"/>
            <w:bottom w:w="0" w:type="dxa"/>
            <w:right w:w="108" w:type="dxa"/>
          </w:tblCellMar>
        </w:tblPrEx>
        <w:trPr>
          <w:trHeight w:val="53" w:hRule="atLeast"/>
          <w:jc w:val="center"/>
        </w:trPr>
        <w:tc>
          <w:tcPr>
            <w:tcW w:w="720"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vMerge w:val="restart"/>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政务云安全资源池服务（10分）</w:t>
            </w: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资源池能力（5分）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安全资源池安全能力至少包括下一代防火墙、web应用防火墙、堡垒机、综合漏洞扫描、数据库审计、日志审计、主机安全（EDR）、APT等安全能力</w:t>
            </w:r>
          </w:p>
        </w:tc>
        <w:tc>
          <w:tcPr>
            <w:tcW w:w="3406"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1.安全资源池全部包含指标安全能力，得5分；                      </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2.若不满足指标安全能力，每少1项扣1分</w:t>
            </w:r>
          </w:p>
        </w:tc>
      </w:tr>
      <w:tr>
        <w:tblPrEx>
          <w:tblCellMar>
            <w:top w:w="0" w:type="dxa"/>
            <w:left w:w="108" w:type="dxa"/>
            <w:bottom w:w="0" w:type="dxa"/>
            <w:right w:w="108" w:type="dxa"/>
          </w:tblCellMar>
        </w:tblPrEx>
        <w:trPr>
          <w:trHeight w:val="840" w:hRule="atLeast"/>
          <w:jc w:val="center"/>
        </w:trPr>
        <w:tc>
          <w:tcPr>
            <w:tcW w:w="720"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vMerge w:val="continue"/>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云租户数量（5分）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为市党政机关提供至少70个单位的安全资源池服务</w:t>
            </w:r>
          </w:p>
        </w:tc>
        <w:tc>
          <w:tcPr>
            <w:tcW w:w="3406"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1.满分5分；                   </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2.若发现云安全资源池服务数量不满足要求，每一个数量扣1分</w:t>
            </w:r>
          </w:p>
        </w:tc>
      </w:tr>
      <w:tr>
        <w:tblPrEx>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vMerge w:val="restart"/>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网络安全数据分析服务（10分）</w:t>
            </w: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数据安全能力覆盖（5分）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提供包含数据分级分类、数据脱敏服务、数据管控服务、数据加密服务、数据安全态势感知服务等能力</w:t>
            </w:r>
          </w:p>
        </w:tc>
        <w:tc>
          <w:tcPr>
            <w:tcW w:w="3406"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1.完成5项数据安全能力实现，得5分；                       </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2.若部署安全能力的过程中，每少1项扣1分</w:t>
            </w:r>
          </w:p>
        </w:tc>
      </w:tr>
      <w:tr>
        <w:tblPrEx>
          <w:tblCellMar>
            <w:top w:w="0" w:type="dxa"/>
            <w:left w:w="108" w:type="dxa"/>
            <w:bottom w:w="0" w:type="dxa"/>
            <w:right w:w="108" w:type="dxa"/>
          </w:tblCellMar>
        </w:tblPrEx>
        <w:trPr>
          <w:trHeight w:val="90" w:hRule="atLeast"/>
          <w:jc w:val="center"/>
        </w:trPr>
        <w:tc>
          <w:tcPr>
            <w:tcW w:w="720"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vMerge w:val="continue"/>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数据安全管控质量（5分）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可基于IP、MAC、客户端主机名、操作系统用户名、客户端工具和数据库账号六个维度认证身份</w:t>
            </w:r>
          </w:p>
        </w:tc>
        <w:tc>
          <w:tcPr>
            <w:tcW w:w="3406" w:type="dxa"/>
            <w:tcBorders>
              <w:top w:val="nil"/>
              <w:left w:val="nil"/>
              <w:bottom w:val="single" w:color="auto" w:sz="4" w:space="0"/>
              <w:right w:val="single" w:color="auto" w:sz="4" w:space="0"/>
            </w:tcBorders>
            <w:vAlign w:val="center"/>
          </w:tcPr>
          <w:p>
            <w:pPr>
              <w:tabs>
                <w:tab w:val="left" w:pos="312"/>
              </w:tabs>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1.完成6个</w:t>
            </w:r>
            <w:r>
              <w:rPr>
                <w:rFonts w:hint="default" w:ascii="Times New Roman" w:hAnsi="Times New Roman" w:eastAsia="宋体" w:cs="Times New Roman"/>
                <w:kern w:val="0"/>
                <w:sz w:val="24"/>
                <w:szCs w:val="24"/>
                <w:lang w:eastAsia="zh-CN"/>
              </w:rPr>
              <w:t>维</w:t>
            </w:r>
            <w:r>
              <w:rPr>
                <w:rFonts w:hint="default" w:ascii="Times New Roman" w:hAnsi="Times New Roman" w:eastAsia="宋体" w:cs="Times New Roman"/>
                <w:kern w:val="0"/>
                <w:sz w:val="24"/>
                <w:szCs w:val="24"/>
              </w:rPr>
              <w:t xml:space="preserve">度认证身份，得5分；                      </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2.若发现数据认证身份</w:t>
            </w:r>
            <w:r>
              <w:rPr>
                <w:rFonts w:hint="default" w:ascii="Times New Roman" w:hAnsi="Times New Roman" w:eastAsia="宋体" w:cs="Times New Roman"/>
                <w:kern w:val="0"/>
                <w:sz w:val="24"/>
                <w:szCs w:val="24"/>
                <w:lang w:eastAsia="zh-CN"/>
              </w:rPr>
              <w:t>维</w:t>
            </w:r>
            <w:r>
              <w:rPr>
                <w:rFonts w:hint="default" w:ascii="Times New Roman" w:hAnsi="Times New Roman" w:eastAsia="宋体" w:cs="Times New Roman"/>
                <w:kern w:val="0"/>
                <w:sz w:val="24"/>
                <w:szCs w:val="24"/>
              </w:rPr>
              <w:t>度缺少，每次缺少1个维度扣1分，扣完为止；</w:t>
            </w:r>
          </w:p>
        </w:tc>
      </w:tr>
      <w:tr>
        <w:tblPrEx>
          <w:tblCellMar>
            <w:top w:w="0" w:type="dxa"/>
            <w:left w:w="108" w:type="dxa"/>
            <w:bottom w:w="0" w:type="dxa"/>
            <w:right w:w="108" w:type="dxa"/>
          </w:tblCellMar>
        </w:tblPrEx>
        <w:trPr>
          <w:trHeight w:val="855" w:hRule="atLeast"/>
          <w:jc w:val="center"/>
        </w:trPr>
        <w:tc>
          <w:tcPr>
            <w:tcW w:w="720"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vMerge w:val="restart"/>
            <w:tcBorders>
              <w:top w:val="nil"/>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政务应用安全防护服务（10分）</w:t>
            </w: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应用防护服务（5分）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针对应用防护能够实现一键关停、区域访问控制、流量监测等能力</w:t>
            </w:r>
          </w:p>
        </w:tc>
        <w:tc>
          <w:tcPr>
            <w:tcW w:w="3406" w:type="dxa"/>
            <w:tcBorders>
              <w:top w:val="nil"/>
              <w:left w:val="nil"/>
              <w:bottom w:val="single" w:color="auto" w:sz="4" w:space="0"/>
              <w:right w:val="single" w:color="auto" w:sz="4" w:space="0"/>
            </w:tcBorders>
            <w:vAlign w:val="center"/>
          </w:tcPr>
          <w:p>
            <w:pPr>
              <w:tabs>
                <w:tab w:val="left" w:pos="312"/>
              </w:tabs>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1.能够对应用防护能力进行实现，得5分；</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2.若发现有不能实现能力，每个能力扣2分，扣完为止；</w:t>
            </w:r>
          </w:p>
        </w:tc>
      </w:tr>
      <w:tr>
        <w:tblPrEx>
          <w:tblCellMar>
            <w:top w:w="0" w:type="dxa"/>
            <w:left w:w="108" w:type="dxa"/>
            <w:bottom w:w="0" w:type="dxa"/>
            <w:right w:w="108" w:type="dxa"/>
          </w:tblCellMar>
        </w:tblPrEx>
        <w:trPr>
          <w:trHeight w:val="855" w:hRule="atLeast"/>
          <w:jc w:val="center"/>
        </w:trPr>
        <w:tc>
          <w:tcPr>
            <w:tcW w:w="720"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vMerge w:val="continue"/>
            <w:tcBorders>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应用监测服务（5分）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采用模拟访问方式实现故障实时自动发现，对故障情况自动分析并精准定位故障点并实现自动记录；</w:t>
            </w:r>
          </w:p>
        </w:tc>
        <w:tc>
          <w:tcPr>
            <w:tcW w:w="3406" w:type="dxa"/>
            <w:tcBorders>
              <w:top w:val="nil"/>
              <w:left w:val="nil"/>
              <w:bottom w:val="single" w:color="auto" w:sz="4" w:space="0"/>
              <w:right w:val="single" w:color="auto" w:sz="4" w:space="0"/>
            </w:tcBorders>
            <w:vAlign w:val="center"/>
          </w:tcPr>
          <w:p>
            <w:pPr>
              <w:tabs>
                <w:tab w:val="left" w:pos="312"/>
              </w:tabs>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1.能够对应用监测能力进行实现，得5分；</w:t>
            </w:r>
          </w:p>
          <w:p>
            <w:pPr>
              <w:tabs>
                <w:tab w:val="left" w:pos="312"/>
              </w:tabs>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2.若发现有不能实现能力，每个能力扣2分，扣完为止；</w:t>
            </w:r>
          </w:p>
        </w:tc>
      </w:tr>
      <w:tr>
        <w:tblPrEx>
          <w:tblCellMar>
            <w:top w:w="0" w:type="dxa"/>
            <w:left w:w="108" w:type="dxa"/>
            <w:bottom w:w="0" w:type="dxa"/>
            <w:right w:w="108" w:type="dxa"/>
          </w:tblCellMar>
        </w:tblPrEx>
        <w:trPr>
          <w:trHeight w:val="855" w:hRule="atLeast"/>
          <w:jc w:val="center"/>
        </w:trPr>
        <w:tc>
          <w:tcPr>
            <w:tcW w:w="720"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vMerge w:val="restart"/>
            <w:tcBorders>
              <w:top w:val="nil"/>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政务外网终端安全服务能力（10分）</w:t>
            </w: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终端安全主机防护（5分）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对所有终端部署杀毒软件，实现全域安全数据可视，超过10000个点位免费提供。</w:t>
            </w:r>
          </w:p>
        </w:tc>
        <w:tc>
          <w:tcPr>
            <w:tcW w:w="3406" w:type="dxa"/>
            <w:tcBorders>
              <w:top w:val="nil"/>
              <w:left w:val="nil"/>
              <w:bottom w:val="single" w:color="auto" w:sz="4" w:space="0"/>
              <w:right w:val="single" w:color="auto" w:sz="4" w:space="0"/>
            </w:tcBorders>
            <w:vAlign w:val="center"/>
          </w:tcPr>
          <w:p>
            <w:pPr>
              <w:tabs>
                <w:tab w:val="left" w:pos="312"/>
              </w:tabs>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1.能够对所有终端部署杀毒软件，得5分。</w:t>
            </w:r>
          </w:p>
          <w:p>
            <w:pPr>
              <w:widowControl w:val="0"/>
              <w:snapToGrid w:val="0"/>
              <w:spacing w:after="120" w:line="240" w:lineRule="auto"/>
              <w:ind w:left="0" w:leftChars="0" w:firstLine="0" w:firstLineChars="0"/>
              <w:jc w:val="both"/>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2若发现有拒绝安全终端，每个终端扣1分，扣完为止；</w:t>
            </w:r>
          </w:p>
        </w:tc>
      </w:tr>
      <w:tr>
        <w:tblPrEx>
          <w:tblCellMar>
            <w:top w:w="0" w:type="dxa"/>
            <w:left w:w="108" w:type="dxa"/>
            <w:bottom w:w="0" w:type="dxa"/>
            <w:right w:w="108" w:type="dxa"/>
          </w:tblCellMar>
        </w:tblPrEx>
        <w:trPr>
          <w:trHeight w:val="855" w:hRule="atLeast"/>
          <w:jc w:val="center"/>
        </w:trPr>
        <w:tc>
          <w:tcPr>
            <w:tcW w:w="720"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vMerge w:val="continue"/>
            <w:tcBorders>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终端安全零信任控制（5分）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通过零信任控制终端，实现浙政订扫码、终端环境感知、网络管控、违规外联监测、准入控制等。</w:t>
            </w:r>
          </w:p>
        </w:tc>
        <w:tc>
          <w:tcPr>
            <w:tcW w:w="3406" w:type="dxa"/>
            <w:tcBorders>
              <w:top w:val="nil"/>
              <w:left w:val="nil"/>
              <w:bottom w:val="single" w:color="auto" w:sz="4" w:space="0"/>
              <w:right w:val="single" w:color="auto" w:sz="4" w:space="0"/>
            </w:tcBorders>
            <w:vAlign w:val="center"/>
          </w:tcPr>
          <w:p>
            <w:pPr>
              <w:tabs>
                <w:tab w:val="left" w:pos="312"/>
              </w:tabs>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1.能够对零信任控制能力进行实现，得5分；</w:t>
            </w:r>
          </w:p>
          <w:p>
            <w:pPr>
              <w:tabs>
                <w:tab w:val="left" w:pos="312"/>
              </w:tabs>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2.若发现有不能实现能力，每个能力扣1分，扣完为止；</w:t>
            </w:r>
          </w:p>
        </w:tc>
      </w:tr>
      <w:tr>
        <w:tblPrEx>
          <w:tblCellMar>
            <w:top w:w="0" w:type="dxa"/>
            <w:left w:w="108" w:type="dxa"/>
            <w:bottom w:w="0" w:type="dxa"/>
            <w:right w:w="108" w:type="dxa"/>
          </w:tblCellMar>
        </w:tblPrEx>
        <w:trPr>
          <w:trHeight w:val="405" w:hRule="atLeast"/>
          <w:jc w:val="center"/>
        </w:trPr>
        <w:tc>
          <w:tcPr>
            <w:tcW w:w="720"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left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vMerge w:val="restart"/>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政务用户行为分析服务能力（10分）</w:t>
            </w: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用户行为分析（5分）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统计特征学习、动态行为基线和时序前后关联等多种形式场景建模</w:t>
            </w:r>
          </w:p>
        </w:tc>
        <w:tc>
          <w:tcPr>
            <w:tcW w:w="3406" w:type="dxa"/>
            <w:tcBorders>
              <w:top w:val="nil"/>
              <w:left w:val="nil"/>
              <w:bottom w:val="single" w:color="auto" w:sz="4" w:space="0"/>
              <w:right w:val="single" w:color="auto" w:sz="4" w:space="0"/>
            </w:tcBorders>
            <w:vAlign w:val="center"/>
          </w:tcPr>
          <w:p>
            <w:pPr>
              <w:tabs>
                <w:tab w:val="left" w:pos="312"/>
              </w:tabs>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1.能够对用户行为分析能力进行实现，得5分；</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2.若发现有不能实现能力，每个能力扣2分，扣完为止；</w:t>
            </w:r>
          </w:p>
        </w:tc>
      </w:tr>
      <w:tr>
        <w:tblPrEx>
          <w:tblCellMar>
            <w:top w:w="0" w:type="dxa"/>
            <w:left w:w="108" w:type="dxa"/>
            <w:bottom w:w="0" w:type="dxa"/>
            <w:right w:w="108" w:type="dxa"/>
          </w:tblCellMar>
        </w:tblPrEx>
        <w:trPr>
          <w:trHeight w:val="600" w:hRule="atLeast"/>
          <w:jc w:val="center"/>
        </w:trPr>
        <w:tc>
          <w:tcPr>
            <w:tcW w:w="720" w:type="dxa"/>
            <w:vMerge w:val="continue"/>
            <w:tcBorders>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vMerge w:val="continue"/>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诱捕行为分析（5分）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作为诱饵的主机、网络服务或者信息，诱使攻击方对它们实施攻击，从而可以对攻击行为进行捕获和分析</w:t>
            </w:r>
          </w:p>
        </w:tc>
        <w:tc>
          <w:tcPr>
            <w:tcW w:w="3406" w:type="dxa"/>
            <w:tcBorders>
              <w:top w:val="nil"/>
              <w:left w:val="nil"/>
              <w:bottom w:val="single" w:color="auto" w:sz="4" w:space="0"/>
              <w:right w:val="single" w:color="auto" w:sz="4" w:space="0"/>
            </w:tcBorders>
            <w:vAlign w:val="center"/>
          </w:tcPr>
          <w:p>
            <w:pPr>
              <w:tabs>
                <w:tab w:val="left" w:pos="312"/>
              </w:tabs>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1.能够对诱捕行为分析能力进行实现，得5分；</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2.若发现有不能实现能力，每个能力扣2分，扣完为止；</w:t>
            </w:r>
          </w:p>
        </w:tc>
      </w:tr>
      <w:tr>
        <w:tblPrEx>
          <w:tblCellMar>
            <w:top w:w="0" w:type="dxa"/>
            <w:left w:w="108" w:type="dxa"/>
            <w:bottom w:w="0" w:type="dxa"/>
            <w:right w:w="108" w:type="dxa"/>
          </w:tblCellMar>
        </w:tblPrEx>
        <w:trPr>
          <w:trHeight w:val="345"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2</w:t>
            </w: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服务质量（30分）</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驻场人员安全运营（10分）</w:t>
            </w: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驻场要求（10分）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安排</w:t>
            </w:r>
            <w:r>
              <w:rPr>
                <w:rFonts w:hint="eastAsia" w:cs="Times New Roman"/>
                <w:kern w:val="0"/>
                <w:sz w:val="24"/>
                <w:szCs w:val="24"/>
                <w:lang w:eastAsia="zh-CN"/>
              </w:rPr>
              <w:t>不少于</w:t>
            </w:r>
            <w:r>
              <w:rPr>
                <w:rFonts w:hint="default" w:ascii="Times New Roman" w:hAnsi="Times New Roman" w:eastAsia="宋体" w:cs="Times New Roman"/>
                <w:kern w:val="0"/>
                <w:sz w:val="24"/>
                <w:szCs w:val="24"/>
              </w:rPr>
              <w:t>4</w:t>
            </w:r>
            <w:r>
              <w:rPr>
                <w:rFonts w:hint="eastAsia" w:cs="Times New Roman"/>
                <w:kern w:val="0"/>
                <w:sz w:val="24"/>
                <w:szCs w:val="24"/>
                <w:lang w:eastAsia="zh-CN"/>
              </w:rPr>
              <w:t>名</w:t>
            </w:r>
            <w:r>
              <w:rPr>
                <w:rFonts w:hint="default" w:ascii="Times New Roman" w:hAnsi="Times New Roman" w:eastAsia="宋体" w:cs="Times New Roman"/>
                <w:kern w:val="0"/>
                <w:sz w:val="24"/>
                <w:szCs w:val="24"/>
              </w:rPr>
              <w:t>驻场人员安全运营</w:t>
            </w:r>
          </w:p>
        </w:tc>
        <w:tc>
          <w:tcPr>
            <w:tcW w:w="3406"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1.安排4</w:t>
            </w:r>
            <w:r>
              <w:rPr>
                <w:rFonts w:hint="eastAsia" w:cs="Times New Roman"/>
                <w:kern w:val="0"/>
                <w:sz w:val="24"/>
                <w:szCs w:val="24"/>
                <w:lang w:eastAsia="zh-CN"/>
              </w:rPr>
              <w:t>名及以上</w:t>
            </w:r>
            <w:r>
              <w:rPr>
                <w:rFonts w:hint="default" w:ascii="Times New Roman" w:hAnsi="Times New Roman" w:eastAsia="宋体" w:cs="Times New Roman"/>
                <w:kern w:val="0"/>
                <w:sz w:val="24"/>
                <w:szCs w:val="24"/>
              </w:rPr>
              <w:t xml:space="preserve">驻场人员,得10分；                      </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2.安排3</w:t>
            </w:r>
            <w:r>
              <w:rPr>
                <w:rFonts w:hint="eastAsia" w:cs="Times New Roman"/>
                <w:kern w:val="0"/>
                <w:sz w:val="24"/>
                <w:szCs w:val="24"/>
                <w:lang w:eastAsia="zh-CN"/>
              </w:rPr>
              <w:t>名</w:t>
            </w:r>
            <w:r>
              <w:rPr>
                <w:rFonts w:hint="default" w:ascii="Times New Roman" w:hAnsi="Times New Roman" w:eastAsia="宋体" w:cs="Times New Roman"/>
                <w:kern w:val="0"/>
                <w:sz w:val="24"/>
                <w:szCs w:val="24"/>
              </w:rPr>
              <w:t xml:space="preserve">驻场人员，得7分；                      </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3.安排2</w:t>
            </w:r>
            <w:r>
              <w:rPr>
                <w:rFonts w:hint="eastAsia" w:cs="Times New Roman"/>
                <w:kern w:val="0"/>
                <w:sz w:val="24"/>
                <w:szCs w:val="24"/>
                <w:lang w:eastAsia="zh-CN"/>
              </w:rPr>
              <w:t>名</w:t>
            </w:r>
            <w:r>
              <w:rPr>
                <w:rFonts w:hint="default" w:ascii="Times New Roman" w:hAnsi="Times New Roman" w:eastAsia="宋体" w:cs="Times New Roman"/>
                <w:kern w:val="0"/>
                <w:sz w:val="24"/>
                <w:szCs w:val="24"/>
              </w:rPr>
              <w:t xml:space="preserve">驻场人员，得5分；                      </w:t>
            </w:r>
          </w:p>
        </w:tc>
      </w:tr>
      <w:tr>
        <w:tblPrEx>
          <w:tblCellMar>
            <w:top w:w="0" w:type="dxa"/>
            <w:left w:w="108" w:type="dxa"/>
            <w:bottom w:w="0" w:type="dxa"/>
            <w:right w:w="108" w:type="dxa"/>
          </w:tblCellMar>
        </w:tblPrEx>
        <w:trPr>
          <w:trHeight w:val="699"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重保时期服务质量（10分）</w:t>
            </w: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重保要求（10分）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重保时期（如亚运）安排3个安全工程师24小时轮值安全保障</w:t>
            </w:r>
          </w:p>
        </w:tc>
        <w:tc>
          <w:tcPr>
            <w:tcW w:w="3406"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1.重保时期安排3个人轮值，得10分；                      </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 重保时期安排2个人轮值，得7分；</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 重保时期安排1个人轮值，得5分</w:t>
            </w:r>
          </w:p>
        </w:tc>
      </w:tr>
      <w:tr>
        <w:tblPrEx>
          <w:tblCellMar>
            <w:top w:w="0" w:type="dxa"/>
            <w:left w:w="108" w:type="dxa"/>
            <w:bottom w:w="0" w:type="dxa"/>
            <w:right w:w="108" w:type="dxa"/>
          </w:tblCellMar>
        </w:tblPrEx>
        <w:trPr>
          <w:trHeight w:val="82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有效投诉（6分）</w:t>
            </w: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部门投诉情况（6分）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部门对驻场团队的投诉情况</w:t>
            </w:r>
          </w:p>
        </w:tc>
        <w:tc>
          <w:tcPr>
            <w:tcW w:w="3406" w:type="dxa"/>
            <w:tcBorders>
              <w:top w:val="nil"/>
              <w:left w:val="nil"/>
              <w:bottom w:val="single" w:color="auto" w:sz="4" w:space="0"/>
              <w:right w:val="single" w:color="auto" w:sz="4" w:space="0"/>
            </w:tcBorders>
            <w:vAlign w:val="center"/>
          </w:tcPr>
          <w:p>
            <w:pPr>
              <w:numPr>
                <w:ilvl w:val="0"/>
                <w:numId w:val="3"/>
              </w:num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无投诉，得6分；               </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2.若出现投诉情况，每个有效投诉扣2分</w:t>
            </w:r>
          </w:p>
        </w:tc>
      </w:tr>
      <w:tr>
        <w:tblPrEx>
          <w:tblCellMar>
            <w:top w:w="0" w:type="dxa"/>
            <w:left w:w="108" w:type="dxa"/>
            <w:bottom w:w="0" w:type="dxa"/>
            <w:right w:w="108" w:type="dxa"/>
          </w:tblCellMar>
        </w:tblPrEx>
        <w:trPr>
          <w:trHeight w:val="64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p>
        </w:tc>
        <w:tc>
          <w:tcPr>
            <w:tcW w:w="1273" w:type="dxa"/>
            <w:tcBorders>
              <w:top w:val="nil"/>
              <w:left w:val="nil"/>
              <w:bottom w:val="nil"/>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操作规范（4分）</w:t>
            </w:r>
          </w:p>
        </w:tc>
        <w:tc>
          <w:tcPr>
            <w:tcW w:w="1200" w:type="dxa"/>
            <w:tcBorders>
              <w:top w:val="nil"/>
              <w:left w:val="nil"/>
              <w:bottom w:val="nil"/>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操作合规情况（4分）</w:t>
            </w:r>
          </w:p>
        </w:tc>
        <w:tc>
          <w:tcPr>
            <w:tcW w:w="2700" w:type="dxa"/>
            <w:tcBorders>
              <w:top w:val="nil"/>
              <w:left w:val="nil"/>
              <w:bottom w:val="nil"/>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驻场团队在日常工作中的安全操作情况</w:t>
            </w:r>
          </w:p>
        </w:tc>
        <w:tc>
          <w:tcPr>
            <w:tcW w:w="3406" w:type="dxa"/>
            <w:tcBorders>
              <w:top w:val="nil"/>
              <w:left w:val="nil"/>
              <w:bottom w:val="nil"/>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出现违规或者不规范操作情况，每人每次扣1分</w:t>
            </w:r>
          </w:p>
        </w:tc>
      </w:tr>
      <w:tr>
        <w:tblPrEx>
          <w:tblCellMar>
            <w:top w:w="0" w:type="dxa"/>
            <w:left w:w="108" w:type="dxa"/>
            <w:bottom w:w="0" w:type="dxa"/>
            <w:right w:w="108" w:type="dxa"/>
          </w:tblCellMar>
        </w:tblPrEx>
        <w:trPr>
          <w:trHeight w:val="558" w:hRule="atLeast"/>
          <w:jc w:val="center"/>
        </w:trPr>
        <w:tc>
          <w:tcPr>
            <w:tcW w:w="720" w:type="dxa"/>
            <w:vMerge w:val="restart"/>
            <w:tcBorders>
              <w:top w:val="nil"/>
              <w:left w:val="single" w:color="auto" w:sz="4" w:space="0"/>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3</w:t>
            </w:r>
          </w:p>
        </w:tc>
        <w:tc>
          <w:tcPr>
            <w:tcW w:w="783" w:type="dxa"/>
            <w:vMerge w:val="restart"/>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服务保障（</w:t>
            </w:r>
            <w:r>
              <w:rPr>
                <w:rFonts w:hint="eastAsia" w:ascii="Times New Roman" w:hAnsi="Times New Roman" w:eastAsia="宋体" w:cs="Times New Roman"/>
                <w:kern w:val="0"/>
                <w:sz w:val="24"/>
                <w:szCs w:val="24"/>
                <w:highlight w:val="none"/>
                <w:lang w:val="en-US" w:eastAsia="zh-CN"/>
              </w:rPr>
              <w:t>10</w:t>
            </w:r>
            <w:r>
              <w:rPr>
                <w:rFonts w:hint="default" w:ascii="Times New Roman" w:hAnsi="Times New Roman" w:eastAsia="宋体" w:cs="Times New Roman"/>
                <w:kern w:val="0"/>
                <w:sz w:val="24"/>
                <w:szCs w:val="24"/>
                <w:highlight w:val="none"/>
              </w:rPr>
              <w:t>分）</w:t>
            </w:r>
          </w:p>
        </w:tc>
        <w:tc>
          <w:tcPr>
            <w:tcW w:w="1273" w:type="dxa"/>
            <w:tcBorders>
              <w:top w:val="single" w:color="auto" w:sz="4" w:space="0"/>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服务响应（</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分）</w:t>
            </w:r>
          </w:p>
        </w:tc>
        <w:tc>
          <w:tcPr>
            <w:tcW w:w="1200" w:type="dxa"/>
            <w:tcBorders>
              <w:top w:val="single" w:color="auto" w:sz="4" w:space="0"/>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响应指标（</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分）</w:t>
            </w:r>
          </w:p>
        </w:tc>
        <w:tc>
          <w:tcPr>
            <w:tcW w:w="2700" w:type="dxa"/>
            <w:tcBorders>
              <w:top w:val="single" w:color="auto" w:sz="4" w:space="0"/>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安全处置7*24小时服务，15分钟内响应，半小时内到达现场</w:t>
            </w:r>
          </w:p>
        </w:tc>
        <w:tc>
          <w:tcPr>
            <w:tcW w:w="3406" w:type="dxa"/>
            <w:tcBorders>
              <w:top w:val="single" w:color="auto" w:sz="4" w:space="0"/>
              <w:left w:val="nil"/>
              <w:bottom w:val="single" w:color="auto" w:sz="4" w:space="0"/>
              <w:right w:val="single" w:color="auto" w:sz="4" w:space="0"/>
            </w:tcBorders>
            <w:vAlign w:val="center"/>
          </w:tcPr>
          <w:p>
            <w:pPr>
              <w:numPr>
                <w:ilvl w:val="0"/>
                <w:numId w:val="4"/>
              </w:num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完全满足相应指标，得</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 xml:space="preserve">分；             </w:t>
            </w:r>
          </w:p>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2.有一项响应指标不满足，扣</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分；</w:t>
            </w:r>
          </w:p>
        </w:tc>
      </w:tr>
      <w:tr>
        <w:tblPrEx>
          <w:tblCellMar>
            <w:top w:w="0" w:type="dxa"/>
            <w:left w:w="108" w:type="dxa"/>
            <w:bottom w:w="0" w:type="dxa"/>
            <w:right w:w="108" w:type="dxa"/>
          </w:tblCellMar>
        </w:tblPrEx>
        <w:trPr>
          <w:trHeight w:val="144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sz w:val="24"/>
                <w:szCs w:val="24"/>
              </w:rPr>
            </w:pPr>
          </w:p>
        </w:tc>
        <w:tc>
          <w:tcPr>
            <w:tcW w:w="783" w:type="dxa"/>
            <w:vMerge w:val="continue"/>
            <w:tcBorders>
              <w:top w:val="nil"/>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p>
        </w:tc>
        <w:tc>
          <w:tcPr>
            <w:tcW w:w="1273"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服务效率（</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分）</w:t>
            </w:r>
          </w:p>
        </w:tc>
        <w:tc>
          <w:tcPr>
            <w:tcW w:w="12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甲方交办的工作效率（</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分）</w:t>
            </w:r>
          </w:p>
        </w:tc>
        <w:tc>
          <w:tcPr>
            <w:tcW w:w="2700"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按时完成安全运营、网络安全调整、文档整理等甲方交代的工作</w:t>
            </w:r>
          </w:p>
        </w:tc>
        <w:tc>
          <w:tcPr>
            <w:tcW w:w="3406" w:type="dxa"/>
            <w:tcBorders>
              <w:top w:val="nil"/>
              <w:left w:val="nil"/>
              <w:bottom w:val="single" w:color="auto" w:sz="4" w:space="0"/>
              <w:right w:val="single" w:color="auto" w:sz="4" w:space="0"/>
            </w:tcBorders>
            <w:vAlign w:val="center"/>
          </w:tcPr>
          <w:p>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1.根据甲方要求，按时完成安全运营、网络安全调整、文档整理等工作，得</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分；                        2.未及时完成的，每超期一个工作日扣</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分</w:t>
            </w:r>
          </w:p>
        </w:tc>
      </w:tr>
    </w:tbl>
    <w:p>
      <w:pPr>
        <w:spacing w:line="360" w:lineRule="auto"/>
        <w:jc w:val="left"/>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年度考核：</w:t>
      </w:r>
    </w:p>
    <w:p>
      <w:pPr>
        <w:snapToGrid w:val="0"/>
        <w:spacing w:line="312" w:lineRule="auto"/>
        <w:ind w:firstLine="480" w:firstLineChars="200"/>
        <w:jc w:val="left"/>
        <w:rPr>
          <w:rFonts w:hint="eastAsia"/>
          <w:sz w:val="24"/>
          <w:lang w:val="en-US" w:eastAsia="zh-CN"/>
        </w:rPr>
      </w:pPr>
      <w:r>
        <w:rPr>
          <w:rFonts w:hint="eastAsia"/>
          <w:sz w:val="24"/>
          <w:lang w:val="en-US" w:eastAsia="zh-CN"/>
        </w:rPr>
        <w:t>根据每月考核情况，得出年度考核分：95（含）分以上，按当年计划支付金额的100%支付年度运维费用；90-94分，按当年计划支付金额的95%支付年度运维费用；85-89分，按当年计划支付金额的88%支付年度运维费用；85（不含）分以下，按当年计划支付金额的80%支付年度运维费用。若连续三个月得分在85分以下，甲方有权单方解除本合同，双方按实际服务量进行结算，甲方已支付费用超过结算价的，乙方应在结算后20个工作日内退还超额支付的价款。</w:t>
      </w:r>
    </w:p>
    <w:p>
      <w:pPr>
        <w:snapToGrid w:val="0"/>
        <w:spacing w:line="312" w:lineRule="auto"/>
        <w:ind w:firstLine="480" w:firstLineChars="200"/>
        <w:jc w:val="left"/>
        <w:rPr>
          <w:rFonts w:hint="eastAsia"/>
          <w:sz w:val="24"/>
          <w:lang w:val="en-US" w:eastAsia="zh-CN"/>
        </w:rPr>
      </w:pPr>
    </w:p>
    <w:p>
      <w:pPr>
        <w:pStyle w:val="6"/>
        <w:widowControl w:val="0"/>
        <w:spacing w:before="120" w:after="120"/>
        <w:jc w:val="both"/>
        <w:rPr>
          <w:rFonts w:hint="eastAsia" w:ascii="Times New Roman" w:hAnsi="Times New Roman" w:eastAsia="宋体" w:cs="Times New Roman"/>
          <w:b/>
          <w:bCs w:val="0"/>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★六、商务要求</w:t>
      </w:r>
    </w:p>
    <w:p>
      <w:pPr>
        <w:spacing w:line="440" w:lineRule="exact"/>
        <w:ind w:firstLine="480"/>
        <w:rPr>
          <w:rFonts w:hint="eastAsia"/>
          <w:color w:val="auto"/>
          <w:sz w:val="24"/>
          <w:highlight w:val="none"/>
          <w:lang w:val="en-US" w:eastAsia="zh-CN"/>
        </w:rPr>
      </w:pPr>
      <w:r>
        <w:rPr>
          <w:rFonts w:hint="eastAsia"/>
          <w:b/>
          <w:bCs/>
          <w:color w:val="auto"/>
          <w:sz w:val="24"/>
          <w:lang w:val="en-US" w:eastAsia="zh-CN"/>
        </w:rPr>
        <w:t>1.项目服务期限：</w:t>
      </w:r>
      <w:r>
        <w:rPr>
          <w:rFonts w:hint="eastAsia"/>
          <w:color w:val="auto"/>
          <w:sz w:val="24"/>
          <w:highlight w:val="none"/>
          <w:lang w:val="en-US" w:eastAsia="zh-CN"/>
        </w:rPr>
        <w:t>合同签订正式生效以及具备项目服务条件后三年整。</w:t>
      </w:r>
    </w:p>
    <w:p>
      <w:pPr>
        <w:spacing w:line="440" w:lineRule="exact"/>
        <w:ind w:firstLine="480"/>
        <w:rPr>
          <w:rFonts w:hint="eastAsia"/>
          <w:b/>
          <w:bCs/>
          <w:color w:val="auto"/>
          <w:sz w:val="24"/>
          <w:lang w:val="en-US" w:eastAsia="zh-CN"/>
        </w:rPr>
      </w:pPr>
      <w:r>
        <w:rPr>
          <w:rFonts w:hint="eastAsia"/>
          <w:b/>
          <w:bCs/>
          <w:color w:val="auto"/>
          <w:sz w:val="24"/>
          <w:lang w:val="en-US" w:eastAsia="zh-CN"/>
        </w:rPr>
        <w:t>2.为确保服务质量，服务要求如下：</w:t>
      </w:r>
    </w:p>
    <w:p>
      <w:pPr>
        <w:spacing w:line="440" w:lineRule="exact"/>
        <w:ind w:firstLine="480"/>
        <w:rPr>
          <w:rFonts w:hint="eastAsia"/>
          <w:color w:val="auto"/>
          <w:sz w:val="24"/>
          <w:lang w:val="en-US" w:eastAsia="zh-CN"/>
        </w:rPr>
      </w:pPr>
      <w:r>
        <w:rPr>
          <w:rFonts w:hint="eastAsia"/>
          <w:color w:val="auto"/>
          <w:sz w:val="24"/>
          <w:lang w:val="en-US" w:eastAsia="zh-CN"/>
        </w:rPr>
        <w:t>（1）合同签订完成后，根据采购人提供的接口文档，在20个工作日内协助采购人完成横向平台（义乌市网信办）与纵向平台（金华市大数据局）的情报共享、事件流转、数据上报等数据流、业务流对接工作。</w:t>
      </w:r>
    </w:p>
    <w:p>
      <w:pPr>
        <w:spacing w:line="440" w:lineRule="exact"/>
        <w:ind w:firstLine="480"/>
        <w:rPr>
          <w:rFonts w:hint="eastAsia"/>
          <w:color w:val="auto"/>
          <w:sz w:val="24"/>
          <w:lang w:val="en-US" w:eastAsia="zh-CN"/>
        </w:rPr>
      </w:pPr>
      <w:r>
        <w:rPr>
          <w:rFonts w:hint="eastAsia"/>
          <w:color w:val="auto"/>
          <w:sz w:val="24"/>
          <w:lang w:val="en-US" w:eastAsia="zh-CN"/>
        </w:rPr>
        <w:t>（2）常态化安全运营，包括通报、考核、核查、周报、月报等日常工作，协助采购人指导各单位做好网络安全整改工作。</w:t>
      </w:r>
    </w:p>
    <w:p>
      <w:pPr>
        <w:spacing w:line="440" w:lineRule="exact"/>
        <w:ind w:firstLine="480"/>
        <w:rPr>
          <w:rFonts w:hint="eastAsia"/>
          <w:color w:val="auto"/>
          <w:sz w:val="24"/>
          <w:lang w:val="en-US" w:eastAsia="zh-CN"/>
        </w:rPr>
      </w:pPr>
      <w:r>
        <w:rPr>
          <w:rFonts w:hint="eastAsia"/>
          <w:color w:val="auto"/>
          <w:sz w:val="24"/>
          <w:lang w:val="en-US" w:eastAsia="zh-CN"/>
        </w:rPr>
        <w:t>（3）重大活动时期安保，安排不少于3名安全工程师，提供7*24小时现场值守工作。</w:t>
      </w:r>
    </w:p>
    <w:p>
      <w:pPr>
        <w:spacing w:line="440" w:lineRule="exact"/>
        <w:ind w:firstLine="480"/>
        <w:rPr>
          <w:rFonts w:hint="eastAsia"/>
          <w:color w:val="auto"/>
          <w:sz w:val="24"/>
          <w:lang w:val="en-US" w:eastAsia="zh-CN"/>
        </w:rPr>
      </w:pPr>
      <w:r>
        <w:rPr>
          <w:rFonts w:hint="eastAsia"/>
          <w:color w:val="auto"/>
          <w:sz w:val="24"/>
          <w:lang w:val="en-US" w:eastAsia="zh-CN"/>
        </w:rPr>
        <w:t>（4）提供7*24小时应急响应上门服务，要求15分钟内响应，30分钟内到达现场。</w:t>
      </w:r>
    </w:p>
    <w:p>
      <w:pPr>
        <w:spacing w:line="440" w:lineRule="exact"/>
        <w:ind w:firstLine="480"/>
        <w:rPr>
          <w:rFonts w:hint="eastAsia"/>
          <w:color w:val="auto"/>
          <w:sz w:val="24"/>
          <w:lang w:val="en-US" w:eastAsia="zh-CN"/>
        </w:rPr>
      </w:pPr>
      <w:r>
        <w:rPr>
          <w:rFonts w:hint="eastAsia"/>
          <w:color w:val="auto"/>
          <w:sz w:val="24"/>
          <w:lang w:val="en-US" w:eastAsia="zh-CN"/>
        </w:rPr>
        <w:t>（5）服务期内，做好全链路监管平台的运维工作，硬件按需更新或扩容，软件及时升级至最新版本。</w:t>
      </w:r>
    </w:p>
    <w:p>
      <w:pPr>
        <w:spacing w:line="440" w:lineRule="exact"/>
        <w:ind w:firstLine="480"/>
        <w:rPr>
          <w:rFonts w:hint="eastAsia"/>
          <w:b/>
          <w:bCs/>
          <w:color w:val="auto"/>
          <w:sz w:val="24"/>
          <w:lang w:val="en-US" w:eastAsia="zh-CN"/>
        </w:rPr>
      </w:pPr>
      <w:r>
        <w:rPr>
          <w:rFonts w:hint="eastAsia"/>
          <w:b/>
          <w:bCs/>
          <w:color w:val="auto"/>
          <w:sz w:val="24"/>
          <w:lang w:val="en-US" w:eastAsia="zh-CN"/>
        </w:rPr>
        <w:t>3.报价要求</w:t>
      </w:r>
    </w:p>
    <w:p>
      <w:pPr>
        <w:spacing w:line="440" w:lineRule="exact"/>
        <w:ind w:firstLine="480"/>
        <w:rPr>
          <w:rFonts w:hint="eastAsia"/>
          <w:color w:val="auto"/>
          <w:sz w:val="24"/>
          <w:lang w:val="en-US" w:eastAsia="zh-CN"/>
        </w:rPr>
      </w:pPr>
      <w:r>
        <w:rPr>
          <w:rFonts w:hint="eastAsia"/>
          <w:color w:val="auto"/>
          <w:sz w:val="24"/>
          <w:lang w:val="en-US" w:eastAsia="zh-CN"/>
        </w:rPr>
        <w:t>投标人应根据国家的有关规定和招标文件要求并结合企业的实际情况进行投标报价。投标报价以人民币为结算货币，投标报价须包括因承包本次采购项目服务所需的服务费、线路租赁费（如有）、货物价款（备品备件）、项目软硬件费用、人员费用、运输费、装卸费、利润、税金、保险及不可预见费用等一切费用，应是招标文件确定的招标范围内的全部工作内容的价格表现，完成该项目的所有费用及各环节所必需的连带工作或服务、成果验收、以及政策性文件规定、合同包含的所有风险责任等所有费用。如有漏项，视同已包含在本报价中，投标单价及总价不做调整。按国家规定由中标方缴纳的各种税收已包含在投标总价内，由中标方向税务机关缴纳。</w:t>
      </w:r>
    </w:p>
    <w:p>
      <w:pPr>
        <w:spacing w:line="440" w:lineRule="exact"/>
        <w:ind w:firstLine="480"/>
        <w:rPr>
          <w:rFonts w:hint="eastAsia"/>
          <w:color w:val="auto"/>
          <w:sz w:val="24"/>
          <w:lang w:eastAsia="zh-CN"/>
        </w:rPr>
      </w:pPr>
      <w:r>
        <w:rPr>
          <w:rFonts w:hint="eastAsia"/>
          <w:b/>
          <w:bCs/>
          <w:color w:val="auto"/>
          <w:sz w:val="24"/>
          <w:lang w:val="en-US" w:eastAsia="zh-CN"/>
        </w:rPr>
        <w:t>4</w:t>
      </w:r>
      <w:r>
        <w:rPr>
          <w:rFonts w:hint="eastAsia"/>
          <w:b/>
          <w:bCs/>
          <w:color w:val="auto"/>
          <w:sz w:val="24"/>
          <w:lang w:eastAsia="zh-CN"/>
        </w:rPr>
        <w:t>.验收要求：</w:t>
      </w:r>
      <w:r>
        <w:rPr>
          <w:rFonts w:hint="eastAsia"/>
          <w:color w:val="auto"/>
          <w:sz w:val="24"/>
          <w:lang w:eastAsia="zh-CN"/>
        </w:rPr>
        <w:t>根据中华人民共和国现行技术标准，按招标文件以及合同规定的验收评定标准等规范，由采购人根据《政府采购合同履约和验收管理办法（暂行）》（义招管办【2008】32号）文件要求和《义乌市关于规范政府采购管理的若干意见》（义政办发【2017】102号）要求和行业相关的规定，组织验收。</w:t>
      </w:r>
    </w:p>
    <w:p>
      <w:pPr>
        <w:spacing w:line="440" w:lineRule="exact"/>
        <w:ind w:firstLine="480"/>
        <w:rPr>
          <w:rFonts w:hint="eastAsia"/>
          <w:b/>
          <w:bCs/>
          <w:color w:val="auto"/>
          <w:sz w:val="24"/>
          <w:lang w:eastAsia="zh-CN"/>
        </w:rPr>
      </w:pPr>
      <w:r>
        <w:rPr>
          <w:rFonts w:hint="eastAsia"/>
          <w:b/>
          <w:bCs/>
          <w:color w:val="auto"/>
          <w:sz w:val="24"/>
          <w:lang w:val="en-US" w:eastAsia="zh-CN"/>
        </w:rPr>
        <w:t>5</w:t>
      </w:r>
      <w:r>
        <w:rPr>
          <w:rFonts w:hint="eastAsia"/>
          <w:b/>
          <w:bCs/>
          <w:color w:val="auto"/>
          <w:sz w:val="24"/>
          <w:lang w:eastAsia="zh-CN"/>
        </w:rPr>
        <w:t>.结算和付款方式：</w:t>
      </w:r>
    </w:p>
    <w:p>
      <w:pPr>
        <w:spacing w:line="440" w:lineRule="exact"/>
        <w:ind w:firstLine="480"/>
        <w:rPr>
          <w:rFonts w:hint="eastAsia"/>
          <w:color w:val="auto"/>
          <w:sz w:val="24"/>
          <w:lang w:eastAsia="zh-CN"/>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）在合同生效以及具备项目服务条件后</w:t>
      </w:r>
      <w:r>
        <w:rPr>
          <w:rFonts w:hint="eastAsia"/>
          <w:color w:val="auto"/>
          <w:sz w:val="24"/>
          <w:lang w:val="en-US" w:eastAsia="zh-CN"/>
        </w:rPr>
        <w:t>7个工作日内</w:t>
      </w:r>
      <w:r>
        <w:rPr>
          <w:rFonts w:hint="eastAsia"/>
          <w:color w:val="auto"/>
          <w:sz w:val="24"/>
          <w:lang w:eastAsia="zh-CN"/>
        </w:rPr>
        <w:t>，采购人向中标人支付第一年度计划支付金额的</w:t>
      </w:r>
      <w:r>
        <w:rPr>
          <w:rFonts w:hint="eastAsia"/>
          <w:color w:val="auto"/>
          <w:sz w:val="24"/>
          <w:lang w:val="en-US" w:eastAsia="zh-CN"/>
        </w:rPr>
        <w:t>40</w:t>
      </w:r>
      <w:r>
        <w:rPr>
          <w:rFonts w:hint="eastAsia"/>
          <w:color w:val="auto"/>
          <w:sz w:val="24"/>
          <w:lang w:eastAsia="zh-CN"/>
        </w:rPr>
        <w:t>%作为年度预付款（在签订合同时，中标方明确表示无需预付款或者主动要求降低预付款比例的，采购单位可不支付或减少预付款支付比例）。采购人可以要求供应商提交银行、保险公司等金融机构出具的预付款保函或其他担保措施。</w:t>
      </w:r>
      <w:r>
        <w:rPr>
          <w:rFonts w:hint="eastAsia"/>
          <w:color w:val="auto"/>
          <w:sz w:val="24"/>
          <w:lang w:eastAsia="zh-CN"/>
        </w:rPr>
        <w:br w:type="textWrapping"/>
      </w:r>
      <w:r>
        <w:rPr>
          <w:rFonts w:hint="eastAsia"/>
          <w:color w:val="auto"/>
          <w:sz w:val="24"/>
          <w:lang w:eastAsia="zh-CN"/>
        </w:rPr>
        <w:t xml:space="preserve">   （</w:t>
      </w:r>
      <w:r>
        <w:rPr>
          <w:rFonts w:hint="eastAsia"/>
          <w:color w:val="auto"/>
          <w:sz w:val="24"/>
          <w:lang w:val="en-US" w:eastAsia="zh-CN"/>
        </w:rPr>
        <w:t>2</w:t>
      </w:r>
      <w:r>
        <w:rPr>
          <w:rFonts w:hint="eastAsia"/>
          <w:color w:val="auto"/>
          <w:sz w:val="24"/>
          <w:lang w:eastAsia="zh-CN"/>
        </w:rPr>
        <w:t>）项目第一年服务期结束后</w:t>
      </w:r>
      <w:r>
        <w:rPr>
          <w:rFonts w:hint="eastAsia"/>
          <w:color w:val="auto"/>
          <w:sz w:val="24"/>
          <w:lang w:val="en-US" w:eastAsia="zh-CN"/>
        </w:rPr>
        <w:t>7个工作日内，采购人</w:t>
      </w:r>
      <w:r>
        <w:rPr>
          <w:rFonts w:hint="eastAsia"/>
          <w:color w:val="auto"/>
          <w:sz w:val="24"/>
          <w:lang w:eastAsia="zh-CN"/>
        </w:rPr>
        <w:t>根据考核结果进行实际结算后向</w:t>
      </w:r>
      <w:r>
        <w:rPr>
          <w:rFonts w:hint="eastAsia"/>
          <w:color w:val="auto"/>
          <w:sz w:val="24"/>
          <w:lang w:val="en-US" w:eastAsia="zh-CN"/>
        </w:rPr>
        <w:t>中标人支付第一年度的剩余支付金额及第二年度计划支付金额的40%</w:t>
      </w:r>
      <w:r>
        <w:rPr>
          <w:rFonts w:hint="eastAsia"/>
          <w:color w:val="auto"/>
          <w:sz w:val="24"/>
          <w:lang w:eastAsia="zh-CN"/>
        </w:rPr>
        <w:t>作为年度预付款（中标方明确表示无需预付款或者主动要求降低预付款比例的，采购单位可不支付或减少预付款支付比例）。采购人可以要求供应商提交银行、保险公司等金融机构出具的预付款保函或其他担保措施。</w:t>
      </w:r>
    </w:p>
    <w:p>
      <w:pPr>
        <w:spacing w:line="440" w:lineRule="exact"/>
        <w:ind w:firstLine="480"/>
        <w:rPr>
          <w:rFonts w:hint="eastAsia"/>
          <w:color w:val="auto"/>
          <w:sz w:val="24"/>
          <w:lang w:eastAsia="zh-CN"/>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）项目第二年服务期结束后</w:t>
      </w:r>
      <w:r>
        <w:rPr>
          <w:rFonts w:hint="eastAsia"/>
          <w:color w:val="auto"/>
          <w:sz w:val="24"/>
          <w:lang w:val="en-US" w:eastAsia="zh-CN"/>
        </w:rPr>
        <w:t>7个工作日内，采购人</w:t>
      </w:r>
      <w:r>
        <w:rPr>
          <w:rFonts w:hint="eastAsia"/>
          <w:color w:val="auto"/>
          <w:sz w:val="24"/>
          <w:lang w:eastAsia="zh-CN"/>
        </w:rPr>
        <w:t>根据考核结果进行实际结算后</w:t>
      </w:r>
      <w:r>
        <w:rPr>
          <w:rFonts w:hint="eastAsia"/>
          <w:color w:val="auto"/>
          <w:sz w:val="24"/>
          <w:lang w:val="en-US" w:eastAsia="zh-CN"/>
        </w:rPr>
        <w:t>向中标人支付第二年度的剩余支付金额及第三年度计划支付金额的40%</w:t>
      </w:r>
      <w:r>
        <w:rPr>
          <w:rFonts w:hint="eastAsia"/>
          <w:color w:val="auto"/>
          <w:sz w:val="24"/>
          <w:lang w:eastAsia="zh-CN"/>
        </w:rPr>
        <w:t>作为年度预付款（中标方明确表示无需预付款或者主动要求降低预付款比例的，采购单位可不支付或减少预付款支付比例）。采购人可以要求供应商提交银行、保险公司等金融机构出具的预付款保函或其他担保措施。</w:t>
      </w:r>
    </w:p>
    <w:p>
      <w:pPr>
        <w:spacing w:line="440" w:lineRule="exact"/>
        <w:ind w:firstLine="480"/>
        <w:rPr>
          <w:rFonts w:hint="eastAsia"/>
          <w:color w:val="auto"/>
          <w:sz w:val="24"/>
          <w:lang w:eastAsia="zh-CN"/>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）项目第三年服务期结束后</w:t>
      </w:r>
      <w:r>
        <w:rPr>
          <w:rFonts w:hint="eastAsia"/>
          <w:color w:val="auto"/>
          <w:sz w:val="24"/>
          <w:lang w:val="en-US" w:eastAsia="zh-CN"/>
        </w:rPr>
        <w:t>7个工作日内</w:t>
      </w:r>
      <w:r>
        <w:rPr>
          <w:rFonts w:hint="eastAsia"/>
          <w:color w:val="auto"/>
          <w:sz w:val="24"/>
          <w:lang w:eastAsia="zh-CN"/>
        </w:rPr>
        <w:t>采购人根据考核结果进行实际结算后向中标方支付第三年度的剩余支付金额。</w:t>
      </w:r>
    </w:p>
    <w:p>
      <w:pPr>
        <w:spacing w:line="440" w:lineRule="exact"/>
        <w:ind w:firstLine="480"/>
        <w:rPr>
          <w:rFonts w:hint="eastAsia"/>
          <w:color w:val="auto"/>
          <w:sz w:val="24"/>
          <w:lang w:eastAsia="zh-CN"/>
        </w:rPr>
      </w:pPr>
      <w:r>
        <w:rPr>
          <w:rFonts w:hint="eastAsia"/>
          <w:color w:val="auto"/>
          <w:sz w:val="24"/>
          <w:lang w:eastAsia="zh-CN"/>
        </w:rPr>
        <w:t>（</w:t>
      </w:r>
      <w:r>
        <w:rPr>
          <w:rFonts w:hint="eastAsia"/>
          <w:color w:val="auto"/>
          <w:sz w:val="24"/>
          <w:lang w:val="en-US" w:eastAsia="zh-CN"/>
        </w:rPr>
        <w:t>5</w:t>
      </w:r>
      <w:r>
        <w:rPr>
          <w:rFonts w:hint="eastAsia"/>
          <w:color w:val="auto"/>
          <w:sz w:val="24"/>
          <w:lang w:eastAsia="zh-CN"/>
        </w:rPr>
        <w:t>）采购人根据考核结果进行实际结算。</w:t>
      </w:r>
    </w:p>
    <w:p>
      <w:pPr>
        <w:spacing w:line="440" w:lineRule="exact"/>
        <w:ind w:firstLine="480"/>
        <w:rPr>
          <w:rFonts w:hint="eastAsia"/>
          <w:color w:val="auto"/>
          <w:sz w:val="24"/>
          <w:lang w:eastAsia="zh-CN"/>
        </w:rPr>
      </w:pPr>
      <w:r>
        <w:rPr>
          <w:rFonts w:hint="eastAsia"/>
          <w:color w:val="auto"/>
          <w:sz w:val="24"/>
          <w:lang w:eastAsia="zh-CN"/>
        </w:rPr>
        <w:t>（</w:t>
      </w:r>
      <w:r>
        <w:rPr>
          <w:rFonts w:hint="eastAsia"/>
          <w:color w:val="auto"/>
          <w:sz w:val="24"/>
          <w:lang w:val="en-US" w:eastAsia="zh-CN"/>
        </w:rPr>
        <w:t>6</w:t>
      </w:r>
      <w:r>
        <w:rPr>
          <w:rFonts w:hint="eastAsia"/>
          <w:color w:val="auto"/>
          <w:sz w:val="24"/>
          <w:lang w:eastAsia="zh-CN"/>
        </w:rPr>
        <w:t>）合同款凭发票、合同、中标通知书、考核结果和政府采购资金结算单由义乌市财政支付。</w:t>
      </w:r>
    </w:p>
    <w:p>
      <w:pPr>
        <w:spacing w:line="440" w:lineRule="exact"/>
        <w:ind w:firstLine="480"/>
        <w:rPr>
          <w:rFonts w:hint="eastAsia"/>
          <w:color w:val="auto"/>
          <w:sz w:val="24"/>
          <w:lang w:eastAsia="zh-CN"/>
        </w:rPr>
      </w:pPr>
    </w:p>
    <w:p>
      <w:pPr>
        <w:pStyle w:val="6"/>
        <w:widowControl w:val="0"/>
        <w:spacing w:before="120" w:after="120"/>
        <w:jc w:val="both"/>
        <w:rPr>
          <w:rFonts w:hint="eastAsia" w:ascii="Times New Roman" w:hAnsi="Times New Roman" w:eastAsia="宋体" w:cs="Times New Roman"/>
          <w:b/>
          <w:bCs w:val="0"/>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★七、其它说明</w:t>
      </w:r>
    </w:p>
    <w:p>
      <w:pPr>
        <w:snapToGrid w:val="0"/>
        <w:spacing w:line="312" w:lineRule="auto"/>
        <w:ind w:firstLine="48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1.本项目设有一个标项，对于同一标段内的产品或服务不允许拆分参投，否则其投标无效。</w:t>
      </w:r>
    </w:p>
    <w:p>
      <w:pPr>
        <w:snapToGrid w:val="0"/>
        <w:spacing w:line="312" w:lineRule="auto"/>
        <w:ind w:firstLine="48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2.中标之后，如发现投标人的投标文件内容有不一致的，以有利于采购人和使用单位的原则执行。</w:t>
      </w:r>
      <w:bookmarkEnd w:id="45"/>
      <w:bookmarkEnd w:id="46"/>
      <w:bookmarkStart w:id="51" w:name="_Toc8168"/>
      <w:bookmarkStart w:id="52" w:name="_Toc12046"/>
    </w:p>
    <w:p>
      <w:pPr>
        <w:snapToGrid w:val="0"/>
        <w:spacing w:line="312" w:lineRule="auto"/>
        <w:ind w:firstLine="480" w:firstLineChars="200"/>
        <w:rPr>
          <w:rFonts w:hint="eastAsia" w:ascii="Times New Roman" w:hAnsi="Times New Roman" w:cs="Times New Roman"/>
          <w:color w:val="auto"/>
          <w:highlight w:val="none"/>
          <w:lang w:val="en-US" w:eastAsia="zh-CN"/>
        </w:rPr>
      </w:pPr>
    </w:p>
    <w:p>
      <w:pPr>
        <w:snapToGrid w:val="0"/>
        <w:spacing w:line="312" w:lineRule="auto"/>
        <w:ind w:firstLine="480" w:firstLineChars="200"/>
        <w:rPr>
          <w:rFonts w:hint="eastAsia" w:ascii="Times New Roman" w:hAnsi="Times New Roman" w:cs="Times New Roman"/>
          <w:color w:val="auto"/>
          <w:highlight w:val="none"/>
          <w:lang w:val="en-US" w:eastAsia="zh-CN"/>
        </w:rPr>
      </w:pPr>
    </w:p>
    <w:p>
      <w:pPr>
        <w:snapToGrid w:val="0"/>
        <w:spacing w:line="312" w:lineRule="auto"/>
        <w:ind w:firstLine="480" w:firstLineChars="200"/>
        <w:rPr>
          <w:rFonts w:hint="eastAsia" w:ascii="Times New Roman" w:hAnsi="Times New Roman" w:cs="Times New Roman"/>
          <w:color w:val="auto"/>
          <w:highlight w:val="none"/>
          <w:lang w:val="en-US" w:eastAsia="zh-CN"/>
        </w:rPr>
      </w:pPr>
    </w:p>
    <w:p>
      <w:pPr>
        <w:rPr>
          <w:sz w:val="36"/>
        </w:rPr>
      </w:pPr>
      <w:bookmarkStart w:id="53" w:name="_Toc9652"/>
      <w:bookmarkStart w:id="54" w:name="_Toc9757"/>
      <w:r>
        <w:rPr>
          <w:sz w:val="36"/>
        </w:rPr>
        <w:br w:type="page"/>
      </w:r>
    </w:p>
    <w:p>
      <w:pPr>
        <w:pStyle w:val="5"/>
        <w:spacing w:before="0" w:after="0" w:line="400" w:lineRule="atLeast"/>
        <w:jc w:val="center"/>
        <w:rPr>
          <w:sz w:val="36"/>
        </w:rPr>
      </w:pPr>
      <w:r>
        <w:rPr>
          <w:sz w:val="36"/>
        </w:rPr>
        <w:t>第四章 开标、评标和定标须知</w:t>
      </w:r>
      <w:bookmarkEnd w:id="39"/>
      <w:bookmarkEnd w:id="40"/>
      <w:bookmarkEnd w:id="41"/>
      <w:bookmarkEnd w:id="51"/>
      <w:bookmarkEnd w:id="52"/>
      <w:bookmarkEnd w:id="53"/>
      <w:bookmarkEnd w:id="54"/>
    </w:p>
    <w:p>
      <w:pPr>
        <w:pStyle w:val="6"/>
        <w:spacing w:before="0" w:after="0" w:line="360" w:lineRule="exact"/>
        <w:rPr>
          <w:rFonts w:ascii="Times New Roman" w:hAnsi="Times New Roman" w:eastAsia="宋体"/>
          <w:sz w:val="24"/>
          <w:szCs w:val="24"/>
        </w:rPr>
      </w:pPr>
      <w:bookmarkStart w:id="55" w:name="_Toc23064"/>
      <w:bookmarkStart w:id="56" w:name="_Toc274303252"/>
      <w:bookmarkStart w:id="57" w:name="_Toc406413937"/>
      <w:bookmarkStart w:id="58" w:name="_Toc362250704"/>
      <w:r>
        <w:rPr>
          <w:rFonts w:ascii="Times New Roman" w:hAnsi="Times New Roman" w:eastAsia="宋体"/>
          <w:sz w:val="24"/>
          <w:szCs w:val="24"/>
        </w:rPr>
        <w:t>一、开标</w:t>
      </w:r>
      <w:bookmarkEnd w:id="55"/>
      <w:bookmarkEnd w:id="56"/>
      <w:bookmarkEnd w:id="57"/>
      <w:bookmarkEnd w:id="58"/>
    </w:p>
    <w:p>
      <w:pPr>
        <w:spacing w:line="360" w:lineRule="exact"/>
        <w:ind w:firstLine="480" w:firstLineChars="200"/>
      </w:pPr>
      <w:bookmarkStart w:id="59" w:name="_Toc261519847"/>
      <w:bookmarkStart w:id="60" w:name="_Toc274303253"/>
      <w:bookmarkStart w:id="61" w:name="_Toc263090375"/>
      <w:bookmarkStart w:id="62" w:name="_Toc406413938"/>
      <w:bookmarkStart w:id="63" w:name="_Toc226973002"/>
      <w:bookmarkStart w:id="64" w:name="_Toc362250705"/>
      <w:r>
        <w:t>1.本项目实行电子开评标，投标人无需前往开评标现场，应在规定时间内在“政采云”上上传电子投标文件和准时在线参加开标。</w:t>
      </w:r>
    </w:p>
    <w:p>
      <w:pPr>
        <w:spacing w:line="360" w:lineRule="exact"/>
        <w:ind w:firstLine="480" w:firstLineChars="200"/>
      </w:pPr>
      <w:r>
        <w:t>2.电子开评标及评审程序</w:t>
      </w:r>
    </w:p>
    <w:p>
      <w:pPr>
        <w:spacing w:line="360" w:lineRule="exact"/>
        <w:ind w:firstLine="480" w:firstLineChars="200"/>
      </w:pPr>
      <w:r>
        <w:t xml:space="preserve">2.1采购中心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spacing w:line="360" w:lineRule="exact"/>
        <w:ind w:firstLine="480" w:firstLineChars="200"/>
      </w:pPr>
      <w:r>
        <w:t>2.2.评标委员会对投标人的资格和商务技术响应文件进行评审；</w:t>
      </w:r>
    </w:p>
    <w:p>
      <w:pPr>
        <w:spacing w:line="360" w:lineRule="exact"/>
        <w:ind w:firstLine="480" w:firstLineChars="200"/>
      </w:pPr>
      <w:r>
        <w:t>2.3评标委员会对报价响应文件进行评审；</w:t>
      </w:r>
    </w:p>
    <w:p>
      <w:pPr>
        <w:spacing w:line="360" w:lineRule="exact"/>
        <w:ind w:firstLine="480" w:firstLineChars="200"/>
      </w:pPr>
      <w:r>
        <w:t>2.4在系统上公布评审结果。</w:t>
      </w:r>
    </w:p>
    <w:p>
      <w:pPr>
        <w:spacing w:line="360" w:lineRule="exact"/>
        <w:ind w:firstLine="482" w:firstLineChars="200"/>
        <w:rPr>
          <w:b/>
          <w:szCs w:val="21"/>
          <w:u w:val="single"/>
        </w:rPr>
      </w:pPr>
      <w:r>
        <w:rPr>
          <w:b/>
          <w:szCs w:val="21"/>
          <w:u w:val="single"/>
        </w:rPr>
        <w:t>特别说明：“政采云”如对开评标程序有调整的，按调整后的程序操作。</w:t>
      </w:r>
    </w:p>
    <w:p>
      <w:pPr>
        <w:pStyle w:val="6"/>
        <w:spacing w:before="0" w:after="0" w:line="360" w:lineRule="exact"/>
        <w:rPr>
          <w:rFonts w:ascii="Times New Roman" w:hAnsi="Times New Roman" w:eastAsia="宋体"/>
          <w:sz w:val="24"/>
          <w:szCs w:val="24"/>
        </w:rPr>
      </w:pPr>
      <w:bookmarkStart w:id="65" w:name="_Toc14316"/>
      <w:r>
        <w:rPr>
          <w:rFonts w:ascii="Times New Roman" w:hAnsi="Times New Roman" w:eastAsia="宋体"/>
          <w:sz w:val="24"/>
          <w:szCs w:val="24"/>
        </w:rPr>
        <w:t>二、评标</w:t>
      </w:r>
      <w:bookmarkEnd w:id="59"/>
      <w:bookmarkEnd w:id="60"/>
      <w:bookmarkEnd w:id="61"/>
      <w:bookmarkEnd w:id="62"/>
      <w:bookmarkEnd w:id="63"/>
      <w:bookmarkEnd w:id="64"/>
      <w:bookmarkEnd w:id="65"/>
    </w:p>
    <w:p>
      <w:pPr>
        <w:spacing w:line="360" w:lineRule="exact"/>
        <w:ind w:firstLine="480"/>
        <w:rPr>
          <w:b/>
        </w:rPr>
      </w:pPr>
      <w:r>
        <w:rPr>
          <w:b/>
        </w:rPr>
        <w:t>3.评标小组</w:t>
      </w:r>
    </w:p>
    <w:p>
      <w:pPr>
        <w:spacing w:line="360" w:lineRule="exact"/>
        <w:ind w:firstLine="480" w:firstLineChars="200"/>
      </w:pPr>
      <w:r>
        <w:t>招标方将根据招标采购项目的特点确定评标委员会（即评标小组）。其成员由评审专家和采购人代表共5人及以上单数组成。评标小组对投标文件进行审查、质疑、评估和比较。</w:t>
      </w:r>
    </w:p>
    <w:p>
      <w:pPr>
        <w:spacing w:line="360" w:lineRule="exact"/>
        <w:ind w:firstLine="480"/>
        <w:rPr>
          <w:b/>
        </w:rPr>
      </w:pPr>
      <w:r>
        <w:rPr>
          <w:b/>
        </w:rPr>
        <w:t>4.评标原则</w:t>
      </w:r>
    </w:p>
    <w:p>
      <w:pPr>
        <w:spacing w:line="360" w:lineRule="exact"/>
        <w:ind w:firstLine="480" w:firstLineChars="200"/>
      </w:pPr>
      <w:r>
        <w:t>4.1评标小组将遵循公开、公平、公正的原则，严格遵守评标工作纪律。</w:t>
      </w:r>
    </w:p>
    <w:p>
      <w:pPr>
        <w:spacing w:line="360" w:lineRule="exact"/>
        <w:ind w:firstLine="480"/>
        <w:rPr>
          <w:bCs/>
        </w:rPr>
      </w:pPr>
      <w:r>
        <w:t>4.2</w:t>
      </w:r>
      <w:r>
        <w:rPr>
          <w:bCs/>
        </w:rPr>
        <w:t>先评资格及商务技术响应文件，再评报价响应文件。</w:t>
      </w:r>
    </w:p>
    <w:p>
      <w:pPr>
        <w:spacing w:line="360" w:lineRule="exact"/>
        <w:ind w:firstLine="480"/>
      </w:pPr>
      <w:r>
        <w:rPr>
          <w:bCs/>
        </w:rPr>
        <w:t>4.3</w:t>
      </w:r>
      <w:r>
        <w:t>客观公正对待所有投标人，对所有投标评审均采用相同的程序和标准。评标的依据为招标文件和相关法律、法规及政策文件。</w:t>
      </w:r>
    </w:p>
    <w:p>
      <w:pPr>
        <w:pStyle w:val="31"/>
        <w:spacing w:line="360" w:lineRule="exact"/>
        <w:ind w:firstLine="482"/>
        <w:rPr>
          <w:rFonts w:ascii="Times New Roman" w:hAnsi="Times New Roman" w:cs="Times New Roman"/>
          <w:sz w:val="24"/>
          <w:szCs w:val="24"/>
        </w:rPr>
      </w:pPr>
      <w:r>
        <w:rPr>
          <w:rFonts w:ascii="Times New Roman" w:hAnsi="Times New Roman" w:cs="Times New Roman"/>
          <w:sz w:val="24"/>
          <w:szCs w:val="24"/>
        </w:rPr>
        <w:t>4.4异常或特殊情况处理：</w:t>
      </w:r>
    </w:p>
    <w:p>
      <w:pPr>
        <w:pStyle w:val="31"/>
        <w:spacing w:line="360" w:lineRule="exact"/>
        <w:ind w:firstLine="482"/>
        <w:rPr>
          <w:rFonts w:ascii="Times New Roman" w:hAnsi="Times New Roman" w:cs="Times New Roman"/>
          <w:sz w:val="24"/>
          <w:szCs w:val="24"/>
        </w:rPr>
      </w:pPr>
      <w:r>
        <w:rPr>
          <w:rFonts w:ascii="Times New Roman" w:hAnsi="Times New Roman" w:cs="Times New Roman"/>
          <w:sz w:val="24"/>
          <w:szCs w:val="24"/>
        </w:rPr>
        <w:t>4.4.1在评标过程中，如发现招标文件中内容有不一致的（招标文件中其它地方另外规定的除外），经评标委员讨论认为不影响评标的，可以继续评标。</w:t>
      </w:r>
    </w:p>
    <w:p>
      <w:pPr>
        <w:pStyle w:val="31"/>
        <w:spacing w:line="360" w:lineRule="exact"/>
        <w:ind w:firstLine="482"/>
        <w:rPr>
          <w:rFonts w:ascii="Times New Roman" w:hAnsi="Times New Roman" w:cs="Times New Roman"/>
          <w:sz w:val="24"/>
          <w:szCs w:val="24"/>
        </w:rPr>
      </w:pPr>
      <w:r>
        <w:rPr>
          <w:rFonts w:ascii="Times New Roman" w:hAnsi="Times New Roman" w:cs="Times New Roman"/>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exact"/>
        <w:ind w:firstLine="464" w:firstLineChars="200"/>
      </w:pPr>
      <w:r>
        <w:rPr>
          <w:spacing w:val="-4"/>
        </w:rPr>
        <w:t>4.4.2</w:t>
      </w:r>
      <w:r>
        <w:t>在评标过程中，出现其它异常或特殊情况时，由评标小组集体讨论决定。</w:t>
      </w:r>
    </w:p>
    <w:p>
      <w:pPr>
        <w:spacing w:line="360" w:lineRule="exact"/>
        <w:ind w:firstLine="480"/>
        <w:rPr>
          <w:bCs/>
        </w:rPr>
      </w:pPr>
      <w:r>
        <w:rPr>
          <w:rFonts w:hint="eastAsia"/>
          <w:bCs/>
        </w:rPr>
        <w:t>4.5</w:t>
      </w:r>
      <w:r>
        <w:rPr>
          <w:bCs/>
        </w:rPr>
        <w:t>评标委员会成员对需要共同认定的事项存在争议的，应当按照少数服从多数的原则作出结论。持不同意见的评标委员会成员应当在评标报告上签署不同意见及理由，否则视为同意评标报告。</w:t>
      </w:r>
    </w:p>
    <w:p>
      <w:pPr>
        <w:pStyle w:val="31"/>
        <w:spacing w:line="360" w:lineRule="exact"/>
        <w:ind w:firstLine="482" w:firstLineChars="200"/>
        <w:rPr>
          <w:rFonts w:ascii="Times New Roman" w:hAnsi="Times New Roman" w:cs="Times New Roman"/>
          <w:sz w:val="24"/>
          <w:szCs w:val="24"/>
        </w:rPr>
      </w:pPr>
      <w:r>
        <w:rPr>
          <w:rFonts w:ascii="Times New Roman" w:hAnsi="Times New Roman" w:cs="Times New Roman"/>
          <w:b/>
          <w:sz w:val="24"/>
          <w:szCs w:val="24"/>
        </w:rPr>
        <w:t>5.评标过程的保密</w:t>
      </w:r>
    </w:p>
    <w:p>
      <w:pPr>
        <w:adjustRightInd w:val="0"/>
        <w:snapToGrid w:val="0"/>
        <w:spacing w:line="360" w:lineRule="exact"/>
        <w:ind w:firstLine="480" w:firstLineChars="200"/>
      </w:pPr>
      <w:r>
        <w:t>5.1开标后，直至授予中标人合同为止，凡属于对投标文件的审查、澄清、评价和比较等有关的资料以及中标候选人的推荐情况等与评标有关的任何情况均严格保密。</w:t>
      </w:r>
    </w:p>
    <w:p>
      <w:pPr>
        <w:pStyle w:val="31"/>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5.2中标人确认后，采购人不对未中标人就评标过程以及未能中标原因作出任何解释。未中标人不得向评标小组人员或其他有关人员索问评标过程的全部情况。</w:t>
      </w:r>
    </w:p>
    <w:p>
      <w:pPr>
        <w:spacing w:line="360" w:lineRule="exact"/>
        <w:ind w:firstLine="480" w:firstLineChars="200"/>
        <w:rPr>
          <w:spacing w:val="-4"/>
        </w:rPr>
      </w:pPr>
      <w:r>
        <w:t>5.3</w:t>
      </w:r>
      <w:r>
        <w:rPr>
          <w:spacing w:val="-4"/>
        </w:rPr>
        <w:t>为保证定标的公正性，在评标过程中，评标成员不得与投标人私人交换意见。在招标工作结束后，凡与评标情况有接触的任何人不得也不应将评标情况扩散出评标成员之外。</w:t>
      </w:r>
    </w:p>
    <w:p>
      <w:pPr>
        <w:adjustRightInd w:val="0"/>
        <w:snapToGrid w:val="0"/>
        <w:spacing w:line="360" w:lineRule="exact"/>
        <w:ind w:firstLine="472" w:firstLineChars="196"/>
        <w:rPr>
          <w:b/>
        </w:rPr>
      </w:pPr>
      <w:r>
        <w:rPr>
          <w:b/>
        </w:rPr>
        <w:t>6.投标文件的澄清</w:t>
      </w:r>
    </w:p>
    <w:p>
      <w:pPr>
        <w:spacing w:line="360" w:lineRule="exact"/>
        <w:ind w:firstLine="480" w:firstLineChars="200"/>
      </w:pPr>
      <w:r>
        <w:t>6.1为有助于投标文件的审查、评价和比较，评标委员会应当在“政采云”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pPr>
        <w:pStyle w:val="31"/>
        <w:tabs>
          <w:tab w:val="left" w:pos="0"/>
        </w:tabs>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6.2如果投标人代表拒绝按评标委员会要求在“政采云”作出在线回复且无其他有效回复方式的，评标委员会可以对其作出无效标处理。</w:t>
      </w:r>
    </w:p>
    <w:p>
      <w:pPr>
        <w:adjustRightInd w:val="0"/>
        <w:snapToGrid w:val="0"/>
        <w:spacing w:line="360" w:lineRule="exact"/>
        <w:ind w:firstLine="482" w:firstLineChars="200"/>
      </w:pPr>
      <w:r>
        <w:rPr>
          <w:b/>
        </w:rPr>
        <w:t>7.投标文件的资格性和符合性评审</w:t>
      </w:r>
    </w:p>
    <w:p>
      <w:pPr>
        <w:adjustRightInd w:val="0"/>
        <w:snapToGrid w:val="0"/>
        <w:spacing w:line="360" w:lineRule="exact"/>
        <w:ind w:firstLine="480" w:firstLineChars="200"/>
      </w:pPr>
      <w:r>
        <w:t>7.1评标时，评标小组将首先评定每份投标文件是否实质上响应了招标文件的要求。所谓实质上响应，是指投标文件应与招标文件的所有实质性条款、条件和要求相符，无显著差异或保留。</w:t>
      </w:r>
    </w:p>
    <w:p>
      <w:pPr>
        <w:adjustRightInd w:val="0"/>
        <w:snapToGrid w:val="0"/>
        <w:spacing w:line="360" w:lineRule="exact"/>
        <w:ind w:firstLine="436" w:firstLineChars="182"/>
      </w:pPr>
      <w: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pStyle w:val="2"/>
        <w:spacing w:after="0" w:line="360" w:lineRule="exact"/>
        <w:ind w:left="0" w:leftChars="0" w:firstLine="480"/>
      </w:pPr>
      <w:r>
        <w:t>7.3在投标文件的评审和比较、中标候选人推荐以及授予合同的过程中，投标人向采购人和评标小组施加影响的任何行为，都将会导致其投标被拒绝。</w:t>
      </w:r>
    </w:p>
    <w:p>
      <w:pPr>
        <w:adjustRightInd w:val="0"/>
        <w:snapToGrid w:val="0"/>
        <w:spacing w:line="360" w:lineRule="exact"/>
        <w:ind w:firstLine="482" w:firstLineChars="200"/>
        <w:rPr>
          <w:b/>
        </w:rPr>
      </w:pPr>
      <w:r>
        <w:rPr>
          <w:b/>
        </w:rPr>
        <w:t>7.4评标小组在作出任何一项无效标决定前，都应当严格遵循以下程序：</w:t>
      </w:r>
    </w:p>
    <w:p>
      <w:pPr>
        <w:adjustRightInd w:val="0"/>
        <w:snapToGrid w:val="0"/>
        <w:spacing w:line="360" w:lineRule="exact"/>
        <w:ind w:firstLine="470" w:firstLineChars="196"/>
      </w:pPr>
      <w:r>
        <w:t>7.4.1要求当事投标人作相应的答辩。</w:t>
      </w:r>
    </w:p>
    <w:p>
      <w:pPr>
        <w:adjustRightInd w:val="0"/>
        <w:snapToGrid w:val="0"/>
        <w:spacing w:line="360" w:lineRule="exact"/>
        <w:ind w:firstLine="470" w:firstLineChars="196"/>
      </w:pPr>
      <w:r>
        <w:t>7.4.2在充分讨论的基础上集体表决。</w:t>
      </w:r>
    </w:p>
    <w:p>
      <w:pPr>
        <w:pStyle w:val="31"/>
        <w:spacing w:line="360" w:lineRule="exact"/>
        <w:ind w:firstLine="482"/>
        <w:rPr>
          <w:rFonts w:ascii="Times New Roman" w:hAnsi="Times New Roman" w:cs="Times New Roman"/>
          <w:b/>
          <w:sz w:val="24"/>
          <w:szCs w:val="24"/>
        </w:rPr>
      </w:pPr>
      <w:r>
        <w:rPr>
          <w:rFonts w:ascii="Times New Roman" w:hAnsi="Times New Roman" w:cs="Times New Roman"/>
          <w:b/>
          <w:sz w:val="24"/>
          <w:szCs w:val="24"/>
        </w:rPr>
        <w:t>8.投标文件</w:t>
      </w:r>
      <w:r>
        <w:rPr>
          <w:rFonts w:ascii="Times New Roman" w:hAnsi="Times New Roman" w:cs="Times New Roman"/>
          <w:b/>
          <w:sz w:val="24"/>
          <w:szCs w:val="24"/>
          <w:u w:val="single"/>
        </w:rPr>
        <w:t>计算错误和不同文字文本</w:t>
      </w:r>
      <w:r>
        <w:rPr>
          <w:rFonts w:ascii="Times New Roman" w:hAnsi="Times New Roman" w:cs="Times New Roman"/>
          <w:b/>
          <w:sz w:val="24"/>
          <w:szCs w:val="24"/>
        </w:rPr>
        <w:t>的修正</w:t>
      </w:r>
    </w:p>
    <w:p>
      <w:pPr>
        <w:pStyle w:val="31"/>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8.1修正原则如下：</w:t>
      </w:r>
    </w:p>
    <w:p>
      <w:pPr>
        <w:pStyle w:val="31"/>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8.1.1对不同文字文本投标文件的解释发生异义的，以中文文本为准；评标委员会可以拒绝接受不是中文版的投标文件以及与投标相关的资料。</w:t>
      </w:r>
    </w:p>
    <w:p>
      <w:pPr>
        <w:spacing w:line="360" w:lineRule="exact"/>
        <w:ind w:firstLine="482" w:firstLineChars="200"/>
        <w:rPr>
          <w:b/>
        </w:rPr>
      </w:pPr>
      <w:r>
        <w:rPr>
          <w:b/>
        </w:rPr>
        <w:t>8.1.2投标文件的商务技术响应文件中，同类内容表述不一致的处理：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其它情形的，评标委员会以在线询标或其他有效形式要求投标人作必要的澄清或说明。</w:t>
      </w:r>
    </w:p>
    <w:p>
      <w:pPr>
        <w:pStyle w:val="31"/>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8.1.3投标文件报价出现不一致的，除招标文件另有规定外，按照下列规定修正：</w:t>
      </w:r>
    </w:p>
    <w:p>
      <w:pPr>
        <w:pStyle w:val="31"/>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（1）客户端填写的报价与以pdf格式上传文件中的报价不一致的，应以pdf格式上传文件中的报价为准。</w:t>
      </w:r>
    </w:p>
    <w:p>
      <w:pPr>
        <w:pStyle w:val="31"/>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（2）投标文件中开标一览表内容与投标文件中相应内容不一致的，以开标一览表为准；</w:t>
      </w:r>
    </w:p>
    <w:p>
      <w:pPr>
        <w:pStyle w:val="31"/>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（3）投标文件的大写金额和小写金额不一致的，以大写金额为准。</w:t>
      </w:r>
    </w:p>
    <w:p>
      <w:pPr>
        <w:pStyle w:val="31"/>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（4）单价金额小数点或者百分比有明显错位的，以开标一览表的总价为准，并修改单价；</w:t>
      </w:r>
    </w:p>
    <w:p>
      <w:pPr>
        <w:pStyle w:val="31"/>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（5）总价金额与按单价汇总金额不一致的，以单价金额计算结果为准。</w:t>
      </w:r>
    </w:p>
    <w:p>
      <w:pPr>
        <w:pStyle w:val="31"/>
        <w:spacing w:line="3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同时出现两种以上不一致的，按照前款规定的顺序修正。修正后的报价通过“政采云”经投标人确认后产生约束力，投标人不确认的，其投标无效。</w:t>
      </w:r>
    </w:p>
    <w:p>
      <w:pPr>
        <w:pStyle w:val="31"/>
        <w:spacing w:line="360" w:lineRule="exact"/>
        <w:ind w:firstLine="482"/>
        <w:rPr>
          <w:rFonts w:ascii="Times New Roman" w:hAnsi="Times New Roman" w:cs="Times New Roman"/>
          <w:b/>
          <w:spacing w:val="-4"/>
          <w:sz w:val="24"/>
          <w:szCs w:val="24"/>
        </w:rPr>
      </w:pPr>
      <w:r>
        <w:rPr>
          <w:rFonts w:ascii="Times New Roman" w:hAnsi="Times New Roman" w:cs="Times New Roman"/>
          <w:b/>
          <w:spacing w:val="-4"/>
          <w:sz w:val="24"/>
          <w:szCs w:val="24"/>
        </w:rPr>
        <w:t>9.评标办法</w:t>
      </w:r>
    </w:p>
    <w:p>
      <w:pPr>
        <w:adjustRightInd w:val="0"/>
        <w:snapToGrid w:val="0"/>
        <w:spacing w:line="360" w:lineRule="exact"/>
        <w:ind w:firstLine="472" w:firstLineChars="196"/>
        <w:rPr>
          <w:b/>
        </w:rPr>
      </w:pPr>
      <w:r>
        <w:rPr>
          <w:b/>
        </w:rPr>
        <w:t>本项目采用综合评分法（具体评标办法见第六章）。</w:t>
      </w:r>
    </w:p>
    <w:p>
      <w:pPr>
        <w:adjustRightInd w:val="0"/>
        <w:snapToGrid w:val="0"/>
        <w:spacing w:line="360" w:lineRule="exact"/>
        <w:ind w:firstLine="573"/>
        <w:rPr>
          <w:b/>
        </w:rPr>
      </w:pPr>
      <w:r>
        <w:rPr>
          <w:b/>
        </w:rPr>
        <w:t>10.决标</w:t>
      </w:r>
    </w:p>
    <w:p>
      <w:pPr>
        <w:adjustRightInd w:val="0"/>
        <w:snapToGrid w:val="0"/>
        <w:spacing w:line="360" w:lineRule="exact"/>
        <w:ind w:firstLine="480" w:firstLineChars="200"/>
      </w:pPr>
      <w:r>
        <w:t>评标小组依据本招标文件规定的评标标准和方法，对投标文件进行评审和比较，向招标方提交书面评标报告。</w:t>
      </w:r>
    </w:p>
    <w:p>
      <w:pPr>
        <w:widowControl w:val="0"/>
        <w:snapToGrid w:val="0"/>
        <w:spacing w:line="360" w:lineRule="exact"/>
        <w:jc w:val="both"/>
        <w:rPr>
          <w:b/>
          <w:szCs w:val="21"/>
        </w:rPr>
      </w:pPr>
      <w:r>
        <w:rPr>
          <w:b/>
        </w:rPr>
        <w:t xml:space="preserve"> 11.</w:t>
      </w:r>
      <w:r>
        <w:rPr>
          <w:b/>
          <w:szCs w:val="21"/>
        </w:rPr>
        <w:t xml:space="preserve"> 在招标采购过程中，有下列情形之一的，应对采购项目予以废标：</w:t>
      </w:r>
    </w:p>
    <w:p>
      <w:pPr>
        <w:spacing w:line="360" w:lineRule="exact"/>
        <w:ind w:firstLine="600" w:firstLineChars="250"/>
        <w:jc w:val="both"/>
      </w:pPr>
      <w:r>
        <w:t>（1）通过资格审查或评审后有效投标人不足三家的；</w:t>
      </w:r>
    </w:p>
    <w:p>
      <w:pPr>
        <w:spacing w:line="360" w:lineRule="exact"/>
        <w:ind w:firstLine="600" w:firstLineChars="250"/>
        <w:jc w:val="both"/>
      </w:pPr>
      <w:r>
        <w:t>（2）出现影响采购公正的违法、违规行为的；</w:t>
      </w:r>
    </w:p>
    <w:p>
      <w:pPr>
        <w:spacing w:line="360" w:lineRule="exact"/>
        <w:ind w:firstLine="600" w:firstLineChars="250"/>
        <w:jc w:val="both"/>
      </w:pPr>
      <w:r>
        <w:t>（3）因重大变故采购任务取消的；</w:t>
      </w:r>
    </w:p>
    <w:p>
      <w:pPr>
        <w:spacing w:line="360" w:lineRule="exact"/>
        <w:ind w:firstLine="600" w:firstLineChars="250"/>
        <w:jc w:val="both"/>
      </w:pPr>
      <w:r>
        <w:t>（4）招标文件另有规定情形的。</w:t>
      </w:r>
    </w:p>
    <w:p>
      <w:pPr>
        <w:pStyle w:val="6"/>
        <w:spacing w:before="0" w:after="0" w:line="360" w:lineRule="exact"/>
        <w:rPr>
          <w:rFonts w:ascii="Times New Roman" w:hAnsi="Times New Roman" w:eastAsia="宋体"/>
          <w:sz w:val="24"/>
          <w:szCs w:val="24"/>
        </w:rPr>
      </w:pPr>
      <w:bookmarkStart w:id="66" w:name="_Toc263090376"/>
      <w:bookmarkStart w:id="67" w:name="_Toc406413939"/>
      <w:bookmarkStart w:id="68" w:name="_Toc261519848"/>
      <w:bookmarkStart w:id="69" w:name="_Toc4346"/>
      <w:bookmarkStart w:id="70" w:name="_Toc274303254"/>
      <w:bookmarkStart w:id="71" w:name="_Toc362250706"/>
      <w:bookmarkStart w:id="72" w:name="_Toc226973003"/>
      <w:r>
        <w:rPr>
          <w:rFonts w:ascii="Times New Roman" w:hAnsi="Times New Roman" w:eastAsia="宋体"/>
          <w:sz w:val="24"/>
          <w:szCs w:val="24"/>
        </w:rPr>
        <w:t>三、定标</w:t>
      </w:r>
      <w:bookmarkEnd w:id="66"/>
      <w:bookmarkEnd w:id="67"/>
      <w:bookmarkEnd w:id="68"/>
      <w:bookmarkEnd w:id="69"/>
      <w:bookmarkEnd w:id="70"/>
      <w:bookmarkEnd w:id="71"/>
      <w:bookmarkEnd w:id="72"/>
    </w:p>
    <w:p>
      <w:pPr>
        <w:spacing w:line="360" w:lineRule="exact"/>
        <w:ind w:firstLine="482" w:firstLineChars="200"/>
        <w:rPr>
          <w:b/>
          <w:bCs/>
        </w:rPr>
      </w:pPr>
      <w:r>
        <w:rPr>
          <w:b/>
        </w:rPr>
        <w:t>12.</w:t>
      </w:r>
      <w:r>
        <w:rPr>
          <w:b/>
          <w:bCs/>
        </w:rPr>
        <w:t>中标通知</w:t>
      </w:r>
    </w:p>
    <w:p>
      <w:pPr>
        <w:spacing w:line="360" w:lineRule="exact"/>
        <w:ind w:firstLine="480" w:firstLineChars="200"/>
      </w:pPr>
      <w:r>
        <w:t>12.1投标人自2019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pPr>
        <w:spacing w:line="360" w:lineRule="exact"/>
        <w:ind w:firstLine="480" w:firstLineChars="200"/>
      </w:pPr>
      <w:r>
        <w:t>12.2评标结束后，采购结果公告期限为1个工作日，发布采购结果公告的媒体为：浙江政府采购网站、义乌市公共资源交易平台。</w:t>
      </w:r>
    </w:p>
    <w:p>
      <w:pPr>
        <w:spacing w:line="360" w:lineRule="exact"/>
        <w:ind w:firstLine="480" w:firstLineChars="200"/>
      </w:pPr>
      <w:r>
        <w:t>12.3由义乌市政府采购中心通过 “政采云”签发《中标通知书》，《中标通知书》一经发出即发生法律效力。</w:t>
      </w:r>
    </w:p>
    <w:p>
      <w:pPr>
        <w:pStyle w:val="31"/>
        <w:tabs>
          <w:tab w:val="left" w:pos="900"/>
        </w:tabs>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13、合同签订</w:t>
      </w:r>
    </w:p>
    <w:p>
      <w:pPr>
        <w:spacing w:line="360" w:lineRule="exact"/>
        <w:ind w:firstLine="480" w:firstLineChars="200"/>
      </w:pPr>
      <w:r>
        <w:t>13.1中标人自接到《中标通知书》后应在三十天内与采购人签订合同。</w:t>
      </w:r>
    </w:p>
    <w:p>
      <w:pPr>
        <w:spacing w:line="360" w:lineRule="exact"/>
        <w:ind w:firstLine="480" w:firstLineChars="200"/>
      </w:pPr>
      <w:r>
        <w:t>13.2招标文件、中标人的投标文件、评标过程中投标人在询标时作出的承诺及其澄清文件等，均为签订合同的依据。</w:t>
      </w:r>
    </w:p>
    <w:p>
      <w:pPr>
        <w:spacing w:line="360" w:lineRule="exact"/>
        <w:ind w:firstLine="480" w:firstLineChars="200"/>
      </w:pPr>
      <w: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exact"/>
        <w:ind w:firstLine="480" w:firstLineChars="200"/>
      </w:pPr>
      <w:r>
        <w:t>13.4采购人变更数量的权利</w:t>
      </w:r>
    </w:p>
    <w:p>
      <w:pPr>
        <w:spacing w:line="360" w:lineRule="exact"/>
        <w:ind w:firstLine="480" w:firstLineChars="200"/>
      </w:pPr>
      <w:r>
        <w:t>采购人在授予合同时有权对“第三章 招标项目”要求中规定的货物数量和服务予以增加或减少，但必须符合《中华人民共和国政府采购法》及义乌市政府采购的相关规定。</w:t>
      </w:r>
    </w:p>
    <w:p>
      <w:pPr>
        <w:pStyle w:val="31"/>
        <w:tabs>
          <w:tab w:val="left" w:pos="900"/>
        </w:tabs>
        <w:spacing w:line="360" w:lineRule="exact"/>
        <w:rPr>
          <w:rFonts w:ascii="Times New Roman" w:hAnsi="Times New Roman" w:cs="Times New Roman"/>
          <w:b/>
          <w:sz w:val="24"/>
          <w:szCs w:val="24"/>
        </w:rPr>
      </w:pPr>
      <w:r>
        <w:rPr>
          <w:rFonts w:ascii="Times New Roman" w:hAnsi="Times New Roman" w:cs="Times New Roman"/>
          <w:b/>
          <w:sz w:val="24"/>
          <w:szCs w:val="24"/>
        </w:rPr>
        <w:t>四、质疑和投诉</w:t>
      </w:r>
    </w:p>
    <w:p>
      <w:pPr>
        <w:pStyle w:val="31"/>
        <w:tabs>
          <w:tab w:val="left" w:pos="900"/>
        </w:tabs>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14.1开标过程中，投标人对开标有异议的，应当在“政采云”上及时提出，评标委员应对异常情况制作相关记录。</w:t>
      </w:r>
    </w:p>
    <w:p>
      <w:pPr>
        <w:pStyle w:val="31"/>
        <w:tabs>
          <w:tab w:val="left" w:pos="900"/>
        </w:tabs>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14.2开评标结束后，投标人或者其他利害关系人对依法必须进行招标的项目的评标结果有异议的，应在采购结果公告期限结束之日起的7个工作日内，依据政府采购相关法律法规向采购人、采购代理机构提出质疑。采购人或招标代理机构将在收到书面质疑后7个工作日内对质疑内容作出答复。若投标人对采购人或采购代理机构的答复、处理结果不满意，应在收到书面答复后十五个工作日内向同级政府采购监督管理部门投诉。</w:t>
      </w:r>
    </w:p>
    <w:p>
      <w:pPr>
        <w:pStyle w:val="31"/>
        <w:tabs>
          <w:tab w:val="left" w:pos="900"/>
        </w:tabs>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14.3质疑投诉的相关规定质疑应当包括下列内容：</w:t>
      </w:r>
    </w:p>
    <w:p>
      <w:pPr>
        <w:pStyle w:val="31"/>
        <w:tabs>
          <w:tab w:val="left" w:pos="900"/>
        </w:tabs>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（1）供应商的名称（或姓名）、地址、邮编、联系人及联系电话；</w:t>
      </w:r>
    </w:p>
    <w:p>
      <w:pPr>
        <w:pStyle w:val="53"/>
        <w:shd w:val="clear" w:color="auto" w:fill="FFFFFF"/>
        <w:spacing w:line="360" w:lineRule="exact"/>
        <w:ind w:firstLine="436" w:firstLineChars="182"/>
        <w:rPr>
          <w:kern w:val="2"/>
        </w:rPr>
      </w:pPr>
      <w:r>
        <w:rPr>
          <w:kern w:val="2"/>
        </w:rPr>
        <w:t>（2）质疑项目的名称、编号；</w:t>
      </w:r>
    </w:p>
    <w:p>
      <w:pPr>
        <w:pStyle w:val="53"/>
        <w:shd w:val="clear" w:color="auto" w:fill="FFFFFF"/>
        <w:spacing w:line="360" w:lineRule="exact"/>
        <w:ind w:firstLine="436" w:firstLineChars="182"/>
        <w:rPr>
          <w:kern w:val="2"/>
        </w:rPr>
      </w:pPr>
      <w:r>
        <w:rPr>
          <w:kern w:val="2"/>
        </w:rPr>
        <w:t>（3）具体、明确的质疑事项和与质疑事项相关的请求；</w:t>
      </w:r>
    </w:p>
    <w:p>
      <w:pPr>
        <w:pStyle w:val="53"/>
        <w:shd w:val="clear" w:color="auto" w:fill="FFFFFF"/>
        <w:spacing w:line="360" w:lineRule="exact"/>
        <w:ind w:firstLine="436" w:firstLineChars="182"/>
        <w:rPr>
          <w:kern w:val="2"/>
        </w:rPr>
      </w:pPr>
      <w:r>
        <w:rPr>
          <w:kern w:val="2"/>
        </w:rPr>
        <w:t>（4）事实依据及相关证据材料；</w:t>
      </w:r>
    </w:p>
    <w:p>
      <w:pPr>
        <w:pStyle w:val="53"/>
        <w:shd w:val="clear" w:color="auto" w:fill="FFFFFF"/>
        <w:spacing w:line="360" w:lineRule="exact"/>
        <w:ind w:firstLine="436" w:firstLineChars="182"/>
        <w:rPr>
          <w:kern w:val="2"/>
        </w:rPr>
      </w:pPr>
      <w:r>
        <w:rPr>
          <w:kern w:val="2"/>
        </w:rPr>
        <w:t>（5）必要的法律依据；</w:t>
      </w:r>
    </w:p>
    <w:p>
      <w:pPr>
        <w:pStyle w:val="53"/>
        <w:shd w:val="clear" w:color="auto" w:fill="FFFFFF"/>
        <w:spacing w:line="360" w:lineRule="exact"/>
        <w:ind w:firstLine="436" w:firstLineChars="182"/>
        <w:rPr>
          <w:kern w:val="2"/>
        </w:rPr>
      </w:pPr>
      <w:r>
        <w:rPr>
          <w:kern w:val="2"/>
        </w:rPr>
        <w:t>（6）提出质疑的日期。</w:t>
      </w:r>
    </w:p>
    <w:p>
      <w:pPr>
        <w:pStyle w:val="53"/>
        <w:shd w:val="clear" w:color="auto" w:fill="FFFFFF"/>
        <w:spacing w:line="360" w:lineRule="exact"/>
        <w:ind w:firstLine="480" w:firstLineChars="200"/>
        <w:rPr>
          <w:kern w:val="2"/>
        </w:rPr>
      </w:pPr>
      <w:r>
        <w:rPr>
          <w:kern w:val="2"/>
        </w:rPr>
        <w:t>供应商为自然人的，应当由本人签字；供应商为法人或者其他组织的，应当由法定代表人、主要负责人，或者其授权代表签字或者盖章，并加盖公章。</w:t>
      </w:r>
    </w:p>
    <w:p>
      <w:pPr>
        <w:pStyle w:val="53"/>
        <w:shd w:val="clear" w:color="auto" w:fill="FFFFFF"/>
        <w:spacing w:line="360" w:lineRule="exact"/>
        <w:ind w:firstLine="480" w:firstLineChars="200"/>
        <w:rPr>
          <w:kern w:val="2"/>
        </w:rPr>
      </w:pPr>
      <w:r>
        <w:rPr>
          <w:kern w:val="2"/>
        </w:rPr>
        <w:t>质疑投诉存在以下情形之一的，将不予受理：</w:t>
      </w:r>
    </w:p>
    <w:p>
      <w:pPr>
        <w:pStyle w:val="53"/>
        <w:shd w:val="clear" w:color="auto" w:fill="FFFFFF"/>
        <w:spacing w:line="360" w:lineRule="exact"/>
        <w:ind w:firstLine="480" w:firstLineChars="200"/>
        <w:rPr>
          <w:kern w:val="2"/>
        </w:rPr>
      </w:pPr>
      <w:r>
        <w:rPr>
          <w:kern w:val="2"/>
        </w:rPr>
        <w:t>（1）质疑投诉人不是参加本项目的供应商；</w:t>
      </w:r>
    </w:p>
    <w:p>
      <w:pPr>
        <w:pStyle w:val="53"/>
        <w:shd w:val="clear" w:color="auto" w:fill="FFFFFF"/>
        <w:spacing w:line="360" w:lineRule="exact"/>
        <w:ind w:firstLine="480" w:firstLineChars="200"/>
        <w:rPr>
          <w:kern w:val="2"/>
        </w:rPr>
      </w:pPr>
      <w:r>
        <w:rPr>
          <w:kern w:val="2"/>
        </w:rPr>
        <w:t>（2）供应商自身权益未受到损害的；</w:t>
      </w:r>
    </w:p>
    <w:p>
      <w:pPr>
        <w:pStyle w:val="53"/>
        <w:shd w:val="clear" w:color="auto" w:fill="FFFFFF"/>
        <w:spacing w:line="360" w:lineRule="exact"/>
        <w:ind w:firstLine="480" w:firstLineChars="200"/>
        <w:rPr>
          <w:kern w:val="2"/>
        </w:rPr>
      </w:pPr>
      <w:r>
        <w:rPr>
          <w:kern w:val="2"/>
        </w:rPr>
        <w:t>（3）已超过法定质疑投诉提出期限的事项；</w:t>
      </w:r>
    </w:p>
    <w:p>
      <w:pPr>
        <w:pStyle w:val="53"/>
        <w:shd w:val="clear" w:color="auto" w:fill="FFFFFF"/>
        <w:spacing w:line="360" w:lineRule="exact"/>
        <w:ind w:firstLine="480" w:firstLineChars="200"/>
        <w:rPr>
          <w:kern w:val="2"/>
        </w:rPr>
      </w:pPr>
      <w:r>
        <w:rPr>
          <w:kern w:val="2"/>
        </w:rPr>
        <w:t>（4）质疑未提供书面质疑或未按要求签署或盖章的；</w:t>
      </w:r>
    </w:p>
    <w:p>
      <w:pPr>
        <w:pStyle w:val="53"/>
        <w:shd w:val="clear" w:color="auto" w:fill="FFFFFF"/>
        <w:spacing w:line="360" w:lineRule="exact"/>
        <w:ind w:firstLine="480" w:firstLineChars="200"/>
        <w:rPr>
          <w:kern w:val="2"/>
        </w:rPr>
      </w:pPr>
      <w:r>
        <w:rPr>
          <w:kern w:val="2"/>
        </w:rPr>
        <w:t>（5）质疑已经处理并答复后，质疑人就同一事项再次提起质疑且未提供新的有效证据的；</w:t>
      </w:r>
    </w:p>
    <w:p>
      <w:pPr>
        <w:adjustRightInd w:val="0"/>
        <w:spacing w:line="360" w:lineRule="exact"/>
        <w:ind w:firstLine="480" w:firstLineChars="200"/>
      </w:pPr>
      <w:r>
        <w:rPr>
          <w:kern w:val="2"/>
        </w:rPr>
        <w:t>（6）</w:t>
      </w:r>
      <w:r>
        <w:t>质疑投诉的事项已经进入行政复议或者行政诉讼程序的；投诉事项应先提出质疑而没有提出质疑的；</w:t>
      </w:r>
    </w:p>
    <w:p>
      <w:pPr>
        <w:adjustRightInd w:val="0"/>
        <w:spacing w:line="360" w:lineRule="exact"/>
        <w:ind w:firstLine="480" w:firstLineChars="200"/>
      </w:pPr>
      <w:r>
        <w:rPr>
          <w:kern w:val="2"/>
        </w:rPr>
        <w:t>（7）</w:t>
      </w:r>
      <w:r>
        <w:t>不符合《政府采购质疑和投诉办法》（财政部令第94号）等有关规定的投诉。</w:t>
      </w: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25"/>
        <w:ind w:firstLine="210"/>
      </w:pPr>
    </w:p>
    <w:p>
      <w:pPr>
        <w:pStyle w:val="5"/>
        <w:spacing w:before="0" w:after="0" w:line="400" w:lineRule="atLeast"/>
        <w:jc w:val="center"/>
        <w:rPr>
          <w:sz w:val="36"/>
        </w:rPr>
      </w:pPr>
      <w:bookmarkStart w:id="73" w:name="_Toc406413940"/>
      <w:bookmarkStart w:id="74" w:name="_Toc362268017"/>
      <w:bookmarkStart w:id="75" w:name="_Toc8193"/>
      <w:bookmarkStart w:id="76" w:name="_Toc20011"/>
      <w:bookmarkStart w:id="77" w:name="_Toc1097"/>
      <w:bookmarkStart w:id="78" w:name="_Toc10019"/>
      <w:r>
        <w:rPr>
          <w:sz w:val="36"/>
        </w:rPr>
        <w:t>第五章 投标文件的</w:t>
      </w:r>
      <w:bookmarkEnd w:id="73"/>
      <w:bookmarkEnd w:id="74"/>
      <w:r>
        <w:rPr>
          <w:sz w:val="36"/>
        </w:rPr>
        <w:t>无效情形</w:t>
      </w:r>
      <w:bookmarkEnd w:id="75"/>
      <w:bookmarkEnd w:id="76"/>
      <w:bookmarkEnd w:id="77"/>
      <w:bookmarkEnd w:id="78"/>
    </w:p>
    <w:p>
      <w:pPr>
        <w:pStyle w:val="31"/>
        <w:spacing w:line="40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1.有下列情形之一的，招标方将不予受理投标文件：</w:t>
      </w:r>
    </w:p>
    <w:p>
      <w:pPr>
        <w:pStyle w:val="31"/>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1.1逾期上传电子投标文件至“政采云”的。</w:t>
      </w:r>
    </w:p>
    <w:p>
      <w:pPr>
        <w:pStyle w:val="31"/>
        <w:spacing w:line="400" w:lineRule="exact"/>
        <w:ind w:firstLine="480" w:firstLineChars="200"/>
        <w:rPr>
          <w:rFonts w:ascii="Times New Roman" w:hAnsi="Times New Roman" w:cs="Times New Roman"/>
          <w:kern w:val="0"/>
          <w:sz w:val="24"/>
        </w:rPr>
      </w:pPr>
      <w:r>
        <w:rPr>
          <w:rFonts w:ascii="Times New Roman" w:hAnsi="Times New Roman" w:cs="Times New Roman"/>
          <w:kern w:val="0"/>
          <w:sz w:val="24"/>
        </w:rPr>
        <w:t>1.2电子投标文件在规定时间内解密未成功的，且未提供备份投标文件或提供的备份投标文件无法上传打开的。</w:t>
      </w:r>
    </w:p>
    <w:p>
      <w:pPr>
        <w:pStyle w:val="31"/>
        <w:spacing w:line="45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2.投标文件在资格性评审或技术响应性评审出现下列情形之一的，由评标委员会审核后按无效投标文件处理：</w:t>
      </w:r>
    </w:p>
    <w:p>
      <w:pPr>
        <w:spacing w:line="460" w:lineRule="exact"/>
        <w:ind w:firstLine="480" w:firstLineChars="200"/>
        <w:rPr>
          <w:szCs w:val="21"/>
        </w:rPr>
      </w:pPr>
      <w:r>
        <w:rPr>
          <w:szCs w:val="21"/>
        </w:rPr>
        <w:t>2.1.资格响应文件或商务技术响应文件中包含商务报价的；</w:t>
      </w:r>
    </w:p>
    <w:p>
      <w:pPr>
        <w:spacing w:line="460" w:lineRule="exact"/>
        <w:ind w:firstLine="480" w:firstLineChars="200"/>
        <w:rPr>
          <w:szCs w:val="21"/>
        </w:rPr>
      </w:pPr>
      <w:r>
        <w:rPr>
          <w:szCs w:val="21"/>
        </w:rPr>
        <w:t>2.2招标文件关于投标文件组成内容商务技术响应文件要求中打“★”的内容，投标人的投标文件内容未提供完整的，或关键字迹模糊、无法辨认的，或未按其规定的格式及要求填写、签字、盖章，或提供的投标文件内容不符合招标文件的中有关打★号的条款的规定；</w:t>
      </w:r>
    </w:p>
    <w:p>
      <w:pPr>
        <w:spacing w:line="460" w:lineRule="exact"/>
        <w:ind w:firstLine="480" w:firstLineChars="200"/>
        <w:rPr>
          <w:szCs w:val="21"/>
        </w:rPr>
      </w:pPr>
      <w:r>
        <w:rPr>
          <w:szCs w:val="21"/>
        </w:rPr>
        <w:t>2.3投标人的投标资格不符合招标文件的资格要求规定；</w:t>
      </w:r>
    </w:p>
    <w:p>
      <w:pPr>
        <w:spacing w:line="460" w:lineRule="exact"/>
        <w:ind w:firstLine="480" w:firstLineChars="200"/>
        <w:rPr>
          <w:szCs w:val="21"/>
        </w:rPr>
      </w:pPr>
      <w:r>
        <w:rPr>
          <w:szCs w:val="21"/>
        </w:rPr>
        <w:t>2.4投标人所投产品的数量不符合招标文件规定的；</w:t>
      </w:r>
    </w:p>
    <w:p>
      <w:pPr>
        <w:spacing w:line="460" w:lineRule="exact"/>
        <w:ind w:firstLine="480" w:firstLineChars="200"/>
        <w:rPr>
          <w:szCs w:val="21"/>
        </w:rPr>
      </w:pPr>
      <w:r>
        <w:rPr>
          <w:szCs w:val="21"/>
        </w:rPr>
        <w:t>2.5投标人借用或冒用他人名义或证件、涂改文件、伪造或编造投标文件的；</w:t>
      </w:r>
    </w:p>
    <w:p>
      <w:pPr>
        <w:spacing w:line="460" w:lineRule="exact"/>
        <w:ind w:firstLine="480" w:firstLineChars="200"/>
        <w:rPr>
          <w:szCs w:val="21"/>
        </w:rPr>
      </w:pPr>
      <w:r>
        <w:rPr>
          <w:szCs w:val="21"/>
        </w:rPr>
        <w:t>2.6投标中不同投标单位的投标文件出现雷同或相似（包括部分雷同或相似），对所有雷同或相似投标人按废标处理，招标方将保留进一步追究责任的权利；投标人串标的；</w:t>
      </w:r>
    </w:p>
    <w:p>
      <w:pPr>
        <w:spacing w:line="460" w:lineRule="exact"/>
        <w:ind w:firstLine="480" w:firstLineChars="200"/>
        <w:rPr>
          <w:szCs w:val="21"/>
        </w:rPr>
      </w:pPr>
      <w:r>
        <w:rPr>
          <w:szCs w:val="21"/>
        </w:rPr>
        <w:t>2.7其它对本招标文件中打★号的条款未完全响应的；</w:t>
      </w:r>
    </w:p>
    <w:p>
      <w:pPr>
        <w:spacing w:line="460" w:lineRule="exact"/>
        <w:ind w:firstLine="480" w:firstLineChars="200"/>
        <w:rPr>
          <w:szCs w:val="21"/>
        </w:rPr>
      </w:pPr>
      <w:r>
        <w:rPr>
          <w:szCs w:val="21"/>
        </w:rPr>
        <w:t>2.8经评标委员会认定，投标文件附有采购人不能接受的条件；</w:t>
      </w:r>
    </w:p>
    <w:p>
      <w:pPr>
        <w:spacing w:line="460" w:lineRule="exact"/>
        <w:ind w:firstLine="480" w:firstLineChars="200"/>
        <w:rPr>
          <w:szCs w:val="21"/>
        </w:rPr>
      </w:pPr>
      <w:r>
        <w:rPr>
          <w:szCs w:val="21"/>
        </w:rPr>
        <w:t>2.9评标委员会要求投标人澄清或说明的，如果投标人拒绝按照招标文件规定进行澄清或说明的。</w:t>
      </w:r>
    </w:p>
    <w:p>
      <w:pPr>
        <w:adjustRightInd w:val="0"/>
        <w:snapToGrid w:val="0"/>
        <w:spacing w:line="400" w:lineRule="exact"/>
        <w:ind w:firstLine="482" w:firstLineChars="200"/>
        <w:rPr>
          <w:b/>
        </w:rPr>
      </w:pPr>
      <w:r>
        <w:rPr>
          <w:b/>
        </w:rPr>
        <w:t>3.报价响应文件评审出现下列情形之一的，由评标委员会审核后按无效投标文件处理：</w:t>
      </w:r>
    </w:p>
    <w:p>
      <w:pPr>
        <w:adjustRightInd w:val="0"/>
        <w:snapToGrid w:val="0"/>
        <w:spacing w:line="400" w:lineRule="exact"/>
        <w:ind w:firstLine="480" w:firstLineChars="200"/>
        <w:rPr>
          <w:szCs w:val="21"/>
        </w:rPr>
      </w:pPr>
      <w:r>
        <w:t>3.1.招标文件关于投标文件组成内容报价响应文件要求中打“★”的内容，</w:t>
      </w:r>
      <w:r>
        <w:rPr>
          <w:szCs w:val="21"/>
        </w:rPr>
        <w:t>投标人的投标文件内容未提供完整的，或关键字迹模糊、无法辨认的，或未按其规定的格式及要求填写、签字、盖章，或提供的投标文件内容不符合招标文件的中有关打★号的条款的规定；</w:t>
      </w:r>
    </w:p>
    <w:p>
      <w:pPr>
        <w:adjustRightInd w:val="0"/>
        <w:snapToGrid w:val="0"/>
        <w:spacing w:line="400" w:lineRule="exact"/>
        <w:ind w:firstLine="480" w:firstLineChars="200"/>
      </w:pPr>
      <w:r>
        <w:t>3.2投标报价高于最高限价或低于项目成本总价的；</w:t>
      </w:r>
    </w:p>
    <w:p>
      <w:pPr>
        <w:adjustRightInd w:val="0"/>
        <w:snapToGrid w:val="0"/>
        <w:spacing w:line="400" w:lineRule="exact"/>
        <w:ind w:firstLine="480" w:firstLineChars="200"/>
      </w:pPr>
      <w:r>
        <w:t>3.3投标人的所投产品的数量不符合招标文件规定的；</w:t>
      </w:r>
    </w:p>
    <w:p>
      <w:pPr>
        <w:adjustRightInd w:val="0"/>
        <w:snapToGrid w:val="0"/>
        <w:spacing w:line="400" w:lineRule="exact"/>
        <w:ind w:firstLine="480" w:firstLineChars="200"/>
      </w:pPr>
      <w:r>
        <w:t>3.4投标人的投标报价未明确的，或者对同一采购项目提供两个或两个以上报价且未声明哪一个有效的，或者对同一采购项目提供两个或两个以上成本价且未声明哪一个有效；</w:t>
      </w:r>
    </w:p>
    <w:p>
      <w:pPr>
        <w:adjustRightInd w:val="0"/>
        <w:snapToGrid w:val="0"/>
        <w:spacing w:line="400" w:lineRule="exact"/>
        <w:ind w:firstLine="480" w:firstLineChars="200"/>
      </w:pPr>
      <w:r>
        <w:t>3.5经评标委员会审议认为投标文件附有采购人不能接受的条件的；</w:t>
      </w:r>
    </w:p>
    <w:p>
      <w:pPr>
        <w:adjustRightInd w:val="0"/>
        <w:snapToGrid w:val="0"/>
        <w:spacing w:line="400" w:lineRule="exact"/>
        <w:ind w:firstLine="480" w:firstLineChars="200"/>
      </w:pPr>
      <w:r>
        <w:t>3.6评标委员会认为投标人的报价明显低于其他通过符合性审查投标人的报价，有可能影响产品服务或者不能诚信履约的，要求其通过“政采云”在规定的时间内提供CA签章的材料，投标人不能证明其报价合理性的；</w:t>
      </w:r>
    </w:p>
    <w:p>
      <w:pPr>
        <w:adjustRightInd w:val="0"/>
        <w:snapToGrid w:val="0"/>
        <w:spacing w:line="400" w:lineRule="exact"/>
        <w:ind w:firstLine="480" w:firstLineChars="200"/>
      </w:pPr>
      <w:r>
        <w:t>3.7其它对本招标文件中打★号的条款未完全响应的；</w:t>
      </w:r>
    </w:p>
    <w:p>
      <w:pPr>
        <w:adjustRightInd w:val="0"/>
        <w:snapToGrid w:val="0"/>
        <w:spacing w:line="400" w:lineRule="exact"/>
        <w:ind w:firstLine="480" w:firstLineChars="200"/>
      </w:pPr>
      <w:r>
        <w:t>3.8当投标人由于报价计算错误，投标人拒绝接受按招标文件的规定进行的修正处理。</w:t>
      </w:r>
    </w:p>
    <w:p>
      <w:pPr>
        <w:tabs>
          <w:tab w:val="left" w:pos="1898"/>
        </w:tabs>
        <w:autoSpaceDE w:val="0"/>
        <w:autoSpaceDN w:val="0"/>
        <w:adjustRightInd w:val="0"/>
        <w:snapToGrid w:val="0"/>
        <w:spacing w:line="440" w:lineRule="exact"/>
        <w:ind w:firstLine="482" w:firstLineChars="200"/>
        <w:rPr>
          <w:b/>
        </w:rPr>
      </w:pPr>
      <w:r>
        <w:rPr>
          <w:b/>
        </w:rPr>
        <w:t>4.在资格审查及评审过程中，符合中华人民共和国财政部令第87号《政府采购货物和服务招标投标管理办法》第三十七条情形之一的，视为投标人串通投标，其投标无效，并移送采购监管部门：</w:t>
      </w:r>
    </w:p>
    <w:p>
      <w:pPr>
        <w:pStyle w:val="53"/>
        <w:spacing w:line="440" w:lineRule="exact"/>
        <w:ind w:firstLine="480" w:firstLineChars="200"/>
        <w:jc w:val="both"/>
      </w:pPr>
      <w:r>
        <w:t>（1）不同投标人的投标文件由同一单位或者个人编制；</w:t>
      </w:r>
    </w:p>
    <w:p>
      <w:pPr>
        <w:pStyle w:val="53"/>
        <w:spacing w:line="440" w:lineRule="exact"/>
        <w:ind w:firstLine="480" w:firstLineChars="200"/>
        <w:jc w:val="both"/>
      </w:pPr>
      <w:r>
        <w:t>（2）不同投标人委托同一单位或者个人办理投标事宜；</w:t>
      </w:r>
    </w:p>
    <w:p>
      <w:pPr>
        <w:pStyle w:val="53"/>
        <w:spacing w:line="440" w:lineRule="exact"/>
        <w:ind w:firstLine="480" w:firstLineChars="200"/>
        <w:jc w:val="both"/>
      </w:pPr>
      <w:r>
        <w:t>（3）不同投标人的投标文件载明的项目管理成员或者联系人员为同一人；</w:t>
      </w:r>
    </w:p>
    <w:p>
      <w:pPr>
        <w:pStyle w:val="53"/>
        <w:spacing w:line="440" w:lineRule="exact"/>
        <w:ind w:firstLine="480" w:firstLineChars="200"/>
        <w:jc w:val="both"/>
      </w:pPr>
      <w:r>
        <w:t>（4）不同投标人的投标文件异常一致或者投标报价呈规律性差异；</w:t>
      </w:r>
    </w:p>
    <w:p>
      <w:pPr>
        <w:pStyle w:val="53"/>
        <w:spacing w:line="440" w:lineRule="exact"/>
        <w:ind w:firstLine="480" w:firstLineChars="200"/>
        <w:jc w:val="both"/>
      </w:pPr>
      <w:r>
        <w:t>（5）不同投标人的投标文件相互混装；</w:t>
      </w:r>
    </w:p>
    <w:p>
      <w:pPr>
        <w:pStyle w:val="31"/>
        <w:spacing w:line="400" w:lineRule="exact"/>
        <w:ind w:firstLine="472" w:firstLineChars="196"/>
        <w:rPr>
          <w:rFonts w:ascii="Times New Roman" w:hAnsi="Times New Roman" w:cs="Times New Roman"/>
          <w:b/>
          <w:sz w:val="24"/>
          <w:szCs w:val="24"/>
        </w:rPr>
      </w:pPr>
      <w:r>
        <w:rPr>
          <w:rFonts w:ascii="Times New Roman" w:hAnsi="Times New Roman" w:cs="Times New Roman"/>
          <w:b/>
          <w:sz w:val="24"/>
          <w:szCs w:val="24"/>
        </w:rPr>
        <w:t>5.其他法律法规规定的投标文件无效的情况。</w:t>
      </w:r>
    </w:p>
    <w:p>
      <w:pPr>
        <w:pStyle w:val="31"/>
        <w:spacing w:line="400" w:lineRule="exact"/>
        <w:ind w:firstLine="472" w:firstLineChars="196"/>
        <w:rPr>
          <w:rFonts w:ascii="Times New Roman" w:hAnsi="Times New Roman" w:cs="Times New Roman"/>
          <w:sz w:val="24"/>
          <w:szCs w:val="24"/>
        </w:rPr>
      </w:pPr>
      <w:r>
        <w:rPr>
          <w:rFonts w:ascii="Times New Roman" w:hAnsi="Times New Roman" w:cs="Times New Roman"/>
          <w:b/>
          <w:sz w:val="24"/>
          <w:szCs w:val="24"/>
        </w:rPr>
        <w:t>6.评标过程中，非上述所罗列的情况，不得以无效标处理。</w:t>
      </w:r>
    </w:p>
    <w:p>
      <w:pPr>
        <w:spacing w:line="400" w:lineRule="exact"/>
        <w:ind w:firstLine="480" w:firstLineChars="200"/>
      </w:pPr>
    </w:p>
    <w:p>
      <w:pPr>
        <w:spacing w:line="420" w:lineRule="exact"/>
      </w:pPr>
    </w:p>
    <w:p>
      <w:pPr>
        <w:spacing w:line="420" w:lineRule="exact"/>
      </w:pPr>
    </w:p>
    <w:p>
      <w:pPr>
        <w:spacing w:line="420" w:lineRule="exact"/>
      </w:pPr>
    </w:p>
    <w:p>
      <w:pPr>
        <w:rPr>
          <w:sz w:val="36"/>
        </w:rPr>
      </w:pPr>
      <w:bookmarkStart w:id="79" w:name="_Toc21982"/>
      <w:bookmarkStart w:id="80" w:name="_Toc145992551"/>
      <w:bookmarkStart w:id="81" w:name="_Toc31163"/>
      <w:bookmarkStart w:id="82" w:name="_Toc226973004"/>
      <w:bookmarkStart w:id="83" w:name="_Toc274303255"/>
      <w:bookmarkStart w:id="84" w:name="_Toc406413941"/>
      <w:bookmarkStart w:id="85" w:name="_Toc6872"/>
      <w:bookmarkStart w:id="86" w:name="_Toc274303258"/>
      <w:bookmarkStart w:id="87" w:name="_Toc213038697"/>
      <w:bookmarkStart w:id="88" w:name="_Toc238878128"/>
      <w:r>
        <w:rPr>
          <w:sz w:val="36"/>
        </w:rPr>
        <w:br w:type="page"/>
      </w:r>
    </w:p>
    <w:p>
      <w:pPr>
        <w:pStyle w:val="5"/>
        <w:spacing w:before="0" w:after="0" w:line="400" w:lineRule="atLeast"/>
        <w:jc w:val="center"/>
        <w:rPr>
          <w:sz w:val="36"/>
        </w:rPr>
      </w:pPr>
      <w:r>
        <w:rPr>
          <w:sz w:val="36"/>
        </w:rPr>
        <w:t xml:space="preserve">第六章 </w:t>
      </w:r>
      <w:bookmarkStart w:id="89" w:name="_Toc17206"/>
      <w:r>
        <w:rPr>
          <w:sz w:val="36"/>
        </w:rPr>
        <w:t>评标办法</w:t>
      </w:r>
      <w:bookmarkEnd w:id="79"/>
      <w:bookmarkEnd w:id="80"/>
      <w:bookmarkEnd w:id="81"/>
      <w:bookmarkEnd w:id="82"/>
      <w:bookmarkEnd w:id="83"/>
      <w:bookmarkEnd w:id="84"/>
      <w:bookmarkEnd w:id="85"/>
      <w:bookmarkEnd w:id="89"/>
    </w:p>
    <w:p>
      <w:pPr>
        <w:pStyle w:val="31"/>
        <w:spacing w:line="360" w:lineRule="exact"/>
        <w:ind w:firstLine="480" w:firstLineChars="200"/>
        <w:rPr>
          <w:rFonts w:ascii="Times New Roman" w:hAnsi="Times New Roman" w:cs="Times New Roman"/>
          <w:sz w:val="24"/>
          <w:szCs w:val="24"/>
        </w:rPr>
      </w:pPr>
      <w:bookmarkStart w:id="90" w:name="_Toc274303257"/>
      <w:r>
        <w:rPr>
          <w:rFonts w:ascii="Times New Roman" w:hAnsi="Times New Roman" w:cs="Times New Roman"/>
          <w:sz w:val="24"/>
          <w:szCs w:val="24"/>
        </w:rPr>
        <w:t>根据《中华人民共和国政府采购法》及相关法律的有关规定，为更好地做到公开、公平、公正，结合本次招标的特点，特制定本评标办法，本项目的评标办法为综合评分法。</w:t>
      </w:r>
    </w:p>
    <w:p>
      <w:pPr>
        <w:pStyle w:val="31"/>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一、评审程序</w:t>
      </w:r>
    </w:p>
    <w:bookmarkEnd w:id="90"/>
    <w:p>
      <w:pPr>
        <w:pStyle w:val="31"/>
        <w:spacing w:line="360" w:lineRule="exact"/>
        <w:ind w:firstLine="480" w:firstLineChars="200"/>
        <w:rPr>
          <w:rFonts w:ascii="Times New Roman" w:hAnsi="Times New Roman" w:cs="Times New Roman"/>
          <w:sz w:val="24"/>
          <w:szCs w:val="24"/>
        </w:rPr>
      </w:pPr>
      <w:bookmarkStart w:id="91" w:name="_Toc323024194"/>
      <w:bookmarkStart w:id="92" w:name="_Toc295815145"/>
      <w:bookmarkStart w:id="93" w:name="_Toc330474791"/>
      <w:bookmarkStart w:id="94" w:name="_Toc269969080"/>
      <w:bookmarkStart w:id="95" w:name="_Toc358884475"/>
      <w:bookmarkStart w:id="96" w:name="_Toc362250710"/>
      <w:r>
        <w:rPr>
          <w:rFonts w:ascii="Times New Roman" w:hAnsi="Times New Roman" w:cs="Times New Roman"/>
          <w:sz w:val="24"/>
          <w:szCs w:val="24"/>
        </w:rPr>
        <w:t xml:space="preserve">评标小组以开标、评标、询标情况为基本依据，按照招标文件的规定，对各投标人的投标文件按资格部分、商务技术部分和报价部分顺序进行分析、评议，具体按以下程序进行评审： </w:t>
      </w:r>
    </w:p>
    <w:p>
      <w:pPr>
        <w:pStyle w:val="31"/>
        <w:snapToGrid w:val="0"/>
        <w:spacing w:line="360" w:lineRule="exact"/>
        <w:ind w:firstLine="470" w:firstLineChars="196"/>
        <w:rPr>
          <w:rFonts w:ascii="Times New Roman" w:hAnsi="Times New Roman" w:cs="Times New Roman"/>
          <w:sz w:val="24"/>
          <w:szCs w:val="24"/>
        </w:rPr>
      </w:pPr>
      <w:r>
        <w:rPr>
          <w:rFonts w:ascii="Times New Roman" w:hAnsi="Times New Roman" w:cs="Times New Roman"/>
          <w:sz w:val="24"/>
          <w:szCs w:val="24"/>
        </w:rPr>
        <w:t>（一）对所有投标人的资格响应文件进行审查，并以开标当日为准，对投标人“信用中国”网站（www.creditchina.gov.cn）、中国政府采购网（www.ccgp.gov.cn）信用记录情况进行查询，根据（义行服管〔2017〕17号）的规定，对投标人的综合信用报告评级进行查询。</w:t>
      </w:r>
    </w:p>
    <w:p>
      <w:pPr>
        <w:pStyle w:val="31"/>
        <w:spacing w:line="360" w:lineRule="exact"/>
        <w:ind w:firstLine="480"/>
        <w:rPr>
          <w:rFonts w:ascii="Times New Roman" w:hAnsi="Times New Roman" w:cs="Times New Roman"/>
          <w:sz w:val="24"/>
          <w:szCs w:val="24"/>
        </w:rPr>
      </w:pPr>
      <w:r>
        <w:rPr>
          <w:rFonts w:ascii="Times New Roman" w:hAnsi="Times New Roman" w:cs="Times New Roman"/>
          <w:sz w:val="24"/>
          <w:szCs w:val="24"/>
        </w:rPr>
        <w:t>（二）对通过资格性审查合格的投标人的商务技术响应文件进行符合性审查。</w:t>
      </w:r>
    </w:p>
    <w:p>
      <w:pPr>
        <w:pStyle w:val="31"/>
        <w:spacing w:line="360" w:lineRule="exact"/>
        <w:ind w:firstLine="480" w:firstLineChars="200"/>
        <w:rPr>
          <w:rFonts w:ascii="Times New Roman" w:hAnsi="Times New Roman" w:cs="Times New Roman"/>
          <w:sz w:val="24"/>
        </w:rPr>
      </w:pPr>
      <w:r>
        <w:rPr>
          <w:rFonts w:ascii="Times New Roman" w:hAnsi="Times New Roman" w:cs="Times New Roman"/>
          <w:sz w:val="24"/>
        </w:rPr>
        <w:t>（三）对通过符合性审查有效的投标人的商务技术响应文件进行技术评分（详见三、评分细则）。</w:t>
      </w:r>
    </w:p>
    <w:p>
      <w:pPr>
        <w:pStyle w:val="31"/>
        <w:widowControl w:val="0"/>
        <w:spacing w:line="360" w:lineRule="exact"/>
        <w:ind w:firstLine="480" w:firstLineChars="200"/>
        <w:rPr>
          <w:rFonts w:ascii="Times New Roman" w:hAnsi="Times New Roman" w:cs="Times New Roman"/>
          <w:sz w:val="24"/>
        </w:rPr>
      </w:pPr>
      <w:r>
        <w:rPr>
          <w:rFonts w:ascii="Times New Roman" w:hAnsi="Times New Roman" w:cs="Times New Roman"/>
          <w:sz w:val="24"/>
        </w:rPr>
        <w:t>（四）上述投标人的评分结束后，评标委员会对上述投标人的报价文件进行评审；评标委员会认为投标人的报价明显低于其他通过符合性审查投标人的报价，有可能影响服务质量或者不能诚信履约的，应当要求其通过“政采云”在规定的时间内提供加盖投标人CA签章的材料，必要时提交相关佐证材料；投标人不能证明其报价合理性的，评标委员会应当将其作为无效投标处理。</w:t>
      </w:r>
    </w:p>
    <w:p>
      <w:pPr>
        <w:pStyle w:val="31"/>
        <w:spacing w:line="360" w:lineRule="exact"/>
        <w:ind w:firstLine="480" w:firstLineChars="200"/>
        <w:rPr>
          <w:rFonts w:ascii="Times New Roman" w:hAnsi="Times New Roman" w:cs="Times New Roman"/>
          <w:sz w:val="24"/>
        </w:rPr>
      </w:pPr>
      <w:r>
        <w:rPr>
          <w:rFonts w:ascii="Times New Roman" w:hAnsi="Times New Roman" w:cs="Times New Roman"/>
          <w:sz w:val="24"/>
        </w:rPr>
        <w:t>（五）对通过报价评审有效的投标人,由“政采云”计算出其报价分及总得分，并由评标委员会进行确认。</w:t>
      </w:r>
    </w:p>
    <w:p>
      <w:pPr>
        <w:pStyle w:val="31"/>
        <w:spacing w:line="360" w:lineRule="exact"/>
        <w:ind w:firstLine="480" w:firstLineChars="200"/>
        <w:rPr>
          <w:rFonts w:ascii="Times New Roman" w:hAnsi="Times New Roman" w:cs="Times New Roman"/>
          <w:sz w:val="24"/>
        </w:rPr>
      </w:pPr>
      <w:r>
        <w:rPr>
          <w:rFonts w:ascii="Times New Roman" w:hAnsi="Times New Roman" w:cs="Times New Roman"/>
          <w:sz w:val="24"/>
        </w:rPr>
        <w:t>（六）确定中标人</w:t>
      </w:r>
    </w:p>
    <w:p>
      <w:pPr>
        <w:spacing w:line="360" w:lineRule="exact"/>
        <w:ind w:firstLine="480" w:firstLineChars="200"/>
      </w:pPr>
      <w:r>
        <w:t>1.首先，评标委员会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pPr>
        <w:spacing w:line="360" w:lineRule="exact"/>
        <w:ind w:firstLine="480" w:firstLineChars="200"/>
      </w:pPr>
      <w:r>
        <w:t>2.其次，评标委员会直接确定排名第一的投标人为中标人。</w:t>
      </w:r>
    </w:p>
    <w:p>
      <w:pPr>
        <w:spacing w:line="360" w:lineRule="exact"/>
        <w:ind w:firstLine="480" w:firstLineChars="200"/>
      </w:pPr>
      <w:r>
        <w:t>（七）完成评标报告</w:t>
      </w:r>
    </w:p>
    <w:p>
      <w:pPr>
        <w:pStyle w:val="31"/>
        <w:spacing w:line="360" w:lineRule="exact"/>
        <w:ind w:firstLine="480"/>
        <w:rPr>
          <w:rFonts w:ascii="Times New Roman" w:hAnsi="Times New Roman" w:cs="Times New Roman"/>
          <w:sz w:val="24"/>
          <w:szCs w:val="24"/>
        </w:rPr>
      </w:pPr>
      <w:r>
        <w:rPr>
          <w:rFonts w:ascii="Times New Roman" w:hAnsi="Times New Roman" w:cs="Times New Roman"/>
          <w:kern w:val="0"/>
          <w:sz w:val="24"/>
        </w:rPr>
        <w:t>评标委员会根据评审相关情况作出评标报告</w:t>
      </w:r>
      <w:r>
        <w:rPr>
          <w:rFonts w:ascii="Times New Roman" w:hAnsi="Times New Roman" w:cs="Times New Roman"/>
          <w:sz w:val="24"/>
        </w:rPr>
        <w:t>。</w:t>
      </w:r>
    </w:p>
    <w:p>
      <w:pPr>
        <w:pStyle w:val="31"/>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二、确定的中标人放弃中标等情况的处理</w:t>
      </w:r>
      <w:bookmarkEnd w:id="91"/>
      <w:bookmarkEnd w:id="92"/>
      <w:bookmarkEnd w:id="93"/>
      <w:bookmarkEnd w:id="94"/>
      <w:bookmarkEnd w:id="95"/>
      <w:bookmarkEnd w:id="96"/>
    </w:p>
    <w:p>
      <w:pPr>
        <w:spacing w:line="360" w:lineRule="exact"/>
        <w:ind w:firstLine="470" w:firstLineChars="196"/>
        <w:rPr>
          <w:b/>
        </w:rPr>
      </w:pPr>
      <w:r>
        <w:t>当确定的中标人放弃中标，因不可抗力提出不能履行合同，或者质疑投诉成立，取消中标人资格的，都不再确定其余投标人作为中标人</w:t>
      </w:r>
      <w:r>
        <w:rPr>
          <w:b/>
        </w:rPr>
        <w:t>。</w:t>
      </w:r>
    </w:p>
    <w:p>
      <w:pPr>
        <w:pStyle w:val="31"/>
        <w:numPr>
          <w:ilvl w:val="0"/>
          <w:numId w:val="5"/>
        </w:numPr>
        <w:spacing w:line="360" w:lineRule="exact"/>
        <w:ind w:left="58" w:leftChars="0" w:firstLine="422" w:firstLineChars="0"/>
        <w:rPr>
          <w:rFonts w:ascii="Times New Roman" w:hAnsi="Times New Roman" w:cs="Times New Roman"/>
          <w:b/>
        </w:rPr>
      </w:pPr>
      <w:r>
        <w:rPr>
          <w:rFonts w:ascii="Times New Roman" w:hAnsi="Times New Roman" w:cs="Times New Roman"/>
          <w:b/>
        </w:rPr>
        <w:t>评分细则</w:t>
      </w:r>
      <w:bookmarkStart w:id="109" w:name="_GoBack"/>
      <w:bookmarkEnd w:id="109"/>
    </w:p>
    <w:tbl>
      <w:tblPr>
        <w:tblStyle w:val="57"/>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10"/>
        <w:gridCol w:w="6720"/>
        <w:gridCol w:w="70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2"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序号</w:t>
            </w:r>
          </w:p>
        </w:tc>
        <w:tc>
          <w:tcPr>
            <w:tcW w:w="1110" w:type="dxa"/>
            <w:noWrap/>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评分内容</w:t>
            </w:r>
          </w:p>
        </w:tc>
        <w:tc>
          <w:tcPr>
            <w:tcW w:w="6720" w:type="dxa"/>
            <w:noWrap/>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评分细则</w:t>
            </w:r>
          </w:p>
        </w:tc>
        <w:tc>
          <w:tcPr>
            <w:tcW w:w="705"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分值</w:t>
            </w:r>
          </w:p>
        </w:tc>
        <w:tc>
          <w:tcPr>
            <w:tcW w:w="646"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62"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一</w:t>
            </w:r>
          </w:p>
        </w:tc>
        <w:tc>
          <w:tcPr>
            <w:tcW w:w="1110"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商务技术分</w:t>
            </w:r>
          </w:p>
        </w:tc>
        <w:tc>
          <w:tcPr>
            <w:tcW w:w="6720" w:type="dxa"/>
            <w:noWrap/>
          </w:tcPr>
          <w:p>
            <w:pPr>
              <w:spacing w:line="240" w:lineRule="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705"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eastAsia" w:cs="Times New Roman"/>
                <w:b w:val="0"/>
                <w:bCs/>
                <w:sz w:val="21"/>
                <w:szCs w:val="21"/>
                <w:highlight w:val="none"/>
                <w:lang w:val="en-US" w:eastAsia="zh-CN"/>
              </w:rPr>
              <w:t>90</w:t>
            </w:r>
            <w:r>
              <w:rPr>
                <w:rFonts w:hint="default" w:ascii="Times New Roman" w:hAnsi="Times New Roman" w:eastAsia="宋体" w:cs="Times New Roman"/>
                <w:b w:val="0"/>
                <w:bCs/>
                <w:sz w:val="21"/>
                <w:szCs w:val="21"/>
                <w:highlight w:val="none"/>
              </w:rPr>
              <w:t>分</w:t>
            </w:r>
          </w:p>
        </w:tc>
        <w:tc>
          <w:tcPr>
            <w:tcW w:w="646" w:type="dxa"/>
            <w:noWrap/>
            <w:vAlign w:val="center"/>
          </w:tcPr>
          <w:p>
            <w:pPr>
              <w:spacing w:line="240" w:lineRule="auto"/>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62" w:type="dxa"/>
            <w:noWrap/>
            <w:vAlign w:val="center"/>
          </w:tcPr>
          <w:p>
            <w:pPr>
              <w:spacing w:line="240" w:lineRule="auto"/>
              <w:jc w:val="center"/>
              <w:rPr>
                <w:rFonts w:hint="default" w:ascii="Times New Roman" w:hAnsi="Times New Roman" w:eastAsia="宋体" w:cs="Times New Roman"/>
                <w:b w:val="0"/>
                <w:bCs/>
                <w:sz w:val="21"/>
                <w:szCs w:val="21"/>
                <w:highlight w:val="none"/>
              </w:rPr>
            </w:pPr>
          </w:p>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1</w:t>
            </w:r>
          </w:p>
        </w:tc>
        <w:tc>
          <w:tcPr>
            <w:tcW w:w="1110" w:type="dxa"/>
            <w:noWrap/>
            <w:vAlign w:val="center"/>
          </w:tcPr>
          <w:p>
            <w:pPr>
              <w:widowControl/>
              <w:jc w:val="center"/>
              <w:rPr>
                <w:rFonts w:hint="default" w:ascii="Times New Roman" w:hAnsi="Times New Roman" w:eastAsia="宋体" w:cs="Times New Roman"/>
                <w:kern w:val="0"/>
                <w:sz w:val="21"/>
                <w:szCs w:val="21"/>
                <w:highlight w:val="none"/>
              </w:rPr>
            </w:pPr>
          </w:p>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rPr>
              <w:t>同类业绩（</w:t>
            </w:r>
            <w:r>
              <w:rPr>
                <w:rFonts w:hint="eastAsia" w:cs="Times New Roman"/>
                <w:kern w:val="0"/>
                <w:sz w:val="21"/>
                <w:szCs w:val="21"/>
                <w:highlight w:val="none"/>
                <w:lang w:val="en-US" w:eastAsia="zh-CN"/>
              </w:rPr>
              <w:t>1</w:t>
            </w:r>
            <w:r>
              <w:rPr>
                <w:rFonts w:hint="default" w:ascii="Times New Roman" w:hAnsi="Times New Roman" w:eastAsia="宋体" w:cs="Times New Roman"/>
                <w:kern w:val="0"/>
                <w:sz w:val="21"/>
                <w:szCs w:val="21"/>
                <w:highlight w:val="none"/>
              </w:rPr>
              <w:t>分）</w:t>
            </w:r>
          </w:p>
        </w:tc>
        <w:tc>
          <w:tcPr>
            <w:tcW w:w="6720" w:type="dxa"/>
            <w:noWrap/>
            <w:vAlign w:val="center"/>
          </w:tcPr>
          <w:p>
            <w:pPr>
              <w:spacing w:line="240" w:lineRule="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投标人提供近</w:t>
            </w:r>
            <w:r>
              <w:rPr>
                <w:rFonts w:hint="eastAsia" w:ascii="Times New Roman" w:hAnsi="Times New Roman" w:eastAsia="宋体" w:cs="Times New Roman"/>
                <w:b w:val="0"/>
                <w:bCs/>
                <w:sz w:val="21"/>
                <w:szCs w:val="21"/>
                <w:highlight w:val="none"/>
                <w:lang w:val="en-US" w:eastAsia="zh-CN"/>
              </w:rPr>
              <w:t>3</w:t>
            </w:r>
            <w:r>
              <w:rPr>
                <w:rFonts w:hint="default" w:ascii="Times New Roman" w:hAnsi="Times New Roman" w:eastAsia="宋体" w:cs="Times New Roman"/>
                <w:b w:val="0"/>
                <w:bCs/>
                <w:sz w:val="21"/>
                <w:szCs w:val="21"/>
                <w:highlight w:val="none"/>
              </w:rPr>
              <w:t>年内（20</w:t>
            </w:r>
            <w:r>
              <w:rPr>
                <w:rFonts w:hint="eastAsia" w:ascii="Times New Roman" w:hAnsi="Times New Roman" w:eastAsia="宋体" w:cs="Times New Roman"/>
                <w:b w:val="0"/>
                <w:bCs/>
                <w:sz w:val="21"/>
                <w:szCs w:val="21"/>
                <w:highlight w:val="none"/>
                <w:lang w:val="en-US" w:eastAsia="zh-CN"/>
              </w:rPr>
              <w:t>19</w:t>
            </w:r>
            <w:r>
              <w:rPr>
                <w:rFonts w:hint="default" w:ascii="Times New Roman" w:hAnsi="Times New Roman" w:eastAsia="宋体" w:cs="Times New Roman"/>
                <w:b w:val="0"/>
                <w:bCs/>
                <w:sz w:val="21"/>
                <w:szCs w:val="21"/>
                <w:highlight w:val="none"/>
              </w:rPr>
              <w:t>年1月1日至今，以合同签订日期为准）类似项目业绩，每提供一个得</w:t>
            </w:r>
            <w:r>
              <w:rPr>
                <w:rFonts w:hint="eastAsia" w:ascii="Times New Roman" w:hAnsi="Times New Roman" w:eastAsia="宋体" w:cs="Times New Roman"/>
                <w:b w:val="0"/>
                <w:bCs/>
                <w:sz w:val="21"/>
                <w:szCs w:val="21"/>
                <w:highlight w:val="none"/>
                <w:lang w:val="en-US" w:eastAsia="zh-CN"/>
              </w:rPr>
              <w:t>0.5</w:t>
            </w:r>
            <w:r>
              <w:rPr>
                <w:rFonts w:hint="default" w:ascii="Times New Roman" w:hAnsi="Times New Roman" w:eastAsia="宋体" w:cs="Times New Roman"/>
                <w:b w:val="0"/>
                <w:bCs/>
                <w:sz w:val="21"/>
                <w:szCs w:val="21"/>
                <w:highlight w:val="none"/>
              </w:rPr>
              <w:t>分，最高得</w:t>
            </w:r>
            <w:r>
              <w:rPr>
                <w:rFonts w:hint="eastAsia" w:ascii="Times New Roman" w:hAnsi="Times New Roman" w:eastAsia="宋体" w:cs="Times New Roman"/>
                <w:b w:val="0"/>
                <w:bCs/>
                <w:sz w:val="21"/>
                <w:szCs w:val="21"/>
                <w:highlight w:val="none"/>
                <w:lang w:val="en-US" w:eastAsia="zh-CN"/>
              </w:rPr>
              <w:t>1</w:t>
            </w:r>
            <w:r>
              <w:rPr>
                <w:rFonts w:hint="default" w:ascii="Times New Roman" w:hAnsi="Times New Roman" w:eastAsia="宋体" w:cs="Times New Roman"/>
                <w:b w:val="0"/>
                <w:bCs/>
                <w:sz w:val="21"/>
                <w:szCs w:val="21"/>
                <w:highlight w:val="none"/>
              </w:rPr>
              <w:t>分</w:t>
            </w:r>
            <w:r>
              <w:rPr>
                <w:rFonts w:hint="eastAsia" w:ascii="Times New Roman" w:hAnsi="Times New Roman" w:eastAsia="宋体" w:cs="Times New Roman"/>
                <w:b w:val="0"/>
                <w:bCs/>
                <w:sz w:val="21"/>
                <w:szCs w:val="21"/>
                <w:highlight w:val="none"/>
                <w:lang w:eastAsia="zh-CN"/>
              </w:rPr>
              <w:t>。</w:t>
            </w:r>
          </w:p>
          <w:p>
            <w:pPr>
              <w:spacing w:line="240" w:lineRule="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rPr>
              <w:t>投标文件商务技术响应文件中提供合同扫描件加盖投标单位电子签章，提供的合同</w:t>
            </w:r>
            <w:r>
              <w:rPr>
                <w:rFonts w:hint="eastAsia" w:ascii="Times New Roman" w:hAnsi="Times New Roman" w:eastAsia="宋体" w:cs="Times New Roman"/>
                <w:b w:val="0"/>
                <w:bCs/>
                <w:sz w:val="21"/>
                <w:szCs w:val="21"/>
                <w:highlight w:val="none"/>
                <w:lang w:eastAsia="zh-CN"/>
              </w:rPr>
              <w:t>扫描件</w:t>
            </w:r>
            <w:r>
              <w:rPr>
                <w:rFonts w:hint="default" w:ascii="Times New Roman" w:hAnsi="Times New Roman" w:eastAsia="宋体" w:cs="Times New Roman"/>
                <w:b w:val="0"/>
                <w:bCs/>
                <w:sz w:val="21"/>
                <w:szCs w:val="21"/>
                <w:highlight w:val="none"/>
              </w:rPr>
              <w:t>清单内容能体现类似项目情况</w:t>
            </w:r>
            <w:r>
              <w:rPr>
                <w:rFonts w:hint="eastAsia" w:ascii="Times New Roman" w:hAnsi="Times New Roman" w:eastAsia="宋体" w:cs="Times New Roman"/>
                <w:b w:val="0"/>
                <w:bCs/>
                <w:sz w:val="21"/>
                <w:szCs w:val="21"/>
                <w:highlight w:val="none"/>
                <w:lang w:eastAsia="zh-CN"/>
              </w:rPr>
              <w:t>，</w:t>
            </w:r>
            <w:r>
              <w:rPr>
                <w:rFonts w:hint="default" w:ascii="Times New Roman" w:hAnsi="Times New Roman" w:eastAsia="宋体" w:cs="Times New Roman"/>
                <w:b w:val="0"/>
                <w:bCs/>
                <w:sz w:val="21"/>
                <w:szCs w:val="21"/>
                <w:highlight w:val="none"/>
              </w:rPr>
              <w:t>否则不</w:t>
            </w:r>
            <w:r>
              <w:rPr>
                <w:rFonts w:hint="eastAsia" w:ascii="Times New Roman" w:hAnsi="Times New Roman" w:eastAsia="宋体" w:cs="Times New Roman"/>
                <w:b w:val="0"/>
                <w:bCs/>
                <w:sz w:val="21"/>
                <w:szCs w:val="21"/>
                <w:highlight w:val="none"/>
                <w:lang w:eastAsia="zh-CN"/>
              </w:rPr>
              <w:t>得分</w:t>
            </w:r>
            <w:r>
              <w:rPr>
                <w:rFonts w:hint="default" w:ascii="Times New Roman" w:hAnsi="Times New Roman" w:eastAsia="宋体" w:cs="Times New Roman"/>
                <w:b w:val="0"/>
                <w:bCs/>
                <w:sz w:val="21"/>
                <w:szCs w:val="21"/>
                <w:highlight w:val="none"/>
              </w:rPr>
              <w:t>。</w:t>
            </w:r>
          </w:p>
        </w:tc>
        <w:tc>
          <w:tcPr>
            <w:tcW w:w="705" w:type="dxa"/>
            <w:noWrap/>
            <w:vAlign w:val="center"/>
          </w:tcPr>
          <w:p>
            <w:pPr>
              <w:adjustRightInd w:val="0"/>
              <w:snapToGrid w:val="0"/>
              <w:spacing w:line="240" w:lineRule="auto"/>
              <w:jc w:val="center"/>
              <w:textAlignment w:val="baseline"/>
              <w:rPr>
                <w:rFonts w:hint="default" w:ascii="Times New Roman" w:hAnsi="Times New Roman" w:eastAsia="宋体" w:cs="Times New Roman"/>
                <w:b w:val="0"/>
                <w:bCs/>
                <w:sz w:val="21"/>
                <w:szCs w:val="21"/>
                <w:highlight w:val="none"/>
              </w:rPr>
            </w:pPr>
          </w:p>
          <w:p>
            <w:pPr>
              <w:adjustRightInd w:val="0"/>
              <w:snapToGrid w:val="0"/>
              <w:spacing w:line="240" w:lineRule="auto"/>
              <w:jc w:val="center"/>
              <w:textAlignment w:val="baseline"/>
              <w:rPr>
                <w:rFonts w:hint="default" w:ascii="Times New Roman" w:hAnsi="Times New Roman" w:eastAsia="宋体" w:cs="Times New Roman"/>
                <w:b w:val="0"/>
                <w:bCs/>
                <w:sz w:val="21"/>
                <w:szCs w:val="21"/>
                <w:highlight w:val="none"/>
                <w:lang w:val="en-US" w:eastAsia="zh-CN" w:bidi="ar-SA"/>
              </w:rPr>
            </w:pPr>
            <w:r>
              <w:rPr>
                <w:rFonts w:hint="default" w:ascii="Times New Roman" w:hAnsi="Times New Roman" w:eastAsia="宋体" w:cs="Times New Roman"/>
                <w:b w:val="0"/>
                <w:bCs/>
                <w:sz w:val="21"/>
                <w:szCs w:val="21"/>
                <w:highlight w:val="none"/>
              </w:rPr>
              <w:t>0-</w:t>
            </w:r>
            <w:r>
              <w:rPr>
                <w:rFonts w:hint="eastAsia" w:cs="Times New Roman"/>
                <w:b w:val="0"/>
                <w:bCs/>
                <w:sz w:val="21"/>
                <w:szCs w:val="21"/>
                <w:highlight w:val="none"/>
                <w:lang w:val="en-US" w:eastAsia="zh-CN"/>
              </w:rPr>
              <w:t>1</w:t>
            </w:r>
          </w:p>
        </w:tc>
        <w:tc>
          <w:tcPr>
            <w:tcW w:w="646" w:type="dxa"/>
            <w:noWrap/>
            <w:vAlign w:val="center"/>
          </w:tcPr>
          <w:p>
            <w:pPr>
              <w:spacing w:line="240" w:lineRule="auto"/>
              <w:jc w:val="center"/>
              <w:rPr>
                <w:rFonts w:hint="default" w:ascii="Times New Roman" w:hAnsi="Times New Roman" w:eastAsia="宋体" w:cs="Times New Roman"/>
                <w:b w:val="0"/>
                <w:bCs/>
                <w:sz w:val="21"/>
                <w:szCs w:val="21"/>
                <w:highlight w:val="none"/>
              </w:rPr>
            </w:pPr>
          </w:p>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2" w:type="dxa"/>
            <w:noWrap/>
            <w:vAlign w:val="center"/>
          </w:tcPr>
          <w:p>
            <w:pPr>
              <w:spacing w:line="240" w:lineRule="auto"/>
              <w:jc w:val="center"/>
              <w:rPr>
                <w:rFonts w:hint="default" w:ascii="Times New Roman" w:hAnsi="Times New Roman" w:eastAsia="宋体" w:cs="Times New Roman"/>
                <w:b w:val="0"/>
                <w:bCs/>
                <w:sz w:val="21"/>
                <w:szCs w:val="21"/>
                <w:highlight w:val="none"/>
                <w:lang w:eastAsia="zh-CN"/>
              </w:rPr>
            </w:pPr>
            <w:r>
              <w:rPr>
                <w:rFonts w:hint="default" w:ascii="Times New Roman" w:hAnsi="Times New Roman" w:eastAsia="宋体" w:cs="Times New Roman"/>
                <w:b w:val="0"/>
                <w:bCs/>
                <w:sz w:val="21"/>
                <w:szCs w:val="21"/>
                <w:highlight w:val="none"/>
                <w:lang w:val="en-US" w:eastAsia="zh-CN"/>
              </w:rPr>
              <w:t>2</w:t>
            </w:r>
          </w:p>
        </w:tc>
        <w:tc>
          <w:tcPr>
            <w:tcW w:w="1110" w:type="dxa"/>
            <w:noWrap/>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rPr>
              <w:t>投标人能力体现（4分）</w:t>
            </w:r>
          </w:p>
        </w:tc>
        <w:tc>
          <w:tcPr>
            <w:tcW w:w="6720" w:type="dxa"/>
            <w:noWrap/>
            <w:vAlign w:val="center"/>
          </w:tcPr>
          <w:p>
            <w:pPr>
              <w:spacing w:line="240" w:lineRule="auto"/>
              <w:rPr>
                <w:rFonts w:hint="eastAsia"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rPr>
              <w:t>(</w:t>
            </w:r>
            <w:r>
              <w:rPr>
                <w:rFonts w:hint="eastAsia" w:ascii="Times New Roman" w:hAnsi="Times New Roman" w:eastAsia="宋体" w:cs="Times New Roman"/>
                <w:b w:val="0"/>
                <w:bCs/>
                <w:sz w:val="21"/>
                <w:szCs w:val="21"/>
                <w:highlight w:val="none"/>
                <w:lang w:val="en-US" w:eastAsia="zh-CN"/>
              </w:rPr>
              <w:t>1</w:t>
            </w:r>
            <w:r>
              <w:rPr>
                <w:rFonts w:hint="default" w:ascii="Times New Roman" w:hAnsi="Times New Roman" w:eastAsia="宋体" w:cs="Times New Roman"/>
                <w:b w:val="0"/>
                <w:bCs/>
                <w:sz w:val="21"/>
                <w:szCs w:val="21"/>
                <w:highlight w:val="none"/>
              </w:rPr>
              <w:t>)投标人具备能力成熟度模型集成（CMMI）认证证书：5级及以上的得2分；(2)投标人具备数据安全能力成熟度证书得2分</w:t>
            </w:r>
            <w:r>
              <w:rPr>
                <w:rFonts w:hint="eastAsia" w:ascii="Times New Roman" w:hAnsi="Times New Roman" w:eastAsia="宋体" w:cs="Times New Roman"/>
                <w:b w:val="0"/>
                <w:bCs/>
                <w:sz w:val="21"/>
                <w:szCs w:val="21"/>
                <w:highlight w:val="none"/>
                <w:lang w:eastAsia="zh-CN"/>
              </w:rPr>
              <w:t>。</w:t>
            </w:r>
            <w:r>
              <w:rPr>
                <w:rFonts w:hint="default" w:ascii="Times New Roman" w:hAnsi="Times New Roman" w:eastAsia="宋体" w:cs="Times New Roman"/>
                <w:b w:val="0"/>
                <w:bCs/>
                <w:sz w:val="21"/>
                <w:szCs w:val="21"/>
                <w:highlight w:val="none"/>
              </w:rPr>
              <w:t>不具备不得分。</w:t>
            </w:r>
            <w:r>
              <w:rPr>
                <w:rFonts w:hint="eastAsia" w:ascii="Times New Roman" w:hAnsi="Times New Roman" w:eastAsia="宋体" w:cs="Times New Roman"/>
                <w:b w:val="0"/>
                <w:bCs/>
                <w:sz w:val="21"/>
                <w:szCs w:val="21"/>
                <w:highlight w:val="none"/>
                <w:lang w:eastAsia="zh-CN"/>
              </w:rPr>
              <w:t>投标文件商务技术响应文件中提供证书扫描件。</w:t>
            </w:r>
          </w:p>
        </w:tc>
        <w:tc>
          <w:tcPr>
            <w:tcW w:w="705" w:type="dxa"/>
            <w:noWrap/>
            <w:vAlign w:val="center"/>
          </w:tcPr>
          <w:p>
            <w:pPr>
              <w:adjustRightInd w:val="0"/>
              <w:snapToGrid w:val="0"/>
              <w:spacing w:line="240" w:lineRule="auto"/>
              <w:jc w:val="center"/>
              <w:textAlignment w:val="baseline"/>
              <w:rPr>
                <w:rFonts w:hint="default" w:ascii="Times New Roman" w:hAnsi="Times New Roman" w:eastAsia="宋体" w:cs="Times New Roman"/>
                <w:b w:val="0"/>
                <w:bCs/>
                <w:sz w:val="21"/>
                <w:szCs w:val="21"/>
                <w:highlight w:val="none"/>
                <w:lang w:val="en-US" w:eastAsia="zh-CN" w:bidi="ar-SA"/>
              </w:rPr>
            </w:pPr>
            <w:r>
              <w:rPr>
                <w:rFonts w:hint="default" w:ascii="Times New Roman" w:hAnsi="Times New Roman" w:eastAsia="宋体" w:cs="Times New Roman"/>
                <w:b w:val="0"/>
                <w:bCs/>
                <w:sz w:val="21"/>
                <w:szCs w:val="21"/>
                <w:highlight w:val="none"/>
              </w:rPr>
              <w:t>0-</w:t>
            </w:r>
            <w:r>
              <w:rPr>
                <w:rFonts w:hint="eastAsia" w:ascii="Times New Roman" w:hAnsi="Times New Roman" w:eastAsia="宋体" w:cs="Times New Roman"/>
                <w:b w:val="0"/>
                <w:bCs/>
                <w:sz w:val="21"/>
                <w:szCs w:val="21"/>
                <w:highlight w:val="none"/>
                <w:lang w:val="en-US" w:eastAsia="zh-CN"/>
              </w:rPr>
              <w:t>4</w:t>
            </w:r>
          </w:p>
        </w:tc>
        <w:tc>
          <w:tcPr>
            <w:tcW w:w="646"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lang w:eastAsia="zh-CN"/>
              </w:rPr>
              <w:t>客观</w:t>
            </w:r>
            <w:r>
              <w:rPr>
                <w:rFonts w:hint="default" w:ascii="Times New Roman" w:hAnsi="Times New Roman" w:eastAsia="宋体" w:cs="Times New Roman"/>
                <w:b w:val="0"/>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2" w:type="dxa"/>
            <w:vMerge w:val="restart"/>
            <w:noWrap/>
            <w:vAlign w:val="center"/>
          </w:tcPr>
          <w:p>
            <w:pPr>
              <w:spacing w:line="240" w:lineRule="auto"/>
              <w:jc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sz w:val="21"/>
                <w:szCs w:val="21"/>
                <w:highlight w:val="none"/>
                <w:lang w:val="en-US" w:eastAsia="zh-CN"/>
              </w:rPr>
              <w:t>3</w:t>
            </w:r>
          </w:p>
        </w:tc>
        <w:tc>
          <w:tcPr>
            <w:tcW w:w="1110" w:type="dxa"/>
            <w:vMerge w:val="restart"/>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技术服务方案(</w:t>
            </w:r>
            <w:r>
              <w:rPr>
                <w:rFonts w:hint="eastAsia" w:cs="Times New Roman"/>
                <w:kern w:val="0"/>
                <w:sz w:val="21"/>
                <w:szCs w:val="21"/>
                <w:lang w:val="en-US" w:eastAsia="zh-CN"/>
              </w:rPr>
              <w:t>14</w:t>
            </w:r>
            <w:r>
              <w:rPr>
                <w:rFonts w:hint="default" w:ascii="Times New Roman" w:hAnsi="Times New Roman" w:eastAsia="宋体" w:cs="Times New Roman"/>
                <w:kern w:val="0"/>
                <w:sz w:val="21"/>
                <w:szCs w:val="21"/>
              </w:rPr>
              <w:t>分)</w:t>
            </w:r>
          </w:p>
        </w:tc>
        <w:tc>
          <w:tcPr>
            <w:tcW w:w="6720" w:type="dxa"/>
            <w:noWrap/>
            <w:vAlign w:val="center"/>
          </w:tcPr>
          <w:p>
            <w:pPr>
              <w:spacing w:line="240" w:lineRule="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rPr>
              <w:t>投标人对本项目的业务现状和安全需求提供详尽的需求分析，结合本项目的实际情况，对需求分析的合理性进行评议，</w:t>
            </w:r>
            <w:r>
              <w:rPr>
                <w:rFonts w:hint="eastAsia" w:ascii="Times New Roman" w:hAnsi="Times New Roman" w:eastAsia="宋体" w:cs="Times New Roman"/>
                <w:b w:val="0"/>
                <w:bCs/>
                <w:sz w:val="21"/>
                <w:szCs w:val="21"/>
                <w:highlight w:val="none"/>
                <w:lang w:val="en-US" w:eastAsia="zh-CN"/>
              </w:rPr>
              <w:t>0-2</w:t>
            </w:r>
            <w:r>
              <w:rPr>
                <w:rFonts w:hint="default" w:ascii="Times New Roman" w:hAnsi="Times New Roman" w:eastAsia="宋体" w:cs="Times New Roman"/>
                <w:b w:val="0"/>
                <w:bCs/>
                <w:sz w:val="21"/>
                <w:szCs w:val="21"/>
                <w:highlight w:val="none"/>
              </w:rPr>
              <w:t>分</w:t>
            </w:r>
            <w:r>
              <w:rPr>
                <w:rFonts w:hint="eastAsia" w:ascii="Times New Roman" w:hAnsi="Times New Roman" w:eastAsia="宋体" w:cs="Times New Roman"/>
                <w:b w:val="0"/>
                <w:bCs/>
                <w:sz w:val="21"/>
                <w:szCs w:val="21"/>
                <w:highlight w:val="none"/>
                <w:lang w:eastAsia="zh-CN"/>
              </w:rPr>
              <w:t>，</w:t>
            </w:r>
            <w:r>
              <w:rPr>
                <w:rFonts w:hint="eastAsia" w:ascii="Times New Roman" w:hAnsi="Times New Roman" w:eastAsia="宋体" w:cs="Times New Roman"/>
                <w:b w:val="0"/>
                <w:bCs/>
                <w:sz w:val="21"/>
                <w:szCs w:val="21"/>
                <w:highlight w:val="none"/>
              </w:rPr>
              <w:t>不提供不得分</w:t>
            </w:r>
            <w:r>
              <w:rPr>
                <w:rFonts w:hint="default" w:ascii="Times New Roman" w:hAnsi="Times New Roman" w:eastAsia="宋体" w:cs="Times New Roman"/>
                <w:b w:val="0"/>
                <w:bCs/>
                <w:sz w:val="21"/>
                <w:szCs w:val="21"/>
                <w:highlight w:val="none"/>
              </w:rPr>
              <w:t>。</w:t>
            </w:r>
          </w:p>
        </w:tc>
        <w:tc>
          <w:tcPr>
            <w:tcW w:w="705" w:type="dxa"/>
            <w:noWrap/>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0-</w:t>
            </w:r>
            <w:r>
              <w:rPr>
                <w:rFonts w:hint="eastAsia" w:cs="Times New Roman"/>
                <w:b w:val="0"/>
                <w:bCs/>
                <w:color w:val="auto"/>
                <w:sz w:val="21"/>
                <w:szCs w:val="21"/>
                <w:highlight w:val="none"/>
                <w:lang w:val="en-US" w:eastAsia="zh-CN"/>
              </w:rPr>
              <w:t>2</w:t>
            </w:r>
          </w:p>
        </w:tc>
        <w:tc>
          <w:tcPr>
            <w:tcW w:w="646" w:type="dxa"/>
            <w:noWrap/>
            <w:vAlign w:val="center"/>
          </w:tcPr>
          <w:p>
            <w:pPr>
              <w:spacing w:line="240" w:lineRule="auto"/>
              <w:jc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sz w:val="21"/>
                <w:szCs w:val="21"/>
                <w:highlight w:val="none"/>
                <w:lang w:eastAsia="zh-CN"/>
              </w:rPr>
              <w:t>主观</w:t>
            </w:r>
            <w:r>
              <w:rPr>
                <w:rFonts w:hint="default" w:ascii="Times New Roman" w:hAnsi="Times New Roman" w:eastAsia="宋体" w:cs="Times New Roman"/>
                <w:b w:val="0"/>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2" w:type="dxa"/>
            <w:vMerge w:val="continue"/>
            <w:noWrap/>
            <w:vAlign w:val="center"/>
          </w:tcPr>
          <w:p>
            <w:pPr>
              <w:spacing w:line="240" w:lineRule="auto"/>
              <w:rPr>
                <w:rFonts w:hint="default" w:ascii="Times New Roman" w:hAnsi="Times New Roman" w:eastAsia="宋体" w:cs="Times New Roman"/>
                <w:b w:val="0"/>
                <w:bCs/>
                <w:color w:val="auto"/>
                <w:sz w:val="21"/>
                <w:szCs w:val="21"/>
                <w:highlight w:val="none"/>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color w:val="auto"/>
                <w:sz w:val="21"/>
                <w:szCs w:val="21"/>
                <w:highlight w:val="none"/>
                <w:lang w:eastAsia="zh-CN"/>
              </w:rPr>
            </w:pPr>
          </w:p>
        </w:tc>
        <w:tc>
          <w:tcPr>
            <w:tcW w:w="6720" w:type="dxa"/>
            <w:noWrap/>
            <w:vAlign w:val="center"/>
          </w:tcPr>
          <w:p>
            <w:pPr>
              <w:spacing w:line="240" w:lineRule="auto"/>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eastAsia="zh-CN"/>
              </w:rPr>
              <w:t>根据</w:t>
            </w:r>
            <w:r>
              <w:rPr>
                <w:rFonts w:hint="default" w:ascii="Times New Roman" w:hAnsi="Times New Roman" w:eastAsia="宋体" w:cs="Times New Roman"/>
                <w:b w:val="0"/>
                <w:bCs/>
                <w:sz w:val="21"/>
                <w:szCs w:val="21"/>
                <w:highlight w:val="none"/>
              </w:rPr>
              <w:t>本项目的整体解决方案的先进性、合理性进行</w:t>
            </w:r>
            <w:r>
              <w:rPr>
                <w:rFonts w:hint="eastAsia" w:ascii="Times New Roman" w:hAnsi="Times New Roman" w:eastAsia="宋体" w:cs="Times New Roman"/>
                <w:b w:val="0"/>
                <w:bCs/>
                <w:sz w:val="21"/>
                <w:szCs w:val="21"/>
                <w:highlight w:val="none"/>
                <w:lang w:eastAsia="zh-CN"/>
              </w:rPr>
              <w:t>打分</w:t>
            </w:r>
            <w:r>
              <w:rPr>
                <w:rFonts w:hint="default" w:ascii="Times New Roman" w:hAnsi="Times New Roman" w:eastAsia="宋体" w:cs="Times New Roman"/>
                <w:b w:val="0"/>
                <w:bCs/>
                <w:sz w:val="21"/>
                <w:szCs w:val="21"/>
                <w:highlight w:val="none"/>
              </w:rPr>
              <w:t>，包括具备构建覆盖“云、网、端、数据、应用、行为”的安全技术防护能力，可将多维度的数据进行汇聚整合、联动及安全管理，形成“1+4”的监管模式</w:t>
            </w:r>
            <w:r>
              <w:rPr>
                <w:rFonts w:hint="eastAsia" w:ascii="Times New Roman" w:hAnsi="Times New Roman" w:eastAsia="宋体" w:cs="Times New Roman"/>
                <w:b w:val="0"/>
                <w:bCs/>
                <w:sz w:val="21"/>
                <w:szCs w:val="21"/>
                <w:highlight w:val="none"/>
                <w:lang w:eastAsia="zh-CN"/>
              </w:rPr>
              <w:t>（</w:t>
            </w:r>
            <w:r>
              <w:rPr>
                <w:rFonts w:hint="eastAsia" w:ascii="Times New Roman" w:hAnsi="Times New Roman" w:eastAsia="宋体" w:cs="Times New Roman"/>
                <w:b w:val="0"/>
                <w:bCs/>
                <w:sz w:val="21"/>
                <w:szCs w:val="21"/>
                <w:highlight w:val="none"/>
              </w:rPr>
              <w:t>一个服务—全链路网络安全监管服务，四项监管成果—补短板、强基础、严考核、重闭环</w:t>
            </w:r>
            <w:r>
              <w:rPr>
                <w:rFonts w:hint="eastAsia" w:ascii="Times New Roman" w:hAnsi="Times New Roman" w:eastAsia="宋体" w:cs="Times New Roman"/>
                <w:b w:val="0"/>
                <w:bCs/>
                <w:sz w:val="21"/>
                <w:szCs w:val="21"/>
                <w:highlight w:val="none"/>
                <w:lang w:eastAsia="zh-CN"/>
              </w:rPr>
              <w:t>）等情况</w:t>
            </w:r>
            <w:r>
              <w:rPr>
                <w:rFonts w:hint="default" w:ascii="Times New Roman" w:hAnsi="Times New Roman" w:eastAsia="宋体" w:cs="Times New Roman"/>
                <w:b w:val="0"/>
                <w:bCs/>
                <w:sz w:val="21"/>
                <w:szCs w:val="21"/>
                <w:highlight w:val="none"/>
              </w:rPr>
              <w:t>，</w:t>
            </w:r>
            <w:r>
              <w:rPr>
                <w:rFonts w:hint="eastAsia" w:ascii="Times New Roman" w:hAnsi="Times New Roman" w:eastAsia="宋体" w:cs="Times New Roman"/>
                <w:b w:val="0"/>
                <w:bCs/>
                <w:sz w:val="21"/>
                <w:szCs w:val="21"/>
                <w:highlight w:val="none"/>
                <w:lang w:val="en-US" w:eastAsia="zh-CN"/>
              </w:rPr>
              <w:t>1-</w:t>
            </w:r>
            <w:r>
              <w:rPr>
                <w:rFonts w:hint="default" w:ascii="Times New Roman" w:hAnsi="Times New Roman" w:eastAsia="宋体" w:cs="Times New Roman"/>
                <w:b w:val="0"/>
                <w:bCs/>
                <w:sz w:val="21"/>
                <w:szCs w:val="21"/>
                <w:highlight w:val="none"/>
              </w:rPr>
              <w:t>4分</w:t>
            </w:r>
            <w:r>
              <w:rPr>
                <w:rFonts w:hint="eastAsia" w:ascii="Times New Roman" w:hAnsi="Times New Roman" w:eastAsia="宋体" w:cs="Times New Roman"/>
                <w:b w:val="0"/>
                <w:bCs/>
                <w:sz w:val="21"/>
                <w:szCs w:val="21"/>
                <w:highlight w:val="none"/>
                <w:lang w:eastAsia="zh-CN"/>
              </w:rPr>
              <w:t>，</w:t>
            </w:r>
            <w:r>
              <w:rPr>
                <w:rFonts w:hint="eastAsia" w:ascii="Times New Roman" w:hAnsi="Times New Roman" w:eastAsia="宋体" w:cs="Times New Roman"/>
                <w:b w:val="0"/>
                <w:bCs/>
                <w:sz w:val="21"/>
                <w:szCs w:val="21"/>
                <w:highlight w:val="none"/>
              </w:rPr>
              <w:t>不提供不得分</w:t>
            </w:r>
            <w:r>
              <w:rPr>
                <w:rFonts w:hint="default" w:ascii="Times New Roman" w:hAnsi="Times New Roman" w:eastAsia="宋体" w:cs="Times New Roman"/>
                <w:b w:val="0"/>
                <w:bCs/>
                <w:sz w:val="21"/>
                <w:szCs w:val="21"/>
                <w:highlight w:val="none"/>
              </w:rPr>
              <w:t>。</w:t>
            </w:r>
          </w:p>
        </w:tc>
        <w:tc>
          <w:tcPr>
            <w:tcW w:w="705" w:type="dxa"/>
            <w:noWrap/>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0-4</w:t>
            </w:r>
          </w:p>
        </w:tc>
        <w:tc>
          <w:tcPr>
            <w:tcW w:w="646" w:type="dxa"/>
            <w:noWrap/>
            <w:vAlign w:val="center"/>
          </w:tcPr>
          <w:p>
            <w:pPr>
              <w:spacing w:line="240" w:lineRule="auto"/>
              <w:jc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sz w:val="21"/>
                <w:szCs w:val="21"/>
                <w:highlight w:val="none"/>
                <w:lang w:eastAsia="zh-CN"/>
              </w:rPr>
              <w:t>主观</w:t>
            </w:r>
            <w:r>
              <w:rPr>
                <w:rFonts w:hint="default" w:ascii="Times New Roman" w:hAnsi="Times New Roman" w:eastAsia="宋体" w:cs="Times New Roman"/>
                <w:b w:val="0"/>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continue"/>
            <w:noWrap/>
            <w:vAlign w:val="center"/>
          </w:tcPr>
          <w:p>
            <w:pPr>
              <w:spacing w:line="240" w:lineRule="auto"/>
              <w:jc w:val="center"/>
              <w:rPr>
                <w:rFonts w:hint="default" w:ascii="Times New Roman" w:hAnsi="Times New Roman" w:eastAsia="宋体" w:cs="Times New Roman"/>
                <w:b w:val="0"/>
                <w:bCs/>
                <w:color w:val="auto"/>
                <w:sz w:val="21"/>
                <w:szCs w:val="21"/>
                <w:highlight w:val="none"/>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spacing w:line="240" w:lineRule="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rPr>
              <w:t>根据投标人针对本项目实施过程中可能出现的紧急情况是否提供详细的应急措施方案（应急方案目的、风险分析、应急措施等）是否全面合理、科学可行进行</w:t>
            </w:r>
            <w:r>
              <w:rPr>
                <w:rFonts w:hint="eastAsia" w:ascii="Times New Roman" w:hAnsi="Times New Roman" w:eastAsia="宋体" w:cs="Times New Roman"/>
                <w:b w:val="0"/>
                <w:bCs/>
                <w:sz w:val="21"/>
                <w:szCs w:val="21"/>
                <w:highlight w:val="none"/>
                <w:lang w:eastAsia="zh-CN"/>
              </w:rPr>
              <w:t>打分</w:t>
            </w:r>
            <w:r>
              <w:rPr>
                <w:rFonts w:hint="default" w:ascii="Times New Roman" w:hAnsi="Times New Roman" w:eastAsia="宋体" w:cs="Times New Roman"/>
                <w:b w:val="0"/>
                <w:bCs/>
                <w:sz w:val="21"/>
                <w:szCs w:val="21"/>
                <w:highlight w:val="none"/>
              </w:rPr>
              <w:t>，</w:t>
            </w:r>
            <w:r>
              <w:rPr>
                <w:rFonts w:hint="eastAsia" w:ascii="Times New Roman" w:hAnsi="Times New Roman" w:eastAsia="宋体" w:cs="Times New Roman"/>
                <w:b w:val="0"/>
                <w:bCs/>
                <w:sz w:val="21"/>
                <w:szCs w:val="21"/>
                <w:highlight w:val="none"/>
                <w:lang w:val="en-US" w:eastAsia="zh-CN"/>
              </w:rPr>
              <w:t>0-3</w:t>
            </w:r>
            <w:r>
              <w:rPr>
                <w:rFonts w:hint="default" w:ascii="Times New Roman" w:hAnsi="Times New Roman" w:eastAsia="宋体" w:cs="Times New Roman"/>
                <w:b w:val="0"/>
                <w:bCs/>
                <w:sz w:val="21"/>
                <w:szCs w:val="21"/>
                <w:highlight w:val="none"/>
              </w:rPr>
              <w:t>分</w:t>
            </w:r>
            <w:r>
              <w:rPr>
                <w:rFonts w:hint="eastAsia" w:ascii="Times New Roman" w:hAnsi="Times New Roman" w:eastAsia="宋体" w:cs="Times New Roman"/>
                <w:b w:val="0"/>
                <w:bCs/>
                <w:sz w:val="21"/>
                <w:szCs w:val="21"/>
                <w:highlight w:val="none"/>
                <w:lang w:eastAsia="zh-CN"/>
              </w:rPr>
              <w:t>，</w:t>
            </w:r>
            <w:r>
              <w:rPr>
                <w:rFonts w:hint="eastAsia" w:ascii="Times New Roman" w:hAnsi="Times New Roman" w:eastAsia="宋体" w:cs="Times New Roman"/>
                <w:b w:val="0"/>
                <w:bCs/>
                <w:sz w:val="21"/>
                <w:szCs w:val="21"/>
                <w:highlight w:val="none"/>
              </w:rPr>
              <w:t>不提供不得分</w:t>
            </w:r>
            <w:r>
              <w:rPr>
                <w:rFonts w:hint="default" w:ascii="Times New Roman" w:hAnsi="Times New Roman" w:eastAsia="宋体" w:cs="Times New Roman"/>
                <w:b w:val="0"/>
                <w:bCs/>
                <w:sz w:val="21"/>
                <w:szCs w:val="21"/>
                <w:highlight w:val="none"/>
              </w:rPr>
              <w:t>。</w:t>
            </w:r>
          </w:p>
        </w:tc>
        <w:tc>
          <w:tcPr>
            <w:tcW w:w="705" w:type="dxa"/>
            <w:noWrap/>
            <w:vAlign w:val="center"/>
          </w:tcPr>
          <w:p>
            <w:pPr>
              <w:adjustRightInd w:val="0"/>
              <w:snapToGrid w:val="0"/>
              <w:spacing w:line="240" w:lineRule="auto"/>
              <w:jc w:val="center"/>
              <w:textAlignment w:val="baseline"/>
              <w:rPr>
                <w:rFonts w:hint="default" w:ascii="Times New Roman" w:hAnsi="Times New Roman" w:eastAsia="宋体" w:cs="Times New Roman"/>
                <w:b w:val="0"/>
                <w:bCs/>
                <w:sz w:val="21"/>
                <w:szCs w:val="21"/>
                <w:highlight w:val="none"/>
                <w:lang w:val="en-US" w:eastAsia="zh-CN" w:bidi="ar-SA"/>
              </w:rPr>
            </w:pPr>
            <w:r>
              <w:rPr>
                <w:rFonts w:hint="default"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3</w:t>
            </w:r>
          </w:p>
        </w:tc>
        <w:tc>
          <w:tcPr>
            <w:tcW w:w="646" w:type="dxa"/>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r>
              <w:rPr>
                <w:rFonts w:hint="default" w:ascii="Times New Roman" w:hAnsi="Times New Roman" w:eastAsia="宋体" w:cs="Times New Roman"/>
                <w:b w:val="0"/>
                <w:bCs/>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62" w:type="dxa"/>
            <w:vMerge w:val="continue"/>
            <w:noWrap/>
            <w:vAlign w:val="center"/>
          </w:tcPr>
          <w:p>
            <w:pPr>
              <w:spacing w:line="240" w:lineRule="auto"/>
              <w:jc w:val="center"/>
              <w:rPr>
                <w:rFonts w:hint="default" w:ascii="Times New Roman" w:hAnsi="Times New Roman" w:eastAsia="宋体" w:cs="Times New Roman"/>
                <w:b w:val="0"/>
                <w:bCs/>
                <w:color w:val="auto"/>
                <w:sz w:val="21"/>
                <w:szCs w:val="21"/>
                <w:highlight w:val="none"/>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spacing w:line="240" w:lineRule="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rPr>
              <w:t>根据投标人针对</w:t>
            </w:r>
            <w:r>
              <w:rPr>
                <w:rFonts w:hint="eastAsia" w:ascii="Times New Roman" w:hAnsi="Times New Roman" w:eastAsia="宋体" w:cs="Times New Roman"/>
                <w:b w:val="0"/>
                <w:bCs/>
                <w:sz w:val="21"/>
                <w:szCs w:val="21"/>
                <w:highlight w:val="none"/>
              </w:rPr>
              <w:t>关于安全管理、安全监测、安全防护等指标的优化提升方案内容</w:t>
            </w:r>
            <w:r>
              <w:rPr>
                <w:rFonts w:hint="default" w:ascii="Times New Roman" w:hAnsi="Times New Roman" w:eastAsia="宋体" w:cs="Times New Roman"/>
                <w:b w:val="0"/>
                <w:bCs/>
                <w:sz w:val="21"/>
                <w:szCs w:val="21"/>
                <w:highlight w:val="none"/>
              </w:rPr>
              <w:t>进行</w:t>
            </w:r>
            <w:r>
              <w:rPr>
                <w:rFonts w:hint="eastAsia" w:ascii="Times New Roman" w:hAnsi="Times New Roman" w:eastAsia="宋体" w:cs="Times New Roman"/>
                <w:b w:val="0"/>
                <w:bCs/>
                <w:sz w:val="21"/>
                <w:szCs w:val="21"/>
                <w:highlight w:val="none"/>
              </w:rPr>
              <w:t>打分</w:t>
            </w:r>
            <w:r>
              <w:rPr>
                <w:rFonts w:hint="default" w:ascii="Times New Roman" w:hAnsi="Times New Roman" w:eastAsia="宋体" w:cs="Times New Roman"/>
                <w:b w:val="0"/>
                <w:bCs/>
                <w:sz w:val="21"/>
                <w:szCs w:val="21"/>
                <w:highlight w:val="none"/>
              </w:rPr>
              <w:t>，</w:t>
            </w:r>
            <w:r>
              <w:rPr>
                <w:rFonts w:hint="eastAsia" w:ascii="Times New Roman" w:hAnsi="Times New Roman" w:eastAsia="宋体" w:cs="Times New Roman"/>
                <w:b w:val="0"/>
                <w:bCs/>
                <w:sz w:val="21"/>
                <w:szCs w:val="21"/>
                <w:highlight w:val="none"/>
              </w:rPr>
              <w:t>须详细阐释问题现状、提升路径、落地措施、结果预估等内容，</w:t>
            </w:r>
            <w:r>
              <w:rPr>
                <w:rFonts w:hint="eastAsia" w:ascii="Times New Roman" w:hAnsi="Times New Roman" w:eastAsia="宋体" w:cs="Times New Roman"/>
                <w:b w:val="0"/>
                <w:bCs/>
                <w:sz w:val="21"/>
                <w:szCs w:val="21"/>
                <w:highlight w:val="none"/>
                <w:lang w:val="en-US" w:eastAsia="zh-CN"/>
              </w:rPr>
              <w:t>2</w:t>
            </w:r>
            <w:r>
              <w:rPr>
                <w:rFonts w:hint="eastAsia" w:ascii="Times New Roman" w:hAnsi="Times New Roman" w:eastAsia="宋体" w:cs="Times New Roman"/>
                <w:b w:val="0"/>
                <w:bCs/>
                <w:sz w:val="21"/>
                <w:szCs w:val="21"/>
                <w:highlight w:val="none"/>
              </w:rPr>
              <w:t>-5</w:t>
            </w:r>
            <w:r>
              <w:rPr>
                <w:rFonts w:hint="default" w:ascii="Times New Roman" w:hAnsi="Times New Roman" w:eastAsia="宋体" w:cs="Times New Roman"/>
                <w:b w:val="0"/>
                <w:bCs/>
                <w:sz w:val="21"/>
                <w:szCs w:val="21"/>
                <w:highlight w:val="none"/>
              </w:rPr>
              <w:t>分</w:t>
            </w:r>
            <w:r>
              <w:rPr>
                <w:rFonts w:hint="eastAsia" w:ascii="Times New Roman" w:hAnsi="Times New Roman" w:eastAsia="宋体" w:cs="Times New Roman"/>
                <w:b w:val="0"/>
                <w:bCs/>
                <w:sz w:val="21"/>
                <w:szCs w:val="21"/>
                <w:highlight w:val="none"/>
                <w:lang w:eastAsia="zh-CN"/>
              </w:rPr>
              <w:t>，</w:t>
            </w:r>
            <w:r>
              <w:rPr>
                <w:rFonts w:hint="eastAsia" w:ascii="Times New Roman" w:hAnsi="Times New Roman" w:eastAsia="宋体" w:cs="Times New Roman"/>
                <w:b w:val="0"/>
                <w:bCs/>
                <w:sz w:val="21"/>
                <w:szCs w:val="21"/>
                <w:highlight w:val="none"/>
              </w:rPr>
              <w:t>不提供不得分</w:t>
            </w:r>
            <w:r>
              <w:rPr>
                <w:rFonts w:hint="default" w:ascii="Times New Roman" w:hAnsi="Times New Roman" w:eastAsia="宋体" w:cs="Times New Roman"/>
                <w:b w:val="0"/>
                <w:bCs/>
                <w:sz w:val="21"/>
                <w:szCs w:val="21"/>
                <w:highlight w:val="none"/>
              </w:rPr>
              <w:t>。</w:t>
            </w:r>
          </w:p>
        </w:tc>
        <w:tc>
          <w:tcPr>
            <w:tcW w:w="705" w:type="dxa"/>
            <w:noWrap/>
            <w:vAlign w:val="center"/>
          </w:tcPr>
          <w:p>
            <w:pPr>
              <w:jc w:val="center"/>
              <w:rPr>
                <w:rFonts w:hint="default" w:ascii="Times New Roman" w:hAnsi="Times New Roman" w:eastAsia="宋体" w:cs="Times New Roman"/>
                <w:bCs/>
                <w:sz w:val="21"/>
                <w:szCs w:val="21"/>
                <w:lang w:val="en-US" w:eastAsia="zh-CN" w:bidi="ar-SA"/>
              </w:rPr>
            </w:pPr>
            <w:r>
              <w:rPr>
                <w:bCs/>
                <w:sz w:val="21"/>
                <w:szCs w:val="21"/>
              </w:rPr>
              <w:t>0-5</w:t>
            </w:r>
          </w:p>
        </w:tc>
        <w:tc>
          <w:tcPr>
            <w:tcW w:w="646" w:type="dxa"/>
            <w:noWrap/>
            <w:vAlign w:val="center"/>
          </w:tcPr>
          <w:p>
            <w:pPr>
              <w:jc w:val="center"/>
              <w:rPr>
                <w:rFonts w:hint="default" w:ascii="Times New Roman" w:hAnsi="Times New Roman" w:eastAsia="宋体" w:cs="Times New Roman"/>
                <w:bCs/>
                <w:sz w:val="21"/>
                <w:szCs w:val="21"/>
                <w:lang w:val="en-US" w:eastAsia="zh-CN" w:bidi="ar-SA"/>
              </w:rPr>
            </w:pPr>
            <w:r>
              <w:rPr>
                <w:rFonts w:hint="eastAsia"/>
                <w:bCs/>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62" w:type="dxa"/>
            <w:vMerge w:val="restart"/>
            <w:noWrap/>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110" w:type="dxa"/>
            <w:vMerge w:val="restart"/>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项目实施团队(10分)</w:t>
            </w:r>
          </w:p>
        </w:tc>
        <w:tc>
          <w:tcPr>
            <w:tcW w:w="6720" w:type="dxa"/>
            <w:noWrap/>
            <w:vAlign w:val="center"/>
          </w:tcPr>
          <w:p>
            <w:pPr>
              <w:spacing w:line="240" w:lineRule="auto"/>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rPr>
              <w:t>项目经理具有注册信息安全专业人员证书（CISP）、信息安全保障人员认证证书（CISAW）、网络安全应急响应工程师（CCRC）、网络与信息安全管理员证书、零信任安全认证证书（CZTP）、高级工程师（传输与接入）认证证书、大数据建模与分析师认证证书、数据库大师认证证书（OCM）或相关专业（网络专业、安全专业）其他高级证书的,每本证书得1分，本项最高5分。</w:t>
            </w:r>
            <w:r>
              <w:rPr>
                <w:rFonts w:hint="eastAsia" w:ascii="Times New Roman" w:hAnsi="Times New Roman" w:eastAsia="宋体" w:cs="Times New Roman"/>
                <w:b w:val="0"/>
                <w:bCs/>
                <w:sz w:val="21"/>
                <w:szCs w:val="21"/>
                <w:highlight w:val="none"/>
                <w:lang w:eastAsia="zh-CN"/>
              </w:rPr>
              <w:t>投标文件商务技术响应文件中</w:t>
            </w:r>
            <w:r>
              <w:rPr>
                <w:rFonts w:hint="default" w:ascii="Times New Roman" w:hAnsi="Times New Roman" w:eastAsia="宋体" w:cs="Times New Roman"/>
                <w:b w:val="0"/>
                <w:bCs/>
                <w:sz w:val="21"/>
                <w:szCs w:val="21"/>
                <w:highlight w:val="none"/>
              </w:rPr>
              <w:t>提供</w:t>
            </w:r>
            <w:r>
              <w:rPr>
                <w:rFonts w:hint="eastAsia" w:ascii="Times New Roman" w:hAnsi="Times New Roman" w:eastAsia="宋体" w:cs="Times New Roman"/>
                <w:b w:val="0"/>
                <w:bCs/>
                <w:sz w:val="21"/>
                <w:szCs w:val="21"/>
                <w:highlight w:val="none"/>
                <w:lang w:eastAsia="zh-CN"/>
              </w:rPr>
              <w:t>证书扫描件及</w:t>
            </w:r>
            <w:r>
              <w:rPr>
                <w:rFonts w:hint="default" w:ascii="Times New Roman" w:hAnsi="Times New Roman" w:eastAsia="宋体" w:cs="Times New Roman"/>
                <w:b w:val="0"/>
                <w:bCs/>
                <w:sz w:val="21"/>
                <w:szCs w:val="21"/>
                <w:highlight w:val="none"/>
              </w:rPr>
              <w:t>近3个月的对应投标单位的社保佐证材料</w:t>
            </w:r>
            <w:r>
              <w:rPr>
                <w:rFonts w:hint="eastAsia" w:ascii="Times New Roman" w:hAnsi="Times New Roman" w:eastAsia="宋体" w:cs="Times New Roman"/>
                <w:b w:val="0"/>
                <w:bCs/>
                <w:sz w:val="21"/>
                <w:szCs w:val="21"/>
                <w:highlight w:val="none"/>
                <w:lang w:eastAsia="zh-CN"/>
              </w:rPr>
              <w:t>扫描件</w:t>
            </w:r>
            <w:r>
              <w:rPr>
                <w:rFonts w:hint="default" w:ascii="Times New Roman" w:hAnsi="Times New Roman" w:eastAsia="宋体" w:cs="Times New Roman"/>
                <w:b w:val="0"/>
                <w:bCs/>
                <w:sz w:val="21"/>
                <w:szCs w:val="21"/>
                <w:highlight w:val="none"/>
              </w:rPr>
              <w:t>，不提供不得分。</w:t>
            </w:r>
          </w:p>
        </w:tc>
        <w:tc>
          <w:tcPr>
            <w:tcW w:w="705" w:type="dxa"/>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r>
              <w:rPr>
                <w:rFonts w:hint="default" w:ascii="Times New Roman" w:hAnsi="Times New Roman" w:eastAsia="宋体" w:cs="Times New Roman"/>
                <w:b w:val="0"/>
                <w:bCs/>
                <w:sz w:val="21"/>
                <w:szCs w:val="21"/>
                <w:highlight w:val="none"/>
              </w:rPr>
              <w:t>0-</w:t>
            </w:r>
            <w:r>
              <w:rPr>
                <w:rFonts w:hint="default" w:ascii="Times New Roman" w:hAnsi="Times New Roman" w:eastAsia="宋体" w:cs="Times New Roman"/>
                <w:b w:val="0"/>
                <w:bCs/>
                <w:sz w:val="21"/>
                <w:szCs w:val="21"/>
                <w:highlight w:val="none"/>
                <w:lang w:val="en-US" w:eastAsia="zh-CN"/>
              </w:rPr>
              <w:t>5</w:t>
            </w:r>
          </w:p>
        </w:tc>
        <w:tc>
          <w:tcPr>
            <w:tcW w:w="646" w:type="dxa"/>
            <w:noWrap/>
            <w:vAlign w:val="center"/>
          </w:tcPr>
          <w:p>
            <w:pPr>
              <w:spacing w:line="240" w:lineRule="auto"/>
              <w:jc w:val="center"/>
              <w:rPr>
                <w:rFonts w:hint="default" w:ascii="Times New Roman" w:hAnsi="Times New Roman" w:eastAsia="宋体" w:cs="Times New Roman"/>
                <w:b w:val="0"/>
                <w:bCs/>
                <w:sz w:val="21"/>
                <w:szCs w:val="21"/>
                <w:highlight w:val="none"/>
                <w:lang w:eastAsia="zh-CN"/>
              </w:rPr>
            </w:pPr>
            <w:r>
              <w:rPr>
                <w:rFonts w:hint="default" w:ascii="Times New Roman" w:hAnsi="Times New Roman" w:eastAsia="宋体" w:cs="Times New Roman"/>
                <w:b w:val="0"/>
                <w:bCs/>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spacing w:line="240" w:lineRule="auto"/>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rPr>
              <w:t>技术负责人具有信息技术基础构架库认证证书（ITIL）、工信部软件服务IT服务项目经理证书、华为认证网络资深工程师（HCIP）、麒麟操作系统应用工程师认证证书、Oracle数据库管理员认证专员证书（OCP）、高级工程师（传输与接入）认证证书、大数据建模与分析师认证证书、系统架构设计师（高级）认证证书或相关专业（网络专业、安全专业）其他高级证书的，</w:t>
            </w:r>
            <w:r>
              <w:rPr>
                <w:rFonts w:hint="default" w:ascii="Times New Roman" w:hAnsi="Times New Roman" w:eastAsia="宋体" w:cs="Times New Roman"/>
                <w:b w:val="0"/>
                <w:bCs/>
                <w:sz w:val="21"/>
                <w:szCs w:val="21"/>
                <w:highlight w:val="none"/>
              </w:rPr>
              <w:t>每本证书得1分，本项最高得5分。</w:t>
            </w:r>
            <w:r>
              <w:rPr>
                <w:rFonts w:hint="eastAsia" w:ascii="Times New Roman" w:hAnsi="Times New Roman" w:eastAsia="宋体" w:cs="Times New Roman"/>
                <w:b w:val="0"/>
                <w:bCs/>
                <w:sz w:val="21"/>
                <w:szCs w:val="21"/>
                <w:highlight w:val="none"/>
                <w:lang w:eastAsia="zh-CN"/>
              </w:rPr>
              <w:t>投标文件商务技术响应文件中</w:t>
            </w:r>
            <w:r>
              <w:rPr>
                <w:rFonts w:hint="default" w:ascii="Times New Roman" w:hAnsi="Times New Roman" w:eastAsia="宋体" w:cs="Times New Roman"/>
                <w:b w:val="0"/>
                <w:bCs/>
                <w:sz w:val="21"/>
                <w:szCs w:val="21"/>
                <w:highlight w:val="none"/>
              </w:rPr>
              <w:t>提供</w:t>
            </w:r>
            <w:r>
              <w:rPr>
                <w:rFonts w:hint="eastAsia" w:ascii="Times New Roman" w:hAnsi="Times New Roman" w:eastAsia="宋体" w:cs="Times New Roman"/>
                <w:b w:val="0"/>
                <w:bCs/>
                <w:sz w:val="21"/>
                <w:szCs w:val="21"/>
                <w:highlight w:val="none"/>
                <w:lang w:eastAsia="zh-CN"/>
              </w:rPr>
              <w:t>证书扫描件及</w:t>
            </w:r>
            <w:r>
              <w:rPr>
                <w:rFonts w:hint="default" w:ascii="Times New Roman" w:hAnsi="Times New Roman" w:eastAsia="宋体" w:cs="Times New Roman"/>
                <w:b w:val="0"/>
                <w:bCs/>
                <w:sz w:val="21"/>
                <w:szCs w:val="21"/>
                <w:highlight w:val="none"/>
              </w:rPr>
              <w:t>近3个月的对应投标单位的社保佐证材料</w:t>
            </w:r>
            <w:r>
              <w:rPr>
                <w:rFonts w:hint="eastAsia" w:ascii="Times New Roman" w:hAnsi="Times New Roman" w:eastAsia="宋体" w:cs="Times New Roman"/>
                <w:b w:val="0"/>
                <w:bCs/>
                <w:sz w:val="21"/>
                <w:szCs w:val="21"/>
                <w:highlight w:val="none"/>
                <w:lang w:eastAsia="zh-CN"/>
              </w:rPr>
              <w:t>扫描件</w:t>
            </w:r>
            <w:r>
              <w:rPr>
                <w:rFonts w:hint="default" w:ascii="Times New Roman" w:hAnsi="Times New Roman" w:eastAsia="宋体" w:cs="Times New Roman"/>
                <w:b w:val="0"/>
                <w:bCs/>
                <w:sz w:val="21"/>
                <w:szCs w:val="21"/>
                <w:highlight w:val="none"/>
              </w:rPr>
              <w:t>，不提供不得分。</w:t>
            </w:r>
          </w:p>
        </w:tc>
        <w:tc>
          <w:tcPr>
            <w:tcW w:w="705" w:type="dxa"/>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r>
              <w:rPr>
                <w:rFonts w:hint="default" w:ascii="Times New Roman" w:hAnsi="Times New Roman" w:eastAsia="宋体" w:cs="Times New Roman"/>
                <w:b w:val="0"/>
                <w:bCs/>
                <w:sz w:val="21"/>
                <w:szCs w:val="21"/>
                <w:highlight w:val="none"/>
                <w:lang w:val="en-US" w:eastAsia="zh-CN"/>
              </w:rPr>
              <w:t>0</w:t>
            </w:r>
            <w:r>
              <w:rPr>
                <w:rFonts w:hint="default" w:ascii="Times New Roman" w:hAnsi="Times New Roman" w:eastAsia="宋体" w:cs="Times New Roman"/>
                <w:b w:val="0"/>
                <w:bCs/>
                <w:sz w:val="21"/>
                <w:szCs w:val="21"/>
                <w:highlight w:val="none"/>
              </w:rPr>
              <w:t>-</w:t>
            </w:r>
            <w:r>
              <w:rPr>
                <w:rFonts w:hint="eastAsia" w:ascii="Times New Roman" w:hAnsi="Times New Roman" w:eastAsia="宋体" w:cs="Times New Roman"/>
                <w:b w:val="0"/>
                <w:bCs/>
                <w:sz w:val="21"/>
                <w:szCs w:val="21"/>
                <w:highlight w:val="none"/>
                <w:lang w:val="en-US" w:eastAsia="zh-CN"/>
              </w:rPr>
              <w:t>5</w:t>
            </w:r>
          </w:p>
        </w:tc>
        <w:tc>
          <w:tcPr>
            <w:tcW w:w="646"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restart"/>
            <w:noWrap/>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10" w:type="dxa"/>
            <w:vMerge w:val="restart"/>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项目实施方案（6分）</w:t>
            </w:r>
          </w:p>
        </w:tc>
        <w:tc>
          <w:tcPr>
            <w:tcW w:w="6720" w:type="dxa"/>
            <w:noWrap/>
            <w:vAlign w:val="center"/>
          </w:tcPr>
          <w:p>
            <w:pPr>
              <w:spacing w:line="240" w:lineRule="auto"/>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eastAsia="zh-CN"/>
              </w:rPr>
              <w:t>根据投标方</w:t>
            </w:r>
            <w:r>
              <w:rPr>
                <w:rFonts w:hint="default" w:ascii="Times New Roman" w:hAnsi="Times New Roman" w:eastAsia="宋体" w:cs="Times New Roman"/>
                <w:b w:val="0"/>
                <w:bCs/>
                <w:sz w:val="21"/>
                <w:szCs w:val="21"/>
                <w:highlight w:val="none"/>
              </w:rPr>
              <w:t>在服务内容上详细、清晰、合理，管理机构设立完善，措施保证，运作流程清晰等情况</w:t>
            </w:r>
            <w:r>
              <w:rPr>
                <w:rFonts w:hint="eastAsia" w:ascii="Times New Roman" w:hAnsi="Times New Roman" w:eastAsia="宋体" w:cs="Times New Roman"/>
                <w:b w:val="0"/>
                <w:bCs/>
                <w:sz w:val="21"/>
                <w:szCs w:val="21"/>
                <w:highlight w:val="none"/>
                <w:lang w:eastAsia="zh-CN"/>
              </w:rPr>
              <w:t>评分，</w:t>
            </w:r>
            <w:r>
              <w:rPr>
                <w:rFonts w:hint="default" w:ascii="Times New Roman" w:hAnsi="Times New Roman" w:eastAsia="宋体" w:cs="Times New Roman"/>
                <w:b w:val="0"/>
                <w:bCs/>
                <w:sz w:val="21"/>
                <w:szCs w:val="21"/>
                <w:highlight w:val="none"/>
              </w:rPr>
              <w:t>0-</w:t>
            </w:r>
            <w:r>
              <w:rPr>
                <w:rFonts w:hint="eastAsia" w:ascii="Times New Roman" w:hAnsi="Times New Roman" w:eastAsia="宋体" w:cs="Times New Roman"/>
                <w:b w:val="0"/>
                <w:bCs/>
                <w:sz w:val="21"/>
                <w:szCs w:val="21"/>
                <w:highlight w:val="none"/>
                <w:lang w:val="en-US" w:eastAsia="zh-CN"/>
              </w:rPr>
              <w:t>2</w:t>
            </w:r>
            <w:r>
              <w:rPr>
                <w:rFonts w:hint="default" w:ascii="Times New Roman" w:hAnsi="Times New Roman" w:eastAsia="宋体" w:cs="Times New Roman"/>
                <w:b w:val="0"/>
                <w:bCs/>
                <w:sz w:val="21"/>
                <w:szCs w:val="21"/>
                <w:highlight w:val="none"/>
              </w:rPr>
              <w:t>分</w:t>
            </w:r>
            <w:r>
              <w:rPr>
                <w:rFonts w:hint="eastAsia" w:ascii="Times New Roman" w:hAnsi="Times New Roman" w:eastAsia="宋体" w:cs="Times New Roman"/>
                <w:b w:val="0"/>
                <w:bCs/>
                <w:sz w:val="21"/>
                <w:szCs w:val="21"/>
                <w:highlight w:val="none"/>
                <w:lang w:eastAsia="zh-CN"/>
              </w:rPr>
              <w:t>，</w:t>
            </w:r>
            <w:r>
              <w:rPr>
                <w:rFonts w:hint="eastAsia" w:ascii="Times New Roman" w:hAnsi="Times New Roman" w:eastAsia="宋体" w:cs="Times New Roman"/>
                <w:b w:val="0"/>
                <w:bCs/>
                <w:sz w:val="21"/>
                <w:szCs w:val="21"/>
                <w:highlight w:val="none"/>
              </w:rPr>
              <w:t>不提供不得分</w:t>
            </w:r>
            <w:r>
              <w:rPr>
                <w:rFonts w:hint="default" w:ascii="Times New Roman" w:hAnsi="Times New Roman" w:eastAsia="宋体" w:cs="Times New Roman"/>
                <w:b w:val="0"/>
                <w:bCs/>
                <w:sz w:val="21"/>
                <w:szCs w:val="21"/>
                <w:highlight w:val="none"/>
              </w:rPr>
              <w:t>。</w:t>
            </w:r>
          </w:p>
        </w:tc>
        <w:tc>
          <w:tcPr>
            <w:tcW w:w="705" w:type="dxa"/>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2</w:t>
            </w:r>
          </w:p>
        </w:tc>
        <w:tc>
          <w:tcPr>
            <w:tcW w:w="646"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p>
        </w:tc>
        <w:tc>
          <w:tcPr>
            <w:tcW w:w="1110" w:type="dxa"/>
            <w:vMerge w:val="continue"/>
            <w:noWrap/>
            <w:vAlign w:val="center"/>
          </w:tcPr>
          <w:p>
            <w:pPr>
              <w:widowControl/>
              <w:jc w:val="center"/>
              <w:rPr>
                <w:rFonts w:hint="default" w:ascii="Times New Roman" w:hAnsi="Times New Roman" w:eastAsia="宋体" w:cs="Times New Roman"/>
                <w:kern w:val="0"/>
                <w:sz w:val="21"/>
                <w:szCs w:val="21"/>
              </w:rPr>
            </w:pPr>
          </w:p>
        </w:tc>
        <w:tc>
          <w:tcPr>
            <w:tcW w:w="6720" w:type="dxa"/>
            <w:noWrap/>
            <w:vAlign w:val="center"/>
          </w:tcPr>
          <w:p>
            <w:pPr>
              <w:spacing w:line="240" w:lineRule="auto"/>
              <w:rPr>
                <w:rFonts w:hint="eastAsia" w:ascii="Times New Roman" w:hAnsi="Times New Roman" w:eastAsia="宋体" w:cs="Times New Roman"/>
                <w:b w:val="0"/>
                <w:bCs/>
                <w:sz w:val="21"/>
                <w:szCs w:val="21"/>
                <w:highlight w:val="none"/>
                <w:lang w:eastAsia="zh-CN"/>
              </w:rPr>
            </w:pPr>
            <w:r>
              <w:rPr>
                <w:rFonts w:hint="eastAsia" w:ascii="Times New Roman" w:hAnsi="Times New Roman" w:eastAsia="宋体" w:cs="Times New Roman"/>
                <w:b w:val="0"/>
                <w:bCs/>
                <w:sz w:val="21"/>
                <w:szCs w:val="21"/>
                <w:highlight w:val="none"/>
              </w:rPr>
              <w:t>根据投标人提供与上级单位纵向协同（包括但不限于资产数据、安全事件、安全隐患、安全情报、通报数据、系统等保备案率、系统等保测评通过率、终端安全防护软件安装率、高危漏洞及端口、弱口令、高危外联、攻防演练等工作)的建设性举措方案，以及与本地网络安全监管单位（如公安、网信办）横向协同（包括但不限于情报共享、隐患/事件协同等工作）的建设性举措方案进行评分，</w:t>
            </w:r>
            <w:r>
              <w:rPr>
                <w:rFonts w:hint="eastAsia" w:ascii="Times New Roman" w:hAnsi="Times New Roman" w:eastAsia="宋体" w:cs="Times New Roman"/>
                <w:b w:val="0"/>
                <w:bCs/>
                <w:sz w:val="21"/>
                <w:szCs w:val="21"/>
                <w:highlight w:val="none"/>
                <w:lang w:val="en-US" w:eastAsia="zh-CN"/>
              </w:rPr>
              <w:t>1</w:t>
            </w:r>
            <w:r>
              <w:rPr>
                <w:rFonts w:hint="eastAsia" w:ascii="Times New Roman" w:hAnsi="Times New Roman" w:eastAsia="宋体" w:cs="Times New Roman"/>
                <w:b w:val="0"/>
                <w:bCs/>
                <w:sz w:val="21"/>
                <w:szCs w:val="21"/>
                <w:highlight w:val="none"/>
              </w:rPr>
              <w:t>-4分。不提供不得分。</w:t>
            </w:r>
          </w:p>
        </w:tc>
        <w:tc>
          <w:tcPr>
            <w:tcW w:w="705" w:type="dxa"/>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0-4</w:t>
            </w:r>
          </w:p>
        </w:tc>
        <w:tc>
          <w:tcPr>
            <w:tcW w:w="646"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restart"/>
            <w:noWrap/>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110" w:type="dxa"/>
            <w:vMerge w:val="restart"/>
            <w:noWrap/>
            <w:vAlign w:val="center"/>
          </w:tcPr>
          <w:p>
            <w:pPr>
              <w:widowControl/>
              <w:jc w:val="center"/>
              <w:rPr>
                <w:rFonts w:hint="default" w:ascii="Times New Roman" w:hAnsi="Times New Roman" w:eastAsia="宋体" w:cs="Times New Roman"/>
                <w:b w:val="0"/>
                <w:bCs/>
                <w:sz w:val="21"/>
                <w:szCs w:val="21"/>
                <w:highlight w:val="none"/>
                <w:lang w:val="en-US" w:eastAsia="zh-CN" w:bidi="ar-SA"/>
              </w:rPr>
            </w:pPr>
            <w:r>
              <w:rPr>
                <w:rFonts w:hint="default" w:ascii="Times New Roman" w:hAnsi="Times New Roman" w:eastAsia="宋体" w:cs="Times New Roman"/>
                <w:kern w:val="0"/>
                <w:sz w:val="21"/>
                <w:szCs w:val="21"/>
              </w:rPr>
              <w:t>项目服务保障措施(5分)</w:t>
            </w:r>
          </w:p>
        </w:tc>
        <w:tc>
          <w:tcPr>
            <w:tcW w:w="6720" w:type="dxa"/>
            <w:noWrap/>
            <w:vAlign w:val="center"/>
          </w:tcPr>
          <w:p>
            <w:pPr>
              <w:spacing w:line="240" w:lineRule="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rPr>
              <w:t>根据投标人服务保障的过程管理的可行性、完整性进行</w:t>
            </w:r>
            <w:r>
              <w:rPr>
                <w:rFonts w:hint="eastAsia" w:ascii="Times New Roman" w:hAnsi="Times New Roman" w:eastAsia="宋体" w:cs="Times New Roman"/>
                <w:b w:val="0"/>
                <w:bCs/>
                <w:sz w:val="21"/>
                <w:szCs w:val="21"/>
                <w:highlight w:val="none"/>
                <w:lang w:eastAsia="zh-CN"/>
              </w:rPr>
              <w:t>评分</w:t>
            </w:r>
            <w:r>
              <w:rPr>
                <w:rFonts w:hint="default" w:ascii="Times New Roman" w:hAnsi="Times New Roman" w:eastAsia="宋体" w:cs="Times New Roman"/>
                <w:b w:val="0"/>
                <w:bCs/>
                <w:sz w:val="21"/>
                <w:szCs w:val="21"/>
                <w:highlight w:val="none"/>
              </w:rPr>
              <w:t>，</w:t>
            </w:r>
            <w:r>
              <w:rPr>
                <w:rFonts w:hint="eastAsia" w:ascii="Times New Roman" w:hAnsi="Times New Roman" w:eastAsia="宋体" w:cs="Times New Roman"/>
                <w:b w:val="0"/>
                <w:bCs/>
                <w:sz w:val="21"/>
                <w:szCs w:val="21"/>
                <w:highlight w:val="none"/>
                <w:lang w:val="en-US" w:eastAsia="zh-CN"/>
              </w:rPr>
              <w:t>0-1</w:t>
            </w:r>
            <w:r>
              <w:rPr>
                <w:rFonts w:hint="default" w:ascii="Times New Roman" w:hAnsi="Times New Roman" w:eastAsia="宋体" w:cs="Times New Roman"/>
                <w:b w:val="0"/>
                <w:bCs/>
                <w:sz w:val="21"/>
                <w:szCs w:val="21"/>
                <w:highlight w:val="none"/>
              </w:rPr>
              <w:t>分。</w:t>
            </w:r>
          </w:p>
        </w:tc>
        <w:tc>
          <w:tcPr>
            <w:tcW w:w="705" w:type="dxa"/>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1</w:t>
            </w:r>
          </w:p>
        </w:tc>
        <w:tc>
          <w:tcPr>
            <w:tcW w:w="646"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spacing w:line="240" w:lineRule="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rPr>
              <w:t>根据投标人服务保障的结果保证的可行性、完整性进行</w:t>
            </w:r>
            <w:r>
              <w:rPr>
                <w:rFonts w:hint="eastAsia" w:ascii="Times New Roman" w:hAnsi="Times New Roman" w:eastAsia="宋体" w:cs="Times New Roman"/>
                <w:b w:val="0"/>
                <w:bCs/>
                <w:sz w:val="21"/>
                <w:szCs w:val="21"/>
                <w:highlight w:val="none"/>
                <w:lang w:eastAsia="zh-CN"/>
              </w:rPr>
              <w:t>评分</w:t>
            </w:r>
            <w:r>
              <w:rPr>
                <w:rFonts w:hint="default" w:ascii="Times New Roman" w:hAnsi="Times New Roman" w:eastAsia="宋体" w:cs="Times New Roman"/>
                <w:b w:val="0"/>
                <w:bCs/>
                <w:sz w:val="21"/>
                <w:szCs w:val="21"/>
                <w:highlight w:val="none"/>
              </w:rPr>
              <w:t>，</w:t>
            </w:r>
            <w:r>
              <w:rPr>
                <w:rFonts w:hint="eastAsia" w:ascii="Times New Roman" w:hAnsi="Times New Roman" w:eastAsia="宋体" w:cs="Times New Roman"/>
                <w:b w:val="0"/>
                <w:bCs/>
                <w:sz w:val="21"/>
                <w:szCs w:val="21"/>
                <w:highlight w:val="none"/>
                <w:lang w:val="en-US" w:eastAsia="zh-CN"/>
              </w:rPr>
              <w:t>0-1</w:t>
            </w:r>
            <w:r>
              <w:rPr>
                <w:rFonts w:hint="default" w:ascii="Times New Roman" w:hAnsi="Times New Roman" w:eastAsia="宋体" w:cs="Times New Roman"/>
                <w:b w:val="0"/>
                <w:bCs/>
                <w:sz w:val="21"/>
                <w:szCs w:val="21"/>
                <w:highlight w:val="none"/>
              </w:rPr>
              <w:t>分。</w:t>
            </w:r>
          </w:p>
        </w:tc>
        <w:tc>
          <w:tcPr>
            <w:tcW w:w="705" w:type="dxa"/>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1</w:t>
            </w:r>
          </w:p>
        </w:tc>
        <w:tc>
          <w:tcPr>
            <w:tcW w:w="646"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2" w:type="dxa"/>
            <w:vMerge w:val="continue"/>
            <w:noWrap/>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spacing w:line="240" w:lineRule="auto"/>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rPr>
              <w:t>根据投标人驻场服务人员的运营职责定位合理性进行评分，要求明确规范但不限于资产运维组、数据分析组、协同核验组、考评规范组、重保应急组等工作职责，落实标准的安全运营流程，引入高阶安全专家，持续、动态、主动地落实安全运营工作进行评分，0-</w:t>
            </w:r>
            <w:r>
              <w:rPr>
                <w:rFonts w:hint="default" w:ascii="Times New Roman" w:hAnsi="Times New Roman" w:eastAsia="宋体" w:cs="Times New Roman"/>
                <w:b w:val="0"/>
                <w:bCs/>
                <w:sz w:val="21"/>
                <w:szCs w:val="21"/>
                <w:highlight w:val="none"/>
              </w:rPr>
              <w:t>3</w:t>
            </w:r>
            <w:r>
              <w:rPr>
                <w:rFonts w:hint="eastAsia" w:ascii="Times New Roman" w:hAnsi="Times New Roman" w:eastAsia="宋体" w:cs="Times New Roman"/>
                <w:b w:val="0"/>
                <w:bCs/>
                <w:sz w:val="21"/>
                <w:szCs w:val="21"/>
                <w:highlight w:val="none"/>
              </w:rPr>
              <w:t>分</w:t>
            </w:r>
            <w:r>
              <w:rPr>
                <w:rFonts w:hint="eastAsia" w:ascii="Times New Roman" w:hAnsi="Times New Roman" w:eastAsia="宋体" w:cs="Times New Roman"/>
                <w:b w:val="0"/>
                <w:bCs/>
                <w:sz w:val="21"/>
                <w:szCs w:val="21"/>
                <w:highlight w:val="none"/>
                <w:lang w:eastAsia="zh-CN"/>
              </w:rPr>
              <w:t>，</w:t>
            </w:r>
            <w:r>
              <w:rPr>
                <w:rFonts w:hint="eastAsia" w:ascii="Times New Roman" w:hAnsi="Times New Roman" w:eastAsia="宋体" w:cs="Times New Roman"/>
                <w:b w:val="0"/>
                <w:bCs/>
                <w:sz w:val="21"/>
                <w:szCs w:val="21"/>
                <w:highlight w:val="none"/>
              </w:rPr>
              <w:t>不提供不得分。</w:t>
            </w:r>
          </w:p>
        </w:tc>
        <w:tc>
          <w:tcPr>
            <w:tcW w:w="705" w:type="dxa"/>
            <w:noWrap/>
            <w:vAlign w:val="center"/>
          </w:tcPr>
          <w:p>
            <w:pPr>
              <w:jc w:val="center"/>
              <w:rPr>
                <w:rFonts w:hint="eastAsia" w:ascii="Times New Roman" w:hAnsi="Times New Roman" w:eastAsia="宋体" w:cs="Times New Roman"/>
                <w:bCs/>
                <w:sz w:val="21"/>
                <w:szCs w:val="21"/>
                <w:lang w:val="en-US" w:eastAsia="zh-CN" w:bidi="ar-SA"/>
              </w:rPr>
            </w:pPr>
            <w:r>
              <w:rPr>
                <w:bCs/>
                <w:sz w:val="21"/>
                <w:szCs w:val="21"/>
              </w:rPr>
              <w:t>0</w:t>
            </w:r>
            <w:r>
              <w:rPr>
                <w:rFonts w:hint="eastAsia"/>
                <w:bCs/>
                <w:sz w:val="21"/>
                <w:szCs w:val="21"/>
              </w:rPr>
              <w:t>-3</w:t>
            </w:r>
          </w:p>
        </w:tc>
        <w:tc>
          <w:tcPr>
            <w:tcW w:w="646" w:type="dxa"/>
            <w:noWrap/>
            <w:vAlign w:val="center"/>
          </w:tcPr>
          <w:p>
            <w:pPr>
              <w:jc w:val="center"/>
              <w:rPr>
                <w:rFonts w:hint="default" w:ascii="Times New Roman" w:hAnsi="Times New Roman" w:eastAsia="宋体" w:cs="Times New Roman"/>
                <w:bCs/>
                <w:sz w:val="21"/>
                <w:szCs w:val="21"/>
                <w:lang w:val="en-US" w:eastAsia="zh-CN" w:bidi="ar-SA"/>
              </w:rPr>
            </w:pPr>
            <w:r>
              <w:rPr>
                <w:rFonts w:hint="eastAsia"/>
                <w:bCs/>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noWrap/>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110" w:type="dxa"/>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服务能力指标(3</w:t>
            </w:r>
            <w:r>
              <w:rPr>
                <w:rFonts w:hint="eastAsia" w:cs="Times New Roman"/>
                <w:kern w:val="0"/>
                <w:sz w:val="21"/>
                <w:szCs w:val="21"/>
                <w:lang w:val="en-US" w:eastAsia="zh-CN"/>
              </w:rPr>
              <w:t>0</w:t>
            </w:r>
            <w:r>
              <w:rPr>
                <w:rFonts w:hint="default" w:ascii="Times New Roman" w:hAnsi="Times New Roman" w:eastAsia="宋体" w:cs="Times New Roman"/>
                <w:kern w:val="0"/>
                <w:sz w:val="21"/>
                <w:szCs w:val="21"/>
              </w:rPr>
              <w:t>分)</w:t>
            </w:r>
          </w:p>
        </w:tc>
        <w:tc>
          <w:tcPr>
            <w:tcW w:w="6720" w:type="dxa"/>
            <w:noWrap/>
            <w:vAlign w:val="center"/>
          </w:tcPr>
          <w:p>
            <w:pPr>
              <w:spacing w:line="240" w:lineRule="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rPr>
              <w:t>加</w:t>
            </w:r>
            <w:r>
              <w:rPr>
                <w:rFonts w:hint="eastAsia" w:ascii="Times New Roman" w:hAnsi="Times New Roman" w:eastAsia="宋体" w:cs="Times New Roman"/>
                <w:b w:val="0"/>
                <w:bCs/>
                <w:sz w:val="21"/>
                <w:szCs w:val="21"/>
                <w:highlight w:val="none"/>
                <w:lang w:eastAsia="zh-CN"/>
              </w:rPr>
              <w:t>“</w:t>
            </w:r>
            <w:r>
              <w:rPr>
                <w:rFonts w:hint="default" w:ascii="Times New Roman" w:hAnsi="Times New Roman" w:eastAsia="宋体" w:cs="Times New Roman"/>
                <w:b w:val="0"/>
                <w:bCs/>
                <w:sz w:val="21"/>
                <w:szCs w:val="21"/>
                <w:highlight w:val="none"/>
              </w:rPr>
              <w:t>★</w:t>
            </w:r>
            <w:r>
              <w:rPr>
                <w:rFonts w:hint="eastAsia" w:ascii="Times New Roman" w:hAnsi="Times New Roman" w:eastAsia="宋体" w:cs="Times New Roman"/>
                <w:b w:val="0"/>
                <w:bCs/>
                <w:sz w:val="21"/>
                <w:szCs w:val="21"/>
                <w:highlight w:val="none"/>
                <w:lang w:eastAsia="zh-CN"/>
              </w:rPr>
              <w:t>”号的</w:t>
            </w:r>
            <w:r>
              <w:rPr>
                <w:rFonts w:hint="default" w:ascii="Times New Roman" w:hAnsi="Times New Roman" w:eastAsia="宋体" w:cs="Times New Roman"/>
                <w:b w:val="0"/>
                <w:bCs/>
                <w:sz w:val="21"/>
                <w:szCs w:val="21"/>
                <w:highlight w:val="none"/>
              </w:rPr>
              <w:t>技术指标为</w:t>
            </w:r>
            <w:r>
              <w:rPr>
                <w:rFonts w:hint="eastAsia" w:ascii="Times New Roman" w:hAnsi="Times New Roman" w:eastAsia="宋体" w:cs="Times New Roman"/>
                <w:b w:val="0"/>
                <w:bCs/>
                <w:sz w:val="21"/>
                <w:szCs w:val="21"/>
                <w:highlight w:val="none"/>
                <w:lang w:eastAsia="zh-CN"/>
              </w:rPr>
              <w:t>强制性要求</w:t>
            </w:r>
            <w:r>
              <w:rPr>
                <w:rFonts w:hint="default" w:ascii="Times New Roman" w:hAnsi="Times New Roman" w:eastAsia="宋体" w:cs="Times New Roman"/>
                <w:b w:val="0"/>
                <w:bCs/>
                <w:sz w:val="21"/>
                <w:szCs w:val="21"/>
                <w:highlight w:val="none"/>
              </w:rPr>
              <w:t>指标</w:t>
            </w:r>
            <w:r>
              <w:rPr>
                <w:rFonts w:hint="eastAsia" w:ascii="Times New Roman" w:hAnsi="Times New Roman" w:eastAsia="宋体" w:cs="Times New Roman"/>
                <w:b w:val="0"/>
                <w:bCs/>
                <w:sz w:val="21"/>
                <w:szCs w:val="21"/>
                <w:highlight w:val="none"/>
                <w:lang w:eastAsia="zh-CN"/>
              </w:rPr>
              <w:t>，</w:t>
            </w:r>
            <w:r>
              <w:rPr>
                <w:rFonts w:hint="default" w:ascii="Times New Roman" w:hAnsi="Times New Roman" w:eastAsia="宋体" w:cs="Times New Roman"/>
                <w:b w:val="0"/>
                <w:bCs/>
                <w:sz w:val="21"/>
                <w:szCs w:val="21"/>
                <w:highlight w:val="none"/>
              </w:rPr>
              <w:t>必须满足，不得负偏离；</w:t>
            </w:r>
            <w:r>
              <w:rPr>
                <w:rFonts w:hint="eastAsia" w:ascii="Times New Roman" w:hAnsi="Times New Roman" w:eastAsia="宋体" w:cs="Times New Roman"/>
                <w:b w:val="0"/>
                <w:bCs/>
                <w:sz w:val="21"/>
                <w:szCs w:val="21"/>
                <w:highlight w:val="none"/>
                <w:lang w:eastAsia="zh-CN"/>
              </w:rPr>
              <w:t>除</w:t>
            </w:r>
            <w:r>
              <w:rPr>
                <w:rFonts w:hint="default" w:ascii="Times New Roman" w:hAnsi="Times New Roman" w:eastAsia="宋体" w:cs="Times New Roman"/>
                <w:b w:val="0"/>
                <w:bCs/>
                <w:sz w:val="21"/>
                <w:szCs w:val="21"/>
                <w:highlight w:val="none"/>
              </w:rPr>
              <w:t>加</w:t>
            </w:r>
            <w:r>
              <w:rPr>
                <w:rFonts w:hint="eastAsia" w:ascii="Times New Roman" w:hAnsi="Times New Roman" w:eastAsia="宋体" w:cs="Times New Roman"/>
                <w:b w:val="0"/>
                <w:bCs/>
                <w:sz w:val="21"/>
                <w:szCs w:val="21"/>
                <w:highlight w:val="none"/>
                <w:lang w:eastAsia="zh-CN"/>
              </w:rPr>
              <w:t>“</w:t>
            </w:r>
            <w:r>
              <w:rPr>
                <w:rFonts w:hint="default" w:ascii="Times New Roman" w:hAnsi="Times New Roman" w:eastAsia="宋体" w:cs="Times New Roman"/>
                <w:b w:val="0"/>
                <w:bCs/>
                <w:sz w:val="21"/>
                <w:szCs w:val="21"/>
                <w:highlight w:val="none"/>
              </w:rPr>
              <w:t>★</w:t>
            </w:r>
            <w:r>
              <w:rPr>
                <w:rFonts w:hint="eastAsia" w:ascii="Times New Roman" w:hAnsi="Times New Roman" w:eastAsia="宋体" w:cs="Times New Roman"/>
                <w:b w:val="0"/>
                <w:bCs/>
                <w:sz w:val="21"/>
                <w:szCs w:val="21"/>
                <w:highlight w:val="none"/>
                <w:lang w:eastAsia="zh-CN"/>
              </w:rPr>
              <w:t>”号强制性要求</w:t>
            </w:r>
            <w:r>
              <w:rPr>
                <w:rFonts w:hint="default" w:ascii="Times New Roman" w:hAnsi="Times New Roman" w:eastAsia="宋体" w:cs="Times New Roman"/>
                <w:b w:val="0"/>
                <w:bCs/>
                <w:sz w:val="21"/>
                <w:szCs w:val="21"/>
                <w:highlight w:val="none"/>
              </w:rPr>
              <w:t>指标</w:t>
            </w:r>
            <w:r>
              <w:rPr>
                <w:rFonts w:hint="eastAsia" w:ascii="Times New Roman" w:hAnsi="Times New Roman" w:eastAsia="宋体" w:cs="Times New Roman"/>
                <w:b w:val="0"/>
                <w:bCs/>
                <w:sz w:val="21"/>
                <w:szCs w:val="21"/>
                <w:highlight w:val="none"/>
                <w:lang w:eastAsia="zh-CN"/>
              </w:rPr>
              <w:t>外，</w:t>
            </w:r>
            <w:r>
              <w:rPr>
                <w:rFonts w:hint="default" w:ascii="Times New Roman" w:hAnsi="Times New Roman" w:eastAsia="宋体" w:cs="Times New Roman"/>
                <w:b w:val="0"/>
                <w:bCs/>
                <w:sz w:val="21"/>
                <w:szCs w:val="21"/>
                <w:highlight w:val="none"/>
              </w:rPr>
              <w:t>完全响应招标文件</w:t>
            </w:r>
            <w:r>
              <w:rPr>
                <w:rFonts w:hint="eastAsia" w:ascii="Times New Roman" w:hAnsi="Times New Roman" w:eastAsia="宋体" w:cs="Times New Roman"/>
                <w:b w:val="0"/>
                <w:bCs/>
                <w:sz w:val="21"/>
                <w:szCs w:val="21"/>
                <w:highlight w:val="none"/>
                <w:lang w:eastAsia="zh-CN"/>
              </w:rPr>
              <w:t>“项目</w:t>
            </w:r>
            <w:r>
              <w:rPr>
                <w:rFonts w:hint="eastAsia" w:ascii="Times New Roman" w:hAnsi="Times New Roman" w:eastAsia="宋体" w:cs="Times New Roman"/>
                <w:b w:val="0"/>
                <w:bCs/>
                <w:sz w:val="21"/>
                <w:szCs w:val="21"/>
                <w:highlight w:val="none"/>
              </w:rPr>
              <w:t>技术要求</w:t>
            </w:r>
            <w:r>
              <w:rPr>
                <w:rFonts w:hint="eastAsia" w:ascii="Times New Roman" w:hAnsi="Times New Roman" w:eastAsia="宋体" w:cs="Times New Roman"/>
                <w:b w:val="0"/>
                <w:bCs/>
                <w:sz w:val="21"/>
                <w:szCs w:val="21"/>
                <w:highlight w:val="none"/>
                <w:lang w:val="en-US" w:eastAsia="zh-CN"/>
              </w:rPr>
              <w:t>-</w:t>
            </w:r>
            <w:r>
              <w:rPr>
                <w:rFonts w:hint="default" w:ascii="Times New Roman" w:hAnsi="Times New Roman" w:eastAsia="宋体" w:cs="Times New Roman"/>
                <w:b w:val="0"/>
                <w:bCs/>
                <w:sz w:val="21"/>
                <w:szCs w:val="21"/>
                <w:highlight w:val="none"/>
                <w:lang w:val="en-US" w:eastAsia="zh-CN"/>
              </w:rPr>
              <w:t>具体服务</w:t>
            </w:r>
            <w:r>
              <w:rPr>
                <w:rFonts w:hint="eastAsia" w:ascii="Times New Roman" w:hAnsi="Times New Roman" w:eastAsia="宋体" w:cs="Times New Roman"/>
                <w:b w:val="0"/>
                <w:bCs/>
                <w:sz w:val="21"/>
                <w:szCs w:val="21"/>
                <w:highlight w:val="none"/>
                <w:lang w:val="en-US" w:eastAsia="zh-CN"/>
              </w:rPr>
              <w:t>技术</w:t>
            </w:r>
            <w:r>
              <w:rPr>
                <w:rFonts w:hint="default" w:ascii="Times New Roman" w:hAnsi="Times New Roman" w:eastAsia="宋体" w:cs="Times New Roman"/>
                <w:b w:val="0"/>
                <w:bCs/>
                <w:sz w:val="21"/>
                <w:szCs w:val="21"/>
                <w:highlight w:val="none"/>
                <w:lang w:val="en-US" w:eastAsia="zh-CN"/>
              </w:rPr>
              <w:t>要求</w:t>
            </w:r>
            <w:r>
              <w:rPr>
                <w:rFonts w:hint="eastAsia" w:ascii="Times New Roman" w:hAnsi="Times New Roman" w:eastAsia="宋体" w:cs="Times New Roman"/>
                <w:b w:val="0"/>
                <w:bCs/>
                <w:sz w:val="21"/>
                <w:szCs w:val="21"/>
                <w:highlight w:val="none"/>
                <w:lang w:eastAsia="zh-CN"/>
              </w:rPr>
              <w:t>”</w:t>
            </w:r>
            <w:r>
              <w:rPr>
                <w:rFonts w:hint="default" w:ascii="Times New Roman" w:hAnsi="Times New Roman" w:eastAsia="宋体" w:cs="Times New Roman"/>
                <w:b w:val="0"/>
                <w:bCs/>
                <w:sz w:val="21"/>
                <w:szCs w:val="21"/>
                <w:highlight w:val="none"/>
              </w:rPr>
              <w:t>中</w:t>
            </w:r>
            <w:r>
              <w:rPr>
                <w:rFonts w:hint="eastAsia" w:ascii="Times New Roman" w:hAnsi="Times New Roman" w:eastAsia="宋体" w:cs="Times New Roman"/>
                <w:b w:val="0"/>
                <w:bCs/>
                <w:sz w:val="21"/>
                <w:szCs w:val="21"/>
                <w:highlight w:val="none"/>
                <w:lang w:eastAsia="zh-CN"/>
              </w:rPr>
              <w:t>所有</w:t>
            </w:r>
            <w:r>
              <w:rPr>
                <w:rFonts w:hint="default" w:ascii="Times New Roman" w:hAnsi="Times New Roman" w:eastAsia="宋体" w:cs="Times New Roman"/>
                <w:b w:val="0"/>
                <w:bCs/>
                <w:sz w:val="21"/>
                <w:szCs w:val="21"/>
                <w:highlight w:val="none"/>
              </w:rPr>
              <w:t>指标</w:t>
            </w:r>
            <w:r>
              <w:rPr>
                <w:rFonts w:hint="default" w:ascii="Times New Roman" w:hAnsi="Times New Roman" w:eastAsia="宋体" w:cs="Times New Roman"/>
                <w:b w:val="0"/>
                <w:bCs/>
                <w:sz w:val="21"/>
                <w:szCs w:val="21"/>
                <w:highlight w:val="none"/>
                <w:lang w:eastAsia="zh-CN"/>
              </w:rPr>
              <w:t>或完全</w:t>
            </w:r>
            <w:r>
              <w:rPr>
                <w:rFonts w:hint="eastAsia" w:ascii="Times New Roman" w:hAnsi="Times New Roman" w:eastAsia="宋体" w:cs="Times New Roman"/>
                <w:b w:val="0"/>
                <w:bCs/>
                <w:sz w:val="21"/>
                <w:szCs w:val="21"/>
                <w:highlight w:val="none"/>
                <w:lang w:eastAsia="zh-CN"/>
              </w:rPr>
              <w:t>响应</w:t>
            </w:r>
            <w:r>
              <w:rPr>
                <w:rFonts w:hint="default" w:ascii="Times New Roman" w:hAnsi="Times New Roman" w:eastAsia="宋体" w:cs="Times New Roman"/>
                <w:b w:val="0"/>
                <w:bCs/>
                <w:sz w:val="21"/>
                <w:szCs w:val="21"/>
                <w:highlight w:val="none"/>
                <w:lang w:eastAsia="zh-CN"/>
              </w:rPr>
              <w:t>且有正偏离的</w:t>
            </w:r>
            <w:r>
              <w:rPr>
                <w:rFonts w:hint="default" w:ascii="Times New Roman" w:hAnsi="Times New Roman" w:eastAsia="宋体" w:cs="Times New Roman"/>
                <w:b w:val="0"/>
                <w:bCs/>
                <w:sz w:val="21"/>
                <w:szCs w:val="21"/>
                <w:highlight w:val="none"/>
              </w:rPr>
              <w:t>得3</w:t>
            </w:r>
            <w:r>
              <w:rPr>
                <w:rFonts w:hint="eastAsia" w:ascii="Times New Roman" w:hAnsi="Times New Roman" w:eastAsia="宋体" w:cs="Times New Roman"/>
                <w:b w:val="0"/>
                <w:bCs/>
                <w:sz w:val="21"/>
                <w:szCs w:val="21"/>
                <w:highlight w:val="none"/>
                <w:lang w:val="en-US" w:eastAsia="zh-CN"/>
              </w:rPr>
              <w:t>0</w:t>
            </w:r>
            <w:r>
              <w:rPr>
                <w:rFonts w:hint="default" w:ascii="Times New Roman" w:hAnsi="Times New Roman" w:eastAsia="宋体" w:cs="Times New Roman"/>
                <w:b w:val="0"/>
                <w:bCs/>
                <w:sz w:val="21"/>
                <w:szCs w:val="21"/>
                <w:highlight w:val="none"/>
              </w:rPr>
              <w:t>分；</w:t>
            </w:r>
            <w:r>
              <w:rPr>
                <w:rFonts w:hint="default" w:ascii="Times New Roman" w:hAnsi="Times New Roman" w:eastAsia="宋体" w:cs="Times New Roman"/>
                <w:b w:val="0"/>
                <w:bCs/>
                <w:sz w:val="21"/>
                <w:szCs w:val="21"/>
                <w:highlight w:val="none"/>
                <w:lang w:eastAsia="zh-CN"/>
              </w:rPr>
              <w:t>标</w:t>
            </w:r>
            <w:r>
              <w:rPr>
                <w:rFonts w:hint="default" w:ascii="Times New Roman" w:hAnsi="Times New Roman" w:eastAsia="宋体" w:cs="Times New Roman"/>
                <w:b w:val="0"/>
                <w:bCs/>
                <w:sz w:val="21"/>
                <w:szCs w:val="21"/>
                <w:highlight w:val="none"/>
              </w:rPr>
              <w:t>“▲”标记</w:t>
            </w:r>
            <w:r>
              <w:rPr>
                <w:rFonts w:hint="default" w:ascii="Times New Roman" w:hAnsi="Times New Roman" w:eastAsia="宋体" w:cs="Times New Roman"/>
                <w:b w:val="0"/>
                <w:bCs/>
                <w:sz w:val="21"/>
                <w:szCs w:val="21"/>
                <w:highlight w:val="none"/>
                <w:lang w:eastAsia="zh-CN"/>
              </w:rPr>
              <w:t>参数</w:t>
            </w:r>
            <w:r>
              <w:rPr>
                <w:rFonts w:hint="default" w:ascii="Times New Roman" w:hAnsi="Times New Roman" w:eastAsia="宋体" w:cs="Times New Roman"/>
                <w:b w:val="0"/>
                <w:bCs/>
                <w:sz w:val="21"/>
                <w:szCs w:val="21"/>
                <w:highlight w:val="none"/>
              </w:rPr>
              <w:t>系指</w:t>
            </w:r>
            <w:r>
              <w:rPr>
                <w:rFonts w:hint="default" w:ascii="Times New Roman" w:hAnsi="Times New Roman" w:eastAsia="宋体" w:cs="Times New Roman"/>
                <w:b w:val="0"/>
                <w:bCs/>
                <w:sz w:val="21"/>
                <w:szCs w:val="21"/>
                <w:highlight w:val="none"/>
                <w:lang w:eastAsia="zh-CN"/>
              </w:rPr>
              <w:t>重点参数，投标指标每负偏离一项扣</w:t>
            </w:r>
            <w:r>
              <w:rPr>
                <w:rFonts w:hint="eastAsia" w:ascii="Times New Roman" w:hAnsi="Times New Roman" w:eastAsia="宋体" w:cs="Times New Roman"/>
                <w:b w:val="0"/>
                <w:bCs/>
                <w:sz w:val="21"/>
                <w:szCs w:val="21"/>
                <w:highlight w:val="none"/>
                <w:lang w:val="en-US" w:eastAsia="zh-CN"/>
              </w:rPr>
              <w:t>2</w:t>
            </w:r>
            <w:r>
              <w:rPr>
                <w:rFonts w:hint="default" w:ascii="Times New Roman" w:hAnsi="Times New Roman" w:eastAsia="宋体" w:cs="Times New Roman"/>
                <w:b w:val="0"/>
                <w:bCs/>
                <w:sz w:val="21"/>
                <w:szCs w:val="21"/>
                <w:highlight w:val="none"/>
                <w:lang w:val="en-US" w:eastAsia="zh-CN"/>
              </w:rPr>
              <w:t>分；其他技术指标每负偏离一项扣</w:t>
            </w:r>
            <w:r>
              <w:rPr>
                <w:rFonts w:hint="eastAsia" w:ascii="Times New Roman" w:hAnsi="Times New Roman" w:eastAsia="宋体" w:cs="Times New Roman"/>
                <w:b w:val="0"/>
                <w:bCs/>
                <w:sz w:val="21"/>
                <w:szCs w:val="21"/>
                <w:highlight w:val="none"/>
                <w:lang w:val="en-US" w:eastAsia="zh-CN"/>
              </w:rPr>
              <w:t>1</w:t>
            </w:r>
            <w:r>
              <w:rPr>
                <w:rFonts w:hint="default" w:ascii="Times New Roman" w:hAnsi="Times New Roman" w:eastAsia="宋体" w:cs="Times New Roman"/>
                <w:b w:val="0"/>
                <w:bCs/>
                <w:sz w:val="21"/>
                <w:szCs w:val="21"/>
                <w:highlight w:val="none"/>
                <w:lang w:val="en-US" w:eastAsia="zh-CN"/>
              </w:rPr>
              <w:t>分</w:t>
            </w:r>
            <w:r>
              <w:rPr>
                <w:rFonts w:hint="eastAsia" w:ascii="Times New Roman" w:hAnsi="Times New Roman" w:eastAsia="宋体" w:cs="Times New Roman"/>
                <w:b w:val="0"/>
                <w:bCs/>
                <w:sz w:val="21"/>
                <w:szCs w:val="21"/>
                <w:highlight w:val="none"/>
                <w:lang w:val="en-US" w:eastAsia="zh-CN"/>
              </w:rPr>
              <w:t>。</w:t>
            </w:r>
            <w:r>
              <w:rPr>
                <w:rFonts w:hint="default" w:ascii="Times New Roman" w:hAnsi="Times New Roman" w:eastAsia="宋体" w:cs="Times New Roman"/>
                <w:b w:val="0"/>
                <w:bCs/>
                <w:sz w:val="21"/>
                <w:szCs w:val="21"/>
                <w:highlight w:val="none"/>
              </w:rPr>
              <w:t>本项</w:t>
            </w:r>
            <w:r>
              <w:rPr>
                <w:rFonts w:hint="eastAsia" w:ascii="Times New Roman" w:hAnsi="Times New Roman" w:eastAsia="宋体" w:cs="Times New Roman"/>
                <w:b w:val="0"/>
                <w:bCs/>
                <w:sz w:val="21"/>
                <w:szCs w:val="21"/>
                <w:highlight w:val="none"/>
                <w:lang w:eastAsia="zh-CN"/>
              </w:rPr>
              <w:t>评</w:t>
            </w:r>
            <w:r>
              <w:rPr>
                <w:rFonts w:hint="default" w:ascii="Times New Roman" w:hAnsi="Times New Roman" w:eastAsia="宋体" w:cs="Times New Roman"/>
                <w:b w:val="0"/>
                <w:bCs/>
                <w:sz w:val="21"/>
                <w:szCs w:val="21"/>
                <w:highlight w:val="none"/>
              </w:rPr>
              <w:t>分最高得</w:t>
            </w:r>
            <w:r>
              <w:rPr>
                <w:rFonts w:hint="eastAsia" w:ascii="Times New Roman" w:hAnsi="Times New Roman" w:eastAsia="宋体" w:cs="Times New Roman"/>
                <w:b w:val="0"/>
                <w:bCs/>
                <w:sz w:val="21"/>
                <w:szCs w:val="21"/>
                <w:highlight w:val="none"/>
                <w:lang w:val="en-US" w:eastAsia="zh-CN"/>
              </w:rPr>
              <w:t>30</w:t>
            </w:r>
            <w:r>
              <w:rPr>
                <w:rFonts w:hint="default" w:ascii="Times New Roman" w:hAnsi="Times New Roman" w:eastAsia="宋体" w:cs="Times New Roman"/>
                <w:b w:val="0"/>
                <w:bCs/>
                <w:sz w:val="21"/>
                <w:szCs w:val="21"/>
                <w:highlight w:val="none"/>
              </w:rPr>
              <w:t>分，最低得0分。投标人仅在</w:t>
            </w:r>
            <w:r>
              <w:rPr>
                <w:rFonts w:hint="eastAsia" w:ascii="Times New Roman" w:hAnsi="Times New Roman" w:eastAsia="宋体" w:cs="Times New Roman"/>
                <w:b w:val="0"/>
                <w:bCs/>
                <w:sz w:val="21"/>
                <w:szCs w:val="21"/>
                <w:highlight w:val="none"/>
                <w:lang w:eastAsia="zh-CN"/>
              </w:rPr>
              <w:t>规范偏离表</w:t>
            </w:r>
            <w:r>
              <w:rPr>
                <w:rFonts w:hint="default" w:ascii="Times New Roman" w:hAnsi="Times New Roman" w:eastAsia="宋体" w:cs="Times New Roman"/>
                <w:b w:val="0"/>
                <w:bCs/>
                <w:sz w:val="21"/>
                <w:szCs w:val="21"/>
                <w:highlight w:val="none"/>
              </w:rPr>
              <w:t>中作出响应但没有提供指标项所要求的佐证材料或检测报告等相应材料的，视为</w:t>
            </w:r>
            <w:r>
              <w:rPr>
                <w:rFonts w:hint="eastAsia" w:ascii="Times New Roman" w:hAnsi="Times New Roman" w:eastAsia="宋体" w:cs="Times New Roman"/>
                <w:b w:val="0"/>
                <w:bCs/>
                <w:sz w:val="21"/>
                <w:szCs w:val="21"/>
                <w:highlight w:val="none"/>
                <w:lang w:eastAsia="zh-CN"/>
              </w:rPr>
              <w:t>负</w:t>
            </w:r>
            <w:r>
              <w:rPr>
                <w:rFonts w:hint="default" w:ascii="Times New Roman" w:hAnsi="Times New Roman" w:eastAsia="宋体" w:cs="Times New Roman"/>
                <w:b w:val="0"/>
                <w:bCs/>
                <w:sz w:val="21"/>
                <w:szCs w:val="21"/>
                <w:highlight w:val="none"/>
              </w:rPr>
              <w:t>偏离项。</w:t>
            </w:r>
          </w:p>
        </w:tc>
        <w:tc>
          <w:tcPr>
            <w:tcW w:w="705" w:type="dxa"/>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0-3</w:t>
            </w:r>
            <w:r>
              <w:rPr>
                <w:rFonts w:hint="eastAsia" w:cs="Times New Roman"/>
                <w:b w:val="0"/>
                <w:bCs/>
                <w:sz w:val="21"/>
                <w:szCs w:val="21"/>
                <w:highlight w:val="none"/>
                <w:lang w:val="en-US" w:eastAsia="zh-CN"/>
              </w:rPr>
              <w:t>0</w:t>
            </w:r>
          </w:p>
        </w:tc>
        <w:tc>
          <w:tcPr>
            <w:tcW w:w="646"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62" w:type="dxa"/>
            <w:vMerge w:val="restart"/>
            <w:noWrap/>
            <w:vAlign w:val="center"/>
          </w:tcPr>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p>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110" w:type="dxa"/>
            <w:vMerge w:val="restart"/>
            <w:noWrap/>
            <w:vAlign w:val="center"/>
          </w:tcPr>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kern w:val="0"/>
                <w:sz w:val="21"/>
                <w:szCs w:val="21"/>
              </w:rPr>
            </w:pPr>
          </w:p>
          <w:p>
            <w:pPr>
              <w:spacing w:line="240" w:lineRule="auto"/>
              <w:jc w:val="center"/>
              <w:rPr>
                <w:rFonts w:hint="default" w:ascii="Times New Roman" w:hAnsi="Times New Roman" w:eastAsia="宋体" w:cs="Times New Roman"/>
                <w:b w:val="0"/>
                <w:bCs/>
                <w:sz w:val="21"/>
                <w:szCs w:val="21"/>
                <w:highlight w:val="none"/>
                <w:lang w:val="en-US" w:eastAsia="zh-CN" w:bidi="ar-SA"/>
              </w:rPr>
            </w:pPr>
            <w:r>
              <w:rPr>
                <w:rFonts w:hint="default" w:ascii="Times New Roman" w:hAnsi="Times New Roman" w:eastAsia="宋体" w:cs="Times New Roman"/>
                <w:kern w:val="0"/>
                <w:sz w:val="21"/>
                <w:szCs w:val="21"/>
              </w:rPr>
              <w:t>演示讲解(20分)（备注：录屏须体现连贯性，以计时器为背景。）</w:t>
            </w:r>
          </w:p>
        </w:tc>
        <w:tc>
          <w:tcPr>
            <w:tcW w:w="6720" w:type="dxa"/>
            <w:noWrap/>
            <w:vAlign w:val="center"/>
          </w:tcPr>
          <w:p>
            <w:pPr>
              <w:pStyle w:val="365"/>
              <w:spacing w:line="240" w:lineRule="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1全链路态势感知展示服务，围绕大数据局考核要求的“云网数用端”多个维度进行展示呈现。</w:t>
            </w:r>
          </w:p>
        </w:tc>
        <w:tc>
          <w:tcPr>
            <w:tcW w:w="705" w:type="dxa"/>
            <w:vMerge w:val="restart"/>
            <w:noWrap/>
            <w:vAlign w:val="center"/>
          </w:tcPr>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0-4</w:t>
            </w:r>
          </w:p>
        </w:tc>
        <w:tc>
          <w:tcPr>
            <w:tcW w:w="646"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rPr>
            </w:pPr>
          </w:p>
          <w:p>
            <w:pPr>
              <w:spacing w:line="240" w:lineRule="auto"/>
              <w:jc w:val="center"/>
              <w:rPr>
                <w:rFonts w:hint="default" w:ascii="Times New Roman" w:hAnsi="Times New Roman" w:eastAsia="宋体" w:cs="Times New Roman"/>
                <w:b w:val="0"/>
                <w:bCs/>
                <w:sz w:val="21"/>
                <w:szCs w:val="21"/>
                <w:highlight w:val="none"/>
              </w:rPr>
            </w:pPr>
          </w:p>
          <w:p>
            <w:pPr>
              <w:spacing w:line="240" w:lineRule="auto"/>
              <w:jc w:val="center"/>
              <w:rPr>
                <w:rFonts w:hint="default" w:ascii="Times New Roman" w:hAnsi="Times New Roman" w:eastAsia="宋体" w:cs="Times New Roman"/>
                <w:b w:val="0"/>
                <w:bCs/>
                <w:sz w:val="21"/>
                <w:szCs w:val="21"/>
                <w:highlight w:val="none"/>
              </w:rPr>
            </w:pPr>
          </w:p>
          <w:p>
            <w:pPr>
              <w:spacing w:line="240" w:lineRule="auto"/>
              <w:jc w:val="center"/>
              <w:rPr>
                <w:rFonts w:hint="eastAsia" w:cs="Times New Roman"/>
                <w:b w:val="0"/>
                <w:bCs/>
                <w:sz w:val="21"/>
                <w:szCs w:val="21"/>
                <w:highlight w:val="none"/>
                <w:lang w:eastAsia="zh-CN"/>
              </w:rPr>
            </w:pPr>
          </w:p>
          <w:p>
            <w:pPr>
              <w:spacing w:line="240" w:lineRule="auto"/>
              <w:jc w:val="center"/>
              <w:rPr>
                <w:rFonts w:hint="eastAsia" w:cs="Times New Roman"/>
                <w:b w:val="0"/>
                <w:bCs/>
                <w:sz w:val="21"/>
                <w:szCs w:val="21"/>
                <w:highlight w:val="none"/>
                <w:lang w:eastAsia="zh-CN"/>
              </w:rPr>
            </w:pPr>
          </w:p>
          <w:p>
            <w:pPr>
              <w:spacing w:line="240" w:lineRule="auto"/>
              <w:jc w:val="center"/>
              <w:rPr>
                <w:rFonts w:hint="eastAsia" w:cs="Times New Roman"/>
                <w:b w:val="0"/>
                <w:bCs/>
                <w:sz w:val="21"/>
                <w:szCs w:val="21"/>
                <w:highlight w:val="none"/>
                <w:lang w:eastAsia="zh-CN"/>
              </w:rPr>
            </w:pPr>
          </w:p>
          <w:p>
            <w:pPr>
              <w:spacing w:line="240" w:lineRule="auto"/>
              <w:jc w:val="center"/>
              <w:rPr>
                <w:rFonts w:hint="eastAsia" w:ascii="Times New Roman" w:hAnsi="Times New Roman" w:eastAsia="宋体" w:cs="Times New Roman"/>
                <w:b w:val="0"/>
                <w:bCs/>
                <w:sz w:val="21"/>
                <w:szCs w:val="21"/>
                <w:highlight w:val="none"/>
                <w:lang w:eastAsia="zh-CN"/>
              </w:rPr>
            </w:pPr>
            <w:r>
              <w:rPr>
                <w:rFonts w:hint="eastAsia" w:cs="Times New Roman"/>
                <w:b w:val="0"/>
                <w:bCs/>
                <w:sz w:val="21"/>
                <w:szCs w:val="21"/>
                <w:highlight w:val="none"/>
                <w:lang w:eastAsia="zh-CN"/>
              </w:rPr>
              <w:t>客观</w:t>
            </w:r>
            <w:r>
              <w:rPr>
                <w:rFonts w:hint="default" w:ascii="Times New Roman" w:hAnsi="Times New Roman" w:eastAsia="宋体" w:cs="Times New Roman"/>
                <w:b w:val="0"/>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w:t>
            </w:r>
            <w:r>
              <w:rPr>
                <w:rFonts w:hint="eastAsia" w:cs="Times New Roman"/>
                <w:kern w:val="0"/>
                <w:sz w:val="21"/>
                <w:szCs w:val="21"/>
                <w:lang w:eastAsia="zh-CN"/>
              </w:rPr>
              <w:t>支持以下功能：</w:t>
            </w:r>
            <w:r>
              <w:rPr>
                <w:rFonts w:hint="default" w:ascii="Times New Roman" w:hAnsi="Times New Roman" w:eastAsia="宋体" w:cs="Times New Roman"/>
                <w:kern w:val="0"/>
                <w:sz w:val="21"/>
                <w:szCs w:val="21"/>
              </w:rPr>
              <w:t>对接网络安全、数据安全、云安全、应用准入、边界安全等领域的安全管理中心，展示各中心部署引擎数和上报数据数；统计并展示选定任意日期和时间范围内的互联网暴露面，包括域名、IP、开放端口等；统计并展示安全运营现状，包括存在的高危漏洞、高危端口、高危违规、弱口令、防火墙阻断、安全处置等</w:t>
            </w:r>
            <w:r>
              <w:rPr>
                <w:rFonts w:hint="eastAsia" w:cs="Times New Roman"/>
                <w:kern w:val="0"/>
                <w:sz w:val="21"/>
                <w:szCs w:val="21"/>
                <w:lang w:eastAsia="zh-CN"/>
              </w:rPr>
              <w:t>，得</w:t>
            </w:r>
            <w:r>
              <w:rPr>
                <w:rFonts w:hint="eastAsia" w:cs="Times New Roman"/>
                <w:kern w:val="0"/>
                <w:sz w:val="21"/>
                <w:szCs w:val="21"/>
                <w:lang w:val="en-US" w:eastAsia="zh-CN"/>
              </w:rPr>
              <w:t>1分，否则不得分。</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w:t>
            </w:r>
            <w:r>
              <w:rPr>
                <w:rFonts w:hint="eastAsia" w:cs="Times New Roman"/>
                <w:kern w:val="0"/>
                <w:sz w:val="21"/>
                <w:szCs w:val="21"/>
                <w:lang w:eastAsia="zh-CN"/>
              </w:rPr>
              <w:t>支持以下功能：</w:t>
            </w:r>
            <w:r>
              <w:rPr>
                <w:rFonts w:hint="default" w:ascii="Times New Roman" w:hAnsi="Times New Roman" w:eastAsia="宋体" w:cs="Times New Roman"/>
                <w:kern w:val="0"/>
                <w:sz w:val="21"/>
                <w:szCs w:val="21"/>
              </w:rPr>
              <w:t>展示实时保障力量，包括团队规模、安全值守、机关单位、安全支撑单位、安全指挥长、总联络人。展示全链路安全监管对象，包括监管单位、监管系统、监管终端、安全设备、数据资产、用户档案等信息</w:t>
            </w:r>
            <w:r>
              <w:rPr>
                <w:rFonts w:hint="eastAsia" w:cs="Times New Roman"/>
                <w:kern w:val="0"/>
                <w:sz w:val="21"/>
                <w:szCs w:val="21"/>
                <w:lang w:eastAsia="zh-CN"/>
              </w:rPr>
              <w:t>，得</w:t>
            </w:r>
            <w:r>
              <w:rPr>
                <w:rFonts w:hint="eastAsia" w:cs="Times New Roman"/>
                <w:kern w:val="0"/>
                <w:sz w:val="21"/>
                <w:szCs w:val="21"/>
                <w:lang w:val="en-US" w:eastAsia="zh-CN"/>
              </w:rPr>
              <w:t>1分，否则不得分。</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（3）</w:t>
            </w:r>
            <w:r>
              <w:rPr>
                <w:rFonts w:hint="eastAsia" w:cs="Times New Roman"/>
                <w:kern w:val="0"/>
                <w:sz w:val="21"/>
                <w:szCs w:val="21"/>
                <w:lang w:eastAsia="zh-CN"/>
              </w:rPr>
              <w:t>支持以下功能：</w:t>
            </w:r>
            <w:r>
              <w:rPr>
                <w:rFonts w:hint="default" w:ascii="Times New Roman" w:hAnsi="Times New Roman" w:eastAsia="宋体" w:cs="Times New Roman"/>
                <w:kern w:val="0"/>
                <w:sz w:val="21"/>
                <w:szCs w:val="21"/>
              </w:rPr>
              <w:t>在一张屏展示网络虚拟空间、单位地理空间、单位资产空间，直观反应三层之间的关联关系，将攻击行为从网络空间映射到地图空间，再到单位拓扑</w:t>
            </w:r>
            <w:r>
              <w:rPr>
                <w:rFonts w:hint="eastAsia" w:cs="Times New Roman"/>
                <w:kern w:val="0"/>
                <w:sz w:val="21"/>
                <w:szCs w:val="21"/>
                <w:lang w:eastAsia="zh-CN"/>
              </w:rPr>
              <w:t>，得</w:t>
            </w:r>
            <w:r>
              <w:rPr>
                <w:rFonts w:hint="eastAsia" w:cs="Times New Roman"/>
                <w:kern w:val="0"/>
                <w:sz w:val="21"/>
                <w:szCs w:val="21"/>
                <w:lang w:val="en-US" w:eastAsia="zh-CN"/>
              </w:rPr>
              <w:t>1分，否则不得分。</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（4）</w:t>
            </w:r>
            <w:r>
              <w:rPr>
                <w:rFonts w:hint="eastAsia" w:cs="Times New Roman"/>
                <w:kern w:val="0"/>
                <w:sz w:val="21"/>
                <w:szCs w:val="21"/>
                <w:lang w:eastAsia="zh-CN"/>
              </w:rPr>
              <w:t>支持以下功能：</w:t>
            </w:r>
            <w:r>
              <w:rPr>
                <w:rFonts w:hint="default" w:ascii="Times New Roman" w:hAnsi="Times New Roman" w:eastAsia="宋体" w:cs="Times New Roman"/>
                <w:kern w:val="0"/>
                <w:sz w:val="21"/>
                <w:szCs w:val="21"/>
              </w:rPr>
              <w:t>在地理、网络、行为主体等不同图层上以地图打点方式展示单位、系统、人员信息，点击查看详情</w:t>
            </w:r>
            <w:r>
              <w:rPr>
                <w:rFonts w:hint="eastAsia" w:cs="Times New Roman"/>
                <w:kern w:val="0"/>
                <w:sz w:val="21"/>
                <w:szCs w:val="21"/>
                <w:lang w:eastAsia="zh-CN"/>
              </w:rPr>
              <w:t>，得</w:t>
            </w:r>
            <w:r>
              <w:rPr>
                <w:rFonts w:hint="eastAsia" w:cs="Times New Roman"/>
                <w:kern w:val="0"/>
                <w:sz w:val="21"/>
                <w:szCs w:val="21"/>
                <w:lang w:val="en-US" w:eastAsia="zh-CN"/>
              </w:rPr>
              <w:t>1分，否则不得分。</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pStyle w:val="365"/>
              <w:spacing w:line="240" w:lineRule="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2、全链路处置通报流程，结合大数据局事件场景，实现事件同步和分析研判。</w:t>
            </w:r>
          </w:p>
        </w:tc>
        <w:tc>
          <w:tcPr>
            <w:tcW w:w="705"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3</w:t>
            </w:r>
          </w:p>
        </w:tc>
        <w:tc>
          <w:tcPr>
            <w:tcW w:w="646" w:type="dxa"/>
            <w:vMerge w:val="restart"/>
            <w:noWrap/>
            <w:vAlign w:val="center"/>
          </w:tcPr>
          <w:p>
            <w:pPr>
              <w:spacing w:line="240" w:lineRule="auto"/>
              <w:jc w:val="center"/>
              <w:rPr>
                <w:rFonts w:hint="eastAsia" w:ascii="Times New Roman" w:hAnsi="Times New Roman" w:eastAsia="宋体" w:cs="Times New Roman"/>
                <w:b w:val="0"/>
                <w:bCs/>
                <w:sz w:val="21"/>
                <w:szCs w:val="21"/>
                <w:highlight w:val="none"/>
                <w:lang w:eastAsia="zh-CN"/>
              </w:rPr>
            </w:pPr>
            <w:r>
              <w:rPr>
                <w:rFonts w:hint="eastAsia" w:cs="Times New Roman"/>
                <w:b w:val="0"/>
                <w:bCs/>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w:t>
            </w:r>
            <w:r>
              <w:rPr>
                <w:rFonts w:hint="eastAsia" w:cs="Times New Roman"/>
                <w:kern w:val="0"/>
                <w:sz w:val="21"/>
                <w:szCs w:val="21"/>
                <w:lang w:eastAsia="zh-CN"/>
              </w:rPr>
              <w:t>支持以下功能：</w:t>
            </w:r>
            <w:r>
              <w:rPr>
                <w:rFonts w:hint="default" w:ascii="Times New Roman" w:hAnsi="Times New Roman" w:eastAsia="宋体" w:cs="Times New Roman"/>
                <w:kern w:val="0"/>
                <w:sz w:val="21"/>
                <w:szCs w:val="21"/>
              </w:rPr>
              <w:t>展示网络和数据安全事件场景化验证，包括弱口令、挖矿、勒索病毒等场景；展示通过单位名称、IP地址、时间等多字段组合查询场景内容；展示事件信息联想，通过事件数据关联同单位事件、同类型事件、同终端事件等联想方式</w:t>
            </w:r>
            <w:r>
              <w:rPr>
                <w:rFonts w:hint="eastAsia" w:cs="Times New Roman"/>
                <w:kern w:val="0"/>
                <w:sz w:val="21"/>
                <w:szCs w:val="21"/>
                <w:lang w:eastAsia="zh-CN"/>
              </w:rPr>
              <w:t>，得</w:t>
            </w:r>
            <w:r>
              <w:rPr>
                <w:rFonts w:hint="eastAsia" w:cs="Times New Roman"/>
                <w:kern w:val="0"/>
                <w:sz w:val="21"/>
                <w:szCs w:val="21"/>
                <w:lang w:val="en-US" w:eastAsia="zh-CN"/>
              </w:rPr>
              <w:t>1分，否则不得分。</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（2）</w:t>
            </w:r>
            <w:r>
              <w:rPr>
                <w:rFonts w:hint="eastAsia" w:cs="Times New Roman"/>
                <w:kern w:val="0"/>
                <w:sz w:val="21"/>
                <w:szCs w:val="21"/>
                <w:lang w:eastAsia="zh-CN"/>
              </w:rPr>
              <w:t>支持以下功能：</w:t>
            </w:r>
            <w:r>
              <w:rPr>
                <w:rFonts w:hint="default" w:ascii="Times New Roman" w:hAnsi="Times New Roman" w:eastAsia="宋体" w:cs="Times New Roman"/>
                <w:sz w:val="21"/>
                <w:szCs w:val="21"/>
              </w:rPr>
              <w:t>展示通过“与”、“或”、“包含”等不低于15种语法分析研判，根据攻击类型和攻击信息进行数据聚合分析，不低于13种攻击类型分类，自定义攻击信息字段，详细展示攻击趋势、攻击链、攻击流向、实体信息等</w:t>
            </w:r>
            <w:r>
              <w:rPr>
                <w:rFonts w:hint="eastAsia" w:cs="Times New Roman"/>
                <w:kern w:val="0"/>
                <w:sz w:val="21"/>
                <w:szCs w:val="21"/>
                <w:lang w:eastAsia="zh-CN"/>
              </w:rPr>
              <w:t>，得</w:t>
            </w:r>
            <w:r>
              <w:rPr>
                <w:rFonts w:hint="eastAsia" w:cs="Times New Roman"/>
                <w:kern w:val="0"/>
                <w:sz w:val="21"/>
                <w:szCs w:val="21"/>
                <w:lang w:val="en-US" w:eastAsia="zh-CN"/>
              </w:rPr>
              <w:t>1分，否则不得分。</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（3）</w:t>
            </w:r>
            <w:r>
              <w:rPr>
                <w:rFonts w:hint="eastAsia" w:cs="Times New Roman"/>
                <w:kern w:val="0"/>
                <w:sz w:val="21"/>
                <w:szCs w:val="21"/>
                <w:lang w:eastAsia="zh-CN"/>
              </w:rPr>
              <w:t>支持以下功能：</w:t>
            </w:r>
            <w:r>
              <w:rPr>
                <w:rFonts w:hint="default" w:ascii="Times New Roman" w:hAnsi="Times New Roman" w:eastAsia="宋体" w:cs="Times New Roman"/>
                <w:sz w:val="21"/>
                <w:szCs w:val="21"/>
              </w:rPr>
              <w:t>展示事件通报，事件关联通报中心，一键生成通报信息</w:t>
            </w:r>
            <w:r>
              <w:rPr>
                <w:rFonts w:hint="eastAsia" w:cs="Times New Roman"/>
                <w:kern w:val="0"/>
                <w:sz w:val="21"/>
                <w:szCs w:val="21"/>
                <w:lang w:eastAsia="zh-CN"/>
              </w:rPr>
              <w:t>，得</w:t>
            </w:r>
            <w:r>
              <w:rPr>
                <w:rFonts w:hint="eastAsia" w:cs="Times New Roman"/>
                <w:kern w:val="0"/>
                <w:sz w:val="21"/>
                <w:szCs w:val="21"/>
                <w:lang w:val="en-US" w:eastAsia="zh-CN"/>
              </w:rPr>
              <w:t>1分，否则不得分。</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pStyle w:val="365"/>
              <w:spacing w:line="240" w:lineRule="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3构建全链路安全专题库，根据安全数据和业务关系，落实网络和数据安全专题库，形成数据沉淀积累。</w:t>
            </w:r>
          </w:p>
        </w:tc>
        <w:tc>
          <w:tcPr>
            <w:tcW w:w="705"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2</w:t>
            </w:r>
          </w:p>
        </w:tc>
        <w:tc>
          <w:tcPr>
            <w:tcW w:w="646"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（1）</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展示管理不少于10个安全专题库，展示专题库中安全数据与安全业务的关系图谱。</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（2）</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展示对全库进行模糊搜索，并分别展示各专题库相关数据，支持以资产为主体的模糊搜索，通过关联关系展示专题库中与该资产相关的信息。</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pStyle w:val="365"/>
              <w:spacing w:line="240" w:lineRule="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4重大活动安全保障能力，可根据重要时期，建立专项保障任务，调度保障资源，适配保障场景的需求。</w:t>
            </w:r>
          </w:p>
        </w:tc>
        <w:tc>
          <w:tcPr>
            <w:tcW w:w="705"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2</w:t>
            </w:r>
          </w:p>
        </w:tc>
        <w:tc>
          <w:tcPr>
            <w:tcW w:w="646" w:type="dxa"/>
            <w:vMerge w:val="restart"/>
            <w:noWrap/>
            <w:vAlign w:val="center"/>
          </w:tcPr>
          <w:p>
            <w:pPr>
              <w:spacing w:line="240" w:lineRule="auto"/>
              <w:jc w:val="center"/>
              <w:rPr>
                <w:rFonts w:hint="default" w:ascii="Times New Roman" w:hAnsi="Times New Roman" w:eastAsia="宋体" w:cs="Times New Roman"/>
                <w:b w:val="0"/>
                <w:bCs/>
                <w:sz w:val="21"/>
                <w:szCs w:val="21"/>
                <w:highlight w:val="green"/>
              </w:rPr>
            </w:pPr>
            <w:r>
              <w:rPr>
                <w:rFonts w:hint="default" w:ascii="Times New Roman" w:hAnsi="Times New Roman" w:eastAsia="宋体" w:cs="Times New Roman"/>
                <w:b w:val="0"/>
                <w:bCs/>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（1）</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展示对保障人员、保障单位、安保制度、安保组织、支撑单位、驻点小组等应急力量和物资的管理，展示重大活动保障前、中、后不同阶段里程碑节点管理，展示回放复盘历史保障过程。</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（2）</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展示通过应急作战台展示活动信息和近期重点工作，快速查看通报详情并处置，按不同等级的应急预案响应指令并联动移动端调度人员，驻点每日分班次上报平安情况。</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pStyle w:val="365"/>
              <w:spacing w:line="240" w:lineRule="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5重要应用系统资产梳理，可根据IRS重点应用系统，进行应用系统安全画像呈现。</w:t>
            </w:r>
          </w:p>
        </w:tc>
        <w:tc>
          <w:tcPr>
            <w:tcW w:w="705"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2</w:t>
            </w:r>
          </w:p>
        </w:tc>
        <w:tc>
          <w:tcPr>
            <w:tcW w:w="646"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（1）</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展示系统安全画像包括系统信息、系统拓扑、安全检测、防护情况、供应链、安全检查、等保信息、基础网络、人员信息、单位信息、档案时光轴等内容。</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（2）</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展示卡片式、缩略图方式展示系统信息，一键标记重要系统，一键查看系统事件隐患详情，快速下发系统扫描评估任务，支持系统域名到期提醒。</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pStyle w:val="365"/>
              <w:spacing w:line="240" w:lineRule="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6注重过程考评机制，提供多种安全风险评估工作方式，可以定义考评的相关细项分值、权重等内容。</w:t>
            </w:r>
          </w:p>
        </w:tc>
        <w:tc>
          <w:tcPr>
            <w:tcW w:w="705" w:type="dxa"/>
            <w:vMerge w:val="restart"/>
            <w:noWrap/>
            <w:vAlign w:val="center"/>
          </w:tcPr>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2</w:t>
            </w:r>
          </w:p>
        </w:tc>
        <w:tc>
          <w:tcPr>
            <w:tcW w:w="646"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rPr>
            </w:pPr>
          </w:p>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（1）</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展示现场检查、单位自查、远程检查三种方式开展安全风险评估工作，界面创建检测表单，上移下移调整检查项顺序，支持检查项类型包括填写、单选、多选、附件上传等。</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（2）</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展示设定考评范围的地区和行业、考评周期、考评起始时间、考评规则，将发生的安全事件、风险隐患级别和处置情况纳入考评并设定分值和权重。</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pStyle w:val="365"/>
              <w:spacing w:line="240" w:lineRule="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7全链路通报预警能力，针对安全事件和风险隐患，进行信息获取并实现通报流程打通。</w:t>
            </w:r>
          </w:p>
        </w:tc>
        <w:tc>
          <w:tcPr>
            <w:tcW w:w="705"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2</w:t>
            </w:r>
          </w:p>
        </w:tc>
        <w:tc>
          <w:tcPr>
            <w:tcW w:w="646"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（1）</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展示安全事件和风险隐患一键生成通报信息，通报详情显示多类通报相关信息，包括但不限于通报标题、通报标签、所属单位、发起单位、通报完整流程及当前所处流程、通报正文、举证信息、处理记录等。</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（2）</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通报可进行超时设置，针对截止时间一天内的通报进行截止时间醒目提醒，针对已超时的通报进行超时显示，并显示具体超时时间。</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pStyle w:val="365"/>
              <w:spacing w:line="240" w:lineRule="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8满足数据安全考核评估指标，实现数据分类分级能力，提供行业法规标准，实现综合评价指标内容达标。</w:t>
            </w:r>
          </w:p>
        </w:tc>
        <w:tc>
          <w:tcPr>
            <w:tcW w:w="705"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1</w:t>
            </w:r>
          </w:p>
        </w:tc>
        <w:tc>
          <w:tcPr>
            <w:tcW w:w="646" w:type="dxa"/>
            <w:vMerge w:val="restart"/>
            <w:noWrap/>
            <w:vAlign w:val="center"/>
          </w:tcPr>
          <w:p>
            <w:pPr>
              <w:spacing w:line="240" w:lineRule="auto"/>
              <w:jc w:val="center"/>
              <w:rPr>
                <w:rFonts w:hint="eastAsia" w:ascii="Times New Roman" w:hAnsi="Times New Roman" w:eastAsia="宋体" w:cs="Times New Roman"/>
                <w:b w:val="0"/>
                <w:bCs/>
                <w:sz w:val="21"/>
                <w:szCs w:val="21"/>
                <w:highlight w:val="none"/>
                <w:lang w:eastAsia="zh-CN"/>
              </w:rPr>
            </w:pPr>
            <w:r>
              <w:rPr>
                <w:rFonts w:hint="eastAsia" w:cs="Times New Roman"/>
                <w:b w:val="0"/>
                <w:bCs/>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（1）</w:t>
            </w:r>
            <w:r>
              <w:rPr>
                <w:rFonts w:hint="eastAsia" w:cs="Times New Roman"/>
                <w:kern w:val="0"/>
                <w:sz w:val="21"/>
                <w:szCs w:val="21"/>
                <w:lang w:eastAsia="zh-CN"/>
              </w:rPr>
              <w:t>支持以下功能：</w:t>
            </w:r>
            <w:r>
              <w:rPr>
                <w:rFonts w:hint="default" w:ascii="Times New Roman" w:hAnsi="Times New Roman" w:eastAsia="宋体" w:cs="Times New Roman"/>
                <w:sz w:val="21"/>
                <w:szCs w:val="21"/>
              </w:rPr>
              <w:t>需内置不少于9种行业法规标准，包括但不限于网络安全法、金融、证券、电信、GDPR、CCPA、等保、数据安全法和个人信息安全规范等，同时应可进行自定义增删修改</w:t>
            </w:r>
            <w:r>
              <w:rPr>
                <w:rFonts w:hint="eastAsia" w:cs="Times New Roman"/>
                <w:kern w:val="0"/>
                <w:sz w:val="21"/>
                <w:szCs w:val="21"/>
                <w:lang w:eastAsia="zh-CN"/>
              </w:rPr>
              <w:t>，得</w:t>
            </w:r>
            <w:r>
              <w:rPr>
                <w:rFonts w:hint="eastAsia" w:cs="Times New Roman"/>
                <w:kern w:val="0"/>
                <w:sz w:val="21"/>
                <w:szCs w:val="21"/>
                <w:lang w:val="en-US" w:eastAsia="zh-CN"/>
              </w:rPr>
              <w:t>1分，否则不得分。</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pStyle w:val="365"/>
              <w:spacing w:line="240" w:lineRule="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9数据安全态势感知展示服务，实现与政务云环境进行部署对接，满足政务云监管、对接、建模等能力。</w:t>
            </w:r>
          </w:p>
        </w:tc>
        <w:tc>
          <w:tcPr>
            <w:tcW w:w="705" w:type="dxa"/>
            <w:vMerge w:val="restart"/>
            <w:noWrap/>
            <w:vAlign w:val="center"/>
          </w:tcPr>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eastAsia" w:ascii="Times New Roman" w:hAnsi="Times New Roman" w:eastAsia="宋体" w:cs="Times New Roman"/>
                <w:b w:val="0"/>
                <w:bCs/>
                <w:sz w:val="21"/>
                <w:szCs w:val="21"/>
                <w:highlight w:val="none"/>
                <w:lang w:val="en-US" w:eastAsia="zh-CN"/>
              </w:rPr>
            </w:pPr>
          </w:p>
          <w:p>
            <w:pPr>
              <w:spacing w:line="240" w:lineRule="auto"/>
              <w:jc w:val="center"/>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0-</w:t>
            </w:r>
            <w:r>
              <w:rPr>
                <w:rFonts w:hint="eastAsia" w:cs="Times New Roman"/>
                <w:b w:val="0"/>
                <w:bCs/>
                <w:sz w:val="21"/>
                <w:szCs w:val="21"/>
                <w:highlight w:val="none"/>
                <w:lang w:val="en-US" w:eastAsia="zh-CN"/>
              </w:rPr>
              <w:t>2</w:t>
            </w:r>
          </w:p>
        </w:tc>
        <w:tc>
          <w:tcPr>
            <w:tcW w:w="646" w:type="dxa"/>
            <w:vMerge w:val="restart"/>
            <w:noWrap/>
            <w:vAlign w:val="center"/>
          </w:tcPr>
          <w:p>
            <w:pPr>
              <w:spacing w:line="240" w:lineRule="auto"/>
              <w:jc w:val="center"/>
              <w:rPr>
                <w:rFonts w:hint="default" w:ascii="Times New Roman" w:hAnsi="Times New Roman" w:eastAsia="宋体" w:cs="Times New Roman"/>
                <w:b w:val="0"/>
                <w:bCs/>
                <w:sz w:val="21"/>
                <w:szCs w:val="21"/>
                <w:highlight w:val="none"/>
              </w:rPr>
            </w:pPr>
          </w:p>
          <w:p>
            <w:pPr>
              <w:spacing w:line="240" w:lineRule="auto"/>
              <w:jc w:val="center"/>
              <w:rPr>
                <w:rFonts w:hint="default" w:ascii="Times New Roman" w:hAnsi="Times New Roman" w:eastAsia="宋体" w:cs="Times New Roman"/>
                <w:b w:val="0"/>
                <w:bCs/>
                <w:sz w:val="21"/>
                <w:szCs w:val="21"/>
                <w:highlight w:val="none"/>
              </w:rPr>
            </w:pPr>
          </w:p>
          <w:p>
            <w:pPr>
              <w:spacing w:line="240" w:lineRule="auto"/>
              <w:jc w:val="center"/>
              <w:rPr>
                <w:rFonts w:hint="default" w:ascii="Times New Roman" w:hAnsi="Times New Roman" w:eastAsia="宋体" w:cs="Times New Roman"/>
                <w:b w:val="0"/>
                <w:bCs/>
                <w:sz w:val="21"/>
                <w:szCs w:val="21"/>
                <w:highlight w:val="none"/>
              </w:rPr>
            </w:pPr>
          </w:p>
          <w:p>
            <w:pPr>
              <w:spacing w:line="240" w:lineRule="auto"/>
              <w:jc w:val="center"/>
              <w:rPr>
                <w:rFonts w:hint="default" w:ascii="Times New Roman" w:hAnsi="Times New Roman" w:eastAsia="宋体" w:cs="Times New Roman"/>
                <w:b w:val="0"/>
                <w:bCs/>
                <w:sz w:val="21"/>
                <w:szCs w:val="21"/>
                <w:highlight w:val="none"/>
              </w:rPr>
            </w:pPr>
          </w:p>
          <w:p>
            <w:pPr>
              <w:spacing w:line="240" w:lineRule="auto"/>
              <w:jc w:val="center"/>
              <w:rPr>
                <w:rFonts w:hint="default" w:ascii="Times New Roman" w:hAnsi="Times New Roman" w:eastAsia="宋体" w:cs="Times New Roman"/>
                <w:b w:val="0"/>
                <w:bCs/>
                <w:sz w:val="21"/>
                <w:szCs w:val="21"/>
                <w:highlight w:val="none"/>
              </w:rPr>
            </w:pPr>
          </w:p>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（1）</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业务数据建模功能：通过简单的元件拖拽、连线的操作方式对其数据流转进行可视化的拓扑建模，组件包含应用服务、数据服务、账号、接口、表等；</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pStyle w:val="2"/>
              <w:rPr>
                <w:rFonts w:hint="default" w:ascii="Times New Roman" w:hAnsi="Times New Roman" w:eastAsia="宋体" w:cs="Times New Roman"/>
                <w:sz w:val="21"/>
                <w:szCs w:val="21"/>
                <w:lang w:eastAsia="zh-CN"/>
              </w:rPr>
            </w:pPr>
          </w:p>
        </w:tc>
        <w:tc>
          <w:tcPr>
            <w:tcW w:w="1110"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bidi="ar-SA"/>
              </w:rPr>
            </w:pPr>
          </w:p>
        </w:tc>
        <w:tc>
          <w:tcPr>
            <w:tcW w:w="6720" w:type="dxa"/>
            <w:noWrap/>
            <w:vAlign w:val="center"/>
          </w:tcPr>
          <w:p>
            <w:pPr>
              <w:widowControl/>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（2）</w:t>
            </w:r>
            <w:r>
              <w:rPr>
                <w:rFonts w:hint="eastAsia" w:cs="Times New Roman"/>
                <w:sz w:val="21"/>
                <w:szCs w:val="21"/>
                <w:lang w:eastAsia="zh-CN"/>
              </w:rPr>
              <w:t>根据以下情况，评委进行评分，</w:t>
            </w:r>
            <w:r>
              <w:rPr>
                <w:rFonts w:hint="eastAsia" w:cs="Times New Roman"/>
                <w:sz w:val="21"/>
                <w:szCs w:val="21"/>
                <w:lang w:val="en-US" w:eastAsia="zh-CN"/>
              </w:rPr>
              <w:t>0-1分：</w:t>
            </w:r>
            <w:r>
              <w:rPr>
                <w:rFonts w:hint="default" w:ascii="Times New Roman" w:hAnsi="Times New Roman" w:eastAsia="宋体" w:cs="Times New Roman"/>
                <w:sz w:val="21"/>
                <w:szCs w:val="21"/>
              </w:rPr>
              <w:t>数据安全监管功能：需详细展示数据资源信息，包括但不限于部门数、主机数、应用数、数据库数等；同时需详细展示安全告警分析、访问统计分析、以及工单状态分析等。与ODPS日志对接：对ODPS访问日志、下载日志等两种类型的日志进行相关采集、存储、查询、统计及分析。具备丰富的查询条件，实时查询ODPS访问日志及下载日志。查询条件包括云账号、来源IP、目的IP、项目名称、操作类型、涉及资产、访问时间等。</w:t>
            </w:r>
          </w:p>
        </w:tc>
        <w:tc>
          <w:tcPr>
            <w:tcW w:w="705"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lang w:val="en-US" w:eastAsia="zh-CN"/>
              </w:rPr>
            </w:pPr>
          </w:p>
        </w:tc>
        <w:tc>
          <w:tcPr>
            <w:tcW w:w="646" w:type="dxa"/>
            <w:vMerge w:val="continue"/>
            <w:noWrap/>
            <w:vAlign w:val="center"/>
          </w:tcPr>
          <w:p>
            <w:pPr>
              <w:spacing w:line="240" w:lineRule="auto"/>
              <w:jc w:val="center"/>
              <w:rPr>
                <w:rFonts w:hint="default" w:ascii="Times New Roman" w:hAnsi="Times New Roman" w:eastAsia="宋体" w:cs="Times New Roman"/>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62"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二</w:t>
            </w:r>
          </w:p>
        </w:tc>
        <w:tc>
          <w:tcPr>
            <w:tcW w:w="1110"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lang w:eastAsia="zh-CN"/>
              </w:rPr>
              <w:t>报价</w:t>
            </w:r>
            <w:r>
              <w:rPr>
                <w:rFonts w:hint="default" w:ascii="Times New Roman" w:hAnsi="Times New Roman" w:eastAsia="宋体" w:cs="Times New Roman"/>
                <w:b w:val="0"/>
                <w:bCs/>
                <w:sz w:val="21"/>
                <w:szCs w:val="21"/>
                <w:highlight w:val="none"/>
              </w:rPr>
              <w:t>分</w:t>
            </w:r>
          </w:p>
        </w:tc>
        <w:tc>
          <w:tcPr>
            <w:tcW w:w="6720" w:type="dxa"/>
            <w:noWrap/>
          </w:tcPr>
          <w:p>
            <w:pPr>
              <w:adjustRightInd w:val="0"/>
              <w:spacing w:line="240" w:lineRule="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1、以符合招标文件要求且投标价格最低的投标报价为评标基准价，其报价得分为满分。</w:t>
            </w:r>
          </w:p>
          <w:p>
            <w:pPr>
              <w:adjustRightInd w:val="0"/>
              <w:spacing w:line="240" w:lineRule="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2、其他投标人的报价分统一按照下列公式计算：</w:t>
            </w:r>
          </w:p>
          <w:p>
            <w:pPr>
              <w:adjustRightInd w:val="0"/>
              <w:spacing w:line="240" w:lineRule="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报价分＝（评标基准价／投标报价）×</w:t>
            </w:r>
            <w:r>
              <w:rPr>
                <w:rFonts w:hint="default" w:ascii="Times New Roman" w:hAnsi="Times New Roman" w:eastAsia="宋体" w:cs="Times New Roman"/>
                <w:b w:val="0"/>
                <w:bCs/>
                <w:sz w:val="21"/>
                <w:szCs w:val="21"/>
                <w:highlight w:val="none"/>
                <w:lang w:val="en-US" w:eastAsia="zh-CN"/>
              </w:rPr>
              <w:t>10</w:t>
            </w:r>
            <w:r>
              <w:rPr>
                <w:rFonts w:hint="default" w:ascii="Times New Roman" w:hAnsi="Times New Roman" w:eastAsia="宋体" w:cs="Times New Roman"/>
                <w:b w:val="0"/>
                <w:bCs/>
                <w:sz w:val="21"/>
                <w:szCs w:val="21"/>
                <w:highlight w:val="none"/>
              </w:rPr>
              <w:t>，计算结果保留2位小数（第三位小数四舍五入）。</w:t>
            </w:r>
          </w:p>
          <w:p>
            <w:pPr>
              <w:adjustRightInd w:val="0"/>
              <w:spacing w:line="240" w:lineRule="auto"/>
              <w:rPr>
                <w:rFonts w:hint="default" w:ascii="Times New Roman" w:hAnsi="Times New Roman" w:eastAsia="宋体" w:cs="Times New Roman"/>
                <w:b w:val="0"/>
                <w:bCs/>
                <w:strike/>
                <w:sz w:val="21"/>
                <w:szCs w:val="21"/>
                <w:highlight w:val="none"/>
              </w:rPr>
            </w:pPr>
            <w:r>
              <w:rPr>
                <w:rFonts w:hint="default" w:ascii="Times New Roman" w:hAnsi="Times New Roman" w:eastAsia="宋体" w:cs="Times New Roman"/>
                <w:b w:val="0"/>
                <w:bCs/>
                <w:sz w:val="21"/>
                <w:szCs w:val="21"/>
                <w:highlight w:val="none"/>
              </w:rPr>
              <w:t>（注：对于小型和微型企业产品的价格给予20%的扣除</w:t>
            </w:r>
            <w:r>
              <w:rPr>
                <w:rFonts w:hint="default" w:ascii="Times New Roman" w:hAnsi="Times New Roman" w:eastAsia="宋体" w:cs="Times New Roman"/>
                <w:b w:val="0"/>
                <w:bCs/>
                <w:sz w:val="21"/>
                <w:szCs w:val="21"/>
                <w:highlight w:val="none"/>
                <w:lang w:eastAsia="zh-CN"/>
              </w:rPr>
              <w:t>，对于符合条件的联合体的报价给予</w:t>
            </w:r>
            <w:r>
              <w:rPr>
                <w:rFonts w:hint="default" w:ascii="Times New Roman" w:hAnsi="Times New Roman" w:eastAsia="宋体" w:cs="Times New Roman"/>
                <w:b w:val="0"/>
                <w:bCs/>
                <w:sz w:val="21"/>
                <w:szCs w:val="21"/>
                <w:highlight w:val="none"/>
                <w:lang w:val="en-US" w:eastAsia="zh-CN"/>
              </w:rPr>
              <w:t>6</w:t>
            </w:r>
            <w:r>
              <w:rPr>
                <w:rFonts w:hint="default" w:ascii="Times New Roman" w:hAnsi="Times New Roman" w:eastAsia="宋体" w:cs="Times New Roman"/>
                <w:b w:val="0"/>
                <w:bCs/>
                <w:sz w:val="21"/>
                <w:szCs w:val="21"/>
                <w:highlight w:val="none"/>
              </w:rPr>
              <w:t>%的扣除，</w:t>
            </w:r>
            <w:r>
              <w:rPr>
                <w:rFonts w:hint="default" w:ascii="Times New Roman" w:hAnsi="Times New Roman" w:eastAsia="宋体" w:cs="Times New Roman"/>
                <w:b w:val="0"/>
                <w:bCs/>
                <w:sz w:val="21"/>
                <w:szCs w:val="21"/>
                <w:highlight w:val="none"/>
                <w:lang w:val="en-US" w:eastAsia="zh-CN"/>
              </w:rPr>
              <w:t>用扣除后的价格参加评审，</w:t>
            </w:r>
            <w:r>
              <w:rPr>
                <w:rFonts w:hint="default" w:ascii="Times New Roman" w:hAnsi="Times New Roman" w:eastAsia="宋体" w:cs="Times New Roman"/>
                <w:b w:val="0"/>
                <w:bCs/>
                <w:sz w:val="21"/>
                <w:szCs w:val="21"/>
                <w:highlight w:val="none"/>
              </w:rPr>
              <w:t>是否给予价格扣除按</w:t>
            </w:r>
            <w:r>
              <w:rPr>
                <w:rFonts w:hint="default" w:ascii="Times New Roman" w:hAnsi="Times New Roman" w:eastAsia="宋体" w:cs="Times New Roman"/>
                <w:b w:val="0"/>
                <w:bCs/>
                <w:sz w:val="21"/>
                <w:szCs w:val="21"/>
                <w:highlight w:val="none"/>
                <w:lang w:eastAsia="zh-CN"/>
              </w:rPr>
              <w:t>第二章投标须知</w:t>
            </w:r>
            <w:r>
              <w:rPr>
                <w:rFonts w:hint="default" w:ascii="Times New Roman" w:hAnsi="Times New Roman" w:eastAsia="宋体" w:cs="Times New Roman"/>
                <w:b w:val="0"/>
                <w:bCs/>
                <w:sz w:val="21"/>
                <w:szCs w:val="21"/>
                <w:highlight w:val="none"/>
                <w:lang w:val="en-US" w:eastAsia="zh-CN"/>
              </w:rPr>
              <w:t>7.2条</w:t>
            </w:r>
            <w:r>
              <w:rPr>
                <w:rFonts w:hint="default" w:ascii="Times New Roman" w:hAnsi="Times New Roman" w:eastAsia="宋体" w:cs="Times New Roman"/>
                <w:b w:val="0"/>
                <w:bCs/>
                <w:sz w:val="21"/>
                <w:szCs w:val="21"/>
                <w:highlight w:val="none"/>
              </w:rPr>
              <w:t>要求认定。）</w:t>
            </w:r>
          </w:p>
        </w:tc>
        <w:tc>
          <w:tcPr>
            <w:tcW w:w="1351" w:type="dxa"/>
            <w:gridSpan w:val="2"/>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lang w:val="en-US" w:eastAsia="zh-CN"/>
              </w:rPr>
              <w:t>1</w:t>
            </w:r>
            <w:r>
              <w:rPr>
                <w:rFonts w:hint="default" w:ascii="Times New Roman" w:hAnsi="Times New Roman" w:eastAsia="宋体" w:cs="Times New Roman"/>
                <w:b w:val="0"/>
                <w:bCs/>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62" w:type="dxa"/>
            <w:noWrap/>
            <w:vAlign w:val="center"/>
          </w:tcPr>
          <w:p>
            <w:pPr>
              <w:spacing w:line="240" w:lineRule="auto"/>
              <w:ind w:firstLine="105" w:firstLineChars="50"/>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三</w:t>
            </w:r>
          </w:p>
        </w:tc>
        <w:tc>
          <w:tcPr>
            <w:tcW w:w="1110" w:type="dxa"/>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综合得分</w:t>
            </w:r>
          </w:p>
        </w:tc>
        <w:tc>
          <w:tcPr>
            <w:tcW w:w="6720" w:type="dxa"/>
            <w:noWrap/>
            <w:vAlign w:val="center"/>
          </w:tcPr>
          <w:p>
            <w:pPr>
              <w:spacing w:line="240" w:lineRule="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投标单位综合得分=商务技术分+报价分</w:t>
            </w:r>
          </w:p>
        </w:tc>
        <w:tc>
          <w:tcPr>
            <w:tcW w:w="1351" w:type="dxa"/>
            <w:gridSpan w:val="2"/>
            <w:noWrap/>
            <w:vAlign w:val="center"/>
          </w:tcPr>
          <w:p>
            <w:pPr>
              <w:spacing w:line="240" w:lineRule="auto"/>
              <w:jc w:val="center"/>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100分</w:t>
            </w:r>
          </w:p>
        </w:tc>
      </w:tr>
    </w:tbl>
    <w:p/>
    <w:bookmarkEnd w:id="86"/>
    <w:bookmarkEnd w:id="87"/>
    <w:bookmarkEnd w:id="88"/>
    <w:p>
      <w:bookmarkStart w:id="97" w:name="_Toc238878129"/>
      <w:bookmarkStart w:id="98" w:name="_Toc187829774"/>
      <w:bookmarkStart w:id="99" w:name="_Toc213038698"/>
      <w:bookmarkStart w:id="100" w:name="_Toc235778631"/>
      <w:bookmarkStart w:id="101" w:name="_Toc274303259"/>
      <w:bookmarkStart w:id="102" w:name="_Toc423012136"/>
      <w:r>
        <w:br w:type="page"/>
      </w:r>
    </w:p>
    <w:p>
      <w:pPr>
        <w:pStyle w:val="5"/>
        <w:spacing w:before="0" w:after="0" w:line="400" w:lineRule="atLeast"/>
        <w:jc w:val="center"/>
        <w:rPr>
          <w:sz w:val="36"/>
        </w:rPr>
      </w:pPr>
      <w:bookmarkStart w:id="103" w:name="_Toc26103"/>
      <w:bookmarkStart w:id="104" w:name="_Toc23182"/>
      <w:r>
        <w:rPr>
          <w:sz w:val="36"/>
        </w:rPr>
        <w:t>第七章 义乌市政府采购合同（样本）</w:t>
      </w:r>
      <w:bookmarkEnd w:id="103"/>
      <w:bookmarkEnd w:id="104"/>
    </w:p>
    <w:p>
      <w:pPr>
        <w:spacing w:line="400" w:lineRule="exact"/>
        <w:ind w:firstLine="480" w:firstLineChars="200"/>
        <w:rPr>
          <w:u w:val="single"/>
        </w:rPr>
      </w:pPr>
      <w:r>
        <w:t>需方：</w:t>
      </w:r>
    </w:p>
    <w:p>
      <w:pPr>
        <w:spacing w:line="400" w:lineRule="exact"/>
        <w:ind w:firstLine="480" w:firstLineChars="200"/>
        <w:rPr>
          <w:u w:val="single"/>
        </w:rPr>
      </w:pPr>
      <w:r>
        <w:t>供方：</w:t>
      </w:r>
    </w:p>
    <w:p>
      <w:pPr>
        <w:spacing w:line="400" w:lineRule="exact"/>
        <w:ind w:firstLine="480" w:firstLineChars="200"/>
      </w:pPr>
      <w:r>
        <w:t>供、需双方根据2022年  月</w:t>
      </w:r>
      <w:r>
        <w:rPr>
          <w:rFonts w:hint="eastAsia"/>
          <w:lang w:val="en-US" w:eastAsia="zh-CN"/>
        </w:rPr>
        <w:t xml:space="preserve">  </w:t>
      </w:r>
      <w:r>
        <w:t>日</w:t>
      </w:r>
      <w:r>
        <w:rPr>
          <w:rFonts w:hint="eastAsia"/>
          <w:color w:val="FF0000"/>
          <w:kern w:val="21"/>
          <w:u w:val="single"/>
        </w:rPr>
        <w:t>义乌市数据管理中心网络安全全链路监管服务项目</w:t>
      </w:r>
      <w:r>
        <w:rPr>
          <w:color w:val="FF0000"/>
          <w:kern w:val="21"/>
        </w:rPr>
        <w:t>（招标编号：</w:t>
      </w:r>
      <w:r>
        <w:rPr>
          <w:rFonts w:hint="eastAsia"/>
          <w:color w:val="FF0000"/>
          <w:kern w:val="21"/>
          <w:u w:val="single"/>
        </w:rPr>
        <w:t>YWCG2022039GK</w:t>
      </w:r>
      <w:r>
        <w:rPr>
          <w:color w:val="FF0000"/>
          <w:kern w:val="21"/>
        </w:rPr>
        <w:t>）</w:t>
      </w:r>
      <w:r>
        <w:t>项目中标结果和投标文件的要求，依据《中华人民共和国民法典》并经双方协调一致，订立本采购合同。本合同（□是 □否）为可融资合同。</w:t>
      </w:r>
    </w:p>
    <w:p>
      <w:pPr>
        <w:spacing w:line="400" w:lineRule="exact"/>
        <w:ind w:firstLine="482" w:firstLineChars="200"/>
      </w:pPr>
      <w:r>
        <w:rPr>
          <w:b/>
        </w:rPr>
        <w:t>一、合同文件组成：</w:t>
      </w:r>
      <w:r>
        <w:t>招标文件及其补充更正文件、询标承诺、询疑答复、投标响应文件、双方来函。合同文件组成的所有内容是构成合同不可分割的部分，与合同具有同等法律效力。</w:t>
      </w:r>
    </w:p>
    <w:p>
      <w:pPr>
        <w:spacing w:line="400" w:lineRule="exact"/>
        <w:ind w:firstLine="482" w:firstLineChars="200"/>
        <w:rPr>
          <w:b/>
        </w:rPr>
      </w:pPr>
      <w:r>
        <w:rPr>
          <w:b/>
        </w:rPr>
        <w:t>二、合同金额</w:t>
      </w:r>
    </w:p>
    <w:p>
      <w:pPr>
        <w:pStyle w:val="31"/>
        <w:spacing w:line="440" w:lineRule="exact"/>
        <w:ind w:firstLine="480" w:firstLineChars="200"/>
      </w:pPr>
      <w:r>
        <w:rPr>
          <w:sz w:val="24"/>
        </w:rPr>
        <w:t>合同金额:</w:t>
      </w:r>
      <w:r>
        <w:rPr>
          <w:kern w:val="0"/>
          <w:sz w:val="24"/>
        </w:rPr>
        <w:t>________________</w:t>
      </w:r>
      <w:r>
        <w:rPr>
          <w:sz w:val="24"/>
        </w:rPr>
        <w:t>（价款以人民币进行结算，大写）。合同价款中包括___________________</w:t>
      </w:r>
      <w:r>
        <w:rPr>
          <w:rFonts w:hint="eastAsia" w:ascii="Times New Roman" w:hAnsi="Times New Roman" w:eastAsia="宋体" w:cs="Times New Roman"/>
          <w:sz w:val="24"/>
          <w:szCs w:val="24"/>
          <w:lang w:eastAsia="zh-CN"/>
        </w:rPr>
        <w:t>等所有费用</w:t>
      </w:r>
      <w:r>
        <w:rPr>
          <w:rFonts w:ascii="Times New Roman" w:hAnsi="Times New Roman" w:eastAsia="宋体" w:cs="Times New Roman"/>
          <w:sz w:val="24"/>
          <w:szCs w:val="24"/>
        </w:rPr>
        <w:t>。</w:t>
      </w:r>
    </w:p>
    <w:p>
      <w:pPr>
        <w:spacing w:line="400" w:lineRule="exact"/>
        <w:ind w:firstLine="480" w:firstLineChars="200"/>
        <w:jc w:val="right"/>
      </w:pPr>
      <w:r>
        <w:t>单位：人民币元</w:t>
      </w:r>
    </w:p>
    <w:tbl>
      <w:tblPr>
        <w:tblStyle w:val="57"/>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649"/>
        <w:gridCol w:w="1741"/>
        <w:gridCol w:w="96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050" w:type="dxa"/>
            <w:vAlign w:val="center"/>
          </w:tcPr>
          <w:p>
            <w:pPr>
              <w:spacing w:line="400" w:lineRule="exact"/>
              <w:jc w:val="center"/>
            </w:pPr>
            <w:r>
              <w:t>序号</w:t>
            </w:r>
          </w:p>
        </w:tc>
        <w:tc>
          <w:tcPr>
            <w:tcW w:w="3649" w:type="dxa"/>
            <w:vAlign w:val="center"/>
          </w:tcPr>
          <w:p>
            <w:pPr>
              <w:spacing w:line="400" w:lineRule="exact"/>
              <w:ind w:firstLine="480" w:firstLineChars="200"/>
              <w:jc w:val="center"/>
            </w:pPr>
            <w:r>
              <w:t>采购项目</w:t>
            </w:r>
          </w:p>
        </w:tc>
        <w:tc>
          <w:tcPr>
            <w:tcW w:w="1741" w:type="dxa"/>
            <w:vAlign w:val="center"/>
          </w:tcPr>
          <w:p>
            <w:pPr>
              <w:spacing w:line="400" w:lineRule="exact"/>
              <w:jc w:val="center"/>
            </w:pPr>
            <w:r>
              <w:t>数量</w:t>
            </w:r>
          </w:p>
        </w:tc>
        <w:tc>
          <w:tcPr>
            <w:tcW w:w="967" w:type="dxa"/>
            <w:vAlign w:val="center"/>
          </w:tcPr>
          <w:p>
            <w:pPr>
              <w:spacing w:line="400" w:lineRule="exact"/>
              <w:jc w:val="center"/>
            </w:pPr>
            <w:r>
              <w:t>单价</w:t>
            </w:r>
          </w:p>
        </w:tc>
        <w:tc>
          <w:tcPr>
            <w:tcW w:w="1741" w:type="dxa"/>
            <w:vAlign w:val="center"/>
          </w:tcPr>
          <w:p>
            <w:pPr>
              <w:spacing w:line="400" w:lineRule="exact"/>
              <w:ind w:firstLine="480" w:firstLineChars="200"/>
              <w:jc w:val="center"/>
            </w:pPr>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1"/>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649" w:type="dxa"/>
            <w:vAlign w:val="center"/>
          </w:tcPr>
          <w:p>
            <w:pPr>
              <w:pStyle w:val="31"/>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pPr>
              <w:pStyle w:val="31"/>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pPr>
              <w:spacing w:line="400" w:lineRule="exact"/>
              <w:ind w:firstLine="480" w:firstLineChars="200"/>
              <w:jc w:val="center"/>
            </w:pPr>
          </w:p>
        </w:tc>
        <w:tc>
          <w:tcPr>
            <w:tcW w:w="1741" w:type="dxa"/>
          </w:tcPr>
          <w:p>
            <w:pPr>
              <w:spacing w:line="4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1"/>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3649" w:type="dxa"/>
            <w:vAlign w:val="center"/>
          </w:tcPr>
          <w:p>
            <w:pPr>
              <w:pStyle w:val="31"/>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pPr>
              <w:pStyle w:val="31"/>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pPr>
              <w:spacing w:line="400" w:lineRule="exact"/>
              <w:ind w:firstLine="480" w:firstLineChars="200"/>
              <w:jc w:val="center"/>
            </w:pPr>
          </w:p>
        </w:tc>
        <w:tc>
          <w:tcPr>
            <w:tcW w:w="1741" w:type="dxa"/>
          </w:tcPr>
          <w:p>
            <w:pPr>
              <w:spacing w:line="4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1"/>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3649" w:type="dxa"/>
            <w:vAlign w:val="center"/>
          </w:tcPr>
          <w:p>
            <w:pPr>
              <w:pStyle w:val="31"/>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pPr>
              <w:pStyle w:val="31"/>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pPr>
              <w:spacing w:line="400" w:lineRule="exact"/>
              <w:ind w:firstLine="480" w:firstLineChars="200"/>
              <w:jc w:val="center"/>
            </w:pPr>
          </w:p>
        </w:tc>
        <w:tc>
          <w:tcPr>
            <w:tcW w:w="1741" w:type="dxa"/>
          </w:tcPr>
          <w:p>
            <w:pPr>
              <w:spacing w:line="4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050" w:type="dxa"/>
            <w:vAlign w:val="center"/>
          </w:tcPr>
          <w:p>
            <w:pPr>
              <w:pStyle w:val="31"/>
              <w:adjustRightInd w:val="0"/>
              <w:snapToGrid w:val="0"/>
              <w:spacing w:line="400" w:lineRule="exact"/>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p>
        </w:tc>
        <w:tc>
          <w:tcPr>
            <w:tcW w:w="3649" w:type="dxa"/>
            <w:vAlign w:val="center"/>
          </w:tcPr>
          <w:p>
            <w:pPr>
              <w:pStyle w:val="31"/>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pPr>
              <w:pStyle w:val="31"/>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pPr>
              <w:spacing w:line="400" w:lineRule="exact"/>
              <w:ind w:firstLine="480" w:firstLineChars="200"/>
              <w:jc w:val="center"/>
            </w:pPr>
          </w:p>
        </w:tc>
        <w:tc>
          <w:tcPr>
            <w:tcW w:w="1741" w:type="dxa"/>
          </w:tcPr>
          <w:p>
            <w:pPr>
              <w:spacing w:line="4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050" w:type="dxa"/>
            <w:vAlign w:val="center"/>
          </w:tcPr>
          <w:p>
            <w:pPr>
              <w:spacing w:line="400" w:lineRule="exact"/>
            </w:pPr>
            <w:r>
              <w:t>合计</w:t>
            </w:r>
          </w:p>
        </w:tc>
        <w:tc>
          <w:tcPr>
            <w:tcW w:w="8098" w:type="dxa"/>
            <w:gridSpan w:val="4"/>
            <w:vAlign w:val="center"/>
          </w:tcPr>
          <w:p>
            <w:pPr>
              <w:spacing w:line="400" w:lineRule="exact"/>
              <w:ind w:firstLine="480" w:firstLineChars="200"/>
              <w:rPr>
                <w:u w:val="single"/>
              </w:rPr>
            </w:pPr>
            <w:r>
              <w:t>￥：</w:t>
            </w:r>
          </w:p>
          <w:p>
            <w:pPr>
              <w:spacing w:line="400" w:lineRule="exact"/>
              <w:ind w:firstLine="480" w:firstLineChars="200"/>
            </w:pPr>
            <w:r>
              <w:t>大写：</w:t>
            </w:r>
          </w:p>
        </w:tc>
      </w:tr>
    </w:tbl>
    <w:p>
      <w:pPr>
        <w:numPr>
          <w:ilvl w:val="0"/>
          <w:numId w:val="0"/>
        </w:numPr>
        <w:snapToGrid w:val="0"/>
        <w:spacing w:line="400" w:lineRule="exact"/>
        <w:ind w:left="480" w:leftChars="0"/>
        <w:rPr>
          <w:rFonts w:ascii="Times New Roman" w:hAnsi="Times New Roman" w:eastAsia="宋体" w:cs="Times New Roman"/>
          <w:b/>
        </w:rPr>
      </w:pPr>
      <w:r>
        <w:rPr>
          <w:rFonts w:hint="eastAsia" w:ascii="Times New Roman" w:hAnsi="Times New Roman" w:eastAsia="宋体" w:cs="Times New Roman"/>
          <w:b/>
          <w:lang w:eastAsia="zh-CN"/>
        </w:rPr>
        <w:t>三、</w:t>
      </w:r>
      <w:r>
        <w:rPr>
          <w:rFonts w:ascii="Times New Roman" w:hAnsi="Times New Roman" w:eastAsia="宋体" w:cs="Times New Roman"/>
          <w:b/>
        </w:rPr>
        <w:t xml:space="preserve">服务内容： </w:t>
      </w:r>
    </w:p>
    <w:p>
      <w:pPr>
        <w:numPr>
          <w:ilvl w:val="0"/>
          <w:numId w:val="0"/>
        </w:numPr>
        <w:snapToGrid w:val="0"/>
        <w:spacing w:line="400" w:lineRule="exact"/>
        <w:ind w:leftChars="200"/>
        <w:rPr>
          <w:rFonts w:ascii="Times New Roman" w:hAnsi="Times New Roman" w:eastAsia="宋体" w:cs="Times New Roman"/>
          <w:b/>
        </w:rPr>
      </w:pPr>
      <w:r>
        <w:rPr>
          <w:rFonts w:ascii="Times New Roman" w:hAnsi="Times New Roman" w:eastAsia="宋体" w:cs="Times New Roman"/>
          <w:b/>
        </w:rPr>
        <w:t xml:space="preserve">  </w:t>
      </w:r>
    </w:p>
    <w:p>
      <w:pPr>
        <w:snapToGrid w:val="0"/>
        <w:spacing w:line="400" w:lineRule="exact"/>
        <w:ind w:firstLine="482" w:firstLineChars="200"/>
        <w:rPr>
          <w:rFonts w:ascii="Times New Roman" w:hAnsi="Times New Roman" w:eastAsia="宋体" w:cs="Times New Roman"/>
          <w:b w:val="0"/>
          <w:bCs/>
        </w:rPr>
      </w:pPr>
      <w:r>
        <w:rPr>
          <w:rFonts w:hint="eastAsia" w:ascii="Times New Roman" w:hAnsi="Times New Roman" w:eastAsia="宋体" w:cs="Times New Roman"/>
          <w:b/>
          <w:lang w:eastAsia="zh-CN"/>
        </w:rPr>
        <w:t>四</w:t>
      </w:r>
      <w:r>
        <w:rPr>
          <w:rFonts w:ascii="Times New Roman" w:hAnsi="Times New Roman" w:eastAsia="宋体" w:cs="Times New Roman"/>
          <w:b/>
        </w:rPr>
        <w:t>、服务期限：</w:t>
      </w:r>
      <w:r>
        <w:rPr>
          <w:rFonts w:ascii="Times New Roman" w:hAnsi="Times New Roman" w:eastAsia="宋体" w:cs="Times New Roman"/>
          <w:b w:val="0"/>
          <w:bCs/>
        </w:rPr>
        <w:t>________________</w:t>
      </w:r>
    </w:p>
    <w:p>
      <w:pPr>
        <w:pStyle w:val="2"/>
      </w:pPr>
    </w:p>
    <w:p>
      <w:pPr>
        <w:snapToGrid w:val="0"/>
        <w:spacing w:line="400" w:lineRule="exact"/>
        <w:ind w:firstLine="482" w:firstLineChars="200"/>
        <w:rPr>
          <w:rFonts w:ascii="Times New Roman" w:hAnsi="Times New Roman" w:eastAsia="宋体" w:cs="Times New Roman"/>
          <w:b/>
        </w:rPr>
      </w:pPr>
      <w:r>
        <w:rPr>
          <w:rFonts w:hint="eastAsia" w:ascii="Times New Roman" w:hAnsi="Times New Roman" w:eastAsia="宋体" w:cs="Times New Roman"/>
          <w:b/>
          <w:lang w:eastAsia="zh-CN"/>
        </w:rPr>
        <w:t>五</w:t>
      </w:r>
      <w:r>
        <w:rPr>
          <w:rFonts w:ascii="Times New Roman" w:hAnsi="Times New Roman" w:eastAsia="宋体" w:cs="Times New Roman"/>
          <w:b/>
        </w:rPr>
        <w:t>、付款方式：</w:t>
      </w:r>
      <w:r>
        <w:rPr>
          <w:rFonts w:ascii="Times New Roman" w:hAnsi="Times New Roman" w:eastAsia="宋体" w:cs="Times New Roman"/>
          <w:b w:val="0"/>
          <w:bCs/>
        </w:rPr>
        <w:t>________________</w:t>
      </w:r>
    </w:p>
    <w:p>
      <w:pPr>
        <w:snapToGrid w:val="0"/>
        <w:spacing w:line="400" w:lineRule="exact"/>
        <w:ind w:firstLine="482" w:firstLineChars="200"/>
        <w:rPr>
          <w:rFonts w:hint="eastAsia"/>
          <w:b/>
          <w:lang w:eastAsia="zh-CN"/>
        </w:rPr>
      </w:pPr>
    </w:p>
    <w:p>
      <w:pPr>
        <w:snapToGrid w:val="0"/>
        <w:spacing w:line="400" w:lineRule="exact"/>
        <w:ind w:firstLine="482" w:firstLineChars="200"/>
        <w:rPr>
          <w:b/>
        </w:rPr>
      </w:pPr>
      <w:r>
        <w:rPr>
          <w:rFonts w:hint="eastAsia"/>
          <w:b/>
          <w:lang w:eastAsia="zh-CN"/>
        </w:rPr>
        <w:t>六</w:t>
      </w:r>
      <w:r>
        <w:rPr>
          <w:b/>
        </w:rPr>
        <w:t>、技术资料</w:t>
      </w:r>
    </w:p>
    <w:p>
      <w:pPr>
        <w:snapToGrid w:val="0"/>
        <w:spacing w:line="400" w:lineRule="exact"/>
        <w:ind w:firstLine="480" w:firstLineChars="200"/>
      </w:pPr>
      <w:r>
        <w:t>1.供方应按招标文件规定的时间向需方提供使用货物的有关技术资料。</w:t>
      </w:r>
    </w:p>
    <w:p>
      <w:pPr>
        <w:snapToGrid w:val="0"/>
        <w:spacing w:line="400" w:lineRule="exact"/>
        <w:ind w:firstLine="480" w:firstLineChars="200"/>
      </w:pPr>
      <w:r>
        <w:t>2.没有需方事先书面同意，供方不得将由需方提供的有关合同或任何合同条文、规格、计划、图纸、样品或资料提供给与履行本合同无关的任何其他人。即使向履行本合同有关的人员（项目经办人）提供，也应注意保密并限于履行合同的必需范围。</w:t>
      </w:r>
    </w:p>
    <w:p>
      <w:pPr>
        <w:snapToGrid w:val="0"/>
        <w:spacing w:line="400" w:lineRule="exact"/>
        <w:ind w:firstLine="590" w:firstLineChars="245"/>
        <w:rPr>
          <w:b/>
        </w:rPr>
      </w:pPr>
      <w:r>
        <w:rPr>
          <w:rFonts w:hint="eastAsia"/>
          <w:b/>
          <w:lang w:eastAsia="zh-CN"/>
        </w:rPr>
        <w:t>七</w:t>
      </w:r>
      <w:r>
        <w:rPr>
          <w:b/>
        </w:rPr>
        <w:t>、知识产权</w:t>
      </w:r>
    </w:p>
    <w:p>
      <w:pPr>
        <w:snapToGrid w:val="0"/>
        <w:spacing w:line="400" w:lineRule="exact"/>
        <w:ind w:firstLine="480" w:firstLineChars="200"/>
      </w:pPr>
      <w:r>
        <w:t>供方应保证所提供的货物或其任何一部分均不会侵犯任何第三方的知识产权。</w:t>
      </w:r>
    </w:p>
    <w:p>
      <w:pPr>
        <w:snapToGrid w:val="0"/>
        <w:spacing w:line="400" w:lineRule="exact"/>
        <w:ind w:firstLine="472" w:firstLineChars="196"/>
        <w:rPr>
          <w:u w:val="single"/>
        </w:rPr>
      </w:pPr>
      <w:r>
        <w:rPr>
          <w:rFonts w:hint="eastAsia"/>
          <w:b/>
          <w:lang w:eastAsia="zh-CN"/>
        </w:rPr>
        <w:t>八</w:t>
      </w:r>
      <w:r>
        <w:rPr>
          <w:b/>
        </w:rPr>
        <w:t>、产权担保</w:t>
      </w:r>
    </w:p>
    <w:p>
      <w:pPr>
        <w:snapToGrid w:val="0"/>
        <w:spacing w:line="400" w:lineRule="exact"/>
        <w:ind w:firstLine="480" w:firstLineChars="200"/>
      </w:pPr>
      <w:r>
        <w:t>供方保证所交付的货物的所有权完全属于供方且无任何抵押、查封等产权瑕疵。</w:t>
      </w:r>
    </w:p>
    <w:p>
      <w:pPr>
        <w:snapToGrid w:val="0"/>
        <w:spacing w:line="400" w:lineRule="exact"/>
        <w:ind w:firstLine="472" w:firstLineChars="196"/>
      </w:pPr>
      <w:r>
        <w:rPr>
          <w:rFonts w:hint="eastAsia"/>
          <w:b/>
          <w:lang w:eastAsia="zh-CN"/>
        </w:rPr>
        <w:t>九</w:t>
      </w:r>
      <w:r>
        <w:rPr>
          <w:b/>
        </w:rPr>
        <w:t>、履约保证金：</w:t>
      </w:r>
      <w:r>
        <w:t>无</w:t>
      </w:r>
    </w:p>
    <w:p>
      <w:pPr>
        <w:snapToGrid w:val="0"/>
        <w:spacing w:line="400" w:lineRule="exact"/>
        <w:ind w:firstLine="480"/>
        <w:rPr>
          <w:b/>
        </w:rPr>
      </w:pPr>
      <w:r>
        <w:rPr>
          <w:rFonts w:hint="eastAsia"/>
          <w:b/>
          <w:lang w:eastAsia="zh-CN"/>
        </w:rPr>
        <w:t>十</w:t>
      </w:r>
      <w:r>
        <w:rPr>
          <w:b/>
        </w:rPr>
        <w:t>、转包或分包</w:t>
      </w:r>
    </w:p>
    <w:p>
      <w:pPr>
        <w:widowControl w:val="0"/>
        <w:spacing w:after="0" w:line="264" w:lineRule="auto"/>
        <w:ind w:firstLine="480"/>
        <w:rPr>
          <w:rFonts w:eastAsiaTheme="minorEastAsia"/>
        </w:rPr>
      </w:pPr>
      <w:r>
        <w:rPr>
          <w:rFonts w:eastAsiaTheme="minorEastAsia"/>
        </w:rPr>
        <w:t>1、本合同范围的</w:t>
      </w:r>
      <w:r>
        <w:rPr>
          <w:rFonts w:hint="eastAsia" w:eastAsiaTheme="minorEastAsia"/>
          <w:lang w:eastAsia="zh-CN"/>
        </w:rPr>
        <w:t>服务</w:t>
      </w:r>
      <w:r>
        <w:rPr>
          <w:rFonts w:eastAsiaTheme="minorEastAsia"/>
        </w:rPr>
        <w:t>，应由供方直接供应，不得转让他人供应；</w:t>
      </w:r>
    </w:p>
    <w:p>
      <w:pPr>
        <w:widowControl w:val="0"/>
        <w:spacing w:after="0" w:line="264" w:lineRule="auto"/>
        <w:ind w:firstLine="480"/>
        <w:rPr>
          <w:rFonts w:eastAsiaTheme="minorEastAsia"/>
        </w:rPr>
      </w:pPr>
      <w:r>
        <w:rPr>
          <w:rFonts w:eastAsiaTheme="minorEastAsia"/>
        </w:rPr>
        <w:t>2、供方不得将本合同范围的</w:t>
      </w:r>
      <w:r>
        <w:rPr>
          <w:rFonts w:hint="eastAsia" w:eastAsiaTheme="minorEastAsia"/>
          <w:lang w:eastAsia="zh-CN"/>
        </w:rPr>
        <w:t>服务</w:t>
      </w:r>
      <w:r>
        <w:rPr>
          <w:rFonts w:eastAsiaTheme="minorEastAsia"/>
        </w:rPr>
        <w:t>全部或部分分包给他人供应；</w:t>
      </w:r>
    </w:p>
    <w:p>
      <w:pPr>
        <w:snapToGrid w:val="0"/>
        <w:spacing w:line="400" w:lineRule="exact"/>
        <w:ind w:firstLine="480"/>
        <w:rPr>
          <w:b/>
        </w:rPr>
      </w:pPr>
      <w:r>
        <w:rPr>
          <w:rFonts w:eastAsiaTheme="minorEastAsia"/>
        </w:rPr>
        <w:t>3、如有转让和分包行为，需方中止合同，并追究供方的违约责任</w:t>
      </w:r>
      <w:r>
        <w:rPr>
          <w:rFonts w:hint="eastAsia" w:eastAsiaTheme="minorEastAsia"/>
          <w:lang w:eastAsia="zh-CN"/>
        </w:rPr>
        <w:t>。</w:t>
      </w:r>
    </w:p>
    <w:p>
      <w:pPr>
        <w:pStyle w:val="31"/>
        <w:spacing w:line="440" w:lineRule="exact"/>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lang w:eastAsia="zh-CN"/>
        </w:rPr>
        <w:t>十一</w:t>
      </w:r>
      <w:r>
        <w:rPr>
          <w:rFonts w:ascii="Times New Roman" w:hAnsi="Times New Roman" w:cs="Times New Roman"/>
          <w:b/>
          <w:bCs/>
          <w:sz w:val="24"/>
          <w:szCs w:val="24"/>
        </w:rPr>
        <w:t>、</w:t>
      </w:r>
      <w:r>
        <w:rPr>
          <w:rFonts w:hint="eastAsia" w:ascii="Times New Roman" w:hAnsi="Times New Roman" w:cs="Times New Roman"/>
          <w:b/>
          <w:bCs/>
          <w:sz w:val="24"/>
          <w:szCs w:val="24"/>
          <w:lang w:eastAsia="zh-CN"/>
        </w:rPr>
        <w:t>需</w:t>
      </w:r>
      <w:r>
        <w:rPr>
          <w:rFonts w:ascii="Times New Roman" w:hAnsi="Times New Roman" w:cs="Times New Roman"/>
          <w:b/>
          <w:bCs/>
          <w:sz w:val="24"/>
          <w:szCs w:val="24"/>
        </w:rPr>
        <w:t>、</w:t>
      </w:r>
      <w:r>
        <w:rPr>
          <w:rFonts w:hint="eastAsia" w:ascii="Times New Roman" w:hAnsi="Times New Roman" w:cs="Times New Roman"/>
          <w:b/>
          <w:bCs/>
          <w:sz w:val="24"/>
          <w:szCs w:val="24"/>
          <w:lang w:eastAsia="zh-CN"/>
        </w:rPr>
        <w:t>供</w:t>
      </w:r>
      <w:r>
        <w:rPr>
          <w:rFonts w:ascii="Times New Roman" w:hAnsi="Times New Roman" w:cs="Times New Roman"/>
          <w:b/>
          <w:bCs/>
          <w:sz w:val="24"/>
          <w:szCs w:val="24"/>
        </w:rPr>
        <w:t>双方权利和义务：</w:t>
      </w:r>
    </w:p>
    <w:p>
      <w:pPr>
        <w:pStyle w:val="31"/>
        <w:spacing w:line="440" w:lineRule="exact"/>
        <w:ind w:firstLine="480" w:firstLineChars="200"/>
        <w:rPr>
          <w:rFonts w:ascii="Times New Roman" w:hAnsi="Times New Roman" w:cs="Times New Roman"/>
          <w:sz w:val="24"/>
          <w:szCs w:val="24"/>
        </w:rPr>
      </w:pPr>
    </w:p>
    <w:p>
      <w:pPr>
        <w:pStyle w:val="31"/>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需</w:t>
      </w:r>
      <w:r>
        <w:rPr>
          <w:rFonts w:ascii="Times New Roman" w:hAnsi="Times New Roman" w:cs="Times New Roman"/>
          <w:sz w:val="24"/>
          <w:szCs w:val="24"/>
        </w:rPr>
        <w:t>方的权利和义务</w:t>
      </w:r>
    </w:p>
    <w:p>
      <w:pPr>
        <w:pStyle w:val="31"/>
        <w:spacing w:line="440" w:lineRule="exact"/>
        <w:ind w:firstLine="480" w:firstLineChars="200"/>
        <w:rPr>
          <w:rFonts w:ascii="Times New Roman" w:hAnsi="Times New Roman" w:cs="Times New Roman"/>
          <w:sz w:val="24"/>
          <w:szCs w:val="24"/>
        </w:rPr>
      </w:pPr>
    </w:p>
    <w:p>
      <w:pPr>
        <w:pStyle w:val="31"/>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供</w:t>
      </w:r>
      <w:r>
        <w:rPr>
          <w:rFonts w:ascii="Times New Roman" w:hAnsi="Times New Roman" w:cs="Times New Roman"/>
          <w:sz w:val="24"/>
          <w:szCs w:val="24"/>
        </w:rPr>
        <w:t>方的权利和义务</w:t>
      </w:r>
    </w:p>
    <w:p>
      <w:pPr>
        <w:rPr>
          <w:rFonts w:ascii="Times New Roman" w:hAnsi="Times New Roman" w:cs="Times New Roman"/>
          <w:sz w:val="24"/>
          <w:szCs w:val="24"/>
        </w:rPr>
      </w:pPr>
    </w:p>
    <w:p>
      <w:pPr>
        <w:pStyle w:val="2"/>
      </w:pPr>
    </w:p>
    <w:p>
      <w:pPr>
        <w:pStyle w:val="31"/>
        <w:spacing w:line="440" w:lineRule="exact"/>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十</w:t>
      </w:r>
      <w:r>
        <w:rPr>
          <w:rFonts w:hint="eastAsia" w:ascii="Times New Roman" w:hAnsi="Times New Roman" w:cs="Times New Roman"/>
          <w:b/>
          <w:bCs/>
          <w:sz w:val="24"/>
          <w:szCs w:val="24"/>
          <w:lang w:eastAsia="zh-CN"/>
        </w:rPr>
        <w:t>二</w:t>
      </w:r>
      <w:r>
        <w:rPr>
          <w:rFonts w:hint="eastAsia" w:ascii="Times New Roman" w:hAnsi="Times New Roman" w:cs="Times New Roman"/>
          <w:b/>
          <w:bCs/>
          <w:sz w:val="24"/>
          <w:szCs w:val="24"/>
        </w:rPr>
        <w:t>、违约责任：</w:t>
      </w:r>
    </w:p>
    <w:p>
      <w:pPr>
        <w:pStyle w:val="31"/>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无正当理由拒收接受服务的，</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向</w:t>
      </w:r>
      <w:r>
        <w:rPr>
          <w:rFonts w:hint="eastAsia" w:ascii="Times New Roman" w:hAnsi="Times New Roman" w:cs="Times New Roman"/>
          <w:sz w:val="24"/>
          <w:szCs w:val="24"/>
          <w:lang w:eastAsia="zh-CN"/>
        </w:rPr>
        <w:t>供方</w:t>
      </w:r>
      <w:r>
        <w:rPr>
          <w:rFonts w:hint="eastAsia" w:ascii="Times New Roman" w:hAnsi="Times New Roman" w:cs="Times New Roman"/>
          <w:sz w:val="24"/>
          <w:szCs w:val="24"/>
        </w:rPr>
        <w:t>偿付合同款项百分之    作为违约金。</w:t>
      </w:r>
    </w:p>
    <w:p>
      <w:pPr>
        <w:pStyle w:val="31"/>
        <w:spacing w:line="44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无故逾期验收和办理款项支付手续的,</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应按逾期付款总额每日万分之  向</w:t>
      </w:r>
      <w:r>
        <w:rPr>
          <w:rFonts w:hint="eastAsia" w:ascii="Times New Roman" w:hAnsi="Times New Roman" w:cs="Times New Roman"/>
          <w:sz w:val="24"/>
          <w:szCs w:val="24"/>
          <w:lang w:eastAsia="zh-CN"/>
        </w:rPr>
        <w:t>供方</w:t>
      </w:r>
      <w:r>
        <w:rPr>
          <w:rFonts w:hint="eastAsia" w:ascii="Times New Roman" w:hAnsi="Times New Roman" w:cs="Times New Roman"/>
          <w:sz w:val="24"/>
          <w:szCs w:val="24"/>
        </w:rPr>
        <w:t>支付违约金。</w:t>
      </w:r>
    </w:p>
    <w:p>
      <w:pPr>
        <w:pStyle w:val="31"/>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hint="eastAsia" w:ascii="Times New Roman" w:hAnsi="Times New Roman" w:cs="Times New Roman"/>
          <w:sz w:val="24"/>
          <w:szCs w:val="24"/>
          <w:lang w:eastAsia="zh-CN"/>
        </w:rPr>
        <w:t>供方</w:t>
      </w:r>
      <w:r>
        <w:rPr>
          <w:rFonts w:hint="eastAsia" w:ascii="Times New Roman" w:hAnsi="Times New Roman" w:cs="Times New Roman"/>
          <w:sz w:val="24"/>
          <w:szCs w:val="24"/>
        </w:rPr>
        <w:t>未能如期提供服务的，每日向</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支付合同款项的千分之    作为违约金。</w:t>
      </w:r>
      <w:r>
        <w:rPr>
          <w:rFonts w:hint="eastAsia" w:ascii="Times New Roman" w:hAnsi="Times New Roman" w:cs="Times New Roman"/>
          <w:sz w:val="24"/>
          <w:szCs w:val="24"/>
          <w:lang w:eastAsia="zh-CN"/>
        </w:rPr>
        <w:t>供方</w:t>
      </w:r>
      <w:r>
        <w:rPr>
          <w:rFonts w:hint="eastAsia" w:ascii="Times New Roman" w:hAnsi="Times New Roman" w:cs="Times New Roman"/>
          <w:sz w:val="24"/>
          <w:szCs w:val="24"/>
        </w:rPr>
        <w:t>超过约定日期个工作日仍不能提供服务的，</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可解除本合同。</w:t>
      </w:r>
      <w:r>
        <w:rPr>
          <w:rFonts w:hint="eastAsia" w:ascii="Times New Roman" w:hAnsi="Times New Roman" w:cs="Times New Roman"/>
          <w:sz w:val="24"/>
          <w:szCs w:val="24"/>
          <w:lang w:eastAsia="zh-CN"/>
        </w:rPr>
        <w:t>供方</w:t>
      </w:r>
      <w:r>
        <w:rPr>
          <w:rFonts w:hint="eastAsia" w:ascii="Times New Roman" w:hAnsi="Times New Roman" w:cs="Times New Roman"/>
          <w:sz w:val="24"/>
          <w:szCs w:val="24"/>
        </w:rPr>
        <w:t>因未能如期提供服务或因其他违约行为导致</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解除合同的，</w:t>
      </w:r>
      <w:r>
        <w:rPr>
          <w:rFonts w:hint="eastAsia" w:ascii="Times New Roman" w:hAnsi="Times New Roman" w:cs="Times New Roman"/>
          <w:sz w:val="24"/>
          <w:szCs w:val="24"/>
          <w:lang w:eastAsia="zh-CN"/>
        </w:rPr>
        <w:t>供方</w:t>
      </w:r>
      <w:r>
        <w:rPr>
          <w:rFonts w:hint="eastAsia" w:ascii="Times New Roman" w:hAnsi="Times New Roman" w:cs="Times New Roman"/>
          <w:sz w:val="24"/>
          <w:szCs w:val="24"/>
        </w:rPr>
        <w:t>应向</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支付合同总值百分之    的违约金，如造成</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损失超过违约金的，超出部分由</w:t>
      </w:r>
      <w:r>
        <w:rPr>
          <w:rFonts w:hint="eastAsia" w:ascii="Times New Roman" w:hAnsi="Times New Roman" w:cs="Times New Roman"/>
          <w:sz w:val="24"/>
          <w:szCs w:val="24"/>
          <w:lang w:eastAsia="zh-CN"/>
        </w:rPr>
        <w:t>供方</w:t>
      </w:r>
      <w:r>
        <w:rPr>
          <w:rFonts w:hint="eastAsia" w:ascii="Times New Roman" w:hAnsi="Times New Roman" w:cs="Times New Roman"/>
          <w:sz w:val="24"/>
          <w:szCs w:val="24"/>
        </w:rPr>
        <w:t xml:space="preserve">继续承担赔偿责任。 </w:t>
      </w:r>
    </w:p>
    <w:p>
      <w:pPr>
        <w:pStyle w:val="31"/>
        <w:spacing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4.如果</w:t>
      </w:r>
      <w:r>
        <w:rPr>
          <w:rFonts w:hint="eastAsia" w:ascii="Times New Roman" w:hAnsi="Times New Roman" w:cs="Times New Roman"/>
          <w:sz w:val="24"/>
          <w:szCs w:val="24"/>
          <w:lang w:eastAsia="zh-CN"/>
        </w:rPr>
        <w:t>供方</w:t>
      </w:r>
      <w:r>
        <w:rPr>
          <w:rFonts w:hint="eastAsia" w:ascii="Times New Roman" w:hAnsi="Times New Roman" w:cs="Times New Roman"/>
          <w:sz w:val="24"/>
          <w:szCs w:val="24"/>
        </w:rPr>
        <w:t>提供的服务项目的质量</w:t>
      </w:r>
      <w:r>
        <w:rPr>
          <w:rFonts w:hint="eastAsia" w:ascii="Times New Roman" w:hAnsi="Times New Roman" w:cs="Times New Roman"/>
          <w:sz w:val="24"/>
          <w:szCs w:val="24"/>
          <w:lang w:eastAsia="zh-CN"/>
        </w:rPr>
        <w:t>未</w:t>
      </w:r>
      <w:r>
        <w:rPr>
          <w:rFonts w:hint="eastAsia" w:ascii="Times New Roman" w:hAnsi="Times New Roman" w:cs="Times New Roman"/>
          <w:sz w:val="24"/>
          <w:szCs w:val="24"/>
        </w:rPr>
        <w:t>达到本合同规定标准的，则</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有权拒绝，</w:t>
      </w:r>
      <w:r>
        <w:rPr>
          <w:rFonts w:hint="eastAsia" w:ascii="Times New Roman" w:hAnsi="Times New Roman" w:cs="Times New Roman"/>
          <w:sz w:val="24"/>
          <w:szCs w:val="24"/>
          <w:lang w:eastAsia="zh-CN"/>
        </w:rPr>
        <w:t>供方</w:t>
      </w:r>
      <w:r>
        <w:rPr>
          <w:rFonts w:hint="eastAsia" w:ascii="Times New Roman" w:hAnsi="Times New Roman" w:cs="Times New Roman"/>
          <w:sz w:val="24"/>
          <w:szCs w:val="24"/>
        </w:rPr>
        <w:t>需向</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偿付合同款项的百分之    的违约金。如造成</w:t>
      </w:r>
      <w:r>
        <w:rPr>
          <w:rFonts w:hint="eastAsia" w:ascii="Times New Roman" w:hAnsi="Times New Roman" w:cs="Times New Roman"/>
          <w:sz w:val="24"/>
          <w:szCs w:val="24"/>
          <w:lang w:eastAsia="zh-CN"/>
        </w:rPr>
        <w:t>需方</w:t>
      </w:r>
      <w:r>
        <w:rPr>
          <w:rFonts w:hint="eastAsia" w:ascii="Times New Roman" w:hAnsi="Times New Roman" w:cs="Times New Roman"/>
          <w:sz w:val="24"/>
          <w:szCs w:val="24"/>
        </w:rPr>
        <w:t>损失超过违约金的，超出部分由</w:t>
      </w:r>
      <w:r>
        <w:rPr>
          <w:rFonts w:hint="eastAsia" w:ascii="Times New Roman" w:hAnsi="Times New Roman" w:cs="Times New Roman"/>
          <w:sz w:val="24"/>
          <w:szCs w:val="24"/>
          <w:lang w:eastAsia="zh-CN"/>
        </w:rPr>
        <w:t>供方</w:t>
      </w:r>
      <w:r>
        <w:rPr>
          <w:rFonts w:hint="eastAsia" w:ascii="Times New Roman" w:hAnsi="Times New Roman" w:cs="Times New Roman"/>
          <w:sz w:val="24"/>
          <w:szCs w:val="24"/>
        </w:rPr>
        <w:t>继续承担赔偿责任。</w:t>
      </w:r>
    </w:p>
    <w:p>
      <w:pPr>
        <w:snapToGrid w:val="0"/>
        <w:spacing w:line="400" w:lineRule="exact"/>
        <w:ind w:firstLine="480"/>
        <w:rPr>
          <w:b/>
        </w:rPr>
      </w:pPr>
      <w:r>
        <w:rPr>
          <w:b/>
        </w:rPr>
        <w:t>十</w:t>
      </w:r>
      <w:r>
        <w:rPr>
          <w:rFonts w:hint="eastAsia"/>
          <w:b/>
          <w:lang w:eastAsia="zh-CN"/>
        </w:rPr>
        <w:t>三</w:t>
      </w:r>
      <w:r>
        <w:rPr>
          <w:b/>
        </w:rPr>
        <w:t>、税费</w:t>
      </w:r>
    </w:p>
    <w:p>
      <w:pPr>
        <w:snapToGrid w:val="0"/>
        <w:spacing w:line="400" w:lineRule="exact"/>
        <w:ind w:firstLine="480" w:firstLineChars="200"/>
      </w:pPr>
      <w:r>
        <w:t>本合同执行中相关的一切税费均由供方负担。</w:t>
      </w:r>
    </w:p>
    <w:p>
      <w:pPr>
        <w:snapToGrid w:val="0"/>
        <w:spacing w:line="400" w:lineRule="exact"/>
        <w:ind w:firstLine="480"/>
        <w:rPr>
          <w:b/>
        </w:rPr>
      </w:pPr>
      <w:r>
        <w:rPr>
          <w:b/>
        </w:rPr>
        <w:t>十</w:t>
      </w:r>
      <w:r>
        <w:rPr>
          <w:rFonts w:hint="eastAsia"/>
          <w:b/>
          <w:lang w:eastAsia="zh-CN"/>
        </w:rPr>
        <w:t>四</w:t>
      </w:r>
      <w:r>
        <w:rPr>
          <w:b/>
        </w:rPr>
        <w:t>、不可抗力事件处理</w:t>
      </w:r>
    </w:p>
    <w:p>
      <w:pPr>
        <w:snapToGrid w:val="0"/>
        <w:spacing w:line="400" w:lineRule="exact"/>
        <w:ind w:firstLine="480"/>
      </w:pPr>
      <w:r>
        <w:t>1.在合同有效期内，任何一方因不可抗力事件导致不能履行合同，则合同履行期可延长，其延长期与不可抗力影响期相同。</w:t>
      </w:r>
    </w:p>
    <w:p>
      <w:pPr>
        <w:snapToGrid w:val="0"/>
        <w:spacing w:line="400" w:lineRule="exact"/>
        <w:ind w:firstLine="480"/>
      </w:pPr>
      <w:r>
        <w:t>2.不可抗力事件发生后，应立即通知对方，并寄送有关权威机构出具的证明。</w:t>
      </w:r>
    </w:p>
    <w:p>
      <w:pPr>
        <w:snapToGrid w:val="0"/>
        <w:spacing w:line="400" w:lineRule="exact"/>
        <w:ind w:firstLine="480"/>
      </w:pPr>
      <w:r>
        <w:t>3.不可抗力事件延续_120_天以上，双方应通过友好协商，确定是否继续履行合同。</w:t>
      </w:r>
    </w:p>
    <w:p>
      <w:pPr>
        <w:snapToGrid w:val="0"/>
        <w:spacing w:line="400" w:lineRule="exact"/>
        <w:ind w:firstLine="480"/>
        <w:rPr>
          <w:b/>
        </w:rPr>
      </w:pPr>
      <w:r>
        <w:rPr>
          <w:b/>
        </w:rPr>
        <w:t>十</w:t>
      </w:r>
      <w:r>
        <w:rPr>
          <w:rFonts w:hint="eastAsia"/>
          <w:b/>
          <w:lang w:eastAsia="zh-CN"/>
        </w:rPr>
        <w:t>五</w:t>
      </w:r>
      <w:r>
        <w:rPr>
          <w:b/>
        </w:rPr>
        <w:t>、诉讼</w:t>
      </w:r>
    </w:p>
    <w:p>
      <w:pPr>
        <w:snapToGrid w:val="0"/>
        <w:spacing w:line="400" w:lineRule="exact"/>
        <w:ind w:firstLine="480"/>
      </w:pPr>
      <w:r>
        <w:t>本合同项目所在地为义乌市，本合同发生争议产生的诉讼，应向项目所在地有管辖权的法院提起诉讼。</w:t>
      </w:r>
    </w:p>
    <w:p>
      <w:pPr>
        <w:snapToGrid w:val="0"/>
        <w:spacing w:line="400" w:lineRule="exact"/>
        <w:ind w:firstLine="480"/>
        <w:rPr>
          <w:b/>
        </w:rPr>
      </w:pPr>
      <w:r>
        <w:rPr>
          <w:b/>
        </w:rPr>
        <w:t>十</w:t>
      </w:r>
      <w:r>
        <w:rPr>
          <w:rFonts w:hint="eastAsia"/>
          <w:b/>
          <w:lang w:eastAsia="zh-CN"/>
        </w:rPr>
        <w:t>六</w:t>
      </w:r>
      <w:r>
        <w:rPr>
          <w:b/>
        </w:rPr>
        <w:t>、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napToGrid w:val="0"/>
        <w:spacing w:line="400" w:lineRule="exact"/>
        <w:ind w:firstLine="480"/>
        <w:rPr>
          <w:b/>
        </w:rPr>
      </w:pPr>
      <w:r>
        <w:rPr>
          <w:b/>
        </w:rPr>
        <w:t>十</w:t>
      </w:r>
      <w:r>
        <w:rPr>
          <w:rFonts w:hint="eastAsia"/>
          <w:b/>
          <w:lang w:eastAsia="zh-CN"/>
        </w:rPr>
        <w:t>七</w:t>
      </w:r>
      <w:r>
        <w:rPr>
          <w:b/>
        </w:rPr>
        <w:t>、合同生效及其它</w:t>
      </w:r>
    </w:p>
    <w:p>
      <w:pPr>
        <w:snapToGrid w:val="0"/>
        <w:spacing w:line="400" w:lineRule="exact"/>
        <w:ind w:firstLine="480"/>
      </w:pPr>
      <w:r>
        <w:t>1.合同经双方法定代表人(或负责人)或授权代表签字并加盖单位公章后生效。</w:t>
      </w:r>
    </w:p>
    <w:p>
      <w:pPr>
        <w:snapToGrid w:val="0"/>
        <w:spacing w:line="400" w:lineRule="exact"/>
        <w:ind w:firstLine="480"/>
      </w:pPr>
      <w:r>
        <w:t>2.本合同一式八份，供需双方各执三份，义乌市财政局和义乌市政府采购中心各执一份，均具同等法律效力。</w:t>
      </w:r>
    </w:p>
    <w:p>
      <w:pPr>
        <w:snapToGrid w:val="0"/>
        <w:spacing w:line="400" w:lineRule="exact"/>
        <w:ind w:firstLine="480"/>
      </w:pPr>
      <w:r>
        <w:t>3.本合同未尽事宜，遵照《民法典》有关条文执行。</w:t>
      </w:r>
    </w:p>
    <w:p>
      <w:pPr>
        <w:pStyle w:val="31"/>
        <w:spacing w:line="44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十</w:t>
      </w:r>
      <w:r>
        <w:rPr>
          <w:rFonts w:hint="eastAsia" w:ascii="Times New Roman" w:hAnsi="Times New Roman" w:eastAsia="宋体" w:cs="Times New Roman"/>
          <w:b/>
          <w:bCs/>
          <w:sz w:val="24"/>
          <w:szCs w:val="24"/>
          <w:lang w:eastAsia="zh-CN"/>
        </w:rPr>
        <w:t>八</w:t>
      </w:r>
      <w:r>
        <w:rPr>
          <w:rFonts w:ascii="Times New Roman" w:hAnsi="Times New Roman" w:eastAsia="宋体" w:cs="Times New Roman"/>
          <w:sz w:val="24"/>
          <w:szCs w:val="24"/>
        </w:rPr>
        <w:t>、本合同一式</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份，</w:t>
      </w:r>
      <w:r>
        <w:rPr>
          <w:rFonts w:hint="eastAsia" w:ascii="Times New Roman" w:hAnsi="Times New Roman" w:eastAsia="宋体" w:cs="Times New Roman"/>
          <w:sz w:val="24"/>
          <w:szCs w:val="24"/>
          <w:lang w:eastAsia="zh-CN"/>
        </w:rPr>
        <w:t>需供</w:t>
      </w:r>
      <w:r>
        <w:rPr>
          <w:rFonts w:ascii="Times New Roman" w:hAnsi="Times New Roman" w:eastAsia="宋体" w:cs="Times New Roman"/>
          <w:sz w:val="24"/>
          <w:szCs w:val="24"/>
        </w:rPr>
        <w:t>双方各执</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份，义乌市财政局和义乌市政府采购中心各执一份，均具同等效力。</w:t>
      </w:r>
    </w:p>
    <w:p>
      <w:pPr>
        <w:pStyle w:val="31"/>
        <w:spacing w:line="44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十九</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本合同</w:t>
      </w:r>
      <w:r>
        <w:rPr>
          <w:rFonts w:hint="eastAsia" w:ascii="Times New Roman" w:hAnsi="Times New Roman" w:eastAsia="宋体" w:cs="Times New Roman"/>
          <w:sz w:val="24"/>
          <w:szCs w:val="24"/>
        </w:rPr>
        <w:t>在合同签订之日起报义乌市财政局备案。</w:t>
      </w:r>
    </w:p>
    <w:p>
      <w:pPr>
        <w:spacing w:line="400" w:lineRule="exact"/>
        <w:ind w:firstLine="480" w:firstLineChars="200"/>
        <w:rPr>
          <w:color w:val="000000"/>
        </w:rPr>
      </w:pPr>
    </w:p>
    <w:p>
      <w:pPr>
        <w:spacing w:line="400" w:lineRule="exact"/>
        <w:ind w:firstLine="480" w:firstLineChars="200"/>
        <w:rPr>
          <w:color w:val="000000"/>
        </w:rPr>
      </w:pPr>
      <w:r>
        <w:rPr>
          <w:color w:val="000000"/>
        </w:rPr>
        <w:t>需    方：________________________  供    方：__________________</w:t>
      </w:r>
      <w:r>
        <w:rPr>
          <w:color w:val="000000"/>
          <w:u w:val="single"/>
        </w:rPr>
        <w:t>__</w:t>
      </w:r>
      <w:r>
        <w:rPr>
          <w:color w:val="000000"/>
        </w:rPr>
        <w:t>____</w:t>
      </w:r>
    </w:p>
    <w:p>
      <w:pPr>
        <w:spacing w:line="400" w:lineRule="exact"/>
        <w:ind w:firstLine="480" w:firstLineChars="200"/>
        <w:rPr>
          <w:color w:val="000000"/>
        </w:rPr>
      </w:pPr>
      <w:r>
        <w:rPr>
          <w:color w:val="000000"/>
        </w:rPr>
        <w:t>地    址：________________________  地    址：_____________________</w:t>
      </w:r>
      <w:r>
        <w:rPr>
          <w:color w:val="000000"/>
          <w:u w:val="single"/>
        </w:rPr>
        <w:t>__</w:t>
      </w:r>
      <w:r>
        <w:rPr>
          <w:color w:val="000000"/>
        </w:rPr>
        <w:t>_</w:t>
      </w:r>
    </w:p>
    <w:p>
      <w:pPr>
        <w:spacing w:line="400" w:lineRule="exact"/>
        <w:ind w:firstLine="480" w:firstLineChars="200"/>
        <w:rPr>
          <w:color w:val="000000"/>
        </w:rPr>
      </w:pPr>
      <w:r>
        <w:rPr>
          <w:color w:val="000000"/>
        </w:rPr>
        <w:t>法定代表人(或负责人)：____________ 法定代表人(或负责人)______________</w:t>
      </w:r>
      <w:r>
        <w:rPr>
          <w:color w:val="000000"/>
          <w:u w:val="single"/>
        </w:rPr>
        <w:t xml:space="preserve"> </w:t>
      </w:r>
    </w:p>
    <w:p>
      <w:pPr>
        <w:spacing w:line="400" w:lineRule="exact"/>
        <w:ind w:firstLine="480" w:firstLineChars="200"/>
        <w:rPr>
          <w:color w:val="000000"/>
        </w:rPr>
      </w:pPr>
      <w:r>
        <w:rPr>
          <w:color w:val="000000"/>
        </w:rPr>
        <w:t>授权代表：_____________________</w:t>
      </w:r>
      <w:r>
        <w:rPr>
          <w:color w:val="000000"/>
          <w:u w:val="single"/>
        </w:rPr>
        <w:t xml:space="preserve">  _</w:t>
      </w:r>
      <w:r>
        <w:rPr>
          <w:color w:val="000000"/>
        </w:rPr>
        <w:t xml:space="preserve">  授权代表：____________________</w:t>
      </w:r>
      <w:r>
        <w:rPr>
          <w:color w:val="000000"/>
          <w:u w:val="single"/>
        </w:rPr>
        <w:t xml:space="preserve">    </w:t>
      </w:r>
    </w:p>
    <w:p>
      <w:pPr>
        <w:spacing w:line="400" w:lineRule="exact"/>
        <w:ind w:firstLine="480" w:firstLineChars="200"/>
        <w:rPr>
          <w:color w:val="000000"/>
        </w:rPr>
      </w:pPr>
      <w:r>
        <w:rPr>
          <w:color w:val="000000"/>
        </w:rPr>
        <w:t>电    话：________________________  电    话：________________________</w:t>
      </w:r>
    </w:p>
    <w:p>
      <w:pPr>
        <w:spacing w:line="400" w:lineRule="exact"/>
        <w:ind w:firstLine="480" w:firstLineChars="200"/>
        <w:rPr>
          <w:color w:val="000000"/>
        </w:rPr>
      </w:pPr>
      <w:r>
        <w:rPr>
          <w:color w:val="000000"/>
        </w:rPr>
        <w:t>帐户名称：________________________  帐户名称：________________________</w:t>
      </w:r>
    </w:p>
    <w:p>
      <w:pPr>
        <w:spacing w:line="400" w:lineRule="exact"/>
        <w:ind w:firstLine="480" w:firstLineChars="200"/>
        <w:rPr>
          <w:color w:val="000000"/>
        </w:rPr>
      </w:pPr>
      <w:r>
        <w:rPr>
          <w:color w:val="000000"/>
        </w:rPr>
        <w:t>开户银行：________________________  开户银行：________________________</w:t>
      </w:r>
    </w:p>
    <w:p>
      <w:pPr>
        <w:spacing w:line="400" w:lineRule="exact"/>
        <w:ind w:firstLine="480" w:firstLineChars="200"/>
        <w:rPr>
          <w:color w:val="000000"/>
        </w:rPr>
      </w:pPr>
      <w:r>
        <w:rPr>
          <w:color w:val="000000"/>
        </w:rPr>
        <w:t>帐    号：________________________  帐    号：________________________</w:t>
      </w:r>
    </w:p>
    <w:p>
      <w:pPr>
        <w:spacing w:line="400" w:lineRule="exact"/>
        <w:ind w:firstLine="480" w:firstLineChars="200"/>
      </w:pPr>
      <w:r>
        <w:rPr>
          <w:color w:val="000000"/>
        </w:rPr>
        <w:t>签约时间：________________________  签约地点：</w:t>
      </w:r>
      <w:r>
        <w:rPr>
          <w:color w:val="000000"/>
          <w:u w:val="single"/>
        </w:rPr>
        <w:t xml:space="preserve">                        </w:t>
      </w:r>
    </w:p>
    <w:p>
      <w:pPr>
        <w:pStyle w:val="39"/>
        <w:jc w:val="center"/>
        <w:rPr>
          <w:rFonts w:ascii="Times New Roman" w:hAnsi="Times New Roman"/>
          <w:color w:val="auto"/>
          <w:sz w:val="36"/>
          <w:szCs w:val="36"/>
        </w:rPr>
      </w:pPr>
    </w:p>
    <w:p>
      <w:pPr>
        <w:pStyle w:val="39"/>
        <w:jc w:val="center"/>
        <w:rPr>
          <w:rFonts w:ascii="Times New Roman" w:hAnsi="Times New Roman"/>
          <w:color w:val="auto"/>
          <w:sz w:val="36"/>
          <w:szCs w:val="36"/>
        </w:rPr>
      </w:pPr>
    </w:p>
    <w:p>
      <w:pPr>
        <w:pStyle w:val="39"/>
        <w:jc w:val="center"/>
        <w:rPr>
          <w:rFonts w:ascii="Times New Roman" w:hAnsi="Times New Roman"/>
          <w:color w:val="auto"/>
          <w:sz w:val="36"/>
          <w:szCs w:val="36"/>
        </w:rPr>
      </w:pPr>
    </w:p>
    <w:p>
      <w:pPr>
        <w:pStyle w:val="39"/>
        <w:jc w:val="center"/>
        <w:rPr>
          <w:rFonts w:ascii="Times New Roman" w:hAnsi="Times New Roman"/>
          <w:color w:val="auto"/>
          <w:sz w:val="36"/>
          <w:szCs w:val="36"/>
        </w:rPr>
      </w:pPr>
    </w:p>
    <w:p>
      <w:pPr>
        <w:pStyle w:val="39"/>
        <w:jc w:val="center"/>
        <w:rPr>
          <w:rFonts w:ascii="Times New Roman" w:hAnsi="Times New Roman"/>
          <w:color w:val="auto"/>
          <w:sz w:val="36"/>
          <w:szCs w:val="36"/>
        </w:rPr>
      </w:pPr>
    </w:p>
    <w:p>
      <w:pPr>
        <w:pStyle w:val="39"/>
        <w:jc w:val="center"/>
        <w:rPr>
          <w:rFonts w:ascii="Times New Roman" w:hAnsi="Times New Roman"/>
          <w:color w:val="auto"/>
          <w:sz w:val="36"/>
          <w:szCs w:val="36"/>
        </w:rPr>
      </w:pPr>
    </w:p>
    <w:p>
      <w:pPr>
        <w:pStyle w:val="39"/>
        <w:jc w:val="center"/>
        <w:rPr>
          <w:rFonts w:ascii="Times New Roman" w:hAnsi="Times New Roman"/>
          <w:color w:val="auto"/>
          <w:sz w:val="36"/>
          <w:szCs w:val="36"/>
        </w:rPr>
      </w:pPr>
    </w:p>
    <w:p>
      <w:pPr>
        <w:pStyle w:val="39"/>
        <w:jc w:val="center"/>
        <w:rPr>
          <w:rFonts w:ascii="Times New Roman" w:hAnsi="Times New Roman"/>
          <w:color w:val="auto"/>
          <w:sz w:val="36"/>
          <w:szCs w:val="36"/>
        </w:rPr>
      </w:pPr>
    </w:p>
    <w:p>
      <w:pPr>
        <w:pStyle w:val="39"/>
        <w:jc w:val="center"/>
        <w:rPr>
          <w:rFonts w:ascii="Times New Roman" w:hAnsi="Times New Roman"/>
          <w:color w:val="auto"/>
          <w:sz w:val="36"/>
          <w:szCs w:val="36"/>
        </w:rPr>
      </w:pPr>
    </w:p>
    <w:p>
      <w:pPr>
        <w:rPr>
          <w:rFonts w:ascii="Times New Roman" w:hAnsi="Times New Roman"/>
          <w:color w:val="auto"/>
          <w:sz w:val="36"/>
          <w:szCs w:val="36"/>
        </w:rPr>
      </w:pPr>
    </w:p>
    <w:p>
      <w:pPr>
        <w:pStyle w:val="5"/>
        <w:spacing w:before="0" w:after="0" w:line="400" w:lineRule="atLeast"/>
        <w:jc w:val="center"/>
        <w:rPr>
          <w:sz w:val="36"/>
        </w:rPr>
      </w:pPr>
      <w:bookmarkStart w:id="105" w:name="_Toc1594"/>
      <w:bookmarkStart w:id="106" w:name="_Toc620"/>
      <w:r>
        <w:rPr>
          <w:sz w:val="36"/>
        </w:rPr>
        <w:t>第八章 投标文件部分格式</w:t>
      </w:r>
      <w:bookmarkEnd w:id="97"/>
      <w:bookmarkEnd w:id="98"/>
      <w:bookmarkEnd w:id="99"/>
      <w:bookmarkEnd w:id="100"/>
      <w:bookmarkEnd w:id="101"/>
      <w:bookmarkEnd w:id="102"/>
      <w:bookmarkEnd w:id="105"/>
      <w:bookmarkEnd w:id="106"/>
    </w:p>
    <w:p>
      <w:pPr>
        <w:pStyle w:val="39"/>
        <w:spacing w:line="400" w:lineRule="exact"/>
        <w:rPr>
          <w:rFonts w:ascii="Times New Roman" w:hAnsi="Times New Roman"/>
          <w:b w:val="0"/>
          <w:color w:val="auto"/>
          <w:sz w:val="24"/>
          <w:szCs w:val="24"/>
        </w:rPr>
      </w:pPr>
      <w:r>
        <w:rPr>
          <w:rFonts w:ascii="Times New Roman" w:hAnsi="Times New Roman"/>
          <w:b w:val="0"/>
          <w:color w:val="auto"/>
          <w:sz w:val="24"/>
          <w:szCs w:val="24"/>
        </w:rPr>
        <w:t>一、封面格式</w:t>
      </w:r>
    </w:p>
    <w:p>
      <w:pPr>
        <w:pStyle w:val="39"/>
        <w:spacing w:line="400" w:lineRule="exact"/>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二、</w:t>
      </w:r>
      <w:r>
        <w:rPr>
          <w:rFonts w:hint="eastAsia" w:ascii="Times New Roman" w:hAnsi="Times New Roman" w:eastAsia="宋体" w:cs="Times New Roman"/>
          <w:b w:val="0"/>
          <w:color w:val="auto"/>
          <w:sz w:val="24"/>
          <w:szCs w:val="24"/>
          <w:lang w:eastAsia="zh-CN"/>
        </w:rPr>
        <w:t>资格响应文件</w:t>
      </w:r>
      <w:r>
        <w:rPr>
          <w:rFonts w:hint="default" w:ascii="Times New Roman" w:hAnsi="Times New Roman" w:eastAsia="宋体" w:cs="Times New Roman"/>
          <w:b w:val="0"/>
          <w:color w:val="auto"/>
          <w:sz w:val="24"/>
          <w:szCs w:val="24"/>
        </w:rPr>
        <w:t>部分格式：</w:t>
      </w:r>
    </w:p>
    <w:p>
      <w:pPr>
        <w:adjustRightInd w:val="0"/>
        <w:snapToGrid w:val="0"/>
        <w:spacing w:before="50" w:after="50" w:line="4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1、义乌市政府采购项目投标承诺书</w:t>
      </w:r>
    </w:p>
    <w:p>
      <w:pPr>
        <w:adjustRightInd w:val="0"/>
        <w:snapToGrid w:val="0"/>
        <w:spacing w:before="50" w:after="50" w:line="400" w:lineRule="exact"/>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default" w:ascii="Times New Roman" w:hAnsi="Times New Roman" w:eastAsia="宋体" w:cs="Times New Roman"/>
        </w:rPr>
        <w:t>、</w:t>
      </w:r>
      <w:r>
        <w:rPr>
          <w:rFonts w:hint="eastAsia" w:ascii="Times New Roman" w:hAnsi="Times New Roman" w:eastAsia="宋体" w:cs="Times New Roman"/>
          <w:lang w:eastAsia="zh-CN"/>
        </w:rPr>
        <w:t>联合体协议</w:t>
      </w:r>
    </w:p>
    <w:p>
      <w:pPr>
        <w:pStyle w:val="39"/>
        <w:spacing w:line="400" w:lineRule="exact"/>
        <w:rPr>
          <w:rFonts w:ascii="Times New Roman" w:hAnsi="Times New Roman"/>
          <w:b w:val="0"/>
          <w:color w:val="auto"/>
          <w:sz w:val="24"/>
          <w:szCs w:val="24"/>
        </w:rPr>
      </w:pPr>
      <w:r>
        <w:rPr>
          <w:rFonts w:ascii="Times New Roman" w:hAnsi="Times New Roman"/>
          <w:b w:val="0"/>
          <w:color w:val="auto"/>
          <w:sz w:val="24"/>
          <w:szCs w:val="24"/>
        </w:rPr>
        <w:t>二、商务技术响应文件部分格式：</w:t>
      </w:r>
    </w:p>
    <w:p>
      <w:pPr>
        <w:adjustRightInd w:val="0"/>
        <w:snapToGrid w:val="0"/>
        <w:spacing w:before="50" w:after="50" w:line="400" w:lineRule="exact"/>
        <w:ind w:firstLine="480" w:firstLineChars="200"/>
        <w:rPr>
          <w:rFonts w:ascii="Times New Roman" w:hAnsi="Times New Roman" w:cs="Times New Roman"/>
        </w:rPr>
      </w:pPr>
      <w:r>
        <w:rPr>
          <w:rFonts w:hint="eastAsia" w:cs="Times New Roman"/>
          <w:lang w:val="en-US" w:eastAsia="zh-CN"/>
        </w:rPr>
        <w:t>3</w:t>
      </w:r>
      <w:r>
        <w:rPr>
          <w:rFonts w:ascii="Times New Roman" w:hAnsi="Times New Roman" w:cs="Times New Roman"/>
        </w:rPr>
        <w:t>、规范偏离表</w:t>
      </w:r>
    </w:p>
    <w:p>
      <w:pPr>
        <w:adjustRightInd w:val="0"/>
        <w:snapToGrid w:val="0"/>
        <w:spacing w:before="50" w:after="50" w:line="400" w:lineRule="exact"/>
        <w:ind w:firstLine="480" w:firstLineChars="200"/>
        <w:rPr>
          <w:rFonts w:ascii="Times New Roman" w:hAnsi="Times New Roman" w:cs="Times New Roman"/>
        </w:rPr>
      </w:pPr>
      <w:r>
        <w:rPr>
          <w:rFonts w:hint="eastAsia" w:cs="Times New Roman"/>
          <w:lang w:val="en-US" w:eastAsia="zh-CN"/>
        </w:rPr>
        <w:t>4</w:t>
      </w:r>
      <w:r>
        <w:rPr>
          <w:rFonts w:ascii="Times New Roman" w:hAnsi="Times New Roman" w:cs="Times New Roman"/>
        </w:rPr>
        <w:t>、项目组成人员表</w:t>
      </w:r>
    </w:p>
    <w:p>
      <w:pPr>
        <w:spacing w:line="400" w:lineRule="exact"/>
      </w:pPr>
      <w:r>
        <w:t>三、报价响应文件部分格式：</w:t>
      </w:r>
    </w:p>
    <w:p>
      <w:pPr>
        <w:adjustRightInd w:val="0"/>
        <w:snapToGrid w:val="0"/>
        <w:spacing w:before="50" w:after="50" w:line="400" w:lineRule="exact"/>
        <w:ind w:firstLine="480" w:firstLineChars="200"/>
      </w:pPr>
      <w:r>
        <w:rPr>
          <w:rFonts w:hint="eastAsia" w:cs="Times New Roman"/>
          <w:lang w:val="en-US" w:eastAsia="zh-CN"/>
        </w:rPr>
        <w:t>5</w:t>
      </w:r>
      <w:r>
        <w:rPr>
          <w:rFonts w:ascii="Times New Roman" w:hAnsi="Times New Roman" w:cs="Times New Roman"/>
        </w:rPr>
        <w:t>、</w:t>
      </w:r>
      <w:r>
        <w:t>开标一览表</w:t>
      </w:r>
    </w:p>
    <w:p>
      <w:pPr>
        <w:adjustRightInd w:val="0"/>
        <w:snapToGrid w:val="0"/>
        <w:spacing w:before="50" w:after="50" w:line="400" w:lineRule="exact"/>
        <w:ind w:firstLine="480" w:firstLineChars="200"/>
      </w:pPr>
      <w:r>
        <w:rPr>
          <w:rFonts w:hint="eastAsia" w:cs="Times New Roman"/>
          <w:lang w:val="en-US" w:eastAsia="zh-CN"/>
        </w:rPr>
        <w:t>6</w:t>
      </w:r>
      <w:r>
        <w:rPr>
          <w:rFonts w:ascii="Times New Roman" w:hAnsi="Times New Roman" w:cs="Times New Roman"/>
        </w:rPr>
        <w:t>、</w:t>
      </w:r>
      <w:r>
        <w:t>项目成本报价表</w:t>
      </w:r>
    </w:p>
    <w:p>
      <w:pPr>
        <w:spacing w:line="400" w:lineRule="exact"/>
        <w:ind w:firstLine="480" w:firstLineChars="200"/>
      </w:pPr>
      <w:r>
        <w:rPr>
          <w:rFonts w:hint="eastAsia"/>
          <w:lang w:val="en-US" w:eastAsia="zh-CN"/>
        </w:rPr>
        <w:t>7</w:t>
      </w:r>
      <w:r>
        <w:t>、中小企业声明函</w:t>
      </w:r>
    </w:p>
    <w:p>
      <w:pPr>
        <w:spacing w:line="400" w:lineRule="exact"/>
        <w:ind w:firstLine="480" w:firstLineChars="200"/>
      </w:pPr>
      <w:r>
        <w:rPr>
          <w:rFonts w:hint="eastAsia"/>
          <w:lang w:val="en-US" w:eastAsia="zh-CN"/>
        </w:rPr>
        <w:t>8、</w:t>
      </w:r>
      <w:r>
        <w:t>残疾人福利企业声明函</w:t>
      </w:r>
    </w:p>
    <w:p>
      <w:pPr>
        <w:pStyle w:val="2"/>
        <w:spacing w:after="0" w:line="400" w:lineRule="exact"/>
        <w:ind w:left="0" w:leftChars="0" w:firstLine="0" w:firstLineChars="0"/>
      </w:pPr>
    </w:p>
    <w:p>
      <w:pPr>
        <w:rPr>
          <w:szCs w:val="21"/>
        </w:rPr>
      </w:pPr>
    </w:p>
    <w:p>
      <w:pPr>
        <w:jc w:val="center"/>
        <w:rPr>
          <w:szCs w:val="21"/>
          <w:u w:val="single"/>
        </w:rPr>
      </w:pPr>
    </w:p>
    <w:p>
      <w:pPr>
        <w:rPr>
          <w:sz w:val="52"/>
          <w:u w:val="single"/>
        </w:rPr>
      </w:pPr>
      <w:r>
        <w:rPr>
          <w:bCs/>
          <w:szCs w:val="21"/>
        </w:rPr>
        <w:br w:type="page"/>
      </w:r>
      <w:r>
        <w:rPr>
          <w:bCs/>
          <w:sz w:val="28"/>
        </w:rPr>
        <w:t>封面格式</w:t>
      </w:r>
    </w:p>
    <w:p>
      <w:pPr>
        <w:jc w:val="center"/>
        <w:rPr>
          <w:color w:val="000000"/>
          <w:sz w:val="52"/>
        </w:rPr>
      </w:pPr>
    </w:p>
    <w:p>
      <w:pPr>
        <w:jc w:val="center"/>
        <w:rPr>
          <w:color w:val="000000"/>
          <w:sz w:val="52"/>
        </w:rPr>
      </w:pPr>
    </w:p>
    <w:p>
      <w:pPr>
        <w:jc w:val="center"/>
        <w:rPr>
          <w:sz w:val="52"/>
        </w:rPr>
      </w:pPr>
      <w:r>
        <w:rPr>
          <w:color w:val="000000"/>
          <w:sz w:val="52"/>
        </w:rPr>
        <w:t xml:space="preserve"> </w:t>
      </w:r>
      <w:r>
        <w:rPr>
          <w:color w:val="000000"/>
          <w:sz w:val="52"/>
          <w:u w:val="single"/>
        </w:rPr>
        <w:t xml:space="preserve">            </w:t>
      </w:r>
      <w:bookmarkStart w:id="107" w:name="_Toc15653_WPSOffice_Level1"/>
      <w:bookmarkStart w:id="108" w:name="_Toc27136_WPSOffice_Level1"/>
      <w:r>
        <w:rPr>
          <w:color w:val="000000"/>
          <w:sz w:val="52"/>
        </w:rPr>
        <w:t>项目</w:t>
      </w:r>
      <w:bookmarkEnd w:id="107"/>
      <w:bookmarkEnd w:id="108"/>
    </w:p>
    <w:p>
      <w:pPr>
        <w:jc w:val="center"/>
        <w:rPr>
          <w:sz w:val="52"/>
        </w:rPr>
      </w:pPr>
    </w:p>
    <w:p>
      <w:pPr>
        <w:rPr>
          <w:sz w:val="52"/>
        </w:rPr>
      </w:pPr>
    </w:p>
    <w:p>
      <w:pPr>
        <w:rPr>
          <w:sz w:val="52"/>
        </w:rPr>
      </w:pPr>
    </w:p>
    <w:p>
      <w:pPr>
        <w:jc w:val="center"/>
        <w:rPr>
          <w:bCs/>
          <w:sz w:val="72"/>
        </w:rPr>
      </w:pPr>
      <w:r>
        <w:rPr>
          <w:bCs/>
          <w:sz w:val="72"/>
        </w:rPr>
        <w:t>投标文件</w:t>
      </w:r>
    </w:p>
    <w:p>
      <w:pPr>
        <w:jc w:val="center"/>
        <w:rPr>
          <w:bCs/>
          <w:sz w:val="28"/>
        </w:rPr>
      </w:pPr>
      <w:r>
        <w:rPr>
          <w:bCs/>
          <w:sz w:val="28"/>
        </w:rPr>
        <w:t>采购编号：</w:t>
      </w:r>
      <w:r>
        <w:t>*********</w:t>
      </w:r>
    </w:p>
    <w:p>
      <w:pPr>
        <w:jc w:val="center"/>
        <w:rPr>
          <w:bCs/>
          <w:sz w:val="28"/>
        </w:rPr>
      </w:pPr>
    </w:p>
    <w:p>
      <w:pPr>
        <w:jc w:val="center"/>
        <w:rPr>
          <w:bCs/>
          <w:sz w:val="28"/>
        </w:rPr>
      </w:pPr>
    </w:p>
    <w:p>
      <w:pPr>
        <w:jc w:val="center"/>
        <w:rPr>
          <w:bCs/>
          <w:sz w:val="28"/>
        </w:rPr>
      </w:pPr>
    </w:p>
    <w:p>
      <w:pPr>
        <w:rPr>
          <w:bCs/>
          <w:sz w:val="28"/>
        </w:rPr>
      </w:pPr>
    </w:p>
    <w:p>
      <w:pPr>
        <w:spacing w:line="900" w:lineRule="exact"/>
        <w:ind w:firstLine="320" w:firstLineChars="100"/>
        <w:jc w:val="center"/>
        <w:rPr>
          <w:sz w:val="32"/>
          <w:u w:val="single"/>
        </w:rPr>
      </w:pPr>
      <w:r>
        <w:rPr>
          <w:sz w:val="32"/>
        </w:rPr>
        <w:t>投标文件内容：</w:t>
      </w:r>
      <w:r>
        <w:rPr>
          <w:sz w:val="32"/>
          <w:u w:val="single"/>
        </w:rPr>
        <w:t>（资格、商务技术或报价响应文件）</w:t>
      </w:r>
    </w:p>
    <w:p>
      <w:pPr>
        <w:spacing w:line="900" w:lineRule="exact"/>
        <w:ind w:firstLine="313" w:firstLineChars="98"/>
        <w:jc w:val="center"/>
        <w:rPr>
          <w:sz w:val="32"/>
          <w:u w:val="single"/>
        </w:rPr>
      </w:pPr>
      <w:r>
        <w:rPr>
          <w:sz w:val="32"/>
        </w:rPr>
        <w:t>投标人：</w:t>
      </w:r>
      <w:r>
        <w:rPr>
          <w:sz w:val="32"/>
          <w:u w:val="single"/>
        </w:rPr>
        <w:t xml:space="preserve">              （电子签章）</w:t>
      </w:r>
    </w:p>
    <w:p>
      <w:pPr>
        <w:spacing w:line="900" w:lineRule="exact"/>
        <w:ind w:firstLine="320" w:firstLineChars="100"/>
        <w:jc w:val="center"/>
        <w:rPr>
          <w:sz w:val="32"/>
        </w:rPr>
      </w:pPr>
      <w:r>
        <w:rPr>
          <w:sz w:val="32"/>
        </w:rPr>
        <w:t>日期：</w:t>
      </w:r>
      <w:r>
        <w:rPr>
          <w:sz w:val="32"/>
          <w:u w:val="single"/>
        </w:rPr>
        <w:t xml:space="preserve">      年      月      日</w:t>
      </w:r>
    </w:p>
    <w:p>
      <w:pPr>
        <w:pStyle w:val="31"/>
        <w:spacing w:line="460" w:lineRule="exact"/>
        <w:ind w:left="274" w:leftChars="114"/>
        <w:jc w:val="center"/>
        <w:rPr>
          <w:rFonts w:ascii="Times New Roman" w:hAnsi="Times New Roman" w:cs="Times New Roman"/>
          <w:bCs/>
          <w:sz w:val="36"/>
          <w:szCs w:val="36"/>
        </w:rPr>
      </w:pPr>
    </w:p>
    <w:p>
      <w:pPr>
        <w:pStyle w:val="31"/>
        <w:spacing w:line="460" w:lineRule="exact"/>
        <w:ind w:left="274" w:leftChars="114"/>
        <w:jc w:val="center"/>
        <w:rPr>
          <w:rFonts w:ascii="Times New Roman" w:hAnsi="Times New Roman" w:cs="Times New Roman"/>
          <w:bCs/>
          <w:sz w:val="36"/>
          <w:szCs w:val="36"/>
        </w:rPr>
      </w:pPr>
    </w:p>
    <w:p>
      <w:pPr>
        <w:pStyle w:val="31"/>
        <w:spacing w:line="460" w:lineRule="exact"/>
        <w:ind w:left="274" w:leftChars="114"/>
        <w:jc w:val="center"/>
        <w:rPr>
          <w:rFonts w:ascii="Times New Roman" w:hAnsi="Times New Roman" w:cs="Times New Roman"/>
          <w:bCs/>
          <w:sz w:val="36"/>
          <w:szCs w:val="36"/>
        </w:rPr>
      </w:pPr>
    </w:p>
    <w:p>
      <w:pPr>
        <w:pStyle w:val="31"/>
        <w:spacing w:line="460" w:lineRule="exact"/>
        <w:ind w:left="274" w:leftChars="114"/>
        <w:jc w:val="center"/>
        <w:rPr>
          <w:rFonts w:ascii="Times New Roman" w:hAnsi="Times New Roman" w:cs="Times New Roman"/>
          <w:bCs/>
          <w:sz w:val="36"/>
          <w:szCs w:val="36"/>
        </w:rPr>
      </w:pPr>
    </w:p>
    <w:p>
      <w:pPr>
        <w:pStyle w:val="31"/>
        <w:spacing w:line="460" w:lineRule="exact"/>
        <w:ind w:left="274" w:leftChars="114"/>
        <w:jc w:val="center"/>
        <w:rPr>
          <w:rFonts w:ascii="Times New Roman" w:hAnsi="Times New Roman" w:cs="Times New Roman"/>
          <w:bCs/>
          <w:sz w:val="36"/>
          <w:szCs w:val="36"/>
        </w:rPr>
      </w:pPr>
    </w:p>
    <w:p>
      <w:pPr>
        <w:pStyle w:val="31"/>
        <w:spacing w:line="460" w:lineRule="exact"/>
        <w:ind w:left="274" w:leftChars="114"/>
        <w:jc w:val="center"/>
        <w:rPr>
          <w:rFonts w:ascii="Times New Roman" w:hAnsi="Times New Roman" w:cs="Times New Roman"/>
          <w:bCs/>
          <w:sz w:val="36"/>
          <w:szCs w:val="36"/>
        </w:rPr>
      </w:pPr>
    </w:p>
    <w:p>
      <w:pPr>
        <w:pStyle w:val="31"/>
        <w:spacing w:line="460" w:lineRule="exact"/>
        <w:rPr>
          <w:rFonts w:ascii="Times New Roman" w:hAnsi="Times New Roman" w:cs="Times New Roman"/>
          <w:bCs/>
          <w:sz w:val="30"/>
          <w:szCs w:val="30"/>
        </w:rPr>
      </w:pPr>
    </w:p>
    <w:p>
      <w:pPr>
        <w:pStyle w:val="31"/>
        <w:spacing w:line="460" w:lineRule="exact"/>
        <w:rPr>
          <w:rFonts w:ascii="Times New Roman" w:hAnsi="Times New Roman" w:cs="Times New Roman"/>
          <w:bCs/>
          <w:sz w:val="30"/>
          <w:szCs w:val="30"/>
        </w:rPr>
      </w:pPr>
    </w:p>
    <w:p>
      <w:pPr>
        <w:pStyle w:val="31"/>
        <w:spacing w:line="360" w:lineRule="exact"/>
        <w:rPr>
          <w:rFonts w:ascii="Times New Roman" w:hAnsi="Times New Roman" w:cs="Times New Roman"/>
          <w:b/>
          <w:sz w:val="36"/>
          <w:szCs w:val="36"/>
        </w:rPr>
      </w:pPr>
    </w:p>
    <w:p>
      <w:pPr>
        <w:pStyle w:val="31"/>
        <w:widowControl w:val="0"/>
        <w:spacing w:line="264" w:lineRule="auto"/>
        <w:jc w:val="center"/>
        <w:rPr>
          <w:rFonts w:ascii="Times New Roman" w:hAnsi="Times New Roman" w:cs="Times New Roman"/>
          <w:b/>
          <w:sz w:val="36"/>
          <w:szCs w:val="36"/>
        </w:rPr>
      </w:pPr>
      <w:r>
        <w:rPr>
          <w:rFonts w:ascii="Times New Roman" w:hAnsi="Times New Roman" w:cs="Times New Roman"/>
          <w:b/>
          <w:sz w:val="36"/>
          <w:szCs w:val="36"/>
        </w:rPr>
        <w:t>义乌市政府采购项目投标承诺书</w:t>
      </w:r>
    </w:p>
    <w:p>
      <w:pPr>
        <w:pStyle w:val="31"/>
        <w:spacing w:line="360" w:lineRule="exact"/>
        <w:rPr>
          <w:rFonts w:ascii="Times New Roman" w:hAnsi="Times New Roman" w:cs="Times New Roman"/>
          <w:u w:val="single"/>
        </w:rPr>
      </w:pPr>
      <w:r>
        <w:rPr>
          <w:rFonts w:ascii="Times New Roman" w:hAnsi="Times New Roman" w:cs="Times New Roman"/>
        </w:rPr>
        <w:t>致：</w:t>
      </w:r>
      <w:r>
        <w:rPr>
          <w:rFonts w:ascii="Times New Roman" w:hAnsi="Times New Roman" w:cs="Times New Roman"/>
          <w:u w:val="single"/>
        </w:rPr>
        <w:t>采购人名称和代理机构名称</w:t>
      </w:r>
    </w:p>
    <w:p>
      <w:pPr>
        <w:tabs>
          <w:tab w:val="left" w:pos="8820"/>
        </w:tabs>
        <w:spacing w:line="360" w:lineRule="exact"/>
        <w:ind w:firstLine="420" w:firstLineChars="200"/>
        <w:rPr>
          <w:sz w:val="21"/>
          <w:szCs w:val="21"/>
        </w:rPr>
      </w:pPr>
      <w:r>
        <w:rPr>
          <w:sz w:val="21"/>
          <w:szCs w:val="21"/>
        </w:rPr>
        <w:t>1、我单位已认真阅读了</w:t>
      </w:r>
      <w:r>
        <w:rPr>
          <w:rFonts w:hint="eastAsia"/>
          <w:color w:val="FF0000"/>
          <w:sz w:val="21"/>
          <w:szCs w:val="21"/>
        </w:rPr>
        <w:t>义乌市数据管理中心网络安全全链路监管服务项目</w:t>
      </w:r>
      <w:r>
        <w:rPr>
          <w:color w:val="FF0000"/>
          <w:sz w:val="21"/>
          <w:szCs w:val="21"/>
        </w:rPr>
        <w:t>（采购编号：</w:t>
      </w:r>
      <w:r>
        <w:rPr>
          <w:rFonts w:hint="eastAsia"/>
          <w:color w:val="FF0000"/>
          <w:sz w:val="21"/>
          <w:szCs w:val="21"/>
        </w:rPr>
        <w:t>YWCG2022039GK</w:t>
      </w:r>
      <w:r>
        <w:rPr>
          <w:color w:val="FF0000"/>
          <w:sz w:val="21"/>
          <w:szCs w:val="21"/>
        </w:rPr>
        <w:t>）</w:t>
      </w:r>
      <w:r>
        <w:rPr>
          <w:sz w:val="21"/>
          <w:szCs w:val="21"/>
        </w:rPr>
        <w:t>招标文件、技术要求、图纸、招标补充（答疑）文件及相关资料，对其全部内容和要求有实质性了解，并对这些内容表示理解且无任何异议，接受其全部内容及要求，承诺我单位的投标文件已经完全响应并符合其全部条件和要求，愿意参加投标并愿意中标。</w:t>
      </w:r>
    </w:p>
    <w:p>
      <w:pPr>
        <w:tabs>
          <w:tab w:val="left" w:pos="8820"/>
        </w:tabs>
        <w:spacing w:line="360" w:lineRule="exact"/>
        <w:ind w:firstLine="420" w:firstLineChars="200"/>
        <w:rPr>
          <w:sz w:val="21"/>
          <w:szCs w:val="21"/>
        </w:rPr>
      </w:pPr>
      <w:r>
        <w:rPr>
          <w:sz w:val="21"/>
          <w:szCs w:val="21"/>
        </w:rPr>
        <w:t>2、自愿接受义乌市财政局的管理，并严格遵守义乌市财政局制定的招投标管理制度、规范和纪律。</w:t>
      </w:r>
    </w:p>
    <w:p>
      <w:pPr>
        <w:tabs>
          <w:tab w:val="left" w:pos="8820"/>
        </w:tabs>
        <w:spacing w:line="360" w:lineRule="exact"/>
        <w:ind w:firstLine="420" w:firstLineChars="200"/>
        <w:rPr>
          <w:sz w:val="21"/>
          <w:szCs w:val="21"/>
          <w:highlight w:val="yellow"/>
        </w:rPr>
      </w:pPr>
      <w:r>
        <w:rPr>
          <w:sz w:val="21"/>
          <w:szCs w:val="21"/>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如我单位中标，我单位承诺不转包</w:t>
      </w:r>
      <w:r>
        <w:rPr>
          <w:rFonts w:hint="eastAsia"/>
          <w:sz w:val="21"/>
          <w:szCs w:val="21"/>
          <w:lang w:eastAsia="zh-CN"/>
        </w:rPr>
        <w:t>和分包</w:t>
      </w:r>
      <w:r>
        <w:rPr>
          <w:sz w:val="21"/>
          <w:szCs w:val="21"/>
        </w:rPr>
        <w:t>该项目。</w:t>
      </w:r>
    </w:p>
    <w:p>
      <w:pPr>
        <w:tabs>
          <w:tab w:val="left" w:pos="8820"/>
        </w:tabs>
        <w:spacing w:line="360" w:lineRule="exact"/>
        <w:ind w:firstLine="420" w:firstLineChars="200"/>
        <w:rPr>
          <w:sz w:val="21"/>
          <w:szCs w:val="21"/>
        </w:rPr>
      </w:pPr>
      <w:r>
        <w:rPr>
          <w:sz w:val="21"/>
          <w:szCs w:val="21"/>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360" w:lineRule="exact"/>
        <w:ind w:firstLine="420" w:firstLineChars="200"/>
        <w:rPr>
          <w:sz w:val="21"/>
          <w:szCs w:val="21"/>
        </w:rPr>
      </w:pPr>
      <w:r>
        <w:rPr>
          <w:sz w:val="21"/>
          <w:szCs w:val="21"/>
        </w:rPr>
        <w:t>5、不转让、出借、涂改、伪造资质（资格）证书或者以其他方式允许其他单位（个人）以我单位（本人）名义承接业务。</w:t>
      </w:r>
    </w:p>
    <w:p>
      <w:pPr>
        <w:tabs>
          <w:tab w:val="left" w:pos="8820"/>
        </w:tabs>
        <w:spacing w:line="360" w:lineRule="exact"/>
        <w:ind w:firstLine="420" w:firstLineChars="200"/>
        <w:rPr>
          <w:sz w:val="21"/>
          <w:szCs w:val="21"/>
        </w:rPr>
      </w:pPr>
      <w:r>
        <w:rPr>
          <w:sz w:val="21"/>
          <w:szCs w:val="21"/>
        </w:rPr>
        <w:t>6、不与采购人或者其他投标人相互串通投标，围标，不以行贿等不正当手段谋取中标。</w:t>
      </w:r>
    </w:p>
    <w:p>
      <w:pPr>
        <w:tabs>
          <w:tab w:val="left" w:pos="8820"/>
        </w:tabs>
        <w:spacing w:line="360" w:lineRule="exact"/>
        <w:ind w:firstLine="420" w:firstLineChars="200"/>
        <w:rPr>
          <w:sz w:val="21"/>
          <w:szCs w:val="21"/>
        </w:rPr>
      </w:pPr>
      <w:r>
        <w:rPr>
          <w:sz w:val="21"/>
          <w:szCs w:val="21"/>
        </w:rPr>
        <w:t>7、在招标、投标、开标、评标、询标、中标、签订合同等招投标预备和进行的全过程中提供的资料均真实、有效，不弄虚作假。</w:t>
      </w:r>
    </w:p>
    <w:p>
      <w:pPr>
        <w:tabs>
          <w:tab w:val="left" w:pos="8820"/>
        </w:tabs>
        <w:spacing w:line="360" w:lineRule="exact"/>
        <w:ind w:firstLine="420" w:firstLineChars="200"/>
        <w:rPr>
          <w:sz w:val="21"/>
          <w:szCs w:val="21"/>
        </w:rPr>
      </w:pPr>
      <w:r>
        <w:rPr>
          <w:sz w:val="21"/>
          <w:szCs w:val="21"/>
        </w:rPr>
        <w:t>8、我单位已详细审核全部招标文件，包括更正文件(如果有的话)，及有关附件，我方同意放弃提出含糊不清或误解的权力。</w:t>
      </w:r>
    </w:p>
    <w:p>
      <w:pPr>
        <w:tabs>
          <w:tab w:val="left" w:pos="8820"/>
        </w:tabs>
        <w:spacing w:line="360" w:lineRule="exact"/>
        <w:ind w:firstLine="420" w:firstLineChars="200"/>
        <w:rPr>
          <w:sz w:val="21"/>
          <w:szCs w:val="21"/>
        </w:rPr>
      </w:pPr>
      <w:r>
        <w:rPr>
          <w:sz w:val="21"/>
          <w:szCs w:val="21"/>
        </w:rPr>
        <w:t>9.投标文件中未明确的内容一律按招标文件规定执行。</w:t>
      </w:r>
    </w:p>
    <w:p>
      <w:pPr>
        <w:tabs>
          <w:tab w:val="left" w:pos="8820"/>
        </w:tabs>
        <w:spacing w:line="360" w:lineRule="exact"/>
        <w:ind w:firstLine="420" w:firstLineChars="200"/>
        <w:rPr>
          <w:sz w:val="21"/>
          <w:szCs w:val="21"/>
        </w:rPr>
      </w:pPr>
      <w:r>
        <w:rPr>
          <w:sz w:val="21"/>
          <w:szCs w:val="21"/>
        </w:rPr>
        <w:t>10、我单位同意招标文件要求的投标有效期，如我方中标，我方将受此约束。</w:t>
      </w:r>
    </w:p>
    <w:p>
      <w:pPr>
        <w:tabs>
          <w:tab w:val="left" w:pos="8820"/>
        </w:tabs>
        <w:spacing w:line="360" w:lineRule="exact"/>
        <w:ind w:firstLine="420" w:firstLineChars="200"/>
        <w:rPr>
          <w:sz w:val="21"/>
          <w:szCs w:val="21"/>
        </w:rPr>
      </w:pPr>
      <w:r>
        <w:rPr>
          <w:sz w:val="21"/>
          <w:szCs w:val="21"/>
        </w:rPr>
        <w:t>11、我单位相信贵方的招标结果是公正、合法的，无论我单位中标还是落标，我方将接受这一结果。</w:t>
      </w:r>
    </w:p>
    <w:p>
      <w:pPr>
        <w:tabs>
          <w:tab w:val="left" w:pos="8820"/>
        </w:tabs>
        <w:spacing w:line="360" w:lineRule="exact"/>
        <w:ind w:firstLine="420" w:firstLineChars="200"/>
        <w:rPr>
          <w:sz w:val="21"/>
          <w:szCs w:val="21"/>
        </w:rPr>
      </w:pPr>
      <w:r>
        <w:rPr>
          <w:sz w:val="21"/>
          <w:szCs w:val="21"/>
        </w:rPr>
        <w:t>12、一旦我单位中标，我单位将严格依照招标文件和投标文件的规定与采购人签订合同。</w:t>
      </w:r>
    </w:p>
    <w:p>
      <w:pPr>
        <w:tabs>
          <w:tab w:val="left" w:pos="8820"/>
        </w:tabs>
        <w:spacing w:line="360" w:lineRule="exact"/>
        <w:ind w:firstLine="420" w:firstLineChars="200"/>
        <w:rPr>
          <w:sz w:val="21"/>
          <w:szCs w:val="21"/>
        </w:rPr>
      </w:pPr>
      <w:r>
        <w:rPr>
          <w:sz w:val="21"/>
          <w:szCs w:val="21"/>
        </w:rPr>
        <w:t>13、不低于企业成本价投标，不恶意过高报价，不扰乱招投标的正常秩序。</w:t>
      </w:r>
    </w:p>
    <w:p>
      <w:pPr>
        <w:tabs>
          <w:tab w:val="left" w:pos="8820"/>
        </w:tabs>
        <w:spacing w:line="360" w:lineRule="exact"/>
        <w:ind w:firstLine="420" w:firstLineChars="200"/>
        <w:rPr>
          <w:sz w:val="21"/>
          <w:szCs w:val="21"/>
        </w:rPr>
      </w:pPr>
      <w:r>
        <w:rPr>
          <w:sz w:val="21"/>
          <w:szCs w:val="21"/>
        </w:rPr>
        <w:t>14、严格遵守开标纪律，不在开标现场吵闹、滋事，服从工作人员指挥。</w:t>
      </w:r>
    </w:p>
    <w:p>
      <w:pPr>
        <w:tabs>
          <w:tab w:val="left" w:pos="8820"/>
        </w:tabs>
        <w:spacing w:line="360" w:lineRule="exact"/>
        <w:ind w:firstLine="420" w:firstLineChars="200"/>
        <w:rPr>
          <w:sz w:val="21"/>
          <w:szCs w:val="21"/>
        </w:rPr>
      </w:pPr>
      <w:r>
        <w:rPr>
          <w:sz w:val="21"/>
          <w:szCs w:val="21"/>
        </w:rPr>
        <w:t>15、按照法律法规和本项目招标文件规定的程序和方式进行异议和投诉，不越级投诉，不无理投诉。如捏造事实、伪造材料或者以非法手段取得材料进行投诉，给他人造成损失的，依法承担赔偿责任。</w:t>
      </w:r>
    </w:p>
    <w:p>
      <w:pPr>
        <w:spacing w:line="380" w:lineRule="exact"/>
        <w:ind w:firstLine="422" w:firstLineChars="200"/>
        <w:rPr>
          <w:sz w:val="21"/>
          <w:szCs w:val="21"/>
        </w:rPr>
      </w:pPr>
      <w:r>
        <w:rPr>
          <w:b/>
          <w:sz w:val="21"/>
          <w:szCs w:val="21"/>
        </w:rPr>
        <w:t>15、指定我单位人员(姓名: _____________ 身份证号码：___________联系电话：_____________)全权代表我方联系和协调处理投标过程中的有关事项。</w:t>
      </w:r>
    </w:p>
    <w:p>
      <w:pPr>
        <w:tabs>
          <w:tab w:val="left" w:pos="8820"/>
        </w:tabs>
        <w:spacing w:line="360" w:lineRule="exact"/>
        <w:ind w:firstLine="420" w:firstLineChars="200"/>
        <w:rPr>
          <w:sz w:val="21"/>
          <w:szCs w:val="21"/>
        </w:rPr>
      </w:pPr>
      <w:r>
        <w:rPr>
          <w:sz w:val="21"/>
          <w:szCs w:val="21"/>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pPr>
        <w:spacing w:line="360" w:lineRule="exact"/>
        <w:rPr>
          <w:sz w:val="21"/>
          <w:szCs w:val="21"/>
        </w:rPr>
      </w:pPr>
    </w:p>
    <w:p>
      <w:pPr>
        <w:spacing w:line="360" w:lineRule="exact"/>
        <w:rPr>
          <w:sz w:val="21"/>
          <w:szCs w:val="21"/>
        </w:rPr>
      </w:pPr>
      <w:r>
        <w:rPr>
          <w:sz w:val="21"/>
          <w:szCs w:val="21"/>
        </w:rPr>
        <w:t>投标人（电子签章）：                                  年  月  日</w:t>
      </w:r>
    </w:p>
    <w:p>
      <w:pPr>
        <w:widowControl w:val="0"/>
        <w:spacing w:line="264" w:lineRule="auto"/>
        <w:jc w:val="center"/>
        <w:rPr>
          <w:rFonts w:hint="eastAsia" w:eastAsiaTheme="minorEastAsia"/>
          <w:b/>
          <w:bCs/>
          <w:sz w:val="36"/>
          <w:szCs w:val="36"/>
          <w:lang w:val="zh-CN"/>
        </w:rPr>
      </w:pPr>
    </w:p>
    <w:p>
      <w:pPr>
        <w:widowControl w:val="0"/>
        <w:spacing w:line="264" w:lineRule="auto"/>
        <w:jc w:val="center"/>
        <w:rPr>
          <w:rFonts w:eastAsiaTheme="minorEastAsia"/>
          <w:b/>
          <w:bCs/>
          <w:sz w:val="36"/>
          <w:szCs w:val="36"/>
          <w:lang w:val="zh-CN"/>
        </w:rPr>
      </w:pPr>
      <w:r>
        <w:rPr>
          <w:rFonts w:hint="eastAsia" w:eastAsiaTheme="minorEastAsia"/>
          <w:b/>
          <w:bCs/>
          <w:sz w:val="36"/>
          <w:szCs w:val="36"/>
          <w:lang w:val="zh-CN"/>
        </w:rPr>
        <w:t>联合体协议</w:t>
      </w: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（以联合体形式投标的，提供联合协议；本项目不接受联合体投标或者投标人不以联合体形式投标的，则不需要提供）</w:t>
      </w:r>
    </w:p>
    <w:p>
      <w:pPr>
        <w:snapToGrid w:val="0"/>
        <w:spacing w:line="360" w:lineRule="auto"/>
        <w:ind w:firstLine="576"/>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u w:val="single"/>
        </w:rPr>
        <w:t>（联合体所有成员名称）</w:t>
      </w:r>
      <w:r>
        <w:rPr>
          <w:rFonts w:hint="default" w:ascii="Times New Roman" w:hAnsi="Times New Roman" w:eastAsia="宋体" w:cs="Times New Roman"/>
          <w:sz w:val="24"/>
          <w:szCs w:val="24"/>
        </w:rPr>
        <w:t>自愿</w:t>
      </w:r>
      <w:r>
        <w:rPr>
          <w:rFonts w:hint="default" w:ascii="Times New Roman" w:hAnsi="Times New Roman" w:eastAsia="宋体" w:cs="Times New Roman"/>
          <w:sz w:val="24"/>
          <w:szCs w:val="24"/>
          <w:lang w:val="zh-CN"/>
        </w:rPr>
        <w:t>组成一个联合体，以一个投标人的身份</w:t>
      </w:r>
      <w:r>
        <w:rPr>
          <w:rFonts w:hint="default" w:ascii="Times New Roman" w:hAnsi="Times New Roman" w:eastAsia="宋体" w:cs="Times New Roman"/>
          <w:sz w:val="24"/>
          <w:szCs w:val="24"/>
        </w:rPr>
        <w:t>参加（项目名称）【招标编号：（采购编号）】</w:t>
      </w:r>
      <w:r>
        <w:rPr>
          <w:rFonts w:hint="default" w:ascii="Times New Roman" w:hAnsi="Times New Roman" w:eastAsia="宋体" w:cs="Times New Roman"/>
          <w:sz w:val="24"/>
          <w:szCs w:val="24"/>
          <w:lang w:val="zh-CN"/>
        </w:rPr>
        <w:t xml:space="preserve">投标。 </w:t>
      </w:r>
    </w:p>
    <w:p>
      <w:pPr>
        <w:snapToGrid w:val="0"/>
        <w:spacing w:line="360" w:lineRule="auto"/>
        <w:ind w:firstLine="576"/>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一、各方一致决定，</w:t>
      </w:r>
      <w:r>
        <w:rPr>
          <w:rFonts w:hint="default" w:ascii="Times New Roman" w:hAnsi="Times New Roman" w:eastAsia="宋体" w:cs="Times New Roman"/>
          <w:sz w:val="24"/>
          <w:szCs w:val="24"/>
          <w:u w:val="single"/>
        </w:rPr>
        <w:t>（某联合体成员名称）</w:t>
      </w:r>
      <w:r>
        <w:rPr>
          <w:rFonts w:hint="default" w:ascii="Times New Roman" w:hAnsi="Times New Roman" w:eastAsia="宋体" w:cs="Times New Roman"/>
          <w:sz w:val="24"/>
          <w:szCs w:val="24"/>
        </w:rPr>
        <w:t>为联合体</w:t>
      </w:r>
      <w:r>
        <w:rPr>
          <w:rFonts w:hint="default" w:ascii="Times New Roman" w:hAnsi="Times New Roman" w:eastAsia="宋体" w:cs="Times New Roman"/>
          <w:sz w:val="24"/>
          <w:szCs w:val="24"/>
          <w:lang w:val="zh-CN"/>
        </w:rPr>
        <w:t>牵头人</w:t>
      </w:r>
      <w:r>
        <w:rPr>
          <w:rFonts w:hint="default" w:ascii="Times New Roman" w:hAnsi="Times New Roman" w:eastAsia="宋体" w:cs="Times New Roman"/>
          <w:sz w:val="24"/>
          <w:szCs w:val="24"/>
        </w:rPr>
        <w:t>，代表所有联合体成员负责投标和合同实施阶段的主办、协调工作</w:t>
      </w:r>
      <w:r>
        <w:rPr>
          <w:rFonts w:hint="default" w:ascii="Times New Roman" w:hAnsi="Times New Roman" w:eastAsia="宋体" w:cs="Times New Roman"/>
          <w:sz w:val="24"/>
          <w:szCs w:val="24"/>
          <w:lang w:val="zh-CN"/>
        </w:rPr>
        <w:t>。</w:t>
      </w:r>
    </w:p>
    <w:p>
      <w:pPr>
        <w:snapToGrid w:val="0"/>
        <w:spacing w:line="360" w:lineRule="auto"/>
        <w:ind w:firstLine="576"/>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二、</w:t>
      </w:r>
      <w:r>
        <w:rPr>
          <w:rFonts w:hint="default" w:ascii="Times New Roman" w:hAnsi="Times New Roman" w:eastAsia="宋体" w:cs="Times New Roman"/>
          <w:sz w:val="24"/>
          <w:szCs w:val="24"/>
        </w:rPr>
        <w:t>所有联合体成员各方签署授权书，授权书载明的</w:t>
      </w:r>
      <w:r>
        <w:rPr>
          <w:rFonts w:hint="default" w:ascii="Times New Roman" w:hAnsi="Times New Roman" w:eastAsia="宋体" w:cs="Times New Roman"/>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三、本次联合投标中，分工如下：</w:t>
      </w:r>
    </w:p>
    <w:p>
      <w:pPr>
        <w:snapToGrid w:val="0"/>
        <w:spacing w:line="360" w:lineRule="auto"/>
        <w:ind w:firstLine="576"/>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u w:val="single"/>
        </w:rPr>
        <w:t>（联合体其中一方成员名称）</w:t>
      </w:r>
      <w:r>
        <w:rPr>
          <w:rFonts w:hint="default" w:ascii="Times New Roman" w:hAnsi="Times New Roman" w:eastAsia="宋体" w:cs="Times New Roman"/>
          <w:sz w:val="24"/>
          <w:szCs w:val="24"/>
          <w:lang w:val="zh-CN"/>
        </w:rPr>
        <w:t>承担的工作和义务为：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lang w:val="zh-CN"/>
        </w:rPr>
        <w:t>；……。</w:t>
      </w:r>
    </w:p>
    <w:p>
      <w:pPr>
        <w:snapToGrid w:val="0"/>
        <w:spacing w:line="360" w:lineRule="auto"/>
        <w:ind w:firstLine="576"/>
        <w:rPr>
          <w:rFonts w:hint="default" w:ascii="Times New Roman" w:hAnsi="Times New Roman" w:eastAsia="宋体" w:cs="Times New Roman"/>
          <w:b/>
          <w:sz w:val="24"/>
          <w:szCs w:val="24"/>
          <w:highlight w:val="yellow"/>
          <w:lang w:val="zh-CN"/>
        </w:rPr>
      </w:pPr>
      <w:r>
        <w:rPr>
          <w:rFonts w:hint="default" w:ascii="Times New Roman" w:hAnsi="Times New Roman" w:eastAsia="宋体" w:cs="Times New Roman"/>
          <w:b w:val="0"/>
          <w:bCs w:val="0"/>
          <w:sz w:val="24"/>
          <w:szCs w:val="24"/>
          <w:highlight w:val="none"/>
          <w:lang w:val="zh-CN"/>
        </w:rPr>
        <w:t>四、</w:t>
      </w:r>
      <w:r>
        <w:rPr>
          <w:rFonts w:hint="default" w:ascii="Times New Roman" w:hAnsi="Times New Roman" w:eastAsia="宋体" w:cs="Times New Roman"/>
          <w:b w:val="0"/>
          <w:bCs w:val="0"/>
          <w:sz w:val="24"/>
          <w:szCs w:val="24"/>
          <w:highlight w:val="none"/>
          <w:u w:val="single"/>
        </w:rPr>
        <w:t>（联合体其中一方成员名称）</w:t>
      </w:r>
      <w:r>
        <w:rPr>
          <w:rFonts w:hint="default" w:ascii="Times New Roman" w:hAnsi="Times New Roman" w:eastAsia="宋体" w:cs="Times New Roman"/>
          <w:b w:val="0"/>
          <w:bCs w:val="0"/>
          <w:sz w:val="24"/>
          <w:szCs w:val="24"/>
          <w:highlight w:val="none"/>
        </w:rPr>
        <w:t>提供的全部货物由小微企业制造</w:t>
      </w:r>
      <w:r>
        <w:rPr>
          <w:rFonts w:hint="eastAsia" w:ascii="Times New Roman" w:hAnsi="Times New Roman" w:eastAsia="宋体" w:cs="Times New Roman"/>
          <w:b w:val="0"/>
          <w:bCs w:val="0"/>
          <w:sz w:val="24"/>
          <w:szCs w:val="24"/>
          <w:highlight w:val="none"/>
          <w:lang w:eastAsia="zh-CN"/>
        </w:rPr>
        <w:t>或</w:t>
      </w:r>
      <w:r>
        <w:rPr>
          <w:rFonts w:hint="default" w:ascii="Times New Roman" w:hAnsi="Times New Roman" w:eastAsia="宋体" w:cs="Times New Roman"/>
          <w:b w:val="0"/>
          <w:bCs w:val="0"/>
          <w:sz w:val="24"/>
          <w:szCs w:val="24"/>
          <w:highlight w:val="none"/>
        </w:rPr>
        <w:t>服务全部由符合政策要求的</w:t>
      </w:r>
      <w:r>
        <w:rPr>
          <w:rFonts w:hint="eastAsia" w:ascii="Times New Roman" w:hAnsi="Times New Roman" w:eastAsia="宋体" w:cs="Times New Roman"/>
          <w:b w:val="0"/>
          <w:bCs w:val="0"/>
          <w:sz w:val="24"/>
          <w:szCs w:val="24"/>
          <w:highlight w:val="none"/>
          <w:lang w:eastAsia="zh-CN"/>
        </w:rPr>
        <w:t>小微</w:t>
      </w:r>
      <w:r>
        <w:rPr>
          <w:rFonts w:hint="default" w:ascii="Times New Roman" w:hAnsi="Times New Roman" w:eastAsia="宋体" w:cs="Times New Roman"/>
          <w:b w:val="0"/>
          <w:bCs w:val="0"/>
          <w:sz w:val="24"/>
          <w:szCs w:val="24"/>
          <w:highlight w:val="none"/>
        </w:rPr>
        <w:t>企业承接，其合同份额占到合同总金额</w:t>
      </w:r>
      <w:r>
        <w:rPr>
          <w:rFonts w:hint="default" w:ascii="Times New Roman" w:hAnsi="Times New Roman" w:eastAsia="宋体" w:cs="Times New Roman"/>
          <w:b w:val="0"/>
          <w:bCs w:val="0"/>
          <w:sz w:val="24"/>
          <w:szCs w:val="24"/>
          <w:highlight w:val="none"/>
          <w:u w:val="single"/>
        </w:rPr>
        <w:t xml:space="preserve">     </w:t>
      </w:r>
      <w:r>
        <w:rPr>
          <w:rFonts w:hint="default" w:ascii="Times New Roman" w:hAnsi="Times New Roman" w:eastAsia="宋体" w:cs="Times New Roman"/>
          <w:b w:val="0"/>
          <w:bCs w:val="0"/>
          <w:sz w:val="24"/>
          <w:szCs w:val="24"/>
          <w:highlight w:val="none"/>
        </w:rPr>
        <w:t>%以上；</w:t>
      </w:r>
      <w:r>
        <w:rPr>
          <w:rFonts w:hint="default" w:ascii="Times New Roman" w:hAnsi="Times New Roman" w:eastAsia="宋体" w:cs="Times New Roman"/>
          <w:b w:val="0"/>
          <w:bCs w:val="0"/>
          <w:sz w:val="24"/>
          <w:szCs w:val="24"/>
          <w:highlight w:val="none"/>
          <w:lang w:val="zh-CN"/>
        </w:rPr>
        <w:t>……。（未预留份额专门面向中小企业采购的的采购项目，以及预留份额中的非预留部分采购包，接受联合体投标的，联合体其中一方提供的货物全部由小微企业制造</w:t>
      </w:r>
      <w:r>
        <w:rPr>
          <w:rFonts w:hint="eastAsia" w:ascii="Times New Roman" w:hAnsi="Times New Roman" w:eastAsia="宋体" w:cs="Times New Roman"/>
          <w:b w:val="0"/>
          <w:bCs w:val="0"/>
          <w:sz w:val="24"/>
          <w:szCs w:val="24"/>
          <w:highlight w:val="none"/>
          <w:lang w:val="zh-CN" w:eastAsia="zh-CN"/>
        </w:rPr>
        <w:t>或</w:t>
      </w:r>
      <w:r>
        <w:rPr>
          <w:rFonts w:hint="default" w:ascii="Times New Roman" w:hAnsi="Times New Roman" w:eastAsia="宋体" w:cs="Times New Roman"/>
          <w:b w:val="0"/>
          <w:bCs w:val="0"/>
          <w:sz w:val="24"/>
          <w:szCs w:val="24"/>
          <w:highlight w:val="none"/>
          <w:lang w:val="zh-CN"/>
        </w:rPr>
        <w:t>服务全部由符合政策要求的</w:t>
      </w:r>
      <w:r>
        <w:rPr>
          <w:rFonts w:hint="eastAsia" w:ascii="Times New Roman" w:hAnsi="Times New Roman" w:eastAsia="宋体" w:cs="Times New Roman"/>
          <w:b w:val="0"/>
          <w:bCs w:val="0"/>
          <w:sz w:val="24"/>
          <w:szCs w:val="24"/>
          <w:highlight w:val="none"/>
          <w:lang w:val="zh-CN" w:eastAsia="zh-CN"/>
        </w:rPr>
        <w:t>小微</w:t>
      </w:r>
      <w:r>
        <w:rPr>
          <w:rFonts w:hint="default" w:ascii="Times New Roman" w:hAnsi="Times New Roman" w:eastAsia="宋体" w:cs="Times New Roman"/>
          <w:b w:val="0"/>
          <w:bCs w:val="0"/>
          <w:sz w:val="24"/>
          <w:szCs w:val="24"/>
          <w:highlight w:val="none"/>
          <w:lang w:val="zh-CN"/>
        </w:rPr>
        <w:t>企业承接，且其合同份额占到合同总金额 30%以上，对联合体报价给予6%的扣除）</w:t>
      </w:r>
    </w:p>
    <w:p>
      <w:pPr>
        <w:snapToGrid w:val="0"/>
        <w:spacing w:line="360" w:lineRule="auto"/>
        <w:ind w:firstLine="576"/>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五、如果中标，</w:t>
      </w:r>
      <w:r>
        <w:rPr>
          <w:rFonts w:hint="default" w:ascii="Times New Roman" w:hAnsi="Times New Roman" w:eastAsia="宋体" w:cs="Times New Roman"/>
          <w:sz w:val="24"/>
          <w:szCs w:val="24"/>
        </w:rPr>
        <w:t>联合体各成员方共同与采购人签订合同，并就采购合同约定的事项对采购人承担连带责任。</w:t>
      </w:r>
    </w:p>
    <w:p>
      <w:pPr>
        <w:snapToGrid w:val="0"/>
        <w:spacing w:line="360" w:lineRule="auto"/>
        <w:ind w:firstLine="576"/>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六、有关本次联合投标的其他事宜：</w:t>
      </w:r>
    </w:p>
    <w:p>
      <w:pPr>
        <w:snapToGrid w:val="0"/>
        <w:spacing w:line="360" w:lineRule="auto"/>
        <w:ind w:firstLine="576"/>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1、联合体各方不再单独参加或者与其他供应商另外组成联合体参加同一合同项下的政府采购活动。</w:t>
      </w:r>
    </w:p>
    <w:p>
      <w:pPr>
        <w:snapToGrid w:val="0"/>
        <w:spacing w:line="360" w:lineRule="auto"/>
        <w:ind w:firstLine="576"/>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3、本协议提交采购人、采购机构后，联合体各方不得以任何形式对上述内容进行修改或撤销。</w:t>
      </w:r>
    </w:p>
    <w:p>
      <w:pPr>
        <w:snapToGrid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联合体成员名称(</w:t>
      </w:r>
      <w:r>
        <w:rPr>
          <w:rFonts w:hint="eastAsia" w:ascii="Times New Roman" w:hAnsi="Times New Roman" w:eastAsia="宋体" w:cs="Times New Roman"/>
          <w:sz w:val="24"/>
          <w:szCs w:val="24"/>
          <w:lang w:val="zh-CN"/>
        </w:rPr>
        <w:t>盖公章</w:t>
      </w:r>
      <w:r>
        <w:rPr>
          <w:rFonts w:hint="default" w:ascii="Times New Roman" w:hAnsi="Times New Roman" w:eastAsia="宋体" w:cs="Times New Roman"/>
          <w:sz w:val="24"/>
          <w:szCs w:val="24"/>
          <w:lang w:val="zh-CN"/>
        </w:rPr>
        <w: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zh-CN"/>
        </w:rPr>
        <w:t>联合体成员名称(</w:t>
      </w:r>
      <w:r>
        <w:rPr>
          <w:rFonts w:hint="eastAsia" w:ascii="Times New Roman" w:hAnsi="Times New Roman" w:eastAsia="宋体" w:cs="Times New Roman"/>
          <w:sz w:val="24"/>
          <w:szCs w:val="24"/>
          <w:lang w:val="zh-CN"/>
        </w:rPr>
        <w:t>盖公章</w:t>
      </w:r>
      <w:r>
        <w:rPr>
          <w:rFonts w:hint="default" w:ascii="Times New Roman" w:hAnsi="Times New Roman" w:eastAsia="宋体" w:cs="Times New Roman"/>
          <w:sz w:val="24"/>
          <w:szCs w:val="24"/>
          <w:lang w:val="zh-CN"/>
        </w:rPr>
        <w:t>)：</w:t>
      </w:r>
    </w:p>
    <w:p>
      <w:pPr>
        <w:snapToGrid w:val="0"/>
        <w:spacing w:line="360" w:lineRule="auto"/>
        <w:ind w:firstLine="5760" w:firstLineChars="24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w:t>
      </w:r>
    </w:p>
    <w:p>
      <w:pPr>
        <w:snapToGrid w:val="0"/>
        <w:spacing w:line="360" w:lineRule="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 xml:space="preserve">                                               日期：  年  月   日</w:t>
      </w:r>
    </w:p>
    <w:p>
      <w:pPr>
        <w:pStyle w:val="31"/>
        <w:widowControl w:val="0"/>
        <w:jc w:val="center"/>
        <w:rPr>
          <w:rFonts w:ascii="Times New Roman" w:hAnsi="Times New Roman" w:cs="Times New Roman"/>
          <w:b/>
          <w:bCs/>
          <w:sz w:val="36"/>
          <w:szCs w:val="36"/>
        </w:rPr>
      </w:pPr>
    </w:p>
    <w:p>
      <w:pPr>
        <w:pStyle w:val="31"/>
        <w:widowControl w:val="0"/>
        <w:jc w:val="center"/>
        <w:rPr>
          <w:rFonts w:ascii="Times New Roman" w:hAnsi="Times New Roman" w:cs="Times New Roman"/>
          <w:b/>
          <w:bCs/>
          <w:sz w:val="36"/>
          <w:szCs w:val="36"/>
        </w:rPr>
      </w:pPr>
      <w:r>
        <w:rPr>
          <w:rFonts w:ascii="Times New Roman" w:hAnsi="Times New Roman" w:cs="Times New Roman"/>
          <w:b/>
          <w:bCs/>
          <w:sz w:val="36"/>
          <w:szCs w:val="36"/>
        </w:rPr>
        <w:t>规范偏离表</w:t>
      </w:r>
    </w:p>
    <w:p>
      <w:pPr>
        <w:spacing w:line="360" w:lineRule="auto"/>
      </w:pPr>
      <w:r>
        <w:rPr>
          <w:sz w:val="21"/>
          <w:szCs w:val="21"/>
        </w:rPr>
        <w:t>采购编号：</w:t>
      </w:r>
      <w:r>
        <w:rPr>
          <w:rFonts w:hint="eastAsia" w:eastAsiaTheme="minorEastAsia"/>
          <w:color w:val="FF0000"/>
        </w:rPr>
        <w:t>YWCG20220</w:t>
      </w:r>
      <w:r>
        <w:rPr>
          <w:rFonts w:hint="eastAsia" w:eastAsiaTheme="minorEastAsia"/>
          <w:color w:val="FF0000"/>
          <w:lang w:val="en-US" w:eastAsia="zh-CN"/>
        </w:rPr>
        <w:t>39</w:t>
      </w:r>
      <w:r>
        <w:rPr>
          <w:rFonts w:hint="eastAsia" w:eastAsiaTheme="minorEastAsia"/>
          <w:color w:val="FF0000"/>
        </w:rPr>
        <w:t>GK</w:t>
      </w:r>
    </w:p>
    <w:tbl>
      <w:tblPr>
        <w:tblStyle w:val="5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10"/>
        <w:gridCol w:w="1430"/>
        <w:gridCol w:w="1984"/>
        <w:gridCol w:w="1843"/>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jc w:val="cente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r>
              <w:t>序号</w:t>
            </w:r>
          </w:p>
        </w:tc>
        <w:tc>
          <w:tcPr>
            <w:tcW w:w="143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pPr>
            <w:r>
              <w:t>招标文件</w:t>
            </w:r>
          </w:p>
          <w:p>
            <w:pPr>
              <w:jc w:val="center"/>
            </w:pPr>
            <w:r>
              <w:t>规范要求</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投标文件</w:t>
            </w:r>
          </w:p>
          <w:p>
            <w:pPr>
              <w:jc w:val="center"/>
            </w:pPr>
            <w:r>
              <w:t>对应规范</w:t>
            </w:r>
          </w:p>
        </w:tc>
        <w:tc>
          <w:tcPr>
            <w:tcW w:w="2948" w:type="dxa"/>
            <w:tcBorders>
              <w:top w:val="single" w:color="auto" w:sz="4" w:space="0"/>
              <w:left w:val="single" w:color="auto" w:sz="4" w:space="0"/>
              <w:bottom w:val="single" w:color="auto" w:sz="4" w:space="0"/>
              <w:right w:val="single" w:color="auto" w:sz="4" w:space="0"/>
            </w:tcBorders>
            <w:vAlign w:val="center"/>
          </w:tcPr>
          <w:p>
            <w:pPr>
              <w:jc w:val="center"/>
            </w:pPr>
            <w:r>
              <w:t>偏离情况</w:t>
            </w:r>
          </w:p>
          <w:p>
            <w:pPr>
              <w:jc w:val="center"/>
            </w:pPr>
            <w: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spacing w:line="360" w:lineRule="auto"/>
              <w:jc w:val="center"/>
            </w:pPr>
            <w:r>
              <w:t>商务偏离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r>
              <w:t>技术</w:t>
            </w:r>
          </w:p>
          <w:p>
            <w:r>
              <w:t>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tcPr>
          <w:p>
            <w:pPr>
              <w:spacing w:line="360" w:lineRule="auto"/>
              <w:jc w:val="center"/>
            </w:p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bottom w:val="single" w:color="auto" w:sz="4" w:space="0"/>
              <w:right w:val="single" w:color="auto" w:sz="4" w:space="0"/>
            </w:tcBorders>
            <w:vAlign w:val="center"/>
          </w:tcPr>
          <w:p/>
        </w:tc>
        <w:tc>
          <w:tcPr>
            <w:tcW w:w="810" w:type="dxa"/>
            <w:tcBorders>
              <w:top w:val="single" w:color="auto" w:sz="4" w:space="0"/>
              <w:left w:val="single" w:color="auto" w:sz="4" w:space="0"/>
              <w:bottom w:val="single" w:color="auto" w:sz="4" w:space="0"/>
              <w:right w:val="single" w:color="auto" w:sz="4" w:space="0"/>
            </w:tcBorders>
          </w:tcPr>
          <w:p>
            <w:pPr>
              <w:spacing w:line="360" w:lineRule="auto"/>
            </w:pPr>
          </w:p>
        </w:tc>
        <w:tc>
          <w:tcPr>
            <w:tcW w:w="1430" w:type="dxa"/>
            <w:tcBorders>
              <w:top w:val="single" w:color="auto" w:sz="4" w:space="0"/>
              <w:left w:val="single" w:color="auto" w:sz="4" w:space="0"/>
              <w:bottom w:val="single" w:color="auto" w:sz="4" w:space="0"/>
              <w:right w:val="single" w:color="auto" w:sz="4" w:space="0"/>
            </w:tcBorders>
          </w:tcPr>
          <w:p>
            <w:pPr>
              <w:spacing w:line="360" w:lineRule="auto"/>
            </w:pPr>
          </w:p>
        </w:tc>
        <w:tc>
          <w:tcPr>
            <w:tcW w:w="1984" w:type="dxa"/>
            <w:tcBorders>
              <w:top w:val="single" w:color="auto" w:sz="4" w:space="0"/>
              <w:left w:val="single" w:color="auto" w:sz="4" w:space="0"/>
              <w:bottom w:val="single" w:color="auto" w:sz="4" w:space="0"/>
              <w:right w:val="single" w:color="auto" w:sz="4" w:space="0"/>
            </w:tcBorders>
          </w:tcPr>
          <w:p>
            <w:pPr>
              <w:spacing w:line="360" w:lineRule="auto"/>
            </w:pPr>
          </w:p>
        </w:tc>
        <w:tc>
          <w:tcPr>
            <w:tcW w:w="1843" w:type="dxa"/>
            <w:tcBorders>
              <w:top w:val="single" w:color="auto" w:sz="4" w:space="0"/>
              <w:left w:val="single" w:color="auto" w:sz="4" w:space="0"/>
              <w:bottom w:val="single" w:color="auto" w:sz="4" w:space="0"/>
              <w:right w:val="single" w:color="auto" w:sz="4" w:space="0"/>
            </w:tcBorders>
          </w:tcPr>
          <w:p>
            <w:pPr>
              <w:spacing w:line="360" w:lineRule="auto"/>
            </w:pPr>
          </w:p>
        </w:tc>
        <w:tc>
          <w:tcPr>
            <w:tcW w:w="2948" w:type="dxa"/>
            <w:tcBorders>
              <w:top w:val="single" w:color="auto" w:sz="4" w:space="0"/>
              <w:left w:val="single" w:color="auto" w:sz="4" w:space="0"/>
              <w:bottom w:val="single" w:color="auto" w:sz="4" w:space="0"/>
              <w:right w:val="single" w:color="auto" w:sz="4" w:space="0"/>
            </w:tcBorders>
          </w:tcPr>
          <w:p>
            <w:pPr>
              <w:spacing w:line="360" w:lineRule="auto"/>
            </w:pPr>
          </w:p>
        </w:tc>
      </w:tr>
    </w:tbl>
    <w:p>
      <w:pPr>
        <w:pStyle w:val="31"/>
        <w:spacing w:line="460" w:lineRule="exact"/>
        <w:ind w:left="274" w:leftChars="114"/>
        <w:jc w:val="center"/>
        <w:rPr>
          <w:rFonts w:ascii="Times New Roman" w:hAnsi="Times New Roman" w:cs="Times New Roman"/>
          <w:sz w:val="24"/>
          <w:szCs w:val="24"/>
        </w:rPr>
      </w:pPr>
      <w:r>
        <w:rPr>
          <w:rFonts w:ascii="Times New Roman" w:hAnsi="Times New Roman" w:cs="Times New Roman"/>
          <w:sz w:val="24"/>
          <w:szCs w:val="24"/>
        </w:rPr>
        <w:t>投标人名称（电子签章）：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pPr>
        <w:pStyle w:val="31"/>
        <w:spacing w:line="460" w:lineRule="exact"/>
        <w:ind w:left="274" w:leftChars="114"/>
        <w:jc w:val="center"/>
        <w:rPr>
          <w:rFonts w:ascii="Times New Roman" w:hAnsi="Times New Roman" w:cs="Times New Roman"/>
          <w:kern w:val="0"/>
          <w:sz w:val="24"/>
          <w:szCs w:val="24"/>
        </w:rPr>
      </w:pPr>
      <w:r>
        <w:rPr>
          <w:rFonts w:ascii="Times New Roman" w:hAnsi="Times New Roman" w:cs="Times New Roman"/>
          <w:sz w:val="24"/>
          <w:szCs w:val="24"/>
        </w:rPr>
        <w:t>日 期：   年   月   日</w:t>
      </w:r>
    </w:p>
    <w:p>
      <w:pPr>
        <w:spacing w:line="400" w:lineRule="exact"/>
        <w:ind w:firstLine="480" w:firstLineChars="200"/>
      </w:pPr>
    </w:p>
    <w:p>
      <w:pPr>
        <w:spacing w:line="400" w:lineRule="exact"/>
        <w:ind w:firstLine="480" w:firstLineChars="200"/>
      </w:pPr>
      <w:r>
        <w:t>备注：1、投标人应仔细对第三章招标项目要求进行逐条分析，如投标内容与招标文件内容有不一致的，则须在上表中列明并详细填写。</w:t>
      </w:r>
    </w:p>
    <w:p>
      <w:pPr>
        <w:spacing w:line="400" w:lineRule="exact"/>
        <w:ind w:firstLine="480" w:firstLineChars="200"/>
      </w:pPr>
      <w:r>
        <w:t>2、如招标文件内容与投标文件内容都一致的，则本表可以在相关的盖章后，不需要填写其它内容或在“偏离情况详细说明”栏内只填写一个无字。</w:t>
      </w:r>
    </w:p>
    <w:p>
      <w:pPr>
        <w:spacing w:line="400" w:lineRule="exact"/>
        <w:ind w:firstLine="480" w:firstLineChars="200"/>
      </w:pPr>
      <w:r>
        <w:t>3、此表在不改变表式内容的情况下可自行制作。</w:t>
      </w:r>
    </w:p>
    <w:p>
      <w:pPr>
        <w:pStyle w:val="31"/>
        <w:spacing w:line="400" w:lineRule="exact"/>
        <w:rPr>
          <w:rFonts w:ascii="Times New Roman" w:hAnsi="Times New Roman" w:cs="Times New Roman"/>
          <w:bCs/>
          <w:sz w:val="28"/>
          <w:szCs w:val="28"/>
        </w:rPr>
      </w:pPr>
    </w:p>
    <w:p>
      <w:pPr>
        <w:jc w:val="center"/>
        <w:rPr>
          <w:b/>
          <w:bCs/>
          <w:sz w:val="36"/>
        </w:rPr>
      </w:pPr>
    </w:p>
    <w:p>
      <w:pPr>
        <w:jc w:val="center"/>
        <w:rPr>
          <w:b/>
          <w:bCs/>
          <w:sz w:val="36"/>
          <w:szCs w:val="36"/>
        </w:rPr>
      </w:pPr>
      <w:r>
        <w:rPr>
          <w:b/>
          <w:bCs/>
          <w:sz w:val="36"/>
        </w:rPr>
        <w:t>项目组成人员表</w:t>
      </w:r>
      <w:r>
        <w:rPr>
          <w:b/>
          <w:bCs/>
          <w:sz w:val="36"/>
          <w:szCs w:val="36"/>
        </w:rPr>
        <w:t>（格式）</w:t>
      </w:r>
    </w:p>
    <w:p>
      <w:pPr>
        <w:spacing w:line="400" w:lineRule="exact"/>
        <w:jc w:val="center"/>
        <w:rPr>
          <w:rFonts w:hint="eastAsia"/>
          <w:b/>
          <w:bCs/>
          <w:sz w:val="36"/>
          <w:szCs w:val="36"/>
          <w:lang w:eastAsia="zh-CN"/>
        </w:rPr>
      </w:pPr>
    </w:p>
    <w:p>
      <w:pPr>
        <w:spacing w:line="400" w:lineRule="exact"/>
        <w:jc w:val="center"/>
        <w:rPr>
          <w:b/>
          <w:bCs/>
          <w:sz w:val="36"/>
          <w:szCs w:val="36"/>
        </w:rPr>
      </w:pPr>
      <w:r>
        <w:rPr>
          <w:rFonts w:hint="eastAsia"/>
          <w:b/>
          <w:bCs/>
          <w:sz w:val="36"/>
          <w:szCs w:val="36"/>
          <w:lang w:eastAsia="zh-CN"/>
        </w:rPr>
        <w:t>项目经理</w:t>
      </w:r>
      <w:r>
        <w:rPr>
          <w:b/>
          <w:bCs/>
          <w:sz w:val="36"/>
          <w:szCs w:val="36"/>
        </w:rPr>
        <w:t>简历表</w:t>
      </w:r>
    </w:p>
    <w:p>
      <w:pPr>
        <w:rPr>
          <w:b/>
          <w:szCs w:val="21"/>
        </w:rPr>
      </w:pPr>
      <w:r>
        <w:rPr>
          <w:b/>
          <w:szCs w:val="21"/>
        </w:rPr>
        <w:t>投标人：（电子签章）_________________</w:t>
      </w:r>
      <w:r>
        <w:rPr>
          <w:rFonts w:hint="eastAsia"/>
          <w:b/>
          <w:szCs w:val="21"/>
          <w:lang w:val="en-US" w:eastAsia="zh-CN"/>
        </w:rPr>
        <w:t xml:space="preserve">             </w:t>
      </w:r>
      <w:r>
        <w:rPr>
          <w:sz w:val="24"/>
        </w:rPr>
        <w:t>采购编号：</w:t>
      </w:r>
      <w:r>
        <w:rPr>
          <w:rFonts w:hint="eastAsia" w:ascii="Times New Roman" w:hAnsi="Times New Roman" w:cs="Times New Roman"/>
          <w:color w:val="FF0000"/>
          <w:sz w:val="24"/>
        </w:rPr>
        <w:t>YWCG20220</w:t>
      </w:r>
      <w:r>
        <w:rPr>
          <w:rFonts w:hint="eastAsia" w:cs="Times New Roman"/>
          <w:color w:val="FF0000"/>
          <w:sz w:val="24"/>
          <w:lang w:val="en-US" w:eastAsia="zh-CN"/>
        </w:rPr>
        <w:t>39</w:t>
      </w:r>
      <w:r>
        <w:rPr>
          <w:rFonts w:hint="eastAsia" w:ascii="Times New Roman" w:hAnsi="Times New Roman" w:cs="Times New Roman"/>
          <w:color w:val="FF0000"/>
          <w:sz w:val="24"/>
        </w:rPr>
        <w:t>GK</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18"/>
        <w:gridCol w:w="1242"/>
        <w:gridCol w:w="231"/>
        <w:gridCol w:w="433"/>
        <w:gridCol w:w="702"/>
        <w:gridCol w:w="101"/>
        <w:gridCol w:w="577"/>
        <w:gridCol w:w="535"/>
        <w:gridCol w:w="127"/>
        <w:gridCol w:w="396"/>
        <w:gridCol w:w="566"/>
        <w:gridCol w:w="230"/>
        <w:gridCol w:w="584"/>
        <w:gridCol w:w="609"/>
        <w:gridCol w:w="51"/>
        <w:gridCol w:w="91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姓名</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性别</w:t>
            </w: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年龄</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ind w:right="-110" w:rightChars="-46"/>
              <w:jc w:val="center"/>
              <w:rPr>
                <w:szCs w:val="21"/>
              </w:rPr>
            </w:pPr>
            <w:r>
              <w:rPr>
                <w:szCs w:val="21"/>
              </w:rPr>
              <w:t>学历</w:t>
            </w:r>
          </w:p>
        </w:tc>
        <w:tc>
          <w:tcPr>
            <w:tcW w:w="56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职称</w:t>
            </w:r>
          </w:p>
        </w:tc>
        <w:tc>
          <w:tcPr>
            <w:tcW w:w="276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7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职务</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6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参加工作</w:t>
            </w:r>
          </w:p>
          <w:p>
            <w:pPr>
              <w:jc w:val="center"/>
              <w:rPr>
                <w:szCs w:val="21"/>
              </w:rPr>
            </w:pPr>
            <w:r>
              <w:rPr>
                <w:szCs w:val="21"/>
              </w:rPr>
              <w:t>时间</w:t>
            </w:r>
          </w:p>
        </w:tc>
        <w:tc>
          <w:tcPr>
            <w:tcW w:w="230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632"/>
              </w:tabs>
              <w:jc w:val="center"/>
              <w:rPr>
                <w:szCs w:val="21"/>
              </w:rPr>
            </w:pPr>
            <w:r>
              <w:rPr>
                <w:szCs w:val="21"/>
              </w:rPr>
              <w:t>年  月  日</w:t>
            </w:r>
          </w:p>
        </w:tc>
        <w:tc>
          <w:tcPr>
            <w:tcW w:w="147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从事类似</w:t>
            </w:r>
          </w:p>
          <w:p>
            <w:pPr>
              <w:jc w:val="center"/>
              <w:rPr>
                <w:szCs w:val="21"/>
              </w:rPr>
            </w:pPr>
            <w:r>
              <w:rPr>
                <w:szCs w:val="21"/>
              </w:rPr>
              <w:t>工作年限</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288"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近三年负责完成的类似主要项目情况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序号</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业主单位</w:t>
            </w: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项目名称</w:t>
            </w: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项目内容</w:t>
            </w:r>
          </w:p>
        </w:tc>
        <w:tc>
          <w:tcPr>
            <w:tcW w:w="11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lang w:eastAsia="zh-CN"/>
              </w:rPr>
              <w:t>项目金额</w:t>
            </w: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Cs w:val="21"/>
                <w:lang w:eastAsia="zh-CN"/>
              </w:rPr>
            </w:pPr>
            <w:r>
              <w:rPr>
                <w:szCs w:val="21"/>
              </w:rPr>
              <w:t>委托日期</w:t>
            </w:r>
          </w:p>
        </w:tc>
        <w:tc>
          <w:tcPr>
            <w:tcW w:w="966" w:type="dxa"/>
            <w:gridSpan w:val="2"/>
            <w:tcBorders>
              <w:top w:val="single" w:color="auto" w:sz="4" w:space="0"/>
              <w:left w:val="single" w:color="auto" w:sz="4" w:space="0"/>
              <w:right w:val="single" w:color="auto" w:sz="4" w:space="0"/>
            </w:tcBorders>
            <w:noWrap w:val="0"/>
            <w:vAlign w:val="center"/>
          </w:tcPr>
          <w:p>
            <w:pPr>
              <w:jc w:val="center"/>
              <w:rPr>
                <w:szCs w:val="21"/>
              </w:rPr>
            </w:pPr>
            <w:r>
              <w:rPr>
                <w:szCs w:val="21"/>
              </w:rPr>
              <w:t>联系人</w:t>
            </w:r>
          </w:p>
        </w:tc>
        <w:tc>
          <w:tcPr>
            <w:tcW w:w="1194" w:type="dxa"/>
            <w:tcBorders>
              <w:top w:val="single" w:color="auto" w:sz="4" w:space="0"/>
              <w:left w:val="single" w:color="auto" w:sz="4" w:space="0"/>
              <w:right w:val="single" w:color="auto" w:sz="4" w:space="0"/>
            </w:tcBorders>
            <w:noWrap w:val="0"/>
            <w:vAlign w:val="center"/>
          </w:tcPr>
          <w:p>
            <w:pPr>
              <w:jc w:val="center"/>
              <w:rPr>
                <w:szCs w:val="21"/>
              </w:rPr>
            </w:pPr>
            <w:r>
              <w:rPr>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92" w:type="dxa"/>
            <w:gridSpan w:val="3"/>
            <w:tcBorders>
              <w:top w:val="single" w:color="auto" w:sz="4" w:space="0"/>
              <w:left w:val="single" w:color="auto" w:sz="4" w:space="0"/>
              <w:right w:val="single" w:color="auto" w:sz="4" w:space="0"/>
            </w:tcBorders>
            <w:noWrap w:val="0"/>
            <w:vAlign w:val="center"/>
          </w:tcPr>
          <w:p>
            <w:pPr>
              <w:jc w:val="center"/>
              <w:rPr>
                <w:szCs w:val="21"/>
              </w:rPr>
            </w:pPr>
          </w:p>
        </w:tc>
        <w:tc>
          <w:tcPr>
            <w:tcW w:w="1193" w:type="dxa"/>
            <w:gridSpan w:val="2"/>
            <w:tcBorders>
              <w:top w:val="single" w:color="auto" w:sz="4" w:space="0"/>
              <w:left w:val="single" w:color="auto" w:sz="4" w:space="0"/>
              <w:right w:val="single" w:color="auto" w:sz="4" w:space="0"/>
            </w:tcBorders>
            <w:noWrap w:val="0"/>
            <w:vAlign w:val="center"/>
          </w:tcPr>
          <w:p>
            <w:pPr>
              <w:jc w:val="center"/>
              <w:rPr>
                <w:szCs w:val="21"/>
              </w:rPr>
            </w:pPr>
          </w:p>
        </w:tc>
        <w:tc>
          <w:tcPr>
            <w:tcW w:w="966" w:type="dxa"/>
            <w:gridSpan w:val="2"/>
            <w:tcBorders>
              <w:left w:val="single" w:color="auto" w:sz="4" w:space="0"/>
              <w:right w:val="single" w:color="auto" w:sz="4" w:space="0"/>
            </w:tcBorders>
            <w:noWrap w:val="0"/>
            <w:vAlign w:val="center"/>
          </w:tcPr>
          <w:p>
            <w:pPr>
              <w:jc w:val="center"/>
              <w:rPr>
                <w:szCs w:val="21"/>
              </w:rPr>
            </w:pPr>
          </w:p>
        </w:tc>
        <w:tc>
          <w:tcPr>
            <w:tcW w:w="1194" w:type="dxa"/>
            <w:tcBorders>
              <w:left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2</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92" w:type="dxa"/>
            <w:gridSpan w:val="3"/>
            <w:tcBorders>
              <w:left w:val="single" w:color="auto" w:sz="4" w:space="0"/>
              <w:right w:val="single" w:color="auto" w:sz="4" w:space="0"/>
            </w:tcBorders>
            <w:noWrap w:val="0"/>
            <w:vAlign w:val="center"/>
          </w:tcPr>
          <w:p>
            <w:pPr>
              <w:jc w:val="center"/>
              <w:rPr>
                <w:szCs w:val="21"/>
              </w:rPr>
            </w:pPr>
          </w:p>
        </w:tc>
        <w:tc>
          <w:tcPr>
            <w:tcW w:w="1193" w:type="dxa"/>
            <w:gridSpan w:val="2"/>
            <w:tcBorders>
              <w:left w:val="single" w:color="auto" w:sz="4" w:space="0"/>
              <w:right w:val="single" w:color="auto" w:sz="4" w:space="0"/>
            </w:tcBorders>
            <w:noWrap w:val="0"/>
            <w:vAlign w:val="center"/>
          </w:tcPr>
          <w:p>
            <w:pPr>
              <w:jc w:val="center"/>
              <w:rPr>
                <w:szCs w:val="21"/>
              </w:rPr>
            </w:pPr>
          </w:p>
        </w:tc>
        <w:tc>
          <w:tcPr>
            <w:tcW w:w="966" w:type="dxa"/>
            <w:gridSpan w:val="2"/>
            <w:tcBorders>
              <w:left w:val="single" w:color="auto" w:sz="4" w:space="0"/>
              <w:right w:val="single" w:color="auto" w:sz="4" w:space="0"/>
            </w:tcBorders>
            <w:noWrap w:val="0"/>
            <w:vAlign w:val="center"/>
          </w:tcPr>
          <w:p>
            <w:pPr>
              <w:jc w:val="center"/>
              <w:rPr>
                <w:szCs w:val="21"/>
              </w:rPr>
            </w:pPr>
          </w:p>
        </w:tc>
        <w:tc>
          <w:tcPr>
            <w:tcW w:w="1194" w:type="dxa"/>
            <w:tcBorders>
              <w:left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3</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92" w:type="dxa"/>
            <w:gridSpan w:val="3"/>
            <w:tcBorders>
              <w:left w:val="single" w:color="auto" w:sz="4" w:space="0"/>
              <w:bottom w:val="single" w:color="auto" w:sz="4" w:space="0"/>
              <w:right w:val="single" w:color="auto" w:sz="4" w:space="0"/>
            </w:tcBorders>
            <w:noWrap w:val="0"/>
            <w:vAlign w:val="center"/>
          </w:tcPr>
          <w:p>
            <w:pPr>
              <w:jc w:val="center"/>
              <w:rPr>
                <w:szCs w:val="21"/>
              </w:rPr>
            </w:pPr>
          </w:p>
        </w:tc>
        <w:tc>
          <w:tcPr>
            <w:tcW w:w="1193" w:type="dxa"/>
            <w:gridSpan w:val="2"/>
            <w:tcBorders>
              <w:left w:val="single" w:color="auto" w:sz="4" w:space="0"/>
              <w:bottom w:val="single" w:color="auto" w:sz="4" w:space="0"/>
              <w:right w:val="single" w:color="auto" w:sz="4" w:space="0"/>
            </w:tcBorders>
            <w:noWrap w:val="0"/>
            <w:vAlign w:val="center"/>
          </w:tcPr>
          <w:p>
            <w:pPr>
              <w:jc w:val="center"/>
              <w:rPr>
                <w:szCs w:val="21"/>
              </w:rPr>
            </w:pPr>
          </w:p>
        </w:tc>
        <w:tc>
          <w:tcPr>
            <w:tcW w:w="966" w:type="dxa"/>
            <w:gridSpan w:val="2"/>
            <w:tcBorders>
              <w:left w:val="single" w:color="auto" w:sz="4" w:space="0"/>
              <w:right w:val="single" w:color="auto" w:sz="4" w:space="0"/>
            </w:tcBorders>
            <w:noWrap w:val="0"/>
            <w:vAlign w:val="center"/>
          </w:tcPr>
          <w:p>
            <w:pPr>
              <w:jc w:val="center"/>
              <w:rPr>
                <w:szCs w:val="21"/>
              </w:rPr>
            </w:pPr>
          </w:p>
        </w:tc>
        <w:tc>
          <w:tcPr>
            <w:tcW w:w="1194" w:type="dxa"/>
            <w:tcBorders>
              <w:left w:val="single" w:color="auto" w:sz="4" w:space="0"/>
              <w:right w:val="single" w:color="auto" w:sz="4" w:space="0"/>
            </w:tcBorders>
            <w:noWrap w:val="0"/>
            <w:vAlign w:val="center"/>
          </w:tcPr>
          <w:p>
            <w:pPr>
              <w:jc w:val="center"/>
              <w:rPr>
                <w:szCs w:val="21"/>
              </w:rPr>
            </w:pPr>
          </w:p>
        </w:tc>
      </w:tr>
    </w:tbl>
    <w:p>
      <w:pPr>
        <w:pStyle w:val="31"/>
        <w:rPr>
          <w:rFonts w:ascii="Times New Roman" w:hAnsi="Times New Roman" w:cs="Times New Roman"/>
          <w:b/>
        </w:rPr>
      </w:pPr>
      <w:r>
        <w:rPr>
          <w:rFonts w:ascii="Times New Roman" w:hAnsi="Times New Roman" w:cs="Times New Roman"/>
          <w:b/>
        </w:rPr>
        <w:t>注：1.如有技术等级或职称证书，需将证书扫描件附于表后；</w:t>
      </w:r>
    </w:p>
    <w:p>
      <w:pPr>
        <w:pStyle w:val="31"/>
        <w:rPr>
          <w:rFonts w:ascii="Times New Roman" w:hAnsi="Times New Roman" w:cs="Times New Roman"/>
          <w:b/>
        </w:rPr>
      </w:pPr>
      <w:r>
        <w:rPr>
          <w:rFonts w:ascii="Times New Roman" w:hAnsi="Times New Roman" w:cs="Times New Roman"/>
          <w:b/>
        </w:rPr>
        <w:t xml:space="preserve">    2.在投标文件中需提供相关证书扫描件和个人社保缴费清单（社保缴费清单要求是持证人员近三个月的在投标单位</w:t>
      </w:r>
      <w:r>
        <w:rPr>
          <w:rFonts w:hint="eastAsia" w:ascii="Times New Roman" w:hAnsi="Times New Roman" w:cs="Times New Roman"/>
          <w:b/>
          <w:lang w:eastAsia="zh-CN"/>
        </w:rPr>
        <w:t>缴纳</w:t>
      </w:r>
      <w:r>
        <w:rPr>
          <w:rFonts w:ascii="Times New Roman" w:hAnsi="Times New Roman" w:cs="Times New Roman"/>
          <w:b/>
        </w:rPr>
        <w:t>的个人社保缴费清单，如投标单位新成立不足三个月的，按实际缴纳情况提供持证人员在该单位的社保缴费清单，社保缴费清单需加盖缴费当地社保机构公章或业务章。近三个月指的是从202</w:t>
      </w:r>
      <w:r>
        <w:rPr>
          <w:rFonts w:hint="eastAsia" w:ascii="Times New Roman" w:hAnsi="Times New Roman" w:cs="Times New Roman"/>
          <w:b/>
        </w:rPr>
        <w:t>2</w:t>
      </w:r>
      <w:r>
        <w:rPr>
          <w:rFonts w:ascii="Times New Roman" w:hAnsi="Times New Roman" w:cs="Times New Roman"/>
          <w:b/>
        </w:rPr>
        <w:t>年</w:t>
      </w:r>
      <w:r>
        <w:rPr>
          <w:rFonts w:hint="eastAsia" w:ascii="Times New Roman" w:hAnsi="Times New Roman" w:cs="Times New Roman"/>
          <w:b/>
          <w:lang w:val="en-US" w:eastAsia="zh-CN"/>
        </w:rPr>
        <w:t>5</w:t>
      </w:r>
      <w:r>
        <w:rPr>
          <w:rFonts w:ascii="Times New Roman" w:hAnsi="Times New Roman" w:cs="Times New Roman"/>
          <w:b/>
        </w:rPr>
        <w:t>月01日至投标截止时止期间中任何一个连续3个月）。</w:t>
      </w:r>
    </w:p>
    <w:p>
      <w:pPr>
        <w:pStyle w:val="31"/>
        <w:ind w:firstLine="422" w:firstLineChars="200"/>
        <w:rPr>
          <w:rFonts w:hint="eastAsia"/>
          <w:lang w:eastAsia="zh-CN"/>
        </w:rPr>
      </w:pPr>
      <w:r>
        <w:rPr>
          <w:rFonts w:ascii="Times New Roman" w:hAnsi="Times New Roman" w:cs="Times New Roman"/>
          <w:b/>
        </w:rPr>
        <w:t>3.此表在不改变格式内容的情况下，可自行制作。</w:t>
      </w:r>
    </w:p>
    <w:p>
      <w:pPr>
        <w:pStyle w:val="2"/>
        <w:rPr>
          <w:rFonts w:hint="eastAsia" w:ascii="Times New Roman" w:hAnsi="Times New Roman" w:cs="Times New Roman"/>
          <w:lang w:eastAsia="zh-CN"/>
        </w:rPr>
      </w:pPr>
    </w:p>
    <w:p>
      <w:pPr>
        <w:pStyle w:val="2"/>
        <w:rPr>
          <w:rFonts w:hint="eastAsia" w:ascii="Times New Roman" w:hAnsi="Times New Roman" w:cs="Times New Roman"/>
          <w:lang w:eastAsia="zh-CN"/>
        </w:rPr>
      </w:pPr>
    </w:p>
    <w:p>
      <w:pPr>
        <w:pStyle w:val="2"/>
        <w:rPr>
          <w:rFonts w:hint="eastAsia" w:ascii="Times New Roman" w:hAnsi="Times New Roman" w:cs="Times New Roman"/>
          <w:lang w:eastAsia="zh-CN"/>
        </w:rPr>
      </w:pPr>
    </w:p>
    <w:p>
      <w:pPr>
        <w:pStyle w:val="2"/>
        <w:rPr>
          <w:rFonts w:hint="eastAsia" w:ascii="Times New Roman" w:hAnsi="Times New Roman" w:cs="Times New Roman"/>
          <w:lang w:eastAsia="zh-CN"/>
        </w:rPr>
      </w:pPr>
    </w:p>
    <w:p>
      <w:pPr>
        <w:pStyle w:val="2"/>
        <w:rPr>
          <w:rFonts w:hint="eastAsia" w:ascii="Times New Roman" w:hAnsi="Times New Roman" w:cs="Times New Roman"/>
          <w:lang w:eastAsia="zh-CN"/>
        </w:rPr>
      </w:pPr>
    </w:p>
    <w:p>
      <w:pPr>
        <w:pStyle w:val="2"/>
        <w:rPr>
          <w:rFonts w:hint="eastAsia" w:ascii="Times New Roman" w:hAnsi="Times New Roman" w:cs="Times New Roman"/>
          <w:lang w:eastAsia="zh-CN"/>
        </w:rPr>
      </w:pPr>
    </w:p>
    <w:p>
      <w:pPr>
        <w:spacing w:line="400" w:lineRule="exact"/>
        <w:jc w:val="center"/>
        <w:rPr>
          <w:b/>
          <w:bCs/>
          <w:sz w:val="36"/>
          <w:szCs w:val="36"/>
        </w:rPr>
      </w:pPr>
      <w:r>
        <w:rPr>
          <w:rFonts w:hint="eastAsia"/>
          <w:b/>
          <w:bCs/>
          <w:sz w:val="36"/>
          <w:szCs w:val="36"/>
          <w:lang w:eastAsia="zh-CN"/>
        </w:rPr>
        <w:t>技术负责人</w:t>
      </w:r>
      <w:r>
        <w:rPr>
          <w:b/>
          <w:bCs/>
          <w:sz w:val="36"/>
          <w:szCs w:val="36"/>
        </w:rPr>
        <w:t>简历表</w:t>
      </w:r>
    </w:p>
    <w:p>
      <w:pPr>
        <w:rPr>
          <w:b/>
          <w:szCs w:val="21"/>
        </w:rPr>
      </w:pPr>
      <w:r>
        <w:rPr>
          <w:b/>
          <w:szCs w:val="21"/>
        </w:rPr>
        <w:t>投标人：（电子签章）_________________</w:t>
      </w:r>
      <w:r>
        <w:rPr>
          <w:rFonts w:hint="eastAsia"/>
          <w:b/>
          <w:szCs w:val="21"/>
          <w:lang w:val="en-US" w:eastAsia="zh-CN"/>
        </w:rPr>
        <w:t xml:space="preserve">             </w:t>
      </w:r>
      <w:r>
        <w:rPr>
          <w:sz w:val="24"/>
        </w:rPr>
        <w:t>采购编号：</w:t>
      </w:r>
      <w:r>
        <w:rPr>
          <w:rFonts w:hint="eastAsia" w:ascii="Times New Roman" w:hAnsi="Times New Roman" w:cs="Times New Roman"/>
          <w:color w:val="FF0000"/>
          <w:sz w:val="24"/>
        </w:rPr>
        <w:t>YWCG20220</w:t>
      </w:r>
      <w:r>
        <w:rPr>
          <w:rFonts w:hint="eastAsia" w:cs="Times New Roman"/>
          <w:color w:val="FF0000"/>
          <w:sz w:val="24"/>
          <w:lang w:val="en-US" w:eastAsia="zh-CN"/>
        </w:rPr>
        <w:t>39</w:t>
      </w:r>
      <w:r>
        <w:rPr>
          <w:rFonts w:hint="eastAsia" w:ascii="Times New Roman" w:hAnsi="Times New Roman" w:cs="Times New Roman"/>
          <w:color w:val="FF0000"/>
          <w:sz w:val="24"/>
        </w:rPr>
        <w:t>GK</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18"/>
        <w:gridCol w:w="1242"/>
        <w:gridCol w:w="231"/>
        <w:gridCol w:w="433"/>
        <w:gridCol w:w="702"/>
        <w:gridCol w:w="101"/>
        <w:gridCol w:w="577"/>
        <w:gridCol w:w="535"/>
        <w:gridCol w:w="127"/>
        <w:gridCol w:w="396"/>
        <w:gridCol w:w="566"/>
        <w:gridCol w:w="230"/>
        <w:gridCol w:w="584"/>
        <w:gridCol w:w="609"/>
        <w:gridCol w:w="51"/>
        <w:gridCol w:w="91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姓名</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性别</w:t>
            </w: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6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年龄</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ind w:right="-110" w:rightChars="-46"/>
              <w:jc w:val="center"/>
              <w:rPr>
                <w:szCs w:val="21"/>
              </w:rPr>
            </w:pPr>
            <w:r>
              <w:rPr>
                <w:szCs w:val="21"/>
              </w:rPr>
              <w:t>学历</w:t>
            </w:r>
          </w:p>
        </w:tc>
        <w:tc>
          <w:tcPr>
            <w:tcW w:w="56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职称</w:t>
            </w:r>
          </w:p>
        </w:tc>
        <w:tc>
          <w:tcPr>
            <w:tcW w:w="276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7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职务</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6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参加工作</w:t>
            </w:r>
          </w:p>
          <w:p>
            <w:pPr>
              <w:jc w:val="center"/>
              <w:rPr>
                <w:szCs w:val="21"/>
              </w:rPr>
            </w:pPr>
            <w:r>
              <w:rPr>
                <w:szCs w:val="21"/>
              </w:rPr>
              <w:t>时间</w:t>
            </w:r>
          </w:p>
        </w:tc>
        <w:tc>
          <w:tcPr>
            <w:tcW w:w="230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632"/>
              </w:tabs>
              <w:jc w:val="center"/>
              <w:rPr>
                <w:szCs w:val="21"/>
              </w:rPr>
            </w:pPr>
            <w:r>
              <w:rPr>
                <w:szCs w:val="21"/>
              </w:rPr>
              <w:t>年  月  日</w:t>
            </w:r>
          </w:p>
        </w:tc>
        <w:tc>
          <w:tcPr>
            <w:tcW w:w="147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从事类似</w:t>
            </w:r>
          </w:p>
          <w:p>
            <w:pPr>
              <w:jc w:val="center"/>
              <w:rPr>
                <w:szCs w:val="21"/>
              </w:rPr>
            </w:pPr>
            <w:r>
              <w:rPr>
                <w:szCs w:val="21"/>
              </w:rPr>
              <w:t>工作年限</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288"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近三年负责完成的类似主要项目情况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序号</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业主单位</w:t>
            </w: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项目名称</w:t>
            </w: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项目内容</w:t>
            </w:r>
          </w:p>
        </w:tc>
        <w:tc>
          <w:tcPr>
            <w:tcW w:w="1192" w:type="dxa"/>
            <w:gridSpan w:val="3"/>
            <w:tcBorders>
              <w:top w:val="single" w:color="auto" w:sz="4" w:space="0"/>
              <w:left w:val="single" w:color="auto" w:sz="4" w:space="0"/>
              <w:right w:val="single" w:color="auto" w:sz="4" w:space="0"/>
            </w:tcBorders>
            <w:noWrap w:val="0"/>
            <w:vAlign w:val="center"/>
          </w:tcPr>
          <w:p>
            <w:pPr>
              <w:jc w:val="center"/>
              <w:rPr>
                <w:szCs w:val="21"/>
              </w:rPr>
            </w:pPr>
            <w:r>
              <w:rPr>
                <w:rFonts w:hint="eastAsia"/>
                <w:szCs w:val="21"/>
                <w:lang w:eastAsia="zh-CN"/>
              </w:rPr>
              <w:t>项目金额</w:t>
            </w:r>
          </w:p>
        </w:tc>
        <w:tc>
          <w:tcPr>
            <w:tcW w:w="1193" w:type="dxa"/>
            <w:gridSpan w:val="2"/>
            <w:tcBorders>
              <w:top w:val="single" w:color="auto" w:sz="4" w:space="0"/>
              <w:left w:val="single" w:color="auto" w:sz="4" w:space="0"/>
              <w:right w:val="single" w:color="auto" w:sz="4" w:space="0"/>
            </w:tcBorders>
            <w:noWrap w:val="0"/>
            <w:vAlign w:val="center"/>
          </w:tcPr>
          <w:p>
            <w:pPr>
              <w:jc w:val="center"/>
              <w:rPr>
                <w:szCs w:val="21"/>
              </w:rPr>
            </w:pPr>
            <w:r>
              <w:rPr>
                <w:szCs w:val="21"/>
              </w:rPr>
              <w:t>委托日期</w:t>
            </w:r>
          </w:p>
        </w:tc>
        <w:tc>
          <w:tcPr>
            <w:tcW w:w="966" w:type="dxa"/>
            <w:gridSpan w:val="2"/>
            <w:tcBorders>
              <w:top w:val="single" w:color="auto" w:sz="4" w:space="0"/>
              <w:left w:val="single" w:color="auto" w:sz="4" w:space="0"/>
              <w:right w:val="single" w:color="auto" w:sz="4" w:space="0"/>
            </w:tcBorders>
            <w:noWrap w:val="0"/>
            <w:vAlign w:val="center"/>
          </w:tcPr>
          <w:p>
            <w:pPr>
              <w:jc w:val="center"/>
              <w:rPr>
                <w:szCs w:val="21"/>
              </w:rPr>
            </w:pPr>
            <w:r>
              <w:rPr>
                <w:szCs w:val="21"/>
              </w:rPr>
              <w:t>联系人</w:t>
            </w:r>
          </w:p>
        </w:tc>
        <w:tc>
          <w:tcPr>
            <w:tcW w:w="1194" w:type="dxa"/>
            <w:tcBorders>
              <w:top w:val="single" w:color="auto" w:sz="4" w:space="0"/>
              <w:left w:val="single" w:color="auto" w:sz="4" w:space="0"/>
              <w:right w:val="single" w:color="auto" w:sz="4" w:space="0"/>
            </w:tcBorders>
            <w:noWrap w:val="0"/>
            <w:vAlign w:val="center"/>
          </w:tcPr>
          <w:p>
            <w:pPr>
              <w:jc w:val="center"/>
              <w:rPr>
                <w:szCs w:val="21"/>
              </w:rPr>
            </w:pPr>
            <w:r>
              <w:rPr>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385" w:type="dxa"/>
            <w:gridSpan w:val="5"/>
            <w:tcBorders>
              <w:left w:val="single" w:color="auto" w:sz="4" w:space="0"/>
              <w:right w:val="single" w:color="auto" w:sz="4" w:space="0"/>
            </w:tcBorders>
            <w:noWrap w:val="0"/>
            <w:vAlign w:val="center"/>
          </w:tcPr>
          <w:p>
            <w:pPr>
              <w:jc w:val="center"/>
              <w:rPr>
                <w:szCs w:val="21"/>
              </w:rPr>
            </w:pPr>
          </w:p>
        </w:tc>
        <w:tc>
          <w:tcPr>
            <w:tcW w:w="966" w:type="dxa"/>
            <w:gridSpan w:val="2"/>
            <w:tcBorders>
              <w:left w:val="single" w:color="auto" w:sz="4" w:space="0"/>
              <w:right w:val="single" w:color="auto" w:sz="4" w:space="0"/>
            </w:tcBorders>
            <w:noWrap w:val="0"/>
            <w:vAlign w:val="center"/>
          </w:tcPr>
          <w:p>
            <w:pPr>
              <w:jc w:val="center"/>
              <w:rPr>
                <w:szCs w:val="21"/>
              </w:rPr>
            </w:pPr>
          </w:p>
        </w:tc>
        <w:tc>
          <w:tcPr>
            <w:tcW w:w="1194" w:type="dxa"/>
            <w:tcBorders>
              <w:left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2</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385" w:type="dxa"/>
            <w:gridSpan w:val="5"/>
            <w:tcBorders>
              <w:left w:val="single" w:color="auto" w:sz="4" w:space="0"/>
              <w:right w:val="single" w:color="auto" w:sz="4" w:space="0"/>
            </w:tcBorders>
            <w:noWrap w:val="0"/>
            <w:vAlign w:val="center"/>
          </w:tcPr>
          <w:p>
            <w:pPr>
              <w:jc w:val="center"/>
              <w:rPr>
                <w:szCs w:val="21"/>
              </w:rPr>
            </w:pPr>
          </w:p>
        </w:tc>
        <w:tc>
          <w:tcPr>
            <w:tcW w:w="966" w:type="dxa"/>
            <w:gridSpan w:val="2"/>
            <w:tcBorders>
              <w:left w:val="single" w:color="auto" w:sz="4" w:space="0"/>
              <w:right w:val="single" w:color="auto" w:sz="4" w:space="0"/>
            </w:tcBorders>
            <w:noWrap w:val="0"/>
            <w:vAlign w:val="center"/>
          </w:tcPr>
          <w:p>
            <w:pPr>
              <w:jc w:val="center"/>
              <w:rPr>
                <w:szCs w:val="21"/>
              </w:rPr>
            </w:pPr>
          </w:p>
        </w:tc>
        <w:tc>
          <w:tcPr>
            <w:tcW w:w="1194" w:type="dxa"/>
            <w:tcBorders>
              <w:left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3</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385" w:type="dxa"/>
            <w:gridSpan w:val="5"/>
            <w:tcBorders>
              <w:left w:val="single" w:color="auto" w:sz="4" w:space="0"/>
              <w:bottom w:val="single" w:color="auto" w:sz="4" w:space="0"/>
              <w:right w:val="single" w:color="auto" w:sz="4" w:space="0"/>
            </w:tcBorders>
            <w:noWrap w:val="0"/>
            <w:vAlign w:val="center"/>
          </w:tcPr>
          <w:p>
            <w:pPr>
              <w:jc w:val="center"/>
              <w:rPr>
                <w:szCs w:val="21"/>
              </w:rPr>
            </w:pPr>
          </w:p>
        </w:tc>
        <w:tc>
          <w:tcPr>
            <w:tcW w:w="966" w:type="dxa"/>
            <w:gridSpan w:val="2"/>
            <w:tcBorders>
              <w:left w:val="single" w:color="auto" w:sz="4" w:space="0"/>
              <w:right w:val="single" w:color="auto" w:sz="4" w:space="0"/>
            </w:tcBorders>
            <w:noWrap w:val="0"/>
            <w:vAlign w:val="center"/>
          </w:tcPr>
          <w:p>
            <w:pPr>
              <w:jc w:val="center"/>
              <w:rPr>
                <w:szCs w:val="21"/>
              </w:rPr>
            </w:pPr>
          </w:p>
        </w:tc>
        <w:tc>
          <w:tcPr>
            <w:tcW w:w="1194" w:type="dxa"/>
            <w:tcBorders>
              <w:left w:val="single" w:color="auto" w:sz="4" w:space="0"/>
              <w:right w:val="single" w:color="auto" w:sz="4" w:space="0"/>
            </w:tcBorders>
            <w:noWrap w:val="0"/>
            <w:vAlign w:val="center"/>
          </w:tcPr>
          <w:p>
            <w:pPr>
              <w:jc w:val="center"/>
              <w:rPr>
                <w:szCs w:val="21"/>
              </w:rPr>
            </w:pPr>
          </w:p>
        </w:tc>
      </w:tr>
    </w:tbl>
    <w:p>
      <w:pPr>
        <w:pStyle w:val="31"/>
        <w:rPr>
          <w:rFonts w:ascii="Times New Roman" w:hAnsi="Times New Roman" w:cs="Times New Roman"/>
          <w:b/>
        </w:rPr>
      </w:pPr>
      <w:r>
        <w:rPr>
          <w:rFonts w:ascii="Times New Roman" w:hAnsi="Times New Roman" w:cs="Times New Roman"/>
          <w:b/>
        </w:rPr>
        <w:t>注：1.如有技术等级或职称证书，需将证书扫描件附于表后；</w:t>
      </w:r>
    </w:p>
    <w:p>
      <w:pPr>
        <w:pStyle w:val="31"/>
        <w:rPr>
          <w:rFonts w:ascii="Times New Roman" w:hAnsi="Times New Roman" w:cs="Times New Roman"/>
          <w:b/>
        </w:rPr>
      </w:pPr>
      <w:r>
        <w:rPr>
          <w:rFonts w:ascii="Times New Roman" w:hAnsi="Times New Roman" w:cs="Times New Roman"/>
          <w:b/>
        </w:rPr>
        <w:t xml:space="preserve">    2.在投标文件中需提供相关证书扫描件和个人社保缴费清单（社保缴费清单要求是持证人员近三个月的在投标单位</w:t>
      </w:r>
      <w:r>
        <w:rPr>
          <w:rFonts w:hint="eastAsia" w:ascii="Times New Roman" w:hAnsi="Times New Roman" w:cs="Times New Roman"/>
          <w:b/>
          <w:lang w:eastAsia="zh-CN"/>
        </w:rPr>
        <w:t>缴纳</w:t>
      </w:r>
      <w:r>
        <w:rPr>
          <w:rFonts w:ascii="Times New Roman" w:hAnsi="Times New Roman" w:cs="Times New Roman"/>
          <w:b/>
        </w:rPr>
        <w:t>的个人社保缴费清单，如投标单位新成立不足三个月的，按实际缴纳情况提供持证人员在该单位的社保缴费清单，社保缴费清单需加盖缴费当地社保机构公章或业务章。近三个月指的是从202</w:t>
      </w:r>
      <w:r>
        <w:rPr>
          <w:rFonts w:hint="eastAsia" w:ascii="Times New Roman" w:hAnsi="Times New Roman" w:cs="Times New Roman"/>
          <w:b/>
        </w:rPr>
        <w:t>2</w:t>
      </w:r>
      <w:r>
        <w:rPr>
          <w:rFonts w:ascii="Times New Roman" w:hAnsi="Times New Roman" w:cs="Times New Roman"/>
          <w:b/>
        </w:rPr>
        <w:t>年</w:t>
      </w:r>
      <w:r>
        <w:rPr>
          <w:rFonts w:hint="eastAsia" w:ascii="Times New Roman" w:hAnsi="Times New Roman" w:cs="Times New Roman"/>
          <w:b/>
          <w:lang w:val="en-US" w:eastAsia="zh-CN"/>
        </w:rPr>
        <w:t>5</w:t>
      </w:r>
      <w:r>
        <w:rPr>
          <w:rFonts w:ascii="Times New Roman" w:hAnsi="Times New Roman" w:cs="Times New Roman"/>
          <w:b/>
        </w:rPr>
        <w:t>月01日至投标截止时止期间中任何一个连续3个月）。</w:t>
      </w:r>
    </w:p>
    <w:p>
      <w:pPr>
        <w:pStyle w:val="31"/>
        <w:ind w:firstLine="422" w:firstLineChars="200"/>
        <w:rPr>
          <w:rFonts w:ascii="Times New Roman" w:hAnsi="Times New Roman" w:cs="Times New Roman"/>
          <w:b/>
        </w:rPr>
      </w:pPr>
      <w:r>
        <w:rPr>
          <w:rFonts w:ascii="Times New Roman" w:hAnsi="Times New Roman" w:cs="Times New Roman"/>
          <w:b/>
        </w:rPr>
        <w:t>3.此表在不改变格式内容的情况下，可自行制作。</w: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spacing w:line="400" w:lineRule="exact"/>
        <w:jc w:val="center"/>
        <w:rPr>
          <w:b/>
          <w:bCs/>
          <w:sz w:val="36"/>
          <w:szCs w:val="36"/>
          <w:highlight w:val="none"/>
        </w:rPr>
      </w:pPr>
      <w:r>
        <w:rPr>
          <w:b/>
          <w:bCs/>
          <w:sz w:val="36"/>
          <w:szCs w:val="36"/>
          <w:highlight w:val="none"/>
        </w:rPr>
        <w:t>项目组成主要成员表</w:t>
      </w:r>
    </w:p>
    <w:p>
      <w:pPr>
        <w:rPr>
          <w:szCs w:val="21"/>
          <w:highlight w:val="none"/>
        </w:rPr>
      </w:pPr>
      <w:r>
        <w:rPr>
          <w:b/>
          <w:szCs w:val="21"/>
          <w:highlight w:val="none"/>
        </w:rPr>
        <w:t>投标人：（电子签章）_________________</w:t>
      </w:r>
      <w:r>
        <w:rPr>
          <w:rFonts w:hint="eastAsia"/>
          <w:b/>
          <w:szCs w:val="21"/>
          <w:highlight w:val="none"/>
          <w:lang w:val="en-US" w:eastAsia="zh-CN"/>
        </w:rPr>
        <w:t xml:space="preserve">             </w:t>
      </w:r>
      <w:r>
        <w:rPr>
          <w:sz w:val="24"/>
          <w:highlight w:val="none"/>
        </w:rPr>
        <w:t>采购编号：</w:t>
      </w:r>
      <w:r>
        <w:rPr>
          <w:rFonts w:hint="eastAsia" w:ascii="Times New Roman" w:hAnsi="Times New Roman" w:cs="Times New Roman"/>
          <w:color w:val="FF0000"/>
          <w:sz w:val="24"/>
          <w:szCs w:val="20"/>
          <w:highlight w:val="none"/>
        </w:rPr>
        <w:t>YWCG20220</w:t>
      </w:r>
      <w:r>
        <w:rPr>
          <w:rFonts w:hint="eastAsia" w:cs="Times New Roman"/>
          <w:color w:val="FF0000"/>
          <w:sz w:val="24"/>
          <w:szCs w:val="20"/>
          <w:highlight w:val="none"/>
          <w:lang w:val="en-US" w:eastAsia="zh-CN"/>
        </w:rPr>
        <w:t>39</w:t>
      </w:r>
      <w:r>
        <w:rPr>
          <w:rFonts w:hint="eastAsia" w:ascii="Times New Roman" w:hAnsi="Times New Roman" w:cs="Times New Roman"/>
          <w:color w:val="FF0000"/>
          <w:sz w:val="24"/>
          <w:szCs w:val="20"/>
          <w:highlight w:val="none"/>
        </w:rPr>
        <w:t>GK</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2"/>
        <w:gridCol w:w="933"/>
        <w:gridCol w:w="1313"/>
        <w:gridCol w:w="945"/>
        <w:gridCol w:w="1773"/>
        <w:gridCol w:w="151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序号</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姓名</w:t>
            </w: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性别</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技术等级或职称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岗位</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从事该岗位时间</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highlight w:val="none"/>
              </w:rPr>
            </w:pPr>
            <w:r>
              <w:rPr>
                <w:b/>
                <w:szCs w:val="21"/>
                <w:highlight w:val="none"/>
              </w:rPr>
              <w:t>从事过类似主要项目</w:t>
            </w:r>
          </w:p>
        </w:tc>
        <w:tc>
          <w:tcPr>
            <w:tcW w:w="880" w:type="dxa"/>
            <w:tcBorders>
              <w:top w:val="single" w:color="auto" w:sz="4" w:space="0"/>
              <w:left w:val="single" w:color="auto" w:sz="4" w:space="0"/>
              <w:bottom w:val="single" w:color="auto" w:sz="4" w:space="0"/>
              <w:right w:val="single" w:color="auto" w:sz="4" w:space="0"/>
            </w:tcBorders>
            <w:noWrap w:val="0"/>
            <w:vAlign w:val="center"/>
          </w:tcPr>
          <w:p>
            <w:pPr>
              <w:tabs>
                <w:tab w:val="left" w:pos="510"/>
              </w:tabs>
              <w:jc w:val="center"/>
              <w:rPr>
                <w:b/>
                <w:szCs w:val="21"/>
                <w:highlight w:val="none"/>
              </w:rPr>
            </w:pPr>
            <w:r>
              <w:rPr>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880" w:type="dxa"/>
            <w:vMerge w:val="restart"/>
            <w:tcBorders>
              <w:top w:val="single" w:color="auto" w:sz="4" w:space="0"/>
              <w:left w:val="single" w:color="auto" w:sz="4" w:space="0"/>
              <w:right w:val="single" w:color="auto" w:sz="4" w:space="0"/>
            </w:tcBorders>
            <w:noWrap w:val="0"/>
            <w:vAlign w:val="center"/>
          </w:tcPr>
          <w:p>
            <w:pPr>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880" w:type="dxa"/>
            <w:vMerge w:val="continue"/>
            <w:tcBorders>
              <w:left w:val="single" w:color="auto" w:sz="4" w:space="0"/>
              <w:right w:val="single" w:color="auto" w:sz="4" w:space="0"/>
            </w:tcBorders>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880" w:type="dxa"/>
            <w:vMerge w:val="continue"/>
            <w:tcBorders>
              <w:left w:val="single" w:color="auto" w:sz="4" w:space="0"/>
              <w:right w:val="single" w:color="auto" w:sz="4" w:space="0"/>
            </w:tcBorders>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p>
        </w:tc>
        <w:tc>
          <w:tcPr>
            <w:tcW w:w="880" w:type="dxa"/>
            <w:vMerge w:val="continue"/>
            <w:tcBorders>
              <w:left w:val="single" w:color="auto" w:sz="4" w:space="0"/>
              <w:right w:val="single" w:color="auto" w:sz="4" w:space="0"/>
            </w:tcBorders>
            <w:noWrap w:val="0"/>
            <w:vAlign w:val="center"/>
          </w:tcPr>
          <w:p>
            <w:pPr>
              <w:jc w:val="center"/>
              <w:rPr>
                <w:szCs w:val="21"/>
                <w:highlight w:val="none"/>
              </w:rPr>
            </w:pPr>
          </w:p>
        </w:tc>
      </w:tr>
    </w:tbl>
    <w:p>
      <w:pPr>
        <w:pStyle w:val="31"/>
        <w:wordWrap w:val="0"/>
        <w:ind w:firstLine="422" w:firstLineChars="200"/>
        <w:rPr>
          <w:rFonts w:ascii="Times New Roman" w:hAnsi="Times New Roman" w:cs="Times New Roman"/>
          <w:b/>
          <w:highlight w:val="none"/>
        </w:rPr>
      </w:pPr>
      <w:r>
        <w:rPr>
          <w:rFonts w:ascii="Times New Roman" w:hAnsi="Times New Roman" w:cs="Times New Roman"/>
          <w:b/>
          <w:highlight w:val="none"/>
        </w:rPr>
        <w:t>注：1.如有技术等级或职称证书，需将证书扫描件附于表后；</w:t>
      </w:r>
    </w:p>
    <w:p>
      <w:pPr>
        <w:pStyle w:val="31"/>
        <w:wordWrap w:val="0"/>
        <w:ind w:firstLine="422" w:firstLineChars="200"/>
        <w:rPr>
          <w:rFonts w:ascii="Times New Roman" w:hAnsi="Times New Roman" w:cs="Times New Roman"/>
          <w:b/>
        </w:rPr>
      </w:pPr>
      <w:r>
        <w:rPr>
          <w:rFonts w:ascii="Times New Roman" w:hAnsi="Times New Roman" w:cs="Times New Roman"/>
          <w:b/>
          <w:highlight w:val="none"/>
        </w:rPr>
        <w:t>2.在投标文件中需提供相关证书扫描件和个人社保缴费清单（社保缴费清单要求是持证人员近三个月的在投标单位</w:t>
      </w:r>
      <w:r>
        <w:rPr>
          <w:rFonts w:hint="eastAsia" w:ascii="Times New Roman" w:hAnsi="Times New Roman" w:cs="Times New Roman"/>
          <w:b/>
          <w:highlight w:val="none"/>
          <w:lang w:eastAsia="zh-CN"/>
        </w:rPr>
        <w:t>缴纳</w:t>
      </w:r>
      <w:r>
        <w:rPr>
          <w:rFonts w:ascii="Times New Roman" w:hAnsi="Times New Roman" w:cs="Times New Roman"/>
          <w:b/>
          <w:highlight w:val="none"/>
        </w:rPr>
        <w:t>的个人社保缴费清单，如投标单位新成立不足三个月的，按实际缴纳情况提供持证人员在该单位的社保缴费清单，社保缴费清单需加盖缴费当地社保机构公章或业务章。近三个月指的是从202</w:t>
      </w:r>
      <w:r>
        <w:rPr>
          <w:rFonts w:hint="eastAsia" w:ascii="Times New Roman" w:hAnsi="Times New Roman" w:cs="Times New Roman"/>
          <w:b/>
          <w:highlight w:val="none"/>
        </w:rPr>
        <w:t>2</w:t>
      </w:r>
      <w:r>
        <w:rPr>
          <w:rFonts w:ascii="Times New Roman" w:hAnsi="Times New Roman" w:cs="Times New Roman"/>
          <w:b/>
          <w:highlight w:val="none"/>
        </w:rPr>
        <w:t>年</w:t>
      </w:r>
      <w:r>
        <w:rPr>
          <w:rFonts w:hint="eastAsia" w:ascii="Times New Roman" w:hAnsi="Times New Roman" w:cs="Times New Roman"/>
          <w:b/>
          <w:highlight w:val="none"/>
          <w:lang w:val="en-US" w:eastAsia="zh-CN"/>
        </w:rPr>
        <w:t>5</w:t>
      </w:r>
      <w:r>
        <w:rPr>
          <w:rFonts w:ascii="Times New Roman" w:hAnsi="Times New Roman" w:cs="Times New Roman"/>
          <w:b/>
          <w:highlight w:val="none"/>
        </w:rPr>
        <w:t>月01日至投标截止时止期间中任何一个连续3个月）。</w:t>
      </w:r>
    </w:p>
    <w:p>
      <w:pPr>
        <w:pStyle w:val="31"/>
        <w:wordWrap w:val="0"/>
        <w:ind w:firstLine="422" w:firstLineChars="200"/>
        <w:rPr>
          <w:rFonts w:hint="eastAsia" w:ascii="Times New Roman" w:hAnsi="Times New Roman" w:eastAsia="宋体" w:cs="Times New Roman"/>
          <w:b/>
          <w:lang w:val="en-US" w:eastAsia="zh-CN"/>
        </w:rPr>
      </w:pPr>
      <w:r>
        <w:rPr>
          <w:rFonts w:ascii="Times New Roman" w:hAnsi="Times New Roman" w:cs="Times New Roman"/>
          <w:b/>
        </w:rPr>
        <w:t>3.“从事过类主要项目”栏中注明每个参与的项目名称、内容、金额、参与项目的时间、业主联系人、联系人的联系电话、手机等内容</w:t>
      </w:r>
      <w:r>
        <w:rPr>
          <w:rFonts w:hint="eastAsia" w:ascii="Times New Roman" w:hAnsi="Times New Roman" w:cs="Times New Roman"/>
          <w:b/>
          <w:lang w:eastAsia="zh-CN"/>
        </w:rPr>
        <w:t>。</w:t>
      </w:r>
    </w:p>
    <w:p>
      <w:pPr>
        <w:pStyle w:val="31"/>
        <w:wordWrap w:val="0"/>
        <w:ind w:firstLine="422" w:firstLineChars="200"/>
        <w:rPr>
          <w:rFonts w:ascii="Times New Roman" w:hAnsi="Times New Roman" w:cs="Times New Roman"/>
          <w:b/>
        </w:rPr>
      </w:pPr>
      <w:r>
        <w:rPr>
          <w:rFonts w:ascii="Times New Roman" w:hAnsi="Times New Roman" w:cs="Times New Roman"/>
          <w:b/>
        </w:rPr>
        <w:t>4.此表在不改变格式内容的情况下，可自行制作。</w:t>
      </w:r>
    </w:p>
    <w:p>
      <w:pPr>
        <w:pStyle w:val="2"/>
        <w:ind w:left="0" w:leftChars="0" w:firstLine="0" w:firstLineChars="0"/>
      </w:pPr>
    </w:p>
    <w:p>
      <w:pPr>
        <w:pStyle w:val="2"/>
        <w:ind w:left="0" w:leftChars="0" w:firstLine="0" w:firstLineChars="0"/>
        <w:rPr>
          <w:highlight w:val="yellow"/>
        </w:rPr>
      </w:pPr>
    </w:p>
    <w:p>
      <w:pPr>
        <w:pStyle w:val="2"/>
        <w:ind w:left="480" w:firstLine="480"/>
      </w:pPr>
    </w:p>
    <w:p>
      <w:pPr>
        <w:pStyle w:val="2"/>
        <w:ind w:left="480" w:firstLine="480"/>
      </w:pPr>
    </w:p>
    <w:p>
      <w:pPr>
        <w:pStyle w:val="31"/>
        <w:widowControl w:val="0"/>
        <w:jc w:val="center"/>
        <w:rPr>
          <w:rFonts w:ascii="Times New Roman" w:hAnsi="Times New Roman" w:cs="Times New Roman"/>
          <w:b/>
          <w:bCs/>
          <w:sz w:val="36"/>
          <w:szCs w:val="36"/>
        </w:rPr>
      </w:pPr>
    </w:p>
    <w:p>
      <w:pPr>
        <w:pStyle w:val="31"/>
        <w:widowControl w:val="0"/>
        <w:jc w:val="center"/>
        <w:rPr>
          <w:rFonts w:ascii="Times New Roman" w:hAnsi="Times New Roman" w:cs="Times New Roman"/>
          <w:b/>
          <w:bCs/>
          <w:sz w:val="36"/>
          <w:szCs w:val="36"/>
        </w:rPr>
      </w:pPr>
      <w:r>
        <w:rPr>
          <w:rFonts w:ascii="Times New Roman" w:hAnsi="Times New Roman" w:cs="Times New Roman"/>
          <w:b/>
          <w:bCs/>
          <w:sz w:val="36"/>
          <w:szCs w:val="36"/>
        </w:rPr>
        <w:t>开标一览表</w:t>
      </w:r>
    </w:p>
    <w:p>
      <w:pPr>
        <w:spacing w:line="360" w:lineRule="auto"/>
        <w:rPr>
          <w:rFonts w:hint="eastAsia"/>
          <w:color w:val="FF0000"/>
          <w:szCs w:val="21"/>
        </w:rPr>
      </w:pPr>
      <w:r>
        <w:rPr>
          <w:color w:val="FF0000"/>
        </w:rPr>
        <w:t>项目名称：</w:t>
      </w:r>
      <w:r>
        <w:rPr>
          <w:rFonts w:hint="eastAsia"/>
          <w:color w:val="FF0000"/>
          <w:szCs w:val="21"/>
        </w:rPr>
        <w:t>义乌市数据管理中心网络安全全链路监管服务项目</w:t>
      </w:r>
    </w:p>
    <w:p>
      <w:pPr>
        <w:spacing w:line="360" w:lineRule="auto"/>
        <w:rPr>
          <w:color w:val="FF0000"/>
        </w:rPr>
      </w:pPr>
      <w:r>
        <w:rPr>
          <w:color w:val="FF0000"/>
        </w:rPr>
        <w:t>采购编号：</w:t>
      </w:r>
      <w:r>
        <w:rPr>
          <w:rFonts w:hint="eastAsia"/>
          <w:color w:val="FF0000"/>
          <w:szCs w:val="21"/>
        </w:rPr>
        <w:t>YWCG2022039GK</w:t>
      </w:r>
    </w:p>
    <w:tbl>
      <w:tblPr>
        <w:tblStyle w:val="57"/>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383"/>
        <w:gridCol w:w="765"/>
        <w:gridCol w:w="975"/>
        <w:gridCol w:w="171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10" w:type="dxa"/>
            <w:noWrap/>
            <w:vAlign w:val="center"/>
          </w:tcPr>
          <w:p>
            <w:pPr>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序号</w:t>
            </w:r>
          </w:p>
        </w:tc>
        <w:tc>
          <w:tcPr>
            <w:tcW w:w="3383" w:type="dxa"/>
            <w:noWrap/>
            <w:vAlign w:val="center"/>
          </w:tcPr>
          <w:p>
            <w:pPr>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运维服务内容</w:t>
            </w:r>
          </w:p>
        </w:tc>
        <w:tc>
          <w:tcPr>
            <w:tcW w:w="765" w:type="dxa"/>
            <w:noWrap/>
            <w:vAlign w:val="center"/>
          </w:tcPr>
          <w:p>
            <w:pPr>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单位</w:t>
            </w:r>
          </w:p>
        </w:tc>
        <w:tc>
          <w:tcPr>
            <w:tcW w:w="975" w:type="dxa"/>
            <w:noWrap/>
            <w:vAlign w:val="center"/>
          </w:tcPr>
          <w:p>
            <w:pPr>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数量</w:t>
            </w:r>
          </w:p>
        </w:tc>
        <w:tc>
          <w:tcPr>
            <w:tcW w:w="1710" w:type="dxa"/>
            <w:noWrap/>
            <w:vAlign w:val="center"/>
          </w:tcPr>
          <w:p>
            <w:pPr>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单价</w:t>
            </w:r>
          </w:p>
        </w:tc>
        <w:tc>
          <w:tcPr>
            <w:tcW w:w="1835" w:type="dxa"/>
            <w:noWrap/>
            <w:vAlign w:val="center"/>
          </w:tcPr>
          <w:p>
            <w:pPr>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w:t>
            </w:r>
          </w:p>
        </w:tc>
        <w:tc>
          <w:tcPr>
            <w:tcW w:w="3383"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eastAsia" w:ascii="Times New Roman" w:hAnsi="Times New Roman" w:eastAsia="宋体" w:cs="Times New Roman"/>
                <w:color w:val="000000"/>
                <w:kern w:val="0"/>
                <w:sz w:val="24"/>
                <w:szCs w:val="24"/>
                <w:highlight w:val="none"/>
                <w:lang w:eastAsia="zh-Hans" w:bidi="ar"/>
              </w:rPr>
              <w:t>全链路监管定制服务</w:t>
            </w:r>
          </w:p>
        </w:tc>
        <w:tc>
          <w:tcPr>
            <w:tcW w:w="76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年</w:t>
            </w:r>
          </w:p>
        </w:tc>
        <w:tc>
          <w:tcPr>
            <w:tcW w:w="97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3</w:t>
            </w:r>
          </w:p>
        </w:tc>
        <w:tc>
          <w:tcPr>
            <w:tcW w:w="1710"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c>
          <w:tcPr>
            <w:tcW w:w="1835"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w:t>
            </w:r>
          </w:p>
        </w:tc>
        <w:tc>
          <w:tcPr>
            <w:tcW w:w="3383"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eastAsia" w:ascii="Times New Roman" w:hAnsi="Times New Roman" w:eastAsia="宋体" w:cs="Times New Roman"/>
                <w:color w:val="000000"/>
                <w:kern w:val="0"/>
                <w:sz w:val="24"/>
                <w:szCs w:val="24"/>
                <w:highlight w:val="none"/>
                <w:lang w:eastAsia="zh-Hans" w:bidi="ar"/>
              </w:rPr>
              <w:t>政务云安全资源池服务</w:t>
            </w:r>
          </w:p>
        </w:tc>
        <w:tc>
          <w:tcPr>
            <w:tcW w:w="76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年</w:t>
            </w:r>
          </w:p>
        </w:tc>
        <w:tc>
          <w:tcPr>
            <w:tcW w:w="97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3</w:t>
            </w:r>
          </w:p>
        </w:tc>
        <w:tc>
          <w:tcPr>
            <w:tcW w:w="1710"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c>
          <w:tcPr>
            <w:tcW w:w="1835"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w:t>
            </w:r>
          </w:p>
        </w:tc>
        <w:tc>
          <w:tcPr>
            <w:tcW w:w="3383"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网络安全数据</w:t>
            </w:r>
            <w:r>
              <w:rPr>
                <w:rFonts w:hint="eastAsia" w:ascii="Times New Roman" w:hAnsi="Times New Roman" w:eastAsia="宋体" w:cs="Times New Roman"/>
                <w:color w:val="000000"/>
                <w:kern w:val="0"/>
                <w:sz w:val="24"/>
                <w:szCs w:val="24"/>
                <w:highlight w:val="none"/>
                <w:lang w:eastAsia="zh-Hans" w:bidi="ar"/>
              </w:rPr>
              <w:t>分析服务</w:t>
            </w:r>
          </w:p>
        </w:tc>
        <w:tc>
          <w:tcPr>
            <w:tcW w:w="76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年</w:t>
            </w:r>
          </w:p>
        </w:tc>
        <w:tc>
          <w:tcPr>
            <w:tcW w:w="97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3</w:t>
            </w:r>
          </w:p>
        </w:tc>
        <w:tc>
          <w:tcPr>
            <w:tcW w:w="1710"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c>
          <w:tcPr>
            <w:tcW w:w="1835"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w:t>
            </w:r>
          </w:p>
        </w:tc>
        <w:tc>
          <w:tcPr>
            <w:tcW w:w="3383"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eastAsia" w:ascii="Times New Roman" w:hAnsi="Times New Roman" w:eastAsia="宋体" w:cs="Times New Roman"/>
                <w:color w:val="000000"/>
                <w:kern w:val="0"/>
                <w:sz w:val="24"/>
                <w:szCs w:val="24"/>
                <w:highlight w:val="none"/>
                <w:lang w:eastAsia="zh-Hans" w:bidi="ar"/>
              </w:rPr>
              <w:t>政务数据安全防护服务</w:t>
            </w:r>
          </w:p>
        </w:tc>
        <w:tc>
          <w:tcPr>
            <w:tcW w:w="76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年</w:t>
            </w:r>
          </w:p>
        </w:tc>
        <w:tc>
          <w:tcPr>
            <w:tcW w:w="97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3</w:t>
            </w:r>
          </w:p>
        </w:tc>
        <w:tc>
          <w:tcPr>
            <w:tcW w:w="1710"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c>
          <w:tcPr>
            <w:tcW w:w="1835"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w:t>
            </w:r>
          </w:p>
        </w:tc>
        <w:tc>
          <w:tcPr>
            <w:tcW w:w="3383"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eastAsia" w:ascii="Times New Roman" w:hAnsi="Times New Roman" w:eastAsia="宋体" w:cs="Times New Roman"/>
                <w:color w:val="000000"/>
                <w:kern w:val="0"/>
                <w:sz w:val="24"/>
                <w:szCs w:val="24"/>
                <w:highlight w:val="none"/>
                <w:lang w:eastAsia="zh-Hans" w:bidi="ar"/>
              </w:rPr>
              <w:t>政务应用安全防护服务</w:t>
            </w:r>
          </w:p>
        </w:tc>
        <w:tc>
          <w:tcPr>
            <w:tcW w:w="76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年</w:t>
            </w:r>
          </w:p>
        </w:tc>
        <w:tc>
          <w:tcPr>
            <w:tcW w:w="97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3</w:t>
            </w:r>
          </w:p>
        </w:tc>
        <w:tc>
          <w:tcPr>
            <w:tcW w:w="1710"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c>
          <w:tcPr>
            <w:tcW w:w="1835"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w:t>
            </w:r>
          </w:p>
        </w:tc>
        <w:tc>
          <w:tcPr>
            <w:tcW w:w="3383"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eastAsia" w:ascii="Times New Roman" w:hAnsi="Times New Roman" w:eastAsia="宋体" w:cs="Times New Roman"/>
                <w:color w:val="000000"/>
                <w:kern w:val="0"/>
                <w:sz w:val="24"/>
                <w:szCs w:val="24"/>
                <w:highlight w:val="none"/>
                <w:lang w:eastAsia="zh-Hans" w:bidi="ar"/>
              </w:rPr>
              <w:t>政务外网终端安全服务</w:t>
            </w:r>
          </w:p>
        </w:tc>
        <w:tc>
          <w:tcPr>
            <w:tcW w:w="76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年</w:t>
            </w:r>
          </w:p>
        </w:tc>
        <w:tc>
          <w:tcPr>
            <w:tcW w:w="97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3</w:t>
            </w:r>
          </w:p>
        </w:tc>
        <w:tc>
          <w:tcPr>
            <w:tcW w:w="1710"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c>
          <w:tcPr>
            <w:tcW w:w="1835"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w:t>
            </w:r>
          </w:p>
        </w:tc>
        <w:tc>
          <w:tcPr>
            <w:tcW w:w="3383"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eastAsia" w:ascii="Times New Roman" w:hAnsi="Times New Roman" w:eastAsia="宋体" w:cs="Times New Roman"/>
                <w:color w:val="000000"/>
                <w:kern w:val="0"/>
                <w:sz w:val="24"/>
                <w:szCs w:val="24"/>
                <w:highlight w:val="none"/>
                <w:lang w:eastAsia="zh-Hans" w:bidi="ar"/>
              </w:rPr>
              <w:t>政务用户行为分析服务</w:t>
            </w:r>
          </w:p>
        </w:tc>
        <w:tc>
          <w:tcPr>
            <w:tcW w:w="76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年</w:t>
            </w:r>
          </w:p>
        </w:tc>
        <w:tc>
          <w:tcPr>
            <w:tcW w:w="97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3</w:t>
            </w:r>
          </w:p>
        </w:tc>
        <w:tc>
          <w:tcPr>
            <w:tcW w:w="1710"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c>
          <w:tcPr>
            <w:tcW w:w="1835"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8</w:t>
            </w:r>
          </w:p>
        </w:tc>
        <w:tc>
          <w:tcPr>
            <w:tcW w:w="3383"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eastAsia" w:ascii="Times New Roman" w:hAnsi="Times New Roman" w:eastAsia="宋体" w:cs="Times New Roman"/>
                <w:color w:val="000000"/>
                <w:kern w:val="0"/>
                <w:sz w:val="24"/>
                <w:szCs w:val="24"/>
                <w:highlight w:val="none"/>
                <w:lang w:eastAsia="zh-Hans" w:bidi="ar"/>
              </w:rPr>
              <w:t>驻场人员安全运营服务</w:t>
            </w:r>
          </w:p>
        </w:tc>
        <w:tc>
          <w:tcPr>
            <w:tcW w:w="76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年</w:t>
            </w:r>
          </w:p>
        </w:tc>
        <w:tc>
          <w:tcPr>
            <w:tcW w:w="975" w:type="dxa"/>
            <w:noWrap/>
            <w:vAlign w:val="center"/>
          </w:tcPr>
          <w:p>
            <w:pPr>
              <w:spacing w:line="360" w:lineRule="auto"/>
              <w:jc w:val="center"/>
              <w:rPr>
                <w:rFonts w:hint="default" w:ascii="Times New Roman" w:hAnsi="Times New Roman" w:eastAsia="宋体" w:cs="Times New Roman"/>
                <w:color w:val="000000"/>
                <w:kern w:val="0"/>
                <w:sz w:val="24"/>
                <w:szCs w:val="24"/>
                <w:highlight w:val="none"/>
                <w:lang w:eastAsia="zh-Hans" w:bidi="ar"/>
              </w:rPr>
            </w:pPr>
            <w:r>
              <w:rPr>
                <w:rFonts w:hint="default" w:ascii="Times New Roman" w:hAnsi="Times New Roman" w:eastAsia="宋体" w:cs="Times New Roman"/>
                <w:color w:val="000000"/>
                <w:kern w:val="0"/>
                <w:sz w:val="24"/>
                <w:szCs w:val="24"/>
                <w:highlight w:val="none"/>
                <w:lang w:eastAsia="zh-Hans" w:bidi="ar"/>
              </w:rPr>
              <w:t>3</w:t>
            </w:r>
          </w:p>
        </w:tc>
        <w:tc>
          <w:tcPr>
            <w:tcW w:w="1710"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c>
          <w:tcPr>
            <w:tcW w:w="1835" w:type="dxa"/>
            <w:noWrap/>
            <w:vAlign w:val="center"/>
          </w:tcPr>
          <w:p>
            <w:pPr>
              <w:spacing w:line="360" w:lineRule="auto"/>
              <w:jc w:val="center"/>
              <w:rPr>
                <w:rFonts w:hint="default" w:ascii="Times New Roman" w:hAnsi="Times New Roman" w:eastAsia="宋体" w:cs="Times New Roman"/>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110" w:type="dxa"/>
            <w:noWrap/>
            <w:vAlign w:val="center"/>
          </w:tcPr>
          <w:p>
            <w:pPr>
              <w:spacing w:line="360" w:lineRule="auto"/>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合计</w:t>
            </w:r>
          </w:p>
        </w:tc>
        <w:tc>
          <w:tcPr>
            <w:tcW w:w="8668" w:type="dxa"/>
            <w:gridSpan w:val="5"/>
            <w:noWrap/>
            <w:vAlign w:val="center"/>
          </w:tcPr>
          <w:p>
            <w:pPr>
              <w:spacing w:line="360" w:lineRule="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rPr>
              <w:t>大写：</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 xml:space="preserve"> </w:t>
            </w:r>
          </w:p>
          <w:p>
            <w:pPr>
              <w:spacing w:line="360" w:lineRule="auto"/>
              <w:jc w:val="both"/>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sz w:val="24"/>
                <w:szCs w:val="24"/>
              </w:rPr>
              <w:t>小写￥：</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p>
        </w:tc>
      </w:tr>
    </w:tbl>
    <w:p>
      <w:pPr>
        <w:spacing w:line="400" w:lineRule="exact"/>
        <w:rPr>
          <w:sz w:val="24"/>
        </w:rPr>
      </w:pPr>
    </w:p>
    <w:p>
      <w:pPr>
        <w:pStyle w:val="31"/>
        <w:spacing w:line="460" w:lineRule="exact"/>
        <w:ind w:left="274" w:leftChars="114"/>
        <w:jc w:val="center"/>
        <w:rPr>
          <w:rFonts w:ascii="Times New Roman" w:hAnsi="Times New Roman" w:cs="Times New Roman"/>
          <w:sz w:val="24"/>
          <w:szCs w:val="24"/>
        </w:rPr>
      </w:pPr>
      <w:r>
        <w:rPr>
          <w:rFonts w:ascii="Times New Roman" w:hAnsi="Times New Roman" w:cs="Times New Roman"/>
          <w:sz w:val="24"/>
          <w:szCs w:val="24"/>
        </w:rPr>
        <w:t>投标人名称（电子签章）：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pPr>
        <w:pStyle w:val="31"/>
        <w:spacing w:line="460" w:lineRule="exact"/>
        <w:ind w:left="274" w:leftChars="114"/>
        <w:jc w:val="center"/>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 xml:space="preserve">日 期：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年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月   </w:t>
      </w:r>
      <w:r>
        <w:rPr>
          <w:rFonts w:hint="eastAsia" w:ascii="Times New Roman" w:hAnsi="Times New Roman" w:cs="Times New Roman"/>
          <w:sz w:val="24"/>
          <w:szCs w:val="24"/>
        </w:rPr>
        <w:t xml:space="preserve"> </w:t>
      </w:r>
      <w:r>
        <w:rPr>
          <w:rFonts w:ascii="Times New Roman" w:hAnsi="Times New Roman" w:cs="Times New Roman"/>
          <w:sz w:val="24"/>
          <w:szCs w:val="24"/>
        </w:rPr>
        <w:t>日</w:t>
      </w:r>
    </w:p>
    <w:p/>
    <w:p>
      <w:pPr>
        <w:spacing w:line="400" w:lineRule="exact"/>
        <w:ind w:firstLine="480" w:firstLineChars="200"/>
        <w:rPr>
          <w:rFonts w:ascii="Times New Roman" w:hAnsi="Times New Roman" w:eastAsia="宋体" w:cs="Times New Roman"/>
          <w:color w:val="000000"/>
          <w:highlight w:val="none"/>
        </w:rPr>
      </w:pPr>
      <w:r>
        <w:rPr>
          <w:color w:val="000000"/>
          <w:highlight w:val="none"/>
        </w:rPr>
        <w:t>备注：1、</w:t>
      </w:r>
      <w:r>
        <w:rPr>
          <w:rFonts w:ascii="Times New Roman" w:hAnsi="Times New Roman" w:eastAsia="宋体" w:cs="Times New Roman"/>
          <w:color w:val="000000"/>
          <w:highlight w:val="none"/>
        </w:rPr>
        <w:t>投标报价以人民币为结算货币，</w:t>
      </w:r>
      <w:r>
        <w:rPr>
          <w:rFonts w:hint="eastAsia" w:ascii="Times New Roman" w:hAnsi="Times New Roman" w:eastAsia="宋体" w:cs="Times New Roman"/>
          <w:color w:val="000000"/>
          <w:highlight w:val="none"/>
        </w:rPr>
        <w:t>投标报价须包括</w:t>
      </w:r>
      <w:r>
        <w:rPr>
          <w:rFonts w:ascii="Times New Roman" w:hAnsi="Times New Roman" w:eastAsia="宋体" w:cs="Times New Roman"/>
          <w:color w:val="000000"/>
          <w:highlight w:val="none"/>
        </w:rPr>
        <w:t>因承包本次采购项目服务所需的</w:t>
      </w:r>
      <w:r>
        <w:rPr>
          <w:rFonts w:hint="eastAsia" w:ascii="Times New Roman" w:hAnsi="Times New Roman" w:eastAsia="宋体" w:cs="Times New Roman"/>
          <w:sz w:val="24"/>
          <w:szCs w:val="24"/>
          <w:highlight w:val="none"/>
        </w:rPr>
        <w:t>服务费、线路租赁费（如有）、货物价款（备品备件）、</w:t>
      </w:r>
      <w:r>
        <w:rPr>
          <w:rFonts w:hint="eastAsia" w:ascii="Times New Roman" w:hAnsi="Times New Roman" w:eastAsia="宋体" w:cs="Times New Roman"/>
          <w:sz w:val="24"/>
          <w:szCs w:val="24"/>
          <w:highlight w:val="none"/>
          <w:lang w:eastAsia="zh-CN"/>
        </w:rPr>
        <w:t>项目软硬件</w:t>
      </w:r>
      <w:r>
        <w:rPr>
          <w:rFonts w:hint="eastAsia" w:ascii="Times New Roman" w:hAnsi="Times New Roman" w:eastAsia="宋体" w:cs="Times New Roman"/>
          <w:sz w:val="24"/>
          <w:szCs w:val="24"/>
          <w:highlight w:val="none"/>
        </w:rPr>
        <w:t>费用、人员费用、运输费、装卸费、利润、税金、</w:t>
      </w:r>
      <w:r>
        <w:rPr>
          <w:rFonts w:ascii="Times New Roman" w:hAnsi="Times New Roman" w:eastAsia="宋体" w:cs="Times New Roman"/>
          <w:sz w:val="24"/>
          <w:szCs w:val="24"/>
          <w:highlight w:val="none"/>
        </w:rPr>
        <w:t>保险及不可预见费用等一切费用，应是招标文件确定的招标范围内的全部工作内容的价格表现，完成该项目</w:t>
      </w:r>
      <w:r>
        <w:rPr>
          <w:rFonts w:hint="eastAsia" w:ascii="Times New Roman" w:hAnsi="Times New Roman" w:eastAsia="宋体" w:cs="Times New Roman"/>
          <w:sz w:val="24"/>
          <w:szCs w:val="24"/>
          <w:highlight w:val="none"/>
          <w:lang w:eastAsia="zh-CN"/>
        </w:rPr>
        <w:t>的所有费用及</w:t>
      </w:r>
      <w:r>
        <w:rPr>
          <w:rFonts w:ascii="Times New Roman" w:hAnsi="Times New Roman" w:eastAsia="宋体" w:cs="Times New Roman"/>
          <w:sz w:val="24"/>
          <w:szCs w:val="24"/>
          <w:highlight w:val="none"/>
        </w:rPr>
        <w:t>各环节所必需的连带工作或服务、成果验收、以及政策性文件规定、合同包含的所有风险责任</w:t>
      </w:r>
      <w:r>
        <w:rPr>
          <w:rFonts w:hint="eastAsia" w:ascii="Times New Roman" w:hAnsi="Times New Roman" w:eastAsia="宋体" w:cs="Times New Roman"/>
          <w:sz w:val="24"/>
          <w:szCs w:val="24"/>
          <w:highlight w:val="none"/>
          <w:lang w:eastAsia="zh-CN"/>
        </w:rPr>
        <w:t>等所有费用</w:t>
      </w:r>
      <w:r>
        <w:rPr>
          <w:rFonts w:ascii="Times New Roman" w:hAnsi="Times New Roman" w:eastAsia="宋体" w:cs="Times New Roman"/>
          <w:sz w:val="24"/>
          <w:szCs w:val="24"/>
          <w:highlight w:val="none"/>
        </w:rPr>
        <w:t>。</w:t>
      </w:r>
      <w:r>
        <w:rPr>
          <w:rFonts w:ascii="Times New Roman" w:hAnsi="Times New Roman" w:eastAsia="宋体" w:cs="Times New Roman"/>
          <w:color w:val="000000"/>
          <w:highlight w:val="none"/>
        </w:rPr>
        <w:t>如有漏项，视同已包含在本报价中，投标</w:t>
      </w:r>
      <w:r>
        <w:rPr>
          <w:rFonts w:hint="eastAsia" w:ascii="Times New Roman" w:hAnsi="Times New Roman" w:eastAsia="宋体" w:cs="Times New Roman"/>
          <w:color w:val="000000"/>
          <w:highlight w:val="none"/>
          <w:lang w:eastAsia="zh-CN"/>
        </w:rPr>
        <w:t>单价及</w:t>
      </w:r>
      <w:r>
        <w:rPr>
          <w:rFonts w:ascii="Times New Roman" w:hAnsi="Times New Roman" w:eastAsia="宋体" w:cs="Times New Roman"/>
          <w:color w:val="000000"/>
          <w:highlight w:val="none"/>
        </w:rPr>
        <w:t>总价不做调整。投标报价为投标人所能承受的最低、最终报价。只允许有一个报价，有选择的报价将不予接受。</w:t>
      </w:r>
    </w:p>
    <w:p>
      <w:pPr>
        <w:spacing w:line="400" w:lineRule="exact"/>
        <w:ind w:firstLine="480" w:firstLineChars="200"/>
        <w:rPr>
          <w:color w:val="000000"/>
        </w:rPr>
      </w:pPr>
      <w:r>
        <w:rPr>
          <w:color w:val="000000"/>
        </w:rPr>
        <w:t>2、</w:t>
      </w:r>
      <w:r>
        <w:rPr>
          <w:rFonts w:hint="eastAsia"/>
          <w:color w:val="000000"/>
        </w:rPr>
        <w:t>项目投标总价</w:t>
      </w:r>
      <w:r>
        <w:rPr>
          <w:color w:val="000000"/>
        </w:rPr>
        <w:t>不得超过项目预算价及最高限价，不得低于投标人自报的成本价，否则投标无效。</w:t>
      </w:r>
    </w:p>
    <w:p>
      <w:pPr>
        <w:spacing w:line="400" w:lineRule="exact"/>
        <w:ind w:firstLine="480" w:firstLineChars="200"/>
        <w:rPr>
          <w:color w:val="000000"/>
        </w:rPr>
      </w:pPr>
      <w:r>
        <w:rPr>
          <w:color w:val="000000"/>
        </w:rPr>
        <w:t>3、此表在不改变表式的情况下，可自行制作。</w:t>
      </w:r>
    </w:p>
    <w:p>
      <w:pPr>
        <w:spacing w:line="360" w:lineRule="auto"/>
        <w:rPr>
          <w:sz w:val="28"/>
          <w:szCs w:val="28"/>
          <w:highlight w:val="green"/>
        </w:rPr>
      </w:pPr>
    </w:p>
    <w:p>
      <w:pPr>
        <w:pStyle w:val="31"/>
        <w:widowControl w:val="0"/>
        <w:jc w:val="center"/>
        <w:rPr>
          <w:rFonts w:ascii="Times New Roman" w:hAnsi="Times New Roman" w:cs="Times New Roman"/>
          <w:b/>
          <w:bCs/>
          <w:sz w:val="36"/>
          <w:szCs w:val="36"/>
        </w:rPr>
      </w:pPr>
      <w:r>
        <w:rPr>
          <w:rFonts w:ascii="Times New Roman" w:hAnsi="Times New Roman" w:cs="Times New Roman"/>
          <w:b/>
          <w:bCs/>
          <w:sz w:val="36"/>
          <w:szCs w:val="36"/>
        </w:rPr>
        <w:t>项目成本报价表</w:t>
      </w:r>
    </w:p>
    <w:p>
      <w:pPr>
        <w:spacing w:line="360" w:lineRule="auto"/>
        <w:jc w:val="center"/>
        <w:rPr>
          <w:b/>
          <w:color w:val="000000"/>
          <w:sz w:val="44"/>
        </w:rPr>
      </w:pPr>
    </w:p>
    <w:tbl>
      <w:tblPr>
        <w:tblStyle w:val="5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644" w:type="dxa"/>
            <w:vAlign w:val="center"/>
          </w:tcPr>
          <w:p>
            <w:pPr>
              <w:spacing w:line="420" w:lineRule="exact"/>
              <w:jc w:val="center"/>
              <w:rPr>
                <w:color w:val="000000"/>
              </w:rPr>
            </w:pPr>
            <w:r>
              <w:rPr>
                <w:color w:val="000000"/>
              </w:rPr>
              <w:t>项目名称</w:t>
            </w:r>
          </w:p>
        </w:tc>
        <w:tc>
          <w:tcPr>
            <w:tcW w:w="4926" w:type="dxa"/>
            <w:vAlign w:val="center"/>
          </w:tcPr>
          <w:p>
            <w:pPr>
              <w:spacing w:line="420" w:lineRule="exact"/>
              <w:jc w:val="center"/>
              <w:rPr>
                <w:color w:val="000000"/>
              </w:rPr>
            </w:pPr>
            <w:r>
              <w:rPr>
                <w:color w:val="000000"/>
              </w:rPr>
              <w:t>项目成本总价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44" w:type="dxa"/>
            <w:vAlign w:val="center"/>
          </w:tcPr>
          <w:p>
            <w:pPr>
              <w:spacing w:line="420" w:lineRule="exact"/>
              <w:jc w:val="center"/>
            </w:pPr>
          </w:p>
          <w:p>
            <w:pPr>
              <w:spacing w:line="420" w:lineRule="exact"/>
              <w:jc w:val="center"/>
            </w:pPr>
          </w:p>
          <w:p>
            <w:pPr>
              <w:spacing w:line="420" w:lineRule="exact"/>
              <w:jc w:val="center"/>
              <w:rPr>
                <w:color w:val="FF0000"/>
                <w:szCs w:val="21"/>
              </w:rPr>
            </w:pPr>
            <w:r>
              <w:rPr>
                <w:rFonts w:hint="eastAsia"/>
                <w:color w:val="FF0000"/>
                <w:szCs w:val="21"/>
              </w:rPr>
              <w:t>义乌市数据管理中心网络安全全链路监管服务项目</w:t>
            </w:r>
            <w:r>
              <w:rPr>
                <w:color w:val="FF0000"/>
                <w:szCs w:val="21"/>
              </w:rPr>
              <w:t>（采购编号：</w:t>
            </w:r>
            <w:r>
              <w:rPr>
                <w:rFonts w:hint="eastAsia"/>
                <w:color w:val="FF0000"/>
                <w:szCs w:val="21"/>
              </w:rPr>
              <w:t>YWCG2022039GK</w:t>
            </w:r>
            <w:r>
              <w:rPr>
                <w:color w:val="FF0000"/>
                <w:szCs w:val="21"/>
              </w:rPr>
              <w:t>）</w:t>
            </w:r>
          </w:p>
          <w:p>
            <w:pPr>
              <w:spacing w:line="420" w:lineRule="exact"/>
              <w:jc w:val="center"/>
              <w:rPr>
                <w:color w:val="FF0000"/>
                <w:szCs w:val="21"/>
              </w:rPr>
            </w:pPr>
          </w:p>
          <w:p>
            <w:pPr>
              <w:spacing w:line="420" w:lineRule="exact"/>
              <w:jc w:val="center"/>
            </w:pPr>
          </w:p>
          <w:p>
            <w:pPr>
              <w:spacing w:line="420" w:lineRule="exact"/>
              <w:jc w:val="center"/>
            </w:pPr>
          </w:p>
        </w:tc>
        <w:tc>
          <w:tcPr>
            <w:tcW w:w="4926" w:type="dxa"/>
            <w:vAlign w:val="center"/>
          </w:tcPr>
          <w:p>
            <w:pPr>
              <w:ind w:right="480"/>
              <w:jc w:val="center"/>
              <w:rPr>
                <w:u w:val="single"/>
              </w:rPr>
            </w:pPr>
            <w:r>
              <w:t xml:space="preserve">    (大写)：</w:t>
            </w:r>
            <w:r>
              <w:rPr>
                <w:u w:val="single"/>
              </w:rPr>
              <w:t xml:space="preserve">                     元</w:t>
            </w:r>
          </w:p>
          <w:p>
            <w:pPr>
              <w:ind w:right="480" w:firstLine="1200" w:firstLineChars="500"/>
              <w:jc w:val="center"/>
            </w:pPr>
          </w:p>
          <w:p>
            <w:pPr>
              <w:spacing w:line="420" w:lineRule="exact"/>
              <w:jc w:val="center"/>
              <w:rPr>
                <w:color w:val="000000"/>
              </w:rPr>
            </w:pPr>
            <w:r>
              <w:t>(小写)￥:</w:t>
            </w:r>
            <w:r>
              <w:rPr>
                <w:u w:val="single"/>
              </w:rPr>
              <w:t xml:space="preserve">                     元</w:t>
            </w:r>
          </w:p>
        </w:tc>
      </w:tr>
    </w:tbl>
    <w:p>
      <w:pPr>
        <w:spacing w:line="360" w:lineRule="auto"/>
      </w:pPr>
    </w:p>
    <w:p>
      <w:pPr>
        <w:pStyle w:val="31"/>
        <w:spacing w:line="460" w:lineRule="exact"/>
        <w:ind w:left="274" w:leftChars="114"/>
        <w:jc w:val="center"/>
        <w:rPr>
          <w:rFonts w:ascii="Times New Roman" w:hAnsi="Times New Roman" w:cs="Times New Roman"/>
          <w:sz w:val="24"/>
          <w:szCs w:val="24"/>
        </w:rPr>
      </w:pPr>
      <w:r>
        <w:rPr>
          <w:rFonts w:ascii="Times New Roman" w:hAnsi="Times New Roman" w:cs="Times New Roman"/>
          <w:sz w:val="24"/>
          <w:szCs w:val="24"/>
        </w:rPr>
        <w:t>投标人名称（电子签章）：</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pPr>
        <w:pStyle w:val="31"/>
        <w:spacing w:line="460" w:lineRule="exact"/>
        <w:ind w:left="274" w:leftChars="114"/>
        <w:jc w:val="center"/>
        <w:rPr>
          <w:rFonts w:ascii="Times New Roman" w:hAnsi="Times New Roman" w:cs="Times New Roman"/>
          <w:kern w:val="0"/>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 xml:space="preserve">日 期：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年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月   </w:t>
      </w:r>
      <w:r>
        <w:rPr>
          <w:rFonts w:hint="eastAsia" w:ascii="Times New Roman" w:hAnsi="Times New Roman" w:cs="Times New Roman"/>
          <w:sz w:val="24"/>
          <w:szCs w:val="24"/>
        </w:rPr>
        <w:t xml:space="preserve"> </w:t>
      </w:r>
      <w:r>
        <w:rPr>
          <w:rFonts w:ascii="Times New Roman" w:hAnsi="Times New Roman" w:cs="Times New Roman"/>
          <w:sz w:val="24"/>
          <w:szCs w:val="24"/>
        </w:rPr>
        <w:t>日</w:t>
      </w:r>
    </w:p>
    <w:p>
      <w:pPr>
        <w:pStyle w:val="2"/>
        <w:ind w:left="480" w:firstLine="480"/>
        <w:rPr>
          <w:highlight w:val="green"/>
        </w:rPr>
      </w:pPr>
    </w:p>
    <w:p>
      <w:pPr>
        <w:spacing w:line="360" w:lineRule="auto"/>
        <w:ind w:left="960" w:hanging="960" w:hangingChars="400"/>
        <w:rPr>
          <w:bCs/>
        </w:rPr>
      </w:pPr>
      <w:r>
        <w:rPr>
          <w:bCs/>
        </w:rPr>
        <w:t>备注：</w:t>
      </w:r>
    </w:p>
    <w:p>
      <w:pPr>
        <w:spacing w:line="460" w:lineRule="exact"/>
        <w:ind w:firstLine="235" w:firstLineChars="98"/>
        <w:rPr>
          <w:bCs/>
          <w:u w:val="single"/>
        </w:rPr>
      </w:pPr>
      <w:r>
        <w:t>1、投标单位应按照招标项目内容要求，根据项目特点和企业条件确定该项目成本报价，</w:t>
      </w:r>
      <w:r>
        <w:rPr>
          <w:u w:val="single"/>
        </w:rPr>
        <w:t>项目成本总价不得高于投标总价，否则投标无效。</w:t>
      </w:r>
    </w:p>
    <w:p>
      <w:pPr>
        <w:spacing w:line="360" w:lineRule="auto"/>
        <w:ind w:firstLine="240" w:firstLineChars="100"/>
      </w:pPr>
      <w:r>
        <w:t>2、此表在不改变表式的情况下，可自行制作。</w:t>
      </w:r>
    </w:p>
    <w:p>
      <w:pPr>
        <w:pStyle w:val="2"/>
        <w:ind w:left="480" w:firstLine="480"/>
      </w:pPr>
    </w:p>
    <w:p>
      <w:pPr>
        <w:spacing w:line="360" w:lineRule="auto"/>
        <w:ind w:firstLine="240" w:firstLineChars="100"/>
      </w:pPr>
    </w:p>
    <w:p>
      <w:pPr>
        <w:spacing w:line="360" w:lineRule="auto"/>
        <w:ind w:firstLine="240" w:firstLineChars="10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snapToGrid w:val="0"/>
        <w:spacing w:before="50" w:after="50"/>
        <w:jc w:val="center"/>
        <w:rPr>
          <w:rFonts w:hint="eastAsia" w:ascii="新宋体" w:hAnsi="新宋体" w:eastAsia="新宋体"/>
          <w:b/>
          <w:sz w:val="36"/>
          <w:szCs w:val="36"/>
        </w:rPr>
      </w:pPr>
    </w:p>
    <w:p>
      <w:pPr>
        <w:snapToGrid w:val="0"/>
        <w:spacing w:before="50" w:after="50"/>
        <w:jc w:val="center"/>
        <w:rPr>
          <w:b/>
          <w:sz w:val="36"/>
          <w:szCs w:val="36"/>
        </w:rPr>
      </w:pPr>
    </w:p>
    <w:p>
      <w:pPr>
        <w:snapToGrid w:val="0"/>
        <w:spacing w:before="50" w:after="50"/>
        <w:jc w:val="center"/>
        <w:rPr>
          <w:b/>
          <w:sz w:val="36"/>
          <w:szCs w:val="36"/>
        </w:rPr>
      </w:pPr>
      <w:r>
        <w:rPr>
          <w:b/>
          <w:sz w:val="36"/>
          <w:szCs w:val="36"/>
        </w:rPr>
        <w:t>中小企业声明函（工程、服务）</w:t>
      </w:r>
    </w:p>
    <w:p>
      <w:pPr>
        <w:snapToGrid w:val="0"/>
        <w:spacing w:line="360" w:lineRule="auto"/>
        <w:ind w:firstLine="560" w:firstLineChars="200"/>
        <w:rPr>
          <w:sz w:val="28"/>
          <w:szCs w:val="28"/>
        </w:rPr>
      </w:pPr>
      <w:r>
        <w:rPr>
          <w:sz w:val="28"/>
          <w:szCs w:val="28"/>
        </w:rPr>
        <w:t>本公司（联合体）郑重声明，根据《政府采购促进中小企业发展管理办法》（财库﹝2020﹞46号）的规定，本公司（联合体）参加</w:t>
      </w:r>
      <w:r>
        <w:rPr>
          <w:i/>
          <w:iCs/>
          <w:sz w:val="28"/>
          <w:szCs w:val="28"/>
          <w:u w:val="single"/>
        </w:rPr>
        <w:t>（单位名称）</w:t>
      </w:r>
      <w:r>
        <w:rPr>
          <w:sz w:val="28"/>
          <w:szCs w:val="28"/>
        </w:rPr>
        <w:t>的</w:t>
      </w:r>
      <w:r>
        <w:rPr>
          <w:i/>
          <w:iCs/>
          <w:sz w:val="28"/>
          <w:szCs w:val="28"/>
          <w:u w:val="single"/>
        </w:rPr>
        <w:t>（项目名称）</w:t>
      </w:r>
      <w:r>
        <w:rPr>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560" w:firstLineChars="200"/>
        <w:rPr>
          <w:sz w:val="28"/>
          <w:szCs w:val="28"/>
        </w:rPr>
      </w:pPr>
      <w:r>
        <w:rPr>
          <w:sz w:val="28"/>
          <w:szCs w:val="28"/>
        </w:rPr>
        <w:t>1.</w:t>
      </w:r>
      <w:r>
        <w:rPr>
          <w:i/>
          <w:iCs/>
          <w:sz w:val="28"/>
          <w:szCs w:val="28"/>
          <w:u w:val="single"/>
        </w:rPr>
        <w:t>（标的名称）</w:t>
      </w:r>
      <w:r>
        <w:rPr>
          <w:sz w:val="28"/>
          <w:szCs w:val="28"/>
        </w:rPr>
        <w:t>，属于</w:t>
      </w:r>
      <w:r>
        <w:rPr>
          <w:i/>
          <w:iCs/>
          <w:sz w:val="28"/>
          <w:szCs w:val="28"/>
          <w:u w:val="single"/>
        </w:rPr>
        <w:t>（采购文件中明确的所属行业）</w:t>
      </w:r>
      <w:r>
        <w:rPr>
          <w:sz w:val="28"/>
          <w:szCs w:val="28"/>
        </w:rPr>
        <w:t>；承建（承接）企业为</w:t>
      </w:r>
      <w:r>
        <w:rPr>
          <w:i/>
          <w:iCs/>
          <w:sz w:val="28"/>
          <w:szCs w:val="28"/>
          <w:u w:val="single"/>
        </w:rPr>
        <w:t>（企业名称）</w:t>
      </w:r>
      <w:r>
        <w:rPr>
          <w:sz w:val="28"/>
          <w:szCs w:val="28"/>
        </w:rPr>
        <w:t>，从业人员______人，营业收入为______万元，资产总额为______万元，属于</w:t>
      </w:r>
      <w:r>
        <w:rPr>
          <w:i/>
          <w:iCs/>
          <w:sz w:val="28"/>
          <w:szCs w:val="28"/>
          <w:u w:val="single"/>
        </w:rPr>
        <w:t>（中型企业、小型企业、微型企业）</w:t>
      </w:r>
      <w:r>
        <w:rPr>
          <w:sz w:val="28"/>
          <w:szCs w:val="28"/>
        </w:rPr>
        <w:t>；</w:t>
      </w:r>
    </w:p>
    <w:p>
      <w:pPr>
        <w:snapToGrid w:val="0"/>
        <w:spacing w:line="360" w:lineRule="auto"/>
        <w:ind w:firstLine="560" w:firstLineChars="200"/>
      </w:pPr>
      <w:r>
        <w:rPr>
          <w:sz w:val="28"/>
          <w:szCs w:val="28"/>
        </w:rPr>
        <w:t>2.</w:t>
      </w:r>
      <w:r>
        <w:rPr>
          <w:i/>
          <w:iCs/>
          <w:sz w:val="28"/>
          <w:szCs w:val="28"/>
          <w:u w:val="single"/>
        </w:rPr>
        <w:t>（标的名称）</w:t>
      </w:r>
      <w:r>
        <w:rPr>
          <w:sz w:val="28"/>
          <w:szCs w:val="28"/>
        </w:rPr>
        <w:t>，属于</w:t>
      </w:r>
      <w:r>
        <w:rPr>
          <w:i/>
          <w:iCs/>
          <w:sz w:val="28"/>
          <w:szCs w:val="28"/>
          <w:u w:val="single"/>
        </w:rPr>
        <w:t>（采购文件中明确的所属行业）</w:t>
      </w:r>
      <w:r>
        <w:rPr>
          <w:sz w:val="28"/>
          <w:szCs w:val="28"/>
        </w:rPr>
        <w:t>；承建（承接）企业为</w:t>
      </w:r>
      <w:r>
        <w:rPr>
          <w:i/>
          <w:iCs/>
          <w:sz w:val="28"/>
          <w:szCs w:val="28"/>
          <w:u w:val="single"/>
        </w:rPr>
        <w:t>（企业名称）</w:t>
      </w:r>
      <w:r>
        <w:rPr>
          <w:sz w:val="28"/>
          <w:szCs w:val="28"/>
        </w:rPr>
        <w:t>，从业人员______人，营业收入为______万元，资产总额为______万元，属于</w:t>
      </w:r>
      <w:r>
        <w:rPr>
          <w:i/>
          <w:iCs/>
          <w:sz w:val="28"/>
          <w:szCs w:val="28"/>
          <w:u w:val="single"/>
        </w:rPr>
        <w:t>（中型企业、小型企业、微型企业）</w:t>
      </w:r>
      <w:r>
        <w:rPr>
          <w:sz w:val="28"/>
          <w:szCs w:val="28"/>
        </w:rPr>
        <w:t>；</w:t>
      </w:r>
    </w:p>
    <w:p>
      <w:pPr>
        <w:snapToGrid w:val="0"/>
        <w:spacing w:line="360" w:lineRule="auto"/>
        <w:ind w:firstLine="560" w:firstLineChars="200"/>
        <w:rPr>
          <w:sz w:val="28"/>
          <w:szCs w:val="28"/>
        </w:rPr>
      </w:pPr>
      <w:r>
        <w:rPr>
          <w:sz w:val="28"/>
          <w:szCs w:val="28"/>
        </w:rPr>
        <w:t>……</w:t>
      </w:r>
    </w:p>
    <w:p>
      <w:pPr>
        <w:snapToGrid w:val="0"/>
        <w:spacing w:line="360" w:lineRule="auto"/>
        <w:ind w:firstLine="560" w:firstLineChars="200"/>
        <w:rPr>
          <w:sz w:val="28"/>
          <w:szCs w:val="28"/>
        </w:rPr>
      </w:pPr>
      <w:r>
        <w:rPr>
          <w:sz w:val="28"/>
          <w:szCs w:val="28"/>
        </w:rPr>
        <w:t>以上企业，不属于大企业的分支机构，不存在控股股东为大企业的情形，也不存在与大企业的负责人为同一人的情形。</w:t>
      </w:r>
    </w:p>
    <w:p>
      <w:pPr>
        <w:snapToGrid w:val="0"/>
        <w:spacing w:line="360" w:lineRule="auto"/>
        <w:ind w:firstLine="560" w:firstLineChars="200"/>
        <w:rPr>
          <w:sz w:val="28"/>
          <w:szCs w:val="28"/>
        </w:rPr>
      </w:pPr>
      <w:r>
        <w:rPr>
          <w:sz w:val="28"/>
          <w:szCs w:val="28"/>
        </w:rPr>
        <w:t>本企业对上述声明内容的真实性负责。如有虚假，将依法承担相应责任。</w:t>
      </w:r>
    </w:p>
    <w:p>
      <w:pPr>
        <w:snapToGrid w:val="0"/>
        <w:spacing w:line="360" w:lineRule="auto"/>
        <w:ind w:firstLine="3080" w:firstLineChars="1100"/>
        <w:rPr>
          <w:sz w:val="28"/>
          <w:szCs w:val="28"/>
        </w:rPr>
      </w:pPr>
      <w:r>
        <w:rPr>
          <w:sz w:val="28"/>
          <w:szCs w:val="28"/>
        </w:rPr>
        <w:t>企业（投标人）名称（盖章）：_______</w:t>
      </w:r>
    </w:p>
    <w:p>
      <w:pPr>
        <w:snapToGrid w:val="0"/>
        <w:spacing w:line="360" w:lineRule="auto"/>
        <w:ind w:firstLine="5880" w:firstLineChars="2100"/>
        <w:rPr>
          <w:sz w:val="28"/>
          <w:szCs w:val="28"/>
        </w:rPr>
      </w:pPr>
      <w:r>
        <w:rPr>
          <w:sz w:val="28"/>
          <w:szCs w:val="28"/>
        </w:rPr>
        <w:t>日 期：_______</w:t>
      </w:r>
    </w:p>
    <w:p>
      <w:pPr>
        <w:snapToGrid w:val="0"/>
        <w:spacing w:line="360" w:lineRule="auto"/>
        <w:rPr>
          <w:b w:val="0"/>
          <w:bCs/>
          <w:sz w:val="24"/>
        </w:rPr>
      </w:pPr>
      <w:r>
        <w:rPr>
          <w:b w:val="0"/>
          <w:bCs/>
          <w:sz w:val="24"/>
        </w:rPr>
        <w:t>备注：</w:t>
      </w:r>
    </w:p>
    <w:p>
      <w:pPr>
        <w:spacing w:line="360" w:lineRule="auto"/>
        <w:ind w:firstLine="480" w:firstLineChars="200"/>
        <w:rPr>
          <w:highlight w:val="none"/>
        </w:rPr>
      </w:pPr>
      <w:r>
        <w:rPr>
          <w:sz w:val="24"/>
          <w:highlight w:val="none"/>
        </w:rPr>
        <w:t>1.从业人员、营业收入、资产总额填报上一年度数据，无上一年度数据的新成立企业可不填报。</w:t>
      </w:r>
    </w:p>
    <w:p>
      <w:pPr>
        <w:spacing w:line="360" w:lineRule="auto"/>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2.本项目采购标的所属行业</w:t>
      </w:r>
      <w:r>
        <w:rPr>
          <w:rFonts w:hint="eastAsia" w:ascii="Times New Roman" w:hAnsi="Times New Roman" w:eastAsia="宋体" w:cs="Times New Roman"/>
          <w:sz w:val="24"/>
          <w:highlight w:val="none"/>
          <w:lang w:eastAsia="zh-CN"/>
        </w:rPr>
        <w:t>：</w:t>
      </w:r>
      <w:r>
        <w:rPr>
          <w:rFonts w:ascii="Times New Roman" w:hAnsi="Times New Roman" w:eastAsia="宋体" w:cs="Times New Roman"/>
          <w:color w:val="FF0000"/>
          <w:sz w:val="24"/>
          <w:highlight w:val="none"/>
        </w:rPr>
        <w:t>软件和信息技术服务业。</w:t>
      </w:r>
    </w:p>
    <w:p>
      <w:pPr>
        <w:pStyle w:val="2"/>
        <w:ind w:left="480" w:firstLine="480"/>
      </w:pPr>
    </w:p>
    <w:p>
      <w:pPr>
        <w:pStyle w:val="2"/>
        <w:ind w:left="480" w:firstLine="480"/>
      </w:pPr>
    </w:p>
    <w:p>
      <w:pPr>
        <w:pStyle w:val="2"/>
        <w:ind w:left="480" w:firstLine="480"/>
      </w:pPr>
    </w:p>
    <w:p>
      <w:pPr>
        <w:pStyle w:val="2"/>
        <w:ind w:left="480" w:firstLine="480"/>
      </w:pPr>
    </w:p>
    <w:p>
      <w:pPr>
        <w:pStyle w:val="51"/>
        <w:spacing w:after="0" w:line="400" w:lineRule="exact"/>
        <w:ind w:firstLine="480" w:firstLineChars="200"/>
        <w:textAlignment w:val="baseline"/>
        <w:rPr>
          <w:color w:val="0000FF"/>
        </w:rPr>
      </w:pPr>
    </w:p>
    <w:p>
      <w:pPr>
        <w:pStyle w:val="51"/>
        <w:spacing w:after="0" w:line="400" w:lineRule="exact"/>
        <w:ind w:firstLine="480" w:firstLineChars="200"/>
        <w:textAlignment w:val="baseline"/>
        <w:rPr>
          <w:color w:val="0000FF"/>
        </w:rPr>
      </w:pPr>
    </w:p>
    <w:p>
      <w:pPr>
        <w:pStyle w:val="31"/>
        <w:widowControl w:val="0"/>
        <w:jc w:val="center"/>
        <w:rPr>
          <w:rFonts w:ascii="Times New Roman" w:hAnsi="Times New Roman" w:cs="Times New Roman"/>
          <w:b/>
          <w:bCs/>
          <w:sz w:val="36"/>
          <w:szCs w:val="36"/>
        </w:rPr>
      </w:pPr>
      <w:r>
        <w:rPr>
          <w:rFonts w:ascii="Times New Roman" w:hAnsi="Times New Roman" w:cs="Times New Roman"/>
          <w:b/>
          <w:bCs/>
          <w:sz w:val="36"/>
          <w:szCs w:val="36"/>
        </w:rPr>
        <w:t>残疾人福利性单位声明函</w:t>
      </w:r>
    </w:p>
    <w:p/>
    <w:p>
      <w:pPr>
        <w:snapToGrid w:val="0"/>
        <w:spacing w:line="360" w:lineRule="auto"/>
        <w:ind w:firstLine="560" w:firstLineChars="200"/>
        <w:rPr>
          <w:sz w:val="28"/>
          <w:szCs w:val="28"/>
        </w:rPr>
      </w:pPr>
      <w:r>
        <w:rPr>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sz w:val="28"/>
          <w:szCs w:val="28"/>
        </w:rPr>
      </w:pPr>
      <w:r>
        <w:rPr>
          <w:sz w:val="28"/>
          <w:szCs w:val="28"/>
        </w:rPr>
        <w:t>本单位对上述声明的真实性负责。如有虚假，将依法承担相应责任。</w:t>
      </w:r>
    </w:p>
    <w:p>
      <w:pPr>
        <w:snapToGrid w:val="0"/>
        <w:spacing w:line="360" w:lineRule="auto"/>
        <w:ind w:firstLine="560" w:firstLineChars="200"/>
        <w:rPr>
          <w:sz w:val="28"/>
          <w:szCs w:val="28"/>
        </w:rPr>
      </w:pPr>
    </w:p>
    <w:p>
      <w:pPr>
        <w:spacing w:line="588" w:lineRule="exact"/>
        <w:ind w:firstLine="624" w:firstLineChars="200"/>
        <w:rPr>
          <w:spacing w:val="6"/>
          <w:sz w:val="30"/>
          <w:szCs w:val="30"/>
        </w:rPr>
      </w:pPr>
    </w:p>
    <w:p>
      <w:pPr>
        <w:pStyle w:val="31"/>
        <w:spacing w:line="460" w:lineRule="exact"/>
        <w:ind w:left="274" w:leftChars="114"/>
        <w:jc w:val="center"/>
        <w:rPr>
          <w:rFonts w:ascii="Times New Roman" w:hAnsi="Times New Roman" w:cs="Times New Roman"/>
          <w:sz w:val="28"/>
          <w:szCs w:val="28"/>
        </w:rPr>
      </w:pPr>
      <w:r>
        <w:rPr>
          <w:rFonts w:ascii="Times New Roman" w:hAnsi="Times New Roman" w:cs="Times New Roman"/>
          <w:sz w:val="28"/>
          <w:szCs w:val="28"/>
        </w:rPr>
        <w:t>投标人名称（电子签章）：</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pPr>
        <w:pStyle w:val="31"/>
        <w:spacing w:line="460" w:lineRule="exact"/>
        <w:ind w:left="274" w:leftChars="114"/>
        <w:jc w:val="center"/>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日 期：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年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月   </w:t>
      </w:r>
      <w:r>
        <w:rPr>
          <w:rFonts w:hint="eastAsia" w:ascii="Times New Roman" w:hAnsi="Times New Roman" w:cs="Times New Roman"/>
          <w:sz w:val="28"/>
          <w:szCs w:val="28"/>
        </w:rPr>
        <w:t xml:space="preserve"> </w:t>
      </w:r>
      <w:r>
        <w:rPr>
          <w:rFonts w:ascii="Times New Roman" w:hAnsi="Times New Roman" w:cs="Times New Roman"/>
          <w:sz w:val="28"/>
          <w:szCs w:val="28"/>
        </w:rPr>
        <w:t>日</w:t>
      </w: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0"/>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Dutch801 Rm BT">
    <w:panose1 w:val="02020603060505020304"/>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兰亭黑简体">
    <w:altName w:val="微软雅黑"/>
    <w:panose1 w:val="020B0604020202020204"/>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8797"/>
    </w:sdtPr>
    <w:sdtContent>
      <w:p>
        <w:pPr>
          <w:pStyle w:val="37"/>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B47DA"/>
    <w:multiLevelType w:val="singleLevel"/>
    <w:tmpl w:val="902B47DA"/>
    <w:lvl w:ilvl="0" w:tentative="0">
      <w:start w:val="3"/>
      <w:numFmt w:val="chineseCounting"/>
      <w:suff w:val="nothing"/>
      <w:lvlText w:val="%1、"/>
      <w:lvlJc w:val="left"/>
      <w:pPr>
        <w:ind w:left="58"/>
      </w:pPr>
      <w:rPr>
        <w:rFonts w:hint="eastAsia"/>
      </w:rPr>
    </w:lvl>
  </w:abstractNum>
  <w:abstractNum w:abstractNumId="1">
    <w:nsid w:val="BB832549"/>
    <w:multiLevelType w:val="singleLevel"/>
    <w:tmpl w:val="BB832549"/>
    <w:lvl w:ilvl="0" w:tentative="0">
      <w:start w:val="1"/>
      <w:numFmt w:val="decimal"/>
      <w:lvlText w:val="%1."/>
      <w:lvlJc w:val="left"/>
      <w:pPr>
        <w:tabs>
          <w:tab w:val="left" w:pos="312"/>
        </w:tabs>
      </w:pPr>
    </w:lvl>
  </w:abstractNum>
  <w:abstractNum w:abstractNumId="2">
    <w:nsid w:val="D8DAC1B3"/>
    <w:multiLevelType w:val="singleLevel"/>
    <w:tmpl w:val="D8DAC1B3"/>
    <w:lvl w:ilvl="0" w:tentative="0">
      <w:start w:val="1"/>
      <w:numFmt w:val="decimal"/>
      <w:lvlText w:val="%1."/>
      <w:lvlJc w:val="left"/>
      <w:pPr>
        <w:tabs>
          <w:tab w:val="left" w:pos="312"/>
        </w:tabs>
      </w:pPr>
    </w:lvl>
  </w:abstractNum>
  <w:abstractNum w:abstractNumId="3">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6"/>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6058B532"/>
    <w:multiLevelType w:val="singleLevel"/>
    <w:tmpl w:val="6058B532"/>
    <w:lvl w:ilvl="0" w:tentative="0">
      <w:start w:val="1"/>
      <w:numFmt w:val="decimal"/>
      <w:lvlText w:val="%1."/>
      <w:lvlJc w:val="left"/>
      <w:pPr>
        <w:tabs>
          <w:tab w:val="left" w:pos="312"/>
        </w:tabs>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2QzYzRjYzJmNGM3NmVhMTUxYWVjZDQ3YTAyMjQifQ=="/>
  </w:docVars>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1EE"/>
    <w:rsid w:val="00055369"/>
    <w:rsid w:val="000556FB"/>
    <w:rsid w:val="000559BF"/>
    <w:rsid w:val="00055A7D"/>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2DC"/>
    <w:rsid w:val="0007737D"/>
    <w:rsid w:val="000777BC"/>
    <w:rsid w:val="0008039C"/>
    <w:rsid w:val="00080597"/>
    <w:rsid w:val="00080AB5"/>
    <w:rsid w:val="00080C6C"/>
    <w:rsid w:val="00080DB3"/>
    <w:rsid w:val="00080F4C"/>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7206"/>
    <w:rsid w:val="0009723E"/>
    <w:rsid w:val="000973A6"/>
    <w:rsid w:val="00097B17"/>
    <w:rsid w:val="00097B83"/>
    <w:rsid w:val="000A05E8"/>
    <w:rsid w:val="000A0616"/>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85E"/>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D0"/>
    <w:rsid w:val="000E5EA0"/>
    <w:rsid w:val="000E74E9"/>
    <w:rsid w:val="000E75DA"/>
    <w:rsid w:val="000E7BAD"/>
    <w:rsid w:val="000E7F35"/>
    <w:rsid w:val="000F0104"/>
    <w:rsid w:val="000F0139"/>
    <w:rsid w:val="000F0316"/>
    <w:rsid w:val="000F0E74"/>
    <w:rsid w:val="000F1086"/>
    <w:rsid w:val="000F1597"/>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4FBE"/>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BA3"/>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B8"/>
    <w:rsid w:val="001A71CA"/>
    <w:rsid w:val="001A7202"/>
    <w:rsid w:val="001A72B0"/>
    <w:rsid w:val="001A72BC"/>
    <w:rsid w:val="001A7597"/>
    <w:rsid w:val="001A7826"/>
    <w:rsid w:val="001A79A1"/>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1F38"/>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5DC0"/>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E8B"/>
    <w:rsid w:val="002901EF"/>
    <w:rsid w:val="00290478"/>
    <w:rsid w:val="00290665"/>
    <w:rsid w:val="002909E4"/>
    <w:rsid w:val="002909F0"/>
    <w:rsid w:val="00290BCE"/>
    <w:rsid w:val="002919B8"/>
    <w:rsid w:val="00291A8A"/>
    <w:rsid w:val="002924FE"/>
    <w:rsid w:val="00292557"/>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01A"/>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CD3"/>
    <w:rsid w:val="002D4F00"/>
    <w:rsid w:val="002D5038"/>
    <w:rsid w:val="002D5294"/>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4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C0C"/>
    <w:rsid w:val="002E5F2C"/>
    <w:rsid w:val="002E6279"/>
    <w:rsid w:val="002E6498"/>
    <w:rsid w:val="002E68A0"/>
    <w:rsid w:val="002E6A94"/>
    <w:rsid w:val="002E6C4D"/>
    <w:rsid w:val="002E6C76"/>
    <w:rsid w:val="002E7119"/>
    <w:rsid w:val="002E7277"/>
    <w:rsid w:val="002E7964"/>
    <w:rsid w:val="002E7A5D"/>
    <w:rsid w:val="002E7A85"/>
    <w:rsid w:val="002F04DA"/>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7D4"/>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520"/>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0F52"/>
    <w:rsid w:val="003B108D"/>
    <w:rsid w:val="003B125E"/>
    <w:rsid w:val="003B13CC"/>
    <w:rsid w:val="003B19D2"/>
    <w:rsid w:val="003B1B62"/>
    <w:rsid w:val="003B1B8E"/>
    <w:rsid w:val="003B1DFB"/>
    <w:rsid w:val="003B22BA"/>
    <w:rsid w:val="003B267B"/>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153"/>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07EF7"/>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AE9"/>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682"/>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38D"/>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AC"/>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1CD"/>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462"/>
    <w:rsid w:val="00550674"/>
    <w:rsid w:val="005509F2"/>
    <w:rsid w:val="00550A7E"/>
    <w:rsid w:val="00550AE6"/>
    <w:rsid w:val="00550BA5"/>
    <w:rsid w:val="0055111F"/>
    <w:rsid w:val="00551171"/>
    <w:rsid w:val="0055131A"/>
    <w:rsid w:val="00551643"/>
    <w:rsid w:val="005517ED"/>
    <w:rsid w:val="00551AE8"/>
    <w:rsid w:val="00552211"/>
    <w:rsid w:val="005522E5"/>
    <w:rsid w:val="00552FBC"/>
    <w:rsid w:val="0055314C"/>
    <w:rsid w:val="00553942"/>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87"/>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04"/>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505"/>
    <w:rsid w:val="0061395D"/>
    <w:rsid w:val="006139FF"/>
    <w:rsid w:val="0061407A"/>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52E"/>
    <w:rsid w:val="00625589"/>
    <w:rsid w:val="006255E0"/>
    <w:rsid w:val="006257DB"/>
    <w:rsid w:val="00625851"/>
    <w:rsid w:val="00625C85"/>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00F"/>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51B"/>
    <w:rsid w:val="00677812"/>
    <w:rsid w:val="006778E8"/>
    <w:rsid w:val="00680007"/>
    <w:rsid w:val="0068029E"/>
    <w:rsid w:val="006807F3"/>
    <w:rsid w:val="00680866"/>
    <w:rsid w:val="0068093E"/>
    <w:rsid w:val="00680984"/>
    <w:rsid w:val="00681035"/>
    <w:rsid w:val="006810EF"/>
    <w:rsid w:val="00681448"/>
    <w:rsid w:val="00681636"/>
    <w:rsid w:val="00681AD9"/>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3FE"/>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F35"/>
    <w:rsid w:val="006E2115"/>
    <w:rsid w:val="006E21DB"/>
    <w:rsid w:val="006E28C2"/>
    <w:rsid w:val="006E2A6C"/>
    <w:rsid w:val="006E2AE3"/>
    <w:rsid w:val="006E2C41"/>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BD1"/>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259"/>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EA9"/>
    <w:rsid w:val="00753F44"/>
    <w:rsid w:val="00754092"/>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6217"/>
    <w:rsid w:val="00766CC5"/>
    <w:rsid w:val="00766F68"/>
    <w:rsid w:val="007675FC"/>
    <w:rsid w:val="007677B5"/>
    <w:rsid w:val="00770897"/>
    <w:rsid w:val="00770941"/>
    <w:rsid w:val="00770B53"/>
    <w:rsid w:val="00771685"/>
    <w:rsid w:val="00771AF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E81"/>
    <w:rsid w:val="00785F42"/>
    <w:rsid w:val="00785FE6"/>
    <w:rsid w:val="00786251"/>
    <w:rsid w:val="00786317"/>
    <w:rsid w:val="0078637B"/>
    <w:rsid w:val="007864CD"/>
    <w:rsid w:val="00786B62"/>
    <w:rsid w:val="00787193"/>
    <w:rsid w:val="00787839"/>
    <w:rsid w:val="00787FBF"/>
    <w:rsid w:val="0079005F"/>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D8A"/>
    <w:rsid w:val="007969A5"/>
    <w:rsid w:val="00796B73"/>
    <w:rsid w:val="00796C60"/>
    <w:rsid w:val="00797816"/>
    <w:rsid w:val="007979E7"/>
    <w:rsid w:val="00797A47"/>
    <w:rsid w:val="00797A6B"/>
    <w:rsid w:val="00797DC3"/>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13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7DB"/>
    <w:rsid w:val="008068E8"/>
    <w:rsid w:val="008069AC"/>
    <w:rsid w:val="00806CCC"/>
    <w:rsid w:val="00806E78"/>
    <w:rsid w:val="00806F42"/>
    <w:rsid w:val="0080738B"/>
    <w:rsid w:val="00807DA8"/>
    <w:rsid w:val="008100BB"/>
    <w:rsid w:val="00810629"/>
    <w:rsid w:val="008109A2"/>
    <w:rsid w:val="00810D48"/>
    <w:rsid w:val="0081133A"/>
    <w:rsid w:val="0081201E"/>
    <w:rsid w:val="008120D5"/>
    <w:rsid w:val="008127E8"/>
    <w:rsid w:val="00812AD3"/>
    <w:rsid w:val="00813704"/>
    <w:rsid w:val="0081375D"/>
    <w:rsid w:val="008138CD"/>
    <w:rsid w:val="0081392F"/>
    <w:rsid w:val="00813962"/>
    <w:rsid w:val="00813D9F"/>
    <w:rsid w:val="00814987"/>
    <w:rsid w:val="008149E8"/>
    <w:rsid w:val="00814E9E"/>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076"/>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699"/>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7F8"/>
    <w:rsid w:val="008C5C29"/>
    <w:rsid w:val="008C606B"/>
    <w:rsid w:val="008C61E5"/>
    <w:rsid w:val="008C62D3"/>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980"/>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CDE"/>
    <w:rsid w:val="00925ED2"/>
    <w:rsid w:val="009263FB"/>
    <w:rsid w:val="00926AC2"/>
    <w:rsid w:val="00926B75"/>
    <w:rsid w:val="00926C40"/>
    <w:rsid w:val="009270FB"/>
    <w:rsid w:val="00927314"/>
    <w:rsid w:val="00927470"/>
    <w:rsid w:val="0092797D"/>
    <w:rsid w:val="00927BB5"/>
    <w:rsid w:val="00927E3A"/>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505"/>
    <w:rsid w:val="009456AC"/>
    <w:rsid w:val="00945BF5"/>
    <w:rsid w:val="00945CD4"/>
    <w:rsid w:val="00945EA5"/>
    <w:rsid w:val="0094663E"/>
    <w:rsid w:val="009467ED"/>
    <w:rsid w:val="00946B04"/>
    <w:rsid w:val="00946F16"/>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1D"/>
    <w:rsid w:val="0095187A"/>
    <w:rsid w:val="00951A17"/>
    <w:rsid w:val="00951B78"/>
    <w:rsid w:val="00951B86"/>
    <w:rsid w:val="00951DAE"/>
    <w:rsid w:val="00951FA3"/>
    <w:rsid w:val="00952D9D"/>
    <w:rsid w:val="00952E6C"/>
    <w:rsid w:val="00953228"/>
    <w:rsid w:val="0095336D"/>
    <w:rsid w:val="00953536"/>
    <w:rsid w:val="009536E1"/>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52E0"/>
    <w:rsid w:val="009A55E3"/>
    <w:rsid w:val="009A5B56"/>
    <w:rsid w:val="009A5C85"/>
    <w:rsid w:val="009A5D7E"/>
    <w:rsid w:val="009A616D"/>
    <w:rsid w:val="009A6ED3"/>
    <w:rsid w:val="009A7255"/>
    <w:rsid w:val="009A758C"/>
    <w:rsid w:val="009A766B"/>
    <w:rsid w:val="009A79F2"/>
    <w:rsid w:val="009A7CAA"/>
    <w:rsid w:val="009A7E88"/>
    <w:rsid w:val="009A7EE7"/>
    <w:rsid w:val="009A7F95"/>
    <w:rsid w:val="009B0160"/>
    <w:rsid w:val="009B0180"/>
    <w:rsid w:val="009B0398"/>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09B"/>
    <w:rsid w:val="009B574F"/>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00A"/>
    <w:rsid w:val="009F7189"/>
    <w:rsid w:val="009F7347"/>
    <w:rsid w:val="009F7357"/>
    <w:rsid w:val="009F752D"/>
    <w:rsid w:val="009F7987"/>
    <w:rsid w:val="009F7B02"/>
    <w:rsid w:val="009F7B60"/>
    <w:rsid w:val="009F7E1D"/>
    <w:rsid w:val="009F7FAC"/>
    <w:rsid w:val="009F7FE4"/>
    <w:rsid w:val="00A00212"/>
    <w:rsid w:val="00A00260"/>
    <w:rsid w:val="00A002D7"/>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A2F"/>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6EE2"/>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F07"/>
    <w:rsid w:val="00A50450"/>
    <w:rsid w:val="00A507FE"/>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703A"/>
    <w:rsid w:val="00A5773F"/>
    <w:rsid w:val="00A57F36"/>
    <w:rsid w:val="00A602EA"/>
    <w:rsid w:val="00A6070A"/>
    <w:rsid w:val="00A60715"/>
    <w:rsid w:val="00A60933"/>
    <w:rsid w:val="00A60D4C"/>
    <w:rsid w:val="00A6165B"/>
    <w:rsid w:val="00A61928"/>
    <w:rsid w:val="00A61953"/>
    <w:rsid w:val="00A61A8E"/>
    <w:rsid w:val="00A61D69"/>
    <w:rsid w:val="00A62092"/>
    <w:rsid w:val="00A620EB"/>
    <w:rsid w:val="00A621CC"/>
    <w:rsid w:val="00A62430"/>
    <w:rsid w:val="00A62606"/>
    <w:rsid w:val="00A627AA"/>
    <w:rsid w:val="00A628EB"/>
    <w:rsid w:val="00A629E9"/>
    <w:rsid w:val="00A62AEB"/>
    <w:rsid w:val="00A62C9E"/>
    <w:rsid w:val="00A62FB0"/>
    <w:rsid w:val="00A6305C"/>
    <w:rsid w:val="00A637A0"/>
    <w:rsid w:val="00A638F4"/>
    <w:rsid w:val="00A63CCC"/>
    <w:rsid w:val="00A6429A"/>
    <w:rsid w:val="00A6437C"/>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87A"/>
    <w:rsid w:val="00AA4EC3"/>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122"/>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2E95"/>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3B3"/>
    <w:rsid w:val="00AE2521"/>
    <w:rsid w:val="00AE25A0"/>
    <w:rsid w:val="00AE3116"/>
    <w:rsid w:val="00AE3243"/>
    <w:rsid w:val="00AE3457"/>
    <w:rsid w:val="00AE3D4E"/>
    <w:rsid w:val="00AE3E51"/>
    <w:rsid w:val="00AE3E7F"/>
    <w:rsid w:val="00AE42DE"/>
    <w:rsid w:val="00AE4881"/>
    <w:rsid w:val="00AE495E"/>
    <w:rsid w:val="00AE49AE"/>
    <w:rsid w:val="00AE4C85"/>
    <w:rsid w:val="00AE54CF"/>
    <w:rsid w:val="00AE5726"/>
    <w:rsid w:val="00AE5D0E"/>
    <w:rsid w:val="00AE5E0B"/>
    <w:rsid w:val="00AE600D"/>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4AF"/>
    <w:rsid w:val="00B21876"/>
    <w:rsid w:val="00B21AEA"/>
    <w:rsid w:val="00B21D65"/>
    <w:rsid w:val="00B21FE6"/>
    <w:rsid w:val="00B22973"/>
    <w:rsid w:val="00B2312D"/>
    <w:rsid w:val="00B23344"/>
    <w:rsid w:val="00B23718"/>
    <w:rsid w:val="00B23916"/>
    <w:rsid w:val="00B23C08"/>
    <w:rsid w:val="00B23F70"/>
    <w:rsid w:val="00B243C8"/>
    <w:rsid w:val="00B24900"/>
    <w:rsid w:val="00B24CCA"/>
    <w:rsid w:val="00B24E82"/>
    <w:rsid w:val="00B24EEC"/>
    <w:rsid w:val="00B24F52"/>
    <w:rsid w:val="00B2508F"/>
    <w:rsid w:val="00B250A9"/>
    <w:rsid w:val="00B25271"/>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83"/>
    <w:rsid w:val="00B337C8"/>
    <w:rsid w:val="00B339A4"/>
    <w:rsid w:val="00B3424B"/>
    <w:rsid w:val="00B34318"/>
    <w:rsid w:val="00B344E8"/>
    <w:rsid w:val="00B3458A"/>
    <w:rsid w:val="00B349DC"/>
    <w:rsid w:val="00B34A98"/>
    <w:rsid w:val="00B35013"/>
    <w:rsid w:val="00B35170"/>
    <w:rsid w:val="00B354B6"/>
    <w:rsid w:val="00B35AFF"/>
    <w:rsid w:val="00B35C75"/>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5B"/>
    <w:rsid w:val="00B50FD1"/>
    <w:rsid w:val="00B51324"/>
    <w:rsid w:val="00B519C8"/>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873"/>
    <w:rsid w:val="00B64C94"/>
    <w:rsid w:val="00B64CE9"/>
    <w:rsid w:val="00B64D3C"/>
    <w:rsid w:val="00B65102"/>
    <w:rsid w:val="00B653F3"/>
    <w:rsid w:val="00B65D83"/>
    <w:rsid w:val="00B662CD"/>
    <w:rsid w:val="00B6639D"/>
    <w:rsid w:val="00B663A4"/>
    <w:rsid w:val="00B66F2F"/>
    <w:rsid w:val="00B672A4"/>
    <w:rsid w:val="00B67316"/>
    <w:rsid w:val="00B675DE"/>
    <w:rsid w:val="00B678DF"/>
    <w:rsid w:val="00B67AB4"/>
    <w:rsid w:val="00B67CC2"/>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33C"/>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2BC9"/>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CF3"/>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B3"/>
    <w:rsid w:val="00BF51E5"/>
    <w:rsid w:val="00BF595C"/>
    <w:rsid w:val="00BF5A32"/>
    <w:rsid w:val="00BF5A70"/>
    <w:rsid w:val="00BF5BC8"/>
    <w:rsid w:val="00BF61E0"/>
    <w:rsid w:val="00BF61EB"/>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F80"/>
    <w:rsid w:val="00C010F5"/>
    <w:rsid w:val="00C01214"/>
    <w:rsid w:val="00C01437"/>
    <w:rsid w:val="00C018AA"/>
    <w:rsid w:val="00C018E4"/>
    <w:rsid w:val="00C01C4F"/>
    <w:rsid w:val="00C021BD"/>
    <w:rsid w:val="00C02218"/>
    <w:rsid w:val="00C024D3"/>
    <w:rsid w:val="00C02F26"/>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E78"/>
    <w:rsid w:val="00C17150"/>
    <w:rsid w:val="00C17205"/>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3DA"/>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CA8"/>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67F62"/>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2EF"/>
    <w:rsid w:val="00C8143E"/>
    <w:rsid w:val="00C814B8"/>
    <w:rsid w:val="00C81A50"/>
    <w:rsid w:val="00C82018"/>
    <w:rsid w:val="00C820EC"/>
    <w:rsid w:val="00C82130"/>
    <w:rsid w:val="00C82383"/>
    <w:rsid w:val="00C8255E"/>
    <w:rsid w:val="00C8282B"/>
    <w:rsid w:val="00C83089"/>
    <w:rsid w:val="00C836F8"/>
    <w:rsid w:val="00C838C2"/>
    <w:rsid w:val="00C838E2"/>
    <w:rsid w:val="00C83B87"/>
    <w:rsid w:val="00C83CF3"/>
    <w:rsid w:val="00C848A7"/>
    <w:rsid w:val="00C84BB1"/>
    <w:rsid w:val="00C84D6C"/>
    <w:rsid w:val="00C85814"/>
    <w:rsid w:val="00C85DB7"/>
    <w:rsid w:val="00C85E67"/>
    <w:rsid w:val="00C85F4F"/>
    <w:rsid w:val="00C8611B"/>
    <w:rsid w:val="00C867EF"/>
    <w:rsid w:val="00C86B19"/>
    <w:rsid w:val="00C86D14"/>
    <w:rsid w:val="00C87017"/>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C80"/>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4F99"/>
    <w:rsid w:val="00CA5085"/>
    <w:rsid w:val="00CA5148"/>
    <w:rsid w:val="00CA5202"/>
    <w:rsid w:val="00CA5A6A"/>
    <w:rsid w:val="00CA5C84"/>
    <w:rsid w:val="00CA631B"/>
    <w:rsid w:val="00CA63C9"/>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1A"/>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3ED"/>
    <w:rsid w:val="00CE772F"/>
    <w:rsid w:val="00CE7A3B"/>
    <w:rsid w:val="00CE7D5C"/>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4049"/>
    <w:rsid w:val="00D44902"/>
    <w:rsid w:val="00D44AF1"/>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094"/>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1E1"/>
    <w:rsid w:val="00D534BD"/>
    <w:rsid w:val="00D53550"/>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1B9"/>
    <w:rsid w:val="00D81569"/>
    <w:rsid w:val="00D815FF"/>
    <w:rsid w:val="00D81841"/>
    <w:rsid w:val="00D8196F"/>
    <w:rsid w:val="00D819DD"/>
    <w:rsid w:val="00D81FAD"/>
    <w:rsid w:val="00D827A2"/>
    <w:rsid w:val="00D82A5C"/>
    <w:rsid w:val="00D83088"/>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7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6"/>
    <w:rsid w:val="00DD7C9F"/>
    <w:rsid w:val="00DD7FD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E3B"/>
    <w:rsid w:val="00DF4E70"/>
    <w:rsid w:val="00DF4FAA"/>
    <w:rsid w:val="00DF5142"/>
    <w:rsid w:val="00DF5585"/>
    <w:rsid w:val="00DF5813"/>
    <w:rsid w:val="00DF58FA"/>
    <w:rsid w:val="00DF5961"/>
    <w:rsid w:val="00DF5A72"/>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3DF"/>
    <w:rsid w:val="00E0342A"/>
    <w:rsid w:val="00E03536"/>
    <w:rsid w:val="00E03872"/>
    <w:rsid w:val="00E039C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2E4"/>
    <w:rsid w:val="00E10DCE"/>
    <w:rsid w:val="00E10F22"/>
    <w:rsid w:val="00E10F5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082"/>
    <w:rsid w:val="00E73124"/>
    <w:rsid w:val="00E73424"/>
    <w:rsid w:val="00E7365F"/>
    <w:rsid w:val="00E73762"/>
    <w:rsid w:val="00E739C4"/>
    <w:rsid w:val="00E739D8"/>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8D3"/>
    <w:rsid w:val="00E91934"/>
    <w:rsid w:val="00E91C28"/>
    <w:rsid w:val="00E91F76"/>
    <w:rsid w:val="00E91FB1"/>
    <w:rsid w:val="00E921BC"/>
    <w:rsid w:val="00E921D1"/>
    <w:rsid w:val="00E925DB"/>
    <w:rsid w:val="00E926B5"/>
    <w:rsid w:val="00E92C17"/>
    <w:rsid w:val="00E93052"/>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2B2"/>
    <w:rsid w:val="00ED34A0"/>
    <w:rsid w:val="00ED3661"/>
    <w:rsid w:val="00ED37D4"/>
    <w:rsid w:val="00ED3BCC"/>
    <w:rsid w:val="00ED3D74"/>
    <w:rsid w:val="00ED3EAA"/>
    <w:rsid w:val="00ED427B"/>
    <w:rsid w:val="00ED4C37"/>
    <w:rsid w:val="00ED5353"/>
    <w:rsid w:val="00ED551D"/>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738"/>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157"/>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C40"/>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B4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55"/>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BDB"/>
    <w:rsid w:val="00FF0F2B"/>
    <w:rsid w:val="00FF0F6A"/>
    <w:rsid w:val="00FF0F6C"/>
    <w:rsid w:val="00FF1789"/>
    <w:rsid w:val="00FF18C9"/>
    <w:rsid w:val="00FF19BD"/>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8529B4"/>
    <w:rsid w:val="01AC7B14"/>
    <w:rsid w:val="01DE4ECE"/>
    <w:rsid w:val="01E12AAD"/>
    <w:rsid w:val="020E18BD"/>
    <w:rsid w:val="023D2E2D"/>
    <w:rsid w:val="02586DCE"/>
    <w:rsid w:val="027125A2"/>
    <w:rsid w:val="027D7D34"/>
    <w:rsid w:val="028939B3"/>
    <w:rsid w:val="02B713E7"/>
    <w:rsid w:val="02D22AD8"/>
    <w:rsid w:val="02F65B82"/>
    <w:rsid w:val="04320AD2"/>
    <w:rsid w:val="045114D0"/>
    <w:rsid w:val="0456036D"/>
    <w:rsid w:val="04BB298F"/>
    <w:rsid w:val="04CA0807"/>
    <w:rsid w:val="04F8642A"/>
    <w:rsid w:val="05673A0B"/>
    <w:rsid w:val="060B4078"/>
    <w:rsid w:val="06253D34"/>
    <w:rsid w:val="063F1A72"/>
    <w:rsid w:val="06EA3271"/>
    <w:rsid w:val="06FF6B3B"/>
    <w:rsid w:val="07854716"/>
    <w:rsid w:val="07A170B8"/>
    <w:rsid w:val="08950206"/>
    <w:rsid w:val="08CA6DC7"/>
    <w:rsid w:val="09021B37"/>
    <w:rsid w:val="09091AAB"/>
    <w:rsid w:val="096A52F9"/>
    <w:rsid w:val="0A50541C"/>
    <w:rsid w:val="0A945A74"/>
    <w:rsid w:val="0B22261C"/>
    <w:rsid w:val="0B444337"/>
    <w:rsid w:val="0B7D2976"/>
    <w:rsid w:val="0BE02A3D"/>
    <w:rsid w:val="0BF8040D"/>
    <w:rsid w:val="0C5D7941"/>
    <w:rsid w:val="0C726359"/>
    <w:rsid w:val="0C79434C"/>
    <w:rsid w:val="0C850E6F"/>
    <w:rsid w:val="0D4E4B08"/>
    <w:rsid w:val="0D6F195E"/>
    <w:rsid w:val="0DA337C7"/>
    <w:rsid w:val="0DD2246A"/>
    <w:rsid w:val="0E544C71"/>
    <w:rsid w:val="0E7F4560"/>
    <w:rsid w:val="0EF747DF"/>
    <w:rsid w:val="0EFB4C56"/>
    <w:rsid w:val="0F7518C9"/>
    <w:rsid w:val="0F846179"/>
    <w:rsid w:val="0FAA0377"/>
    <w:rsid w:val="10A22B38"/>
    <w:rsid w:val="11327F8F"/>
    <w:rsid w:val="113767C0"/>
    <w:rsid w:val="124C1D82"/>
    <w:rsid w:val="12841571"/>
    <w:rsid w:val="12A84AA7"/>
    <w:rsid w:val="12AD4BAF"/>
    <w:rsid w:val="12BF7372"/>
    <w:rsid w:val="12C43695"/>
    <w:rsid w:val="12C856CF"/>
    <w:rsid w:val="12D312B6"/>
    <w:rsid w:val="12DB6374"/>
    <w:rsid w:val="1301218E"/>
    <w:rsid w:val="13074B89"/>
    <w:rsid w:val="131A290F"/>
    <w:rsid w:val="13BC1154"/>
    <w:rsid w:val="148B4F67"/>
    <w:rsid w:val="148E0073"/>
    <w:rsid w:val="14C16114"/>
    <w:rsid w:val="14FD0A9C"/>
    <w:rsid w:val="1515071F"/>
    <w:rsid w:val="154A4194"/>
    <w:rsid w:val="15D04F5C"/>
    <w:rsid w:val="16052B78"/>
    <w:rsid w:val="160E39EE"/>
    <w:rsid w:val="161567DC"/>
    <w:rsid w:val="1674575B"/>
    <w:rsid w:val="169601DF"/>
    <w:rsid w:val="169B3532"/>
    <w:rsid w:val="16FF07C3"/>
    <w:rsid w:val="17152445"/>
    <w:rsid w:val="172A4898"/>
    <w:rsid w:val="175E3075"/>
    <w:rsid w:val="187A67E4"/>
    <w:rsid w:val="18EE068E"/>
    <w:rsid w:val="1909682D"/>
    <w:rsid w:val="19280A44"/>
    <w:rsid w:val="19713818"/>
    <w:rsid w:val="19C625BC"/>
    <w:rsid w:val="19F6088D"/>
    <w:rsid w:val="1A055EF5"/>
    <w:rsid w:val="1B4D27CF"/>
    <w:rsid w:val="1C0E655B"/>
    <w:rsid w:val="1C353069"/>
    <w:rsid w:val="1CC02D30"/>
    <w:rsid w:val="1D1952CF"/>
    <w:rsid w:val="1D4A443B"/>
    <w:rsid w:val="1D7258CC"/>
    <w:rsid w:val="1DFB7F87"/>
    <w:rsid w:val="1E941CCC"/>
    <w:rsid w:val="1EE513F6"/>
    <w:rsid w:val="1F126B05"/>
    <w:rsid w:val="1F162294"/>
    <w:rsid w:val="1F26710E"/>
    <w:rsid w:val="1F7D0C63"/>
    <w:rsid w:val="1F82572C"/>
    <w:rsid w:val="1FC6016B"/>
    <w:rsid w:val="202104E0"/>
    <w:rsid w:val="202E120E"/>
    <w:rsid w:val="20B56A2C"/>
    <w:rsid w:val="2111539E"/>
    <w:rsid w:val="21201FA6"/>
    <w:rsid w:val="219D34AE"/>
    <w:rsid w:val="21C63924"/>
    <w:rsid w:val="2248323A"/>
    <w:rsid w:val="23AD0CCB"/>
    <w:rsid w:val="23FF6FC2"/>
    <w:rsid w:val="24276909"/>
    <w:rsid w:val="24E43759"/>
    <w:rsid w:val="25134482"/>
    <w:rsid w:val="25520D67"/>
    <w:rsid w:val="2565030D"/>
    <w:rsid w:val="25B25C72"/>
    <w:rsid w:val="25DB61BD"/>
    <w:rsid w:val="26116B73"/>
    <w:rsid w:val="26442D52"/>
    <w:rsid w:val="268E61C6"/>
    <w:rsid w:val="273177B6"/>
    <w:rsid w:val="28257C9E"/>
    <w:rsid w:val="287E4090"/>
    <w:rsid w:val="28D8378A"/>
    <w:rsid w:val="294E6051"/>
    <w:rsid w:val="294F209A"/>
    <w:rsid w:val="297B7334"/>
    <w:rsid w:val="29BC46C0"/>
    <w:rsid w:val="29C261AC"/>
    <w:rsid w:val="29E73412"/>
    <w:rsid w:val="29E75B05"/>
    <w:rsid w:val="29F344B7"/>
    <w:rsid w:val="2A822F09"/>
    <w:rsid w:val="2ADB17E0"/>
    <w:rsid w:val="2AF306F7"/>
    <w:rsid w:val="2B34764C"/>
    <w:rsid w:val="2B38497C"/>
    <w:rsid w:val="2B9E02F7"/>
    <w:rsid w:val="2BC57252"/>
    <w:rsid w:val="2BD138AE"/>
    <w:rsid w:val="2BE128DA"/>
    <w:rsid w:val="2C192E2F"/>
    <w:rsid w:val="2C3B2551"/>
    <w:rsid w:val="2CD011B9"/>
    <w:rsid w:val="2D0202C4"/>
    <w:rsid w:val="2DD7185C"/>
    <w:rsid w:val="2E095920"/>
    <w:rsid w:val="2E1032C7"/>
    <w:rsid w:val="2E340B5D"/>
    <w:rsid w:val="2E436F91"/>
    <w:rsid w:val="2E614A9C"/>
    <w:rsid w:val="2E846266"/>
    <w:rsid w:val="2EC23956"/>
    <w:rsid w:val="2ECB7A5C"/>
    <w:rsid w:val="2ECD1744"/>
    <w:rsid w:val="2ED44775"/>
    <w:rsid w:val="2EDD5B69"/>
    <w:rsid w:val="2F325C0B"/>
    <w:rsid w:val="2F8279F1"/>
    <w:rsid w:val="2FDB7433"/>
    <w:rsid w:val="301629CB"/>
    <w:rsid w:val="301F5C96"/>
    <w:rsid w:val="303D023A"/>
    <w:rsid w:val="30812569"/>
    <w:rsid w:val="30AE2533"/>
    <w:rsid w:val="30B44ED3"/>
    <w:rsid w:val="30CB6347"/>
    <w:rsid w:val="30D669E1"/>
    <w:rsid w:val="31315EA6"/>
    <w:rsid w:val="315370AA"/>
    <w:rsid w:val="32020E78"/>
    <w:rsid w:val="328A7EE9"/>
    <w:rsid w:val="3297205F"/>
    <w:rsid w:val="32B47CEB"/>
    <w:rsid w:val="32C125DB"/>
    <w:rsid w:val="32F73637"/>
    <w:rsid w:val="33716A1B"/>
    <w:rsid w:val="340C62AC"/>
    <w:rsid w:val="34276FAE"/>
    <w:rsid w:val="345A4296"/>
    <w:rsid w:val="346C2BB3"/>
    <w:rsid w:val="34E23C9A"/>
    <w:rsid w:val="358F3143"/>
    <w:rsid w:val="365D5FB6"/>
    <w:rsid w:val="374F3BA0"/>
    <w:rsid w:val="37765DAA"/>
    <w:rsid w:val="3783108C"/>
    <w:rsid w:val="378A0C60"/>
    <w:rsid w:val="37AB570F"/>
    <w:rsid w:val="37CF4E21"/>
    <w:rsid w:val="37E544F2"/>
    <w:rsid w:val="384E3F22"/>
    <w:rsid w:val="389D3837"/>
    <w:rsid w:val="38AB1352"/>
    <w:rsid w:val="38E11897"/>
    <w:rsid w:val="390C4194"/>
    <w:rsid w:val="39792262"/>
    <w:rsid w:val="39990BCC"/>
    <w:rsid w:val="39CD13C3"/>
    <w:rsid w:val="39F6323F"/>
    <w:rsid w:val="39FE388F"/>
    <w:rsid w:val="3A1140CF"/>
    <w:rsid w:val="3A397CE2"/>
    <w:rsid w:val="3A3D0AC2"/>
    <w:rsid w:val="3ABA2EFD"/>
    <w:rsid w:val="3BF77969"/>
    <w:rsid w:val="3C477781"/>
    <w:rsid w:val="3CA8168F"/>
    <w:rsid w:val="3CD73A22"/>
    <w:rsid w:val="3CE119F2"/>
    <w:rsid w:val="3CFB3D7D"/>
    <w:rsid w:val="3D0A28B0"/>
    <w:rsid w:val="3D1B21F4"/>
    <w:rsid w:val="3D4F4B56"/>
    <w:rsid w:val="3D984E7C"/>
    <w:rsid w:val="3EA33D47"/>
    <w:rsid w:val="3EB30D20"/>
    <w:rsid w:val="3F235243"/>
    <w:rsid w:val="3F411CB6"/>
    <w:rsid w:val="3F493F24"/>
    <w:rsid w:val="3FB4690F"/>
    <w:rsid w:val="3FF725EF"/>
    <w:rsid w:val="406C27D8"/>
    <w:rsid w:val="411A37CE"/>
    <w:rsid w:val="41273B5B"/>
    <w:rsid w:val="414D5B4E"/>
    <w:rsid w:val="415413B2"/>
    <w:rsid w:val="415D7F83"/>
    <w:rsid w:val="41617C05"/>
    <w:rsid w:val="41B024AC"/>
    <w:rsid w:val="42055E4C"/>
    <w:rsid w:val="4207357A"/>
    <w:rsid w:val="42193B5D"/>
    <w:rsid w:val="428D6814"/>
    <w:rsid w:val="42EC3E94"/>
    <w:rsid w:val="43065501"/>
    <w:rsid w:val="43640760"/>
    <w:rsid w:val="438F4D93"/>
    <w:rsid w:val="44255C3D"/>
    <w:rsid w:val="44A845BE"/>
    <w:rsid w:val="44F34EB6"/>
    <w:rsid w:val="450F25F9"/>
    <w:rsid w:val="451E76EF"/>
    <w:rsid w:val="453B489A"/>
    <w:rsid w:val="45527FDA"/>
    <w:rsid w:val="45760298"/>
    <w:rsid w:val="462823F5"/>
    <w:rsid w:val="46804BD6"/>
    <w:rsid w:val="46A00937"/>
    <w:rsid w:val="46A22D8D"/>
    <w:rsid w:val="46CE4F01"/>
    <w:rsid w:val="46EE143D"/>
    <w:rsid w:val="46EE66FC"/>
    <w:rsid w:val="47105B83"/>
    <w:rsid w:val="477066B1"/>
    <w:rsid w:val="47A56F0F"/>
    <w:rsid w:val="48B70426"/>
    <w:rsid w:val="48E004FF"/>
    <w:rsid w:val="48E635D8"/>
    <w:rsid w:val="49587E25"/>
    <w:rsid w:val="4A151FD5"/>
    <w:rsid w:val="4B337350"/>
    <w:rsid w:val="4BAF25AC"/>
    <w:rsid w:val="4BBB00B1"/>
    <w:rsid w:val="4C252C83"/>
    <w:rsid w:val="4C65298C"/>
    <w:rsid w:val="4C6530A7"/>
    <w:rsid w:val="4CA45761"/>
    <w:rsid w:val="4CE132A1"/>
    <w:rsid w:val="4D915B65"/>
    <w:rsid w:val="4DA63C5F"/>
    <w:rsid w:val="4DFE0852"/>
    <w:rsid w:val="4E692B55"/>
    <w:rsid w:val="4E826A10"/>
    <w:rsid w:val="4EBC62FF"/>
    <w:rsid w:val="4ED11D39"/>
    <w:rsid w:val="4EE51345"/>
    <w:rsid w:val="4F237574"/>
    <w:rsid w:val="4F9F177D"/>
    <w:rsid w:val="4FE97361"/>
    <w:rsid w:val="501129B5"/>
    <w:rsid w:val="501A1792"/>
    <w:rsid w:val="504F7772"/>
    <w:rsid w:val="5065769E"/>
    <w:rsid w:val="506D3B8D"/>
    <w:rsid w:val="509317D3"/>
    <w:rsid w:val="50A03FB3"/>
    <w:rsid w:val="50F828F3"/>
    <w:rsid w:val="519020AB"/>
    <w:rsid w:val="52271DA0"/>
    <w:rsid w:val="52532F4D"/>
    <w:rsid w:val="532F140E"/>
    <w:rsid w:val="53964A22"/>
    <w:rsid w:val="53A711D6"/>
    <w:rsid w:val="53CC2C25"/>
    <w:rsid w:val="53F77028"/>
    <w:rsid w:val="5409750E"/>
    <w:rsid w:val="545B37BC"/>
    <w:rsid w:val="54BA6F1B"/>
    <w:rsid w:val="54C54814"/>
    <w:rsid w:val="54FE1F7B"/>
    <w:rsid w:val="55EB2850"/>
    <w:rsid w:val="561D3342"/>
    <w:rsid w:val="568B1FB7"/>
    <w:rsid w:val="56D568E9"/>
    <w:rsid w:val="56F75296"/>
    <w:rsid w:val="577C0A50"/>
    <w:rsid w:val="57B036AC"/>
    <w:rsid w:val="57E234DB"/>
    <w:rsid w:val="5857493E"/>
    <w:rsid w:val="59971CF3"/>
    <w:rsid w:val="5A49135C"/>
    <w:rsid w:val="5AB76B78"/>
    <w:rsid w:val="5B475AEF"/>
    <w:rsid w:val="5B8359FB"/>
    <w:rsid w:val="5C37089D"/>
    <w:rsid w:val="5CD32D08"/>
    <w:rsid w:val="5DAB2F61"/>
    <w:rsid w:val="5DF80942"/>
    <w:rsid w:val="5E556177"/>
    <w:rsid w:val="5E616B93"/>
    <w:rsid w:val="5EB85C9C"/>
    <w:rsid w:val="5F2E3351"/>
    <w:rsid w:val="5F6019F0"/>
    <w:rsid w:val="60102521"/>
    <w:rsid w:val="60266139"/>
    <w:rsid w:val="60995E4C"/>
    <w:rsid w:val="60DE6E72"/>
    <w:rsid w:val="61AB51F7"/>
    <w:rsid w:val="621F4C38"/>
    <w:rsid w:val="624A6336"/>
    <w:rsid w:val="62DA4BD4"/>
    <w:rsid w:val="62ED0D06"/>
    <w:rsid w:val="63006CC4"/>
    <w:rsid w:val="63292665"/>
    <w:rsid w:val="63987D70"/>
    <w:rsid w:val="63C37FF6"/>
    <w:rsid w:val="63D54CBE"/>
    <w:rsid w:val="63DF79B2"/>
    <w:rsid w:val="647519DC"/>
    <w:rsid w:val="64DA7755"/>
    <w:rsid w:val="64EE71C4"/>
    <w:rsid w:val="659C7FA5"/>
    <w:rsid w:val="65BF4977"/>
    <w:rsid w:val="66201296"/>
    <w:rsid w:val="66347096"/>
    <w:rsid w:val="665C4585"/>
    <w:rsid w:val="66A43E11"/>
    <w:rsid w:val="66A54812"/>
    <w:rsid w:val="66D502FC"/>
    <w:rsid w:val="67233ED7"/>
    <w:rsid w:val="673C5317"/>
    <w:rsid w:val="67A6413B"/>
    <w:rsid w:val="6806382A"/>
    <w:rsid w:val="682B0F33"/>
    <w:rsid w:val="68305151"/>
    <w:rsid w:val="68577B89"/>
    <w:rsid w:val="68B33B09"/>
    <w:rsid w:val="69314B96"/>
    <w:rsid w:val="696944C2"/>
    <w:rsid w:val="6AF052B5"/>
    <w:rsid w:val="6B2C4A74"/>
    <w:rsid w:val="6B380223"/>
    <w:rsid w:val="6B9A72A4"/>
    <w:rsid w:val="6C382307"/>
    <w:rsid w:val="6C3A79FD"/>
    <w:rsid w:val="6CA374F3"/>
    <w:rsid w:val="6D721B2E"/>
    <w:rsid w:val="6D8B622C"/>
    <w:rsid w:val="6D8F388A"/>
    <w:rsid w:val="6D921F7D"/>
    <w:rsid w:val="6DD972D3"/>
    <w:rsid w:val="6E0557EE"/>
    <w:rsid w:val="6E151CA2"/>
    <w:rsid w:val="6E761F72"/>
    <w:rsid w:val="6E7D378E"/>
    <w:rsid w:val="6E831BEC"/>
    <w:rsid w:val="6F5870E1"/>
    <w:rsid w:val="6F645712"/>
    <w:rsid w:val="700B3968"/>
    <w:rsid w:val="70192BA8"/>
    <w:rsid w:val="70BE2264"/>
    <w:rsid w:val="70D769C7"/>
    <w:rsid w:val="71385700"/>
    <w:rsid w:val="717C7298"/>
    <w:rsid w:val="724927C5"/>
    <w:rsid w:val="728F5B6A"/>
    <w:rsid w:val="739E397D"/>
    <w:rsid w:val="73B86821"/>
    <w:rsid w:val="73DE452A"/>
    <w:rsid w:val="745A5548"/>
    <w:rsid w:val="745D090A"/>
    <w:rsid w:val="749602A9"/>
    <w:rsid w:val="751C607E"/>
    <w:rsid w:val="75912989"/>
    <w:rsid w:val="75E4175D"/>
    <w:rsid w:val="760E3640"/>
    <w:rsid w:val="764906A7"/>
    <w:rsid w:val="76725067"/>
    <w:rsid w:val="76E275A6"/>
    <w:rsid w:val="77193E72"/>
    <w:rsid w:val="77954CE5"/>
    <w:rsid w:val="78506292"/>
    <w:rsid w:val="78A559EA"/>
    <w:rsid w:val="78AC75E8"/>
    <w:rsid w:val="78E44A59"/>
    <w:rsid w:val="79090D90"/>
    <w:rsid w:val="792340AF"/>
    <w:rsid w:val="798C773A"/>
    <w:rsid w:val="79CC44D6"/>
    <w:rsid w:val="7A4A0603"/>
    <w:rsid w:val="7A4E74D7"/>
    <w:rsid w:val="7A5101BC"/>
    <w:rsid w:val="7A523FBA"/>
    <w:rsid w:val="7A624CB6"/>
    <w:rsid w:val="7AC17880"/>
    <w:rsid w:val="7ADC4DAA"/>
    <w:rsid w:val="7B64725E"/>
    <w:rsid w:val="7B6B5809"/>
    <w:rsid w:val="7B831E71"/>
    <w:rsid w:val="7BBF2554"/>
    <w:rsid w:val="7BF72387"/>
    <w:rsid w:val="7C267C71"/>
    <w:rsid w:val="7C935D0C"/>
    <w:rsid w:val="7CE47418"/>
    <w:rsid w:val="7D303E99"/>
    <w:rsid w:val="7D377B9D"/>
    <w:rsid w:val="7D8024C0"/>
    <w:rsid w:val="7DC90240"/>
    <w:rsid w:val="7F1478C7"/>
    <w:rsid w:val="7F2841C8"/>
    <w:rsid w:val="7F905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5">
    <w:name w:val="heading 1"/>
    <w:basedOn w:val="1"/>
    <w:next w:val="1"/>
    <w:link w:val="18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42"/>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link w:val="113"/>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153"/>
    <w:qFormat/>
    <w:uiPriority w:val="0"/>
    <w:pPr>
      <w:keepNext/>
      <w:keepLines/>
      <w:spacing w:before="280" w:after="290" w:line="376" w:lineRule="auto"/>
      <w:outlineLvl w:val="3"/>
    </w:pPr>
    <w:rPr>
      <w:rFonts w:ascii="Arial" w:hAnsi="Arial" w:eastAsia="黑体"/>
      <w:b/>
      <w:bCs/>
      <w:kern w:val="2"/>
      <w:sz w:val="28"/>
      <w:szCs w:val="28"/>
    </w:rPr>
  </w:style>
  <w:style w:type="paragraph" w:styleId="9">
    <w:name w:val="heading 5"/>
    <w:basedOn w:val="1"/>
    <w:next w:val="1"/>
    <w:link w:val="215"/>
    <w:qFormat/>
    <w:uiPriority w:val="0"/>
    <w:pPr>
      <w:keepNext/>
      <w:keepLines/>
      <w:spacing w:before="280" w:after="290" w:line="376" w:lineRule="auto"/>
      <w:outlineLvl w:val="4"/>
    </w:pPr>
    <w:rPr>
      <w:b/>
      <w:bCs/>
      <w:kern w:val="2"/>
      <w:sz w:val="28"/>
      <w:szCs w:val="28"/>
    </w:rPr>
  </w:style>
  <w:style w:type="paragraph" w:styleId="10">
    <w:name w:val="heading 6"/>
    <w:basedOn w:val="1"/>
    <w:next w:val="1"/>
    <w:link w:val="235"/>
    <w:qFormat/>
    <w:uiPriority w:val="0"/>
    <w:pPr>
      <w:keepNext/>
      <w:keepLines/>
      <w:spacing w:before="240" w:after="64" w:line="320" w:lineRule="auto"/>
      <w:outlineLvl w:val="5"/>
    </w:pPr>
    <w:rPr>
      <w:rFonts w:ascii="Arial" w:hAnsi="Arial" w:eastAsia="黑体"/>
      <w:b/>
      <w:bCs/>
      <w:kern w:val="2"/>
    </w:rPr>
  </w:style>
  <w:style w:type="paragraph" w:styleId="11">
    <w:name w:val="heading 7"/>
    <w:basedOn w:val="1"/>
    <w:next w:val="1"/>
    <w:link w:val="119"/>
    <w:qFormat/>
    <w:uiPriority w:val="0"/>
    <w:pPr>
      <w:keepNext/>
      <w:keepLines/>
      <w:spacing w:before="240" w:after="64" w:line="320" w:lineRule="auto"/>
      <w:outlineLvl w:val="6"/>
    </w:pPr>
    <w:rPr>
      <w:b/>
      <w:bCs/>
      <w:kern w:val="2"/>
    </w:rPr>
  </w:style>
  <w:style w:type="paragraph" w:styleId="12">
    <w:name w:val="heading 8"/>
    <w:basedOn w:val="1"/>
    <w:next w:val="1"/>
    <w:link w:val="193"/>
    <w:qFormat/>
    <w:uiPriority w:val="0"/>
    <w:pPr>
      <w:keepNext/>
      <w:keepLines/>
      <w:spacing w:before="240" w:after="64" w:line="320" w:lineRule="auto"/>
      <w:outlineLvl w:val="7"/>
    </w:pPr>
    <w:rPr>
      <w:rFonts w:ascii="Arial" w:hAnsi="Arial" w:eastAsia="黑体"/>
      <w:kern w:val="2"/>
    </w:rPr>
  </w:style>
  <w:style w:type="paragraph" w:styleId="13">
    <w:name w:val="heading 9"/>
    <w:basedOn w:val="1"/>
    <w:next w:val="1"/>
    <w:link w:val="109"/>
    <w:qFormat/>
    <w:uiPriority w:val="0"/>
    <w:pPr>
      <w:keepNext/>
      <w:keepLines/>
      <w:spacing w:before="240" w:after="64" w:line="320" w:lineRule="auto"/>
      <w:outlineLvl w:val="8"/>
    </w:pPr>
    <w:rPr>
      <w:rFonts w:ascii="Arial" w:hAnsi="Arial" w:eastAsia="黑体"/>
      <w:kern w:val="2"/>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00"/>
    <w:qFormat/>
    <w:uiPriority w:val="0"/>
    <w:pPr>
      <w:spacing w:after="120" w:line="240" w:lineRule="auto"/>
      <w:ind w:left="420" w:leftChars="200" w:firstLine="420"/>
    </w:pPr>
    <w:rPr>
      <w:b w:val="0"/>
      <w:bCs w:val="0"/>
      <w:shd w:val="clear" w:color="auto" w:fill="auto"/>
    </w:rPr>
  </w:style>
  <w:style w:type="paragraph" w:styleId="3">
    <w:name w:val="Body Text Indent"/>
    <w:basedOn w:val="1"/>
    <w:next w:val="1"/>
    <w:link w:val="96"/>
    <w:qFormat/>
    <w:uiPriority w:val="0"/>
    <w:pPr>
      <w:spacing w:line="460" w:lineRule="exact"/>
      <w:ind w:firstLine="482" w:firstLineChars="200"/>
    </w:pPr>
    <w:rPr>
      <w:b/>
      <w:bCs/>
      <w:shd w:val="clear" w:color="auto" w:fill="CCCCCC"/>
    </w:rPr>
  </w:style>
  <w:style w:type="paragraph" w:customStyle="1" w:styleId="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4">
    <w:name w:val="toc 7"/>
    <w:basedOn w:val="1"/>
    <w:next w:val="1"/>
    <w:semiHidden/>
    <w:qFormat/>
    <w:uiPriority w:val="0"/>
    <w:pPr>
      <w:ind w:left="2520" w:leftChars="1200"/>
    </w:pPr>
  </w:style>
  <w:style w:type="paragraph" w:styleId="15">
    <w:name w:val="index 8"/>
    <w:basedOn w:val="1"/>
    <w:next w:val="1"/>
    <w:semiHidden/>
    <w:qFormat/>
    <w:uiPriority w:val="0"/>
    <w:pPr>
      <w:ind w:left="1400" w:leftChars="1400"/>
    </w:pPr>
  </w:style>
  <w:style w:type="paragraph" w:styleId="16">
    <w:name w:val="List Number"/>
    <w:basedOn w:val="1"/>
    <w:qFormat/>
    <w:uiPriority w:val="0"/>
    <w:pPr>
      <w:tabs>
        <w:tab w:val="left" w:pos="360"/>
      </w:tabs>
      <w:ind w:left="360" w:hanging="360"/>
    </w:pPr>
  </w:style>
  <w:style w:type="paragraph" w:styleId="17">
    <w:name w:val="Normal Indent"/>
    <w:basedOn w:val="1"/>
    <w:link w:val="170"/>
    <w:qFormat/>
    <w:uiPriority w:val="0"/>
    <w:pPr>
      <w:ind w:firstLine="420" w:firstLineChars="200"/>
    </w:pPr>
    <w:rPr>
      <w:kern w:val="2"/>
      <w:sz w:val="28"/>
      <w:szCs w:val="20"/>
    </w:r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index 5"/>
    <w:basedOn w:val="1"/>
    <w:next w:val="1"/>
    <w:semiHidden/>
    <w:qFormat/>
    <w:uiPriority w:val="0"/>
    <w:pPr>
      <w:ind w:left="800" w:leftChars="800"/>
    </w:pPr>
  </w:style>
  <w:style w:type="paragraph" w:styleId="20">
    <w:name w:val="Document Map"/>
    <w:basedOn w:val="1"/>
    <w:link w:val="226"/>
    <w:qFormat/>
    <w:uiPriority w:val="0"/>
    <w:pPr>
      <w:shd w:val="clear" w:color="auto" w:fill="000080"/>
    </w:pPr>
    <w:rPr>
      <w:kern w:val="2"/>
      <w:sz w:val="21"/>
    </w:rPr>
  </w:style>
  <w:style w:type="paragraph" w:styleId="21">
    <w:name w:val="annotation text"/>
    <w:basedOn w:val="1"/>
    <w:link w:val="178"/>
    <w:qFormat/>
    <w:uiPriority w:val="0"/>
    <w:rPr>
      <w:kern w:val="2"/>
      <w:sz w:val="21"/>
    </w:rPr>
  </w:style>
  <w:style w:type="paragraph" w:styleId="22">
    <w:name w:val="index 6"/>
    <w:basedOn w:val="1"/>
    <w:next w:val="1"/>
    <w:semiHidden/>
    <w:qFormat/>
    <w:uiPriority w:val="0"/>
    <w:pPr>
      <w:ind w:left="1000" w:leftChars="1000"/>
    </w:pPr>
  </w:style>
  <w:style w:type="paragraph" w:styleId="23">
    <w:name w:val="Body Text 3"/>
    <w:basedOn w:val="1"/>
    <w:link w:val="234"/>
    <w:qFormat/>
    <w:uiPriority w:val="0"/>
    <w:pPr>
      <w:spacing w:after="120"/>
    </w:pPr>
    <w:rPr>
      <w:kern w:val="2"/>
      <w:sz w:val="16"/>
      <w:szCs w:val="16"/>
    </w:rPr>
  </w:style>
  <w:style w:type="paragraph" w:styleId="24">
    <w:name w:val="Body Text"/>
    <w:basedOn w:val="1"/>
    <w:next w:val="25"/>
    <w:link w:val="233"/>
    <w:qFormat/>
    <w:uiPriority w:val="0"/>
    <w:pPr>
      <w:jc w:val="center"/>
    </w:pPr>
    <w:rPr>
      <w:rFonts w:ascii="宋体" w:hAnsi="宋体"/>
      <w:b/>
      <w:bCs/>
      <w:color w:val="000000"/>
      <w:kern w:val="2"/>
      <w:sz w:val="72"/>
      <w:szCs w:val="20"/>
    </w:rPr>
  </w:style>
  <w:style w:type="paragraph" w:styleId="25">
    <w:name w:val="Body Text First Indent"/>
    <w:basedOn w:val="24"/>
    <w:link w:val="167"/>
    <w:qFormat/>
    <w:uiPriority w:val="0"/>
    <w:pPr>
      <w:spacing w:after="120"/>
      <w:ind w:firstLine="420" w:firstLineChars="100"/>
      <w:jc w:val="both"/>
    </w:pPr>
    <w:rPr>
      <w:rFonts w:ascii="Times New Roman" w:hAnsi="Times New Roman"/>
      <w:b w:val="0"/>
      <w:bCs w:val="0"/>
      <w:color w:val="auto"/>
      <w:sz w:val="21"/>
      <w:szCs w:val="24"/>
    </w:rPr>
  </w:style>
  <w:style w:type="paragraph" w:styleId="26">
    <w:name w:val="List Number 3"/>
    <w:basedOn w:val="1"/>
    <w:qFormat/>
    <w:uiPriority w:val="0"/>
    <w:pPr>
      <w:widowControl w:val="0"/>
      <w:tabs>
        <w:tab w:val="left" w:pos="360"/>
        <w:tab w:val="left" w:pos="1200"/>
      </w:tabs>
      <w:ind w:left="360" w:hanging="360"/>
      <w:jc w:val="both"/>
    </w:pPr>
    <w:rPr>
      <w:kern w:val="2"/>
      <w:sz w:val="21"/>
    </w:rPr>
  </w:style>
  <w:style w:type="paragraph" w:styleId="27">
    <w:name w:val="List 2"/>
    <w:basedOn w:val="1"/>
    <w:qFormat/>
    <w:uiPriority w:val="0"/>
    <w:pPr>
      <w:widowControl w:val="0"/>
      <w:ind w:left="100" w:leftChars="200" w:hanging="200" w:hangingChars="200"/>
      <w:jc w:val="both"/>
    </w:pPr>
    <w:rPr>
      <w:kern w:val="2"/>
      <w:sz w:val="28"/>
    </w:rPr>
  </w:style>
  <w:style w:type="paragraph" w:styleId="28">
    <w:name w:val="index 4"/>
    <w:basedOn w:val="1"/>
    <w:next w:val="1"/>
    <w:semiHidden/>
    <w:qFormat/>
    <w:uiPriority w:val="0"/>
    <w:pPr>
      <w:ind w:left="600" w:leftChars="600"/>
    </w:pPr>
  </w:style>
  <w:style w:type="paragraph" w:styleId="29">
    <w:name w:val="toc 5"/>
    <w:basedOn w:val="1"/>
    <w:next w:val="1"/>
    <w:semiHidden/>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next w:val="1"/>
    <w:link w:val="135"/>
    <w:qFormat/>
    <w:uiPriority w:val="0"/>
    <w:rPr>
      <w:rFonts w:ascii="宋体" w:hAnsi="Courier New" w:cs="Courier New"/>
      <w:kern w:val="2"/>
      <w:sz w:val="21"/>
      <w:szCs w:val="21"/>
    </w:rPr>
  </w:style>
  <w:style w:type="paragraph" w:styleId="32">
    <w:name w:val="toc 8"/>
    <w:basedOn w:val="1"/>
    <w:next w:val="1"/>
    <w:semiHidden/>
    <w:qFormat/>
    <w:uiPriority w:val="0"/>
    <w:pPr>
      <w:ind w:left="2940" w:leftChars="1400"/>
    </w:pPr>
  </w:style>
  <w:style w:type="paragraph" w:styleId="33">
    <w:name w:val="index 3"/>
    <w:basedOn w:val="1"/>
    <w:next w:val="1"/>
    <w:semiHidden/>
    <w:qFormat/>
    <w:uiPriority w:val="0"/>
    <w:pPr>
      <w:ind w:left="400" w:leftChars="400"/>
    </w:pPr>
  </w:style>
  <w:style w:type="paragraph" w:styleId="34">
    <w:name w:val="Date"/>
    <w:basedOn w:val="1"/>
    <w:next w:val="1"/>
    <w:link w:val="355"/>
    <w:qFormat/>
    <w:uiPriority w:val="0"/>
    <w:pPr>
      <w:ind w:left="100" w:leftChars="2500"/>
    </w:pPr>
  </w:style>
  <w:style w:type="paragraph" w:styleId="35">
    <w:name w:val="Body Text Indent 2"/>
    <w:basedOn w:val="1"/>
    <w:link w:val="352"/>
    <w:qFormat/>
    <w:uiPriority w:val="0"/>
    <w:pPr>
      <w:spacing w:line="360" w:lineRule="auto"/>
      <w:ind w:firstLine="480"/>
    </w:pPr>
    <w:rPr>
      <w:rFonts w:hint="eastAsia" w:ascii="宋体" w:eastAsia="新宋体"/>
      <w:szCs w:val="20"/>
    </w:rPr>
  </w:style>
  <w:style w:type="paragraph" w:styleId="36">
    <w:name w:val="Balloon Text"/>
    <w:basedOn w:val="1"/>
    <w:link w:val="156"/>
    <w:qFormat/>
    <w:uiPriority w:val="0"/>
    <w:rPr>
      <w:kern w:val="2"/>
      <w:sz w:val="18"/>
      <w:szCs w:val="18"/>
    </w:rPr>
  </w:style>
  <w:style w:type="paragraph" w:styleId="37">
    <w:name w:val="footer"/>
    <w:basedOn w:val="1"/>
    <w:link w:val="137"/>
    <w:qFormat/>
    <w:uiPriority w:val="99"/>
    <w:pPr>
      <w:tabs>
        <w:tab w:val="center" w:pos="4153"/>
        <w:tab w:val="right" w:pos="8306"/>
      </w:tabs>
      <w:snapToGrid w:val="0"/>
    </w:pPr>
    <w:rPr>
      <w:kern w:val="2"/>
      <w:sz w:val="18"/>
      <w:szCs w:val="18"/>
    </w:rPr>
  </w:style>
  <w:style w:type="paragraph" w:styleId="38">
    <w:name w:val="header"/>
    <w:basedOn w:val="1"/>
    <w:link w:val="205"/>
    <w:qFormat/>
    <w:uiPriority w:val="0"/>
    <w:pPr>
      <w:pBdr>
        <w:bottom w:val="single" w:color="auto" w:sz="6" w:space="1"/>
      </w:pBdr>
      <w:tabs>
        <w:tab w:val="center" w:pos="4153"/>
        <w:tab w:val="right" w:pos="8306"/>
      </w:tabs>
      <w:snapToGrid w:val="0"/>
      <w:jc w:val="center"/>
    </w:pPr>
    <w:rPr>
      <w:kern w:val="2"/>
      <w:sz w:val="18"/>
      <w:szCs w:val="18"/>
    </w:rPr>
  </w:style>
  <w:style w:type="paragraph" w:styleId="39">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40">
    <w:name w:val="toc 4"/>
    <w:basedOn w:val="1"/>
    <w:next w:val="1"/>
    <w:semiHidden/>
    <w:qFormat/>
    <w:uiPriority w:val="0"/>
    <w:pPr>
      <w:ind w:left="1260" w:leftChars="600"/>
    </w:pPr>
  </w:style>
  <w:style w:type="paragraph" w:styleId="41">
    <w:name w:val="index heading"/>
    <w:basedOn w:val="1"/>
    <w:next w:val="42"/>
    <w:semiHidden/>
    <w:qFormat/>
    <w:uiPriority w:val="0"/>
  </w:style>
  <w:style w:type="paragraph" w:styleId="42">
    <w:name w:val="index 1"/>
    <w:basedOn w:val="1"/>
    <w:next w:val="1"/>
    <w:semiHidden/>
    <w:qFormat/>
    <w:uiPriority w:val="0"/>
    <w:pPr>
      <w:spacing w:line="560" w:lineRule="exact"/>
    </w:pPr>
    <w:rPr>
      <w:sz w:val="28"/>
    </w:rPr>
  </w:style>
  <w:style w:type="paragraph" w:styleId="43">
    <w:name w:val="List"/>
    <w:basedOn w:val="1"/>
    <w:qFormat/>
    <w:uiPriority w:val="0"/>
    <w:pPr>
      <w:widowControl w:val="0"/>
      <w:ind w:left="200" w:hanging="200" w:hangingChars="200"/>
      <w:jc w:val="both"/>
    </w:pPr>
    <w:rPr>
      <w:kern w:val="2"/>
      <w:sz w:val="28"/>
    </w:rPr>
  </w:style>
  <w:style w:type="paragraph" w:styleId="44">
    <w:name w:val="toc 6"/>
    <w:basedOn w:val="1"/>
    <w:next w:val="1"/>
    <w:semiHidden/>
    <w:qFormat/>
    <w:uiPriority w:val="0"/>
    <w:pPr>
      <w:ind w:left="2100" w:leftChars="1000"/>
    </w:pPr>
  </w:style>
  <w:style w:type="paragraph" w:styleId="45">
    <w:name w:val="Body Text Indent 3"/>
    <w:basedOn w:val="1"/>
    <w:link w:val="349"/>
    <w:qFormat/>
    <w:uiPriority w:val="0"/>
    <w:pPr>
      <w:spacing w:after="120"/>
      <w:ind w:left="420" w:leftChars="200"/>
    </w:pPr>
    <w:rPr>
      <w:sz w:val="16"/>
      <w:szCs w:val="16"/>
    </w:rPr>
  </w:style>
  <w:style w:type="paragraph" w:styleId="46">
    <w:name w:val="index 7"/>
    <w:basedOn w:val="1"/>
    <w:next w:val="1"/>
    <w:semiHidden/>
    <w:qFormat/>
    <w:uiPriority w:val="0"/>
    <w:pPr>
      <w:ind w:left="1200" w:leftChars="1200"/>
    </w:pPr>
  </w:style>
  <w:style w:type="paragraph" w:styleId="47">
    <w:name w:val="index 9"/>
    <w:basedOn w:val="1"/>
    <w:next w:val="1"/>
    <w:semiHidden/>
    <w:qFormat/>
    <w:uiPriority w:val="0"/>
    <w:pPr>
      <w:ind w:left="1600" w:leftChars="1600"/>
    </w:pPr>
  </w:style>
  <w:style w:type="paragraph" w:styleId="48">
    <w:name w:val="table of figures"/>
    <w:basedOn w:val="1"/>
    <w:next w:val="1"/>
    <w:semiHidden/>
    <w:qFormat/>
    <w:uiPriority w:val="0"/>
    <w:pPr>
      <w:spacing w:line="560" w:lineRule="exact"/>
    </w:pPr>
    <w:rPr>
      <w:b/>
      <w:sz w:val="28"/>
    </w:rPr>
  </w:style>
  <w:style w:type="paragraph" w:styleId="49">
    <w:name w:val="toc 2"/>
    <w:basedOn w:val="1"/>
    <w:next w:val="1"/>
    <w:qFormat/>
    <w:uiPriority w:val="39"/>
    <w:pPr>
      <w:spacing w:line="400" w:lineRule="exact"/>
      <w:ind w:left="200" w:leftChars="200"/>
    </w:pPr>
  </w:style>
  <w:style w:type="paragraph" w:styleId="50">
    <w:name w:val="toc 9"/>
    <w:basedOn w:val="1"/>
    <w:next w:val="1"/>
    <w:semiHidden/>
    <w:qFormat/>
    <w:uiPriority w:val="0"/>
    <w:pPr>
      <w:ind w:left="3360" w:leftChars="1600"/>
    </w:pPr>
  </w:style>
  <w:style w:type="paragraph" w:styleId="51">
    <w:name w:val="Body Text 2"/>
    <w:basedOn w:val="1"/>
    <w:link w:val="353"/>
    <w:qFormat/>
    <w:uiPriority w:val="0"/>
    <w:pPr>
      <w:spacing w:after="120" w:line="480" w:lineRule="auto"/>
    </w:pPr>
  </w:style>
  <w:style w:type="paragraph" w:styleId="52">
    <w:name w:val="HTML Preformatted"/>
    <w:basedOn w:val="1"/>
    <w:link w:val="31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3">
    <w:name w:val="Normal (Web)"/>
    <w:basedOn w:val="1"/>
    <w:qFormat/>
    <w:uiPriority w:val="99"/>
  </w:style>
  <w:style w:type="paragraph" w:styleId="54">
    <w:name w:val="index 2"/>
    <w:basedOn w:val="1"/>
    <w:next w:val="1"/>
    <w:semiHidden/>
    <w:qFormat/>
    <w:uiPriority w:val="0"/>
    <w:pPr>
      <w:spacing w:line="560" w:lineRule="exact"/>
      <w:ind w:left="200" w:leftChars="200"/>
    </w:pPr>
    <w:rPr>
      <w:sz w:val="28"/>
    </w:rPr>
  </w:style>
  <w:style w:type="paragraph" w:styleId="55">
    <w:name w:val="Title"/>
    <w:basedOn w:val="1"/>
    <w:next w:val="1"/>
    <w:link w:val="177"/>
    <w:qFormat/>
    <w:uiPriority w:val="0"/>
    <w:pPr>
      <w:spacing w:before="240" w:after="60"/>
      <w:jc w:val="center"/>
      <w:outlineLvl w:val="0"/>
    </w:pPr>
    <w:rPr>
      <w:rFonts w:ascii="Cambria" w:hAnsi="Cambria"/>
      <w:b/>
      <w:bCs/>
      <w:kern w:val="2"/>
      <w:sz w:val="32"/>
      <w:szCs w:val="32"/>
    </w:rPr>
  </w:style>
  <w:style w:type="paragraph" w:styleId="56">
    <w:name w:val="annotation subject"/>
    <w:basedOn w:val="21"/>
    <w:next w:val="21"/>
    <w:link w:val="216"/>
    <w:qFormat/>
    <w:uiPriority w:val="0"/>
    <w:rPr>
      <w:rFonts w:ascii="Calibri" w:hAnsi="Calibri" w:cs="Calibri"/>
      <w:b/>
      <w:bCs/>
      <w:kern w:val="0"/>
      <w:sz w:val="24"/>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bCs/>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Hyperlink"/>
    <w:qFormat/>
    <w:uiPriority w:val="0"/>
    <w:rPr>
      <w:color w:val="0000FF"/>
      <w:u w:val="single"/>
    </w:rPr>
  </w:style>
  <w:style w:type="character" w:styleId="64">
    <w:name w:val="annotation reference"/>
    <w:basedOn w:val="59"/>
    <w:unhideWhenUsed/>
    <w:qFormat/>
    <w:uiPriority w:val="99"/>
  </w:style>
  <w:style w:type="paragraph" w:customStyle="1" w:styleId="65">
    <w:name w:val="正文首行缩进2字符"/>
    <w:basedOn w:val="1"/>
    <w:qFormat/>
    <w:uiPriority w:val="0"/>
    <w:pPr>
      <w:adjustRightInd w:val="0"/>
      <w:snapToGrid w:val="0"/>
    </w:pPr>
    <w:rPr>
      <w:szCs w:val="21"/>
    </w:rPr>
  </w:style>
  <w:style w:type="paragraph" w:customStyle="1" w:styleId="66">
    <w:name w:val="Default"/>
    <w:basedOn w:val="1"/>
    <w:qFormat/>
    <w:uiPriority w:val="0"/>
    <w:pPr>
      <w:autoSpaceDE w:val="0"/>
      <w:autoSpaceDN w:val="0"/>
      <w:adjustRightInd w:val="0"/>
      <w:spacing w:before="96" w:after="96"/>
      <w:jc w:val="right"/>
    </w:pPr>
    <w:rPr>
      <w:rFonts w:ascii="宋体" w:hAnsi="Calibri" w:cs="宋体"/>
      <w:color w:val="000000"/>
    </w:rPr>
  </w:style>
  <w:style w:type="character" w:customStyle="1" w:styleId="67">
    <w:name w:val="标题 2 Char"/>
    <w:qFormat/>
    <w:uiPriority w:val="9"/>
    <w:rPr>
      <w:rFonts w:ascii="宋体" w:hAnsi="宋体" w:eastAsia="宋体" w:cs="Times New Roman"/>
      <w:b/>
      <w:bCs/>
      <w:sz w:val="28"/>
      <w:szCs w:val="24"/>
    </w:rPr>
  </w:style>
  <w:style w:type="character" w:customStyle="1" w:styleId="68">
    <w:name w:val="页脚 Char"/>
    <w:qFormat/>
    <w:uiPriority w:val="99"/>
    <w:rPr>
      <w:rFonts w:ascii="Calibri" w:hAnsi="Calibri" w:eastAsia="宋体" w:cs="Times New Roman"/>
      <w:sz w:val="18"/>
      <w:szCs w:val="18"/>
    </w:rPr>
  </w:style>
  <w:style w:type="character" w:customStyle="1" w:styleId="69">
    <w:name w:val="页眉 Char"/>
    <w:qFormat/>
    <w:uiPriority w:val="99"/>
    <w:rPr>
      <w:rFonts w:ascii="Calibri" w:hAnsi="Calibri" w:eastAsia="宋体" w:cs="Times New Roman"/>
      <w:sz w:val="18"/>
      <w:szCs w:val="18"/>
    </w:rPr>
  </w:style>
  <w:style w:type="character" w:customStyle="1" w:styleId="70">
    <w:name w:val="-正文- Char"/>
    <w:link w:val="71"/>
    <w:qFormat/>
    <w:uiPriority w:val="0"/>
    <w:rPr>
      <w:rFonts w:eastAsia="宋体" w:cs="宋体"/>
      <w:kern w:val="2"/>
      <w:sz w:val="21"/>
      <w:lang w:val="en-US" w:eastAsia="zh-CN" w:bidi="ar-SA"/>
    </w:rPr>
  </w:style>
  <w:style w:type="paragraph" w:customStyle="1" w:styleId="71">
    <w:name w:val="-正文-"/>
    <w:basedOn w:val="1"/>
    <w:link w:val="70"/>
    <w:qFormat/>
    <w:uiPriority w:val="0"/>
    <w:pPr>
      <w:spacing w:line="360" w:lineRule="auto"/>
      <w:ind w:firstLine="420" w:firstLineChars="200"/>
    </w:pPr>
    <w:rPr>
      <w:rFonts w:cs="宋体"/>
      <w:kern w:val="2"/>
      <w:sz w:val="21"/>
      <w:szCs w:val="20"/>
    </w:rPr>
  </w:style>
  <w:style w:type="character" w:customStyle="1" w:styleId="72">
    <w:name w:val="正文主体 Char"/>
    <w:link w:val="73"/>
    <w:qFormat/>
    <w:uiPriority w:val="0"/>
    <w:rPr>
      <w:rFonts w:eastAsia="宋体"/>
      <w:kern w:val="2"/>
      <w:sz w:val="24"/>
      <w:szCs w:val="24"/>
      <w:lang w:val="en-US" w:eastAsia="zh-CN" w:bidi="ar-SA"/>
    </w:rPr>
  </w:style>
  <w:style w:type="paragraph" w:customStyle="1" w:styleId="73">
    <w:name w:val="正文主体"/>
    <w:basedOn w:val="74"/>
    <w:link w:val="72"/>
    <w:qFormat/>
    <w:uiPriority w:val="0"/>
    <w:rPr>
      <w:kern w:val="2"/>
    </w:rPr>
  </w:style>
  <w:style w:type="paragraph" w:customStyle="1" w:styleId="74">
    <w:name w:val="样式  + 首行缩进:  2 字符"/>
    <w:basedOn w:val="75"/>
    <w:qFormat/>
    <w:uiPriority w:val="0"/>
    <w:pPr>
      <w:ind w:firstLine="480"/>
    </w:pPr>
  </w:style>
  <w:style w:type="paragraph" w:customStyle="1" w:styleId="75">
    <w:name w:val="9"/>
    <w:basedOn w:val="1"/>
    <w:next w:val="24"/>
    <w:qFormat/>
    <w:uiPriority w:val="0"/>
    <w:pPr>
      <w:spacing w:before="60" w:after="60" w:line="360" w:lineRule="auto"/>
      <w:ind w:firstLine="200" w:firstLineChars="200"/>
    </w:pPr>
  </w:style>
  <w:style w:type="character" w:customStyle="1" w:styleId="76">
    <w:name w:val="列出段落 Char"/>
    <w:link w:val="77"/>
    <w:qFormat/>
    <w:uiPriority w:val="0"/>
    <w:rPr>
      <w:rFonts w:ascii="Calibri" w:hAnsi="Calibri" w:eastAsia="宋体"/>
      <w:kern w:val="2"/>
      <w:sz w:val="21"/>
      <w:szCs w:val="22"/>
      <w:lang w:val="en-US" w:eastAsia="zh-CN" w:bidi="ar-SA"/>
    </w:rPr>
  </w:style>
  <w:style w:type="paragraph" w:styleId="77">
    <w:name w:val="List Paragraph"/>
    <w:basedOn w:val="1"/>
    <w:link w:val="76"/>
    <w:qFormat/>
    <w:uiPriority w:val="34"/>
    <w:pPr>
      <w:ind w:firstLine="420" w:firstLineChars="200"/>
    </w:pPr>
    <w:rPr>
      <w:rFonts w:ascii="Calibri" w:hAnsi="Calibri"/>
      <w:kern w:val="2"/>
      <w:sz w:val="21"/>
      <w:szCs w:val="22"/>
    </w:rPr>
  </w:style>
  <w:style w:type="character" w:customStyle="1" w:styleId="78">
    <w:name w:val="文档结构图 Char Char"/>
    <w:link w:val="79"/>
    <w:qFormat/>
    <w:uiPriority w:val="0"/>
    <w:rPr>
      <w:rFonts w:ascii="宋体" w:hAnsi="Calibri"/>
      <w:kern w:val="2"/>
      <w:sz w:val="18"/>
      <w:szCs w:val="18"/>
      <w:lang w:bidi="ar-SA"/>
    </w:rPr>
  </w:style>
  <w:style w:type="paragraph" w:customStyle="1" w:styleId="79">
    <w:name w:val="文档结构图1"/>
    <w:basedOn w:val="1"/>
    <w:link w:val="78"/>
    <w:qFormat/>
    <w:uiPriority w:val="0"/>
    <w:pPr>
      <w:spacing w:line="360" w:lineRule="auto"/>
      <w:ind w:firstLine="200" w:firstLineChars="200"/>
    </w:pPr>
    <w:rPr>
      <w:rFonts w:ascii="宋体" w:hAnsi="Calibri"/>
      <w:kern w:val="2"/>
      <w:sz w:val="18"/>
      <w:szCs w:val="18"/>
    </w:rPr>
  </w:style>
  <w:style w:type="character" w:customStyle="1" w:styleId="80">
    <w:name w:val="-标题2- Char"/>
    <w:link w:val="81"/>
    <w:qFormat/>
    <w:uiPriority w:val="0"/>
    <w:rPr>
      <w:rFonts w:ascii="宋体" w:hAnsi="宋体"/>
      <w:b/>
      <w:bCs/>
      <w:kern w:val="44"/>
      <w:sz w:val="28"/>
      <w:szCs w:val="28"/>
    </w:rPr>
  </w:style>
  <w:style w:type="paragraph" w:customStyle="1" w:styleId="81">
    <w:name w:val="-标题2-"/>
    <w:basedOn w:val="1"/>
    <w:link w:val="80"/>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82">
    <w:name w:val="纯文本 Char2"/>
    <w:qFormat/>
    <w:uiPriority w:val="0"/>
    <w:rPr>
      <w:rFonts w:ascii="宋体" w:hAnsi="Courier New" w:eastAsia="宋体" w:cs="Courier New"/>
      <w:kern w:val="2"/>
      <w:sz w:val="21"/>
      <w:szCs w:val="21"/>
      <w:lang w:val="en-US" w:eastAsia="zh-CN" w:bidi="ar-SA"/>
    </w:rPr>
  </w:style>
  <w:style w:type="character" w:customStyle="1" w:styleId="83">
    <w:name w:val="标题 3 Char"/>
    <w:qFormat/>
    <w:uiPriority w:val="0"/>
    <w:rPr>
      <w:rFonts w:ascii="宋体" w:hAnsi="宋体" w:eastAsia="宋体" w:cs="Times New Roman"/>
      <w:b/>
      <w:bCs/>
      <w:sz w:val="28"/>
      <w:szCs w:val="24"/>
    </w:rPr>
  </w:style>
  <w:style w:type="character" w:customStyle="1" w:styleId="84">
    <w:name w:val="正文，首行缩进: Char"/>
    <w:link w:val="85"/>
    <w:qFormat/>
    <w:uiPriority w:val="0"/>
    <w:rPr>
      <w:rFonts w:ascii="Arial" w:hAnsi="Arial"/>
      <w:kern w:val="2"/>
      <w:sz w:val="24"/>
      <w:szCs w:val="24"/>
      <w:lang w:bidi="ar-SA"/>
    </w:rPr>
  </w:style>
  <w:style w:type="paragraph" w:customStyle="1" w:styleId="85">
    <w:name w:val="正文，首行缩进:"/>
    <w:basedOn w:val="1"/>
    <w:link w:val="84"/>
    <w:qFormat/>
    <w:uiPriority w:val="0"/>
    <w:pPr>
      <w:spacing w:line="360" w:lineRule="auto"/>
      <w:ind w:firstLine="480" w:firstLineChars="200"/>
    </w:pPr>
    <w:rPr>
      <w:rFonts w:ascii="Arial" w:hAnsi="Arial"/>
      <w:kern w:val="2"/>
    </w:rPr>
  </w:style>
  <w:style w:type="character" w:customStyle="1" w:styleId="86">
    <w:name w:val="表格文字 Char"/>
    <w:link w:val="87"/>
    <w:qFormat/>
    <w:uiPriority w:val="0"/>
    <w:rPr>
      <w:sz w:val="18"/>
      <w:szCs w:val="24"/>
      <w:lang w:bidi="ar-SA"/>
    </w:rPr>
  </w:style>
  <w:style w:type="paragraph" w:customStyle="1" w:styleId="87">
    <w:name w:val="表格文字"/>
    <w:basedOn w:val="1"/>
    <w:link w:val="86"/>
    <w:qFormat/>
    <w:uiPriority w:val="0"/>
    <w:pPr>
      <w:textAlignment w:val="top"/>
    </w:pPr>
    <w:rPr>
      <w:sz w:val="18"/>
    </w:rPr>
  </w:style>
  <w:style w:type="character" w:customStyle="1" w:styleId="88">
    <w:name w:val="G-正文缩进 Char"/>
    <w:link w:val="89"/>
    <w:qFormat/>
    <w:uiPriority w:val="0"/>
    <w:rPr>
      <w:kern w:val="2"/>
      <w:sz w:val="24"/>
      <w:szCs w:val="24"/>
      <w:lang w:bidi="ar-SA"/>
    </w:rPr>
  </w:style>
  <w:style w:type="paragraph" w:customStyle="1" w:styleId="89">
    <w:name w:val="G-正文缩进"/>
    <w:basedOn w:val="1"/>
    <w:link w:val="88"/>
    <w:qFormat/>
    <w:uiPriority w:val="0"/>
    <w:pPr>
      <w:spacing w:line="312" w:lineRule="auto"/>
      <w:ind w:firstLine="480" w:firstLineChars="200"/>
    </w:pPr>
    <w:rPr>
      <w:kern w:val="2"/>
    </w:rPr>
  </w:style>
  <w:style w:type="character" w:customStyle="1" w:styleId="90">
    <w:name w:val="正文文本缩进 2 Char"/>
    <w:link w:val="91"/>
    <w:qFormat/>
    <w:uiPriority w:val="0"/>
    <w:rPr>
      <w:rFonts w:ascii="Calibri" w:hAnsi="Calibri" w:eastAsia="仿宋_GB2312"/>
      <w:kern w:val="2"/>
      <w:sz w:val="24"/>
      <w:szCs w:val="22"/>
      <w:lang w:bidi="ar-SA"/>
    </w:rPr>
  </w:style>
  <w:style w:type="paragraph" w:customStyle="1" w:styleId="91">
    <w:name w:val="正文文本缩进 21"/>
    <w:basedOn w:val="1"/>
    <w:link w:val="90"/>
    <w:qFormat/>
    <w:uiPriority w:val="0"/>
    <w:pPr>
      <w:spacing w:after="120" w:line="480" w:lineRule="auto"/>
      <w:ind w:left="420" w:leftChars="200"/>
    </w:pPr>
    <w:rPr>
      <w:rFonts w:ascii="Calibri" w:hAnsi="Calibri" w:eastAsia="仿宋_GB2312"/>
      <w:kern w:val="2"/>
      <w:szCs w:val="22"/>
    </w:rPr>
  </w:style>
  <w:style w:type="character" w:customStyle="1" w:styleId="92">
    <w:name w:val="my正文 Char"/>
    <w:link w:val="93"/>
    <w:qFormat/>
    <w:uiPriority w:val="0"/>
    <w:rPr>
      <w:kern w:val="2"/>
      <w:sz w:val="24"/>
      <w:szCs w:val="24"/>
    </w:rPr>
  </w:style>
  <w:style w:type="paragraph" w:customStyle="1" w:styleId="93">
    <w:name w:val="my正文"/>
    <w:basedOn w:val="1"/>
    <w:link w:val="92"/>
    <w:qFormat/>
    <w:uiPriority w:val="0"/>
    <w:pPr>
      <w:spacing w:line="360" w:lineRule="auto"/>
      <w:ind w:firstLine="200" w:firstLineChars="200"/>
    </w:pPr>
    <w:rPr>
      <w:kern w:val="2"/>
    </w:rPr>
  </w:style>
  <w:style w:type="character" w:customStyle="1" w:styleId="94">
    <w:name w:val="批注文字 Char"/>
    <w:qFormat/>
    <w:uiPriority w:val="99"/>
    <w:rPr>
      <w:kern w:val="2"/>
      <w:sz w:val="24"/>
      <w:szCs w:val="22"/>
    </w:rPr>
  </w:style>
  <w:style w:type="character" w:customStyle="1" w:styleId="95">
    <w:name w:val="正文文本 Char1"/>
    <w:qFormat/>
    <w:uiPriority w:val="0"/>
    <w:rPr>
      <w:rFonts w:hint="eastAsia" w:ascii="宋体" w:hAnsi="宋体" w:eastAsia="宋体" w:cs="宋体"/>
      <w:b/>
      <w:color w:val="000000"/>
      <w:sz w:val="72"/>
    </w:rPr>
  </w:style>
  <w:style w:type="character" w:customStyle="1" w:styleId="96">
    <w:name w:val="正文文本缩进 Char1"/>
    <w:link w:val="3"/>
    <w:qFormat/>
    <w:uiPriority w:val="0"/>
    <w:rPr>
      <w:rFonts w:ascii="Times New Roman" w:hAnsi="Times New Roman"/>
      <w:b/>
      <w:bCs/>
      <w:sz w:val="24"/>
      <w:szCs w:val="24"/>
    </w:rPr>
  </w:style>
  <w:style w:type="character" w:customStyle="1" w:styleId="97">
    <w:name w:val="正文首行缩进 Char1"/>
    <w:qFormat/>
    <w:uiPriority w:val="0"/>
    <w:rPr>
      <w:rFonts w:eastAsia="仿宋_GB2312"/>
      <w:kern w:val="2"/>
      <w:sz w:val="28"/>
      <w:szCs w:val="24"/>
    </w:rPr>
  </w:style>
  <w:style w:type="character" w:customStyle="1" w:styleId="98">
    <w:name w:val="普通文字 Char Char3"/>
    <w:qFormat/>
    <w:uiPriority w:val="0"/>
    <w:rPr>
      <w:rFonts w:ascii="宋体" w:hAnsi="Courier New" w:eastAsia="宋体" w:cs="Courier New"/>
      <w:kern w:val="2"/>
      <w:sz w:val="21"/>
      <w:szCs w:val="21"/>
      <w:lang w:val="en-US" w:eastAsia="zh-CN" w:bidi="ar-SA"/>
    </w:rPr>
  </w:style>
  <w:style w:type="character" w:customStyle="1" w:styleId="99">
    <w:name w:val="样式 段前: 0.5 行 段后: 0.5 行 Char Char"/>
    <w:link w:val="100"/>
    <w:qFormat/>
    <w:uiPriority w:val="0"/>
    <w:rPr>
      <w:rFonts w:ascii="仿宋_GB2312" w:eastAsia="仿宋_GB2312"/>
      <w:color w:val="000000"/>
      <w:sz w:val="28"/>
      <w:szCs w:val="28"/>
      <w:lang w:bidi="ar-SA"/>
    </w:rPr>
  </w:style>
  <w:style w:type="paragraph" w:customStyle="1" w:styleId="100">
    <w:name w:val="样式 段前: 0.5 行 段后: 0.5 行"/>
    <w:basedOn w:val="1"/>
    <w:link w:val="99"/>
    <w:qFormat/>
    <w:uiPriority w:val="0"/>
    <w:pPr>
      <w:adjustRightInd w:val="0"/>
      <w:snapToGrid w:val="0"/>
      <w:spacing w:beforeLines="50" w:afterLines="50" w:line="360" w:lineRule="auto"/>
      <w:ind w:firstLine="480" w:firstLineChars="200"/>
    </w:pPr>
    <w:rPr>
      <w:rFonts w:ascii="仿宋_GB2312" w:eastAsia="仿宋_GB2312"/>
      <w:color w:val="000000"/>
      <w:sz w:val="28"/>
      <w:szCs w:val="28"/>
    </w:rPr>
  </w:style>
  <w:style w:type="character" w:customStyle="1" w:styleId="101">
    <w:name w:val="font31"/>
    <w:qFormat/>
    <w:uiPriority w:val="0"/>
    <w:rPr>
      <w:rFonts w:ascii="Calibri" w:hAnsi="Calibri" w:cs="Calibri"/>
      <w:color w:val="000000"/>
      <w:sz w:val="21"/>
      <w:szCs w:val="21"/>
      <w:u w:val="none"/>
    </w:rPr>
  </w:style>
  <w:style w:type="character" w:customStyle="1" w:styleId="102">
    <w:name w:val="标题 6 Char"/>
    <w:qFormat/>
    <w:uiPriority w:val="0"/>
    <w:rPr>
      <w:rFonts w:ascii="Arial" w:hAnsi="Arial" w:eastAsia="黑体" w:cs="Times New Roman"/>
      <w:b/>
      <w:bCs/>
      <w:sz w:val="24"/>
      <w:szCs w:val="24"/>
    </w:rPr>
  </w:style>
  <w:style w:type="character" w:customStyle="1" w:styleId="103">
    <w:name w:val="三级目录 Char Char"/>
    <w:link w:val="104"/>
    <w:qFormat/>
    <w:uiPriority w:val="0"/>
    <w:rPr>
      <w:rFonts w:ascii="Cambria" w:hAnsi="Cambria" w:eastAsia="楷体"/>
      <w:b/>
      <w:bCs/>
      <w:color w:val="000000"/>
      <w:sz w:val="26"/>
      <w:szCs w:val="26"/>
      <w:lang w:val="en-GB" w:bidi="ar-SA"/>
    </w:rPr>
  </w:style>
  <w:style w:type="paragraph" w:customStyle="1" w:styleId="104">
    <w:name w:val="三级目录"/>
    <w:basedOn w:val="6"/>
    <w:link w:val="103"/>
    <w:qFormat/>
    <w:uiPriority w:val="0"/>
    <w:pPr>
      <w:numPr>
        <w:ilvl w:val="0"/>
        <w:numId w:val="0"/>
      </w:numPr>
      <w:spacing w:before="240" w:after="0" w:line="276" w:lineRule="auto"/>
      <w:ind w:left="1418" w:hanging="567"/>
    </w:pPr>
    <w:rPr>
      <w:rFonts w:ascii="Cambria" w:hAnsi="Cambria" w:eastAsia="楷体"/>
      <w:color w:val="000000"/>
      <w:sz w:val="26"/>
      <w:szCs w:val="26"/>
      <w:lang w:val="en-GB"/>
    </w:rPr>
  </w:style>
  <w:style w:type="character" w:customStyle="1" w:styleId="105">
    <w:name w:val="正文文本缩进 2 Char1"/>
    <w:link w:val="106"/>
    <w:qFormat/>
    <w:uiPriority w:val="0"/>
    <w:rPr>
      <w:rFonts w:ascii="Calibri" w:hAnsi="Calibri" w:eastAsia="仿宋_GB2312"/>
      <w:kern w:val="2"/>
      <w:sz w:val="24"/>
      <w:szCs w:val="22"/>
      <w:lang w:bidi="ar-SA"/>
    </w:rPr>
  </w:style>
  <w:style w:type="paragraph" w:customStyle="1" w:styleId="106">
    <w:name w:val="正文文本缩进 22"/>
    <w:basedOn w:val="1"/>
    <w:link w:val="105"/>
    <w:qFormat/>
    <w:uiPriority w:val="0"/>
    <w:pPr>
      <w:spacing w:after="120" w:line="480" w:lineRule="auto"/>
      <w:ind w:left="420" w:leftChars="200" w:firstLine="200" w:firstLineChars="200"/>
    </w:pPr>
    <w:rPr>
      <w:rFonts w:ascii="Calibri" w:hAnsi="Calibri" w:eastAsia="仿宋_GB2312"/>
      <w:kern w:val="2"/>
      <w:szCs w:val="22"/>
    </w:rPr>
  </w:style>
  <w:style w:type="character" w:customStyle="1" w:styleId="107">
    <w:name w:val="方案正文 Char Char"/>
    <w:link w:val="108"/>
    <w:qFormat/>
    <w:uiPriority w:val="0"/>
    <w:rPr>
      <w:rFonts w:eastAsia="宋体"/>
      <w:kern w:val="2"/>
      <w:sz w:val="24"/>
      <w:szCs w:val="24"/>
      <w:lang w:val="en-US" w:eastAsia="zh-CN" w:bidi="ar-SA"/>
    </w:rPr>
  </w:style>
  <w:style w:type="paragraph" w:customStyle="1" w:styleId="108">
    <w:name w:val="方案正文"/>
    <w:basedOn w:val="1"/>
    <w:link w:val="107"/>
    <w:qFormat/>
    <w:uiPriority w:val="0"/>
    <w:pPr>
      <w:adjustRightInd w:val="0"/>
      <w:snapToGrid w:val="0"/>
      <w:spacing w:line="360" w:lineRule="auto"/>
      <w:ind w:firstLine="480" w:firstLineChars="200"/>
    </w:pPr>
    <w:rPr>
      <w:kern w:val="2"/>
    </w:rPr>
  </w:style>
  <w:style w:type="character" w:customStyle="1" w:styleId="109">
    <w:name w:val="标题 9 Char1"/>
    <w:link w:val="13"/>
    <w:qFormat/>
    <w:uiPriority w:val="0"/>
    <w:rPr>
      <w:rFonts w:ascii="Arial" w:hAnsi="Arial" w:eastAsia="黑体"/>
      <w:kern w:val="2"/>
      <w:sz w:val="21"/>
      <w:szCs w:val="21"/>
    </w:rPr>
  </w:style>
  <w:style w:type="character" w:customStyle="1" w:styleId="110">
    <w:name w:val="批注文字 Char1"/>
    <w:semiHidden/>
    <w:qFormat/>
    <w:uiPriority w:val="0"/>
    <w:rPr>
      <w:rFonts w:ascii="Calibri" w:hAnsi="Calibri" w:eastAsia="宋体" w:cs="Times New Roman"/>
      <w:sz w:val="24"/>
      <w:szCs w:val="24"/>
    </w:rPr>
  </w:style>
  <w:style w:type="character" w:customStyle="1" w:styleId="111">
    <w:name w:val="规范正文 Char"/>
    <w:link w:val="112"/>
    <w:qFormat/>
    <w:uiPriority w:val="0"/>
    <w:rPr>
      <w:rFonts w:eastAsia="宋体"/>
      <w:sz w:val="24"/>
      <w:lang w:val="en-US" w:eastAsia="zh-CN" w:bidi="ar-SA"/>
    </w:rPr>
  </w:style>
  <w:style w:type="paragraph" w:customStyle="1" w:styleId="112">
    <w:name w:val="规范正文"/>
    <w:basedOn w:val="1"/>
    <w:link w:val="111"/>
    <w:qFormat/>
    <w:uiPriority w:val="0"/>
    <w:pPr>
      <w:adjustRightInd w:val="0"/>
      <w:spacing w:beforeLines="50" w:line="360" w:lineRule="auto"/>
      <w:ind w:firstLine="480" w:firstLineChars="200"/>
      <w:textAlignment w:val="baseline"/>
    </w:pPr>
    <w:rPr>
      <w:szCs w:val="20"/>
    </w:rPr>
  </w:style>
  <w:style w:type="character" w:customStyle="1" w:styleId="113">
    <w:name w:val="标题 3 Char2"/>
    <w:link w:val="7"/>
    <w:qFormat/>
    <w:uiPriority w:val="0"/>
    <w:rPr>
      <w:b/>
      <w:bCs/>
      <w:sz w:val="32"/>
      <w:szCs w:val="32"/>
    </w:rPr>
  </w:style>
  <w:style w:type="character" w:customStyle="1" w:styleId="114">
    <w:name w:val="标题 8 Char"/>
    <w:qFormat/>
    <w:uiPriority w:val="0"/>
    <w:rPr>
      <w:rFonts w:ascii="Arial" w:hAnsi="Arial" w:eastAsia="黑体" w:cs="Times New Roman"/>
      <w:sz w:val="24"/>
      <w:szCs w:val="24"/>
    </w:rPr>
  </w:style>
  <w:style w:type="character" w:customStyle="1" w:styleId="115">
    <w:name w:val="彩色列表 - 强调文字颜色 1 Char"/>
    <w:link w:val="116"/>
    <w:qFormat/>
    <w:uiPriority w:val="0"/>
    <w:rPr>
      <w:rFonts w:ascii="Calibri" w:hAnsi="Calibri"/>
      <w:kern w:val="2"/>
      <w:sz w:val="21"/>
      <w:szCs w:val="22"/>
      <w:lang w:bidi="ar-SA"/>
    </w:rPr>
  </w:style>
  <w:style w:type="paragraph" w:customStyle="1" w:styleId="116">
    <w:name w:val="彩色列表 - 强调文字颜色 11"/>
    <w:basedOn w:val="1"/>
    <w:link w:val="115"/>
    <w:qFormat/>
    <w:uiPriority w:val="0"/>
    <w:pPr>
      <w:ind w:firstLine="420" w:firstLineChars="200"/>
    </w:pPr>
    <w:rPr>
      <w:rFonts w:ascii="Calibri" w:hAnsi="Calibri"/>
      <w:kern w:val="2"/>
      <w:sz w:val="21"/>
      <w:szCs w:val="22"/>
    </w:rPr>
  </w:style>
  <w:style w:type="character" w:customStyle="1" w:styleId="117">
    <w:name w:val="Table Text Char1"/>
    <w:link w:val="118"/>
    <w:qFormat/>
    <w:locked/>
    <w:uiPriority w:val="0"/>
    <w:rPr>
      <w:rFonts w:ascii="Arial" w:hAnsi="Arial" w:eastAsia="宋体"/>
      <w:sz w:val="18"/>
      <w:lang w:val="en-US" w:eastAsia="zh-CN" w:bidi="ar-SA"/>
    </w:rPr>
  </w:style>
  <w:style w:type="paragraph" w:customStyle="1" w:styleId="118">
    <w:name w:val="Table Text"/>
    <w:basedOn w:val="1"/>
    <w:link w:val="117"/>
    <w:qFormat/>
    <w:uiPriority w:val="0"/>
    <w:pPr>
      <w:tabs>
        <w:tab w:val="decimal" w:pos="0"/>
      </w:tabs>
      <w:autoSpaceDE w:val="0"/>
      <w:autoSpaceDN w:val="0"/>
      <w:adjustRightInd w:val="0"/>
      <w:spacing w:before="80" w:after="80"/>
    </w:pPr>
    <w:rPr>
      <w:rFonts w:ascii="Arial" w:hAnsi="Arial"/>
      <w:sz w:val="18"/>
      <w:szCs w:val="20"/>
    </w:rPr>
  </w:style>
  <w:style w:type="character" w:customStyle="1" w:styleId="119">
    <w:name w:val="标题 7 Char1"/>
    <w:link w:val="11"/>
    <w:qFormat/>
    <w:uiPriority w:val="0"/>
    <w:rPr>
      <w:b/>
      <w:bCs/>
      <w:kern w:val="2"/>
      <w:sz w:val="24"/>
      <w:szCs w:val="24"/>
    </w:rPr>
  </w:style>
  <w:style w:type="character" w:customStyle="1" w:styleId="120">
    <w:name w:val="font01"/>
    <w:qFormat/>
    <w:uiPriority w:val="0"/>
    <w:rPr>
      <w:rFonts w:ascii="Arial" w:hAnsi="Arial" w:cs="Arial"/>
      <w:color w:val="000000"/>
      <w:sz w:val="20"/>
      <w:szCs w:val="20"/>
      <w:u w:val="none"/>
    </w:rPr>
  </w:style>
  <w:style w:type="character" w:customStyle="1" w:styleId="121">
    <w:name w:val="正文段 Char Char"/>
    <w:link w:val="122"/>
    <w:qFormat/>
    <w:uiPriority w:val="0"/>
    <w:rPr>
      <w:rFonts w:ascii="宋体" w:hAnsi="Calibri"/>
      <w:kern w:val="2"/>
      <w:sz w:val="24"/>
      <w:szCs w:val="22"/>
      <w:lang w:bidi="ar-SA"/>
    </w:rPr>
  </w:style>
  <w:style w:type="paragraph" w:customStyle="1" w:styleId="122">
    <w:name w:val="正文段"/>
    <w:basedOn w:val="1"/>
    <w:link w:val="121"/>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23">
    <w:name w:val="正文文本缩进 3 Char"/>
    <w:link w:val="124"/>
    <w:qFormat/>
    <w:uiPriority w:val="0"/>
    <w:rPr>
      <w:rFonts w:ascii="Calibri" w:hAnsi="Calibri" w:eastAsia="仿宋_GB2312"/>
      <w:kern w:val="2"/>
      <w:sz w:val="16"/>
      <w:szCs w:val="16"/>
      <w:lang w:bidi="ar-SA"/>
    </w:rPr>
  </w:style>
  <w:style w:type="paragraph" w:customStyle="1" w:styleId="124">
    <w:name w:val="正文文本缩进 31"/>
    <w:basedOn w:val="1"/>
    <w:link w:val="123"/>
    <w:qFormat/>
    <w:uiPriority w:val="0"/>
    <w:pPr>
      <w:spacing w:after="120" w:line="360" w:lineRule="auto"/>
      <w:ind w:left="420" w:leftChars="200" w:firstLine="200" w:firstLineChars="200"/>
    </w:pPr>
    <w:rPr>
      <w:rFonts w:ascii="Calibri" w:hAnsi="Calibri" w:eastAsia="仿宋_GB2312"/>
      <w:kern w:val="2"/>
      <w:sz w:val="16"/>
      <w:szCs w:val="16"/>
    </w:rPr>
  </w:style>
  <w:style w:type="character" w:customStyle="1" w:styleId="125">
    <w:name w:val="Code Line Char"/>
    <w:link w:val="126"/>
    <w:qFormat/>
    <w:locked/>
    <w:uiPriority w:val="0"/>
    <w:rPr>
      <w:rFonts w:ascii="Calibri" w:hAnsi="Calibri" w:eastAsia="宋体"/>
      <w:i/>
      <w:szCs w:val="24"/>
      <w:shd w:val="clear" w:color="auto" w:fill="C6D9F1"/>
      <w:lang w:bidi="ar-SA"/>
    </w:rPr>
  </w:style>
  <w:style w:type="paragraph" w:customStyle="1" w:styleId="126">
    <w:name w:val="Code Line"/>
    <w:basedOn w:val="1"/>
    <w:link w:val="125"/>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27">
    <w:name w:val="正文2 Char"/>
    <w:link w:val="128"/>
    <w:qFormat/>
    <w:uiPriority w:val="0"/>
    <w:rPr>
      <w:kern w:val="2"/>
      <w:sz w:val="24"/>
      <w:lang w:bidi="ar-SA"/>
    </w:rPr>
  </w:style>
  <w:style w:type="paragraph" w:customStyle="1" w:styleId="128">
    <w:name w:val="正文2"/>
    <w:basedOn w:val="1"/>
    <w:link w:val="127"/>
    <w:qFormat/>
    <w:uiPriority w:val="0"/>
    <w:pPr>
      <w:spacing w:before="156" w:line="360" w:lineRule="auto"/>
      <w:ind w:firstLine="510" w:firstLineChars="200"/>
    </w:pPr>
    <w:rPr>
      <w:kern w:val="2"/>
      <w:szCs w:val="20"/>
    </w:rPr>
  </w:style>
  <w:style w:type="character" w:customStyle="1" w:styleId="129">
    <w:name w:val="标题 1 Char"/>
    <w:qFormat/>
    <w:uiPriority w:val="9"/>
    <w:rPr>
      <w:rFonts w:ascii="宋体" w:hAnsi="宋体" w:eastAsia="宋体" w:cs="Times New Roman"/>
      <w:b/>
      <w:bCs/>
      <w:kern w:val="44"/>
      <w:sz w:val="32"/>
      <w:szCs w:val="28"/>
    </w:rPr>
  </w:style>
  <w:style w:type="character" w:customStyle="1" w:styleId="130">
    <w:name w:val="GP正文(无首行缩进) Char"/>
    <w:link w:val="131"/>
    <w:qFormat/>
    <w:uiPriority w:val="0"/>
    <w:rPr>
      <w:rFonts w:hAnsi="宋体"/>
      <w:kern w:val="2"/>
      <w:sz w:val="24"/>
      <w:szCs w:val="24"/>
      <w:lang w:bidi="ar-SA"/>
    </w:rPr>
  </w:style>
  <w:style w:type="paragraph" w:customStyle="1" w:styleId="131">
    <w:name w:val="GP正文(无首行缩进)"/>
    <w:basedOn w:val="132"/>
    <w:link w:val="130"/>
    <w:qFormat/>
    <w:uiPriority w:val="0"/>
    <w:pPr>
      <w:ind w:firstLine="480"/>
    </w:pPr>
    <w:rPr>
      <w:rFonts w:hAnsi="宋体"/>
      <w:kern w:val="2"/>
      <w:szCs w:val="24"/>
    </w:rPr>
  </w:style>
  <w:style w:type="paragraph" w:customStyle="1" w:styleId="132">
    <w:name w:val="GP正文(首行缩进)"/>
    <w:basedOn w:val="1"/>
    <w:qFormat/>
    <w:uiPriority w:val="0"/>
    <w:pPr>
      <w:spacing w:line="360" w:lineRule="auto"/>
      <w:ind w:firstLine="200" w:firstLineChars="200"/>
    </w:pPr>
    <w:rPr>
      <w:szCs w:val="21"/>
    </w:rPr>
  </w:style>
  <w:style w:type="character" w:customStyle="1" w:styleId="133">
    <w:name w:val="Notes Text in Table Char"/>
    <w:link w:val="134"/>
    <w:qFormat/>
    <w:locked/>
    <w:uiPriority w:val="0"/>
    <w:rPr>
      <w:rFonts w:ascii="Arial" w:hAnsi="Arial" w:eastAsia="楷体_GB2312" w:cs="Arial"/>
      <w:sz w:val="18"/>
      <w:szCs w:val="18"/>
      <w:lang w:val="en-US" w:eastAsia="zh-CN" w:bidi="ar-SA"/>
    </w:rPr>
  </w:style>
  <w:style w:type="paragraph" w:customStyle="1" w:styleId="134">
    <w:name w:val="Notes Text in Table"/>
    <w:link w:val="133"/>
    <w:qFormat/>
    <w:uiPriority w:val="0"/>
    <w:pPr>
      <w:keepLines/>
      <w:spacing w:before="80" w:after="80"/>
    </w:pPr>
    <w:rPr>
      <w:rFonts w:ascii="Arial" w:hAnsi="Arial" w:eastAsia="楷体_GB2312" w:cs="Arial"/>
      <w:sz w:val="18"/>
      <w:szCs w:val="18"/>
      <w:lang w:val="en-US" w:eastAsia="zh-CN" w:bidi="ar-SA"/>
    </w:rPr>
  </w:style>
  <w:style w:type="character" w:customStyle="1" w:styleId="135">
    <w:name w:val="纯文本 Char1"/>
    <w:basedOn w:val="59"/>
    <w:link w:val="31"/>
    <w:qFormat/>
    <w:uiPriority w:val="0"/>
    <w:rPr>
      <w:rFonts w:ascii="宋体" w:hAnsi="Courier New" w:eastAsia="宋体" w:cs="Courier New"/>
      <w:kern w:val="2"/>
      <w:sz w:val="21"/>
      <w:szCs w:val="21"/>
      <w:lang w:val="en-US" w:eastAsia="zh-CN" w:bidi="ar-SA"/>
    </w:rPr>
  </w:style>
  <w:style w:type="character" w:customStyle="1" w:styleId="136">
    <w:name w:val="font51"/>
    <w:qFormat/>
    <w:uiPriority w:val="0"/>
    <w:rPr>
      <w:rFonts w:hint="eastAsia" w:ascii="微软雅黑" w:hAnsi="微软雅黑" w:eastAsia="微软雅黑" w:cs="微软雅黑"/>
      <w:b/>
      <w:color w:val="FF0000"/>
      <w:sz w:val="24"/>
      <w:szCs w:val="24"/>
      <w:u w:val="none"/>
    </w:rPr>
  </w:style>
  <w:style w:type="character" w:customStyle="1" w:styleId="137">
    <w:name w:val="页脚 Char1"/>
    <w:link w:val="37"/>
    <w:qFormat/>
    <w:uiPriority w:val="0"/>
    <w:rPr>
      <w:rFonts w:eastAsia="宋体"/>
      <w:kern w:val="2"/>
      <w:sz w:val="18"/>
      <w:szCs w:val="18"/>
      <w:lang w:val="en-US" w:eastAsia="zh-CN" w:bidi="ar-SA"/>
    </w:rPr>
  </w:style>
  <w:style w:type="character" w:customStyle="1" w:styleId="138">
    <w:name w:val="标准正文 Char"/>
    <w:link w:val="139"/>
    <w:qFormat/>
    <w:locked/>
    <w:uiPriority w:val="0"/>
    <w:rPr>
      <w:kern w:val="2"/>
      <w:sz w:val="24"/>
      <w:lang w:bidi="ar-SA"/>
    </w:rPr>
  </w:style>
  <w:style w:type="paragraph" w:customStyle="1" w:styleId="139">
    <w:name w:val="标准正文"/>
    <w:basedOn w:val="1"/>
    <w:link w:val="138"/>
    <w:qFormat/>
    <w:uiPriority w:val="0"/>
    <w:pPr>
      <w:spacing w:before="156" w:after="156" w:line="360" w:lineRule="auto"/>
      <w:ind w:firstLine="480" w:firstLineChars="200"/>
    </w:pPr>
    <w:rPr>
      <w:kern w:val="2"/>
      <w:szCs w:val="20"/>
    </w:rPr>
  </w:style>
  <w:style w:type="character" w:customStyle="1" w:styleId="140">
    <w:name w:val="标题 3 Char1"/>
    <w:qFormat/>
    <w:uiPriority w:val="0"/>
    <w:rPr>
      <w:b/>
      <w:sz w:val="32"/>
      <w:szCs w:val="32"/>
    </w:rPr>
  </w:style>
  <w:style w:type="character" w:customStyle="1" w:styleId="141">
    <w:name w:val="3级标题 Char"/>
    <w:link w:val="142"/>
    <w:qFormat/>
    <w:uiPriority w:val="99"/>
    <w:rPr>
      <w:rFonts w:ascii="黑体" w:hAnsi="黑体"/>
      <w:b/>
      <w:szCs w:val="36"/>
      <w:lang w:eastAsia="en-US" w:bidi="en-US"/>
    </w:rPr>
  </w:style>
  <w:style w:type="paragraph" w:customStyle="1" w:styleId="142">
    <w:name w:val="3级标题"/>
    <w:basedOn w:val="143"/>
    <w:link w:val="141"/>
    <w:qFormat/>
    <w:uiPriority w:val="99"/>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43">
    <w:name w:val="列出段落111"/>
    <w:basedOn w:val="1"/>
    <w:qFormat/>
    <w:uiPriority w:val="0"/>
    <w:pPr>
      <w:ind w:firstLine="420" w:firstLineChars="200"/>
    </w:pPr>
    <w:rPr>
      <w:rFonts w:ascii="Calibri" w:hAnsi="Calibri" w:cs="黑体"/>
      <w:szCs w:val="22"/>
    </w:rPr>
  </w:style>
  <w:style w:type="character" w:customStyle="1" w:styleId="144">
    <w:name w:val="样式3 Char Char"/>
    <w:link w:val="145"/>
    <w:qFormat/>
    <w:uiPriority w:val="0"/>
    <w:rPr>
      <w:rFonts w:eastAsia="宋体" w:cs="宋体"/>
      <w:b/>
      <w:bCs/>
      <w:kern w:val="2"/>
      <w:sz w:val="32"/>
      <w:szCs w:val="32"/>
      <w:lang w:val="en-US" w:eastAsia="zh-CN" w:bidi="ar-SA"/>
    </w:rPr>
  </w:style>
  <w:style w:type="paragraph" w:customStyle="1" w:styleId="145">
    <w:name w:val="样式3"/>
    <w:basedOn w:val="7"/>
    <w:link w:val="144"/>
    <w:qFormat/>
    <w:uiPriority w:val="0"/>
    <w:pPr>
      <w:keepNext w:val="0"/>
      <w:keepLines w:val="0"/>
      <w:numPr>
        <w:ilvl w:val="0"/>
        <w:numId w:val="0"/>
      </w:numPr>
      <w:spacing w:before="60" w:after="60" w:line="360" w:lineRule="auto"/>
      <w:ind w:left="397"/>
    </w:pPr>
    <w:rPr>
      <w:rFonts w:cs="宋体"/>
      <w:kern w:val="2"/>
    </w:rPr>
  </w:style>
  <w:style w:type="character" w:customStyle="1" w:styleId="146">
    <w:name w:val="样式001 Char Char"/>
    <w:link w:val="147"/>
    <w:qFormat/>
    <w:uiPriority w:val="0"/>
    <w:rPr>
      <w:rFonts w:ascii="宋体" w:eastAsia="仿宋_GB2312"/>
      <w:color w:val="000000"/>
      <w:sz w:val="24"/>
      <w:szCs w:val="28"/>
      <w:lang w:bidi="ar-SA"/>
    </w:rPr>
  </w:style>
  <w:style w:type="paragraph" w:customStyle="1" w:styleId="147">
    <w:name w:val="样式001"/>
    <w:basedOn w:val="1"/>
    <w:link w:val="146"/>
    <w:qFormat/>
    <w:uiPriority w:val="0"/>
    <w:pPr>
      <w:adjustRightInd w:val="0"/>
      <w:snapToGrid w:val="0"/>
      <w:spacing w:beforeLines="50" w:afterLines="50" w:line="360" w:lineRule="auto"/>
      <w:ind w:firstLine="480" w:firstLineChars="200"/>
    </w:pPr>
    <w:rPr>
      <w:rFonts w:ascii="宋体" w:eastAsia="仿宋_GB2312"/>
      <w:color w:val="000000"/>
      <w:szCs w:val="28"/>
    </w:rPr>
  </w:style>
  <w:style w:type="character" w:customStyle="1" w:styleId="148">
    <w:name w:val="样式4 Char Char"/>
    <w:link w:val="149"/>
    <w:qFormat/>
    <w:uiPriority w:val="0"/>
    <w:rPr>
      <w:rFonts w:eastAsia="宋体"/>
      <w:b/>
      <w:bCs/>
      <w:kern w:val="2"/>
      <w:sz w:val="30"/>
      <w:szCs w:val="30"/>
      <w:lang w:val="en-US" w:eastAsia="zh-CN" w:bidi="ar-SA"/>
    </w:rPr>
  </w:style>
  <w:style w:type="paragraph" w:customStyle="1" w:styleId="149">
    <w:name w:val="样式4"/>
    <w:basedOn w:val="8"/>
    <w:link w:val="148"/>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50">
    <w:name w:val="普通文字 Char Char1"/>
    <w:qFormat/>
    <w:uiPriority w:val="0"/>
    <w:rPr>
      <w:rFonts w:ascii="宋体" w:hAnsi="Courier New" w:eastAsia="宋体" w:cs="Courier New"/>
      <w:kern w:val="2"/>
      <w:sz w:val="21"/>
      <w:szCs w:val="21"/>
      <w:lang w:val="en-US" w:eastAsia="zh-CN" w:bidi="ar-SA"/>
    </w:rPr>
  </w:style>
  <w:style w:type="character" w:customStyle="1" w:styleId="151">
    <w:name w:val="列表符号 Char1"/>
    <w:link w:val="152"/>
    <w:qFormat/>
    <w:uiPriority w:val="0"/>
    <w:rPr>
      <w:rFonts w:ascii="宋体" w:hAnsi="宋体"/>
      <w:bCs/>
      <w:kern w:val="21"/>
      <w:sz w:val="24"/>
      <w:szCs w:val="24"/>
      <w:lang w:val="zh-CN" w:bidi="ar-SA"/>
    </w:rPr>
  </w:style>
  <w:style w:type="paragraph" w:customStyle="1" w:styleId="152">
    <w:name w:val="列表符号"/>
    <w:basedOn w:val="1"/>
    <w:next w:val="1"/>
    <w:link w:val="151"/>
    <w:qFormat/>
    <w:uiPriority w:val="0"/>
    <w:pPr>
      <w:tabs>
        <w:tab w:val="left" w:pos="1095"/>
      </w:tabs>
      <w:spacing w:line="360" w:lineRule="auto"/>
      <w:ind w:left="1095" w:hanging="1095"/>
    </w:pPr>
    <w:rPr>
      <w:rFonts w:ascii="宋体" w:hAnsi="宋体"/>
      <w:bCs/>
      <w:kern w:val="21"/>
      <w:lang w:val="zh-CN"/>
    </w:rPr>
  </w:style>
  <w:style w:type="character" w:customStyle="1" w:styleId="153">
    <w:name w:val="标题 4 Char2"/>
    <w:link w:val="8"/>
    <w:qFormat/>
    <w:uiPriority w:val="0"/>
    <w:rPr>
      <w:rFonts w:ascii="Arial" w:hAnsi="Arial" w:eastAsia="黑体"/>
      <w:b/>
      <w:bCs/>
      <w:kern w:val="2"/>
      <w:sz w:val="28"/>
      <w:szCs w:val="28"/>
    </w:rPr>
  </w:style>
  <w:style w:type="character" w:customStyle="1" w:styleId="154">
    <w:name w:val="标题 5 Char1"/>
    <w:qFormat/>
    <w:uiPriority w:val="0"/>
    <w:rPr>
      <w:rFonts w:eastAsia="宋体"/>
      <w:b/>
      <w:bCs/>
      <w:kern w:val="2"/>
      <w:sz w:val="28"/>
      <w:szCs w:val="28"/>
      <w:lang w:val="en-US" w:eastAsia="zh-CN" w:bidi="ar-SA"/>
    </w:rPr>
  </w:style>
  <w:style w:type="character" w:customStyle="1" w:styleId="155">
    <w:name w:val="font21"/>
    <w:qFormat/>
    <w:uiPriority w:val="0"/>
    <w:rPr>
      <w:rFonts w:hint="eastAsia" w:ascii="微软雅黑" w:hAnsi="微软雅黑" w:eastAsia="微软雅黑" w:cs="微软雅黑"/>
      <w:color w:val="000000"/>
      <w:sz w:val="24"/>
      <w:szCs w:val="24"/>
      <w:u w:val="none"/>
    </w:rPr>
  </w:style>
  <w:style w:type="character" w:customStyle="1" w:styleId="156">
    <w:name w:val="批注框文本 Char1"/>
    <w:link w:val="36"/>
    <w:qFormat/>
    <w:uiPriority w:val="0"/>
    <w:rPr>
      <w:rFonts w:eastAsia="宋体"/>
      <w:kern w:val="2"/>
      <w:sz w:val="18"/>
      <w:szCs w:val="18"/>
      <w:lang w:val="en-US" w:eastAsia="zh-CN" w:bidi="ar-SA"/>
    </w:rPr>
  </w:style>
  <w:style w:type="character" w:customStyle="1" w:styleId="157">
    <w:name w:val="标题 9 Char"/>
    <w:qFormat/>
    <w:uiPriority w:val="0"/>
    <w:rPr>
      <w:rFonts w:ascii="Arial" w:hAnsi="Arial" w:eastAsia="黑体" w:cs="Times New Roman"/>
      <w:sz w:val="24"/>
      <w:szCs w:val="21"/>
    </w:rPr>
  </w:style>
  <w:style w:type="character" w:customStyle="1" w:styleId="158">
    <w:name w:val="普通文字 Char Char2"/>
    <w:qFormat/>
    <w:uiPriority w:val="0"/>
    <w:rPr>
      <w:rFonts w:ascii="宋体" w:hAnsi="Courier New" w:eastAsia="宋体"/>
      <w:sz w:val="21"/>
      <w:szCs w:val="21"/>
      <w:lang w:val="en-US" w:eastAsia="zh-CN" w:bidi="ar-SA"/>
    </w:rPr>
  </w:style>
  <w:style w:type="character" w:customStyle="1" w:styleId="159">
    <w:name w:val="10"/>
    <w:qFormat/>
    <w:uiPriority w:val="0"/>
    <w:rPr>
      <w:rFonts w:hint="default" w:ascii="Times New Roman" w:hAnsi="Times New Roman" w:cs="Times New Roman"/>
    </w:rPr>
  </w:style>
  <w:style w:type="character" w:customStyle="1" w:styleId="160">
    <w:name w:val="正文文本 2 Char"/>
    <w:link w:val="161"/>
    <w:qFormat/>
    <w:uiPriority w:val="0"/>
    <w:rPr>
      <w:rFonts w:ascii="Calibri" w:hAnsi="Calibri" w:eastAsia="仿宋_GB2312"/>
      <w:kern w:val="2"/>
      <w:sz w:val="24"/>
      <w:szCs w:val="22"/>
      <w:lang w:bidi="ar-SA"/>
    </w:rPr>
  </w:style>
  <w:style w:type="paragraph" w:customStyle="1" w:styleId="161">
    <w:name w:val="正文文本 21"/>
    <w:basedOn w:val="1"/>
    <w:link w:val="160"/>
    <w:qFormat/>
    <w:uiPriority w:val="0"/>
    <w:pPr>
      <w:spacing w:after="120" w:line="480" w:lineRule="auto"/>
      <w:ind w:firstLine="200" w:firstLineChars="200"/>
    </w:pPr>
    <w:rPr>
      <w:rFonts w:ascii="Calibri" w:hAnsi="Calibri" w:eastAsia="仿宋_GB2312"/>
      <w:kern w:val="2"/>
      <w:szCs w:val="22"/>
    </w:rPr>
  </w:style>
  <w:style w:type="character" w:customStyle="1" w:styleId="162">
    <w:name w:val="Item List Char Char"/>
    <w:link w:val="163"/>
    <w:qFormat/>
    <w:locked/>
    <w:uiPriority w:val="0"/>
    <w:rPr>
      <w:rFonts w:ascii="Arial" w:hAnsi="Arial" w:eastAsia="Times New Roman"/>
      <w:b/>
      <w:bCs/>
      <w:lang w:val="en-US" w:eastAsia="zh-CN" w:bidi="ar-SA"/>
    </w:rPr>
  </w:style>
  <w:style w:type="paragraph" w:customStyle="1" w:styleId="163">
    <w:name w:val="Item List"/>
    <w:link w:val="162"/>
    <w:qFormat/>
    <w:uiPriority w:val="0"/>
    <w:pPr>
      <w:tabs>
        <w:tab w:val="left" w:pos="482"/>
      </w:tabs>
      <w:spacing w:line="360" w:lineRule="auto"/>
      <w:jc w:val="both"/>
    </w:pPr>
    <w:rPr>
      <w:rFonts w:ascii="Arial" w:hAnsi="Arial" w:eastAsia="Times New Roman" w:cs="Times New Roman"/>
      <w:b/>
      <w:bCs/>
      <w:lang w:val="en-US" w:eastAsia="zh-CN" w:bidi="ar-SA"/>
    </w:rPr>
  </w:style>
  <w:style w:type="character" w:customStyle="1" w:styleId="164">
    <w:name w:val="正文（缩进） Char"/>
    <w:link w:val="165"/>
    <w:qFormat/>
    <w:uiPriority w:val="0"/>
    <w:rPr>
      <w:rFonts w:ascii="宋体" w:hAnsi="宋体"/>
      <w:kern w:val="2"/>
      <w:sz w:val="21"/>
      <w:szCs w:val="21"/>
    </w:rPr>
  </w:style>
  <w:style w:type="paragraph" w:customStyle="1" w:styleId="165">
    <w:name w:val="正文（缩进）"/>
    <w:basedOn w:val="1"/>
    <w:link w:val="164"/>
    <w:qFormat/>
    <w:uiPriority w:val="0"/>
    <w:pPr>
      <w:spacing w:line="360" w:lineRule="auto"/>
      <w:ind w:firstLine="420" w:firstLineChars="200"/>
    </w:pPr>
    <w:rPr>
      <w:rFonts w:ascii="宋体" w:hAnsi="宋体"/>
      <w:kern w:val="2"/>
      <w:sz w:val="21"/>
      <w:szCs w:val="21"/>
    </w:rPr>
  </w:style>
  <w:style w:type="character" w:customStyle="1" w:styleId="166">
    <w:name w:val="列出段落 字符1"/>
    <w:qFormat/>
    <w:uiPriority w:val="0"/>
    <w:rPr>
      <w:kern w:val="2"/>
      <w:sz w:val="21"/>
      <w:szCs w:val="22"/>
    </w:rPr>
  </w:style>
  <w:style w:type="character" w:customStyle="1" w:styleId="167">
    <w:name w:val="正文首行缩进 Char"/>
    <w:link w:val="25"/>
    <w:qFormat/>
    <w:locked/>
    <w:uiPriority w:val="0"/>
    <w:rPr>
      <w:rFonts w:eastAsia="宋体"/>
      <w:kern w:val="2"/>
      <w:sz w:val="21"/>
      <w:szCs w:val="24"/>
      <w:lang w:val="en-US" w:eastAsia="zh-CN" w:bidi="ar-SA"/>
    </w:rPr>
  </w:style>
  <w:style w:type="character" w:customStyle="1" w:styleId="168">
    <w:name w:val="新编正文 Char Char"/>
    <w:link w:val="169"/>
    <w:qFormat/>
    <w:uiPriority w:val="0"/>
    <w:rPr>
      <w:kern w:val="2"/>
      <w:sz w:val="24"/>
      <w:lang w:bidi="ar-SA"/>
    </w:rPr>
  </w:style>
  <w:style w:type="paragraph" w:customStyle="1" w:styleId="169">
    <w:name w:val="新编正文"/>
    <w:basedOn w:val="1"/>
    <w:link w:val="168"/>
    <w:qFormat/>
    <w:uiPriority w:val="0"/>
    <w:pPr>
      <w:spacing w:before="60" w:after="60" w:line="360" w:lineRule="auto"/>
      <w:ind w:firstLine="420"/>
    </w:pPr>
    <w:rPr>
      <w:kern w:val="2"/>
      <w:szCs w:val="20"/>
    </w:rPr>
  </w:style>
  <w:style w:type="character" w:customStyle="1" w:styleId="170">
    <w:name w:val="正文缩进 Char2"/>
    <w:link w:val="17"/>
    <w:qFormat/>
    <w:uiPriority w:val="0"/>
    <w:rPr>
      <w:rFonts w:eastAsia="宋体"/>
      <w:kern w:val="2"/>
      <w:sz w:val="28"/>
      <w:lang w:val="en-US" w:eastAsia="zh-CN" w:bidi="ar-SA"/>
    </w:rPr>
  </w:style>
  <w:style w:type="character" w:customStyle="1" w:styleId="171">
    <w:name w:val="样式3 Char"/>
    <w:qFormat/>
    <w:uiPriority w:val="0"/>
    <w:rPr>
      <w:rFonts w:ascii="Times New Roman" w:hAnsi="Times New Roman" w:eastAsia="宋体" w:cs="Times New Roman"/>
      <w:b/>
      <w:bCs/>
      <w:sz w:val="32"/>
      <w:szCs w:val="32"/>
    </w:rPr>
  </w:style>
  <w:style w:type="character" w:customStyle="1" w:styleId="172">
    <w:name w:val="*正文 Char"/>
    <w:link w:val="173"/>
    <w:qFormat/>
    <w:uiPriority w:val="0"/>
    <w:rPr>
      <w:rFonts w:ascii="宋体" w:hAnsi="宋体" w:eastAsia="宋体"/>
      <w:kern w:val="2"/>
      <w:sz w:val="24"/>
      <w:szCs w:val="24"/>
      <w:lang w:val="en-US" w:eastAsia="zh-CN" w:bidi="ar-SA"/>
    </w:rPr>
  </w:style>
  <w:style w:type="paragraph" w:customStyle="1" w:styleId="173">
    <w:name w:val="*正文"/>
    <w:basedOn w:val="1"/>
    <w:link w:val="172"/>
    <w:qFormat/>
    <w:uiPriority w:val="0"/>
    <w:pPr>
      <w:spacing w:line="360" w:lineRule="auto"/>
      <w:ind w:firstLine="200" w:firstLineChars="200"/>
    </w:pPr>
    <w:rPr>
      <w:rFonts w:ascii="宋体" w:hAnsi="宋体"/>
      <w:kern w:val="2"/>
    </w:rPr>
  </w:style>
  <w:style w:type="character" w:customStyle="1" w:styleId="174">
    <w:name w:val="正文标准格式 Char"/>
    <w:link w:val="175"/>
    <w:qFormat/>
    <w:uiPriority w:val="0"/>
    <w:rPr>
      <w:rFonts w:ascii="宋体" w:hAnsi="宋体"/>
      <w:kern w:val="2"/>
      <w:sz w:val="24"/>
      <w:szCs w:val="24"/>
      <w:lang w:val="en-US" w:eastAsia="zh-CN" w:bidi="ar-SA"/>
    </w:rPr>
  </w:style>
  <w:style w:type="paragraph" w:customStyle="1" w:styleId="175">
    <w:name w:val="正文标准格式"/>
    <w:link w:val="174"/>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176">
    <w:name w:val="font11"/>
    <w:qFormat/>
    <w:uiPriority w:val="0"/>
    <w:rPr>
      <w:rFonts w:hint="eastAsia" w:ascii="宋体" w:hAnsi="宋体" w:eastAsia="宋体" w:cs="宋体"/>
      <w:color w:val="000000"/>
      <w:sz w:val="21"/>
      <w:szCs w:val="21"/>
      <w:u w:val="none"/>
    </w:rPr>
  </w:style>
  <w:style w:type="character" w:customStyle="1" w:styleId="177">
    <w:name w:val="标题 Char"/>
    <w:link w:val="55"/>
    <w:qFormat/>
    <w:uiPriority w:val="0"/>
    <w:rPr>
      <w:rFonts w:ascii="Cambria" w:hAnsi="Cambria"/>
      <w:b/>
      <w:bCs/>
      <w:kern w:val="2"/>
      <w:sz w:val="32"/>
      <w:szCs w:val="32"/>
      <w:lang w:bidi="ar-SA"/>
    </w:rPr>
  </w:style>
  <w:style w:type="character" w:customStyle="1" w:styleId="178">
    <w:name w:val="批注文字 Char2"/>
    <w:link w:val="21"/>
    <w:qFormat/>
    <w:uiPriority w:val="0"/>
    <w:rPr>
      <w:rFonts w:eastAsia="宋体"/>
      <w:kern w:val="2"/>
      <w:sz w:val="21"/>
      <w:szCs w:val="24"/>
      <w:lang w:val="en-US" w:eastAsia="zh-CN" w:bidi="ar-SA"/>
    </w:rPr>
  </w:style>
  <w:style w:type="character" w:customStyle="1" w:styleId="179">
    <w:name w:val="纯文本 Char"/>
    <w:link w:val="180"/>
    <w:qFormat/>
    <w:uiPriority w:val="0"/>
    <w:rPr>
      <w:rFonts w:ascii="宋体" w:hAnsi="Courier New" w:eastAsia="宋体" w:cs="Courier New"/>
      <w:kern w:val="2"/>
      <w:sz w:val="21"/>
      <w:szCs w:val="21"/>
      <w:lang w:val="en-US" w:eastAsia="zh-CN" w:bidi="ar-SA"/>
    </w:rPr>
  </w:style>
  <w:style w:type="paragraph" w:customStyle="1" w:styleId="180">
    <w:name w:val="纯文本1"/>
    <w:basedOn w:val="1"/>
    <w:link w:val="179"/>
    <w:qFormat/>
    <w:uiPriority w:val="0"/>
    <w:rPr>
      <w:rFonts w:ascii="宋体" w:hAnsi="Courier New" w:cs="Courier New"/>
      <w:kern w:val="2"/>
      <w:sz w:val="21"/>
      <w:szCs w:val="21"/>
    </w:rPr>
  </w:style>
  <w:style w:type="character" w:customStyle="1" w:styleId="181">
    <w:name w:val="段 Char"/>
    <w:link w:val="182"/>
    <w:qFormat/>
    <w:locked/>
    <w:uiPriority w:val="0"/>
    <w:rPr>
      <w:rFonts w:ascii="宋体" w:eastAsia="Times New Roman"/>
      <w:lang w:val="en-US" w:eastAsia="zh-CN" w:bidi="ar-SA"/>
    </w:rPr>
  </w:style>
  <w:style w:type="paragraph" w:customStyle="1" w:styleId="182">
    <w:name w:val="段"/>
    <w:link w:val="181"/>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183">
    <w:name w:val="标题 1 Char1"/>
    <w:link w:val="5"/>
    <w:qFormat/>
    <w:uiPriority w:val="0"/>
    <w:rPr>
      <w:b/>
      <w:bCs/>
      <w:kern w:val="44"/>
      <w:sz w:val="44"/>
      <w:szCs w:val="44"/>
    </w:rPr>
  </w:style>
  <w:style w:type="character" w:customStyle="1" w:styleId="184">
    <w:name w:val="批注框文本 Char"/>
    <w:qFormat/>
    <w:uiPriority w:val="99"/>
    <w:rPr>
      <w:rFonts w:ascii="Calibri" w:hAnsi="Calibri" w:eastAsia="宋体" w:cs="Times New Roman"/>
      <w:sz w:val="16"/>
      <w:szCs w:val="16"/>
    </w:rPr>
  </w:style>
  <w:style w:type="character" w:customStyle="1" w:styleId="185">
    <w:name w:val="标题 5 Char"/>
    <w:qFormat/>
    <w:uiPriority w:val="0"/>
    <w:rPr>
      <w:rFonts w:ascii="Calibri" w:hAnsi="Calibri" w:eastAsia="宋体" w:cs="Times New Roman"/>
      <w:bCs/>
      <w:kern w:val="0"/>
      <w:sz w:val="24"/>
      <w:szCs w:val="28"/>
    </w:rPr>
  </w:style>
  <w:style w:type="character" w:customStyle="1" w:styleId="186">
    <w:name w:val="样式4 Char"/>
    <w:qFormat/>
    <w:uiPriority w:val="0"/>
    <w:rPr>
      <w:rFonts w:ascii="Times New Roman" w:hAnsi="Times New Roman" w:eastAsia="宋体" w:cs="Times New Roman"/>
      <w:b/>
      <w:bCs/>
      <w:sz w:val="30"/>
      <w:szCs w:val="28"/>
    </w:rPr>
  </w:style>
  <w:style w:type="character" w:customStyle="1" w:styleId="187">
    <w:name w:val="正文首行缩进小四宋体 字符"/>
    <w:link w:val="188"/>
    <w:qFormat/>
    <w:uiPriority w:val="0"/>
    <w:rPr>
      <w:rFonts w:ascii="Calibri" w:hAnsi="Calibri" w:eastAsia="宋体"/>
      <w:sz w:val="24"/>
      <w:szCs w:val="24"/>
      <w:lang w:bidi="ar-SA"/>
    </w:rPr>
  </w:style>
  <w:style w:type="paragraph" w:customStyle="1" w:styleId="188">
    <w:name w:val="正文首行缩进小四宋体"/>
    <w:basedOn w:val="1"/>
    <w:link w:val="187"/>
    <w:qFormat/>
    <w:uiPriority w:val="0"/>
    <w:pPr>
      <w:spacing w:line="360" w:lineRule="auto"/>
      <w:ind w:firstLine="480" w:firstLineChars="200"/>
    </w:pPr>
    <w:rPr>
      <w:rFonts w:ascii="Calibri" w:hAnsi="Calibri"/>
    </w:rPr>
  </w:style>
  <w:style w:type="character" w:customStyle="1" w:styleId="189">
    <w:name w:val="仿宋4号 Char"/>
    <w:link w:val="190"/>
    <w:qFormat/>
    <w:uiPriority w:val="0"/>
    <w:rPr>
      <w:rFonts w:ascii="仿宋" w:hAnsi="仿宋" w:eastAsia="仿宋"/>
      <w:kern w:val="2"/>
      <w:sz w:val="28"/>
      <w:szCs w:val="28"/>
      <w:lang w:bidi="ar-SA"/>
    </w:rPr>
  </w:style>
  <w:style w:type="paragraph" w:customStyle="1" w:styleId="190">
    <w:name w:val="仿宋4号"/>
    <w:basedOn w:val="1"/>
    <w:link w:val="189"/>
    <w:qFormat/>
    <w:uiPriority w:val="0"/>
    <w:pPr>
      <w:spacing w:line="360" w:lineRule="auto"/>
      <w:ind w:firstLine="560" w:firstLineChars="200"/>
    </w:pPr>
    <w:rPr>
      <w:rFonts w:ascii="仿宋" w:hAnsi="仿宋" w:eastAsia="仿宋"/>
      <w:kern w:val="2"/>
      <w:sz w:val="28"/>
      <w:szCs w:val="28"/>
    </w:rPr>
  </w:style>
  <w:style w:type="character" w:customStyle="1" w:styleId="191">
    <w:name w:val="正文文本缩进 Char"/>
    <w:link w:val="192"/>
    <w:qFormat/>
    <w:uiPriority w:val="0"/>
    <w:rPr>
      <w:rFonts w:ascii="楷体_GB2312" w:eastAsia="楷体_GB2312"/>
      <w:kern w:val="2"/>
      <w:sz w:val="24"/>
      <w:szCs w:val="28"/>
      <w:lang w:bidi="ar-SA"/>
    </w:rPr>
  </w:style>
  <w:style w:type="paragraph" w:customStyle="1" w:styleId="192">
    <w:name w:val="正文文本缩进1"/>
    <w:basedOn w:val="1"/>
    <w:link w:val="191"/>
    <w:qFormat/>
    <w:uiPriority w:val="0"/>
    <w:pPr>
      <w:spacing w:after="120" w:line="360" w:lineRule="auto"/>
      <w:ind w:left="480" w:leftChars="200" w:firstLine="200" w:firstLineChars="200"/>
    </w:pPr>
    <w:rPr>
      <w:rFonts w:ascii="楷体_GB2312" w:eastAsia="楷体_GB2312"/>
      <w:kern w:val="2"/>
      <w:szCs w:val="28"/>
    </w:rPr>
  </w:style>
  <w:style w:type="character" w:customStyle="1" w:styleId="193">
    <w:name w:val="标题 8 Char1"/>
    <w:link w:val="12"/>
    <w:qFormat/>
    <w:uiPriority w:val="0"/>
    <w:rPr>
      <w:rFonts w:ascii="Arial" w:hAnsi="Arial" w:eastAsia="黑体"/>
      <w:kern w:val="2"/>
      <w:sz w:val="24"/>
      <w:szCs w:val="24"/>
    </w:rPr>
  </w:style>
  <w:style w:type="character" w:customStyle="1" w:styleId="194">
    <w:name w:val="投标书正文无序编号 Char"/>
    <w:link w:val="195"/>
    <w:qFormat/>
    <w:locked/>
    <w:uiPriority w:val="0"/>
    <w:rPr>
      <w:sz w:val="24"/>
      <w:szCs w:val="24"/>
      <w:lang w:bidi="ar-SA"/>
    </w:rPr>
  </w:style>
  <w:style w:type="paragraph" w:customStyle="1" w:styleId="195">
    <w:name w:val="投标书正文无序编号"/>
    <w:basedOn w:val="196"/>
    <w:link w:val="194"/>
    <w:qFormat/>
    <w:uiPriority w:val="0"/>
    <w:rPr>
      <w:rFonts w:eastAsia="宋体"/>
    </w:rPr>
  </w:style>
  <w:style w:type="paragraph" w:customStyle="1" w:styleId="196">
    <w:name w:val="投标书正文"/>
    <w:link w:val="230"/>
    <w:qFormat/>
    <w:uiPriority w:val="0"/>
    <w:pPr>
      <w:autoSpaceDE w:val="0"/>
      <w:spacing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197">
    <w:name w:val="内容文本 Char"/>
    <w:link w:val="198"/>
    <w:qFormat/>
    <w:uiPriority w:val="0"/>
    <w:rPr>
      <w:rFonts w:ascii="宋体" w:hAnsi="宋体" w:eastAsia="宋体"/>
      <w:sz w:val="24"/>
      <w:szCs w:val="24"/>
      <w:lang w:val="en-US" w:eastAsia="zh-CN" w:bidi="ar-SA"/>
    </w:rPr>
  </w:style>
  <w:style w:type="paragraph" w:customStyle="1" w:styleId="198">
    <w:name w:val="内容文本"/>
    <w:basedOn w:val="199"/>
    <w:link w:val="197"/>
    <w:qFormat/>
    <w:uiPriority w:val="0"/>
    <w:pPr>
      <w:spacing w:line="360" w:lineRule="auto"/>
      <w:ind w:firstLine="200"/>
      <w:contextualSpacing/>
    </w:pPr>
    <w:rPr>
      <w:rFonts w:ascii="宋体" w:hAnsi="宋体"/>
      <w:kern w:val="0"/>
      <w:sz w:val="24"/>
      <w:szCs w:val="24"/>
    </w:rPr>
  </w:style>
  <w:style w:type="paragraph" w:customStyle="1" w:styleId="199">
    <w:name w:val="列出段落1"/>
    <w:basedOn w:val="1"/>
    <w:link w:val="225"/>
    <w:qFormat/>
    <w:uiPriority w:val="0"/>
    <w:pPr>
      <w:ind w:firstLine="420" w:firstLineChars="200"/>
    </w:pPr>
    <w:rPr>
      <w:rFonts w:ascii="Calibri" w:hAnsi="Calibri"/>
      <w:kern w:val="2"/>
      <w:sz w:val="21"/>
      <w:szCs w:val="21"/>
    </w:rPr>
  </w:style>
  <w:style w:type="character" w:customStyle="1" w:styleId="200">
    <w:name w:val="正文首行缩进 2 Char"/>
    <w:link w:val="2"/>
    <w:qFormat/>
    <w:uiPriority w:val="0"/>
    <w:rPr>
      <w:rFonts w:ascii="Times New Roman" w:hAnsi="Times New Roman"/>
      <w:sz w:val="24"/>
      <w:szCs w:val="24"/>
    </w:rPr>
  </w:style>
  <w:style w:type="character" w:customStyle="1" w:styleId="201">
    <w:name w:val="正文缩进 Char1"/>
    <w:link w:val="202"/>
    <w:qFormat/>
    <w:uiPriority w:val="99"/>
    <w:rPr>
      <w:kern w:val="2"/>
      <w:sz w:val="24"/>
      <w:lang w:bidi="ar-SA"/>
    </w:rPr>
  </w:style>
  <w:style w:type="paragraph" w:customStyle="1" w:styleId="202">
    <w:name w:val="正文缩进1"/>
    <w:basedOn w:val="1"/>
    <w:link w:val="201"/>
    <w:qFormat/>
    <w:uiPriority w:val="99"/>
    <w:pPr>
      <w:ind w:firstLine="420"/>
    </w:pPr>
    <w:rPr>
      <w:kern w:val="2"/>
      <w:szCs w:val="20"/>
    </w:rPr>
  </w:style>
  <w:style w:type="character" w:customStyle="1" w:styleId="203">
    <w:name w:val="Item List in Table Char Char"/>
    <w:link w:val="204"/>
    <w:qFormat/>
    <w:locked/>
    <w:uiPriority w:val="0"/>
    <w:rPr>
      <w:rFonts w:ascii="Arial" w:hAnsi="Arial" w:cs="Arial"/>
      <w:sz w:val="18"/>
      <w:szCs w:val="18"/>
      <w:lang w:val="en-US" w:eastAsia="zh-CN" w:bidi="ar-SA"/>
    </w:rPr>
  </w:style>
  <w:style w:type="paragraph" w:customStyle="1" w:styleId="204">
    <w:name w:val="Item List in Table"/>
    <w:link w:val="203"/>
    <w:qFormat/>
    <w:uiPriority w:val="0"/>
    <w:pPr>
      <w:tabs>
        <w:tab w:val="left" w:pos="284"/>
      </w:tabs>
      <w:spacing w:before="40" w:after="40"/>
      <w:jc w:val="both"/>
    </w:pPr>
    <w:rPr>
      <w:rFonts w:ascii="Arial" w:hAnsi="Arial" w:eastAsia="宋体" w:cs="Arial"/>
      <w:sz w:val="18"/>
      <w:szCs w:val="18"/>
      <w:lang w:val="en-US" w:eastAsia="zh-CN" w:bidi="ar-SA"/>
    </w:rPr>
  </w:style>
  <w:style w:type="character" w:customStyle="1" w:styleId="205">
    <w:name w:val="页眉 Char1"/>
    <w:link w:val="38"/>
    <w:qFormat/>
    <w:uiPriority w:val="0"/>
    <w:rPr>
      <w:rFonts w:eastAsia="宋体"/>
      <w:kern w:val="2"/>
      <w:sz w:val="18"/>
      <w:szCs w:val="18"/>
      <w:lang w:val="en-US" w:eastAsia="zh-CN" w:bidi="ar-SA"/>
    </w:rPr>
  </w:style>
  <w:style w:type="character" w:customStyle="1" w:styleId="206">
    <w:name w:val="标题 4 Char1"/>
    <w:qFormat/>
    <w:uiPriority w:val="0"/>
    <w:rPr>
      <w:rFonts w:ascii="Arial" w:hAnsi="Arial" w:eastAsia="黑体"/>
      <w:b/>
      <w:bCs/>
      <w:kern w:val="2"/>
      <w:sz w:val="28"/>
      <w:szCs w:val="28"/>
    </w:rPr>
  </w:style>
  <w:style w:type="character" w:customStyle="1" w:styleId="207">
    <w:name w:val="077-正文格式 Char1"/>
    <w:link w:val="208"/>
    <w:qFormat/>
    <w:uiPriority w:val="0"/>
    <w:rPr>
      <w:rFonts w:ascii="宋体"/>
      <w:kern w:val="2"/>
      <w:sz w:val="24"/>
      <w:lang w:bidi="ar-SA"/>
    </w:rPr>
  </w:style>
  <w:style w:type="paragraph" w:customStyle="1" w:styleId="208">
    <w:name w:val="077-正文格式"/>
    <w:basedOn w:val="1"/>
    <w:link w:val="207"/>
    <w:qFormat/>
    <w:uiPriority w:val="0"/>
    <w:pPr>
      <w:adjustRightInd w:val="0"/>
      <w:snapToGrid w:val="0"/>
      <w:spacing w:line="360" w:lineRule="auto"/>
      <w:ind w:firstLine="480" w:firstLineChars="200"/>
    </w:pPr>
    <w:rPr>
      <w:rFonts w:ascii="宋体"/>
      <w:kern w:val="2"/>
      <w:szCs w:val="20"/>
    </w:rPr>
  </w:style>
  <w:style w:type="character" w:customStyle="1" w:styleId="209">
    <w:name w:val="正文文本 Char"/>
    <w:qFormat/>
    <w:uiPriority w:val="0"/>
    <w:rPr>
      <w:rFonts w:ascii="宋体" w:hAnsi="宋体"/>
      <w:b/>
      <w:bCs/>
      <w:color w:val="000000"/>
      <w:kern w:val="2"/>
      <w:sz w:val="72"/>
    </w:rPr>
  </w:style>
  <w:style w:type="character" w:customStyle="1" w:styleId="210">
    <w:name w:val="无间隔 Char"/>
    <w:link w:val="211"/>
    <w:qFormat/>
    <w:uiPriority w:val="0"/>
    <w:rPr>
      <w:rFonts w:ascii="Dutch801 Rm BT" w:hAnsi="Dutch801 Rm BT" w:eastAsia="Times New Roman" w:cs="Dutch801 Rm BT"/>
      <w:kern w:val="2"/>
      <w:sz w:val="21"/>
      <w:szCs w:val="24"/>
      <w:lang w:val="en-US" w:eastAsia="zh-CN" w:bidi="ar-SA"/>
    </w:rPr>
  </w:style>
  <w:style w:type="paragraph" w:styleId="211">
    <w:name w:val="No Spacing"/>
    <w:link w:val="210"/>
    <w:qFormat/>
    <w:uiPriority w:val="0"/>
    <w:pPr>
      <w:widowControl w:val="0"/>
      <w:jc w:val="both"/>
    </w:pPr>
    <w:rPr>
      <w:rFonts w:ascii="Dutch801 Rm BT" w:hAnsi="Dutch801 Rm BT" w:eastAsia="Times New Roman" w:cs="Dutch801 Rm BT"/>
      <w:kern w:val="2"/>
      <w:sz w:val="21"/>
      <w:szCs w:val="24"/>
      <w:lang w:val="en-US" w:eastAsia="zh-CN" w:bidi="ar-SA"/>
    </w:rPr>
  </w:style>
  <w:style w:type="character" w:customStyle="1" w:styleId="212">
    <w:name w:val="标题 2 Char1"/>
    <w:qFormat/>
    <w:uiPriority w:val="0"/>
    <w:rPr>
      <w:rFonts w:ascii="Arial" w:hAnsi="Arial" w:eastAsia="黑体"/>
      <w:b/>
      <w:bCs/>
      <w:kern w:val="2"/>
      <w:sz w:val="32"/>
      <w:szCs w:val="32"/>
    </w:rPr>
  </w:style>
  <w:style w:type="character" w:customStyle="1" w:styleId="213">
    <w:name w:val="样式2 Char Char"/>
    <w:link w:val="214"/>
    <w:qFormat/>
    <w:uiPriority w:val="0"/>
    <w:rPr>
      <w:rFonts w:eastAsia="宋体"/>
      <w:b/>
      <w:bCs/>
      <w:kern w:val="2"/>
      <w:sz w:val="36"/>
      <w:szCs w:val="36"/>
      <w:lang w:val="en-US" w:eastAsia="zh-CN" w:bidi="ar-SA"/>
    </w:rPr>
  </w:style>
  <w:style w:type="paragraph" w:customStyle="1" w:styleId="214">
    <w:name w:val="样式2"/>
    <w:basedOn w:val="6"/>
    <w:link w:val="213"/>
    <w:qFormat/>
    <w:uiPriority w:val="0"/>
    <w:pPr>
      <w:keepNext w:val="0"/>
      <w:keepLines w:val="0"/>
      <w:numPr>
        <w:ilvl w:val="0"/>
        <w:numId w:val="0"/>
      </w:numPr>
      <w:spacing w:before="60" w:after="60" w:line="360" w:lineRule="auto"/>
      <w:ind w:left="142"/>
    </w:pPr>
    <w:rPr>
      <w:rFonts w:ascii="Times New Roman" w:hAnsi="Times New Roman" w:eastAsia="宋体"/>
      <w:kern w:val="2"/>
      <w:sz w:val="36"/>
      <w:szCs w:val="36"/>
    </w:rPr>
  </w:style>
  <w:style w:type="character" w:customStyle="1" w:styleId="215">
    <w:name w:val="标题 5 Char2"/>
    <w:link w:val="9"/>
    <w:qFormat/>
    <w:uiPriority w:val="0"/>
    <w:rPr>
      <w:b/>
      <w:bCs/>
      <w:kern w:val="2"/>
      <w:sz w:val="28"/>
      <w:szCs w:val="28"/>
    </w:rPr>
  </w:style>
  <w:style w:type="character" w:customStyle="1" w:styleId="216">
    <w:name w:val="批注主题 Char"/>
    <w:link w:val="56"/>
    <w:qFormat/>
    <w:uiPriority w:val="0"/>
    <w:rPr>
      <w:rFonts w:ascii="Calibri" w:hAnsi="Calibri" w:eastAsia="宋体" w:cs="Calibri"/>
      <w:b/>
      <w:bCs/>
      <w:sz w:val="24"/>
      <w:szCs w:val="24"/>
      <w:lang w:val="en-US" w:eastAsia="zh-CN" w:bidi="ar-SA"/>
    </w:rPr>
  </w:style>
  <w:style w:type="character" w:customStyle="1" w:styleId="217">
    <w:name w:val="表格非标题文字 Char Char"/>
    <w:link w:val="218"/>
    <w:qFormat/>
    <w:uiPriority w:val="0"/>
    <w:rPr>
      <w:rFonts w:ascii="Arial" w:hAnsi="Arial" w:eastAsia="华文细黑"/>
      <w:color w:val="505050"/>
      <w:sz w:val="13"/>
      <w:szCs w:val="13"/>
      <w:lang w:bidi="ar-SA"/>
    </w:rPr>
  </w:style>
  <w:style w:type="paragraph" w:customStyle="1" w:styleId="218">
    <w:name w:val="表格非标题文字"/>
    <w:basedOn w:val="1"/>
    <w:link w:val="217"/>
    <w:qFormat/>
    <w:uiPriority w:val="0"/>
    <w:pPr>
      <w:spacing w:before="40" w:after="40" w:line="220" w:lineRule="exact"/>
    </w:pPr>
    <w:rPr>
      <w:rFonts w:ascii="Arial" w:hAnsi="Arial" w:eastAsia="华文细黑"/>
      <w:color w:val="505050"/>
      <w:sz w:val="13"/>
      <w:szCs w:val="13"/>
    </w:rPr>
  </w:style>
  <w:style w:type="character" w:customStyle="1" w:styleId="219">
    <w:name w:val="ces正文 Char"/>
    <w:link w:val="220"/>
    <w:qFormat/>
    <w:uiPriority w:val="0"/>
    <w:rPr>
      <w:rFonts w:ascii="Calibri" w:hAnsi="Calibri"/>
      <w:sz w:val="24"/>
      <w:szCs w:val="24"/>
      <w:lang w:bidi="ar-SA"/>
    </w:rPr>
  </w:style>
  <w:style w:type="paragraph" w:customStyle="1" w:styleId="220">
    <w:name w:val="ces正文"/>
    <w:basedOn w:val="1"/>
    <w:link w:val="219"/>
    <w:qFormat/>
    <w:uiPriority w:val="0"/>
    <w:pPr>
      <w:spacing w:line="360" w:lineRule="auto"/>
      <w:ind w:firstLine="480" w:firstLineChars="200"/>
    </w:pPr>
    <w:rPr>
      <w:rFonts w:ascii="Calibri" w:hAnsi="Calibri"/>
    </w:rPr>
  </w:style>
  <w:style w:type="character" w:customStyle="1" w:styleId="221">
    <w:name w:val="样式6 Char Char"/>
    <w:link w:val="222"/>
    <w:qFormat/>
    <w:uiPriority w:val="0"/>
    <w:rPr>
      <w:rFonts w:ascii="宋体" w:hAnsi="宋体"/>
      <w:b/>
      <w:color w:val="CC3399"/>
      <w:kern w:val="24"/>
      <w:sz w:val="24"/>
      <w:szCs w:val="24"/>
      <w:u w:val="wavyHeavy" w:color="00B0F0"/>
      <w:lang w:bidi="ar-SA"/>
    </w:rPr>
  </w:style>
  <w:style w:type="paragraph" w:customStyle="1" w:styleId="222">
    <w:name w:val="样式6"/>
    <w:basedOn w:val="1"/>
    <w:link w:val="221"/>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23">
    <w:name w:val="Table Heading Char"/>
    <w:link w:val="224"/>
    <w:qFormat/>
    <w:locked/>
    <w:uiPriority w:val="0"/>
    <w:rPr>
      <w:rFonts w:ascii="Arial" w:hAnsi="Arial" w:eastAsia="微软雅黑" w:cs="Arial Narrow"/>
      <w:bCs/>
      <w:sz w:val="18"/>
      <w:lang w:val="en-US" w:eastAsia="zh-CN" w:bidi="ar-SA"/>
    </w:rPr>
  </w:style>
  <w:style w:type="paragraph" w:customStyle="1" w:styleId="224">
    <w:name w:val="Table Heading"/>
    <w:link w:val="223"/>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25">
    <w:name w:val="List Paragraph Char"/>
    <w:link w:val="199"/>
    <w:qFormat/>
    <w:locked/>
    <w:uiPriority w:val="0"/>
    <w:rPr>
      <w:rFonts w:ascii="Calibri" w:hAnsi="Calibri" w:eastAsia="宋体"/>
      <w:kern w:val="2"/>
      <w:sz w:val="21"/>
      <w:szCs w:val="21"/>
      <w:lang w:val="en-US" w:eastAsia="zh-CN" w:bidi="ar-SA"/>
    </w:rPr>
  </w:style>
  <w:style w:type="character" w:customStyle="1" w:styleId="226">
    <w:name w:val="文档结构图 Char"/>
    <w:link w:val="20"/>
    <w:qFormat/>
    <w:uiPriority w:val="0"/>
    <w:rPr>
      <w:rFonts w:eastAsia="宋体"/>
      <w:kern w:val="2"/>
      <w:sz w:val="21"/>
      <w:szCs w:val="24"/>
      <w:lang w:val="en-US" w:eastAsia="zh-CN" w:bidi="ar-SA"/>
    </w:rPr>
  </w:style>
  <w:style w:type="character" w:customStyle="1" w:styleId="227">
    <w:name w:val="投标正文 Char"/>
    <w:link w:val="228"/>
    <w:qFormat/>
    <w:uiPriority w:val="0"/>
    <w:rPr>
      <w:rFonts w:ascii="Calibri" w:hAnsi="Calibri" w:eastAsia="宋体"/>
      <w:sz w:val="24"/>
      <w:szCs w:val="24"/>
      <w:lang w:val="zh-CN" w:bidi="ar-SA"/>
    </w:rPr>
  </w:style>
  <w:style w:type="paragraph" w:customStyle="1" w:styleId="228">
    <w:name w:val="投标正文"/>
    <w:basedOn w:val="1"/>
    <w:link w:val="227"/>
    <w:qFormat/>
    <w:uiPriority w:val="0"/>
    <w:pPr>
      <w:spacing w:line="360" w:lineRule="auto"/>
      <w:ind w:left="100" w:firstLine="480" w:firstLineChars="200"/>
    </w:pPr>
    <w:rPr>
      <w:rFonts w:ascii="Calibri" w:hAnsi="Calibri"/>
      <w:lang w:val="zh-CN"/>
    </w:rPr>
  </w:style>
  <w:style w:type="character" w:customStyle="1" w:styleId="229">
    <w:name w:val="纯文本 Char3"/>
    <w:qFormat/>
    <w:uiPriority w:val="0"/>
    <w:rPr>
      <w:rFonts w:hint="eastAsia" w:ascii="宋体" w:hAnsi="Courier New" w:eastAsia="宋体" w:cs="Courier New"/>
      <w:kern w:val="2"/>
      <w:sz w:val="21"/>
      <w:szCs w:val="21"/>
    </w:rPr>
  </w:style>
  <w:style w:type="character" w:customStyle="1" w:styleId="230">
    <w:name w:val="投标书正文 Char"/>
    <w:link w:val="196"/>
    <w:qFormat/>
    <w:locked/>
    <w:uiPriority w:val="0"/>
    <w:rPr>
      <w:rFonts w:eastAsia="Times New Roman"/>
      <w:sz w:val="24"/>
      <w:szCs w:val="24"/>
      <w:lang w:val="en-US" w:eastAsia="zh-CN" w:bidi="ar-SA"/>
    </w:rPr>
  </w:style>
  <w:style w:type="character" w:customStyle="1" w:styleId="231">
    <w:name w:val="级别1 Char"/>
    <w:link w:val="232"/>
    <w:qFormat/>
    <w:uiPriority w:val="0"/>
    <w:rPr>
      <w:rFonts w:ascii="宋体" w:hAnsi="宋体" w:eastAsia="宋体" w:cs="Times New Roman"/>
      <w:b/>
      <w:bCs/>
      <w:kern w:val="44"/>
      <w:sz w:val="32"/>
      <w:szCs w:val="28"/>
      <w:lang w:bidi="ar-SA"/>
    </w:rPr>
  </w:style>
  <w:style w:type="paragraph" w:customStyle="1" w:styleId="232">
    <w:name w:val="级别1"/>
    <w:basedOn w:val="5"/>
    <w:link w:val="231"/>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33">
    <w:name w:val="正文文本 Char2"/>
    <w:link w:val="24"/>
    <w:qFormat/>
    <w:uiPriority w:val="0"/>
    <w:rPr>
      <w:rFonts w:ascii="宋体" w:hAnsi="宋体" w:eastAsia="宋体"/>
      <w:b/>
      <w:bCs/>
      <w:color w:val="000000"/>
      <w:kern w:val="2"/>
      <w:sz w:val="72"/>
      <w:lang w:val="en-US" w:eastAsia="zh-CN" w:bidi="ar-SA"/>
    </w:rPr>
  </w:style>
  <w:style w:type="character" w:customStyle="1" w:styleId="234">
    <w:name w:val="正文文本 3 Char"/>
    <w:link w:val="23"/>
    <w:qFormat/>
    <w:uiPriority w:val="0"/>
    <w:rPr>
      <w:kern w:val="2"/>
      <w:sz w:val="16"/>
      <w:szCs w:val="16"/>
    </w:rPr>
  </w:style>
  <w:style w:type="character" w:customStyle="1" w:styleId="235">
    <w:name w:val="标题 6 Char1"/>
    <w:link w:val="10"/>
    <w:qFormat/>
    <w:uiPriority w:val="0"/>
    <w:rPr>
      <w:rFonts w:ascii="Arial" w:hAnsi="Arial" w:eastAsia="黑体"/>
      <w:b/>
      <w:bCs/>
      <w:kern w:val="2"/>
      <w:sz w:val="24"/>
      <w:szCs w:val="24"/>
    </w:rPr>
  </w:style>
  <w:style w:type="character" w:customStyle="1" w:styleId="236">
    <w:name w:val="表格 Char Char"/>
    <w:link w:val="237"/>
    <w:qFormat/>
    <w:uiPriority w:val="0"/>
    <w:rPr>
      <w:rFonts w:ascii="仿宋_GB2312" w:hAnsi="宋体" w:eastAsia="仿宋_GB2312"/>
      <w:spacing w:val="28"/>
      <w:kern w:val="24"/>
      <w:sz w:val="24"/>
      <w:szCs w:val="28"/>
      <w:lang w:bidi="ar-SA"/>
    </w:rPr>
  </w:style>
  <w:style w:type="paragraph" w:customStyle="1" w:styleId="237">
    <w:name w:val="表格"/>
    <w:basedOn w:val="1"/>
    <w:link w:val="236"/>
    <w:qFormat/>
    <w:uiPriority w:val="0"/>
    <w:pPr>
      <w:adjustRightInd w:val="0"/>
      <w:snapToGrid w:val="0"/>
      <w:jc w:val="center"/>
    </w:pPr>
    <w:rPr>
      <w:rFonts w:ascii="仿宋_GB2312" w:hAnsi="宋体" w:eastAsia="仿宋_GB2312"/>
      <w:spacing w:val="28"/>
      <w:kern w:val="24"/>
      <w:szCs w:val="28"/>
    </w:rPr>
  </w:style>
  <w:style w:type="character" w:customStyle="1" w:styleId="238">
    <w:name w:val="正文缩进 Char"/>
    <w:qFormat/>
    <w:uiPriority w:val="0"/>
    <w:rPr>
      <w:rFonts w:eastAsia="宋体"/>
      <w:kern w:val="2"/>
      <w:sz w:val="28"/>
      <w:lang w:val="en-US" w:eastAsia="zh-CN" w:bidi="ar-SA"/>
    </w:rPr>
  </w:style>
  <w:style w:type="character" w:customStyle="1" w:styleId="239">
    <w:name w:val="标题 4 Char"/>
    <w:qFormat/>
    <w:uiPriority w:val="0"/>
    <w:rPr>
      <w:rFonts w:ascii="Arial" w:hAnsi="Arial" w:eastAsia="黑体" w:cs="Times New Roman"/>
      <w:bCs/>
      <w:sz w:val="24"/>
      <w:szCs w:val="28"/>
    </w:rPr>
  </w:style>
  <w:style w:type="character" w:customStyle="1" w:styleId="240">
    <w:name w:val="正文文本 3 Char Char"/>
    <w:link w:val="241"/>
    <w:qFormat/>
    <w:uiPriority w:val="0"/>
    <w:rPr>
      <w:rFonts w:ascii="Calibri" w:hAnsi="Calibri" w:eastAsia="仿宋_GB2312"/>
      <w:kern w:val="2"/>
      <w:sz w:val="16"/>
      <w:szCs w:val="16"/>
      <w:lang w:bidi="ar-SA"/>
    </w:rPr>
  </w:style>
  <w:style w:type="paragraph" w:customStyle="1" w:styleId="241">
    <w:name w:val="正文文本 31"/>
    <w:basedOn w:val="1"/>
    <w:link w:val="240"/>
    <w:qFormat/>
    <w:uiPriority w:val="0"/>
    <w:pPr>
      <w:spacing w:after="120" w:line="360" w:lineRule="auto"/>
      <w:ind w:firstLine="200" w:firstLineChars="200"/>
    </w:pPr>
    <w:rPr>
      <w:rFonts w:ascii="Calibri" w:hAnsi="Calibri" w:eastAsia="仿宋_GB2312"/>
      <w:kern w:val="2"/>
      <w:sz w:val="16"/>
      <w:szCs w:val="16"/>
    </w:rPr>
  </w:style>
  <w:style w:type="character" w:customStyle="1" w:styleId="242">
    <w:name w:val="标题 2 Char2"/>
    <w:link w:val="6"/>
    <w:qFormat/>
    <w:uiPriority w:val="0"/>
    <w:rPr>
      <w:rFonts w:ascii="Arial" w:hAnsi="Arial" w:eastAsia="黑体"/>
      <w:b/>
      <w:bCs/>
      <w:sz w:val="32"/>
      <w:szCs w:val="32"/>
    </w:rPr>
  </w:style>
  <w:style w:type="character" w:customStyle="1" w:styleId="243">
    <w:name w:val="font61"/>
    <w:qFormat/>
    <w:uiPriority w:val="0"/>
    <w:rPr>
      <w:rFonts w:hint="eastAsia" w:ascii="宋体" w:hAnsi="宋体" w:eastAsia="宋体" w:cs="宋体"/>
      <w:color w:val="000000"/>
      <w:sz w:val="20"/>
      <w:szCs w:val="20"/>
      <w:u w:val="none"/>
    </w:rPr>
  </w:style>
  <w:style w:type="character" w:customStyle="1" w:styleId="244">
    <w:name w:val="Char Char6"/>
    <w:qFormat/>
    <w:uiPriority w:val="0"/>
    <w:rPr>
      <w:rFonts w:ascii="宋体" w:hAnsi="Courier New" w:eastAsia="宋体" w:cs="Courier New"/>
      <w:kern w:val="2"/>
      <w:sz w:val="21"/>
      <w:szCs w:val="21"/>
      <w:lang w:val="en-US" w:eastAsia="zh-CN" w:bidi="ar-SA"/>
    </w:rPr>
  </w:style>
  <w:style w:type="character" w:customStyle="1" w:styleId="245">
    <w:name w:val="标书正文格式 Char Char"/>
    <w:link w:val="246"/>
    <w:qFormat/>
    <w:uiPriority w:val="0"/>
    <w:rPr>
      <w:rFonts w:eastAsia="楷体_GB2312"/>
      <w:sz w:val="24"/>
      <w:szCs w:val="28"/>
      <w:lang w:val="en-US" w:eastAsia="zh-CN" w:bidi="ar-SA"/>
    </w:rPr>
  </w:style>
  <w:style w:type="paragraph" w:customStyle="1" w:styleId="246">
    <w:name w:val="标书正文格式"/>
    <w:link w:val="245"/>
    <w:qFormat/>
    <w:uiPriority w:val="0"/>
    <w:pPr>
      <w:spacing w:line="360" w:lineRule="auto"/>
      <w:ind w:firstLine="200" w:firstLineChars="200"/>
    </w:pPr>
    <w:rPr>
      <w:rFonts w:ascii="Times New Roman" w:hAnsi="Times New Roman" w:eastAsia="楷体_GB2312" w:cs="Times New Roman"/>
      <w:sz w:val="24"/>
      <w:szCs w:val="28"/>
      <w:lang w:val="en-US" w:eastAsia="zh-CN" w:bidi="ar-SA"/>
    </w:rPr>
  </w:style>
  <w:style w:type="character" w:customStyle="1" w:styleId="247">
    <w:name w:val="15"/>
    <w:qFormat/>
    <w:uiPriority w:val="0"/>
    <w:rPr>
      <w:rFonts w:hint="default" w:ascii="Times New Roman" w:hAnsi="Times New Roman" w:cs="Times New Roman"/>
      <w:color w:val="0000FF"/>
      <w:u w:val="single"/>
    </w:rPr>
  </w:style>
  <w:style w:type="character" w:customStyle="1" w:styleId="248">
    <w:name w:val="标题 7 Char"/>
    <w:qFormat/>
    <w:uiPriority w:val="0"/>
    <w:rPr>
      <w:rFonts w:ascii="Calibri" w:hAnsi="Calibri" w:eastAsia="宋体" w:cs="Times New Roman"/>
      <w:b/>
      <w:bCs/>
      <w:sz w:val="24"/>
      <w:szCs w:val="24"/>
    </w:rPr>
  </w:style>
  <w:style w:type="paragraph" w:customStyle="1" w:styleId="249">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50">
    <w:name w:val="a0"/>
    <w:basedOn w:val="1"/>
    <w:qFormat/>
    <w:uiPriority w:val="0"/>
    <w:pPr>
      <w:spacing w:before="100" w:beforeAutospacing="1" w:after="100" w:afterAutospacing="1"/>
    </w:pPr>
    <w:rPr>
      <w:rFonts w:ascii="宋体" w:hAnsi="宋体" w:cs="宋体"/>
    </w:rPr>
  </w:style>
  <w:style w:type="paragraph" w:customStyle="1" w:styleId="251">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52">
    <w:name w:val="Char1"/>
    <w:basedOn w:val="1"/>
    <w:qFormat/>
    <w:uiPriority w:val="0"/>
  </w:style>
  <w:style w:type="paragraph" w:customStyle="1" w:styleId="253">
    <w:name w:val="样式"/>
    <w:basedOn w:val="1"/>
    <w:qFormat/>
    <w:uiPriority w:val="0"/>
    <w:pPr>
      <w:autoSpaceDE w:val="0"/>
      <w:autoSpaceDN w:val="0"/>
      <w:snapToGrid w:val="0"/>
      <w:spacing w:before="120" w:after="120" w:line="360" w:lineRule="auto"/>
    </w:pPr>
    <w:rPr>
      <w:rFonts w:ascii="宋体"/>
      <w:szCs w:val="20"/>
    </w:rPr>
  </w:style>
  <w:style w:type="paragraph" w:customStyle="1" w:styleId="25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5">
    <w:name w:val="图表批注"/>
    <w:basedOn w:val="1"/>
    <w:qFormat/>
    <w:uiPriority w:val="0"/>
    <w:pPr>
      <w:spacing w:line="360" w:lineRule="auto"/>
      <w:contextualSpacing/>
      <w:jc w:val="center"/>
    </w:pPr>
    <w:rPr>
      <w:rFonts w:ascii="宋体" w:hAnsi="宋体"/>
      <w:sz w:val="20"/>
      <w:szCs w:val="20"/>
    </w:rPr>
  </w:style>
  <w:style w:type="paragraph" w:customStyle="1" w:styleId="256">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57">
    <w:name w:val="标题1"/>
    <w:basedOn w:val="39"/>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58">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59">
    <w:name w:val="纯文本_0"/>
    <w:basedOn w:val="1"/>
    <w:unhideWhenUsed/>
    <w:qFormat/>
    <w:uiPriority w:val="0"/>
    <w:pPr>
      <w:widowControl w:val="0"/>
      <w:jc w:val="both"/>
    </w:pPr>
    <w:rPr>
      <w:rFonts w:ascii="宋体" w:hAnsi="Courier New"/>
      <w:sz w:val="20"/>
      <w:szCs w:val="20"/>
    </w:rPr>
  </w:style>
  <w:style w:type="paragraph" w:customStyle="1" w:styleId="260">
    <w:name w:val="_Style 50"/>
    <w:basedOn w:val="20"/>
    <w:qFormat/>
    <w:uiPriority w:val="0"/>
    <w:rPr>
      <w:rFonts w:ascii="Tahoma" w:hAnsi="Tahoma"/>
      <w:sz w:val="24"/>
    </w:rPr>
  </w:style>
  <w:style w:type="paragraph" w:customStyle="1" w:styleId="261">
    <w:name w:val="CM8"/>
    <w:basedOn w:val="1"/>
    <w:next w:val="1"/>
    <w:qFormat/>
    <w:uiPriority w:val="0"/>
    <w:pPr>
      <w:autoSpaceDE w:val="0"/>
      <w:autoSpaceDN w:val="0"/>
      <w:adjustRightInd w:val="0"/>
      <w:spacing w:line="313" w:lineRule="atLeast"/>
    </w:pPr>
  </w:style>
  <w:style w:type="paragraph" w:customStyle="1" w:styleId="262">
    <w:name w:val="_Style 2"/>
    <w:basedOn w:val="1"/>
    <w:qFormat/>
    <w:uiPriority w:val="34"/>
    <w:pPr>
      <w:ind w:firstLine="420" w:firstLineChars="200"/>
    </w:pPr>
    <w:rPr>
      <w:rFonts w:ascii="Calibri" w:hAnsi="Calibri"/>
      <w:szCs w:val="22"/>
    </w:rPr>
  </w:style>
  <w:style w:type="paragraph" w:customStyle="1" w:styleId="263">
    <w:name w:val="Char Char Char"/>
    <w:basedOn w:val="1"/>
    <w:qFormat/>
    <w:uiPriority w:val="0"/>
    <w:rPr>
      <w:rFonts w:ascii="Tahoma" w:hAnsi="Tahoma"/>
      <w:szCs w:val="20"/>
    </w:rPr>
  </w:style>
  <w:style w:type="paragraph" w:customStyle="1" w:styleId="264">
    <w:name w:val="舟式样--正文"/>
    <w:basedOn w:val="1"/>
    <w:qFormat/>
    <w:uiPriority w:val="0"/>
    <w:pPr>
      <w:ind w:firstLine="200" w:firstLineChars="200"/>
    </w:pPr>
    <w:rPr>
      <w:rFonts w:hint="eastAsia" w:ascii="仿宋_GB2312" w:eastAsia="仿宋_GB2312"/>
      <w:sz w:val="28"/>
      <w:szCs w:val="22"/>
    </w:rPr>
  </w:style>
  <w:style w:type="paragraph" w:customStyle="1" w:styleId="265">
    <w:name w:val="-标题4-"/>
    <w:basedOn w:val="7"/>
    <w:qFormat/>
    <w:uiPriority w:val="0"/>
    <w:pPr>
      <w:numPr>
        <w:ilvl w:val="0"/>
        <w:numId w:val="0"/>
      </w:numPr>
      <w:tabs>
        <w:tab w:val="left" w:pos="0"/>
      </w:tabs>
      <w:ind w:left="851" w:hanging="851"/>
      <w:outlineLvl w:val="3"/>
    </w:pPr>
    <w:rPr>
      <w:color w:val="800080"/>
      <w:sz w:val="24"/>
    </w:rPr>
  </w:style>
  <w:style w:type="paragraph" w:customStyle="1" w:styleId="266">
    <w:name w:val="a 正文"/>
    <w:basedOn w:val="1"/>
    <w:qFormat/>
    <w:uiPriority w:val="0"/>
    <w:pPr>
      <w:spacing w:line="360" w:lineRule="auto"/>
      <w:ind w:firstLine="480"/>
    </w:pPr>
    <w:rPr>
      <w:rFonts w:ascii="宋体" w:hAnsi="宋体"/>
    </w:rPr>
  </w:style>
  <w:style w:type="paragraph" w:customStyle="1" w:styleId="267">
    <w:name w:val="**正文"/>
    <w:basedOn w:val="1"/>
    <w:qFormat/>
    <w:uiPriority w:val="0"/>
    <w:pPr>
      <w:spacing w:line="360" w:lineRule="auto"/>
      <w:ind w:firstLine="480" w:firstLineChars="200"/>
    </w:pPr>
    <w:rPr>
      <w:rFonts w:eastAsia="仿宋_GB2312"/>
    </w:rPr>
  </w:style>
  <w:style w:type="paragraph" w:customStyle="1" w:styleId="268">
    <w:name w:val="图片居中"/>
    <w:basedOn w:val="269"/>
    <w:qFormat/>
    <w:uiPriority w:val="0"/>
    <w:pPr>
      <w:ind w:firstLine="0" w:firstLineChars="0"/>
      <w:jc w:val="center"/>
    </w:pPr>
  </w:style>
  <w:style w:type="paragraph" w:customStyle="1" w:styleId="269">
    <w:name w:val="哈哈正文"/>
    <w:basedOn w:val="1"/>
    <w:qFormat/>
    <w:uiPriority w:val="0"/>
    <w:pPr>
      <w:spacing w:line="360" w:lineRule="auto"/>
      <w:ind w:firstLine="200" w:firstLineChars="200"/>
    </w:pPr>
    <w:rPr>
      <w:rFonts w:ascii="宋体" w:hAnsi="宋体"/>
    </w:rPr>
  </w:style>
  <w:style w:type="paragraph" w:customStyle="1" w:styleId="270">
    <w:name w:val="_Style 10"/>
    <w:basedOn w:val="1"/>
    <w:qFormat/>
    <w:uiPriority w:val="0"/>
  </w:style>
  <w:style w:type="paragraph" w:customStyle="1" w:styleId="271">
    <w:name w:val="xl24"/>
    <w:basedOn w:val="1"/>
    <w:qFormat/>
    <w:uiPriority w:val="0"/>
    <w:pPr>
      <w:spacing w:before="100" w:beforeAutospacing="1" w:after="100" w:afterAutospacing="1"/>
      <w:jc w:val="right"/>
    </w:pPr>
    <w:rPr>
      <w:rFonts w:ascii="宋体" w:hAnsi="宋体"/>
    </w:rPr>
  </w:style>
  <w:style w:type="paragraph" w:customStyle="1" w:styleId="272">
    <w:name w:val="Byline"/>
    <w:basedOn w:val="1"/>
    <w:next w:val="1"/>
    <w:qFormat/>
    <w:uiPriority w:val="0"/>
    <w:pPr>
      <w:spacing w:line="360" w:lineRule="auto"/>
    </w:pPr>
    <w:rPr>
      <w:i/>
    </w:rPr>
  </w:style>
  <w:style w:type="paragraph" w:customStyle="1" w:styleId="273">
    <w:name w:val="批注主题 Char Char"/>
    <w:basedOn w:val="1"/>
    <w:qFormat/>
    <w:uiPriority w:val="99"/>
    <w:rPr>
      <w:szCs w:val="21"/>
    </w:rPr>
  </w:style>
  <w:style w:type="paragraph" w:customStyle="1" w:styleId="274">
    <w:name w:val="Char"/>
    <w:basedOn w:val="1"/>
    <w:qFormat/>
    <w:uiPriority w:val="0"/>
    <w:rPr>
      <w:szCs w:val="20"/>
    </w:rPr>
  </w:style>
  <w:style w:type="paragraph" w:customStyle="1" w:styleId="275">
    <w:name w:val="正文-王"/>
    <w:basedOn w:val="1"/>
    <w:qFormat/>
    <w:uiPriority w:val="0"/>
    <w:pPr>
      <w:spacing w:line="360" w:lineRule="auto"/>
      <w:ind w:firstLine="480" w:firstLineChars="200"/>
    </w:pPr>
    <w:rPr>
      <w:rFonts w:ascii="宋体" w:hAnsi="宋体"/>
    </w:rPr>
  </w:style>
  <w:style w:type="paragraph" w:customStyle="1" w:styleId="276">
    <w:name w:val="标准小四"/>
    <w:basedOn w:val="1"/>
    <w:qFormat/>
    <w:uiPriority w:val="0"/>
    <w:pPr>
      <w:spacing w:line="360" w:lineRule="auto"/>
      <w:ind w:firstLine="480" w:firstLineChars="200"/>
    </w:pPr>
    <w:rPr>
      <w:rFonts w:ascii="Arial" w:hAnsi="Arial"/>
    </w:rPr>
  </w:style>
  <w:style w:type="paragraph" w:customStyle="1" w:styleId="277">
    <w:name w:val="Char Char17 Char Char Char Char Char Char"/>
    <w:basedOn w:val="1"/>
    <w:qFormat/>
    <w:uiPriority w:val="0"/>
    <w:rPr>
      <w:szCs w:val="21"/>
    </w:rPr>
  </w:style>
  <w:style w:type="paragraph" w:customStyle="1" w:styleId="278">
    <w:name w:val="TOC 标题1"/>
    <w:basedOn w:val="5"/>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79">
    <w:name w:val="Notes Text List"/>
    <w:qFormat/>
    <w:uiPriority w:val="0"/>
    <w:pPr>
      <w:keepNext/>
      <w:keepLines/>
      <w:pBdr>
        <w:bottom w:val="single" w:color="auto" w:sz="8" w:space="5"/>
      </w:pBdr>
      <w:tabs>
        <w:tab w:val="left" w:pos="1418"/>
      </w:tabs>
      <w:ind w:left="360" w:hanging="360"/>
      <w:jc w:val="both"/>
    </w:pPr>
    <w:rPr>
      <w:rFonts w:ascii="Arial" w:hAnsi="Arial" w:eastAsia="楷体_GB2312" w:cs="Arial"/>
      <w:sz w:val="21"/>
      <w:szCs w:val="21"/>
      <w:lang w:val="en-US" w:eastAsia="zh-CN" w:bidi="ar-SA"/>
    </w:rPr>
  </w:style>
  <w:style w:type="paragraph" w:customStyle="1" w:styleId="280">
    <w:name w:val="正文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81">
    <w:name w:val="列出段落2"/>
    <w:basedOn w:val="1"/>
    <w:qFormat/>
    <w:uiPriority w:val="99"/>
    <w:pPr>
      <w:ind w:firstLine="420" w:firstLineChars="200"/>
    </w:pPr>
    <w:rPr>
      <w:rFonts w:ascii="Calibri" w:hAnsi="Calibri"/>
      <w:szCs w:val="22"/>
    </w:rPr>
  </w:style>
  <w:style w:type="paragraph" w:customStyle="1" w:styleId="282">
    <w:name w:val="正文4"/>
    <w:basedOn w:val="1"/>
    <w:qFormat/>
    <w:uiPriority w:val="0"/>
    <w:pPr>
      <w:spacing w:before="60" w:after="60" w:line="360" w:lineRule="auto"/>
      <w:ind w:left="820" w:leftChars="400" w:hanging="420"/>
    </w:pPr>
  </w:style>
  <w:style w:type="paragraph" w:customStyle="1" w:styleId="283">
    <w:name w:val="Abstract Text"/>
    <w:qFormat/>
    <w:uiPriority w:val="0"/>
    <w:pPr>
      <w:tabs>
        <w:tab w:val="left" w:pos="1680"/>
      </w:tabs>
      <w:spacing w:line="280" w:lineRule="exact"/>
    </w:pPr>
    <w:rPr>
      <w:rFonts w:ascii="Arial" w:hAnsi="Arial" w:eastAsia="宋体" w:cs="Times New Roman"/>
      <w:sz w:val="19"/>
      <w:lang w:val="en-US" w:eastAsia="en-US" w:bidi="ar-SA"/>
    </w:rPr>
  </w:style>
  <w:style w:type="paragraph" w:customStyle="1" w:styleId="284">
    <w:name w:val="正文对齐"/>
    <w:basedOn w:val="1"/>
    <w:qFormat/>
    <w:uiPriority w:val="0"/>
    <w:pPr>
      <w:spacing w:after="120" w:line="360" w:lineRule="auto"/>
      <w:ind w:left="400" w:leftChars="400"/>
    </w:pPr>
    <w:rPr>
      <w:szCs w:val="21"/>
    </w:rPr>
  </w:style>
  <w:style w:type="paragraph" w:customStyle="1" w:styleId="285">
    <w:name w:val="Char Char Char Char Char Char Char"/>
    <w:basedOn w:val="1"/>
    <w:qFormat/>
    <w:uiPriority w:val="0"/>
    <w:rPr>
      <w:szCs w:val="21"/>
    </w:rPr>
  </w:style>
  <w:style w:type="paragraph" w:customStyle="1" w:styleId="286">
    <w:name w:val="样式5"/>
    <w:basedOn w:val="9"/>
    <w:qFormat/>
    <w:uiPriority w:val="0"/>
    <w:pPr>
      <w:keepNext w:val="0"/>
      <w:keepLines w:val="0"/>
      <w:spacing w:before="60" w:after="60" w:line="360" w:lineRule="auto"/>
    </w:pPr>
    <w:rPr>
      <w:sz w:val="30"/>
      <w:szCs w:val="30"/>
    </w:rPr>
  </w:style>
  <w:style w:type="paragraph" w:customStyle="1" w:styleId="287">
    <w:name w:val="Char Char Char Char Char Char"/>
    <w:basedOn w:val="20"/>
    <w:qFormat/>
    <w:uiPriority w:val="0"/>
    <w:rPr>
      <w:rFonts w:ascii="Tahoma" w:hAnsi="Tahoma"/>
      <w:sz w:val="24"/>
    </w:rPr>
  </w:style>
  <w:style w:type="paragraph" w:customStyle="1" w:styleId="288">
    <w:name w:val="+正文"/>
    <w:basedOn w:val="1"/>
    <w:qFormat/>
    <w:uiPriority w:val="0"/>
    <w:pPr>
      <w:spacing w:line="360" w:lineRule="auto"/>
      <w:ind w:firstLine="200" w:firstLineChars="200"/>
    </w:pPr>
    <w:rPr>
      <w:szCs w:val="28"/>
    </w:rPr>
  </w:style>
  <w:style w:type="paragraph" w:customStyle="1" w:styleId="289">
    <w:name w:val="正文四号"/>
    <w:basedOn w:val="1"/>
    <w:qFormat/>
    <w:uiPriority w:val="0"/>
    <w:pPr>
      <w:spacing w:line="360" w:lineRule="auto"/>
    </w:pPr>
    <w:rPr>
      <w:rFonts w:eastAsia="仿宋"/>
      <w:sz w:val="28"/>
      <w:szCs w:val="20"/>
    </w:rPr>
  </w:style>
  <w:style w:type="paragraph" w:customStyle="1" w:styleId="290">
    <w:name w:val="样式 正文字缩1字 + 左侧:  1 字符 首行缩进:  2 字符"/>
    <w:basedOn w:val="291"/>
    <w:qFormat/>
    <w:uiPriority w:val="0"/>
    <w:pPr>
      <w:ind w:left="210" w:firstLine="480"/>
    </w:pPr>
    <w:rPr>
      <w:rFonts w:cs="宋体"/>
    </w:rPr>
  </w:style>
  <w:style w:type="paragraph" w:customStyle="1" w:styleId="291">
    <w:name w:val="正文字缩1字"/>
    <w:basedOn w:val="1"/>
    <w:qFormat/>
    <w:uiPriority w:val="0"/>
    <w:pPr>
      <w:spacing w:before="60" w:after="60" w:line="360" w:lineRule="auto"/>
      <w:ind w:left="100" w:leftChars="100" w:firstLine="200" w:firstLineChars="200"/>
    </w:pPr>
  </w:style>
  <w:style w:type="paragraph" w:customStyle="1" w:styleId="292">
    <w:name w:val="样式1"/>
    <w:basedOn w:val="5"/>
    <w:qFormat/>
    <w:uiPriority w:val="0"/>
    <w:pPr>
      <w:keepNext w:val="0"/>
      <w:keepLines w:val="0"/>
      <w:spacing w:before="240" w:after="120" w:line="360" w:lineRule="auto"/>
      <w:ind w:left="883" w:hanging="883" w:hangingChars="200"/>
    </w:pPr>
  </w:style>
  <w:style w:type="paragraph" w:customStyle="1" w:styleId="293">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4">
    <w:name w:val="Char Char Char Char Char Char1"/>
    <w:basedOn w:val="20"/>
    <w:qFormat/>
    <w:uiPriority w:val="0"/>
    <w:rPr>
      <w:rFonts w:ascii="Tahoma" w:hAnsi="Tahoma"/>
      <w:sz w:val="24"/>
    </w:rPr>
  </w:style>
  <w:style w:type="paragraph" w:customStyle="1" w:styleId="295">
    <w:name w:val="Abstract Title"/>
    <w:basedOn w:val="1"/>
    <w:next w:val="1"/>
    <w:qFormat/>
    <w:uiPriority w:val="0"/>
    <w:pPr>
      <w:pBdr>
        <w:top w:val="single" w:color="auto" w:sz="4" w:space="1"/>
      </w:pBdr>
      <w:spacing w:line="360" w:lineRule="auto"/>
    </w:pPr>
    <w:rPr>
      <w:b/>
    </w:rPr>
  </w:style>
  <w:style w:type="paragraph" w:customStyle="1" w:styleId="296">
    <w:name w:val="规划编号2"/>
    <w:basedOn w:val="1"/>
    <w:qFormat/>
    <w:uiPriority w:val="0"/>
    <w:pPr>
      <w:tabs>
        <w:tab w:val="left" w:pos="496"/>
        <w:tab w:val="left" w:pos="840"/>
      </w:tabs>
      <w:ind w:left="840" w:hanging="360"/>
    </w:pPr>
    <w:rPr>
      <w:rFonts w:ascii="宋体" w:hAnsi="宋体" w:cs="宋体"/>
    </w:rPr>
  </w:style>
  <w:style w:type="paragraph" w:customStyle="1" w:styleId="297">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298">
    <w:name w:val="此正文"/>
    <w:basedOn w:val="1"/>
    <w:qFormat/>
    <w:uiPriority w:val="0"/>
    <w:pPr>
      <w:spacing w:line="360" w:lineRule="auto"/>
      <w:ind w:firstLine="200" w:firstLineChars="200"/>
    </w:pPr>
  </w:style>
  <w:style w:type="paragraph" w:customStyle="1" w:styleId="299">
    <w:name w:val="_Style 52"/>
    <w:basedOn w:val="1"/>
    <w:qFormat/>
    <w:uiPriority w:val="0"/>
    <w:pPr>
      <w:widowControl w:val="0"/>
      <w:jc w:val="both"/>
    </w:pPr>
    <w:rPr>
      <w:kern w:val="2"/>
      <w:sz w:val="21"/>
    </w:rPr>
  </w:style>
  <w:style w:type="paragraph" w:customStyle="1" w:styleId="300">
    <w:name w:val="附录标题二"/>
    <w:basedOn w:val="6"/>
    <w:qFormat/>
    <w:uiPriority w:val="0"/>
    <w:pPr>
      <w:numPr>
        <w:ilvl w:val="0"/>
        <w:numId w:val="0"/>
      </w:numPr>
      <w:tabs>
        <w:tab w:val="left" w:pos="420"/>
        <w:tab w:val="left" w:pos="840"/>
      </w:tabs>
      <w:ind w:left="840" w:hanging="420"/>
    </w:pPr>
    <w:rPr>
      <w:rFonts w:ascii="宋体" w:hAnsi="宋体"/>
      <w:kern w:val="28"/>
      <w:lang w:eastAsia="en-US"/>
    </w:rPr>
  </w:style>
  <w:style w:type="paragraph" w:customStyle="1" w:styleId="301">
    <w:name w:val="Char3"/>
    <w:basedOn w:val="1"/>
    <w:qFormat/>
    <w:uiPriority w:val="0"/>
    <w:pPr>
      <w:tabs>
        <w:tab w:val="left" w:pos="360"/>
      </w:tabs>
    </w:pPr>
  </w:style>
  <w:style w:type="paragraph" w:customStyle="1" w:styleId="302">
    <w:name w:val="CM167"/>
    <w:basedOn w:val="66"/>
    <w:next w:val="66"/>
    <w:qFormat/>
    <w:uiPriority w:val="0"/>
    <w:pPr>
      <w:spacing w:before="0" w:after="120"/>
      <w:jc w:val="left"/>
    </w:pPr>
    <w:rPr>
      <w:rFonts w:ascii="黑体" w:eastAsia="黑体" w:cs="Times New Roman"/>
      <w:color w:val="auto"/>
    </w:rPr>
  </w:style>
  <w:style w:type="table" w:customStyle="1" w:styleId="303">
    <w:name w:val="表样式"/>
    <w:basedOn w:val="57"/>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304">
    <w:name w:val="纯文本字符1"/>
    <w:semiHidden/>
    <w:qFormat/>
    <w:uiPriority w:val="99"/>
    <w:rPr>
      <w:rFonts w:ascii="宋体" w:hAnsi="Courier" w:eastAsia="宋体"/>
    </w:rPr>
  </w:style>
  <w:style w:type="character" w:customStyle="1" w:styleId="305">
    <w:name w:val="标题 1 字符"/>
    <w:qFormat/>
    <w:uiPriority w:val="0"/>
    <w:rPr>
      <w:b/>
      <w:bCs/>
      <w:kern w:val="44"/>
      <w:sz w:val="44"/>
      <w:szCs w:val="44"/>
    </w:rPr>
  </w:style>
  <w:style w:type="character" w:customStyle="1" w:styleId="306">
    <w:name w:val="标题 3 字符"/>
    <w:qFormat/>
    <w:uiPriority w:val="0"/>
    <w:rPr>
      <w:b/>
      <w:bCs/>
      <w:kern w:val="2"/>
      <w:sz w:val="32"/>
      <w:szCs w:val="32"/>
    </w:rPr>
  </w:style>
  <w:style w:type="character" w:customStyle="1" w:styleId="307">
    <w:name w:val="标题 9 字符"/>
    <w:semiHidden/>
    <w:qFormat/>
    <w:uiPriority w:val="0"/>
    <w:rPr>
      <w:rFonts w:ascii="Calibri Light" w:hAnsi="Calibri Light" w:eastAsia="宋体" w:cs="Times New Roman"/>
      <w:kern w:val="2"/>
      <w:sz w:val="21"/>
      <w:szCs w:val="21"/>
    </w:rPr>
  </w:style>
  <w:style w:type="character" w:customStyle="1" w:styleId="308">
    <w:name w:val="批注框文本 字符"/>
    <w:qFormat/>
    <w:uiPriority w:val="0"/>
    <w:rPr>
      <w:kern w:val="2"/>
      <w:sz w:val="18"/>
      <w:szCs w:val="18"/>
    </w:rPr>
  </w:style>
  <w:style w:type="character" w:customStyle="1" w:styleId="309">
    <w:name w:val="文档结构图 字符"/>
    <w:qFormat/>
    <w:uiPriority w:val="0"/>
    <w:rPr>
      <w:rFonts w:ascii="宋体"/>
      <w:kern w:val="2"/>
      <w:sz w:val="18"/>
      <w:szCs w:val="18"/>
    </w:rPr>
  </w:style>
  <w:style w:type="character" w:customStyle="1" w:styleId="310">
    <w:name w:val="HTML 预设格式 Char1"/>
    <w:link w:val="52"/>
    <w:qFormat/>
    <w:uiPriority w:val="99"/>
    <w:rPr>
      <w:rFonts w:ascii="宋体" w:hAnsi="宋体" w:cs="宋体"/>
      <w:sz w:val="24"/>
      <w:szCs w:val="24"/>
    </w:rPr>
  </w:style>
  <w:style w:type="character" w:customStyle="1" w:styleId="311">
    <w:name w:val="HTML 预设格式 Char"/>
    <w:basedOn w:val="59"/>
    <w:qFormat/>
    <w:uiPriority w:val="0"/>
    <w:rPr>
      <w:rFonts w:ascii="Courier New" w:hAnsi="Courier New" w:cs="Courier New"/>
    </w:rPr>
  </w:style>
  <w:style w:type="paragraph" w:customStyle="1" w:styleId="312">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13">
    <w:name w:val="表内文字"/>
    <w:basedOn w:val="1"/>
    <w:qFormat/>
    <w:uiPriority w:val="0"/>
    <w:pPr>
      <w:widowControl w:val="0"/>
      <w:tabs>
        <w:tab w:val="left" w:pos="1418"/>
      </w:tabs>
      <w:spacing w:line="360" w:lineRule="auto"/>
      <w:jc w:val="center"/>
    </w:pPr>
    <w:rPr>
      <w:rFonts w:ascii="仿宋_GB2312" w:eastAsia="仿宋_GB2312"/>
      <w:spacing w:val="-20"/>
    </w:rPr>
  </w:style>
  <w:style w:type="paragraph" w:customStyle="1" w:styleId="314">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15">
    <w:name w:val="_Style 311"/>
    <w:basedOn w:val="1"/>
    <w:next w:val="77"/>
    <w:link w:val="333"/>
    <w:qFormat/>
    <w:uiPriority w:val="0"/>
    <w:pPr>
      <w:widowControl w:val="0"/>
      <w:autoSpaceDE w:val="0"/>
      <w:autoSpaceDN w:val="0"/>
      <w:adjustRightInd w:val="0"/>
      <w:ind w:firstLine="420" w:firstLineChars="200"/>
      <w:jc w:val="both"/>
    </w:pPr>
    <w:rPr>
      <w:color w:val="000000"/>
      <w:sz w:val="21"/>
      <w:szCs w:val="21"/>
    </w:rPr>
  </w:style>
  <w:style w:type="paragraph" w:customStyle="1" w:styleId="316">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17">
    <w:name w:val="需求标题1"/>
    <w:basedOn w:val="1"/>
    <w:next w:val="318"/>
    <w:qFormat/>
    <w:uiPriority w:val="0"/>
    <w:pPr>
      <w:widowControl w:val="0"/>
      <w:spacing w:before="60" w:after="20"/>
      <w:jc w:val="both"/>
      <w:outlineLvl w:val="1"/>
    </w:pPr>
    <w:rPr>
      <w:rFonts w:ascii="黑体" w:hAnsi="黑体" w:eastAsia="黑体"/>
      <w:kern w:val="2"/>
      <w:sz w:val="28"/>
      <w:szCs w:val="28"/>
    </w:rPr>
  </w:style>
  <w:style w:type="paragraph" w:customStyle="1" w:styleId="318">
    <w:name w:val="正文内容"/>
    <w:basedOn w:val="1"/>
    <w:qFormat/>
    <w:uiPriority w:val="0"/>
    <w:pPr>
      <w:widowControl w:val="0"/>
      <w:ind w:firstLine="420" w:firstLineChars="200"/>
    </w:pPr>
    <w:rPr>
      <w:rFonts w:ascii="宋体" w:hAnsi="Calibri"/>
      <w:kern w:val="2"/>
      <w:sz w:val="21"/>
      <w:szCs w:val="21"/>
    </w:rPr>
  </w:style>
  <w:style w:type="paragraph" w:customStyle="1" w:styleId="319">
    <w:name w:val="需求标题2"/>
    <w:basedOn w:val="1"/>
    <w:next w:val="318"/>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20">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21">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22">
    <w:name w:val="Char Char Char Char Char Char Char Char Char"/>
    <w:basedOn w:val="1"/>
    <w:qFormat/>
    <w:uiPriority w:val="0"/>
    <w:pPr>
      <w:widowControl w:val="0"/>
      <w:jc w:val="both"/>
    </w:pPr>
    <w:rPr>
      <w:rFonts w:ascii="Calibri" w:hAnsi="Calibri"/>
      <w:kern w:val="2"/>
      <w:sz w:val="21"/>
      <w:szCs w:val="22"/>
    </w:rPr>
  </w:style>
  <w:style w:type="character" w:customStyle="1" w:styleId="323">
    <w:name w:val="Char Char2"/>
    <w:qFormat/>
    <w:uiPriority w:val="0"/>
    <w:rPr>
      <w:rFonts w:ascii="宋体" w:hAnsi="宋体" w:cs="宋体"/>
      <w:sz w:val="24"/>
      <w:szCs w:val="24"/>
    </w:rPr>
  </w:style>
  <w:style w:type="character" w:customStyle="1" w:styleId="324">
    <w:name w:val="正文表格内容 Char Char"/>
    <w:link w:val="325"/>
    <w:qFormat/>
    <w:locked/>
    <w:uiPriority w:val="0"/>
    <w:rPr>
      <w:rFonts w:ascii="Arial" w:hAnsi="Arial"/>
      <w:sz w:val="18"/>
    </w:rPr>
  </w:style>
  <w:style w:type="paragraph" w:customStyle="1" w:styleId="325">
    <w:name w:val="正文表格内容"/>
    <w:basedOn w:val="1"/>
    <w:link w:val="324"/>
    <w:qFormat/>
    <w:uiPriority w:val="0"/>
    <w:rPr>
      <w:rFonts w:ascii="Arial" w:hAnsi="Arial"/>
      <w:sz w:val="18"/>
      <w:szCs w:val="20"/>
    </w:rPr>
  </w:style>
  <w:style w:type="character" w:customStyle="1" w:styleId="326">
    <w:name w:val="HTML Preformatted Char"/>
    <w:semiHidden/>
    <w:qFormat/>
    <w:locked/>
    <w:uiPriority w:val="0"/>
    <w:rPr>
      <w:rFonts w:ascii="宋体" w:hAnsi="宋体" w:eastAsia="宋体" w:cs="宋体"/>
      <w:sz w:val="24"/>
      <w:szCs w:val="24"/>
      <w:lang w:val="en-US" w:eastAsia="zh-CN" w:bidi="ar-SA"/>
    </w:rPr>
  </w:style>
  <w:style w:type="paragraph" w:customStyle="1" w:styleId="327">
    <w:name w:val="列出段落11"/>
    <w:basedOn w:val="1"/>
    <w:qFormat/>
    <w:uiPriority w:val="34"/>
    <w:pPr>
      <w:widowControl w:val="0"/>
      <w:ind w:firstLine="420" w:firstLineChars="200"/>
      <w:jc w:val="both"/>
    </w:pPr>
    <w:rPr>
      <w:rFonts w:ascii="Calibri" w:hAnsi="Calibri" w:cs="黑体"/>
      <w:kern w:val="2"/>
      <w:sz w:val="21"/>
      <w:szCs w:val="22"/>
    </w:rPr>
  </w:style>
  <w:style w:type="paragraph" w:customStyle="1" w:styleId="328">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29">
    <w:name w:val="正文文本 字符"/>
    <w:qFormat/>
    <w:uiPriority w:val="0"/>
    <w:rPr>
      <w:kern w:val="2"/>
      <w:sz w:val="28"/>
      <w:szCs w:val="24"/>
    </w:rPr>
  </w:style>
  <w:style w:type="character" w:customStyle="1" w:styleId="330">
    <w:name w:val="正文文本首行缩进 字符"/>
    <w:qFormat/>
    <w:uiPriority w:val="0"/>
    <w:rPr>
      <w:kern w:val="2"/>
      <w:sz w:val="21"/>
      <w:szCs w:val="24"/>
    </w:rPr>
  </w:style>
  <w:style w:type="character" w:customStyle="1" w:styleId="331">
    <w:name w:val="批注文字 字符"/>
    <w:qFormat/>
    <w:uiPriority w:val="0"/>
    <w:rPr>
      <w:kern w:val="2"/>
      <w:sz w:val="21"/>
      <w:szCs w:val="24"/>
    </w:rPr>
  </w:style>
  <w:style w:type="table" w:customStyle="1" w:styleId="332">
    <w:name w:val="TableGrid"/>
    <w:qFormat/>
    <w:uiPriority w:val="0"/>
    <w:rPr>
      <w:rFonts w:ascii="Calibri" w:hAnsi="Calibri"/>
      <w:kern w:val="2"/>
      <w:sz w:val="21"/>
      <w:szCs w:val="22"/>
    </w:rPr>
    <w:tblPr>
      <w:tblCellMar>
        <w:top w:w="0" w:type="dxa"/>
        <w:left w:w="0" w:type="dxa"/>
        <w:bottom w:w="0" w:type="dxa"/>
        <w:right w:w="0" w:type="dxa"/>
      </w:tblCellMar>
    </w:tblPr>
  </w:style>
  <w:style w:type="character" w:customStyle="1" w:styleId="333">
    <w:name w:val="列表段落 字符"/>
    <w:link w:val="315"/>
    <w:qFormat/>
    <w:uiPriority w:val="0"/>
    <w:rPr>
      <w:color w:val="000000"/>
      <w:sz w:val="21"/>
      <w:szCs w:val="21"/>
    </w:rPr>
  </w:style>
  <w:style w:type="paragraph" w:customStyle="1" w:styleId="334">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5">
    <w:name w:val="TOC 标题2"/>
    <w:basedOn w:val="5"/>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336">
    <w:name w:val="页脚 字符"/>
    <w:qFormat/>
    <w:locked/>
    <w:uiPriority w:val="99"/>
    <w:rPr>
      <w:rFonts w:eastAsia="黑体"/>
      <w:sz w:val="18"/>
      <w:szCs w:val="18"/>
    </w:rPr>
  </w:style>
  <w:style w:type="character" w:customStyle="1" w:styleId="337">
    <w:name w:val="页眉 字符"/>
    <w:qFormat/>
    <w:locked/>
    <w:uiPriority w:val="99"/>
    <w:rPr>
      <w:rFonts w:eastAsia="仿宋_GB2312"/>
      <w:kern w:val="2"/>
      <w:sz w:val="18"/>
    </w:rPr>
  </w:style>
  <w:style w:type="character" w:customStyle="1" w:styleId="338">
    <w:name w:val="批注主题 字符"/>
    <w:qFormat/>
    <w:uiPriority w:val="0"/>
    <w:rPr>
      <w:b/>
      <w:bCs/>
      <w:kern w:val="2"/>
      <w:sz w:val="21"/>
      <w:szCs w:val="24"/>
    </w:rPr>
  </w:style>
  <w:style w:type="paragraph" w:customStyle="1" w:styleId="339">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340">
    <w:name w:val="批注文字 Char3"/>
    <w:basedOn w:val="59"/>
    <w:semiHidden/>
    <w:qFormat/>
    <w:uiPriority w:val="99"/>
    <w:rPr>
      <w:rFonts w:ascii="Times New Roman" w:hAnsi="Times New Roman" w:eastAsia="宋体" w:cs="Times New Roman"/>
      <w:kern w:val="0"/>
      <w:sz w:val="24"/>
      <w:szCs w:val="24"/>
    </w:rPr>
  </w:style>
  <w:style w:type="character" w:customStyle="1" w:styleId="341">
    <w:name w:val="页脚 Char2"/>
    <w:basedOn w:val="59"/>
    <w:semiHidden/>
    <w:qFormat/>
    <w:uiPriority w:val="99"/>
    <w:rPr>
      <w:rFonts w:ascii="Times New Roman" w:hAnsi="Times New Roman" w:eastAsia="宋体" w:cs="Times New Roman"/>
      <w:kern w:val="0"/>
      <w:sz w:val="18"/>
      <w:szCs w:val="18"/>
    </w:rPr>
  </w:style>
  <w:style w:type="character" w:customStyle="1" w:styleId="342">
    <w:name w:val="正文文本 3 Char1"/>
    <w:basedOn w:val="59"/>
    <w:semiHidden/>
    <w:qFormat/>
    <w:uiPriority w:val="99"/>
    <w:rPr>
      <w:rFonts w:ascii="Times New Roman" w:hAnsi="Times New Roman" w:eastAsia="宋体" w:cs="Times New Roman"/>
      <w:kern w:val="0"/>
      <w:sz w:val="16"/>
      <w:szCs w:val="16"/>
    </w:rPr>
  </w:style>
  <w:style w:type="character" w:customStyle="1" w:styleId="343">
    <w:name w:val="正文文本缩进 Char2"/>
    <w:basedOn w:val="59"/>
    <w:semiHidden/>
    <w:qFormat/>
    <w:uiPriority w:val="99"/>
    <w:rPr>
      <w:rFonts w:ascii="Times New Roman" w:hAnsi="Times New Roman" w:eastAsia="宋体" w:cs="Times New Roman"/>
      <w:kern w:val="0"/>
      <w:sz w:val="24"/>
      <w:szCs w:val="24"/>
    </w:rPr>
  </w:style>
  <w:style w:type="character" w:customStyle="1" w:styleId="344">
    <w:name w:val="正文首行缩进 2 Char1"/>
    <w:basedOn w:val="343"/>
    <w:semiHidden/>
    <w:qFormat/>
    <w:uiPriority w:val="99"/>
    <w:rPr>
      <w:rFonts w:ascii="Times New Roman" w:hAnsi="Times New Roman" w:eastAsia="宋体" w:cs="Times New Roman"/>
      <w:kern w:val="0"/>
      <w:sz w:val="24"/>
      <w:szCs w:val="24"/>
    </w:rPr>
  </w:style>
  <w:style w:type="character" w:customStyle="1" w:styleId="345">
    <w:name w:val="正文文本 Char3"/>
    <w:basedOn w:val="59"/>
    <w:semiHidden/>
    <w:qFormat/>
    <w:uiPriority w:val="99"/>
    <w:rPr>
      <w:rFonts w:ascii="Times New Roman" w:hAnsi="Times New Roman" w:eastAsia="宋体" w:cs="Times New Roman"/>
      <w:kern w:val="0"/>
      <w:sz w:val="24"/>
      <w:szCs w:val="24"/>
    </w:rPr>
  </w:style>
  <w:style w:type="character" w:customStyle="1" w:styleId="346">
    <w:name w:val="正文首行缩进 Char2"/>
    <w:basedOn w:val="345"/>
    <w:semiHidden/>
    <w:qFormat/>
    <w:uiPriority w:val="99"/>
    <w:rPr>
      <w:rFonts w:ascii="Times New Roman" w:hAnsi="Times New Roman" w:eastAsia="宋体" w:cs="Times New Roman"/>
      <w:kern w:val="0"/>
      <w:sz w:val="24"/>
      <w:szCs w:val="24"/>
    </w:rPr>
  </w:style>
  <w:style w:type="character" w:customStyle="1" w:styleId="347">
    <w:name w:val="批注框文本 Char2"/>
    <w:basedOn w:val="59"/>
    <w:semiHidden/>
    <w:qFormat/>
    <w:uiPriority w:val="99"/>
    <w:rPr>
      <w:rFonts w:ascii="Times New Roman" w:hAnsi="Times New Roman" w:eastAsia="宋体" w:cs="Times New Roman"/>
      <w:kern w:val="0"/>
      <w:sz w:val="18"/>
      <w:szCs w:val="18"/>
    </w:rPr>
  </w:style>
  <w:style w:type="character" w:customStyle="1" w:styleId="348">
    <w:name w:val="批注主题 Char1"/>
    <w:basedOn w:val="340"/>
    <w:semiHidden/>
    <w:qFormat/>
    <w:uiPriority w:val="99"/>
    <w:rPr>
      <w:rFonts w:ascii="Times New Roman" w:hAnsi="Times New Roman" w:eastAsia="宋体" w:cs="Times New Roman"/>
      <w:b/>
      <w:bCs/>
      <w:kern w:val="0"/>
      <w:sz w:val="24"/>
      <w:szCs w:val="24"/>
    </w:rPr>
  </w:style>
  <w:style w:type="character" w:customStyle="1" w:styleId="349">
    <w:name w:val="正文文本缩进 3 Char1"/>
    <w:basedOn w:val="59"/>
    <w:link w:val="45"/>
    <w:qFormat/>
    <w:uiPriority w:val="0"/>
    <w:rPr>
      <w:sz w:val="16"/>
      <w:szCs w:val="16"/>
    </w:rPr>
  </w:style>
  <w:style w:type="character" w:customStyle="1" w:styleId="350">
    <w:name w:val="纯文本 Char4"/>
    <w:basedOn w:val="59"/>
    <w:semiHidden/>
    <w:qFormat/>
    <w:uiPriority w:val="99"/>
    <w:rPr>
      <w:rFonts w:ascii="宋体" w:hAnsi="Courier New" w:eastAsia="宋体" w:cs="Courier New"/>
      <w:kern w:val="0"/>
      <w:szCs w:val="21"/>
    </w:rPr>
  </w:style>
  <w:style w:type="character" w:customStyle="1" w:styleId="351">
    <w:name w:val="标题 Char1"/>
    <w:basedOn w:val="59"/>
    <w:qFormat/>
    <w:uiPriority w:val="10"/>
    <w:rPr>
      <w:rFonts w:eastAsia="宋体" w:asciiTheme="majorHAnsi" w:hAnsiTheme="majorHAnsi" w:cstheme="majorBidi"/>
      <w:b/>
      <w:bCs/>
      <w:kern w:val="0"/>
      <w:sz w:val="32"/>
      <w:szCs w:val="32"/>
    </w:rPr>
  </w:style>
  <w:style w:type="character" w:customStyle="1" w:styleId="352">
    <w:name w:val="正文文本缩进 2 Char2"/>
    <w:basedOn w:val="59"/>
    <w:link w:val="35"/>
    <w:qFormat/>
    <w:uiPriority w:val="0"/>
    <w:rPr>
      <w:rFonts w:ascii="宋体" w:eastAsia="新宋体"/>
      <w:sz w:val="24"/>
    </w:rPr>
  </w:style>
  <w:style w:type="character" w:customStyle="1" w:styleId="353">
    <w:name w:val="正文文本 2 Char1"/>
    <w:basedOn w:val="59"/>
    <w:link w:val="51"/>
    <w:qFormat/>
    <w:uiPriority w:val="0"/>
    <w:rPr>
      <w:sz w:val="24"/>
      <w:szCs w:val="24"/>
    </w:rPr>
  </w:style>
  <w:style w:type="character" w:customStyle="1" w:styleId="354">
    <w:name w:val="页眉 Char2"/>
    <w:basedOn w:val="59"/>
    <w:semiHidden/>
    <w:qFormat/>
    <w:uiPriority w:val="99"/>
    <w:rPr>
      <w:rFonts w:ascii="Times New Roman" w:hAnsi="Times New Roman" w:eastAsia="宋体" w:cs="Times New Roman"/>
      <w:kern w:val="0"/>
      <w:sz w:val="18"/>
      <w:szCs w:val="18"/>
    </w:rPr>
  </w:style>
  <w:style w:type="character" w:customStyle="1" w:styleId="355">
    <w:name w:val="日期 Char"/>
    <w:basedOn w:val="59"/>
    <w:link w:val="34"/>
    <w:qFormat/>
    <w:uiPriority w:val="0"/>
    <w:rPr>
      <w:sz w:val="24"/>
      <w:szCs w:val="24"/>
    </w:rPr>
  </w:style>
  <w:style w:type="character" w:customStyle="1" w:styleId="356">
    <w:name w:val="文档结构图 Char1"/>
    <w:basedOn w:val="59"/>
    <w:semiHidden/>
    <w:qFormat/>
    <w:uiPriority w:val="99"/>
    <w:rPr>
      <w:rFonts w:ascii="宋体" w:hAnsi="Times New Roman" w:eastAsia="宋体" w:cs="Times New Roman"/>
      <w:kern w:val="0"/>
      <w:sz w:val="18"/>
      <w:szCs w:val="18"/>
    </w:rPr>
  </w:style>
  <w:style w:type="character" w:customStyle="1" w:styleId="357">
    <w:name w:val="bookmark-item"/>
    <w:basedOn w:val="59"/>
    <w:qFormat/>
    <w:uiPriority w:val="0"/>
  </w:style>
  <w:style w:type="paragraph" w:customStyle="1" w:styleId="358">
    <w:name w:val="首行缩进"/>
    <w:basedOn w:val="1"/>
    <w:qFormat/>
    <w:uiPriority w:val="0"/>
    <w:pPr>
      <w:spacing w:line="360" w:lineRule="auto"/>
      <w:ind w:firstLine="480" w:firstLineChars="200"/>
    </w:pPr>
    <w:rPr>
      <w:lang w:val="zh-CN"/>
    </w:rPr>
  </w:style>
  <w:style w:type="paragraph" w:customStyle="1" w:styleId="359">
    <w:name w:val="修订2"/>
    <w:hidden/>
    <w:semiHidden/>
    <w:qFormat/>
    <w:uiPriority w:val="99"/>
    <w:rPr>
      <w:rFonts w:ascii="Times New Roman" w:hAnsi="Times New Roman" w:eastAsia="宋体" w:cs="Times New Roman"/>
      <w:sz w:val="24"/>
      <w:szCs w:val="24"/>
      <w:lang w:val="en-US" w:eastAsia="zh-CN" w:bidi="ar-SA"/>
    </w:rPr>
  </w:style>
  <w:style w:type="paragraph" w:customStyle="1" w:styleId="36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361">
    <w:name w:val="font71"/>
    <w:basedOn w:val="59"/>
    <w:qFormat/>
    <w:uiPriority w:val="0"/>
    <w:rPr>
      <w:rFonts w:hint="eastAsia" w:ascii="宋体" w:hAnsi="宋体" w:eastAsia="宋体" w:cs="宋体"/>
      <w:color w:val="000000"/>
      <w:sz w:val="24"/>
      <w:szCs w:val="24"/>
      <w:u w:val="none"/>
    </w:rPr>
  </w:style>
  <w:style w:type="character" w:customStyle="1" w:styleId="362">
    <w:name w:val="font81"/>
    <w:basedOn w:val="59"/>
    <w:qFormat/>
    <w:uiPriority w:val="0"/>
    <w:rPr>
      <w:rFonts w:hint="eastAsia" w:ascii="宋体" w:hAnsi="宋体" w:eastAsia="宋体" w:cs="宋体"/>
      <w:color w:val="000000"/>
      <w:sz w:val="24"/>
      <w:szCs w:val="24"/>
      <w:u w:val="none"/>
    </w:rPr>
  </w:style>
  <w:style w:type="character" w:customStyle="1" w:styleId="363">
    <w:name w:val="font91"/>
    <w:basedOn w:val="59"/>
    <w:qFormat/>
    <w:uiPriority w:val="0"/>
    <w:rPr>
      <w:rFonts w:hint="default" w:ascii="Times New Roman" w:hAnsi="Times New Roman" w:cs="Times New Roman"/>
      <w:color w:val="000000"/>
      <w:sz w:val="24"/>
      <w:szCs w:val="24"/>
      <w:u w:val="none"/>
    </w:rPr>
  </w:style>
  <w:style w:type="character" w:customStyle="1" w:styleId="364">
    <w:name w:val="NormalCharacter"/>
    <w:qFormat/>
    <w:uiPriority w:val="0"/>
    <w:rPr>
      <w:rFonts w:ascii="Times New Roman" w:hAnsi="Times New Roman" w:eastAsia="宋体" w:cs="Times New Roman"/>
      <w:kern w:val="2"/>
      <w:sz w:val="21"/>
      <w:lang w:val="en-US" w:eastAsia="zh-CN" w:bidi="ar-SA"/>
    </w:rPr>
  </w:style>
  <w:style w:type="paragraph" w:customStyle="1" w:styleId="365">
    <w:name w:val="表格正文"/>
    <w:qFormat/>
    <w:uiPriority w:val="0"/>
    <w:pPr>
      <w:spacing w:before="80" w:after="80" w:line="360" w:lineRule="auto"/>
      <w:contextualSpacing/>
      <w:textAlignment w:val="center"/>
    </w:pPr>
    <w:rPr>
      <w:rFonts w:eastAsia="宋体" w:cs="方正兰亭黑简体" w:asciiTheme="minorEastAsia" w:hAnsiTheme="minorEastAsia"/>
      <w:kern w:val="2"/>
      <w:sz w:val="21"/>
      <w:szCs w:val="21"/>
      <w:lang w:val="en-US" w:eastAsia="zh-CN" w:bidi="ar-SA"/>
    </w:rPr>
  </w:style>
  <w:style w:type="table" w:customStyle="1" w:styleId="366">
    <w:name w:val="Table1"/>
    <w:basedOn w:val="57"/>
    <w:qFormat/>
    <w:uiPriority w:val="99"/>
    <w:pPr>
      <w:spacing w:line="360" w:lineRule="auto"/>
    </w:pPr>
    <w:rPr>
      <w:rFonts w:ascii="Times New Roman" w:hAnsi="Times New Roman" w:eastAsia="宋体" w:cs="Times New Roman"/>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宋体"/>
        <w:b/>
        <w:i w:val="0"/>
        <w:sz w:val="24"/>
      </w:rPr>
      <w:tcPr>
        <w:shd w:val="clear" w:color="auto" w:fill="D9D9D9"/>
        <w:vAlign w:val="center"/>
      </w:tcPr>
    </w:tblStylePr>
  </w:style>
  <w:style w:type="character" w:customStyle="1" w:styleId="367">
    <w:name w:val="交叉引用"/>
    <w:basedOn w:val="59"/>
    <w:qFormat/>
    <w:uiPriority w:val="1"/>
    <w:rPr>
      <w:color w:val="0000FF"/>
      <w:u w:val="singl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D04CD-CD9B-4473-805C-5FC038DE19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67772</Words>
  <Characters>72727</Characters>
  <Lines>236</Lines>
  <Paragraphs>66</Paragraphs>
  <TotalTime>62</TotalTime>
  <ScaleCrop>false</ScaleCrop>
  <LinksUpToDate>false</LinksUpToDate>
  <CharactersWithSpaces>73989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2021-08-18T02:22:00Z</dcterms:created>
  <dc:creator>Administrator</dc:creator>
  <cp:lastModifiedBy>Administrator</cp:lastModifiedBy>
  <cp:lastPrinted>2022-10-25T02:17:38Z</cp:lastPrinted>
  <dcterms:modified xsi:type="dcterms:W3CDTF">2022-10-25T02:19:11Z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4BCADAE62E41407F81D07F93B3DFFCD2</vt:lpwstr>
  </property>
</Properties>
</file>